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6E2A" w14:textId="75266D55" w:rsidR="00CF12A6" w:rsidRDefault="00095B20">
      <w:pPr>
        <w:pStyle w:val="a3"/>
        <w:spacing w:line="576" w:lineRule="exact"/>
        <w:ind w:left="51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茂县经营性国有资产监督管理办法</w:t>
      </w:r>
    </w:p>
    <w:p w14:paraId="09B322CA" w14:textId="77777777" w:rsidR="00CF12A6" w:rsidRDefault="00095B20">
      <w:pPr>
        <w:pStyle w:val="a3"/>
        <w:spacing w:line="576" w:lineRule="exact"/>
        <w:ind w:left="253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总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则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384A64C4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为进一步加强经营性国有资产监督管理，规范运营行为，建立有效的管理体制和运营机制，提高国有资产经营收益，确保经营性国有资产保值增值，根据《中华人民共和国企业国有资产法》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《企业国有资产监督管理暂行条例》等有关法律法规，制定本办法。</w:t>
      </w:r>
    </w:p>
    <w:p w14:paraId="190894B0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本办法所称经营性国有资产，是指经县人民政府授权，由县国有资产管理中心（以下简称国资中心）统一管理的，依法确认为国家所有的用以直接获取经济收入，或具有现实经济价值的固定资产和无形资产。</w:t>
      </w:r>
    </w:p>
    <w:p w14:paraId="793CE379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国</w:t>
      </w:r>
      <w:proofErr w:type="gramStart"/>
      <w:r>
        <w:rPr>
          <w:rFonts w:ascii="仿宋_GB2312" w:eastAsia="仿宋_GB2312" w:hint="eastAsia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sz w:val="32"/>
          <w:szCs w:val="32"/>
        </w:rPr>
        <w:t>代表县政府履行企业国有资产出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资人职责，对全县经营性国有资产的经营行为进行监督管理。</w:t>
      </w:r>
    </w:p>
    <w:p w14:paraId="2FEF9A5C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经营性国有资产的管理目标是加强经营性国有资产的优化配置，调整有效资产，重组低效资产，盘活闲置资产，对经营性国有资产实行有偿使用，确保资产保值增值。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6018993" w14:textId="77777777" w:rsidR="00CF12A6" w:rsidRDefault="00095B20">
      <w:pPr>
        <w:pStyle w:val="a3"/>
        <w:spacing w:line="576" w:lineRule="exact"/>
        <w:ind w:left="253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产权登记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54079130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第五条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占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使用国有资产的企业，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应当按照《</w:t>
      </w:r>
      <w:r>
        <w:rPr>
          <w:rFonts w:ascii="仿宋_GB2312" w:eastAsia="仿宋_GB2312" w:hint="eastAsia"/>
          <w:sz w:val="32"/>
          <w:szCs w:val="32"/>
        </w:rPr>
        <w:t>企业国有资产产权登记管理办法》（国务院令第</w:t>
      </w:r>
      <w:r>
        <w:rPr>
          <w:rFonts w:ascii="仿宋_GB2312" w:eastAsia="仿宋_GB2312" w:hint="eastAsia"/>
          <w:sz w:val="32"/>
          <w:szCs w:val="32"/>
        </w:rPr>
        <w:t xml:space="preserve">192 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要求，在国</w:t>
      </w:r>
      <w:proofErr w:type="gramStart"/>
      <w:r>
        <w:rPr>
          <w:rFonts w:ascii="仿宋_GB2312" w:eastAsia="仿宋_GB2312" w:hint="eastAsia"/>
          <w:sz w:val="32"/>
          <w:szCs w:val="32"/>
        </w:rPr>
        <w:t>资中心申办</w:t>
      </w:r>
      <w:proofErr w:type="gramEnd"/>
      <w:r>
        <w:rPr>
          <w:rFonts w:ascii="仿宋_GB2312" w:eastAsia="仿宋_GB2312" w:hint="eastAsia"/>
          <w:sz w:val="32"/>
          <w:szCs w:val="32"/>
        </w:rPr>
        <w:t>国有资产产权登记，依法确认产权归属关系。</w:t>
      </w:r>
    </w:p>
    <w:p w14:paraId="4159AE89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企业国有资产等产权发生增减变化时，必须在发生变动之日起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日内向国</w:t>
      </w:r>
      <w:proofErr w:type="gramStart"/>
      <w:r>
        <w:rPr>
          <w:rFonts w:ascii="仿宋_GB2312" w:eastAsia="仿宋_GB2312" w:hint="eastAsia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sz w:val="32"/>
          <w:szCs w:val="32"/>
        </w:rPr>
        <w:t>申报，并办理变动或注销登记。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8899E47" w14:textId="77777777" w:rsidR="00CF12A6" w:rsidRDefault="00095B20">
      <w:pPr>
        <w:pStyle w:val="a3"/>
        <w:spacing w:line="576" w:lineRule="exact"/>
        <w:ind w:left="253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资产评估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4289E1D5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企业经营性国有资产处置前，应当对其实际价值进行评估确认。</w:t>
      </w:r>
    </w:p>
    <w:p w14:paraId="3EA992A1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企业经营性国有资产评估应按程序申报，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由县国</w:t>
      </w:r>
      <w:proofErr w:type="gramStart"/>
      <w:r>
        <w:rPr>
          <w:rFonts w:ascii="仿宋_GB2312" w:eastAsia="仿宋_GB2312" w:hint="eastAsia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sz w:val="32"/>
          <w:szCs w:val="32"/>
        </w:rPr>
        <w:t>审核。</w:t>
      </w:r>
    </w:p>
    <w:p w14:paraId="0A6AF3B2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第九条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企业经营性国有资产评估必须经有资质的评估机构进行评估，并报县国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核准备案。经核准或者备案的资产评估结果使用有效期为自评</w:t>
      </w:r>
      <w:r>
        <w:rPr>
          <w:rFonts w:ascii="仿宋_GB2312" w:eastAsia="仿宋_GB2312" w:hint="eastAsia"/>
          <w:color w:val="323232"/>
          <w:sz w:val="32"/>
          <w:szCs w:val="32"/>
        </w:rPr>
        <w:t>估基准日起</w:t>
      </w:r>
      <w:r>
        <w:rPr>
          <w:rFonts w:ascii="仿宋_GB2312" w:eastAsia="仿宋_GB2312" w:hint="eastAsia"/>
          <w:color w:val="323232"/>
          <w:sz w:val="32"/>
          <w:szCs w:val="32"/>
        </w:rPr>
        <w:t>1</w:t>
      </w:r>
      <w:r>
        <w:rPr>
          <w:rFonts w:ascii="仿宋_GB2312" w:eastAsia="仿宋_GB2312" w:hint="eastAsia"/>
          <w:color w:val="323232"/>
          <w:sz w:val="32"/>
          <w:szCs w:val="32"/>
        </w:rPr>
        <w:t>年。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13B8E6" w14:textId="77777777" w:rsidR="00CF12A6" w:rsidRDefault="00095B20">
      <w:pPr>
        <w:pStyle w:val="a3"/>
        <w:spacing w:line="576" w:lineRule="exact"/>
        <w:ind w:left="253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资产租赁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43A9231A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第十条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经营性国有资产的出租经营必须依照“公平、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公正、公开”的原则，依据相关规定由资产占有单位申报，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国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审批。</w:t>
      </w:r>
    </w:p>
    <w:p w14:paraId="4AB4643A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lastRenderedPageBreak/>
        <w:t>第十一条</w:t>
      </w:r>
      <w:r>
        <w:rPr>
          <w:rFonts w:ascii="仿宋_GB2312" w:eastAsia="仿宋_GB2312" w:hint="eastAsia"/>
          <w:color w:val="21212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212121"/>
          <w:sz w:val="32"/>
          <w:szCs w:val="32"/>
        </w:rPr>
        <w:t>经营性国有资产对外租赁时，必须实行公开招租。公开招租按以下程序进行：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575DF5D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212121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（一）成立招租工作领导小组；</w:t>
      </w:r>
    </w:p>
    <w:p w14:paraId="1606A18B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212121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（二）制订招租方案；</w:t>
      </w:r>
    </w:p>
    <w:p w14:paraId="17701229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212121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（三）可采用估价、询价、评估等方式确定招租底价；</w:t>
      </w:r>
    </w:p>
    <w:p w14:paraId="41757F5E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212121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（四）发布招租公告；</w:t>
      </w:r>
    </w:p>
    <w:p w14:paraId="53A41622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212121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（五）竞租人报名、缴纳竞租保证金及竞租确认登记</w:t>
      </w:r>
      <w:r>
        <w:rPr>
          <w:rFonts w:ascii="仿宋_GB2312" w:eastAsia="仿宋_GB2312" w:hint="eastAsia"/>
          <w:color w:val="212121"/>
          <w:sz w:val="32"/>
          <w:szCs w:val="32"/>
        </w:rPr>
        <w:t>；</w:t>
      </w:r>
    </w:p>
    <w:p w14:paraId="58F20026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212121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（六）组织公开竞价招租会；</w:t>
      </w:r>
    </w:p>
    <w:p w14:paraId="56FC9DED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212121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（七）中标（成交）确认以及发布中标（成交）公告；</w:t>
      </w:r>
    </w:p>
    <w:p w14:paraId="34436B0F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212121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（八）签订合同、资产移交及其他事宜。</w:t>
      </w:r>
    </w:p>
    <w:p w14:paraId="196EEFC0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第十二条</w:t>
      </w:r>
      <w:r>
        <w:rPr>
          <w:rFonts w:ascii="仿宋_GB2312" w:eastAsia="仿宋_GB2312" w:hint="eastAsia"/>
          <w:color w:val="21212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212121"/>
          <w:sz w:val="32"/>
          <w:szCs w:val="32"/>
        </w:rPr>
        <w:t>租赁合同期限原则上不超过三年，因特殊情况经国</w:t>
      </w:r>
      <w:proofErr w:type="gramStart"/>
      <w:r>
        <w:rPr>
          <w:rFonts w:ascii="仿宋_GB2312" w:eastAsia="仿宋_GB2312" w:hint="eastAsia"/>
          <w:color w:val="212121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212121"/>
          <w:sz w:val="32"/>
          <w:szCs w:val="32"/>
        </w:rPr>
        <w:t>批复后可延长租期；租期五年以上的，提请县政府研究同意后方可延期。</w:t>
      </w:r>
    </w:p>
    <w:p w14:paraId="4FF04F4C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212121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第十三条</w:t>
      </w:r>
      <w:r>
        <w:rPr>
          <w:rFonts w:ascii="仿宋_GB2312" w:eastAsia="仿宋_GB2312" w:hint="eastAsia"/>
          <w:color w:val="21212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212121"/>
          <w:sz w:val="32"/>
          <w:szCs w:val="32"/>
        </w:rPr>
        <w:t>有下列情形之一的经营性国有资产不得出租：</w:t>
      </w:r>
    </w:p>
    <w:p w14:paraId="511EF970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212121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lastRenderedPageBreak/>
        <w:t>（一）依法被查封的；</w:t>
      </w:r>
    </w:p>
    <w:p w14:paraId="2C542DEE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212121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（二）已纳入征地拆迁红线范围的土地、房屋等；</w:t>
      </w:r>
    </w:p>
    <w:p w14:paraId="3472E10C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212121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（三）</w:t>
      </w:r>
      <w:r>
        <w:rPr>
          <w:rFonts w:ascii="仿宋_GB2312" w:eastAsia="仿宋_GB2312"/>
          <w:color w:val="212121"/>
          <w:sz w:val="32"/>
          <w:szCs w:val="32"/>
        </w:rPr>
        <w:t>整体纳入建设范围及拆迁规划，并将在两年内实施的</w:t>
      </w:r>
      <w:r>
        <w:rPr>
          <w:rFonts w:ascii="仿宋_GB2312" w:eastAsia="仿宋_GB2312" w:hint="eastAsia"/>
          <w:color w:val="212121"/>
          <w:sz w:val="32"/>
          <w:szCs w:val="32"/>
        </w:rPr>
        <w:t>；</w:t>
      </w:r>
    </w:p>
    <w:p w14:paraId="36305E2E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（四）法律、法规规定禁止租赁的其他情形。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899D5DC" w14:textId="77777777" w:rsidR="00CF12A6" w:rsidRDefault="00095B20">
      <w:pPr>
        <w:pStyle w:val="a3"/>
        <w:spacing w:line="576" w:lineRule="exact"/>
        <w:ind w:left="253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资产抵押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40AE603E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第十四条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企业抵押经营性国有资产应报经县国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批准，获取资金必须用于自身的经营和发展，不得挪作他用。企业抵押资产应当进行资产评估，评估结果报县国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备案。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CAF0628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第十五条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除县委、县政府决定对外担保的项目外，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国有及国有控股企业不得对外担保。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国有独资企业、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国有控股企业之间经批准后可以进行担保，但是担保方与被担保方要遵守《中华人民共和国民法典》的规定，充分考虑被担保单位的资信和偿债能力，并签订反担保合同。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618C325A" w14:textId="77777777" w:rsidR="00CF12A6" w:rsidRDefault="00095B20">
      <w:pPr>
        <w:pStyle w:val="a3"/>
        <w:spacing w:line="576" w:lineRule="exact"/>
        <w:ind w:left="253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资产划拨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5A74906B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第十六条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经营性国有资产原则上只在县属国有企业之间进行划拨流转。</w:t>
      </w:r>
    </w:p>
    <w:p w14:paraId="44D53E06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lastRenderedPageBreak/>
        <w:t>第十七条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经营性国有资</w:t>
      </w:r>
      <w:r>
        <w:rPr>
          <w:rFonts w:ascii="仿宋_GB2312" w:eastAsia="仿宋_GB2312" w:hint="eastAsia"/>
          <w:color w:val="323232"/>
          <w:sz w:val="32"/>
          <w:szCs w:val="32"/>
        </w:rPr>
        <w:t>产的划拨应由资产需求单位向县国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报送资产划拨函件，县国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报请县人民政府批准后正式印发划拨通知（批复）。任何单位和个人不得私自划拨或调换，转移经营性国有资产。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3B94E43" w14:textId="77777777" w:rsidR="00CF12A6" w:rsidRDefault="00095B20">
      <w:pPr>
        <w:pStyle w:val="a3"/>
        <w:spacing w:line="576" w:lineRule="exact"/>
        <w:ind w:left="253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资产处置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36FC3143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第十八条</w:t>
      </w:r>
      <w:r>
        <w:rPr>
          <w:rFonts w:ascii="仿宋_GB2312" w:eastAsia="仿宋_GB2312" w:hint="eastAsia"/>
          <w:color w:val="21212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212121"/>
          <w:sz w:val="32"/>
          <w:szCs w:val="32"/>
        </w:rPr>
        <w:t>经营性国有资产处置是指：企业对其占有、</w:t>
      </w:r>
      <w:r>
        <w:rPr>
          <w:rFonts w:ascii="仿宋_GB2312" w:eastAsia="仿宋_GB2312" w:hint="eastAsia"/>
          <w:color w:val="21212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212121"/>
          <w:sz w:val="32"/>
          <w:szCs w:val="32"/>
        </w:rPr>
        <w:t>使用的国有资产转让、出售、报废、核销的行为。</w:t>
      </w:r>
    </w:p>
    <w:p w14:paraId="03FAB7C7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212121"/>
          <w:sz w:val="32"/>
          <w:szCs w:val="32"/>
        </w:rPr>
        <w:t>第十九条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经营性国有资产处置行为，应当严格履行审批手续，未经批准不得处置。申报程序及申报材料</w:t>
      </w:r>
      <w:r>
        <w:rPr>
          <w:rFonts w:ascii="仿宋_GB2312" w:eastAsia="仿宋_GB2312" w:hint="eastAsia"/>
          <w:color w:val="32323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468F801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（一）企业申请。有主管部门的企业，应提供主管部门的批复或意见</w:t>
      </w:r>
      <w:r>
        <w:rPr>
          <w:rFonts w:ascii="仿宋_GB2312" w:eastAsia="仿宋_GB2312" w:hint="eastAsia"/>
          <w:color w:val="323232"/>
          <w:sz w:val="32"/>
          <w:szCs w:val="32"/>
        </w:rPr>
        <w:t>;</w:t>
      </w:r>
    </w:p>
    <w:p w14:paraId="09FF065F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（二）国有资产处置的实施方案</w:t>
      </w:r>
      <w:r>
        <w:rPr>
          <w:rFonts w:ascii="仿宋_GB2312" w:eastAsia="仿宋_GB2312" w:hint="eastAsia"/>
          <w:color w:val="323232"/>
          <w:sz w:val="32"/>
          <w:szCs w:val="32"/>
        </w:rPr>
        <w:t>；</w:t>
      </w:r>
    </w:p>
    <w:p w14:paraId="17A43358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（三）国有控股公司的国有资产处置行为，应提供董事会或股东会决议</w:t>
      </w:r>
      <w:r>
        <w:rPr>
          <w:rFonts w:ascii="仿宋_GB2312" w:eastAsia="仿宋_GB2312" w:hint="eastAsia"/>
          <w:color w:val="323232"/>
          <w:sz w:val="32"/>
          <w:szCs w:val="32"/>
        </w:rPr>
        <w:t>;</w:t>
      </w:r>
    </w:p>
    <w:p w14:paraId="11527FBA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（四）企业法律顾问或律师事务所所出具的法律意见书</w:t>
      </w:r>
      <w:r>
        <w:rPr>
          <w:rFonts w:ascii="仿宋_GB2312" w:eastAsia="仿宋_GB2312" w:hint="eastAsia"/>
          <w:color w:val="323232"/>
          <w:sz w:val="32"/>
          <w:szCs w:val="32"/>
        </w:rPr>
        <w:t>;</w:t>
      </w:r>
    </w:p>
    <w:p w14:paraId="24FAC45C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（五）县国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颁发的国有资产产权登记证，以及相关的产权权属证明，资产账面价值凭证复印件</w:t>
      </w:r>
      <w:r>
        <w:rPr>
          <w:rFonts w:ascii="仿宋_GB2312" w:eastAsia="仿宋_GB2312" w:hint="eastAsia"/>
          <w:color w:val="323232"/>
          <w:sz w:val="32"/>
          <w:szCs w:val="32"/>
        </w:rPr>
        <w:t>;</w:t>
      </w:r>
    </w:p>
    <w:p w14:paraId="434BC355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（六）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企业法人营业执照副本复印件；</w:t>
      </w:r>
    </w:p>
    <w:p w14:paraId="4C915969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lastRenderedPageBreak/>
        <w:t>（七）资产评估报告和资产评估备案或核准文件；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</w:p>
    <w:p w14:paraId="7F20008F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（八）涉及国有资产报废、核销的，应提供资产情况说明、原始资料和凭证、账目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明细表、固定资产鉴定结论等。</w:t>
      </w:r>
    </w:p>
    <w:p w14:paraId="09C271FA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32323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第二十条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经营性国有资产处置审批程序及权限：</w:t>
      </w:r>
    </w:p>
    <w:p w14:paraId="039B3966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（一）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县属国有企业分立、合并、破产、解散、处置资产的，经县国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资中</w:t>
      </w:r>
      <w:r>
        <w:rPr>
          <w:rFonts w:ascii="仿宋_GB2312" w:eastAsia="仿宋_GB2312" w:hint="eastAsia"/>
          <w:color w:val="323232"/>
          <w:sz w:val="32"/>
          <w:szCs w:val="32"/>
        </w:rPr>
        <w:t>心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审核，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报县政府批准后组织实施。</w:t>
      </w:r>
    </w:p>
    <w:p w14:paraId="74F5ACA8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（二）资产总额在</w:t>
      </w:r>
      <w:r>
        <w:rPr>
          <w:rFonts w:ascii="仿宋_GB2312" w:eastAsia="仿宋_GB2312" w:hint="eastAsia"/>
          <w:color w:val="323232"/>
          <w:sz w:val="32"/>
          <w:szCs w:val="32"/>
        </w:rPr>
        <w:t>50</w:t>
      </w:r>
      <w:r>
        <w:rPr>
          <w:rFonts w:ascii="仿宋_GB2312" w:eastAsia="仿宋_GB2312" w:hint="eastAsia"/>
          <w:color w:val="323232"/>
          <w:sz w:val="32"/>
          <w:szCs w:val="32"/>
        </w:rPr>
        <w:t>万元以下的，报县国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审批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; </w:t>
      </w:r>
      <w:r>
        <w:rPr>
          <w:rFonts w:ascii="仿宋_GB2312" w:eastAsia="仿宋_GB2312" w:hint="eastAsia"/>
          <w:color w:val="323232"/>
          <w:sz w:val="32"/>
          <w:szCs w:val="32"/>
        </w:rPr>
        <w:t>资产总额在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50 </w:t>
      </w:r>
      <w:r>
        <w:rPr>
          <w:rFonts w:ascii="仿宋_GB2312" w:eastAsia="仿宋_GB2312" w:hint="eastAsia"/>
          <w:color w:val="323232"/>
          <w:sz w:val="32"/>
          <w:szCs w:val="32"/>
        </w:rPr>
        <w:t>万元</w:t>
      </w:r>
      <w:r>
        <w:rPr>
          <w:rFonts w:ascii="仿宋_GB2312" w:eastAsia="仿宋_GB2312" w:hint="eastAsia"/>
          <w:color w:val="323232"/>
          <w:sz w:val="32"/>
          <w:szCs w:val="32"/>
        </w:rPr>
        <w:t>(</w:t>
      </w:r>
      <w:r>
        <w:rPr>
          <w:rFonts w:ascii="仿宋_GB2312" w:eastAsia="仿宋_GB2312" w:hint="eastAsia"/>
          <w:color w:val="323232"/>
          <w:sz w:val="32"/>
          <w:szCs w:val="32"/>
        </w:rPr>
        <w:t>含</w:t>
      </w:r>
      <w:r>
        <w:rPr>
          <w:rFonts w:ascii="仿宋_GB2312" w:eastAsia="仿宋_GB2312" w:hint="eastAsia"/>
          <w:color w:val="323232"/>
          <w:sz w:val="32"/>
          <w:szCs w:val="32"/>
        </w:rPr>
        <w:t>50</w:t>
      </w:r>
      <w:r>
        <w:rPr>
          <w:rFonts w:ascii="仿宋_GB2312" w:eastAsia="仿宋_GB2312" w:hint="eastAsia"/>
          <w:color w:val="323232"/>
          <w:sz w:val="32"/>
          <w:szCs w:val="32"/>
        </w:rPr>
        <w:t>万元</w:t>
      </w:r>
      <w:r>
        <w:rPr>
          <w:rFonts w:ascii="仿宋_GB2312" w:eastAsia="仿宋_GB2312" w:hint="eastAsia"/>
          <w:color w:val="323232"/>
          <w:sz w:val="32"/>
          <w:szCs w:val="32"/>
        </w:rPr>
        <w:t>)</w:t>
      </w:r>
      <w:r>
        <w:rPr>
          <w:rFonts w:ascii="仿宋_GB2312" w:eastAsia="仿宋_GB2312" w:hint="eastAsia"/>
          <w:color w:val="323232"/>
          <w:sz w:val="32"/>
          <w:szCs w:val="32"/>
        </w:rPr>
        <w:t>以上的由县国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审核后，报县政府审批。</w:t>
      </w:r>
    </w:p>
    <w:p w14:paraId="0FEDA87D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第二十一条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经营性国有产权转让和国有资产处置行为，经县国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审核批准后，必须到国有产权交易机构办理产权交易，不得擅自处置交易。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B6575D7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第二十二条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经营性国有资产转让应以评估价为底价，交易价</w:t>
      </w:r>
      <w:r>
        <w:rPr>
          <w:rFonts w:ascii="仿宋_GB2312" w:eastAsia="仿宋_GB2312" w:hint="eastAsia"/>
          <w:color w:val="323232"/>
          <w:sz w:val="32"/>
          <w:szCs w:val="32"/>
        </w:rPr>
        <w:t>原则上</w:t>
      </w:r>
      <w:r>
        <w:rPr>
          <w:rFonts w:ascii="仿宋_GB2312" w:eastAsia="仿宋_GB2312" w:hint="eastAsia"/>
          <w:color w:val="323232"/>
          <w:sz w:val="32"/>
          <w:szCs w:val="32"/>
        </w:rPr>
        <w:t>应不低于评估价。</w:t>
      </w:r>
    </w:p>
    <w:p w14:paraId="6E6675F2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第二十三条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完善经营性国有资产交易程序，工商、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国土资源、房产管理等部门办理产权交易登记手续时，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须要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求交易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方提供县国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的批复和国有产权交易机</w:t>
      </w:r>
      <w:r>
        <w:rPr>
          <w:rFonts w:ascii="仿宋_GB2312" w:eastAsia="仿宋_GB2312" w:hint="eastAsia"/>
          <w:color w:val="323232"/>
          <w:sz w:val="32"/>
          <w:szCs w:val="32"/>
        </w:rPr>
        <w:lastRenderedPageBreak/>
        <w:t>构的交易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鉴证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书后，方可办理国有资产产权</w:t>
      </w:r>
      <w:r>
        <w:rPr>
          <w:rFonts w:ascii="仿宋_GB2312" w:eastAsia="仿宋_GB2312" w:hint="eastAsia"/>
          <w:color w:val="323232"/>
          <w:sz w:val="32"/>
          <w:szCs w:val="32"/>
        </w:rPr>
        <w:t>(</w:t>
      </w:r>
      <w:r>
        <w:rPr>
          <w:rFonts w:ascii="仿宋_GB2312" w:eastAsia="仿宋_GB2312" w:hint="eastAsia"/>
          <w:color w:val="323232"/>
          <w:sz w:val="32"/>
          <w:szCs w:val="32"/>
        </w:rPr>
        <w:t>含股权、土地、房屋、车辆、设备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) </w:t>
      </w:r>
      <w:r>
        <w:rPr>
          <w:rFonts w:ascii="仿宋_GB2312" w:eastAsia="仿宋_GB2312" w:hint="eastAsia"/>
          <w:color w:val="323232"/>
          <w:sz w:val="32"/>
          <w:szCs w:val="32"/>
        </w:rPr>
        <w:t>转移过户登记手续。</w:t>
      </w:r>
    </w:p>
    <w:p w14:paraId="6BC7B1A2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第二十四条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经营性国有资产处置行为涉及国有产权变动、注销的，应及时到县国</w:t>
      </w:r>
      <w:proofErr w:type="gramStart"/>
      <w:r>
        <w:rPr>
          <w:rFonts w:ascii="仿宋_GB2312" w:eastAsia="仿宋_GB2312" w:hint="eastAsia"/>
          <w:color w:val="323232"/>
          <w:sz w:val="32"/>
          <w:szCs w:val="32"/>
        </w:rPr>
        <w:t>资中心</w:t>
      </w:r>
      <w:proofErr w:type="gramEnd"/>
      <w:r>
        <w:rPr>
          <w:rFonts w:ascii="仿宋_GB2312" w:eastAsia="仿宋_GB2312" w:hint="eastAsia"/>
          <w:color w:val="323232"/>
          <w:sz w:val="32"/>
          <w:szCs w:val="32"/>
        </w:rPr>
        <w:t>办理国有资产变动、注销登记。</w:t>
      </w:r>
    </w:p>
    <w:p w14:paraId="66F68345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第二十五条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国有资产处置收入管理，按《茂县县级国有资本收益收缴管理办法》的有关规定执行。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A16CBCE" w14:textId="77777777" w:rsidR="00CF12A6" w:rsidRDefault="00095B20">
      <w:pPr>
        <w:pStyle w:val="a3"/>
        <w:spacing w:line="576" w:lineRule="exact"/>
        <w:ind w:left="253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责任追究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77955A3A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第二十六条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企业不办理国有产权登记，不及时按规定程序上交属于国有资本收益的国有资产处置收入的，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按照</w:t>
      </w:r>
      <w:r>
        <w:rPr>
          <w:rFonts w:ascii="仿宋_GB2312" w:eastAsia="仿宋_GB2312" w:hint="eastAsia"/>
          <w:color w:val="323232"/>
          <w:sz w:val="32"/>
          <w:szCs w:val="32"/>
        </w:rPr>
        <w:t>有关规定追究企业和企业负责人责任。</w:t>
      </w:r>
    </w:p>
    <w:p w14:paraId="37B34C58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第二十七条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企业处置国有资产未经批准，擅自转让、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兼并、投资、担保、抵押、租赁的行为，一经发现，按《企业国有资产法》有关规定处理。</w:t>
      </w:r>
    </w:p>
    <w:p w14:paraId="7484ADBF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323232"/>
          <w:sz w:val="32"/>
          <w:szCs w:val="32"/>
        </w:rPr>
        <w:t>第二十八条</w:t>
      </w:r>
      <w:r>
        <w:rPr>
          <w:rFonts w:ascii="仿宋_GB2312" w:eastAsia="仿宋_GB2312" w:hint="eastAsia"/>
          <w:color w:val="323232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23232"/>
          <w:sz w:val="32"/>
          <w:szCs w:val="32"/>
        </w:rPr>
        <w:t>企业处置国有资产不进产权交易机构公开交易，损害国有权益的按照《企业国有资产法》有关规定处理。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10A7A2A" w14:textId="77777777" w:rsidR="00CF12A6" w:rsidRDefault="00095B20">
      <w:pPr>
        <w:pStyle w:val="a3"/>
        <w:spacing w:line="576" w:lineRule="exact"/>
        <w:ind w:left="2535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第九章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附则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29FD67D0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第二十九条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县属企业中专业租赁公司从事的租赁业务；或房地产开发公司从事房屋出售业务等可以不适</w:t>
      </w:r>
      <w:r>
        <w:rPr>
          <w:rFonts w:ascii="仿宋_GB2312" w:eastAsia="仿宋_GB2312" w:hint="eastAsia"/>
          <w:sz w:val="32"/>
          <w:szCs w:val="32"/>
        </w:rPr>
        <w:lastRenderedPageBreak/>
        <w:t>用于本办法。</w:t>
      </w:r>
      <w:r>
        <w:rPr>
          <w:rFonts w:ascii="仿宋_GB2312" w:eastAsia="仿宋_GB2312" w:hint="eastAsia"/>
          <w:color w:val="323232"/>
          <w:sz w:val="32"/>
          <w:szCs w:val="32"/>
        </w:rPr>
        <w:t>由县属国有企业制定相关办法，逐级申报，批准同意后执行。</w:t>
      </w:r>
    </w:p>
    <w:p w14:paraId="79846622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第三十条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本办法自发布之日起</w:t>
      </w:r>
      <w:r>
        <w:rPr>
          <w:rFonts w:ascii="仿宋_GB2312" w:eastAsia="仿宋_GB2312" w:hint="eastAsia"/>
          <w:color w:val="000000"/>
          <w:sz w:val="32"/>
          <w:szCs w:val="32"/>
        </w:rPr>
        <w:t>施行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14:paraId="674F22CE" w14:textId="77777777" w:rsidR="00CF12A6" w:rsidRDefault="00095B20">
      <w:pPr>
        <w:pStyle w:val="a3"/>
        <w:spacing w:line="576" w:lineRule="exact"/>
        <w:ind w:left="48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第三十一条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本办法由茂县国有资产管理中心负责解释。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bookmarkEnd w:id="0"/>
    </w:p>
    <w:sectPr w:rsidR="00CF1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7ADD" w14:textId="77777777" w:rsidR="00095B20" w:rsidRDefault="00095B20" w:rsidP="00041DB4">
      <w:r>
        <w:separator/>
      </w:r>
    </w:p>
  </w:endnote>
  <w:endnote w:type="continuationSeparator" w:id="0">
    <w:p w14:paraId="2B23B0F6" w14:textId="77777777" w:rsidR="00095B20" w:rsidRDefault="00095B20" w:rsidP="0004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F0AB" w14:textId="77777777" w:rsidR="00095B20" w:rsidRDefault="00095B20" w:rsidP="00041DB4">
      <w:r>
        <w:separator/>
      </w:r>
    </w:p>
  </w:footnote>
  <w:footnote w:type="continuationSeparator" w:id="0">
    <w:p w14:paraId="05E312E5" w14:textId="77777777" w:rsidR="00095B20" w:rsidRDefault="00095B20" w:rsidP="0004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BAD2D75"/>
    <w:rsid w:val="00041DB4"/>
    <w:rsid w:val="00095B20"/>
    <w:rsid w:val="000D6FBE"/>
    <w:rsid w:val="0035666C"/>
    <w:rsid w:val="00367632"/>
    <w:rsid w:val="006C5BD1"/>
    <w:rsid w:val="00706526"/>
    <w:rsid w:val="00791E8D"/>
    <w:rsid w:val="00932D2A"/>
    <w:rsid w:val="00CF12A6"/>
    <w:rsid w:val="19C639C8"/>
    <w:rsid w:val="22B85A46"/>
    <w:rsid w:val="29D57D47"/>
    <w:rsid w:val="3BAD2D75"/>
    <w:rsid w:val="5CC02858"/>
    <w:rsid w:val="5F80752F"/>
    <w:rsid w:val="625C614D"/>
    <w:rsid w:val="65A90518"/>
    <w:rsid w:val="678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E49ED"/>
  <w15:docId w15:val="{9E294EFA-3904-44F0-AE74-23A250BC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1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1DB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1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1D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649;&#29702;&#21150;&#27861;\&#33538;&#21439;&#32463;&#33829;&#24615;&#22269;&#26377;&#36164;&#20135;&#30417;&#30563;&#31649;&#29702;&#26242;&#34892;&#21150;&#27861;&#65288;&#24449;&#27714;&#24847;&#35265;&#31295;&#652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茂县经营性国有资产监督管理暂行办法（征求意见稿）</Template>
  <TotalTime>75</TotalTime>
  <Pages>8</Pages>
  <Words>1302</Words>
  <Characters>1303</Characters>
  <Application>Microsoft Office Word</Application>
  <DocSecurity>0</DocSecurity>
  <Lines>81</Lines>
  <Paragraphs>65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睿林</cp:lastModifiedBy>
  <cp:revision>4</cp:revision>
  <cp:lastPrinted>2021-05-31T03:49:00Z</cp:lastPrinted>
  <dcterms:created xsi:type="dcterms:W3CDTF">2021-04-07T06:43:00Z</dcterms:created>
  <dcterms:modified xsi:type="dcterms:W3CDTF">2021-08-25T02:41:00Z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0CFB6C6C085E45A19FC41EC34BA42D9A</vt:lpwstr>
  </property>
  <property fmtid="{D5CDD505-2E9C-101B-9397-08002B2CF9AE}" pid="3" name="KSOProductBuildVer">
    <vt:lpwstr>2052-11.1.0.10495</vt:lpwstr>
  </property>
</Properties>
</file>