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eastAsia="宋体"/>
          <w:b/>
          <w:sz w:val="72"/>
          <w:szCs w:val="72"/>
        </w:rPr>
      </w:pPr>
      <w:bookmarkStart w:id="0" w:name="_Toc15378441"/>
      <w:bookmarkStart w:id="1" w:name="_Toc15377425"/>
      <w:bookmarkStart w:id="2" w:name="_Toc15396597"/>
      <w:bookmarkStart w:id="3" w:name="_Toc15396475"/>
      <w:bookmarkStart w:id="4" w:name="_Toc15377193"/>
      <w:bookmarkStart w:id="5" w:name="_Toc15306267"/>
    </w:p>
    <w:p>
      <w:pPr>
        <w:pStyle w:val="2"/>
        <w:ind w:firstLine="0"/>
      </w:pPr>
    </w:p>
    <w:p>
      <w:pPr>
        <w:jc w:val="center"/>
        <w:rPr>
          <w:rFonts w:ascii="宋体" w:eastAsia="宋体"/>
          <w:b/>
          <w:sz w:val="72"/>
          <w:szCs w:val="72"/>
        </w:rPr>
      </w:pPr>
      <w:r>
        <w:rPr>
          <w:rFonts w:hint="eastAsia" w:ascii="宋体" w:eastAsia="宋体"/>
          <w:b/>
          <w:sz w:val="72"/>
          <w:szCs w:val="72"/>
        </w:rPr>
        <w:t>202</w:t>
      </w:r>
      <w:r>
        <w:rPr>
          <w:rFonts w:ascii="宋体" w:eastAsia="宋体"/>
          <w:b/>
          <w:sz w:val="72"/>
          <w:szCs w:val="72"/>
        </w:rPr>
        <w:t>2</w:t>
      </w:r>
      <w:r>
        <w:rPr>
          <w:rFonts w:hint="eastAsia" w:ascii="宋体" w:eastAsia="宋体"/>
          <w:b/>
          <w:sz w:val="72"/>
          <w:szCs w:val="72"/>
        </w:rPr>
        <w:t>年度</w:t>
      </w:r>
      <w:bookmarkEnd w:id="0"/>
      <w:bookmarkEnd w:id="1"/>
      <w:bookmarkEnd w:id="2"/>
      <w:bookmarkEnd w:id="3"/>
      <w:bookmarkEnd w:id="4"/>
    </w:p>
    <w:bookmarkEnd w:id="5"/>
    <w:p>
      <w:pPr>
        <w:jc w:val="center"/>
        <w:rPr>
          <w:rFonts w:asciiTheme="minorEastAsia" w:hAnsiTheme="minorEastAsia" w:eastAsiaTheme="minorEastAsia"/>
          <w:b/>
          <w:sz w:val="72"/>
          <w:szCs w:val="72"/>
        </w:rPr>
      </w:pPr>
      <w:bookmarkStart w:id="6" w:name="_Toc15377426"/>
      <w:bookmarkStart w:id="7" w:name="_Toc15377194"/>
      <w:bookmarkStart w:id="8" w:name="_Toc15306268"/>
      <w:bookmarkStart w:id="9" w:name="_Toc15378442"/>
      <w:bookmarkStart w:id="10" w:name="_Toc15396476"/>
      <w:bookmarkStart w:id="11" w:name="_Toc15396598"/>
      <w:r>
        <w:rPr>
          <w:rFonts w:asciiTheme="minorEastAsia" w:hAnsiTheme="minorEastAsia" w:eastAsiaTheme="minorEastAsia"/>
          <w:b/>
          <w:sz w:val="72"/>
          <w:szCs w:val="72"/>
        </w:rPr>
        <w:t>阿坝州茂县委员会办公室</w:t>
      </w:r>
      <w:r>
        <w:rPr>
          <w:rFonts w:hint="eastAsia" w:asciiTheme="minorEastAsia" w:hAnsiTheme="minorEastAsia" w:eastAsiaTheme="minorEastAsia"/>
          <w:b/>
          <w:sz w:val="72"/>
          <w:szCs w:val="72"/>
        </w:rPr>
        <w:t>部门决算</w:t>
      </w:r>
      <w:bookmarkEnd w:id="6"/>
      <w:bookmarkEnd w:id="7"/>
      <w:bookmarkEnd w:id="8"/>
      <w:bookmarkEnd w:id="9"/>
      <w:bookmarkEnd w:id="10"/>
      <w:bookmarkEnd w:id="11"/>
      <w:r>
        <w:rPr>
          <w:rFonts w:hint="eastAsia" w:asciiTheme="minorEastAsia" w:hAnsiTheme="minorEastAsia" w:eastAsiaTheme="minorEastAsia"/>
          <w:b/>
          <w:sz w:val="72"/>
          <w:szCs w:val="72"/>
        </w:rPr>
        <w:t>编制说明</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tabs>
          <w:tab w:val="left" w:pos="3600"/>
        </w:tabs>
      </w:pPr>
      <w:r>
        <w:tab/>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autoSpaceDE w:val="0"/>
        <w:autoSpaceDN w:val="0"/>
        <w:adjustRightInd w:val="0"/>
        <w:ind w:left="420" w:leftChars="200"/>
        <w:jc w:val="left"/>
        <w:rPr>
          <w:rFonts w:ascii="宋体"/>
          <w:sz w:val="32"/>
          <w:szCs w:val="32"/>
        </w:rPr>
      </w:pPr>
      <w:r>
        <w:rPr>
          <w:rFonts w:hint="eastAsia" w:ascii="宋体" w:cs="仿宋_GB2312"/>
          <w:sz w:val="32"/>
          <w:szCs w:val="32"/>
        </w:rPr>
        <w:t>保密审查情况：已审查，内容审定</w:t>
      </w:r>
    </w:p>
    <w:p>
      <w:pPr>
        <w:autoSpaceDE w:val="0"/>
        <w:autoSpaceDN w:val="0"/>
        <w:adjustRightInd w:val="0"/>
        <w:ind w:left="420" w:leftChars="200"/>
        <w:jc w:val="left"/>
        <w:rPr>
          <w:rFonts w:ascii="宋体"/>
          <w:sz w:val="32"/>
          <w:szCs w:val="32"/>
        </w:rPr>
      </w:pPr>
      <w:r>
        <w:rPr>
          <w:rFonts w:hint="eastAsia" w:ascii="宋体" w:cs="仿宋_GB2312"/>
          <w:sz w:val="32"/>
          <w:szCs w:val="32"/>
        </w:rPr>
        <w:t>部门主要负责人审签情况：已审签，同意对外公开</w:t>
      </w: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hint="eastAsia" w:ascii="黑体" w:eastAsia="黑体"/>
          <w:color w:val="000000"/>
          <w:sz w:val="48"/>
          <w:szCs w:val="48"/>
        </w:rPr>
        <w:t>目录</w:t>
      </w:r>
      <w:bookmarkStart w:id="12" w:name="_Toc15377196"/>
    </w:p>
    <w:p>
      <w:pPr>
        <w:pStyle w:val="12"/>
        <w:tabs>
          <w:tab w:val="right" w:leader="dot" w:pos="8845"/>
          <w:tab w:val="clear" w:pos="8296"/>
        </w:tabs>
      </w:pPr>
      <w:r>
        <w:rPr>
          <w:caps w:val="0"/>
          <w:smallCaps/>
          <w:sz w:val="20"/>
          <w:szCs w:val="20"/>
        </w:rPr>
        <w:fldChar w:fldCharType="begin"/>
      </w:r>
      <w:r>
        <w:rPr>
          <w:caps w:val="0"/>
          <w:smallCaps/>
          <w:sz w:val="20"/>
          <w:szCs w:val="20"/>
        </w:rPr>
        <w:instrText xml:space="preserve"> TOC \o "1-2" \h \z \u </w:instrText>
      </w:r>
      <w:r>
        <w:rPr>
          <w:caps w:val="0"/>
          <w:smallCaps/>
          <w:sz w:val="20"/>
          <w:szCs w:val="20"/>
        </w:rPr>
        <w:fldChar w:fldCharType="separate"/>
      </w:r>
      <w:r>
        <w:rPr>
          <w:caps w:val="0"/>
          <w:smallCaps/>
          <w:szCs w:val="20"/>
        </w:rPr>
        <w:fldChar w:fldCharType="begin"/>
      </w:r>
      <w:r>
        <w:rPr>
          <w:caps w:val="0"/>
          <w:smallCaps/>
          <w:szCs w:val="20"/>
        </w:rPr>
        <w:instrText xml:space="preserve"> HYPERLINK \l _Toc23038 </w:instrText>
      </w:r>
      <w:r>
        <w:rPr>
          <w:caps w:val="0"/>
          <w:smallCaps/>
          <w:szCs w:val="20"/>
        </w:rPr>
        <w:fldChar w:fldCharType="separate"/>
      </w:r>
      <w:r>
        <w:rPr>
          <w:rFonts w:hint="eastAsia" w:ascii="黑体" w:eastAsia="黑体" w:cs="黑体"/>
        </w:rPr>
        <w:t xml:space="preserve">第一部分 </w:t>
      </w:r>
      <w:r>
        <w:rPr>
          <w:rFonts w:hint="eastAsia" w:ascii="黑体" w:eastAsia="黑体" w:cs="黑体"/>
          <w:bCs w:val="0"/>
        </w:rPr>
        <w:t>部门概况</w:t>
      </w:r>
      <w:r>
        <w:tab/>
      </w:r>
      <w:r>
        <w:fldChar w:fldCharType="begin"/>
      </w:r>
      <w:r>
        <w:instrText xml:space="preserve"> PAGEREF _Toc23038 \h </w:instrText>
      </w:r>
      <w:r>
        <w:fldChar w:fldCharType="separate"/>
      </w:r>
      <w:r>
        <w:t>3</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_Toc10216 </w:instrText>
      </w:r>
      <w:r>
        <w:rPr>
          <w:caps w:val="0"/>
          <w:smallCaps/>
          <w:szCs w:val="20"/>
        </w:rPr>
        <w:fldChar w:fldCharType="separate"/>
      </w:r>
      <w:r>
        <w:rPr>
          <w:rFonts w:hint="eastAsia" w:ascii="黑体" w:eastAsia="黑体"/>
        </w:rPr>
        <w:t>一、基</w:t>
      </w:r>
      <w:r>
        <w:rPr>
          <w:rFonts w:hint="eastAsia" w:ascii="黑体" w:eastAsia="黑体"/>
          <w:bCs w:val="0"/>
        </w:rPr>
        <w:t>本职能及主要工作</w:t>
      </w:r>
      <w:r>
        <w:tab/>
      </w:r>
      <w:r>
        <w:fldChar w:fldCharType="begin"/>
      </w:r>
      <w:r>
        <w:instrText xml:space="preserve"> PAGEREF _Toc10216 \h </w:instrText>
      </w:r>
      <w:r>
        <w:fldChar w:fldCharType="separate"/>
      </w:r>
      <w:r>
        <w:t>3</w:t>
      </w:r>
      <w:r>
        <w:fldChar w:fldCharType="end"/>
      </w:r>
      <w:r>
        <w:rPr>
          <w:caps w:val="0"/>
          <w:smallCaps/>
          <w:szCs w:val="20"/>
        </w:rPr>
        <w:fldChar w:fldCharType="end"/>
      </w:r>
    </w:p>
    <w:p>
      <w:pPr>
        <w:pStyle w:val="14"/>
        <w:tabs>
          <w:tab w:val="right" w:pos="4000"/>
          <w:tab w:val="right" w:leader="dot" w:pos="8845"/>
          <w:tab w:val="clear" w:pos="8296"/>
        </w:tabs>
      </w:pPr>
      <w:r>
        <w:rPr>
          <w:caps w:val="0"/>
          <w:smallCaps/>
          <w:szCs w:val="20"/>
        </w:rPr>
        <w:fldChar w:fldCharType="begin"/>
      </w:r>
      <w:r>
        <w:rPr>
          <w:caps w:val="0"/>
          <w:smallCaps/>
          <w:szCs w:val="20"/>
        </w:rPr>
        <w:instrText xml:space="preserve"> HYPERLINK \l _Toc2743 </w:instrText>
      </w:r>
      <w:r>
        <w:rPr>
          <w:caps w:val="0"/>
          <w:smallCaps/>
          <w:szCs w:val="20"/>
        </w:rPr>
        <w:fldChar w:fldCharType="separate"/>
      </w:r>
      <w:r>
        <w:rPr>
          <w:rFonts w:hint="eastAsia" w:ascii="黑体" w:eastAsia="黑体" w:cs="黑体"/>
          <w:bCs/>
        </w:rPr>
        <w:t>二、机构设置</w:t>
      </w:r>
      <w:r>
        <w:rPr>
          <w:rFonts w:hint="eastAsia" w:ascii="仿宋" w:eastAsia="仿宋"/>
          <w:szCs w:val="32"/>
          <w:lang w:val="en-US" w:eastAsia="zh-CN"/>
        </w:rPr>
        <w:t>..................................................................</w:t>
      </w:r>
      <w:r>
        <w:rPr>
          <w:rFonts w:hint="eastAsia" w:ascii="仿宋_GB2312" w:eastAsia="仿宋_GB2312" w:cs="仿宋_GB2312"/>
          <w:szCs w:val="32"/>
          <w:lang w:val="en-US" w:eastAsia="zh-CN"/>
        </w:rPr>
        <w:t xml:space="preserve"> </w:t>
      </w:r>
      <w:r>
        <w:fldChar w:fldCharType="begin"/>
      </w:r>
      <w:r>
        <w:instrText xml:space="preserve"> PAGEREF _Toc2743 \h </w:instrText>
      </w:r>
      <w:r>
        <w:fldChar w:fldCharType="separate"/>
      </w:r>
      <w:r>
        <w:t>3</w:t>
      </w:r>
      <w:r>
        <w:fldChar w:fldCharType="end"/>
      </w:r>
      <w:r>
        <w:rPr>
          <w:caps w:val="0"/>
          <w:smallCaps/>
          <w:szCs w:val="20"/>
        </w:rPr>
        <w:fldChar w:fldCharType="end"/>
      </w:r>
    </w:p>
    <w:p>
      <w:pPr>
        <w:pStyle w:val="12"/>
        <w:tabs>
          <w:tab w:val="right" w:leader="dot" w:pos="8845"/>
          <w:tab w:val="clear" w:pos="8296"/>
        </w:tabs>
      </w:pPr>
      <w:r>
        <w:rPr>
          <w:caps w:val="0"/>
          <w:smallCaps/>
          <w:szCs w:val="20"/>
        </w:rPr>
        <w:fldChar w:fldCharType="begin"/>
      </w:r>
      <w:r>
        <w:rPr>
          <w:caps w:val="0"/>
          <w:smallCaps/>
          <w:szCs w:val="20"/>
        </w:rPr>
        <w:instrText xml:space="preserve"> HYPERLINK \l _Toc4756 </w:instrText>
      </w:r>
      <w:r>
        <w:rPr>
          <w:caps w:val="0"/>
          <w:smallCaps/>
          <w:szCs w:val="20"/>
        </w:rPr>
        <w:fldChar w:fldCharType="separate"/>
      </w:r>
      <w:r>
        <w:rPr>
          <w:rFonts w:hint="eastAsia" w:ascii="黑体" w:eastAsia="黑体" w:cs="黑体"/>
          <w:bCs w:val="0"/>
        </w:rPr>
        <w:t>第二部分</w:t>
      </w:r>
      <w:r>
        <w:rPr>
          <w:rFonts w:ascii="黑体" w:eastAsia="黑体" w:cs="黑体"/>
          <w:bCs w:val="0"/>
        </w:rPr>
        <w:t xml:space="preserve"> </w:t>
      </w:r>
      <w:r>
        <w:rPr>
          <w:rFonts w:hint="eastAsia" w:ascii="黑体" w:eastAsia="黑体" w:cs="黑体"/>
          <w:bCs w:val="0"/>
        </w:rPr>
        <w:t>202</w:t>
      </w:r>
      <w:r>
        <w:rPr>
          <w:rFonts w:hint="eastAsia" w:ascii="黑体" w:eastAsia="黑体" w:cs="黑体"/>
          <w:bCs w:val="0"/>
          <w:lang w:val="en-US" w:eastAsia="zh-CN"/>
        </w:rPr>
        <w:t>2</w:t>
      </w:r>
      <w:r>
        <w:rPr>
          <w:rFonts w:hint="eastAsia" w:ascii="黑体" w:eastAsia="黑体" w:cs="黑体"/>
          <w:bCs w:val="0"/>
        </w:rPr>
        <w:t>年度部门决算情况说明</w:t>
      </w:r>
      <w:r>
        <w:tab/>
      </w:r>
      <w:r>
        <w:fldChar w:fldCharType="begin"/>
      </w:r>
      <w:r>
        <w:instrText xml:space="preserve"> PAGEREF _Toc4756 \h </w:instrText>
      </w:r>
      <w:r>
        <w:fldChar w:fldCharType="separate"/>
      </w:r>
      <w:r>
        <w:t>5</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_Toc26705 </w:instrText>
      </w:r>
      <w:r>
        <w:rPr>
          <w:caps w:val="0"/>
          <w:smallCaps/>
          <w:szCs w:val="20"/>
        </w:rPr>
        <w:fldChar w:fldCharType="separate"/>
      </w:r>
      <w:r>
        <w:rPr>
          <w:rFonts w:hint="eastAsia" w:ascii="黑体" w:eastAsia="黑体" w:cs="Times New Roman"/>
          <w:bCs/>
        </w:rPr>
        <w:t>一、收入支出决算总体情况说明</w:t>
      </w:r>
      <w:r>
        <w:tab/>
      </w:r>
      <w:r>
        <w:fldChar w:fldCharType="begin"/>
      </w:r>
      <w:r>
        <w:instrText xml:space="preserve"> PAGEREF _Toc26705 \h </w:instrText>
      </w:r>
      <w:r>
        <w:fldChar w:fldCharType="separate"/>
      </w:r>
      <w:r>
        <w:t>5</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_Toc25746 </w:instrText>
      </w:r>
      <w:r>
        <w:rPr>
          <w:caps w:val="0"/>
          <w:smallCaps/>
          <w:szCs w:val="20"/>
        </w:rPr>
        <w:fldChar w:fldCharType="separate"/>
      </w:r>
      <w:r>
        <w:rPr>
          <w:rFonts w:hint="eastAsia" w:ascii="黑体" w:eastAsia="黑体" w:cs="Times New Roman"/>
          <w:bCs/>
        </w:rPr>
        <w:t>二、收入决算情况说明</w:t>
      </w:r>
      <w:r>
        <w:tab/>
      </w:r>
      <w:r>
        <w:fldChar w:fldCharType="begin"/>
      </w:r>
      <w:r>
        <w:instrText xml:space="preserve"> PAGEREF _Toc25746 \h </w:instrText>
      </w:r>
      <w:r>
        <w:fldChar w:fldCharType="separate"/>
      </w:r>
      <w:r>
        <w:t>6</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_Toc26388 </w:instrText>
      </w:r>
      <w:r>
        <w:rPr>
          <w:caps w:val="0"/>
          <w:smallCaps/>
          <w:szCs w:val="20"/>
        </w:rPr>
        <w:fldChar w:fldCharType="separate"/>
      </w:r>
      <w:r>
        <w:rPr>
          <w:rFonts w:hint="eastAsia" w:ascii="黑体" w:eastAsia="黑体" w:cs="Times New Roman"/>
          <w:bCs/>
        </w:rPr>
        <w:t>三、支出决算情况说明</w:t>
      </w:r>
      <w:r>
        <w:tab/>
      </w:r>
      <w:r>
        <w:fldChar w:fldCharType="begin"/>
      </w:r>
      <w:r>
        <w:instrText xml:space="preserve"> PAGEREF _Toc26388 \h </w:instrText>
      </w:r>
      <w:r>
        <w:fldChar w:fldCharType="separate"/>
      </w:r>
      <w:r>
        <w:t>6</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_Toc27304 </w:instrText>
      </w:r>
      <w:r>
        <w:rPr>
          <w:caps w:val="0"/>
          <w:smallCaps/>
          <w:szCs w:val="20"/>
        </w:rPr>
        <w:fldChar w:fldCharType="separate"/>
      </w:r>
      <w:r>
        <w:rPr>
          <w:rFonts w:hint="eastAsia" w:ascii="黑体" w:eastAsia="黑体" w:cs="Times New Roman"/>
          <w:bCs w:val="0"/>
        </w:rPr>
        <w:t>四、财政拨款收入支出决算总体情况说明</w:t>
      </w:r>
      <w:r>
        <w:tab/>
      </w:r>
      <w:r>
        <w:fldChar w:fldCharType="begin"/>
      </w:r>
      <w:r>
        <w:instrText xml:space="preserve"> PAGEREF _Toc27304 \h </w:instrText>
      </w:r>
      <w:r>
        <w:fldChar w:fldCharType="separate"/>
      </w:r>
      <w:r>
        <w:t>7</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_Toc11217 </w:instrText>
      </w:r>
      <w:r>
        <w:rPr>
          <w:caps w:val="0"/>
          <w:smallCaps/>
          <w:szCs w:val="20"/>
        </w:rPr>
        <w:fldChar w:fldCharType="separate"/>
      </w:r>
      <w:r>
        <w:rPr>
          <w:rFonts w:hint="eastAsia" w:ascii="黑体" w:eastAsia="黑体" w:cs="Times New Roman"/>
          <w:bCs/>
        </w:rPr>
        <w:t>五、一般公共预算财政拨款支出决算情况说明</w:t>
      </w:r>
      <w:r>
        <w:tab/>
      </w:r>
      <w:r>
        <w:fldChar w:fldCharType="begin"/>
      </w:r>
      <w:r>
        <w:instrText xml:space="preserve"> PAGEREF _Toc11217 \h </w:instrText>
      </w:r>
      <w:r>
        <w:fldChar w:fldCharType="separate"/>
      </w:r>
      <w:r>
        <w:t>8</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_Toc32028 </w:instrText>
      </w:r>
      <w:r>
        <w:rPr>
          <w:caps w:val="0"/>
          <w:smallCaps/>
          <w:szCs w:val="20"/>
        </w:rPr>
        <w:fldChar w:fldCharType="separate"/>
      </w:r>
      <w:r>
        <w:rPr>
          <w:rFonts w:hint="eastAsia" w:ascii="黑体" w:eastAsia="黑体" w:cs="Times New Roman"/>
          <w:bCs w:val="0"/>
        </w:rPr>
        <w:t>六、一般公共预算财政拨款基本支出决算情况说明</w:t>
      </w:r>
      <w:r>
        <w:tab/>
      </w:r>
      <w:r>
        <w:fldChar w:fldCharType="begin"/>
      </w:r>
      <w:r>
        <w:instrText xml:space="preserve"> PAGEREF _Toc32028 \h </w:instrText>
      </w:r>
      <w:r>
        <w:fldChar w:fldCharType="separate"/>
      </w:r>
      <w:r>
        <w:t>10</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_Toc8600 </w:instrText>
      </w:r>
      <w:r>
        <w:rPr>
          <w:caps w:val="0"/>
          <w:smallCaps/>
          <w:szCs w:val="20"/>
        </w:rPr>
        <w:fldChar w:fldCharType="separate"/>
      </w:r>
      <w:r>
        <w:rPr>
          <w:rFonts w:hint="eastAsia" w:ascii="黑体" w:eastAsia="黑体" w:cs="Times New Roman"/>
          <w:bCs w:val="0"/>
        </w:rPr>
        <w:t>七、“三公”经费财政拨款支出决算情况说明</w:t>
      </w:r>
      <w:r>
        <w:tab/>
      </w:r>
      <w:r>
        <w:fldChar w:fldCharType="begin"/>
      </w:r>
      <w:r>
        <w:instrText xml:space="preserve"> PAGEREF _Toc8600 \h </w:instrText>
      </w:r>
      <w:r>
        <w:fldChar w:fldCharType="separate"/>
      </w:r>
      <w:r>
        <w:t>11</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_Toc9979 </w:instrText>
      </w:r>
      <w:r>
        <w:rPr>
          <w:caps w:val="0"/>
          <w:smallCaps/>
          <w:szCs w:val="20"/>
        </w:rPr>
        <w:fldChar w:fldCharType="separate"/>
      </w:r>
      <w:r>
        <w:rPr>
          <w:rFonts w:hint="eastAsia" w:ascii="黑体" w:eastAsia="黑体" w:cs="Times New Roman"/>
          <w:bCs w:val="0"/>
        </w:rPr>
        <w:t>八、政府性基金预算支出决算情况说明</w:t>
      </w:r>
      <w:r>
        <w:tab/>
      </w:r>
      <w:r>
        <w:fldChar w:fldCharType="begin"/>
      </w:r>
      <w:r>
        <w:instrText xml:space="preserve"> PAGEREF _Toc9979 \h </w:instrText>
      </w:r>
      <w:r>
        <w:fldChar w:fldCharType="separate"/>
      </w:r>
      <w:r>
        <w:t>12</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_Toc19072 </w:instrText>
      </w:r>
      <w:r>
        <w:rPr>
          <w:caps w:val="0"/>
          <w:smallCaps/>
          <w:szCs w:val="20"/>
        </w:rPr>
        <w:fldChar w:fldCharType="separate"/>
      </w:r>
      <w:r>
        <w:rPr>
          <w:rFonts w:hint="eastAsia" w:ascii="黑体" w:eastAsia="黑体" w:cs="Times New Roman"/>
          <w:bCs w:val="0"/>
        </w:rPr>
        <w:t>九、国有资本经营预算支出决算情况说明</w:t>
      </w:r>
      <w:r>
        <w:tab/>
      </w:r>
      <w:r>
        <w:fldChar w:fldCharType="begin"/>
      </w:r>
      <w:r>
        <w:instrText xml:space="preserve"> PAGEREF _Toc19072 \h </w:instrText>
      </w:r>
      <w:r>
        <w:fldChar w:fldCharType="separate"/>
      </w:r>
      <w:r>
        <w:t>13</w:t>
      </w:r>
      <w:r>
        <w:fldChar w:fldCharType="end"/>
      </w:r>
      <w:r>
        <w:rPr>
          <w:caps w:val="0"/>
          <w:smallCaps/>
          <w:szCs w:val="20"/>
        </w:rPr>
        <w:fldChar w:fldCharType="end"/>
      </w:r>
    </w:p>
    <w:p>
      <w:pPr>
        <w:pStyle w:val="14"/>
        <w:tabs>
          <w:tab w:val="right" w:leader="dot" w:pos="8845"/>
          <w:tab w:val="clear" w:pos="8296"/>
        </w:tabs>
      </w:pPr>
      <w:r>
        <w:rPr>
          <w:caps w:val="0"/>
          <w:smallCaps/>
          <w:szCs w:val="20"/>
        </w:rPr>
        <w:fldChar w:fldCharType="begin"/>
      </w:r>
      <w:r>
        <w:rPr>
          <w:caps w:val="0"/>
          <w:smallCaps/>
          <w:szCs w:val="20"/>
        </w:rPr>
        <w:instrText xml:space="preserve"> HYPERLINK \l _Toc24656 </w:instrText>
      </w:r>
      <w:r>
        <w:rPr>
          <w:caps w:val="0"/>
          <w:smallCaps/>
          <w:szCs w:val="20"/>
        </w:rPr>
        <w:fldChar w:fldCharType="separate"/>
      </w:r>
      <w:r>
        <w:rPr>
          <w:rFonts w:hint="eastAsia" w:ascii="黑体" w:eastAsia="黑体" w:cs="Times New Roman"/>
          <w:bCs w:val="0"/>
        </w:rPr>
        <w:t>十、其他重要事项的情况说明</w:t>
      </w:r>
      <w:r>
        <w:tab/>
      </w:r>
      <w:r>
        <w:fldChar w:fldCharType="begin"/>
      </w:r>
      <w:r>
        <w:instrText xml:space="preserve"> PAGEREF _Toc24656 \h </w:instrText>
      </w:r>
      <w:r>
        <w:fldChar w:fldCharType="separate"/>
      </w:r>
      <w:r>
        <w:t>13</w:t>
      </w:r>
      <w:r>
        <w:fldChar w:fldCharType="end"/>
      </w:r>
      <w:r>
        <w:rPr>
          <w:caps w:val="0"/>
          <w:smallCaps/>
          <w:szCs w:val="20"/>
        </w:rPr>
        <w:fldChar w:fldCharType="end"/>
      </w:r>
    </w:p>
    <w:p>
      <w:pPr>
        <w:pStyle w:val="12"/>
        <w:tabs>
          <w:tab w:val="right" w:leader="dot" w:pos="8845"/>
          <w:tab w:val="clear" w:pos="8296"/>
        </w:tabs>
      </w:pPr>
      <w:r>
        <w:rPr>
          <w:caps w:val="0"/>
          <w:smallCaps/>
          <w:szCs w:val="20"/>
        </w:rPr>
        <w:fldChar w:fldCharType="begin"/>
      </w:r>
      <w:r>
        <w:rPr>
          <w:caps w:val="0"/>
          <w:smallCaps/>
          <w:szCs w:val="20"/>
        </w:rPr>
        <w:instrText xml:space="preserve"> HYPERLINK \l _Toc2930 </w:instrText>
      </w:r>
      <w:r>
        <w:rPr>
          <w:caps w:val="0"/>
          <w:smallCaps/>
          <w:szCs w:val="20"/>
        </w:rPr>
        <w:fldChar w:fldCharType="separate"/>
      </w:r>
      <w:r>
        <w:rPr>
          <w:rFonts w:hint="eastAsia" w:ascii="黑体" w:eastAsia="黑体" w:cs="黑体"/>
        </w:rPr>
        <w:t>第三部分 名词解释</w:t>
      </w:r>
      <w:r>
        <w:tab/>
      </w:r>
      <w:r>
        <w:fldChar w:fldCharType="begin"/>
      </w:r>
      <w:r>
        <w:instrText xml:space="preserve"> PAGEREF _Toc2930 \h </w:instrText>
      </w:r>
      <w:r>
        <w:fldChar w:fldCharType="separate"/>
      </w:r>
      <w:r>
        <w:t>14</w:t>
      </w:r>
      <w:r>
        <w:fldChar w:fldCharType="end"/>
      </w:r>
      <w:r>
        <w:rPr>
          <w:caps w:val="0"/>
          <w:smallCaps/>
          <w:szCs w:val="20"/>
        </w:rPr>
        <w:fldChar w:fldCharType="end"/>
      </w:r>
    </w:p>
    <w:p>
      <w:pPr>
        <w:pStyle w:val="12"/>
        <w:tabs>
          <w:tab w:val="right" w:leader="dot" w:pos="8845"/>
          <w:tab w:val="clear" w:pos="8296"/>
        </w:tabs>
      </w:pPr>
      <w:r>
        <w:rPr>
          <w:caps w:val="0"/>
          <w:smallCaps/>
          <w:szCs w:val="20"/>
        </w:rPr>
        <w:fldChar w:fldCharType="begin"/>
      </w:r>
      <w:r>
        <w:rPr>
          <w:caps w:val="0"/>
          <w:smallCaps/>
          <w:szCs w:val="20"/>
        </w:rPr>
        <w:instrText xml:space="preserve"> HYPERLINK \l _Toc15177 </w:instrText>
      </w:r>
      <w:r>
        <w:rPr>
          <w:caps w:val="0"/>
          <w:smallCaps/>
          <w:szCs w:val="20"/>
        </w:rPr>
        <w:fldChar w:fldCharType="separate"/>
      </w:r>
      <w:r>
        <w:rPr>
          <w:rFonts w:hint="eastAsia" w:ascii="黑体" w:eastAsia="黑体" w:cs="黑体"/>
        </w:rPr>
        <w:t>第四部分 附件</w:t>
      </w:r>
      <w:r>
        <w:tab/>
      </w:r>
      <w:r>
        <w:fldChar w:fldCharType="begin"/>
      </w:r>
      <w:r>
        <w:instrText xml:space="preserve"> PAGEREF _Toc15177 \h </w:instrText>
      </w:r>
      <w:r>
        <w:fldChar w:fldCharType="separate"/>
      </w:r>
      <w:r>
        <w:t>18</w:t>
      </w:r>
      <w:r>
        <w:fldChar w:fldCharType="end"/>
      </w:r>
      <w:r>
        <w:rPr>
          <w:caps w:val="0"/>
          <w:smallCaps/>
          <w:szCs w:val="20"/>
        </w:rPr>
        <w:fldChar w:fldCharType="end"/>
      </w:r>
    </w:p>
    <w:p>
      <w:pPr>
        <w:pStyle w:val="12"/>
        <w:tabs>
          <w:tab w:val="right" w:leader="dot" w:pos="8845"/>
          <w:tab w:val="clear" w:pos="8296"/>
        </w:tabs>
        <w:rPr>
          <w:rFonts w:hint="eastAsia" w:eastAsia="仿宋"/>
          <w:lang w:val="en-US" w:eastAsia="zh-CN"/>
        </w:rPr>
      </w:pPr>
      <w:r>
        <w:rPr>
          <w:caps w:val="0"/>
          <w:smallCaps/>
          <w:szCs w:val="20"/>
        </w:rPr>
        <w:fldChar w:fldCharType="begin"/>
      </w:r>
      <w:r>
        <w:rPr>
          <w:caps w:val="0"/>
          <w:smallCaps/>
          <w:szCs w:val="20"/>
        </w:rPr>
        <w:instrText xml:space="preserve"> HYPERLINK \l _Toc29502 </w:instrText>
      </w:r>
      <w:r>
        <w:rPr>
          <w:caps w:val="0"/>
          <w:smallCaps/>
          <w:szCs w:val="20"/>
        </w:rPr>
        <w:fldChar w:fldCharType="separate"/>
      </w:r>
      <w:r>
        <w:rPr>
          <w:rFonts w:hint="eastAsia" w:ascii="黑体" w:eastAsia="黑体" w:cs="黑体"/>
        </w:rPr>
        <w:t>第五部分 附表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_Toc9059 </w:instrText>
      </w:r>
      <w:r>
        <w:rPr>
          <w:caps w:val="0"/>
          <w:smallCaps/>
          <w:szCs w:val="20"/>
        </w:rPr>
        <w:fldChar w:fldCharType="separate"/>
      </w:r>
      <w:r>
        <w:rPr>
          <w:rFonts w:hint="eastAsia" w:ascii="黑体" w:eastAsia="黑体" w:cs="Times New Roman"/>
          <w:bCs w:val="0"/>
        </w:rPr>
        <w:t>一、收入支出决算总表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_Toc16276 </w:instrText>
      </w:r>
      <w:r>
        <w:rPr>
          <w:caps w:val="0"/>
          <w:smallCaps/>
          <w:szCs w:val="20"/>
        </w:rPr>
        <w:fldChar w:fldCharType="separate"/>
      </w:r>
      <w:r>
        <w:rPr>
          <w:rFonts w:hint="eastAsia" w:ascii="黑体" w:eastAsia="黑体" w:cs="Times New Roman"/>
          <w:bCs w:val="0"/>
        </w:rPr>
        <w:t>二、收入决算表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_Toc1809 </w:instrText>
      </w:r>
      <w:r>
        <w:rPr>
          <w:caps w:val="0"/>
          <w:smallCaps/>
          <w:szCs w:val="20"/>
        </w:rPr>
        <w:fldChar w:fldCharType="separate"/>
      </w:r>
      <w:r>
        <w:rPr>
          <w:rFonts w:hint="eastAsia" w:ascii="黑体" w:eastAsia="黑体" w:cs="Times New Roman"/>
          <w:bCs w:val="0"/>
        </w:rPr>
        <w:t>三、支出决算表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_Toc13976 </w:instrText>
      </w:r>
      <w:r>
        <w:rPr>
          <w:caps w:val="0"/>
          <w:smallCaps/>
          <w:szCs w:val="20"/>
        </w:rPr>
        <w:fldChar w:fldCharType="separate"/>
      </w:r>
      <w:r>
        <w:rPr>
          <w:rFonts w:hint="eastAsia" w:ascii="黑体" w:eastAsia="黑体" w:cs="Times New Roman"/>
          <w:bCs w:val="0"/>
        </w:rPr>
        <w:t>四、财政拨款收入支出决算总表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_Toc18298 </w:instrText>
      </w:r>
      <w:r>
        <w:rPr>
          <w:caps w:val="0"/>
          <w:smallCaps/>
          <w:szCs w:val="20"/>
        </w:rPr>
        <w:fldChar w:fldCharType="separate"/>
      </w:r>
      <w:r>
        <w:rPr>
          <w:rFonts w:hint="eastAsia" w:ascii="黑体" w:eastAsia="黑体" w:cs="Times New Roman"/>
          <w:bCs w:val="0"/>
        </w:rPr>
        <w:t>五、财政拨款支出决算明细表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_Toc25120 </w:instrText>
      </w:r>
      <w:r>
        <w:rPr>
          <w:caps w:val="0"/>
          <w:smallCaps/>
          <w:szCs w:val="20"/>
        </w:rPr>
        <w:fldChar w:fldCharType="separate"/>
      </w:r>
      <w:r>
        <w:rPr>
          <w:rFonts w:hint="eastAsia" w:ascii="黑体" w:eastAsia="黑体" w:cs="Times New Roman"/>
          <w:bCs w:val="0"/>
        </w:rPr>
        <w:t>六、一般公共预算财政拨款支出决算表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_Toc26430 </w:instrText>
      </w:r>
      <w:r>
        <w:rPr>
          <w:caps w:val="0"/>
          <w:smallCaps/>
          <w:szCs w:val="20"/>
        </w:rPr>
        <w:fldChar w:fldCharType="separate"/>
      </w:r>
      <w:r>
        <w:rPr>
          <w:rFonts w:hint="eastAsia" w:ascii="黑体" w:eastAsia="黑体" w:cs="Times New Roman"/>
          <w:bCs w:val="0"/>
        </w:rPr>
        <w:t>七、一般公共预算财政拨款支出决算明细表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_Toc25058 </w:instrText>
      </w:r>
      <w:r>
        <w:rPr>
          <w:caps w:val="0"/>
          <w:smallCaps/>
          <w:szCs w:val="20"/>
        </w:rPr>
        <w:fldChar w:fldCharType="separate"/>
      </w:r>
      <w:r>
        <w:rPr>
          <w:rFonts w:hint="eastAsia" w:ascii="黑体" w:eastAsia="黑体" w:cs="Times New Roman"/>
          <w:bCs w:val="0"/>
        </w:rPr>
        <w:t>八、一般公共预算财政拨款基本支出决算表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_Toc30828 </w:instrText>
      </w:r>
      <w:r>
        <w:rPr>
          <w:caps w:val="0"/>
          <w:smallCaps/>
          <w:szCs w:val="20"/>
        </w:rPr>
        <w:fldChar w:fldCharType="separate"/>
      </w:r>
      <w:r>
        <w:rPr>
          <w:rFonts w:hint="eastAsia" w:ascii="黑体" w:eastAsia="黑体" w:cs="Times New Roman"/>
          <w:bCs w:val="0"/>
        </w:rPr>
        <w:t>九、一般公共预算财政拨款项目支出决算表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_Toc29725 </w:instrText>
      </w:r>
      <w:r>
        <w:rPr>
          <w:caps w:val="0"/>
          <w:smallCaps/>
          <w:szCs w:val="20"/>
        </w:rPr>
        <w:fldChar w:fldCharType="separate"/>
      </w:r>
      <w:r>
        <w:rPr>
          <w:rFonts w:hint="eastAsia" w:ascii="黑体" w:eastAsia="黑体" w:cs="Times New Roman"/>
          <w:bCs w:val="0"/>
        </w:rPr>
        <w:t>十、一般公共预算财政拨款“三公”经费支出决算表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_Toc2823 </w:instrText>
      </w:r>
      <w:r>
        <w:rPr>
          <w:caps w:val="0"/>
          <w:smallCaps/>
          <w:szCs w:val="20"/>
        </w:rPr>
        <w:fldChar w:fldCharType="separate"/>
      </w:r>
      <w:r>
        <w:rPr>
          <w:rFonts w:hint="eastAsia" w:ascii="黑体" w:eastAsia="黑体" w:cs="Times New Roman"/>
          <w:bCs w:val="0"/>
        </w:rPr>
        <w:t>十一、政府性基金预算财政拨款收入支出决算表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_Toc4229 </w:instrText>
      </w:r>
      <w:r>
        <w:rPr>
          <w:caps w:val="0"/>
          <w:smallCaps/>
          <w:szCs w:val="20"/>
        </w:rPr>
        <w:fldChar w:fldCharType="separate"/>
      </w:r>
      <w:r>
        <w:rPr>
          <w:rFonts w:hint="eastAsia" w:ascii="黑体" w:eastAsia="黑体" w:cs="Times New Roman"/>
          <w:bCs w:val="0"/>
        </w:rPr>
        <w:t>十二、政府性基金预算财政拨款“三公”经费支出决算表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_Toc10442 </w:instrText>
      </w:r>
      <w:r>
        <w:rPr>
          <w:caps w:val="0"/>
          <w:smallCaps/>
          <w:szCs w:val="20"/>
        </w:rPr>
        <w:fldChar w:fldCharType="separate"/>
      </w:r>
      <w:r>
        <w:rPr>
          <w:rFonts w:hint="eastAsia" w:ascii="黑体" w:eastAsia="黑体" w:cs="Times New Roman"/>
          <w:bCs w:val="0"/>
        </w:rPr>
        <w:t>十三、国有资本经营预算财政拨款收入支出决算表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14"/>
        <w:tabs>
          <w:tab w:val="right" w:leader="dot" w:pos="8845"/>
          <w:tab w:val="clear" w:pos="8296"/>
        </w:tabs>
        <w:rPr>
          <w:rFonts w:hint="eastAsia" w:eastAsia="宋体"/>
          <w:lang w:val="en-US" w:eastAsia="zh-CN"/>
        </w:rPr>
      </w:pPr>
      <w:r>
        <w:rPr>
          <w:caps w:val="0"/>
          <w:smallCaps/>
          <w:szCs w:val="20"/>
        </w:rPr>
        <w:fldChar w:fldCharType="begin"/>
      </w:r>
      <w:r>
        <w:rPr>
          <w:caps w:val="0"/>
          <w:smallCaps/>
          <w:szCs w:val="20"/>
        </w:rPr>
        <w:instrText xml:space="preserve"> HYPERLINK \l _Toc3951 </w:instrText>
      </w:r>
      <w:r>
        <w:rPr>
          <w:caps w:val="0"/>
          <w:smallCaps/>
          <w:szCs w:val="20"/>
        </w:rPr>
        <w:fldChar w:fldCharType="separate"/>
      </w:r>
      <w:r>
        <w:rPr>
          <w:rFonts w:hint="eastAsia" w:ascii="黑体" w:eastAsia="黑体" w:cs="Times New Roman"/>
          <w:bCs w:val="0"/>
        </w:rPr>
        <w:t>十四、国有资本经营预算财政拨款支出决算表</w:t>
      </w:r>
      <w:r>
        <w:tab/>
      </w:r>
      <w:r>
        <w:rPr>
          <w:rFonts w:hint="eastAsia"/>
          <w:lang w:val="en-US" w:eastAsia="zh-CN"/>
        </w:rPr>
        <w:t>2</w:t>
      </w:r>
      <w:r>
        <w:rPr>
          <w:caps w:val="0"/>
          <w:smallCaps/>
          <w:szCs w:val="20"/>
        </w:rPr>
        <w:fldChar w:fldCharType="end"/>
      </w:r>
      <w:r>
        <w:rPr>
          <w:rFonts w:hint="eastAsia"/>
          <w:caps w:val="0"/>
          <w:smallCaps/>
          <w:szCs w:val="20"/>
          <w:lang w:val="en-US" w:eastAsia="zh-CN"/>
        </w:rPr>
        <w:t>2</w:t>
      </w:r>
    </w:p>
    <w:p>
      <w:pPr>
        <w:pStyle w:val="2"/>
      </w:pPr>
      <w:r>
        <w:rPr>
          <w:caps w:val="0"/>
          <w:smallCaps/>
          <w:szCs w:val="20"/>
        </w:rPr>
        <w:fldChar w:fldCharType="end"/>
      </w:r>
    </w:p>
    <w:p>
      <w:pPr>
        <w:pStyle w:val="3"/>
        <w:jc w:val="center"/>
        <w:rPr>
          <w:rFonts w:ascii="黑体" w:eastAsia="黑体" w:cs="黑体"/>
          <w:b w:val="0"/>
          <w:bCs w:val="0"/>
        </w:rPr>
      </w:pPr>
      <w:bookmarkStart w:id="13" w:name="_Toc111208495"/>
      <w:bookmarkStart w:id="14" w:name="_Toc23038"/>
      <w:r>
        <w:rPr>
          <w:rFonts w:hint="eastAsia" w:ascii="黑体" w:eastAsia="黑体" w:cs="黑体"/>
        </w:rPr>
        <w:t xml:space="preserve">第一部分 </w:t>
      </w:r>
      <w:r>
        <w:rPr>
          <w:rStyle w:val="21"/>
          <w:rFonts w:hint="eastAsia" w:ascii="黑体" w:eastAsia="黑体" w:cs="黑体"/>
          <w:b/>
          <w:bCs w:val="0"/>
        </w:rPr>
        <w:t>部门概况</w:t>
      </w:r>
      <w:bookmarkEnd w:id="12"/>
      <w:bookmarkEnd w:id="13"/>
      <w:bookmarkEnd w:id="14"/>
    </w:p>
    <w:p>
      <w:pPr>
        <w:pStyle w:val="4"/>
        <w:rPr>
          <w:rStyle w:val="22"/>
          <w:rFonts w:ascii="仿宋" w:eastAsia="仿宋"/>
          <w:b w:val="0"/>
          <w:bCs w:val="0"/>
        </w:rPr>
      </w:pPr>
      <w:bookmarkStart w:id="15" w:name="_Toc15377197"/>
      <w:bookmarkStart w:id="16" w:name="_Toc25800"/>
      <w:bookmarkStart w:id="17" w:name="_Toc79163602"/>
      <w:bookmarkStart w:id="18" w:name="_Toc15396600"/>
      <w:bookmarkStart w:id="19" w:name="_Toc10216"/>
      <w:bookmarkStart w:id="20" w:name="_Toc15377204"/>
      <w:r>
        <w:rPr>
          <w:rFonts w:hint="eastAsia" w:ascii="黑体" w:eastAsia="黑体"/>
          <w:b w:val="0"/>
          <w:color w:val="000000"/>
        </w:rPr>
        <w:t>一、基</w:t>
      </w:r>
      <w:r>
        <w:rPr>
          <w:rStyle w:val="22"/>
          <w:rFonts w:hint="eastAsia" w:ascii="黑体" w:eastAsia="黑体"/>
          <w:b w:val="0"/>
          <w:bCs w:val="0"/>
        </w:rPr>
        <w:t>本职能及主要工作</w:t>
      </w:r>
      <w:bookmarkEnd w:id="15"/>
      <w:bookmarkEnd w:id="16"/>
      <w:bookmarkEnd w:id="17"/>
      <w:bookmarkEnd w:id="18"/>
      <w:bookmarkEnd w:id="19"/>
    </w:p>
    <w:p>
      <w:pPr>
        <w:pStyle w:val="7"/>
        <w:adjustRightInd w:val="0"/>
        <w:snapToGrid w:val="0"/>
        <w:spacing w:before="93" w:beforeLines="0" w:line="600" w:lineRule="exact"/>
        <w:ind w:firstLine="671" w:firstLineChars="209"/>
        <w:outlineLvl w:val="2"/>
        <w:rPr>
          <w:rFonts w:hint="eastAsia" w:ascii="楷体" w:eastAsia="楷体" w:cs="楷体"/>
          <w:b/>
          <w:bCs w:val="0"/>
          <w:color w:val="000000"/>
          <w:sz w:val="32"/>
          <w:szCs w:val="32"/>
        </w:rPr>
      </w:pPr>
      <w:bookmarkStart w:id="21" w:name="_Toc8880"/>
      <w:bookmarkStart w:id="22" w:name="_Toc79163603"/>
      <w:bookmarkStart w:id="23" w:name="_Toc15378445"/>
      <w:bookmarkStart w:id="24" w:name="_Toc15377198"/>
      <w:bookmarkStart w:id="25" w:name="_Toc15377200"/>
      <w:bookmarkStart w:id="26" w:name="_Toc111208497"/>
      <w:bookmarkStart w:id="27" w:name="_Toc2743"/>
      <w:r>
        <w:rPr>
          <w:rFonts w:hint="eastAsia" w:ascii="楷体" w:eastAsia="楷体" w:cs="楷体"/>
          <w:b/>
          <w:bCs w:val="0"/>
          <w:color w:val="000000"/>
          <w:sz w:val="32"/>
          <w:szCs w:val="32"/>
        </w:rPr>
        <w:t>（一）主要职能</w:t>
      </w:r>
      <w:bookmarkEnd w:id="21"/>
      <w:bookmarkEnd w:id="22"/>
    </w:p>
    <w:bookmarkEnd w:id="23"/>
    <w:bookmarkEnd w:id="24"/>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8" w:name="_Toc31514"/>
      <w:r>
        <w:rPr>
          <w:rFonts w:hint="eastAsia" w:ascii="仿宋_GB2312" w:hAnsi="仿宋_GB2312" w:eastAsia="仿宋_GB2312" w:cs="仿宋_GB2312"/>
          <w:sz w:val="32"/>
          <w:szCs w:val="32"/>
        </w:rPr>
        <w:t>1.贯彻执行党的路线、方针、政策以及中央、省委、州委和县委的决议、决定和工作的部署，协助县委领导处理县委日常工作，协调镇和部门工作，沟通上下左右联系；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2.负责县委日常文书的处理、县委领导同志公务活动的组织安排、县委各类会议的组织工作；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3.负责县委文件、文稿的起草、批办、审核和印发工作；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４.围绕县委中心工作开展调查研究，及时准确地向县委领导和上级党委反映各方面的实际情况，并提供切实可行的建议；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5.及时收集、筛选、综合整理各类情况，全面准确地为县委领导、上级党委报送信息；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6.围绕县委重大决策和工作部署，进行督促检查，做好领导重要批示件、新闻舆论批评和群众反映的突出问题的查办工作；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7.负责全县党政密码通信、密码管理和密码保密及全县商用密码的管理工作；中央、省委、市委、县委文件和县级重要机密件的传递，领导机要专线电话的管理工作；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8.主管全县保密工作，督促、检查全县及驻本县单位、部队和企事业单位对《保密法》及其配套法规的贯彻实施情况；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9.承办县委领导和上级业务部门交办的其他工作。</w:t>
      </w:r>
    </w:p>
    <w:p>
      <w:pPr>
        <w:pStyle w:val="7"/>
        <w:adjustRightInd w:val="0"/>
        <w:snapToGrid w:val="0"/>
        <w:spacing w:before="93" w:beforeLines="0" w:line="600" w:lineRule="exact"/>
        <w:ind w:firstLine="671" w:firstLineChars="209"/>
        <w:outlineLvl w:val="2"/>
        <w:rPr>
          <w:rFonts w:hint="eastAsia" w:ascii="楷体" w:eastAsia="楷体" w:cs="楷体"/>
          <w:b/>
          <w:bCs w:val="0"/>
          <w:color w:val="000000"/>
          <w:sz w:val="32"/>
          <w:szCs w:val="32"/>
        </w:rPr>
      </w:pPr>
    </w:p>
    <w:p>
      <w:pPr>
        <w:pStyle w:val="7"/>
        <w:adjustRightInd w:val="0"/>
        <w:snapToGrid w:val="0"/>
        <w:spacing w:before="93" w:beforeLines="0" w:line="600" w:lineRule="exact"/>
        <w:ind w:firstLine="671" w:firstLineChars="209"/>
        <w:outlineLvl w:val="2"/>
        <w:rPr>
          <w:rFonts w:hint="eastAsia" w:ascii="楷体" w:eastAsia="楷体" w:cs="楷体"/>
          <w:b/>
          <w:bCs w:val="0"/>
          <w:color w:val="000000"/>
          <w:sz w:val="32"/>
          <w:szCs w:val="32"/>
        </w:rPr>
      </w:pPr>
      <w:r>
        <w:rPr>
          <w:rFonts w:hint="eastAsia" w:ascii="楷体" w:eastAsia="楷体" w:cs="楷体"/>
          <w:b/>
          <w:bCs w:val="0"/>
          <w:color w:val="000000"/>
          <w:sz w:val="32"/>
          <w:szCs w:val="32"/>
        </w:rPr>
        <w:t>（二）202</w:t>
      </w:r>
      <w:r>
        <w:rPr>
          <w:rFonts w:hint="eastAsia" w:ascii="楷体" w:eastAsia="楷体" w:cs="楷体"/>
          <w:b/>
          <w:bCs w:val="0"/>
          <w:color w:val="000000"/>
          <w:sz w:val="32"/>
          <w:szCs w:val="32"/>
          <w:lang w:val="en-US" w:eastAsia="zh-CN"/>
        </w:rPr>
        <w:t>2</w:t>
      </w:r>
      <w:r>
        <w:rPr>
          <w:rFonts w:hint="eastAsia" w:ascii="楷体" w:eastAsia="楷体" w:cs="楷体"/>
          <w:b/>
          <w:bCs w:val="0"/>
          <w:color w:val="000000"/>
          <w:sz w:val="32"/>
          <w:szCs w:val="32"/>
        </w:rPr>
        <w:t>年重点工作完成情况</w:t>
      </w:r>
      <w:bookmarkEnd w:id="2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1.提高文稿质量、保证公文高效运转。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2.扎实做好县委常委会议、书记办公会议、县党代会、县委全委会、县委工作会、全县领导干部会等会议的会务工作，确保会议规范有序。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3.充分发挥办公室综合协调职能，加强与各级各部门的沟通协调，周密安排领导公务活动，做到事前缜密谋划、事中灵活应对、事后总结完善，不断提高服务能力和水平。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4.加强日常信息报送，2022年向州委上报专题信息61期。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5.扩展非涉密计算机敏感信息监管系统，做到全覆盖，开展全县网络核查分类工作，切实做好全县普通高校招生考试安全保密工作，做好保密法制宣传教育和保密业务培训。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6.扎实做好密码通信服务保障，推进密码管理规范化，抓好和完善党政内网建设。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7.开展重点工作、重点项目督查，并形成督查专报，做好年度目标考核工作。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做好人民群众来信来访工作，妥善处置各类突发事件，努力维护社会大局稳定。对来访人员合理诉求及时联系相关部门给予答复，树立良好窗口形象。做好《书记信箱》、《阿坝民声》中涉及我县的信访问题，及时督察督办，及时回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9.严格执行24小时值班制度，周末、节假日值班制定。加强车辆管理，确保</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县委工作正常运转。</w:t>
      </w:r>
    </w:p>
    <w:p>
      <w:pPr>
        <w:pStyle w:val="4"/>
        <w:keepNext/>
        <w:keepLines/>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b w:val="0"/>
          <w:bCs/>
          <w:color w:val="000000"/>
          <w:lang w:eastAsia="zh-CN"/>
        </w:rPr>
      </w:pPr>
      <w:r>
        <w:rPr>
          <w:rFonts w:hint="eastAsia" w:ascii="黑体" w:eastAsia="黑体" w:cs="黑体"/>
          <w:b w:val="0"/>
          <w:bCs/>
          <w:color w:val="000000"/>
        </w:rPr>
        <w:t>二、机构设置</w:t>
      </w:r>
      <w:bookmarkEnd w:id="25"/>
      <w:bookmarkEnd w:id="26"/>
    </w:p>
    <w:p>
      <w:pPr>
        <w:pStyle w:val="4"/>
        <w:keepNext/>
        <w:keepLines/>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cs="仿宋_GB2312"/>
          <w:b w:val="0"/>
          <w:bCs w:val="0"/>
          <w:color w:val="000000"/>
          <w:sz w:val="32"/>
          <w:szCs w:val="32"/>
        </w:rPr>
      </w:pPr>
      <w:r>
        <w:rPr>
          <w:rFonts w:ascii="仿宋" w:eastAsia="仿宋"/>
          <w:color w:val="000000"/>
          <w:sz w:val="32"/>
          <w:szCs w:val="32"/>
        </w:rPr>
        <w:tab/>
      </w:r>
      <w:r>
        <w:rPr>
          <w:rFonts w:hint="eastAsia" w:ascii="仿宋_GB2312" w:eastAsia="仿宋_GB2312" w:cs="仿宋_GB2312"/>
          <w:color w:val="000000"/>
          <w:sz w:val="32"/>
          <w:szCs w:val="32"/>
          <w:lang w:val="en-US" w:eastAsia="zh-CN"/>
        </w:rPr>
        <w:t xml:space="preserve"> </w:t>
      </w:r>
      <w:r>
        <w:rPr>
          <w:rFonts w:hint="eastAsia" w:ascii="仿宋_GB2312" w:eastAsia="仿宋_GB2312" w:cs="仿宋_GB2312"/>
          <w:b w:val="0"/>
          <w:bCs w:val="0"/>
          <w:color w:val="000000"/>
          <w:sz w:val="32"/>
          <w:szCs w:val="32"/>
        </w:rPr>
        <w:t>县委办下属二级单位0个，其中行政单位0个，参照公务员法管理的事业单位0个，其他事业单位0个。</w:t>
      </w:r>
      <w:r>
        <w:rPr>
          <w:rFonts w:hint="eastAsia" w:ascii="仿宋_GB2312" w:eastAsia="仿宋_GB2312" w:cs="仿宋_GB2312"/>
          <w:b w:val="0"/>
          <w:bCs w:val="0"/>
          <w:color w:val="000000"/>
          <w:sz w:val="32"/>
          <w:szCs w:val="32"/>
        </w:rPr>
        <w:cr/>
      </w:r>
      <w:r>
        <w:rPr>
          <w:rFonts w:hint="eastAsia" w:ascii="仿宋_GB2312" w:eastAsia="仿宋_GB2312" w:cs="仿宋_GB2312"/>
          <w:b w:val="0"/>
          <w:bCs w:val="0"/>
          <w:color w:val="000000"/>
          <w:sz w:val="32"/>
          <w:szCs w:val="32"/>
        </w:rPr>
        <w:t>我单位不涉及纳入202</w:t>
      </w:r>
      <w:r>
        <w:rPr>
          <w:rFonts w:ascii="仿宋_GB2312" w:eastAsia="仿宋_GB2312" w:cs="仿宋_GB2312"/>
          <w:b w:val="0"/>
          <w:bCs w:val="0"/>
          <w:color w:val="000000"/>
          <w:sz w:val="32"/>
          <w:szCs w:val="32"/>
        </w:rPr>
        <w:t>2</w:t>
      </w:r>
      <w:r>
        <w:rPr>
          <w:rFonts w:hint="eastAsia" w:ascii="仿宋_GB2312" w:eastAsia="仿宋_GB2312" w:cs="仿宋_GB2312"/>
          <w:b w:val="0"/>
          <w:bCs w:val="0"/>
          <w:color w:val="000000"/>
          <w:sz w:val="32"/>
          <w:szCs w:val="32"/>
        </w:rPr>
        <w:t>年度部门决算编制范围的二级预算单位。</w:t>
      </w:r>
      <w:bookmarkEnd w:id="27"/>
    </w:p>
    <w:p>
      <w:pPr>
        <w:pStyle w:val="3"/>
        <w:jc w:val="center"/>
        <w:rPr>
          <w:rFonts w:hint="eastAsia" w:ascii="黑体" w:eastAsia="黑体" w:cs="黑体"/>
        </w:rPr>
      </w:pPr>
      <w:bookmarkStart w:id="29" w:name="_Toc4756"/>
      <w:bookmarkStart w:id="30" w:name="_Toc111208498"/>
    </w:p>
    <w:p>
      <w:pPr>
        <w:pStyle w:val="3"/>
        <w:jc w:val="center"/>
        <w:rPr>
          <w:rFonts w:hint="eastAsia" w:ascii="黑体" w:eastAsia="黑体" w:cs="黑体"/>
        </w:rPr>
      </w:pPr>
      <w:r>
        <w:rPr>
          <w:rFonts w:hint="eastAsia" w:ascii="黑体" w:eastAsia="黑体" w:cs="黑体"/>
        </w:rPr>
        <w:t>第二部分 2022年度部门决算情况说明</w:t>
      </w:r>
      <w:bookmarkEnd w:id="20"/>
      <w:bookmarkEnd w:id="29"/>
      <w:bookmarkEnd w:id="30"/>
    </w:p>
    <w:p>
      <w:pPr>
        <w:pStyle w:val="4"/>
        <w:ind w:firstLine="640" w:firstLineChars="200"/>
        <w:rPr>
          <w:rFonts w:ascii="黑体" w:eastAsia="黑体" w:cs="Times New Roman"/>
          <w:b w:val="0"/>
          <w:bCs/>
          <w:color w:val="000000"/>
        </w:rPr>
      </w:pPr>
      <w:bookmarkStart w:id="31" w:name="_Toc15377205"/>
      <w:bookmarkStart w:id="32" w:name="_Toc26705"/>
      <w:bookmarkStart w:id="33" w:name="_Toc111208499"/>
      <w:r>
        <w:rPr>
          <w:rFonts w:hint="eastAsia" w:ascii="黑体" w:eastAsia="黑体" w:cs="Times New Roman"/>
          <w:b w:val="0"/>
          <w:bCs/>
          <w:color w:val="000000"/>
        </w:rPr>
        <w:t>一、收入支出决算总体情况说</w:t>
      </w:r>
      <w:bookmarkEnd w:id="31"/>
      <w:r>
        <w:rPr>
          <w:rFonts w:hint="eastAsia" w:ascii="黑体" w:eastAsia="黑体" w:cs="Times New Roman"/>
          <w:b w:val="0"/>
          <w:bCs/>
          <w:color w:val="000000"/>
        </w:rPr>
        <w:t>明</w:t>
      </w:r>
      <w:bookmarkEnd w:id="32"/>
      <w:bookmarkEnd w:id="33"/>
    </w:p>
    <w:p>
      <w:pPr>
        <w:spacing w:line="600" w:lineRule="exact"/>
        <w:ind w:firstLine="640" w:firstLineChars="200"/>
        <w:rPr>
          <w:rFonts w:hint="eastAsia" w:ascii="仿宋_GB2312" w:eastAsia="仿宋_GB2312" w:cs="仿宋_GB2312"/>
          <w:color w:val="00B0F0"/>
          <w:sz w:val="32"/>
          <w:szCs w:val="32"/>
          <w:lang w:eastAsia="zh-CN"/>
        </w:rPr>
      </w:pPr>
      <w:r>
        <w:rPr>
          <w:rFonts w:hint="eastAsia" w:ascii="仿宋_GB2312" w:eastAsia="仿宋_GB2312" w:cs="仿宋_GB2312"/>
          <w:color w:val="000000"/>
          <w:sz w:val="32"/>
          <w:szCs w:val="32"/>
        </w:rPr>
        <w:t>202</w:t>
      </w:r>
      <w:r>
        <w:rPr>
          <w:rFonts w:ascii="仿宋_GB2312" w:eastAsia="仿宋_GB2312" w:cs="仿宋_GB2312"/>
          <w:color w:val="000000"/>
          <w:sz w:val="32"/>
          <w:szCs w:val="32"/>
        </w:rPr>
        <w:t>2</w:t>
      </w:r>
      <w:r>
        <w:rPr>
          <w:rFonts w:hint="eastAsia" w:ascii="仿宋_GB2312" w:eastAsia="仿宋_GB2312" w:cs="仿宋_GB2312"/>
          <w:color w:val="000000"/>
          <w:sz w:val="32"/>
          <w:szCs w:val="32"/>
        </w:rPr>
        <w:t>年度收、支总计</w:t>
      </w:r>
      <w:r>
        <w:rPr>
          <w:rFonts w:hint="eastAsia" w:ascii="仿宋_GB2312" w:eastAsia="仿宋_GB2312" w:cs="仿宋_GB2312"/>
          <w:color w:val="000000"/>
          <w:sz w:val="32"/>
          <w:szCs w:val="32"/>
          <w:lang w:val="en-US" w:eastAsia="zh-CN"/>
        </w:rPr>
        <w:t>1286.65</w:t>
      </w:r>
      <w:r>
        <w:rPr>
          <w:rFonts w:hint="eastAsia" w:ascii="仿宋_GB2312" w:eastAsia="仿宋_GB2312" w:cs="仿宋_GB2312"/>
          <w:color w:val="000000"/>
          <w:sz w:val="32"/>
          <w:szCs w:val="32"/>
        </w:rPr>
        <w:t>万元。与202</w:t>
      </w:r>
      <w:r>
        <w:rPr>
          <w:rFonts w:ascii="仿宋_GB2312" w:eastAsia="仿宋_GB2312" w:cs="仿宋_GB2312"/>
          <w:color w:val="000000"/>
          <w:sz w:val="32"/>
          <w:szCs w:val="32"/>
        </w:rPr>
        <w:t>1</w:t>
      </w:r>
      <w:r>
        <w:rPr>
          <w:rFonts w:hint="eastAsia" w:ascii="仿宋_GB2312" w:eastAsia="仿宋_GB2312" w:cs="仿宋_GB2312"/>
          <w:color w:val="000000"/>
          <w:sz w:val="32"/>
          <w:szCs w:val="32"/>
        </w:rPr>
        <w:t>年相比，收、支总计各</w:t>
      </w:r>
      <w:r>
        <w:rPr>
          <w:rFonts w:ascii="仿宋_GB2312" w:eastAsia="仿宋_GB2312" w:cs="仿宋_GB2312"/>
          <w:color w:val="000000"/>
          <w:sz w:val="32"/>
          <w:szCs w:val="32"/>
        </w:rPr>
        <w:t>减少</w:t>
      </w:r>
      <w:r>
        <w:rPr>
          <w:rFonts w:hint="eastAsia" w:ascii="仿宋_GB2312" w:eastAsia="仿宋_GB2312" w:cs="仿宋_GB2312"/>
          <w:color w:val="000000"/>
          <w:sz w:val="32"/>
          <w:szCs w:val="32"/>
          <w:lang w:val="en-US" w:eastAsia="zh-CN"/>
        </w:rPr>
        <w:t>114.88</w:t>
      </w:r>
      <w:r>
        <w:rPr>
          <w:rFonts w:hint="eastAsia" w:ascii="仿宋_GB2312" w:eastAsia="仿宋_GB2312" w:cs="仿宋_GB2312"/>
          <w:color w:val="000000"/>
          <w:sz w:val="32"/>
          <w:szCs w:val="32"/>
        </w:rPr>
        <w:t>万元，</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8.2</w:t>
      </w:r>
      <w:r>
        <w:rPr>
          <w:rFonts w:hint="eastAsia" w:ascii="仿宋_GB2312" w:eastAsia="仿宋_GB2312" w:cs="仿宋_GB2312"/>
          <w:color w:val="000000"/>
          <w:sz w:val="32"/>
          <w:szCs w:val="32"/>
        </w:rPr>
        <w:t>%。主要变动原因是</w:t>
      </w:r>
      <w:r>
        <w:rPr>
          <w:rFonts w:ascii="仿宋_GB2312" w:eastAsia="仿宋_GB2312" w:cs="仿宋_GB2312"/>
          <w:color w:val="000000"/>
          <w:sz w:val="32"/>
          <w:szCs w:val="32"/>
        </w:rPr>
        <w:t>压缩经费支出</w:t>
      </w:r>
      <w:r>
        <w:rPr>
          <w:rFonts w:hint="eastAsia" w:ascii="仿宋_GB2312" w:eastAsia="仿宋_GB2312" w:cs="仿宋_GB2312"/>
          <w:color w:val="000000"/>
          <w:sz w:val="32"/>
          <w:szCs w:val="32"/>
          <w:lang w:eastAsia="zh-CN"/>
        </w:rPr>
        <w:t>。</w:t>
      </w:r>
    </w:p>
    <w:p>
      <w:pPr>
        <w:spacing w:line="600" w:lineRule="exact"/>
        <w:ind w:firstLine="640" w:firstLineChars="200"/>
        <w:rPr>
          <w:rFonts w:hint="eastAsia" w:ascii="仿宋_GB2312" w:eastAsia="仿宋_GB2312" w:cs="仿宋_GB2312"/>
          <w:color w:val="000000"/>
          <w:sz w:val="28"/>
          <w:szCs w:val="28"/>
        </w:rPr>
      </w:pPr>
      <w:r>
        <w:rPr>
          <w:rFonts w:hint="eastAsia" w:ascii="仿宋_GB2312" w:eastAsia="仿宋_GB2312" w:cs="仿宋_GB2312"/>
          <w:color w:val="000000"/>
          <w:sz w:val="32"/>
          <w:szCs w:val="32"/>
        </w:rPr>
        <w:t>（图1：收、支决算总计变动情况图</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(单位：万元）</w:t>
      </w:r>
    </w:p>
    <w:p>
      <w:pPr>
        <w:pStyle w:val="2"/>
        <w:rPr>
          <w:rFonts w:hint="eastAsia" w:ascii="仿宋_GB2312" w:hAnsi="仿宋" w:eastAsia="仿宋_GB2312"/>
          <w:color w:val="000000"/>
          <w:sz w:val="32"/>
          <w:szCs w:val="32"/>
        </w:rPr>
      </w:pPr>
    </w:p>
    <w:p>
      <w:pPr>
        <w:pStyle w:val="2"/>
        <w:rPr>
          <w:rFonts w:hint="eastAsia" w:ascii="仿宋_GB2312" w:hAnsi="仿宋" w:eastAsia="仿宋_GB2312"/>
          <w:color w:val="000000"/>
          <w:sz w:val="32"/>
          <w:szCs w:val="32"/>
        </w:rPr>
      </w:pPr>
      <w:r>
        <w:rPr>
          <w:rFonts w:hint="eastAsia" w:ascii="仿宋_GB2312" w:hAnsi="仿宋" w:eastAsia="仿宋_GB2312"/>
          <w:color w:val="000000"/>
          <w:sz w:val="32"/>
          <w:szCs w:val="32"/>
        </w:rPr>
        <w:drawing>
          <wp:anchor distT="0" distB="0" distL="114300" distR="114300" simplePos="0" relativeHeight="251659264" behindDoc="0" locked="0" layoutInCell="1" allowOverlap="1">
            <wp:simplePos x="0" y="0"/>
            <wp:positionH relativeFrom="column">
              <wp:posOffset>292100</wp:posOffset>
            </wp:positionH>
            <wp:positionV relativeFrom="paragraph">
              <wp:posOffset>53340</wp:posOffset>
            </wp:positionV>
            <wp:extent cx="4886325" cy="2819400"/>
            <wp:effectExtent l="4445" t="4445" r="5080" b="1460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hint="eastAsia" w:ascii="仿宋_GB2312" w:hAnsi="仿宋" w:eastAsia="仿宋_GB2312"/>
          <w:color w:val="000000"/>
          <w:sz w:val="32"/>
          <w:szCs w:val="32"/>
        </w:rPr>
      </w:pPr>
    </w:p>
    <w:p>
      <w:pPr>
        <w:pStyle w:val="2"/>
        <w:rPr>
          <w:rFonts w:hint="eastAsia" w:ascii="仿宋_GB2312" w:hAnsi="仿宋" w:eastAsia="仿宋_GB2312"/>
          <w:color w:val="000000"/>
          <w:sz w:val="32"/>
          <w:szCs w:val="32"/>
        </w:rPr>
      </w:pPr>
    </w:p>
    <w:p>
      <w:pPr>
        <w:pStyle w:val="2"/>
        <w:rPr>
          <w:rFonts w:hint="eastAsia" w:ascii="仿宋_GB2312" w:hAnsi="仿宋" w:eastAsia="仿宋_GB2312"/>
          <w:color w:val="000000"/>
          <w:sz w:val="32"/>
          <w:szCs w:val="32"/>
        </w:rPr>
      </w:pPr>
    </w:p>
    <w:p>
      <w:pPr>
        <w:pStyle w:val="2"/>
        <w:rPr>
          <w:rFonts w:hint="eastAsia" w:ascii="仿宋_GB2312" w:hAnsi="仿宋" w:eastAsia="仿宋_GB2312"/>
          <w:color w:val="000000"/>
          <w:sz w:val="32"/>
          <w:szCs w:val="32"/>
        </w:rPr>
      </w:pPr>
    </w:p>
    <w:p>
      <w:pPr>
        <w:pStyle w:val="4"/>
        <w:ind w:firstLine="640" w:firstLineChars="200"/>
        <w:rPr>
          <w:rFonts w:ascii="黑体" w:eastAsia="黑体" w:cs="Times New Roman"/>
          <w:b w:val="0"/>
          <w:bCs/>
          <w:color w:val="000000"/>
        </w:rPr>
      </w:pPr>
      <w:bookmarkStart w:id="34" w:name="_Toc25746"/>
      <w:bookmarkStart w:id="35" w:name="_Toc111208500"/>
      <w:bookmarkStart w:id="36" w:name="_Toc15377206"/>
      <w:r>
        <w:rPr>
          <w:rFonts w:hint="eastAsia" w:ascii="黑体" w:eastAsia="黑体" w:cs="Times New Roman"/>
          <w:b w:val="0"/>
          <w:bCs/>
          <w:color w:val="000000"/>
        </w:rPr>
        <w:t>二、收入决算情况说明</w:t>
      </w:r>
      <w:bookmarkEnd w:id="34"/>
      <w:bookmarkEnd w:id="35"/>
      <w:bookmarkEnd w:id="36"/>
    </w:p>
    <w:p>
      <w:pPr>
        <w:spacing w:line="600" w:lineRule="exact"/>
        <w:ind w:firstLine="640" w:firstLineChars="20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202</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年本年收入合计</w:t>
      </w:r>
      <w:r>
        <w:rPr>
          <w:rFonts w:hint="eastAsia" w:ascii="仿宋_GB2312" w:eastAsia="仿宋_GB2312" w:cs="仿宋_GB2312"/>
          <w:color w:val="000000"/>
          <w:sz w:val="32"/>
          <w:szCs w:val="32"/>
          <w:lang w:val="en-US" w:eastAsia="zh-CN"/>
        </w:rPr>
        <w:t>1286.65</w:t>
      </w:r>
      <w:r>
        <w:rPr>
          <w:rFonts w:hint="eastAsia" w:ascii="仿宋_GB2312" w:eastAsia="仿宋_GB2312" w:cs="仿宋_GB2312"/>
          <w:color w:val="000000"/>
          <w:sz w:val="32"/>
          <w:szCs w:val="32"/>
        </w:rPr>
        <w:t>万元，其中：一般公共预算财政拨款收入</w:t>
      </w:r>
      <w:r>
        <w:rPr>
          <w:rFonts w:hint="eastAsia" w:ascii="仿宋_GB2312" w:eastAsia="仿宋_GB2312" w:cs="仿宋_GB2312"/>
          <w:color w:val="000000"/>
          <w:sz w:val="32"/>
          <w:szCs w:val="32"/>
          <w:lang w:val="en-US" w:eastAsia="zh-CN"/>
        </w:rPr>
        <w:t>1286.65</w:t>
      </w:r>
      <w:r>
        <w:rPr>
          <w:rFonts w:hint="eastAsia" w:ascii="仿宋_GB2312" w:eastAsia="仿宋_GB2312" w:cs="仿宋_GB2312"/>
          <w:color w:val="000000"/>
          <w:sz w:val="32"/>
          <w:szCs w:val="32"/>
        </w:rPr>
        <w:t>万元，占100%；政府性基金预算财政拨款收入0万元；国有资本经营预算财政拨款收入0万元；上级补助收入</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万元；事业收入</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万元；经营收入</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万元；附属单位上缴收入</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万元；其他收入</w:t>
      </w:r>
      <w:r>
        <w:rPr>
          <w:rFonts w:hint="eastAsia" w:ascii="仿宋_GB2312" w:eastAsia="仿宋_GB2312" w:cs="仿宋_GB2312"/>
          <w:color w:val="000000"/>
          <w:sz w:val="32"/>
          <w:szCs w:val="32"/>
          <w:lang w:val="en-US" w:eastAsia="zh-CN"/>
        </w:rPr>
        <w:t>0</w:t>
      </w:r>
      <w:r>
        <w:rPr>
          <w:rFonts w:hint="eastAsia" w:ascii="仿宋_GB2312" w:eastAsia="仿宋_GB2312" w:cs="仿宋_GB2312"/>
          <w:color w:val="000000"/>
          <w:sz w:val="32"/>
          <w:szCs w:val="32"/>
        </w:rPr>
        <w:t>万元。</w:t>
      </w:r>
    </w:p>
    <w:p>
      <w:pPr>
        <w:spacing w:line="600" w:lineRule="exact"/>
        <w:ind w:firstLine="1600" w:firstLineChars="500"/>
        <w:rPr>
          <w:rFonts w:ascii="仿宋" w:eastAsia="仿宋"/>
          <w:color w:val="000000"/>
          <w:sz w:val="32"/>
          <w:szCs w:val="32"/>
        </w:rPr>
      </w:pPr>
      <w:r>
        <w:rPr>
          <w:rFonts w:hint="eastAsia" w:ascii="仿宋" w:eastAsia="仿宋"/>
          <w:color w:val="000000"/>
          <w:sz w:val="32"/>
          <w:szCs w:val="32"/>
        </w:rPr>
        <w:t>（图2：收入决算结构图）</w:t>
      </w:r>
      <w:r>
        <w:rPr>
          <w:rFonts w:hint="eastAsia" w:ascii="仿宋_GB2312" w:eastAsia="仿宋_GB2312" w:cs="仿宋_GB2312"/>
          <w:color w:val="000000"/>
          <w:sz w:val="32"/>
          <w:szCs w:val="32"/>
          <w:lang w:val="en-US" w:eastAsia="zh-CN"/>
        </w:rPr>
        <w:t>(单位：万元）</w:t>
      </w:r>
    </w:p>
    <w:p>
      <w:pPr>
        <w:pStyle w:val="13"/>
        <w:jc w:val="center"/>
      </w:pPr>
      <w:r>
        <w:rPr>
          <w:rFonts w:hint="eastAsia" w:ascii="仿宋_GB2312" w:eastAsia="仿宋_GB2312"/>
          <w:color w:val="FF0000"/>
          <w:sz w:val="32"/>
          <w:szCs w:val="32"/>
        </w:rPr>
        <w:drawing>
          <wp:inline distT="0" distB="0" distL="114300" distR="114300">
            <wp:extent cx="4599940" cy="2667000"/>
            <wp:effectExtent l="4445" t="4445" r="571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4"/>
        <w:ind w:firstLine="640" w:firstLineChars="200"/>
        <w:rPr>
          <w:rFonts w:ascii="黑体" w:eastAsia="黑体" w:cs="Times New Roman"/>
          <w:b w:val="0"/>
          <w:bCs/>
          <w:color w:val="000000"/>
        </w:rPr>
      </w:pPr>
      <w:bookmarkStart w:id="37" w:name="_Toc111208501"/>
      <w:bookmarkStart w:id="38" w:name="_Toc26388"/>
      <w:bookmarkStart w:id="39" w:name="_Toc15377207"/>
      <w:r>
        <w:rPr>
          <w:rFonts w:hint="eastAsia" w:ascii="黑体" w:eastAsia="黑体" w:cs="Times New Roman"/>
          <w:b w:val="0"/>
          <w:bCs/>
          <w:color w:val="000000"/>
        </w:rPr>
        <w:t>三、支出决算情况说明</w:t>
      </w:r>
      <w:bookmarkEnd w:id="37"/>
      <w:bookmarkEnd w:id="38"/>
      <w:bookmarkEnd w:id="39"/>
    </w:p>
    <w:p>
      <w:pPr>
        <w:pStyle w:val="2"/>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2022年本年支出合计</w:t>
      </w:r>
      <w:r>
        <w:rPr>
          <w:rFonts w:hint="eastAsia" w:ascii="仿宋_GB2312" w:eastAsia="仿宋_GB2312" w:cs="仿宋_GB2312"/>
          <w:color w:val="000000"/>
          <w:sz w:val="32"/>
          <w:szCs w:val="32"/>
          <w:lang w:val="en-US" w:eastAsia="zh-CN"/>
        </w:rPr>
        <w:t>1286.65</w:t>
      </w:r>
      <w:r>
        <w:rPr>
          <w:rFonts w:hint="eastAsia" w:ascii="仿宋_GB2312" w:eastAsia="仿宋_GB2312" w:cs="仿宋_GB2312"/>
          <w:color w:val="000000"/>
          <w:kern w:val="2"/>
          <w:sz w:val="32"/>
          <w:szCs w:val="32"/>
          <w:lang w:val="en-US" w:eastAsia="zh-CN" w:bidi="ar-SA"/>
        </w:rPr>
        <w:t>万元，其中：基本支出1156.98万元，占89.92%；项目支出129.66万元，占10.08%；上缴上级支出0万元；经营支出0万元；对附属单位补助支出0万元。</w:t>
      </w:r>
    </w:p>
    <w:p>
      <w:pPr>
        <w:spacing w:line="600" w:lineRule="exact"/>
        <w:ind w:firstLine="2240" w:firstLineChars="700"/>
        <w:rPr>
          <w:rFonts w:hint="eastAsia" w:ascii="仿宋_GB2312" w:eastAsia="仿宋_GB2312" w:cs="仿宋_GB2312"/>
          <w:color w:val="000000"/>
          <w:kern w:val="2"/>
          <w:sz w:val="32"/>
          <w:szCs w:val="32"/>
          <w:lang w:val="en-US" w:eastAsia="zh-CN" w:bidi="ar-SA"/>
        </w:rPr>
      </w:pPr>
    </w:p>
    <w:p>
      <w:pPr>
        <w:spacing w:line="600" w:lineRule="exact"/>
        <w:ind w:firstLine="2240" w:firstLineChars="700"/>
        <w:rPr>
          <w:rFonts w:hint="eastAsia" w:ascii="仿宋_GB2312" w:eastAsia="仿宋_GB2312" w:cs="仿宋_GB2312"/>
          <w:color w:val="000000"/>
          <w:kern w:val="2"/>
          <w:sz w:val="32"/>
          <w:szCs w:val="32"/>
          <w:lang w:val="en-US" w:eastAsia="zh-CN" w:bidi="ar-SA"/>
        </w:rPr>
      </w:pPr>
    </w:p>
    <w:p>
      <w:pPr>
        <w:spacing w:line="600" w:lineRule="exact"/>
        <w:ind w:firstLine="2240" w:firstLineChars="700"/>
        <w:rPr>
          <w:rFonts w:hint="eastAsia" w:ascii="仿宋_GB2312" w:eastAsia="仿宋_GB2312" w:cs="仿宋_GB2312"/>
          <w:color w:val="000000"/>
          <w:kern w:val="2"/>
          <w:sz w:val="32"/>
          <w:szCs w:val="32"/>
          <w:lang w:val="en-US" w:eastAsia="zh-CN" w:bidi="ar-SA"/>
        </w:rPr>
      </w:pPr>
    </w:p>
    <w:p>
      <w:pPr>
        <w:spacing w:line="600" w:lineRule="exact"/>
        <w:ind w:firstLine="2240" w:firstLineChars="700"/>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（图3：支出决算结构图）</w:t>
      </w:r>
    </w:p>
    <w:p>
      <w:pPr>
        <w:jc w:val="center"/>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inline distT="0" distB="0" distL="114300" distR="114300">
            <wp:extent cx="4737100" cy="3152775"/>
            <wp:effectExtent l="4445" t="4445" r="20955" b="508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pPr>
    </w:p>
    <w:p>
      <w:pPr>
        <w:pStyle w:val="4"/>
        <w:ind w:firstLine="643" w:firstLineChars="200"/>
        <w:rPr>
          <w:rFonts w:ascii="黑体" w:eastAsia="黑体" w:cs="Times New Roman"/>
          <w:bCs w:val="0"/>
          <w:color w:val="000000"/>
        </w:rPr>
      </w:pPr>
      <w:bookmarkStart w:id="40" w:name="_Toc111208502"/>
      <w:bookmarkStart w:id="41" w:name="_Toc15377208"/>
      <w:bookmarkStart w:id="42" w:name="_Toc27304"/>
      <w:r>
        <w:rPr>
          <w:rFonts w:hint="eastAsia" w:ascii="黑体" w:eastAsia="黑体" w:cs="Times New Roman"/>
          <w:bCs w:val="0"/>
          <w:color w:val="000000"/>
        </w:rPr>
        <w:t>四、财政拨款收入支出决算总体情况说明</w:t>
      </w:r>
      <w:bookmarkEnd w:id="40"/>
      <w:bookmarkEnd w:id="41"/>
      <w:bookmarkEnd w:id="42"/>
    </w:p>
    <w:p>
      <w:pPr>
        <w:spacing w:line="600" w:lineRule="exact"/>
        <w:ind w:firstLine="640" w:firstLineChars="200"/>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2022年财政拨款收、支总计</w:t>
      </w:r>
      <w:r>
        <w:rPr>
          <w:rFonts w:hint="eastAsia" w:ascii="仿宋_GB2312" w:eastAsia="仿宋_GB2312" w:cs="仿宋_GB2312"/>
          <w:color w:val="000000"/>
          <w:sz w:val="32"/>
          <w:szCs w:val="32"/>
          <w:lang w:val="en-US" w:eastAsia="zh-CN"/>
        </w:rPr>
        <w:t>1286.65</w:t>
      </w:r>
      <w:r>
        <w:rPr>
          <w:rFonts w:hint="eastAsia" w:ascii="仿宋_GB2312" w:eastAsia="仿宋_GB2312" w:cs="仿宋_GB2312"/>
          <w:color w:val="000000"/>
          <w:kern w:val="2"/>
          <w:sz w:val="32"/>
          <w:szCs w:val="32"/>
          <w:lang w:val="en-US" w:eastAsia="zh-CN" w:bidi="ar-SA"/>
        </w:rPr>
        <w:t>万元。与2021年相比，财政拨款收、支总计各减少114.88万元，</w:t>
      </w:r>
      <w:r>
        <w:rPr>
          <w:rFonts w:hint="eastAsia" w:ascii="仿宋_GB2312" w:eastAsia="仿宋_GB2312" w:cs="仿宋_GB2312"/>
          <w:color w:val="000000"/>
          <w:sz w:val="32"/>
          <w:szCs w:val="32"/>
          <w:lang w:eastAsia="zh-CN"/>
        </w:rPr>
        <w:t>减少</w:t>
      </w:r>
      <w:r>
        <w:rPr>
          <w:rFonts w:hint="eastAsia" w:ascii="仿宋_GB2312" w:eastAsia="仿宋_GB2312" w:cs="仿宋_GB2312"/>
          <w:color w:val="000000"/>
          <w:sz w:val="32"/>
          <w:szCs w:val="32"/>
          <w:lang w:val="en-US" w:eastAsia="zh-CN"/>
        </w:rPr>
        <w:t>8.2</w:t>
      </w:r>
      <w:r>
        <w:rPr>
          <w:rFonts w:hint="eastAsia" w:ascii="仿宋_GB2312" w:eastAsia="仿宋_GB2312" w:cs="仿宋_GB2312"/>
          <w:color w:val="000000"/>
          <w:sz w:val="32"/>
          <w:szCs w:val="32"/>
        </w:rPr>
        <w:t>%。主要变动原因是</w:t>
      </w:r>
      <w:r>
        <w:rPr>
          <w:rFonts w:ascii="仿宋_GB2312" w:eastAsia="仿宋_GB2312" w:cs="仿宋_GB2312"/>
          <w:color w:val="000000"/>
          <w:sz w:val="32"/>
          <w:szCs w:val="32"/>
        </w:rPr>
        <w:t>压缩经费支出</w:t>
      </w:r>
      <w:r>
        <w:rPr>
          <w:rFonts w:hint="eastAsia" w:ascii="仿宋_GB2312" w:eastAsia="仿宋_GB2312" w:cs="仿宋_GB2312"/>
          <w:color w:val="000000"/>
          <w:sz w:val="32"/>
          <w:szCs w:val="32"/>
          <w:lang w:eastAsia="zh-CN"/>
        </w:rPr>
        <w:t>。</w:t>
      </w:r>
    </w:p>
    <w:p>
      <w:pPr>
        <w:pStyle w:val="2"/>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（图4：财政拨款收、支决算总计变动情况）</w:t>
      </w:r>
      <w:r>
        <w:rPr>
          <w:rFonts w:hint="eastAsia" w:ascii="仿宋_GB2312" w:eastAsia="仿宋_GB2312" w:cs="仿宋_GB2312"/>
          <w:color w:val="000000"/>
          <w:sz w:val="32"/>
          <w:szCs w:val="32"/>
          <w:lang w:val="en-US" w:eastAsia="zh-CN"/>
        </w:rPr>
        <w:t>(单位：万元）</w:t>
      </w:r>
    </w:p>
    <w:p>
      <w:pPr>
        <w:pStyle w:val="2"/>
        <w:ind w:firstLine="1673" w:firstLineChars="523"/>
        <w:rPr>
          <w:rFonts w:hint="eastAsia" w:ascii="仿宋_GB2312" w:eastAsia="仿宋_GB2312" w:cs="仿宋_GB2312"/>
          <w:color w:val="000000"/>
          <w:kern w:val="2"/>
          <w:sz w:val="32"/>
          <w:szCs w:val="32"/>
          <w:lang w:val="en-US" w:eastAsia="zh-CN" w:bidi="ar-SA"/>
        </w:rPr>
      </w:pPr>
      <w:r>
        <w:rPr>
          <w:rFonts w:hint="eastAsia" w:ascii="仿宋_GB2312" w:hAnsi="仿宋" w:eastAsia="仿宋_GB2312"/>
          <w:color w:val="000000"/>
          <w:sz w:val="32"/>
          <w:szCs w:val="32"/>
        </w:rPr>
        <w:drawing>
          <wp:anchor distT="0" distB="0" distL="114300" distR="114300" simplePos="0" relativeHeight="251660288" behindDoc="0" locked="0" layoutInCell="1" allowOverlap="1">
            <wp:simplePos x="0" y="0"/>
            <wp:positionH relativeFrom="column">
              <wp:posOffset>548640</wp:posOffset>
            </wp:positionH>
            <wp:positionV relativeFrom="paragraph">
              <wp:posOffset>219075</wp:posOffset>
            </wp:positionV>
            <wp:extent cx="4610735" cy="2696845"/>
            <wp:effectExtent l="4445" t="4445" r="13970" b="22860"/>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jc w:val="left"/>
      </w:pPr>
    </w:p>
    <w:p>
      <w:pPr>
        <w:pStyle w:val="2"/>
        <w:jc w:val="left"/>
      </w:pPr>
    </w:p>
    <w:p>
      <w:pPr>
        <w:pStyle w:val="2"/>
        <w:jc w:val="left"/>
      </w:pPr>
    </w:p>
    <w:p>
      <w:pPr>
        <w:pStyle w:val="2"/>
        <w:jc w:val="left"/>
      </w:pPr>
    </w:p>
    <w:p>
      <w:pPr>
        <w:pStyle w:val="2"/>
        <w:jc w:val="left"/>
      </w:pPr>
    </w:p>
    <w:p>
      <w:pPr>
        <w:pStyle w:val="2"/>
        <w:jc w:val="left"/>
      </w:pPr>
    </w:p>
    <w:p>
      <w:pPr>
        <w:pStyle w:val="2"/>
        <w:jc w:val="left"/>
      </w:pPr>
    </w:p>
    <w:p>
      <w:pPr>
        <w:pStyle w:val="4"/>
        <w:ind w:firstLine="640" w:firstLineChars="200"/>
        <w:rPr>
          <w:rFonts w:hint="eastAsia" w:ascii="黑体" w:eastAsia="黑体" w:cs="Times New Roman"/>
          <w:b w:val="0"/>
          <w:bCs/>
          <w:color w:val="000000"/>
        </w:rPr>
      </w:pPr>
      <w:bookmarkStart w:id="43" w:name="_Toc15377209"/>
      <w:bookmarkStart w:id="44" w:name="_Toc11217"/>
      <w:bookmarkStart w:id="45" w:name="_Toc111208503"/>
      <w:bookmarkStart w:id="46" w:name="_Toc15377211"/>
    </w:p>
    <w:p>
      <w:pPr>
        <w:pStyle w:val="4"/>
        <w:ind w:firstLine="640" w:firstLineChars="200"/>
        <w:rPr>
          <w:rFonts w:hint="eastAsia" w:ascii="黑体" w:eastAsia="黑体" w:cs="Times New Roman"/>
          <w:b w:val="0"/>
          <w:bCs/>
          <w:color w:val="000000"/>
        </w:rPr>
      </w:pPr>
      <w:r>
        <w:rPr>
          <w:rFonts w:hint="eastAsia" w:ascii="黑体" w:eastAsia="黑体" w:cs="Times New Roman"/>
          <w:b w:val="0"/>
          <w:bCs/>
          <w:color w:val="000000"/>
        </w:rPr>
        <w:t>五、一般公共预算财政拨款支出决算情况说</w:t>
      </w:r>
      <w:bookmarkEnd w:id="43"/>
      <w:r>
        <w:rPr>
          <w:rFonts w:hint="eastAsia" w:ascii="黑体" w:eastAsia="黑体" w:cs="Times New Roman"/>
          <w:b w:val="0"/>
          <w:bCs/>
          <w:color w:val="000000"/>
        </w:rPr>
        <w:t>明</w:t>
      </w:r>
      <w:bookmarkEnd w:id="44"/>
      <w:bookmarkEnd w:id="45"/>
    </w:p>
    <w:p>
      <w:pPr>
        <w:spacing w:line="600" w:lineRule="exact"/>
        <w:ind w:firstLine="643" w:firstLineChars="200"/>
        <w:outlineLvl w:val="2"/>
        <w:rPr>
          <w:rFonts w:hint="eastAsia" w:ascii="楷体_GB2312" w:eastAsia="楷体_GB2312" w:cs="楷体_GB2312"/>
          <w:b/>
          <w:bCs w:val="0"/>
          <w:color w:val="000000"/>
          <w:sz w:val="32"/>
          <w:szCs w:val="32"/>
        </w:rPr>
      </w:pPr>
      <w:bookmarkStart w:id="47" w:name="_Toc15377210"/>
      <w:r>
        <w:rPr>
          <w:rFonts w:hint="eastAsia" w:ascii="楷体_GB2312" w:eastAsia="楷体_GB2312" w:cs="楷体_GB2312"/>
          <w:b/>
          <w:bCs w:val="0"/>
          <w:color w:val="000000"/>
          <w:sz w:val="32"/>
          <w:szCs w:val="32"/>
        </w:rPr>
        <w:t>（一）一般公共预算财政拨款支出决算总体情况</w:t>
      </w:r>
      <w:bookmarkEnd w:id="47"/>
    </w:p>
    <w:p>
      <w:pPr>
        <w:spacing w:line="600" w:lineRule="exact"/>
        <w:ind w:firstLine="640" w:firstLineChars="200"/>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2022年一般公共预算财政拨款支出1286.65万元，占本年支出合计的100%。与2021相比，一般公共预算财政拨款减少114.88万元，减少10.29 %。</w:t>
      </w:r>
      <w:r>
        <w:rPr>
          <w:rFonts w:hint="eastAsia" w:ascii="仿宋_GB2312" w:eastAsia="仿宋_GB2312" w:cs="仿宋_GB2312"/>
          <w:color w:val="000000"/>
          <w:sz w:val="32"/>
          <w:szCs w:val="32"/>
        </w:rPr>
        <w:t>主要变动原因是</w:t>
      </w:r>
      <w:r>
        <w:rPr>
          <w:rFonts w:ascii="仿宋_GB2312" w:eastAsia="仿宋_GB2312" w:cs="仿宋_GB2312"/>
          <w:color w:val="000000"/>
          <w:sz w:val="32"/>
          <w:szCs w:val="32"/>
        </w:rPr>
        <w:t>压缩经费支出</w:t>
      </w:r>
      <w:r>
        <w:rPr>
          <w:rFonts w:hint="eastAsia" w:ascii="仿宋_GB2312" w:eastAsia="仿宋_GB2312" w:cs="仿宋_GB2312"/>
          <w:color w:val="000000"/>
          <w:sz w:val="32"/>
          <w:szCs w:val="32"/>
          <w:lang w:eastAsia="zh-CN"/>
        </w:rPr>
        <w:t>。</w:t>
      </w:r>
    </w:p>
    <w:p>
      <w:pPr>
        <w:pStyle w:val="2"/>
        <w:ind w:left="0" w:leftChars="0" w:firstLine="0" w:firstLineChars="0"/>
        <w:rPr>
          <w:rFonts w:ascii="仿宋_GB2312" w:eastAsia="仿宋_GB2312"/>
          <w:b/>
          <w:color w:val="000000"/>
          <w:sz w:val="32"/>
          <w:szCs w:val="32"/>
        </w:rPr>
      </w:pPr>
      <w:r>
        <w:rPr>
          <w:rFonts w:hint="eastAsia" w:ascii="仿宋_GB2312" w:eastAsia="仿宋_GB2312" w:cs="仿宋_GB2312"/>
          <w:color w:val="000000"/>
          <w:kern w:val="2"/>
          <w:sz w:val="32"/>
          <w:szCs w:val="32"/>
          <w:lang w:val="en-US" w:eastAsia="zh-CN" w:bidi="ar-SA"/>
        </w:rPr>
        <w:t>(图5：一般公共预算财政拨款支出决算变动情况）</w:t>
      </w:r>
      <w:r>
        <w:rPr>
          <w:rFonts w:hint="eastAsia" w:ascii="仿宋_GB2312" w:eastAsia="仿宋_GB2312" w:cs="仿宋_GB2312"/>
          <w:color w:val="000000"/>
          <w:sz w:val="32"/>
          <w:szCs w:val="32"/>
          <w:lang w:val="en-US" w:eastAsia="zh-CN"/>
        </w:rPr>
        <w:t>(单位：万元）</w:t>
      </w:r>
    </w:p>
    <w:p>
      <w:pPr>
        <w:pStyle w:val="2"/>
        <w:ind w:firstLine="0"/>
        <w:rPr>
          <w:rFonts w:ascii="仿宋_GB2312" w:eastAsia="仿宋_GB2312"/>
          <w:b/>
          <w:color w:val="000000"/>
          <w:sz w:val="32"/>
          <w:szCs w:val="32"/>
        </w:rPr>
      </w:pPr>
      <w:r>
        <w:rPr>
          <w:rFonts w:hint="eastAsia" w:ascii="仿宋_GB2312" w:hAnsi="仿宋" w:eastAsia="仿宋_GB2312"/>
          <w:color w:val="000000"/>
          <w:sz w:val="32"/>
          <w:szCs w:val="32"/>
        </w:rPr>
        <w:drawing>
          <wp:anchor distT="0" distB="0" distL="114300" distR="114300" simplePos="0" relativeHeight="251661312" behindDoc="0" locked="0" layoutInCell="1" allowOverlap="1">
            <wp:simplePos x="0" y="0"/>
            <wp:positionH relativeFrom="column">
              <wp:posOffset>434340</wp:posOffset>
            </wp:positionH>
            <wp:positionV relativeFrom="paragraph">
              <wp:posOffset>61595</wp:posOffset>
            </wp:positionV>
            <wp:extent cx="5324475" cy="2619375"/>
            <wp:effectExtent l="4445" t="4445" r="5080" b="508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2"/>
        <w:ind w:firstLine="0"/>
        <w:rPr>
          <w:rFonts w:ascii="仿宋_GB2312" w:eastAsia="仿宋_GB2312"/>
          <w:b/>
          <w:color w:val="000000"/>
          <w:sz w:val="32"/>
          <w:szCs w:val="32"/>
        </w:rPr>
      </w:pPr>
    </w:p>
    <w:p>
      <w:pPr>
        <w:pStyle w:val="2"/>
        <w:ind w:firstLine="0"/>
        <w:rPr>
          <w:rFonts w:ascii="仿宋_GB2312" w:eastAsia="仿宋_GB2312"/>
          <w:b/>
          <w:color w:val="000000"/>
          <w:sz w:val="32"/>
          <w:szCs w:val="32"/>
        </w:rPr>
      </w:pPr>
    </w:p>
    <w:p>
      <w:pPr>
        <w:pStyle w:val="2"/>
        <w:ind w:firstLine="0"/>
        <w:rPr>
          <w:rFonts w:ascii="仿宋_GB2312" w:eastAsia="仿宋_GB2312"/>
          <w:b/>
          <w:color w:val="000000"/>
          <w:sz w:val="32"/>
          <w:szCs w:val="32"/>
        </w:rPr>
      </w:pPr>
    </w:p>
    <w:p>
      <w:pPr>
        <w:pStyle w:val="2"/>
        <w:ind w:firstLine="0"/>
        <w:rPr>
          <w:rFonts w:ascii="仿宋_GB2312" w:eastAsia="仿宋_GB2312"/>
          <w:b/>
          <w:color w:val="000000"/>
          <w:sz w:val="32"/>
          <w:szCs w:val="32"/>
        </w:rPr>
      </w:pPr>
    </w:p>
    <w:p>
      <w:pPr>
        <w:pStyle w:val="2"/>
        <w:ind w:firstLine="0"/>
        <w:rPr>
          <w:rFonts w:ascii="仿宋_GB2312" w:eastAsia="仿宋_GB2312"/>
          <w:b/>
          <w:color w:val="000000"/>
          <w:sz w:val="32"/>
          <w:szCs w:val="32"/>
        </w:rPr>
      </w:pPr>
    </w:p>
    <w:p>
      <w:pPr>
        <w:pStyle w:val="2"/>
        <w:ind w:firstLine="0"/>
        <w:rPr>
          <w:rFonts w:ascii="仿宋_GB2312" w:eastAsia="仿宋_GB2312"/>
          <w:b/>
          <w:color w:val="000000"/>
          <w:sz w:val="32"/>
          <w:szCs w:val="32"/>
        </w:rPr>
      </w:pPr>
    </w:p>
    <w:bookmarkEnd w:id="46"/>
    <w:p>
      <w:pPr>
        <w:spacing w:line="600" w:lineRule="exact"/>
        <w:ind w:firstLine="643" w:firstLineChars="200"/>
        <w:outlineLvl w:val="2"/>
        <w:rPr>
          <w:rFonts w:hint="eastAsia" w:ascii="楷体_GB2312" w:eastAsia="楷体_GB2312" w:cs="楷体_GB2312"/>
          <w:b/>
          <w:bCs w:val="0"/>
          <w:color w:val="000000"/>
          <w:sz w:val="32"/>
          <w:szCs w:val="32"/>
        </w:rPr>
      </w:pPr>
      <w:r>
        <w:rPr>
          <w:rFonts w:hint="eastAsia" w:ascii="楷体_GB2312" w:eastAsia="楷体_GB2312" w:cs="楷体_GB2312"/>
          <w:b/>
          <w:bCs w:val="0"/>
          <w:color w:val="000000"/>
          <w:sz w:val="32"/>
          <w:szCs w:val="32"/>
        </w:rPr>
        <w:t>（二）一般公共预算财政拨款支出决算结构情况</w:t>
      </w:r>
    </w:p>
    <w:p>
      <w:pPr>
        <w:spacing w:line="600" w:lineRule="exact"/>
        <w:ind w:firstLine="640" w:firstLineChars="200"/>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一般公共预算财政拨款支出1286.65万元，主要用于以下方面:一般公共服务支出1031.73万元，占80.19%；社会保障和就业支出127.59万元，占9.92%；卫生健康支出51.5万元，占4%；农林水支出0.84万元，占0.07%；住房保障支出74.98万元，占5.82%。</w:t>
      </w:r>
    </w:p>
    <w:p>
      <w:pPr>
        <w:spacing w:line="600" w:lineRule="exact"/>
        <w:ind w:firstLine="640" w:firstLineChars="200"/>
        <w:rPr>
          <w:rFonts w:hint="eastAsia" w:ascii="仿宋_GB2312" w:eastAsia="仿宋_GB2312" w:cs="仿宋_GB2312"/>
          <w:color w:val="000000"/>
          <w:kern w:val="2"/>
          <w:sz w:val="32"/>
          <w:szCs w:val="32"/>
          <w:lang w:val="en-US" w:eastAsia="zh-CN" w:bidi="ar-SA"/>
        </w:rPr>
      </w:pPr>
    </w:p>
    <w:p>
      <w:pPr>
        <w:spacing w:line="600" w:lineRule="exact"/>
        <w:ind w:firstLine="1280" w:firstLineChars="400"/>
        <w:rPr>
          <w:rFonts w:ascii="仿宋" w:eastAsia="仿宋"/>
          <w:color w:val="000000"/>
          <w:sz w:val="32"/>
          <w:szCs w:val="32"/>
        </w:rPr>
      </w:pPr>
      <w:r>
        <w:rPr>
          <w:rFonts w:hint="eastAsia" w:ascii="仿宋_GB2312" w:eastAsia="仿宋_GB2312" w:cs="仿宋_GB2312"/>
          <w:color w:val="000000"/>
          <w:kern w:val="2"/>
          <w:sz w:val="32"/>
          <w:szCs w:val="32"/>
          <w:lang w:val="en-US" w:eastAsia="zh-CN" w:bidi="ar-SA"/>
        </w:rPr>
        <w:t>（图6：一般公共预算财政拨款支出决算结构）</w:t>
      </w:r>
      <w:bookmarkStart w:id="48" w:name="_Toc15377212"/>
    </w:p>
    <w:p>
      <w:pPr>
        <w:pStyle w:val="2"/>
      </w:pPr>
      <w:r>
        <w:rPr>
          <w:rFonts w:hint="eastAsia" w:ascii="仿宋" w:hAnsi="仿宋" w:eastAsia="仿宋"/>
          <w:color w:val="000000"/>
          <w:sz w:val="32"/>
          <w:szCs w:val="32"/>
        </w:rPr>
        <w:drawing>
          <wp:anchor distT="0" distB="0" distL="114300" distR="114300" simplePos="0" relativeHeight="251662336" behindDoc="0" locked="0" layoutInCell="1" allowOverlap="1">
            <wp:simplePos x="0" y="0"/>
            <wp:positionH relativeFrom="column">
              <wp:posOffset>854075</wp:posOffset>
            </wp:positionH>
            <wp:positionV relativeFrom="paragraph">
              <wp:posOffset>147320</wp:posOffset>
            </wp:positionV>
            <wp:extent cx="4065905" cy="2190750"/>
            <wp:effectExtent l="4445" t="4445" r="6350" b="14605"/>
            <wp:wrapSquare wrapText="bothSides"/>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2"/>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p>
    <w:p>
      <w:pPr>
        <w:spacing w:line="600" w:lineRule="exact"/>
        <w:ind w:firstLine="643" w:firstLineChars="200"/>
        <w:outlineLvl w:val="2"/>
        <w:rPr>
          <w:rFonts w:hint="eastAsia" w:ascii="楷体_GB2312" w:eastAsia="楷体_GB2312" w:cs="楷体_GB2312"/>
          <w:b/>
          <w:bCs w:val="0"/>
          <w:color w:val="000000"/>
          <w:sz w:val="32"/>
          <w:szCs w:val="32"/>
        </w:rPr>
      </w:pPr>
      <w:r>
        <w:rPr>
          <w:rFonts w:hint="eastAsia" w:ascii="楷体_GB2312" w:eastAsia="楷体_GB2312" w:cs="楷体_GB2312"/>
          <w:b/>
          <w:bCs w:val="0"/>
          <w:color w:val="000000"/>
          <w:sz w:val="32"/>
          <w:szCs w:val="32"/>
        </w:rPr>
        <w:t>（三）一般公共预算财政拨款支出决算具体情况</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bookmarkStart w:id="49" w:name="_Toc15377444"/>
      <w:bookmarkStart w:id="50" w:name="_Toc15377213"/>
      <w:bookmarkStart w:id="51" w:name="_Toc15378460"/>
      <w:r>
        <w:rPr>
          <w:rFonts w:hint="eastAsia" w:ascii="仿宋_GB2312" w:eastAsia="仿宋_GB2312" w:cs="仿宋_GB2312"/>
          <w:color w:val="000000"/>
          <w:kern w:val="2"/>
          <w:sz w:val="32"/>
          <w:szCs w:val="32"/>
          <w:lang w:val="en-US" w:eastAsia="zh-CN" w:bidi="ar-SA"/>
        </w:rPr>
        <w:t>2022年一般公共预算支出决算数为1286.65万元，完成预算100%。其中：</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1.一般公共服务支出（201）党委办公厅（室）及相关机构事务（20131）行政运行（2013101）支出决算779.73万元，完成预算100%。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2.一般公共服务支出（201）党委办公厅（室）及相关机构事务（20131）其他党委办公厅（室）及相关机构事务支出（2013199）支出决算128.82万元，完成预算100%。</w:t>
      </w:r>
    </w:p>
    <w:p>
      <w:pPr>
        <w:pStyle w:val="2"/>
        <w:rPr>
          <w:rFonts w:hint="eastAsia"/>
          <w:lang w:val="en-US" w:eastAsia="zh-CN"/>
        </w:rPr>
      </w:pPr>
      <w:r>
        <w:rPr>
          <w:rFonts w:hint="eastAsia" w:ascii="仿宋_GB2312" w:hAnsi="仿宋_GB2312" w:eastAsia="仿宋_GB2312" w:cs="仿宋_GB2312"/>
          <w:color w:val="000000"/>
          <w:sz w:val="32"/>
          <w:szCs w:val="32"/>
        </w:rPr>
        <w:t>3.一般公共服务支出（201）党委办公厅（室）及相关机构事务（20131）事业运行（2013150）支出决算</w:t>
      </w:r>
      <w:r>
        <w:rPr>
          <w:rFonts w:hint="eastAsia" w:ascii="仿宋_GB2312" w:hAnsi="仿宋_GB2312" w:eastAsia="仿宋_GB2312" w:cs="仿宋_GB2312"/>
          <w:color w:val="000000"/>
          <w:sz w:val="32"/>
          <w:szCs w:val="32"/>
          <w:lang w:val="en-US" w:eastAsia="zh-CN"/>
        </w:rPr>
        <w:t>123.18</w:t>
      </w:r>
      <w:r>
        <w:rPr>
          <w:rFonts w:hint="eastAsia" w:ascii="仿宋_GB2312" w:hAnsi="仿宋_GB2312" w:eastAsia="仿宋_GB2312" w:cs="仿宋_GB2312"/>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4.社会保障和就业支出（208）行政事业单位养老支出（20805）机关事业单位基本养老保险缴费支出（2080505）支出决算86.38万元，完成预算100%。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5.社会保障和就业支出（208）行政事业单位养老支出（20805）机关事业单位职业年金缴费支出（2080506）支出决算41.21万元，完成预算100%。</w:t>
      </w:r>
    </w:p>
    <w:p>
      <w:pPr>
        <w:pStyle w:val="2"/>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6.卫生健康支出（210）行政事业单位医疗（21011）行政单位医疗（2101101）支出决算43.27万元，完成预算100%。</w:t>
      </w:r>
    </w:p>
    <w:p>
      <w:pPr>
        <w:pStyle w:val="2"/>
        <w:rPr>
          <w:rFonts w:hint="eastAsia" w:asci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.卫生健康支出（210）行政事业单位医疗（21011）事业单位医疗（2101102）支出决算</w:t>
      </w:r>
      <w:r>
        <w:rPr>
          <w:rFonts w:hint="eastAsia" w:ascii="仿宋_GB2312" w:hAnsi="仿宋_GB2312" w:eastAsia="仿宋_GB2312" w:cs="仿宋_GB2312"/>
          <w:color w:val="000000"/>
          <w:sz w:val="32"/>
          <w:szCs w:val="32"/>
          <w:lang w:val="en-US" w:eastAsia="zh-CN"/>
        </w:rPr>
        <w:t>8.23</w:t>
      </w:r>
      <w:r>
        <w:rPr>
          <w:rFonts w:hint="eastAsia" w:ascii="仿宋_GB2312" w:hAnsi="仿宋_GB2312" w:eastAsia="仿宋_GB2312" w:cs="仿宋_GB2312"/>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8.农林水支出（213）扶贫（21305）其他扶贫支出（2130599）支出决算0.84万元，完成预算100%。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9.住房保障支出（221）住房改革支出（22102）住房公积金（2210201）支出决算72.75万元，完成预算100%。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ab/>
      </w:r>
      <w:r>
        <w:rPr>
          <w:rFonts w:hint="eastAsia" w:ascii="仿宋_GB2312" w:eastAsia="仿宋_GB2312" w:cs="仿宋_GB2312"/>
          <w:color w:val="000000"/>
          <w:kern w:val="2"/>
          <w:sz w:val="32"/>
          <w:szCs w:val="32"/>
          <w:lang w:val="en-US" w:eastAsia="zh-CN" w:bidi="ar-SA"/>
        </w:rPr>
        <w:t>10.住房保障支出（221）住房改革支出（22102）购房补贴（2210203）支出决算2.23万元，完成预算100%。</w:t>
      </w:r>
    </w:p>
    <w:p>
      <w:pPr>
        <w:pStyle w:val="4"/>
        <w:ind w:firstLine="643" w:firstLineChars="200"/>
        <w:rPr>
          <w:rFonts w:ascii="黑体" w:eastAsia="黑体" w:cs="Times New Roman"/>
          <w:b w:val="0"/>
          <w:color w:val="000000"/>
        </w:rPr>
      </w:pPr>
      <w:bookmarkStart w:id="52" w:name="_Toc15377214"/>
      <w:bookmarkStart w:id="53" w:name="_Toc32028"/>
      <w:bookmarkStart w:id="54" w:name="_Toc111208504"/>
      <w:r>
        <w:rPr>
          <w:rFonts w:hint="eastAsia" w:ascii="黑体" w:eastAsia="黑体" w:cs="Times New Roman"/>
          <w:bCs w:val="0"/>
          <w:color w:val="000000"/>
        </w:rPr>
        <w:t>六、一般公共预算财政拨款基本支出决算情况说</w:t>
      </w:r>
      <w:bookmarkEnd w:id="52"/>
      <w:r>
        <w:rPr>
          <w:rFonts w:hint="eastAsia" w:ascii="黑体" w:eastAsia="黑体" w:cs="Times New Roman"/>
          <w:bCs w:val="0"/>
          <w:color w:val="000000"/>
        </w:rPr>
        <w:t>明</w:t>
      </w:r>
      <w:bookmarkEnd w:id="53"/>
      <w:bookmarkEnd w:id="5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2022年一般公共预算财政拨款基本支出1156.98万元，其中：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人员经费1011.3万元，主要包括：基本工资209.52万元、津贴补贴1662.6万元、奖金272.28万元、绩效工资73.79万元、机关事业单位基本养老保险缴费86.38万元、职业年金缴费41.21万元、职工基本医疗保险缴费51.5万元、其他社会保障缴费13.97万元、住房公积金72.75万元、医疗费11.38万元、生活补助7.14万元、医疗费补助3.98万元、奖励金1.14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公用经费145.68万元，主要包括：办公费21.92万元、邮电费2.92万元、差旅费11.45万元、培训费0.8万元、公务接待费0.6万元、公务用车运行维护费48万元。</w:t>
      </w:r>
    </w:p>
    <w:p>
      <w:pPr>
        <w:pStyle w:val="4"/>
        <w:ind w:firstLine="643" w:firstLineChars="200"/>
        <w:rPr>
          <w:rFonts w:ascii="黑体" w:eastAsia="黑体" w:cs="Times New Roman"/>
          <w:bCs w:val="0"/>
          <w:color w:val="000000"/>
        </w:rPr>
      </w:pPr>
      <w:bookmarkStart w:id="55" w:name="_Toc8600"/>
      <w:bookmarkStart w:id="56" w:name="_Toc111208505"/>
      <w:bookmarkStart w:id="57" w:name="_Toc15377215"/>
      <w:r>
        <w:rPr>
          <w:rFonts w:hint="eastAsia" w:ascii="黑体" w:eastAsia="黑体" w:cs="Times New Roman"/>
          <w:bCs w:val="0"/>
          <w:color w:val="000000"/>
        </w:rPr>
        <w:t>七、“三公”经费财政拨款支出决算情况说明</w:t>
      </w:r>
      <w:bookmarkEnd w:id="55"/>
      <w:bookmarkEnd w:id="56"/>
      <w:bookmarkEnd w:id="57"/>
    </w:p>
    <w:p>
      <w:pPr>
        <w:spacing w:line="600" w:lineRule="exact"/>
        <w:ind w:firstLine="643" w:firstLineChars="200"/>
        <w:outlineLvl w:val="2"/>
        <w:rPr>
          <w:rFonts w:ascii="仿宋" w:eastAsia="仿宋"/>
          <w:b/>
          <w:color w:val="000000"/>
          <w:sz w:val="32"/>
          <w:szCs w:val="32"/>
        </w:rPr>
      </w:pPr>
      <w:bookmarkStart w:id="58" w:name="_Toc15377216"/>
      <w:r>
        <w:rPr>
          <w:rFonts w:hint="eastAsia" w:ascii="楷体_GB2312" w:eastAsia="楷体_GB2312" w:cs="楷体_GB2312"/>
          <w:b/>
          <w:color w:val="000000"/>
          <w:sz w:val="32"/>
          <w:szCs w:val="32"/>
        </w:rPr>
        <w:t>（一）“三公”经费财政拨款支出决算总体情况说明</w:t>
      </w:r>
      <w:bookmarkEnd w:id="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2022年“三公”经费财政拨款支出决算为153.6万元，完成预算100%。</w:t>
      </w:r>
      <w:bookmarkStart w:id="59" w:name="_Toc15377217"/>
    </w:p>
    <w:p>
      <w:pPr>
        <w:spacing w:line="600" w:lineRule="exact"/>
        <w:ind w:firstLine="643" w:firstLineChars="200"/>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（二）“三公”经费财政拨款支出决算具体情况说明</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 w:eastAsia="仿宋"/>
          <w:color w:val="000000"/>
          <w:sz w:val="32"/>
          <w:szCs w:val="32"/>
        </w:rPr>
        <w:t>2</w:t>
      </w:r>
      <w:r>
        <w:rPr>
          <w:rFonts w:hint="eastAsia" w:ascii="仿宋_GB2312" w:eastAsia="仿宋_GB2312" w:cs="仿宋_GB2312"/>
          <w:color w:val="000000"/>
          <w:kern w:val="2"/>
          <w:sz w:val="32"/>
          <w:szCs w:val="32"/>
          <w:lang w:val="en-US" w:eastAsia="zh-CN" w:bidi="ar-SA"/>
        </w:rPr>
        <w:t>022年“三公”经费财政拨款支出153.6万，因公出国（境）费支出决算0万元；公务用车购置及运行维护费支出决算153万元，占99.61%；公务接待费支出决算0.6万元，占0.39%。具体情况如下：</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（图7：“三公”经费财政拨款支出结构）</w:t>
      </w:r>
    </w:p>
    <w:p>
      <w:pPr>
        <w:pStyle w:val="2"/>
        <w:rPr>
          <w:rFonts w:ascii="仿宋_GB2312" w:eastAsia="仿宋_GB2312"/>
          <w:color w:val="000000"/>
          <w:sz w:val="32"/>
          <w:szCs w:val="32"/>
        </w:rPr>
      </w:pPr>
      <w:r>
        <w:rPr>
          <w:rFonts w:hint="eastAsia" w:ascii="仿宋_GB2312" w:eastAsia="仿宋_GB2312"/>
          <w:color w:val="000000"/>
          <w:sz w:val="32"/>
          <w:szCs w:val="32"/>
          <w:lang w:eastAsia="zh-CN"/>
        </w:rPr>
        <w:drawing>
          <wp:inline distT="0" distB="0" distL="114300" distR="114300">
            <wp:extent cx="5080000" cy="3810000"/>
            <wp:effectExtent l="4445" t="4445" r="20955"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 xml:space="preserve">1.因公出国（境）经费支出0万元。全年安排因公出国（境）团组0次，出国（境）0人。因公出国（境）支出决算比2021年增加0万元。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 xml:space="preserve">2.公务用车购置及运行维护费支出153万元,完成预算100%。公务用车购置及运行维护费支出决算比2021年增加59.3万元，增加63.28%。主要原因是新购公务用车一辆。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其中：公务用车购置支出60万元。全年按规定更新购置公务用车1辆，其中：轿车0辆、金额0万元，越野车1辆、金额60万元，载客汽车0辆、金额0万元。截至2022年12月底，单位共有公务用车8辆，其中：轿车0辆、越野车8辆、载客汽车0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 xml:space="preserve">公务用车运行维护费支出93万元。主要用于购车一辆。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3.公务接待费支出0.6万元，完成预算100%。公务接待费支出决算比2021年减少2.32万元，减少387.45%。</w:t>
      </w:r>
      <w:bookmarkStart w:id="60" w:name="_Toc15377218"/>
      <w:r>
        <w:rPr>
          <w:rFonts w:hint="eastAsia" w:ascii="仿宋_GB2312" w:eastAsia="仿宋_GB2312" w:cs="仿宋_GB2312"/>
          <w:color w:val="000000"/>
          <w:kern w:val="2"/>
          <w:sz w:val="32"/>
          <w:szCs w:val="32"/>
          <w:lang w:val="en-US" w:eastAsia="zh-CN" w:bidi="ar-SA"/>
        </w:rPr>
        <w:t xml:space="preserve">主要原因是压缩三公经费支出。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国内公务接待支出0.6万元。国内公务接待7批次，56人次（不包括陪同人员），共计支出0.6万元。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外事接待支出0万元，外事接待0批次，0人，共计支出0万元。</w:t>
      </w:r>
    </w:p>
    <w:p>
      <w:pPr>
        <w:pStyle w:val="4"/>
        <w:ind w:firstLine="643" w:firstLineChars="200"/>
        <w:rPr>
          <w:rFonts w:ascii="黑体" w:eastAsia="黑体" w:cs="Times New Roman"/>
          <w:bCs w:val="0"/>
          <w:color w:val="000000"/>
        </w:rPr>
      </w:pPr>
      <w:bookmarkStart w:id="61" w:name="_Toc111208506"/>
      <w:bookmarkStart w:id="62" w:name="_Toc9979"/>
      <w:r>
        <w:rPr>
          <w:rFonts w:hint="eastAsia" w:ascii="黑体" w:eastAsia="黑体" w:cs="Times New Roman"/>
          <w:bCs w:val="0"/>
          <w:color w:val="000000"/>
        </w:rPr>
        <w:t>八、政府性基金预算支出决算情况说明</w:t>
      </w:r>
      <w:bookmarkEnd w:id="60"/>
      <w:bookmarkEnd w:id="61"/>
      <w:bookmarkEnd w:id="6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2022年政府性基金预算拨款支出0万元。</w:t>
      </w:r>
      <w:bookmarkStart w:id="63" w:name="_Toc15377219"/>
    </w:p>
    <w:p>
      <w:pPr>
        <w:pStyle w:val="4"/>
        <w:ind w:firstLine="643" w:firstLineChars="200"/>
        <w:rPr>
          <w:rFonts w:ascii="黑体" w:eastAsia="黑体" w:cs="Times New Roman"/>
          <w:bCs w:val="0"/>
          <w:color w:val="000000"/>
        </w:rPr>
      </w:pPr>
      <w:bookmarkStart w:id="64" w:name="_Toc111208507"/>
      <w:bookmarkStart w:id="65" w:name="_Toc19072"/>
      <w:r>
        <w:rPr>
          <w:rFonts w:hint="eastAsia" w:ascii="黑体" w:eastAsia="黑体" w:cs="Times New Roman"/>
          <w:bCs w:val="0"/>
          <w:color w:val="000000"/>
        </w:rPr>
        <w:t>九、国有资本经营预算支出决算情况说明</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2022年国有资本经营预算拨款支出0万元。</w:t>
      </w:r>
    </w:p>
    <w:p>
      <w:pPr>
        <w:pStyle w:val="4"/>
        <w:ind w:firstLine="643" w:firstLineChars="200"/>
        <w:rPr>
          <w:rFonts w:ascii="黑体" w:eastAsia="黑体" w:cs="Times New Roman"/>
          <w:bCs w:val="0"/>
          <w:color w:val="000000"/>
        </w:rPr>
      </w:pPr>
      <w:bookmarkStart w:id="66" w:name="_Toc24656"/>
      <w:bookmarkStart w:id="67" w:name="_Toc15377221"/>
      <w:bookmarkStart w:id="68" w:name="_Toc111208508"/>
      <w:r>
        <w:rPr>
          <w:rFonts w:hint="eastAsia" w:ascii="黑体" w:eastAsia="黑体" w:cs="Times New Roman"/>
          <w:bCs w:val="0"/>
          <w:color w:val="000000"/>
        </w:rPr>
        <w:t>十、其他重要事项的情况说明</w:t>
      </w:r>
      <w:bookmarkEnd w:id="66"/>
      <w:bookmarkEnd w:id="67"/>
      <w:bookmarkEnd w:id="68"/>
    </w:p>
    <w:p>
      <w:pPr>
        <w:spacing w:line="600" w:lineRule="exact"/>
        <w:ind w:firstLine="643" w:firstLineChars="200"/>
        <w:outlineLvl w:val="2"/>
        <w:rPr>
          <w:rFonts w:hint="eastAsia" w:ascii="楷体_GB2312" w:eastAsia="楷体_GB2312" w:cs="楷体_GB2312"/>
          <w:b/>
          <w:color w:val="000000"/>
          <w:sz w:val="32"/>
          <w:szCs w:val="32"/>
        </w:rPr>
      </w:pPr>
      <w:bookmarkStart w:id="69" w:name="_Toc15377222"/>
      <w:r>
        <w:rPr>
          <w:rFonts w:hint="eastAsia" w:ascii="楷体_GB2312" w:eastAsia="楷体_GB2312" w:cs="楷体_GB2312"/>
          <w:b/>
          <w:color w:val="000000"/>
          <w:sz w:val="32"/>
          <w:szCs w:val="32"/>
        </w:rPr>
        <w:t>（一）机关运行经费支出情况</w:t>
      </w:r>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 xml:space="preserve">2022年，机关运行经费支出139.32万元，比2021年增加22.39万元，增加19.5%。主要原因是工作开展增加，经费增多。 </w:t>
      </w:r>
    </w:p>
    <w:p>
      <w:pPr>
        <w:spacing w:line="600" w:lineRule="exact"/>
        <w:ind w:firstLine="643" w:firstLineChars="200"/>
        <w:outlineLvl w:val="2"/>
        <w:rPr>
          <w:rFonts w:hint="eastAsia" w:ascii="楷体_GB2312" w:eastAsia="楷体_GB2312" w:cs="楷体_GB2312"/>
          <w:b/>
          <w:color w:val="000000"/>
          <w:sz w:val="32"/>
          <w:szCs w:val="32"/>
        </w:rPr>
      </w:pPr>
      <w:bookmarkStart w:id="70" w:name="_Toc15377223"/>
      <w:r>
        <w:rPr>
          <w:rFonts w:hint="eastAsia" w:ascii="楷体_GB2312" w:eastAsia="楷体_GB2312" w:cs="楷体_GB2312"/>
          <w:b/>
          <w:color w:val="000000"/>
          <w:sz w:val="32"/>
          <w:szCs w:val="32"/>
        </w:rPr>
        <w:t>（二）政府采购支出情况</w:t>
      </w:r>
      <w:bookmarkEnd w:id="7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2022年，政府采购支出总额60万元，其中：政府采购货物支出60万元、政府采购工程支出0万元、政府采购服务支出0万元。授予中小企业合同金额0万元，其中：授予小微企业合同金额0万元。</w:t>
      </w:r>
    </w:p>
    <w:p>
      <w:pPr>
        <w:spacing w:line="600" w:lineRule="exact"/>
        <w:ind w:firstLine="643" w:firstLineChars="200"/>
        <w:outlineLvl w:val="2"/>
        <w:rPr>
          <w:rFonts w:hint="eastAsia" w:ascii="楷体_GB2312" w:eastAsia="楷体_GB2312" w:cs="楷体_GB2312"/>
          <w:b/>
          <w:color w:val="000000"/>
          <w:sz w:val="32"/>
          <w:szCs w:val="32"/>
        </w:rPr>
      </w:pPr>
      <w:bookmarkStart w:id="71" w:name="_Toc15377224"/>
      <w:r>
        <w:rPr>
          <w:rFonts w:hint="eastAsia" w:ascii="楷体_GB2312" w:eastAsia="楷体_GB2312" w:cs="楷体_GB2312"/>
          <w:b/>
          <w:color w:val="000000"/>
          <w:sz w:val="32"/>
          <w:szCs w:val="32"/>
        </w:rPr>
        <w:t>（三）国有资产占有使用情况</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截至2022年12月31日，共有车辆8辆，其中：主要领导干部用车0辆、机要通信用车1辆、应急保障用车7辆、其他用车0辆。单价50万元以上通用设备0台（套），单价100万元以上专用设备0台（套）。</w:t>
      </w:r>
    </w:p>
    <w:p>
      <w:pPr>
        <w:spacing w:line="600" w:lineRule="exact"/>
        <w:ind w:firstLine="643" w:firstLineChars="200"/>
        <w:outlineLvl w:val="2"/>
        <w:rPr>
          <w:rFonts w:hint="eastAsia" w:ascii="楷体_GB2312" w:eastAsia="楷体_GB2312" w:cs="楷体_GB2312"/>
          <w:b/>
          <w:color w:val="000000"/>
          <w:sz w:val="32"/>
          <w:szCs w:val="32"/>
        </w:rPr>
      </w:pPr>
      <w:r>
        <w:rPr>
          <w:rFonts w:hint="eastAsia" w:ascii="楷体_GB2312" w:eastAsia="楷体_GB2312" w:cs="楷体_GB2312"/>
          <w:b/>
          <w:color w:val="000000"/>
          <w:sz w:val="32"/>
          <w:szCs w:val="32"/>
        </w:rPr>
        <w:t>（四）预算绩效管理情况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我办根据预算绩效管理要求，根据年初工作规划和重点性工作，积极履职，强化管理，通过加强预算收支管理，不断建立健全内部管理制度，梳理内部管理流程，较好的完成了年度工作目标。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cs="黑体"/>
        </w:rPr>
      </w:pPr>
      <w:r>
        <w:rPr>
          <w:rFonts w:hint="eastAsia" w:ascii="仿宋_GB2312" w:eastAsia="仿宋_GB2312" w:cs="仿宋_GB2312"/>
          <w:color w:val="000000"/>
          <w:kern w:val="2"/>
          <w:sz w:val="32"/>
          <w:szCs w:val="32"/>
          <w:lang w:val="en-US" w:eastAsia="zh-CN" w:bidi="ar-SA"/>
        </w:rPr>
        <w:t>我办按要求对2022年部门整体支出开展绩效自评，从评价情况来看，2022年我办部门整体支出绩效评价自查自评结果良好，全年基本支出保证了部门的正常运行和日常工作的正常开展，绩效目标得到较好实现，绩效管理水平不断提高，绩效指标体系逐渐丰富和完善。</w:t>
      </w:r>
    </w:p>
    <w:p>
      <w:pPr>
        <w:pStyle w:val="3"/>
        <w:jc w:val="center"/>
        <w:rPr>
          <w:rFonts w:ascii="黑体" w:eastAsia="黑体" w:cs="黑体"/>
        </w:rPr>
      </w:pPr>
      <w:bookmarkStart w:id="72" w:name="_Toc2930"/>
      <w:r>
        <w:rPr>
          <w:rFonts w:hint="eastAsia" w:ascii="黑体" w:eastAsia="黑体" w:cs="黑体"/>
        </w:rPr>
        <w:t>第三部分 名词解释</w:t>
      </w:r>
      <w:bookmarkEnd w:id="72"/>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1.财政拨款收入：指单位从同级财政部门取得的财政预算资金。</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2.事业收入：指事业单位开展专业业务活动及辅助活动取得的收入。</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3.经营收入：指事业单位在专业业务活动及其辅助活动之外开展非独立核算经营活动取得的收入</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4.其他收入：指单位取得的除上述收入以外的各项收入。</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6.年初结转和结余：指以前年度尚未完成、结转到本年按有关规定继续使用的资金。 </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7.结余分配：指事业单位按照事业单位会计制度的规定从非财政补助结余中分配的事业基金和职工福利基金等。</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8.年末结转和结余：指单位按有关规定结转到下年或以后年度继续使用的资金。</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9.一般公共服务支出（201）党委办公厅（室）及相关机构事务（20131）行政运行（2013101）：反映行政单位（包括实行公务员管理的事业单位）的基本支出。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10.一般公共服务支出（201）党委办公厅（室）及相关机构事务（20131）一般行政管理事务（2013102）：反映行政单位（包括实行公务员管理的事业单位）未单独设置项级科目的其他项目支出。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11.一般公共服务支出（201）党委办公厅（室）及相关机构事务（20131）事业运行（2013150）：反映事业单位的基本支出，不包括行政单位（包括实行公务员管理的事业单位）后勤服务中心、医务室等附属事业单位。</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12.一般公共服务支出（201）党委办公厅（室）及相关机构事务（20131）其他党委办公厅（室）及相关机构事务支出（2013199）：反映除上述项目以外其他用于党委办公厅（室）及相关机构事务支出。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13.一般公共服务支出（201）其他一般公共服务支出（20199）其他一般公共服务支出（2019999）：反映除上述项以外的其他一般公共服务支出。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14.社会保障和就业支出（208）行政事业单位养老支出（20805）机关事业单位基本养老保险缴费支出（2080505）：反映机关事业单位实施养老保险制度由单位缴纳的基本养老保险费支出。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15.社会保障和就业支出（208）行政事业单位养老支出（20805）机关事业单位职业年金缴费支出（2080506）：反映机关事业单位实施养老保险制度由单位实际缴纳的职业年金支出。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16.卫生健康支出（210）行政事业单位医疗（21011）行政单位医疗（2101101）：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17.卫生健康支出（210）行政事业单位医疗（21011）事业单位医疗（2101102）：反映财政部门安排的事业单位基本医疗保险缴费经费，未参加医疗保险的事业单位的公费医疗经费，按国家规定享受离休人员待遇的医疗经费。</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18.农林水支出（213）扶贫（21305）其他扶贫支出（2130599）：反映除上述项目以外其他用于扶贫方面的支出。</w:t>
      </w:r>
    </w:p>
    <w:p>
      <w:pPr>
        <w:spacing w:line="600" w:lineRule="exact"/>
        <w:ind w:firstLine="64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19.住房保障支出（221）住房改革支出（22102）住房公积金（2210201）：反映行政事业单位按人力资源和社会保障部、财政部规定的基本工资和津贴补贴以及规定比例为职工缴纳的住房公积金。</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ab/>
      </w:r>
      <w:r>
        <w:rPr>
          <w:rFonts w:hint="eastAsia" w:ascii="仿宋_GB2312" w:hAnsi="仿宋_GB2312" w:eastAsia="仿宋_GB2312" w:cs="仿宋_GB2312"/>
          <w:color w:val="000000"/>
          <w:sz w:val="32"/>
          <w:szCs w:val="32"/>
        </w:rPr>
        <w:t>20.住房保障支出（221）住房改革支出（22102）购房补贴（2210203）：反映按房改政策规定，行政事业单位向符合条件职工（含离退休人员）、军队（含武警）向转役复员离退休人员发放的用于购买住房的补贴。</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21.基本支出：指为保障机构正常运转、完成日常工作任务而发生的人员支出和公用支出。</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25.项目支出：指在基本支出之外为完成特定行政任务和事业发展目标所发生的支出。 </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22.经营支出：指事业单位在专业业务活动及其辅助活动之外开展非独立核算经营活动发生的支出。</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25.财政应返还额度：为行政事业单位会计核算科目，用于核算实行国库集中支付的行政事业单位应收财政返还的资金额度。</w:t>
      </w:r>
    </w:p>
    <w:p>
      <w:pPr>
        <w:keepNext w:val="0"/>
        <w:keepLines w:val="0"/>
        <w:pageBreakBefore w:val="0"/>
        <w:widowControl/>
        <w:kinsoku/>
        <w:wordWrap/>
        <w:overflowPunct/>
        <w:topLinePunct w:val="0"/>
        <w:autoSpaceDE/>
        <w:autoSpaceDN/>
        <w:bidi w:val="0"/>
        <w:adjustRightInd/>
        <w:snapToGrid/>
        <w:spacing w:line="560" w:lineRule="exact"/>
        <w:ind w:firstLine="883" w:firstLineChars="200"/>
        <w:jc w:val="left"/>
        <w:textAlignment w:val="auto"/>
        <w:rPr>
          <w:rStyle w:val="21"/>
          <w:rFonts w:hint="eastAsia" w:ascii="仿宋_GB2312" w:eastAsia="仿宋_GB2312" w:cs="仿宋_GB2312"/>
        </w:rPr>
      </w:pPr>
      <w:r>
        <w:rPr>
          <w:rStyle w:val="21"/>
          <w:rFonts w:hint="eastAsia" w:ascii="仿宋_GB2312" w:eastAsia="仿宋_GB2312" w:cs="仿宋_GB2312"/>
        </w:rPr>
        <w:br w:type="page"/>
      </w:r>
    </w:p>
    <w:p>
      <w:pPr>
        <w:pStyle w:val="3"/>
        <w:jc w:val="center"/>
        <w:rPr>
          <w:rFonts w:ascii="黑体" w:eastAsia="黑体" w:cs="黑体"/>
        </w:rPr>
      </w:pPr>
      <w:bookmarkStart w:id="73" w:name="_Toc111208510"/>
      <w:bookmarkStart w:id="74" w:name="_Toc15177"/>
      <w:r>
        <w:rPr>
          <w:rFonts w:hint="eastAsia" w:ascii="黑体" w:eastAsia="黑体" w:cs="黑体"/>
        </w:rPr>
        <w:t>第四部分 附件</w:t>
      </w:r>
      <w:bookmarkEnd w:id="73"/>
      <w:bookmarkEnd w:id="74"/>
    </w:p>
    <w:p>
      <w:pPr>
        <w:spacing w:line="576" w:lineRule="exact"/>
        <w:jc w:val="center"/>
        <w:rPr>
          <w:rFonts w:hint="eastAsia" w:ascii="方正小标宋简体" w:hAnsi="方正小标宋简体" w:eastAsia="方正小标宋简体" w:cs="方正小标宋简体"/>
          <w:sz w:val="44"/>
          <w:szCs w:val="44"/>
        </w:rPr>
      </w:pPr>
      <w:bookmarkStart w:id="75" w:name="_Toc15396616"/>
      <w:bookmarkStart w:id="76" w:name="_Toc29502"/>
      <w:bookmarkStart w:id="103" w:name="_GoBack"/>
      <w:r>
        <w:rPr>
          <w:rFonts w:hint="eastAsia" w:ascii="方正小标宋简体" w:hAnsi="方正小标宋简体" w:eastAsia="方正小标宋简体" w:cs="方正小标宋简体"/>
          <w:sz w:val="44"/>
          <w:szCs w:val="44"/>
          <w:lang w:eastAsia="zh-CN"/>
        </w:rPr>
        <w:t>中共茂县</w:t>
      </w:r>
      <w:r>
        <w:rPr>
          <w:rFonts w:hint="eastAsia" w:ascii="方正小标宋简体" w:hAnsi="方正小标宋简体" w:eastAsia="方正小标宋简体" w:cs="方正小标宋简体"/>
          <w:sz w:val="44"/>
          <w:szCs w:val="44"/>
        </w:rPr>
        <w:t>县委办</w:t>
      </w:r>
    </w:p>
    <w:p>
      <w:pPr>
        <w:spacing w:line="576" w:lineRule="exact"/>
        <w:jc w:val="center"/>
        <w:rPr>
          <w:rFonts w:ascii="仿宋_GB2312" w:hAnsi="宋体" w:eastAsia="仿宋_GB2312"/>
          <w:sz w:val="32"/>
          <w:szCs w:val="32"/>
          <w:shd w:val="clear" w:color="auto" w:fill="FFFFFF"/>
        </w:rPr>
      </w:pP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22</w:t>
      </w:r>
      <w:r>
        <w:rPr>
          <w:rFonts w:hint="eastAsia" w:ascii="方正小标宋简体" w:hAnsi="方正小标宋简体" w:eastAsia="方正小标宋简体" w:cs="方正小标宋简体"/>
          <w:sz w:val="44"/>
          <w:szCs w:val="44"/>
        </w:rPr>
        <w:t>年部门整体支出绩效评价报告</w:t>
      </w:r>
      <w:bookmarkEnd w:id="75"/>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一、部门概况</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（一）机构组成</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highlight w:val="none"/>
        </w:rPr>
      </w:pPr>
      <w:r>
        <w:rPr>
          <w:rFonts w:hint="eastAsia" w:ascii="仿宋_GB2312" w:hAnsi="仿宋_GB2312" w:eastAsia="仿宋_GB2312" w:cs="仿宋_GB2312"/>
          <w:sz w:val="32"/>
          <w:szCs w:val="32"/>
          <w:highlight w:val="none"/>
        </w:rPr>
        <w:t>本部门下属</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级预算单位</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0</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个，其中内设机构</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6</w:t>
      </w:r>
      <w:r>
        <w:rPr>
          <w:rFonts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rPr>
        <w:t>个。（</w:t>
      </w:r>
      <w:r>
        <w:rPr>
          <w:rFonts w:hint="eastAsia" w:ascii="仿宋_GB2312" w:hAnsi="仿宋_GB2312" w:eastAsia="仿宋_GB2312" w:cs="仿宋_GB2312"/>
          <w:sz w:val="32"/>
          <w:szCs w:val="32"/>
          <w:highlight w:val="none"/>
          <w:lang w:val="en-US" w:eastAsia="zh-CN"/>
        </w:rPr>
        <w:t>综合股、秘书股、政研和信息股、党建和档案管理股、保密机要股、后勤财务股</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（二）机构职能</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负责县委日常文件的处理，负责中央和省、州、县委文件的收发、管理、传递工作；负责中央、省、州、县委领导同志批示的转达和催办落实等。</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（三）人员概况</w:t>
      </w:r>
    </w:p>
    <w:p>
      <w:pPr>
        <w:widowControl/>
        <w:spacing w:line="600" w:lineRule="exact"/>
        <w:ind w:left="210" w:leftChars="100" w:firstLine="640" w:firstLineChars="200"/>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总编制</w:t>
      </w:r>
      <w:r>
        <w:rPr>
          <w:rFonts w:hint="eastAsia" w:ascii="仿宋_GB2312" w:hAnsi="仿宋" w:eastAsia="仿宋_GB2312"/>
          <w:color w:val="auto"/>
          <w:sz w:val="32"/>
          <w:szCs w:val="32"/>
          <w:highlight w:val="none"/>
          <w:lang w:val="en-US" w:eastAsia="zh-CN"/>
        </w:rPr>
        <w:t>54</w:t>
      </w:r>
      <w:r>
        <w:rPr>
          <w:rFonts w:hint="eastAsia" w:ascii="仿宋_GB2312" w:hAnsi="仿宋" w:eastAsia="仿宋_GB2312"/>
          <w:color w:val="auto"/>
          <w:sz w:val="32"/>
          <w:szCs w:val="32"/>
          <w:highlight w:val="none"/>
        </w:rPr>
        <w:t xml:space="preserve">名,其中:行政编制 </w:t>
      </w:r>
      <w:r>
        <w:rPr>
          <w:rFonts w:hint="eastAsia" w:ascii="仿宋_GB2312" w:hAnsi="仿宋" w:eastAsia="仿宋_GB2312"/>
          <w:color w:val="auto"/>
          <w:sz w:val="32"/>
          <w:szCs w:val="32"/>
          <w:highlight w:val="none"/>
          <w:lang w:val="en-US" w:eastAsia="zh-CN"/>
        </w:rPr>
        <w:t>19</w:t>
      </w:r>
      <w:r>
        <w:rPr>
          <w:rFonts w:hint="eastAsia" w:ascii="仿宋_GB2312" w:hAnsi="仿宋" w:eastAsia="仿宋_GB2312"/>
          <w:color w:val="auto"/>
          <w:sz w:val="32"/>
          <w:szCs w:val="32"/>
          <w:highlight w:val="none"/>
        </w:rPr>
        <w:t xml:space="preserve">名,参照公务员法管理的事业编制 </w:t>
      </w:r>
      <w:r>
        <w:rPr>
          <w:rFonts w:hint="eastAsia" w:ascii="仿宋_GB2312" w:hAnsi="仿宋" w:eastAsia="仿宋_GB2312"/>
          <w:color w:val="auto"/>
          <w:sz w:val="32"/>
          <w:szCs w:val="32"/>
          <w:highlight w:val="none"/>
          <w:lang w:val="en-US" w:eastAsia="zh-CN"/>
        </w:rPr>
        <w:t>12</w:t>
      </w:r>
      <w:r>
        <w:rPr>
          <w:rFonts w:hint="eastAsia" w:ascii="仿宋_GB2312" w:hAnsi="仿宋" w:eastAsia="仿宋_GB2312"/>
          <w:color w:val="auto"/>
          <w:sz w:val="32"/>
          <w:szCs w:val="32"/>
          <w:highlight w:val="none"/>
        </w:rPr>
        <w:t>名，行政工勤编制 1</w:t>
      </w:r>
      <w:r>
        <w:rPr>
          <w:rFonts w:hint="eastAsia" w:ascii="仿宋_GB2312" w:hAnsi="仿宋" w:eastAsia="仿宋_GB2312"/>
          <w:color w:val="auto"/>
          <w:sz w:val="32"/>
          <w:szCs w:val="32"/>
          <w:highlight w:val="none"/>
          <w:lang w:val="en-US" w:eastAsia="zh-CN"/>
        </w:rPr>
        <w:t>2</w:t>
      </w:r>
      <w:r>
        <w:rPr>
          <w:rFonts w:hint="eastAsia" w:ascii="仿宋_GB2312" w:hAnsi="仿宋" w:eastAsia="仿宋_GB2312"/>
          <w:color w:val="auto"/>
          <w:sz w:val="32"/>
          <w:szCs w:val="32"/>
          <w:highlight w:val="none"/>
        </w:rPr>
        <w:t xml:space="preserve"> 名，事业编制</w:t>
      </w:r>
      <w:r>
        <w:rPr>
          <w:rFonts w:hint="eastAsia" w:ascii="仿宋_GB2312" w:hAnsi="仿宋" w:eastAsia="仿宋_GB2312"/>
          <w:color w:val="auto"/>
          <w:sz w:val="32"/>
          <w:szCs w:val="32"/>
          <w:highlight w:val="none"/>
          <w:lang w:val="en-US" w:eastAsia="zh-CN"/>
        </w:rPr>
        <w:t>11</w:t>
      </w:r>
      <w:r>
        <w:rPr>
          <w:rFonts w:hint="eastAsia" w:ascii="仿宋_GB2312" w:hAnsi="仿宋" w:eastAsia="仿宋_GB2312"/>
          <w:color w:val="auto"/>
          <w:sz w:val="32"/>
          <w:szCs w:val="32"/>
          <w:highlight w:val="none"/>
        </w:rPr>
        <w:t>名。在职人员总数</w:t>
      </w:r>
      <w:r>
        <w:rPr>
          <w:rFonts w:hint="eastAsia" w:ascii="仿宋_GB2312" w:hAnsi="仿宋" w:eastAsia="仿宋_GB2312"/>
          <w:color w:val="auto"/>
          <w:sz w:val="32"/>
          <w:szCs w:val="32"/>
          <w:highlight w:val="none"/>
          <w:lang w:val="en-US" w:eastAsia="zh-CN"/>
        </w:rPr>
        <w:t>48</w:t>
      </w:r>
      <w:r>
        <w:rPr>
          <w:rFonts w:hint="eastAsia" w:ascii="仿宋_GB2312" w:hAnsi="仿宋" w:eastAsia="仿宋_GB2312"/>
          <w:color w:val="auto"/>
          <w:sz w:val="32"/>
          <w:szCs w:val="32"/>
          <w:highlight w:val="none"/>
        </w:rPr>
        <w:t>名，其中：行政人员</w:t>
      </w:r>
      <w:r>
        <w:rPr>
          <w:rFonts w:hint="eastAsia" w:ascii="仿宋_GB2312" w:hAnsi="仿宋" w:eastAsia="仿宋_GB2312"/>
          <w:color w:val="auto"/>
          <w:sz w:val="32"/>
          <w:szCs w:val="32"/>
          <w:highlight w:val="none"/>
          <w:lang w:val="en-US" w:eastAsia="zh-CN"/>
        </w:rPr>
        <w:t>17</w:t>
      </w:r>
      <w:r>
        <w:rPr>
          <w:rFonts w:hint="eastAsia" w:ascii="仿宋_GB2312" w:hAnsi="仿宋" w:eastAsia="仿宋_GB2312"/>
          <w:color w:val="auto"/>
          <w:sz w:val="32"/>
          <w:szCs w:val="32"/>
          <w:highlight w:val="none"/>
        </w:rPr>
        <w:t xml:space="preserve">名，参照公务员法管理的事业人员 </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 xml:space="preserve">名，行政工勤人员 11 名；事业人员 </w:t>
      </w:r>
      <w:r>
        <w:rPr>
          <w:rFonts w:hint="eastAsia" w:ascii="仿宋_GB2312" w:hAnsi="仿宋" w:eastAsia="仿宋_GB2312"/>
          <w:color w:val="auto"/>
          <w:sz w:val="32"/>
          <w:szCs w:val="32"/>
          <w:highlight w:val="none"/>
          <w:lang w:val="en-US" w:eastAsia="zh-CN"/>
        </w:rPr>
        <w:t>10</w:t>
      </w:r>
      <w:r>
        <w:rPr>
          <w:rFonts w:hint="eastAsia" w:ascii="仿宋_GB2312" w:hAnsi="仿宋" w:eastAsia="仿宋_GB2312"/>
          <w:color w:val="auto"/>
          <w:sz w:val="32"/>
          <w:szCs w:val="32"/>
          <w:highlight w:val="none"/>
        </w:rPr>
        <w:t>名。退休人员 1</w:t>
      </w:r>
      <w:r>
        <w:rPr>
          <w:rFonts w:hint="eastAsia" w:ascii="仿宋_GB2312" w:hAnsi="仿宋" w:eastAsia="仿宋_GB2312"/>
          <w:color w:val="auto"/>
          <w:sz w:val="32"/>
          <w:szCs w:val="32"/>
          <w:highlight w:val="none"/>
          <w:lang w:val="en-US" w:eastAsia="zh-CN"/>
        </w:rPr>
        <w:t>8</w:t>
      </w:r>
      <w:r>
        <w:rPr>
          <w:rFonts w:hint="eastAsia" w:ascii="仿宋_GB2312" w:hAnsi="仿宋" w:eastAsia="仿宋_GB2312"/>
          <w:color w:val="auto"/>
          <w:sz w:val="32"/>
          <w:szCs w:val="32"/>
          <w:highlight w:val="none"/>
        </w:rPr>
        <w:t>人。</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二、部门财政资金收支情况</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（一）部门财政资金收入情况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年本部门财政拨款收入决算总额为</w:t>
      </w:r>
      <w:r>
        <w:rPr>
          <w:rFonts w:hint="eastAsia" w:ascii="仿宋_GB2312" w:hAnsi="宋体" w:eastAsia="仿宋_GB2312" w:cs="宋体"/>
          <w:color w:val="000000"/>
          <w:kern w:val="0"/>
          <w:sz w:val="32"/>
          <w:szCs w:val="32"/>
          <w:lang w:val="en-US" w:eastAsia="zh-CN"/>
        </w:rPr>
        <w:t>1286.65</w:t>
      </w:r>
      <w:r>
        <w:rPr>
          <w:rFonts w:hint="eastAsia" w:ascii="仿宋_GB2312" w:hAnsi="仿宋_GB2312" w:eastAsia="仿宋_GB2312" w:cs="仿宋_GB2312"/>
          <w:sz w:val="32"/>
          <w:szCs w:val="32"/>
        </w:rPr>
        <w:t>万元，其中：当年财政拨款收入</w:t>
      </w:r>
      <w:r>
        <w:rPr>
          <w:rFonts w:hint="eastAsia" w:ascii="仿宋_GB2312" w:hAnsi="宋体" w:eastAsia="仿宋_GB2312" w:cs="宋体"/>
          <w:color w:val="000000"/>
          <w:kern w:val="0"/>
          <w:sz w:val="32"/>
          <w:szCs w:val="32"/>
          <w:lang w:val="en-US" w:eastAsia="zh-CN"/>
        </w:rPr>
        <w:t>1286.65</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均为一般公共预算财政拨款。</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（二）部门财政资金支出情况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color w:val="auto"/>
          <w:sz w:val="32"/>
          <w:szCs w:val="32"/>
        </w:rPr>
        <w:t>20</w:t>
      </w:r>
      <w:r>
        <w:rPr>
          <w:rFonts w:hint="eastAsia" w:ascii="仿宋_GB2312" w:hAnsi="仿宋" w:eastAsia="仿宋_GB2312" w:cs="仿宋_GB2312"/>
          <w:color w:val="auto"/>
          <w:sz w:val="32"/>
          <w:szCs w:val="32"/>
          <w:lang w:val="en-US" w:eastAsia="zh-CN"/>
        </w:rPr>
        <w:t>22</w:t>
      </w:r>
      <w:r>
        <w:rPr>
          <w:rFonts w:hint="eastAsia" w:ascii="仿宋_GB2312" w:hAnsi="仿宋" w:eastAsia="仿宋_GB2312" w:cs="仿宋_GB2312"/>
          <w:color w:val="auto"/>
          <w:sz w:val="32"/>
          <w:szCs w:val="32"/>
        </w:rPr>
        <w:t>年部门决算总支出</w:t>
      </w:r>
      <w:r>
        <w:rPr>
          <w:rFonts w:hint="eastAsia" w:ascii="仿宋_GB2312" w:hAnsi="宋体" w:eastAsia="仿宋_GB2312" w:cs="宋体"/>
          <w:color w:val="000000"/>
          <w:kern w:val="0"/>
          <w:sz w:val="32"/>
          <w:szCs w:val="32"/>
          <w:lang w:val="en-US" w:eastAsia="zh-CN"/>
        </w:rPr>
        <w:t>1286.65</w:t>
      </w:r>
      <w:r>
        <w:rPr>
          <w:rFonts w:hint="eastAsia" w:ascii="仿宋_GB2312" w:hAnsi="仿宋_GB2312" w:eastAsia="仿宋_GB2312" w:cs="仿宋_GB2312"/>
          <w:color w:val="auto"/>
          <w:sz w:val="32"/>
          <w:szCs w:val="32"/>
        </w:rPr>
        <w:t>万元</w:t>
      </w:r>
      <w:r>
        <w:rPr>
          <w:rFonts w:hint="eastAsia" w:ascii="仿宋_GB2312" w:hAnsi="仿宋" w:eastAsia="仿宋_GB2312" w:cs="仿宋_GB2312"/>
          <w:color w:val="auto"/>
          <w:sz w:val="32"/>
          <w:szCs w:val="32"/>
        </w:rPr>
        <w:t>，其中：一般公共服务支出</w:t>
      </w:r>
      <w:r>
        <w:rPr>
          <w:rFonts w:hint="eastAsia" w:ascii="仿宋_GB2312" w:hAnsi="仿宋" w:eastAsia="仿宋_GB2312" w:cs="仿宋_GB2312"/>
          <w:color w:val="auto"/>
          <w:sz w:val="32"/>
          <w:szCs w:val="32"/>
          <w:lang w:val="en-US" w:eastAsia="zh-CN"/>
        </w:rPr>
        <w:t>1031.73万元，</w:t>
      </w:r>
      <w:r>
        <w:rPr>
          <w:rFonts w:hint="eastAsia" w:ascii="仿宋_GB2312" w:hAnsi="仿宋" w:eastAsia="仿宋_GB2312" w:cs="仿宋_GB2312"/>
          <w:color w:val="auto"/>
          <w:sz w:val="32"/>
          <w:szCs w:val="32"/>
        </w:rPr>
        <w:t>社会保障就业支出</w:t>
      </w:r>
      <w:r>
        <w:rPr>
          <w:rFonts w:hint="eastAsia" w:ascii="仿宋_GB2312" w:hAnsi="仿宋" w:eastAsia="仿宋_GB2312" w:cs="仿宋_GB2312"/>
          <w:color w:val="auto"/>
          <w:sz w:val="32"/>
          <w:szCs w:val="32"/>
          <w:lang w:val="en-US" w:eastAsia="zh-CN"/>
        </w:rPr>
        <w:t>127.59万</w:t>
      </w:r>
      <w:r>
        <w:rPr>
          <w:rFonts w:hint="eastAsia" w:ascii="仿宋_GB2312" w:hAnsi="仿宋" w:eastAsia="仿宋_GB2312" w:cs="仿宋_GB2312"/>
          <w:color w:val="auto"/>
          <w:sz w:val="32"/>
          <w:szCs w:val="32"/>
        </w:rPr>
        <w:t>元，卫生</w:t>
      </w:r>
      <w:r>
        <w:rPr>
          <w:rFonts w:hint="eastAsia" w:ascii="仿宋_GB2312" w:hAnsi="仿宋" w:eastAsia="仿宋_GB2312" w:cs="仿宋_GB2312"/>
          <w:color w:val="auto"/>
          <w:sz w:val="32"/>
          <w:szCs w:val="32"/>
          <w:lang w:val="en-US" w:eastAsia="zh-CN"/>
        </w:rPr>
        <w:t>健康支出51.5万</w:t>
      </w:r>
      <w:r>
        <w:rPr>
          <w:rFonts w:hint="eastAsia" w:ascii="仿宋_GB2312" w:hAnsi="仿宋" w:eastAsia="仿宋_GB2312" w:cs="仿宋_GB2312"/>
          <w:color w:val="auto"/>
          <w:sz w:val="32"/>
          <w:szCs w:val="32"/>
        </w:rPr>
        <w:t>元，住房保障支出</w:t>
      </w:r>
      <w:r>
        <w:rPr>
          <w:rFonts w:hint="eastAsia" w:ascii="仿宋_GB2312" w:hAnsi="仿宋" w:eastAsia="仿宋_GB2312" w:cs="仿宋_GB2312"/>
          <w:color w:val="auto"/>
          <w:sz w:val="32"/>
          <w:szCs w:val="32"/>
          <w:lang w:val="en-US" w:eastAsia="zh-CN"/>
        </w:rPr>
        <w:t>74.98万</w:t>
      </w:r>
      <w:r>
        <w:rPr>
          <w:rFonts w:hint="eastAsia" w:ascii="仿宋_GB2312" w:hAnsi="仿宋" w:eastAsia="仿宋_GB2312" w:cs="仿宋_GB2312"/>
          <w:color w:val="auto"/>
          <w:sz w:val="32"/>
          <w:szCs w:val="32"/>
        </w:rPr>
        <w:t>元</w:t>
      </w:r>
      <w:r>
        <w:rPr>
          <w:rFonts w:hint="eastAsia" w:ascii="仿宋_GB2312" w:hAnsi="仿宋" w:eastAsia="仿宋_GB2312" w:cs="仿宋_GB2312"/>
          <w:color w:val="auto"/>
          <w:sz w:val="32"/>
          <w:szCs w:val="32"/>
          <w:lang w:eastAsia="zh-CN"/>
        </w:rPr>
        <w:t>，农林水支出</w:t>
      </w:r>
      <w:r>
        <w:rPr>
          <w:rFonts w:hint="eastAsia" w:ascii="仿宋_GB2312" w:hAnsi="仿宋" w:eastAsia="仿宋_GB2312" w:cs="仿宋_GB2312"/>
          <w:color w:val="auto"/>
          <w:sz w:val="32"/>
          <w:szCs w:val="32"/>
          <w:lang w:val="en-US" w:eastAsia="zh-CN"/>
        </w:rPr>
        <w:t>0.84万元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按支出性质分类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基</w:t>
      </w:r>
      <w:r>
        <w:rPr>
          <w:rFonts w:hint="eastAsia" w:ascii="仿宋_GB2312" w:hAnsi="仿宋_GB2312" w:eastAsia="仿宋_GB2312" w:cs="仿宋_GB2312"/>
          <w:sz w:val="32"/>
          <w:szCs w:val="32"/>
        </w:rPr>
        <w:t>本支出</w:t>
      </w:r>
      <w:r>
        <w:rPr>
          <w:rFonts w:hint="eastAsia" w:ascii="仿宋_GB2312" w:hAnsi="仿宋_GB2312" w:eastAsia="仿宋_GB2312" w:cs="仿宋_GB2312"/>
          <w:sz w:val="32"/>
          <w:szCs w:val="32"/>
          <w:lang w:val="en-US" w:eastAsia="zh-CN"/>
        </w:rPr>
        <w:t>1156.98</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129.66</w:t>
      </w:r>
      <w:r>
        <w:rPr>
          <w:rFonts w:hint="eastAsia" w:ascii="仿宋_GB2312" w:hAnsi="仿宋_GB2312" w:eastAsia="仿宋_GB2312" w:cs="仿宋_GB2312"/>
          <w:sz w:val="32"/>
          <w:szCs w:val="32"/>
        </w:rPr>
        <w:t>万元；按经济分类，工资福利支出</w:t>
      </w:r>
      <w:r>
        <w:rPr>
          <w:rFonts w:hint="eastAsia" w:ascii="仿宋_GB2312" w:hAnsi="仿宋_GB2312" w:eastAsia="仿宋_GB2312" w:cs="仿宋_GB2312"/>
          <w:sz w:val="32"/>
          <w:szCs w:val="32"/>
          <w:lang w:val="en-US" w:eastAsia="zh-CN"/>
        </w:rPr>
        <w:t>999.04</w:t>
      </w:r>
      <w:r>
        <w:rPr>
          <w:rFonts w:hint="eastAsia" w:ascii="仿宋_GB2312" w:hAnsi="仿宋_GB2312" w:eastAsia="仿宋_GB2312" w:cs="仿宋_GB2312"/>
          <w:sz w:val="32"/>
          <w:szCs w:val="32"/>
        </w:rPr>
        <w:t>万元，商品服务支出</w:t>
      </w:r>
      <w:r>
        <w:rPr>
          <w:rFonts w:hint="eastAsia" w:ascii="仿宋_GB2312" w:hAnsi="仿宋_GB2312" w:eastAsia="仿宋_GB2312" w:cs="仿宋_GB2312"/>
          <w:sz w:val="32"/>
          <w:szCs w:val="32"/>
          <w:lang w:val="en-US" w:eastAsia="zh-CN"/>
        </w:rPr>
        <w:t>214.51</w:t>
      </w:r>
      <w:r>
        <w:rPr>
          <w:rFonts w:hint="eastAsia" w:ascii="仿宋_GB2312" w:hAnsi="仿宋_GB2312" w:eastAsia="仿宋_GB2312" w:cs="仿宋_GB2312"/>
          <w:sz w:val="32"/>
          <w:szCs w:val="32"/>
        </w:rPr>
        <w:t>万元，个人及家庭补助支出</w:t>
      </w:r>
      <w:r>
        <w:rPr>
          <w:rFonts w:hint="eastAsia" w:ascii="仿宋_GB2312" w:hAnsi="仿宋_GB2312" w:eastAsia="仿宋_GB2312" w:cs="仿宋_GB2312"/>
          <w:sz w:val="32"/>
          <w:szCs w:val="32"/>
          <w:lang w:val="en-US" w:eastAsia="zh-CN"/>
        </w:rPr>
        <w:t>13.1</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三、部门整体预算绩效管理情况</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（一）部门预算管理</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我办严格按照县级部门预算编制通知和有关要求，按时完成</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年预算编制工作，并按时提交部门预算草案。按规定编制政府采购预算，预算编制全面、科学。</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年部门决算、绩效目标填报及年末结余结转都是严格按照要求认真完成。</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“三公”经费支出</w:t>
      </w:r>
      <w:r>
        <w:rPr>
          <w:rFonts w:hint="eastAsia" w:ascii="仿宋_GB2312" w:hAnsi="仿宋_GB2312" w:eastAsia="仿宋_GB2312" w:cs="仿宋_GB2312"/>
          <w:sz w:val="32"/>
          <w:szCs w:val="32"/>
          <w:lang w:val="en-US" w:eastAsia="zh-CN"/>
        </w:rPr>
        <w:t>153.59</w:t>
      </w:r>
      <w:r>
        <w:rPr>
          <w:rFonts w:hint="eastAsia" w:ascii="仿宋_GB2312" w:hAnsi="仿宋_GB2312" w:eastAsia="仿宋_GB2312" w:cs="仿宋_GB2312"/>
          <w:sz w:val="32"/>
          <w:szCs w:val="32"/>
        </w:rPr>
        <w:t>万元，其中：公务用车购置和维护经费</w:t>
      </w:r>
      <w:r>
        <w:rPr>
          <w:rFonts w:hint="eastAsia" w:ascii="仿宋_GB2312" w:hAnsi="仿宋_GB2312" w:eastAsia="仿宋_GB2312" w:cs="仿宋_GB2312"/>
          <w:sz w:val="32"/>
          <w:szCs w:val="32"/>
          <w:lang w:val="en-US" w:eastAsia="zh-CN"/>
        </w:rPr>
        <w:t>153</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0.59</w:t>
      </w:r>
      <w:r>
        <w:rPr>
          <w:rFonts w:hint="eastAsia" w:ascii="仿宋_GB2312" w:hAnsi="仿宋_GB2312" w:eastAsia="仿宋_GB2312" w:cs="仿宋_GB2312"/>
          <w:sz w:val="32"/>
          <w:szCs w:val="32"/>
        </w:rPr>
        <w:t>万元；预算数</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万元，比预算</w:t>
      </w:r>
      <w:r>
        <w:rPr>
          <w:rFonts w:hint="eastAsia" w:ascii="仿宋_GB2312" w:hAnsi="仿宋_GB2312" w:eastAsia="仿宋_GB2312" w:cs="仿宋_GB2312"/>
          <w:sz w:val="32"/>
          <w:szCs w:val="32"/>
          <w:lang w:val="en-US" w:eastAsia="zh-CN"/>
        </w:rPr>
        <w:t>增加100.59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增加</w:t>
      </w:r>
      <w:r>
        <w:rPr>
          <w:rFonts w:hint="eastAsia" w:ascii="仿宋_GB2312" w:hAnsi="仿宋_GB2312" w:eastAsia="仿宋_GB2312" w:cs="仿宋_GB2312"/>
          <w:sz w:val="32"/>
          <w:szCs w:val="32"/>
        </w:rPr>
        <w:t>比例为</w:t>
      </w:r>
      <w:r>
        <w:rPr>
          <w:rFonts w:hint="eastAsia" w:ascii="仿宋_GB2312" w:hAnsi="仿宋_GB2312" w:eastAsia="仿宋_GB2312" w:cs="仿宋_GB2312"/>
          <w:sz w:val="32"/>
          <w:szCs w:val="32"/>
          <w:lang w:val="en-US" w:eastAsia="zh-CN"/>
        </w:rPr>
        <w:t>189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其原因是新购公务用车一辆，下乡及出差工作量增加，公务用车的使用频率增加，车辆使用年限较长，维修成本增大。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楷体" w:hAnsi="楷体" w:eastAsia="楷体" w:cs="楷体"/>
          <w:b/>
          <w:bCs/>
          <w:sz w:val="32"/>
          <w:szCs w:val="32"/>
        </w:rPr>
      </w:pPr>
      <w:r>
        <w:rPr>
          <w:rFonts w:hint="eastAsia" w:ascii="仿宋_GB2312" w:hAnsi="仿宋_GB2312" w:eastAsia="仿宋_GB2312" w:cs="仿宋_GB2312"/>
          <w:sz w:val="32"/>
          <w:szCs w:val="32"/>
          <w:lang w:val="en-US" w:eastAsia="zh-CN"/>
        </w:rPr>
        <w:t>2022年我单位全年追加:1.办公经费148.22万元，用于日常办公经费支出。2.车辆购置经费60万元，用于新车购置。3.两联一进工作经费16.55万元，用于各镇两联一进工作宣传。</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）结果应用情况</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办对部门预算绩效管理工作开展情况认真进行了自查自评。绩效评价自查开展覆盖下属单位及重点支出，将评价结果作为预算安排的重要依据，参照项目年度预算执行情况、“三年滚动规划”执行情况统筹项目支出需求，保障重点支出，调整支出结构，优化财政资金配置，不断强化绩效理念，推动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部门整体绩效管理水平不断提升。</w:t>
      </w:r>
    </w:p>
    <w:p>
      <w:pPr>
        <w:keepNext w:val="0"/>
        <w:keepLines w:val="0"/>
        <w:pageBreakBefore w:val="0"/>
        <w:numPr>
          <w:ilvl w:val="0"/>
          <w:numId w:val="1"/>
        </w:numPr>
        <w:kinsoku/>
        <w:wordWrap/>
        <w:overflowPunct/>
        <w:topLinePunct w:val="0"/>
        <w:autoSpaceDE/>
        <w:autoSpaceDN/>
        <w:bidi w:val="0"/>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资产情况</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(一)资产总体状况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日，经过清查确认我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的资产合计为</w:t>
      </w:r>
      <w:r>
        <w:rPr>
          <w:rFonts w:hint="eastAsia" w:ascii="仿宋_GB2312" w:hAnsi="仿宋_GB2312" w:eastAsia="仿宋_GB2312" w:cs="仿宋_GB2312"/>
          <w:sz w:val="32"/>
          <w:szCs w:val="32"/>
          <w:lang w:val="en-US" w:eastAsia="zh-CN"/>
        </w:rPr>
        <w:t>6709120.45</w:t>
      </w:r>
      <w:r>
        <w:rPr>
          <w:rFonts w:hint="eastAsia" w:ascii="仿宋_GB2312" w:hAnsi="仿宋_GB2312" w:eastAsia="仿宋_GB2312" w:cs="仿宋_GB2312"/>
          <w:sz w:val="32"/>
          <w:szCs w:val="32"/>
        </w:rPr>
        <w:t>元。</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(二)、</w:t>
      </w:r>
      <w:r>
        <w:rPr>
          <w:rFonts w:hint="eastAsia" w:ascii="仿宋_GB2312" w:hAnsi="仿宋" w:eastAsia="仿宋_GB2312"/>
          <w:b/>
          <w:sz w:val="32"/>
          <w:szCs w:val="32"/>
          <w:lang w:eastAsia="zh-CN"/>
        </w:rPr>
        <w:t>本</w:t>
      </w:r>
      <w:r>
        <w:rPr>
          <w:rFonts w:hint="eastAsia" w:ascii="仿宋_GB2312" w:hAnsi="仿宋" w:eastAsia="仿宋_GB2312"/>
          <w:b/>
          <w:sz w:val="32"/>
          <w:szCs w:val="32"/>
        </w:rPr>
        <w:t>单位各项固定资产清查、分类状况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1、土地清查总值0元。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2、房屋及建筑物清查总值</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3、专用设备清查总值</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4、通用设备清查总值</w:t>
      </w:r>
      <w:r>
        <w:rPr>
          <w:rFonts w:hint="eastAsia" w:ascii="仿宋_GB2312" w:hAnsi="仿宋_GB2312" w:eastAsia="仿宋_GB2312" w:cs="仿宋_GB2312"/>
          <w:sz w:val="32"/>
          <w:szCs w:val="32"/>
          <w:lang w:val="en-US" w:eastAsia="zh-CN"/>
        </w:rPr>
        <w:t>6367989.57</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、家具</w:t>
      </w:r>
      <w:r>
        <w:rPr>
          <w:rFonts w:hint="eastAsia" w:ascii="仿宋_GB2312" w:hAnsi="仿宋_GB2312" w:eastAsia="仿宋_GB2312" w:cs="仿宋_GB2312"/>
          <w:sz w:val="32"/>
          <w:szCs w:val="32"/>
          <w:lang w:eastAsia="zh-CN"/>
        </w:rPr>
        <w:t>、用具、装具及动植物</w:t>
      </w:r>
      <w:r>
        <w:rPr>
          <w:rFonts w:hint="eastAsia" w:ascii="仿宋_GB2312" w:hAnsi="仿宋_GB2312" w:eastAsia="仿宋_GB2312" w:cs="仿宋_GB2312"/>
          <w:sz w:val="32"/>
          <w:szCs w:val="32"/>
        </w:rPr>
        <w:t>清查总值为</w:t>
      </w:r>
      <w:r>
        <w:rPr>
          <w:rFonts w:hint="eastAsia" w:ascii="仿宋_GB2312" w:hAnsi="仿宋_GB2312" w:eastAsia="仿宋_GB2312" w:cs="仿宋_GB2312"/>
          <w:sz w:val="32"/>
          <w:szCs w:val="32"/>
          <w:lang w:val="en-US" w:eastAsia="zh-CN"/>
        </w:rPr>
        <w:t>341130.88</w:t>
      </w:r>
      <w:r>
        <w:rPr>
          <w:rFonts w:hint="eastAsia" w:ascii="仿宋_GB2312" w:hAnsi="仿宋_GB2312" w:eastAsia="仿宋_GB2312" w:cs="仿宋_GB2312"/>
          <w:sz w:val="32"/>
          <w:szCs w:val="32"/>
        </w:rPr>
        <w:t>元。</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eastAsia="zh-CN"/>
        </w:rPr>
        <w:t>三</w:t>
      </w:r>
      <w:r>
        <w:rPr>
          <w:rFonts w:hint="eastAsia" w:ascii="仿宋_GB2312" w:hAnsi="仿宋" w:eastAsia="仿宋_GB2312"/>
          <w:b/>
          <w:sz w:val="32"/>
          <w:szCs w:val="32"/>
        </w:rPr>
        <w:t>）资产信息情况。</w:t>
      </w:r>
    </w:p>
    <w:p>
      <w:pPr>
        <w:snapToGrid w:val="0"/>
        <w:spacing w:line="52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其他应收款36500.87元</w:t>
      </w:r>
    </w:p>
    <w:p>
      <w:pPr>
        <w:snapToGrid w:val="0"/>
        <w:spacing w:line="52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固定资产原值：6709120.45元</w:t>
      </w:r>
    </w:p>
    <w:p>
      <w:pPr>
        <w:snapToGrid w:val="0"/>
        <w:spacing w:line="52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固定资产累计折旧：4301420.3元</w:t>
      </w:r>
    </w:p>
    <w:p>
      <w:pPr>
        <w:snapToGrid w:val="0"/>
        <w:spacing w:line="520" w:lineRule="exact"/>
        <w:ind w:firstLine="640" w:firstLineChars="200"/>
        <w:rPr>
          <w:rFonts w:hint="eastAsia" w:ascii="仿宋_GB2312" w:hAnsi="仿宋" w:eastAsia="仿宋_GB2312"/>
          <w:b/>
          <w:sz w:val="32"/>
          <w:szCs w:val="32"/>
        </w:rPr>
      </w:pPr>
      <w:r>
        <w:rPr>
          <w:rFonts w:hint="eastAsia" w:ascii="仿宋_GB2312" w:hAnsi="仿宋" w:eastAsia="仿宋_GB2312" w:cs="仿宋"/>
          <w:color w:val="000000"/>
          <w:sz w:val="32"/>
          <w:szCs w:val="32"/>
          <w:lang w:val="en-US" w:eastAsia="zh-CN"/>
        </w:rPr>
        <w:t>固定资产净值：2407700.15元</w:t>
      </w:r>
    </w:p>
    <w:p>
      <w:pPr>
        <w:snapToGrid w:val="0"/>
        <w:spacing w:line="520" w:lineRule="exact"/>
        <w:ind w:firstLine="643" w:firstLineChars="200"/>
        <w:rPr>
          <w:rFonts w:hint="eastAsia" w:ascii="仿宋_GB2312" w:hAnsi="仿宋" w:eastAsia="仿宋_GB2312"/>
          <w:b/>
          <w:sz w:val="32"/>
          <w:szCs w:val="32"/>
        </w:rPr>
      </w:pPr>
      <w:r>
        <w:rPr>
          <w:rFonts w:hint="eastAsia" w:ascii="仿宋_GB2312" w:hAnsi="仿宋" w:eastAsia="仿宋_GB2312"/>
          <w:b/>
          <w:sz w:val="32"/>
          <w:szCs w:val="32"/>
        </w:rPr>
        <w:t>（</w:t>
      </w:r>
      <w:r>
        <w:rPr>
          <w:rFonts w:hint="eastAsia" w:ascii="仿宋_GB2312" w:hAnsi="仿宋" w:eastAsia="仿宋_GB2312"/>
          <w:b/>
          <w:sz w:val="32"/>
          <w:szCs w:val="32"/>
          <w:lang w:eastAsia="zh-CN"/>
        </w:rPr>
        <w:t>四</w:t>
      </w:r>
      <w:r>
        <w:rPr>
          <w:rFonts w:hint="eastAsia" w:ascii="仿宋_GB2312" w:hAnsi="仿宋" w:eastAsia="仿宋_GB2312"/>
          <w:b/>
          <w:sz w:val="32"/>
          <w:szCs w:val="32"/>
        </w:rPr>
        <w:t>）负债信息情况。</w:t>
      </w:r>
    </w:p>
    <w:p>
      <w:pPr>
        <w:snapToGrid w:val="0"/>
        <w:spacing w:line="520" w:lineRule="exact"/>
        <w:ind w:firstLine="960" w:firstLineChars="3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其他应付款</w:t>
      </w:r>
      <w:r>
        <w:rPr>
          <w:rFonts w:hint="eastAsia" w:ascii="仿宋_GB2312" w:hAnsi="仿宋" w:eastAsia="仿宋_GB2312" w:cs="仿宋"/>
          <w:color w:val="000000"/>
          <w:sz w:val="32"/>
          <w:szCs w:val="32"/>
          <w:lang w:val="en-US" w:eastAsia="zh-CN"/>
        </w:rPr>
        <w:t>7238374.2</w:t>
      </w:r>
      <w:r>
        <w:rPr>
          <w:rFonts w:hint="eastAsia" w:ascii="仿宋_GB2312" w:hAnsi="仿宋" w:eastAsia="仿宋_GB2312" w:cs="仿宋"/>
          <w:color w:val="000000"/>
          <w:sz w:val="32"/>
          <w:szCs w:val="32"/>
        </w:rPr>
        <w:t>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、资产盘亏、盘盈的状况说明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没有盘亏、盘盈的状况。</w:t>
      </w:r>
    </w:p>
    <w:p>
      <w:pPr>
        <w:keepNext w:val="0"/>
        <w:keepLines w:val="0"/>
        <w:pageBreakBefore w:val="0"/>
        <w:kinsoku/>
        <w:wordWrap/>
        <w:overflowPunct/>
        <w:topLinePunct w:val="0"/>
        <w:autoSpaceDE/>
        <w:autoSpaceDN/>
        <w:bidi w:val="0"/>
        <w:spacing w:line="560" w:lineRule="exact"/>
        <w:ind w:firstLine="640" w:firstLineChars="200"/>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、评价结论及建议</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我办对财政资金使用管理情况，认真开展自评工作，撰写部门自评报告。我办财务管理制度健全，执行制度严格合规，会计核算符合相关规定，资金专款专用，资金支付依据和开支标准合法合规，严格执行政府采购。</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（一）评价结论</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年我办部门整体支出绩效评价自查自评结果良好，全年基本支出保证了部门的正常运行和日常工作的正常开展，项目支出保障了重点工作的开展，达到预期绩效目标。</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（二）存在问题</w:t>
      </w:r>
    </w:p>
    <w:p>
      <w:pPr>
        <w:keepNext w:val="0"/>
        <w:keepLines w:val="0"/>
        <w:pageBreakBefore w:val="0"/>
        <w:kinsoku/>
        <w:wordWrap/>
        <w:overflowPunct/>
        <w:topLinePunct w:val="0"/>
        <w:autoSpaceDE/>
        <w:autoSpaceDN/>
        <w:bidi w:val="0"/>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预算编制需进一步细化，绩效目标设定有待更科学更合理。</w:t>
      </w:r>
    </w:p>
    <w:p>
      <w:pPr>
        <w:keepNext w:val="0"/>
        <w:keepLines w:val="0"/>
        <w:pageBreakBefore w:val="0"/>
        <w:kinsoku/>
        <w:wordWrap/>
        <w:overflowPunct/>
        <w:topLinePunct w:val="0"/>
        <w:autoSpaceDE/>
        <w:autoSpaceDN/>
        <w:bidi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（三）改进建议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针对存在的问题，我们将进一步科学设定绩效目标，加强预算执行管理。遵循先有预算、后有支出的原则，加强《</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预算法》、《行政单位会计制度》等学习培训，规范部门预算收支核算；加强财务管理和内部控制监督制度。</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改进部门收支预算编制，夯实预算基础工作，提高预算编制质量；二是认真研究政策，加强项目绩效目标审核，力求科学合理；三是认真研究重点项目的执行，特别是涉及政府采购的项目，提早规划，提前实施，确保项目顺利实施，提高财政资金的使用效益</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4160" w:firstLineChars="1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中国共产党茂县委员会办公室</w:t>
      </w:r>
    </w:p>
    <w:p>
      <w:pPr>
        <w:keepNext w:val="0"/>
        <w:keepLines w:val="0"/>
        <w:pageBreakBefore w:val="0"/>
        <w:kinsoku/>
        <w:wordWrap/>
        <w:overflowPunct/>
        <w:topLinePunct w:val="0"/>
        <w:autoSpaceDE/>
        <w:autoSpaceDN/>
        <w:bidi w:val="0"/>
        <w:adjustRightInd/>
        <w:snapToGrid/>
        <w:spacing w:line="560" w:lineRule="exact"/>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2023年9月12日</w:t>
      </w:r>
    </w:p>
    <w:bookmarkEnd w:id="103"/>
    <w:p>
      <w:pPr>
        <w:pStyle w:val="15"/>
        <w:keepNext w:val="0"/>
        <w:keepLines w:val="0"/>
        <w:pageBreakBefore w:val="0"/>
        <w:widowControl/>
        <w:suppressLineNumbers w:val="0"/>
        <w:kinsoku/>
        <w:wordWrap/>
        <w:overflowPunct/>
        <w:topLinePunct w:val="0"/>
        <w:bidi w:val="0"/>
        <w:spacing w:line="576" w:lineRule="exact"/>
        <w:textAlignment w:val="auto"/>
      </w:pPr>
      <w:r>
        <w:t>附表</w:t>
      </w:r>
    </w:p>
    <w:tbl>
      <w:tblPr>
        <w:tblStyle w:val="16"/>
        <w:tblpPr w:leftFromText="180" w:rightFromText="180" w:vertAnchor="text" w:horzAnchor="page" w:tblpX="1256" w:tblpY="221"/>
        <w:tblOverlap w:val="never"/>
        <w:tblW w:w="5173" w:type="pct"/>
        <w:tblInd w:w="0" w:type="dxa"/>
        <w:tblLayout w:type="autofit"/>
        <w:tblCellMar>
          <w:top w:w="0" w:type="dxa"/>
          <w:left w:w="108" w:type="dxa"/>
          <w:bottom w:w="0" w:type="dxa"/>
          <w:right w:w="108" w:type="dxa"/>
        </w:tblCellMar>
      </w:tblPr>
      <w:tblGrid>
        <w:gridCol w:w="2102"/>
        <w:gridCol w:w="1213"/>
        <w:gridCol w:w="1635"/>
        <w:gridCol w:w="1290"/>
        <w:gridCol w:w="1388"/>
        <w:gridCol w:w="1513"/>
        <w:gridCol w:w="234"/>
      </w:tblGrid>
      <w:tr>
        <w:tblPrEx>
          <w:tblCellMar>
            <w:top w:w="0" w:type="dxa"/>
            <w:left w:w="108" w:type="dxa"/>
            <w:bottom w:w="0" w:type="dxa"/>
            <w:right w:w="108" w:type="dxa"/>
          </w:tblCellMar>
        </w:tblPrEx>
        <w:trPr>
          <w:trHeight w:val="675" w:hRule="atLeast"/>
        </w:trPr>
        <w:tc>
          <w:tcPr>
            <w:tcW w:w="4874" w:type="pct"/>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宋体" w:hAnsi="宋体" w:eastAsia="宋体" w:cs="宋体"/>
                <w:b/>
                <w:color w:val="000000"/>
                <w:sz w:val="32"/>
                <w:szCs w:val="32"/>
                <w:lang w:eastAsia="zh-CN"/>
              </w:rPr>
            </w:pPr>
            <w:r>
              <w:rPr>
                <w:rFonts w:hint="eastAsia" w:ascii="宋体" w:hAnsi="宋体" w:cs="宋体"/>
                <w:b/>
                <w:color w:val="000000"/>
                <w:sz w:val="32"/>
                <w:szCs w:val="32"/>
                <w:lang w:val="en-US" w:eastAsia="zh-CN"/>
              </w:rPr>
              <w:t>2</w:t>
            </w:r>
            <w:r>
              <w:rPr>
                <w:rFonts w:hint="eastAsia" w:ascii="宋体" w:hAnsi="宋体" w:cs="宋体"/>
                <w:b/>
                <w:color w:val="000000"/>
                <w:sz w:val="32"/>
                <w:szCs w:val="32"/>
              </w:rPr>
              <w:t>022年50万元以上（含）特定目标类部门预算项目绩效目标自评</w:t>
            </w:r>
            <w:r>
              <w:rPr>
                <w:rFonts w:hint="eastAsia" w:ascii="宋体" w:hAnsi="宋体" w:cs="宋体"/>
                <w:b/>
                <w:color w:val="000000"/>
                <w:sz w:val="32"/>
                <w:szCs w:val="32"/>
                <w:lang w:eastAsia="zh-CN"/>
              </w:rPr>
              <w:t>（公务用车购置）</w:t>
            </w:r>
          </w:p>
        </w:tc>
        <w:tc>
          <w:tcPr>
            <w:tcW w:w="125"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b/>
                <w:color w:val="000000"/>
                <w:kern w:val="0"/>
                <w:szCs w:val="32"/>
                <w:lang w:bidi="ar"/>
              </w:rPr>
            </w:pPr>
          </w:p>
        </w:tc>
      </w:tr>
      <w:tr>
        <w:tblPrEx>
          <w:tblCellMar>
            <w:top w:w="0" w:type="dxa"/>
            <w:left w:w="108" w:type="dxa"/>
            <w:bottom w:w="0" w:type="dxa"/>
            <w:right w:w="108" w:type="dxa"/>
          </w:tblCellMar>
        </w:tblPrEx>
        <w:trPr>
          <w:gridAfter w:val="1"/>
          <w:wAfter w:w="125" w:type="pct"/>
          <w:trHeight w:val="730" w:hRule="atLeast"/>
        </w:trPr>
        <w:tc>
          <w:tcPr>
            <w:tcW w:w="17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主管部门及代码</w:t>
            </w:r>
          </w:p>
        </w:tc>
        <w:tc>
          <w:tcPr>
            <w:tcW w:w="15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115101</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实施单位</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eastAsia" w:ascii="宋体" w:hAnsi="宋体" w:eastAsia="宋体" w:cs="宋体"/>
                <w:color w:val="000000"/>
                <w:sz w:val="24"/>
                <w:lang w:val="en-US" w:eastAsia="zh-CN"/>
              </w:rPr>
            </w:pPr>
            <w:r>
              <w:rPr>
                <w:rFonts w:hint="eastAsia" w:ascii="宋体" w:hAnsi="宋体" w:cs="宋体"/>
                <w:color w:val="000000"/>
                <w:sz w:val="24"/>
                <w:lang w:eastAsia="zh-CN"/>
              </w:rPr>
              <w:t>茂县县委办</w:t>
            </w:r>
          </w:p>
        </w:tc>
      </w:tr>
      <w:tr>
        <w:tblPrEx>
          <w:tblCellMar>
            <w:top w:w="0" w:type="dxa"/>
            <w:left w:w="108" w:type="dxa"/>
            <w:bottom w:w="0" w:type="dxa"/>
            <w:right w:w="108" w:type="dxa"/>
          </w:tblCellMar>
        </w:tblPrEx>
        <w:trPr>
          <w:gridAfter w:val="1"/>
          <w:wAfter w:w="125" w:type="pct"/>
          <w:trHeight w:val="341" w:hRule="atLeast"/>
        </w:trPr>
        <w:tc>
          <w:tcPr>
            <w:tcW w:w="176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项目预算</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执行情况</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（万元）</w:t>
            </w: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60万</w:t>
            </w:r>
          </w:p>
        </w:tc>
      </w:tr>
      <w:tr>
        <w:tblPrEx>
          <w:tblCellMar>
            <w:top w:w="0" w:type="dxa"/>
            <w:left w:w="108" w:type="dxa"/>
            <w:bottom w:w="0" w:type="dxa"/>
            <w:right w:w="108" w:type="dxa"/>
          </w:tblCellMar>
        </w:tblPrEx>
        <w:trPr>
          <w:gridAfter w:val="1"/>
          <w:wAfter w:w="125" w:type="pct"/>
          <w:trHeight w:val="915" w:hRule="exact"/>
        </w:trPr>
        <w:tc>
          <w:tcPr>
            <w:tcW w:w="176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宋体" w:cs="宋体"/>
                <w:color w:val="000000"/>
                <w:sz w:val="24"/>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其中：</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财政拨款</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其中：</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财政拨款</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60万</w:t>
            </w:r>
          </w:p>
        </w:tc>
      </w:tr>
      <w:tr>
        <w:tblPrEx>
          <w:tblCellMar>
            <w:top w:w="0" w:type="dxa"/>
            <w:left w:w="108" w:type="dxa"/>
            <w:bottom w:w="0" w:type="dxa"/>
            <w:right w:w="108" w:type="dxa"/>
          </w:tblCellMar>
        </w:tblPrEx>
        <w:trPr>
          <w:gridAfter w:val="1"/>
          <w:wAfter w:w="125" w:type="pct"/>
          <w:trHeight w:val="341" w:hRule="atLeast"/>
        </w:trPr>
        <w:tc>
          <w:tcPr>
            <w:tcW w:w="176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宋体" w:cs="宋体"/>
                <w:color w:val="000000"/>
                <w:sz w:val="24"/>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其他资金</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其他资金</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p>
        </w:tc>
      </w:tr>
      <w:tr>
        <w:tblPrEx>
          <w:tblCellMar>
            <w:top w:w="0" w:type="dxa"/>
            <w:left w:w="108" w:type="dxa"/>
            <w:bottom w:w="0" w:type="dxa"/>
            <w:right w:w="108" w:type="dxa"/>
          </w:tblCellMar>
        </w:tblPrEx>
        <w:trPr>
          <w:gridAfter w:val="1"/>
          <w:wAfter w:w="125" w:type="pct"/>
          <w:trHeight w:val="217" w:hRule="atLeast"/>
        </w:trPr>
        <w:tc>
          <w:tcPr>
            <w:tcW w:w="11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年度总体目标</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完成情况</w:t>
            </w:r>
          </w:p>
        </w:tc>
        <w:tc>
          <w:tcPr>
            <w:tcW w:w="22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154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宋体" w:hAnsi="宋体" w:cs="宋体"/>
                <w:color w:val="000000"/>
                <w:sz w:val="24"/>
              </w:rPr>
            </w:pPr>
            <w:r>
              <w:rPr>
                <w:rFonts w:hint="eastAsia" w:ascii="宋体" w:hAnsi="宋体" w:cs="宋体"/>
                <w:color w:val="000000"/>
                <w:kern w:val="0"/>
                <w:sz w:val="24"/>
                <w:lang w:bidi="ar"/>
              </w:rPr>
              <w:t>目标实际完成情况</w:t>
            </w:r>
          </w:p>
        </w:tc>
      </w:tr>
      <w:tr>
        <w:tblPrEx>
          <w:tblCellMar>
            <w:top w:w="0" w:type="dxa"/>
            <w:left w:w="108" w:type="dxa"/>
            <w:bottom w:w="0" w:type="dxa"/>
            <w:right w:w="108" w:type="dxa"/>
          </w:tblCellMar>
        </w:tblPrEx>
        <w:trPr>
          <w:gridAfter w:val="1"/>
          <w:wAfter w:w="125" w:type="pct"/>
          <w:trHeight w:val="920" w:hRule="exact"/>
        </w:trPr>
        <w:tc>
          <w:tcPr>
            <w:tcW w:w="11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宋体" w:hAnsi="宋体" w:cs="宋体"/>
                <w:color w:val="000000"/>
                <w:sz w:val="24"/>
              </w:rPr>
            </w:pPr>
          </w:p>
        </w:tc>
        <w:tc>
          <w:tcPr>
            <w:tcW w:w="2206" w:type="pct"/>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top"/>
              <w:rPr>
                <w:rFonts w:hint="eastAsia" w:ascii="宋体" w:hAnsi="宋体" w:eastAsia="宋体" w:cs="宋体"/>
                <w:color w:val="000000"/>
                <w:sz w:val="24"/>
                <w:lang w:eastAsia="zh-CN"/>
              </w:rPr>
            </w:pPr>
            <w:r>
              <w:rPr>
                <w:rFonts w:hint="eastAsia" w:ascii="宋体" w:hAnsi="宋体" w:cs="宋体"/>
                <w:color w:val="000000"/>
                <w:sz w:val="24"/>
                <w:lang w:eastAsia="zh-CN"/>
              </w:rPr>
              <w:t>更新购置公务用车一辆</w:t>
            </w:r>
          </w:p>
        </w:tc>
        <w:tc>
          <w:tcPr>
            <w:tcW w:w="1545" w:type="pct"/>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adjustRightInd/>
              <w:snapToGrid/>
              <w:spacing w:line="560" w:lineRule="exact"/>
              <w:jc w:val="left"/>
              <w:textAlignment w:val="top"/>
              <w:rPr>
                <w:rFonts w:hint="eastAsia" w:ascii="宋体" w:hAnsi="宋体" w:eastAsia="宋体" w:cs="宋体"/>
                <w:color w:val="000000"/>
                <w:sz w:val="24"/>
                <w:lang w:eastAsia="zh-CN"/>
              </w:rPr>
            </w:pPr>
            <w:r>
              <w:rPr>
                <w:rFonts w:hint="eastAsia" w:ascii="宋体" w:hAnsi="宋体" w:cs="宋体"/>
                <w:color w:val="000000"/>
                <w:sz w:val="24"/>
                <w:lang w:eastAsia="zh-CN"/>
              </w:rPr>
              <w:t>完成更新购置公务用车一辆</w:t>
            </w:r>
          </w:p>
        </w:tc>
      </w:tr>
      <w:tr>
        <w:tblPrEx>
          <w:tblCellMar>
            <w:top w:w="0" w:type="dxa"/>
            <w:left w:w="108" w:type="dxa"/>
            <w:bottom w:w="0" w:type="dxa"/>
            <w:right w:w="108" w:type="dxa"/>
          </w:tblCellMar>
        </w:tblPrEx>
        <w:trPr>
          <w:gridAfter w:val="1"/>
          <w:wAfter w:w="125" w:type="pct"/>
          <w:trHeight w:val="738" w:hRule="atLeast"/>
        </w:trPr>
        <w:tc>
          <w:tcPr>
            <w:tcW w:w="112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年度绩效指标完成情况</w:t>
            </w:r>
          </w:p>
        </w:tc>
        <w:tc>
          <w:tcPr>
            <w:tcW w:w="64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一级</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二级</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kern w:val="0"/>
                <w:sz w:val="28"/>
                <w:szCs w:val="28"/>
                <w:lang w:bidi="ar"/>
              </w:rPr>
            </w:pPr>
            <w:r>
              <w:rPr>
                <w:rFonts w:hint="eastAsia" w:ascii="仿宋_GB2312" w:hAnsi="仿宋_GB2312" w:cs="仿宋_GB2312"/>
                <w:color w:val="000000"/>
                <w:kern w:val="0"/>
                <w:sz w:val="28"/>
                <w:szCs w:val="28"/>
                <w:lang w:bidi="ar"/>
              </w:rPr>
              <w:t>三级</w:t>
            </w:r>
          </w:p>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指标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预期指标值</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center"/>
              <w:rPr>
                <w:rFonts w:ascii="仿宋_GB2312" w:hAnsi="仿宋_GB2312" w:cs="仿宋_GB2312"/>
                <w:color w:val="000000"/>
                <w:sz w:val="28"/>
                <w:szCs w:val="28"/>
              </w:rPr>
            </w:pPr>
            <w:r>
              <w:rPr>
                <w:rFonts w:hint="eastAsia" w:ascii="仿宋_GB2312" w:hAnsi="仿宋_GB2312" w:cs="仿宋_GB2312"/>
                <w:color w:val="000000"/>
                <w:kern w:val="0"/>
                <w:sz w:val="28"/>
                <w:szCs w:val="28"/>
                <w:lang w:bidi="ar"/>
              </w:rPr>
              <w:t>实际完成指标值</w:t>
            </w:r>
          </w:p>
        </w:tc>
      </w:tr>
      <w:tr>
        <w:tblPrEx>
          <w:tblCellMar>
            <w:top w:w="0" w:type="dxa"/>
            <w:left w:w="108" w:type="dxa"/>
            <w:bottom w:w="0" w:type="dxa"/>
            <w:right w:w="108" w:type="dxa"/>
          </w:tblCellMar>
        </w:tblPrEx>
        <w:trPr>
          <w:gridAfter w:val="1"/>
          <w:wAfter w:w="125" w:type="pct"/>
          <w:trHeight w:val="480" w:hRule="atLeast"/>
        </w:trPr>
        <w:tc>
          <w:tcPr>
            <w:tcW w:w="1121"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完成</w:t>
            </w:r>
          </w:p>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数量指标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eastAsia"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1辆</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eastAsia"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1辆</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1辆</w:t>
            </w:r>
          </w:p>
        </w:tc>
      </w:tr>
      <w:tr>
        <w:tblPrEx>
          <w:tblCellMar>
            <w:top w:w="0" w:type="dxa"/>
            <w:left w:w="108" w:type="dxa"/>
            <w:bottom w:w="0" w:type="dxa"/>
            <w:right w:w="108" w:type="dxa"/>
          </w:tblCellMar>
        </w:tblPrEx>
        <w:trPr>
          <w:gridAfter w:val="1"/>
          <w:wAfter w:w="125" w:type="pct"/>
          <w:trHeight w:val="1055" w:hRule="exact"/>
        </w:trPr>
        <w:tc>
          <w:tcPr>
            <w:tcW w:w="1121"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质量指标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验收合格率</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100%</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100%</w:t>
            </w:r>
          </w:p>
        </w:tc>
      </w:tr>
      <w:tr>
        <w:tblPrEx>
          <w:tblCellMar>
            <w:top w:w="0" w:type="dxa"/>
            <w:left w:w="108" w:type="dxa"/>
            <w:bottom w:w="0" w:type="dxa"/>
            <w:right w:w="108" w:type="dxa"/>
          </w:tblCellMar>
        </w:tblPrEx>
        <w:trPr>
          <w:gridAfter w:val="1"/>
          <w:wAfter w:w="125" w:type="pct"/>
          <w:trHeight w:val="480" w:hRule="atLeast"/>
        </w:trPr>
        <w:tc>
          <w:tcPr>
            <w:tcW w:w="1121"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时效指标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按期完成</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sz w:val="24"/>
                <w:szCs w:val="24"/>
                <w:lang w:val="en-US" w:eastAsia="zh-CN"/>
              </w:rPr>
              <w:t>按期完成</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sz w:val="24"/>
                <w:szCs w:val="24"/>
                <w:lang w:val="en-US" w:eastAsia="zh-CN"/>
              </w:rPr>
              <w:t>按期完成</w:t>
            </w:r>
          </w:p>
        </w:tc>
      </w:tr>
      <w:tr>
        <w:tblPrEx>
          <w:tblCellMar>
            <w:top w:w="0" w:type="dxa"/>
            <w:left w:w="108" w:type="dxa"/>
            <w:bottom w:w="0" w:type="dxa"/>
            <w:right w:w="108" w:type="dxa"/>
          </w:tblCellMar>
        </w:tblPrEx>
        <w:trPr>
          <w:gridAfter w:val="1"/>
          <w:wAfter w:w="125" w:type="pct"/>
          <w:trHeight w:val="480" w:hRule="atLeast"/>
        </w:trPr>
        <w:tc>
          <w:tcPr>
            <w:tcW w:w="1121"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4"/>
                <w:szCs w:val="24"/>
              </w:rPr>
            </w:pP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成本指标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57.01</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57.01</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eastAsia" w:ascii="仿宋_GB2312" w:hAnsi="仿宋_GB2312" w:cs="仿宋_GB2312"/>
                <w:color w:val="000000"/>
                <w:sz w:val="24"/>
                <w:szCs w:val="24"/>
                <w:lang w:val="en-US" w:eastAsia="zh-CN"/>
              </w:rPr>
              <w:t>57.01</w:t>
            </w:r>
          </w:p>
        </w:tc>
      </w:tr>
      <w:tr>
        <w:tblPrEx>
          <w:tblCellMar>
            <w:top w:w="0" w:type="dxa"/>
            <w:left w:w="108" w:type="dxa"/>
            <w:bottom w:w="0" w:type="dxa"/>
            <w:right w:w="108" w:type="dxa"/>
          </w:tblCellMar>
        </w:tblPrEx>
        <w:trPr>
          <w:gridAfter w:val="1"/>
          <w:wAfter w:w="125" w:type="pct"/>
          <w:trHeight w:val="1177" w:hRule="exact"/>
        </w:trPr>
        <w:tc>
          <w:tcPr>
            <w:tcW w:w="1121" w:type="pct"/>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8"/>
                <w:szCs w:val="28"/>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效益</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center"/>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社会效益  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center"/>
              <w:textAlignment w:val="bottom"/>
              <w:rPr>
                <w:rFonts w:ascii="仿宋_GB2312" w:hAnsi="仿宋_GB2312" w:cs="仿宋_GB2312"/>
                <w:color w:val="000000"/>
                <w:sz w:val="24"/>
                <w:szCs w:val="24"/>
              </w:rPr>
            </w:pPr>
            <w:r>
              <w:rPr>
                <w:rFonts w:hint="eastAsia" w:ascii="仿宋_GB2312" w:hAnsi="仿宋_GB2312" w:cs="仿宋_GB2312"/>
                <w:color w:val="000000"/>
                <w:sz w:val="24"/>
                <w:szCs w:val="24"/>
                <w:lang w:eastAsia="zh-CN"/>
              </w:rPr>
              <w:t>保障机关日常运转</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bottom"/>
              <w:rPr>
                <w:rFonts w:ascii="仿宋_GB2312" w:hAnsi="仿宋_GB2312" w:cs="仿宋_GB2312"/>
                <w:color w:val="000000"/>
                <w:sz w:val="24"/>
                <w:szCs w:val="24"/>
              </w:rPr>
            </w:pPr>
            <w:r>
              <w:rPr>
                <w:rFonts w:hint="eastAsia" w:ascii="仿宋_GB2312" w:hAnsi="仿宋_GB2312" w:cs="仿宋_GB2312"/>
                <w:color w:val="000000"/>
                <w:sz w:val="24"/>
                <w:szCs w:val="24"/>
                <w:lang w:eastAsia="zh-CN"/>
              </w:rPr>
              <w:t>良好</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bottom"/>
              <w:rPr>
                <w:rFonts w:ascii="仿宋_GB2312" w:hAnsi="仿宋_GB2312" w:cs="仿宋_GB2312"/>
                <w:color w:val="000000"/>
                <w:sz w:val="24"/>
                <w:szCs w:val="24"/>
              </w:rPr>
            </w:pPr>
            <w:r>
              <w:rPr>
                <w:rFonts w:hint="eastAsia" w:ascii="仿宋_GB2312" w:hAnsi="仿宋_GB2312" w:cs="仿宋_GB2312"/>
                <w:color w:val="000000"/>
                <w:sz w:val="24"/>
                <w:szCs w:val="24"/>
                <w:lang w:eastAsia="zh-CN"/>
              </w:rPr>
              <w:t>良好</w:t>
            </w:r>
          </w:p>
        </w:tc>
      </w:tr>
      <w:tr>
        <w:tblPrEx>
          <w:tblCellMar>
            <w:top w:w="0" w:type="dxa"/>
            <w:left w:w="108" w:type="dxa"/>
            <w:bottom w:w="0" w:type="dxa"/>
            <w:right w:w="108" w:type="dxa"/>
          </w:tblCellMar>
        </w:tblPrEx>
        <w:trPr>
          <w:gridAfter w:val="1"/>
          <w:wAfter w:w="125" w:type="pct"/>
          <w:trHeight w:val="480" w:hRule="atLeast"/>
        </w:trPr>
        <w:tc>
          <w:tcPr>
            <w:tcW w:w="112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left"/>
              <w:rPr>
                <w:rFonts w:ascii="仿宋_GB2312" w:hAnsi="仿宋_GB2312" w:cs="仿宋_GB2312"/>
                <w:color w:val="000000"/>
                <w:sz w:val="28"/>
                <w:szCs w:val="28"/>
              </w:rPr>
            </w:pP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满意</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度指标</w:t>
            </w:r>
          </w:p>
        </w:tc>
        <w:tc>
          <w:tcPr>
            <w:tcW w:w="87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满意度</w:t>
            </w:r>
          </w:p>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eastAsia" w:ascii="仿宋_GB2312" w:hAnsi="仿宋_GB2312" w:cs="仿宋_GB2312"/>
                <w:color w:val="000000"/>
                <w:kern w:val="0"/>
                <w:sz w:val="24"/>
                <w:szCs w:val="24"/>
                <w:lang w:bidi="ar"/>
              </w:rPr>
              <w:t>指标</w:t>
            </w:r>
          </w:p>
        </w:tc>
        <w:tc>
          <w:tcPr>
            <w:tcW w:w="68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eastAsia" w:ascii="仿宋_GB2312" w:hAnsi="仿宋_GB2312" w:eastAsia="宋体" w:cs="仿宋_GB2312"/>
                <w:color w:val="000000"/>
                <w:sz w:val="24"/>
                <w:szCs w:val="24"/>
                <w:lang w:eastAsia="zh-CN"/>
              </w:rPr>
            </w:pPr>
            <w:r>
              <w:rPr>
                <w:rFonts w:hint="eastAsia" w:ascii="仿宋_GB2312" w:hAnsi="仿宋_GB2312" w:cs="仿宋_GB2312"/>
                <w:color w:val="000000"/>
                <w:sz w:val="24"/>
                <w:szCs w:val="24"/>
                <w:lang w:eastAsia="zh-CN"/>
              </w:rPr>
              <w:t>服务对象满意</w:t>
            </w:r>
          </w:p>
        </w:tc>
        <w:tc>
          <w:tcPr>
            <w:tcW w:w="740"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hint="default" w:ascii="仿宋_GB2312" w:hAnsi="仿宋_GB2312" w:eastAsia="宋体" w:cs="仿宋_GB2312"/>
                <w:color w:val="000000"/>
                <w:sz w:val="24"/>
                <w:szCs w:val="24"/>
                <w:lang w:val="en-US" w:eastAsia="zh-CN"/>
              </w:rPr>
            </w:pPr>
            <w:r>
              <w:rPr>
                <w:rFonts w:hint="default" w:ascii="Arial" w:hAnsi="Arial" w:cs="Arial"/>
                <w:color w:val="000000"/>
                <w:sz w:val="24"/>
                <w:szCs w:val="24"/>
              </w:rPr>
              <w:t>≥</w:t>
            </w:r>
            <w:r>
              <w:rPr>
                <w:rFonts w:hint="eastAsia" w:ascii="仿宋_GB2312" w:hAnsi="仿宋_GB2312" w:cs="仿宋_GB2312"/>
                <w:color w:val="000000"/>
                <w:sz w:val="24"/>
                <w:szCs w:val="24"/>
                <w:lang w:val="en-US" w:eastAsia="zh-CN"/>
              </w:rPr>
              <w:t>95%</w:t>
            </w: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560" w:lineRule="exact"/>
              <w:jc w:val="left"/>
              <w:textAlignment w:val="bottom"/>
              <w:rPr>
                <w:rFonts w:ascii="仿宋_GB2312" w:hAnsi="仿宋_GB2312" w:cs="仿宋_GB2312"/>
                <w:color w:val="000000"/>
                <w:sz w:val="24"/>
                <w:szCs w:val="24"/>
              </w:rPr>
            </w:pPr>
            <w:r>
              <w:rPr>
                <w:rFonts w:hint="default" w:ascii="Arial" w:hAnsi="Arial" w:cs="Arial"/>
                <w:color w:val="000000"/>
                <w:sz w:val="24"/>
                <w:szCs w:val="24"/>
              </w:rPr>
              <w:t>≥</w:t>
            </w:r>
            <w:r>
              <w:rPr>
                <w:rFonts w:hint="eastAsia" w:ascii="仿宋_GB2312" w:hAnsi="仿宋_GB2312" w:cs="仿宋_GB2312"/>
                <w:color w:val="000000"/>
                <w:sz w:val="24"/>
                <w:szCs w:val="24"/>
                <w:lang w:val="en-US" w:eastAsia="zh-CN"/>
              </w:rPr>
              <w:t>95%</w:t>
            </w:r>
          </w:p>
        </w:tc>
      </w:tr>
    </w:tbl>
    <w:p>
      <w:pPr>
        <w:pStyle w:val="2"/>
        <w:keepNext w:val="0"/>
        <w:keepLines w:val="0"/>
        <w:pageBreakBefore w:val="0"/>
        <w:kinsoku/>
        <w:wordWrap/>
        <w:overflowPunct/>
        <w:topLinePunct w:val="0"/>
        <w:autoSpaceDE/>
        <w:autoSpaceDN/>
        <w:bidi w:val="0"/>
        <w:adjustRightInd/>
        <w:snapToGrid/>
        <w:spacing w:line="560" w:lineRule="exact"/>
        <w:jc w:val="left"/>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474" w:bottom="1440" w:left="1587" w:header="851" w:footer="992" w:gutter="0"/>
          <w:cols w:space="720" w:num="1"/>
          <w:docGrid w:type="lines" w:linePitch="312" w:charSpace="0"/>
        </w:sectPr>
      </w:pPr>
      <w:r>
        <w:rPr>
          <w:rFonts w:hint="eastAsia" w:ascii="仿宋_GB2312" w:hAnsi="宋体" w:cs="宋体"/>
          <w:color w:val="000000"/>
          <w:kern w:val="0"/>
          <w:szCs w:val="32"/>
          <w:shd w:val="clear" w:color="auto" w:fill="FFFFFF"/>
        </w:rPr>
        <w:t>（注：有两个及以上50万元以上（含）特定目标类部门预算项目的，需分别开展绩效目标自评并填写附表）</w:t>
      </w:r>
    </w:p>
    <w:p>
      <w:pPr>
        <w:pStyle w:val="3"/>
        <w:jc w:val="center"/>
        <w:rPr>
          <w:rFonts w:ascii="黑体" w:eastAsia="黑体" w:cs="黑体"/>
        </w:rPr>
      </w:pPr>
      <w:r>
        <w:rPr>
          <w:rFonts w:hint="eastAsia" w:ascii="黑体" w:eastAsia="黑体" w:cs="黑体"/>
        </w:rPr>
        <w:t>第五部分 附表</w:t>
      </w:r>
      <w:bookmarkEnd w:id="76"/>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77" w:name="_Toc12986"/>
      <w:bookmarkStart w:id="78" w:name="_Toc26370"/>
      <w:r>
        <w:rPr>
          <w:rFonts w:hint="eastAsia" w:ascii="仿宋" w:hAnsi="Cambria" w:eastAsia="仿宋" w:cs="Times New Roman"/>
          <w:b w:val="0"/>
          <w:color w:val="000000"/>
          <w:kern w:val="2"/>
          <w:sz w:val="32"/>
          <w:szCs w:val="32"/>
          <w:lang w:bidi="ar-SA"/>
        </w:rPr>
        <w:t>一、收入支出决算总表</w:t>
      </w:r>
      <w:bookmarkEnd w:id="77"/>
      <w:bookmarkEnd w:id="78"/>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79" w:name="_Toc13591"/>
      <w:bookmarkStart w:id="80" w:name="_Toc13062"/>
      <w:r>
        <w:rPr>
          <w:rFonts w:hint="eastAsia" w:ascii="仿宋" w:hAnsi="Cambria" w:eastAsia="仿宋" w:cs="Times New Roman"/>
          <w:b w:val="0"/>
          <w:color w:val="000000"/>
          <w:kern w:val="2"/>
          <w:sz w:val="32"/>
          <w:szCs w:val="32"/>
          <w:lang w:bidi="ar-SA"/>
        </w:rPr>
        <w:t>二、收入决算表</w:t>
      </w:r>
      <w:bookmarkEnd w:id="79"/>
      <w:bookmarkEnd w:id="80"/>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81" w:name="_Toc16600"/>
      <w:bookmarkStart w:id="82" w:name="_Toc29688"/>
      <w:r>
        <w:rPr>
          <w:rFonts w:hint="eastAsia" w:ascii="仿宋" w:hAnsi="Cambria" w:eastAsia="仿宋" w:cs="Times New Roman"/>
          <w:b w:val="0"/>
          <w:color w:val="000000"/>
          <w:kern w:val="2"/>
          <w:sz w:val="32"/>
          <w:szCs w:val="32"/>
          <w:lang w:bidi="ar-SA"/>
        </w:rPr>
        <w:t>三、支出决算表</w:t>
      </w:r>
      <w:bookmarkEnd w:id="81"/>
      <w:bookmarkEnd w:id="82"/>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83" w:name="_Toc26630"/>
      <w:bookmarkStart w:id="84" w:name="_Toc5964"/>
      <w:r>
        <w:rPr>
          <w:rFonts w:hint="eastAsia" w:ascii="仿宋" w:hAnsi="Cambria" w:eastAsia="仿宋" w:cs="Times New Roman"/>
          <w:b w:val="0"/>
          <w:color w:val="000000"/>
          <w:kern w:val="2"/>
          <w:sz w:val="32"/>
          <w:szCs w:val="32"/>
          <w:lang w:bidi="ar-SA"/>
        </w:rPr>
        <w:t>四、财政拨款收入支出决算总表</w:t>
      </w:r>
      <w:bookmarkEnd w:id="83"/>
      <w:bookmarkEnd w:id="84"/>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85" w:name="_Toc14273"/>
      <w:bookmarkStart w:id="86" w:name="_Toc19934"/>
      <w:r>
        <w:rPr>
          <w:rFonts w:hint="eastAsia" w:ascii="仿宋" w:hAnsi="Cambria" w:eastAsia="仿宋" w:cs="Times New Roman"/>
          <w:b w:val="0"/>
          <w:color w:val="000000"/>
          <w:kern w:val="2"/>
          <w:sz w:val="32"/>
          <w:szCs w:val="32"/>
          <w:lang w:bidi="ar-SA"/>
        </w:rPr>
        <w:t>五、财政拨款支出决算明细表</w:t>
      </w:r>
      <w:bookmarkEnd w:id="85"/>
      <w:bookmarkEnd w:id="86"/>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87" w:name="_Toc6686"/>
      <w:bookmarkStart w:id="88" w:name="_Toc16449"/>
      <w:r>
        <w:rPr>
          <w:rFonts w:hint="eastAsia" w:ascii="仿宋" w:hAnsi="Cambria" w:eastAsia="仿宋" w:cs="Times New Roman"/>
          <w:b w:val="0"/>
          <w:color w:val="000000"/>
          <w:kern w:val="2"/>
          <w:sz w:val="32"/>
          <w:szCs w:val="32"/>
          <w:lang w:bidi="ar-SA"/>
        </w:rPr>
        <w:t>六、一般公共预算财政拨款支出决算表</w:t>
      </w:r>
      <w:bookmarkEnd w:id="87"/>
      <w:bookmarkEnd w:id="88"/>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89" w:name="_Toc19514"/>
      <w:bookmarkStart w:id="90" w:name="_Toc3478"/>
      <w:r>
        <w:rPr>
          <w:rFonts w:hint="eastAsia" w:ascii="仿宋" w:hAnsi="Cambria" w:eastAsia="仿宋" w:cs="Times New Roman"/>
          <w:b w:val="0"/>
          <w:color w:val="000000"/>
          <w:kern w:val="2"/>
          <w:sz w:val="32"/>
          <w:szCs w:val="32"/>
          <w:lang w:bidi="ar-SA"/>
        </w:rPr>
        <w:t>七、一般公共预算财政拨款支出决算明细表</w:t>
      </w:r>
      <w:bookmarkEnd w:id="89"/>
      <w:bookmarkEnd w:id="90"/>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91" w:name="_Toc191"/>
      <w:bookmarkStart w:id="92" w:name="_Toc17352"/>
      <w:r>
        <w:rPr>
          <w:rFonts w:hint="eastAsia" w:ascii="仿宋" w:hAnsi="Cambria" w:eastAsia="仿宋" w:cs="Times New Roman"/>
          <w:b w:val="0"/>
          <w:color w:val="000000"/>
          <w:kern w:val="2"/>
          <w:sz w:val="32"/>
          <w:szCs w:val="32"/>
          <w:lang w:bidi="ar-SA"/>
        </w:rPr>
        <w:t>八、一般公共预算财政拨款基本支出决算表</w:t>
      </w:r>
      <w:bookmarkEnd w:id="91"/>
      <w:bookmarkEnd w:id="92"/>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93" w:name="_Toc3726"/>
      <w:bookmarkStart w:id="94" w:name="_Toc5204"/>
      <w:r>
        <w:rPr>
          <w:rFonts w:hint="eastAsia" w:ascii="仿宋" w:hAnsi="Cambria" w:eastAsia="仿宋" w:cs="Times New Roman"/>
          <w:b w:val="0"/>
          <w:color w:val="000000"/>
          <w:kern w:val="2"/>
          <w:sz w:val="32"/>
          <w:szCs w:val="32"/>
          <w:lang w:bidi="ar-SA"/>
        </w:rPr>
        <w:t>九、一般公共预算财政拨款项目支出决算表</w:t>
      </w:r>
      <w:bookmarkEnd w:id="93"/>
      <w:bookmarkEnd w:id="94"/>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95" w:name="_Toc20056"/>
      <w:bookmarkStart w:id="96" w:name="_Toc20756"/>
      <w:r>
        <w:rPr>
          <w:rFonts w:hint="eastAsia" w:ascii="仿宋" w:hAnsi="Cambria" w:eastAsia="仿宋" w:cs="Times New Roman"/>
          <w:b w:val="0"/>
          <w:color w:val="000000"/>
          <w:kern w:val="2"/>
          <w:sz w:val="32"/>
          <w:szCs w:val="32"/>
          <w:lang w:bidi="ar-SA"/>
        </w:rPr>
        <w:t>十、政府性基金预算财政拨款收入支出决算表</w:t>
      </w:r>
      <w:bookmarkEnd w:id="95"/>
      <w:bookmarkEnd w:id="96"/>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97" w:name="_Toc13849"/>
      <w:bookmarkStart w:id="98" w:name="_Toc21387"/>
      <w:r>
        <w:rPr>
          <w:rFonts w:hint="eastAsia" w:ascii="仿宋" w:hAnsi="Cambria" w:eastAsia="仿宋" w:cs="Times New Roman"/>
          <w:b w:val="0"/>
          <w:color w:val="000000"/>
          <w:kern w:val="2"/>
          <w:sz w:val="32"/>
          <w:szCs w:val="32"/>
          <w:lang w:bidi="ar-SA"/>
        </w:rPr>
        <w:t>十一、国有资本经营预算财政拨款收入支出决算表</w:t>
      </w:r>
      <w:bookmarkEnd w:id="97"/>
      <w:bookmarkEnd w:id="98"/>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99" w:name="_Toc13099"/>
      <w:bookmarkStart w:id="100" w:name="_Toc1140"/>
      <w:r>
        <w:rPr>
          <w:rFonts w:hint="eastAsia" w:ascii="仿宋" w:hAnsi="Cambria" w:eastAsia="仿宋" w:cs="Times New Roman"/>
          <w:b w:val="0"/>
          <w:color w:val="000000"/>
          <w:kern w:val="2"/>
          <w:sz w:val="32"/>
          <w:szCs w:val="32"/>
          <w:lang w:bidi="ar-SA"/>
        </w:rPr>
        <w:t>十二、国有资本经营预算财政拨款支出决算表</w:t>
      </w:r>
      <w:bookmarkEnd w:id="99"/>
      <w:bookmarkEnd w:id="100"/>
    </w:p>
    <w:p>
      <w:pPr>
        <w:pStyle w:val="4"/>
        <w:keepNext/>
        <w:keepLines/>
        <w:pageBreakBefore w:val="0"/>
        <w:kinsoku/>
        <w:wordWrap/>
        <w:overflowPunct/>
        <w:topLinePunct w:val="0"/>
        <w:bidi w:val="0"/>
        <w:spacing w:before="260" w:beforeAutospacing="0" w:after="260" w:afterAutospacing="0" w:line="576" w:lineRule="exact"/>
        <w:jc w:val="both"/>
        <w:textAlignment w:val="auto"/>
        <w:outlineLvl w:val="1"/>
        <w:rPr>
          <w:rFonts w:hint="eastAsia" w:ascii="仿宋" w:hAnsi="Cambria" w:eastAsia="仿宋" w:cs="Times New Roman"/>
          <w:b w:val="0"/>
          <w:color w:val="000000"/>
          <w:kern w:val="2"/>
          <w:sz w:val="32"/>
          <w:szCs w:val="32"/>
          <w:lang w:bidi="ar-SA"/>
        </w:rPr>
      </w:pPr>
      <w:bookmarkStart w:id="101" w:name="_Toc24957"/>
      <w:bookmarkStart w:id="102" w:name="_Toc25065"/>
      <w:r>
        <w:rPr>
          <w:rFonts w:hint="eastAsia" w:ascii="仿宋" w:hAnsi="Cambria" w:eastAsia="仿宋" w:cs="Times New Roman"/>
          <w:b w:val="0"/>
          <w:color w:val="000000"/>
          <w:kern w:val="2"/>
          <w:sz w:val="32"/>
          <w:szCs w:val="32"/>
          <w:lang w:bidi="ar-SA"/>
        </w:rPr>
        <w:t>十三、财政拨款“三公”经费支出决算表</w:t>
      </w:r>
      <w:bookmarkEnd w:id="101"/>
      <w:bookmarkEnd w:id="102"/>
    </w:p>
    <w:p/>
    <w:sectPr>
      <w:headerReference r:id="rId5" w:type="default"/>
      <w:footerReference r:id="rId6"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26</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4494816"/>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BC96D3"/>
    <w:multiLevelType w:val="singleLevel"/>
    <w:tmpl w:val="F5BC96D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zcxZDM0MjZkNjI3OGVhNjQ0OTE3ZDU0YmUxOTQ0MjEifQ=="/>
  </w:docVars>
  <w:rsids>
    <w:rsidRoot w:val="00000000"/>
    <w:rsid w:val="047A39D5"/>
    <w:rsid w:val="06BD32B6"/>
    <w:rsid w:val="07F12200"/>
    <w:rsid w:val="09E10444"/>
    <w:rsid w:val="13042695"/>
    <w:rsid w:val="130C3EBB"/>
    <w:rsid w:val="141577DD"/>
    <w:rsid w:val="192A7151"/>
    <w:rsid w:val="1C5F6E95"/>
    <w:rsid w:val="1E8D7EE9"/>
    <w:rsid w:val="1EFA59E6"/>
    <w:rsid w:val="230C6970"/>
    <w:rsid w:val="27AC5CEC"/>
    <w:rsid w:val="28961E6F"/>
    <w:rsid w:val="29A27FCC"/>
    <w:rsid w:val="2C715EFC"/>
    <w:rsid w:val="2D4F15F3"/>
    <w:rsid w:val="308166B1"/>
    <w:rsid w:val="30B65D51"/>
    <w:rsid w:val="38E273AD"/>
    <w:rsid w:val="3F753C39"/>
    <w:rsid w:val="3FF4118D"/>
    <w:rsid w:val="44026B7C"/>
    <w:rsid w:val="46CB53EF"/>
    <w:rsid w:val="4A51551C"/>
    <w:rsid w:val="4C4A325A"/>
    <w:rsid w:val="51AA4AE6"/>
    <w:rsid w:val="525070F0"/>
    <w:rsid w:val="546F13E6"/>
    <w:rsid w:val="56813D1C"/>
    <w:rsid w:val="57AE1312"/>
    <w:rsid w:val="5BA04C44"/>
    <w:rsid w:val="5F6D55FE"/>
    <w:rsid w:val="617A7CE6"/>
    <w:rsid w:val="634B193A"/>
    <w:rsid w:val="65E9543A"/>
    <w:rsid w:val="66A01F9C"/>
    <w:rsid w:val="6C103720"/>
    <w:rsid w:val="6D3E0CE6"/>
    <w:rsid w:val="721017FC"/>
    <w:rsid w:val="72363BBA"/>
    <w:rsid w:val="76C3414B"/>
    <w:rsid w:val="76E47C83"/>
    <w:rsid w:val="771234C0"/>
    <w:rsid w:val="79A07CCD"/>
    <w:rsid w:val="7F836171"/>
    <w:rsid w:val="7FEE7E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2"/>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6">
    <w:name w:val="annotation text"/>
    <w:basedOn w:val="1"/>
    <w:qFormat/>
    <w:uiPriority w:val="0"/>
    <w:pPr>
      <w:jc w:val="left"/>
    </w:pPr>
  </w:style>
  <w:style w:type="paragraph" w:styleId="7">
    <w:name w:val="Body Text"/>
    <w:basedOn w:val="1"/>
    <w:qFormat/>
    <w:uiPriority w:val="0"/>
    <w:pPr>
      <w:spacing w:before="30" w:beforeLines="30"/>
    </w:pPr>
    <w:rPr>
      <w:rFonts w:ascii="仿宋_GB2312" w:eastAsia="仿宋_GB2312"/>
      <w:kern w:val="0"/>
      <w:sz w:val="30"/>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able of figures"/>
    <w:basedOn w:val="1"/>
    <w:next w:val="1"/>
    <w:qFormat/>
    <w:uiPriority w:val="0"/>
    <w:pPr>
      <w:ind w:left="400" w:leftChars="200" w:hanging="200" w:hangingChars="200"/>
    </w:pPr>
  </w:style>
  <w:style w:type="paragraph" w:styleId="14">
    <w:name w:val="toc 2"/>
    <w:basedOn w:val="1"/>
    <w:next w:val="1"/>
    <w:qFormat/>
    <w:uiPriority w:val="0"/>
    <w:pPr>
      <w:tabs>
        <w:tab w:val="right" w:leader="dot" w:pos="8296"/>
      </w:tabs>
      <w:ind w:left="20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styleId="20">
    <w:name w:val="annotation reference"/>
    <w:basedOn w:val="17"/>
    <w:qFormat/>
    <w:uiPriority w:val="0"/>
    <w:rPr>
      <w:sz w:val="21"/>
      <w:szCs w:val="21"/>
    </w:rPr>
  </w:style>
  <w:style w:type="character" w:customStyle="1" w:styleId="21">
    <w:name w:val="heading 1 Char"/>
    <w:basedOn w:val="17"/>
    <w:link w:val="3"/>
    <w:qFormat/>
    <w:uiPriority w:val="0"/>
    <w:rPr>
      <w:rFonts w:ascii="Times New Roman" w:hAnsi="Times New Roman" w:eastAsia="宋体" w:cs="Times New Roman"/>
      <w:b/>
      <w:bCs/>
      <w:kern w:val="44"/>
      <w:sz w:val="44"/>
      <w:szCs w:val="44"/>
      <w:lang w:val="en-US" w:eastAsia="zh-CN" w:bidi="ar-SA"/>
    </w:rPr>
  </w:style>
  <w:style w:type="character" w:customStyle="1" w:styleId="22">
    <w:name w:val="heading 2 Char"/>
    <w:basedOn w:val="17"/>
    <w:link w:val="4"/>
    <w:qFormat/>
    <w:uiPriority w:val="0"/>
    <w:rPr>
      <w:rFonts w:ascii="Cambria" w:hAnsi="Cambria" w:eastAsia="宋体" w:cs="Times New Roman"/>
      <w:b/>
      <w:bCs/>
      <w:kern w:val="2"/>
      <w:sz w:val="32"/>
      <w:szCs w:val="32"/>
      <w:lang w:val="en-US" w:eastAsia="zh-CN" w:bidi="ar-SA"/>
    </w:r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4">
    <w:name w:val="Header Char"/>
    <w:basedOn w:val="17"/>
    <w:qFormat/>
    <w:uiPriority w:val="0"/>
    <w:rPr>
      <w:rFonts w:ascii="Times New Roman" w:hAnsi="Times New Roman"/>
      <w:sz w:val="18"/>
      <w:szCs w:val="18"/>
    </w:rPr>
  </w:style>
  <w:style w:type="character" w:customStyle="1" w:styleId="25">
    <w:name w:val="Footer Char"/>
    <w:basedOn w:val="17"/>
    <w:qFormat/>
    <w:uiPriority w:val="0"/>
    <w:rPr>
      <w:rFonts w:ascii="Times New Roman" w:hAnsi="Times New Roman"/>
      <w:sz w:val="18"/>
      <w:szCs w:val="18"/>
    </w:rPr>
  </w:style>
  <w:style w:type="character" w:customStyle="1" w:styleId="26">
    <w:name w:val="Body Text Char"/>
    <w:basedOn w:val="17"/>
    <w:qFormat/>
    <w:uiPriority w:val="0"/>
    <w:rPr>
      <w:rFonts w:ascii="Times New Roman" w:hAnsi="Times New Roman"/>
      <w:szCs w:val="24"/>
    </w:rPr>
  </w:style>
  <w:style w:type="paragraph" w:styleId="27">
    <w:name w:val="List Paragraph"/>
    <w:basedOn w:val="1"/>
    <w:qFormat/>
    <w:uiPriority w:val="0"/>
    <w:pPr>
      <w:ind w:firstLine="200" w:firstLineChars="200"/>
    </w:pPr>
  </w:style>
  <w:style w:type="paragraph" w:customStyle="1" w:styleId="28">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66091"/>
      <w:kern w:val="0"/>
      <w:sz w:val="28"/>
      <w:szCs w:val="28"/>
    </w:rPr>
  </w:style>
  <w:style w:type="paragraph" w:customStyle="1" w:styleId="29">
    <w:name w:val="Normal363950e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Default Paragraph Font830522c6"/>
    <w:qFormat/>
    <w:uiPriority w:val="0"/>
  </w:style>
  <w:style w:type="paragraph" w:customStyle="1" w:styleId="31">
    <w:name w:val="Normal31da962d"/>
    <w:qFormat/>
    <w:uiPriority w:val="0"/>
    <w:pPr>
      <w:widowControl w:val="0"/>
      <w:jc w:val="both"/>
    </w:pPr>
    <w:rPr>
      <w:rFonts w:ascii="Times New Roman" w:hAnsi="Times New Roman" w:eastAsia="宋体" w:cs="Times New Roman"/>
      <w:kern w:val="2"/>
      <w:sz w:val="21"/>
      <w:szCs w:val="21"/>
      <w:lang w:val="en-US" w:eastAsia="zh-CN" w:bidi="ar-SA"/>
    </w:rPr>
  </w:style>
  <w:style w:type="character" w:customStyle="1" w:styleId="32">
    <w:name w:val="Default Paragraph Font5"/>
    <w:qFormat/>
    <w:uiPriority w:val="0"/>
  </w:style>
  <w:style w:type="paragraph" w:customStyle="1" w:styleId="33">
    <w:name w:val="footerce85b5ec"/>
    <w:basedOn w:val="31"/>
    <w:qFormat/>
    <w:uiPriority w:val="0"/>
    <w:pPr>
      <w:tabs>
        <w:tab w:val="center" w:pos="4153"/>
        <w:tab w:val="right" w:pos="8306"/>
      </w:tabs>
      <w:snapToGrid w:val="0"/>
      <w:jc w:val="left"/>
    </w:pPr>
    <w:rPr>
      <w:kern w:val="0"/>
      <w:sz w:val="18"/>
      <w:szCs w:val="20"/>
    </w:rPr>
  </w:style>
  <w:style w:type="paragraph" w:customStyle="1" w:styleId="34">
    <w:name w:val="headerf7e0821f"/>
    <w:basedOn w:val="31"/>
    <w:qFormat/>
    <w:uiPriority w:val="0"/>
    <w:pPr>
      <w:pBdr>
        <w:bottom w:val="single" w:color="auto" w:sz="6" w:space="1"/>
      </w:pBdr>
      <w:tabs>
        <w:tab w:val="center" w:pos="4153"/>
        <w:tab w:val="right" w:pos="8306"/>
      </w:tabs>
      <w:snapToGrid w:val="0"/>
      <w:jc w:val="center"/>
    </w:pPr>
    <w:rPr>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723196881092"/>
          <c:y val="0.0088963963963964"/>
          <c:w val="0.862378167641326"/>
          <c:h val="0.826013513513513"/>
        </c:manualLayout>
      </c:layout>
      <c:barChart>
        <c:barDir val="col"/>
        <c:grouping val="clustered"/>
        <c:varyColors val="0"/>
        <c:ser>
          <c:idx val="0"/>
          <c:order val="0"/>
          <c:tx>
            <c:strRef>
              <c:f>Sheet1!$B$1</c:f>
              <c:strCache>
                <c:ptCount val="1"/>
                <c:pt idx="0">
                  <c:v>金额</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Sheet1!$A$2:$A$5</c:f>
              <c:strCache>
                <c:ptCount val="4"/>
                <c:pt idx="0">
                  <c:v>2021年收入</c:v>
                </c:pt>
                <c:pt idx="1">
                  <c:v>2021年支出</c:v>
                </c:pt>
                <c:pt idx="2">
                  <c:v>2022年收入</c:v>
                </c:pt>
                <c:pt idx="3">
                  <c:v>2022年支出</c:v>
                </c:pt>
              </c:strCache>
            </c:strRef>
          </c:cat>
          <c:val>
            <c:numRef>
              <c:f>Sheet1!$B$2:$B$5</c:f>
              <c:numCache>
                <c:formatCode>General</c:formatCode>
                <c:ptCount val="4"/>
                <c:pt idx="0">
                  <c:v>1401.53</c:v>
                </c:pt>
                <c:pt idx="1">
                  <c:v>1401.53</c:v>
                </c:pt>
                <c:pt idx="2">
                  <c:v>1286.65</c:v>
                </c:pt>
                <c:pt idx="3">
                  <c:v>1286.65</c:v>
                </c:pt>
              </c:numCache>
            </c:numRef>
          </c:val>
        </c:ser>
        <c:dLbls>
          <c:showLegendKey val="0"/>
          <c:showVal val="1"/>
          <c:showCatName val="0"/>
          <c:showSerName val="0"/>
          <c:showPercent val="0"/>
          <c:showBubbleSize val="0"/>
        </c:dLbls>
        <c:gapWidth val="41"/>
        <c:overlap val="0"/>
        <c:axId val="60139776"/>
        <c:axId val="60160256"/>
      </c:barChart>
      <c:catAx>
        <c:axId val="60139776"/>
        <c:scaling>
          <c:orientation val="minMax"/>
        </c:scaling>
        <c:delete val="0"/>
        <c:axPos val="b"/>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60160256"/>
        <c:crosses val="autoZero"/>
        <c:auto val="1"/>
        <c:lblAlgn val="ctr"/>
        <c:lblOffset val="100"/>
        <c:noMultiLvlLbl val="0"/>
      </c:catAx>
      <c:valAx>
        <c:axId val="6016025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6013977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1"/>
          <c:order val="0"/>
          <c:spPr/>
          <c:explosion val="0"/>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Pt>
            <c:idx val="6"/>
            <c:bubble3D val="0"/>
            <c:spPr>
              <a:solidFill>
                <a:schemeClr val="accent1">
                  <a:tint val="76667"/>
                </a:schemeClr>
              </a:solidFill>
              <a:ln>
                <a:noFill/>
              </a:ln>
              <a:effectLst>
                <a:outerShdw blurRad="254000" sx="102000" sy="102000" algn="ctr" rotWithShape="0">
                  <a:prstClr val="black">
                    <a:alpha val="20000"/>
                  </a:prstClr>
                </a:outerShdw>
              </a:effectLst>
            </c:spPr>
          </c:dPt>
          <c:dPt>
            <c:idx val="7"/>
            <c:bubble3D val="0"/>
            <c:spPr>
              <a:solidFill>
                <a:schemeClr val="accent2">
                  <a:tint val="76667"/>
                </a:schemeClr>
              </a:solidFill>
              <a:ln>
                <a:noFill/>
              </a:ln>
              <a:effectLst>
                <a:outerShdw blurRad="254000" sx="102000" sy="102000" algn="ctr" rotWithShape="0">
                  <a:prstClr val="black">
                    <a:alpha val="20000"/>
                  </a:prstClr>
                </a:outerShdw>
              </a:effectLst>
            </c:spPr>
          </c:dPt>
          <c:dLbls>
            <c:numFmt formatCode="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{"一般公共预算财政拨款收入","政府性基金预算财政拨款收入","国有资本经营预算财政拨款收入","上级补助收入","事业收入","经营收入","附属单位上缴收入","其他收入"}</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{12537102.67,0,0,0,0,0,0,0}</c:f>
              <c:numCache>
                <c:formatCode>General</c:formatCode>
                <c:ptCount val="8"/>
                <c:pt idx="0">
                  <c:v>12537102.67</c:v>
                </c:pt>
                <c:pt idx="1">
                  <c:v>0</c:v>
                </c:pt>
                <c:pt idx="2">
                  <c:v>0</c:v>
                </c:pt>
                <c:pt idx="3">
                  <c:v>0</c:v>
                </c:pt>
                <c:pt idx="4">
                  <c:v>0</c:v>
                </c:pt>
                <c:pt idx="5">
                  <c:v>0</c:v>
                </c:pt>
                <c:pt idx="6">
                  <c:v>0</c:v>
                </c:pt>
                <c:pt idx="7">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基本支出</c:v>
                </c:pt>
                <c:pt idx="1">
                  <c:v>项目支出</c:v>
                </c:pt>
                <c:pt idx="2">
                  <c:v>上级上缴支出</c:v>
                </c:pt>
                <c:pt idx="3">
                  <c:v>经营支出</c:v>
                </c:pt>
                <c:pt idx="4">
                  <c:v>对附属单位补助支出</c:v>
                </c:pt>
              </c:strCache>
            </c:strRef>
          </c:cat>
          <c:val>
            <c:numRef>
              <c:f>Sheet1!$B$2:$B$6</c:f>
              <c:numCache>
                <c:formatCode>General</c:formatCode>
                <c:ptCount val="5"/>
                <c:pt idx="0">
                  <c:v>1156.98</c:v>
                </c:pt>
                <c:pt idx="1">
                  <c:v>129.66</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02494021182098"/>
          <c:y val="0.0122599100939926"/>
          <c:w val="0.862378167641326"/>
          <c:h val="0.826013513513513"/>
        </c:manualLayout>
      </c:layout>
      <c:barChart>
        <c:barDir val="col"/>
        <c:grouping val="clustered"/>
        <c:varyColors val="0"/>
        <c:ser>
          <c:idx val="0"/>
          <c:order val="0"/>
          <c:tx>
            <c:strRef>
              <c:f>Sheet1!$B$1</c:f>
              <c:strCache>
                <c:ptCount val="1"/>
                <c:pt idx="0">
                  <c:v>金额</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2021年支出</c:v>
                </c:pt>
                <c:pt idx="2">
                  <c:v>2022年收入</c:v>
                </c:pt>
                <c:pt idx="3">
                  <c:v>2022年支出</c:v>
                </c:pt>
              </c:strCache>
            </c:strRef>
          </c:cat>
          <c:val>
            <c:numRef>
              <c:f>Sheet1!$B$2:$B$5</c:f>
              <c:numCache>
                <c:formatCode>General</c:formatCode>
                <c:ptCount val="4"/>
                <c:pt idx="0">
                  <c:v>1401.53</c:v>
                </c:pt>
                <c:pt idx="1">
                  <c:v>1401.53</c:v>
                </c:pt>
                <c:pt idx="2">
                  <c:v>1286.65</c:v>
                </c:pt>
                <c:pt idx="3">
                  <c:v>1286.65</c:v>
                </c:pt>
              </c:numCache>
            </c:numRef>
          </c:val>
        </c:ser>
        <c:dLbls>
          <c:showLegendKey val="0"/>
          <c:showVal val="1"/>
          <c:showCatName val="0"/>
          <c:showSerName val="0"/>
          <c:showPercent val="0"/>
          <c:showBubbleSize val="0"/>
        </c:dLbls>
        <c:gapWidth val="219"/>
        <c:overlap val="-27"/>
        <c:axId val="60139776"/>
        <c:axId val="60160256"/>
      </c:barChart>
      <c:catAx>
        <c:axId val="6013977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60256"/>
        <c:crosses val="autoZero"/>
        <c:auto val="1"/>
        <c:lblAlgn val="ctr"/>
        <c:lblOffset val="100"/>
        <c:noMultiLvlLbl val="0"/>
      </c:catAx>
      <c:valAx>
        <c:axId val="6016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139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044014827368"/>
          <c:y val="0.0402424242424242"/>
          <c:w val="0.862378167641326"/>
          <c:h val="0.826013513513513"/>
        </c:manualLayout>
      </c:layout>
      <c:barChart>
        <c:barDir val="col"/>
        <c:grouping val="clustered"/>
        <c:varyColors val="0"/>
        <c:ser>
          <c:idx val="0"/>
          <c:order val="0"/>
          <c:tx>
            <c:strRef>
              <c:f>Sheet1!$B$1</c:f>
              <c:strCache>
                <c:ptCount val="1"/>
                <c:pt idx="0">
                  <c:v>金额</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1401.53</c:v>
                </c:pt>
                <c:pt idx="1">
                  <c:v>1286.65</c:v>
                </c:pt>
              </c:numCache>
            </c:numRef>
          </c:val>
        </c:ser>
        <c:dLbls>
          <c:showLegendKey val="0"/>
          <c:showVal val="1"/>
          <c:showCatName val="0"/>
          <c:showSerName val="0"/>
          <c:showPercent val="0"/>
          <c:showBubbleSize val="0"/>
        </c:dLbls>
        <c:gapWidth val="75"/>
        <c:axId val="60139776"/>
        <c:axId val="60160256"/>
      </c:barChart>
      <c:catAx>
        <c:axId val="6013977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0160256"/>
        <c:crosses val="autoZero"/>
        <c:auto val="1"/>
        <c:lblAlgn val="ctr"/>
        <c:lblOffset val="100"/>
        <c:noMultiLvlLbl val="0"/>
      </c:catAx>
      <c:valAx>
        <c:axId val="6016025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0139776"/>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explosion val="0"/>
          <c:dPt>
            <c:idx val="0"/>
            <c:bubble3D val="0"/>
          </c:dPt>
          <c:dPt>
            <c:idx val="1"/>
            <c:bubble3D val="0"/>
          </c:dPt>
          <c:dPt>
            <c:idx val="2"/>
            <c:bubble3D val="0"/>
          </c:dPt>
          <c:dPt>
            <c:idx val="3"/>
            <c:bubble3D val="0"/>
          </c:dPt>
          <c:dPt>
            <c:idx val="4"/>
            <c:bubble3D val="0"/>
            <c:explosion val="0"/>
          </c:dPt>
          <c:dLbls>
            <c:delete val="1"/>
          </c:dLbls>
          <c:cat>
            <c:strRef>
              <c:f>Sheet1!$A$2:$A$6</c:f>
              <c:strCache>
                <c:ptCount val="5"/>
                <c:pt idx="0">
                  <c:v>一般公共服务支出80.19%</c:v>
                </c:pt>
                <c:pt idx="1">
                  <c:v>社会保障和就业支出9.92%</c:v>
                </c:pt>
                <c:pt idx="2">
                  <c:v>卫生健康支出4%</c:v>
                </c:pt>
                <c:pt idx="3">
                  <c:v>住房保障支出5.82%</c:v>
                </c:pt>
                <c:pt idx="4">
                  <c:v>农林水支出0.007%</c:v>
                </c:pt>
              </c:strCache>
            </c:strRef>
          </c:cat>
          <c:val>
            <c:numRef>
              <c:f>Sheet1!$B$2:$B$6</c:f>
              <c:numCache>
                <c:formatCode>General</c:formatCode>
                <c:ptCount val="5"/>
                <c:pt idx="0">
                  <c:v>1031.73</c:v>
                </c:pt>
                <c:pt idx="1">
                  <c:v>127.59</c:v>
                </c:pt>
                <c:pt idx="2">
                  <c:v>51.5</c:v>
                </c:pt>
                <c:pt idx="3">
                  <c:v>74.98</c:v>
                </c:pt>
                <c:pt idx="4">
                  <c:v>0.84</c:v>
                </c:pt>
              </c:numCache>
            </c:numRef>
          </c:val>
        </c:ser>
        <c:ser>
          <c:idx val="1"/>
          <c:order val="1"/>
          <c:tx>
            <c:strRef>
              <c:f>Sheet1!#REF!</c:f>
              <c:strCache>
                <c:ptCount val="1"/>
                <c:pt idx="0">
                  <c:v/>
                </c:pt>
              </c:strCache>
            </c:strRef>
          </c:tx>
          <c:explosion val="0"/>
          <c:dPt>
            <c:idx val="0"/>
            <c:bubble3D val="0"/>
          </c:dPt>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Sheet1!$A$2:$A$6</c:f>
              <c:strCache>
                <c:ptCount val="5"/>
                <c:pt idx="0">
                  <c:v>一般公共服务支出80.19%</c:v>
                </c:pt>
                <c:pt idx="1">
                  <c:v>社会保障和就业支出9.92%</c:v>
                </c:pt>
                <c:pt idx="2">
                  <c:v>卫生健康支出4%</c:v>
                </c:pt>
                <c:pt idx="3">
                  <c:v>住房保障支出5.82%</c:v>
                </c:pt>
                <c:pt idx="4">
                  <c:v>农林水支出0.007%</c:v>
                </c:pt>
              </c:strCache>
            </c:strRef>
          </c:cat>
          <c:val>
            <c:numRef>
              <c:f>Sheet1!#REF!</c:f>
              <c:numCache>
                <c:formatCode>General</c:formatCode>
                <c:ptCount val="1"/>
                <c:pt idx="0">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7238456312652"/>
          <c:y val="0.0841256735616201"/>
          <c:w val="0.318076239923487"/>
          <c:h val="0.86161567877629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接待费0.39%</c:v>
                </c:pt>
                <c:pt idx="1">
                  <c:v>公务用车购置及运行维护费99.61%</c:v>
                </c:pt>
                <c:pt idx="2">
                  <c:v>公务接待费</c:v>
                </c:pt>
              </c:strCache>
            </c:strRef>
          </c:cat>
          <c:val>
            <c:numRef>
              <c:f>Sheet1!$B$2:$B$4</c:f>
              <c:numCache>
                <c:formatCode>General</c:formatCode>
                <c:ptCount val="3"/>
                <c:pt idx="0">
                  <c:v>0.6</c:v>
                </c:pt>
                <c:pt idx="1">
                  <c:v>153</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四川省财政厅</Company>
  <Pages>23</Pages>
  <Words>8233</Words>
  <Characters>9371</Characters>
  <Lines>441</Lines>
  <Paragraphs>193</Paragraphs>
  <TotalTime>0</TotalTime>
  <ScaleCrop>false</ScaleCrop>
  <LinksUpToDate>false</LinksUpToDate>
  <CharactersWithSpaces>9456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2022-08-17T01:31:00Z</dcterms:created>
  <dc:creator>lgk</dc:creator>
  <cp:lastModifiedBy>Administrator</cp:lastModifiedBy>
  <cp:lastPrinted>2022-09-26T01:29:00Z</cp:lastPrinted>
  <dcterms:modified xsi:type="dcterms:W3CDTF">2023-09-13T08:12:07Z</dcterms:modified>
  <dc:title>四川省决算编制说明</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B93CA6F4BEAD4F359769D1203595D585</vt:lpwstr>
  </property>
</Properties>
</file>