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7"/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spacing w:after="300" w:line="560" w:lineRule="atLeast"/>
        <w:jc w:val="left"/>
        <w:rPr>
          <w:rFonts w:ascii="微软雅黑" w:eastAsia="微软雅黑" w:cs="微软雅黑"/>
          <w:caps w:val="0"/>
          <w:smallCaps w:val="0"/>
          <w:color w:val="000000"/>
          <w:spacing w:val="0"/>
          <w:sz w:val="24"/>
          <w:szCs w:val="24"/>
          <w:u w:color="000000"/>
          <w14:textFill>
            <w14:solidFill>
              <w14:srgbClr w14:val="000000"/>
            </w14:solidFill>
          </w14:textFill>
          <w:lang w:val="zh-TW" w:eastAsia="zh-TW"/>
        </w:rPr>
      </w:pPr>
      <w:r>
        <w:rPr>
          <w:rFonts w:ascii="仿宋_GB2312" w:eastAsia="仿宋_GB2312" w:cs="仿宋_GB2312"/>
          <w:caps w:val="0"/>
          <w:smallCaps w:val="0"/>
          <w:color w:val="000000"/>
          <w:spacing w:val="0"/>
          <w:kern w:val="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  <w:lang w:val="zh-TW" w:eastAsia="zh-TW"/>
        </w:rPr>
        <w:t>附件</w:t>
      </w:r>
    </w:p>
    <w:p>
      <w:pPr>
        <w:pStyle w:val="18"/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spacing w:before="0" w:after="0" w:line="560" w:lineRule="atLeast"/>
        <w:jc w:val="center"/>
        <w:rPr>
          <w:rFonts w:ascii="微软雅黑" w:eastAsia="微软雅黑" w:cs="微软雅黑"/>
          <w:caps w:val="0"/>
          <w:smallCaps w:val="0"/>
          <w:color w:val="000000"/>
          <w:spacing w:val="0"/>
          <w:u w:color="000000"/>
          <w14:textFill>
            <w14:solidFill>
              <w14:srgbClr w14:val="000000"/>
            </w14:solidFill>
          </w14:textFill>
          <w:lang w:val="zh-TW" w:eastAsia="zh-TW"/>
        </w:rPr>
      </w:pPr>
      <w:bookmarkStart w:id="0" w:name="_GoBack"/>
      <w:r>
        <w:rPr>
          <w:rFonts w:ascii="微软雅黑" w:eastAsia="微软雅黑" w:cs="微软雅黑"/>
          <w:caps w:val="0"/>
          <w:smallCaps w:val="0"/>
          <w:color w:val="000000"/>
          <w:spacing w:val="0"/>
          <w:kern w:val="0"/>
          <w:sz w:val="44"/>
          <w:szCs w:val="44"/>
          <w:u w:color="000000"/>
          <w:shd w:val="clear" w:color="auto" w:fill="FFFFFF"/>
          <w14:textFill>
            <w14:solidFill>
              <w14:srgbClr w14:val="000000"/>
            </w14:solidFill>
          </w14:textFill>
          <w:lang w:val="zh-TW" w:eastAsia="zh-TW"/>
        </w:rPr>
        <w:t>县经信商务部门行政权力事项调整目录</w:t>
      </w:r>
    </w:p>
    <w:tbl>
      <w:tblPr>
        <w:jc w:val="center"/>
        <w:tblW w:w="146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664"/>
        <w:gridCol w:w="875"/>
        <w:gridCol w:w="813"/>
        <w:gridCol w:w="700"/>
        <w:gridCol w:w="462"/>
        <w:gridCol w:w="388"/>
        <w:gridCol w:w="537"/>
        <w:gridCol w:w="825"/>
        <w:gridCol w:w="1138"/>
        <w:gridCol w:w="6123"/>
        <w:gridCol w:w="377"/>
        <w:gridCol w:w="377"/>
        <w:gridCol w:w="376"/>
        <w:gridCol w:w="474"/>
      </w:tblGrid>
      <w:tr>
        <w:trPr>
          <w:trHeight w:val="572"/>
        </w:trPr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bookmarkEnd w:id="0"/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序号</w:t>
            </w:r>
          </w:p>
        </w:tc>
        <w:tc>
          <w:tcPr>
            <w:tcW w:w="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清单序号</w:t>
            </w:r>
          </w:p>
        </w:tc>
        <w:tc>
          <w:tcPr>
            <w:tcW w:w="3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当</w:t>
            </w: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 </w:t>
            </w: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前</w:t>
            </w: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 </w:t>
            </w: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情</w:t>
            </w: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 </w:t>
            </w: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况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调整方式</w:t>
            </w:r>
          </w:p>
        </w:tc>
        <w:tc>
          <w:tcPr>
            <w:tcW w:w="88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调整后情况</w:t>
            </w:r>
          </w:p>
        </w:tc>
      </w:tr>
      <w:tr>
        <w:trPr>
          <w:trHeight w:val="572"/>
        </w:trPr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  <w:tc>
          <w:tcPr>
            <w:tcW w:w="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权力类型</w:t>
            </w:r>
          </w:p>
        </w:tc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权力名称</w:t>
            </w:r>
          </w:p>
        </w:tc>
        <w:tc>
          <w:tcPr>
            <w:tcW w:w="1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行使层级</w:t>
            </w:r>
          </w:p>
        </w:tc>
        <w:tc>
          <w:tcPr>
            <w:tcW w:w="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备注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权力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bidi w:val="0"/>
              <w:spacing w:before="0" w:after="0" w:line="560" w:lineRule="atLeast"/>
              <w:ind w:left="0" w:right="0" w:firstLine="0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类型</w:t>
            </w:r>
          </w:p>
        </w:tc>
        <w:tc>
          <w:tcPr>
            <w:tcW w:w="6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权力名称</w:t>
            </w:r>
          </w:p>
        </w:tc>
        <w:tc>
          <w:tcPr>
            <w:tcW w:w="1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行使层级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备注</w:t>
            </w:r>
          </w:p>
        </w:tc>
      </w:tr>
      <w:tr>
        <w:trPr>
          <w:trHeight w:val="572"/>
        </w:trPr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  <w:tc>
          <w:tcPr>
            <w:tcW w:w="8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省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市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县</w:t>
            </w:r>
          </w:p>
        </w:tc>
        <w:tc>
          <w:tcPr>
            <w:tcW w:w="53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  <w:tc>
          <w:tcPr>
            <w:tcW w:w="612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省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zh-TW" w:eastAsia="zh-TW"/>
              </w:rPr>
              <w:t>州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县</w:t>
            </w: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/>
        </w:tc>
      </w:tr>
      <w:tr>
        <w:trPr>
          <w:trHeight w:val="7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7"/>
                <w:szCs w:val="27"/>
                <w:lang w:val="en-US"/>
              </w:rPr>
              <w:t>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仿宋_GB2312" w:eastAsia="仿宋_GB2312" w:cs="仿宋_GB2312"/>
                <w:lang w:val="zh-TW" w:eastAsia="zh-TW"/>
              </w:rPr>
              <w:t>新增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仿宋_GB2312" w:eastAsia="仿宋_GB2312" w:cs="仿宋_GB2312"/>
                <w:lang w:val="zh-TW" w:eastAsia="zh-TW"/>
              </w:rPr>
              <w:t>行政检查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</w:pPr>
            <w:r>
              <w:rPr>
                <w:rFonts w:ascii="仿宋_GB2312" w:eastAsia="仿宋_GB2312" w:cs="仿宋_GB2312"/>
                <w:lang w:val="zh-TW" w:eastAsia="zh-TW"/>
              </w:rPr>
              <w:t>对民用无人机驾驶航空器唯一产品识别码的行政检查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</w:tr>
      <w:tr>
        <w:trPr>
          <w:trHeight w:val="147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仿宋_GB2312" w:eastAsia="仿宋_GB2312" w:cs="仿宋_GB2312"/>
                <w:lang w:val="zh-TW" w:eastAsia="zh-TW"/>
              </w:rPr>
              <w:t>新增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仿宋_GB2312" w:eastAsia="仿宋_GB2312" w:cs="仿宋_GB2312"/>
                <w:lang w:val="zh-TW" w:eastAsia="zh-TW"/>
              </w:rPr>
              <w:t>行政检查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</w:pPr>
            <w:r>
              <w:rPr>
                <w:rFonts w:ascii="仿宋_GB2312" w:eastAsia="仿宋_GB2312" w:cs="仿宋_GB2312"/>
                <w:sz w:val="24"/>
                <w:szCs w:val="24"/>
                <w:lang w:val="zh-TW" w:eastAsia="zh-TW"/>
              </w:rPr>
              <w:t>对民用无人驾驶航空器系统生产者未按照国务院工</w:t>
            </w:r>
            <w:r>
              <w:rPr>
                <w:rFonts w:ascii="仿宋_GB2312" w:eastAsia="仿宋_GB2312" w:cs="仿宋_GB2312"/>
                <w:sz w:val="24"/>
                <w:szCs w:val="24"/>
                <w:lang w:val="en-US"/>
              </w:rPr>
              <w:tab/>
            </w:r>
            <w:r>
              <w:rPr>
                <w:rFonts w:ascii="仿宋_GB2312" w:eastAsia="仿宋_GB2312" w:cs="仿宋_GB2312"/>
                <w:sz w:val="24"/>
                <w:szCs w:val="24"/>
                <w:lang w:val="zh-TW" w:eastAsia="zh-TW"/>
              </w:rPr>
              <w:t>业和信息化主管部门的规定为其生产的无人驾驶航</w:t>
            </w:r>
            <w:r>
              <w:rPr>
                <w:rFonts w:ascii="仿宋_GB2312" w:eastAsia="仿宋_GB2312" w:cs="仿宋_GB2312"/>
                <w:sz w:val="24"/>
                <w:szCs w:val="24"/>
                <w:lang w:val="en-US"/>
              </w:rPr>
              <w:tab/>
            </w:r>
            <w:r>
              <w:rPr>
                <w:rFonts w:ascii="仿宋_GB2312" w:eastAsia="仿宋_GB2312" w:cs="仿宋_GB2312"/>
                <w:sz w:val="24"/>
                <w:szCs w:val="24"/>
                <w:lang w:val="zh-TW" w:eastAsia="zh-TW"/>
              </w:rPr>
              <w:t>空器设置唯一识别码的行政处罚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rPr>
          <w:trHeight w:val="7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仿宋_GB2312" w:eastAsia="仿宋_GB2312" w:cs="仿宋_GB2312"/>
                <w:lang w:val="zh-TW" w:eastAsia="zh-TW"/>
              </w:rPr>
              <w:t>新增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仿宋_GB2312" w:eastAsia="仿宋_GB2312" w:cs="仿宋_GB2312"/>
                <w:lang w:val="zh-TW" w:eastAsia="zh-TW"/>
              </w:rPr>
              <w:t>行政检查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</w:pPr>
            <w:r>
              <w:rPr>
                <w:rFonts w:ascii="仿宋_GB2312" w:eastAsia="仿宋_GB2312" w:cs="仿宋_GB2312"/>
                <w:sz w:val="24"/>
                <w:szCs w:val="24"/>
                <w:lang w:val="zh-TW" w:eastAsia="zh-TW"/>
              </w:rPr>
              <w:t>工业节能监察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0" w:after="0"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rPr>
          <w:trHeight w:val="7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微软雅黑" w:eastAsia="微软雅黑" w:cs="微软雅黑"/>
                <w:sz w:val="27"/>
                <w:szCs w:val="27"/>
                <w:lang w:val="en-US"/>
              </w:rPr>
              <w:t>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新增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行政强制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zh-TW" w:eastAsia="zh-TW"/>
              </w:rPr>
              <w:t>对违法回收拆解的报废机动车予以查封、扣押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微软雅黑" w:eastAsia="微软雅黑" w:cs="微软雅黑"/>
                <w:sz w:val="21"/>
                <w:szCs w:val="21"/>
                <w:lang w:val="en-US"/>
              </w:rPr>
              <w:t>√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560" w:lineRule="atLeast"/>
              <w:jc w:val="center"/>
            </w:pPr>
            <w:r>
              <w:rPr>
                <w:rFonts w:ascii="宋体" w:eastAsia="宋体" w:cs="宋体"/>
                <w:sz w:val="27"/>
                <w:szCs w:val="27"/>
                <w:lang w:val="en-US"/>
              </w:rPr>
              <w:t> </w:t>
            </w:r>
          </w:p>
        </w:tc>
      </w:tr>
    </w:tbl>
    <w:p>
      <w:pPr>
        <w:pStyle w:val="18"/>
        <w:spacing w:before="0" w:after="0"/>
        <w:jc w:val="center"/>
      </w:pPr>
    </w:p>
    <w:sectPr>
      <w:headerReference w:type="default" r:id="rId2"/>
      <w:footerReference w:type="default" r:id="rId3"/>
      <w:pgSz w:w="16840" w:h="11900" w:orient="landscape"/>
      <w:pgMar w:top="1800" w:right="1440" w:bottom="1800" w:left="144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0000000000000000000"/>
    <w:charset w:val="00"/>
    <w:family w:val="roman"/>
    <w:pitch w:val="variable"/>
  </w:font>
  <w:font w:name="微软雅黑">
    <w:altName w:val="宋体"/>
    <w:panose1 w:val="00000000000000000000"/>
    <w:charset w:val="00"/>
    <w:family w:val="roman"/>
    <w:pitch w:val="variable"/>
  </w:font>
  <w:font w:name="宋体">
    <w:panose1 w:val="00000000000000000000"/>
    <w:charset w:val="00"/>
    <w:family w:val="roman"/>
    <w:pitch w:val="variable"/>
  </w:font>
  <w:font w:name="Times New Roman">
    <w:panose1 w:val="00000000000000000000"/>
    <w:charset w:val="00"/>
    <w:family w:val="roman"/>
    <w:pitch w:val="variable"/>
  </w:font>
  <w:font w:name="Arial Unicode MS">
    <w:altName w:val="DejaVu Sans"/>
    <w:panose1 w:val="00000000000000000000"/>
    <w:charset w:val="00"/>
    <w:family w:val="roman"/>
    <w:pitch w:val="variable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PingFang SC Regular">
    <w:altName w:val="DejaVu Sans"/>
    <w:panose1 w:val="00000000000000000000"/>
    <w:charset w:val="00"/>
    <w:family w:val="roman"/>
    <w:pitch w:val="variable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right" w:pos="9020"/>
      </w:tabs>
      <w:bidi w:val="0"/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right" w:pos="9020"/>
      </w:tabs>
      <w:bidi w:val="0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displayBackgroundShape/>
  <w:bordersDoNotSurroundHeader w:val="0"/>
  <w:bordersDoNotSurroundFooter w:val="0"/>
  <w:defaultTabStop w:val="420"/>
  <w:evenAndOddHeaders/>
  <w:bookFoldPrinting/>
  <w:bookFoldPrintingSheets w:val="-4"/>
  <w:drawingGridHorizontalSpacing w:val="120"/>
  <w:drawingGridVerticalSpacing w:val="163"/>
  <w:displayHorizontalDrawingGridEvery w:val="0"/>
  <w:displayVerticalDrawingGridEvery w:val="1"/>
  <w:noLineBreaksAfter w:lang="zh-CN" w:val="‘“(〔[{〈《「『【⦅〘〖«〝︵︷︹︻︽︿﹁﹃﹇﹙﹛﹝｢"/>
  <w:noLineBreaksBefore w:lang="zh-CN" w:val="’”)〕]}〉"/>
  <w:compat>
    <w:spaceForUL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eastAsia="Arial Unicode MS" w:cs="Times New Roman" w:hAnsi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4"/>
      <w:szCs w:val="24"/>
      <w:u w:val="none" w:color="auto"/>
      <w:bdr w:val="none" w:sz="0" w:space="0" w:color="auto"/>
      <w:vertAlign w:val="baseline"/>
      <w:lang w:val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15">
    <w:name w:val="Hyperlink"/>
    <w:rPr>
      <w:u w:val="single"/>
    </w:rPr>
  </w:style>
  <w:style w:type="paragraph" w:customStyle="1" w:styleId="16">
    <w:name w:val="页眉与页脚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eastAsia="Arial Unicode MS" w:cs="Arial Unicode MS" w:hAnsi="PingFang SC Regular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 w:color="auto"/>
      <w:bdr w:val="none" w:sz="0" w:space="0" w:color="auto"/>
      <w:vertAlign w:val="baseline"/>
    </w:rPr>
  </w:style>
  <w:style w:type="paragraph" w:customStyle="1" w:styleId="17">
    <w:name w:val="正文 A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Arial Unicode MS" w:eastAsia="Arial Unicode MS" w:cs="Arial Unicode MS" w:hAnsi="Arial Unicode MS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1"/>
      <w:szCs w:val="21"/>
      <w:u w:val="none" w:color="000000"/>
      <w:bdr w:val="none" w:sz="0" w:space="0" w:color="auto"/>
      <w:vertAlign w:val="baseline"/>
      <w:lang w:val="en-US"/>
    </w:rPr>
  </w:style>
  <w:style w:type="paragraph" w:customStyle="1" w:styleId="18">
    <w:name w:val="普通(网站)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Arial Unicode MS" w:eastAsia="Arial Unicode MS" w:cs="Arial Unicode MS" w:hAnsi="Arial Unicode MS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 w:color="000000"/>
      <w:bdr w:val="none" w:sz="0" w:space="0" w:color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25400" cmpd="sng" cap="flat">
          <a:solidFill>
            <a:srgbClr val="4F81BD"/>
          </a:solidFill>
          <a:prstDash val="solid"/>
          <a:round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 cmpd="sng" cap="flat">
          <a:solidFill>
            <a:srgbClr val="4F81BD"/>
          </a:solidFill>
          <a:prstDash val="solid"/>
          <a:round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>
  <Template>Normal.eit</Template>
  <TotalTime>8</TotalTime>
  <Application>Yozo_Office27021597764231179</Application>
  <Pages>1</Pages>
  <Words>17</Words>
  <Characters>17</Characters>
  <Lines>1</Lines>
  <Paragraphs>1</Paragraphs>
  <CharactersWithSpaces>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user</cp:lastModifiedBy>
  <cp:revision>0</cp:revision>
  <dcterms:modified xsi:type="dcterms:W3CDTF">2026-01-08T09:37:01Z</dcterms:modified>
</cp:coreProperties>
</file>