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Arial" w:hAnsi="Arial" w:eastAsia="宋体" w:cs="Arial"/>
          <w:b/>
          <w:sz w:val="44"/>
          <w:szCs w:val="44"/>
          <w:lang w:eastAsia="zh-CN"/>
        </w:rPr>
      </w:pPr>
      <w:r>
        <w:rPr>
          <w:rFonts w:hint="eastAsia" w:ascii="Arial" w:hAnsi="Arial" w:eastAsia="宋体" w:cs="Arial"/>
          <w:b/>
          <w:sz w:val="44"/>
          <w:szCs w:val="44"/>
          <w:lang w:eastAsia="zh-CN"/>
        </w:rPr>
        <w:t>茂县民政局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Arial" w:hAnsi="Arial" w:eastAsia="宋体" w:cs="Arial"/>
          <w:b/>
          <w:sz w:val="44"/>
          <w:szCs w:val="44"/>
          <w:lang w:eastAsia="zh-CN"/>
        </w:rPr>
      </w:pPr>
      <w:r>
        <w:rPr>
          <w:rFonts w:hint="eastAsia" w:ascii="Arial" w:hAnsi="Arial" w:eastAsia="宋体" w:cs="Arial"/>
          <w:b/>
          <w:sz w:val="44"/>
          <w:szCs w:val="44"/>
          <w:lang w:eastAsia="zh-CN"/>
        </w:rPr>
        <w:t>关于</w:t>
      </w:r>
      <w:r>
        <w:rPr>
          <w:rFonts w:hint="eastAsia" w:ascii="Arial" w:hAnsi="Arial" w:eastAsia="宋体" w:cs="Arial"/>
          <w:b/>
          <w:sz w:val="44"/>
          <w:szCs w:val="44"/>
        </w:rPr>
        <w:t>20</w:t>
      </w:r>
      <w:r>
        <w:rPr>
          <w:rFonts w:hint="eastAsia" w:ascii="Arial" w:hAnsi="Arial" w:eastAsia="宋体" w:cs="Arial"/>
          <w:b/>
          <w:sz w:val="44"/>
          <w:szCs w:val="44"/>
          <w:lang w:val="en-US" w:eastAsia="zh-CN"/>
        </w:rPr>
        <w:t>25</w:t>
      </w:r>
      <w:r>
        <w:rPr>
          <w:rFonts w:hint="eastAsia" w:ascii="宋体" w:hAnsi="宋体" w:eastAsia="宋体" w:cs="宋体"/>
          <w:b/>
          <w:sz w:val="44"/>
          <w:szCs w:val="44"/>
        </w:rPr>
        <w:t>年度</w:t>
      </w:r>
      <w:r>
        <w:rPr>
          <w:rFonts w:hint="eastAsia" w:ascii="Arial" w:hAnsi="Arial" w:eastAsia="宋体" w:cs="Arial"/>
          <w:b/>
          <w:sz w:val="44"/>
          <w:szCs w:val="44"/>
          <w:lang w:eastAsia="zh-CN"/>
        </w:rPr>
        <w:t>中央福彩公益金项目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hAnsi="宋体" w:eastAsia="宋体" w:cs="宋体"/>
          <w:b/>
          <w:sz w:val="44"/>
          <w:szCs w:val="44"/>
        </w:rPr>
      </w:pPr>
      <w:r>
        <w:rPr>
          <w:rFonts w:hint="eastAsia" w:ascii="宋体" w:hAnsi="宋体" w:eastAsia="宋体" w:cs="宋体"/>
          <w:b/>
          <w:sz w:val="44"/>
          <w:szCs w:val="44"/>
        </w:rPr>
        <w:t>绩效自评</w:t>
      </w:r>
      <w:r>
        <w:rPr>
          <w:rFonts w:hint="eastAsia" w:ascii="宋体" w:hAnsi="宋体" w:eastAsia="宋体" w:cs="宋体"/>
          <w:b/>
          <w:sz w:val="44"/>
          <w:szCs w:val="44"/>
          <w:lang w:eastAsia="zh-CN"/>
        </w:rPr>
        <w:t>的</w:t>
      </w:r>
      <w:r>
        <w:rPr>
          <w:rFonts w:hint="eastAsia" w:ascii="宋体" w:hAnsi="宋体" w:eastAsia="宋体" w:cs="宋体"/>
          <w:b/>
          <w:sz w:val="44"/>
          <w:szCs w:val="44"/>
        </w:rPr>
        <w:t>报告</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eastAsia" w:ascii="黑体" w:hAnsi="黑体" w:eastAsia="黑体" w:cs="黑体"/>
          <w:bCs/>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ascii="黑体" w:hAnsi="黑体" w:eastAsia="黑体" w:cs="黑体"/>
          <w:bCs/>
          <w:szCs w:val="32"/>
        </w:rPr>
      </w:pPr>
      <w:r>
        <w:rPr>
          <w:rFonts w:hint="eastAsia" w:ascii="黑体" w:hAnsi="黑体" w:eastAsia="黑体" w:cs="黑体"/>
          <w:bCs/>
          <w:szCs w:val="32"/>
        </w:rPr>
        <w:t>一、绩效目标分解下达情况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default" w:ascii="仿宋_GB2312" w:hAnsi="Times New Roman" w:cs="Times New Roman"/>
          <w:sz w:val="32"/>
          <w:szCs w:val="32"/>
          <w:lang w:val="en-US" w:eastAsia="zh-CN"/>
        </w:rPr>
      </w:pPr>
      <w:r>
        <w:rPr>
          <w:rFonts w:hint="eastAsia" w:ascii="仿宋_GB2312"/>
          <w:sz w:val="32"/>
          <w:szCs w:val="32"/>
          <w:lang w:val="en-US" w:eastAsia="zh-CN"/>
        </w:rPr>
        <w:t>2025年中央财政福彩公益金下达我县19.6万元，主要用于</w:t>
      </w:r>
      <w:r>
        <w:rPr>
          <w:rFonts w:hint="eastAsia" w:ascii="仿宋_GB2312" w:hAnsi="仿宋_GB2312" w:eastAsia="仿宋_GB2312" w:cs="仿宋_GB2312"/>
          <w:kern w:val="2"/>
          <w:sz w:val="32"/>
          <w:szCs w:val="32"/>
          <w:lang w:val="en-US" w:eastAsia="zh-CN" w:bidi="ar-SA"/>
        </w:rPr>
        <w:t>“福彩圆梦·孤儿助学工程”</w:t>
      </w:r>
      <w:r>
        <w:rPr>
          <w:rFonts w:hint="eastAsia" w:ascii="仿宋_GB2312"/>
          <w:sz w:val="32"/>
          <w:szCs w:val="32"/>
          <w:lang w:val="en-US" w:eastAsia="zh-CN"/>
        </w:rPr>
        <w:t>3.00万元、</w:t>
      </w:r>
      <w:r>
        <w:rPr>
          <w:rFonts w:hint="eastAsia" w:ascii="仿宋_GB2312" w:hAnsi="仿宋_GB2312" w:cs="仿宋_GB2312"/>
          <w:kern w:val="2"/>
          <w:sz w:val="32"/>
          <w:szCs w:val="32"/>
          <w:lang w:val="en-US" w:eastAsia="zh-CN" w:bidi="ar-SA"/>
        </w:rPr>
        <w:t>精神障碍社区康复服务5.00万元、老年人能力综合评估10.60万元、</w:t>
      </w:r>
      <w:r>
        <w:rPr>
          <w:rFonts w:hint="eastAsia" w:ascii="仿宋_GB2312"/>
          <w:sz w:val="32"/>
          <w:szCs w:val="32"/>
          <w:lang w:val="en-US" w:eastAsia="zh-CN"/>
        </w:rPr>
        <w:t>老年助餐项目1.00万元</w:t>
      </w:r>
      <w:r>
        <w:rPr>
          <w:rFonts w:hint="eastAsia" w:ascii="仿宋_GB2312" w:hAnsi="Times New Roman"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黑体"/>
          <w:bCs/>
          <w:sz w:val="32"/>
          <w:szCs w:val="32"/>
          <w:highlight w:val="none"/>
        </w:rPr>
      </w:pPr>
      <w:r>
        <w:rPr>
          <w:rFonts w:hint="eastAsia" w:ascii="黑体" w:hAnsi="黑体" w:eastAsia="黑体" w:cs="黑体"/>
          <w:bCs/>
          <w:sz w:val="32"/>
          <w:szCs w:val="32"/>
          <w:highlight w:val="none"/>
        </w:rPr>
        <w:t>二、</w:t>
      </w:r>
      <w:r>
        <w:rPr>
          <w:rFonts w:hint="eastAsia" w:ascii="黑体" w:hAnsi="黑体" w:eastAsia="黑体" w:cs="黑体"/>
          <w:bCs/>
          <w:sz w:val="32"/>
          <w:szCs w:val="32"/>
          <w:highlight w:val="none"/>
          <w:lang w:eastAsia="zh-CN"/>
        </w:rPr>
        <w:t>绩效</w:t>
      </w:r>
      <w:r>
        <w:rPr>
          <w:rFonts w:hint="eastAsia" w:ascii="黑体" w:hAnsi="黑体" w:eastAsia="黑体" w:cs="黑体"/>
          <w:bCs/>
          <w:sz w:val="32"/>
          <w:szCs w:val="32"/>
          <w:highlight w:val="none"/>
        </w:rPr>
        <w:t>情况分析</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outlineLvl w:val="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（一）资金投入情况分析。</w:t>
      </w:r>
    </w:p>
    <w:p>
      <w:pPr>
        <w:pStyle w:val="7"/>
        <w:keepNext w:val="0"/>
        <w:keepLines w:val="0"/>
        <w:widowControl/>
        <w:suppressLineNumbers w:val="0"/>
        <w:spacing w:before="0" w:beforeAutospacing="0" w:after="0" w:afterAutospacing="0"/>
        <w:ind w:left="0" w:right="0" w:firstLine="768" w:firstLineChars="2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1.支持发展精神障碍社区康复服务</w:t>
      </w:r>
      <w:r>
        <w:rPr>
          <w:rFonts w:hint="eastAsia" w:ascii="仿宋_GB2312" w:hAnsi="仿宋_GB2312" w:cs="仿宋_GB2312"/>
          <w:kern w:val="2"/>
          <w:sz w:val="32"/>
          <w:szCs w:val="32"/>
          <w:lang w:val="en-US" w:eastAsia="zh-CN" w:bidi="ar-SA"/>
        </w:rPr>
        <w:t>，提供康复训练服务。</w:t>
      </w:r>
      <w:r>
        <w:rPr>
          <w:rFonts w:hint="eastAsia" w:ascii="仿宋_GB2312" w:hAnsi="仿宋_GB2312" w:eastAsia="仿宋_GB2312" w:cs="仿宋_GB2312"/>
          <w:kern w:val="2"/>
          <w:sz w:val="32"/>
          <w:szCs w:val="32"/>
          <w:lang w:val="en-US" w:eastAsia="zh-CN" w:bidi="ar-SA"/>
        </w:rPr>
        <w:t>本项目共投入中央福彩公益金</w:t>
      </w:r>
      <w:r>
        <w:rPr>
          <w:rFonts w:hint="eastAsia" w:ascii="仿宋_GB2312" w:hAnsi="仿宋_GB2312" w:cs="仿宋_GB2312"/>
          <w:kern w:val="2"/>
          <w:sz w:val="32"/>
          <w:szCs w:val="32"/>
          <w:lang w:val="en-US" w:eastAsia="zh-CN" w:bidi="ar-SA"/>
        </w:rPr>
        <w:t>5</w:t>
      </w:r>
      <w:r>
        <w:rPr>
          <w:rFonts w:hint="eastAsia" w:ascii="仿宋_GB2312" w:hAnsi="仿宋_GB2312" w:eastAsia="仿宋_GB2312" w:cs="仿宋_GB2312"/>
          <w:kern w:val="2"/>
          <w:sz w:val="32"/>
          <w:szCs w:val="32"/>
          <w:lang w:val="en-US" w:eastAsia="zh-CN" w:bidi="ar-SA"/>
        </w:rPr>
        <w:t>万元</w:t>
      </w:r>
      <w:r>
        <w:rPr>
          <w:rFonts w:hint="eastAsia" w:ascii="仿宋_GB2312" w:hAnsi="仿宋_GB2312" w:cs="仿宋_GB2312"/>
          <w:kern w:val="2"/>
          <w:sz w:val="32"/>
          <w:szCs w:val="32"/>
          <w:lang w:val="en-US" w:eastAsia="zh-CN" w:bidi="ar-SA"/>
        </w:rPr>
        <w:t>，2025年支付1.5万元，截至目前已完成支付3.5万元。</w:t>
      </w:r>
    </w:p>
    <w:p>
      <w:pPr>
        <w:pStyle w:val="7"/>
        <w:keepNext w:val="0"/>
        <w:keepLines w:val="0"/>
        <w:widowControl/>
        <w:suppressLineNumbers w:val="0"/>
        <w:spacing w:before="0" w:beforeAutospacing="0" w:after="0" w:afterAutospacing="0"/>
        <w:ind w:left="0" w:right="0" w:firstLine="768" w:firstLineChars="24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2.支持“福彩圆梦·孤儿助学工程”，为年满18周岁考入普通全日制本科、专科等学校的孤儿提供助学金，资助孤儿完成学业</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本项目共投入中央福彩公益金</w:t>
      </w:r>
      <w:r>
        <w:rPr>
          <w:rFonts w:hint="eastAsia" w:ascii="仿宋_GB2312" w:hAnsi="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万元</w:t>
      </w:r>
      <w:r>
        <w:rPr>
          <w:rFonts w:hint="eastAsia" w:ascii="仿宋_GB2312" w:hAnsi="仿宋_GB2312" w:cs="仿宋_GB2312"/>
          <w:kern w:val="2"/>
          <w:sz w:val="32"/>
          <w:szCs w:val="32"/>
          <w:lang w:val="en-US" w:eastAsia="zh-CN" w:bidi="ar-SA"/>
        </w:rPr>
        <w:t>，已完成</w:t>
      </w:r>
      <w:r>
        <w:rPr>
          <w:rFonts w:hint="eastAsia" w:ascii="仿宋_GB2312" w:hAnsi="仿宋_GB2312" w:eastAsia="仿宋_GB2312" w:cs="仿宋_GB2312"/>
          <w:kern w:val="2"/>
          <w:sz w:val="32"/>
          <w:szCs w:val="32"/>
          <w:lang w:val="en-US" w:eastAsia="zh-CN" w:bidi="ar-SA"/>
        </w:rPr>
        <w:t>“福彩圆梦·孤儿助学工程”</w:t>
      </w:r>
      <w:r>
        <w:rPr>
          <w:rFonts w:hint="eastAsia" w:ascii="仿宋_GB2312" w:hAnsi="仿宋_GB2312" w:cs="仿宋_GB2312"/>
          <w:kern w:val="2"/>
          <w:sz w:val="32"/>
          <w:szCs w:val="32"/>
          <w:lang w:val="en-US" w:eastAsia="zh-CN" w:bidi="ar-SA"/>
        </w:rPr>
        <w:t>3万元。</w:t>
      </w:r>
    </w:p>
    <w:p>
      <w:pPr>
        <w:pStyle w:val="7"/>
        <w:keepNext w:val="0"/>
        <w:keepLines w:val="0"/>
        <w:widowControl/>
        <w:suppressLineNumbers w:val="0"/>
        <w:spacing w:before="0" w:beforeAutospacing="0" w:after="0" w:afterAutospacing="0"/>
        <w:ind w:left="0" w:right="0" w:firstLine="768" w:firstLineChars="240"/>
        <w:rPr>
          <w:rFonts w:hint="eastAsia" w:ascii="仿宋_GB2312" w:hAnsi="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3.支持老年助餐服务，具体用于支持各地具有一定规模、运营相对稳定成熟的老年助餐点购置或更新相关设施设备。</w:t>
      </w:r>
      <w:r>
        <w:rPr>
          <w:rFonts w:hint="eastAsia" w:ascii="仿宋_GB2312" w:hAnsi="仿宋_GB2312" w:eastAsia="仿宋_GB2312" w:cs="仿宋_GB2312"/>
          <w:kern w:val="2"/>
          <w:sz w:val="32"/>
          <w:szCs w:val="32"/>
          <w:lang w:val="en-US" w:eastAsia="zh-CN" w:bidi="ar-SA"/>
        </w:rPr>
        <w:t>本项目共投入中央福彩公益金</w:t>
      </w:r>
      <w:r>
        <w:rPr>
          <w:rFonts w:hint="eastAsia" w:ascii="仿宋_GB2312" w:hAnsi="仿宋_GB2312" w:cs="仿宋_GB2312"/>
          <w:kern w:val="2"/>
          <w:sz w:val="32"/>
          <w:szCs w:val="32"/>
          <w:lang w:val="en-US" w:eastAsia="zh-CN" w:bidi="ar-SA"/>
        </w:rPr>
        <w:t>1.00</w:t>
      </w:r>
      <w:r>
        <w:rPr>
          <w:rFonts w:hint="eastAsia" w:ascii="仿宋_GB2312" w:hAnsi="仿宋_GB2312" w:eastAsia="仿宋_GB2312" w:cs="仿宋_GB2312"/>
          <w:kern w:val="2"/>
          <w:sz w:val="32"/>
          <w:szCs w:val="32"/>
          <w:lang w:val="en-US" w:eastAsia="zh-CN" w:bidi="ar-SA"/>
        </w:rPr>
        <w:t>万元</w:t>
      </w:r>
      <w:r>
        <w:rPr>
          <w:rFonts w:hint="eastAsia" w:ascii="仿宋_GB2312" w:hAnsi="仿宋_GB2312" w:cs="仿宋_GB2312"/>
          <w:kern w:val="2"/>
          <w:sz w:val="32"/>
          <w:szCs w:val="32"/>
          <w:lang w:val="en-US" w:eastAsia="zh-CN" w:bidi="ar-SA"/>
        </w:rPr>
        <w:t>，已完成支付1.00万元。</w:t>
      </w:r>
    </w:p>
    <w:p>
      <w:pPr>
        <w:pStyle w:val="7"/>
        <w:keepNext w:val="0"/>
        <w:keepLines w:val="0"/>
        <w:widowControl/>
        <w:suppressLineNumbers w:val="0"/>
        <w:spacing w:before="0" w:beforeAutospacing="0" w:after="0" w:afterAutospacing="0"/>
        <w:ind w:left="0" w:right="0" w:firstLine="768" w:firstLineChars="240"/>
        <w:rPr>
          <w:rFonts w:hint="default" w:ascii="仿宋_GB2312" w:hAnsi="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4.支持开展老年人能力综合评估工作，具体为茂县65周岁及以上户籍或常住老年人提供能力综合评估。</w:t>
      </w:r>
      <w:r>
        <w:rPr>
          <w:rFonts w:hint="eastAsia" w:ascii="仿宋_GB2312" w:hAnsi="仿宋_GB2312" w:eastAsia="仿宋_GB2312" w:cs="仿宋_GB2312"/>
          <w:kern w:val="2"/>
          <w:sz w:val="32"/>
          <w:szCs w:val="32"/>
          <w:lang w:val="en-US" w:eastAsia="zh-CN" w:bidi="ar-SA"/>
        </w:rPr>
        <w:t>本项目共投入中央福彩公益金</w:t>
      </w:r>
      <w:r>
        <w:rPr>
          <w:rFonts w:hint="eastAsia" w:ascii="仿宋_GB2312" w:hAnsi="仿宋_GB2312" w:cs="仿宋_GB2312"/>
          <w:kern w:val="2"/>
          <w:sz w:val="32"/>
          <w:szCs w:val="32"/>
          <w:lang w:val="en-US" w:eastAsia="zh-CN" w:bidi="ar-SA"/>
        </w:rPr>
        <w:t>10.60</w:t>
      </w:r>
      <w:r>
        <w:rPr>
          <w:rFonts w:hint="eastAsia" w:ascii="仿宋_GB2312" w:hAnsi="仿宋_GB2312" w:eastAsia="仿宋_GB2312" w:cs="仿宋_GB2312"/>
          <w:kern w:val="2"/>
          <w:sz w:val="32"/>
          <w:szCs w:val="32"/>
          <w:lang w:val="en-US" w:eastAsia="zh-CN" w:bidi="ar-SA"/>
        </w:rPr>
        <w:t>万元</w:t>
      </w:r>
      <w:r>
        <w:rPr>
          <w:rFonts w:hint="eastAsia" w:ascii="仿宋_GB2312" w:hAnsi="仿宋_GB2312" w:cs="仿宋_GB2312"/>
          <w:kern w:val="2"/>
          <w:sz w:val="32"/>
          <w:szCs w:val="32"/>
          <w:lang w:val="en-US" w:eastAsia="zh-CN" w:bidi="ar-SA"/>
        </w:rPr>
        <w:t>，已完成支付10.60万元。</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outlineLvl w:val="0"/>
        <w:rPr>
          <w:rFonts w:hint="eastAsia" w:ascii="仿宋_GB2312" w:hAnsi="仿宋_GB2312" w:cs="仿宋_GB2312"/>
          <w:b w:val="0"/>
          <w:bCs w:val="0"/>
          <w:sz w:val="32"/>
          <w:szCs w:val="32"/>
          <w:highlight w:val="none"/>
          <w:lang w:eastAsia="zh-CN"/>
        </w:rPr>
      </w:pPr>
      <w:r>
        <w:rPr>
          <w:rFonts w:hint="eastAsia" w:ascii="楷体_GB2312" w:hAnsi="楷体_GB2312" w:eastAsia="楷体_GB2312" w:cs="楷体_GB2312"/>
          <w:b/>
          <w:bCs/>
          <w:sz w:val="32"/>
          <w:szCs w:val="32"/>
          <w:highlight w:val="none"/>
          <w:lang w:eastAsia="zh-CN"/>
        </w:rPr>
        <w:t>（二）资金管理情况分析。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r>
        <w:rPr>
          <w:rFonts w:hint="eastAsia"/>
          <w:sz w:val="32"/>
          <w:szCs w:val="32"/>
        </w:rPr>
        <w:t>根据相关文件要求，结合本</w:t>
      </w:r>
      <w:r>
        <w:rPr>
          <w:rFonts w:hint="eastAsia"/>
          <w:sz w:val="32"/>
          <w:szCs w:val="32"/>
          <w:lang w:val="en-US" w:eastAsia="zh-CN"/>
        </w:rPr>
        <w:t>县</w:t>
      </w:r>
      <w:r>
        <w:rPr>
          <w:rFonts w:hint="eastAsia"/>
          <w:sz w:val="32"/>
          <w:szCs w:val="32"/>
        </w:rPr>
        <w:t>项目申报情况，我们将资金进行了分解下达。同时，严格按照彩票公益金和绩效管理相关规定，加强资金的使用管理，加快预算执行进度，建立绩效运行监控机制、项目资金绩效评价指标体系和绩效考核问责机制。</w:t>
      </w:r>
      <w:r>
        <w:rPr>
          <w:rFonts w:hint="eastAsia" w:ascii="仿宋_GB2312" w:hAnsi="仿宋" w:eastAsia="仿宋_GB2312" w:cs="仿宋"/>
          <w:kern w:val="2"/>
          <w:sz w:val="32"/>
          <w:szCs w:val="32"/>
          <w:lang w:val="en-US" w:eastAsia="zh-CN" w:bidi="ar-SA"/>
        </w:rPr>
        <w:t>严格按照中央级目标绩效表要求，县民政局成立了由分管领导任组长，具体负责股室人员、财务人员任成员的绩效评估工作小组，</w:t>
      </w:r>
      <w:r>
        <w:rPr>
          <w:rFonts w:hint="default" w:ascii="仿宋_GB2312" w:hAnsi="仿宋" w:eastAsia="仿宋_GB2312" w:cs="仿宋"/>
          <w:kern w:val="2"/>
          <w:sz w:val="32"/>
          <w:szCs w:val="32"/>
          <w:lang w:val="zh-CN" w:eastAsia="zh-CN" w:bidi="ar-SA"/>
        </w:rPr>
        <w:t>制定了专项资金项目管理办法，规定了资金使用范围、项目推进、监督管理、绩效评价等主要内容。</w:t>
      </w:r>
      <w:r>
        <w:rPr>
          <w:rFonts w:hint="eastAsia" w:ascii="仿宋_GB2312" w:hAnsi="仿宋" w:eastAsia="仿宋_GB2312" w:cs="仿宋"/>
          <w:kern w:val="2"/>
          <w:sz w:val="32"/>
          <w:szCs w:val="32"/>
          <w:lang w:val="en-US" w:eastAsia="zh-CN" w:bidi="ar-SA"/>
        </w:rPr>
        <w:t>利用民政办公群、下乡入户等方式</w:t>
      </w:r>
      <w:r>
        <w:rPr>
          <w:rFonts w:hint="eastAsia" w:ascii="仿宋_GB2312" w:hAnsi="仿宋" w:cs="仿宋"/>
          <w:kern w:val="2"/>
          <w:sz w:val="32"/>
          <w:szCs w:val="32"/>
          <w:lang w:val="en-US" w:eastAsia="zh-CN" w:bidi="ar-SA"/>
        </w:rPr>
        <w:t>对群众</w:t>
      </w:r>
      <w:r>
        <w:rPr>
          <w:rFonts w:hint="eastAsia" w:ascii="仿宋_GB2312" w:hAnsi="仿宋" w:eastAsia="仿宋_GB2312" w:cs="仿宋"/>
          <w:kern w:val="2"/>
          <w:sz w:val="32"/>
          <w:szCs w:val="32"/>
          <w:lang w:val="en-US" w:eastAsia="zh-CN" w:bidi="ar-SA"/>
        </w:rPr>
        <w:t>进行宣传</w:t>
      </w:r>
      <w:r>
        <w:rPr>
          <w:rFonts w:hint="eastAsia" w:ascii="仿宋_GB2312" w:hAnsi="仿宋" w:cs="仿宋"/>
          <w:kern w:val="2"/>
          <w:sz w:val="32"/>
          <w:szCs w:val="32"/>
          <w:lang w:val="en-US" w:eastAsia="zh-CN" w:bidi="ar-SA"/>
        </w:rPr>
        <w:t>，</w:t>
      </w:r>
      <w:r>
        <w:rPr>
          <w:rFonts w:hint="eastAsia" w:ascii="仿宋_GB2312" w:hAnsi="仿宋" w:eastAsia="仿宋_GB2312" w:cs="仿宋"/>
          <w:kern w:val="2"/>
          <w:sz w:val="32"/>
          <w:szCs w:val="32"/>
          <w:lang w:val="en-US" w:eastAsia="zh-CN" w:bidi="ar-SA"/>
        </w:rPr>
        <w:t>通过查看资料等方式对该项目的实施、绩效落实等情况进行评价。</w:t>
      </w:r>
      <w:r>
        <w:rPr>
          <w:rFonts w:hint="default" w:ascii="仿宋_GB2312" w:hAnsi="仿宋" w:eastAsia="仿宋_GB2312" w:cs="仿宋"/>
          <w:kern w:val="2"/>
          <w:sz w:val="32"/>
          <w:szCs w:val="32"/>
          <w:lang w:val="zh-CN" w:eastAsia="zh-CN" w:bidi="ar-SA"/>
        </w:rPr>
        <w:t>做到福彩公益金支持项目管理制度健全，账务处理及时</w:t>
      </w:r>
      <w:r>
        <w:rPr>
          <w:rFonts w:hint="eastAsia" w:ascii="仿宋_GB2312" w:hAnsi="仿宋" w:eastAsia="仿宋_GB2312" w:cs="仿宋"/>
          <w:kern w:val="2"/>
          <w:sz w:val="32"/>
          <w:szCs w:val="32"/>
          <w:lang w:val="zh-CN" w:eastAsia="zh-CN" w:bidi="ar-SA"/>
        </w:rPr>
        <w:t>，</w:t>
      </w:r>
      <w:r>
        <w:rPr>
          <w:rFonts w:hint="eastAsia" w:ascii="仿宋_GB2312" w:hAnsi="仿宋" w:eastAsia="仿宋_GB2312" w:cs="仿宋"/>
          <w:kern w:val="2"/>
          <w:sz w:val="32"/>
          <w:szCs w:val="32"/>
          <w:lang w:val="en-US" w:eastAsia="zh-CN" w:bidi="ar-SA"/>
        </w:rPr>
        <w:t>项目覆盖率100%。</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2" w:firstLineChars="200"/>
        <w:textAlignment w:val="auto"/>
        <w:outlineLvl w:val="0"/>
        <w:rPr>
          <w:rFonts w:hint="eastAsia" w:ascii="仿宋_GB2312" w:hAnsi="仿宋_GB2312" w:eastAsia="仿宋_GB2312" w:cs="仿宋_GB2312"/>
          <w:b w:val="0"/>
          <w:bCs w:val="0"/>
          <w:sz w:val="32"/>
          <w:szCs w:val="32"/>
          <w:lang w:eastAsia="zh-CN"/>
        </w:rPr>
      </w:pPr>
      <w:r>
        <w:rPr>
          <w:rFonts w:hint="eastAsia" w:ascii="楷体_GB2312" w:hAnsi="楷体_GB2312" w:eastAsia="楷体_GB2312" w:cs="楷体_GB2312"/>
          <w:b/>
          <w:bCs/>
          <w:sz w:val="32"/>
          <w:szCs w:val="32"/>
        </w:rPr>
        <w:t>总体绩效目标完成情况分析。</w:t>
      </w:r>
    </w:p>
    <w:p>
      <w:pPr>
        <w:pStyle w:val="7"/>
        <w:keepNext w:val="0"/>
        <w:keepLines w:val="0"/>
        <w:widowControl/>
        <w:numPr>
          <w:ilvl w:val="0"/>
          <w:numId w:val="2"/>
        </w:numPr>
        <w:suppressLineNumbers w:val="0"/>
        <w:spacing w:before="0" w:beforeAutospacing="0" w:after="0" w:afterAutospacing="0"/>
        <w:ind w:left="0" w:right="0" w:firstLine="420"/>
        <w:rPr>
          <w:rFonts w:hint="eastAsia" w:ascii="仿宋_GB2312" w:hAnsi="仿宋" w:eastAsia="仿宋_GB2312" w:cs="仿宋"/>
          <w:kern w:val="2"/>
          <w:sz w:val="32"/>
          <w:szCs w:val="32"/>
          <w:lang w:val="zh-CN" w:eastAsia="zh-CN" w:bidi="ar-SA"/>
        </w:rPr>
      </w:pPr>
      <w:r>
        <w:rPr>
          <w:rFonts w:hint="eastAsia" w:ascii="仿宋_GB2312" w:hAnsi="仿宋" w:eastAsia="仿宋_GB2312" w:cs="仿宋"/>
          <w:kern w:val="2"/>
          <w:sz w:val="32"/>
          <w:szCs w:val="32"/>
          <w:lang w:val="zh-CN" w:eastAsia="zh-CN" w:bidi="ar-SA"/>
        </w:rPr>
        <w:t>接受社区康复服务的精神障碍患者</w:t>
      </w:r>
      <w:r>
        <w:rPr>
          <w:rFonts w:hint="eastAsia" w:ascii="仿宋_GB2312" w:hAnsi="仿宋" w:cs="仿宋"/>
          <w:kern w:val="2"/>
          <w:sz w:val="32"/>
          <w:szCs w:val="32"/>
          <w:lang w:val="en-US" w:eastAsia="zh-CN" w:bidi="ar-SA"/>
        </w:rPr>
        <w:t>21人，</w:t>
      </w:r>
      <w:r>
        <w:rPr>
          <w:rFonts w:hint="eastAsia" w:ascii="仿宋_GB2312" w:hAnsi="仿宋" w:eastAsia="仿宋_GB2312" w:cs="仿宋"/>
          <w:kern w:val="2"/>
          <w:sz w:val="32"/>
          <w:szCs w:val="32"/>
          <w:lang w:val="zh-CN" w:eastAsia="zh-CN" w:bidi="ar-SA"/>
        </w:rPr>
        <w:t>完成精神障碍社区康复服务</w:t>
      </w:r>
      <w:r>
        <w:rPr>
          <w:rFonts w:hint="eastAsia" w:ascii="仿宋_GB2312" w:hAnsi="仿宋" w:cs="仿宋"/>
          <w:kern w:val="2"/>
          <w:sz w:val="32"/>
          <w:szCs w:val="32"/>
          <w:lang w:val="en-US" w:eastAsia="zh-CN" w:bidi="ar-SA"/>
        </w:rPr>
        <w:t>300</w:t>
      </w:r>
      <w:r>
        <w:rPr>
          <w:rFonts w:hint="eastAsia" w:ascii="仿宋_GB2312" w:hAnsi="仿宋" w:eastAsia="仿宋_GB2312" w:cs="仿宋"/>
          <w:kern w:val="2"/>
          <w:sz w:val="32"/>
          <w:szCs w:val="32"/>
          <w:lang w:val="zh-CN" w:eastAsia="zh-CN" w:bidi="ar-SA"/>
        </w:rPr>
        <w:t>人次</w:t>
      </w:r>
      <w:r>
        <w:rPr>
          <w:rFonts w:hint="eastAsia" w:ascii="仿宋_GB2312" w:hAnsi="仿宋" w:cs="仿宋"/>
          <w:kern w:val="2"/>
          <w:sz w:val="32"/>
          <w:szCs w:val="32"/>
          <w:lang w:val="zh-CN" w:eastAsia="zh-CN" w:bidi="ar-SA"/>
        </w:rPr>
        <w:t>。</w:t>
      </w:r>
    </w:p>
    <w:p>
      <w:pPr>
        <w:pStyle w:val="7"/>
        <w:keepNext w:val="0"/>
        <w:keepLines w:val="0"/>
        <w:widowControl/>
        <w:numPr>
          <w:ilvl w:val="0"/>
          <w:numId w:val="2"/>
        </w:numPr>
        <w:suppressLineNumbers w:val="0"/>
        <w:spacing w:before="0" w:beforeAutospacing="0" w:after="0" w:afterAutospacing="0"/>
        <w:ind w:left="0" w:right="0" w:firstLine="420"/>
        <w:rPr>
          <w:rFonts w:hint="eastAsia" w:ascii="仿宋_GB2312" w:hAnsi="仿宋" w:eastAsia="仿宋_GB2312" w:cs="仿宋"/>
          <w:kern w:val="2"/>
          <w:sz w:val="32"/>
          <w:szCs w:val="32"/>
          <w:lang w:val="zh-CN" w:eastAsia="zh-CN" w:bidi="ar-SA"/>
        </w:rPr>
      </w:pPr>
      <w:r>
        <w:rPr>
          <w:rFonts w:hint="eastAsia" w:ascii="仿宋_GB2312" w:hAnsi="仿宋" w:eastAsia="仿宋_GB2312" w:cs="仿宋"/>
          <w:kern w:val="2"/>
          <w:sz w:val="32"/>
          <w:szCs w:val="32"/>
          <w:lang w:val="zh-CN" w:eastAsia="zh-CN" w:bidi="ar-SA"/>
        </w:rPr>
        <w:t>为全县</w:t>
      </w:r>
      <w:r>
        <w:rPr>
          <w:rFonts w:hint="eastAsia" w:ascii="仿宋_GB2312" w:hAnsi="仿宋" w:cs="仿宋"/>
          <w:kern w:val="2"/>
          <w:sz w:val="32"/>
          <w:szCs w:val="32"/>
          <w:lang w:val="en-US" w:eastAsia="zh-CN" w:bidi="ar-SA"/>
        </w:rPr>
        <w:t>4</w:t>
      </w:r>
      <w:r>
        <w:rPr>
          <w:rFonts w:hint="eastAsia" w:ascii="仿宋_GB2312" w:hAnsi="仿宋" w:eastAsia="仿宋_GB2312" w:cs="仿宋"/>
          <w:kern w:val="2"/>
          <w:sz w:val="32"/>
          <w:szCs w:val="32"/>
          <w:lang w:val="zh-CN" w:eastAsia="zh-CN" w:bidi="ar-SA"/>
        </w:rPr>
        <w:t>名</w:t>
      </w:r>
      <w:r>
        <w:rPr>
          <w:rFonts w:hint="eastAsia" w:ascii="仿宋_GB2312" w:hAnsi="仿宋" w:cs="仿宋"/>
          <w:kern w:val="2"/>
          <w:sz w:val="32"/>
          <w:szCs w:val="32"/>
          <w:lang w:val="zh-CN" w:eastAsia="zh-CN" w:bidi="ar-SA"/>
        </w:rPr>
        <w:t>年</w:t>
      </w:r>
      <w:r>
        <w:rPr>
          <w:rFonts w:hint="eastAsia" w:ascii="仿宋_GB2312" w:hAnsi="仿宋" w:eastAsia="仿宋_GB2312" w:cs="仿宋"/>
          <w:kern w:val="2"/>
          <w:sz w:val="32"/>
          <w:szCs w:val="32"/>
          <w:lang w:val="zh-CN" w:eastAsia="zh-CN" w:bidi="ar-SA"/>
        </w:rPr>
        <w:t>满18周岁考入普通全日制本科、专科等学校的孤儿提供助学金，资助孤儿完成学业。</w:t>
      </w:r>
    </w:p>
    <w:p>
      <w:pPr>
        <w:pStyle w:val="7"/>
        <w:keepNext w:val="0"/>
        <w:keepLines w:val="0"/>
        <w:widowControl/>
        <w:suppressLineNumbers w:val="0"/>
        <w:spacing w:before="0" w:beforeAutospacing="0" w:after="0" w:afterAutospacing="0"/>
        <w:ind w:left="0" w:right="0" w:firstLine="420"/>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3.完成</w:t>
      </w:r>
      <w:r>
        <w:rPr>
          <w:rFonts w:hint="eastAsia" w:ascii="仿宋_GB2312" w:hAnsi="仿宋" w:cs="仿宋"/>
          <w:kern w:val="2"/>
          <w:sz w:val="32"/>
          <w:szCs w:val="32"/>
          <w:lang w:val="en-US" w:eastAsia="zh-CN" w:bidi="ar-SA"/>
        </w:rPr>
        <w:t>1045名</w:t>
      </w:r>
      <w:r>
        <w:rPr>
          <w:rFonts w:hint="eastAsia" w:ascii="仿宋_GB2312" w:hAnsi="仿宋_GB2312" w:cs="仿宋_GB2312"/>
          <w:kern w:val="2"/>
          <w:sz w:val="32"/>
          <w:szCs w:val="32"/>
          <w:lang w:val="en-US" w:eastAsia="zh-CN" w:bidi="ar-SA"/>
        </w:rPr>
        <w:t>老年人能力综合评估工作，对居家失能老年人专业照护水平</w:t>
      </w:r>
      <w:r>
        <w:rPr>
          <w:rFonts w:hint="eastAsia" w:ascii="仿宋_GB2312" w:hAnsi="仿宋" w:eastAsia="仿宋_GB2312" w:cs="仿宋"/>
          <w:kern w:val="2"/>
          <w:sz w:val="32"/>
          <w:szCs w:val="32"/>
          <w:lang w:val="en-US" w:eastAsia="zh-CN" w:bidi="ar-SA"/>
        </w:rPr>
        <w:t>和康复</w:t>
      </w:r>
      <w:r>
        <w:rPr>
          <w:rFonts w:hint="eastAsia" w:ascii="仿宋_GB2312" w:hAnsi="仿宋" w:cs="仿宋"/>
          <w:kern w:val="2"/>
          <w:sz w:val="32"/>
          <w:szCs w:val="32"/>
          <w:lang w:val="en-US" w:eastAsia="zh-CN" w:bidi="ar-SA"/>
        </w:rPr>
        <w:t>有所提升。</w:t>
      </w:r>
    </w:p>
    <w:p>
      <w:pPr>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outlineLvl w:val="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）绩效指标完成情况分析。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sz w:val="32"/>
          <w:szCs w:val="32"/>
        </w:rPr>
      </w:pPr>
      <w:r>
        <w:rPr>
          <w:rFonts w:hint="eastAsia"/>
          <w:sz w:val="32"/>
          <w:szCs w:val="32"/>
        </w:rPr>
        <w:t>1</w:t>
      </w:r>
      <w:r>
        <w:rPr>
          <w:rFonts w:hint="eastAsia"/>
          <w:sz w:val="32"/>
          <w:szCs w:val="32"/>
          <w:lang w:val="en-US" w:eastAsia="zh-CN"/>
        </w:rPr>
        <w:t>.</w:t>
      </w:r>
      <w:r>
        <w:rPr>
          <w:rFonts w:hint="eastAsia"/>
          <w:sz w:val="32"/>
          <w:szCs w:val="32"/>
        </w:rPr>
        <w:t>产出指标完成情况分析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sz w:val="32"/>
          <w:szCs w:val="32"/>
        </w:rPr>
      </w:pPr>
      <w:r>
        <w:rPr>
          <w:rFonts w:hint="eastAsia"/>
          <w:sz w:val="32"/>
          <w:szCs w:val="32"/>
        </w:rPr>
        <w:t>（1）数量指标</w:t>
      </w:r>
    </w:p>
    <w:p>
      <w:pPr>
        <w:pStyle w:val="7"/>
        <w:keepNext w:val="0"/>
        <w:keepLines w:val="0"/>
        <w:widowControl/>
        <w:suppressLineNumbers w:val="0"/>
        <w:spacing w:before="0" w:beforeAutospacing="0" w:after="0" w:afterAutospacing="0"/>
        <w:ind w:left="0" w:right="0" w:firstLine="420"/>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zh-CN" w:eastAsia="zh-CN" w:bidi="ar-SA"/>
        </w:rPr>
        <w:t>完成社区康复服务的精神障碍患者</w:t>
      </w:r>
      <w:r>
        <w:rPr>
          <w:rFonts w:hint="eastAsia" w:ascii="仿宋_GB2312" w:hAnsi="仿宋" w:cs="仿宋"/>
          <w:kern w:val="2"/>
          <w:sz w:val="32"/>
          <w:szCs w:val="32"/>
          <w:lang w:val="en-US" w:eastAsia="zh-CN" w:bidi="ar-SA"/>
        </w:rPr>
        <w:t>21人</w:t>
      </w:r>
      <w:r>
        <w:rPr>
          <w:rFonts w:hint="eastAsia" w:ascii="仿宋_GB2312" w:hAnsi="仿宋" w:eastAsia="仿宋_GB2312" w:cs="仿宋"/>
          <w:kern w:val="2"/>
          <w:sz w:val="32"/>
          <w:szCs w:val="32"/>
          <w:lang w:val="en-US" w:eastAsia="zh-CN" w:bidi="ar-SA"/>
        </w:rPr>
        <w:t>，</w:t>
      </w:r>
      <w:r>
        <w:rPr>
          <w:rFonts w:hint="eastAsia" w:ascii="仿宋_GB2312" w:hAnsi="仿宋" w:eastAsia="仿宋_GB2312" w:cs="仿宋"/>
          <w:kern w:val="2"/>
          <w:sz w:val="32"/>
          <w:szCs w:val="32"/>
          <w:lang w:val="zh-CN" w:eastAsia="zh-CN" w:bidi="ar-SA"/>
        </w:rPr>
        <w:t>社区康复服务</w:t>
      </w:r>
      <w:r>
        <w:rPr>
          <w:rFonts w:hint="eastAsia" w:ascii="仿宋_GB2312" w:hAnsi="仿宋" w:cs="仿宋"/>
          <w:kern w:val="2"/>
          <w:sz w:val="32"/>
          <w:szCs w:val="32"/>
          <w:lang w:val="en-US" w:eastAsia="zh-CN" w:bidi="ar-SA"/>
        </w:rPr>
        <w:t>300</w:t>
      </w:r>
      <w:r>
        <w:rPr>
          <w:rFonts w:hint="eastAsia" w:ascii="仿宋_GB2312" w:hAnsi="仿宋" w:eastAsia="仿宋_GB2312" w:cs="仿宋"/>
          <w:kern w:val="2"/>
          <w:sz w:val="32"/>
          <w:szCs w:val="32"/>
          <w:lang w:val="zh-CN" w:eastAsia="zh-CN" w:bidi="ar-SA"/>
        </w:rPr>
        <w:t>人次</w:t>
      </w:r>
      <w:r>
        <w:rPr>
          <w:rFonts w:hint="eastAsia" w:ascii="仿宋_GB2312" w:hAnsi="仿宋" w:cs="仿宋"/>
          <w:kern w:val="2"/>
          <w:sz w:val="32"/>
          <w:szCs w:val="32"/>
          <w:lang w:val="zh-CN" w:eastAsia="zh-CN" w:bidi="ar-SA"/>
        </w:rPr>
        <w:t>；</w:t>
      </w:r>
      <w:r>
        <w:rPr>
          <w:rFonts w:hint="eastAsia" w:ascii="仿宋_GB2312" w:hAnsi="仿宋" w:eastAsia="仿宋_GB2312" w:cs="仿宋"/>
          <w:kern w:val="2"/>
          <w:sz w:val="32"/>
          <w:szCs w:val="32"/>
          <w:lang w:val="en-US" w:eastAsia="zh-CN" w:bidi="ar-SA"/>
        </w:rPr>
        <w:t>资助</w:t>
      </w:r>
      <w:r>
        <w:rPr>
          <w:rFonts w:hint="eastAsia" w:ascii="仿宋_GB2312" w:hAnsi="仿宋" w:cs="仿宋"/>
          <w:kern w:val="2"/>
          <w:sz w:val="32"/>
          <w:szCs w:val="32"/>
          <w:lang w:val="en-US" w:eastAsia="zh-CN" w:bidi="ar-SA"/>
        </w:rPr>
        <w:t>4</w:t>
      </w:r>
      <w:r>
        <w:rPr>
          <w:rFonts w:hint="eastAsia" w:ascii="仿宋_GB2312" w:hAnsi="仿宋" w:eastAsia="仿宋_GB2312" w:cs="仿宋"/>
          <w:kern w:val="2"/>
          <w:sz w:val="32"/>
          <w:szCs w:val="32"/>
          <w:lang w:val="zh-CN" w:eastAsia="zh-CN" w:bidi="ar-SA"/>
        </w:rPr>
        <w:t>名</w:t>
      </w:r>
      <w:r>
        <w:rPr>
          <w:rFonts w:hint="eastAsia" w:ascii="仿宋_GB2312" w:hAnsi="仿宋" w:cs="仿宋"/>
          <w:kern w:val="2"/>
          <w:sz w:val="32"/>
          <w:szCs w:val="32"/>
          <w:lang w:val="zh-CN" w:eastAsia="zh-CN" w:bidi="ar-SA"/>
        </w:rPr>
        <w:t>年</w:t>
      </w:r>
      <w:r>
        <w:rPr>
          <w:rFonts w:hint="eastAsia" w:ascii="仿宋_GB2312" w:hAnsi="仿宋" w:eastAsia="仿宋_GB2312" w:cs="仿宋"/>
          <w:kern w:val="2"/>
          <w:sz w:val="32"/>
          <w:szCs w:val="32"/>
          <w:lang w:val="zh-CN" w:eastAsia="zh-CN" w:bidi="ar-SA"/>
        </w:rPr>
        <w:t>满18周岁考入普通全日制本科、专科等学校的孤儿提供助学金，资助孤儿完成学业</w:t>
      </w:r>
      <w:r>
        <w:rPr>
          <w:rFonts w:hint="eastAsia" w:ascii="仿宋_GB2312" w:hAnsi="仿宋" w:cs="仿宋"/>
          <w:kern w:val="2"/>
          <w:sz w:val="32"/>
          <w:szCs w:val="32"/>
          <w:lang w:val="zh-CN" w:eastAsia="zh-CN" w:bidi="ar-SA"/>
        </w:rPr>
        <w:t>；</w:t>
      </w:r>
      <w:r>
        <w:rPr>
          <w:rFonts w:hint="eastAsia" w:ascii="仿宋_GB2312" w:hAnsi="仿宋" w:eastAsia="仿宋_GB2312" w:cs="仿宋"/>
          <w:kern w:val="2"/>
          <w:sz w:val="32"/>
          <w:szCs w:val="32"/>
          <w:lang w:val="en-US" w:eastAsia="zh-CN" w:bidi="ar-SA"/>
        </w:rPr>
        <w:t>完成</w:t>
      </w:r>
      <w:r>
        <w:rPr>
          <w:rFonts w:hint="eastAsia" w:ascii="仿宋_GB2312" w:hAnsi="仿宋" w:cs="仿宋"/>
          <w:kern w:val="2"/>
          <w:sz w:val="32"/>
          <w:szCs w:val="32"/>
          <w:lang w:val="en-US" w:eastAsia="zh-CN" w:bidi="ar-SA"/>
        </w:rPr>
        <w:t>1045名</w:t>
      </w:r>
      <w:r>
        <w:rPr>
          <w:rFonts w:hint="eastAsia" w:ascii="仿宋_GB2312" w:hAnsi="仿宋_GB2312" w:cs="仿宋_GB2312"/>
          <w:kern w:val="2"/>
          <w:sz w:val="32"/>
          <w:szCs w:val="32"/>
          <w:lang w:val="en-US" w:eastAsia="zh-CN" w:bidi="ar-SA"/>
        </w:rPr>
        <w:t>老年人能力综合评估工作。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r>
        <w:rPr>
          <w:rFonts w:hint="eastAsia"/>
          <w:sz w:val="32"/>
          <w:szCs w:val="32"/>
          <w:lang w:eastAsia="zh-CN"/>
        </w:rPr>
        <w:t>（</w:t>
      </w:r>
      <w:r>
        <w:rPr>
          <w:rFonts w:hint="eastAsia"/>
          <w:sz w:val="32"/>
          <w:szCs w:val="32"/>
          <w:lang w:val="en-US" w:eastAsia="zh-CN"/>
        </w:rPr>
        <w:t>2</w:t>
      </w:r>
      <w:r>
        <w:rPr>
          <w:rFonts w:hint="eastAsia"/>
          <w:sz w:val="32"/>
          <w:szCs w:val="32"/>
          <w:lang w:eastAsia="zh-CN"/>
        </w:rPr>
        <w:t>）质量指标</w:t>
      </w:r>
    </w:p>
    <w:p>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rPr>
          <w:rFonts w:hint="eastAsia" w:ascii="仿宋_GB2312" w:hAnsi="仿宋" w:eastAsia="仿宋_GB2312" w:cs="仿宋"/>
          <w:kern w:val="2"/>
          <w:sz w:val="32"/>
          <w:szCs w:val="32"/>
          <w:lang w:val="en-US" w:eastAsia="zh-CN" w:bidi="ar-SA"/>
        </w:rPr>
      </w:pPr>
      <w:r>
        <w:rPr>
          <w:rFonts w:hint="eastAsia" w:ascii="仿宋_GB2312" w:eastAsia="仿宋_GB2312" w:cs="Times New Roman"/>
          <w:sz w:val="32"/>
          <w:szCs w:val="32"/>
          <w:lang w:val="en-US" w:eastAsia="zh-CN" w:bidi="ar-SA"/>
        </w:rPr>
        <w:t>补齐精神卫生康复体系短板,减轻精神障碍患者家庭负担,促进精神障碍患者恢复生活自理能力和社会适应能力</w:t>
      </w:r>
      <w:r>
        <w:rPr>
          <w:rFonts w:hint="eastAsia" w:ascii="仿宋_GB2312" w:cs="Times New Roman"/>
          <w:sz w:val="32"/>
          <w:szCs w:val="32"/>
          <w:lang w:val="en-US" w:eastAsia="zh-CN" w:bidi="ar-SA"/>
        </w:rPr>
        <w:t>。</w:t>
      </w:r>
      <w:r>
        <w:rPr>
          <w:rFonts w:hint="eastAsia" w:ascii="仿宋_GB2312" w:hAnsi="仿宋" w:eastAsia="仿宋_GB2312" w:cs="仿宋"/>
          <w:kern w:val="2"/>
          <w:sz w:val="32"/>
          <w:szCs w:val="32"/>
          <w:lang w:val="zh-CN" w:eastAsia="zh-CN" w:bidi="ar-SA"/>
        </w:rPr>
        <w:t>保障了孤儿大学生在校期间的基本生活</w:t>
      </w:r>
      <w:r>
        <w:rPr>
          <w:rFonts w:hint="eastAsia" w:ascii="仿宋_GB2312" w:hAnsi="仿宋" w:cs="仿宋"/>
          <w:kern w:val="2"/>
          <w:sz w:val="32"/>
          <w:szCs w:val="32"/>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r>
        <w:rPr>
          <w:rFonts w:hint="eastAsia"/>
          <w:sz w:val="32"/>
          <w:szCs w:val="32"/>
          <w:lang w:val="en-US" w:eastAsia="zh-CN"/>
        </w:rPr>
        <w:t>（3）时效指标</w:t>
      </w:r>
    </w:p>
    <w:p>
      <w:pPr>
        <w:pStyle w:val="7"/>
        <w:keepNext w:val="0"/>
        <w:keepLines w:val="0"/>
        <w:widowControl/>
        <w:suppressLineNumbers w:val="0"/>
        <w:spacing w:before="0" w:beforeAutospacing="0" w:after="0" w:afterAutospacing="0"/>
        <w:ind w:left="0" w:right="0" w:firstLine="420"/>
        <w:rPr>
          <w:rFonts w:hint="eastAsia" w:ascii="仿宋_GB2312" w:hAnsi="仿宋" w:eastAsia="仿宋_GB2312" w:cs="仿宋"/>
          <w:kern w:val="2"/>
          <w:sz w:val="32"/>
          <w:szCs w:val="32"/>
          <w:lang w:val="zh-CN" w:eastAsia="zh-CN" w:bidi="ar-SA"/>
        </w:rPr>
      </w:pPr>
      <w:r>
        <w:rPr>
          <w:rFonts w:hint="eastAsia" w:ascii="仿宋_GB2312" w:hAnsi="仿宋" w:eastAsia="仿宋_GB2312" w:cs="仿宋"/>
          <w:kern w:val="2"/>
          <w:sz w:val="32"/>
          <w:szCs w:val="32"/>
          <w:lang w:val="zh-CN" w:eastAsia="zh-CN" w:bidi="ar-SA"/>
        </w:rPr>
        <w:t>精神障碍</w:t>
      </w:r>
      <w:r>
        <w:rPr>
          <w:rFonts w:hint="eastAsia" w:ascii="仿宋_GB2312" w:hAnsi="仿宋" w:cs="仿宋"/>
          <w:kern w:val="2"/>
          <w:sz w:val="32"/>
          <w:szCs w:val="32"/>
          <w:lang w:val="zh-CN" w:eastAsia="zh-CN" w:bidi="ar-SA"/>
        </w:rPr>
        <w:t>社区</w:t>
      </w:r>
      <w:r>
        <w:rPr>
          <w:rFonts w:hint="eastAsia" w:ascii="仿宋_GB2312" w:hAnsi="仿宋" w:eastAsia="仿宋_GB2312" w:cs="仿宋"/>
          <w:kern w:val="2"/>
          <w:sz w:val="32"/>
          <w:szCs w:val="32"/>
          <w:lang w:val="zh-CN" w:eastAsia="zh-CN" w:bidi="ar-SA"/>
        </w:rPr>
        <w:t>康复</w:t>
      </w:r>
      <w:r>
        <w:rPr>
          <w:rFonts w:hint="eastAsia" w:ascii="仿宋_GB2312" w:hAnsi="仿宋" w:cs="仿宋"/>
          <w:kern w:val="2"/>
          <w:sz w:val="32"/>
          <w:szCs w:val="32"/>
          <w:lang w:val="zh-CN" w:eastAsia="zh-CN" w:bidi="ar-SA"/>
        </w:rPr>
        <w:t>服务项目</w:t>
      </w:r>
      <w:r>
        <w:rPr>
          <w:rFonts w:hint="eastAsia" w:ascii="仿宋_GB2312" w:hAnsi="仿宋" w:eastAsia="仿宋_GB2312" w:cs="仿宋"/>
          <w:kern w:val="2"/>
          <w:sz w:val="32"/>
          <w:szCs w:val="32"/>
          <w:lang w:val="zh-CN" w:eastAsia="zh-CN" w:bidi="ar-SA"/>
        </w:rPr>
        <w:t>在规定时效内完成，通过“一卡通”平台及时发放孤儿助学金</w:t>
      </w:r>
      <w:r>
        <w:rPr>
          <w:rFonts w:hint="eastAsia" w:ascii="仿宋_GB2312" w:hAnsi="仿宋" w:cs="仿宋"/>
          <w:kern w:val="2"/>
          <w:sz w:val="32"/>
          <w:szCs w:val="32"/>
          <w:lang w:val="zh-CN" w:eastAsia="zh-CN" w:bidi="ar-SA"/>
        </w:rPr>
        <w:t>，资金拨付率达</w:t>
      </w:r>
      <w:r>
        <w:rPr>
          <w:rFonts w:hint="eastAsia" w:ascii="仿宋_GB2312" w:hAnsi="仿宋" w:cs="仿宋"/>
          <w:kern w:val="2"/>
          <w:sz w:val="32"/>
          <w:szCs w:val="32"/>
          <w:lang w:val="en-US" w:eastAsia="zh-CN" w:bidi="ar-SA"/>
        </w:rPr>
        <w:t>100%。</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sz w:val="32"/>
          <w:szCs w:val="32"/>
        </w:rPr>
      </w:pPr>
      <w:r>
        <w:rPr>
          <w:rFonts w:hint="eastAsia"/>
          <w:sz w:val="32"/>
          <w:szCs w:val="32"/>
          <w:lang w:val="en-US" w:eastAsia="zh-CN"/>
        </w:rPr>
        <w:t>2.</w:t>
      </w:r>
      <w:r>
        <w:rPr>
          <w:rFonts w:hint="eastAsia"/>
          <w:sz w:val="32"/>
          <w:szCs w:val="32"/>
          <w:lang w:eastAsia="zh-CN"/>
        </w:rPr>
        <w:t>效益</w:t>
      </w:r>
      <w:r>
        <w:rPr>
          <w:rFonts w:hint="eastAsia"/>
          <w:sz w:val="32"/>
          <w:szCs w:val="32"/>
        </w:rPr>
        <w:t>指标完成情况分析</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sz w:val="32"/>
          <w:szCs w:val="32"/>
          <w:lang w:val="en-US" w:eastAsia="zh-CN"/>
        </w:rPr>
      </w:pPr>
      <w:r>
        <w:rPr>
          <w:rFonts w:hint="eastAsia" w:ascii="仿宋_GB2312"/>
          <w:sz w:val="32"/>
          <w:szCs w:val="32"/>
          <w:lang w:val="en-US" w:eastAsia="zh-CN"/>
        </w:rPr>
        <w:t>（1）</w:t>
      </w:r>
      <w:r>
        <w:rPr>
          <w:rFonts w:hint="eastAsia" w:ascii="Times New Roman" w:hAnsi="Times New Roman" w:eastAsia="仿宋_GB2312" w:cs="Times New Roman"/>
          <w:kern w:val="2"/>
          <w:sz w:val="32"/>
          <w:szCs w:val="32"/>
          <w:lang w:val="en-US" w:eastAsia="zh-CN" w:bidi="ar-SA"/>
        </w:rPr>
        <w:t>社会效益指标</w:t>
      </w:r>
    </w:p>
    <w:p>
      <w:pPr>
        <w:pStyle w:val="7"/>
        <w:keepNext w:val="0"/>
        <w:keepLines w:val="0"/>
        <w:widowControl/>
        <w:suppressLineNumbers w:val="0"/>
        <w:spacing w:before="0" w:beforeAutospacing="0" w:after="0" w:afterAutospacing="0"/>
        <w:ind w:left="0" w:right="0" w:firstLine="420"/>
        <w:rPr>
          <w:rFonts w:hint="eastAsia" w:ascii="仿宋_GB2312" w:hAnsi="仿宋" w:eastAsia="仿宋_GB2312" w:cs="仿宋"/>
          <w:kern w:val="2"/>
          <w:sz w:val="32"/>
          <w:szCs w:val="32"/>
          <w:lang w:val="zh-CN" w:eastAsia="zh-CN" w:bidi="ar-SA"/>
        </w:rPr>
      </w:pPr>
      <w:r>
        <w:rPr>
          <w:rFonts w:hint="eastAsia" w:ascii="仿宋_GB2312" w:hAnsi="仿宋" w:eastAsia="仿宋_GB2312" w:cs="仿宋"/>
          <w:kern w:val="2"/>
          <w:sz w:val="32"/>
          <w:szCs w:val="32"/>
          <w:lang w:val="zh-CN" w:eastAsia="zh-CN" w:bidi="ar-SA"/>
        </w:rPr>
        <w:t>提升我县精神障碍</w:t>
      </w:r>
      <w:r>
        <w:rPr>
          <w:rFonts w:hint="eastAsia" w:ascii="仿宋_GB2312" w:hAnsi="仿宋" w:cs="仿宋"/>
          <w:kern w:val="2"/>
          <w:sz w:val="32"/>
          <w:szCs w:val="32"/>
          <w:lang w:val="zh-CN" w:eastAsia="zh-CN" w:bidi="ar-SA"/>
        </w:rPr>
        <w:t>社区</w:t>
      </w:r>
      <w:r>
        <w:rPr>
          <w:rFonts w:hint="eastAsia" w:ascii="仿宋_GB2312" w:hAnsi="仿宋" w:eastAsia="仿宋_GB2312" w:cs="仿宋"/>
          <w:kern w:val="2"/>
          <w:sz w:val="32"/>
          <w:szCs w:val="32"/>
          <w:lang w:val="zh-CN" w:eastAsia="zh-CN" w:bidi="ar-SA"/>
        </w:rPr>
        <w:t>康复</w:t>
      </w:r>
      <w:r>
        <w:rPr>
          <w:rFonts w:hint="eastAsia" w:ascii="仿宋_GB2312" w:hAnsi="仿宋" w:cs="仿宋"/>
          <w:kern w:val="2"/>
          <w:sz w:val="32"/>
          <w:szCs w:val="32"/>
          <w:lang w:val="zh-CN" w:eastAsia="zh-CN" w:bidi="ar-SA"/>
        </w:rPr>
        <w:t>服务</w:t>
      </w:r>
      <w:r>
        <w:rPr>
          <w:rFonts w:hint="eastAsia" w:ascii="仿宋_GB2312" w:hAnsi="仿宋" w:eastAsia="仿宋_GB2312" w:cs="仿宋"/>
          <w:kern w:val="2"/>
          <w:sz w:val="32"/>
          <w:szCs w:val="32"/>
          <w:lang w:val="zh-CN" w:eastAsia="zh-CN" w:bidi="ar-SA"/>
        </w:rPr>
        <w:t>的能力和水平，提供社会对精神障碍人士的关爱度，提升孤儿大学生的生活水平，保障孤儿的健康成长</w:t>
      </w:r>
      <w:r>
        <w:rPr>
          <w:rFonts w:hint="eastAsia" w:ascii="仿宋_GB2312" w:hAnsi="仿宋" w:cs="仿宋"/>
          <w:kern w:val="2"/>
          <w:sz w:val="32"/>
          <w:szCs w:val="32"/>
          <w:lang w:val="zh-CN" w:eastAsia="zh-CN" w:bidi="ar-SA"/>
        </w:rPr>
        <w:t>，有效提高</w:t>
      </w:r>
      <w:r>
        <w:rPr>
          <w:rFonts w:hint="eastAsia" w:ascii="仿宋_GB2312" w:hAnsi="仿宋" w:eastAsia="仿宋_GB2312" w:cs="仿宋"/>
          <w:kern w:val="2"/>
          <w:sz w:val="32"/>
          <w:szCs w:val="32"/>
          <w:lang w:val="zh-CN" w:eastAsia="zh-CN" w:bidi="ar-SA"/>
        </w:rPr>
        <w:t>居家和社区养老服务能力和品质</w:t>
      </w:r>
      <w:r>
        <w:rPr>
          <w:rFonts w:hint="eastAsia" w:ascii="仿宋_GB2312" w:hAnsi="仿宋" w:cs="仿宋"/>
          <w:kern w:val="2"/>
          <w:sz w:val="32"/>
          <w:szCs w:val="32"/>
          <w:lang w:val="zh-CN" w:eastAsia="zh-CN" w:bidi="ar-SA"/>
        </w:rPr>
        <w:t>。</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cs="Times New Roman"/>
          <w:kern w:val="2"/>
          <w:sz w:val="32"/>
          <w:szCs w:val="32"/>
          <w:lang w:val="en-US" w:eastAsia="zh-CN" w:bidi="ar-SA"/>
        </w:rPr>
      </w:pPr>
      <w:r>
        <w:rPr>
          <w:rFonts w:hint="eastAsia" w:cs="Times New Roman"/>
          <w:kern w:val="2"/>
          <w:sz w:val="32"/>
          <w:szCs w:val="32"/>
          <w:lang w:val="en-US" w:eastAsia="zh-CN" w:bidi="ar-SA"/>
        </w:rPr>
        <w:t>（2）可持续影响指标</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仿宋_GB2312" w:eastAsia="仿宋_GB2312" w:cs="Times New Roman"/>
          <w:color w:val="auto"/>
          <w:sz w:val="32"/>
          <w:szCs w:val="32"/>
          <w:lang w:val="en-US" w:eastAsia="zh-CN" w:bidi="ar-SA"/>
        </w:rPr>
        <w:t>福利彩票公益金制度不断完善,提高困难群众生活质量，丰富群众文化活动，促进引导社会组织发展。</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cs="Times New Roman"/>
          <w:kern w:val="2"/>
          <w:sz w:val="32"/>
          <w:szCs w:val="32"/>
          <w:lang w:val="en-US" w:eastAsia="zh-CN" w:bidi="ar-SA"/>
        </w:rPr>
      </w:pPr>
      <w:r>
        <w:rPr>
          <w:rFonts w:hint="eastAsia" w:cs="Times New Roman"/>
          <w:kern w:val="2"/>
          <w:sz w:val="32"/>
          <w:szCs w:val="32"/>
          <w:lang w:val="en-US" w:eastAsia="zh-CN" w:bidi="ar-SA"/>
        </w:rPr>
        <w:t>3.满意度完成指标</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eastAsia="仿宋_GB2312" w:cs="Times New Roman"/>
          <w:color w:val="auto"/>
          <w:sz w:val="32"/>
          <w:szCs w:val="32"/>
          <w:lang w:val="en-US" w:eastAsia="zh-CN" w:bidi="ar-SA"/>
        </w:rPr>
      </w:pPr>
      <w:r>
        <w:rPr>
          <w:rFonts w:hint="eastAsia" w:ascii="仿宋_GB2312" w:eastAsia="仿宋_GB2312" w:cs="Times New Roman"/>
          <w:color w:val="auto"/>
          <w:sz w:val="32"/>
          <w:szCs w:val="32"/>
          <w:lang w:val="en-US" w:eastAsia="zh-CN" w:bidi="ar-SA"/>
        </w:rPr>
        <w:t>通过调研走访和督查情况看，群众对中央福彩公益金资助我县项目的满意度都在95%以上。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sz w:val="32"/>
          <w:szCs w:val="32"/>
        </w:rPr>
      </w:pPr>
      <w:r>
        <w:rPr>
          <w:rFonts w:hint="eastAsia" w:ascii="黑体" w:hAnsi="黑体" w:eastAsia="黑体" w:cs="黑体"/>
          <w:bCs/>
          <w:sz w:val="32"/>
          <w:szCs w:val="32"/>
        </w:rPr>
        <w:t>三、偏离绩效目标的原因和下一步改进措施</w:t>
      </w:r>
    </w:p>
    <w:p>
      <w:pPr>
        <w:pStyle w:val="7"/>
        <w:keepNext w:val="0"/>
        <w:keepLines w:val="0"/>
        <w:widowControl/>
        <w:suppressLineNumbers w:val="0"/>
        <w:spacing w:before="0" w:beforeAutospacing="0" w:after="0" w:afterAutospacing="0"/>
        <w:ind w:left="0" w:right="0" w:firstLine="42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w:t>
      </w:r>
      <w:r>
        <w:rPr>
          <w:rFonts w:hint="eastAsia"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年中央福彩公益金项目符合年初绩效总体目标，未偏离原定计划。各项目完成时效、成本控制、进度计划等绩效指标均符合绩效目标设定标准。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四、绩效自评结果拟应用和公开情况</w:t>
      </w:r>
    </w:p>
    <w:p>
      <w:pPr>
        <w:pStyle w:val="5"/>
        <w:keepNext w:val="0"/>
        <w:keepLines w:val="0"/>
        <w:pageBreakBefore w:val="0"/>
        <w:kinsoku/>
        <w:wordWrap/>
        <w:overflowPunct/>
        <w:topLinePunct w:val="0"/>
        <w:autoSpaceDE/>
        <w:autoSpaceDN/>
        <w:bidi w:val="0"/>
        <w:spacing w:line="560" w:lineRule="exact"/>
        <w:ind w:firstLine="640" w:firstLineChars="200"/>
        <w:textAlignment w:val="auto"/>
        <w:rPr>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cs="仿宋_GB2312"/>
          <w:sz w:val="32"/>
          <w:szCs w:val="32"/>
          <w:lang w:val="en-US" w:eastAsia="zh-CN"/>
        </w:rPr>
        <w:t>25</w:t>
      </w:r>
      <w:r>
        <w:rPr>
          <w:rFonts w:hint="eastAsia"/>
          <w:sz w:val="32"/>
          <w:szCs w:val="32"/>
          <w:lang w:eastAsia="zh-CN"/>
        </w:rPr>
        <w:t>年度中央集中彩票公益金支持社会福利事业专项资金绩效自评报告在</w:t>
      </w:r>
      <w:r>
        <w:rPr>
          <w:rFonts w:hint="eastAsia"/>
          <w:sz w:val="32"/>
          <w:szCs w:val="32"/>
          <w:lang w:val="en-US" w:eastAsia="zh-CN"/>
        </w:rPr>
        <w:t>门户网站</w:t>
      </w:r>
      <w:r>
        <w:rPr>
          <w:rFonts w:hint="eastAsia"/>
          <w:sz w:val="32"/>
          <w:szCs w:val="32"/>
          <w:lang w:eastAsia="zh-CN"/>
        </w:rPr>
        <w:t>拟公开，同时自评结果作为</w:t>
      </w:r>
      <w:r>
        <w:rPr>
          <w:rFonts w:hint="eastAsia" w:ascii="仿宋_GB2312" w:hAnsi="仿宋_GB2312" w:cs="仿宋_GB2312"/>
          <w:sz w:val="32"/>
          <w:szCs w:val="32"/>
          <w:lang w:val="en-US" w:eastAsia="zh-CN"/>
        </w:rPr>
        <w:t>下一年</w:t>
      </w:r>
      <w:r>
        <w:rPr>
          <w:rFonts w:hint="eastAsia"/>
          <w:sz w:val="32"/>
          <w:szCs w:val="32"/>
          <w:lang w:eastAsia="zh-CN"/>
        </w:rPr>
        <w:t>福彩公益金资金分配和使用依据。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五、其他需要说明的问题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sz w:val="32"/>
          <w:szCs w:val="32"/>
          <w:lang w:eastAsia="zh-CN"/>
        </w:rPr>
      </w:pPr>
      <w:r>
        <w:rPr>
          <w:rFonts w:hint="eastAsia"/>
          <w:sz w:val="32"/>
          <w:szCs w:val="32"/>
          <w:lang w:eastAsia="zh-CN"/>
        </w:rPr>
        <w:t>无</w:t>
      </w:r>
    </w:p>
    <w:p>
      <w:pPr>
        <w:pStyle w:val="5"/>
        <w:keepNext w:val="0"/>
        <w:keepLines w:val="0"/>
        <w:pageBreakBefore w:val="0"/>
        <w:kinsoku/>
        <w:wordWrap/>
        <w:overflowPunct/>
        <w:topLinePunct w:val="0"/>
        <w:autoSpaceDE/>
        <w:autoSpaceDN/>
        <w:bidi w:val="0"/>
        <w:spacing w:line="560" w:lineRule="exact"/>
        <w:ind w:firstLine="5440" w:firstLineChars="1700"/>
        <w:textAlignment w:val="auto"/>
        <w:rPr>
          <w:rFonts w:hint="eastAsia"/>
          <w:sz w:val="32"/>
          <w:szCs w:val="32"/>
          <w:lang w:eastAsia="zh-CN"/>
        </w:rPr>
      </w:pPr>
    </w:p>
    <w:p>
      <w:pPr>
        <w:pStyle w:val="5"/>
        <w:keepNext w:val="0"/>
        <w:keepLines w:val="0"/>
        <w:pageBreakBefore w:val="0"/>
        <w:kinsoku/>
        <w:wordWrap/>
        <w:overflowPunct/>
        <w:topLinePunct w:val="0"/>
        <w:autoSpaceDE/>
        <w:autoSpaceDN/>
        <w:bidi w:val="0"/>
        <w:spacing w:line="560" w:lineRule="exact"/>
        <w:ind w:firstLine="5440" w:firstLineChars="1700"/>
        <w:textAlignment w:val="auto"/>
        <w:rPr>
          <w:rFonts w:hint="eastAsia"/>
          <w:sz w:val="32"/>
          <w:szCs w:val="32"/>
          <w:lang w:eastAsia="zh-CN"/>
        </w:rPr>
      </w:pPr>
      <w:r>
        <w:rPr>
          <w:rFonts w:hint="eastAsia"/>
          <w:sz w:val="32"/>
          <w:szCs w:val="32"/>
          <w:lang w:eastAsia="zh-CN"/>
        </w:rPr>
        <w:t>茂县民政局</w:t>
      </w:r>
    </w:p>
    <w:p>
      <w:pPr>
        <w:pStyle w:val="5"/>
        <w:keepNext w:val="0"/>
        <w:keepLines w:val="0"/>
        <w:pageBreakBefore w:val="0"/>
        <w:kinsoku/>
        <w:wordWrap/>
        <w:overflowPunct/>
        <w:topLinePunct w:val="0"/>
        <w:autoSpaceDE/>
        <w:autoSpaceDN/>
        <w:bidi w:val="0"/>
        <w:spacing w:line="560" w:lineRule="exact"/>
        <w:ind w:firstLine="5440" w:firstLineChars="1700"/>
        <w:textAlignment w:val="auto"/>
        <w:rPr>
          <w:rFonts w:hint="default"/>
          <w:sz w:val="32"/>
          <w:szCs w:val="32"/>
          <w:lang w:val="en-US" w:eastAsia="zh-CN"/>
        </w:rPr>
      </w:pPr>
      <w:bookmarkStart w:id="0" w:name="_GoBack"/>
      <w:bookmarkEnd w:id="0"/>
      <w:r>
        <w:rPr>
          <w:rFonts w:hint="eastAsia"/>
          <w:sz w:val="32"/>
          <w:szCs w:val="32"/>
          <w:lang w:val="en-US" w:eastAsia="zh-CN"/>
        </w:rPr>
        <w:t>2025年5月6日</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890A09"/>
    <w:multiLevelType w:val="singleLevel"/>
    <w:tmpl w:val="E1890A09"/>
    <w:lvl w:ilvl="0" w:tentative="0">
      <w:start w:val="1"/>
      <w:numFmt w:val="decimal"/>
      <w:lvlText w:val="%1."/>
      <w:lvlJc w:val="left"/>
      <w:pPr>
        <w:tabs>
          <w:tab w:val="left" w:pos="312"/>
        </w:tabs>
      </w:pPr>
    </w:lvl>
  </w:abstractNum>
  <w:abstractNum w:abstractNumId="1">
    <w:nsid w:val="4C1AEA2F"/>
    <w:multiLevelType w:val="singleLevel"/>
    <w:tmpl w:val="4C1AEA2F"/>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50"/>
  <w:drawingGridVerticalSpacing w:val="5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ZWM5YmIyMTg3NDRmZDU4M2I5ZjcxMTU2Zjg4NWIifQ=="/>
  </w:docVars>
  <w:rsids>
    <w:rsidRoot w:val="00F57F82"/>
    <w:rsid w:val="000101E1"/>
    <w:rsid w:val="000732DA"/>
    <w:rsid w:val="00075CDC"/>
    <w:rsid w:val="000B1E8F"/>
    <w:rsid w:val="000B6964"/>
    <w:rsid w:val="00103D16"/>
    <w:rsid w:val="00111638"/>
    <w:rsid w:val="00111928"/>
    <w:rsid w:val="0012041C"/>
    <w:rsid w:val="00164D84"/>
    <w:rsid w:val="00173016"/>
    <w:rsid w:val="0017509C"/>
    <w:rsid w:val="001808CA"/>
    <w:rsid w:val="001A4E46"/>
    <w:rsid w:val="001E03FE"/>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922BC"/>
    <w:rsid w:val="009E0D8C"/>
    <w:rsid w:val="00A02AF3"/>
    <w:rsid w:val="00A25077"/>
    <w:rsid w:val="00A610CC"/>
    <w:rsid w:val="00A8737E"/>
    <w:rsid w:val="00AA19AF"/>
    <w:rsid w:val="00BC6882"/>
    <w:rsid w:val="00BD3FE0"/>
    <w:rsid w:val="00BE58CF"/>
    <w:rsid w:val="00CA5578"/>
    <w:rsid w:val="00CA7DAA"/>
    <w:rsid w:val="00D04826"/>
    <w:rsid w:val="00D63908"/>
    <w:rsid w:val="00D8718A"/>
    <w:rsid w:val="00D93453"/>
    <w:rsid w:val="00DC524D"/>
    <w:rsid w:val="00E071D6"/>
    <w:rsid w:val="00ED3E0F"/>
    <w:rsid w:val="00F015E4"/>
    <w:rsid w:val="00F57F82"/>
    <w:rsid w:val="00F75224"/>
    <w:rsid w:val="00F91EAE"/>
    <w:rsid w:val="00FA086C"/>
    <w:rsid w:val="00FA2093"/>
    <w:rsid w:val="00FA357A"/>
    <w:rsid w:val="02A46A5B"/>
    <w:rsid w:val="037D0BC8"/>
    <w:rsid w:val="0845082D"/>
    <w:rsid w:val="09E965F2"/>
    <w:rsid w:val="0B184B59"/>
    <w:rsid w:val="0CF10304"/>
    <w:rsid w:val="0E707BF7"/>
    <w:rsid w:val="0F585F7F"/>
    <w:rsid w:val="0FF7AA4F"/>
    <w:rsid w:val="139840D3"/>
    <w:rsid w:val="143E091F"/>
    <w:rsid w:val="14865FC8"/>
    <w:rsid w:val="150C2DB0"/>
    <w:rsid w:val="18252F5E"/>
    <w:rsid w:val="192152D2"/>
    <w:rsid w:val="1A7D29EA"/>
    <w:rsid w:val="1C31399F"/>
    <w:rsid w:val="1D5368B8"/>
    <w:rsid w:val="1D994BCF"/>
    <w:rsid w:val="1E761F05"/>
    <w:rsid w:val="1F7BE1E6"/>
    <w:rsid w:val="1FC7205C"/>
    <w:rsid w:val="22581EF9"/>
    <w:rsid w:val="228B3D05"/>
    <w:rsid w:val="244735D0"/>
    <w:rsid w:val="27EE1E60"/>
    <w:rsid w:val="284E74F8"/>
    <w:rsid w:val="299951CC"/>
    <w:rsid w:val="2A497822"/>
    <w:rsid w:val="2ADB48E8"/>
    <w:rsid w:val="2DE0074B"/>
    <w:rsid w:val="357D4824"/>
    <w:rsid w:val="36687282"/>
    <w:rsid w:val="367793B2"/>
    <w:rsid w:val="36935731"/>
    <w:rsid w:val="3794FC37"/>
    <w:rsid w:val="38EF7AD8"/>
    <w:rsid w:val="3D743CDB"/>
    <w:rsid w:val="3E1672E6"/>
    <w:rsid w:val="3EB9C2BB"/>
    <w:rsid w:val="3FEF6A07"/>
    <w:rsid w:val="415F08D8"/>
    <w:rsid w:val="44E2230F"/>
    <w:rsid w:val="455E01CE"/>
    <w:rsid w:val="48B51347"/>
    <w:rsid w:val="491B45FA"/>
    <w:rsid w:val="4A55216A"/>
    <w:rsid w:val="4CA72171"/>
    <w:rsid w:val="4E6525CD"/>
    <w:rsid w:val="4FE0696A"/>
    <w:rsid w:val="50E427C9"/>
    <w:rsid w:val="52F51DD1"/>
    <w:rsid w:val="52F97541"/>
    <w:rsid w:val="546F8569"/>
    <w:rsid w:val="55673508"/>
    <w:rsid w:val="573A2F67"/>
    <w:rsid w:val="58226339"/>
    <w:rsid w:val="59595A6F"/>
    <w:rsid w:val="597350B8"/>
    <w:rsid w:val="599330CA"/>
    <w:rsid w:val="5A7FCB1F"/>
    <w:rsid w:val="5FEAF7C9"/>
    <w:rsid w:val="60D5009F"/>
    <w:rsid w:val="64AC2E11"/>
    <w:rsid w:val="65DF0246"/>
    <w:rsid w:val="660721C9"/>
    <w:rsid w:val="661E6C75"/>
    <w:rsid w:val="6686712D"/>
    <w:rsid w:val="67F75FF5"/>
    <w:rsid w:val="681D4831"/>
    <w:rsid w:val="692E4B19"/>
    <w:rsid w:val="69513EF7"/>
    <w:rsid w:val="6BA613FE"/>
    <w:rsid w:val="6BF3256F"/>
    <w:rsid w:val="6C965FB3"/>
    <w:rsid w:val="6CE7018A"/>
    <w:rsid w:val="6E3E3F2D"/>
    <w:rsid w:val="715B2F02"/>
    <w:rsid w:val="74A073BE"/>
    <w:rsid w:val="76A548F2"/>
    <w:rsid w:val="7765772E"/>
    <w:rsid w:val="776F5E62"/>
    <w:rsid w:val="77867685"/>
    <w:rsid w:val="77EE7FE7"/>
    <w:rsid w:val="77EF747B"/>
    <w:rsid w:val="781F36B6"/>
    <w:rsid w:val="782E67F1"/>
    <w:rsid w:val="790627AD"/>
    <w:rsid w:val="79DFF8C4"/>
    <w:rsid w:val="7ADC59FA"/>
    <w:rsid w:val="7AFF2FC3"/>
    <w:rsid w:val="7BD57CCF"/>
    <w:rsid w:val="7BF6B4C5"/>
    <w:rsid w:val="7DDD794F"/>
    <w:rsid w:val="7DFA6624"/>
    <w:rsid w:val="7DFD8AD7"/>
    <w:rsid w:val="7DFEFB95"/>
    <w:rsid w:val="7ECD6B9A"/>
    <w:rsid w:val="7F5D4A11"/>
    <w:rsid w:val="7FBA576D"/>
    <w:rsid w:val="7FDE47D5"/>
    <w:rsid w:val="7FFD003D"/>
    <w:rsid w:val="94BFC172"/>
    <w:rsid w:val="9BFA614C"/>
    <w:rsid w:val="BAFE1E17"/>
    <w:rsid w:val="BBDF5B5A"/>
    <w:rsid w:val="BBE428C2"/>
    <w:rsid w:val="BFBF52D7"/>
    <w:rsid w:val="DF6E82F1"/>
    <w:rsid w:val="DFCEE0CE"/>
    <w:rsid w:val="DFFF7077"/>
    <w:rsid w:val="EEBF76D9"/>
    <w:rsid w:val="F36EF6AC"/>
    <w:rsid w:val="F6FDCC0E"/>
    <w:rsid w:val="F767D450"/>
    <w:rsid w:val="F76FB1DB"/>
    <w:rsid w:val="F7FBEBBF"/>
    <w:rsid w:val="F9F3FBF0"/>
    <w:rsid w:val="FB9F8FA2"/>
    <w:rsid w:val="FDB5389F"/>
    <w:rsid w:val="FFAFB80B"/>
    <w:rsid w:val="FFF9F8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unhideWhenUsed/>
    <w:qFormat/>
    <w:uiPriority w:val="99"/>
    <w:pPr>
      <w:snapToGrid w:val="0"/>
      <w:jc w:val="left"/>
    </w:pPr>
    <w:rPr>
      <w:sz w:val="18"/>
      <w:szCs w:val="18"/>
    </w:rPr>
  </w:style>
  <w:style w:type="paragraph" w:styleId="6">
    <w:name w:val="table of figures"/>
    <w:basedOn w:val="1"/>
    <w:next w:val="1"/>
    <w:qFormat/>
    <w:uiPriority w:val="0"/>
    <w:pPr>
      <w:ind w:leftChars="200" w:hanging="200" w:hanging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FollowedHyperlink"/>
    <w:basedOn w:val="9"/>
    <w:qFormat/>
    <w:uiPriority w:val="0"/>
    <w:rPr>
      <w:color w:val="333333"/>
      <w:u w:val="none"/>
    </w:rPr>
  </w:style>
  <w:style w:type="character" w:styleId="11">
    <w:name w:val="Hyperlink"/>
    <w:basedOn w:val="9"/>
    <w:qFormat/>
    <w:uiPriority w:val="0"/>
    <w:rPr>
      <w:color w:val="333333"/>
      <w:u w:val="none"/>
    </w:rPr>
  </w:style>
  <w:style w:type="character" w:customStyle="1" w:styleId="12">
    <w:name w:val="页脚 Char"/>
    <w:basedOn w:val="9"/>
    <w:link w:val="3"/>
    <w:qFormat/>
    <w:uiPriority w:val="99"/>
    <w:rPr>
      <w:rFonts w:eastAsia="仿宋_GB2312"/>
      <w:kern w:val="2"/>
      <w:sz w:val="18"/>
      <w:szCs w:val="18"/>
    </w:rPr>
  </w:style>
  <w:style w:type="character" w:customStyle="1" w:styleId="13">
    <w:name w:val="页眉 Char"/>
    <w:basedOn w:val="9"/>
    <w:link w:val="4"/>
    <w:qFormat/>
    <w:uiPriority w:val="0"/>
    <w:rPr>
      <w:rFonts w:eastAsia="仿宋_GB2312"/>
      <w:kern w:val="2"/>
      <w:sz w:val="18"/>
      <w:szCs w:val="18"/>
    </w:rPr>
  </w:style>
  <w:style w:type="character" w:customStyle="1" w:styleId="14">
    <w:name w:val="批注框文本 Char"/>
    <w:basedOn w:val="9"/>
    <w:link w:val="2"/>
    <w:qFormat/>
    <w:uiPriority w:val="0"/>
    <w:rPr>
      <w:rFonts w:eastAsia="仿宋_GB2312"/>
      <w:kern w:val="2"/>
      <w:sz w:val="18"/>
      <w:szCs w:val="18"/>
    </w:rPr>
  </w:style>
  <w:style w:type="character" w:customStyle="1" w:styleId="15">
    <w:name w:val="cur"/>
    <w:basedOn w:val="9"/>
    <w:qFormat/>
    <w:uiPriority w:val="0"/>
    <w:rPr>
      <w:shd w:val="clear" w:fill="3678D8"/>
    </w:rPr>
  </w:style>
  <w:style w:type="character" w:customStyle="1" w:styleId="16">
    <w:name w:val="cur1"/>
    <w:basedOn w:val="9"/>
    <w:qFormat/>
    <w:uiPriority w:val="0"/>
    <w:rPr>
      <w:color w:val="3678D8"/>
    </w:rPr>
  </w:style>
  <w:style w:type="character" w:customStyle="1" w:styleId="17">
    <w:name w:val="ban-dy"/>
    <w:basedOn w:val="9"/>
    <w:qFormat/>
    <w:uiPriority w:val="0"/>
    <w:rPr>
      <w:sz w:val="27"/>
      <w:szCs w:val="27"/>
    </w:rPr>
  </w:style>
  <w:style w:type="character" w:customStyle="1" w:styleId="18">
    <w:name w:val="hover12"/>
    <w:basedOn w:val="9"/>
    <w:qFormat/>
    <w:uiPriority w:val="0"/>
    <w:rPr>
      <w:shd w:val="clear" w:fill="0055AA"/>
    </w:rPr>
  </w:style>
  <w:style w:type="character" w:customStyle="1" w:styleId="19">
    <w:name w:val="hover13"/>
    <w:basedOn w:val="9"/>
    <w:qFormat/>
    <w:uiPriority w:val="0"/>
    <w:rPr>
      <w:color w:val="2775CC"/>
    </w:rPr>
  </w:style>
  <w:style w:type="character" w:customStyle="1" w:styleId="20">
    <w:name w:val="hover11"/>
    <w:basedOn w:val="9"/>
    <w:qFormat/>
    <w:uiPriority w:val="0"/>
    <w:rPr>
      <w:shd w:val="clear" w:fill="0055AA"/>
    </w:rPr>
  </w:style>
  <w:style w:type="character" w:customStyle="1" w:styleId="21">
    <w:name w:val="hover"/>
    <w:basedOn w:val="9"/>
    <w:qFormat/>
    <w:uiPriority w:val="0"/>
    <w:rPr>
      <w:shd w:val="clear" w:fill="0055AA"/>
    </w:rPr>
  </w:style>
  <w:style w:type="character" w:customStyle="1" w:styleId="22">
    <w:name w:val="hover1"/>
    <w:basedOn w:val="9"/>
    <w:qFormat/>
    <w:uiPriority w:val="0"/>
    <w:rPr>
      <w:color w:val="2775CC"/>
    </w:rPr>
  </w:style>
  <w:style w:type="character" w:customStyle="1" w:styleId="23">
    <w:name w:val="cur5"/>
    <w:basedOn w:val="9"/>
    <w:qFormat/>
    <w:uiPriority w:val="0"/>
    <w:rPr>
      <w:shd w:val="clear" w:fill="3678D8"/>
    </w:rPr>
  </w:style>
  <w:style w:type="character" w:customStyle="1" w:styleId="24">
    <w:name w:val="cur6"/>
    <w:basedOn w:val="9"/>
    <w:qFormat/>
    <w:uiPriority w:val="0"/>
    <w:rPr>
      <w:color w:val="3678D8"/>
    </w:rPr>
  </w:style>
  <w:style w:type="character" w:customStyle="1" w:styleId="25">
    <w:name w:val="cur4"/>
    <w:basedOn w:val="9"/>
    <w:qFormat/>
    <w:uiPriority w:val="0"/>
    <w:rPr>
      <w:shd w:val="clear" w:fill="3678D8"/>
    </w:rPr>
  </w:style>
  <w:style w:type="character" w:customStyle="1" w:styleId="26">
    <w:name w:val="cur2"/>
    <w:basedOn w:val="9"/>
    <w:qFormat/>
    <w:uiPriority w:val="0"/>
    <w:rPr>
      <w:shd w:val="clear" w:fill="3678D8"/>
    </w:rPr>
  </w:style>
  <w:style w:type="character" w:customStyle="1" w:styleId="27">
    <w:name w:val="hover9"/>
    <w:basedOn w:val="9"/>
    <w:qFormat/>
    <w:uiPriority w:val="0"/>
    <w:rPr>
      <w:shd w:val="clear" w:fill="0055AA"/>
    </w:rPr>
  </w:style>
  <w:style w:type="character" w:customStyle="1" w:styleId="28">
    <w:name w:val="hover10"/>
    <w:basedOn w:val="9"/>
    <w:qFormat/>
    <w:uiPriority w:val="0"/>
    <w:rPr>
      <w:color w:val="2775CC"/>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1450</Words>
  <Characters>1521</Characters>
  <Lines>3</Lines>
  <Paragraphs>1</Paragraphs>
  <TotalTime>4</TotalTime>
  <ScaleCrop>false</ScaleCrop>
  <LinksUpToDate>false</LinksUpToDate>
  <CharactersWithSpaces>1521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2019-02-17T14:26:00Z</dcterms:created>
  <dc:creator>lhn</dc:creator>
  <cp:lastModifiedBy>user</cp:lastModifiedBy>
  <cp:lastPrinted>2023-02-25T01:51:00Z</cp:lastPrinted>
  <dcterms:modified xsi:type="dcterms:W3CDTF">2026-05-13T10:32:22Z</dcterms:modified>
  <dc:title>财政支出绩效评价报告</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EB4B0F0D19134313BD0998EDE77E9B23</vt:lpwstr>
  </property>
  <property fmtid="{D5CDD505-2E9C-101B-9397-08002B2CF9AE}" pid="4" name="KSOTemplateDocerSaveRecord">
    <vt:lpwstr>eyJoZGlkIjoiOWRmZWM5YmIyMTg3NDRmZDU4M2I5ZjcxMTU2Zjg4NWIiLCJ1c2VySWQiOiIxNTU4MTg2OTc5In0=</vt:lpwstr>
  </property>
</Properties>
</file>