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EC02">
      <w:pPr>
        <w:jc w:val="left"/>
        <w:rPr>
          <w:sz w:val="28"/>
          <w:szCs w:val="28"/>
        </w:rPr>
      </w:pPr>
      <w:r>
        <w:rPr>
          <w:rFonts w:hint="eastAsia" w:ascii="方正小标宋简体" w:eastAsia="方正小标宋简体"/>
          <w:sz w:val="32"/>
          <w:szCs w:val="44"/>
        </w:rPr>
        <w:t>附件</w:t>
      </w:r>
      <w:r>
        <w:rPr>
          <w:rFonts w:ascii="方正小标宋简体" w:eastAsia="方正小标宋简体"/>
          <w:sz w:val="32"/>
          <w:szCs w:val="44"/>
        </w:rPr>
        <w:t>:</w:t>
      </w:r>
    </w:p>
    <w:p w14:paraId="721B9B69">
      <w:pPr>
        <w:jc w:val="center"/>
        <w:rPr>
          <w:rFonts w:ascii="方正小标宋简体" w:eastAsia="方正小标宋简体"/>
          <w:sz w:val="44"/>
          <w:szCs w:val="44"/>
        </w:rPr>
      </w:pPr>
      <w:r>
        <w:rPr>
          <w:rFonts w:hint="eastAsia" w:ascii="方正小标宋简体" w:eastAsia="方正小标宋简体"/>
          <w:sz w:val="44"/>
          <w:szCs w:val="44"/>
        </w:rPr>
        <w:t>茂县征收农用地区片综合地价修订成果</w:t>
      </w:r>
    </w:p>
    <w:p w14:paraId="7A6E5E8C">
      <w:pPr>
        <w:widowControl/>
        <w:spacing w:before="156" w:beforeLines="50" w:after="156" w:afterLines="50"/>
        <w:outlineLvl w:val="0"/>
        <w:rPr>
          <w:rFonts w:ascii="仿宋_GB2312" w:eastAsia="仿宋_GB2312"/>
          <w:b/>
          <w:sz w:val="32"/>
          <w:szCs w:val="32"/>
        </w:rPr>
      </w:pPr>
      <w:r>
        <w:rPr>
          <w:rFonts w:hint="eastAsia" w:ascii="仿宋_GB2312" w:eastAsia="仿宋_GB2312"/>
          <w:b/>
          <w:sz w:val="32"/>
          <w:szCs w:val="32"/>
        </w:rPr>
        <w:t>一、测算范围</w:t>
      </w:r>
    </w:p>
    <w:p w14:paraId="5647EC41">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征收农用地区片综合地价修订涉及茂县行政辖区内的所有集体农用地范围，包括耕地、园地、林地、草地4个一级地类以及农村道路、水库水面、坑塘水面、沟渠、设施农用地、田坎6个二级地类。测算范围共计全县11个镇，土地面积389630.5</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公顷。与上轮相比，测算范围无变化。</w:t>
      </w:r>
    </w:p>
    <w:p w14:paraId="73FD0E4A">
      <w:pPr>
        <w:widowControl/>
        <w:spacing w:before="156" w:beforeLines="50" w:after="156" w:afterLines="50"/>
        <w:outlineLvl w:val="0"/>
        <w:rPr>
          <w:rFonts w:ascii="仿宋_GB2312" w:eastAsia="仿宋_GB2312"/>
          <w:b/>
          <w:sz w:val="32"/>
          <w:szCs w:val="32"/>
        </w:rPr>
      </w:pPr>
      <w:bookmarkStart w:id="0" w:name="_Toc34036444"/>
      <w:r>
        <w:rPr>
          <w:rFonts w:hint="eastAsia" w:ascii="仿宋_GB2312" w:eastAsia="仿宋_GB2312"/>
          <w:b/>
          <w:sz w:val="32"/>
          <w:szCs w:val="32"/>
        </w:rPr>
        <w:t>二、基准</w:t>
      </w:r>
      <w:bookmarkEnd w:id="0"/>
      <w:r>
        <w:rPr>
          <w:rFonts w:hint="eastAsia" w:ascii="仿宋_GB2312" w:eastAsia="仿宋_GB2312"/>
          <w:b/>
          <w:sz w:val="32"/>
          <w:szCs w:val="32"/>
        </w:rPr>
        <w:t>日</w:t>
      </w:r>
    </w:p>
    <w:p w14:paraId="4AD8C2DC">
      <w:pPr>
        <w:ind w:firstLine="640" w:firstLineChars="200"/>
        <w:rPr>
          <w:rFonts w:ascii="仿宋_GB2312" w:eastAsia="仿宋_GB2312"/>
          <w:sz w:val="32"/>
          <w:szCs w:val="32"/>
        </w:rPr>
      </w:pPr>
      <w:r>
        <w:rPr>
          <w:rFonts w:hint="eastAsia" w:ascii="Times New Roman" w:hAnsi="Times New Roman" w:eastAsia="仿宋_GB2312" w:cs="Times New Roman"/>
          <w:sz w:val="32"/>
          <w:szCs w:val="32"/>
        </w:rPr>
        <w:t>本次征收农用地区片综合地价对应的基准日为202</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年1月1日，有效期为3年。</w:t>
      </w:r>
    </w:p>
    <w:p w14:paraId="539D3938">
      <w:pPr>
        <w:widowControl/>
        <w:spacing w:before="156" w:beforeLines="50" w:after="156" w:afterLines="50"/>
        <w:outlineLvl w:val="0"/>
        <w:rPr>
          <w:rFonts w:ascii="仿宋_GB2312" w:eastAsia="仿宋_GB2312"/>
          <w:b/>
          <w:sz w:val="32"/>
          <w:szCs w:val="32"/>
        </w:rPr>
      </w:pPr>
      <w:r>
        <w:rPr>
          <w:rFonts w:hint="eastAsia" w:ascii="仿宋_GB2312" w:eastAsia="仿宋_GB2312"/>
          <w:b/>
          <w:sz w:val="32"/>
          <w:szCs w:val="32"/>
        </w:rPr>
        <w:t>三、区片综合地价修订</w:t>
      </w:r>
      <w:r>
        <w:rPr>
          <w:rFonts w:ascii="仿宋_GB2312" w:eastAsia="仿宋_GB2312"/>
          <w:b/>
          <w:sz w:val="32"/>
          <w:szCs w:val="32"/>
        </w:rPr>
        <w:t>结果</w:t>
      </w:r>
    </w:p>
    <w:p w14:paraId="76D00132">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轮征收农用地区片综合地价修订采用多因素综合评价法，将茂县划分为两个区片，分别为位于一区片的凤仪镇、南新镇，位于二区片的叠溪镇、富顺镇、土门镇、洼底镇、沙坝镇、渭门镇、黑虎镇、沟口镇、赤不苏镇。与上轮征地区片比较，区片分布无变化。</w:t>
      </w:r>
    </w:p>
    <w:p w14:paraId="485B52D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征收农用地区片综合地价为茂县征收集体农用地的土地补偿费和安置补助费标准。不包括法律规定用于社会保险缴费补贴的被征地农民社会保障费用、征收农用地涉及的地上附着物和青苗等其他补偿费用。</w:t>
      </w:r>
      <w:r>
        <w:rPr>
          <w:rFonts w:ascii="Times New Roman" w:hAnsi="Times New Roman" w:eastAsia="仿宋_GB2312" w:cs="Times New Roman"/>
          <w:sz w:val="32"/>
          <w:szCs w:val="32"/>
        </w:rPr>
        <w:t>本次征收农用地区片</w:t>
      </w:r>
      <w:r>
        <w:rPr>
          <w:rFonts w:hint="eastAsia" w:ascii="Times New Roman" w:hAnsi="Times New Roman" w:eastAsia="仿宋_GB2312" w:cs="Times New Roman"/>
          <w:sz w:val="32"/>
          <w:szCs w:val="32"/>
        </w:rPr>
        <w:t>综合</w:t>
      </w:r>
      <w:r>
        <w:rPr>
          <w:rFonts w:ascii="Times New Roman" w:hAnsi="Times New Roman" w:eastAsia="仿宋_GB2312" w:cs="Times New Roman"/>
          <w:sz w:val="32"/>
          <w:szCs w:val="32"/>
        </w:rPr>
        <w:t>地价</w:t>
      </w:r>
      <w:r>
        <w:rPr>
          <w:rFonts w:hint="eastAsia" w:ascii="Times New Roman" w:hAnsi="Times New Roman" w:eastAsia="仿宋_GB2312" w:cs="Times New Roman"/>
          <w:sz w:val="32"/>
          <w:szCs w:val="32"/>
        </w:rPr>
        <w:t>修订后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一区片</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元/亩，</w:t>
      </w:r>
      <w:r>
        <w:rPr>
          <w:rFonts w:hint="eastAsia" w:ascii="Times New Roman" w:hAnsi="Times New Roman" w:eastAsia="仿宋_GB2312" w:cs="Times New Roman"/>
          <w:sz w:val="32"/>
          <w:szCs w:val="32"/>
        </w:rPr>
        <w:t>二区片</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元/亩。</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此基础上，本次设置</w:t>
      </w:r>
      <w:r>
        <w:rPr>
          <w:rFonts w:hint="eastAsia" w:ascii="Times New Roman" w:hAnsi="Times New Roman" w:eastAsia="仿宋_GB2312" w:cs="Times New Roman"/>
          <w:sz w:val="32"/>
          <w:szCs w:val="32"/>
        </w:rPr>
        <w:t>耕地</w:t>
      </w:r>
      <w:r>
        <w:rPr>
          <w:rFonts w:ascii="Times New Roman" w:hAnsi="Times New Roman" w:eastAsia="仿宋_GB2312" w:cs="Times New Roman"/>
          <w:sz w:val="32"/>
          <w:szCs w:val="32"/>
        </w:rPr>
        <w:t>调</w:t>
      </w:r>
      <w:r>
        <w:rPr>
          <w:rFonts w:hint="eastAsia" w:ascii="Times New Roman" w:hAnsi="Times New Roman" w:eastAsia="仿宋_GB2312" w:cs="Times New Roman"/>
          <w:sz w:val="32"/>
          <w:szCs w:val="32"/>
        </w:rPr>
        <w:t>节</w:t>
      </w:r>
      <w:r>
        <w:rPr>
          <w:rFonts w:ascii="Times New Roman" w:hAnsi="Times New Roman" w:eastAsia="仿宋_GB2312" w:cs="Times New Roman"/>
          <w:sz w:val="32"/>
          <w:szCs w:val="32"/>
        </w:rPr>
        <w:t>系数为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，园地</w:t>
      </w:r>
      <w:r>
        <w:rPr>
          <w:rFonts w:ascii="Times New Roman" w:hAnsi="Times New Roman" w:eastAsia="仿宋_GB2312" w:cs="Times New Roman"/>
          <w:sz w:val="32"/>
          <w:szCs w:val="32"/>
        </w:rPr>
        <w:t>调</w:t>
      </w:r>
      <w:r>
        <w:rPr>
          <w:rFonts w:hint="eastAsia" w:ascii="Times New Roman" w:hAnsi="Times New Roman" w:eastAsia="仿宋_GB2312" w:cs="Times New Roman"/>
          <w:sz w:val="32"/>
          <w:szCs w:val="32"/>
        </w:rPr>
        <w:t>节</w:t>
      </w:r>
      <w:r>
        <w:rPr>
          <w:rFonts w:ascii="Times New Roman" w:hAnsi="Times New Roman" w:eastAsia="仿宋_GB2312" w:cs="Times New Roman"/>
          <w:sz w:val="32"/>
          <w:szCs w:val="32"/>
        </w:rPr>
        <w:t>系数为</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即</w:t>
      </w:r>
      <w:r>
        <w:rPr>
          <w:rFonts w:hint="eastAsia" w:ascii="Times New Roman" w:hAnsi="Times New Roman" w:eastAsia="仿宋_GB2312" w:cs="Times New Roman"/>
          <w:sz w:val="32"/>
          <w:szCs w:val="32"/>
        </w:rPr>
        <w:t>征收</w:t>
      </w:r>
      <w:r>
        <w:rPr>
          <w:rFonts w:ascii="Times New Roman" w:hAnsi="Times New Roman" w:eastAsia="仿宋_GB2312" w:cs="Times New Roman"/>
          <w:sz w:val="32"/>
          <w:szCs w:val="32"/>
        </w:rPr>
        <w:t>耕地的补偿标准为区片综合地价的</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一区片7</w:t>
      </w:r>
      <w:r>
        <w:rPr>
          <w:rFonts w:ascii="Times New Roman" w:hAnsi="Times New Roman" w:eastAsia="仿宋_GB2312" w:cs="Times New Roman"/>
          <w:sz w:val="32"/>
          <w:szCs w:val="32"/>
        </w:rPr>
        <w:t>98</w:t>
      </w:r>
      <w:r>
        <w:rPr>
          <w:rFonts w:hint="eastAsia" w:ascii="Times New Roman" w:hAnsi="Times New Roman" w:eastAsia="仿宋_GB2312" w:cs="Times New Roman"/>
          <w:sz w:val="32"/>
          <w:szCs w:val="32"/>
        </w:rPr>
        <w:t>00元/亩，二区片</w:t>
      </w:r>
      <w:r>
        <w:rPr>
          <w:rFonts w:ascii="Times New Roman" w:hAnsi="Times New Roman" w:eastAsia="仿宋_GB2312" w:cs="Times New Roman"/>
          <w:sz w:val="32"/>
          <w:szCs w:val="32"/>
        </w:rPr>
        <w:t>6195</w:t>
      </w:r>
      <w:r>
        <w:rPr>
          <w:rFonts w:hint="eastAsia" w:ascii="Times New Roman" w:hAnsi="Times New Roman" w:eastAsia="仿宋_GB2312" w:cs="Times New Roman"/>
          <w:sz w:val="32"/>
          <w:szCs w:val="32"/>
        </w:rPr>
        <w:t>0元/亩，征收园地</w:t>
      </w:r>
      <w:r>
        <w:rPr>
          <w:rFonts w:ascii="Times New Roman" w:hAnsi="Times New Roman" w:eastAsia="仿宋_GB2312" w:cs="Times New Roman"/>
          <w:sz w:val="32"/>
          <w:szCs w:val="32"/>
        </w:rPr>
        <w:t>的补偿标准为区片综合地价的</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一区片7</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00元/亩，二区片</w:t>
      </w:r>
      <w:r>
        <w:rPr>
          <w:rFonts w:ascii="Times New Roman" w:hAnsi="Times New Roman" w:eastAsia="仿宋_GB2312" w:cs="Times New Roman"/>
          <w:sz w:val="32"/>
          <w:szCs w:val="32"/>
        </w:rPr>
        <w:t>5900</w:t>
      </w:r>
      <w:r>
        <w:rPr>
          <w:rFonts w:hint="eastAsia" w:ascii="Times New Roman" w:hAnsi="Times New Roman" w:eastAsia="仿宋_GB2312" w:cs="Times New Roman"/>
          <w:sz w:val="32"/>
          <w:szCs w:val="32"/>
        </w:rPr>
        <w:t>0元/亩。</w:t>
      </w:r>
    </w:p>
    <w:p w14:paraId="4AA3BFB6">
      <w:pPr>
        <w:spacing w:line="360" w:lineRule="auto"/>
        <w:jc w:val="center"/>
        <w:rPr>
          <w:rFonts w:ascii="仿宋_GB2312" w:eastAsia="仿宋_GB2312"/>
          <w:b/>
          <w:sz w:val="28"/>
          <w:szCs w:val="32"/>
        </w:rPr>
      </w:pPr>
      <w:r>
        <w:rPr>
          <w:rFonts w:hint="eastAsia" w:ascii="仿宋_GB2312" w:eastAsia="仿宋_GB2312"/>
          <w:b/>
          <w:sz w:val="28"/>
          <w:szCs w:val="32"/>
        </w:rPr>
        <w:t>茂县征收农用地区片综合地价表</w:t>
      </w:r>
    </w:p>
    <w:tbl>
      <w:tblPr>
        <w:tblStyle w:val="3"/>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3"/>
        <w:gridCol w:w="993"/>
        <w:gridCol w:w="1418"/>
        <w:gridCol w:w="1275"/>
        <w:gridCol w:w="1985"/>
        <w:gridCol w:w="1134"/>
      </w:tblGrid>
      <w:tr w14:paraId="7692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restart"/>
            <w:shd w:val="clear" w:color="auto" w:fill="auto"/>
            <w:noWrap/>
            <w:vAlign w:val="center"/>
          </w:tcPr>
          <w:p w14:paraId="0D225594">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序号</w:t>
            </w:r>
          </w:p>
        </w:tc>
        <w:tc>
          <w:tcPr>
            <w:tcW w:w="1133" w:type="dxa"/>
            <w:vMerge w:val="restart"/>
            <w:vAlign w:val="center"/>
          </w:tcPr>
          <w:p w14:paraId="3478530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区片</w:t>
            </w:r>
          </w:p>
          <w:p w14:paraId="71EC41E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编号</w:t>
            </w:r>
          </w:p>
        </w:tc>
        <w:tc>
          <w:tcPr>
            <w:tcW w:w="993" w:type="dxa"/>
            <w:vMerge w:val="restart"/>
            <w:vAlign w:val="center"/>
          </w:tcPr>
          <w:p w14:paraId="50F2A45E">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区片价</w:t>
            </w:r>
            <w:r>
              <w:rPr>
                <w:rFonts w:ascii="Times New Roman" w:hAnsi="Times New Roman" w:eastAsia="仿宋" w:cs="Times New Roman"/>
                <w:color w:val="000000"/>
                <w:kern w:val="0"/>
                <w:sz w:val="24"/>
                <w:szCs w:val="24"/>
              </w:rPr>
              <w:t>档次</w:t>
            </w:r>
          </w:p>
        </w:tc>
        <w:tc>
          <w:tcPr>
            <w:tcW w:w="1418" w:type="dxa"/>
            <w:vMerge w:val="restart"/>
            <w:vAlign w:val="center"/>
          </w:tcPr>
          <w:p w14:paraId="1138103F">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区片</w:t>
            </w:r>
            <w:r>
              <w:rPr>
                <w:rFonts w:ascii="Times New Roman" w:hAnsi="Times New Roman" w:eastAsia="仿宋" w:cs="Times New Roman"/>
                <w:color w:val="000000"/>
                <w:kern w:val="0"/>
                <w:sz w:val="24"/>
                <w:szCs w:val="24"/>
              </w:rPr>
              <w:t>综合地价（元/亩）</w:t>
            </w:r>
          </w:p>
        </w:tc>
        <w:tc>
          <w:tcPr>
            <w:tcW w:w="3260" w:type="dxa"/>
            <w:gridSpan w:val="2"/>
            <w:shd w:val="clear" w:color="auto" w:fill="auto"/>
            <w:noWrap/>
            <w:vAlign w:val="center"/>
          </w:tcPr>
          <w:p w14:paraId="0FFEF5BD">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区片范围</w:t>
            </w:r>
            <w:r>
              <w:rPr>
                <w:rFonts w:ascii="Times New Roman" w:hAnsi="Times New Roman" w:eastAsia="仿宋" w:cs="Times New Roman"/>
                <w:color w:val="000000"/>
                <w:kern w:val="0"/>
                <w:sz w:val="24"/>
                <w:szCs w:val="24"/>
              </w:rPr>
              <w:t>描述</w:t>
            </w:r>
          </w:p>
        </w:tc>
        <w:tc>
          <w:tcPr>
            <w:tcW w:w="1134" w:type="dxa"/>
            <w:vMerge w:val="restart"/>
            <w:vAlign w:val="center"/>
          </w:tcPr>
          <w:p w14:paraId="4B0E022C">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备注</w:t>
            </w:r>
          </w:p>
        </w:tc>
      </w:tr>
      <w:tr w14:paraId="284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vAlign w:val="center"/>
          </w:tcPr>
          <w:p w14:paraId="5360A6A5">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15AA5385">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053FC504">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6BC822ED">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68F06EA8">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乡镇（街道）名称</w:t>
            </w:r>
          </w:p>
        </w:tc>
        <w:tc>
          <w:tcPr>
            <w:tcW w:w="1985" w:type="dxa"/>
            <w:shd w:val="clear" w:color="auto" w:fill="auto"/>
            <w:vAlign w:val="center"/>
          </w:tcPr>
          <w:p w14:paraId="071FE8C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村（社区）名称</w:t>
            </w:r>
          </w:p>
        </w:tc>
        <w:tc>
          <w:tcPr>
            <w:tcW w:w="1134" w:type="dxa"/>
            <w:vMerge w:val="continue"/>
            <w:vAlign w:val="center"/>
          </w:tcPr>
          <w:p w14:paraId="550F8C4D">
            <w:pPr>
              <w:widowControl/>
              <w:jc w:val="center"/>
              <w:rPr>
                <w:rFonts w:ascii="Times New Roman" w:hAnsi="Times New Roman" w:eastAsia="仿宋" w:cs="Times New Roman"/>
                <w:color w:val="000000"/>
                <w:kern w:val="0"/>
                <w:sz w:val="24"/>
                <w:szCs w:val="24"/>
              </w:rPr>
            </w:pPr>
          </w:p>
        </w:tc>
      </w:tr>
      <w:tr w14:paraId="780C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restart"/>
            <w:shd w:val="clear" w:color="auto" w:fill="auto"/>
            <w:noWrap/>
            <w:vAlign w:val="center"/>
          </w:tcPr>
          <w:p w14:paraId="02D261F8">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1</w:t>
            </w:r>
          </w:p>
        </w:tc>
        <w:tc>
          <w:tcPr>
            <w:tcW w:w="1133" w:type="dxa"/>
            <w:vMerge w:val="restart"/>
            <w:vAlign w:val="center"/>
          </w:tcPr>
          <w:p w14:paraId="03F8779E">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513223202</w:t>
            </w:r>
            <w:r>
              <w:rPr>
                <w:rFonts w:ascii="Times New Roman" w:hAnsi="Times New Roman" w:eastAsia="仿宋" w:cs="Times New Roman"/>
                <w:color w:val="000000"/>
                <w:kern w:val="0"/>
                <w:sz w:val="24"/>
                <w:szCs w:val="24"/>
              </w:rPr>
              <w:t>6</w:t>
            </w:r>
            <w:r>
              <w:rPr>
                <w:rFonts w:hint="eastAsia" w:ascii="Times New Roman" w:hAnsi="Times New Roman" w:eastAsia="仿宋" w:cs="Times New Roman"/>
                <w:color w:val="000000"/>
                <w:kern w:val="0"/>
                <w:sz w:val="24"/>
                <w:szCs w:val="24"/>
              </w:rPr>
              <w:t>0001</w:t>
            </w:r>
          </w:p>
        </w:tc>
        <w:tc>
          <w:tcPr>
            <w:tcW w:w="993" w:type="dxa"/>
            <w:vMerge w:val="restart"/>
            <w:vAlign w:val="center"/>
          </w:tcPr>
          <w:p w14:paraId="57E65595">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Ⅰ</w:t>
            </w:r>
          </w:p>
        </w:tc>
        <w:tc>
          <w:tcPr>
            <w:tcW w:w="1418" w:type="dxa"/>
            <w:vMerge w:val="restart"/>
            <w:vAlign w:val="center"/>
          </w:tcPr>
          <w:p w14:paraId="3C5ACA48">
            <w:pPr>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3</w:t>
            </w:r>
            <w:r>
              <w:rPr>
                <w:rFonts w:ascii="Times New Roman" w:hAnsi="Times New Roman" w:eastAsia="仿宋" w:cs="Times New Roman"/>
                <w:color w:val="000000"/>
                <w:kern w:val="0"/>
                <w:sz w:val="24"/>
                <w:szCs w:val="24"/>
              </w:rPr>
              <w:t>80</w:t>
            </w:r>
            <w:r>
              <w:rPr>
                <w:rFonts w:hint="eastAsia" w:ascii="Times New Roman" w:hAnsi="Times New Roman" w:eastAsia="仿宋" w:cs="Times New Roman"/>
                <w:color w:val="000000"/>
                <w:kern w:val="0"/>
                <w:sz w:val="24"/>
                <w:szCs w:val="24"/>
              </w:rPr>
              <w:t>00</w:t>
            </w:r>
          </w:p>
        </w:tc>
        <w:tc>
          <w:tcPr>
            <w:tcW w:w="1275" w:type="dxa"/>
            <w:shd w:val="clear" w:color="auto" w:fill="auto"/>
            <w:noWrap/>
            <w:vAlign w:val="center"/>
          </w:tcPr>
          <w:p w14:paraId="2F015E52">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凤仪镇</w:t>
            </w:r>
          </w:p>
        </w:tc>
        <w:tc>
          <w:tcPr>
            <w:tcW w:w="1985" w:type="dxa"/>
            <w:shd w:val="clear" w:color="auto" w:fill="auto"/>
            <w:noWrap/>
            <w:vAlign w:val="center"/>
          </w:tcPr>
          <w:p w14:paraId="7165E544">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restart"/>
            <w:vAlign w:val="center"/>
          </w:tcPr>
          <w:p w14:paraId="17694720">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耕地</w:t>
            </w:r>
            <w:r>
              <w:rPr>
                <w:rFonts w:ascii="Times New Roman" w:hAnsi="Times New Roman" w:eastAsia="仿宋" w:cs="Times New Roman"/>
                <w:color w:val="000000"/>
                <w:kern w:val="0"/>
                <w:sz w:val="24"/>
                <w:szCs w:val="24"/>
              </w:rPr>
              <w:t>调</w:t>
            </w:r>
            <w:r>
              <w:rPr>
                <w:rFonts w:hint="eastAsia" w:ascii="Times New Roman" w:hAnsi="Times New Roman" w:eastAsia="仿宋" w:cs="Times New Roman"/>
                <w:color w:val="000000"/>
                <w:kern w:val="0"/>
                <w:sz w:val="24"/>
                <w:szCs w:val="24"/>
              </w:rPr>
              <w:t>节</w:t>
            </w:r>
            <w:r>
              <w:rPr>
                <w:rFonts w:ascii="Times New Roman" w:hAnsi="Times New Roman" w:eastAsia="仿宋" w:cs="Times New Roman"/>
                <w:color w:val="000000"/>
                <w:kern w:val="0"/>
                <w:sz w:val="24"/>
                <w:szCs w:val="24"/>
              </w:rPr>
              <w:t>系数为</w:t>
            </w:r>
            <w:r>
              <w:rPr>
                <w:rFonts w:hint="eastAsia" w:ascii="Times New Roman" w:hAnsi="Times New Roman" w:eastAsia="仿宋" w:cs="Times New Roman"/>
                <w:color w:val="000000"/>
                <w:kern w:val="0"/>
                <w:sz w:val="24"/>
                <w:szCs w:val="24"/>
              </w:rPr>
              <w:t>2</w:t>
            </w:r>
            <w:r>
              <w:rPr>
                <w:rFonts w:ascii="Times New Roman" w:hAnsi="Times New Roman" w:eastAsia="仿宋" w:cs="Times New Roman"/>
                <w:color w:val="000000"/>
                <w:kern w:val="0"/>
                <w:sz w:val="24"/>
                <w:szCs w:val="24"/>
              </w:rPr>
              <w:t>.1</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园地调</w:t>
            </w:r>
            <w:r>
              <w:rPr>
                <w:rFonts w:hint="eastAsia" w:ascii="Times New Roman" w:hAnsi="Times New Roman" w:eastAsia="仿宋" w:cs="Times New Roman"/>
                <w:color w:val="000000"/>
                <w:kern w:val="0"/>
                <w:sz w:val="24"/>
                <w:szCs w:val="24"/>
              </w:rPr>
              <w:t>节</w:t>
            </w:r>
            <w:r>
              <w:rPr>
                <w:rFonts w:ascii="Times New Roman" w:hAnsi="Times New Roman" w:eastAsia="仿宋" w:cs="Times New Roman"/>
                <w:color w:val="000000"/>
                <w:kern w:val="0"/>
                <w:sz w:val="24"/>
                <w:szCs w:val="24"/>
              </w:rPr>
              <w:t>系数为</w:t>
            </w:r>
            <w:r>
              <w:rPr>
                <w:rFonts w:hint="eastAsia" w:ascii="Times New Roman" w:hAnsi="Times New Roman" w:eastAsia="仿宋" w:cs="Times New Roman"/>
                <w:color w:val="000000"/>
                <w:kern w:val="0"/>
                <w:sz w:val="24"/>
                <w:szCs w:val="24"/>
              </w:rPr>
              <w:t>2</w:t>
            </w:r>
            <w:r>
              <w:rPr>
                <w:rFonts w:ascii="Times New Roman" w:hAnsi="Times New Roman" w:eastAsia="仿宋" w:cs="Times New Roman"/>
                <w:color w:val="000000"/>
                <w:kern w:val="0"/>
                <w:sz w:val="24"/>
                <w:szCs w:val="24"/>
              </w:rPr>
              <w:t>.0</w:t>
            </w:r>
          </w:p>
        </w:tc>
      </w:tr>
      <w:tr w14:paraId="6E29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noWrap/>
            <w:vAlign w:val="center"/>
          </w:tcPr>
          <w:p w14:paraId="78893E19">
            <w:pPr>
              <w:jc w:val="center"/>
              <w:rPr>
                <w:rFonts w:ascii="Times New Roman" w:hAnsi="Times New Roman" w:eastAsia="仿宋" w:cs="Times New Roman"/>
                <w:color w:val="000000"/>
                <w:kern w:val="0"/>
                <w:sz w:val="24"/>
                <w:szCs w:val="24"/>
              </w:rPr>
            </w:pPr>
          </w:p>
        </w:tc>
        <w:tc>
          <w:tcPr>
            <w:tcW w:w="1133" w:type="dxa"/>
            <w:vMerge w:val="continue"/>
            <w:vAlign w:val="center"/>
          </w:tcPr>
          <w:p w14:paraId="7F0831A2">
            <w:pPr>
              <w:jc w:val="center"/>
              <w:rPr>
                <w:rFonts w:ascii="Times New Roman" w:hAnsi="Times New Roman" w:eastAsia="仿宋" w:cs="Times New Roman"/>
                <w:color w:val="000000"/>
                <w:kern w:val="0"/>
                <w:sz w:val="24"/>
                <w:szCs w:val="24"/>
              </w:rPr>
            </w:pPr>
          </w:p>
        </w:tc>
        <w:tc>
          <w:tcPr>
            <w:tcW w:w="993" w:type="dxa"/>
            <w:vMerge w:val="continue"/>
            <w:vAlign w:val="center"/>
          </w:tcPr>
          <w:p w14:paraId="3FB8C874">
            <w:pPr>
              <w:jc w:val="center"/>
              <w:rPr>
                <w:rFonts w:ascii="Times New Roman" w:hAnsi="Times New Roman" w:eastAsia="仿宋" w:cs="Times New Roman"/>
                <w:color w:val="000000"/>
                <w:kern w:val="0"/>
                <w:sz w:val="24"/>
                <w:szCs w:val="24"/>
              </w:rPr>
            </w:pPr>
          </w:p>
        </w:tc>
        <w:tc>
          <w:tcPr>
            <w:tcW w:w="1418" w:type="dxa"/>
            <w:vMerge w:val="continue"/>
            <w:vAlign w:val="center"/>
          </w:tcPr>
          <w:p w14:paraId="26C91FD8">
            <w:pPr>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6314A9A0">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南新镇</w:t>
            </w:r>
          </w:p>
        </w:tc>
        <w:tc>
          <w:tcPr>
            <w:tcW w:w="1985" w:type="dxa"/>
            <w:shd w:val="clear" w:color="auto" w:fill="auto"/>
            <w:noWrap/>
            <w:vAlign w:val="center"/>
          </w:tcPr>
          <w:p w14:paraId="4ECB59A9">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0D131709">
            <w:pPr>
              <w:widowControl/>
              <w:jc w:val="center"/>
              <w:rPr>
                <w:rFonts w:ascii="Times New Roman" w:hAnsi="Times New Roman" w:eastAsia="仿宋" w:cs="Times New Roman"/>
                <w:color w:val="000000"/>
                <w:kern w:val="0"/>
                <w:sz w:val="24"/>
                <w:szCs w:val="24"/>
              </w:rPr>
            </w:pPr>
          </w:p>
        </w:tc>
      </w:tr>
      <w:tr w14:paraId="4CC9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restart"/>
            <w:shd w:val="clear" w:color="auto" w:fill="auto"/>
            <w:vAlign w:val="center"/>
          </w:tcPr>
          <w:p w14:paraId="1DB93917">
            <w:pPr>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2</w:t>
            </w:r>
          </w:p>
        </w:tc>
        <w:tc>
          <w:tcPr>
            <w:tcW w:w="1133" w:type="dxa"/>
            <w:vMerge w:val="restart"/>
            <w:vAlign w:val="center"/>
          </w:tcPr>
          <w:p w14:paraId="77618970">
            <w:pPr>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513223202</w:t>
            </w:r>
            <w:r>
              <w:rPr>
                <w:rFonts w:ascii="Times New Roman" w:hAnsi="Times New Roman" w:eastAsia="仿宋" w:cs="Times New Roman"/>
                <w:color w:val="000000"/>
                <w:kern w:val="0"/>
                <w:sz w:val="24"/>
                <w:szCs w:val="24"/>
              </w:rPr>
              <w:t>6</w:t>
            </w:r>
            <w:r>
              <w:rPr>
                <w:rFonts w:hint="eastAsia" w:ascii="Times New Roman" w:hAnsi="Times New Roman" w:eastAsia="仿宋" w:cs="Times New Roman"/>
                <w:color w:val="000000"/>
                <w:kern w:val="0"/>
                <w:sz w:val="24"/>
                <w:szCs w:val="24"/>
              </w:rPr>
              <w:t>000</w:t>
            </w:r>
            <w:r>
              <w:rPr>
                <w:rFonts w:ascii="Times New Roman" w:hAnsi="Times New Roman" w:eastAsia="仿宋" w:cs="Times New Roman"/>
                <w:color w:val="000000"/>
                <w:kern w:val="0"/>
                <w:sz w:val="24"/>
                <w:szCs w:val="24"/>
              </w:rPr>
              <w:t>2</w:t>
            </w:r>
          </w:p>
        </w:tc>
        <w:tc>
          <w:tcPr>
            <w:tcW w:w="993" w:type="dxa"/>
            <w:vMerge w:val="restart"/>
            <w:vAlign w:val="center"/>
          </w:tcPr>
          <w:p w14:paraId="56C21CB8">
            <w:pPr>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Ⅱ</w:t>
            </w:r>
          </w:p>
        </w:tc>
        <w:tc>
          <w:tcPr>
            <w:tcW w:w="1418" w:type="dxa"/>
            <w:vMerge w:val="restart"/>
            <w:vAlign w:val="center"/>
          </w:tcPr>
          <w:p w14:paraId="6B48BB69">
            <w:pPr>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29</w:t>
            </w:r>
            <w:r>
              <w:rPr>
                <w:rFonts w:ascii="Times New Roman" w:hAnsi="Times New Roman" w:eastAsia="仿宋" w:cs="Times New Roman"/>
                <w:color w:val="000000"/>
                <w:kern w:val="0"/>
                <w:sz w:val="24"/>
                <w:szCs w:val="24"/>
              </w:rPr>
              <w:t>5</w:t>
            </w:r>
            <w:r>
              <w:rPr>
                <w:rFonts w:hint="eastAsia" w:ascii="Times New Roman" w:hAnsi="Times New Roman" w:eastAsia="仿宋" w:cs="Times New Roman"/>
                <w:color w:val="000000"/>
                <w:kern w:val="0"/>
                <w:sz w:val="24"/>
                <w:szCs w:val="24"/>
              </w:rPr>
              <w:t>00</w:t>
            </w:r>
          </w:p>
        </w:tc>
        <w:tc>
          <w:tcPr>
            <w:tcW w:w="1275" w:type="dxa"/>
            <w:shd w:val="clear" w:color="auto" w:fill="auto"/>
            <w:noWrap/>
            <w:vAlign w:val="center"/>
          </w:tcPr>
          <w:p w14:paraId="5771E55C">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叠溪镇</w:t>
            </w:r>
          </w:p>
        </w:tc>
        <w:tc>
          <w:tcPr>
            <w:tcW w:w="1985" w:type="dxa"/>
            <w:shd w:val="clear" w:color="auto" w:fill="auto"/>
            <w:noWrap/>
            <w:vAlign w:val="center"/>
          </w:tcPr>
          <w:p w14:paraId="79D93EED">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72F6C7FB">
            <w:pPr>
              <w:widowControl/>
              <w:jc w:val="center"/>
              <w:rPr>
                <w:rFonts w:ascii="Times New Roman" w:hAnsi="Times New Roman" w:eastAsia="仿宋" w:cs="Times New Roman"/>
                <w:color w:val="000000"/>
                <w:kern w:val="0"/>
                <w:sz w:val="24"/>
                <w:szCs w:val="24"/>
              </w:rPr>
            </w:pPr>
          </w:p>
        </w:tc>
      </w:tr>
      <w:tr w14:paraId="304B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vAlign w:val="center"/>
          </w:tcPr>
          <w:p w14:paraId="3C01B7BC">
            <w:pPr>
              <w:jc w:val="center"/>
              <w:rPr>
                <w:rFonts w:ascii="Times New Roman" w:hAnsi="Times New Roman" w:eastAsia="仿宋" w:cs="Times New Roman"/>
                <w:color w:val="000000"/>
                <w:kern w:val="0"/>
                <w:sz w:val="24"/>
                <w:szCs w:val="24"/>
              </w:rPr>
            </w:pPr>
          </w:p>
        </w:tc>
        <w:tc>
          <w:tcPr>
            <w:tcW w:w="1133" w:type="dxa"/>
            <w:vMerge w:val="continue"/>
            <w:vAlign w:val="center"/>
          </w:tcPr>
          <w:p w14:paraId="0DC547B2">
            <w:pPr>
              <w:jc w:val="center"/>
              <w:rPr>
                <w:rFonts w:ascii="Times New Roman" w:hAnsi="Times New Roman" w:eastAsia="仿宋" w:cs="Times New Roman"/>
                <w:color w:val="000000"/>
                <w:kern w:val="0"/>
                <w:sz w:val="24"/>
                <w:szCs w:val="24"/>
              </w:rPr>
            </w:pPr>
          </w:p>
        </w:tc>
        <w:tc>
          <w:tcPr>
            <w:tcW w:w="993" w:type="dxa"/>
            <w:vMerge w:val="continue"/>
            <w:vAlign w:val="center"/>
          </w:tcPr>
          <w:p w14:paraId="17A2D533">
            <w:pPr>
              <w:jc w:val="center"/>
              <w:rPr>
                <w:rFonts w:ascii="Times New Roman" w:hAnsi="Times New Roman" w:eastAsia="仿宋" w:cs="Times New Roman"/>
                <w:color w:val="000000"/>
                <w:kern w:val="0"/>
                <w:sz w:val="24"/>
                <w:szCs w:val="24"/>
              </w:rPr>
            </w:pPr>
          </w:p>
        </w:tc>
        <w:tc>
          <w:tcPr>
            <w:tcW w:w="1418" w:type="dxa"/>
            <w:vMerge w:val="continue"/>
            <w:vAlign w:val="center"/>
          </w:tcPr>
          <w:p w14:paraId="0AB2A116">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26CBCFE2">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富顺镇</w:t>
            </w:r>
          </w:p>
        </w:tc>
        <w:tc>
          <w:tcPr>
            <w:tcW w:w="1985" w:type="dxa"/>
            <w:shd w:val="clear" w:color="auto" w:fill="auto"/>
            <w:noWrap/>
            <w:vAlign w:val="center"/>
          </w:tcPr>
          <w:p w14:paraId="542AE4D3">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336C4D8A">
            <w:pPr>
              <w:widowControl/>
              <w:jc w:val="center"/>
              <w:rPr>
                <w:rFonts w:ascii="Times New Roman" w:hAnsi="Times New Roman" w:eastAsia="仿宋" w:cs="Times New Roman"/>
                <w:color w:val="000000"/>
                <w:kern w:val="0"/>
                <w:sz w:val="24"/>
                <w:szCs w:val="24"/>
              </w:rPr>
            </w:pPr>
          </w:p>
        </w:tc>
      </w:tr>
      <w:tr w14:paraId="38ED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vAlign w:val="center"/>
          </w:tcPr>
          <w:p w14:paraId="18497114">
            <w:pPr>
              <w:jc w:val="center"/>
              <w:rPr>
                <w:rFonts w:ascii="Times New Roman" w:hAnsi="Times New Roman" w:eastAsia="仿宋" w:cs="Times New Roman"/>
                <w:color w:val="000000"/>
                <w:kern w:val="0"/>
                <w:sz w:val="24"/>
                <w:szCs w:val="24"/>
              </w:rPr>
            </w:pPr>
          </w:p>
        </w:tc>
        <w:tc>
          <w:tcPr>
            <w:tcW w:w="1133" w:type="dxa"/>
            <w:vMerge w:val="continue"/>
            <w:vAlign w:val="center"/>
          </w:tcPr>
          <w:p w14:paraId="38CB154C">
            <w:pPr>
              <w:jc w:val="center"/>
              <w:rPr>
                <w:rFonts w:ascii="Times New Roman" w:hAnsi="Times New Roman" w:eastAsia="仿宋" w:cs="Times New Roman"/>
                <w:color w:val="000000"/>
                <w:kern w:val="0"/>
                <w:sz w:val="24"/>
                <w:szCs w:val="24"/>
              </w:rPr>
            </w:pPr>
          </w:p>
        </w:tc>
        <w:tc>
          <w:tcPr>
            <w:tcW w:w="993" w:type="dxa"/>
            <w:vMerge w:val="continue"/>
            <w:vAlign w:val="center"/>
          </w:tcPr>
          <w:p w14:paraId="758F05FD">
            <w:pPr>
              <w:jc w:val="center"/>
              <w:rPr>
                <w:rFonts w:ascii="Times New Roman" w:hAnsi="Times New Roman" w:eastAsia="仿宋" w:cs="Times New Roman"/>
                <w:color w:val="000000"/>
                <w:kern w:val="0"/>
                <w:sz w:val="24"/>
                <w:szCs w:val="24"/>
              </w:rPr>
            </w:pPr>
          </w:p>
        </w:tc>
        <w:tc>
          <w:tcPr>
            <w:tcW w:w="1418" w:type="dxa"/>
            <w:vMerge w:val="continue"/>
            <w:vAlign w:val="center"/>
          </w:tcPr>
          <w:p w14:paraId="1BB46C08">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340565E7">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土门镇</w:t>
            </w:r>
          </w:p>
        </w:tc>
        <w:tc>
          <w:tcPr>
            <w:tcW w:w="1985" w:type="dxa"/>
            <w:shd w:val="clear" w:color="auto" w:fill="auto"/>
            <w:noWrap/>
            <w:vAlign w:val="center"/>
          </w:tcPr>
          <w:p w14:paraId="4B37810A">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1B0FA788">
            <w:pPr>
              <w:widowControl/>
              <w:jc w:val="center"/>
              <w:rPr>
                <w:rFonts w:ascii="Times New Roman" w:hAnsi="Times New Roman" w:eastAsia="仿宋" w:cs="Times New Roman"/>
                <w:color w:val="000000"/>
                <w:kern w:val="0"/>
                <w:sz w:val="24"/>
                <w:szCs w:val="24"/>
              </w:rPr>
            </w:pPr>
          </w:p>
        </w:tc>
      </w:tr>
      <w:tr w14:paraId="799B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noWrap/>
            <w:vAlign w:val="center"/>
          </w:tcPr>
          <w:p w14:paraId="1C7C9EE6">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0FAB1E99">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641A1EE2">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3C453CDF">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78D25D37">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洼底镇</w:t>
            </w:r>
          </w:p>
        </w:tc>
        <w:tc>
          <w:tcPr>
            <w:tcW w:w="1985" w:type="dxa"/>
            <w:shd w:val="clear" w:color="auto" w:fill="auto"/>
            <w:noWrap/>
            <w:vAlign w:val="center"/>
          </w:tcPr>
          <w:p w14:paraId="674600EA">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273604AE">
            <w:pPr>
              <w:widowControl/>
              <w:jc w:val="center"/>
              <w:rPr>
                <w:rFonts w:ascii="Times New Roman" w:hAnsi="Times New Roman" w:eastAsia="仿宋" w:cs="Times New Roman"/>
                <w:color w:val="000000"/>
                <w:kern w:val="0"/>
                <w:sz w:val="24"/>
                <w:szCs w:val="24"/>
              </w:rPr>
            </w:pPr>
          </w:p>
        </w:tc>
      </w:tr>
      <w:tr w14:paraId="0D1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noWrap/>
            <w:vAlign w:val="center"/>
          </w:tcPr>
          <w:p w14:paraId="5D0D6BEA">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79DA0539">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4B1A8E2B">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2237AD46">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7463E29E">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沙坝镇</w:t>
            </w:r>
          </w:p>
        </w:tc>
        <w:tc>
          <w:tcPr>
            <w:tcW w:w="1985" w:type="dxa"/>
            <w:shd w:val="clear" w:color="auto" w:fill="auto"/>
            <w:noWrap/>
            <w:vAlign w:val="center"/>
          </w:tcPr>
          <w:p w14:paraId="52FB716A">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5972CB86">
            <w:pPr>
              <w:widowControl/>
              <w:jc w:val="center"/>
              <w:rPr>
                <w:rFonts w:ascii="Times New Roman" w:hAnsi="Times New Roman" w:eastAsia="仿宋" w:cs="Times New Roman"/>
                <w:color w:val="000000"/>
                <w:kern w:val="0"/>
                <w:sz w:val="24"/>
                <w:szCs w:val="24"/>
              </w:rPr>
            </w:pPr>
          </w:p>
        </w:tc>
      </w:tr>
      <w:tr w14:paraId="3597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vAlign w:val="center"/>
          </w:tcPr>
          <w:p w14:paraId="55F483FA">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4315D9BA">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3AF6B979">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08DF4A07">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1277DB7B">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渭门镇</w:t>
            </w:r>
          </w:p>
        </w:tc>
        <w:tc>
          <w:tcPr>
            <w:tcW w:w="1985" w:type="dxa"/>
            <w:shd w:val="clear" w:color="auto" w:fill="auto"/>
            <w:noWrap/>
            <w:vAlign w:val="center"/>
          </w:tcPr>
          <w:p w14:paraId="4E69D10D">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55B4F9F4">
            <w:pPr>
              <w:widowControl/>
              <w:jc w:val="center"/>
              <w:rPr>
                <w:rFonts w:ascii="Times New Roman" w:hAnsi="Times New Roman" w:eastAsia="仿宋" w:cs="Times New Roman"/>
                <w:color w:val="000000"/>
                <w:kern w:val="0"/>
                <w:sz w:val="24"/>
                <w:szCs w:val="24"/>
              </w:rPr>
            </w:pPr>
          </w:p>
        </w:tc>
      </w:tr>
      <w:tr w14:paraId="6360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vAlign w:val="center"/>
          </w:tcPr>
          <w:p w14:paraId="133D608B">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586A4760">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5BCF1373">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5D24C631">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196E6DCC">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黑虎镇</w:t>
            </w:r>
          </w:p>
        </w:tc>
        <w:tc>
          <w:tcPr>
            <w:tcW w:w="1985" w:type="dxa"/>
            <w:shd w:val="clear" w:color="auto" w:fill="auto"/>
            <w:noWrap/>
            <w:vAlign w:val="center"/>
          </w:tcPr>
          <w:p w14:paraId="5D7EA07C">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0F01F2A6">
            <w:pPr>
              <w:widowControl/>
              <w:jc w:val="center"/>
              <w:rPr>
                <w:rFonts w:ascii="Times New Roman" w:hAnsi="Times New Roman" w:eastAsia="仿宋" w:cs="Times New Roman"/>
                <w:color w:val="000000"/>
                <w:kern w:val="0"/>
                <w:sz w:val="24"/>
                <w:szCs w:val="24"/>
              </w:rPr>
            </w:pPr>
          </w:p>
        </w:tc>
      </w:tr>
      <w:tr w14:paraId="0178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vAlign w:val="center"/>
          </w:tcPr>
          <w:p w14:paraId="0740FA4A">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06B17E56">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1AE3D4ED">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4AD7D3F0">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44FA7BF4">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沟口镇</w:t>
            </w:r>
          </w:p>
        </w:tc>
        <w:tc>
          <w:tcPr>
            <w:tcW w:w="1985" w:type="dxa"/>
            <w:shd w:val="clear" w:color="auto" w:fill="auto"/>
            <w:noWrap/>
            <w:vAlign w:val="center"/>
          </w:tcPr>
          <w:p w14:paraId="770728DC">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626AB591">
            <w:pPr>
              <w:widowControl/>
              <w:jc w:val="center"/>
              <w:rPr>
                <w:rFonts w:ascii="Times New Roman" w:hAnsi="Times New Roman" w:eastAsia="仿宋" w:cs="Times New Roman"/>
                <w:color w:val="000000"/>
                <w:kern w:val="0"/>
                <w:sz w:val="24"/>
                <w:szCs w:val="24"/>
              </w:rPr>
            </w:pPr>
          </w:p>
        </w:tc>
      </w:tr>
      <w:tr w14:paraId="43B5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dxa"/>
            <w:vMerge w:val="continue"/>
            <w:shd w:val="clear" w:color="auto" w:fill="auto"/>
            <w:vAlign w:val="center"/>
          </w:tcPr>
          <w:p w14:paraId="70A81D67">
            <w:pPr>
              <w:widowControl/>
              <w:jc w:val="center"/>
              <w:rPr>
                <w:rFonts w:ascii="Times New Roman" w:hAnsi="Times New Roman" w:eastAsia="仿宋" w:cs="Times New Roman"/>
                <w:color w:val="000000"/>
                <w:kern w:val="0"/>
                <w:sz w:val="24"/>
                <w:szCs w:val="24"/>
              </w:rPr>
            </w:pPr>
          </w:p>
        </w:tc>
        <w:tc>
          <w:tcPr>
            <w:tcW w:w="1133" w:type="dxa"/>
            <w:vMerge w:val="continue"/>
            <w:vAlign w:val="center"/>
          </w:tcPr>
          <w:p w14:paraId="63FB6D9F">
            <w:pPr>
              <w:widowControl/>
              <w:jc w:val="center"/>
              <w:rPr>
                <w:rFonts w:ascii="Times New Roman" w:hAnsi="Times New Roman" w:eastAsia="仿宋" w:cs="Times New Roman"/>
                <w:color w:val="000000"/>
                <w:kern w:val="0"/>
                <w:sz w:val="24"/>
                <w:szCs w:val="24"/>
              </w:rPr>
            </w:pPr>
          </w:p>
        </w:tc>
        <w:tc>
          <w:tcPr>
            <w:tcW w:w="993" w:type="dxa"/>
            <w:vMerge w:val="continue"/>
            <w:vAlign w:val="center"/>
          </w:tcPr>
          <w:p w14:paraId="36A96AE9">
            <w:pPr>
              <w:widowControl/>
              <w:jc w:val="center"/>
              <w:rPr>
                <w:rFonts w:ascii="Times New Roman" w:hAnsi="Times New Roman" w:eastAsia="仿宋" w:cs="Times New Roman"/>
                <w:color w:val="000000"/>
                <w:kern w:val="0"/>
                <w:sz w:val="24"/>
                <w:szCs w:val="24"/>
              </w:rPr>
            </w:pPr>
          </w:p>
        </w:tc>
        <w:tc>
          <w:tcPr>
            <w:tcW w:w="1418" w:type="dxa"/>
            <w:vMerge w:val="continue"/>
            <w:vAlign w:val="center"/>
          </w:tcPr>
          <w:p w14:paraId="523B1A63">
            <w:pPr>
              <w:widowControl/>
              <w:jc w:val="center"/>
              <w:rPr>
                <w:rFonts w:ascii="Times New Roman" w:hAnsi="Times New Roman" w:eastAsia="仿宋" w:cs="Times New Roman"/>
                <w:color w:val="000000"/>
                <w:kern w:val="0"/>
                <w:sz w:val="24"/>
                <w:szCs w:val="24"/>
              </w:rPr>
            </w:pPr>
          </w:p>
        </w:tc>
        <w:tc>
          <w:tcPr>
            <w:tcW w:w="1275" w:type="dxa"/>
            <w:shd w:val="clear" w:color="auto" w:fill="auto"/>
            <w:noWrap/>
            <w:vAlign w:val="center"/>
          </w:tcPr>
          <w:p w14:paraId="28684BC0">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赤不苏镇</w:t>
            </w:r>
          </w:p>
        </w:tc>
        <w:tc>
          <w:tcPr>
            <w:tcW w:w="1985" w:type="dxa"/>
            <w:shd w:val="clear" w:color="auto" w:fill="auto"/>
            <w:noWrap/>
            <w:vAlign w:val="center"/>
          </w:tcPr>
          <w:p w14:paraId="71485047">
            <w:pPr>
              <w:widowControl/>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包含</w:t>
            </w:r>
            <w:r>
              <w:rPr>
                <w:rFonts w:ascii="Times New Roman" w:hAnsi="Times New Roman" w:eastAsia="仿宋" w:cs="Times New Roman"/>
                <w:color w:val="000000"/>
                <w:kern w:val="0"/>
                <w:sz w:val="24"/>
                <w:szCs w:val="24"/>
              </w:rPr>
              <w:t>所辖全部村</w:t>
            </w:r>
          </w:p>
        </w:tc>
        <w:tc>
          <w:tcPr>
            <w:tcW w:w="1134" w:type="dxa"/>
            <w:vMerge w:val="continue"/>
            <w:vAlign w:val="center"/>
          </w:tcPr>
          <w:p w14:paraId="53296A43">
            <w:pPr>
              <w:widowControl/>
              <w:jc w:val="center"/>
              <w:rPr>
                <w:rFonts w:ascii="Times New Roman" w:hAnsi="Times New Roman" w:eastAsia="仿宋" w:cs="Times New Roman"/>
                <w:color w:val="000000"/>
                <w:kern w:val="0"/>
                <w:sz w:val="24"/>
                <w:szCs w:val="24"/>
              </w:rPr>
            </w:pPr>
          </w:p>
        </w:tc>
      </w:tr>
    </w:tbl>
    <w:p w14:paraId="7F7F0E22">
      <w:pPr>
        <w:widowControl/>
        <w:spacing w:before="156" w:beforeLines="50" w:after="156" w:afterLines="50"/>
        <w:outlineLvl w:val="0"/>
        <w:rPr>
          <w:rFonts w:ascii="仿宋_GB2312" w:eastAsia="仿宋_GB2312"/>
          <w:b/>
          <w:sz w:val="32"/>
          <w:szCs w:val="32"/>
        </w:rPr>
      </w:pPr>
      <w:r>
        <w:rPr>
          <w:rFonts w:hint="eastAsia" w:ascii="仿宋_GB2312" w:eastAsia="仿宋_GB2312"/>
          <w:b/>
          <w:sz w:val="32"/>
          <w:szCs w:val="32"/>
        </w:rPr>
        <w:t>四、区片综合地价分配比例</w:t>
      </w:r>
    </w:p>
    <w:p w14:paraId="5F7FFB96">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征地补偿费用主要用于被征地农民的原则，参照近年实际支付的征地补偿费用在农村集体和农民个人之间的分配比例，综合确定本次茂县征收农用地区片综合地价中土地补偿费和安置补助费的比例为4:6，与上轮一致。</w:t>
      </w:r>
    </w:p>
    <w:p w14:paraId="4F776211">
      <w:pPr>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0DF20153">
      <w:pPr>
        <w:widowControl/>
        <w:spacing w:before="156" w:beforeLines="50" w:after="156" w:afterLines="50"/>
        <w:rPr>
          <w:rFonts w:ascii="仿宋_GB2312" w:eastAsia="仿宋_GB2312"/>
          <w:b/>
          <w:sz w:val="32"/>
          <w:szCs w:val="32"/>
        </w:rPr>
      </w:pPr>
      <w:bookmarkStart w:id="1" w:name="_Toc34036455"/>
      <w:r>
        <w:rPr>
          <w:rFonts w:hint="eastAsia" w:ascii="仿宋_GB2312" w:eastAsia="仿宋_GB2312"/>
          <w:b/>
          <w:sz w:val="32"/>
          <w:szCs w:val="32"/>
        </w:rPr>
        <w:t>附图：茂县征收农用地区片综合地价分布图</w:t>
      </w:r>
      <w:bookmarkEnd w:id="1"/>
    </w:p>
    <w:p w14:paraId="6FDA427E">
      <w:pPr>
        <w:widowControl/>
        <w:spacing w:before="156" w:beforeLines="50" w:after="156" w:afterLines="50"/>
        <w:jc w:val="center"/>
        <w:rPr>
          <w:rFonts w:ascii="Times New Roman" w:hAnsi="Times New Roman" w:eastAsia="仿宋_GB2312" w:cs="Times New Roman"/>
          <w:sz w:val="32"/>
          <w:szCs w:val="32"/>
        </w:rPr>
      </w:pPr>
      <w:r>
        <w:drawing>
          <wp:inline distT="0" distB="0" distL="0" distR="0">
            <wp:extent cx="7228205" cy="5111750"/>
            <wp:effectExtent l="0" t="0" r="1079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228560" cy="5112000"/>
                    </a:xfrm>
                    <a:prstGeom prst="rect">
                      <a:avLst/>
                    </a:prstGeom>
                  </pic:spPr>
                </pic:pic>
              </a:graphicData>
            </a:graphic>
          </wp:inline>
        </w:drawing>
      </w:r>
    </w:p>
    <w:p w14:paraId="0EC28086">
      <w:bookmarkStart w:id="2" w:name="_GoBack"/>
      <w:bookmarkEnd w:id="2"/>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24A3B"/>
    <w:rsid w:val="335F0331"/>
    <w:rsid w:val="3A6A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line="480" w:lineRule="atLeast"/>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2022-03-31T07:37:00Z</dcterms:created>
  <dc:creator>Administrator</dc:creator>
  <cp:lastModifiedBy>哒哒哒</cp:lastModifiedBy>
  <dcterms:modified xsi:type="dcterms:W3CDTF">2026-05-21T08:24:24Z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8832E968827D45A7967772E039723C37</vt:lpwstr>
  </property>
  <property fmtid="{D5CDD505-2E9C-101B-9397-08002B2CF9AE}" pid="4" name="KSOTemplateDocerSaveRecord">
    <vt:lpwstr>eyJoZGlkIjoiMWNkOTg2MzhkODZmOTViNGVhYjVkMGFhODA0MGEyNTgiLCJ1c2VySWQiOiIxMTUxOTgyMDMyIn0=</vt:lpwstr>
  </property>
</Properties>
</file>