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4045A"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材料运抵承诺函</w:t>
      </w:r>
    </w:p>
    <w:bookmarkEnd w:id="0"/>
    <w:p w14:paraId="4B221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南庄村村民委员会     </w:t>
      </w:r>
      <w:r>
        <w:rPr>
          <w:rFonts w:hint="eastAsia"/>
          <w:sz w:val="28"/>
          <w:szCs w:val="28"/>
        </w:rPr>
        <w:t>（甲方单位）</w:t>
      </w:r>
    </w:p>
    <w:p w14:paraId="4AF8A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我方作为本项目材料供应单位，现就堡坎、排水沟、产业路、休闲步道等工程材料供应及运输事宜，郑重作出如下承诺：</w:t>
      </w:r>
    </w:p>
    <w:p w14:paraId="7DC63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方所有材料报价均已全额包含材料运输车辆使用费、相关税费等一切费用，甲方无需另行承担任何运输、缴税相关额外支出。我方投入运输车辆规格、运载能力、通行条件均满足项目所在地现场运输路况及施工运输需求，保障材料持续稳定供货。</w:t>
      </w:r>
    </w:p>
    <w:p w14:paraId="56875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项目堡坎、排水沟、产业路、休闲步道等全部施工所需供应材料，我方负责运输送达甲方指定材料堆放点位（堆放点距离村委会2-7公里范围内），完成卸料就位。运输途中产生的转运、路况协调、短途搬运等所有成本与风险，均由我方自行承担。</w:t>
      </w:r>
    </w:p>
    <w:p w14:paraId="3CF8F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我方将严格按照甲方施工进度计划组织运输供货，保障材料及时送达指定堆放区域；如因运输运力不足、配送不到位影响项目施工进度，一切责任及经济损失由我方承担。</w:t>
      </w:r>
    </w:p>
    <w:p w14:paraId="5859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本承诺函作为供货合同/报价文件有效组成部分，具备同等法律效力。</w:t>
      </w:r>
    </w:p>
    <w:p w14:paraId="3B14D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承诺单位（盖章）：</w:t>
      </w:r>
    </w:p>
    <w:p w14:paraId="017C7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法定代表人/授权代表（签字）：</w:t>
      </w:r>
    </w:p>
    <w:p w14:paraId="0EB19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14:paraId="48438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CE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2026-07-31T03:26:21Z</dcterms:created>
  <dc:creator>Administrator</dc:creator>
  <cp:lastModifiedBy>他山玉</cp:lastModifiedBy>
  <dcterms:modified xsi:type="dcterms:W3CDTF">2026-07-31T03:30:47Z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36ADA25E517A4B03B7DBA6C714CC0A26_12</vt:lpwstr>
  </property>
</Properties>
</file>