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30" w:lineRule="exact"/>
        <w:jc w:val="center"/>
        <w:rPr>
          <w:rFonts w:ascii="方正小标宋简体" w:eastAsia="方正小标宋简体"/>
          <w:sz w:val="36"/>
          <w:szCs w:val="36"/>
        </w:rPr>
      </w:pPr>
      <w:bookmarkStart w:id="126" w:name="_GoBack"/>
      <w:bookmarkEnd w:id="126"/>
    </w:p>
    <w:p>
      <w:pPr>
        <w:spacing w:line="630" w:lineRule="exact"/>
        <w:jc w:val="center"/>
        <w:rPr>
          <w:rFonts w:ascii="方正小标宋简体" w:eastAsia="方正小标宋简体"/>
          <w:sz w:val="36"/>
          <w:szCs w:val="36"/>
        </w:rPr>
      </w:pPr>
    </w:p>
    <w:p>
      <w:pPr>
        <w:pStyle w:val="3"/>
        <w:tabs>
          <w:tab w:val="right" w:leader="dot" w:pos="8834"/>
        </w:tabs>
        <w:spacing w:line="600" w:lineRule="exact"/>
        <w:ind w:left="210" w:leftChars="100"/>
        <w:jc w:val="center"/>
        <w:rPr>
          <w:rFonts w:ascii="方正小标宋简体" w:eastAsia="方正小标宋简体"/>
          <w:bCs/>
          <w:sz w:val="44"/>
          <w:szCs w:val="44"/>
        </w:rPr>
      </w:pPr>
      <w:r>
        <w:rPr>
          <w:rFonts w:hint="eastAsia" w:ascii="方正小标宋简体" w:eastAsia="方正小标宋简体"/>
          <w:bCs/>
          <w:sz w:val="44"/>
          <w:szCs w:val="44"/>
        </w:rPr>
        <w:t>茂县突发事件总体应急预案</w:t>
      </w:r>
    </w:p>
    <w:p>
      <w:pPr>
        <w:pStyle w:val="3"/>
        <w:tabs>
          <w:tab w:val="right" w:leader="dot" w:pos="8834"/>
        </w:tabs>
        <w:spacing w:line="600" w:lineRule="exact"/>
        <w:ind w:left="0" w:leftChars="0"/>
        <w:jc w:val="center"/>
        <w:rPr>
          <w:rFonts w:ascii="方正小标宋简体" w:eastAsia="方正小标宋简体"/>
          <w:bCs/>
          <w:sz w:val="40"/>
          <w:szCs w:val="44"/>
        </w:rPr>
      </w:pPr>
    </w:p>
    <w:p>
      <w:pPr>
        <w:pStyle w:val="3"/>
        <w:tabs>
          <w:tab w:val="right" w:leader="dot" w:pos="8834"/>
        </w:tabs>
        <w:spacing w:line="600" w:lineRule="exact"/>
        <w:ind w:left="0" w:leftChars="0"/>
        <w:jc w:val="center"/>
        <w:rPr>
          <w:rFonts w:ascii="方正小标宋简体" w:eastAsia="方正小标宋简体"/>
          <w:bCs/>
          <w:sz w:val="40"/>
          <w:szCs w:val="44"/>
        </w:rPr>
      </w:pPr>
      <w:r>
        <w:rPr>
          <w:rFonts w:hint="eastAsia" w:ascii="方正小标宋简体" w:eastAsia="方正小标宋简体"/>
          <w:bCs/>
          <w:sz w:val="40"/>
          <w:szCs w:val="44"/>
        </w:rPr>
        <w:t>（</w:t>
      </w:r>
      <w:r>
        <w:rPr>
          <w:rFonts w:hint="eastAsia" w:ascii="方正小标宋简体" w:eastAsia="方正小标宋简体"/>
          <w:bCs/>
          <w:sz w:val="40"/>
          <w:szCs w:val="44"/>
          <w:lang w:val="en-US" w:eastAsia="zh-CN"/>
        </w:rPr>
        <w:t>2021年修订</w:t>
      </w:r>
      <w:r>
        <w:rPr>
          <w:rFonts w:hint="eastAsia" w:ascii="方正小标宋简体" w:eastAsia="方正小标宋简体"/>
          <w:bCs/>
          <w:sz w:val="40"/>
          <w:szCs w:val="44"/>
        </w:rPr>
        <w:t>）</w:t>
      </w: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pPr>
    </w:p>
    <w:p>
      <w:pPr>
        <w:spacing w:line="600" w:lineRule="exact"/>
        <w:jc w:val="center"/>
        <w:rPr>
          <w:rFonts w:ascii="方正小标宋简体" w:eastAsia="方正小标宋简体"/>
          <w:sz w:val="32"/>
          <w:szCs w:val="32"/>
        </w:rPr>
      </w:pPr>
    </w:p>
    <w:p>
      <w:pPr>
        <w:spacing w:line="600" w:lineRule="exact"/>
        <w:jc w:val="center"/>
        <w:rPr>
          <w:rFonts w:ascii="方正小标宋简体" w:eastAsia="方正小标宋简体"/>
          <w:sz w:val="32"/>
          <w:szCs w:val="32"/>
        </w:rPr>
      </w:pPr>
      <w:r>
        <w:rPr>
          <w:rFonts w:hint="eastAsia" w:ascii="方正小标宋简体" w:eastAsia="方正小标宋简体"/>
          <w:sz w:val="32"/>
          <w:szCs w:val="32"/>
        </w:rPr>
        <w:t>二〇二一年</w:t>
      </w:r>
      <w:r>
        <w:rPr>
          <w:rFonts w:hint="eastAsia" w:ascii="方正小标宋简体" w:eastAsia="方正小标宋简体"/>
          <w:sz w:val="32"/>
          <w:szCs w:val="32"/>
          <w:lang w:val="en-US" w:eastAsia="zh-CN"/>
        </w:rPr>
        <w:t>九</w:t>
      </w:r>
      <w:r>
        <w:rPr>
          <w:rFonts w:ascii="方正小标宋简体" w:eastAsia="方正小标宋简体"/>
          <w:sz w:val="32"/>
          <w:szCs w:val="32"/>
        </w:rPr>
        <w:t>月</w:t>
      </w:r>
    </w:p>
    <w:p/>
    <w:p>
      <w:pPr>
        <w:sectPr>
          <w:pgSz w:w="11906" w:h="16838"/>
          <w:pgMar w:top="2098" w:right="1474" w:bottom="1985" w:left="1588" w:header="284" w:footer="1418" w:gutter="0"/>
          <w:docGrid w:type="lines" w:linePitch="582" w:charSpace="-886"/>
        </w:sectPr>
      </w:pPr>
    </w:p>
    <w:p>
      <w:pPr>
        <w:pStyle w:val="20"/>
        <w:adjustRightInd w:val="0"/>
        <w:snapToGrid w:val="0"/>
        <w:spacing w:line="360" w:lineRule="auto"/>
        <w:ind w:firstLine="0" w:firstLineChars="0"/>
        <w:jc w:val="center"/>
        <w:rPr>
          <w:rFonts w:ascii="仿宋_GB2312"/>
          <w:szCs w:val="32"/>
        </w:rPr>
      </w:pPr>
      <w:r>
        <w:rPr>
          <w:rFonts w:hint="eastAsia" w:ascii="黑体" w:eastAsia="黑体"/>
          <w:bCs/>
          <w:szCs w:val="32"/>
        </w:rPr>
        <w:t>目  录</w:t>
      </w:r>
      <w:r>
        <w:rPr>
          <w:rFonts w:hint="eastAsia" w:ascii="黑体" w:eastAsia="黑体"/>
          <w:bCs/>
          <w:szCs w:val="32"/>
        </w:rPr>
        <w:fldChar w:fldCharType="begin"/>
      </w:r>
      <w:r>
        <w:rPr>
          <w:rFonts w:hint="eastAsia" w:ascii="黑体" w:eastAsia="黑体"/>
          <w:bCs/>
          <w:szCs w:val="32"/>
        </w:rPr>
        <w:instrText xml:space="preserve"> TOC \o "1-3" \h \z \u </w:instrText>
      </w:r>
      <w:r>
        <w:rPr>
          <w:rFonts w:hint="eastAsia" w:ascii="黑体" w:eastAsia="黑体"/>
          <w:bCs/>
          <w:szCs w:val="32"/>
        </w:rPr>
        <w:fldChar w:fldCharType="separate"/>
      </w:r>
    </w:p>
    <w:p>
      <w:pPr>
        <w:pStyle w:val="3"/>
        <w:tabs>
          <w:tab w:val="right" w:leader="dot" w:pos="8844"/>
        </w:tabs>
        <w:ind w:left="0" w:leftChars="0"/>
        <w:rPr>
          <w:rFonts w:eastAsia="仿宋_GB2312"/>
          <w:sz w:val="32"/>
          <w:szCs w:val="32"/>
        </w:rPr>
      </w:pPr>
      <w:r>
        <w:fldChar w:fldCharType="begin"/>
      </w:r>
      <w:r>
        <w:instrText xml:space="preserve"> HYPERLINK \l "_Toc23791" </w:instrText>
      </w:r>
      <w:r>
        <w:fldChar w:fldCharType="separate"/>
      </w:r>
      <w:r>
        <w:rPr>
          <w:rFonts w:eastAsia="仿宋_GB2312"/>
          <w:sz w:val="32"/>
          <w:szCs w:val="32"/>
        </w:rPr>
        <w:t>1总则</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_Toc23791 \h </w:instrText>
      </w:r>
      <w:r>
        <w:rPr>
          <w:rFonts w:eastAsia="仿宋_GB2312"/>
          <w:sz w:val="32"/>
          <w:szCs w:val="32"/>
        </w:rPr>
        <w:fldChar w:fldCharType="separate"/>
      </w:r>
      <w:r>
        <w:rPr>
          <w:rFonts w:eastAsia="仿宋_GB2312"/>
          <w:sz w:val="32"/>
          <w:szCs w:val="32"/>
        </w:rPr>
        <w:t>- 1 -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"_Toc20583" </w:instrText>
      </w:r>
      <w:r>
        <w:fldChar w:fldCharType="separate"/>
      </w:r>
      <w:r>
        <w:rPr>
          <w:rFonts w:eastAsia="仿宋_GB2312"/>
          <w:sz w:val="32"/>
          <w:szCs w:val="32"/>
        </w:rPr>
        <w:t>1.1适用范围</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_Toc20583 \h </w:instrText>
      </w:r>
      <w:r>
        <w:rPr>
          <w:rFonts w:eastAsia="仿宋_GB2312"/>
          <w:sz w:val="32"/>
          <w:szCs w:val="32"/>
        </w:rPr>
        <w:fldChar w:fldCharType="separate"/>
      </w:r>
      <w:r>
        <w:rPr>
          <w:rFonts w:eastAsia="仿宋_GB2312"/>
          <w:sz w:val="32"/>
          <w:szCs w:val="32"/>
        </w:rPr>
        <w:t>- 1 -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"_Toc27766" </w:instrText>
      </w:r>
      <w:r>
        <w:fldChar w:fldCharType="separate"/>
      </w:r>
      <w:r>
        <w:rPr>
          <w:rFonts w:eastAsia="仿宋_GB2312"/>
          <w:sz w:val="32"/>
          <w:szCs w:val="32"/>
        </w:rPr>
        <w:t>1.2工作原则</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_Toc27766 \h </w:instrText>
      </w:r>
      <w:r>
        <w:rPr>
          <w:rFonts w:eastAsia="仿宋_GB2312"/>
          <w:sz w:val="32"/>
          <w:szCs w:val="32"/>
        </w:rPr>
        <w:fldChar w:fldCharType="separate"/>
      </w:r>
      <w:r>
        <w:rPr>
          <w:rFonts w:eastAsia="仿宋_GB2312"/>
          <w:sz w:val="32"/>
          <w:szCs w:val="32"/>
        </w:rPr>
        <w:t>- 1 -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"_Toc19994" </w:instrText>
      </w:r>
      <w:r>
        <w:fldChar w:fldCharType="separate"/>
      </w:r>
      <w:r>
        <w:rPr>
          <w:rFonts w:eastAsia="仿宋_GB2312"/>
          <w:sz w:val="32"/>
          <w:szCs w:val="32"/>
        </w:rPr>
        <w:t>1.3突发事件分类分级</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_Toc19994 \h </w:instrText>
      </w:r>
      <w:r>
        <w:rPr>
          <w:rFonts w:eastAsia="仿宋_GB2312"/>
          <w:sz w:val="32"/>
          <w:szCs w:val="32"/>
        </w:rPr>
        <w:fldChar w:fldCharType="separate"/>
      </w:r>
      <w:r>
        <w:rPr>
          <w:rFonts w:eastAsia="仿宋_GB2312"/>
          <w:sz w:val="32"/>
          <w:szCs w:val="32"/>
        </w:rPr>
        <w:t>- 2 -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"_Toc31781" </w:instrText>
      </w:r>
      <w:r>
        <w:fldChar w:fldCharType="separate"/>
      </w:r>
      <w:r>
        <w:rPr>
          <w:rFonts w:eastAsia="仿宋_GB2312"/>
          <w:sz w:val="32"/>
          <w:szCs w:val="32"/>
        </w:rPr>
        <w:t>1.4分级应对与响应分级</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_Toc31781 \h </w:instrText>
      </w:r>
      <w:r>
        <w:rPr>
          <w:rFonts w:eastAsia="仿宋_GB2312"/>
          <w:sz w:val="32"/>
          <w:szCs w:val="32"/>
        </w:rPr>
        <w:fldChar w:fldCharType="separate"/>
      </w:r>
      <w:r>
        <w:rPr>
          <w:rFonts w:eastAsia="仿宋_GB2312"/>
          <w:sz w:val="32"/>
          <w:szCs w:val="32"/>
        </w:rPr>
        <w:t>- 3 -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"_Toc23498" </w:instrText>
      </w:r>
      <w:r>
        <w:fldChar w:fldCharType="separate"/>
      </w:r>
      <w:r>
        <w:rPr>
          <w:rFonts w:eastAsia="仿宋_GB2312"/>
          <w:sz w:val="32"/>
          <w:szCs w:val="32"/>
        </w:rPr>
        <w:t>1.4.1分级应对</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_Toc23498 \h </w:instrText>
      </w:r>
      <w:r>
        <w:rPr>
          <w:rFonts w:eastAsia="仿宋_GB2312"/>
          <w:sz w:val="32"/>
          <w:szCs w:val="32"/>
        </w:rPr>
        <w:fldChar w:fldCharType="separate"/>
      </w:r>
      <w:r>
        <w:rPr>
          <w:rFonts w:eastAsia="仿宋_GB2312"/>
          <w:sz w:val="32"/>
          <w:szCs w:val="32"/>
        </w:rPr>
        <w:t>- 3 -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"_Toc6012" </w:instrText>
      </w:r>
      <w:r>
        <w:fldChar w:fldCharType="separate"/>
      </w:r>
      <w:r>
        <w:rPr>
          <w:rFonts w:eastAsia="仿宋_GB2312"/>
          <w:sz w:val="32"/>
          <w:szCs w:val="32"/>
        </w:rPr>
        <w:t>1.4.2响应分级</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_Toc6012 \h </w:instrText>
      </w:r>
      <w:r>
        <w:rPr>
          <w:rFonts w:eastAsia="仿宋_GB2312"/>
          <w:sz w:val="32"/>
          <w:szCs w:val="32"/>
        </w:rPr>
        <w:fldChar w:fldCharType="separate"/>
      </w:r>
      <w:r>
        <w:rPr>
          <w:rFonts w:eastAsia="仿宋_GB2312"/>
          <w:sz w:val="32"/>
          <w:szCs w:val="32"/>
        </w:rPr>
        <w:t>- 4 -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"_Toc19637" </w:instrText>
      </w:r>
      <w:r>
        <w:fldChar w:fldCharType="separate"/>
      </w:r>
      <w:r>
        <w:rPr>
          <w:rFonts w:eastAsia="仿宋_GB2312"/>
          <w:sz w:val="32"/>
          <w:szCs w:val="32"/>
        </w:rPr>
        <w:t>1.5应急预案体系</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_Toc19637 \h </w:instrText>
      </w:r>
      <w:r>
        <w:rPr>
          <w:rFonts w:eastAsia="仿宋_GB2312"/>
          <w:sz w:val="32"/>
          <w:szCs w:val="32"/>
        </w:rPr>
        <w:fldChar w:fldCharType="separate"/>
      </w:r>
      <w:r>
        <w:rPr>
          <w:rFonts w:eastAsia="仿宋_GB2312"/>
          <w:sz w:val="32"/>
          <w:szCs w:val="32"/>
        </w:rPr>
        <w:t>- 5 -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"_Toc19342" </w:instrText>
      </w:r>
      <w:r>
        <w:fldChar w:fldCharType="separate"/>
      </w:r>
      <w:r>
        <w:rPr>
          <w:rFonts w:eastAsia="仿宋_GB2312"/>
          <w:sz w:val="32"/>
          <w:szCs w:val="32"/>
        </w:rPr>
        <w:t>1.5.1应急预案</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_Toc19342 \h </w:instrText>
      </w:r>
      <w:r>
        <w:rPr>
          <w:rFonts w:eastAsia="仿宋_GB2312"/>
          <w:sz w:val="32"/>
          <w:szCs w:val="32"/>
        </w:rPr>
        <w:fldChar w:fldCharType="separate"/>
      </w:r>
      <w:r>
        <w:rPr>
          <w:rFonts w:eastAsia="仿宋_GB2312"/>
          <w:sz w:val="32"/>
          <w:szCs w:val="32"/>
        </w:rPr>
        <w:t>- 5 -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"_Toc11563" </w:instrText>
      </w:r>
      <w:r>
        <w:fldChar w:fldCharType="separate"/>
      </w:r>
      <w:r>
        <w:rPr>
          <w:rFonts w:eastAsia="仿宋_GB2312"/>
          <w:sz w:val="32"/>
          <w:szCs w:val="32"/>
        </w:rPr>
        <w:t>1.5.2应急预案支撑性文件</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_Toc11563 \h </w:instrText>
      </w:r>
      <w:r>
        <w:rPr>
          <w:rFonts w:eastAsia="仿宋_GB2312"/>
          <w:sz w:val="32"/>
          <w:szCs w:val="32"/>
        </w:rPr>
        <w:fldChar w:fldCharType="separate"/>
      </w:r>
      <w:r>
        <w:rPr>
          <w:rFonts w:eastAsia="仿宋_GB2312"/>
          <w:sz w:val="32"/>
          <w:szCs w:val="32"/>
        </w:rPr>
        <w:t>- 6 -</w:t>
      </w:r>
      <w:r>
        <w:rPr>
          <w:rFonts w:eastAsia="仿宋_GB2312"/>
          <w:sz w:val="32"/>
          <w:szCs w:val="32"/>
        </w:rPr>
        <w:fldChar w:fldCharType="end"/>
      </w:r>
      <w:r>
        <w:rPr>
          <w:rFonts w:eastAsia="仿宋_GB2312"/>
          <w:sz w:val="32"/>
          <w:szCs w:val="32"/>
        </w:rPr>
        <w:fldChar w:fldCharType="end"/>
      </w:r>
    </w:p>
    <w:p>
      <w:pPr>
        <w:pStyle w:val="3"/>
        <w:tabs>
          <w:tab w:val="right" w:leader="dot" w:pos="8844"/>
        </w:tabs>
        <w:ind w:left="0" w:leftChars="0"/>
        <w:rPr>
          <w:rFonts w:eastAsia="仿宋_GB2312"/>
          <w:sz w:val="32"/>
          <w:szCs w:val="32"/>
        </w:rPr>
      </w:pPr>
      <w:r>
        <w:fldChar w:fldCharType="begin"/>
      </w:r>
      <w:r>
        <w:instrText xml:space="preserve"> HYPERLINK \l "_Toc204" </w:instrText>
      </w:r>
      <w:r>
        <w:fldChar w:fldCharType="separate"/>
      </w:r>
      <w:r>
        <w:rPr>
          <w:rFonts w:eastAsia="仿宋_GB2312"/>
          <w:sz w:val="32"/>
          <w:szCs w:val="32"/>
        </w:rPr>
        <w:t>2组织指挥体系</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_Toc204 \h </w:instrText>
      </w:r>
      <w:r>
        <w:rPr>
          <w:rFonts w:eastAsia="仿宋_GB2312"/>
          <w:sz w:val="32"/>
          <w:szCs w:val="32"/>
        </w:rPr>
        <w:fldChar w:fldCharType="separate"/>
      </w:r>
      <w:r>
        <w:rPr>
          <w:rFonts w:eastAsia="仿宋_GB2312"/>
          <w:sz w:val="32"/>
          <w:szCs w:val="32"/>
        </w:rPr>
        <w:t>- 7 -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"_Toc9135" </w:instrText>
      </w:r>
      <w:r>
        <w:fldChar w:fldCharType="separate"/>
      </w:r>
      <w:r>
        <w:rPr>
          <w:rFonts w:eastAsia="仿宋_GB2312"/>
          <w:sz w:val="32"/>
          <w:szCs w:val="32"/>
        </w:rPr>
        <w:t>2.1县级组织指挥机制</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_Toc9135 \h </w:instrText>
      </w:r>
      <w:r>
        <w:rPr>
          <w:rFonts w:eastAsia="仿宋_GB2312"/>
          <w:sz w:val="32"/>
          <w:szCs w:val="32"/>
        </w:rPr>
        <w:fldChar w:fldCharType="separate"/>
      </w:r>
      <w:r>
        <w:rPr>
          <w:rFonts w:eastAsia="仿宋_GB2312"/>
          <w:sz w:val="32"/>
          <w:szCs w:val="32"/>
        </w:rPr>
        <w:t>- 7 -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"_Toc3103" </w:instrText>
      </w:r>
      <w:r>
        <w:fldChar w:fldCharType="separate"/>
      </w:r>
      <w:r>
        <w:rPr>
          <w:rFonts w:eastAsia="仿宋_GB2312"/>
          <w:sz w:val="32"/>
          <w:szCs w:val="32"/>
        </w:rPr>
        <w:t>2.1.1县级层面组织领导</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_Toc3103 \h </w:instrText>
      </w:r>
      <w:r>
        <w:rPr>
          <w:rFonts w:eastAsia="仿宋_GB2312"/>
          <w:sz w:val="32"/>
          <w:szCs w:val="32"/>
        </w:rPr>
        <w:fldChar w:fldCharType="separate"/>
      </w:r>
      <w:r>
        <w:rPr>
          <w:rFonts w:eastAsia="仿宋_GB2312"/>
          <w:sz w:val="32"/>
          <w:szCs w:val="32"/>
        </w:rPr>
        <w:t>- 7 -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"_Toc8245" </w:instrText>
      </w:r>
      <w:r>
        <w:fldChar w:fldCharType="separate"/>
      </w:r>
      <w:r>
        <w:rPr>
          <w:rFonts w:eastAsia="仿宋_GB2312"/>
          <w:sz w:val="32"/>
          <w:szCs w:val="32"/>
        </w:rPr>
        <w:t>2.1.2较大以上突发事件先期工作组织指挥</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_Toc8245 \h </w:instrText>
      </w:r>
      <w:r>
        <w:rPr>
          <w:rFonts w:eastAsia="仿宋_GB2312"/>
          <w:sz w:val="32"/>
          <w:szCs w:val="32"/>
        </w:rPr>
        <w:fldChar w:fldCharType="separate"/>
      </w:r>
      <w:r>
        <w:rPr>
          <w:rFonts w:eastAsia="仿宋_GB2312"/>
          <w:sz w:val="32"/>
          <w:szCs w:val="32"/>
        </w:rPr>
        <w:t>- 7 -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"_Toc31152" </w:instrText>
      </w:r>
      <w:r>
        <w:fldChar w:fldCharType="separate"/>
      </w:r>
      <w:r>
        <w:rPr>
          <w:rFonts w:eastAsia="仿宋_GB2312"/>
          <w:sz w:val="32"/>
          <w:szCs w:val="32"/>
        </w:rPr>
        <w:t>2.1.3一般突发事件组织指挥</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_Toc31152 \h </w:instrText>
      </w:r>
      <w:r>
        <w:rPr>
          <w:rFonts w:eastAsia="仿宋_GB2312"/>
          <w:sz w:val="32"/>
          <w:szCs w:val="32"/>
        </w:rPr>
        <w:fldChar w:fldCharType="separate"/>
      </w:r>
      <w:r>
        <w:rPr>
          <w:rFonts w:eastAsia="仿宋_GB2312"/>
          <w:sz w:val="32"/>
          <w:szCs w:val="32"/>
        </w:rPr>
        <w:t>- 8 -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"_Toc29245" </w:instrText>
      </w:r>
      <w:r>
        <w:fldChar w:fldCharType="separate"/>
      </w:r>
      <w:r>
        <w:rPr>
          <w:rFonts w:eastAsia="仿宋_GB2312"/>
          <w:sz w:val="32"/>
          <w:szCs w:val="32"/>
        </w:rPr>
        <w:t>2.1.4县级工作机构</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_Toc29245 \h </w:instrText>
      </w:r>
      <w:r>
        <w:rPr>
          <w:rFonts w:eastAsia="仿宋_GB2312"/>
          <w:sz w:val="32"/>
          <w:szCs w:val="32"/>
        </w:rPr>
        <w:fldChar w:fldCharType="separate"/>
      </w:r>
      <w:r>
        <w:rPr>
          <w:rFonts w:eastAsia="仿宋_GB2312"/>
          <w:sz w:val="32"/>
          <w:szCs w:val="32"/>
        </w:rPr>
        <w:t>- 8 -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"_Toc26383" </w:instrText>
      </w:r>
      <w:r>
        <w:fldChar w:fldCharType="separate"/>
      </w:r>
      <w:r>
        <w:rPr>
          <w:rFonts w:eastAsia="仿宋_GB2312"/>
          <w:sz w:val="32"/>
          <w:szCs w:val="32"/>
        </w:rPr>
        <w:t>2.2镇级组织指挥体系</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_Toc26383 \h </w:instrText>
      </w:r>
      <w:r>
        <w:rPr>
          <w:rFonts w:eastAsia="仿宋_GB2312"/>
          <w:sz w:val="32"/>
          <w:szCs w:val="32"/>
        </w:rPr>
        <w:fldChar w:fldCharType="separate"/>
      </w:r>
      <w:r>
        <w:rPr>
          <w:rFonts w:eastAsia="仿宋_GB2312"/>
          <w:sz w:val="32"/>
          <w:szCs w:val="32"/>
        </w:rPr>
        <w:t>- 8 -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"_Toc25817" </w:instrText>
      </w:r>
      <w:r>
        <w:fldChar w:fldCharType="separate"/>
      </w:r>
      <w:r>
        <w:rPr>
          <w:rFonts w:eastAsia="仿宋_GB2312"/>
          <w:sz w:val="32"/>
          <w:szCs w:val="32"/>
        </w:rPr>
        <w:t>2.3专家组与专家委员会</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_Toc25817 \h </w:instrText>
      </w:r>
      <w:r>
        <w:rPr>
          <w:rFonts w:eastAsia="仿宋_GB2312"/>
          <w:sz w:val="32"/>
          <w:szCs w:val="32"/>
        </w:rPr>
        <w:fldChar w:fldCharType="separate"/>
      </w:r>
      <w:r>
        <w:rPr>
          <w:rFonts w:eastAsia="仿宋_GB2312"/>
          <w:sz w:val="32"/>
          <w:szCs w:val="32"/>
        </w:rPr>
        <w:t>- 8 -</w:t>
      </w:r>
      <w:r>
        <w:rPr>
          <w:rFonts w:eastAsia="仿宋_GB2312"/>
          <w:sz w:val="32"/>
          <w:szCs w:val="32"/>
        </w:rPr>
        <w:fldChar w:fldCharType="end"/>
      </w:r>
      <w:r>
        <w:rPr>
          <w:rFonts w:eastAsia="仿宋_GB2312"/>
          <w:sz w:val="32"/>
          <w:szCs w:val="32"/>
        </w:rPr>
        <w:fldChar w:fldCharType="end"/>
      </w:r>
    </w:p>
    <w:p>
      <w:pPr>
        <w:pStyle w:val="3"/>
        <w:tabs>
          <w:tab w:val="right" w:leader="dot" w:pos="8844"/>
        </w:tabs>
        <w:ind w:left="0" w:leftChars="0"/>
        <w:rPr>
          <w:rFonts w:eastAsia="仿宋_GB2312"/>
          <w:sz w:val="32"/>
          <w:szCs w:val="32"/>
        </w:rPr>
      </w:pPr>
      <w:r>
        <w:fldChar w:fldCharType="begin"/>
      </w:r>
      <w:r>
        <w:instrText xml:space="preserve"> HYPERLINK \l "_Toc12201" </w:instrText>
      </w:r>
      <w:r>
        <w:fldChar w:fldCharType="separate"/>
      </w:r>
      <w:r>
        <w:rPr>
          <w:rFonts w:eastAsia="仿宋_GB2312"/>
          <w:sz w:val="32"/>
          <w:szCs w:val="32"/>
        </w:rPr>
        <w:t>3运行机制</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_Toc12201 \h </w:instrText>
      </w:r>
      <w:r>
        <w:rPr>
          <w:rFonts w:eastAsia="仿宋_GB2312"/>
          <w:sz w:val="32"/>
          <w:szCs w:val="32"/>
        </w:rPr>
        <w:fldChar w:fldCharType="separate"/>
      </w:r>
      <w:r>
        <w:rPr>
          <w:rFonts w:eastAsia="仿宋_GB2312"/>
          <w:sz w:val="32"/>
          <w:szCs w:val="32"/>
        </w:rPr>
        <w:t>- 9 -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"_Toc14310" </w:instrText>
      </w:r>
      <w:r>
        <w:fldChar w:fldCharType="separate"/>
      </w:r>
      <w:r>
        <w:rPr>
          <w:rFonts w:eastAsia="仿宋_GB2312"/>
          <w:sz w:val="32"/>
          <w:szCs w:val="32"/>
        </w:rPr>
        <w:t>3.1风险防控</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_Toc14310 \h </w:instrText>
      </w:r>
      <w:r>
        <w:rPr>
          <w:rFonts w:eastAsia="仿宋_GB2312"/>
          <w:sz w:val="32"/>
          <w:szCs w:val="32"/>
        </w:rPr>
        <w:fldChar w:fldCharType="separate"/>
      </w:r>
      <w:r>
        <w:rPr>
          <w:rFonts w:eastAsia="仿宋_GB2312"/>
          <w:sz w:val="32"/>
          <w:szCs w:val="32"/>
        </w:rPr>
        <w:t>- 9 -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"_Toc1431" </w:instrText>
      </w:r>
      <w:r>
        <w:fldChar w:fldCharType="separate"/>
      </w:r>
      <w:r>
        <w:rPr>
          <w:rFonts w:eastAsia="仿宋_GB2312"/>
          <w:sz w:val="32"/>
          <w:szCs w:val="32"/>
        </w:rPr>
        <w:t>3.2监测与预警</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_Toc1431 \h </w:instrText>
      </w:r>
      <w:r>
        <w:rPr>
          <w:rFonts w:eastAsia="仿宋_GB2312"/>
          <w:sz w:val="32"/>
          <w:szCs w:val="32"/>
        </w:rPr>
        <w:fldChar w:fldCharType="separate"/>
      </w:r>
      <w:r>
        <w:rPr>
          <w:rFonts w:eastAsia="仿宋_GB2312"/>
          <w:sz w:val="32"/>
          <w:szCs w:val="32"/>
        </w:rPr>
        <w:t>- 11 -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"_Toc18426" </w:instrText>
      </w:r>
      <w:r>
        <w:fldChar w:fldCharType="separate"/>
      </w:r>
      <w:r>
        <w:rPr>
          <w:rFonts w:eastAsia="仿宋_GB2312"/>
          <w:sz w:val="32"/>
          <w:szCs w:val="32"/>
        </w:rPr>
        <w:t>3.2.1监测</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_Toc18426 \h </w:instrText>
      </w:r>
      <w:r>
        <w:rPr>
          <w:rFonts w:eastAsia="仿宋_GB2312"/>
          <w:sz w:val="32"/>
          <w:szCs w:val="32"/>
        </w:rPr>
        <w:fldChar w:fldCharType="separate"/>
      </w:r>
      <w:r>
        <w:rPr>
          <w:rFonts w:eastAsia="仿宋_GB2312"/>
          <w:sz w:val="32"/>
          <w:szCs w:val="32"/>
        </w:rPr>
        <w:t>- 11 -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"_Toc8792" </w:instrText>
      </w:r>
      <w:r>
        <w:fldChar w:fldCharType="separate"/>
      </w:r>
      <w:r>
        <w:rPr>
          <w:rFonts w:eastAsia="仿宋_GB2312"/>
          <w:sz w:val="32"/>
          <w:szCs w:val="32"/>
        </w:rPr>
        <w:t>3.2.2预警</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_Toc8792 \h </w:instrText>
      </w:r>
      <w:r>
        <w:rPr>
          <w:rFonts w:eastAsia="仿宋_GB2312"/>
          <w:sz w:val="32"/>
          <w:szCs w:val="32"/>
        </w:rPr>
        <w:fldChar w:fldCharType="separate"/>
      </w:r>
      <w:r>
        <w:rPr>
          <w:rFonts w:eastAsia="仿宋_GB2312"/>
          <w:sz w:val="32"/>
          <w:szCs w:val="32"/>
        </w:rPr>
        <w:t>- 11 -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"_Toc729" </w:instrText>
      </w:r>
      <w:r>
        <w:fldChar w:fldCharType="separate"/>
      </w:r>
      <w:r>
        <w:rPr>
          <w:rFonts w:eastAsia="仿宋_GB2312"/>
          <w:sz w:val="32"/>
          <w:szCs w:val="32"/>
        </w:rPr>
        <w:t>3.3应急处置与救援</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_Toc729 \h </w:instrText>
      </w:r>
      <w:r>
        <w:rPr>
          <w:rFonts w:eastAsia="仿宋_GB2312"/>
          <w:sz w:val="32"/>
          <w:szCs w:val="32"/>
        </w:rPr>
        <w:fldChar w:fldCharType="separate"/>
      </w:r>
      <w:r>
        <w:rPr>
          <w:rFonts w:eastAsia="仿宋_GB2312"/>
          <w:sz w:val="32"/>
          <w:szCs w:val="32"/>
        </w:rPr>
        <w:t>- 14 -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"_Toc22007" </w:instrText>
      </w:r>
      <w:r>
        <w:fldChar w:fldCharType="separate"/>
      </w:r>
      <w:r>
        <w:rPr>
          <w:rFonts w:eastAsia="仿宋_GB2312"/>
          <w:sz w:val="32"/>
          <w:szCs w:val="32"/>
        </w:rPr>
        <w:t>3.3.1信息报告</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_Toc22007 \h </w:instrText>
      </w:r>
      <w:r>
        <w:rPr>
          <w:rFonts w:eastAsia="仿宋_GB2312"/>
          <w:sz w:val="32"/>
          <w:szCs w:val="32"/>
        </w:rPr>
        <w:fldChar w:fldCharType="separate"/>
      </w:r>
      <w:r>
        <w:rPr>
          <w:rFonts w:eastAsia="仿宋_GB2312"/>
          <w:sz w:val="32"/>
          <w:szCs w:val="32"/>
        </w:rPr>
        <w:t>- 14 -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"_Toc29802" </w:instrText>
      </w:r>
      <w:r>
        <w:fldChar w:fldCharType="separate"/>
      </w:r>
      <w:r>
        <w:rPr>
          <w:rFonts w:eastAsia="仿宋_GB2312"/>
          <w:sz w:val="32"/>
          <w:szCs w:val="32"/>
        </w:rPr>
        <w:t>3.3.2先期处置</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_Toc29802 \h </w:instrText>
      </w:r>
      <w:r>
        <w:rPr>
          <w:rFonts w:eastAsia="仿宋_GB2312"/>
          <w:sz w:val="32"/>
          <w:szCs w:val="32"/>
        </w:rPr>
        <w:fldChar w:fldCharType="separate"/>
      </w:r>
      <w:r>
        <w:rPr>
          <w:rFonts w:eastAsia="仿宋_GB2312"/>
          <w:sz w:val="32"/>
          <w:szCs w:val="32"/>
        </w:rPr>
        <w:t>- 15 -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"_Toc12446" </w:instrText>
      </w:r>
      <w:r>
        <w:fldChar w:fldCharType="separate"/>
      </w:r>
      <w:r>
        <w:rPr>
          <w:rFonts w:eastAsia="仿宋_GB2312"/>
          <w:sz w:val="32"/>
          <w:szCs w:val="32"/>
        </w:rPr>
        <w:t>3.3.3指挥协调</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_Toc12446 \h </w:instrText>
      </w:r>
      <w:r>
        <w:rPr>
          <w:rFonts w:eastAsia="仿宋_GB2312"/>
          <w:sz w:val="32"/>
          <w:szCs w:val="32"/>
        </w:rPr>
        <w:fldChar w:fldCharType="separate"/>
      </w:r>
      <w:r>
        <w:rPr>
          <w:rFonts w:eastAsia="仿宋_GB2312"/>
          <w:sz w:val="32"/>
          <w:szCs w:val="32"/>
        </w:rPr>
        <w:t>- 16 -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"_Toc22661" </w:instrText>
      </w:r>
      <w:r>
        <w:fldChar w:fldCharType="separate"/>
      </w:r>
      <w:r>
        <w:rPr>
          <w:rFonts w:eastAsia="仿宋_GB2312"/>
          <w:sz w:val="32"/>
          <w:szCs w:val="32"/>
        </w:rPr>
        <w:t>3.3.4处置措施</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_Toc22661 \h </w:instrText>
      </w:r>
      <w:r>
        <w:rPr>
          <w:rFonts w:eastAsia="仿宋_GB2312"/>
          <w:sz w:val="32"/>
          <w:szCs w:val="32"/>
        </w:rPr>
        <w:fldChar w:fldCharType="separate"/>
      </w:r>
      <w:r>
        <w:rPr>
          <w:rFonts w:eastAsia="仿宋_GB2312"/>
          <w:sz w:val="32"/>
          <w:szCs w:val="32"/>
        </w:rPr>
        <w:t>- 17 -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"_Toc8633" </w:instrText>
      </w:r>
      <w:r>
        <w:fldChar w:fldCharType="separate"/>
      </w:r>
      <w:r>
        <w:rPr>
          <w:rFonts w:eastAsia="仿宋_GB2312"/>
          <w:sz w:val="32"/>
          <w:szCs w:val="32"/>
        </w:rPr>
        <w:t>3.3.5信息发布与舆论引导</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_Toc8633 \h </w:instrText>
      </w:r>
      <w:r>
        <w:rPr>
          <w:rFonts w:eastAsia="仿宋_GB2312"/>
          <w:sz w:val="32"/>
          <w:szCs w:val="32"/>
        </w:rPr>
        <w:fldChar w:fldCharType="separate"/>
      </w:r>
      <w:r>
        <w:rPr>
          <w:rFonts w:eastAsia="仿宋_GB2312"/>
          <w:sz w:val="32"/>
          <w:szCs w:val="32"/>
        </w:rPr>
        <w:t>- 20 -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"_Toc16406" </w:instrText>
      </w:r>
      <w:r>
        <w:fldChar w:fldCharType="separate"/>
      </w:r>
      <w:r>
        <w:rPr>
          <w:rFonts w:eastAsia="仿宋_GB2312"/>
          <w:sz w:val="32"/>
          <w:szCs w:val="32"/>
        </w:rPr>
        <w:t>3.3.6紧急状态</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_Toc16406 \h </w:instrText>
      </w:r>
      <w:r>
        <w:rPr>
          <w:rFonts w:eastAsia="仿宋_GB2312"/>
          <w:sz w:val="32"/>
          <w:szCs w:val="32"/>
        </w:rPr>
        <w:fldChar w:fldCharType="separate"/>
      </w:r>
      <w:r>
        <w:rPr>
          <w:rFonts w:eastAsia="仿宋_GB2312"/>
          <w:sz w:val="32"/>
          <w:szCs w:val="32"/>
        </w:rPr>
        <w:t>- 21 -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"_Toc259" </w:instrText>
      </w:r>
      <w:r>
        <w:fldChar w:fldCharType="separate"/>
      </w:r>
      <w:r>
        <w:rPr>
          <w:rFonts w:eastAsia="仿宋_GB2312"/>
          <w:sz w:val="32"/>
          <w:szCs w:val="32"/>
        </w:rPr>
        <w:t>3.3.7应急结束</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_Toc259 \h </w:instrText>
      </w:r>
      <w:r>
        <w:rPr>
          <w:rFonts w:eastAsia="仿宋_GB2312"/>
          <w:sz w:val="32"/>
          <w:szCs w:val="32"/>
        </w:rPr>
        <w:fldChar w:fldCharType="separate"/>
      </w:r>
      <w:r>
        <w:rPr>
          <w:rFonts w:eastAsia="仿宋_GB2312"/>
          <w:sz w:val="32"/>
          <w:szCs w:val="32"/>
        </w:rPr>
        <w:t>- 22 -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"_Toc3172" </w:instrText>
      </w:r>
      <w:r>
        <w:fldChar w:fldCharType="separate"/>
      </w:r>
      <w:r>
        <w:rPr>
          <w:rFonts w:eastAsia="仿宋_GB2312"/>
          <w:sz w:val="32"/>
          <w:szCs w:val="32"/>
        </w:rPr>
        <w:t>3.4恢复与重建</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_Toc3172 \h </w:instrText>
      </w:r>
      <w:r>
        <w:rPr>
          <w:rFonts w:eastAsia="仿宋_GB2312"/>
          <w:sz w:val="32"/>
          <w:szCs w:val="32"/>
        </w:rPr>
        <w:fldChar w:fldCharType="separate"/>
      </w:r>
      <w:r>
        <w:rPr>
          <w:rFonts w:eastAsia="仿宋_GB2312"/>
          <w:sz w:val="32"/>
          <w:szCs w:val="32"/>
        </w:rPr>
        <w:t>- 22 -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"_Toc22841" </w:instrText>
      </w:r>
      <w:r>
        <w:fldChar w:fldCharType="separate"/>
      </w:r>
      <w:r>
        <w:rPr>
          <w:rFonts w:eastAsia="仿宋_GB2312"/>
          <w:sz w:val="32"/>
          <w:szCs w:val="32"/>
        </w:rPr>
        <w:t>3.4.1善后处置</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_Toc22841 \h </w:instrText>
      </w:r>
      <w:r>
        <w:rPr>
          <w:rFonts w:eastAsia="仿宋_GB2312"/>
          <w:sz w:val="32"/>
          <w:szCs w:val="32"/>
        </w:rPr>
        <w:fldChar w:fldCharType="separate"/>
      </w:r>
      <w:r>
        <w:rPr>
          <w:rFonts w:eastAsia="仿宋_GB2312"/>
          <w:sz w:val="32"/>
          <w:szCs w:val="32"/>
        </w:rPr>
        <w:t>- 22 -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"_Toc22909" </w:instrText>
      </w:r>
      <w:r>
        <w:fldChar w:fldCharType="separate"/>
      </w:r>
      <w:r>
        <w:rPr>
          <w:rFonts w:eastAsia="仿宋_GB2312"/>
          <w:sz w:val="32"/>
          <w:szCs w:val="32"/>
        </w:rPr>
        <w:t>3.4.2恢复重建</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_Toc22909 \h </w:instrText>
      </w:r>
      <w:r>
        <w:rPr>
          <w:rFonts w:eastAsia="仿宋_GB2312"/>
          <w:sz w:val="32"/>
          <w:szCs w:val="32"/>
        </w:rPr>
        <w:fldChar w:fldCharType="separate"/>
      </w:r>
      <w:r>
        <w:rPr>
          <w:rFonts w:eastAsia="仿宋_GB2312"/>
          <w:sz w:val="32"/>
          <w:szCs w:val="32"/>
        </w:rPr>
        <w:t>- 22 -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"_Toc18772" </w:instrText>
      </w:r>
      <w:r>
        <w:fldChar w:fldCharType="separate"/>
      </w:r>
      <w:r>
        <w:rPr>
          <w:rFonts w:eastAsia="仿宋_GB2312"/>
          <w:sz w:val="32"/>
          <w:szCs w:val="32"/>
        </w:rPr>
        <w:t>3.4.3调查评估</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_Toc18772 \h </w:instrText>
      </w:r>
      <w:r>
        <w:rPr>
          <w:rFonts w:eastAsia="仿宋_GB2312"/>
          <w:sz w:val="32"/>
          <w:szCs w:val="32"/>
        </w:rPr>
        <w:fldChar w:fldCharType="separate"/>
      </w:r>
      <w:r>
        <w:rPr>
          <w:rFonts w:eastAsia="仿宋_GB2312"/>
          <w:sz w:val="32"/>
          <w:szCs w:val="32"/>
        </w:rPr>
        <w:t>- 23 -</w:t>
      </w:r>
      <w:r>
        <w:rPr>
          <w:rFonts w:eastAsia="仿宋_GB2312"/>
          <w:sz w:val="32"/>
          <w:szCs w:val="32"/>
        </w:rPr>
        <w:fldChar w:fldCharType="end"/>
      </w:r>
      <w:r>
        <w:rPr>
          <w:rFonts w:eastAsia="仿宋_GB2312"/>
          <w:sz w:val="32"/>
          <w:szCs w:val="32"/>
        </w:rPr>
        <w:fldChar w:fldCharType="end"/>
      </w:r>
    </w:p>
    <w:p>
      <w:pPr>
        <w:pStyle w:val="3"/>
        <w:tabs>
          <w:tab w:val="right" w:leader="dot" w:pos="8844"/>
        </w:tabs>
        <w:ind w:left="0" w:leftChars="0"/>
        <w:rPr>
          <w:rFonts w:eastAsia="仿宋_GB2312"/>
          <w:sz w:val="32"/>
          <w:szCs w:val="32"/>
        </w:rPr>
      </w:pPr>
      <w:r>
        <w:fldChar w:fldCharType="begin"/>
      </w:r>
      <w:r>
        <w:instrText xml:space="preserve"> HYPERLINK \l "_Toc30999" </w:instrText>
      </w:r>
      <w:r>
        <w:fldChar w:fldCharType="separate"/>
      </w:r>
      <w:r>
        <w:rPr>
          <w:rFonts w:eastAsia="仿宋_GB2312"/>
          <w:sz w:val="32"/>
          <w:szCs w:val="32"/>
        </w:rPr>
        <w:t>4准备与支持</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_Toc30999 \h </w:instrText>
      </w:r>
      <w:r>
        <w:rPr>
          <w:rFonts w:eastAsia="仿宋_GB2312"/>
          <w:sz w:val="32"/>
          <w:szCs w:val="32"/>
        </w:rPr>
        <w:fldChar w:fldCharType="separate"/>
      </w:r>
      <w:r>
        <w:rPr>
          <w:rFonts w:eastAsia="仿宋_GB2312"/>
          <w:sz w:val="32"/>
          <w:szCs w:val="32"/>
        </w:rPr>
        <w:t>- 24 -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"_Toc14437" </w:instrText>
      </w:r>
      <w:r>
        <w:fldChar w:fldCharType="separate"/>
      </w:r>
      <w:r>
        <w:rPr>
          <w:rFonts w:eastAsia="仿宋_GB2312"/>
          <w:sz w:val="32"/>
          <w:szCs w:val="32"/>
        </w:rPr>
        <w:t>4.1人力资源</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_Toc14437 \h </w:instrText>
      </w:r>
      <w:r>
        <w:rPr>
          <w:rFonts w:eastAsia="仿宋_GB2312"/>
          <w:sz w:val="32"/>
          <w:szCs w:val="32"/>
        </w:rPr>
        <w:fldChar w:fldCharType="separate"/>
      </w:r>
      <w:r>
        <w:rPr>
          <w:rFonts w:eastAsia="仿宋_GB2312"/>
          <w:sz w:val="32"/>
          <w:szCs w:val="32"/>
        </w:rPr>
        <w:t>- 24 -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"_Toc26983" </w:instrText>
      </w:r>
      <w:r>
        <w:fldChar w:fldCharType="separate"/>
      </w:r>
      <w:r>
        <w:rPr>
          <w:rFonts w:eastAsia="仿宋_GB2312"/>
          <w:sz w:val="32"/>
          <w:szCs w:val="32"/>
        </w:rPr>
        <w:t>4.2财力支持</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_Toc26983 \h </w:instrText>
      </w:r>
      <w:r>
        <w:rPr>
          <w:rFonts w:eastAsia="仿宋_GB2312"/>
          <w:sz w:val="32"/>
          <w:szCs w:val="32"/>
        </w:rPr>
        <w:fldChar w:fldCharType="separate"/>
      </w:r>
      <w:r>
        <w:rPr>
          <w:rFonts w:eastAsia="仿宋_GB2312"/>
          <w:sz w:val="32"/>
          <w:szCs w:val="32"/>
        </w:rPr>
        <w:t>- 25 -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"_Toc14736" </w:instrText>
      </w:r>
      <w:r>
        <w:fldChar w:fldCharType="separate"/>
      </w:r>
      <w:r>
        <w:rPr>
          <w:rFonts w:eastAsia="仿宋_GB2312"/>
          <w:sz w:val="32"/>
          <w:szCs w:val="32"/>
        </w:rPr>
        <w:t>4.3物资装备</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_Toc14736 \h </w:instrText>
      </w:r>
      <w:r>
        <w:rPr>
          <w:rFonts w:eastAsia="仿宋_GB2312"/>
          <w:sz w:val="32"/>
          <w:szCs w:val="32"/>
        </w:rPr>
        <w:fldChar w:fldCharType="separate"/>
      </w:r>
      <w:r>
        <w:rPr>
          <w:rFonts w:eastAsia="仿宋_GB2312"/>
          <w:sz w:val="32"/>
          <w:szCs w:val="32"/>
        </w:rPr>
        <w:t>- 26 -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"_Toc20408" </w:instrText>
      </w:r>
      <w:r>
        <w:fldChar w:fldCharType="separate"/>
      </w:r>
      <w:r>
        <w:rPr>
          <w:rFonts w:eastAsia="仿宋_GB2312"/>
          <w:sz w:val="32"/>
          <w:szCs w:val="32"/>
        </w:rPr>
        <w:t>4.4科技支撑</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_Toc20408 \h </w:instrText>
      </w:r>
      <w:r>
        <w:rPr>
          <w:rFonts w:eastAsia="仿宋_GB2312"/>
          <w:sz w:val="32"/>
          <w:szCs w:val="32"/>
        </w:rPr>
        <w:fldChar w:fldCharType="separate"/>
      </w:r>
      <w:r>
        <w:rPr>
          <w:rFonts w:eastAsia="仿宋_GB2312"/>
          <w:sz w:val="32"/>
          <w:szCs w:val="32"/>
        </w:rPr>
        <w:t>- 27 -</w:t>
      </w:r>
      <w:r>
        <w:rPr>
          <w:rFonts w:eastAsia="仿宋_GB2312"/>
          <w:sz w:val="32"/>
          <w:szCs w:val="32"/>
        </w:rPr>
        <w:fldChar w:fldCharType="end"/>
      </w:r>
      <w:r>
        <w:rPr>
          <w:rFonts w:eastAsia="仿宋_GB2312"/>
          <w:sz w:val="32"/>
          <w:szCs w:val="32"/>
        </w:rPr>
        <w:fldChar w:fldCharType="end"/>
      </w:r>
    </w:p>
    <w:p>
      <w:pPr>
        <w:pStyle w:val="3"/>
        <w:tabs>
          <w:tab w:val="right" w:leader="dot" w:pos="8844"/>
        </w:tabs>
        <w:ind w:left="0" w:leftChars="0"/>
        <w:rPr>
          <w:rFonts w:eastAsia="仿宋_GB2312"/>
          <w:sz w:val="32"/>
          <w:szCs w:val="32"/>
        </w:rPr>
      </w:pPr>
      <w:r>
        <w:fldChar w:fldCharType="begin"/>
      </w:r>
      <w:r>
        <w:instrText xml:space="preserve"> HYPERLINK \l "_Toc10434" </w:instrText>
      </w:r>
      <w:r>
        <w:fldChar w:fldCharType="separate"/>
      </w:r>
      <w:r>
        <w:rPr>
          <w:rFonts w:eastAsia="仿宋_GB2312"/>
          <w:sz w:val="32"/>
          <w:szCs w:val="32"/>
        </w:rPr>
        <w:t>5预案管理</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_Toc10434 \h </w:instrText>
      </w:r>
      <w:r>
        <w:rPr>
          <w:rFonts w:eastAsia="仿宋_GB2312"/>
          <w:sz w:val="32"/>
          <w:szCs w:val="32"/>
        </w:rPr>
        <w:fldChar w:fldCharType="separate"/>
      </w:r>
      <w:r>
        <w:rPr>
          <w:rFonts w:eastAsia="仿宋_GB2312"/>
          <w:sz w:val="32"/>
          <w:szCs w:val="32"/>
        </w:rPr>
        <w:t>- 27 -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"_Toc31955" </w:instrText>
      </w:r>
      <w:r>
        <w:fldChar w:fldCharType="separate"/>
      </w:r>
      <w:r>
        <w:rPr>
          <w:rFonts w:eastAsia="仿宋_GB2312"/>
          <w:sz w:val="32"/>
          <w:szCs w:val="32"/>
        </w:rPr>
        <w:t>5.1预案编制</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_Toc31955 \h </w:instrText>
      </w:r>
      <w:r>
        <w:rPr>
          <w:rFonts w:eastAsia="仿宋_GB2312"/>
          <w:sz w:val="32"/>
          <w:szCs w:val="32"/>
        </w:rPr>
        <w:fldChar w:fldCharType="separate"/>
      </w:r>
      <w:r>
        <w:rPr>
          <w:rFonts w:eastAsia="仿宋_GB2312"/>
          <w:sz w:val="32"/>
          <w:szCs w:val="32"/>
        </w:rPr>
        <w:t>- 27 -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"_Toc3590" </w:instrText>
      </w:r>
      <w:r>
        <w:fldChar w:fldCharType="separate"/>
      </w:r>
      <w:r>
        <w:rPr>
          <w:rFonts w:eastAsia="仿宋_GB2312"/>
          <w:sz w:val="32"/>
          <w:szCs w:val="32"/>
        </w:rPr>
        <w:t>5.2预案审批与衔接</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_Toc3590 \h </w:instrText>
      </w:r>
      <w:r>
        <w:rPr>
          <w:rFonts w:eastAsia="仿宋_GB2312"/>
          <w:sz w:val="32"/>
          <w:szCs w:val="32"/>
        </w:rPr>
        <w:fldChar w:fldCharType="separate"/>
      </w:r>
      <w:r>
        <w:rPr>
          <w:rFonts w:eastAsia="仿宋_GB2312"/>
          <w:sz w:val="32"/>
          <w:szCs w:val="32"/>
        </w:rPr>
        <w:t>- 29 -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"_Toc29036" </w:instrText>
      </w:r>
      <w:r>
        <w:fldChar w:fldCharType="separate"/>
      </w:r>
      <w:r>
        <w:rPr>
          <w:rFonts w:eastAsia="仿宋_GB2312"/>
          <w:sz w:val="32"/>
          <w:szCs w:val="32"/>
        </w:rPr>
        <w:t>5.3预案演练</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_Toc29036 \h </w:instrText>
      </w:r>
      <w:r>
        <w:rPr>
          <w:rFonts w:eastAsia="仿宋_GB2312"/>
          <w:sz w:val="32"/>
          <w:szCs w:val="32"/>
        </w:rPr>
        <w:fldChar w:fldCharType="separate"/>
      </w:r>
      <w:r>
        <w:rPr>
          <w:rFonts w:eastAsia="仿宋_GB2312"/>
          <w:sz w:val="32"/>
          <w:szCs w:val="32"/>
        </w:rPr>
        <w:t>- 31 -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"_Toc1200" </w:instrText>
      </w:r>
      <w:r>
        <w:fldChar w:fldCharType="separate"/>
      </w:r>
      <w:r>
        <w:rPr>
          <w:rFonts w:eastAsia="仿宋_GB2312"/>
          <w:sz w:val="32"/>
          <w:szCs w:val="32"/>
        </w:rPr>
        <w:t>5.4预案评估与修订</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_Toc1200 \h </w:instrText>
      </w:r>
      <w:r>
        <w:rPr>
          <w:rFonts w:eastAsia="仿宋_GB2312"/>
          <w:sz w:val="32"/>
          <w:szCs w:val="32"/>
        </w:rPr>
        <w:fldChar w:fldCharType="separate"/>
      </w:r>
      <w:r>
        <w:rPr>
          <w:rFonts w:eastAsia="仿宋_GB2312"/>
          <w:sz w:val="32"/>
          <w:szCs w:val="32"/>
        </w:rPr>
        <w:t>- 32 -</w:t>
      </w:r>
      <w:r>
        <w:rPr>
          <w:rFonts w:eastAsia="仿宋_GB2312"/>
          <w:sz w:val="32"/>
          <w:szCs w:val="32"/>
        </w:rPr>
        <w:fldChar w:fldCharType="end"/>
      </w:r>
      <w:r>
        <w:rPr>
          <w:rFonts w:eastAsia="仿宋_GB2312"/>
          <w:sz w:val="32"/>
          <w:szCs w:val="32"/>
        </w:rPr>
        <w:fldChar w:fldCharType="end"/>
      </w:r>
    </w:p>
    <w:p>
      <w:pPr>
        <w:pStyle w:val="3"/>
        <w:tabs>
          <w:tab w:val="right" w:leader="dot" w:pos="8844"/>
        </w:tabs>
        <w:ind w:left="0" w:leftChars="0"/>
        <w:rPr>
          <w:rFonts w:eastAsia="仿宋_GB2312"/>
          <w:sz w:val="32"/>
          <w:szCs w:val="32"/>
        </w:rPr>
      </w:pPr>
      <w:r>
        <w:fldChar w:fldCharType="begin"/>
      </w:r>
      <w:r>
        <w:instrText xml:space="preserve"> HYPERLINK \l "_Toc19249" </w:instrText>
      </w:r>
      <w:r>
        <w:fldChar w:fldCharType="separate"/>
      </w:r>
      <w:r>
        <w:rPr>
          <w:rFonts w:eastAsia="仿宋_GB2312"/>
          <w:sz w:val="32"/>
          <w:szCs w:val="32"/>
        </w:rPr>
        <w:t>6宣传和培训</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_Toc19249 \h </w:instrText>
      </w:r>
      <w:r>
        <w:rPr>
          <w:rFonts w:eastAsia="仿宋_GB2312"/>
          <w:sz w:val="32"/>
          <w:szCs w:val="32"/>
        </w:rPr>
        <w:fldChar w:fldCharType="separate"/>
      </w:r>
      <w:r>
        <w:rPr>
          <w:rFonts w:eastAsia="仿宋_GB2312"/>
          <w:sz w:val="32"/>
          <w:szCs w:val="32"/>
        </w:rPr>
        <w:t>- 33 -</w:t>
      </w:r>
      <w:r>
        <w:rPr>
          <w:rFonts w:eastAsia="仿宋_GB2312"/>
          <w:sz w:val="32"/>
          <w:szCs w:val="32"/>
        </w:rPr>
        <w:fldChar w:fldCharType="end"/>
      </w:r>
      <w:r>
        <w:rPr>
          <w:rFonts w:eastAsia="仿宋_GB2312"/>
          <w:sz w:val="32"/>
          <w:szCs w:val="32"/>
        </w:rPr>
        <w:fldChar w:fldCharType="end"/>
      </w:r>
    </w:p>
    <w:p>
      <w:pPr>
        <w:pStyle w:val="3"/>
        <w:tabs>
          <w:tab w:val="right" w:leader="dot" w:pos="8844"/>
        </w:tabs>
        <w:ind w:left="0" w:leftChars="0"/>
        <w:rPr>
          <w:rFonts w:eastAsia="仿宋_GB2312"/>
          <w:sz w:val="32"/>
          <w:szCs w:val="32"/>
        </w:rPr>
      </w:pPr>
      <w:r>
        <w:fldChar w:fldCharType="begin"/>
      </w:r>
      <w:r>
        <w:instrText xml:space="preserve"> HYPERLINK \l "_Toc3255" </w:instrText>
      </w:r>
      <w:r>
        <w:fldChar w:fldCharType="separate"/>
      </w:r>
      <w:r>
        <w:rPr>
          <w:rFonts w:eastAsia="仿宋_GB2312"/>
          <w:sz w:val="32"/>
          <w:szCs w:val="32"/>
        </w:rPr>
        <w:t>7责任与奖惩</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_Toc3255 \h </w:instrText>
      </w:r>
      <w:r>
        <w:rPr>
          <w:rFonts w:eastAsia="仿宋_GB2312"/>
          <w:sz w:val="32"/>
          <w:szCs w:val="32"/>
        </w:rPr>
        <w:fldChar w:fldCharType="separate"/>
      </w:r>
      <w:r>
        <w:rPr>
          <w:rFonts w:eastAsia="仿宋_GB2312"/>
          <w:sz w:val="32"/>
          <w:szCs w:val="32"/>
        </w:rPr>
        <w:t>- 34 -</w:t>
      </w:r>
      <w:r>
        <w:rPr>
          <w:rFonts w:eastAsia="仿宋_GB2312"/>
          <w:sz w:val="32"/>
          <w:szCs w:val="32"/>
        </w:rPr>
        <w:fldChar w:fldCharType="end"/>
      </w:r>
      <w:r>
        <w:rPr>
          <w:rFonts w:eastAsia="仿宋_GB2312"/>
          <w:sz w:val="32"/>
          <w:szCs w:val="32"/>
        </w:rPr>
        <w:fldChar w:fldCharType="end"/>
      </w:r>
    </w:p>
    <w:p>
      <w:pPr>
        <w:pStyle w:val="3"/>
        <w:tabs>
          <w:tab w:val="right" w:leader="dot" w:pos="8844"/>
        </w:tabs>
        <w:ind w:left="0" w:leftChars="0"/>
        <w:rPr>
          <w:rFonts w:eastAsia="仿宋_GB2312"/>
          <w:sz w:val="32"/>
          <w:szCs w:val="32"/>
        </w:rPr>
      </w:pPr>
      <w:r>
        <w:fldChar w:fldCharType="begin"/>
      </w:r>
      <w:r>
        <w:instrText xml:space="preserve"> HYPERLINK \l "_Toc1847" </w:instrText>
      </w:r>
      <w:r>
        <w:fldChar w:fldCharType="separate"/>
      </w:r>
      <w:r>
        <w:rPr>
          <w:rFonts w:eastAsia="仿宋_GB2312"/>
          <w:sz w:val="32"/>
          <w:szCs w:val="32"/>
        </w:rPr>
        <w:t>8附则</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_Toc1847 \h </w:instrText>
      </w:r>
      <w:r>
        <w:rPr>
          <w:rFonts w:eastAsia="仿宋_GB2312"/>
          <w:sz w:val="32"/>
          <w:szCs w:val="32"/>
        </w:rPr>
        <w:fldChar w:fldCharType="separate"/>
      </w:r>
      <w:r>
        <w:rPr>
          <w:rFonts w:eastAsia="仿宋_GB2312"/>
          <w:sz w:val="32"/>
          <w:szCs w:val="32"/>
        </w:rPr>
        <w:t>- 34 -</w:t>
      </w:r>
      <w:r>
        <w:rPr>
          <w:rFonts w:eastAsia="仿宋_GB2312"/>
          <w:sz w:val="32"/>
          <w:szCs w:val="32"/>
        </w:rPr>
        <w:fldChar w:fldCharType="end"/>
      </w:r>
      <w:r>
        <w:rPr>
          <w:rFonts w:eastAsia="仿宋_GB2312"/>
          <w:sz w:val="32"/>
          <w:szCs w:val="32"/>
        </w:rPr>
        <w:fldChar w:fldCharType="end"/>
      </w:r>
    </w:p>
    <w:p>
      <w:pPr>
        <w:pStyle w:val="3"/>
        <w:tabs>
          <w:tab w:val="right" w:leader="dot" w:pos="8844"/>
        </w:tabs>
        <w:ind w:left="0" w:leftChars="0"/>
        <w:rPr>
          <w:rFonts w:eastAsia="仿宋_GB2312"/>
          <w:sz w:val="32"/>
          <w:szCs w:val="32"/>
        </w:rPr>
      </w:pPr>
      <w:r>
        <w:fldChar w:fldCharType="begin"/>
      </w:r>
      <w:r>
        <w:instrText xml:space="preserve"> HYPERLINK \l "_Toc8174" </w:instrText>
      </w:r>
      <w:r>
        <w:fldChar w:fldCharType="separate"/>
      </w:r>
      <w:r>
        <w:rPr>
          <w:rFonts w:eastAsia="仿宋_GB2312"/>
          <w:sz w:val="32"/>
          <w:szCs w:val="32"/>
        </w:rPr>
        <w:t>9附件</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_Toc8174 \h </w:instrText>
      </w:r>
      <w:r>
        <w:rPr>
          <w:rFonts w:eastAsia="仿宋_GB2312"/>
          <w:sz w:val="32"/>
          <w:szCs w:val="32"/>
        </w:rPr>
        <w:fldChar w:fldCharType="separate"/>
      </w:r>
      <w:r>
        <w:rPr>
          <w:rFonts w:eastAsia="仿宋_GB2312"/>
          <w:sz w:val="32"/>
          <w:szCs w:val="32"/>
        </w:rPr>
        <w:t>- 34 -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"_Toc11473" </w:instrText>
      </w:r>
      <w:r>
        <w:fldChar w:fldCharType="separate"/>
      </w:r>
      <w:r>
        <w:rPr>
          <w:rFonts w:eastAsia="仿宋_GB2312"/>
          <w:sz w:val="32"/>
          <w:szCs w:val="32"/>
        </w:rPr>
        <w:t>9.1县级主要应急预案及其牵头部门</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_Toc11473 \h </w:instrText>
      </w:r>
      <w:r>
        <w:rPr>
          <w:rFonts w:eastAsia="仿宋_GB2312"/>
          <w:sz w:val="32"/>
          <w:szCs w:val="32"/>
        </w:rPr>
        <w:fldChar w:fldCharType="separate"/>
      </w:r>
      <w:r>
        <w:rPr>
          <w:rFonts w:eastAsia="仿宋_GB2312"/>
          <w:sz w:val="32"/>
          <w:szCs w:val="32"/>
        </w:rPr>
        <w:t>- 34 -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"_Toc29185" </w:instrText>
      </w:r>
      <w:r>
        <w:fldChar w:fldCharType="separate"/>
      </w:r>
      <w:r>
        <w:rPr>
          <w:rFonts w:eastAsia="仿宋_GB2312"/>
          <w:sz w:val="32"/>
          <w:szCs w:val="32"/>
        </w:rPr>
        <w:t>9.1.1县级主要专项应急预案</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_Toc29185 \h </w:instrText>
      </w:r>
      <w:r>
        <w:rPr>
          <w:rFonts w:eastAsia="仿宋_GB2312"/>
          <w:sz w:val="32"/>
          <w:szCs w:val="32"/>
        </w:rPr>
        <w:fldChar w:fldCharType="separate"/>
      </w:r>
      <w:r>
        <w:rPr>
          <w:rFonts w:eastAsia="仿宋_GB2312"/>
          <w:sz w:val="32"/>
          <w:szCs w:val="32"/>
        </w:rPr>
        <w:t>- 34 -</w:t>
      </w:r>
      <w:r>
        <w:rPr>
          <w:rFonts w:eastAsia="仿宋_GB2312"/>
          <w:sz w:val="32"/>
          <w:szCs w:val="32"/>
        </w:rPr>
        <w:fldChar w:fldCharType="end"/>
      </w:r>
      <w:r>
        <w:rPr>
          <w:rFonts w:eastAsia="仿宋_GB2312"/>
          <w:sz w:val="32"/>
          <w:szCs w:val="32"/>
        </w:rPr>
        <w:fldChar w:fldCharType="end"/>
      </w:r>
    </w:p>
    <w:p>
      <w:pPr>
        <w:pStyle w:val="3"/>
        <w:tabs>
          <w:tab w:val="right" w:leader="dot" w:pos="8844"/>
        </w:tabs>
        <w:rPr>
          <w:rFonts w:eastAsia="仿宋_GB2312"/>
          <w:sz w:val="32"/>
          <w:szCs w:val="32"/>
        </w:rPr>
      </w:pPr>
      <w:r>
        <w:fldChar w:fldCharType="begin"/>
      </w:r>
      <w:r>
        <w:instrText xml:space="preserve"> HYPERLINK \l "_Toc19477" </w:instrText>
      </w:r>
      <w:r>
        <w:fldChar w:fldCharType="separate"/>
      </w:r>
      <w:r>
        <w:rPr>
          <w:rFonts w:eastAsia="仿宋_GB2312"/>
          <w:sz w:val="32"/>
          <w:szCs w:val="32"/>
        </w:rPr>
        <w:t>9.1.2县级主要部门应急预案</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_Toc19477 \h </w:instrText>
      </w:r>
      <w:r>
        <w:rPr>
          <w:rFonts w:eastAsia="仿宋_GB2312"/>
          <w:sz w:val="32"/>
          <w:szCs w:val="32"/>
        </w:rPr>
        <w:fldChar w:fldCharType="separate"/>
      </w:r>
      <w:r>
        <w:rPr>
          <w:rFonts w:eastAsia="仿宋_GB2312"/>
          <w:sz w:val="32"/>
          <w:szCs w:val="32"/>
        </w:rPr>
        <w:t>- 37 -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"_Toc14688" </w:instrText>
      </w:r>
      <w:r>
        <w:fldChar w:fldCharType="separate"/>
      </w:r>
      <w:r>
        <w:rPr>
          <w:rFonts w:eastAsia="仿宋_GB2312"/>
          <w:bCs/>
          <w:sz w:val="32"/>
          <w:szCs w:val="32"/>
        </w:rPr>
        <w:t>9.2茂县突发事件应急组织体系结构图</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_Toc14688 \h </w:instrText>
      </w:r>
      <w:r>
        <w:rPr>
          <w:rFonts w:eastAsia="仿宋_GB2312"/>
          <w:sz w:val="32"/>
          <w:szCs w:val="32"/>
        </w:rPr>
        <w:fldChar w:fldCharType="separate"/>
      </w:r>
      <w:r>
        <w:rPr>
          <w:rFonts w:eastAsia="仿宋_GB2312"/>
          <w:sz w:val="32"/>
          <w:szCs w:val="32"/>
        </w:rPr>
        <w:t>- 38 -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"_Toc21916" </w:instrText>
      </w:r>
      <w:r>
        <w:fldChar w:fldCharType="separate"/>
      </w:r>
      <w:r>
        <w:rPr>
          <w:rFonts w:eastAsia="仿宋_GB2312"/>
          <w:bCs/>
          <w:sz w:val="32"/>
          <w:szCs w:val="32"/>
        </w:rPr>
        <w:t>9.3茂县突发事件应急响应参考流程图</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_Toc21916 \h </w:instrText>
      </w:r>
      <w:r>
        <w:rPr>
          <w:rFonts w:eastAsia="仿宋_GB2312"/>
          <w:sz w:val="32"/>
          <w:szCs w:val="32"/>
        </w:rPr>
        <w:fldChar w:fldCharType="separate"/>
      </w:r>
      <w:r>
        <w:rPr>
          <w:rFonts w:eastAsia="仿宋_GB2312"/>
          <w:sz w:val="32"/>
          <w:szCs w:val="32"/>
        </w:rPr>
        <w:t>- 39 -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"_Toc4223" </w:instrText>
      </w:r>
      <w:r>
        <w:fldChar w:fldCharType="separate"/>
      </w:r>
      <w:r>
        <w:rPr>
          <w:rFonts w:eastAsia="仿宋_GB2312"/>
          <w:bCs/>
          <w:sz w:val="32"/>
          <w:szCs w:val="32"/>
        </w:rPr>
        <w:t>9.4茂县突发事件应急处置与救援参考流程图</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_Toc4223 \h </w:instrText>
      </w:r>
      <w:r>
        <w:rPr>
          <w:rFonts w:eastAsia="仿宋_GB2312"/>
          <w:sz w:val="32"/>
          <w:szCs w:val="32"/>
        </w:rPr>
        <w:fldChar w:fldCharType="separate"/>
      </w:r>
      <w:r>
        <w:rPr>
          <w:rFonts w:eastAsia="仿宋_GB2312"/>
          <w:sz w:val="32"/>
          <w:szCs w:val="32"/>
        </w:rPr>
        <w:t>- 40 -</w:t>
      </w:r>
      <w:r>
        <w:rPr>
          <w:rFonts w:eastAsia="仿宋_GB2312"/>
          <w:sz w:val="32"/>
          <w:szCs w:val="32"/>
        </w:rPr>
        <w:fldChar w:fldCharType="end"/>
      </w:r>
      <w:r>
        <w:rPr>
          <w:rFonts w:eastAsia="仿宋_GB2312"/>
          <w:sz w:val="32"/>
          <w:szCs w:val="32"/>
        </w:rPr>
        <w:fldChar w:fldCharType="end"/>
      </w:r>
    </w:p>
    <w:p>
      <w:pPr>
        <w:pStyle w:val="8"/>
        <w:tabs>
          <w:tab w:val="right" w:leader="dot" w:pos="8844"/>
        </w:tabs>
        <w:rPr>
          <w:rFonts w:eastAsia="仿宋_GB2312"/>
          <w:sz w:val="32"/>
          <w:szCs w:val="32"/>
        </w:rPr>
      </w:pPr>
      <w:r>
        <w:fldChar w:fldCharType="begin"/>
      </w:r>
      <w:r>
        <w:instrText xml:space="preserve"> HYPERLINK \l "_Toc15686" </w:instrText>
      </w:r>
      <w:r>
        <w:fldChar w:fldCharType="separate"/>
      </w:r>
      <w:r>
        <w:rPr>
          <w:rFonts w:eastAsia="仿宋_GB2312"/>
          <w:bCs/>
          <w:sz w:val="32"/>
          <w:szCs w:val="32"/>
        </w:rPr>
        <w:t>9.5茂县应急委员会通讯录</w:t>
      </w:r>
      <w:r>
        <w:rPr>
          <w:rFonts w:eastAsia="仿宋_GB2312"/>
          <w:sz w:val="32"/>
          <w:szCs w:val="32"/>
        </w:rPr>
        <w:tab/>
      </w:r>
      <w:r>
        <w:rPr>
          <w:rFonts w:eastAsia="仿宋_GB2312"/>
          <w:sz w:val="32"/>
          <w:szCs w:val="32"/>
        </w:rPr>
        <w:fldChar w:fldCharType="begin"/>
      </w:r>
      <w:r>
        <w:rPr>
          <w:rFonts w:eastAsia="仿宋_GB2312"/>
          <w:sz w:val="32"/>
          <w:szCs w:val="32"/>
        </w:rPr>
        <w:instrText xml:space="preserve"> PAGEREF _Toc15686 \h </w:instrText>
      </w:r>
      <w:r>
        <w:rPr>
          <w:rFonts w:eastAsia="仿宋_GB2312"/>
          <w:sz w:val="32"/>
          <w:szCs w:val="32"/>
        </w:rPr>
        <w:fldChar w:fldCharType="separate"/>
      </w:r>
      <w:r>
        <w:rPr>
          <w:rFonts w:eastAsia="仿宋_GB2312"/>
          <w:sz w:val="32"/>
          <w:szCs w:val="32"/>
        </w:rPr>
        <w:t>41</w:t>
      </w:r>
      <w:r>
        <w:rPr>
          <w:rFonts w:eastAsia="仿宋_GB2312"/>
          <w:sz w:val="32"/>
          <w:szCs w:val="32"/>
        </w:rPr>
        <w:fldChar w:fldCharType="end"/>
      </w:r>
      <w:r>
        <w:rPr>
          <w:rFonts w:eastAsia="仿宋_GB2312"/>
          <w:sz w:val="32"/>
          <w:szCs w:val="32"/>
        </w:rPr>
        <w:fldChar w:fldCharType="end"/>
      </w:r>
    </w:p>
    <w:p>
      <w:pPr>
        <w:pStyle w:val="3"/>
        <w:tabs>
          <w:tab w:val="right" w:leader="dot" w:pos="8834"/>
        </w:tabs>
        <w:adjustRightInd w:val="0"/>
        <w:snapToGrid w:val="0"/>
        <w:spacing w:line="276" w:lineRule="auto"/>
        <w:ind w:left="0" w:leftChars="0" w:firstLine="640"/>
        <w:jc w:val="center"/>
      </w:pPr>
      <w:r>
        <w:rPr>
          <w:rFonts w:hint="eastAsia" w:ascii="仿宋_GB2312" w:hAnsi="仿宋_GB2312"/>
          <w:szCs w:val="32"/>
        </w:rPr>
        <w:fldChar w:fldCharType="end"/>
      </w:r>
    </w:p>
    <w:p>
      <w:pPr>
        <w:pStyle w:val="20"/>
      </w:pPr>
    </w:p>
    <w:p>
      <w:pPr>
        <w:pStyle w:val="20"/>
      </w:pPr>
    </w:p>
    <w:p>
      <w:pPr>
        <w:pStyle w:val="20"/>
      </w:pPr>
    </w:p>
    <w:p>
      <w:pPr>
        <w:pStyle w:val="20"/>
      </w:pPr>
    </w:p>
    <w:p>
      <w:pPr>
        <w:pStyle w:val="20"/>
      </w:pPr>
    </w:p>
    <w:p>
      <w:pPr>
        <w:pStyle w:val="20"/>
      </w:pPr>
    </w:p>
    <w:p>
      <w:pPr>
        <w:pStyle w:val="20"/>
      </w:pPr>
    </w:p>
    <w:p>
      <w:pPr>
        <w:pStyle w:val="20"/>
        <w:ind w:firstLine="0" w:firstLineChars="0"/>
        <w:sectPr>
          <w:footerReference r:id="rId3" w:type="default"/>
          <w:footerReference r:id="rId4" w:type="even"/>
          <w:pgSz w:w="11906" w:h="16838"/>
          <w:pgMar w:top="2098" w:right="1474" w:bottom="1985" w:left="1588" w:header="284" w:footer="1418" w:gutter="0"/>
          <w:pgNumType w:fmt="upperRoman" w:start="1"/>
          <w:docGrid w:type="lines" w:linePitch="582" w:charSpace="-886"/>
        </w:sectPr>
      </w:pPr>
    </w:p>
    <w:p>
      <w:pPr>
        <w:pStyle w:val="21"/>
        <w:spacing w:line="540" w:lineRule="exact"/>
        <w:ind w:firstLine="480" w:firstLineChars="150"/>
        <w:outlineLvl w:val="0"/>
        <w:rPr>
          <w:rFonts w:ascii="黑体" w:cs="黑体"/>
        </w:rPr>
      </w:pPr>
      <w:bookmarkStart w:id="0" w:name="_Toc23791"/>
      <w:r>
        <w:rPr>
          <w:rFonts w:hint="eastAsia" w:ascii="黑体" w:cs="黑体"/>
        </w:rPr>
        <w:t>1总则</w:t>
      </w:r>
      <w:bookmarkEnd w:id="0"/>
    </w:p>
    <w:p>
      <w:pPr>
        <w:pStyle w:val="20"/>
        <w:adjustRightInd w:val="0"/>
        <w:snapToGrid w:val="0"/>
        <w:spacing w:line="540" w:lineRule="exact"/>
        <w:rPr>
          <w:rFonts w:ascii="仿宋_GB2312"/>
        </w:rPr>
      </w:pPr>
      <w:r>
        <w:rPr>
          <w:rFonts w:hint="eastAsia" w:ascii="仿宋_GB2312"/>
        </w:rPr>
        <w:t>以习近平新时代中国特色社会主义思想和习近平总书记关于应急管理、安全生产、防灾减灾救灾重要论述、重要指示为根本遵循，以推进应急管理体系和能力现代化为导向，坚决有效防控全局性、系统性重大风险，科学有序、精准高效应对各类突发事件，切实保障公共安全和维护社会稳定，为茂县全面融入川西北生态示范区、打造“五地一中心”营造</w:t>
      </w:r>
      <w:r>
        <w:rPr>
          <w:rFonts w:ascii="仿宋_GB2312"/>
        </w:rPr>
        <w:t>安全发展环境</w:t>
      </w:r>
      <w:r>
        <w:rPr>
          <w:rFonts w:hint="eastAsia" w:ascii="仿宋_GB2312"/>
        </w:rPr>
        <w:t>，依据《中华人民共和国突发事件应对法》《突发事件应急预案管理办法》《四川省突发事件应对办法》和《阿坝州藏族羌族自治州突发事件应对条例》等法律法规和文件，结合《四川省突发事件总体应急预案（试行）》《阿坝州突发事件总体应急预案》和茂县县情和近年突发事件处置工作实践，制定本预案。</w:t>
      </w:r>
    </w:p>
    <w:p>
      <w:pPr>
        <w:pStyle w:val="20"/>
        <w:spacing w:line="540" w:lineRule="exact"/>
        <w:outlineLvl w:val="1"/>
        <w:rPr>
          <w:rFonts w:eastAsia="仿宋"/>
        </w:rPr>
      </w:pPr>
      <w:bookmarkStart w:id="1" w:name="_Toc8653286"/>
      <w:bookmarkEnd w:id="1"/>
      <w:bookmarkStart w:id="2" w:name="_Toc11176164"/>
      <w:bookmarkStart w:id="3" w:name="_Toc20583"/>
      <w:r>
        <w:rPr>
          <w:rFonts w:eastAsia="仿宋"/>
        </w:rPr>
        <w:t>1.1</w:t>
      </w:r>
      <w:r>
        <w:rPr>
          <w:rFonts w:hint="eastAsia" w:ascii="仿宋_GB2312"/>
        </w:rPr>
        <w:t>适用范围</w:t>
      </w:r>
      <w:bookmarkEnd w:id="2"/>
      <w:bookmarkEnd w:id="3"/>
    </w:p>
    <w:p>
      <w:pPr>
        <w:pStyle w:val="20"/>
        <w:adjustRightInd w:val="0"/>
        <w:snapToGrid w:val="0"/>
        <w:spacing w:line="540" w:lineRule="exact"/>
        <w:rPr>
          <w:rFonts w:ascii="仿宋_GB2312"/>
        </w:rPr>
      </w:pPr>
      <w:r>
        <w:rPr>
          <w:rFonts w:hint="eastAsia" w:ascii="仿宋_GB2312"/>
        </w:rPr>
        <w:t>本预案是全县应对各类突发事件的总纲，指导全县突发事件的风险防控、应急准备、监测预警、应对处置、恢复重建等工作。</w:t>
      </w:r>
    </w:p>
    <w:p>
      <w:pPr>
        <w:pStyle w:val="20"/>
        <w:adjustRightInd w:val="0"/>
        <w:snapToGrid w:val="0"/>
        <w:spacing w:line="540" w:lineRule="exact"/>
        <w:rPr>
          <w:rFonts w:eastAsia="仿宋"/>
        </w:rPr>
      </w:pPr>
      <w:r>
        <w:rPr>
          <w:rFonts w:hint="eastAsia" w:ascii="仿宋_GB2312"/>
        </w:rPr>
        <w:t>本预案所称突发事件是指突然发生，造成或者可能造成严重社会危害，需要采取应急措施予以应对处置的自然灾害、事故灾难、公共卫生事件和社会安全事件。</w:t>
      </w:r>
    </w:p>
    <w:p>
      <w:pPr>
        <w:pStyle w:val="20"/>
        <w:spacing w:line="540" w:lineRule="exact"/>
        <w:outlineLvl w:val="1"/>
        <w:rPr>
          <w:rFonts w:eastAsia="仿宋"/>
        </w:rPr>
      </w:pPr>
      <w:bookmarkStart w:id="4" w:name="_Toc8653287"/>
      <w:bookmarkEnd w:id="4"/>
      <w:bookmarkStart w:id="5" w:name="_Toc11176165"/>
      <w:bookmarkStart w:id="6" w:name="_Toc27766"/>
      <w:r>
        <w:rPr>
          <w:rFonts w:eastAsia="仿宋"/>
        </w:rPr>
        <w:t>1.2</w:t>
      </w:r>
      <w:r>
        <w:rPr>
          <w:rFonts w:hint="eastAsia" w:ascii="仿宋_GB2312"/>
        </w:rPr>
        <w:t>工作原则</w:t>
      </w:r>
      <w:bookmarkEnd w:id="5"/>
      <w:bookmarkEnd w:id="6"/>
    </w:p>
    <w:p>
      <w:pPr>
        <w:pStyle w:val="20"/>
        <w:adjustRightInd w:val="0"/>
        <w:snapToGrid w:val="0"/>
        <w:spacing w:line="540" w:lineRule="exact"/>
        <w:rPr>
          <w:rFonts w:eastAsia="仿宋"/>
        </w:rPr>
      </w:pPr>
      <w:r>
        <w:rPr>
          <w:rFonts w:eastAsia="仿宋"/>
        </w:rPr>
        <w:t>（1）</w:t>
      </w:r>
      <w:r>
        <w:rPr>
          <w:rFonts w:hint="eastAsia" w:ascii="仿宋_GB2312"/>
        </w:rPr>
        <w:t>坚持人民至上、生命至上。树牢以人民为中心的发展思想和人民至上、生命至上的理念，切实把保障公众健康和生命财产安全作为首要任务，强化预防为主、源头防控，夯实基层基础，最大程度地减轻突发事件风险、减少突发事件及其造成的人员伤亡和危害。</w:t>
      </w:r>
    </w:p>
    <w:p>
      <w:pPr>
        <w:pStyle w:val="20"/>
        <w:adjustRightInd w:val="0"/>
        <w:snapToGrid w:val="0"/>
        <w:spacing w:line="540" w:lineRule="exact"/>
        <w:rPr>
          <w:rFonts w:eastAsia="仿宋"/>
        </w:rPr>
      </w:pPr>
      <w:r>
        <w:rPr>
          <w:rFonts w:eastAsia="仿宋"/>
        </w:rPr>
        <w:t>（2）</w:t>
      </w:r>
      <w:r>
        <w:rPr>
          <w:rFonts w:hint="eastAsia" w:ascii="仿宋_GB2312"/>
        </w:rPr>
        <w:t>坚持统一领导、整体联动。建立健全</w:t>
      </w:r>
      <w:r>
        <w:rPr>
          <w:rFonts w:hint="eastAsia" w:ascii="仿宋_GB2312"/>
          <w:color w:val="000000"/>
        </w:rPr>
        <w:t>党委</w:t>
      </w:r>
      <w:r>
        <w:rPr>
          <w:rFonts w:hint="eastAsia" w:ascii="仿宋_GB2312"/>
        </w:rPr>
        <w:t>领导下的应急管理行政领导负责制，加快构建统一指挥、专常兼备、反应灵敏、上下联动的应急能力体系；充分发挥应急管理部门的综合优势和各相关部门的专业优势，衔接好防和救的责任链条，形成整体合力。</w:t>
      </w:r>
    </w:p>
    <w:p>
      <w:pPr>
        <w:pStyle w:val="20"/>
        <w:adjustRightInd w:val="0"/>
        <w:snapToGrid w:val="0"/>
        <w:spacing w:line="540" w:lineRule="exact"/>
        <w:rPr>
          <w:rFonts w:eastAsia="仿宋"/>
        </w:rPr>
      </w:pPr>
      <w:r>
        <w:rPr>
          <w:rFonts w:eastAsia="仿宋"/>
        </w:rPr>
        <w:t>（3）</w:t>
      </w:r>
      <w:r>
        <w:rPr>
          <w:rFonts w:hint="eastAsia" w:ascii="仿宋_GB2312"/>
        </w:rPr>
        <w:t>坚持分级负责、属地为主。在县委领导下，县人民政府统筹指导、协调、调度各类资源予以支持；发生特别重大、重大、较大突发事件时在上级有关部门的领导下履行主体责任，全面负责本行政区域突发事件的组织应对工作；发生一般突发事件时靠前组织指挥，及时启动应急响应，统一调度使用应急资源。部门</w:t>
      </w:r>
      <w:r>
        <w:rPr>
          <w:rFonts w:ascii="仿宋_GB2312"/>
        </w:rPr>
        <w:t>、</w:t>
      </w:r>
      <w:r>
        <w:rPr>
          <w:rFonts w:hint="eastAsia" w:ascii="仿宋_GB2312"/>
        </w:rPr>
        <w:t>镇、企业等做好信息报告、先期处置等工作。组织动员社会力量广泛参与，形成工作合力。</w:t>
      </w:r>
    </w:p>
    <w:p>
      <w:pPr>
        <w:pStyle w:val="20"/>
        <w:adjustRightInd w:val="0"/>
        <w:snapToGrid w:val="0"/>
        <w:spacing w:line="540" w:lineRule="exact"/>
        <w:rPr>
          <w:rFonts w:eastAsia="仿宋"/>
        </w:rPr>
      </w:pPr>
      <w:r>
        <w:rPr>
          <w:rFonts w:eastAsia="仿宋"/>
        </w:rPr>
        <w:t>（4）</w:t>
      </w:r>
      <w:r>
        <w:rPr>
          <w:rFonts w:hint="eastAsia" w:ascii="仿宋_GB2312"/>
        </w:rPr>
        <w:t>坚持高效有序、协同应对。建立健全以</w:t>
      </w:r>
      <w:r>
        <w:rPr>
          <w:rFonts w:hint="eastAsia" w:ascii="仿宋_GB2312"/>
          <w:szCs w:val="32"/>
        </w:rPr>
        <w:t>县消防救援大队和县综合应急救援大队</w:t>
      </w:r>
      <w:r>
        <w:rPr>
          <w:rFonts w:hint="eastAsia" w:ascii="仿宋_GB2312"/>
        </w:rPr>
        <w:t>为主力、以解放军和武警部队应急力量为突击、以地方专业应急队伍为骨干、以各类社会力量为辅助的应急力量体系。健全完善快速反应、协调联动机制，高效有序应对各类突发事件。</w:t>
      </w:r>
    </w:p>
    <w:p>
      <w:pPr>
        <w:pStyle w:val="20"/>
        <w:adjustRightInd w:val="0"/>
        <w:snapToGrid w:val="0"/>
        <w:spacing w:line="540" w:lineRule="exact"/>
        <w:rPr>
          <w:rFonts w:eastAsia="仿宋"/>
        </w:rPr>
      </w:pPr>
      <w:r>
        <w:rPr>
          <w:rFonts w:eastAsia="仿宋"/>
        </w:rPr>
        <w:t>（5）</w:t>
      </w:r>
      <w:r>
        <w:rPr>
          <w:rFonts w:hint="eastAsia" w:ascii="仿宋_GB2312"/>
        </w:rPr>
        <w:t>坚持依法规范、科技支撑。依据有关法律和行政法规，维护公众的合法权益，提高突发事件应对工作法治化、规范化水平。充分发挥专家队伍和专业人员的作用，强化突发事件防范应对科技支撑，优化整合各类科技资源，提高应急管理科学化、专业化、智能化、精细化水平。</w:t>
      </w:r>
    </w:p>
    <w:p>
      <w:pPr>
        <w:pStyle w:val="20"/>
        <w:spacing w:line="540" w:lineRule="exact"/>
        <w:outlineLvl w:val="1"/>
        <w:rPr>
          <w:rFonts w:ascii="仿宋_GB2312"/>
        </w:rPr>
      </w:pPr>
      <w:bookmarkStart w:id="7" w:name="_Toc8653288"/>
      <w:bookmarkEnd w:id="7"/>
      <w:bookmarkStart w:id="8" w:name="_Toc11176166"/>
      <w:bookmarkStart w:id="9" w:name="_Toc19994"/>
      <w:r>
        <w:rPr>
          <w:rFonts w:eastAsia="仿宋"/>
        </w:rPr>
        <w:t>1.3</w:t>
      </w:r>
      <w:r>
        <w:rPr>
          <w:rFonts w:hint="eastAsia" w:ascii="仿宋_GB2312"/>
        </w:rPr>
        <w:t>突发事件分类分级</w:t>
      </w:r>
      <w:bookmarkEnd w:id="8"/>
      <w:bookmarkEnd w:id="9"/>
    </w:p>
    <w:p>
      <w:pPr>
        <w:pStyle w:val="20"/>
        <w:adjustRightInd w:val="0"/>
        <w:snapToGrid w:val="0"/>
        <w:spacing w:line="540" w:lineRule="exact"/>
        <w:rPr>
          <w:rFonts w:ascii="仿宋_GB2312"/>
        </w:rPr>
      </w:pPr>
      <w:r>
        <w:rPr>
          <w:rFonts w:hint="eastAsia" w:ascii="仿宋_GB2312"/>
        </w:rPr>
        <w:t>本预案所指突发事件包括四大类：</w:t>
      </w:r>
    </w:p>
    <w:p>
      <w:pPr>
        <w:pStyle w:val="20"/>
        <w:adjustRightInd w:val="0"/>
        <w:snapToGrid w:val="0"/>
        <w:spacing w:line="540" w:lineRule="exact"/>
      </w:pPr>
      <w:r>
        <w:rPr>
          <w:rFonts w:eastAsia="仿宋"/>
        </w:rPr>
        <w:t>（1）</w:t>
      </w:r>
      <w:r>
        <w:t>自然灾害。</w:t>
      </w:r>
      <w:r>
        <w:rPr>
          <w:rFonts w:hint="eastAsia"/>
        </w:rPr>
        <w:t>主要包括洪涝、干旱灾害，</w:t>
      </w:r>
      <w:r>
        <w:fldChar w:fldCharType="begin"/>
      </w:r>
      <w:r>
        <w:instrText xml:space="preserve">HYPERLINK "https://baike.baidu.com/item/%E5%86%B0%E9%9B%B9/35334"</w:instrText>
      </w:r>
      <w:r>
        <w:fldChar w:fldCharType="separate"/>
      </w:r>
      <w:r>
        <w:t>冰雹</w:t>
      </w:r>
      <w:r>
        <w:fldChar w:fldCharType="end"/>
      </w:r>
      <w:r>
        <w:t>、</w:t>
      </w:r>
      <w:r>
        <w:fldChar w:fldCharType="begin"/>
      </w:r>
      <w:r>
        <w:instrText xml:space="preserve">HYPERLINK "https://baike.baidu.com/item/%E6%9A%B4%E9%9B%AA"</w:instrText>
      </w:r>
      <w:r>
        <w:fldChar w:fldCharType="separate"/>
      </w:r>
      <w:r>
        <w:t>暴雪</w:t>
      </w:r>
      <w:r>
        <w:fldChar w:fldCharType="end"/>
      </w:r>
      <w:r>
        <w:t>等</w:t>
      </w:r>
      <w:r>
        <w:fldChar w:fldCharType="begin"/>
      </w:r>
      <w:r>
        <w:instrText xml:space="preserve">HYPERLINK "https://baike.baidu.com/item/%E6%B0%94%E8%B1%A1%E7%81%BE%E5%AE%B3"</w:instrText>
      </w:r>
      <w:r>
        <w:fldChar w:fldCharType="separate"/>
      </w:r>
      <w:r>
        <w:t>气象灾害</w:t>
      </w:r>
      <w:r>
        <w:fldChar w:fldCharType="end"/>
      </w:r>
      <w:r>
        <w:t>，</w:t>
      </w:r>
      <w:r>
        <w:fldChar w:fldCharType="begin"/>
      </w:r>
      <w:r>
        <w:instrText xml:space="preserve">HYPERLINK "https://baike.baidu.com/item/%E5%9C%B0%E9%9C%87%E7%81%BE%E5%AE%B3"</w:instrText>
      </w:r>
      <w:r>
        <w:fldChar w:fldCharType="separate"/>
      </w:r>
      <w:r>
        <w:t>地震灾害</w:t>
      </w:r>
      <w:r>
        <w:fldChar w:fldCharType="end"/>
      </w:r>
      <w:r>
        <w:t>，山体</w:t>
      </w:r>
      <w:r>
        <w:fldChar w:fldCharType="begin"/>
      </w:r>
      <w:r>
        <w:instrText xml:space="preserve">HYPERLINK "https://baike.baidu.com/item/%E5%B4%A9%E5%A1%8C"</w:instrText>
      </w:r>
      <w:r>
        <w:fldChar w:fldCharType="separate"/>
      </w:r>
      <w:r>
        <w:t>崩塌</w:t>
      </w:r>
      <w:r>
        <w:fldChar w:fldCharType="end"/>
      </w:r>
      <w:r>
        <w:t>、滑坡、泥石流等</w:t>
      </w:r>
      <w:r>
        <w:fldChar w:fldCharType="begin"/>
      </w:r>
      <w:r>
        <w:instrText xml:space="preserve">HYPERLINK "https://baike.baidu.com/item/%E5%9C%B0%E8%B4%A8%E7%81%BE%E5%AE%B3"</w:instrText>
      </w:r>
      <w:r>
        <w:fldChar w:fldCharType="separate"/>
      </w:r>
      <w:r>
        <w:t>地质灾害</w:t>
      </w:r>
      <w:r>
        <w:fldChar w:fldCharType="end"/>
      </w:r>
      <w:r>
        <w:t>，生物灾害和</w:t>
      </w:r>
      <w:r>
        <w:fldChar w:fldCharType="begin"/>
      </w:r>
      <w:r>
        <w:instrText xml:space="preserve">HYPERLINK "https://baike.baidu.com/item/%E6%A3%AE%E6%9E%97%E8%8D%89%E5%8E%9F"</w:instrText>
      </w:r>
      <w:r>
        <w:fldChar w:fldCharType="separate"/>
      </w:r>
      <w:r>
        <w:t>森林草原</w:t>
      </w:r>
      <w:r>
        <w:fldChar w:fldCharType="end"/>
      </w:r>
      <w:r>
        <w:t>火灾等。</w:t>
      </w:r>
    </w:p>
    <w:p>
      <w:pPr>
        <w:pStyle w:val="20"/>
        <w:adjustRightInd w:val="0"/>
        <w:snapToGrid w:val="0"/>
        <w:spacing w:line="540" w:lineRule="exact"/>
        <w:rPr>
          <w:rFonts w:eastAsia="仿宋"/>
        </w:rPr>
      </w:pPr>
      <w:r>
        <w:rPr>
          <w:rFonts w:eastAsia="仿宋"/>
        </w:rPr>
        <w:t>（2）</w:t>
      </w:r>
      <w:r>
        <w:t>事故灾难。主要包括工矿商贸等企业的各类安全事故、交通运输事故、公共设施和设备事故、核与辐射事故、环境污染和生态破坏事件、网络与信息安全事件等。</w:t>
      </w:r>
    </w:p>
    <w:p>
      <w:pPr>
        <w:pStyle w:val="20"/>
        <w:adjustRightInd w:val="0"/>
        <w:snapToGrid w:val="0"/>
        <w:spacing w:line="540" w:lineRule="exact"/>
        <w:rPr>
          <w:rFonts w:eastAsia="仿宋"/>
        </w:rPr>
      </w:pPr>
      <w:r>
        <w:rPr>
          <w:rFonts w:eastAsia="仿宋"/>
        </w:rPr>
        <w:t>（3）</w:t>
      </w:r>
      <w:r>
        <w:t>公共卫生事件。主要包括传染病疫情、群体性不明原因疾病、急性中毒事件、食品和药品安全事件、动物疫情、其他严重影响公众健康和生命安全的事件。</w:t>
      </w:r>
    </w:p>
    <w:p>
      <w:pPr>
        <w:pStyle w:val="20"/>
        <w:adjustRightInd w:val="0"/>
        <w:snapToGrid w:val="0"/>
        <w:spacing w:line="540" w:lineRule="exact"/>
        <w:rPr>
          <w:rFonts w:eastAsia="仿宋"/>
        </w:rPr>
      </w:pPr>
      <w:r>
        <w:rPr>
          <w:rFonts w:eastAsia="仿宋"/>
        </w:rPr>
        <w:t>（4）</w:t>
      </w:r>
      <w:r>
        <w:t>社会安全事件。主要包括恐怖袭击事件、刑事案件、群体性事件、油气供应中断突发事件、金融突发事件、涉外突发事件、民族宗教事件等。</w:t>
      </w:r>
    </w:p>
    <w:p>
      <w:pPr>
        <w:pStyle w:val="20"/>
        <w:adjustRightInd w:val="0"/>
        <w:snapToGrid w:val="0"/>
        <w:spacing w:line="540" w:lineRule="exact"/>
        <w:rPr>
          <w:rFonts w:ascii="仿宋_GB2312"/>
        </w:rPr>
      </w:pPr>
      <w:r>
        <w:rPr>
          <w:rFonts w:hint="eastAsia" w:ascii="仿宋_GB2312"/>
        </w:rPr>
        <w:t>各类突发事件按照其性质、造成损失、危害程度、可控性和影响范围等因素，分为特别重大、重大、较大和一般四级。各类突发事件具体分级标准参照国家现行有关规定执行，并在相应的专项</w:t>
      </w:r>
      <w:r>
        <w:rPr>
          <w:rFonts w:hint="eastAsia" w:ascii="仿宋_GB2312"/>
          <w:spacing w:val="-6"/>
          <w:szCs w:val="32"/>
          <w:lang w:bidi="he-IL"/>
        </w:rPr>
        <w:t>应急</w:t>
      </w:r>
      <w:r>
        <w:rPr>
          <w:rFonts w:hint="eastAsia" w:ascii="仿宋_GB2312"/>
        </w:rPr>
        <w:t>预案、部门</w:t>
      </w:r>
      <w:r>
        <w:rPr>
          <w:rFonts w:hint="eastAsia" w:ascii="仿宋_GB2312"/>
          <w:spacing w:val="-6"/>
          <w:szCs w:val="32"/>
          <w:lang w:bidi="he-IL"/>
        </w:rPr>
        <w:t>应急</w:t>
      </w:r>
      <w:r>
        <w:rPr>
          <w:rFonts w:hint="eastAsia" w:ascii="仿宋_GB2312"/>
        </w:rPr>
        <w:t>预案中予以明确。</w:t>
      </w:r>
    </w:p>
    <w:p>
      <w:pPr>
        <w:pStyle w:val="20"/>
        <w:spacing w:line="540" w:lineRule="exact"/>
        <w:outlineLvl w:val="1"/>
        <w:rPr>
          <w:rFonts w:eastAsia="仿宋"/>
        </w:rPr>
      </w:pPr>
      <w:bookmarkStart w:id="10" w:name="_Toc8653289"/>
      <w:bookmarkEnd w:id="10"/>
      <w:bookmarkStart w:id="11" w:name="_Toc11176167"/>
      <w:bookmarkStart w:id="12" w:name="_Toc31781"/>
      <w:r>
        <w:rPr>
          <w:rFonts w:eastAsia="仿宋"/>
        </w:rPr>
        <w:t>1.4</w:t>
      </w:r>
      <w:r>
        <w:rPr>
          <w:rFonts w:hint="eastAsia" w:ascii="仿宋_GB2312"/>
        </w:rPr>
        <w:t>分级应对与响应分级</w:t>
      </w:r>
      <w:bookmarkEnd w:id="11"/>
      <w:bookmarkEnd w:id="12"/>
    </w:p>
    <w:p>
      <w:pPr>
        <w:pStyle w:val="20"/>
        <w:adjustRightInd w:val="0"/>
        <w:snapToGrid w:val="0"/>
        <w:spacing w:line="540" w:lineRule="exact"/>
        <w:outlineLvl w:val="2"/>
        <w:rPr>
          <w:rFonts w:eastAsia="仿宋"/>
        </w:rPr>
      </w:pPr>
      <w:bookmarkStart w:id="13" w:name="_Toc23498"/>
      <w:r>
        <w:rPr>
          <w:rFonts w:eastAsia="仿宋"/>
        </w:rPr>
        <w:t>1.4.1</w:t>
      </w:r>
      <w:r>
        <w:rPr>
          <w:rFonts w:hint="eastAsia" w:ascii="仿宋_GB2312"/>
        </w:rPr>
        <w:t>分级应对</w:t>
      </w:r>
      <w:bookmarkEnd w:id="13"/>
    </w:p>
    <w:p>
      <w:pPr>
        <w:pStyle w:val="20"/>
        <w:adjustRightInd w:val="0"/>
        <w:snapToGrid w:val="0"/>
        <w:spacing w:line="540" w:lineRule="exact"/>
        <w:rPr>
          <w:rFonts w:eastAsia="仿宋"/>
        </w:rPr>
      </w:pPr>
      <w:r>
        <w:rPr>
          <w:rFonts w:hint="eastAsia" w:ascii="仿宋_GB2312"/>
          <w:spacing w:val="-6"/>
          <w:szCs w:val="32"/>
          <w:lang w:bidi="he-IL"/>
        </w:rPr>
        <w:t>突发事件应对遵循分级负责、属地为主，层级响应、协调联动的原则。当突发事件超出属地人民政府应对能力时，由上一级提供支援或者负责应对。</w:t>
      </w:r>
      <w:bookmarkStart w:id="14" w:name="_Hlk8130181"/>
      <w:r>
        <w:rPr>
          <w:rFonts w:hint="eastAsia" w:ascii="仿宋_GB2312"/>
          <w:spacing w:val="-6"/>
          <w:szCs w:val="32"/>
          <w:lang w:bidi="he-IL"/>
        </w:rPr>
        <w:t>初判发生特别重大和重大突发事件，由省人民政府负责应对；初判发生较大突发事件，由州人民政府负责应对；初判发生一般突发事件，由县人</w:t>
      </w:r>
      <w:r>
        <w:rPr>
          <w:rFonts w:hint="eastAsia" w:ascii="仿宋_GB2312"/>
        </w:rPr>
        <w:t>民政府负责应对。</w:t>
      </w:r>
      <w:bookmarkEnd w:id="14"/>
      <w:r>
        <w:rPr>
          <w:rFonts w:hint="eastAsia" w:ascii="仿宋_GB2312"/>
          <w:spacing w:val="-6"/>
          <w:szCs w:val="32"/>
          <w:lang w:bidi="he-IL"/>
        </w:rPr>
        <w:t>其中，涉及跨县级行政区划的，超出县人民政府应对能力的特别重大、重大和较大突发事件，要做好先期处置工作，立即上报州级层面并请求组织应对。</w:t>
      </w:r>
      <w:r>
        <w:rPr>
          <w:rFonts w:hint="eastAsia" w:ascii="仿宋_GB2312"/>
        </w:rPr>
        <w:t>涉及跨镇级行政区域的，由县人民政府负责应对，或者由各有关行政区划的县人民政府共同负责应对。</w:t>
      </w:r>
    </w:p>
    <w:p>
      <w:pPr>
        <w:pStyle w:val="20"/>
        <w:adjustRightInd w:val="0"/>
        <w:snapToGrid w:val="0"/>
        <w:spacing w:line="540" w:lineRule="exact"/>
        <w:rPr>
          <w:rFonts w:ascii="仿宋_GB2312"/>
        </w:rPr>
      </w:pPr>
      <w:r>
        <w:rPr>
          <w:rFonts w:hint="eastAsia" w:ascii="仿宋_GB2312"/>
        </w:rPr>
        <w:t>镇级层面负责应对的突发事件，超出镇党委、政府应对能力时，由县级主要牵头部门负责统一响应支援。</w:t>
      </w:r>
    </w:p>
    <w:p>
      <w:pPr>
        <w:pStyle w:val="20"/>
        <w:adjustRightInd w:val="0"/>
        <w:snapToGrid w:val="0"/>
        <w:spacing w:line="540" w:lineRule="exact"/>
        <w:outlineLvl w:val="2"/>
        <w:rPr>
          <w:rFonts w:eastAsia="仿宋"/>
        </w:rPr>
      </w:pPr>
      <w:bookmarkStart w:id="15" w:name="_Toc6012"/>
      <w:r>
        <w:rPr>
          <w:rFonts w:eastAsia="仿宋"/>
        </w:rPr>
        <w:t>1.4.2</w:t>
      </w:r>
      <w:r>
        <w:rPr>
          <w:rFonts w:hint="eastAsia" w:ascii="仿宋_GB2312"/>
        </w:rPr>
        <w:t>响应分级</w:t>
      </w:r>
      <w:bookmarkEnd w:id="15"/>
    </w:p>
    <w:p>
      <w:pPr>
        <w:pStyle w:val="20"/>
        <w:adjustRightInd w:val="0"/>
        <w:snapToGrid w:val="0"/>
        <w:spacing w:line="540" w:lineRule="exact"/>
        <w:rPr>
          <w:rFonts w:ascii="仿宋_GB2312"/>
        </w:rPr>
      </w:pPr>
      <w:r>
        <w:rPr>
          <w:rFonts w:hint="eastAsia" w:ascii="仿宋_GB2312"/>
        </w:rPr>
        <w:t>突发事件发生后，县内各层面（包括基层组织和单位）应根据突发事件初判级别、预期影响后果和本级应急处置能力等，综合研判确定本层级是否启动响应和启动响应的级别及采取的应急处置措施。对于事件本身比较敏感，或引发舆论热议和社会各界高度关注、或发生在重点地区、重大会议及重大活动期间的，可适当提高响应级别。应急响应启动后，可视情及时调整响应级别。</w:t>
      </w:r>
    </w:p>
    <w:p>
      <w:pPr>
        <w:pStyle w:val="20"/>
        <w:adjustRightInd w:val="0"/>
        <w:snapToGrid w:val="0"/>
        <w:spacing w:line="540" w:lineRule="exact"/>
        <w:rPr>
          <w:rFonts w:ascii="仿宋_GB2312"/>
        </w:rPr>
      </w:pPr>
      <w:r>
        <w:rPr>
          <w:rFonts w:hint="eastAsia" w:ascii="仿宋_GB2312"/>
        </w:rPr>
        <w:t>发生特别重大、重大和较大突发事件，应做好前期处置工作并立即上报至州级相关部门，在州突发事件应急指挥机构的统一领导下开展工作。对涉及面较广、敏感度较高或处置不当可能造成严重后果的一般突发事件，根据应对工作需要，可报请州级层面协调支持或组织应对。发生一般突发事件，县级层面和县内有关镇应立即启动应急响应。县级层面应急响应一般由高到低分为三级：一级、二级、三级。</w:t>
      </w:r>
    </w:p>
    <w:p>
      <w:pPr>
        <w:pStyle w:val="20"/>
        <w:adjustRightInd w:val="0"/>
        <w:snapToGrid w:val="0"/>
        <w:spacing w:line="540" w:lineRule="exact"/>
      </w:pPr>
      <w:r>
        <w:t>（1）一级响应启动机制：发生</w:t>
      </w:r>
      <w:r>
        <w:rPr>
          <w:rFonts w:hint="eastAsia"/>
        </w:rPr>
        <w:t>特别重大和</w:t>
      </w:r>
      <w:r>
        <w:t>重大突发事件，县委、县</w:t>
      </w:r>
      <w:r>
        <w:rPr>
          <w:rFonts w:hint="eastAsia"/>
        </w:rPr>
        <w:t>人民</w:t>
      </w:r>
      <w:r>
        <w:t>政府</w:t>
      </w:r>
      <w:r>
        <w:rPr>
          <w:rFonts w:hint="eastAsia"/>
        </w:rPr>
        <w:t>主要</w:t>
      </w:r>
      <w:r>
        <w:t>领导</w:t>
      </w:r>
      <w:r>
        <w:rPr>
          <w:rFonts w:hint="eastAsia"/>
        </w:rPr>
        <w:t>决定</w:t>
      </w:r>
      <w:r>
        <w:t>启动一级响应。在县委的领导下，建立由县委书记、县长任双指挥长或县长任指挥长的指挥体系，实行以县应急委对应专项指挥部为主的扩大响应，根据需要相应增加副指挥长和成员，搭建前后方指挥平台，组织开展应对处置。</w:t>
      </w:r>
    </w:p>
    <w:p>
      <w:pPr>
        <w:pStyle w:val="20"/>
        <w:adjustRightInd w:val="0"/>
        <w:snapToGrid w:val="0"/>
        <w:spacing w:line="540" w:lineRule="exact"/>
      </w:pPr>
      <w:r>
        <w:t>（2）二级响应启动机制：发生跨镇的、超出事发镇党委</w:t>
      </w:r>
      <w:r>
        <w:rPr>
          <w:rFonts w:hint="eastAsia"/>
        </w:rPr>
        <w:t>、</w:t>
      </w:r>
      <w:r>
        <w:t>镇人民政府应对能力的一般突发事件</w:t>
      </w:r>
      <w:r>
        <w:rPr>
          <w:rFonts w:hint="eastAsia"/>
        </w:rPr>
        <w:t>，</w:t>
      </w:r>
      <w:r>
        <w:t>发生事件本身比较敏感，或发生在重点地区，或重大活动举办、重要会议召开等时期的一般突发事件</w:t>
      </w:r>
      <w:r>
        <w:rPr>
          <w:rFonts w:hint="eastAsia"/>
        </w:rPr>
        <w:t>，以及</w:t>
      </w:r>
      <w:r>
        <w:t>发生较大突发事件</w:t>
      </w:r>
      <w:r>
        <w:rPr>
          <w:rFonts w:hint="eastAsia"/>
        </w:rPr>
        <w:t>，县人民政府分管领导决定</w:t>
      </w:r>
      <w:r>
        <w:t>并报</w:t>
      </w:r>
      <w:r>
        <w:rPr>
          <w:rFonts w:hint="eastAsia"/>
        </w:rPr>
        <w:t>县委、县人民政府主要领导</w:t>
      </w:r>
      <w:r>
        <w:t>后</w:t>
      </w:r>
      <w:r>
        <w:rPr>
          <w:rFonts w:hint="eastAsia"/>
        </w:rPr>
        <w:t>启动</w:t>
      </w:r>
      <w:r>
        <w:t>二级响应。县应急委对应专项指挥部组织指挥各方救援力量开展应对处置。</w:t>
      </w:r>
    </w:p>
    <w:p>
      <w:pPr>
        <w:pStyle w:val="20"/>
        <w:adjustRightInd w:val="0"/>
        <w:snapToGrid w:val="0"/>
        <w:spacing w:line="540" w:lineRule="exact"/>
      </w:pPr>
      <w:r>
        <w:t>（3）三级响应启动机制：一般突发事件发生后，由事发镇党委政府开展应对处置；</w:t>
      </w:r>
      <w:r>
        <w:rPr>
          <w:rFonts w:hint="eastAsia"/>
        </w:rPr>
        <w:t>县人民政府分管领导同意后</w:t>
      </w:r>
      <w:r>
        <w:t>启动三级响应。由县应急委对应专项指挥部指导协调镇党委</w:t>
      </w:r>
      <w:r>
        <w:rPr>
          <w:rFonts w:hint="eastAsia"/>
        </w:rPr>
        <w:t>、</w:t>
      </w:r>
      <w:r>
        <w:t>镇人民政府应对处置。</w:t>
      </w:r>
    </w:p>
    <w:p>
      <w:pPr>
        <w:pStyle w:val="20"/>
        <w:adjustRightInd w:val="0"/>
        <w:snapToGrid w:val="0"/>
        <w:spacing w:line="540" w:lineRule="exact"/>
        <w:rPr>
          <w:rFonts w:ascii="仿宋_GB2312"/>
        </w:rPr>
      </w:pPr>
      <w:r>
        <w:rPr>
          <w:rFonts w:hint="eastAsia" w:ascii="仿宋_GB2312"/>
        </w:rPr>
        <w:t>县级有关专项、部门应急预案响应级别可根据实际情况进一步细化明确。镇级层面响应级别可参照国家、省、州和县级层面应急响应级别设置，结合本地实际情况予以明确。</w:t>
      </w:r>
    </w:p>
    <w:p>
      <w:pPr>
        <w:pStyle w:val="20"/>
        <w:spacing w:line="540" w:lineRule="exact"/>
        <w:outlineLvl w:val="1"/>
        <w:rPr>
          <w:rFonts w:eastAsia="仿宋"/>
        </w:rPr>
      </w:pPr>
      <w:bookmarkStart w:id="16" w:name="_Toc11176168"/>
      <w:bookmarkStart w:id="17" w:name="_Toc19637"/>
      <w:r>
        <w:rPr>
          <w:rFonts w:eastAsia="仿宋"/>
        </w:rPr>
        <w:t>1.5</w:t>
      </w:r>
      <w:r>
        <w:rPr>
          <w:rFonts w:hint="eastAsia" w:ascii="仿宋_GB2312"/>
        </w:rPr>
        <w:t>应急预案体系</w:t>
      </w:r>
      <w:bookmarkEnd w:id="16"/>
      <w:bookmarkEnd w:id="17"/>
    </w:p>
    <w:p>
      <w:pPr>
        <w:pStyle w:val="20"/>
        <w:adjustRightInd w:val="0"/>
        <w:snapToGrid w:val="0"/>
        <w:spacing w:line="540" w:lineRule="exact"/>
        <w:rPr>
          <w:rFonts w:ascii="仿宋_GB2312"/>
        </w:rPr>
      </w:pPr>
      <w:r>
        <w:rPr>
          <w:rFonts w:hint="eastAsia" w:ascii="仿宋_GB2312"/>
        </w:rPr>
        <w:t>应急预案体系包括县、</w:t>
      </w:r>
      <w:r>
        <w:rPr>
          <w:rFonts w:ascii="仿宋_GB2312"/>
        </w:rPr>
        <w:t>镇</w:t>
      </w:r>
      <w:r>
        <w:rPr>
          <w:rFonts w:hint="eastAsia" w:ascii="仿宋_GB2312"/>
        </w:rPr>
        <w:t>级人民政府及其部门、基层组织和企事业单位等制定的各类突发事件应急预案，以及为应急预案提供支撑的工作手册和行动方案等。全县应建立形成横向到边、纵向到底的应急预案体系。</w:t>
      </w:r>
    </w:p>
    <w:p>
      <w:pPr>
        <w:pStyle w:val="20"/>
        <w:adjustRightInd w:val="0"/>
        <w:snapToGrid w:val="0"/>
        <w:spacing w:line="540" w:lineRule="exact"/>
        <w:outlineLvl w:val="2"/>
        <w:rPr>
          <w:rFonts w:eastAsia="仿宋"/>
        </w:rPr>
      </w:pPr>
      <w:bookmarkStart w:id="18" w:name="_Toc19342"/>
      <w:r>
        <w:rPr>
          <w:rFonts w:eastAsia="仿宋"/>
        </w:rPr>
        <w:t>1.5.1</w:t>
      </w:r>
      <w:r>
        <w:rPr>
          <w:rFonts w:hint="eastAsia" w:ascii="仿宋_GB2312"/>
        </w:rPr>
        <w:t>应急预案</w:t>
      </w:r>
      <w:bookmarkEnd w:id="18"/>
    </w:p>
    <w:p>
      <w:pPr>
        <w:pStyle w:val="20"/>
        <w:adjustRightInd w:val="0"/>
        <w:snapToGrid w:val="0"/>
        <w:spacing w:line="540" w:lineRule="exact"/>
        <w:rPr>
          <w:rFonts w:ascii="仿宋_GB2312" w:cs="仿宋"/>
        </w:rPr>
      </w:pPr>
      <w:r>
        <w:rPr>
          <w:rFonts w:hint="eastAsia" w:ascii="仿宋_GB2312"/>
        </w:rPr>
        <w:t>应急预案是指县</w:t>
      </w:r>
      <w:r>
        <w:rPr>
          <w:rFonts w:ascii="仿宋_GB2312"/>
        </w:rPr>
        <w:t>、镇</w:t>
      </w:r>
      <w:r>
        <w:rPr>
          <w:rFonts w:hint="eastAsia" w:ascii="仿宋_GB2312"/>
        </w:rPr>
        <w:t>级人民政府及其部门、基层组织、企事业单位、社会团体等为依法、迅速、科学、有序应对突发事件，最大程度减少突发事件及其造成的损害而预先制定的工作方案。</w:t>
      </w:r>
      <w:r>
        <w:rPr>
          <w:rFonts w:hint="eastAsia" w:ascii="仿宋_GB2312" w:cs="仿宋"/>
        </w:rPr>
        <w:t>党委有关部门按照党中央、省委、州委和县委要求，以及有关法律、法规制定应急预案。</w:t>
      </w:r>
    </w:p>
    <w:p>
      <w:pPr>
        <w:pStyle w:val="20"/>
        <w:adjustRightInd w:val="0"/>
        <w:snapToGrid w:val="0"/>
        <w:spacing w:line="540" w:lineRule="exact"/>
        <w:rPr>
          <w:rFonts w:ascii="仿宋_GB2312"/>
        </w:rPr>
      </w:pPr>
      <w:r>
        <w:rPr>
          <w:rFonts w:hint="eastAsia" w:ascii="仿宋_GB2312"/>
        </w:rPr>
        <w:t>县级层面应急预案包括总体应急预案、专项应急预案、部门应急预案等。其中，总体应急预案是应急预案体系的总纲，是县人民政府在县委领导下组织应对各类突发事件的总体制度安排。专项应急预案是为应对涉及面广、情况复杂的某一类型突发事件或针对应急保障，预先制定的涉及多个部门（单位）职责的工作方案。部门应急预案是有关部门根据总体预案、专项预案和部门职责，为应对本部门（行业、领域）某一类型突发事件，或者针对应急资源保障等涉及部门工作而预先制定的工作方案。</w:t>
      </w:r>
    </w:p>
    <w:p>
      <w:pPr>
        <w:pStyle w:val="20"/>
        <w:adjustRightInd w:val="0"/>
        <w:snapToGrid w:val="0"/>
        <w:spacing w:line="540" w:lineRule="exact"/>
        <w:rPr>
          <w:rFonts w:ascii="仿宋_GB2312"/>
        </w:rPr>
      </w:pPr>
      <w:r>
        <w:rPr>
          <w:rFonts w:hint="eastAsia" w:ascii="仿宋_GB2312"/>
          <w:spacing w:val="-6"/>
          <w:szCs w:val="32"/>
          <w:lang w:bidi="he-IL"/>
        </w:rPr>
        <w:t>镇、工业园区根据实际情况制定本级应急预案。</w:t>
      </w:r>
      <w:r>
        <w:rPr>
          <w:rFonts w:hint="eastAsia" w:ascii="仿宋_GB2312"/>
        </w:rPr>
        <w:t>基层组织和企事业单位等的应急预案，由机关、企事业单位、社会组织</w:t>
      </w:r>
      <w:r>
        <w:rPr>
          <w:rFonts w:hint="eastAsia" w:ascii="仿宋_GB2312"/>
          <w:spacing w:val="-6"/>
          <w:szCs w:val="32"/>
          <w:lang w:bidi="he-IL"/>
        </w:rPr>
        <w:t>和村民委员会、居民委员会等组织制定</w:t>
      </w:r>
      <w:r>
        <w:rPr>
          <w:rFonts w:hint="eastAsia" w:ascii="仿宋_GB2312"/>
        </w:rPr>
        <w:t>。</w:t>
      </w:r>
    </w:p>
    <w:p>
      <w:pPr>
        <w:pStyle w:val="20"/>
        <w:adjustRightInd w:val="0"/>
        <w:snapToGrid w:val="0"/>
        <w:spacing w:line="540" w:lineRule="exact"/>
        <w:rPr>
          <w:rFonts w:ascii="仿宋_GB2312"/>
        </w:rPr>
      </w:pPr>
      <w:r>
        <w:rPr>
          <w:rFonts w:hint="eastAsia" w:ascii="仿宋_GB2312"/>
          <w:szCs w:val="32"/>
        </w:rPr>
        <w:t>重大活动保障、重大危险源防控、重要目标和重要基础设施保护应急预案，以及跨区域、跨流域等关联性强的联合应急预案由各层面根据实际</w:t>
      </w:r>
      <w:r>
        <w:rPr>
          <w:rFonts w:hint="eastAsia" w:ascii="仿宋_GB2312"/>
        </w:rPr>
        <w:t>制定。</w:t>
      </w:r>
    </w:p>
    <w:p>
      <w:pPr>
        <w:pStyle w:val="20"/>
        <w:adjustRightInd w:val="0"/>
        <w:snapToGrid w:val="0"/>
        <w:spacing w:line="540" w:lineRule="exact"/>
        <w:outlineLvl w:val="2"/>
        <w:rPr>
          <w:rFonts w:eastAsia="仿宋"/>
        </w:rPr>
      </w:pPr>
      <w:bookmarkStart w:id="19" w:name="_Toc11563"/>
      <w:r>
        <w:rPr>
          <w:rFonts w:eastAsia="仿宋"/>
        </w:rPr>
        <w:t>1.5.2</w:t>
      </w:r>
      <w:r>
        <w:rPr>
          <w:rFonts w:hint="eastAsia" w:ascii="仿宋_GB2312"/>
        </w:rPr>
        <w:t>应急预案支撑性文件</w:t>
      </w:r>
      <w:bookmarkEnd w:id="19"/>
    </w:p>
    <w:p>
      <w:pPr>
        <w:pStyle w:val="20"/>
        <w:adjustRightInd w:val="0"/>
        <w:snapToGrid w:val="0"/>
        <w:spacing w:line="540" w:lineRule="exact"/>
        <w:rPr>
          <w:rFonts w:ascii="仿宋_GB2312"/>
        </w:rPr>
      </w:pPr>
      <w:r>
        <w:rPr>
          <w:rFonts w:hint="eastAsia" w:ascii="仿宋_GB2312"/>
        </w:rPr>
        <w:t>各级各类应急预案中涉及的相关部门（单位）要结合实际，制定配套的工作手册、行动方案等支撑性文件，提高应急预案针对性、操作性。</w:t>
      </w:r>
    </w:p>
    <w:p>
      <w:pPr>
        <w:pStyle w:val="20"/>
        <w:adjustRightInd w:val="0"/>
        <w:snapToGrid w:val="0"/>
        <w:spacing w:line="540" w:lineRule="exact"/>
        <w:rPr>
          <w:rFonts w:ascii="仿宋_GB2312"/>
        </w:rPr>
      </w:pPr>
      <w:r>
        <w:rPr>
          <w:rFonts w:hint="eastAsia" w:ascii="仿宋_GB2312"/>
        </w:rPr>
        <w:t>县级层面应急预案涉及的有关部门（单位）要编制相应工作手册，把每一项职责任务细化、具体化，明确工作内容和流程，落实到具体责任单位、具体责任人。企事业单位和镇、基层组织等应急预案涉及有关方面根据自身实际情况，可单独编制工作手册，也可将有关内容融入预案合并编制。</w:t>
      </w:r>
    </w:p>
    <w:p>
      <w:pPr>
        <w:pStyle w:val="20"/>
        <w:adjustRightInd w:val="0"/>
        <w:snapToGrid w:val="0"/>
        <w:spacing w:line="540" w:lineRule="exact"/>
        <w:rPr>
          <w:rFonts w:ascii="仿宋_GB2312"/>
        </w:rPr>
      </w:pPr>
      <w:r>
        <w:rPr>
          <w:rFonts w:hint="eastAsia" w:ascii="仿宋_GB2312"/>
        </w:rPr>
        <w:t>参与突发事件应对的救援队伍、专家队伍等按照应急预案、工作手册或上级指挥机构要求制定行动方案，明确队伍编成、力量预置、指挥协同、行动预想、战勤保障、通信联络等具体内容，以及采取的具体对策措施和实施步骤。</w:t>
      </w:r>
      <w:bookmarkStart w:id="20" w:name="_Toc8653291"/>
      <w:bookmarkEnd w:id="20"/>
    </w:p>
    <w:p>
      <w:pPr>
        <w:pStyle w:val="21"/>
        <w:spacing w:line="540" w:lineRule="exact"/>
        <w:outlineLvl w:val="0"/>
        <w:rPr>
          <w:rFonts w:ascii="黑体" w:cs="黑体"/>
        </w:rPr>
      </w:pPr>
      <w:bookmarkStart w:id="21" w:name="_Toc204"/>
      <w:r>
        <w:rPr>
          <w:rFonts w:hint="eastAsia" w:ascii="黑体" w:cs="黑体"/>
        </w:rPr>
        <w:t>2组织指挥体系</w:t>
      </w:r>
      <w:bookmarkEnd w:id="21"/>
    </w:p>
    <w:p>
      <w:pPr>
        <w:pStyle w:val="20"/>
        <w:spacing w:line="540" w:lineRule="exact"/>
        <w:outlineLvl w:val="1"/>
        <w:rPr>
          <w:rFonts w:eastAsia="仿宋"/>
        </w:rPr>
      </w:pPr>
      <w:bookmarkStart w:id="22" w:name="_Toc8653292"/>
      <w:bookmarkEnd w:id="22"/>
      <w:bookmarkStart w:id="23" w:name="_Toc11176170"/>
      <w:bookmarkStart w:id="24" w:name="_Toc9135"/>
      <w:r>
        <w:rPr>
          <w:rFonts w:eastAsia="仿宋"/>
        </w:rPr>
        <w:t>2.1</w:t>
      </w:r>
      <w:r>
        <w:rPr>
          <w:rFonts w:hint="eastAsia" w:ascii="仿宋_GB2312"/>
        </w:rPr>
        <w:t>县级组织指挥</w:t>
      </w:r>
      <w:bookmarkEnd w:id="23"/>
      <w:r>
        <w:rPr>
          <w:rFonts w:hint="eastAsia" w:ascii="仿宋_GB2312"/>
        </w:rPr>
        <w:t>机制</w:t>
      </w:r>
      <w:bookmarkEnd w:id="24"/>
    </w:p>
    <w:p>
      <w:pPr>
        <w:pStyle w:val="20"/>
        <w:adjustRightInd w:val="0"/>
        <w:snapToGrid w:val="0"/>
        <w:spacing w:line="540" w:lineRule="exact"/>
        <w:outlineLvl w:val="2"/>
        <w:rPr>
          <w:rFonts w:eastAsia="仿宋"/>
        </w:rPr>
      </w:pPr>
      <w:bookmarkStart w:id="25" w:name="_Toc3103"/>
      <w:r>
        <w:rPr>
          <w:rFonts w:eastAsia="仿宋"/>
        </w:rPr>
        <w:t>2.1.1</w:t>
      </w:r>
      <w:r>
        <w:rPr>
          <w:rFonts w:hint="eastAsia" w:ascii="仿宋_GB2312"/>
        </w:rPr>
        <w:t>县级层面组织领导</w:t>
      </w:r>
      <w:bookmarkEnd w:id="25"/>
    </w:p>
    <w:p>
      <w:pPr>
        <w:pStyle w:val="20"/>
        <w:adjustRightInd w:val="0"/>
        <w:snapToGrid w:val="0"/>
        <w:spacing w:line="540" w:lineRule="exact"/>
        <w:rPr>
          <w:rFonts w:ascii="仿宋_GB2312"/>
          <w:szCs w:val="32"/>
        </w:rPr>
      </w:pPr>
      <w:r>
        <w:rPr>
          <w:rFonts w:hint="eastAsia" w:ascii="仿宋_GB2312"/>
          <w:szCs w:val="32"/>
        </w:rPr>
        <w:t>在县委统一领导下，县人民政府是全县突发事件应急管理工作的最高行政领导机关，通过县人民政府常务会、专题会研究决定和部署一般突发事件应急管理工作和特别重大、重大、较大突发事件的先期处置工作。</w:t>
      </w:r>
    </w:p>
    <w:p>
      <w:pPr>
        <w:pStyle w:val="20"/>
        <w:adjustRightInd w:val="0"/>
        <w:snapToGrid w:val="0"/>
        <w:spacing w:line="540" w:lineRule="exact"/>
        <w:rPr>
          <w:rFonts w:ascii="仿宋_GB2312"/>
          <w:szCs w:val="32"/>
        </w:rPr>
      </w:pPr>
      <w:r>
        <w:rPr>
          <w:rFonts w:hint="eastAsia" w:ascii="仿宋_GB2312"/>
          <w:szCs w:val="32"/>
        </w:rPr>
        <w:t>县应急委员会（以下简称县应急委）作为全县应急管理工作的议事协调和综合管理机构，纳入县级层面组织领导体系，在县委领导下，组织指挥、统筹协调一般突发事件的应对处置和特别重大、重大、较大突发事件的先期处置工作，根据实际工作需要及时健全完善组织架构及其运行规则。</w:t>
      </w:r>
    </w:p>
    <w:p>
      <w:pPr>
        <w:pStyle w:val="20"/>
        <w:adjustRightInd w:val="0"/>
        <w:snapToGrid w:val="0"/>
        <w:spacing w:line="540" w:lineRule="exact"/>
        <w:rPr>
          <w:rFonts w:ascii="仿宋_GB2312"/>
          <w:szCs w:val="32"/>
        </w:rPr>
      </w:pPr>
      <w:r>
        <w:rPr>
          <w:rFonts w:hint="eastAsia" w:ascii="仿宋_GB2312"/>
          <w:szCs w:val="32"/>
        </w:rPr>
        <w:t>县级层面可与相邻县（乡镇）建立应急联动机制，共同做好跨区域、跨流域的突发事件防范应对工作。</w:t>
      </w:r>
    </w:p>
    <w:p>
      <w:pPr>
        <w:pStyle w:val="20"/>
        <w:adjustRightInd w:val="0"/>
        <w:snapToGrid w:val="0"/>
        <w:spacing w:line="540" w:lineRule="exact"/>
        <w:outlineLvl w:val="2"/>
        <w:rPr>
          <w:rFonts w:ascii="仿宋_GB2312"/>
        </w:rPr>
      </w:pPr>
      <w:bookmarkStart w:id="26" w:name="_Toc8245"/>
      <w:r>
        <w:rPr>
          <w:rFonts w:eastAsia="仿宋"/>
        </w:rPr>
        <w:t>2.1.2</w:t>
      </w:r>
      <w:r>
        <w:rPr>
          <w:rFonts w:hint="eastAsia" w:ascii="仿宋_GB2312"/>
        </w:rPr>
        <w:t>较大以上突发事件先期工作组织指挥</w:t>
      </w:r>
      <w:bookmarkEnd w:id="26"/>
    </w:p>
    <w:p>
      <w:pPr>
        <w:pStyle w:val="20"/>
        <w:adjustRightInd w:val="0"/>
        <w:snapToGrid w:val="0"/>
        <w:spacing w:line="540" w:lineRule="exact"/>
        <w:rPr>
          <w:rFonts w:ascii="仿宋_GB2312"/>
          <w:szCs w:val="32"/>
        </w:rPr>
      </w:pPr>
      <w:r>
        <w:rPr>
          <w:rFonts w:hint="eastAsia" w:ascii="仿宋_GB2312"/>
          <w:szCs w:val="32"/>
        </w:rPr>
        <w:t>在本行政区划内发生特别重大、重大和较大突发事件，由县应急委对应的专项指挥机构负责先期应对处置，牵头县级部门发挥综合运转枢纽作用。设立现场临时指挥部，指挥长靠前指挥。组织协调应急救援资源，结合实际情况，开展力所能及的工作，为成功处置事件赢得先机。事发地镇党委、镇人民政府及其指挥机构在县专项指挥机构的统一领导下开展先期应对处置工作，并全力配合省、州应急委开展后续工作。</w:t>
      </w:r>
    </w:p>
    <w:p>
      <w:pPr>
        <w:pStyle w:val="20"/>
        <w:adjustRightInd w:val="0"/>
        <w:snapToGrid w:val="0"/>
        <w:spacing w:line="540" w:lineRule="exact"/>
        <w:outlineLvl w:val="2"/>
        <w:rPr>
          <w:rFonts w:eastAsia="仿宋"/>
        </w:rPr>
      </w:pPr>
      <w:bookmarkStart w:id="27" w:name="_Toc31152"/>
      <w:r>
        <w:rPr>
          <w:rFonts w:eastAsia="仿宋"/>
        </w:rPr>
        <w:t>2.1.3</w:t>
      </w:r>
      <w:r>
        <w:rPr>
          <w:rFonts w:hint="eastAsia" w:ascii="仿宋_GB2312"/>
        </w:rPr>
        <w:t>一般突发事件组织指挥</w:t>
      </w:r>
      <w:bookmarkEnd w:id="27"/>
    </w:p>
    <w:p>
      <w:pPr>
        <w:pStyle w:val="20"/>
        <w:adjustRightInd w:val="0"/>
        <w:snapToGrid w:val="0"/>
        <w:spacing w:line="540" w:lineRule="exact"/>
        <w:rPr>
          <w:rFonts w:ascii="仿宋_GB2312"/>
          <w:szCs w:val="32"/>
        </w:rPr>
      </w:pPr>
      <w:r>
        <w:rPr>
          <w:rFonts w:hint="eastAsia" w:ascii="仿宋_GB2312"/>
          <w:szCs w:val="32"/>
        </w:rPr>
        <w:t>在本行政区划内发生一般突发事件，</w:t>
      </w:r>
      <w:bookmarkStart w:id="28" w:name="_Hlk51173220"/>
      <w:r>
        <w:rPr>
          <w:rFonts w:hint="eastAsia" w:ascii="仿宋_GB2312"/>
          <w:szCs w:val="32"/>
        </w:rPr>
        <w:t>成立由县应急</w:t>
      </w:r>
      <w:r>
        <w:rPr>
          <w:rFonts w:ascii="仿宋_GB2312"/>
          <w:szCs w:val="32"/>
        </w:rPr>
        <w:t>委</w:t>
      </w:r>
      <w:r>
        <w:rPr>
          <w:rFonts w:hint="eastAsia" w:ascii="仿宋_GB2312"/>
          <w:szCs w:val="32"/>
        </w:rPr>
        <w:t>专项指挥机构任指挥长的“茂县应对XX事件指挥部”，实施以县应急委专项指挥机构为基础的应急响应，迅速、有效的开展应对处置工作</w:t>
      </w:r>
      <w:bookmarkEnd w:id="28"/>
      <w:r>
        <w:rPr>
          <w:rFonts w:hint="eastAsia" w:ascii="仿宋_GB2312"/>
          <w:szCs w:val="32"/>
        </w:rPr>
        <w:t>。（机构设置模式详见附件9.2）</w:t>
      </w:r>
    </w:p>
    <w:p>
      <w:pPr>
        <w:pStyle w:val="20"/>
        <w:adjustRightInd w:val="0"/>
        <w:snapToGrid w:val="0"/>
        <w:spacing w:line="540" w:lineRule="exact"/>
        <w:rPr>
          <w:rFonts w:ascii="仿宋_GB2312"/>
          <w:szCs w:val="32"/>
        </w:rPr>
      </w:pPr>
      <w:r>
        <w:rPr>
          <w:rFonts w:hint="eastAsia" w:ascii="仿宋_GB2312"/>
          <w:szCs w:val="32"/>
        </w:rPr>
        <w:t>搭建前后方指挥平台，指挥长带领相关工作组赶赴现场，与事发地镇组建前方联合指挥部统筹指挥、决策部署；明确一名副指挥长牵头，抽派指挥部各成员单位分管负责同志在应急指挥中心集中办公，加强值班值守，信息汇总，协调督导落实指挥部的决策部署，发挥运转枢纽作用。</w:t>
      </w:r>
    </w:p>
    <w:p>
      <w:pPr>
        <w:pStyle w:val="20"/>
        <w:adjustRightInd w:val="0"/>
        <w:snapToGrid w:val="0"/>
        <w:spacing w:line="540" w:lineRule="exact"/>
        <w:outlineLvl w:val="2"/>
        <w:rPr>
          <w:rFonts w:eastAsia="仿宋"/>
        </w:rPr>
      </w:pPr>
      <w:bookmarkStart w:id="29" w:name="_Toc29245"/>
      <w:r>
        <w:rPr>
          <w:rFonts w:eastAsia="仿宋"/>
        </w:rPr>
        <w:t>2.1.4</w:t>
      </w:r>
      <w:r>
        <w:rPr>
          <w:rFonts w:hint="eastAsia" w:ascii="仿宋_GB2312"/>
        </w:rPr>
        <w:t>县级工作机构</w:t>
      </w:r>
      <w:bookmarkEnd w:id="29"/>
    </w:p>
    <w:p>
      <w:pPr>
        <w:pStyle w:val="20"/>
        <w:adjustRightInd w:val="0"/>
        <w:snapToGrid w:val="0"/>
        <w:spacing w:line="540" w:lineRule="exact"/>
        <w:rPr>
          <w:rFonts w:ascii="仿宋_GB2312"/>
          <w:szCs w:val="32"/>
        </w:rPr>
      </w:pPr>
      <w:bookmarkStart w:id="30" w:name="_Hlk51173622"/>
      <w:r>
        <w:rPr>
          <w:rFonts w:hint="eastAsia" w:ascii="仿宋_GB2312"/>
          <w:szCs w:val="32"/>
        </w:rPr>
        <w:t>县级有关部门（单位）要按照职责分工，负责本部门（行业、领域）突发事件应急管理工作，</w:t>
      </w:r>
      <w:bookmarkEnd w:id="30"/>
      <w:r>
        <w:rPr>
          <w:rFonts w:hint="eastAsia" w:ascii="仿宋_GB2312"/>
          <w:szCs w:val="32"/>
        </w:rPr>
        <w:t>承担相关类别突发事件专项和部门应急预案的起草与实施，组织协调指导风险防控、应急准备、监测预警、应急处置与救援、资源保障、恢复与重建等工作。</w:t>
      </w:r>
    </w:p>
    <w:p>
      <w:pPr>
        <w:pStyle w:val="20"/>
        <w:spacing w:line="540" w:lineRule="exact"/>
        <w:outlineLvl w:val="1"/>
        <w:rPr>
          <w:rFonts w:eastAsia="仿宋"/>
        </w:rPr>
      </w:pPr>
      <w:bookmarkStart w:id="31" w:name="_Toc8653293"/>
      <w:bookmarkEnd w:id="31"/>
      <w:bookmarkStart w:id="32" w:name="_Toc11176171"/>
      <w:bookmarkStart w:id="33" w:name="_Toc26383"/>
      <w:r>
        <w:rPr>
          <w:rFonts w:eastAsia="仿宋"/>
        </w:rPr>
        <w:t>2.2</w:t>
      </w:r>
      <w:r>
        <w:rPr>
          <w:rFonts w:hint="eastAsia" w:ascii="仿宋_GB2312"/>
        </w:rPr>
        <w:t>镇级组织指挥</w:t>
      </w:r>
      <w:bookmarkEnd w:id="32"/>
      <w:r>
        <w:rPr>
          <w:rFonts w:hint="eastAsia" w:ascii="仿宋_GB2312"/>
        </w:rPr>
        <w:t>体系</w:t>
      </w:r>
      <w:bookmarkEnd w:id="33"/>
    </w:p>
    <w:p>
      <w:pPr>
        <w:pStyle w:val="20"/>
        <w:adjustRightInd w:val="0"/>
        <w:snapToGrid w:val="0"/>
        <w:spacing w:line="540" w:lineRule="exact"/>
        <w:rPr>
          <w:rFonts w:ascii="仿宋_GB2312"/>
          <w:szCs w:val="32"/>
        </w:rPr>
      </w:pPr>
      <w:r>
        <w:rPr>
          <w:rFonts w:hint="eastAsia" w:ascii="仿宋_GB2312"/>
          <w:szCs w:val="32"/>
        </w:rPr>
        <w:t>镇级领导机构、组织指挥体系，</w:t>
      </w:r>
      <w:bookmarkStart w:id="34" w:name="_Hlk8129369"/>
      <w:bookmarkEnd w:id="34"/>
      <w:r>
        <w:rPr>
          <w:rFonts w:hint="eastAsia" w:ascii="仿宋_GB2312"/>
          <w:szCs w:val="32"/>
        </w:rPr>
        <w:t>参照县级组织指挥架构设置，主要体现如何科学安全、高效有序的做好各类突发事件发生后的先期处置</w:t>
      </w:r>
      <w:r>
        <w:rPr>
          <w:rFonts w:eastAsia="仿宋"/>
          <w:szCs w:val="32"/>
        </w:rPr>
        <w:t>。</w:t>
      </w:r>
    </w:p>
    <w:p>
      <w:pPr>
        <w:pStyle w:val="20"/>
        <w:spacing w:line="540" w:lineRule="exact"/>
        <w:outlineLvl w:val="1"/>
        <w:rPr>
          <w:rFonts w:eastAsia="仿宋"/>
        </w:rPr>
      </w:pPr>
      <w:bookmarkStart w:id="35" w:name="_Toc8653294"/>
      <w:bookmarkEnd w:id="35"/>
      <w:bookmarkStart w:id="36" w:name="_Toc25817"/>
      <w:bookmarkStart w:id="37" w:name="_Toc11176172"/>
      <w:bookmarkStart w:id="38" w:name="_Hlk26347848"/>
      <w:r>
        <w:rPr>
          <w:rFonts w:eastAsia="仿宋"/>
        </w:rPr>
        <w:t>2.3</w:t>
      </w:r>
      <w:r>
        <w:rPr>
          <w:rFonts w:hint="eastAsia" w:ascii="仿宋_GB2312"/>
        </w:rPr>
        <w:t>专家组与专家委员会</w:t>
      </w:r>
      <w:bookmarkEnd w:id="36"/>
      <w:bookmarkEnd w:id="37"/>
    </w:p>
    <w:bookmarkEnd w:id="38"/>
    <w:p>
      <w:pPr>
        <w:pStyle w:val="20"/>
        <w:adjustRightInd w:val="0"/>
        <w:snapToGrid w:val="0"/>
        <w:spacing w:line="540" w:lineRule="exact"/>
        <w:rPr>
          <w:rFonts w:ascii="仿宋_GB2312"/>
          <w:szCs w:val="32"/>
        </w:rPr>
      </w:pPr>
      <w:r>
        <w:rPr>
          <w:rFonts w:hint="eastAsia" w:ascii="仿宋_GB2312"/>
          <w:szCs w:val="32"/>
        </w:rPr>
        <w:t>县应急委办公室会同本级有关部门（单位）建立县级应急管理专家委员会，研究应急管理重大问题，提出全局性、前瞻性政策措施建议；建立突发事件防范应对专家库，开展突发事件防范、应急处置和救援、调查评估等决策咨询服务工作。</w:t>
      </w:r>
    </w:p>
    <w:p>
      <w:pPr>
        <w:pStyle w:val="21"/>
        <w:spacing w:line="540" w:lineRule="exact"/>
        <w:outlineLvl w:val="0"/>
        <w:rPr>
          <w:rFonts w:ascii="黑体" w:cs="黑体"/>
        </w:rPr>
      </w:pPr>
      <w:bookmarkStart w:id="39" w:name="_Toc11176173"/>
      <w:bookmarkStart w:id="40" w:name="_Toc12201"/>
      <w:bookmarkStart w:id="41" w:name="_Hlk51175035"/>
      <w:r>
        <w:rPr>
          <w:rFonts w:hint="eastAsia" w:ascii="黑体" w:cs="黑体"/>
        </w:rPr>
        <w:t>3运行机制</w:t>
      </w:r>
      <w:bookmarkEnd w:id="39"/>
      <w:bookmarkEnd w:id="40"/>
    </w:p>
    <w:bookmarkEnd w:id="41"/>
    <w:p>
      <w:pPr>
        <w:pStyle w:val="20"/>
        <w:adjustRightInd w:val="0"/>
        <w:snapToGrid w:val="0"/>
        <w:spacing w:line="540" w:lineRule="exact"/>
        <w:rPr>
          <w:rFonts w:ascii="仿宋_GB2312"/>
          <w:szCs w:val="32"/>
        </w:rPr>
      </w:pPr>
      <w:r>
        <w:rPr>
          <w:rFonts w:hint="eastAsia" w:ascii="仿宋_GB2312"/>
          <w:szCs w:val="32"/>
        </w:rPr>
        <w:t>县级层面要建立健全应对突发事件的风险防控、监测与预警、应急处置与救援、恢复与重建等机制。</w:t>
      </w:r>
    </w:p>
    <w:p>
      <w:pPr>
        <w:pStyle w:val="20"/>
        <w:spacing w:line="540" w:lineRule="exact"/>
        <w:outlineLvl w:val="1"/>
        <w:rPr>
          <w:rFonts w:eastAsia="仿宋"/>
        </w:rPr>
      </w:pPr>
      <w:bookmarkStart w:id="42" w:name="_Toc8653296"/>
      <w:bookmarkEnd w:id="42"/>
      <w:bookmarkStart w:id="43" w:name="_Toc11176174"/>
      <w:bookmarkStart w:id="44" w:name="_Toc14310"/>
      <w:r>
        <w:rPr>
          <w:rFonts w:eastAsia="仿宋"/>
        </w:rPr>
        <w:t>3.1</w:t>
      </w:r>
      <w:r>
        <w:rPr>
          <w:rFonts w:hint="eastAsia" w:ascii="仿宋_GB2312"/>
        </w:rPr>
        <w:t>风险防控</w:t>
      </w:r>
      <w:bookmarkEnd w:id="43"/>
      <w:bookmarkEnd w:id="44"/>
    </w:p>
    <w:p>
      <w:pPr>
        <w:pStyle w:val="20"/>
        <w:spacing w:line="540" w:lineRule="exact"/>
      </w:pPr>
      <w:r>
        <w:rPr>
          <w:rFonts w:hint="eastAsia"/>
        </w:rPr>
        <w:t>3.1.1</w:t>
      </w:r>
      <w:r>
        <w:rPr>
          <w:rFonts w:hint="eastAsia" w:ascii="仿宋_GB2312"/>
          <w:szCs w:val="32"/>
        </w:rPr>
        <w:t>县级各部门和各类企事业单位应建立常态化值班制度，确保通信畅通，及时处理应急事项。</w:t>
      </w:r>
    </w:p>
    <w:p>
      <w:pPr>
        <w:pStyle w:val="20"/>
        <w:adjustRightInd w:val="0"/>
        <w:snapToGrid w:val="0"/>
        <w:spacing w:line="540" w:lineRule="exact"/>
        <w:rPr>
          <w:rFonts w:eastAsia="仿宋"/>
          <w:szCs w:val="32"/>
        </w:rPr>
      </w:pPr>
      <w:r>
        <w:rPr>
          <w:rFonts w:hint="eastAsia" w:eastAsia="仿宋"/>
        </w:rPr>
        <w:t>3.1.2</w:t>
      </w:r>
      <w:r>
        <w:rPr>
          <w:rFonts w:hint="eastAsia" w:ascii="仿宋_GB2312"/>
          <w:szCs w:val="32"/>
        </w:rPr>
        <w:t>健全风险防范化解机制，提升多灾种和灾害链综合监测、风险早期识别能力。依法对各类风险点、危险源、危险区域等进行调查、辨识、评估、分级、登记，建立台账，定期进行检查、监控，责令有关单位采取安全防范措施，积极化解治理风险，并建立信息共享机制，按照相关规定及时向社会公布。有关部门（单位）要按照职责分工对可能发生的突发事件进行综合性评估和趋势分析。突发事件主要牵头部门在重点时间</w:t>
      </w:r>
      <w:r>
        <w:rPr>
          <w:rFonts w:ascii="仿宋_GB2312"/>
          <w:szCs w:val="32"/>
        </w:rPr>
        <w:t>段</w:t>
      </w:r>
      <w:r>
        <w:rPr>
          <w:rFonts w:hint="eastAsia" w:ascii="仿宋_GB2312"/>
          <w:szCs w:val="32"/>
        </w:rPr>
        <w:t>对突发事件发生发展趋势进行研判和预测分析，并跟踪提出防范措施建议，报县</w:t>
      </w:r>
      <w:r>
        <w:rPr>
          <w:rFonts w:hint="eastAsia" w:ascii="仿宋_GB2312" w:cs="仿宋"/>
          <w:szCs w:val="32"/>
        </w:rPr>
        <w:t>委、县人</w:t>
      </w:r>
      <w:r>
        <w:rPr>
          <w:rFonts w:hint="eastAsia" w:ascii="仿宋_GB2312"/>
          <w:szCs w:val="32"/>
        </w:rPr>
        <w:t>民政府及上一级主管部门，并抄送县应急管理局。</w:t>
      </w:r>
    </w:p>
    <w:p>
      <w:pPr>
        <w:pStyle w:val="20"/>
        <w:adjustRightInd w:val="0"/>
        <w:snapToGrid w:val="0"/>
        <w:spacing w:line="540" w:lineRule="exact"/>
        <w:rPr>
          <w:rFonts w:ascii="仿宋_GB2312"/>
          <w:szCs w:val="32"/>
        </w:rPr>
      </w:pPr>
      <w:r>
        <w:rPr>
          <w:rFonts w:eastAsia="仿宋"/>
        </w:rPr>
        <w:t>3.1.</w:t>
      </w:r>
      <w:r>
        <w:rPr>
          <w:rFonts w:hint="eastAsia" w:eastAsia="仿宋"/>
        </w:rPr>
        <w:t>3</w:t>
      </w:r>
      <w:r>
        <w:rPr>
          <w:rFonts w:hint="eastAsia" w:ascii="仿宋_GB2312"/>
          <w:szCs w:val="32"/>
        </w:rPr>
        <w:t>坚持社会共治，统筹建立完善社区、村、重点单位风险防控体系。有关部门（单位）要及时发现和处置各类风险和隐患，落实风险管控措施。对重大风险点和危险源，要制定防控措施、整改方案和应急预案，同时做好监控和应急准备工作；要依照有关规定对各类矛盾纠纷进行调解处理，预防可能引发的社会安全事件，并对一些影响大、群众反映强烈的普遍性和倾向性社会问题，研究采取法律、政策等治本措施，力求从根本上解决；超出应急处置能力时，要立即向县人民政府报告，并向上级有关部门、当地驻军和可能受到危害的毗邻或相关地区通报。</w:t>
      </w:r>
    </w:p>
    <w:p>
      <w:pPr>
        <w:pStyle w:val="20"/>
        <w:adjustRightInd w:val="0"/>
        <w:snapToGrid w:val="0"/>
        <w:spacing w:line="540" w:lineRule="exact"/>
        <w:rPr>
          <w:rFonts w:eastAsia="仿宋"/>
          <w:szCs w:val="32"/>
        </w:rPr>
      </w:pPr>
      <w:r>
        <w:rPr>
          <w:rFonts w:eastAsia="仿宋"/>
          <w:szCs w:val="32"/>
        </w:rPr>
        <w:t>3.1.</w:t>
      </w:r>
      <w:r>
        <w:rPr>
          <w:rFonts w:hint="eastAsia" w:eastAsia="仿宋"/>
          <w:szCs w:val="32"/>
        </w:rPr>
        <w:t>4</w:t>
      </w:r>
      <w:r>
        <w:rPr>
          <w:rFonts w:hint="eastAsia" w:ascii="仿宋_GB2312"/>
          <w:szCs w:val="32"/>
        </w:rPr>
        <w:t>加强安全监督管理。重点战略物资储备库、重点水利水电工程、重大油气储运设施、超高压输变电工程、大型桥梁、超长隧道、重要通信枢纽、支付清算系统、广播电视台，以及供水、排水、供电等重大关键基础设施设计单位要科学选址、优化布局，进行风险评估、可行性论证和评估，增强防灾抗灾和风险管控能力；建设、运营与维护单位要建立完善日常安全和风险管理制度，制定防控和应急处置方案。学校、医院、车站、体育场馆、博物馆、文物古建筑、文化馆、图书馆、影剧院、歌舞厅、网吧、商场、宾馆、饭店、公园、旅游景区、宗教活动场所等公共场所和其他人员密集场所，以及长途客运、城市公共交通等的经营、管理单位，应当在安全出口与疏散路线、通道处，设立显著、醒目的警示标志，配备必要的预警和应急救援设备，建立安全巡检制度，保证安全通道、出口的畅通。</w:t>
      </w:r>
    </w:p>
    <w:p>
      <w:pPr>
        <w:pStyle w:val="20"/>
        <w:adjustRightInd w:val="0"/>
        <w:snapToGrid w:val="0"/>
        <w:spacing w:line="540" w:lineRule="exact"/>
        <w:rPr>
          <w:rFonts w:eastAsia="仿宋"/>
          <w:szCs w:val="32"/>
        </w:rPr>
      </w:pPr>
      <w:r>
        <w:rPr>
          <w:rFonts w:eastAsia="仿宋"/>
          <w:szCs w:val="32"/>
        </w:rPr>
        <w:t>3.1.</w:t>
      </w:r>
      <w:r>
        <w:rPr>
          <w:rFonts w:hint="eastAsia" w:eastAsia="仿宋"/>
          <w:szCs w:val="32"/>
        </w:rPr>
        <w:t>5</w:t>
      </w:r>
      <w:r>
        <w:rPr>
          <w:rFonts w:hint="eastAsia" w:ascii="仿宋_GB2312"/>
          <w:szCs w:val="32"/>
        </w:rPr>
        <w:t>县、镇级城乡规划应当充分考虑公共安全风险因素，树牢底线思维，统筹安排应对突发事件所必需的设备和基础设施建设。要加强城乡防灾减灾救灾能力建设，抓好源头治理为重点的安全生产基础能力建设，完善城乡医疗救治体系和疾病预防控制为重点的公共卫生保障体系，加强以利益协调机制、诉求表达机制、矛盾调处机制为重点的社会安全基础能力建设。</w:t>
      </w:r>
    </w:p>
    <w:p>
      <w:pPr>
        <w:pStyle w:val="20"/>
        <w:adjustRightInd w:val="0"/>
        <w:snapToGrid w:val="0"/>
        <w:spacing w:line="540" w:lineRule="exact"/>
        <w:rPr>
          <w:rFonts w:ascii="仿宋_GB2312"/>
          <w:szCs w:val="32"/>
        </w:rPr>
      </w:pPr>
      <w:r>
        <w:rPr>
          <w:rFonts w:eastAsia="仿宋"/>
          <w:szCs w:val="32"/>
        </w:rPr>
        <w:t>3.1.</w:t>
      </w:r>
      <w:r>
        <w:rPr>
          <w:rFonts w:hint="eastAsia" w:eastAsia="仿宋"/>
          <w:szCs w:val="32"/>
        </w:rPr>
        <w:t>6</w:t>
      </w:r>
      <w:r>
        <w:rPr>
          <w:rFonts w:hint="eastAsia" w:ascii="仿宋_GB2312"/>
          <w:szCs w:val="32"/>
        </w:rPr>
        <w:t>各类企业应根据属地管理原则，加强与主管部门的沟通联系和信息共享，共同做好风险防控工作。</w:t>
      </w:r>
    </w:p>
    <w:p>
      <w:pPr>
        <w:pStyle w:val="20"/>
        <w:spacing w:line="540" w:lineRule="exact"/>
        <w:outlineLvl w:val="1"/>
        <w:rPr>
          <w:rFonts w:eastAsia="仿宋"/>
        </w:rPr>
      </w:pPr>
      <w:bookmarkStart w:id="45" w:name="_Toc8653297"/>
      <w:bookmarkEnd w:id="45"/>
      <w:bookmarkStart w:id="46" w:name="_Toc11176175"/>
      <w:bookmarkStart w:id="47" w:name="_Toc1431"/>
      <w:r>
        <w:rPr>
          <w:rFonts w:eastAsia="仿宋"/>
        </w:rPr>
        <w:t>3.2</w:t>
      </w:r>
      <w:r>
        <w:rPr>
          <w:rFonts w:hint="eastAsia" w:ascii="仿宋_GB2312"/>
        </w:rPr>
        <w:t>监测与预警</w:t>
      </w:r>
      <w:bookmarkEnd w:id="46"/>
      <w:bookmarkEnd w:id="47"/>
    </w:p>
    <w:p>
      <w:pPr>
        <w:pStyle w:val="20"/>
        <w:adjustRightInd w:val="0"/>
        <w:snapToGrid w:val="0"/>
        <w:spacing w:line="540" w:lineRule="exact"/>
        <w:outlineLvl w:val="2"/>
        <w:rPr>
          <w:rFonts w:eastAsia="仿宋"/>
        </w:rPr>
      </w:pPr>
      <w:bookmarkStart w:id="48" w:name="_Toc18426"/>
      <w:r>
        <w:rPr>
          <w:rFonts w:eastAsia="仿宋"/>
        </w:rPr>
        <w:t>3.2.1</w:t>
      </w:r>
      <w:r>
        <w:rPr>
          <w:rFonts w:hint="eastAsia" w:ascii="仿宋_GB2312"/>
        </w:rPr>
        <w:t>监测</w:t>
      </w:r>
      <w:bookmarkEnd w:id="48"/>
    </w:p>
    <w:p>
      <w:pPr>
        <w:pStyle w:val="20"/>
        <w:adjustRightInd w:val="0"/>
        <w:snapToGrid w:val="0"/>
        <w:spacing w:line="540" w:lineRule="exact"/>
        <w:rPr>
          <w:rFonts w:ascii="仿宋_GB2312"/>
          <w:szCs w:val="32"/>
        </w:rPr>
      </w:pPr>
      <w:r>
        <w:rPr>
          <w:rFonts w:hint="eastAsia" w:ascii="仿宋_GB2312"/>
          <w:szCs w:val="32"/>
        </w:rPr>
        <w:t>建立健全突发事件监测制度，整合监测信息资源，完善信息资源获取和共享机制，各类突发事件主要牵头部门负责相应突发事件监测信息集成。要根据突发事件种类和特点，建立健全地震、地质、气象、洪涝、干旱、生物灾害、森林草原火灾、危险化学品、民用爆炸物品及烟花爆竹生产和储运、城乡火灾、重大关键基础设施、生态环境、传染病疫情、食品药品安全、动物疫情、主要生产生活必需品市场供求、社会治安、金融运行、粮食安全等基础信息数据库，完善监测网络，划分监测区域，确定监测点，明确监测项目，提供必要的设备、设施，配备专职或兼职人员，对可能发生的突发事件进行监测。</w:t>
      </w:r>
    </w:p>
    <w:p>
      <w:pPr>
        <w:pStyle w:val="20"/>
        <w:adjustRightInd w:val="0"/>
        <w:snapToGrid w:val="0"/>
        <w:spacing w:line="540" w:lineRule="exact"/>
        <w:rPr>
          <w:rFonts w:eastAsia="仿宋"/>
          <w:szCs w:val="32"/>
        </w:rPr>
      </w:pPr>
      <w:r>
        <w:rPr>
          <w:rFonts w:hint="eastAsia" w:ascii="仿宋_GB2312"/>
          <w:szCs w:val="32"/>
        </w:rPr>
        <w:t>县级层面要加强重大风险点、危险源辨识、监测能力</w:t>
      </w:r>
      <w:r>
        <w:rPr>
          <w:rFonts w:ascii="仿宋_GB2312"/>
          <w:szCs w:val="32"/>
        </w:rPr>
        <w:t>建设</w:t>
      </w:r>
      <w:r>
        <w:rPr>
          <w:rFonts w:hint="eastAsia" w:ascii="仿宋_GB2312"/>
          <w:szCs w:val="32"/>
        </w:rPr>
        <w:t>，以便采取有效措施进行防范，减少或杜绝发生重大损失。</w:t>
      </w:r>
    </w:p>
    <w:p>
      <w:pPr>
        <w:pStyle w:val="20"/>
        <w:adjustRightInd w:val="0"/>
        <w:snapToGrid w:val="0"/>
        <w:spacing w:line="540" w:lineRule="exact"/>
        <w:outlineLvl w:val="2"/>
        <w:rPr>
          <w:rFonts w:eastAsia="仿宋"/>
        </w:rPr>
      </w:pPr>
      <w:bookmarkStart w:id="49" w:name="_Toc8792"/>
      <w:r>
        <w:rPr>
          <w:rFonts w:eastAsia="仿宋"/>
        </w:rPr>
        <w:t>3.2.2</w:t>
      </w:r>
      <w:r>
        <w:rPr>
          <w:rFonts w:hint="eastAsia" w:ascii="仿宋_GB2312"/>
        </w:rPr>
        <w:t>预警</w:t>
      </w:r>
      <w:bookmarkEnd w:id="49"/>
    </w:p>
    <w:p>
      <w:pPr>
        <w:pStyle w:val="20"/>
        <w:adjustRightInd w:val="0"/>
        <w:snapToGrid w:val="0"/>
        <w:spacing w:line="540" w:lineRule="exact"/>
        <w:rPr>
          <w:rFonts w:ascii="仿宋_GB2312"/>
          <w:szCs w:val="32"/>
        </w:rPr>
      </w:pPr>
      <w:r>
        <w:rPr>
          <w:rFonts w:hint="eastAsia" w:ascii="仿宋_GB2312"/>
          <w:szCs w:val="32"/>
        </w:rPr>
        <w:t>建立健全突发事件预警制度，统筹预警信息发布，运用应急广播、手机短信等各类渠道，解决预警信息发布“最后一公里”问题。</w:t>
      </w:r>
    </w:p>
    <w:p>
      <w:pPr>
        <w:pStyle w:val="20"/>
        <w:adjustRightInd w:val="0"/>
        <w:snapToGrid w:val="0"/>
        <w:spacing w:line="540" w:lineRule="exact"/>
        <w:rPr>
          <w:rFonts w:eastAsia="仿宋"/>
          <w:szCs w:val="32"/>
        </w:rPr>
      </w:pPr>
      <w:r>
        <w:rPr>
          <w:rFonts w:eastAsia="仿宋"/>
          <w:szCs w:val="32"/>
        </w:rPr>
        <w:t>（1）</w:t>
      </w:r>
      <w:r>
        <w:rPr>
          <w:rFonts w:hint="eastAsia" w:ascii="仿宋_GB2312"/>
          <w:szCs w:val="32"/>
        </w:rPr>
        <w:t>确定预警级别。对可以预警的自然灾害、事故灾难或公共卫生事件，县级有关部门（单位）</w:t>
      </w:r>
      <w:r>
        <w:rPr>
          <w:rFonts w:hint="eastAsia" w:ascii="仿宋_GB2312"/>
          <w:spacing w:val="-6"/>
          <w:szCs w:val="32"/>
          <w:lang w:bidi="he-IL"/>
        </w:rPr>
        <w:t>接到</w:t>
      </w:r>
      <w:r>
        <w:rPr>
          <w:rFonts w:hint="eastAsia" w:ascii="仿宋_GB2312"/>
          <w:szCs w:val="32"/>
        </w:rPr>
        <w:t>相关征兆信息后，及时组织进行分析评估，研判发生的可能性、强度和影响范围以及可能发生的次生衍生突发事件类别，确定预警级别。按照紧急程度、发展势态和可能造成的危害程度，预警级别可分为一级、二级、三级和四级，分别用红色、橙色、黄色和蓝色标示，一级为最高级别。县、镇人民政府要依据国家、省和州级牵头部门制订的预警级别划分标准，结合实际制订具体实施办法。对其他突发事件，要根据情况及时向有关方面通报提醒，涉及面较广、影响较大时，应及时向社会公众发布安全警示。</w:t>
      </w:r>
    </w:p>
    <w:p>
      <w:pPr>
        <w:pStyle w:val="20"/>
        <w:adjustRightInd w:val="0"/>
        <w:snapToGrid w:val="0"/>
        <w:spacing w:line="540" w:lineRule="exact"/>
        <w:rPr>
          <w:rFonts w:ascii="仿宋_GB2312"/>
          <w:szCs w:val="32"/>
        </w:rPr>
      </w:pPr>
      <w:r>
        <w:rPr>
          <w:rFonts w:eastAsia="仿宋"/>
          <w:szCs w:val="32"/>
        </w:rPr>
        <w:t>（2）</w:t>
      </w:r>
      <w:r>
        <w:rPr>
          <w:rFonts w:hint="eastAsia" w:ascii="仿宋_GB2312"/>
          <w:szCs w:val="32"/>
        </w:rPr>
        <w:t>发布预警信息。分析评估结果确认突发事件即将发生或者发生的可能性增大时，县级层面按有关规定立即发布预警信息，及时向上一级报告。涉及面较广、敏感度较高或处置不当可能造成严重后果的特别重大、重大突发事件，可以越级上报，并向当地驻军和可能受到危害的毗邻或相关地区通报。根据事态发展，适时调整预警级别并重新报告、通报和发布有关突发事件预测信息和分析评估结果。</w:t>
      </w:r>
    </w:p>
    <w:p>
      <w:pPr>
        <w:pStyle w:val="20"/>
        <w:adjustRightInd w:val="0"/>
        <w:snapToGrid w:val="0"/>
        <w:spacing w:line="540" w:lineRule="exact"/>
        <w:rPr>
          <w:rFonts w:eastAsia="仿宋"/>
          <w:szCs w:val="32"/>
        </w:rPr>
      </w:pPr>
      <w:r>
        <w:rPr>
          <w:rFonts w:hint="eastAsia" w:ascii="仿宋_GB2312"/>
          <w:szCs w:val="32"/>
        </w:rPr>
        <w:t>预警信息的发布和调整要充分发挥突发事件预警信息发布系统作用，通过广播、电视、手机、报刊、通信与信息网络、警报器、宣传车、大喇叭或组织人员逐户通知等方式进行，对老、幼、病、残、孕等特殊人群和学校等特殊场所以及警报盲区应当采取有针对性的通知方式。承担应急处置职责的相关单位接收到预警信息后，应及时向发布预警信息的单位反馈接收结果。</w:t>
      </w:r>
    </w:p>
    <w:p>
      <w:pPr>
        <w:pStyle w:val="20"/>
        <w:adjustRightInd w:val="0"/>
        <w:snapToGrid w:val="0"/>
        <w:spacing w:line="540" w:lineRule="exact"/>
        <w:rPr>
          <w:rFonts w:ascii="仿宋_GB2312"/>
          <w:szCs w:val="32"/>
        </w:rPr>
      </w:pPr>
      <w:r>
        <w:rPr>
          <w:rFonts w:eastAsia="仿宋"/>
          <w:szCs w:val="32"/>
        </w:rPr>
        <w:t>（3）</w:t>
      </w:r>
      <w:r>
        <w:rPr>
          <w:rFonts w:hint="eastAsia" w:ascii="仿宋_GB2312"/>
          <w:szCs w:val="32"/>
        </w:rPr>
        <w:t>采取预警措施。发布预警信息后，有关方面要根据预警级别和实际情况以及分级负责的原则，采取下列一项或多项措施：</w:t>
      </w:r>
    </w:p>
    <w:p>
      <w:pPr>
        <w:pStyle w:val="20"/>
        <w:adjustRightInd w:val="0"/>
        <w:snapToGrid w:val="0"/>
        <w:spacing w:line="540" w:lineRule="exact"/>
        <w:rPr>
          <w:szCs w:val="32"/>
        </w:rPr>
      </w:pPr>
      <w:r>
        <w:rPr>
          <w:szCs w:val="32"/>
        </w:rPr>
        <w:t>1）增加观测频次，及时收集、报告有关信息；</w:t>
      </w:r>
    </w:p>
    <w:p>
      <w:pPr>
        <w:pStyle w:val="20"/>
        <w:adjustRightInd w:val="0"/>
        <w:snapToGrid w:val="0"/>
        <w:spacing w:line="540" w:lineRule="exact"/>
        <w:rPr>
          <w:szCs w:val="32"/>
        </w:rPr>
      </w:pPr>
      <w:r>
        <w:rPr>
          <w:szCs w:val="32"/>
        </w:rPr>
        <w:t>2）加强公众沟通，公布信息接收和咨询电话，向社会公告采取的有关特定措施、避免或减轻危害的建议和劝告等；</w:t>
      </w:r>
    </w:p>
    <w:p>
      <w:pPr>
        <w:pStyle w:val="20"/>
        <w:adjustRightInd w:val="0"/>
        <w:snapToGrid w:val="0"/>
        <w:spacing w:line="540" w:lineRule="exact"/>
        <w:rPr>
          <w:szCs w:val="32"/>
        </w:rPr>
      </w:pPr>
      <w:r>
        <w:rPr>
          <w:szCs w:val="32"/>
        </w:rPr>
        <w:t>3）组织应急队伍和负有特定职责的人员进入待命状态，动员后备人员做好参加应急处置和救援工作的准备，视情预置有关队伍、装备、物资等应急资源；</w:t>
      </w:r>
    </w:p>
    <w:p>
      <w:pPr>
        <w:pStyle w:val="20"/>
        <w:adjustRightInd w:val="0"/>
        <w:snapToGrid w:val="0"/>
        <w:spacing w:line="540" w:lineRule="exact"/>
        <w:rPr>
          <w:szCs w:val="32"/>
        </w:rPr>
      </w:pPr>
      <w:r>
        <w:rPr>
          <w:szCs w:val="32"/>
        </w:rPr>
        <w:t>4）调集应急处置和救援所需物资、设备、工具，准备应急设施和避难场所，并确保其处于良好状态、随时可以投入正常使用；</w:t>
      </w:r>
    </w:p>
    <w:p>
      <w:pPr>
        <w:pStyle w:val="20"/>
        <w:adjustRightInd w:val="0"/>
        <w:snapToGrid w:val="0"/>
        <w:spacing w:line="540" w:lineRule="exact"/>
        <w:rPr>
          <w:szCs w:val="32"/>
        </w:rPr>
      </w:pPr>
      <w:r>
        <w:rPr>
          <w:szCs w:val="32"/>
        </w:rPr>
        <w:t>5）加强对重点单位、重要部位和重要基础设施的安全保卫，维护社会治安秩序；</w:t>
      </w:r>
    </w:p>
    <w:p>
      <w:pPr>
        <w:pStyle w:val="20"/>
        <w:adjustRightInd w:val="0"/>
        <w:snapToGrid w:val="0"/>
        <w:spacing w:line="540" w:lineRule="exact"/>
        <w:rPr>
          <w:szCs w:val="32"/>
        </w:rPr>
      </w:pPr>
      <w:r>
        <w:rPr>
          <w:szCs w:val="32"/>
        </w:rPr>
        <w:t>6）采取必要措施，确保交通、通信、供水、排水、供电、供气等公共设施的安全和正常运行；</w:t>
      </w:r>
    </w:p>
    <w:p>
      <w:pPr>
        <w:pStyle w:val="20"/>
        <w:adjustRightInd w:val="0"/>
        <w:snapToGrid w:val="0"/>
        <w:spacing w:line="540" w:lineRule="exact"/>
        <w:rPr>
          <w:szCs w:val="32"/>
        </w:rPr>
      </w:pPr>
      <w:r>
        <w:rPr>
          <w:szCs w:val="32"/>
        </w:rPr>
        <w:t>7）转移、疏散或者撤离易受突发事件危害的人员并予以妥善安置，转移重要财产，对老、幼、病、残、孕等特殊人群以及学生要采取优先或针对性的措施；</w:t>
      </w:r>
    </w:p>
    <w:p>
      <w:pPr>
        <w:pStyle w:val="20"/>
        <w:adjustRightInd w:val="0"/>
        <w:snapToGrid w:val="0"/>
        <w:spacing w:line="540" w:lineRule="exact"/>
        <w:rPr>
          <w:szCs w:val="32"/>
        </w:rPr>
      </w:pPr>
      <w:r>
        <w:rPr>
          <w:szCs w:val="32"/>
        </w:rPr>
        <w:t>8）关闭或者限制使用易受突发事件危害的场所，控制或者限制容易导致危害扩大的公共场所的活动；</w:t>
      </w:r>
    </w:p>
    <w:p>
      <w:pPr>
        <w:pStyle w:val="20"/>
        <w:adjustRightInd w:val="0"/>
        <w:snapToGrid w:val="0"/>
        <w:spacing w:line="540" w:lineRule="exact"/>
        <w:rPr>
          <w:szCs w:val="32"/>
        </w:rPr>
      </w:pPr>
      <w:r>
        <w:rPr>
          <w:szCs w:val="32"/>
        </w:rPr>
        <w:t>9）有关地区和部门发布预警后，其他相关地区和部门及时组织分析本地区和本行业可能受到影响的范围、程度等，安排部署有关防范性措施；</w:t>
      </w:r>
    </w:p>
    <w:p>
      <w:pPr>
        <w:pStyle w:val="20"/>
        <w:adjustRightInd w:val="0"/>
        <w:snapToGrid w:val="0"/>
        <w:spacing w:line="540" w:lineRule="exact"/>
        <w:rPr>
          <w:szCs w:val="32"/>
        </w:rPr>
      </w:pPr>
      <w:r>
        <w:rPr>
          <w:szCs w:val="32"/>
        </w:rPr>
        <w:t>10）媒体单位应优先做好预警信息传播和应急宣传工作。</w:t>
      </w:r>
    </w:p>
    <w:p>
      <w:pPr>
        <w:pStyle w:val="20"/>
        <w:adjustRightInd w:val="0"/>
        <w:snapToGrid w:val="0"/>
        <w:spacing w:line="540" w:lineRule="exact"/>
        <w:rPr>
          <w:rFonts w:eastAsia="仿宋"/>
          <w:szCs w:val="32"/>
        </w:rPr>
      </w:pPr>
      <w:r>
        <w:rPr>
          <w:szCs w:val="32"/>
        </w:rPr>
        <w:t>11）法律、法规、规章规定的其他必要的防范性、保护性措施。</w:t>
      </w:r>
    </w:p>
    <w:p>
      <w:pPr>
        <w:pStyle w:val="20"/>
        <w:numPr>
          <w:ilvl w:val="0"/>
          <w:numId w:val="1"/>
        </w:numPr>
        <w:adjustRightInd w:val="0"/>
        <w:snapToGrid w:val="0"/>
        <w:spacing w:line="540" w:lineRule="exact"/>
        <w:ind w:left="0" w:firstLine="640" w:firstLineChars="0"/>
        <w:rPr>
          <w:rFonts w:ascii="仿宋_GB2312"/>
          <w:szCs w:val="32"/>
        </w:rPr>
      </w:pPr>
      <w:r>
        <w:rPr>
          <w:rFonts w:hint="eastAsia" w:ascii="仿宋_GB2312"/>
          <w:szCs w:val="32"/>
        </w:rPr>
        <w:t>解除预警措施。当突发事件风险已经解除，县级层面要立即宣布解除警报，终止预警期，解除已经采取的有关措施。</w:t>
      </w:r>
    </w:p>
    <w:p>
      <w:pPr>
        <w:pStyle w:val="20"/>
        <w:spacing w:line="540" w:lineRule="exact"/>
        <w:outlineLvl w:val="1"/>
        <w:rPr>
          <w:rFonts w:eastAsia="仿宋"/>
        </w:rPr>
      </w:pPr>
      <w:bookmarkStart w:id="50" w:name="_Toc729"/>
      <w:bookmarkStart w:id="51" w:name="_Toc11176176"/>
      <w:r>
        <w:rPr>
          <w:rFonts w:eastAsia="仿宋"/>
        </w:rPr>
        <w:t>3.3</w:t>
      </w:r>
      <w:r>
        <w:rPr>
          <w:rFonts w:hint="eastAsia" w:ascii="仿宋_GB2312"/>
        </w:rPr>
        <w:t>应急处置与救援</w:t>
      </w:r>
      <w:bookmarkEnd w:id="50"/>
      <w:bookmarkEnd w:id="51"/>
    </w:p>
    <w:p>
      <w:pPr>
        <w:pStyle w:val="20"/>
        <w:adjustRightInd w:val="0"/>
        <w:snapToGrid w:val="0"/>
        <w:spacing w:line="540" w:lineRule="exact"/>
        <w:outlineLvl w:val="2"/>
        <w:rPr>
          <w:rFonts w:ascii="仿宋_GB2312"/>
        </w:rPr>
      </w:pPr>
      <w:bookmarkStart w:id="52" w:name="_Toc22007"/>
      <w:r>
        <w:rPr>
          <w:rFonts w:eastAsia="仿宋"/>
        </w:rPr>
        <w:t>3.3.1</w:t>
      </w:r>
      <w:r>
        <w:rPr>
          <w:rFonts w:hint="eastAsia" w:ascii="仿宋_GB2312"/>
        </w:rPr>
        <w:t>信息报告</w:t>
      </w:r>
      <w:bookmarkEnd w:id="52"/>
    </w:p>
    <w:p>
      <w:pPr>
        <w:pStyle w:val="20"/>
        <w:adjustRightInd w:val="0"/>
        <w:snapToGrid w:val="0"/>
        <w:spacing w:line="540" w:lineRule="exact"/>
        <w:rPr>
          <w:szCs w:val="32"/>
        </w:rPr>
      </w:pPr>
      <w:r>
        <w:rPr>
          <w:szCs w:val="32"/>
        </w:rPr>
        <w:t>（1）县级层面要积极推进安全风险网格化管理，创新基层网格员管理体制机制，统筹灾害信息员、群测群防员、气象信息员、网格员等资源，建立统一规范的基层网格员管理和激励制度，实现社区、村网格员全覆盖、无死角，同时承担风险隐患巡查报告、突发事件第一时间报告、第一时间先期处置、灾情统计报告等职责。</w:t>
      </w:r>
    </w:p>
    <w:p>
      <w:pPr>
        <w:pStyle w:val="20"/>
        <w:adjustRightInd w:val="0"/>
        <w:snapToGrid w:val="0"/>
        <w:spacing w:line="540" w:lineRule="exact"/>
        <w:rPr>
          <w:szCs w:val="32"/>
        </w:rPr>
      </w:pPr>
      <w:r>
        <w:rPr>
          <w:szCs w:val="32"/>
        </w:rPr>
        <w:t>（2）突发事件发生或发现重大风险隐患后，基层网格员和有关学校、医院、企业、社区、村、社会组织及相关专业机构、监测网点等要及时向所在地人民政府及其有关主管部门报告突发事件信息。有关主管部门要向本级人民政府相关部门通报突发事件信息。事发地人民政府及其有关部门按照有关规定向上级人民政府及其有关部门报送突发事件信息，并根据事态进展，及时续报突发事件处置等有关情况。获悉突发事件信息的公民应主动向所在地政府、有关部门等报告。</w:t>
      </w:r>
    </w:p>
    <w:p>
      <w:pPr>
        <w:pStyle w:val="20"/>
        <w:adjustRightInd w:val="0"/>
        <w:snapToGrid w:val="0"/>
        <w:spacing w:line="540" w:lineRule="exact"/>
        <w:rPr>
          <w:rFonts w:eastAsia="仿宋"/>
          <w:szCs w:val="32"/>
        </w:rPr>
      </w:pPr>
      <w:r>
        <w:rPr>
          <w:rFonts w:hint="eastAsia" w:ascii="仿宋_GB2312"/>
          <w:szCs w:val="32"/>
        </w:rPr>
        <w:t>报告内容一般包括突发事件发生的时间、地点、信息来源、性质、简要经过、影响范围（含环境影响）、人员伤（病）亡和失联情况、房屋倒塌损坏情况、交通通信电力等基础设施损毁情况、现场救援情况和已经采取的其他措施等。极端情况下，确实无法及时获得完整信息时，可调整报告内容，并跟踪汇报。</w:t>
      </w:r>
    </w:p>
    <w:p>
      <w:pPr>
        <w:pStyle w:val="20"/>
        <w:adjustRightInd w:val="0"/>
        <w:snapToGrid w:val="0"/>
        <w:spacing w:line="540" w:lineRule="exact"/>
        <w:rPr>
          <w:rFonts w:eastAsia="仿宋"/>
          <w:szCs w:val="32"/>
        </w:rPr>
      </w:pPr>
      <w:r>
        <w:rPr>
          <w:rFonts w:eastAsia="仿宋"/>
          <w:szCs w:val="32"/>
        </w:rPr>
        <w:t>（3）</w:t>
      </w:r>
      <w:r>
        <w:rPr>
          <w:szCs w:val="32"/>
        </w:rPr>
        <w:t>县人民政府及其有关部门要全面掌握本行政区域各类突发事件信息并及时报送州人民政府及其有关部门。对于一些事件本身比较敏感，或发生在重点地区、重要时期，或可能演化为特别重大、重大、较大突发事件的，不受突发事件分级标准限制。</w:t>
      </w:r>
    </w:p>
    <w:p>
      <w:pPr>
        <w:pStyle w:val="20"/>
        <w:adjustRightInd w:val="0"/>
        <w:snapToGrid w:val="0"/>
        <w:spacing w:line="540" w:lineRule="exact"/>
        <w:rPr>
          <w:szCs w:val="32"/>
        </w:rPr>
      </w:pPr>
      <w:r>
        <w:rPr>
          <w:rFonts w:eastAsia="仿宋"/>
          <w:szCs w:val="32"/>
        </w:rPr>
        <w:t>（4）</w:t>
      </w:r>
      <w:r>
        <w:rPr>
          <w:szCs w:val="32"/>
        </w:rPr>
        <w:t>接到突发事件信息后，各级人民政府及其有关部门要立即如实向上级人民政府及其有关部门报告，最迟不得超过1小时，不得迟报、谎报、瞒报和漏报，同时通报可能受影响的地区、部门和企业等。特别重大、重大</w:t>
      </w:r>
      <w:r>
        <w:rPr>
          <w:rFonts w:hint="eastAsia"/>
          <w:szCs w:val="32"/>
        </w:rPr>
        <w:t>、较大</w:t>
      </w:r>
      <w:r>
        <w:rPr>
          <w:szCs w:val="32"/>
        </w:rPr>
        <w:t>突发事件发生后，县人民政府及其有关部门要及时报告州人民政府及其有关部门。涉及面较广、敏感度较高或处置不当可能造成严重后果时，可直接向省人民政府及其有关部门报告。</w:t>
      </w:r>
      <w:r>
        <w:rPr>
          <w:rFonts w:hint="eastAsia"/>
          <w:szCs w:val="32"/>
        </w:rPr>
        <w:t>一般</w:t>
      </w:r>
      <w:r>
        <w:rPr>
          <w:szCs w:val="32"/>
        </w:rPr>
        <w:t>突发事件发生后，镇级人民政府要及时报告县人民政府及有关部门。涉及面较广、敏感度较高或处置不当可能造成严重后果</w:t>
      </w:r>
      <w:r>
        <w:rPr>
          <w:rFonts w:hint="eastAsia"/>
          <w:szCs w:val="32"/>
        </w:rPr>
        <w:t>时</w:t>
      </w:r>
      <w:r>
        <w:rPr>
          <w:szCs w:val="32"/>
        </w:rPr>
        <w:t>，可直接向州人民政府及其有关部门报告。</w:t>
      </w:r>
    </w:p>
    <w:p>
      <w:pPr>
        <w:pStyle w:val="20"/>
        <w:adjustRightInd w:val="0"/>
        <w:snapToGrid w:val="0"/>
        <w:spacing w:line="540" w:lineRule="exact"/>
        <w:rPr>
          <w:szCs w:val="32"/>
        </w:rPr>
      </w:pPr>
      <w:r>
        <w:rPr>
          <w:rFonts w:eastAsia="仿宋"/>
          <w:szCs w:val="32"/>
        </w:rPr>
        <w:t>（5）</w:t>
      </w:r>
      <w:r>
        <w:rPr>
          <w:szCs w:val="32"/>
        </w:rPr>
        <w:t>涉及港澳台侨、外籍人员，或影响到境外的突发事件，需要向香港特别行政区政府、澳门特别行政区政府、台湾当局以及有关国家、地区、国际机构通报的，按照相关规定办理。</w:t>
      </w:r>
    </w:p>
    <w:p>
      <w:pPr>
        <w:pStyle w:val="20"/>
        <w:adjustRightInd w:val="0"/>
        <w:snapToGrid w:val="0"/>
        <w:spacing w:line="540" w:lineRule="exact"/>
        <w:rPr>
          <w:rFonts w:eastAsia="仿宋"/>
          <w:szCs w:val="32"/>
        </w:rPr>
      </w:pPr>
      <w:r>
        <w:rPr>
          <w:rFonts w:eastAsia="仿宋"/>
          <w:szCs w:val="32"/>
        </w:rPr>
        <w:t>（6）</w:t>
      </w:r>
      <w:r>
        <w:rPr>
          <w:szCs w:val="32"/>
        </w:rPr>
        <w:t>各类突发事件应急处置牵头部门（单位）要建立健全信息快速获取机制，完善突发事件信息报送和信息共享系统，融合相关部门的应急基础信息、地理信息、应急资源信息、预案和案例信息、事件动态信息等，为突发事件应对提供信息保障。鼓励获悉突发事件信息的公民主动向所在地人民政府及其有关主管部门或指定的专业机构报告。</w:t>
      </w:r>
    </w:p>
    <w:p>
      <w:pPr>
        <w:pStyle w:val="20"/>
        <w:adjustRightInd w:val="0"/>
        <w:snapToGrid w:val="0"/>
        <w:spacing w:line="540" w:lineRule="exact"/>
        <w:outlineLvl w:val="2"/>
        <w:rPr>
          <w:rFonts w:eastAsia="仿宋"/>
        </w:rPr>
      </w:pPr>
      <w:bookmarkStart w:id="53" w:name="_Toc29802"/>
      <w:r>
        <w:rPr>
          <w:rFonts w:eastAsia="仿宋"/>
        </w:rPr>
        <w:t>3.3.2</w:t>
      </w:r>
      <w:r>
        <w:rPr>
          <w:rFonts w:hint="eastAsia" w:ascii="仿宋_GB2312"/>
        </w:rPr>
        <w:t>先期处置</w:t>
      </w:r>
      <w:bookmarkEnd w:id="53"/>
    </w:p>
    <w:p>
      <w:pPr>
        <w:pStyle w:val="20"/>
        <w:adjustRightInd w:val="0"/>
        <w:snapToGrid w:val="0"/>
        <w:spacing w:line="540" w:lineRule="exact"/>
        <w:rPr>
          <w:rFonts w:eastAsia="仿宋"/>
          <w:szCs w:val="32"/>
        </w:rPr>
      </w:pPr>
      <w:r>
        <w:rPr>
          <w:rFonts w:eastAsia="仿宋"/>
          <w:szCs w:val="32"/>
        </w:rPr>
        <w:t>（1）</w:t>
      </w:r>
      <w:r>
        <w:rPr>
          <w:rFonts w:hint="eastAsia" w:ascii="仿宋_GB2312"/>
          <w:szCs w:val="32"/>
        </w:rPr>
        <w:t>事发或受影响单位要向县委、县人民政府及其有关部门报告；立即组织本单位应急队伍和工作人员营救受害人员，实施交通管制和道路抢通保通措施，疏散、撤离、安置受威胁人员；控制危险源，标明危险区域，封锁危险场所，并采取其他防止危害扩大的必要措施。对因本单位问题引发的或主体是本单位人员的社会安全事件，有关单位要迅速派出负责人赶赴现场开展劝解、疏导工作。</w:t>
      </w:r>
    </w:p>
    <w:p>
      <w:pPr>
        <w:pStyle w:val="20"/>
        <w:adjustRightInd w:val="0"/>
        <w:snapToGrid w:val="0"/>
        <w:spacing w:line="540" w:lineRule="exact"/>
        <w:rPr>
          <w:rFonts w:ascii="仿宋_GB2312"/>
          <w:szCs w:val="32"/>
        </w:rPr>
      </w:pPr>
      <w:r>
        <w:rPr>
          <w:rFonts w:eastAsia="仿宋"/>
          <w:szCs w:val="32"/>
        </w:rPr>
        <w:t>（2）</w:t>
      </w:r>
      <w:r>
        <w:rPr>
          <w:rFonts w:hint="eastAsia" w:ascii="仿宋_GB2312"/>
          <w:szCs w:val="32"/>
        </w:rPr>
        <w:t>事发地居民委员会、村民委员会和其他组织要立即进行宣传动员，组织群众开展自救和互救，协助维护社会秩序，或按照当地人民政府决定、命令组织开展突发事件应对工作。</w:t>
      </w:r>
    </w:p>
    <w:p>
      <w:pPr>
        <w:pStyle w:val="20"/>
        <w:adjustRightInd w:val="0"/>
        <w:snapToGrid w:val="0"/>
        <w:spacing w:line="540" w:lineRule="exact"/>
        <w:rPr>
          <w:rFonts w:eastAsia="仿宋"/>
          <w:szCs w:val="32"/>
        </w:rPr>
      </w:pPr>
      <w:r>
        <w:rPr>
          <w:rFonts w:eastAsia="仿宋"/>
          <w:szCs w:val="32"/>
        </w:rPr>
        <w:t>（3）</w:t>
      </w:r>
      <w:r>
        <w:rPr>
          <w:rFonts w:hint="eastAsia" w:ascii="仿宋_GB2312"/>
          <w:szCs w:val="32"/>
        </w:rPr>
        <w:t>事发地镇人民政府就近组织应急力量，采取措施控制事态发展，开展应急处置与救援工作，充分利用轻骑兵、灾害信息员、卫星电话等手段及时向县委、县人民政府报告。</w:t>
      </w:r>
    </w:p>
    <w:p>
      <w:pPr>
        <w:pStyle w:val="20"/>
        <w:adjustRightInd w:val="0"/>
        <w:snapToGrid w:val="0"/>
        <w:spacing w:line="540" w:lineRule="exact"/>
        <w:outlineLvl w:val="2"/>
        <w:rPr>
          <w:rFonts w:eastAsia="仿宋"/>
        </w:rPr>
      </w:pPr>
      <w:bookmarkStart w:id="54" w:name="_Toc12446"/>
      <w:r>
        <w:rPr>
          <w:rFonts w:eastAsia="仿宋"/>
        </w:rPr>
        <w:t>3.3.3</w:t>
      </w:r>
      <w:r>
        <w:rPr>
          <w:rFonts w:hint="eastAsia" w:ascii="仿宋_GB2312"/>
        </w:rPr>
        <w:t>指挥协调</w:t>
      </w:r>
      <w:bookmarkEnd w:id="54"/>
    </w:p>
    <w:p>
      <w:pPr>
        <w:pStyle w:val="20"/>
        <w:adjustRightInd w:val="0"/>
        <w:snapToGrid w:val="0"/>
        <w:spacing w:line="540" w:lineRule="exact"/>
        <w:rPr>
          <w:rFonts w:eastAsia="仿宋"/>
          <w:szCs w:val="32"/>
        </w:rPr>
      </w:pPr>
      <w:r>
        <w:rPr>
          <w:rFonts w:eastAsia="仿宋"/>
          <w:szCs w:val="32"/>
        </w:rPr>
        <w:t>（1）</w:t>
      </w:r>
      <w:r>
        <w:rPr>
          <w:rFonts w:hint="eastAsia" w:ascii="仿宋_GB2312"/>
          <w:szCs w:val="32"/>
        </w:rPr>
        <w:t>组织指挥。县人民政府按照前述分级分类应对与响应分级原则，集中统一高效组织指挥突发事件应对工作。超出县人民政府处置能力的，应根据实际情况，请求州人民政府及相应部门指导开展应对工作。上级组织指挥机构设立后，县指挥机构按照要求做好应急处置有关工作。</w:t>
      </w:r>
    </w:p>
    <w:p>
      <w:pPr>
        <w:pStyle w:val="20"/>
        <w:adjustRightInd w:val="0"/>
        <w:snapToGrid w:val="0"/>
        <w:spacing w:line="540" w:lineRule="exact"/>
        <w:rPr>
          <w:rFonts w:eastAsia="仿宋"/>
          <w:szCs w:val="32"/>
        </w:rPr>
      </w:pPr>
      <w:r>
        <w:rPr>
          <w:rFonts w:eastAsia="仿宋"/>
          <w:szCs w:val="32"/>
        </w:rPr>
        <w:t>（2）</w:t>
      </w:r>
      <w:r>
        <w:rPr>
          <w:rFonts w:hint="eastAsia" w:ascii="仿宋_GB2312"/>
          <w:szCs w:val="32"/>
        </w:rPr>
        <w:t>现场指挥。县级层面设立现场指挥机构的，各个成员单位及组织应及时赶赴现场，在现场指挥机构的统一领导下组织开展突发事件应对工作。现场指挥机构要充分听取有关专家意见建议，开设统一的救援队伍集结点、物资接收点和分发点、新闻发布中心，并提供必要的后勤保障。到达突发事件现场的各方面应急力量要及时向现场指挥机构报到、受领任务，接受现场指挥机构的统一指挥调度，严格遵守交通管理、信息发布等工作要求，并及时报告现场情况和处置工作进展情况，实现各方信息共享。</w:t>
      </w:r>
    </w:p>
    <w:p>
      <w:pPr>
        <w:pStyle w:val="20"/>
        <w:adjustRightInd w:val="0"/>
        <w:snapToGrid w:val="0"/>
        <w:spacing w:line="540" w:lineRule="exact"/>
        <w:rPr>
          <w:rFonts w:ascii="仿宋_GB2312"/>
          <w:szCs w:val="32"/>
        </w:rPr>
      </w:pPr>
      <w:bookmarkStart w:id="55" w:name="_Hlk8129667"/>
      <w:bookmarkEnd w:id="55"/>
      <w:r>
        <w:rPr>
          <w:rFonts w:hint="eastAsia" w:ascii="仿宋_GB2312"/>
          <w:szCs w:val="32"/>
        </w:rPr>
        <w:t>当省</w:t>
      </w:r>
      <w:r>
        <w:rPr>
          <w:rFonts w:ascii="仿宋_GB2312"/>
          <w:szCs w:val="32"/>
        </w:rPr>
        <w:t>、</w:t>
      </w:r>
      <w:r>
        <w:rPr>
          <w:rFonts w:hint="eastAsia" w:ascii="仿宋_GB2312"/>
          <w:szCs w:val="32"/>
        </w:rPr>
        <w:t>州级前方指挥部（工作组）到突发事件现场时，县指挥机构与其对接并接受指导领导，做好相应的保障工作。</w:t>
      </w:r>
    </w:p>
    <w:p>
      <w:pPr>
        <w:pStyle w:val="20"/>
        <w:numPr>
          <w:ilvl w:val="0"/>
          <w:numId w:val="2"/>
        </w:numPr>
        <w:adjustRightInd w:val="0"/>
        <w:snapToGrid w:val="0"/>
        <w:spacing w:line="540" w:lineRule="exact"/>
        <w:ind w:left="0" w:firstLine="640" w:firstLineChars="0"/>
        <w:rPr>
          <w:szCs w:val="32"/>
        </w:rPr>
      </w:pPr>
      <w:r>
        <w:rPr>
          <w:szCs w:val="32"/>
        </w:rPr>
        <w:t>协同联动。解放军、武警部队、国家综合性消防救援队伍和专业应急救援队伍等，在县委、县人民政府或成立的指挥部统一领导下参加应急处置和救援。社会组织参与突发事件应急处置与救援，纳入现场指挥机构统一管理、统一调动、统一行动。县应急指挥机构根据突发事件现场实际情况，及时调度指挥相关应急资源开展应急处置与救援行动。</w:t>
      </w:r>
    </w:p>
    <w:p>
      <w:pPr>
        <w:pStyle w:val="20"/>
        <w:adjustRightInd w:val="0"/>
        <w:snapToGrid w:val="0"/>
        <w:spacing w:line="540" w:lineRule="exact"/>
        <w:outlineLvl w:val="2"/>
        <w:rPr>
          <w:rFonts w:eastAsia="仿宋"/>
        </w:rPr>
      </w:pPr>
      <w:bookmarkStart w:id="56" w:name="_Toc22661"/>
      <w:r>
        <w:rPr>
          <w:rFonts w:eastAsia="仿宋"/>
        </w:rPr>
        <w:t>3.3.4</w:t>
      </w:r>
      <w:r>
        <w:rPr>
          <w:rFonts w:hint="eastAsia" w:ascii="仿宋_GB2312"/>
        </w:rPr>
        <w:t>处置措施</w:t>
      </w:r>
      <w:bookmarkEnd w:id="56"/>
    </w:p>
    <w:p>
      <w:pPr>
        <w:pStyle w:val="20"/>
        <w:adjustRightInd w:val="0"/>
        <w:snapToGrid w:val="0"/>
        <w:spacing w:line="540" w:lineRule="exact"/>
        <w:rPr>
          <w:rFonts w:eastAsia="仿宋"/>
          <w:szCs w:val="32"/>
        </w:rPr>
      </w:pPr>
      <w:r>
        <w:rPr>
          <w:rFonts w:eastAsia="仿宋"/>
          <w:szCs w:val="32"/>
        </w:rPr>
        <w:t>（1）</w:t>
      </w:r>
      <w:r>
        <w:rPr>
          <w:rFonts w:hint="eastAsia" w:ascii="仿宋_GB2312"/>
          <w:szCs w:val="32"/>
        </w:rPr>
        <w:t>自然灾害、事故灾难或公共卫生事件发生后，应采取下列一项或者多项应急措施：</w:t>
      </w:r>
    </w:p>
    <w:p>
      <w:pPr>
        <w:pStyle w:val="20"/>
        <w:adjustRightInd w:val="0"/>
        <w:snapToGrid w:val="0"/>
        <w:spacing w:line="540" w:lineRule="exact"/>
        <w:rPr>
          <w:rFonts w:eastAsia="仿宋"/>
          <w:szCs w:val="32"/>
        </w:rPr>
      </w:pPr>
      <w:r>
        <w:rPr>
          <w:rFonts w:hint="eastAsia" w:eastAsia="仿宋" w:cs="宋体"/>
          <w:szCs w:val="32"/>
        </w:rPr>
        <w:t>1）</w:t>
      </w:r>
      <w:r>
        <w:rPr>
          <w:rFonts w:hint="eastAsia" w:ascii="仿宋_GB2312"/>
          <w:szCs w:val="32"/>
        </w:rPr>
        <w:t>现场信息获取。组织现场人员、应急测绘和勘察队伍等，利用多种</w:t>
      </w:r>
      <w:r>
        <w:rPr>
          <w:rFonts w:ascii="仿宋_GB2312"/>
          <w:szCs w:val="32"/>
        </w:rPr>
        <w:t>技术</w:t>
      </w:r>
      <w:r>
        <w:rPr>
          <w:rFonts w:hint="eastAsia" w:ascii="仿宋_GB2312"/>
          <w:szCs w:val="32"/>
        </w:rPr>
        <w:t>手段获取现场影像，分析和研判道路桥梁、通信、电力等基础设施和居民住房损毁情况，重要目标物、人员密集场所和人口分布等信息，提出初步评估意见，并向现场指挥机构和有关部门报告；</w:t>
      </w:r>
    </w:p>
    <w:p>
      <w:pPr>
        <w:pStyle w:val="20"/>
        <w:adjustRightInd w:val="0"/>
        <w:snapToGrid w:val="0"/>
        <w:spacing w:line="540" w:lineRule="exact"/>
        <w:rPr>
          <w:rFonts w:ascii="仿宋_GB2312"/>
          <w:szCs w:val="32"/>
        </w:rPr>
      </w:pPr>
      <w:r>
        <w:rPr>
          <w:rFonts w:eastAsia="仿宋" w:cs="宋体"/>
          <w:szCs w:val="32"/>
        </w:rPr>
        <w:t>2</w:t>
      </w:r>
      <w:r>
        <w:rPr>
          <w:rFonts w:hint="eastAsia" w:eastAsia="仿宋" w:cs="宋体"/>
          <w:szCs w:val="32"/>
        </w:rPr>
        <w:t>）</w:t>
      </w:r>
      <w:r>
        <w:rPr>
          <w:rFonts w:hint="eastAsia" w:ascii="仿宋_GB2312"/>
          <w:szCs w:val="32"/>
        </w:rPr>
        <w:t>组织营救受灾和被困人员，疏散、撤离并妥善安置受威胁人员，应急处置力量不够时，可组织动员社会应急力量有序参与应急处置与救援、受灾人员救助工作；</w:t>
      </w:r>
    </w:p>
    <w:p>
      <w:pPr>
        <w:pStyle w:val="20"/>
        <w:adjustRightInd w:val="0"/>
        <w:snapToGrid w:val="0"/>
        <w:spacing w:line="540" w:lineRule="exact"/>
        <w:rPr>
          <w:rFonts w:eastAsia="仿宋"/>
          <w:szCs w:val="32"/>
        </w:rPr>
      </w:pPr>
      <w:r>
        <w:rPr>
          <w:rFonts w:eastAsia="仿宋" w:cs="宋体"/>
          <w:szCs w:val="32"/>
        </w:rPr>
        <w:t>3</w:t>
      </w:r>
      <w:r>
        <w:rPr>
          <w:rFonts w:hint="eastAsia" w:eastAsia="仿宋" w:cs="宋体"/>
          <w:szCs w:val="32"/>
        </w:rPr>
        <w:t>）</w:t>
      </w:r>
      <w:r>
        <w:rPr>
          <w:rFonts w:hint="eastAsia" w:ascii="仿宋_GB2312"/>
          <w:szCs w:val="32"/>
        </w:rPr>
        <w:t>组织开展伤病员救治、卫生防疫和公共卫生调查处理、应急心理援助等医疗卫生救援工作，治疗传染病人和疑似病例，控制传染源，观察密切接触者，对易感人群采取应急接种、预防性服药和卫生防疫知识宣传；</w:t>
      </w:r>
    </w:p>
    <w:p>
      <w:pPr>
        <w:pStyle w:val="20"/>
        <w:adjustRightInd w:val="0"/>
        <w:snapToGrid w:val="0"/>
        <w:spacing w:line="540" w:lineRule="exact"/>
        <w:rPr>
          <w:rFonts w:ascii="仿宋_GB2312"/>
          <w:szCs w:val="32"/>
        </w:rPr>
      </w:pPr>
      <w:r>
        <w:rPr>
          <w:rFonts w:eastAsia="仿宋" w:cs="宋体"/>
          <w:szCs w:val="32"/>
        </w:rPr>
        <w:t>4</w:t>
      </w:r>
      <w:r>
        <w:rPr>
          <w:rFonts w:hint="eastAsia" w:eastAsia="仿宋" w:cs="宋体"/>
          <w:szCs w:val="32"/>
        </w:rPr>
        <w:t>）</w:t>
      </w:r>
      <w:r>
        <w:rPr>
          <w:rFonts w:hint="eastAsia" w:ascii="仿宋_GB2312"/>
          <w:szCs w:val="32"/>
        </w:rPr>
        <w:t>迅速组织开展抢险工作，控制危险源、减轻或消除危害，并标明危险区域，封锁危险场所，划定警戒区；</w:t>
      </w:r>
    </w:p>
    <w:p>
      <w:pPr>
        <w:pStyle w:val="20"/>
        <w:adjustRightInd w:val="0"/>
        <w:snapToGrid w:val="0"/>
        <w:spacing w:line="540" w:lineRule="exact"/>
        <w:rPr>
          <w:rFonts w:ascii="仿宋_GB2312"/>
          <w:szCs w:val="32"/>
        </w:rPr>
      </w:pPr>
      <w:r>
        <w:rPr>
          <w:szCs w:val="32"/>
        </w:rPr>
        <w:t>5</w:t>
      </w:r>
      <w:r>
        <w:rPr>
          <w:rFonts w:hint="eastAsia" w:ascii="仿宋_GB2312"/>
          <w:szCs w:val="32"/>
        </w:rPr>
        <w:t>）实行交通保通与管制措施。在交通中断情况下，交通运输部门组织交通抢险队伍和机械设备，开展公路抢通保通工作。交通运输、公安等有关部门要保证紧急情况下应急交通工具的优先安排、优先调度、优先放行，确保抢险救灾物资和人员能够及时、安全送达；</w:t>
      </w:r>
    </w:p>
    <w:p>
      <w:pPr>
        <w:pStyle w:val="20"/>
        <w:adjustRightInd w:val="0"/>
        <w:snapToGrid w:val="0"/>
        <w:spacing w:line="540" w:lineRule="exact"/>
        <w:rPr>
          <w:rFonts w:ascii="仿宋_GB2312"/>
          <w:szCs w:val="32"/>
        </w:rPr>
      </w:pPr>
      <w:r>
        <w:rPr>
          <w:rFonts w:hint="eastAsia" w:eastAsia="仿宋" w:cs="宋体"/>
          <w:szCs w:val="32"/>
        </w:rPr>
        <w:t>6）</w:t>
      </w:r>
      <w:r>
        <w:rPr>
          <w:rFonts w:hint="eastAsia" w:ascii="仿宋_GB2312"/>
          <w:szCs w:val="32"/>
        </w:rPr>
        <w:t>立即抢修被损坏的水利、通信、供（排）水、供电、供气等公共设施，短时难以恢复的，要实施临时过渡方案，保障社会生产生活基本需要；</w:t>
      </w:r>
    </w:p>
    <w:p>
      <w:pPr>
        <w:pStyle w:val="20"/>
        <w:adjustRightInd w:val="0"/>
        <w:snapToGrid w:val="0"/>
        <w:spacing w:line="540" w:lineRule="exact"/>
        <w:rPr>
          <w:rFonts w:ascii="仿宋_GB2312"/>
          <w:szCs w:val="32"/>
        </w:rPr>
      </w:pPr>
      <w:r>
        <w:rPr>
          <w:rFonts w:hint="eastAsia" w:eastAsia="仿宋" w:cs="宋体"/>
          <w:szCs w:val="32"/>
        </w:rPr>
        <w:t>7）</w:t>
      </w:r>
      <w:r>
        <w:rPr>
          <w:rFonts w:hint="eastAsia" w:ascii="仿宋_GB2312"/>
          <w:szCs w:val="32"/>
        </w:rPr>
        <w:t>开展环境应急监测，追踪研判污染范围、程度和发展趋势。切断污染源，控制和处置污染物，保护饮用水水源地等环境敏感目标，减轻环境影响。开展灾后环境风险排查，整治污染隐患，妥善处置事件应对产生的废物；</w:t>
      </w:r>
    </w:p>
    <w:p>
      <w:pPr>
        <w:pStyle w:val="20"/>
        <w:adjustRightInd w:val="0"/>
        <w:snapToGrid w:val="0"/>
        <w:spacing w:line="540" w:lineRule="exact"/>
        <w:rPr>
          <w:rFonts w:eastAsia="仿宋"/>
          <w:szCs w:val="32"/>
        </w:rPr>
      </w:pPr>
      <w:r>
        <w:rPr>
          <w:rFonts w:hint="eastAsia" w:eastAsia="仿宋" w:cs="宋体"/>
          <w:szCs w:val="32"/>
        </w:rPr>
        <w:t>8）</w:t>
      </w:r>
      <w:r>
        <w:rPr>
          <w:rFonts w:hint="eastAsia" w:ascii="仿宋_GB2312"/>
          <w:szCs w:val="32"/>
        </w:rPr>
        <w:t>禁止或者限制使用有关设备、设施，关闭或者限制使用有关场所，中止人员密集的活动或者可能导致危害扩大的生产经营活动以及采取其他保护措施；</w:t>
      </w:r>
    </w:p>
    <w:p>
      <w:pPr>
        <w:pStyle w:val="20"/>
        <w:adjustRightInd w:val="0"/>
        <w:snapToGrid w:val="0"/>
        <w:spacing w:line="540" w:lineRule="exact"/>
        <w:rPr>
          <w:rFonts w:eastAsia="仿宋"/>
          <w:szCs w:val="32"/>
        </w:rPr>
      </w:pPr>
      <w:r>
        <w:rPr>
          <w:rFonts w:hint="eastAsia" w:eastAsia="仿宋" w:cs="宋体"/>
          <w:szCs w:val="32"/>
        </w:rPr>
        <w:t>9）</w:t>
      </w:r>
      <w:r>
        <w:rPr>
          <w:rFonts w:hint="eastAsia" w:ascii="仿宋_GB2312"/>
          <w:szCs w:val="32"/>
        </w:rPr>
        <w:t>启用县人民政府设置的财政预备费和储备的应急救援和救灾物资，必要时依法征用其他急需物资、设备、设施、工具；</w:t>
      </w:r>
    </w:p>
    <w:p>
      <w:pPr>
        <w:pStyle w:val="20"/>
        <w:adjustRightInd w:val="0"/>
        <w:snapToGrid w:val="0"/>
        <w:spacing w:line="540" w:lineRule="exact"/>
        <w:rPr>
          <w:rFonts w:ascii="仿宋_GB2312"/>
          <w:szCs w:val="32"/>
        </w:rPr>
      </w:pPr>
      <w:r>
        <w:rPr>
          <w:rFonts w:hint="eastAsia" w:eastAsia="仿宋" w:cs="宋体"/>
          <w:szCs w:val="32"/>
        </w:rPr>
        <w:t>10）</w:t>
      </w:r>
      <w:r>
        <w:rPr>
          <w:rFonts w:hint="eastAsia" w:ascii="仿宋_GB2312"/>
          <w:szCs w:val="32"/>
        </w:rPr>
        <w:t>做好受灾群众的基本生活保障工作，提供食品、饮用水、衣被、燃料等基本生活必需品和临时住所，开展卫生防疫工作，确保灾区群众有饭吃、有水喝、有衣穿、有住处、有学上、有病能及时医治，确保大灾之后无大疫；</w:t>
      </w:r>
    </w:p>
    <w:p>
      <w:pPr>
        <w:pStyle w:val="20"/>
        <w:adjustRightInd w:val="0"/>
        <w:snapToGrid w:val="0"/>
        <w:spacing w:line="540" w:lineRule="exact"/>
        <w:rPr>
          <w:rFonts w:ascii="仿宋_GB2312"/>
          <w:szCs w:val="32"/>
        </w:rPr>
      </w:pPr>
      <w:r>
        <w:rPr>
          <w:rFonts w:hint="eastAsia" w:eastAsia="仿宋" w:cs="宋体"/>
          <w:szCs w:val="32"/>
        </w:rPr>
        <w:t>11）</w:t>
      </w:r>
      <w:r>
        <w:rPr>
          <w:rFonts w:hint="eastAsia" w:ascii="仿宋_GB2312"/>
          <w:szCs w:val="32"/>
        </w:rPr>
        <w:t>开展遇难人员善后处置工作，妥善处理遇难人员遗体，做好遇难人员家属安抚等工作；</w:t>
      </w:r>
    </w:p>
    <w:p>
      <w:pPr>
        <w:pStyle w:val="20"/>
        <w:adjustRightInd w:val="0"/>
        <w:snapToGrid w:val="0"/>
        <w:spacing w:line="540" w:lineRule="exact"/>
        <w:rPr>
          <w:rFonts w:ascii="仿宋_GB2312"/>
          <w:szCs w:val="32"/>
        </w:rPr>
      </w:pPr>
      <w:r>
        <w:rPr>
          <w:rFonts w:hint="eastAsia" w:eastAsia="仿宋" w:cs="宋体"/>
          <w:szCs w:val="32"/>
        </w:rPr>
        <w:t>12）</w:t>
      </w:r>
      <w:r>
        <w:rPr>
          <w:rFonts w:hint="eastAsia" w:ascii="仿宋_GB2312"/>
          <w:szCs w:val="32"/>
        </w:rPr>
        <w:t>组织开展救灾捐赠活动，接收、管理、分配救灾捐赠款物；</w:t>
      </w:r>
    </w:p>
    <w:p>
      <w:pPr>
        <w:pStyle w:val="20"/>
        <w:adjustRightInd w:val="0"/>
        <w:snapToGrid w:val="0"/>
        <w:spacing w:line="540" w:lineRule="exact"/>
        <w:rPr>
          <w:rFonts w:ascii="仿宋_GB2312"/>
          <w:szCs w:val="32"/>
        </w:rPr>
      </w:pPr>
      <w:r>
        <w:rPr>
          <w:rFonts w:hint="eastAsia" w:eastAsia="仿宋" w:cs="宋体"/>
          <w:szCs w:val="32"/>
        </w:rPr>
        <w:t>13）</w:t>
      </w:r>
      <w:r>
        <w:rPr>
          <w:rFonts w:hint="eastAsia" w:ascii="仿宋_GB2312"/>
          <w:szCs w:val="32"/>
        </w:rPr>
        <w:t>依法从严惩处囤积居奇、哄抬物价、制假售假等扰乱市场秩序的行为，稳定市场价格，维护市场秩序；</w:t>
      </w:r>
    </w:p>
    <w:p>
      <w:pPr>
        <w:pStyle w:val="20"/>
        <w:adjustRightInd w:val="0"/>
        <w:snapToGrid w:val="0"/>
        <w:spacing w:line="540" w:lineRule="exact"/>
        <w:rPr>
          <w:rFonts w:ascii="仿宋_GB2312"/>
          <w:szCs w:val="32"/>
        </w:rPr>
      </w:pPr>
      <w:r>
        <w:rPr>
          <w:rFonts w:hint="eastAsia" w:eastAsia="仿宋" w:cs="宋体"/>
          <w:szCs w:val="32"/>
        </w:rPr>
        <w:t>14）</w:t>
      </w:r>
      <w:r>
        <w:rPr>
          <w:rFonts w:hint="eastAsia" w:ascii="仿宋_GB2312"/>
          <w:szCs w:val="32"/>
        </w:rPr>
        <w:t>依法从严惩处哄抢财物、干扰破坏应急处置工作等扰乱社会秩序的行为，加强涉及民族宗教方面突发事件应急处置，维护社会治安；</w:t>
      </w:r>
    </w:p>
    <w:p>
      <w:pPr>
        <w:pStyle w:val="20"/>
        <w:adjustRightInd w:val="0"/>
        <w:snapToGrid w:val="0"/>
        <w:spacing w:line="540" w:lineRule="exact"/>
        <w:rPr>
          <w:rFonts w:ascii="仿宋_GB2312"/>
          <w:szCs w:val="32"/>
        </w:rPr>
      </w:pPr>
      <w:r>
        <w:rPr>
          <w:rFonts w:hint="eastAsia" w:eastAsia="仿宋" w:cs="宋体"/>
          <w:szCs w:val="32"/>
        </w:rPr>
        <w:t>15）</w:t>
      </w:r>
      <w:r>
        <w:rPr>
          <w:rFonts w:hint="eastAsia" w:ascii="仿宋_GB2312"/>
          <w:szCs w:val="32"/>
        </w:rPr>
        <w:t>采取防止发生次生、衍生灾害和事件的必要措施。</w:t>
      </w:r>
    </w:p>
    <w:p>
      <w:pPr>
        <w:pStyle w:val="20"/>
        <w:adjustRightInd w:val="0"/>
        <w:snapToGrid w:val="0"/>
        <w:spacing w:line="540" w:lineRule="exact"/>
        <w:rPr>
          <w:rFonts w:ascii="仿宋_GB2312"/>
          <w:szCs w:val="32"/>
        </w:rPr>
      </w:pPr>
      <w:r>
        <w:rPr>
          <w:rFonts w:eastAsia="仿宋"/>
          <w:szCs w:val="32"/>
        </w:rPr>
        <w:t>（2）</w:t>
      </w:r>
      <w:r>
        <w:rPr>
          <w:rFonts w:hint="eastAsia" w:ascii="仿宋_GB2312"/>
          <w:szCs w:val="32"/>
        </w:rPr>
        <w:t>社会安全事件发生后，要立即组织有关部门针对事件的性质和特点，采取下列一项或者多项应急措施：</w:t>
      </w:r>
    </w:p>
    <w:p>
      <w:pPr>
        <w:pStyle w:val="20"/>
        <w:adjustRightInd w:val="0"/>
        <w:snapToGrid w:val="0"/>
        <w:spacing w:line="540" w:lineRule="exact"/>
        <w:rPr>
          <w:szCs w:val="32"/>
        </w:rPr>
      </w:pPr>
      <w:r>
        <w:rPr>
          <w:szCs w:val="32"/>
        </w:rPr>
        <w:t>1）尽快了解和分析事件起因，有针对性地开展法制宣传和说服教育，及时疏导、化解矛盾和冲突；</w:t>
      </w:r>
    </w:p>
    <w:p>
      <w:pPr>
        <w:pStyle w:val="20"/>
        <w:adjustRightInd w:val="0"/>
        <w:snapToGrid w:val="0"/>
        <w:spacing w:line="540" w:lineRule="exact"/>
        <w:rPr>
          <w:szCs w:val="32"/>
        </w:rPr>
      </w:pPr>
      <w:r>
        <w:rPr>
          <w:szCs w:val="32"/>
        </w:rPr>
        <w:t>2）维护现场治安秩序，对使用器械相互对抗或以暴力行为参与冲突的当事人实行强制隔离，妥善解决现场纠纷和争端，控制事态发展；</w:t>
      </w:r>
    </w:p>
    <w:p>
      <w:pPr>
        <w:pStyle w:val="20"/>
        <w:adjustRightInd w:val="0"/>
        <w:snapToGrid w:val="0"/>
        <w:spacing w:line="540" w:lineRule="exact"/>
        <w:rPr>
          <w:szCs w:val="32"/>
        </w:rPr>
      </w:pPr>
      <w:r>
        <w:rPr>
          <w:szCs w:val="32"/>
        </w:rPr>
        <w:t>3）对特定区域内的建筑物、交通工具、设备、设施以及燃料、燃气、电力、水的供应进行控制，必要时依法对网络、通信进行管控；</w:t>
      </w:r>
    </w:p>
    <w:p>
      <w:pPr>
        <w:pStyle w:val="20"/>
        <w:adjustRightInd w:val="0"/>
        <w:snapToGrid w:val="0"/>
        <w:spacing w:line="540" w:lineRule="exact"/>
        <w:rPr>
          <w:szCs w:val="32"/>
        </w:rPr>
      </w:pPr>
      <w:r>
        <w:rPr>
          <w:szCs w:val="32"/>
        </w:rPr>
        <w:t>4）封锁有关场所、道路，查验现场人员的身份证件，限制有关公共场所内的活动；</w:t>
      </w:r>
    </w:p>
    <w:p>
      <w:pPr>
        <w:pStyle w:val="20"/>
        <w:adjustRightInd w:val="0"/>
        <w:snapToGrid w:val="0"/>
        <w:spacing w:line="540" w:lineRule="exact"/>
        <w:rPr>
          <w:szCs w:val="32"/>
        </w:rPr>
      </w:pPr>
      <w:r>
        <w:rPr>
          <w:szCs w:val="32"/>
        </w:rPr>
        <w:t>5）加强对易受冲击的核心机关和单位的警卫，在党政机关、广播电台、电视台等单位附近设置临时警戒线，加强对重点敏感人员、场所、部位和标志性建筑的安全保护；</w:t>
      </w:r>
    </w:p>
    <w:p>
      <w:pPr>
        <w:pStyle w:val="20"/>
        <w:adjustRightInd w:val="0"/>
        <w:snapToGrid w:val="0"/>
        <w:spacing w:line="540" w:lineRule="exact"/>
        <w:rPr>
          <w:szCs w:val="32"/>
        </w:rPr>
      </w:pPr>
      <w:r>
        <w:rPr>
          <w:szCs w:val="32"/>
        </w:rPr>
        <w:t>6）严重危害社会治安秩序的事件发生时，立即依法出动警力，加大社会面检查、巡逻、控制力度，根据现场情况依法采取相应的强制性措施，尽快使社会秩序恢复正常；</w:t>
      </w:r>
    </w:p>
    <w:p>
      <w:pPr>
        <w:pStyle w:val="20"/>
        <w:adjustRightInd w:val="0"/>
        <w:snapToGrid w:val="0"/>
        <w:spacing w:line="540" w:lineRule="exact"/>
        <w:rPr>
          <w:rFonts w:eastAsia="仿宋"/>
          <w:szCs w:val="32"/>
        </w:rPr>
      </w:pPr>
      <w:r>
        <w:rPr>
          <w:szCs w:val="32"/>
        </w:rPr>
        <w:t>7）法律法规等规定的其他必要措施。</w:t>
      </w:r>
    </w:p>
    <w:p>
      <w:pPr>
        <w:pStyle w:val="20"/>
        <w:adjustRightInd w:val="0"/>
        <w:snapToGrid w:val="0"/>
        <w:spacing w:line="540" w:lineRule="exact"/>
        <w:rPr>
          <w:rFonts w:ascii="仿宋_GB2312"/>
          <w:szCs w:val="32"/>
        </w:rPr>
      </w:pPr>
      <w:r>
        <w:rPr>
          <w:rFonts w:eastAsia="仿宋"/>
          <w:szCs w:val="32"/>
        </w:rPr>
        <w:t>（3）</w:t>
      </w:r>
      <w:r>
        <w:rPr>
          <w:rFonts w:hint="eastAsia" w:ascii="仿宋_GB2312"/>
          <w:szCs w:val="32"/>
        </w:rPr>
        <w:t>交通运输、医学救援、能源供应、通信保障、抢险救援物资装备、自然灾害救助、社会秩序、新闻宣传等应急保障工作牵头协调部门和支持部门应快速联动，按照职能职责做好应急保障工作。</w:t>
      </w:r>
    </w:p>
    <w:p>
      <w:pPr>
        <w:pStyle w:val="20"/>
        <w:adjustRightInd w:val="0"/>
        <w:snapToGrid w:val="0"/>
        <w:spacing w:line="540" w:lineRule="exact"/>
        <w:rPr>
          <w:rFonts w:ascii="仿宋_GB2312"/>
          <w:szCs w:val="32"/>
        </w:rPr>
      </w:pPr>
      <w:r>
        <w:rPr>
          <w:rFonts w:hint="eastAsia" w:eastAsia="仿宋"/>
          <w:szCs w:val="32"/>
        </w:rPr>
        <w:t>（4）</w:t>
      </w:r>
      <w:r>
        <w:rPr>
          <w:rFonts w:hint="eastAsia" w:ascii="仿宋_GB2312"/>
          <w:szCs w:val="32"/>
        </w:rPr>
        <w:t>当突发事件严重影响全县经济社会正常运行时，县人民政府或授权的有关主管部门可以采取救助、保障、控制等必要的应急措施，保障人民群众的基本生产生活需要，最大程度地减轻突发事件的影响。</w:t>
      </w:r>
    </w:p>
    <w:p>
      <w:pPr>
        <w:pStyle w:val="20"/>
        <w:adjustRightInd w:val="0"/>
        <w:snapToGrid w:val="0"/>
        <w:spacing w:line="540" w:lineRule="exact"/>
        <w:outlineLvl w:val="2"/>
        <w:rPr>
          <w:rFonts w:eastAsia="仿宋"/>
        </w:rPr>
      </w:pPr>
      <w:bookmarkStart w:id="57" w:name="_Toc8633"/>
      <w:r>
        <w:rPr>
          <w:rFonts w:eastAsia="仿宋"/>
        </w:rPr>
        <w:t>3.3.5</w:t>
      </w:r>
      <w:r>
        <w:rPr>
          <w:rFonts w:hint="eastAsia" w:ascii="仿宋_GB2312"/>
        </w:rPr>
        <w:t>信息发布与舆论引导</w:t>
      </w:r>
      <w:bookmarkEnd w:id="57"/>
    </w:p>
    <w:p>
      <w:pPr>
        <w:pStyle w:val="20"/>
        <w:adjustRightInd w:val="0"/>
        <w:snapToGrid w:val="0"/>
        <w:spacing w:line="540" w:lineRule="exact"/>
        <w:rPr>
          <w:rFonts w:ascii="仿宋_GB2312"/>
          <w:szCs w:val="32"/>
        </w:rPr>
      </w:pPr>
      <w:r>
        <w:rPr>
          <w:rFonts w:hint="eastAsia" w:ascii="仿宋_GB2312"/>
          <w:szCs w:val="32"/>
        </w:rPr>
        <w:t>按照前述分级应对与响应分级原则负责应对职责的县级组织指挥机构，要制定统一的信息发布与舆论研判、引导方案，与突发事件应对处置工作同时研究、同时部署、同步行动。对于可能受到突发事件后果直接威胁的社会公众，应按照“3.2监测与预警”部分的要求及时发布预警信息。</w:t>
      </w:r>
    </w:p>
    <w:p>
      <w:pPr>
        <w:pStyle w:val="20"/>
        <w:adjustRightInd w:val="0"/>
        <w:snapToGrid w:val="0"/>
        <w:spacing w:line="540" w:lineRule="exact"/>
        <w:rPr>
          <w:rFonts w:ascii="仿宋_GB2312"/>
          <w:szCs w:val="32"/>
        </w:rPr>
      </w:pPr>
      <w:r>
        <w:rPr>
          <w:rFonts w:eastAsia="仿宋"/>
          <w:szCs w:val="32"/>
        </w:rPr>
        <w:t>（1）</w:t>
      </w:r>
      <w:r>
        <w:rPr>
          <w:rFonts w:hint="eastAsia" w:ascii="仿宋_GB2312"/>
          <w:szCs w:val="32"/>
        </w:rPr>
        <w:t>发生特别重大、重大和较大突发事件后，县人民政府或组织指挥机构要在事件发生后的第一时间上报州人民政府。发生一般突发事件后，县人民政府或组织机构要及时通过权威媒体向社会发布简要信息，在30分钟内发布首报信息，在2小时内发布核报信息，在处置期间每天发布2次续报信息，在应急结束后发布终报信息，最迟要在24小时内举行新闻发布会，根据处置进展动态发布信息。法律、行政法规和国家另有规定的，从其规定。</w:t>
      </w:r>
    </w:p>
    <w:p>
      <w:pPr>
        <w:pStyle w:val="20"/>
        <w:adjustRightInd w:val="0"/>
        <w:snapToGrid w:val="0"/>
        <w:spacing w:line="540" w:lineRule="exact"/>
        <w:rPr>
          <w:rFonts w:eastAsia="仿宋"/>
          <w:szCs w:val="32"/>
        </w:rPr>
      </w:pPr>
      <w:r>
        <w:rPr>
          <w:rFonts w:eastAsia="仿宋"/>
          <w:szCs w:val="32"/>
        </w:rPr>
        <w:t>（2）</w:t>
      </w:r>
      <w:r>
        <w:rPr>
          <w:rFonts w:hint="eastAsia" w:ascii="仿宋_GB2312"/>
          <w:szCs w:val="32"/>
        </w:rPr>
        <w:t>信息发布由履行统一领导职责的党委人民政府设立的应急指挥机构负责。必要时，按照县专项指挥机构要求,由县有关部门统筹协调。</w:t>
      </w:r>
    </w:p>
    <w:p>
      <w:pPr>
        <w:pStyle w:val="20"/>
        <w:adjustRightInd w:val="0"/>
        <w:snapToGrid w:val="0"/>
        <w:spacing w:line="540" w:lineRule="exact"/>
        <w:rPr>
          <w:rFonts w:ascii="仿宋_GB2312"/>
          <w:szCs w:val="32"/>
        </w:rPr>
      </w:pPr>
      <w:r>
        <w:rPr>
          <w:rFonts w:eastAsia="仿宋"/>
          <w:szCs w:val="32"/>
        </w:rPr>
        <w:t>（3）</w:t>
      </w:r>
      <w:r>
        <w:rPr>
          <w:rFonts w:hint="eastAsia" w:ascii="仿宋_GB2312"/>
          <w:szCs w:val="32"/>
        </w:rPr>
        <w:t>信息发布形式主要包括提供新闻稿、举行新闻发布会、接受媒体采访，以及运用官方网站、微博、微信、移动客户端、手机短信等官方信息平台等发布信息，具体按照有关规定执行。</w:t>
      </w:r>
    </w:p>
    <w:p>
      <w:pPr>
        <w:pStyle w:val="20"/>
        <w:adjustRightInd w:val="0"/>
        <w:snapToGrid w:val="0"/>
        <w:spacing w:line="540" w:lineRule="exact"/>
        <w:rPr>
          <w:rFonts w:eastAsia="仿宋"/>
          <w:szCs w:val="32"/>
        </w:rPr>
      </w:pPr>
      <w:r>
        <w:rPr>
          <w:rFonts w:eastAsia="仿宋"/>
          <w:szCs w:val="32"/>
        </w:rPr>
        <w:t>（4）</w:t>
      </w:r>
      <w:r>
        <w:rPr>
          <w:rFonts w:hint="eastAsia" w:ascii="仿宋_GB2312"/>
          <w:szCs w:val="32"/>
        </w:rPr>
        <w:t>履行统一领导职责的县委、县人民政府要加强网络媒体和移动新媒体信息发布内容管理和舆情分析，及时回应社会关切，迅速澄清谣言，引导网民依法、理性表达意见，形成积极健康的社会舆论。</w:t>
      </w:r>
    </w:p>
    <w:p>
      <w:pPr>
        <w:pStyle w:val="20"/>
        <w:adjustRightInd w:val="0"/>
        <w:snapToGrid w:val="0"/>
        <w:spacing w:line="540" w:lineRule="exact"/>
        <w:rPr>
          <w:rFonts w:ascii="仿宋_GB2312"/>
          <w:szCs w:val="32"/>
        </w:rPr>
      </w:pPr>
      <w:r>
        <w:rPr>
          <w:rFonts w:eastAsia="仿宋"/>
          <w:szCs w:val="32"/>
        </w:rPr>
        <w:t>（5）</w:t>
      </w:r>
      <w:r>
        <w:rPr>
          <w:rFonts w:hint="eastAsia" w:ascii="仿宋_GB2312"/>
          <w:szCs w:val="32"/>
        </w:rPr>
        <w:t>未经县委、县人民政府设立的应急指挥机构批准，参与突发事件应急处置工作的各有关单位和个人不得擅自对外发布事件原因、伤亡数字、责任追究等相关信息。任何单位和个人不得编造、传播有关突发事件事态发展或者应急处置工作的虚假信息。</w:t>
      </w:r>
    </w:p>
    <w:p>
      <w:pPr>
        <w:pStyle w:val="20"/>
        <w:adjustRightInd w:val="0"/>
        <w:snapToGrid w:val="0"/>
        <w:spacing w:line="540" w:lineRule="exact"/>
        <w:outlineLvl w:val="2"/>
        <w:rPr>
          <w:rFonts w:ascii="仿宋_GB2312"/>
        </w:rPr>
      </w:pPr>
      <w:bookmarkStart w:id="58" w:name="_Toc16406"/>
      <w:r>
        <w:rPr>
          <w:rFonts w:eastAsia="仿宋"/>
        </w:rPr>
        <w:t>3.3.6</w:t>
      </w:r>
      <w:r>
        <w:rPr>
          <w:rFonts w:hint="eastAsia" w:ascii="仿宋_GB2312"/>
        </w:rPr>
        <w:t>紧急状态</w:t>
      </w:r>
      <w:bookmarkEnd w:id="58"/>
    </w:p>
    <w:p>
      <w:pPr>
        <w:pStyle w:val="20"/>
        <w:adjustRightInd w:val="0"/>
        <w:snapToGrid w:val="0"/>
        <w:spacing w:line="540" w:lineRule="exact"/>
        <w:rPr>
          <w:rFonts w:ascii="仿宋_GB2312"/>
          <w:szCs w:val="32"/>
        </w:rPr>
      </w:pPr>
      <w:r>
        <w:rPr>
          <w:rFonts w:hint="eastAsia" w:ascii="仿宋_GB2312"/>
          <w:szCs w:val="32"/>
        </w:rPr>
        <w:t>发生或者即将发生特别重大、重大突发事件，采取一般处置措施无法控制和消除其严重社会危害，需要宣布全县进入紧急状态的，依法由县人民政府向州人民政府提出申请，再由州人民政府提请州人民代表大会常务委员会决定或者由州人民代表大会常务委员会依职权决定。需要宣布全县部分地区进入紧急状态的，依法由县人民政府提请州人民政府决定或者由州人民政府依职权决定。</w:t>
      </w:r>
    </w:p>
    <w:p>
      <w:pPr>
        <w:pStyle w:val="20"/>
        <w:adjustRightInd w:val="0"/>
        <w:snapToGrid w:val="0"/>
        <w:spacing w:line="540" w:lineRule="exact"/>
        <w:rPr>
          <w:rFonts w:ascii="仿宋_GB2312"/>
          <w:szCs w:val="32"/>
        </w:rPr>
      </w:pPr>
      <w:r>
        <w:rPr>
          <w:rFonts w:hint="eastAsia" w:ascii="仿宋_GB2312"/>
          <w:szCs w:val="32"/>
        </w:rPr>
        <w:t>新闻媒体公布紧急状态的决定，按照国家、省级和州级有关规定进行。</w:t>
      </w:r>
    </w:p>
    <w:p>
      <w:pPr>
        <w:pStyle w:val="20"/>
        <w:adjustRightInd w:val="0"/>
        <w:snapToGrid w:val="0"/>
        <w:spacing w:line="540" w:lineRule="exact"/>
        <w:outlineLvl w:val="2"/>
        <w:rPr>
          <w:rFonts w:ascii="仿宋_GB2312"/>
        </w:rPr>
      </w:pPr>
      <w:bookmarkStart w:id="59" w:name="_Toc259"/>
      <w:r>
        <w:rPr>
          <w:rFonts w:eastAsia="仿宋"/>
        </w:rPr>
        <w:t>3.3.7</w:t>
      </w:r>
      <w:r>
        <w:rPr>
          <w:rFonts w:hint="eastAsia" w:ascii="仿宋_GB2312"/>
        </w:rPr>
        <w:t>应急结束</w:t>
      </w:r>
      <w:bookmarkEnd w:id="59"/>
    </w:p>
    <w:p>
      <w:pPr>
        <w:pStyle w:val="20"/>
        <w:adjustRightInd w:val="0"/>
        <w:snapToGrid w:val="0"/>
        <w:spacing w:line="540" w:lineRule="exact"/>
        <w:rPr>
          <w:rFonts w:ascii="仿宋_GB2312"/>
          <w:szCs w:val="32"/>
        </w:rPr>
      </w:pPr>
      <w:r>
        <w:rPr>
          <w:rFonts w:hint="eastAsia" w:ascii="仿宋_GB2312"/>
          <w:szCs w:val="32"/>
        </w:rPr>
        <w:t>突发事件应急处置工作结束，或相关威胁和危害得到控制、消除后，履行统一领导职责的县委、县人民政府或成立的应急指挥机构可宣布应急结束，或逐步停止有关应急处置措施，应急队伍和工作人员有序撤离。同时，采取或者继续实施必要措施，防止发生自然灾害、事故灾难、公共卫生事件的次生、衍生事件或者重新引发社会安全事件。现场指挥机构停止运行后，通知相关方面解除应急措施，进入过渡时期，逐步恢复生产生活秩序。</w:t>
      </w:r>
    </w:p>
    <w:p>
      <w:pPr>
        <w:pStyle w:val="20"/>
        <w:spacing w:line="540" w:lineRule="exact"/>
        <w:outlineLvl w:val="1"/>
        <w:rPr>
          <w:rFonts w:eastAsia="仿宋"/>
        </w:rPr>
      </w:pPr>
      <w:bookmarkStart w:id="60" w:name="_Toc8653299"/>
      <w:bookmarkEnd w:id="60"/>
      <w:bookmarkStart w:id="61" w:name="_Toc11176177"/>
      <w:bookmarkStart w:id="62" w:name="_Toc3172"/>
      <w:r>
        <w:rPr>
          <w:rFonts w:eastAsia="仿宋"/>
        </w:rPr>
        <w:t>3.4</w:t>
      </w:r>
      <w:r>
        <w:rPr>
          <w:rFonts w:hint="eastAsia" w:ascii="仿宋_GB2312"/>
        </w:rPr>
        <w:t>恢复与重建</w:t>
      </w:r>
      <w:bookmarkEnd w:id="61"/>
      <w:bookmarkEnd w:id="62"/>
    </w:p>
    <w:p>
      <w:pPr>
        <w:pStyle w:val="20"/>
        <w:adjustRightInd w:val="0"/>
        <w:snapToGrid w:val="0"/>
        <w:spacing w:line="540" w:lineRule="exact"/>
        <w:outlineLvl w:val="2"/>
        <w:rPr>
          <w:rFonts w:ascii="仿宋_GB2312"/>
        </w:rPr>
      </w:pPr>
      <w:bookmarkStart w:id="63" w:name="_Toc22841"/>
      <w:r>
        <w:rPr>
          <w:rFonts w:eastAsia="仿宋"/>
        </w:rPr>
        <w:t>3.4.1</w:t>
      </w:r>
      <w:r>
        <w:rPr>
          <w:rFonts w:hint="eastAsia" w:ascii="仿宋_GB2312"/>
        </w:rPr>
        <w:t>善后处置</w:t>
      </w:r>
      <w:bookmarkEnd w:id="63"/>
    </w:p>
    <w:p>
      <w:pPr>
        <w:pStyle w:val="20"/>
        <w:adjustRightInd w:val="0"/>
        <w:snapToGrid w:val="0"/>
        <w:spacing w:line="540" w:lineRule="exact"/>
        <w:rPr>
          <w:rFonts w:ascii="仿宋_GB2312"/>
          <w:szCs w:val="32"/>
        </w:rPr>
      </w:pPr>
      <w:r>
        <w:rPr>
          <w:rFonts w:hint="eastAsia" w:ascii="仿宋_GB2312"/>
          <w:szCs w:val="32"/>
        </w:rPr>
        <w:t>在县委统一领导下，县人民政府和受突发事件影响的有关镇人民政府应当根据本地区遭受损失的情况，制定救助、补偿、抚慰、抚恤、安置等善后工作方案，对突发事件中的伤亡人员、应急处置工作人员，以及紧急调集、征用有关单位及个人的物资，按照规定给予抚恤、补助或补偿，并提供心理咨询及司法援助，妥善解决因处置突发事件引发的矛盾和纠纷。县级有关部门（单位）要做好疫病防治和环境污染消除工作。事发地保险监管机构要组织、督促有关保险机构及时开展查勘和理赔工作。</w:t>
      </w:r>
    </w:p>
    <w:p>
      <w:pPr>
        <w:pStyle w:val="20"/>
        <w:adjustRightInd w:val="0"/>
        <w:snapToGrid w:val="0"/>
        <w:spacing w:line="540" w:lineRule="exact"/>
        <w:outlineLvl w:val="2"/>
        <w:rPr>
          <w:rFonts w:ascii="仿宋_GB2312"/>
        </w:rPr>
      </w:pPr>
      <w:bookmarkStart w:id="64" w:name="_Toc22909"/>
      <w:r>
        <w:rPr>
          <w:rFonts w:eastAsia="仿宋"/>
        </w:rPr>
        <w:t>3.4.2</w:t>
      </w:r>
      <w:r>
        <w:rPr>
          <w:rFonts w:hint="eastAsia" w:ascii="仿宋_GB2312"/>
        </w:rPr>
        <w:t>恢复重建</w:t>
      </w:r>
      <w:bookmarkEnd w:id="64"/>
    </w:p>
    <w:p>
      <w:pPr>
        <w:pStyle w:val="20"/>
        <w:adjustRightInd w:val="0"/>
        <w:snapToGrid w:val="0"/>
        <w:spacing w:line="540" w:lineRule="exact"/>
        <w:rPr>
          <w:rFonts w:ascii="仿宋_GB2312"/>
          <w:szCs w:val="32"/>
        </w:rPr>
      </w:pPr>
      <w:r>
        <w:rPr>
          <w:rFonts w:hint="eastAsia" w:ascii="仿宋_GB2312"/>
          <w:szCs w:val="32"/>
        </w:rPr>
        <w:t>健全以灾区人民为主，县级统筹领导的广泛的、周全的灾后恢复重建机制，加大资金、政策、规划统筹，促进资源融合、效能提升。县级层面争取省、</w:t>
      </w:r>
      <w:r>
        <w:rPr>
          <w:rFonts w:ascii="仿宋_GB2312"/>
          <w:szCs w:val="32"/>
        </w:rPr>
        <w:t>州</w:t>
      </w:r>
      <w:r>
        <w:rPr>
          <w:rFonts w:hint="eastAsia" w:ascii="仿宋_GB2312"/>
          <w:szCs w:val="32"/>
        </w:rPr>
        <w:t>级政策的支持，并视情况争取适当补助。强化灾区重建主体责任，建立务实高效的灾后恢复重建推进体系。尊重群众首创精神，引导开展自力更生、生产自救活动。</w:t>
      </w:r>
    </w:p>
    <w:p>
      <w:pPr>
        <w:pStyle w:val="20"/>
        <w:adjustRightInd w:val="0"/>
        <w:snapToGrid w:val="0"/>
        <w:spacing w:line="540" w:lineRule="exact"/>
        <w:rPr>
          <w:rFonts w:ascii="仿宋_GB2312"/>
          <w:szCs w:val="32"/>
        </w:rPr>
      </w:pPr>
      <w:r>
        <w:rPr>
          <w:rFonts w:eastAsia="仿宋"/>
          <w:szCs w:val="32"/>
        </w:rPr>
        <w:t>（1）</w:t>
      </w:r>
      <w:r>
        <w:rPr>
          <w:rFonts w:hint="eastAsia" w:ascii="仿宋_GB2312"/>
          <w:szCs w:val="32"/>
        </w:rPr>
        <w:t>发生各类突发事件后，恢复重建工作由县人民政府负责。突发事件应急处置工作结束后，事发地镇人民政府要立即组织制定恢复重建计划，并向县人民政府报告。县人民政府要及时组织和协调发改、财政、民政、公安、交通、经信、住建、水务等有关部门（单位）恢复社会秩序，尽快修复被损坏的交通、水利、通信、供水、排水、供电、供气等公共设施。</w:t>
      </w:r>
    </w:p>
    <w:p>
      <w:pPr>
        <w:pStyle w:val="20"/>
        <w:adjustRightInd w:val="0"/>
        <w:snapToGrid w:val="0"/>
        <w:spacing w:line="540" w:lineRule="exact"/>
        <w:rPr>
          <w:rFonts w:ascii="仿宋_GB2312"/>
          <w:szCs w:val="32"/>
        </w:rPr>
      </w:pPr>
      <w:r>
        <w:rPr>
          <w:rFonts w:eastAsia="仿宋"/>
          <w:szCs w:val="32"/>
        </w:rPr>
        <w:t>（2）</w:t>
      </w:r>
      <w:r>
        <w:rPr>
          <w:rFonts w:hint="eastAsia" w:ascii="仿宋_GB2312"/>
          <w:szCs w:val="32"/>
        </w:rPr>
        <w:t>受到影响的镇人民政府提出需要县人民政府援助请求的，由县级有关部门根据调查评估报告和受灾地区恢复重建计划，提出解决建议或意见，按有关规定报经批准后组织实施。县人民政府根据受突发事件影响地区遭受损失的情况，制定扶持该地区社会经济和有关行业发展的优惠政策。</w:t>
      </w:r>
    </w:p>
    <w:p>
      <w:pPr>
        <w:pStyle w:val="20"/>
        <w:adjustRightInd w:val="0"/>
        <w:snapToGrid w:val="0"/>
        <w:spacing w:line="540" w:lineRule="exact"/>
        <w:outlineLvl w:val="2"/>
        <w:rPr>
          <w:rFonts w:ascii="仿宋_GB2312"/>
        </w:rPr>
      </w:pPr>
      <w:bookmarkStart w:id="65" w:name="_Toc18772"/>
      <w:r>
        <w:rPr>
          <w:rFonts w:eastAsia="仿宋"/>
        </w:rPr>
        <w:t>3.4.3</w:t>
      </w:r>
      <w:r>
        <w:rPr>
          <w:rFonts w:hint="eastAsia" w:ascii="仿宋_GB2312"/>
        </w:rPr>
        <w:t>调查评估</w:t>
      </w:r>
      <w:bookmarkEnd w:id="65"/>
    </w:p>
    <w:p>
      <w:pPr>
        <w:pStyle w:val="20"/>
        <w:adjustRightInd w:val="0"/>
        <w:snapToGrid w:val="0"/>
        <w:spacing w:line="540" w:lineRule="exact"/>
        <w:rPr>
          <w:rFonts w:ascii="仿宋_GB2312"/>
          <w:szCs w:val="32"/>
        </w:rPr>
      </w:pPr>
      <w:r>
        <w:rPr>
          <w:rFonts w:hint="eastAsia" w:ascii="仿宋_GB2312"/>
          <w:szCs w:val="32"/>
        </w:rPr>
        <w:t>（</w:t>
      </w:r>
      <w:r>
        <w:rPr>
          <w:szCs w:val="32"/>
        </w:rPr>
        <w:t>1</w:t>
      </w:r>
      <w:r>
        <w:rPr>
          <w:rFonts w:hint="eastAsia" w:ascii="仿宋_GB2312"/>
          <w:szCs w:val="32"/>
        </w:rPr>
        <w:t>）县、</w:t>
      </w:r>
      <w:r>
        <w:rPr>
          <w:rFonts w:ascii="仿宋_GB2312"/>
          <w:szCs w:val="32"/>
        </w:rPr>
        <w:t>镇</w:t>
      </w:r>
      <w:r>
        <w:rPr>
          <w:rFonts w:hint="eastAsia" w:ascii="仿宋_GB2312"/>
          <w:szCs w:val="32"/>
        </w:rPr>
        <w:t>人民政府应当及时查明突发事件的发生经过和原因，对突发事件造成的损失进行评估；组织参与处置的部门（单位）对应急处置工作进行复盘分析，总结经验教训，制定改进措施；将调查与评估情况向上一级层面报告。对于特别重大、重大突发事件和较大突发事件，县人民政府要配合协助省、州级部门进行调查评估。对于一般突发事件，县有关部门要会同事发地镇进行调查评估，并向县人民政府作出报告。建立健全重大自然灾害和安全事故调查评估制度。法律法规对事故调查另有规定的，依照其规定。</w:t>
      </w:r>
    </w:p>
    <w:p>
      <w:pPr>
        <w:pStyle w:val="20"/>
        <w:adjustRightInd w:val="0"/>
        <w:snapToGrid w:val="0"/>
        <w:spacing w:line="540" w:lineRule="exact"/>
        <w:rPr>
          <w:rFonts w:ascii="仿宋_GB2312"/>
          <w:szCs w:val="32"/>
        </w:rPr>
      </w:pPr>
      <w:r>
        <w:rPr>
          <w:rFonts w:hint="eastAsia" w:ascii="仿宋_GB2312"/>
          <w:szCs w:val="32"/>
        </w:rPr>
        <w:t>（</w:t>
      </w:r>
      <w:r>
        <w:rPr>
          <w:szCs w:val="32"/>
        </w:rPr>
        <w:t>2</w:t>
      </w:r>
      <w:r>
        <w:rPr>
          <w:rFonts w:hint="eastAsia" w:ascii="仿宋_GB2312"/>
          <w:szCs w:val="32"/>
        </w:rPr>
        <w:t>）县有关部门，于每年第一季度对上年度发生的突发事件组织开展全面评估，由县应急委办公室（县应急管理局）统一汇总并及时上报</w:t>
      </w:r>
      <w:r>
        <w:rPr>
          <w:rFonts w:hint="eastAsia" w:ascii="仿宋_GB2312" w:cs="仿宋"/>
          <w:szCs w:val="32"/>
        </w:rPr>
        <w:t>县委、</w:t>
      </w:r>
      <w:r>
        <w:rPr>
          <w:rFonts w:hint="eastAsia" w:ascii="仿宋_GB2312"/>
          <w:szCs w:val="32"/>
        </w:rPr>
        <w:t>县人民政府。</w:t>
      </w:r>
    </w:p>
    <w:p>
      <w:pPr>
        <w:pStyle w:val="21"/>
        <w:spacing w:line="540" w:lineRule="exact"/>
        <w:outlineLvl w:val="0"/>
        <w:rPr>
          <w:rFonts w:ascii="黑体" w:cs="黑体"/>
        </w:rPr>
      </w:pPr>
      <w:bookmarkStart w:id="66" w:name="_Toc8653300"/>
      <w:bookmarkEnd w:id="66"/>
      <w:bookmarkStart w:id="67" w:name="_Toc30999"/>
      <w:bookmarkStart w:id="68" w:name="_Toc11176178"/>
      <w:bookmarkStart w:id="69" w:name="_Hlk51175262"/>
      <w:r>
        <w:rPr>
          <w:rFonts w:hint="eastAsia" w:ascii="黑体" w:cs="黑体"/>
        </w:rPr>
        <w:t>4准备与支持</w:t>
      </w:r>
      <w:bookmarkEnd w:id="67"/>
      <w:bookmarkEnd w:id="68"/>
    </w:p>
    <w:bookmarkEnd w:id="69"/>
    <w:p>
      <w:pPr>
        <w:pStyle w:val="20"/>
        <w:spacing w:line="540" w:lineRule="exact"/>
        <w:outlineLvl w:val="1"/>
        <w:rPr>
          <w:rFonts w:ascii="仿宋_GB2312"/>
        </w:rPr>
      </w:pPr>
      <w:bookmarkStart w:id="70" w:name="_Toc8653301"/>
      <w:bookmarkEnd w:id="70"/>
      <w:bookmarkStart w:id="71" w:name="_Toc14437"/>
      <w:bookmarkStart w:id="72" w:name="_Toc11176179"/>
      <w:r>
        <w:rPr>
          <w:rFonts w:eastAsia="仿宋"/>
        </w:rPr>
        <w:t>4.1</w:t>
      </w:r>
      <w:r>
        <w:rPr>
          <w:rFonts w:hint="eastAsia" w:ascii="仿宋_GB2312"/>
        </w:rPr>
        <w:t>人力资源</w:t>
      </w:r>
      <w:bookmarkEnd w:id="71"/>
      <w:bookmarkEnd w:id="72"/>
    </w:p>
    <w:p>
      <w:pPr>
        <w:pStyle w:val="20"/>
        <w:adjustRightInd w:val="0"/>
        <w:snapToGrid w:val="0"/>
        <w:spacing w:line="540" w:lineRule="exact"/>
        <w:rPr>
          <w:rFonts w:eastAsia="仿宋"/>
          <w:szCs w:val="32"/>
        </w:rPr>
      </w:pPr>
      <w:r>
        <w:rPr>
          <w:rFonts w:eastAsia="仿宋"/>
          <w:szCs w:val="32"/>
        </w:rPr>
        <w:t>4.1.1</w:t>
      </w:r>
      <w:r>
        <w:rPr>
          <w:rFonts w:hint="eastAsia" w:ascii="仿宋_GB2312"/>
          <w:szCs w:val="32"/>
        </w:rPr>
        <w:t>县消防救援大队和县综合应急救援大队是应急救援的主力军，县人民政府应提供必要支持保障。</w:t>
      </w:r>
    </w:p>
    <w:p>
      <w:pPr>
        <w:pStyle w:val="20"/>
        <w:adjustRightInd w:val="0"/>
        <w:snapToGrid w:val="0"/>
        <w:spacing w:line="540" w:lineRule="exact"/>
        <w:rPr>
          <w:rFonts w:eastAsia="仿宋"/>
          <w:szCs w:val="32"/>
        </w:rPr>
      </w:pPr>
      <w:r>
        <w:rPr>
          <w:rFonts w:eastAsia="仿宋"/>
          <w:szCs w:val="32"/>
        </w:rPr>
        <w:t>4.1.2</w:t>
      </w:r>
      <w:r>
        <w:rPr>
          <w:rFonts w:hint="eastAsia" w:ascii="仿宋_GB2312"/>
          <w:szCs w:val="32"/>
        </w:rPr>
        <w:t>各类专业应急队伍是应急处置和救援的骨干力量。县级应急、经信、公安、自然资源、生态环境、住建、交通、水务、卫生健康、人防、林草、新闻宣传等主管部门根据职能分工和实际需要，建设和管理本行业、本领域的专业应急队伍。</w:t>
      </w:r>
    </w:p>
    <w:p>
      <w:pPr>
        <w:pStyle w:val="20"/>
        <w:adjustRightInd w:val="0"/>
        <w:snapToGrid w:val="0"/>
        <w:spacing w:line="540" w:lineRule="exact"/>
        <w:rPr>
          <w:rFonts w:ascii="仿宋_GB2312"/>
          <w:szCs w:val="32"/>
        </w:rPr>
      </w:pPr>
      <w:r>
        <w:rPr>
          <w:rFonts w:eastAsia="仿宋"/>
          <w:szCs w:val="32"/>
        </w:rPr>
        <w:t>4.1.3</w:t>
      </w:r>
      <w:r>
        <w:rPr>
          <w:rFonts w:hint="eastAsia" w:ascii="仿宋_GB2312"/>
          <w:szCs w:val="32"/>
        </w:rPr>
        <w:t>解放军和武警部队是应急处置和救援的突击力量。依法将驻茂县武警部队应急力量纳入全县应急力量体系建设，统筹规划，合理布局。建立健全军地协调联动机制，应急管理信息系统实现互联互通。按照遂行应急任务能力要求，配备必要的装备，加强有针对性的训练和演练。</w:t>
      </w:r>
    </w:p>
    <w:p>
      <w:pPr>
        <w:pStyle w:val="20"/>
        <w:adjustRightInd w:val="0"/>
        <w:snapToGrid w:val="0"/>
        <w:spacing w:line="540" w:lineRule="exact"/>
        <w:rPr>
          <w:rFonts w:ascii="仿宋_GB2312"/>
          <w:szCs w:val="32"/>
        </w:rPr>
      </w:pPr>
      <w:r>
        <w:rPr>
          <w:rFonts w:eastAsia="仿宋"/>
          <w:szCs w:val="32"/>
        </w:rPr>
        <w:t>4.1.4</w:t>
      </w:r>
      <w:r>
        <w:rPr>
          <w:rFonts w:hint="eastAsia" w:ascii="仿宋_GB2312"/>
          <w:szCs w:val="32"/>
        </w:rPr>
        <w:t>基层应急队伍是第一时间先期处置重要力量。镇人民政府及社区、村（居）民委员会应当单独建立或者与辖区有关单位、社会组织共同建立基层应急队伍，并广泛发动群众开展自救互救、群防群治工作。</w:t>
      </w:r>
    </w:p>
    <w:p>
      <w:pPr>
        <w:pStyle w:val="20"/>
        <w:adjustRightInd w:val="0"/>
        <w:snapToGrid w:val="0"/>
        <w:spacing w:line="540" w:lineRule="exact"/>
        <w:rPr>
          <w:rFonts w:ascii="仿宋_GB2312"/>
          <w:szCs w:val="32"/>
        </w:rPr>
      </w:pPr>
      <w:r>
        <w:rPr>
          <w:rFonts w:eastAsia="仿宋"/>
          <w:szCs w:val="32"/>
        </w:rPr>
        <w:t>4.1.5</w:t>
      </w:r>
      <w:r>
        <w:rPr>
          <w:rFonts w:hint="eastAsia" w:ascii="仿宋_GB2312"/>
          <w:szCs w:val="32"/>
        </w:rPr>
        <w:t>社会应急队伍是应急处置和救援的辅助力量。各地区、各有关部门要制定相关政策措施，大力加强应急志愿者队伍建设，充分发挥红十字会、共青团和妇联等群团组织的作用，鼓励企事业单位、社会组织及公民个人等有序参与应急救援工作。</w:t>
      </w:r>
    </w:p>
    <w:p>
      <w:pPr>
        <w:pStyle w:val="20"/>
        <w:adjustRightInd w:val="0"/>
        <w:snapToGrid w:val="0"/>
        <w:spacing w:line="540" w:lineRule="exact"/>
        <w:rPr>
          <w:rFonts w:eastAsia="仿宋"/>
          <w:szCs w:val="32"/>
        </w:rPr>
      </w:pPr>
      <w:r>
        <w:rPr>
          <w:rFonts w:eastAsia="仿宋"/>
          <w:szCs w:val="32"/>
        </w:rPr>
        <w:t>4.1.6</w:t>
      </w:r>
      <w:r>
        <w:rPr>
          <w:rFonts w:hint="eastAsia" w:ascii="仿宋_GB2312"/>
          <w:szCs w:val="32"/>
        </w:rPr>
        <w:t>推进应急力量训练条件统建共用、开放共享，构建救援合作机制，创新组织实施模式，搭建信息服务平台，分类推进试点先行，营造良好激励环境。</w:t>
      </w:r>
    </w:p>
    <w:p>
      <w:pPr>
        <w:pStyle w:val="20"/>
        <w:adjustRightInd w:val="0"/>
        <w:snapToGrid w:val="0"/>
        <w:spacing w:line="540" w:lineRule="exact"/>
        <w:rPr>
          <w:rFonts w:eastAsia="仿宋"/>
          <w:szCs w:val="32"/>
        </w:rPr>
      </w:pPr>
      <w:r>
        <w:rPr>
          <w:rFonts w:eastAsia="仿宋"/>
          <w:szCs w:val="32"/>
        </w:rPr>
        <w:t>4.1.7</w:t>
      </w:r>
      <w:r>
        <w:rPr>
          <w:rFonts w:hint="eastAsia" w:ascii="仿宋_GB2312"/>
          <w:szCs w:val="32"/>
        </w:rPr>
        <w:t>加强县内应急队伍和应急专业技术人员跨区域的交流合作。按照全州统一部署和要求，组织县内有关专业力量参与跨县、跨州应急救援行动。</w:t>
      </w:r>
    </w:p>
    <w:p>
      <w:pPr>
        <w:pStyle w:val="20"/>
        <w:spacing w:line="540" w:lineRule="exact"/>
        <w:outlineLvl w:val="1"/>
        <w:rPr>
          <w:rFonts w:eastAsia="仿宋"/>
        </w:rPr>
      </w:pPr>
      <w:bookmarkStart w:id="73" w:name="_Toc8653302"/>
      <w:bookmarkEnd w:id="73"/>
      <w:bookmarkStart w:id="74" w:name="_Toc11176180"/>
      <w:bookmarkStart w:id="75" w:name="_Toc26983"/>
      <w:r>
        <w:rPr>
          <w:rFonts w:eastAsia="仿宋"/>
        </w:rPr>
        <w:t>4.2</w:t>
      </w:r>
      <w:r>
        <w:rPr>
          <w:rFonts w:hint="eastAsia" w:ascii="仿宋_GB2312"/>
        </w:rPr>
        <w:t>财力支持</w:t>
      </w:r>
      <w:bookmarkEnd w:id="74"/>
      <w:bookmarkEnd w:id="75"/>
    </w:p>
    <w:p>
      <w:pPr>
        <w:pStyle w:val="20"/>
        <w:adjustRightInd w:val="0"/>
        <w:snapToGrid w:val="0"/>
        <w:spacing w:line="540" w:lineRule="exact"/>
        <w:rPr>
          <w:rFonts w:ascii="仿宋_GB2312"/>
          <w:szCs w:val="32"/>
        </w:rPr>
      </w:pPr>
      <w:r>
        <w:rPr>
          <w:rFonts w:eastAsia="仿宋"/>
          <w:szCs w:val="32"/>
        </w:rPr>
        <w:t>4.2.1</w:t>
      </w:r>
      <w:r>
        <w:rPr>
          <w:rFonts w:hint="eastAsia" w:ascii="仿宋_GB2312"/>
          <w:szCs w:val="32"/>
        </w:rPr>
        <w:t>县人民政府全力保障突发事件防范应对工作所需经费。县级所需突发事件应急准备、应急演练和救援救灾工作资金由县级有关部门提出，经财政局审核后，按规定程序列入年度县财政预算或财政专项资金解决。</w:t>
      </w:r>
    </w:p>
    <w:p>
      <w:pPr>
        <w:pStyle w:val="20"/>
        <w:adjustRightInd w:val="0"/>
        <w:snapToGrid w:val="0"/>
        <w:spacing w:line="540" w:lineRule="exact"/>
        <w:rPr>
          <w:rFonts w:ascii="仿宋_GB2312"/>
          <w:szCs w:val="32"/>
        </w:rPr>
      </w:pPr>
      <w:r>
        <w:rPr>
          <w:rFonts w:eastAsia="仿宋"/>
          <w:szCs w:val="32"/>
        </w:rPr>
        <w:t>4.2.2</w:t>
      </w:r>
      <w:r>
        <w:rPr>
          <w:rFonts w:hint="eastAsia" w:ascii="仿宋_GB2312"/>
          <w:szCs w:val="32"/>
        </w:rPr>
        <w:t>处置突发事件所需财政负担的经费，按照财政事权和支出责任划分，分级负担。省或州级层面启动响应的，由县级层面向州级层面适当申请相应财政支持。县级层面启动应急响应的，由县级财政根据响应级别、影响程度、地方财力等给予镇人民政府适当支持。对受突发事件影响较大的财政困难地区，根据事发地实际情况，向州级财政申请适当支持。</w:t>
      </w:r>
    </w:p>
    <w:p>
      <w:pPr>
        <w:pStyle w:val="20"/>
        <w:adjustRightInd w:val="0"/>
        <w:snapToGrid w:val="0"/>
        <w:spacing w:line="540" w:lineRule="exact"/>
        <w:rPr>
          <w:rFonts w:eastAsia="仿宋"/>
          <w:szCs w:val="32"/>
        </w:rPr>
      </w:pPr>
      <w:r>
        <w:rPr>
          <w:rFonts w:eastAsia="仿宋"/>
          <w:szCs w:val="32"/>
        </w:rPr>
        <w:t>4.2.3</w:t>
      </w:r>
      <w:r>
        <w:rPr>
          <w:rFonts w:hint="eastAsia" w:ascii="仿宋_GB2312"/>
          <w:szCs w:val="32"/>
        </w:rPr>
        <w:t>县级有关部门参照省、州级有关标准，研究提出相应的征用补偿或救助政策，报县人民政府审批。财政和审计部门要对突发事件财政应急保障资金的使用和效果进行监督和评估。</w:t>
      </w:r>
    </w:p>
    <w:p>
      <w:pPr>
        <w:pStyle w:val="20"/>
        <w:adjustRightInd w:val="0"/>
        <w:snapToGrid w:val="0"/>
        <w:spacing w:line="540" w:lineRule="exact"/>
        <w:rPr>
          <w:rFonts w:ascii="仿宋_GB2312"/>
          <w:szCs w:val="32"/>
        </w:rPr>
      </w:pPr>
      <w:r>
        <w:rPr>
          <w:rFonts w:eastAsia="仿宋"/>
          <w:szCs w:val="32"/>
        </w:rPr>
        <w:t>4.2.4</w:t>
      </w:r>
      <w:r>
        <w:rPr>
          <w:rFonts w:hint="eastAsia" w:ascii="仿宋_GB2312"/>
          <w:szCs w:val="32"/>
        </w:rPr>
        <w:t>鼓励公民、法人或其他组织按照《中华人民共和国慈善法》《中华人民共和国公益事业捐赠法》等有关法律的规定，为应对突发事件提供物资、装备、资金、技术支持和捐赠。</w:t>
      </w:r>
    </w:p>
    <w:p>
      <w:pPr>
        <w:pStyle w:val="20"/>
        <w:adjustRightInd w:val="0"/>
        <w:snapToGrid w:val="0"/>
        <w:spacing w:line="540" w:lineRule="exact"/>
        <w:rPr>
          <w:rFonts w:eastAsia="仿宋"/>
          <w:szCs w:val="32"/>
        </w:rPr>
      </w:pPr>
      <w:r>
        <w:rPr>
          <w:rFonts w:eastAsia="仿宋"/>
          <w:szCs w:val="32"/>
        </w:rPr>
        <w:t>4.2.5</w:t>
      </w:r>
      <w:r>
        <w:rPr>
          <w:rFonts w:hint="eastAsia" w:ascii="仿宋_GB2312"/>
          <w:szCs w:val="32"/>
        </w:rPr>
        <w:t>发挥保险保障功能，健全风险管理体系，鼓励单位和公民投保商业保险。加快推进巨灾保险制度，推行安全生产、环境污染和食品安全责任保险等。县人民政府和有关单位安排应急救援人员参与可能发生人身伤害的抢险救援行动前，应当为其投保相关保险产品。</w:t>
      </w:r>
    </w:p>
    <w:p>
      <w:pPr>
        <w:pStyle w:val="20"/>
        <w:spacing w:line="540" w:lineRule="exact"/>
        <w:outlineLvl w:val="1"/>
        <w:rPr>
          <w:rFonts w:eastAsia="仿宋"/>
        </w:rPr>
      </w:pPr>
      <w:bookmarkStart w:id="76" w:name="_Toc8653303"/>
      <w:bookmarkEnd w:id="76"/>
      <w:bookmarkStart w:id="77" w:name="_Toc11176181"/>
      <w:bookmarkStart w:id="78" w:name="_Toc14736"/>
      <w:r>
        <w:rPr>
          <w:rFonts w:eastAsia="仿宋"/>
        </w:rPr>
        <w:t>4.3</w:t>
      </w:r>
      <w:r>
        <w:rPr>
          <w:rFonts w:hint="eastAsia" w:ascii="仿宋_GB2312"/>
        </w:rPr>
        <w:t>物资装备</w:t>
      </w:r>
      <w:bookmarkEnd w:id="77"/>
      <w:bookmarkEnd w:id="78"/>
    </w:p>
    <w:p>
      <w:pPr>
        <w:pStyle w:val="20"/>
        <w:adjustRightInd w:val="0"/>
        <w:snapToGrid w:val="0"/>
        <w:spacing w:line="540" w:lineRule="exact"/>
        <w:rPr>
          <w:rFonts w:eastAsia="仿宋"/>
          <w:szCs w:val="32"/>
        </w:rPr>
      </w:pPr>
      <w:r>
        <w:rPr>
          <w:rFonts w:eastAsia="仿宋"/>
          <w:szCs w:val="32"/>
        </w:rPr>
        <w:t>4.3.1</w:t>
      </w:r>
      <w:r>
        <w:rPr>
          <w:rFonts w:hint="eastAsia" w:ascii="仿宋_GB2312"/>
          <w:szCs w:val="32"/>
        </w:rPr>
        <w:t>各类突发事件应急处置工作有关县级牵头部门，要会同县发改局、县财政局等制定应急物资储备和应急救援装备规划并组织实施，加强山地应急救援装备配备规划。有关县级部门要按照职能职责分领域、分类型建立应急物资装备数据库，健全完善管理协调机制。</w:t>
      </w:r>
      <w:r>
        <w:rPr>
          <w:rFonts w:hint="eastAsia"/>
        </w:rPr>
        <w:t>县发改局、县经信局、县公安局、县财政局、县自然资源局、县交通运输局、县水务局、县科农局、县卫生健康局、县应急管理局、县市场监管局等县级有关部门（单位）按照职能</w:t>
      </w:r>
      <w:r>
        <w:rPr>
          <w:rFonts w:hint="eastAsia" w:ascii="仿宋_GB2312"/>
          <w:szCs w:val="32"/>
        </w:rPr>
        <w:t>分工，建立健全重要应急物资监测网络、预警体系和应急物资生产、收储、调拨及紧急配送体系，完善应急工作程序，确保应急所需物资和生活用品的及时供应，并加强对物资储备的监督管理，及时予以补充和更新。</w:t>
      </w:r>
    </w:p>
    <w:p>
      <w:pPr>
        <w:pStyle w:val="20"/>
        <w:adjustRightInd w:val="0"/>
        <w:snapToGrid w:val="0"/>
        <w:spacing w:line="540" w:lineRule="exact"/>
        <w:rPr>
          <w:rFonts w:ascii="仿宋_GB2312"/>
          <w:szCs w:val="32"/>
        </w:rPr>
      </w:pPr>
      <w:r>
        <w:rPr>
          <w:rFonts w:eastAsia="仿宋"/>
          <w:szCs w:val="32"/>
        </w:rPr>
        <w:t>4.3.2</w:t>
      </w:r>
      <w:r>
        <w:rPr>
          <w:rFonts w:hint="eastAsia" w:ascii="仿宋_GB2312"/>
          <w:szCs w:val="32"/>
        </w:rPr>
        <w:t>县、镇人民政府应根据有关法律、法规和应急预案的规定，做好物资装备储备工作，或与有关企业、社会组织签订协议，保障应急救援物资、生活必需品和应急处置装备的生产、供给。</w:t>
      </w:r>
    </w:p>
    <w:p>
      <w:pPr>
        <w:pStyle w:val="20"/>
        <w:spacing w:line="540" w:lineRule="exact"/>
        <w:outlineLvl w:val="1"/>
        <w:rPr>
          <w:rFonts w:eastAsia="仿宋"/>
        </w:rPr>
      </w:pPr>
      <w:bookmarkStart w:id="79" w:name="_Toc8653304"/>
      <w:bookmarkEnd w:id="79"/>
      <w:bookmarkStart w:id="80" w:name="_Toc11176182"/>
      <w:bookmarkStart w:id="81" w:name="_Toc20408"/>
      <w:r>
        <w:rPr>
          <w:rFonts w:eastAsia="仿宋"/>
        </w:rPr>
        <w:t>4.4</w:t>
      </w:r>
      <w:r>
        <w:rPr>
          <w:rFonts w:hint="eastAsia" w:ascii="仿宋_GB2312"/>
        </w:rPr>
        <w:t>科技支撑</w:t>
      </w:r>
      <w:bookmarkEnd w:id="80"/>
      <w:bookmarkEnd w:id="81"/>
    </w:p>
    <w:p>
      <w:pPr>
        <w:pStyle w:val="20"/>
        <w:adjustRightInd w:val="0"/>
        <w:snapToGrid w:val="0"/>
        <w:spacing w:line="540" w:lineRule="exact"/>
        <w:rPr>
          <w:rFonts w:eastAsia="仿宋"/>
          <w:szCs w:val="32"/>
        </w:rPr>
      </w:pPr>
      <w:r>
        <w:rPr>
          <w:rFonts w:eastAsia="仿宋"/>
          <w:szCs w:val="32"/>
        </w:rPr>
        <w:t>4.4.1</w:t>
      </w:r>
      <w:r>
        <w:rPr>
          <w:rFonts w:hint="eastAsia" w:ascii="仿宋_GB2312"/>
          <w:szCs w:val="32"/>
        </w:rPr>
        <w:t>各有关部门要研究制定相关政策措施，鼓励、引进应急管理人才，建设应急管理人才库；加强应急管理科技支撑机构建设，积累基础资料，促进科技成果交流共享；鼓励、扶持相关组织、机构和有关企业引进用于突发事件预防、监测、预警、应急处置与救援的新技术、新设备和新工具。</w:t>
      </w:r>
    </w:p>
    <w:p>
      <w:pPr>
        <w:pStyle w:val="20"/>
        <w:adjustRightInd w:val="0"/>
        <w:snapToGrid w:val="0"/>
        <w:spacing w:line="540" w:lineRule="exact"/>
        <w:rPr>
          <w:rFonts w:ascii="仿宋_GB2312"/>
          <w:szCs w:val="32"/>
        </w:rPr>
      </w:pPr>
      <w:r>
        <w:rPr>
          <w:rFonts w:eastAsia="仿宋"/>
          <w:szCs w:val="32"/>
        </w:rPr>
        <w:t>4.4.2</w:t>
      </w:r>
      <w:r>
        <w:rPr>
          <w:rFonts w:hint="eastAsia" w:ascii="仿宋_GB2312"/>
          <w:szCs w:val="32"/>
        </w:rPr>
        <w:t>以信息化推进应急管理现代化。充分引进、利用物联网、大数据、云计算、人工智能等，推进立体化监测预警网络、空天地一体化韧性抗毁应急通信网络、大数据支撑体系、“智慧大脑”等建设，提高监测预警能力、辅助指挥决策能力、救援实战能力和社会动员能力。</w:t>
      </w:r>
    </w:p>
    <w:p>
      <w:pPr>
        <w:pStyle w:val="20"/>
        <w:adjustRightInd w:val="0"/>
        <w:snapToGrid w:val="0"/>
        <w:spacing w:line="540" w:lineRule="exact"/>
        <w:rPr>
          <w:rFonts w:eastAsia="仿宋"/>
          <w:szCs w:val="32"/>
        </w:rPr>
      </w:pPr>
      <w:r>
        <w:rPr>
          <w:rFonts w:eastAsia="仿宋"/>
          <w:szCs w:val="32"/>
        </w:rPr>
        <w:t>4.4.3</w:t>
      </w:r>
      <w:r>
        <w:rPr>
          <w:rFonts w:hint="eastAsia" w:ascii="仿宋_GB2312"/>
          <w:szCs w:val="32"/>
        </w:rPr>
        <w:t>建立健全全县应急指挥平台体系。县级有关部门要充分利用现有办公业务资源和专业网络系统，建立健全应急指挥场所、基础支撑系统和综合应用系统，配置移动指挥系统。与省、州级部门衔接，满足突发事件监测监控、预测预警、值守应急、信息报告汇总与发布、视频会商、综合研判、辅助决策、指挥协调、预案管理、资源调用和总结评估等功能。有条件的镇、</w:t>
      </w:r>
      <w:r>
        <w:rPr>
          <w:rFonts w:ascii="仿宋_GB2312"/>
          <w:szCs w:val="32"/>
        </w:rPr>
        <w:t>工业园区</w:t>
      </w:r>
      <w:r>
        <w:rPr>
          <w:rFonts w:hint="eastAsia" w:ascii="仿宋_GB2312"/>
          <w:szCs w:val="32"/>
        </w:rPr>
        <w:t>也应建设适用的应急指挥平台，并与属地应急指挥平台互联互通。</w:t>
      </w:r>
      <w:bookmarkStart w:id="82" w:name="_Toc8653305"/>
      <w:bookmarkEnd w:id="82"/>
    </w:p>
    <w:p>
      <w:pPr>
        <w:pStyle w:val="21"/>
        <w:spacing w:line="540" w:lineRule="exact"/>
        <w:outlineLvl w:val="0"/>
        <w:rPr>
          <w:rFonts w:ascii="黑体" w:cs="黑体"/>
        </w:rPr>
      </w:pPr>
      <w:bookmarkStart w:id="83" w:name="_Toc30404655"/>
      <w:bookmarkStart w:id="84" w:name="_Toc11176183"/>
      <w:bookmarkStart w:id="85" w:name="_Toc10434"/>
      <w:bookmarkStart w:id="86" w:name="_Hlk51175270"/>
      <w:r>
        <w:rPr>
          <w:rFonts w:hint="eastAsia" w:ascii="黑体" w:cs="黑体"/>
        </w:rPr>
        <w:t>5预案管理</w:t>
      </w:r>
      <w:bookmarkEnd w:id="83"/>
      <w:bookmarkEnd w:id="84"/>
      <w:bookmarkEnd w:id="85"/>
    </w:p>
    <w:bookmarkEnd w:id="86"/>
    <w:p>
      <w:pPr>
        <w:pStyle w:val="20"/>
        <w:adjustRightInd w:val="0"/>
        <w:snapToGrid w:val="0"/>
        <w:spacing w:line="540" w:lineRule="exact"/>
        <w:rPr>
          <w:rFonts w:ascii="仿宋_GB2312"/>
          <w:szCs w:val="32"/>
        </w:rPr>
      </w:pPr>
      <w:r>
        <w:rPr>
          <w:rFonts w:hint="eastAsia" w:ascii="仿宋_GB2312"/>
          <w:szCs w:val="32"/>
        </w:rPr>
        <w:t>应急预案管理遵循统一规划、分类指导、分级负责、动态管理原则，主要包括应急预案的规划、编制、审批、发布、备案、演练、修订等工作。</w:t>
      </w:r>
    </w:p>
    <w:p>
      <w:pPr>
        <w:pStyle w:val="20"/>
        <w:spacing w:line="540" w:lineRule="exact"/>
        <w:outlineLvl w:val="1"/>
        <w:rPr>
          <w:rFonts w:eastAsia="仿宋"/>
        </w:rPr>
      </w:pPr>
      <w:bookmarkStart w:id="87" w:name="_Toc8653306"/>
      <w:bookmarkEnd w:id="87"/>
      <w:bookmarkStart w:id="88" w:name="_Toc30404656"/>
      <w:bookmarkStart w:id="89" w:name="_Toc31955"/>
      <w:bookmarkStart w:id="90" w:name="_Toc11176184"/>
      <w:r>
        <w:rPr>
          <w:rFonts w:eastAsia="仿宋"/>
        </w:rPr>
        <w:t>5.1</w:t>
      </w:r>
      <w:r>
        <w:rPr>
          <w:rFonts w:hint="eastAsia" w:ascii="仿宋_GB2312"/>
        </w:rPr>
        <w:t>预案编制</w:t>
      </w:r>
      <w:bookmarkEnd w:id="88"/>
      <w:bookmarkEnd w:id="89"/>
      <w:bookmarkEnd w:id="90"/>
    </w:p>
    <w:p>
      <w:pPr>
        <w:pStyle w:val="20"/>
        <w:adjustRightInd w:val="0"/>
        <w:snapToGrid w:val="0"/>
        <w:spacing w:line="540" w:lineRule="exact"/>
        <w:rPr>
          <w:rFonts w:ascii="仿宋_GB2312"/>
          <w:szCs w:val="32"/>
        </w:rPr>
      </w:pPr>
      <w:r>
        <w:rPr>
          <w:rFonts w:eastAsia="仿宋"/>
          <w:szCs w:val="32"/>
        </w:rPr>
        <w:t>5.1.1</w:t>
      </w:r>
      <w:r>
        <w:rPr>
          <w:rFonts w:hint="eastAsia" w:eastAsia="仿宋"/>
          <w:szCs w:val="32"/>
        </w:rPr>
        <w:t>县</w:t>
      </w:r>
      <w:r>
        <w:rPr>
          <w:rFonts w:hint="eastAsia" w:ascii="仿宋_GB2312"/>
          <w:szCs w:val="32"/>
        </w:rPr>
        <w:t>应急管理局要会同有关部门（单位）针对本行政区域内突发事件历史情况和重大风险，结合本总体应急预案制定专项应急预案和部门应急预案编制修订规划，按程序报县人民政府批准后实施，并报州应急管理局备案。（县级主要应急预案及其牵头部门见附件9.1）</w:t>
      </w:r>
    </w:p>
    <w:p>
      <w:pPr>
        <w:pStyle w:val="20"/>
        <w:adjustRightInd w:val="0"/>
        <w:snapToGrid w:val="0"/>
        <w:spacing w:line="540" w:lineRule="exact"/>
        <w:rPr>
          <w:rFonts w:eastAsia="仿宋"/>
          <w:szCs w:val="32"/>
        </w:rPr>
      </w:pPr>
      <w:r>
        <w:rPr>
          <w:rFonts w:eastAsia="仿宋"/>
          <w:szCs w:val="32"/>
        </w:rPr>
        <w:t>5.1.2</w:t>
      </w:r>
      <w:r>
        <w:rPr>
          <w:rFonts w:hint="eastAsia" w:ascii="仿宋_GB2312"/>
          <w:szCs w:val="32"/>
        </w:rPr>
        <w:t>预案编制应在风险评估和应急资源调查基础上进行，以确保应急预案的针对性、实用性和可操作性。预案编制修订工作完成前，鼓励探索以情景构建方式模拟突发事件场景，对应急预案各项措施的有效性进行检验并加以完善。</w:t>
      </w:r>
    </w:p>
    <w:p>
      <w:pPr>
        <w:pStyle w:val="20"/>
        <w:adjustRightInd w:val="0"/>
        <w:snapToGrid w:val="0"/>
        <w:spacing w:line="540" w:lineRule="exact"/>
        <w:rPr>
          <w:rFonts w:eastAsia="仿宋"/>
          <w:szCs w:val="32"/>
        </w:rPr>
      </w:pPr>
      <w:r>
        <w:rPr>
          <w:rFonts w:eastAsia="仿宋"/>
          <w:szCs w:val="32"/>
        </w:rPr>
        <w:t>5.1.3</w:t>
      </w:r>
      <w:r>
        <w:rPr>
          <w:rFonts w:hint="eastAsia" w:ascii="仿宋_GB2312"/>
          <w:szCs w:val="32"/>
        </w:rPr>
        <w:t>县级总体应急预案、专项应急预案和部门应急预案在编制过程中应广泛听取有关部门、单位、社会组织和专家的意见，并进行评审或论证。涉及其他单位职责的，应当书面征求相关单位意见。必要时，向社会公开征求意见。基层组织和单位应急预案在编制过程中应征求相关公民、法人或其他组织的意见。</w:t>
      </w:r>
    </w:p>
    <w:p>
      <w:pPr>
        <w:pStyle w:val="20"/>
        <w:adjustRightInd w:val="0"/>
        <w:snapToGrid w:val="0"/>
        <w:spacing w:line="540" w:lineRule="exact"/>
        <w:rPr>
          <w:rFonts w:ascii="仿宋_GB2312"/>
          <w:szCs w:val="32"/>
        </w:rPr>
      </w:pPr>
      <w:r>
        <w:rPr>
          <w:rFonts w:eastAsia="仿宋"/>
          <w:szCs w:val="32"/>
        </w:rPr>
        <w:t>5.1.4</w:t>
      </w:r>
      <w:r>
        <w:rPr>
          <w:rFonts w:hint="eastAsia" w:ascii="仿宋_GB2312"/>
          <w:szCs w:val="32"/>
        </w:rPr>
        <w:t>不同层级的应急预案内容应各有侧重。对预案应急响应是否分级、如何分级、如何采取应急处置措施等，由预案制定单位根据本地区、本部门和本单位的实际情况确定。</w:t>
      </w:r>
    </w:p>
    <w:p>
      <w:pPr>
        <w:pStyle w:val="20"/>
        <w:adjustRightInd w:val="0"/>
        <w:snapToGrid w:val="0"/>
        <w:spacing w:line="540" w:lineRule="exact"/>
        <w:rPr>
          <w:rFonts w:ascii="仿宋_GB2312"/>
          <w:szCs w:val="32"/>
        </w:rPr>
      </w:pPr>
      <w:r>
        <w:rPr>
          <w:rFonts w:hint="eastAsia" w:ascii="仿宋_GB2312"/>
          <w:szCs w:val="32"/>
        </w:rPr>
        <w:t>总体应急预案主要规定突发事件应对的基本原则、组织体系、运行机制，以及应急保障的总体安排等，明确相关各方的职责和任务。县级专项和部门应急预案侧重明确突发事件的组织指挥机制、风险评估、监测预警、信息报告、应急处置措施、队伍物资保障及调动程序等内容，重点规范县级和镇级层面应对行动，体现应急处置的主体职能。工业园区</w:t>
      </w:r>
      <w:r>
        <w:rPr>
          <w:rFonts w:ascii="仿宋_GB2312"/>
          <w:szCs w:val="32"/>
        </w:rPr>
        <w:t>、</w:t>
      </w:r>
      <w:r>
        <w:rPr>
          <w:rFonts w:hint="eastAsia" w:ascii="仿宋_GB2312"/>
          <w:spacing w:val="-6"/>
          <w:szCs w:val="32"/>
          <w:lang w:bidi="he-IL"/>
        </w:rPr>
        <w:t>镇级应急预案</w:t>
      </w:r>
      <w:r>
        <w:rPr>
          <w:rFonts w:hint="eastAsia" w:ascii="仿宋_GB2312"/>
          <w:szCs w:val="32"/>
        </w:rPr>
        <w:t>侧重明确突发事件的预警信息传播、组织先期处置和自救互救、信息收集报告、人员临时安置等内容，重点规范本级层面应对行动，体现先期处置特点。基层组织和单位应急预案主要针对本单位和基层组织面临的风险，规范突发事件应对内部工作，侧重明确应急响应责任人、风险隐患监测、信息报告、预警响应、应急处置、人员疏散撤离组织和路线、可调用或可请求援助的应急资源情况及如何实施等，体现自救互救、信息报告、先期处置特点。</w:t>
      </w:r>
    </w:p>
    <w:p>
      <w:pPr>
        <w:pStyle w:val="20"/>
        <w:adjustRightInd w:val="0"/>
        <w:snapToGrid w:val="0"/>
        <w:spacing w:line="540" w:lineRule="exact"/>
        <w:rPr>
          <w:rFonts w:ascii="仿宋_GB2312"/>
          <w:szCs w:val="32"/>
        </w:rPr>
      </w:pPr>
      <w:r>
        <w:rPr>
          <w:rFonts w:hint="eastAsia" w:ascii="仿宋_GB2312"/>
          <w:szCs w:val="32"/>
        </w:rPr>
        <w:t>突发事件应急保障工作牵头协调和支持部门制定的专项及部门应急预案，侧重明确组织指挥机制、资源布局、不同种类和级别突发事件发生后的资源调用程序等内容。相邻、相近地方制定的跨区域、跨流域等关联性强的联合应急预案，侧重明确信息通报、处置措施衔接、应急资源共享等应急联动机制。</w:t>
      </w:r>
    </w:p>
    <w:p>
      <w:pPr>
        <w:pStyle w:val="20"/>
        <w:adjustRightInd w:val="0"/>
        <w:snapToGrid w:val="0"/>
        <w:spacing w:line="540" w:lineRule="exact"/>
        <w:rPr>
          <w:rFonts w:ascii="仿宋_GB2312"/>
          <w:szCs w:val="32"/>
        </w:rPr>
      </w:pPr>
      <w:r>
        <w:rPr>
          <w:rFonts w:hint="eastAsia" w:ascii="仿宋_GB2312"/>
          <w:szCs w:val="32"/>
        </w:rPr>
        <w:t>重大活动保障、重要基础设施保护应急预案，按照“谁举办、谁负责，谁主管、谁负责”的原则，根据实际情况组织开展编制工作。针对重大活动保障制定的专项和部门应急预案，侧重明确活动安全风险隐患及防范措施、监测预警、信息报告、应急处置、人员疏散路线和撤离组织等内容；针对重要基础设施、生命线工程等重要目标物保护的专项和部门应急预案，侧重明确风险隐患及防范措施、监测预警、信息报告、应急处置和紧急恢复等内容。</w:t>
      </w:r>
    </w:p>
    <w:p>
      <w:pPr>
        <w:pStyle w:val="20"/>
        <w:adjustRightInd w:val="0"/>
        <w:snapToGrid w:val="0"/>
        <w:spacing w:line="540" w:lineRule="exact"/>
        <w:rPr>
          <w:rFonts w:ascii="仿宋_GB2312"/>
        </w:rPr>
      </w:pPr>
      <w:r>
        <w:rPr>
          <w:rFonts w:hint="eastAsia" w:ascii="仿宋_GB2312"/>
          <w:szCs w:val="32"/>
        </w:rPr>
        <w:t>生产经营单位根据相关标准规范，结合实际工作需要制定本单位综合应急预案、专项应急预案和现场处置方案。</w:t>
      </w:r>
    </w:p>
    <w:p>
      <w:pPr>
        <w:pStyle w:val="20"/>
        <w:spacing w:line="540" w:lineRule="exact"/>
        <w:outlineLvl w:val="1"/>
        <w:rPr>
          <w:rFonts w:ascii="仿宋_GB2312"/>
        </w:rPr>
      </w:pPr>
      <w:bookmarkStart w:id="91" w:name="_Toc8653307"/>
      <w:bookmarkEnd w:id="91"/>
      <w:bookmarkStart w:id="92" w:name="_Toc3590"/>
      <w:bookmarkStart w:id="93" w:name="_Toc11176185"/>
      <w:bookmarkStart w:id="94" w:name="_Toc30404657"/>
      <w:r>
        <w:rPr>
          <w:rFonts w:eastAsia="仿宋"/>
        </w:rPr>
        <w:t>5.2</w:t>
      </w:r>
      <w:r>
        <w:rPr>
          <w:rFonts w:hint="eastAsia" w:ascii="仿宋_GB2312"/>
        </w:rPr>
        <w:t>预案审批与衔接</w:t>
      </w:r>
      <w:bookmarkEnd w:id="92"/>
      <w:bookmarkEnd w:id="93"/>
      <w:bookmarkEnd w:id="94"/>
    </w:p>
    <w:p>
      <w:pPr>
        <w:pStyle w:val="9"/>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各级各类应急预案衔接遵循“下级服从上级，专项、部门服从总体，预案之间不得相互矛盾”的原则。县应急管理局综合协调应急预案衔接工作，承担本级专项应急预案审核报批和部门应急预案以及下一级总体应急预案备案工作。应急预案审批单位应当在预案印发后的20个工作日内依照规定向有关单位备案。</w:t>
      </w:r>
    </w:p>
    <w:p>
      <w:pPr>
        <w:pStyle w:val="20"/>
        <w:adjustRightInd w:val="0"/>
        <w:snapToGrid w:val="0"/>
        <w:spacing w:line="540" w:lineRule="exact"/>
        <w:rPr>
          <w:rFonts w:eastAsia="仿宋"/>
          <w:szCs w:val="32"/>
        </w:rPr>
      </w:pPr>
      <w:r>
        <w:rPr>
          <w:rFonts w:hint="eastAsia" w:ascii="仿宋_GB2312"/>
          <w:szCs w:val="32"/>
        </w:rPr>
        <w:t>总体应急预案由县应急管理局组织起草，按程序报请县人民政府常务会议审</w:t>
      </w:r>
      <w:r>
        <w:rPr>
          <w:rFonts w:hint="eastAsia" w:ascii="仿宋_GB2312" w:cs="仿宋"/>
          <w:szCs w:val="32"/>
        </w:rPr>
        <w:t>议批</w:t>
      </w:r>
      <w:r>
        <w:rPr>
          <w:rFonts w:hint="eastAsia" w:ascii="仿宋_GB2312"/>
          <w:szCs w:val="32"/>
        </w:rPr>
        <w:t>准后，由县人民政府公布实施，报州人民政府备案，抄送州应急管理局。</w:t>
      </w:r>
    </w:p>
    <w:p>
      <w:pPr>
        <w:pStyle w:val="20"/>
        <w:adjustRightInd w:val="0"/>
        <w:snapToGrid w:val="0"/>
        <w:spacing w:line="540" w:lineRule="exact"/>
        <w:rPr>
          <w:rFonts w:ascii="仿宋_GB2312"/>
          <w:szCs w:val="32"/>
        </w:rPr>
      </w:pPr>
      <w:r>
        <w:rPr>
          <w:rFonts w:hint="eastAsia" w:ascii="仿宋_GB2312"/>
        </w:rPr>
        <w:t>专项应急预案按职责分工由县</w:t>
      </w:r>
      <w:r>
        <w:rPr>
          <w:rFonts w:ascii="仿宋_GB2312"/>
        </w:rPr>
        <w:t>应急委对应的专项指挥机构或</w:t>
      </w:r>
      <w:r>
        <w:rPr>
          <w:rFonts w:hint="eastAsia" w:ascii="仿宋_GB2312"/>
        </w:rPr>
        <w:t>相应突发事件主要牵头部门负责起草，按程序报请县人民政府批准，以县人民政府办公室印发实施</w:t>
      </w:r>
      <w:r>
        <w:rPr>
          <w:rFonts w:hint="eastAsia" w:ascii="仿宋_GB2312" w:cs="仿宋"/>
        </w:rPr>
        <w:t>。</w:t>
      </w:r>
      <w:r>
        <w:rPr>
          <w:rFonts w:hint="eastAsia" w:ascii="仿宋_GB2312"/>
        </w:rPr>
        <w:t>县级专项应急预案应报送州级层面相应部门备案，抄送至州应急管理局</w:t>
      </w:r>
      <w:r>
        <w:rPr>
          <w:rFonts w:hint="eastAsia" w:ascii="仿宋_GB2312"/>
          <w:szCs w:val="32"/>
        </w:rPr>
        <w:t>。各级各类突发事件应急保障类预案，大型集会、庆典、会展、文艺演出、体育赛事、宗教仪式等重大活动保障应急预案，重大关键基础设施保护应急预案，跨区域、跨流域等关联性强的联合应急预案等，参照专项应急预案进行管理。</w:t>
      </w:r>
    </w:p>
    <w:p>
      <w:pPr>
        <w:pStyle w:val="20"/>
        <w:adjustRightInd w:val="0"/>
        <w:snapToGrid w:val="0"/>
        <w:spacing w:line="540" w:lineRule="exact"/>
        <w:rPr>
          <w:rFonts w:ascii="仿宋_GB2312"/>
        </w:rPr>
      </w:pPr>
      <w:r>
        <w:rPr>
          <w:rFonts w:hint="eastAsia" w:ascii="仿宋_GB2312"/>
          <w:szCs w:val="32"/>
        </w:rPr>
        <w:t>部门应急预案由有关部门制定，经本部门主要负责同志批准后印发实施，报县人民政</w:t>
      </w:r>
      <w:r>
        <w:rPr>
          <w:rFonts w:hint="eastAsia" w:ascii="仿宋_GB2312"/>
        </w:rPr>
        <w:t>府和州级相应部门备案。必要时，部门应急预案可以由县人民政府办公室转发</w:t>
      </w:r>
      <w:r>
        <w:rPr>
          <w:rFonts w:hint="eastAsia" w:ascii="仿宋_GB2312" w:cs="仿宋"/>
        </w:rPr>
        <w:t>。</w:t>
      </w:r>
      <w:r>
        <w:rPr>
          <w:rFonts w:hint="eastAsia" w:ascii="仿宋_GB2312"/>
        </w:rPr>
        <w:t>部门应急预案印发之前，应征求县应急管理局意见。</w:t>
      </w:r>
    </w:p>
    <w:p>
      <w:pPr>
        <w:pStyle w:val="20"/>
        <w:adjustRightInd w:val="0"/>
        <w:snapToGrid w:val="0"/>
        <w:spacing w:line="540" w:lineRule="exact"/>
        <w:rPr>
          <w:rFonts w:ascii="仿宋_GB2312"/>
          <w:szCs w:val="32"/>
        </w:rPr>
      </w:pPr>
      <w:r>
        <w:rPr>
          <w:rFonts w:hint="eastAsia" w:ascii="仿宋_GB2312"/>
          <w:szCs w:val="32"/>
        </w:rPr>
        <w:t>镇综合应急预案由本级制定，报县人民政府备案，抄送县应急管理局。村民委员会、居民委员会的应急预案由本级制定，分别报镇人民政府备案。</w:t>
      </w:r>
    </w:p>
    <w:p>
      <w:pPr>
        <w:pStyle w:val="20"/>
        <w:adjustRightInd w:val="0"/>
        <w:snapToGrid w:val="0"/>
        <w:spacing w:line="540" w:lineRule="exact"/>
        <w:rPr>
          <w:rFonts w:ascii="仿宋_GB2312"/>
          <w:szCs w:val="32"/>
        </w:rPr>
      </w:pPr>
      <w:r>
        <w:rPr>
          <w:rFonts w:hint="eastAsia" w:ascii="仿宋_GB2312"/>
          <w:szCs w:val="32"/>
        </w:rPr>
        <w:t>工业园区综合应急预案由本单位编制，报县人民政府备案，抄送县应急管理局。</w:t>
      </w:r>
    </w:p>
    <w:p>
      <w:pPr>
        <w:pStyle w:val="20"/>
        <w:adjustRightInd w:val="0"/>
        <w:snapToGrid w:val="0"/>
        <w:spacing w:line="540" w:lineRule="exact"/>
        <w:rPr>
          <w:rFonts w:ascii="仿宋_GB2312"/>
          <w:szCs w:val="32"/>
        </w:rPr>
      </w:pPr>
      <w:r>
        <w:rPr>
          <w:rFonts w:hint="eastAsia" w:ascii="仿宋_GB2312"/>
          <w:szCs w:val="32"/>
        </w:rPr>
        <w:t>基层组织和单位应急预案经本组织或本单位主要负责人签发，按“属地管理、行业负责、分类备案”原则进行管理。县企业总体应急预案要向县应急管理局备案，并抄送县级企业主管机构和行业主管部门；有关专项应急预案向突发事件主要县级牵头部门备案，并抄送县应急管理局、县级企业主管机构。村（居）民委员会的应急预案报镇人民政府备案。</w:t>
      </w:r>
    </w:p>
    <w:p>
      <w:pPr>
        <w:pStyle w:val="20"/>
        <w:adjustRightInd w:val="0"/>
        <w:snapToGrid w:val="0"/>
        <w:spacing w:line="540" w:lineRule="exact"/>
        <w:rPr>
          <w:rFonts w:ascii="仿宋_GB2312"/>
          <w:szCs w:val="32"/>
        </w:rPr>
      </w:pPr>
      <w:r>
        <w:rPr>
          <w:rFonts w:hint="eastAsia" w:ascii="仿宋_GB2312"/>
          <w:szCs w:val="32"/>
        </w:rPr>
        <w:t>应急预案涉及需要与所在地联合应急处置的中央、省级和州级在茂单位应急预案，应当向县人民政府备案，抄送县应急管理局。</w:t>
      </w:r>
    </w:p>
    <w:p>
      <w:pPr>
        <w:pStyle w:val="9"/>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法律、行政法规对应急预案备案另有规定的从其规定。</w:t>
      </w:r>
    </w:p>
    <w:p>
      <w:pPr>
        <w:pStyle w:val="9"/>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应急预案支撑性文件的审批程序由制定单位根据实际情况确定。</w:t>
      </w:r>
    </w:p>
    <w:p>
      <w:pPr>
        <w:pStyle w:val="9"/>
        <w:widowControl/>
        <w:spacing w:line="540" w:lineRule="exact"/>
        <w:ind w:firstLine="640" w:firstLineChars="200"/>
        <w:rPr>
          <w:rFonts w:ascii="仿宋_GB2312" w:eastAsia="仿宋_GB2312"/>
          <w:sz w:val="32"/>
          <w:szCs w:val="32"/>
        </w:rPr>
      </w:pPr>
      <w:r>
        <w:rPr>
          <w:rFonts w:hint="eastAsia" w:ascii="仿宋_GB2312" w:eastAsia="仿宋_GB2312"/>
          <w:sz w:val="32"/>
          <w:szCs w:val="32"/>
        </w:rPr>
        <w:t>自然灾害、事故灾难、公共卫生类应急预案，应向社会公布。对确需保密的应急预案，按有关规定执行。</w:t>
      </w:r>
    </w:p>
    <w:p>
      <w:pPr>
        <w:pStyle w:val="20"/>
        <w:spacing w:line="540" w:lineRule="exact"/>
        <w:outlineLvl w:val="1"/>
        <w:rPr>
          <w:rFonts w:eastAsia="仿宋"/>
        </w:rPr>
      </w:pPr>
      <w:bookmarkStart w:id="95" w:name="_Toc29036"/>
      <w:bookmarkStart w:id="96" w:name="_Toc11176186"/>
      <w:r>
        <w:rPr>
          <w:rFonts w:eastAsia="仿宋"/>
        </w:rPr>
        <w:t>5.3</w:t>
      </w:r>
      <w:r>
        <w:rPr>
          <w:rFonts w:hint="eastAsia" w:ascii="仿宋_GB2312"/>
        </w:rPr>
        <w:t>预案演练</w:t>
      </w:r>
      <w:bookmarkEnd w:id="95"/>
      <w:bookmarkEnd w:id="96"/>
    </w:p>
    <w:p>
      <w:pPr>
        <w:pStyle w:val="20"/>
        <w:adjustRightInd w:val="0"/>
        <w:snapToGrid w:val="0"/>
        <w:spacing w:line="540" w:lineRule="exact"/>
        <w:rPr>
          <w:rFonts w:eastAsia="仿宋"/>
        </w:rPr>
      </w:pPr>
      <w:r>
        <w:rPr>
          <w:rFonts w:eastAsia="仿宋"/>
        </w:rPr>
        <w:t>（1）</w:t>
      </w:r>
      <w:r>
        <w:rPr>
          <w:rFonts w:hint="eastAsia" w:ascii="仿宋_GB2312"/>
        </w:rPr>
        <w:t>应急预案编制单位应当建立应急演练制度，根据实际情况采取实战演练、桌面演练等方式，组织开展人员广泛参与、处置联动性强、形式多样、节约高效的应急演练。</w:t>
      </w:r>
      <w:bookmarkStart w:id="97" w:name="_Hlk8153362"/>
      <w:r>
        <w:rPr>
          <w:rFonts w:hint="eastAsia" w:ascii="仿宋_GB2312"/>
        </w:rPr>
        <w:t>县级专项应急预案、部门应急预案每2年至少进行一次应急演练。</w:t>
      </w:r>
      <w:bookmarkEnd w:id="97"/>
      <w:r>
        <w:rPr>
          <w:rFonts w:hint="eastAsia" w:ascii="仿宋_GB2312"/>
        </w:rPr>
        <w:t>法律、行政法规和国家另有规定的，从其规定。如预案发生重大调整，需及时按照新的预案开展演练。县应急管理局负责预案演练的指导。</w:t>
      </w:r>
    </w:p>
    <w:p>
      <w:pPr>
        <w:pStyle w:val="20"/>
        <w:adjustRightInd w:val="0"/>
        <w:snapToGrid w:val="0"/>
        <w:spacing w:line="540" w:lineRule="exact"/>
        <w:rPr>
          <w:rFonts w:eastAsia="仿宋"/>
        </w:rPr>
      </w:pPr>
      <w:r>
        <w:rPr>
          <w:rFonts w:eastAsia="仿宋"/>
        </w:rPr>
        <w:t>（2）</w:t>
      </w:r>
      <w:r>
        <w:rPr>
          <w:rFonts w:hint="eastAsia" w:ascii="仿宋_GB2312"/>
        </w:rPr>
        <w:t>县级专项应急预案牵头部门要主动组织演练，相关部门和单位要积极配合参与。</w:t>
      </w:r>
    </w:p>
    <w:p>
      <w:pPr>
        <w:pStyle w:val="20"/>
        <w:adjustRightInd w:val="0"/>
        <w:snapToGrid w:val="0"/>
        <w:spacing w:line="540" w:lineRule="exact"/>
        <w:rPr>
          <w:rFonts w:ascii="仿宋_GB2312"/>
        </w:rPr>
      </w:pPr>
      <w:r>
        <w:rPr>
          <w:rFonts w:eastAsia="仿宋"/>
        </w:rPr>
        <w:t>（3）</w:t>
      </w:r>
      <w:r>
        <w:rPr>
          <w:rFonts w:hint="eastAsia" w:ascii="仿宋_GB2312"/>
        </w:rPr>
        <w:t>县、镇人民政府要结合本地实际，有计划、有重点地组织有关单位对应急预案进行演练，特别是对涉及领域多、需多方配合的应急预案要开展综合性演练。</w:t>
      </w:r>
    </w:p>
    <w:p>
      <w:pPr>
        <w:pStyle w:val="20"/>
        <w:adjustRightInd w:val="0"/>
        <w:snapToGrid w:val="0"/>
        <w:spacing w:line="540" w:lineRule="exact"/>
        <w:rPr>
          <w:rFonts w:eastAsia="仿宋"/>
        </w:rPr>
      </w:pPr>
      <w:r>
        <w:rPr>
          <w:rFonts w:eastAsia="仿宋"/>
        </w:rPr>
        <w:t>（4）</w:t>
      </w:r>
      <w:r>
        <w:rPr>
          <w:rFonts w:hint="eastAsia" w:ascii="仿宋_GB2312"/>
        </w:rPr>
        <w:t>县</w:t>
      </w:r>
      <w:r>
        <w:rPr>
          <w:rFonts w:hint="eastAsia" w:ascii="仿宋_GB2312"/>
          <w:szCs w:val="32"/>
        </w:rPr>
        <w:t>人民政府及其有关部门，镇人民政府、工业园区管委会</w:t>
      </w:r>
      <w:r>
        <w:rPr>
          <w:rFonts w:hint="eastAsia" w:ascii="仿宋_GB2312"/>
        </w:rPr>
        <w:t>要组织开展必要的应急演练。居民委员会、村民委员会、企业事业单位也要结合实际经常开展应急演练。</w:t>
      </w:r>
    </w:p>
    <w:p>
      <w:pPr>
        <w:pStyle w:val="20"/>
        <w:spacing w:line="540" w:lineRule="exact"/>
        <w:outlineLvl w:val="1"/>
        <w:rPr>
          <w:rFonts w:eastAsia="仿宋"/>
        </w:rPr>
      </w:pPr>
      <w:bookmarkStart w:id="98" w:name="_Toc8653309"/>
      <w:bookmarkEnd w:id="98"/>
      <w:bookmarkStart w:id="99" w:name="_Toc1200"/>
      <w:bookmarkStart w:id="100" w:name="_Toc11176187"/>
      <w:r>
        <w:rPr>
          <w:rFonts w:eastAsia="仿宋"/>
        </w:rPr>
        <w:t>5.4</w:t>
      </w:r>
      <w:r>
        <w:rPr>
          <w:rFonts w:hint="eastAsia" w:ascii="仿宋_GB2312"/>
        </w:rPr>
        <w:t>预案评估与修订</w:t>
      </w:r>
      <w:bookmarkEnd w:id="99"/>
      <w:bookmarkEnd w:id="100"/>
    </w:p>
    <w:p>
      <w:pPr>
        <w:pStyle w:val="20"/>
        <w:adjustRightInd w:val="0"/>
        <w:snapToGrid w:val="0"/>
        <w:spacing w:line="540" w:lineRule="exact"/>
        <w:rPr>
          <w:rFonts w:ascii="仿宋_GB2312"/>
        </w:rPr>
      </w:pPr>
      <w:r>
        <w:rPr>
          <w:rFonts w:eastAsia="仿宋"/>
        </w:rPr>
        <w:t>（1）</w:t>
      </w:r>
      <w:r>
        <w:rPr>
          <w:rFonts w:hint="eastAsia" w:ascii="仿宋_GB2312"/>
        </w:rPr>
        <w:t>应急预案编制单位应当建立定期评估制度，分析评价预案内容的针对性、实用性和可操作性，实现应急预案的动态优化和科学规范管理。</w:t>
      </w:r>
    </w:p>
    <w:p>
      <w:pPr>
        <w:pStyle w:val="20"/>
        <w:adjustRightInd w:val="0"/>
        <w:snapToGrid w:val="0"/>
        <w:spacing w:line="540" w:lineRule="exact"/>
        <w:rPr>
          <w:rFonts w:ascii="仿宋_GB2312"/>
        </w:rPr>
      </w:pPr>
      <w:r>
        <w:rPr>
          <w:rFonts w:eastAsia="仿宋"/>
        </w:rPr>
        <w:t>（2）</w:t>
      </w:r>
      <w:r>
        <w:rPr>
          <w:rFonts w:hint="eastAsia" w:ascii="仿宋_GB2312"/>
        </w:rPr>
        <w:t>有下列情形之一的，应当及时修订应急预案：</w:t>
      </w:r>
    </w:p>
    <w:p>
      <w:pPr>
        <w:pStyle w:val="20"/>
        <w:adjustRightInd w:val="0"/>
        <w:snapToGrid w:val="0"/>
        <w:spacing w:line="540" w:lineRule="exact"/>
      </w:pPr>
      <w:r>
        <w:t>1）有关法律、法规、规章、标准、上位预案中的有关规定发生变化的；</w:t>
      </w:r>
    </w:p>
    <w:p>
      <w:pPr>
        <w:pStyle w:val="20"/>
        <w:adjustRightInd w:val="0"/>
        <w:snapToGrid w:val="0"/>
        <w:spacing w:line="540" w:lineRule="exact"/>
      </w:pPr>
      <w:r>
        <w:t>2）应急指挥机构及其职责发生重大调整的；</w:t>
      </w:r>
    </w:p>
    <w:p>
      <w:pPr>
        <w:pStyle w:val="20"/>
        <w:adjustRightInd w:val="0"/>
        <w:snapToGrid w:val="0"/>
        <w:spacing w:line="540" w:lineRule="exact"/>
      </w:pPr>
      <w:r>
        <w:t>3）面临的风险发生重大变化的；</w:t>
      </w:r>
    </w:p>
    <w:p>
      <w:pPr>
        <w:pStyle w:val="20"/>
        <w:adjustRightInd w:val="0"/>
        <w:snapToGrid w:val="0"/>
        <w:spacing w:line="540" w:lineRule="exact"/>
      </w:pPr>
      <w:r>
        <w:t>4）重要应急资源发生重大变化的；</w:t>
      </w:r>
    </w:p>
    <w:p>
      <w:pPr>
        <w:pStyle w:val="20"/>
        <w:adjustRightInd w:val="0"/>
        <w:snapToGrid w:val="0"/>
        <w:spacing w:line="540" w:lineRule="exact"/>
      </w:pPr>
      <w:r>
        <w:t>5）预案中的其他重要信息发生变化的；</w:t>
      </w:r>
    </w:p>
    <w:p>
      <w:pPr>
        <w:pStyle w:val="20"/>
        <w:adjustRightInd w:val="0"/>
        <w:snapToGrid w:val="0"/>
        <w:spacing w:line="540" w:lineRule="exact"/>
      </w:pPr>
      <w:r>
        <w:t>6）在突发事件实际应对和应急演练中发现问题需要作出重大调整的；</w:t>
      </w:r>
    </w:p>
    <w:p>
      <w:pPr>
        <w:pStyle w:val="20"/>
        <w:adjustRightInd w:val="0"/>
        <w:snapToGrid w:val="0"/>
        <w:spacing w:line="540" w:lineRule="exact"/>
      </w:pPr>
      <w:r>
        <w:t>7）应急预案制定单位认为应当修订的其他情况。</w:t>
      </w:r>
    </w:p>
    <w:p>
      <w:pPr>
        <w:pStyle w:val="20"/>
        <w:adjustRightInd w:val="0"/>
        <w:snapToGrid w:val="0"/>
        <w:spacing w:line="540" w:lineRule="exact"/>
        <w:rPr>
          <w:rFonts w:ascii="仿宋_GB2312"/>
        </w:rPr>
      </w:pPr>
      <w:r>
        <w:rPr>
          <w:rFonts w:eastAsia="仿宋"/>
        </w:rPr>
        <w:t>（3）</w:t>
      </w:r>
      <w:r>
        <w:rPr>
          <w:rFonts w:hint="eastAsia" w:ascii="仿宋_GB2312"/>
        </w:rPr>
        <w:t>应急预案修订涉及组织指挥体系与职责、应急处置程序、主要处置措施、响应分级标准等重要内容的，修订工作应按照本预案“5.2预案审批与衔接”部分有关要求组织进行。仅涉及其他内容的，修订程序可适当简化。</w:t>
      </w:r>
    </w:p>
    <w:p>
      <w:pPr>
        <w:pStyle w:val="20"/>
        <w:adjustRightInd w:val="0"/>
        <w:snapToGrid w:val="0"/>
        <w:spacing w:line="540" w:lineRule="exact"/>
        <w:rPr>
          <w:rFonts w:ascii="仿宋_GB2312"/>
        </w:rPr>
      </w:pPr>
      <w:r>
        <w:rPr>
          <w:rFonts w:hint="eastAsia" w:ascii="仿宋_GB2312"/>
        </w:rPr>
        <w:t>（4）县</w:t>
      </w:r>
      <w:r>
        <w:rPr>
          <w:rFonts w:ascii="仿宋_GB2312"/>
        </w:rPr>
        <w:t>、镇</w:t>
      </w:r>
      <w:r>
        <w:rPr>
          <w:rFonts w:hint="eastAsia" w:ascii="仿宋_GB2312"/>
        </w:rPr>
        <w:t>人民政府及其部门、企事业单位、社会团体、公民等，可以向有关预案编制单位提出修订建议。</w:t>
      </w:r>
    </w:p>
    <w:p>
      <w:pPr>
        <w:pStyle w:val="21"/>
        <w:spacing w:line="540" w:lineRule="exact"/>
        <w:outlineLvl w:val="0"/>
        <w:rPr>
          <w:rFonts w:ascii="黑体" w:cs="黑体"/>
        </w:rPr>
      </w:pPr>
      <w:bookmarkStart w:id="101" w:name="_Toc8653310"/>
      <w:bookmarkEnd w:id="101"/>
      <w:bookmarkStart w:id="102" w:name="_Toc19249"/>
      <w:bookmarkStart w:id="103" w:name="_Toc11176188"/>
      <w:r>
        <w:rPr>
          <w:rFonts w:hint="eastAsia" w:ascii="黑体" w:cs="黑体"/>
        </w:rPr>
        <w:t>6宣传和培训</w:t>
      </w:r>
      <w:bookmarkEnd w:id="102"/>
      <w:bookmarkEnd w:id="103"/>
    </w:p>
    <w:p>
      <w:pPr>
        <w:pStyle w:val="20"/>
        <w:adjustRightInd w:val="0"/>
        <w:snapToGrid w:val="0"/>
        <w:spacing w:line="540" w:lineRule="exact"/>
        <w:rPr>
          <w:rFonts w:ascii="仿宋_GB2312"/>
        </w:rPr>
      </w:pPr>
      <w:r>
        <w:rPr>
          <w:rFonts w:eastAsia="仿宋"/>
        </w:rPr>
        <w:t>6.1</w:t>
      </w:r>
      <w:r>
        <w:rPr>
          <w:rFonts w:hint="eastAsia" w:ascii="仿宋_GB2312"/>
        </w:rPr>
        <w:t>加强公益宣传和社会动员，普及安全知识，培育安全文化。应急管理、新闻宣传、文化和旅游、广播电视等部门要通过图书、报刊、音像制品和电子出版物、广播、电视、网络、手机等，广泛宣传应急法律法规和预防、避险、自救、互救、减灾等常识，增强公众忧患意识、社会责任意识、公共安全和风险防范意识，提高全社会避险能力和自救互救能力。</w:t>
      </w:r>
    </w:p>
    <w:p>
      <w:pPr>
        <w:pStyle w:val="20"/>
        <w:adjustRightInd w:val="0"/>
        <w:snapToGrid w:val="0"/>
        <w:spacing w:line="540" w:lineRule="exact"/>
        <w:rPr>
          <w:rFonts w:ascii="仿宋_GB2312"/>
        </w:rPr>
      </w:pPr>
      <w:r>
        <w:rPr>
          <w:rFonts w:eastAsia="仿宋"/>
        </w:rPr>
        <w:t>6.2</w:t>
      </w:r>
      <w:r>
        <w:rPr>
          <w:rFonts w:hint="eastAsia" w:ascii="仿宋_GB2312"/>
        </w:rPr>
        <w:t>完善公民安全教育体系。各级各类学校、幼儿园应当在教育主管部门指导下，把应急知识和技能培训教育纳入教学内容，对学生进行应急知识教育和技能培训，培养学生的安全意识和自救互救能力。教育主管部门应当对学校开展应急知识教育和技能培训进行指导和监督。</w:t>
      </w:r>
    </w:p>
    <w:p>
      <w:pPr>
        <w:pStyle w:val="20"/>
        <w:adjustRightInd w:val="0"/>
        <w:snapToGrid w:val="0"/>
        <w:spacing w:line="540" w:lineRule="exact"/>
        <w:rPr>
          <w:rFonts w:ascii="仿宋_GB2312"/>
        </w:rPr>
      </w:pPr>
      <w:r>
        <w:rPr>
          <w:rFonts w:eastAsia="仿宋"/>
        </w:rPr>
        <w:t>6.3</w:t>
      </w:r>
      <w:r>
        <w:rPr>
          <w:rFonts w:hint="eastAsia" w:ascii="仿宋_GB2312"/>
        </w:rPr>
        <w:t>县</w:t>
      </w:r>
      <w:r>
        <w:rPr>
          <w:rFonts w:ascii="仿宋_GB2312"/>
        </w:rPr>
        <w:t>、镇</w:t>
      </w:r>
      <w:r>
        <w:rPr>
          <w:rFonts w:hint="eastAsia" w:ascii="仿宋_GB2312"/>
        </w:rPr>
        <w:t>人民政府及其有关部门要建立健全应急管理培训制度，纳入干部教育培训体系，针对本地区特点定期开展突发事件应急预案的宣传和教育培训工作。新闻媒体应无偿开展突发事件预防与应急、自救与互救知识的公益宣传。企事业单位应定期开展应急管理法律法规、安全管理制度、安全操作规程以及应急知识等方面的教育与培训。</w:t>
      </w:r>
    </w:p>
    <w:p>
      <w:pPr>
        <w:pStyle w:val="20"/>
        <w:adjustRightInd w:val="0"/>
        <w:snapToGrid w:val="0"/>
        <w:spacing w:line="540" w:lineRule="exact"/>
        <w:rPr>
          <w:rFonts w:eastAsia="仿宋"/>
        </w:rPr>
      </w:pPr>
      <w:r>
        <w:rPr>
          <w:rFonts w:eastAsia="仿宋"/>
        </w:rPr>
        <w:t>6.4</w:t>
      </w:r>
      <w:r>
        <w:rPr>
          <w:rFonts w:hint="eastAsia" w:ascii="仿宋_GB2312"/>
        </w:rPr>
        <w:t>切实加强公共安全文化、应急文化、灾害预警文化的宣传和培训，推进应急知识和技能进企业、进农村、进社区、进学校、进家庭。鼓励建设和提供应急教育体验场馆、应急避难场所，各类应急教育体验场馆、科普场馆、文化馆等应积极开展应急宣传普及活动。</w:t>
      </w:r>
    </w:p>
    <w:p>
      <w:pPr>
        <w:pStyle w:val="21"/>
        <w:spacing w:line="540" w:lineRule="exact"/>
        <w:outlineLvl w:val="0"/>
        <w:rPr>
          <w:rFonts w:ascii="黑体" w:cs="黑体"/>
        </w:rPr>
      </w:pPr>
      <w:bookmarkStart w:id="104" w:name="_Toc8653311"/>
      <w:bookmarkEnd w:id="104"/>
      <w:bookmarkStart w:id="105" w:name="_Toc11176189"/>
      <w:bookmarkStart w:id="106" w:name="_Toc3255"/>
      <w:r>
        <w:rPr>
          <w:rFonts w:hint="eastAsia" w:ascii="黑体" w:cs="黑体"/>
        </w:rPr>
        <w:t>7责任与奖惩</w:t>
      </w:r>
      <w:bookmarkEnd w:id="105"/>
      <w:bookmarkEnd w:id="106"/>
    </w:p>
    <w:p>
      <w:pPr>
        <w:pStyle w:val="20"/>
        <w:adjustRightInd w:val="0"/>
        <w:snapToGrid w:val="0"/>
        <w:spacing w:line="540" w:lineRule="exact"/>
        <w:rPr>
          <w:rFonts w:ascii="仿宋_GB2312"/>
          <w:szCs w:val="32"/>
        </w:rPr>
      </w:pPr>
      <w:r>
        <w:rPr>
          <w:rFonts w:eastAsia="仿宋"/>
        </w:rPr>
        <w:t>7.1</w:t>
      </w:r>
      <w:r>
        <w:rPr>
          <w:rFonts w:hint="eastAsia" w:ascii="仿宋_GB2312"/>
        </w:rPr>
        <w:t>根据有关规定，建立健全应急管理工作领导负责制和责任追究制，将突发事件应对</w:t>
      </w:r>
      <w:r>
        <w:rPr>
          <w:rFonts w:hint="eastAsia" w:ascii="仿宋_GB2312"/>
          <w:szCs w:val="32"/>
        </w:rPr>
        <w:t>工作纳入人民政府及其有关部门绩效考核。</w:t>
      </w:r>
    </w:p>
    <w:p>
      <w:pPr>
        <w:pStyle w:val="20"/>
        <w:adjustRightInd w:val="0"/>
        <w:snapToGrid w:val="0"/>
        <w:spacing w:line="540" w:lineRule="exact"/>
        <w:rPr>
          <w:rFonts w:ascii="仿宋_GB2312"/>
        </w:rPr>
      </w:pPr>
      <w:r>
        <w:rPr>
          <w:rFonts w:eastAsia="仿宋"/>
          <w:szCs w:val="32"/>
        </w:rPr>
        <w:t>7.2</w:t>
      </w:r>
      <w:r>
        <w:rPr>
          <w:rFonts w:hint="eastAsia" w:ascii="仿宋_GB2312"/>
          <w:szCs w:val="32"/>
        </w:rPr>
        <w:t>公民按照各级人民政府要求，参加应急救援工作或者协助维护社会秩序期间，其在本单位的工资待遇和福利不变，可视情给予补助；对突发事件</w:t>
      </w:r>
      <w:r>
        <w:rPr>
          <w:rFonts w:hint="eastAsia" w:ascii="仿宋_GB2312"/>
        </w:rPr>
        <w:t>应急管理工作中作出突出贡献的先进集体和个人，按照国家和地方有关规定给予表彰奖励。</w:t>
      </w:r>
    </w:p>
    <w:p>
      <w:pPr>
        <w:pStyle w:val="20"/>
        <w:adjustRightInd w:val="0"/>
        <w:snapToGrid w:val="0"/>
        <w:spacing w:line="540" w:lineRule="exact"/>
        <w:rPr>
          <w:rFonts w:eastAsia="仿宋"/>
        </w:rPr>
      </w:pPr>
      <w:r>
        <w:rPr>
          <w:rFonts w:eastAsia="仿宋"/>
        </w:rPr>
        <w:t>7.3</w:t>
      </w:r>
      <w:r>
        <w:rPr>
          <w:rFonts w:hint="eastAsia" w:ascii="仿宋_GB2312"/>
        </w:rPr>
        <w:t>对迟报、谎报、瞒报和漏报突发事件重要情况，应急处置不力，或者应急管理工作中有其他失职、渎职行为的，依照有关规定给予处分；构成犯罪的，依法追究刑事责任。</w:t>
      </w:r>
    </w:p>
    <w:p>
      <w:pPr>
        <w:pStyle w:val="21"/>
        <w:spacing w:line="540" w:lineRule="exact"/>
        <w:outlineLvl w:val="0"/>
        <w:rPr>
          <w:rFonts w:ascii="黑体" w:cs="黑体"/>
        </w:rPr>
      </w:pPr>
      <w:bookmarkStart w:id="107" w:name="_Toc11176190"/>
      <w:bookmarkStart w:id="108" w:name="_Toc1847"/>
      <w:bookmarkStart w:id="109" w:name="_Toc11176191"/>
      <w:r>
        <w:rPr>
          <w:rFonts w:hint="eastAsia" w:ascii="黑体" w:cs="黑体"/>
        </w:rPr>
        <w:t>8附则</w:t>
      </w:r>
      <w:bookmarkEnd w:id="107"/>
      <w:bookmarkEnd w:id="108"/>
    </w:p>
    <w:p>
      <w:pPr>
        <w:pStyle w:val="20"/>
        <w:adjustRightInd w:val="0"/>
        <w:snapToGrid w:val="0"/>
        <w:spacing w:line="540" w:lineRule="exact"/>
        <w:rPr>
          <w:rFonts w:eastAsia="仿宋"/>
        </w:rPr>
      </w:pPr>
      <w:r>
        <w:rPr>
          <w:rFonts w:eastAsia="仿宋"/>
        </w:rPr>
        <w:t>8.1</w:t>
      </w:r>
      <w:r>
        <w:rPr>
          <w:rFonts w:hint="eastAsia" w:ascii="仿宋_GB2312"/>
        </w:rPr>
        <w:t>本预案涉及县级有关部门，</w:t>
      </w:r>
      <w:r>
        <w:rPr>
          <w:rFonts w:hint="eastAsia" w:ascii="仿宋_GB2312"/>
          <w:szCs w:val="32"/>
        </w:rPr>
        <w:t>镇人民政府及其有关部门，群众自治组织、企事业单位等，要按本预案的规定履行职责并制定、完善相应的应急预案及其支撑性文件。县应急管理局要加强本预案实施的跟踪分析</w:t>
      </w:r>
      <w:r>
        <w:rPr>
          <w:rFonts w:hint="eastAsia" w:ascii="仿宋_GB2312"/>
        </w:rPr>
        <w:t>、督促检查、综合协调，并根据需要及时组织评估，向县人民政府提出修订建议。</w:t>
      </w:r>
    </w:p>
    <w:p>
      <w:pPr>
        <w:pStyle w:val="20"/>
        <w:adjustRightInd w:val="0"/>
        <w:snapToGrid w:val="0"/>
        <w:spacing w:line="540" w:lineRule="exact"/>
        <w:rPr>
          <w:rFonts w:eastAsia="仿宋"/>
        </w:rPr>
      </w:pPr>
      <w:r>
        <w:rPr>
          <w:rFonts w:eastAsia="仿宋"/>
        </w:rPr>
        <w:t>8.2</w:t>
      </w:r>
      <w:r>
        <w:rPr>
          <w:rFonts w:hint="eastAsia" w:ascii="仿宋_GB2312"/>
        </w:rPr>
        <w:t>本预案由县应急管理局负责解释。</w:t>
      </w:r>
    </w:p>
    <w:p>
      <w:pPr>
        <w:pStyle w:val="20"/>
        <w:adjustRightInd w:val="0"/>
        <w:snapToGrid w:val="0"/>
        <w:spacing w:line="540" w:lineRule="exact"/>
        <w:rPr>
          <w:rFonts w:ascii="黑体" w:hAnsi="黑体" w:cs="黑体"/>
        </w:rPr>
      </w:pPr>
      <w:r>
        <w:rPr>
          <w:rFonts w:eastAsia="仿宋"/>
        </w:rPr>
        <w:t>8.3</w:t>
      </w:r>
      <w:r>
        <w:rPr>
          <w:rFonts w:hint="eastAsia" w:ascii="仿宋_GB2312"/>
        </w:rPr>
        <w:t>本预案自发布之日起实施。</w:t>
      </w:r>
      <w:bookmarkStart w:id="110" w:name="_Hlk44312671"/>
    </w:p>
    <w:p>
      <w:pPr>
        <w:pStyle w:val="21"/>
        <w:spacing w:line="540" w:lineRule="exact"/>
        <w:outlineLvl w:val="0"/>
        <w:rPr>
          <w:rFonts w:ascii="黑体" w:cs="黑体"/>
        </w:rPr>
      </w:pPr>
      <w:bookmarkStart w:id="111" w:name="_Toc8174"/>
      <w:r>
        <w:rPr>
          <w:rFonts w:hint="eastAsia" w:ascii="黑体" w:cs="黑体"/>
        </w:rPr>
        <w:t>9附件</w:t>
      </w:r>
      <w:bookmarkEnd w:id="109"/>
      <w:bookmarkEnd w:id="111"/>
    </w:p>
    <w:p>
      <w:pPr>
        <w:pStyle w:val="20"/>
        <w:spacing w:line="540" w:lineRule="exact"/>
        <w:outlineLvl w:val="1"/>
        <w:rPr>
          <w:rFonts w:eastAsia="仿宋"/>
        </w:rPr>
      </w:pPr>
      <w:bookmarkStart w:id="112" w:name="_Hlk8050483"/>
      <w:bookmarkEnd w:id="112"/>
      <w:bookmarkStart w:id="113" w:name="_Toc11176192"/>
      <w:bookmarkStart w:id="114" w:name="_Toc11473"/>
      <w:bookmarkStart w:id="115" w:name="_Hlk52037664"/>
      <w:r>
        <w:rPr>
          <w:rFonts w:eastAsia="仿宋"/>
        </w:rPr>
        <w:t>9.1</w:t>
      </w:r>
      <w:r>
        <w:rPr>
          <w:rFonts w:hint="eastAsia" w:ascii="仿宋_GB2312"/>
        </w:rPr>
        <w:t>县级主要应急预案及其牵头部门</w:t>
      </w:r>
      <w:bookmarkEnd w:id="113"/>
      <w:bookmarkEnd w:id="114"/>
    </w:p>
    <w:p>
      <w:pPr>
        <w:pStyle w:val="20"/>
        <w:adjustRightInd w:val="0"/>
        <w:snapToGrid w:val="0"/>
        <w:spacing w:line="540" w:lineRule="exact"/>
        <w:outlineLvl w:val="2"/>
        <w:rPr>
          <w:rFonts w:eastAsia="仿宋"/>
        </w:rPr>
      </w:pPr>
      <w:bookmarkStart w:id="116" w:name="_Toc29185"/>
      <w:r>
        <w:rPr>
          <w:rFonts w:eastAsia="仿宋"/>
        </w:rPr>
        <w:t>9.1.1</w:t>
      </w:r>
      <w:r>
        <w:rPr>
          <w:rFonts w:hint="eastAsia" w:ascii="仿宋_GB2312"/>
        </w:rPr>
        <w:t>县级主要专项应急预案</w:t>
      </w:r>
      <w:bookmarkEnd w:id="116"/>
    </w:p>
    <w:p>
      <w:pPr>
        <w:pStyle w:val="20"/>
        <w:adjustRightInd w:val="0"/>
        <w:snapToGrid w:val="0"/>
        <w:rPr>
          <w:rFonts w:eastAsia="仿宋"/>
        </w:rPr>
      </w:pPr>
    </w:p>
    <w:p>
      <w:pPr>
        <w:pStyle w:val="20"/>
        <w:adjustRightInd w:val="0"/>
        <w:snapToGrid w:val="0"/>
        <w:rPr>
          <w:rFonts w:eastAsia="仿宋"/>
        </w:rPr>
      </w:pPr>
    </w:p>
    <w:p>
      <w:pPr>
        <w:pStyle w:val="20"/>
        <w:adjustRightInd w:val="0"/>
        <w:snapToGrid w:val="0"/>
        <w:rPr>
          <w:rFonts w:eastAsia="仿宋"/>
        </w:rPr>
      </w:pPr>
      <w:r>
        <w:rPr>
          <w:rFonts w:eastAsia="仿宋"/>
        </w:rPr>
        <w:t>（1）</w:t>
      </w:r>
      <w:r>
        <w:rPr>
          <w:rFonts w:hint="eastAsia" w:ascii="仿宋_GB2312"/>
        </w:rPr>
        <w:t>突发事件类</w:t>
      </w:r>
    </w:p>
    <w:tbl>
      <w:tblPr>
        <w:tblStyle w:val="11"/>
        <w:tblW w:w="8007" w:type="dxa"/>
        <w:tblInd w:w="25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36"/>
        <w:gridCol w:w="4298"/>
        <w:gridCol w:w="287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41" w:hRule="atLeast"/>
        </w:trPr>
        <w:tc>
          <w:tcPr>
            <w:tcW w:w="836" w:type="dxa"/>
            <w:shd w:val="clear" w:color="auto" w:fill="FFFFFF"/>
            <w:vAlign w:val="center"/>
          </w:tcPr>
          <w:p>
            <w:pPr>
              <w:spacing w:line="280" w:lineRule="exact"/>
              <w:jc w:val="center"/>
              <w:rPr>
                <w:rFonts w:eastAsia="仿宋_GB2312"/>
                <w:b/>
                <w:bCs/>
                <w:kern w:val="0"/>
                <w:sz w:val="24"/>
              </w:rPr>
            </w:pPr>
            <w:r>
              <w:rPr>
                <w:rFonts w:eastAsia="仿宋_GB2312"/>
                <w:b/>
                <w:bCs/>
                <w:kern w:val="0"/>
                <w:sz w:val="24"/>
              </w:rPr>
              <w:t>序号</w:t>
            </w:r>
          </w:p>
        </w:tc>
        <w:tc>
          <w:tcPr>
            <w:tcW w:w="4298" w:type="dxa"/>
            <w:shd w:val="clear" w:color="auto" w:fill="FFFFFF"/>
            <w:vAlign w:val="center"/>
          </w:tcPr>
          <w:p>
            <w:pPr>
              <w:spacing w:line="280" w:lineRule="exact"/>
              <w:jc w:val="center"/>
              <w:rPr>
                <w:rFonts w:eastAsia="仿宋_GB2312"/>
                <w:b/>
                <w:bCs/>
                <w:kern w:val="0"/>
                <w:sz w:val="24"/>
              </w:rPr>
            </w:pPr>
            <w:r>
              <w:rPr>
                <w:rFonts w:eastAsia="仿宋_GB2312"/>
                <w:b/>
                <w:bCs/>
                <w:kern w:val="0"/>
                <w:sz w:val="24"/>
              </w:rPr>
              <w:t>应急预案名称</w:t>
            </w:r>
          </w:p>
        </w:tc>
        <w:tc>
          <w:tcPr>
            <w:tcW w:w="2873" w:type="dxa"/>
            <w:shd w:val="clear" w:color="auto" w:fill="FFFFFF"/>
            <w:vAlign w:val="center"/>
          </w:tcPr>
          <w:p>
            <w:pPr>
              <w:spacing w:line="280" w:lineRule="exact"/>
              <w:jc w:val="center"/>
              <w:rPr>
                <w:rFonts w:eastAsia="仿宋_GB2312"/>
                <w:b/>
                <w:bCs/>
                <w:kern w:val="0"/>
                <w:sz w:val="24"/>
              </w:rPr>
            </w:pPr>
            <w:r>
              <w:rPr>
                <w:rFonts w:eastAsia="仿宋_GB2312"/>
                <w:b/>
                <w:bCs/>
                <w:kern w:val="0"/>
                <w:sz w:val="24"/>
              </w:rPr>
              <w:t>主要牵头部门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1</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茂县防汛抗旱应急预案</w:t>
            </w:r>
          </w:p>
        </w:tc>
        <w:tc>
          <w:tcPr>
            <w:tcW w:w="2873" w:type="dxa"/>
            <w:shd w:val="clear" w:color="auto" w:fill="FFFFFF"/>
            <w:vAlign w:val="center"/>
          </w:tcPr>
          <w:p>
            <w:pPr>
              <w:spacing w:line="280" w:lineRule="exact"/>
              <w:jc w:val="center"/>
              <w:rPr>
                <w:rFonts w:eastAsia="仿宋_GB2312"/>
                <w:kern w:val="0"/>
                <w:sz w:val="24"/>
              </w:rPr>
            </w:pPr>
            <w:r>
              <w:rPr>
                <w:rFonts w:eastAsia="仿宋_GB2312"/>
                <w:kern w:val="0"/>
                <w:sz w:val="24"/>
              </w:rPr>
              <w:t>县水务局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2</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茂县气象灾害应急预案</w:t>
            </w:r>
          </w:p>
        </w:tc>
        <w:tc>
          <w:tcPr>
            <w:tcW w:w="2873" w:type="dxa"/>
            <w:shd w:val="clear" w:color="auto" w:fill="FFFFFF"/>
            <w:vAlign w:val="center"/>
          </w:tcPr>
          <w:p>
            <w:pPr>
              <w:spacing w:line="280" w:lineRule="exact"/>
              <w:jc w:val="center"/>
              <w:rPr>
                <w:rFonts w:eastAsia="仿宋_GB2312"/>
                <w:kern w:val="0"/>
                <w:sz w:val="24"/>
              </w:rPr>
            </w:pPr>
            <w:r>
              <w:rPr>
                <w:rFonts w:eastAsia="仿宋_GB2312"/>
                <w:kern w:val="0"/>
                <w:sz w:val="24"/>
              </w:rPr>
              <w:t>县气象局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3</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茂县地震应急预案</w:t>
            </w:r>
          </w:p>
        </w:tc>
        <w:tc>
          <w:tcPr>
            <w:tcW w:w="2873" w:type="dxa"/>
            <w:shd w:val="clear" w:color="auto" w:fill="FFFFFF"/>
            <w:vAlign w:val="center"/>
          </w:tcPr>
          <w:p>
            <w:pPr>
              <w:spacing w:line="280" w:lineRule="exact"/>
              <w:jc w:val="center"/>
              <w:rPr>
                <w:rFonts w:eastAsia="仿宋_GB2312"/>
                <w:kern w:val="0"/>
                <w:sz w:val="24"/>
              </w:rPr>
            </w:pPr>
            <w:r>
              <w:rPr>
                <w:rFonts w:eastAsia="仿宋_GB2312"/>
                <w:kern w:val="0"/>
                <w:sz w:val="24"/>
              </w:rPr>
              <w:t>县应急局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4</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茂县突发地质灾害应急预案</w:t>
            </w:r>
          </w:p>
        </w:tc>
        <w:tc>
          <w:tcPr>
            <w:tcW w:w="2873" w:type="dxa"/>
            <w:shd w:val="clear" w:color="auto" w:fill="FFFFFF"/>
            <w:vAlign w:val="center"/>
          </w:tcPr>
          <w:p>
            <w:pPr>
              <w:spacing w:line="280" w:lineRule="exact"/>
              <w:jc w:val="center"/>
              <w:rPr>
                <w:rFonts w:eastAsia="仿宋_GB2312"/>
                <w:kern w:val="0"/>
                <w:sz w:val="24"/>
              </w:rPr>
            </w:pPr>
            <w:r>
              <w:rPr>
                <w:rFonts w:eastAsia="仿宋_GB2312"/>
                <w:kern w:val="0"/>
                <w:sz w:val="24"/>
              </w:rPr>
              <w:t>县自然资源局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5</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茂县森林草原火灾应急预案</w:t>
            </w:r>
          </w:p>
        </w:tc>
        <w:tc>
          <w:tcPr>
            <w:tcW w:w="2873" w:type="dxa"/>
            <w:shd w:val="clear" w:color="auto" w:fill="FFFFFF"/>
            <w:vAlign w:val="center"/>
          </w:tcPr>
          <w:p>
            <w:pPr>
              <w:spacing w:line="280" w:lineRule="exact"/>
              <w:jc w:val="center"/>
              <w:rPr>
                <w:rFonts w:eastAsia="仿宋_GB2312"/>
                <w:kern w:val="0"/>
                <w:sz w:val="24"/>
              </w:rPr>
            </w:pPr>
            <w:r>
              <w:rPr>
                <w:rFonts w:eastAsia="仿宋_GB2312"/>
                <w:kern w:val="0"/>
                <w:sz w:val="24"/>
              </w:rPr>
              <w:t>县应急局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6</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茂县危险化学品事故应急预案</w:t>
            </w:r>
          </w:p>
        </w:tc>
        <w:tc>
          <w:tcPr>
            <w:tcW w:w="2873" w:type="dxa"/>
            <w:shd w:val="clear" w:color="auto" w:fill="FFFFFF"/>
            <w:vAlign w:val="center"/>
          </w:tcPr>
          <w:p>
            <w:pPr>
              <w:spacing w:line="280" w:lineRule="exact"/>
              <w:jc w:val="center"/>
              <w:rPr>
                <w:rFonts w:eastAsia="仿宋_GB2312"/>
                <w:kern w:val="0"/>
                <w:sz w:val="24"/>
              </w:rPr>
            </w:pPr>
            <w:r>
              <w:rPr>
                <w:rFonts w:eastAsia="仿宋_GB2312"/>
                <w:kern w:val="0"/>
                <w:sz w:val="24"/>
              </w:rPr>
              <w:t>县应急局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7</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茂县处置民用航空器飞行事故应急预案</w:t>
            </w:r>
          </w:p>
        </w:tc>
        <w:tc>
          <w:tcPr>
            <w:tcW w:w="2873" w:type="dxa"/>
            <w:shd w:val="clear" w:color="auto" w:fill="FFFFFF"/>
            <w:vAlign w:val="center"/>
          </w:tcPr>
          <w:p>
            <w:pPr>
              <w:spacing w:line="280" w:lineRule="exact"/>
              <w:jc w:val="center"/>
              <w:rPr>
                <w:rFonts w:eastAsia="仿宋_GB2312"/>
                <w:kern w:val="0"/>
                <w:sz w:val="24"/>
              </w:rPr>
            </w:pPr>
            <w:r>
              <w:rPr>
                <w:rFonts w:eastAsia="仿宋_GB2312"/>
                <w:kern w:val="0"/>
                <w:sz w:val="24"/>
              </w:rPr>
              <w:t>县</w:t>
            </w:r>
            <w:r>
              <w:rPr>
                <w:rFonts w:hint="eastAsia" w:eastAsia="仿宋_GB2312"/>
                <w:kern w:val="0"/>
                <w:sz w:val="24"/>
              </w:rPr>
              <w:t>公安</w:t>
            </w:r>
            <w:r>
              <w:rPr>
                <w:rFonts w:eastAsia="仿宋_GB2312"/>
                <w:kern w:val="0"/>
                <w:sz w:val="24"/>
              </w:rPr>
              <w:t>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8</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茂县大面积停电事件应急预案</w:t>
            </w:r>
          </w:p>
        </w:tc>
        <w:tc>
          <w:tcPr>
            <w:tcW w:w="2873" w:type="dxa"/>
            <w:shd w:val="clear" w:color="auto" w:fill="FFFFFF"/>
            <w:vAlign w:val="center"/>
          </w:tcPr>
          <w:p>
            <w:pPr>
              <w:spacing w:line="280" w:lineRule="exact"/>
              <w:jc w:val="center"/>
              <w:rPr>
                <w:rFonts w:eastAsia="仿宋_GB2312"/>
                <w:kern w:val="0"/>
                <w:sz w:val="24"/>
              </w:rPr>
            </w:pPr>
            <w:r>
              <w:rPr>
                <w:rFonts w:hint="eastAsia" w:eastAsia="仿宋_GB2312"/>
                <w:kern w:val="0"/>
                <w:sz w:val="24"/>
              </w:rPr>
              <w:t>县经信局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9</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茂县通信网络事故应急预案</w:t>
            </w:r>
          </w:p>
        </w:tc>
        <w:tc>
          <w:tcPr>
            <w:tcW w:w="2873" w:type="dxa"/>
            <w:shd w:val="clear" w:color="auto" w:fill="FFFFFF"/>
            <w:vAlign w:val="center"/>
          </w:tcPr>
          <w:p>
            <w:pPr>
              <w:spacing w:line="280" w:lineRule="exact"/>
              <w:jc w:val="center"/>
              <w:rPr>
                <w:rFonts w:eastAsia="仿宋_GB2312"/>
                <w:kern w:val="0"/>
                <w:sz w:val="24"/>
              </w:rPr>
            </w:pPr>
            <w:r>
              <w:rPr>
                <w:rFonts w:hint="eastAsia" w:eastAsia="仿宋_GB2312"/>
                <w:kern w:val="0"/>
                <w:sz w:val="24"/>
              </w:rPr>
              <w:t>县经信局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10</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茂县重污天气应急预案</w:t>
            </w:r>
          </w:p>
        </w:tc>
        <w:tc>
          <w:tcPr>
            <w:tcW w:w="2873" w:type="dxa"/>
            <w:shd w:val="clear" w:color="auto" w:fill="FFFFFF"/>
            <w:vAlign w:val="center"/>
          </w:tcPr>
          <w:p>
            <w:pPr>
              <w:spacing w:line="280" w:lineRule="exact"/>
              <w:jc w:val="center"/>
              <w:rPr>
                <w:rFonts w:eastAsia="仿宋_GB2312"/>
                <w:kern w:val="0"/>
                <w:sz w:val="24"/>
              </w:rPr>
            </w:pPr>
            <w:r>
              <w:rPr>
                <w:rFonts w:eastAsia="仿宋_GB2312"/>
                <w:kern w:val="0"/>
                <w:sz w:val="24"/>
              </w:rPr>
              <w:t>县生态环境局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11</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茂县重大环境污染事件应急预案</w:t>
            </w:r>
          </w:p>
        </w:tc>
        <w:tc>
          <w:tcPr>
            <w:tcW w:w="2873" w:type="dxa"/>
            <w:shd w:val="clear" w:color="auto" w:fill="FFFFFF"/>
            <w:vAlign w:val="center"/>
          </w:tcPr>
          <w:p>
            <w:pPr>
              <w:spacing w:line="280" w:lineRule="exact"/>
              <w:jc w:val="center"/>
              <w:rPr>
                <w:rFonts w:eastAsia="仿宋_GB2312"/>
                <w:kern w:val="0"/>
                <w:sz w:val="24"/>
              </w:rPr>
            </w:pPr>
            <w:r>
              <w:rPr>
                <w:rFonts w:eastAsia="仿宋_GB2312"/>
                <w:kern w:val="0"/>
                <w:sz w:val="24"/>
              </w:rPr>
              <w:t>县生态环境局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12</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茂县网络安全事件应急预案</w:t>
            </w:r>
          </w:p>
        </w:tc>
        <w:tc>
          <w:tcPr>
            <w:tcW w:w="2873" w:type="dxa"/>
            <w:shd w:val="clear" w:color="auto" w:fill="FFFFFF"/>
            <w:vAlign w:val="center"/>
          </w:tcPr>
          <w:p>
            <w:pPr>
              <w:spacing w:line="280" w:lineRule="exact"/>
              <w:jc w:val="center"/>
              <w:rPr>
                <w:rFonts w:eastAsia="仿宋_GB2312"/>
                <w:kern w:val="0"/>
                <w:sz w:val="24"/>
              </w:rPr>
            </w:pPr>
            <w:r>
              <w:rPr>
                <w:rFonts w:eastAsia="仿宋_GB2312"/>
                <w:kern w:val="0"/>
                <w:sz w:val="24"/>
              </w:rPr>
              <w:t>县委网信办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13</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茂县突发公共卫生事件应急预案</w:t>
            </w:r>
          </w:p>
        </w:tc>
        <w:tc>
          <w:tcPr>
            <w:tcW w:w="2873" w:type="dxa"/>
            <w:shd w:val="clear" w:color="auto" w:fill="FFFFFF"/>
            <w:vAlign w:val="center"/>
          </w:tcPr>
          <w:p>
            <w:pPr>
              <w:spacing w:line="280" w:lineRule="exact"/>
              <w:jc w:val="center"/>
              <w:rPr>
                <w:rFonts w:eastAsia="仿宋_GB2312"/>
                <w:kern w:val="0"/>
                <w:sz w:val="24"/>
              </w:rPr>
            </w:pPr>
            <w:r>
              <w:rPr>
                <w:rFonts w:eastAsia="仿宋_GB2312"/>
                <w:kern w:val="0"/>
                <w:sz w:val="24"/>
              </w:rPr>
              <w:t>县卫生健康局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14</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茂县食品安全事件应急预案</w:t>
            </w:r>
          </w:p>
        </w:tc>
        <w:tc>
          <w:tcPr>
            <w:tcW w:w="2873" w:type="dxa"/>
            <w:shd w:val="clear" w:color="auto" w:fill="FFFFFF"/>
            <w:vAlign w:val="center"/>
          </w:tcPr>
          <w:p>
            <w:pPr>
              <w:spacing w:line="280" w:lineRule="exact"/>
              <w:jc w:val="center"/>
              <w:rPr>
                <w:rFonts w:eastAsia="仿宋_GB2312"/>
                <w:kern w:val="0"/>
                <w:sz w:val="24"/>
              </w:rPr>
            </w:pPr>
            <w:r>
              <w:rPr>
                <w:rFonts w:eastAsia="仿宋_GB2312"/>
                <w:kern w:val="0"/>
                <w:sz w:val="24"/>
              </w:rPr>
              <w:t>县市场</w:t>
            </w:r>
            <w:r>
              <w:rPr>
                <w:rFonts w:hint="eastAsia" w:eastAsia="仿宋_GB2312"/>
                <w:kern w:val="0"/>
                <w:sz w:val="24"/>
              </w:rPr>
              <w:t>监管</w:t>
            </w:r>
            <w:r>
              <w:rPr>
                <w:rFonts w:eastAsia="仿宋_GB2312"/>
                <w:kern w:val="0"/>
                <w:sz w:val="24"/>
              </w:rPr>
              <w:t>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15</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茂县药品安全事件应急预案</w:t>
            </w:r>
          </w:p>
        </w:tc>
        <w:tc>
          <w:tcPr>
            <w:tcW w:w="2873" w:type="dxa"/>
            <w:shd w:val="clear" w:color="auto" w:fill="FFFFFF"/>
            <w:vAlign w:val="center"/>
          </w:tcPr>
          <w:p>
            <w:pPr>
              <w:spacing w:line="280" w:lineRule="exact"/>
              <w:jc w:val="center"/>
              <w:rPr>
                <w:rFonts w:eastAsia="仿宋_GB2312"/>
                <w:kern w:val="0"/>
                <w:sz w:val="24"/>
              </w:rPr>
            </w:pPr>
            <w:r>
              <w:rPr>
                <w:rFonts w:eastAsia="仿宋_GB2312"/>
                <w:kern w:val="0"/>
                <w:sz w:val="24"/>
              </w:rPr>
              <w:t>县市场</w:t>
            </w:r>
            <w:r>
              <w:rPr>
                <w:rFonts w:hint="eastAsia" w:eastAsia="仿宋_GB2312"/>
                <w:kern w:val="0"/>
                <w:sz w:val="24"/>
              </w:rPr>
              <w:t>监管</w:t>
            </w:r>
            <w:r>
              <w:rPr>
                <w:rFonts w:eastAsia="仿宋_GB2312"/>
                <w:kern w:val="0"/>
                <w:sz w:val="24"/>
              </w:rPr>
              <w:t>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16</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茂县处置恐怖袭击事件应急预案</w:t>
            </w:r>
          </w:p>
        </w:tc>
        <w:tc>
          <w:tcPr>
            <w:tcW w:w="2873" w:type="dxa"/>
            <w:shd w:val="clear" w:color="auto" w:fill="FFFFFF"/>
            <w:vAlign w:val="center"/>
          </w:tcPr>
          <w:p>
            <w:pPr>
              <w:spacing w:line="280" w:lineRule="exact"/>
              <w:jc w:val="center"/>
              <w:rPr>
                <w:rFonts w:eastAsia="仿宋_GB2312"/>
                <w:kern w:val="0"/>
                <w:sz w:val="24"/>
              </w:rPr>
            </w:pPr>
            <w:r>
              <w:rPr>
                <w:rFonts w:eastAsia="仿宋_GB2312"/>
                <w:kern w:val="0"/>
                <w:sz w:val="24"/>
              </w:rPr>
              <w:t>县公安局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17</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茂县大规模群体性事件应急预案</w:t>
            </w:r>
          </w:p>
        </w:tc>
        <w:tc>
          <w:tcPr>
            <w:tcW w:w="2873" w:type="dxa"/>
            <w:shd w:val="clear" w:color="auto" w:fill="FFFFFF"/>
            <w:vAlign w:val="center"/>
          </w:tcPr>
          <w:p>
            <w:pPr>
              <w:spacing w:line="280" w:lineRule="exact"/>
              <w:jc w:val="center"/>
              <w:rPr>
                <w:rFonts w:eastAsia="仿宋_GB2312"/>
                <w:kern w:val="0"/>
                <w:sz w:val="24"/>
              </w:rPr>
            </w:pPr>
            <w:r>
              <w:rPr>
                <w:rFonts w:hint="eastAsia" w:eastAsia="仿宋_GB2312"/>
                <w:kern w:val="0"/>
                <w:sz w:val="24"/>
              </w:rPr>
              <w:t>县委政法委</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18</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茂县油气供应中断应急预案</w:t>
            </w:r>
          </w:p>
        </w:tc>
        <w:tc>
          <w:tcPr>
            <w:tcW w:w="2873" w:type="dxa"/>
            <w:shd w:val="clear" w:color="auto" w:fill="FFFFFF"/>
            <w:vAlign w:val="center"/>
          </w:tcPr>
          <w:p>
            <w:pPr>
              <w:spacing w:line="280" w:lineRule="exact"/>
              <w:jc w:val="center"/>
              <w:rPr>
                <w:rFonts w:eastAsia="仿宋_GB2312"/>
                <w:kern w:val="0"/>
                <w:sz w:val="24"/>
              </w:rPr>
            </w:pPr>
            <w:r>
              <w:rPr>
                <w:rFonts w:hint="eastAsia" w:eastAsia="仿宋_GB2312"/>
                <w:kern w:val="0"/>
                <w:sz w:val="24"/>
              </w:rPr>
              <w:t>县经信局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19</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茂县金融突发事件应急预案</w:t>
            </w:r>
          </w:p>
        </w:tc>
        <w:tc>
          <w:tcPr>
            <w:tcW w:w="2873" w:type="dxa"/>
            <w:shd w:val="clear" w:color="auto" w:fill="FFFFFF"/>
            <w:vAlign w:val="center"/>
          </w:tcPr>
          <w:p>
            <w:pPr>
              <w:spacing w:line="280" w:lineRule="exact"/>
              <w:jc w:val="center"/>
              <w:rPr>
                <w:rFonts w:eastAsia="仿宋_GB2312"/>
                <w:kern w:val="0"/>
                <w:sz w:val="24"/>
              </w:rPr>
            </w:pPr>
            <w:r>
              <w:rPr>
                <w:rFonts w:hint="eastAsia" w:eastAsia="仿宋_GB2312"/>
                <w:kern w:val="0"/>
                <w:sz w:val="24"/>
              </w:rPr>
              <w:t>县金融办</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20</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茂县涉外突发事件应急预案</w:t>
            </w:r>
          </w:p>
        </w:tc>
        <w:tc>
          <w:tcPr>
            <w:tcW w:w="2873" w:type="dxa"/>
            <w:shd w:val="clear" w:color="auto" w:fill="FFFFFF"/>
            <w:vAlign w:val="center"/>
          </w:tcPr>
          <w:p>
            <w:pPr>
              <w:spacing w:line="280" w:lineRule="exact"/>
              <w:jc w:val="center"/>
              <w:rPr>
                <w:rFonts w:eastAsia="仿宋_GB2312"/>
                <w:kern w:val="0"/>
                <w:sz w:val="24"/>
              </w:rPr>
            </w:pPr>
            <w:r>
              <w:rPr>
                <w:rFonts w:hint="eastAsia" w:eastAsia="仿宋_GB2312"/>
                <w:kern w:val="0"/>
                <w:sz w:val="24"/>
              </w:rPr>
              <w:t>县外事办</w:t>
            </w:r>
          </w:p>
          <w:p>
            <w:pPr>
              <w:spacing w:line="280" w:lineRule="exact"/>
              <w:jc w:val="center"/>
              <w:rPr>
                <w:rFonts w:eastAsia="仿宋_GB2312"/>
                <w:kern w:val="0"/>
                <w:sz w:val="24"/>
              </w:rPr>
            </w:pPr>
            <w:r>
              <w:rPr>
                <w:rFonts w:hint="eastAsia" w:eastAsia="仿宋_GB2312"/>
                <w:kern w:val="0"/>
                <w:sz w:val="24"/>
              </w:rPr>
              <w:t>县统战部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7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21</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茂县处置劫持民用航空器事件应急预案</w:t>
            </w:r>
          </w:p>
        </w:tc>
        <w:tc>
          <w:tcPr>
            <w:tcW w:w="2873" w:type="dxa"/>
            <w:shd w:val="clear" w:color="auto" w:fill="FFFFFF"/>
            <w:vAlign w:val="center"/>
          </w:tcPr>
          <w:p>
            <w:pPr>
              <w:spacing w:line="280" w:lineRule="exact"/>
              <w:jc w:val="center"/>
              <w:rPr>
                <w:rFonts w:eastAsia="仿宋_GB2312"/>
                <w:kern w:val="0"/>
                <w:sz w:val="24"/>
              </w:rPr>
            </w:pPr>
            <w:r>
              <w:rPr>
                <w:rFonts w:eastAsia="仿宋_GB2312"/>
                <w:kern w:val="0"/>
                <w:sz w:val="24"/>
              </w:rPr>
              <w:t>县</w:t>
            </w:r>
            <w:r>
              <w:rPr>
                <w:rFonts w:hint="eastAsia" w:eastAsia="仿宋_GB2312"/>
                <w:kern w:val="0"/>
                <w:sz w:val="24"/>
              </w:rPr>
              <w:t>公安</w:t>
            </w:r>
            <w:r>
              <w:rPr>
                <w:rFonts w:eastAsia="仿宋_GB2312"/>
                <w:kern w:val="0"/>
                <w:sz w:val="24"/>
              </w:rPr>
              <w:t>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22</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茂县粮食应急预案</w:t>
            </w:r>
          </w:p>
        </w:tc>
        <w:tc>
          <w:tcPr>
            <w:tcW w:w="2873" w:type="dxa"/>
            <w:shd w:val="clear" w:color="auto" w:fill="FFFFFF"/>
            <w:vAlign w:val="center"/>
          </w:tcPr>
          <w:p>
            <w:pPr>
              <w:spacing w:line="280" w:lineRule="exact"/>
              <w:jc w:val="center"/>
              <w:rPr>
                <w:rFonts w:eastAsia="仿宋_GB2312"/>
                <w:kern w:val="0"/>
                <w:sz w:val="24"/>
              </w:rPr>
            </w:pPr>
            <w:r>
              <w:rPr>
                <w:rFonts w:eastAsia="仿宋_GB2312"/>
                <w:kern w:val="0"/>
                <w:sz w:val="24"/>
              </w:rPr>
              <w:t>县</w:t>
            </w:r>
            <w:r>
              <w:rPr>
                <w:rFonts w:hint="eastAsia" w:eastAsia="仿宋_GB2312"/>
                <w:kern w:val="0"/>
                <w:sz w:val="24"/>
              </w:rPr>
              <w:t>发</w:t>
            </w:r>
            <w:r>
              <w:rPr>
                <w:rFonts w:eastAsia="仿宋_GB2312"/>
                <w:kern w:val="0"/>
                <w:sz w:val="24"/>
              </w:rPr>
              <w:t>改局</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23</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茂县舆情突发事件应急预案</w:t>
            </w:r>
          </w:p>
        </w:tc>
        <w:tc>
          <w:tcPr>
            <w:tcW w:w="2873" w:type="dxa"/>
            <w:shd w:val="clear" w:color="auto" w:fill="FFFFFF"/>
            <w:vAlign w:val="center"/>
          </w:tcPr>
          <w:p>
            <w:pPr>
              <w:spacing w:line="280" w:lineRule="exact"/>
              <w:jc w:val="center"/>
              <w:rPr>
                <w:rFonts w:eastAsia="仿宋_GB2312"/>
                <w:kern w:val="0"/>
                <w:sz w:val="24"/>
              </w:rPr>
            </w:pPr>
            <w:r>
              <w:rPr>
                <w:rFonts w:hint="eastAsia" w:eastAsia="仿宋_GB2312"/>
                <w:kern w:val="0"/>
                <w:sz w:val="24"/>
              </w:rPr>
              <w:t>县委宣传部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41" w:hRule="atLeast"/>
        </w:trPr>
        <w:tc>
          <w:tcPr>
            <w:tcW w:w="836" w:type="dxa"/>
            <w:shd w:val="clear" w:color="auto" w:fill="FFFFFF"/>
            <w:vAlign w:val="center"/>
          </w:tcPr>
          <w:p>
            <w:pPr>
              <w:spacing w:line="280" w:lineRule="exact"/>
              <w:jc w:val="center"/>
              <w:rPr>
                <w:rFonts w:eastAsia="仿宋_GB2312"/>
                <w:kern w:val="0"/>
                <w:sz w:val="24"/>
              </w:rPr>
            </w:pPr>
            <w:r>
              <w:rPr>
                <w:rFonts w:eastAsia="仿宋_GB2312"/>
                <w:kern w:val="0"/>
                <w:sz w:val="24"/>
              </w:rPr>
              <w:t>24</w:t>
            </w:r>
          </w:p>
        </w:tc>
        <w:tc>
          <w:tcPr>
            <w:tcW w:w="4298" w:type="dxa"/>
            <w:shd w:val="clear" w:color="auto" w:fill="FFFFFF"/>
            <w:vAlign w:val="center"/>
          </w:tcPr>
          <w:p>
            <w:pPr>
              <w:spacing w:line="280" w:lineRule="exact"/>
              <w:jc w:val="center"/>
              <w:rPr>
                <w:rFonts w:eastAsia="仿宋_GB2312"/>
                <w:kern w:val="0"/>
                <w:sz w:val="24"/>
              </w:rPr>
            </w:pPr>
            <w:r>
              <w:rPr>
                <w:rFonts w:eastAsia="仿宋_GB2312"/>
                <w:kern w:val="0"/>
                <w:sz w:val="24"/>
              </w:rPr>
              <w:t>茂县旅游突发事件应急预案</w:t>
            </w:r>
          </w:p>
        </w:tc>
        <w:tc>
          <w:tcPr>
            <w:tcW w:w="2873" w:type="dxa"/>
            <w:shd w:val="clear" w:color="auto" w:fill="FFFFFF"/>
            <w:vAlign w:val="center"/>
          </w:tcPr>
          <w:p>
            <w:pPr>
              <w:spacing w:line="280" w:lineRule="exact"/>
              <w:jc w:val="center"/>
              <w:rPr>
                <w:rFonts w:eastAsia="仿宋_GB2312"/>
                <w:kern w:val="0"/>
                <w:sz w:val="24"/>
              </w:rPr>
            </w:pPr>
            <w:r>
              <w:rPr>
                <w:rFonts w:hint="eastAsia" w:eastAsia="仿宋_GB2312"/>
                <w:kern w:val="0"/>
                <w:sz w:val="24"/>
              </w:rPr>
              <w:t>县文体旅游局</w:t>
            </w:r>
          </w:p>
        </w:tc>
      </w:tr>
    </w:tbl>
    <w:p>
      <w:pPr>
        <w:pStyle w:val="20"/>
        <w:adjustRightInd w:val="0"/>
        <w:snapToGrid w:val="0"/>
        <w:rPr>
          <w:rFonts w:eastAsia="仿宋"/>
        </w:rPr>
      </w:pPr>
    </w:p>
    <w:p>
      <w:pPr>
        <w:pStyle w:val="20"/>
        <w:adjustRightInd w:val="0"/>
        <w:snapToGrid w:val="0"/>
        <w:rPr>
          <w:rFonts w:eastAsia="仿宋"/>
        </w:rPr>
      </w:pPr>
    </w:p>
    <w:p>
      <w:pPr>
        <w:pStyle w:val="20"/>
        <w:adjustRightInd w:val="0"/>
        <w:snapToGrid w:val="0"/>
        <w:rPr>
          <w:rFonts w:eastAsia="仿宋"/>
        </w:rPr>
      </w:pPr>
      <w:r>
        <w:rPr>
          <w:rFonts w:eastAsia="仿宋"/>
        </w:rPr>
        <w:t>（2）</w:t>
      </w:r>
      <w:bookmarkStart w:id="117" w:name="_Hlk44338096"/>
      <w:r>
        <w:rPr>
          <w:rFonts w:hint="eastAsia" w:ascii="仿宋_GB2312"/>
        </w:rPr>
        <w:t>应急保障类</w:t>
      </w:r>
      <w:bookmarkEnd w:id="117"/>
    </w:p>
    <w:tbl>
      <w:tblPr>
        <w:tblStyle w:val="11"/>
        <w:tblW w:w="8002" w:type="dxa"/>
        <w:tblInd w:w="25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40"/>
        <w:gridCol w:w="1649"/>
        <w:gridCol w:w="1753"/>
        <w:gridCol w:w="386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436" w:hRule="atLeast"/>
        </w:trPr>
        <w:tc>
          <w:tcPr>
            <w:tcW w:w="740" w:type="dxa"/>
            <w:shd w:val="clear" w:color="000000" w:fill="FFFFFF"/>
            <w:vAlign w:val="center"/>
          </w:tcPr>
          <w:p>
            <w:pPr>
              <w:spacing w:line="280" w:lineRule="exact"/>
              <w:jc w:val="center"/>
              <w:rPr>
                <w:rFonts w:ascii="仿宋_GB2312" w:eastAsia="仿宋_GB2312"/>
                <w:b/>
                <w:bCs/>
                <w:kern w:val="0"/>
                <w:sz w:val="24"/>
              </w:rPr>
            </w:pPr>
            <w:r>
              <w:rPr>
                <w:rFonts w:hint="eastAsia" w:ascii="仿宋_GB2312" w:eastAsia="仿宋_GB2312"/>
                <w:b/>
                <w:bCs/>
                <w:kern w:val="0"/>
                <w:sz w:val="24"/>
              </w:rPr>
              <w:t>序号</w:t>
            </w:r>
          </w:p>
        </w:tc>
        <w:tc>
          <w:tcPr>
            <w:tcW w:w="1649" w:type="dxa"/>
            <w:shd w:val="clear" w:color="000000" w:fill="FFFFFF"/>
            <w:vAlign w:val="center"/>
          </w:tcPr>
          <w:p>
            <w:pPr>
              <w:spacing w:line="280" w:lineRule="exact"/>
              <w:jc w:val="center"/>
              <w:rPr>
                <w:rFonts w:ascii="仿宋_GB2312" w:eastAsia="仿宋_GB2312"/>
                <w:b/>
                <w:bCs/>
                <w:kern w:val="0"/>
                <w:sz w:val="24"/>
              </w:rPr>
            </w:pPr>
            <w:r>
              <w:rPr>
                <w:rFonts w:hint="eastAsia" w:ascii="仿宋_GB2312" w:eastAsia="仿宋_GB2312"/>
                <w:b/>
                <w:bCs/>
                <w:kern w:val="0"/>
                <w:sz w:val="24"/>
              </w:rPr>
              <w:t>应急保障</w:t>
            </w:r>
          </w:p>
        </w:tc>
        <w:tc>
          <w:tcPr>
            <w:tcW w:w="1753" w:type="dxa"/>
            <w:shd w:val="clear" w:color="000000" w:fill="FFFFFF"/>
            <w:vAlign w:val="center"/>
          </w:tcPr>
          <w:p>
            <w:pPr>
              <w:spacing w:line="280" w:lineRule="exact"/>
              <w:jc w:val="center"/>
              <w:rPr>
                <w:rFonts w:ascii="仿宋_GB2312" w:eastAsia="仿宋_GB2312"/>
                <w:b/>
                <w:bCs/>
                <w:kern w:val="0"/>
                <w:sz w:val="24"/>
              </w:rPr>
            </w:pPr>
            <w:r>
              <w:rPr>
                <w:rFonts w:hint="eastAsia" w:ascii="仿宋_GB2312" w:eastAsia="仿宋_GB2312"/>
                <w:b/>
                <w:bCs/>
                <w:kern w:val="0"/>
                <w:sz w:val="24"/>
              </w:rPr>
              <w:t>牵头协调部门</w:t>
            </w:r>
          </w:p>
        </w:tc>
        <w:tc>
          <w:tcPr>
            <w:tcW w:w="3860" w:type="dxa"/>
            <w:shd w:val="clear" w:color="000000" w:fill="FFFFFF"/>
            <w:vAlign w:val="center"/>
          </w:tcPr>
          <w:p>
            <w:pPr>
              <w:spacing w:line="280" w:lineRule="exact"/>
              <w:jc w:val="center"/>
              <w:rPr>
                <w:rFonts w:ascii="仿宋_GB2312" w:eastAsia="仿宋_GB2312"/>
                <w:b/>
                <w:bCs/>
                <w:kern w:val="0"/>
                <w:sz w:val="24"/>
              </w:rPr>
            </w:pPr>
            <w:r>
              <w:rPr>
                <w:rFonts w:hint="eastAsia" w:ascii="仿宋_GB2312" w:eastAsia="仿宋_GB2312"/>
                <w:b/>
                <w:bCs/>
                <w:kern w:val="0"/>
                <w:sz w:val="24"/>
              </w:rPr>
              <w:t>支持部门和单位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 w:hRule="atLeast"/>
        </w:trPr>
        <w:tc>
          <w:tcPr>
            <w:tcW w:w="740"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1</w:t>
            </w:r>
          </w:p>
        </w:tc>
        <w:tc>
          <w:tcPr>
            <w:tcW w:w="1649"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茂县突发事件交通运输保障应急预案</w:t>
            </w:r>
          </w:p>
        </w:tc>
        <w:tc>
          <w:tcPr>
            <w:tcW w:w="1753"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县交通运输局</w:t>
            </w:r>
          </w:p>
        </w:tc>
        <w:tc>
          <w:tcPr>
            <w:tcW w:w="3860" w:type="dxa"/>
            <w:shd w:val="clear" w:color="000000" w:fill="FFFFFF"/>
            <w:vAlign w:val="center"/>
          </w:tcPr>
          <w:p>
            <w:pPr>
              <w:spacing w:line="280" w:lineRule="exact"/>
              <w:jc w:val="left"/>
              <w:rPr>
                <w:rFonts w:ascii="仿宋_GB2312" w:eastAsia="仿宋_GB2312"/>
                <w:kern w:val="0"/>
                <w:sz w:val="24"/>
              </w:rPr>
            </w:pPr>
            <w:r>
              <w:rPr>
                <w:rFonts w:hint="eastAsia" w:ascii="仿宋_GB2312" w:eastAsia="仿宋_GB2312"/>
                <w:kern w:val="0"/>
                <w:sz w:val="24"/>
              </w:rPr>
              <w:t>县委网信办、县发改局、县经信局、县公安局、县自然资源局、县生态环境局、县住建局、县交通运输局、县水务局、县卫生健康局、县文体旅游局、县应急局、县国资中心、县防震减灾局、县气象局、县融媒体中心、县公路局、九黄运业茂县分公司、茂县电力公司、县消防救援大队</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 w:hRule="atLeast"/>
        </w:trPr>
        <w:tc>
          <w:tcPr>
            <w:tcW w:w="740"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2</w:t>
            </w:r>
          </w:p>
        </w:tc>
        <w:tc>
          <w:tcPr>
            <w:tcW w:w="1649"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茂县突发事件医学救援应急预案</w:t>
            </w:r>
          </w:p>
        </w:tc>
        <w:tc>
          <w:tcPr>
            <w:tcW w:w="1753"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县卫生健康局</w:t>
            </w:r>
          </w:p>
        </w:tc>
        <w:tc>
          <w:tcPr>
            <w:tcW w:w="3860" w:type="dxa"/>
            <w:shd w:val="clear" w:color="000000" w:fill="FFFFFF"/>
            <w:vAlign w:val="center"/>
          </w:tcPr>
          <w:p>
            <w:pPr>
              <w:spacing w:line="280" w:lineRule="exact"/>
              <w:jc w:val="left"/>
              <w:rPr>
                <w:rFonts w:ascii="仿宋_GB2312" w:eastAsia="仿宋_GB2312"/>
                <w:kern w:val="0"/>
                <w:sz w:val="24"/>
              </w:rPr>
            </w:pPr>
            <w:r>
              <w:rPr>
                <w:rFonts w:hint="eastAsia" w:ascii="仿宋_GB2312" w:eastAsia="仿宋_GB2312"/>
                <w:kern w:val="0"/>
                <w:sz w:val="24"/>
              </w:rPr>
              <w:t>县委网信办、县经信局、县教育局、县民宗局、县公安局、县民政局、县生态环境局、县交通运输局、县科技农业局、县文体旅游局、县卫生健康局、县应急局、县林草局、县市场监管局、县气象局、县融媒体中心、县红十字会</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 w:hRule="atLeast"/>
        </w:trPr>
        <w:tc>
          <w:tcPr>
            <w:tcW w:w="740"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3</w:t>
            </w:r>
          </w:p>
        </w:tc>
        <w:tc>
          <w:tcPr>
            <w:tcW w:w="1649"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茂县突发事件能源供应保障应急预案</w:t>
            </w:r>
          </w:p>
        </w:tc>
        <w:tc>
          <w:tcPr>
            <w:tcW w:w="1753"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县</w:t>
            </w:r>
            <w:r>
              <w:rPr>
                <w:rFonts w:hint="eastAsia" w:eastAsia="仿宋_GB2312"/>
                <w:kern w:val="0"/>
                <w:sz w:val="24"/>
              </w:rPr>
              <w:t>经信局</w:t>
            </w:r>
          </w:p>
        </w:tc>
        <w:tc>
          <w:tcPr>
            <w:tcW w:w="3860" w:type="dxa"/>
            <w:shd w:val="clear" w:color="000000" w:fill="FFFFFF"/>
            <w:vAlign w:val="center"/>
          </w:tcPr>
          <w:p>
            <w:pPr>
              <w:spacing w:line="280" w:lineRule="exact"/>
              <w:jc w:val="left"/>
              <w:rPr>
                <w:rFonts w:ascii="仿宋_GB2312" w:eastAsia="仿宋_GB2312"/>
                <w:kern w:val="0"/>
                <w:sz w:val="24"/>
              </w:rPr>
            </w:pPr>
            <w:r>
              <w:rPr>
                <w:rFonts w:hint="eastAsia" w:ascii="仿宋_GB2312" w:eastAsia="仿宋_GB2312"/>
                <w:kern w:val="0"/>
                <w:sz w:val="24"/>
              </w:rPr>
              <w:t>县委网信办、县发改局、县经信局、县自然资源局、县生态环境局、县住建局、县交通运输局、县水务局、县经信局、县应急局、县市场监管局、县国资中心、县融媒体中心、茂县电力公司、移动茂县分公司、电信茂县分公司、联通茂县分公司、茂县铁塔公司、铁塔茂县分公司、中石油四川岷江销售分公司、中国石化四川德阳石油分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 w:hRule="atLeast"/>
        </w:trPr>
        <w:tc>
          <w:tcPr>
            <w:tcW w:w="740"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4</w:t>
            </w:r>
          </w:p>
        </w:tc>
        <w:tc>
          <w:tcPr>
            <w:tcW w:w="1649"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茂县突发事件通信保障应急预案</w:t>
            </w:r>
          </w:p>
        </w:tc>
        <w:tc>
          <w:tcPr>
            <w:tcW w:w="1753"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县</w:t>
            </w:r>
            <w:r>
              <w:rPr>
                <w:rFonts w:hint="eastAsia" w:eastAsia="仿宋_GB2312"/>
                <w:kern w:val="0"/>
                <w:sz w:val="24"/>
              </w:rPr>
              <w:t>经信局</w:t>
            </w:r>
          </w:p>
        </w:tc>
        <w:tc>
          <w:tcPr>
            <w:tcW w:w="3860" w:type="dxa"/>
            <w:shd w:val="clear" w:color="000000" w:fill="FFFFFF"/>
            <w:vAlign w:val="center"/>
          </w:tcPr>
          <w:p>
            <w:pPr>
              <w:spacing w:line="280" w:lineRule="exact"/>
              <w:rPr>
                <w:rFonts w:ascii="仿宋_GB2312" w:eastAsia="仿宋_GB2312"/>
                <w:kern w:val="0"/>
                <w:sz w:val="24"/>
              </w:rPr>
            </w:pPr>
            <w:r>
              <w:rPr>
                <w:rFonts w:hint="eastAsia" w:ascii="仿宋_GB2312" w:eastAsia="仿宋_GB2312"/>
                <w:kern w:val="0"/>
                <w:sz w:val="24"/>
              </w:rPr>
              <w:t>县委网信办、县发改局、县经信局、县自然资源局、县生态环境局、县住建局、县交通运输局、县水务局、县经信局、县应急局、县市场监管局、县国资中心、县融媒体中心、茂县电力公司、移动茂县分公司、电信茂县分公司、联通茂县分公司、铁塔茂县分公司</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 w:hRule="atLeast"/>
        </w:trPr>
        <w:tc>
          <w:tcPr>
            <w:tcW w:w="740"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5</w:t>
            </w:r>
          </w:p>
        </w:tc>
        <w:tc>
          <w:tcPr>
            <w:tcW w:w="1649"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茂县突发事件应急物资装备保障应急预案</w:t>
            </w:r>
          </w:p>
        </w:tc>
        <w:tc>
          <w:tcPr>
            <w:tcW w:w="1753" w:type="dxa"/>
            <w:shd w:val="clear" w:color="000000" w:fill="FFFFFF"/>
            <w:vAlign w:val="center"/>
          </w:tcPr>
          <w:p>
            <w:pPr>
              <w:spacing w:line="280" w:lineRule="exact"/>
              <w:jc w:val="center"/>
              <w:rPr>
                <w:rFonts w:eastAsia="仿宋_GB2312"/>
                <w:kern w:val="0"/>
                <w:sz w:val="24"/>
              </w:rPr>
            </w:pPr>
            <w:r>
              <w:rPr>
                <w:rFonts w:hint="eastAsia" w:ascii="仿宋_GB2312" w:eastAsia="仿宋_GB2312"/>
                <w:kern w:val="0"/>
                <w:sz w:val="24"/>
              </w:rPr>
              <w:t>县发改局</w:t>
            </w:r>
          </w:p>
        </w:tc>
        <w:tc>
          <w:tcPr>
            <w:tcW w:w="3860" w:type="dxa"/>
            <w:shd w:val="clear" w:color="000000" w:fill="FFFFFF"/>
            <w:vAlign w:val="center"/>
          </w:tcPr>
          <w:p>
            <w:pPr>
              <w:spacing w:line="280" w:lineRule="exact"/>
              <w:rPr>
                <w:rFonts w:ascii="仿宋_GB2312" w:eastAsia="仿宋_GB2312"/>
                <w:kern w:val="0"/>
                <w:sz w:val="24"/>
              </w:rPr>
            </w:pPr>
            <w:r>
              <w:rPr>
                <w:rFonts w:hint="eastAsia" w:ascii="仿宋_GB2312" w:eastAsia="仿宋_GB2312"/>
                <w:kern w:val="0"/>
                <w:sz w:val="24"/>
              </w:rPr>
              <w:t>县</w:t>
            </w:r>
            <w:r>
              <w:rPr>
                <w:rFonts w:ascii="仿宋_GB2312" w:eastAsia="仿宋_GB2312"/>
                <w:kern w:val="0"/>
                <w:sz w:val="24"/>
              </w:rPr>
              <w:t>应急局、</w:t>
            </w:r>
            <w:r>
              <w:rPr>
                <w:rFonts w:hint="eastAsia" w:eastAsia="仿宋_GB2312"/>
                <w:kern w:val="0"/>
                <w:sz w:val="24"/>
              </w:rPr>
              <w:t>县经信局</w:t>
            </w:r>
            <w:r>
              <w:rPr>
                <w:rFonts w:hint="eastAsia" w:ascii="仿宋_GB2312" w:eastAsia="仿宋_GB2312"/>
                <w:kern w:val="0"/>
                <w:sz w:val="24"/>
              </w:rPr>
              <w:t>、县财政局、县公安局、县交通运输局、县水务局、县自然资源局、县供销社、武警茂县中队等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 w:hRule="atLeast"/>
        </w:trPr>
        <w:tc>
          <w:tcPr>
            <w:tcW w:w="740"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6</w:t>
            </w:r>
          </w:p>
        </w:tc>
        <w:tc>
          <w:tcPr>
            <w:tcW w:w="1649"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茂县自然灾害救助应急预案</w:t>
            </w:r>
          </w:p>
        </w:tc>
        <w:tc>
          <w:tcPr>
            <w:tcW w:w="1753"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县应急管理局</w:t>
            </w:r>
          </w:p>
        </w:tc>
        <w:tc>
          <w:tcPr>
            <w:tcW w:w="3860" w:type="dxa"/>
            <w:shd w:val="clear" w:color="000000" w:fill="FFFFFF"/>
            <w:vAlign w:val="center"/>
          </w:tcPr>
          <w:p>
            <w:pPr>
              <w:spacing w:line="280" w:lineRule="exact"/>
              <w:rPr>
                <w:rFonts w:ascii="仿宋_GB2312" w:eastAsia="仿宋_GB2312"/>
                <w:kern w:val="0"/>
                <w:sz w:val="24"/>
              </w:rPr>
            </w:pPr>
            <w:r>
              <w:rPr>
                <w:rFonts w:hint="eastAsia" w:ascii="仿宋_GB2312" w:eastAsia="仿宋_GB2312"/>
                <w:kern w:val="0"/>
                <w:sz w:val="24"/>
              </w:rPr>
              <w:t>县发改局、县住建局、县民政局、县财政局、县科技农业局、县国资中心、县卫生健康局、县供销社、武警茂县中队、县红十字会等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 w:hRule="atLeast"/>
        </w:trPr>
        <w:tc>
          <w:tcPr>
            <w:tcW w:w="740"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7</w:t>
            </w:r>
          </w:p>
        </w:tc>
        <w:tc>
          <w:tcPr>
            <w:tcW w:w="1649"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茂县突发事件维护社会秩序应急预案</w:t>
            </w:r>
          </w:p>
        </w:tc>
        <w:tc>
          <w:tcPr>
            <w:tcW w:w="1753"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县公安局</w:t>
            </w:r>
          </w:p>
        </w:tc>
        <w:tc>
          <w:tcPr>
            <w:tcW w:w="3860" w:type="dxa"/>
            <w:shd w:val="clear" w:color="000000" w:fill="FFFFFF"/>
            <w:vAlign w:val="center"/>
          </w:tcPr>
          <w:p>
            <w:pPr>
              <w:spacing w:line="280" w:lineRule="exact"/>
              <w:rPr>
                <w:rFonts w:ascii="仿宋_GB2312" w:eastAsia="仿宋_GB2312"/>
                <w:kern w:val="0"/>
                <w:sz w:val="24"/>
              </w:rPr>
            </w:pPr>
            <w:r>
              <w:rPr>
                <w:rFonts w:hint="eastAsia" w:ascii="仿宋_GB2312" w:eastAsia="仿宋_GB2312"/>
                <w:kern w:val="0"/>
                <w:sz w:val="24"/>
              </w:rPr>
              <w:t>县法院、县检察院、县应急局、武警茂县中队等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36" w:hRule="atLeast"/>
        </w:trPr>
        <w:tc>
          <w:tcPr>
            <w:tcW w:w="740"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8</w:t>
            </w:r>
          </w:p>
        </w:tc>
        <w:tc>
          <w:tcPr>
            <w:tcW w:w="1649"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茂县突发事件新闻宣传应急预案</w:t>
            </w:r>
          </w:p>
        </w:tc>
        <w:tc>
          <w:tcPr>
            <w:tcW w:w="1753" w:type="dxa"/>
            <w:shd w:val="clear" w:color="000000" w:fill="FFFFFF"/>
            <w:vAlign w:val="center"/>
          </w:tcPr>
          <w:p>
            <w:pPr>
              <w:spacing w:line="280" w:lineRule="exact"/>
              <w:jc w:val="center"/>
              <w:rPr>
                <w:rFonts w:ascii="仿宋_GB2312" w:eastAsia="仿宋_GB2312"/>
                <w:kern w:val="0"/>
                <w:sz w:val="24"/>
              </w:rPr>
            </w:pPr>
            <w:r>
              <w:rPr>
                <w:rFonts w:hint="eastAsia" w:ascii="仿宋_GB2312" w:eastAsia="仿宋_GB2312"/>
                <w:kern w:val="0"/>
                <w:sz w:val="24"/>
              </w:rPr>
              <w:t>县委宣传部</w:t>
            </w:r>
          </w:p>
        </w:tc>
        <w:tc>
          <w:tcPr>
            <w:tcW w:w="3860" w:type="dxa"/>
            <w:shd w:val="clear" w:color="000000" w:fill="FFFFFF"/>
            <w:vAlign w:val="center"/>
          </w:tcPr>
          <w:p>
            <w:pPr>
              <w:spacing w:line="280" w:lineRule="exact"/>
              <w:rPr>
                <w:rFonts w:ascii="仿宋_GB2312" w:eastAsia="仿宋_GB2312"/>
                <w:kern w:val="0"/>
                <w:sz w:val="24"/>
              </w:rPr>
            </w:pPr>
            <w:r>
              <w:rPr>
                <w:rFonts w:hint="eastAsia" w:ascii="仿宋_GB2312" w:eastAsia="仿宋_GB2312"/>
                <w:kern w:val="0"/>
                <w:sz w:val="24"/>
              </w:rPr>
              <w:t>县委网信办、县公安局、县应急局、县信访局、县文体旅游局、县融媒体中心</w:t>
            </w:r>
          </w:p>
        </w:tc>
      </w:tr>
    </w:tbl>
    <w:p>
      <w:pPr>
        <w:pStyle w:val="20"/>
        <w:adjustRightInd w:val="0"/>
        <w:snapToGrid w:val="0"/>
        <w:rPr>
          <w:rFonts w:eastAsia="仿宋"/>
        </w:rPr>
      </w:pPr>
      <w:r>
        <w:rPr>
          <w:rFonts w:hint="eastAsia" w:ascii="仿宋_GB2312"/>
          <w:b/>
          <w:bCs/>
          <w:sz w:val="24"/>
        </w:rPr>
        <w:t>备注：主要牵头部门为多牵头部门的，专项指挥部办公室所在部门作为第一牵头部门。</w:t>
      </w:r>
    </w:p>
    <w:p>
      <w:pPr>
        <w:pStyle w:val="20"/>
        <w:adjustRightInd w:val="0"/>
        <w:snapToGrid w:val="0"/>
        <w:outlineLvl w:val="2"/>
        <w:rPr>
          <w:rFonts w:eastAsia="仿宋"/>
        </w:rPr>
      </w:pPr>
      <w:bookmarkStart w:id="118" w:name="_Toc19477"/>
    </w:p>
    <w:p>
      <w:pPr>
        <w:pStyle w:val="20"/>
        <w:adjustRightInd w:val="0"/>
        <w:snapToGrid w:val="0"/>
        <w:outlineLvl w:val="2"/>
        <w:rPr>
          <w:rFonts w:eastAsia="仿宋"/>
        </w:rPr>
      </w:pPr>
      <w:r>
        <w:rPr>
          <w:rFonts w:eastAsia="仿宋"/>
        </w:rPr>
        <w:t>9.1.2</w:t>
      </w:r>
      <w:r>
        <w:rPr>
          <w:rFonts w:hint="eastAsia" w:ascii="仿宋_GB2312"/>
        </w:rPr>
        <w:t>县级主要部门应急预案</w:t>
      </w:r>
      <w:bookmarkEnd w:id="118"/>
    </w:p>
    <w:tbl>
      <w:tblPr>
        <w:tblStyle w:val="11"/>
        <w:tblW w:w="8106"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7"/>
        <w:gridCol w:w="3959"/>
        <w:gridCol w:w="3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1" w:hRule="atLeast"/>
        </w:trPr>
        <w:tc>
          <w:tcPr>
            <w:tcW w:w="847" w:type="dxa"/>
            <w:shd w:val="clear" w:color="000000" w:fill="FFFFFF"/>
            <w:vAlign w:val="center"/>
          </w:tcPr>
          <w:p>
            <w:pPr>
              <w:spacing w:line="280" w:lineRule="atLeast"/>
              <w:jc w:val="center"/>
              <w:rPr>
                <w:rFonts w:eastAsia="仿宋_GB2312"/>
                <w:b/>
                <w:bCs/>
                <w:kern w:val="0"/>
                <w:sz w:val="24"/>
              </w:rPr>
            </w:pPr>
            <w:r>
              <w:rPr>
                <w:rFonts w:eastAsia="仿宋_GB2312"/>
                <w:b/>
                <w:bCs/>
                <w:kern w:val="0"/>
                <w:sz w:val="24"/>
              </w:rPr>
              <w:t>序号</w:t>
            </w:r>
          </w:p>
        </w:tc>
        <w:tc>
          <w:tcPr>
            <w:tcW w:w="3959" w:type="dxa"/>
            <w:shd w:val="clear" w:color="000000" w:fill="FFFFFF"/>
            <w:vAlign w:val="center"/>
          </w:tcPr>
          <w:p>
            <w:pPr>
              <w:spacing w:line="280" w:lineRule="atLeast"/>
              <w:jc w:val="center"/>
              <w:rPr>
                <w:rFonts w:eastAsia="仿宋_GB2312"/>
                <w:b/>
                <w:bCs/>
                <w:kern w:val="0"/>
                <w:sz w:val="24"/>
              </w:rPr>
            </w:pPr>
            <w:r>
              <w:rPr>
                <w:rFonts w:eastAsia="仿宋_GB2312"/>
                <w:b/>
                <w:bCs/>
                <w:kern w:val="0"/>
                <w:sz w:val="24"/>
              </w:rPr>
              <w:t>事件类别</w:t>
            </w:r>
          </w:p>
        </w:tc>
        <w:tc>
          <w:tcPr>
            <w:tcW w:w="3300" w:type="dxa"/>
            <w:shd w:val="clear" w:color="000000" w:fill="FFFFFF"/>
            <w:vAlign w:val="center"/>
          </w:tcPr>
          <w:p>
            <w:pPr>
              <w:spacing w:line="280" w:lineRule="atLeast"/>
              <w:jc w:val="center"/>
              <w:rPr>
                <w:rFonts w:eastAsia="仿宋_GB2312"/>
                <w:b/>
                <w:bCs/>
                <w:kern w:val="0"/>
                <w:sz w:val="24"/>
              </w:rPr>
            </w:pPr>
            <w:r>
              <w:rPr>
                <w:rFonts w:eastAsia="仿宋_GB2312"/>
                <w:b/>
                <w:bCs/>
                <w:kern w:val="0"/>
                <w:sz w:val="24"/>
              </w:rPr>
              <w:t>主要牵头部门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1</w:t>
            </w:r>
          </w:p>
        </w:tc>
        <w:tc>
          <w:tcPr>
            <w:tcW w:w="3959" w:type="dxa"/>
            <w:shd w:val="clear" w:color="auto" w:fill="auto"/>
            <w:vAlign w:val="center"/>
          </w:tcPr>
          <w:p>
            <w:pPr>
              <w:spacing w:line="280" w:lineRule="atLeast"/>
              <w:jc w:val="center"/>
              <w:rPr>
                <w:rFonts w:eastAsia="仿宋_GB2312"/>
                <w:kern w:val="0"/>
                <w:sz w:val="24"/>
              </w:rPr>
            </w:pPr>
            <w:r>
              <w:rPr>
                <w:rFonts w:eastAsia="仿宋_GB2312"/>
                <w:kern w:val="0"/>
                <w:sz w:val="24"/>
              </w:rPr>
              <w:t>重大生物灾害应急预案</w:t>
            </w:r>
          </w:p>
        </w:tc>
        <w:tc>
          <w:tcPr>
            <w:tcW w:w="3300" w:type="dxa"/>
            <w:shd w:val="clear" w:color="auto" w:fill="auto"/>
            <w:vAlign w:val="center"/>
          </w:tcPr>
          <w:p>
            <w:pPr>
              <w:spacing w:line="280" w:lineRule="atLeast"/>
              <w:jc w:val="center"/>
              <w:rPr>
                <w:rFonts w:eastAsia="仿宋_GB2312"/>
                <w:kern w:val="0"/>
                <w:sz w:val="24"/>
              </w:rPr>
            </w:pPr>
            <w:r>
              <w:rPr>
                <w:rFonts w:eastAsia="仿宋_GB2312"/>
                <w:kern w:val="0"/>
                <w:sz w:val="24"/>
              </w:rPr>
              <w:t>县林</w:t>
            </w:r>
            <w:r>
              <w:rPr>
                <w:rFonts w:hint="eastAsia" w:eastAsia="仿宋_GB2312"/>
                <w:kern w:val="0"/>
                <w:sz w:val="24"/>
              </w:rPr>
              <w:t>草</w:t>
            </w:r>
            <w:r>
              <w:rPr>
                <w:rFonts w:eastAsia="仿宋_GB2312"/>
                <w:kern w:val="0"/>
                <w:sz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2</w:t>
            </w:r>
          </w:p>
        </w:tc>
        <w:tc>
          <w:tcPr>
            <w:tcW w:w="3959" w:type="dxa"/>
            <w:shd w:val="clear" w:color="auto" w:fill="auto"/>
            <w:vAlign w:val="center"/>
          </w:tcPr>
          <w:p>
            <w:pPr>
              <w:spacing w:line="280" w:lineRule="atLeast"/>
              <w:jc w:val="center"/>
              <w:rPr>
                <w:rFonts w:eastAsia="仿宋_GB2312"/>
                <w:kern w:val="0"/>
                <w:sz w:val="24"/>
              </w:rPr>
            </w:pPr>
            <w:r>
              <w:rPr>
                <w:rFonts w:eastAsia="仿宋_GB2312"/>
                <w:kern w:val="0"/>
                <w:sz w:val="24"/>
              </w:rPr>
              <w:t>非煤矿山事故灾难应急预案</w:t>
            </w:r>
          </w:p>
        </w:tc>
        <w:tc>
          <w:tcPr>
            <w:tcW w:w="3300" w:type="dxa"/>
            <w:shd w:val="clear" w:color="auto" w:fill="auto"/>
            <w:vAlign w:val="center"/>
          </w:tcPr>
          <w:p>
            <w:pPr>
              <w:spacing w:line="280" w:lineRule="atLeast"/>
              <w:jc w:val="center"/>
              <w:rPr>
                <w:rFonts w:eastAsia="仿宋_GB2312"/>
                <w:kern w:val="0"/>
                <w:sz w:val="24"/>
              </w:rPr>
            </w:pPr>
            <w:r>
              <w:rPr>
                <w:rFonts w:eastAsia="仿宋_GB2312"/>
                <w:kern w:val="0"/>
                <w:sz w:val="24"/>
              </w:rPr>
              <w:t>县应急局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3</w:t>
            </w:r>
          </w:p>
        </w:tc>
        <w:tc>
          <w:tcPr>
            <w:tcW w:w="3959" w:type="dxa"/>
            <w:shd w:val="clear" w:color="auto" w:fill="auto"/>
            <w:vAlign w:val="center"/>
          </w:tcPr>
          <w:p>
            <w:pPr>
              <w:spacing w:line="280" w:lineRule="atLeast"/>
              <w:jc w:val="center"/>
              <w:rPr>
                <w:rFonts w:eastAsia="仿宋_GB2312"/>
                <w:kern w:val="0"/>
                <w:sz w:val="24"/>
              </w:rPr>
            </w:pPr>
            <w:r>
              <w:rPr>
                <w:rFonts w:eastAsia="仿宋_GB2312"/>
                <w:kern w:val="0"/>
                <w:sz w:val="24"/>
              </w:rPr>
              <w:t>工贸行业事故灾难应急预案</w:t>
            </w:r>
          </w:p>
        </w:tc>
        <w:tc>
          <w:tcPr>
            <w:tcW w:w="3300" w:type="dxa"/>
            <w:shd w:val="clear" w:color="auto" w:fill="auto"/>
            <w:vAlign w:val="center"/>
          </w:tcPr>
          <w:p>
            <w:pPr>
              <w:spacing w:line="280" w:lineRule="atLeast"/>
              <w:jc w:val="center"/>
              <w:rPr>
                <w:rFonts w:eastAsia="仿宋_GB2312"/>
                <w:kern w:val="0"/>
                <w:sz w:val="24"/>
              </w:rPr>
            </w:pPr>
            <w:r>
              <w:rPr>
                <w:rFonts w:eastAsia="仿宋_GB2312"/>
                <w:kern w:val="0"/>
                <w:sz w:val="24"/>
              </w:rPr>
              <w:t>县应急局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4</w:t>
            </w:r>
          </w:p>
        </w:tc>
        <w:tc>
          <w:tcPr>
            <w:tcW w:w="3959" w:type="dxa"/>
            <w:shd w:val="clear" w:color="auto" w:fill="auto"/>
            <w:vAlign w:val="center"/>
          </w:tcPr>
          <w:p>
            <w:pPr>
              <w:spacing w:line="280" w:lineRule="atLeast"/>
              <w:jc w:val="center"/>
              <w:rPr>
                <w:rFonts w:eastAsia="仿宋_GB2312"/>
                <w:kern w:val="0"/>
                <w:sz w:val="24"/>
              </w:rPr>
            </w:pPr>
            <w:r>
              <w:rPr>
                <w:rFonts w:eastAsia="仿宋_GB2312"/>
                <w:kern w:val="0"/>
                <w:sz w:val="24"/>
              </w:rPr>
              <w:t>火灾事故应急预案</w:t>
            </w:r>
          </w:p>
        </w:tc>
        <w:tc>
          <w:tcPr>
            <w:tcW w:w="3300" w:type="dxa"/>
            <w:shd w:val="clear" w:color="auto" w:fill="auto"/>
            <w:vAlign w:val="center"/>
          </w:tcPr>
          <w:p>
            <w:pPr>
              <w:spacing w:line="280" w:lineRule="atLeast"/>
              <w:jc w:val="center"/>
              <w:rPr>
                <w:rFonts w:eastAsia="仿宋_GB2312"/>
                <w:kern w:val="0"/>
                <w:sz w:val="24"/>
              </w:rPr>
            </w:pPr>
            <w:r>
              <w:rPr>
                <w:rFonts w:eastAsia="仿宋_GB2312"/>
                <w:kern w:val="0"/>
                <w:sz w:val="24"/>
              </w:rPr>
              <w:t>县应急局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5</w:t>
            </w:r>
          </w:p>
        </w:tc>
        <w:tc>
          <w:tcPr>
            <w:tcW w:w="3959" w:type="dxa"/>
            <w:shd w:val="clear" w:color="auto" w:fill="auto"/>
            <w:vAlign w:val="center"/>
          </w:tcPr>
          <w:p>
            <w:pPr>
              <w:spacing w:line="280" w:lineRule="atLeast"/>
              <w:jc w:val="center"/>
              <w:rPr>
                <w:rFonts w:eastAsia="仿宋_GB2312"/>
                <w:kern w:val="0"/>
                <w:sz w:val="24"/>
              </w:rPr>
            </w:pPr>
            <w:r>
              <w:rPr>
                <w:rFonts w:eastAsia="仿宋_GB2312"/>
                <w:kern w:val="0"/>
                <w:sz w:val="24"/>
              </w:rPr>
              <w:t>道路交通事故应急预案</w:t>
            </w:r>
          </w:p>
        </w:tc>
        <w:tc>
          <w:tcPr>
            <w:tcW w:w="3300" w:type="dxa"/>
            <w:shd w:val="clear" w:color="auto" w:fill="auto"/>
            <w:vAlign w:val="center"/>
          </w:tcPr>
          <w:p>
            <w:pPr>
              <w:spacing w:line="280" w:lineRule="atLeast"/>
              <w:jc w:val="center"/>
              <w:rPr>
                <w:rFonts w:eastAsia="仿宋_GB2312"/>
                <w:kern w:val="0"/>
                <w:sz w:val="24"/>
              </w:rPr>
            </w:pPr>
            <w:r>
              <w:rPr>
                <w:rFonts w:eastAsia="仿宋_GB2312"/>
                <w:kern w:val="0"/>
                <w:sz w:val="24"/>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6</w:t>
            </w:r>
          </w:p>
        </w:tc>
        <w:tc>
          <w:tcPr>
            <w:tcW w:w="3959" w:type="dxa"/>
            <w:shd w:val="clear" w:color="auto" w:fill="auto"/>
            <w:vAlign w:val="center"/>
          </w:tcPr>
          <w:p>
            <w:pPr>
              <w:spacing w:line="280" w:lineRule="atLeast"/>
              <w:jc w:val="center"/>
              <w:rPr>
                <w:rFonts w:eastAsia="仿宋_GB2312"/>
                <w:kern w:val="0"/>
                <w:sz w:val="24"/>
              </w:rPr>
            </w:pPr>
            <w:r>
              <w:rPr>
                <w:rFonts w:eastAsia="仿宋_GB2312"/>
                <w:kern w:val="0"/>
                <w:sz w:val="24"/>
              </w:rPr>
              <w:t>交通基础设施建设工程事故应急预案</w:t>
            </w:r>
          </w:p>
        </w:tc>
        <w:tc>
          <w:tcPr>
            <w:tcW w:w="3300" w:type="dxa"/>
            <w:shd w:val="clear" w:color="auto" w:fill="auto"/>
            <w:vAlign w:val="center"/>
          </w:tcPr>
          <w:p>
            <w:pPr>
              <w:spacing w:line="280" w:lineRule="atLeast"/>
              <w:jc w:val="center"/>
              <w:rPr>
                <w:rFonts w:eastAsia="仿宋_GB2312"/>
                <w:kern w:val="0"/>
                <w:sz w:val="24"/>
              </w:rPr>
            </w:pPr>
            <w:r>
              <w:rPr>
                <w:rFonts w:eastAsia="仿宋_GB2312"/>
                <w:kern w:val="0"/>
                <w:sz w:val="24"/>
              </w:rPr>
              <w:t>县交通运输局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7</w:t>
            </w:r>
          </w:p>
        </w:tc>
        <w:tc>
          <w:tcPr>
            <w:tcW w:w="3959" w:type="dxa"/>
            <w:shd w:val="clear" w:color="auto" w:fill="auto"/>
            <w:vAlign w:val="center"/>
          </w:tcPr>
          <w:p>
            <w:pPr>
              <w:spacing w:line="280" w:lineRule="atLeast"/>
              <w:jc w:val="center"/>
              <w:rPr>
                <w:rFonts w:eastAsia="仿宋_GB2312"/>
                <w:kern w:val="0"/>
                <w:sz w:val="24"/>
              </w:rPr>
            </w:pPr>
            <w:r>
              <w:rPr>
                <w:rFonts w:eastAsia="仿宋_GB2312"/>
                <w:kern w:val="0"/>
                <w:sz w:val="24"/>
              </w:rPr>
              <w:t>房屋建筑和市政基础设施工程事故应急预案</w:t>
            </w:r>
          </w:p>
        </w:tc>
        <w:tc>
          <w:tcPr>
            <w:tcW w:w="3300" w:type="dxa"/>
            <w:shd w:val="clear" w:color="auto" w:fill="auto"/>
            <w:vAlign w:val="center"/>
          </w:tcPr>
          <w:p>
            <w:pPr>
              <w:spacing w:line="280" w:lineRule="atLeast"/>
              <w:jc w:val="center"/>
              <w:rPr>
                <w:rFonts w:eastAsia="仿宋_GB2312"/>
                <w:kern w:val="0"/>
                <w:sz w:val="24"/>
              </w:rPr>
            </w:pPr>
            <w:r>
              <w:rPr>
                <w:rFonts w:hint="eastAsia" w:eastAsia="仿宋_GB2312"/>
                <w:kern w:val="0"/>
                <w:sz w:val="24"/>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8</w:t>
            </w:r>
          </w:p>
        </w:tc>
        <w:tc>
          <w:tcPr>
            <w:tcW w:w="3959" w:type="dxa"/>
            <w:shd w:val="clear" w:color="auto" w:fill="auto"/>
            <w:vAlign w:val="center"/>
          </w:tcPr>
          <w:p>
            <w:pPr>
              <w:spacing w:line="280" w:lineRule="atLeast"/>
              <w:jc w:val="center"/>
              <w:rPr>
                <w:rFonts w:eastAsia="仿宋_GB2312"/>
                <w:kern w:val="0"/>
                <w:sz w:val="24"/>
              </w:rPr>
            </w:pPr>
            <w:r>
              <w:rPr>
                <w:rFonts w:hint="eastAsia" w:eastAsia="仿宋_GB2312"/>
                <w:kern w:val="0"/>
                <w:sz w:val="24"/>
              </w:rPr>
              <w:t>城市</w:t>
            </w:r>
            <w:r>
              <w:rPr>
                <w:rFonts w:eastAsia="仿宋_GB2312"/>
                <w:kern w:val="0"/>
                <w:sz w:val="24"/>
              </w:rPr>
              <w:t>供水突发事件应急预案</w:t>
            </w:r>
          </w:p>
        </w:tc>
        <w:tc>
          <w:tcPr>
            <w:tcW w:w="3300" w:type="dxa"/>
            <w:shd w:val="clear" w:color="auto" w:fill="auto"/>
            <w:vAlign w:val="center"/>
          </w:tcPr>
          <w:p>
            <w:pPr>
              <w:spacing w:line="280" w:lineRule="atLeast"/>
              <w:jc w:val="center"/>
              <w:rPr>
                <w:rFonts w:eastAsia="仿宋_GB2312"/>
                <w:kern w:val="0"/>
                <w:sz w:val="24"/>
              </w:rPr>
            </w:pPr>
            <w:r>
              <w:rPr>
                <w:rFonts w:hint="eastAsia" w:eastAsia="仿宋_GB2312"/>
                <w:kern w:val="0"/>
                <w:sz w:val="24"/>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9</w:t>
            </w:r>
          </w:p>
        </w:tc>
        <w:tc>
          <w:tcPr>
            <w:tcW w:w="3959" w:type="dxa"/>
            <w:shd w:val="clear" w:color="auto" w:fill="auto"/>
            <w:vAlign w:val="center"/>
          </w:tcPr>
          <w:p>
            <w:pPr>
              <w:spacing w:line="280" w:lineRule="atLeast"/>
              <w:jc w:val="center"/>
              <w:rPr>
                <w:rFonts w:eastAsia="仿宋_GB2312"/>
                <w:kern w:val="0"/>
                <w:sz w:val="24"/>
              </w:rPr>
            </w:pPr>
            <w:r>
              <w:rPr>
                <w:rFonts w:hint="eastAsia" w:eastAsia="仿宋_GB2312"/>
                <w:kern w:val="0"/>
                <w:sz w:val="24"/>
              </w:rPr>
              <w:t>城镇</w:t>
            </w:r>
            <w:r>
              <w:rPr>
                <w:rFonts w:eastAsia="仿宋_GB2312"/>
                <w:kern w:val="0"/>
                <w:sz w:val="24"/>
              </w:rPr>
              <w:t>燃气事故应急预案</w:t>
            </w:r>
          </w:p>
        </w:tc>
        <w:tc>
          <w:tcPr>
            <w:tcW w:w="3300" w:type="dxa"/>
            <w:shd w:val="clear" w:color="auto" w:fill="auto"/>
            <w:vAlign w:val="center"/>
          </w:tcPr>
          <w:p>
            <w:pPr>
              <w:spacing w:line="280" w:lineRule="atLeast"/>
              <w:jc w:val="center"/>
              <w:rPr>
                <w:rFonts w:eastAsia="仿宋_GB2312"/>
                <w:kern w:val="0"/>
                <w:sz w:val="24"/>
              </w:rPr>
            </w:pPr>
            <w:r>
              <w:rPr>
                <w:rFonts w:hint="eastAsia" w:eastAsia="仿宋_GB2312"/>
                <w:kern w:val="0"/>
                <w:sz w:val="24"/>
              </w:rPr>
              <w:t>县住建局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10</w:t>
            </w:r>
          </w:p>
        </w:tc>
        <w:tc>
          <w:tcPr>
            <w:tcW w:w="3959" w:type="dxa"/>
            <w:shd w:val="clear" w:color="auto" w:fill="auto"/>
            <w:vAlign w:val="center"/>
          </w:tcPr>
          <w:p>
            <w:pPr>
              <w:spacing w:line="280" w:lineRule="atLeast"/>
              <w:jc w:val="center"/>
              <w:rPr>
                <w:rFonts w:eastAsia="仿宋_GB2312"/>
                <w:kern w:val="0"/>
                <w:sz w:val="24"/>
              </w:rPr>
            </w:pPr>
            <w:r>
              <w:rPr>
                <w:rFonts w:eastAsia="仿宋_GB2312"/>
                <w:kern w:val="0"/>
                <w:sz w:val="24"/>
              </w:rPr>
              <w:t>特种设备事故应急预案</w:t>
            </w:r>
          </w:p>
        </w:tc>
        <w:tc>
          <w:tcPr>
            <w:tcW w:w="3300" w:type="dxa"/>
            <w:shd w:val="clear" w:color="auto" w:fill="auto"/>
            <w:vAlign w:val="center"/>
          </w:tcPr>
          <w:p>
            <w:pPr>
              <w:spacing w:line="280" w:lineRule="atLeast"/>
              <w:jc w:val="center"/>
              <w:rPr>
                <w:rFonts w:eastAsia="仿宋_GB2312"/>
                <w:kern w:val="0"/>
                <w:sz w:val="24"/>
              </w:rPr>
            </w:pPr>
            <w:r>
              <w:rPr>
                <w:rFonts w:eastAsia="仿宋_GB2312"/>
                <w:kern w:val="0"/>
                <w:sz w:val="24"/>
              </w:rPr>
              <w:t>县市场</w:t>
            </w:r>
            <w:r>
              <w:rPr>
                <w:rFonts w:hint="eastAsia" w:eastAsia="仿宋_GB2312"/>
                <w:kern w:val="0"/>
                <w:sz w:val="24"/>
              </w:rPr>
              <w:t>监</w:t>
            </w:r>
            <w:r>
              <w:rPr>
                <w:rFonts w:eastAsia="仿宋_GB2312"/>
                <w:kern w:val="0"/>
                <w:sz w:val="24"/>
              </w:rPr>
              <w:t>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11</w:t>
            </w:r>
          </w:p>
        </w:tc>
        <w:tc>
          <w:tcPr>
            <w:tcW w:w="3959" w:type="dxa"/>
            <w:shd w:val="clear" w:color="auto" w:fill="auto"/>
            <w:vAlign w:val="center"/>
          </w:tcPr>
          <w:p>
            <w:pPr>
              <w:spacing w:line="280" w:lineRule="atLeast"/>
              <w:jc w:val="center"/>
              <w:rPr>
                <w:rFonts w:eastAsia="仿宋_GB2312"/>
                <w:kern w:val="0"/>
                <w:sz w:val="24"/>
              </w:rPr>
            </w:pPr>
            <w:r>
              <w:rPr>
                <w:rFonts w:eastAsia="仿宋_GB2312"/>
                <w:kern w:val="0"/>
                <w:sz w:val="24"/>
              </w:rPr>
              <w:t>辐射事故应急预案</w:t>
            </w:r>
          </w:p>
        </w:tc>
        <w:tc>
          <w:tcPr>
            <w:tcW w:w="3300" w:type="dxa"/>
            <w:shd w:val="clear" w:color="auto" w:fill="auto"/>
            <w:vAlign w:val="center"/>
          </w:tcPr>
          <w:p>
            <w:pPr>
              <w:spacing w:line="280" w:lineRule="atLeast"/>
              <w:jc w:val="center"/>
              <w:rPr>
                <w:rFonts w:eastAsia="仿宋_GB2312"/>
                <w:kern w:val="0"/>
                <w:sz w:val="24"/>
              </w:rPr>
            </w:pPr>
            <w:r>
              <w:rPr>
                <w:rFonts w:eastAsia="仿宋_GB2312"/>
                <w:kern w:val="0"/>
                <w:sz w:val="24"/>
              </w:rPr>
              <w:t>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12</w:t>
            </w:r>
          </w:p>
        </w:tc>
        <w:tc>
          <w:tcPr>
            <w:tcW w:w="3959" w:type="dxa"/>
            <w:shd w:val="clear" w:color="auto" w:fill="auto"/>
            <w:vAlign w:val="center"/>
          </w:tcPr>
          <w:p>
            <w:pPr>
              <w:spacing w:line="280" w:lineRule="atLeast"/>
              <w:jc w:val="center"/>
              <w:rPr>
                <w:rFonts w:eastAsia="仿宋_GB2312"/>
                <w:kern w:val="0"/>
                <w:sz w:val="24"/>
              </w:rPr>
            </w:pPr>
            <w:r>
              <w:rPr>
                <w:rFonts w:eastAsia="仿宋_GB2312"/>
                <w:kern w:val="0"/>
                <w:sz w:val="24"/>
              </w:rPr>
              <w:t>生态破坏事件应急预案</w:t>
            </w:r>
          </w:p>
        </w:tc>
        <w:tc>
          <w:tcPr>
            <w:tcW w:w="3300" w:type="dxa"/>
            <w:shd w:val="clear" w:color="auto" w:fill="auto"/>
            <w:vAlign w:val="center"/>
          </w:tcPr>
          <w:p>
            <w:pPr>
              <w:spacing w:line="280" w:lineRule="atLeast"/>
              <w:jc w:val="center"/>
              <w:rPr>
                <w:rFonts w:eastAsia="仿宋_GB2312"/>
                <w:kern w:val="0"/>
                <w:sz w:val="24"/>
              </w:rPr>
            </w:pPr>
            <w:r>
              <w:rPr>
                <w:rFonts w:eastAsia="仿宋_GB2312"/>
                <w:kern w:val="0"/>
                <w:sz w:val="24"/>
              </w:rPr>
              <w:t>县生态环境局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13</w:t>
            </w:r>
          </w:p>
        </w:tc>
        <w:tc>
          <w:tcPr>
            <w:tcW w:w="3959" w:type="dxa"/>
            <w:shd w:val="clear" w:color="auto" w:fill="auto"/>
            <w:vAlign w:val="center"/>
          </w:tcPr>
          <w:p>
            <w:pPr>
              <w:spacing w:line="280" w:lineRule="atLeast"/>
              <w:jc w:val="center"/>
              <w:rPr>
                <w:rFonts w:eastAsia="仿宋_GB2312"/>
                <w:kern w:val="0"/>
                <w:sz w:val="24"/>
              </w:rPr>
            </w:pPr>
            <w:r>
              <w:rPr>
                <w:rFonts w:hint="eastAsia" w:eastAsia="仿宋_GB2312"/>
                <w:kern w:val="0"/>
                <w:sz w:val="24"/>
              </w:rPr>
              <w:t>动物疫情</w:t>
            </w:r>
            <w:r>
              <w:rPr>
                <w:rFonts w:eastAsia="仿宋_GB2312"/>
                <w:kern w:val="0"/>
                <w:sz w:val="24"/>
              </w:rPr>
              <w:t>应急预案</w:t>
            </w:r>
          </w:p>
        </w:tc>
        <w:tc>
          <w:tcPr>
            <w:tcW w:w="3300" w:type="dxa"/>
            <w:shd w:val="clear" w:color="auto" w:fill="auto"/>
            <w:vAlign w:val="center"/>
          </w:tcPr>
          <w:p>
            <w:pPr>
              <w:spacing w:line="280" w:lineRule="atLeast"/>
              <w:jc w:val="center"/>
              <w:rPr>
                <w:rFonts w:eastAsia="仿宋_GB2312"/>
                <w:kern w:val="0"/>
                <w:sz w:val="24"/>
              </w:rPr>
            </w:pPr>
            <w:r>
              <w:rPr>
                <w:rFonts w:hint="eastAsia" w:eastAsia="仿宋_GB2312"/>
                <w:kern w:val="0"/>
                <w:sz w:val="24"/>
              </w:rPr>
              <w:t>县科技农业局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14</w:t>
            </w:r>
          </w:p>
        </w:tc>
        <w:tc>
          <w:tcPr>
            <w:tcW w:w="3959" w:type="dxa"/>
            <w:shd w:val="clear" w:color="auto" w:fill="auto"/>
            <w:vAlign w:val="center"/>
          </w:tcPr>
          <w:p>
            <w:pPr>
              <w:spacing w:line="280" w:lineRule="atLeast"/>
              <w:jc w:val="center"/>
              <w:rPr>
                <w:rFonts w:eastAsia="仿宋_GB2312"/>
                <w:kern w:val="0"/>
                <w:sz w:val="24"/>
              </w:rPr>
            </w:pPr>
            <w:r>
              <w:rPr>
                <w:rFonts w:eastAsia="仿宋_GB2312"/>
                <w:kern w:val="0"/>
                <w:sz w:val="24"/>
              </w:rPr>
              <w:t>刑事案件应急预案</w:t>
            </w:r>
          </w:p>
        </w:tc>
        <w:tc>
          <w:tcPr>
            <w:tcW w:w="3300" w:type="dxa"/>
            <w:shd w:val="clear" w:color="auto" w:fill="auto"/>
            <w:vAlign w:val="center"/>
          </w:tcPr>
          <w:p>
            <w:pPr>
              <w:spacing w:line="280" w:lineRule="atLeast"/>
              <w:jc w:val="center"/>
              <w:rPr>
                <w:rFonts w:eastAsia="仿宋_GB2312"/>
                <w:kern w:val="0"/>
                <w:sz w:val="24"/>
              </w:rPr>
            </w:pPr>
            <w:r>
              <w:rPr>
                <w:rFonts w:eastAsia="仿宋_GB2312"/>
                <w:kern w:val="0"/>
                <w:sz w:val="24"/>
              </w:rPr>
              <w:t>县公安局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15</w:t>
            </w:r>
          </w:p>
        </w:tc>
        <w:tc>
          <w:tcPr>
            <w:tcW w:w="3959" w:type="dxa"/>
            <w:shd w:val="clear" w:color="auto" w:fill="auto"/>
            <w:vAlign w:val="center"/>
          </w:tcPr>
          <w:p>
            <w:pPr>
              <w:spacing w:line="280" w:lineRule="atLeast"/>
              <w:jc w:val="center"/>
              <w:rPr>
                <w:rFonts w:eastAsia="仿宋_GB2312"/>
                <w:kern w:val="0"/>
                <w:sz w:val="24"/>
              </w:rPr>
            </w:pPr>
            <w:r>
              <w:rPr>
                <w:rFonts w:eastAsia="仿宋_GB2312"/>
                <w:kern w:val="0"/>
                <w:sz w:val="24"/>
              </w:rPr>
              <w:t>影响生活必需品市场稳定突发事件应急预案</w:t>
            </w:r>
          </w:p>
        </w:tc>
        <w:tc>
          <w:tcPr>
            <w:tcW w:w="3300" w:type="dxa"/>
            <w:shd w:val="clear" w:color="auto" w:fill="auto"/>
            <w:vAlign w:val="center"/>
          </w:tcPr>
          <w:p>
            <w:pPr>
              <w:spacing w:line="280" w:lineRule="atLeast"/>
              <w:jc w:val="center"/>
              <w:rPr>
                <w:rFonts w:eastAsia="仿宋_GB2312"/>
                <w:kern w:val="0"/>
                <w:sz w:val="24"/>
              </w:rPr>
            </w:pPr>
            <w:r>
              <w:rPr>
                <w:rFonts w:hint="eastAsia" w:eastAsia="仿宋_GB2312"/>
                <w:kern w:val="0"/>
                <w:sz w:val="24"/>
              </w:rPr>
              <w:t>县经信局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16</w:t>
            </w:r>
          </w:p>
        </w:tc>
        <w:tc>
          <w:tcPr>
            <w:tcW w:w="3959" w:type="dxa"/>
            <w:shd w:val="clear" w:color="auto" w:fill="auto"/>
            <w:vAlign w:val="center"/>
          </w:tcPr>
          <w:p>
            <w:pPr>
              <w:spacing w:line="280" w:lineRule="atLeast"/>
              <w:jc w:val="center"/>
              <w:rPr>
                <w:rFonts w:eastAsia="仿宋_GB2312"/>
                <w:kern w:val="0"/>
                <w:sz w:val="24"/>
              </w:rPr>
            </w:pPr>
            <w:r>
              <w:rPr>
                <w:rFonts w:eastAsia="仿宋_GB2312"/>
                <w:kern w:val="0"/>
                <w:sz w:val="24"/>
              </w:rPr>
              <w:t>民族宗教事件应急预案</w:t>
            </w:r>
          </w:p>
        </w:tc>
        <w:tc>
          <w:tcPr>
            <w:tcW w:w="3300" w:type="dxa"/>
            <w:shd w:val="clear" w:color="auto" w:fill="auto"/>
            <w:vAlign w:val="center"/>
          </w:tcPr>
          <w:p>
            <w:pPr>
              <w:spacing w:line="280" w:lineRule="atLeast"/>
              <w:jc w:val="center"/>
              <w:rPr>
                <w:rFonts w:eastAsia="仿宋_GB2312"/>
                <w:kern w:val="0"/>
                <w:sz w:val="24"/>
              </w:rPr>
            </w:pPr>
            <w:r>
              <w:rPr>
                <w:rFonts w:eastAsia="仿宋_GB2312"/>
                <w:kern w:val="0"/>
                <w:sz w:val="24"/>
              </w:rPr>
              <w:t>县民宗局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847" w:type="dxa"/>
            <w:shd w:val="clear" w:color="auto" w:fill="auto"/>
            <w:vAlign w:val="center"/>
          </w:tcPr>
          <w:p>
            <w:pPr>
              <w:spacing w:line="280" w:lineRule="atLeast"/>
              <w:jc w:val="center"/>
              <w:rPr>
                <w:rFonts w:eastAsia="仿宋_GB2312"/>
                <w:kern w:val="0"/>
                <w:sz w:val="24"/>
              </w:rPr>
            </w:pPr>
            <w:r>
              <w:rPr>
                <w:rFonts w:eastAsia="仿宋_GB2312"/>
                <w:kern w:val="0"/>
                <w:sz w:val="24"/>
              </w:rPr>
              <w:t>…</w:t>
            </w:r>
          </w:p>
        </w:tc>
        <w:tc>
          <w:tcPr>
            <w:tcW w:w="3959" w:type="dxa"/>
            <w:shd w:val="clear" w:color="auto" w:fill="auto"/>
            <w:vAlign w:val="center"/>
          </w:tcPr>
          <w:p>
            <w:pPr>
              <w:spacing w:line="280" w:lineRule="atLeast"/>
              <w:jc w:val="center"/>
              <w:rPr>
                <w:rFonts w:eastAsia="仿宋_GB2312"/>
                <w:kern w:val="0"/>
                <w:sz w:val="24"/>
              </w:rPr>
            </w:pPr>
            <w:r>
              <w:rPr>
                <w:rFonts w:eastAsia="仿宋_GB2312"/>
                <w:kern w:val="0"/>
                <w:sz w:val="24"/>
              </w:rPr>
              <w:t>……</w:t>
            </w:r>
          </w:p>
        </w:tc>
        <w:tc>
          <w:tcPr>
            <w:tcW w:w="3300" w:type="dxa"/>
            <w:shd w:val="clear" w:color="auto" w:fill="auto"/>
            <w:vAlign w:val="center"/>
          </w:tcPr>
          <w:p>
            <w:pPr>
              <w:spacing w:line="280" w:lineRule="atLeast"/>
              <w:jc w:val="center"/>
              <w:rPr>
                <w:rFonts w:eastAsia="仿宋_GB2312"/>
                <w:kern w:val="0"/>
                <w:sz w:val="24"/>
              </w:rPr>
            </w:pPr>
            <w:r>
              <w:rPr>
                <w:rFonts w:eastAsia="仿宋_GB2312"/>
                <w:kern w:val="0"/>
                <w:sz w:val="24"/>
              </w:rPr>
              <w:t>……</w:t>
            </w:r>
          </w:p>
        </w:tc>
      </w:tr>
    </w:tbl>
    <w:p>
      <w:pPr>
        <w:pStyle w:val="20"/>
        <w:adjustRightInd w:val="0"/>
        <w:snapToGrid w:val="0"/>
        <w:rPr>
          <w:rFonts w:ascii="仿宋_GB2312"/>
          <w:b/>
          <w:bCs/>
          <w:sz w:val="24"/>
        </w:rPr>
      </w:pPr>
      <w:r>
        <w:rPr>
          <w:rFonts w:hint="eastAsia" w:ascii="仿宋_GB2312"/>
          <w:b/>
          <w:bCs/>
          <w:sz w:val="24"/>
        </w:rPr>
        <w:t>备注：上表中</w:t>
      </w:r>
      <w:bookmarkStart w:id="119" w:name="_Hlk44338054"/>
      <w:r>
        <w:rPr>
          <w:rFonts w:hint="eastAsia" w:ascii="仿宋_GB2312"/>
          <w:b/>
          <w:bCs/>
          <w:sz w:val="24"/>
        </w:rPr>
        <w:t>未列明的部门预案由相关部门自行制定。</w:t>
      </w:r>
      <w:bookmarkEnd w:id="119"/>
    </w:p>
    <w:p>
      <w:pPr>
        <w:pStyle w:val="20"/>
        <w:adjustRightInd w:val="0"/>
        <w:snapToGrid w:val="0"/>
        <w:rPr>
          <w:rFonts w:eastAsia="仿宋"/>
          <w:b/>
          <w:bCs/>
          <w:sz w:val="24"/>
        </w:rPr>
        <w:sectPr>
          <w:footerReference r:id="rId5" w:type="default"/>
          <w:footerReference r:id="rId6" w:type="even"/>
          <w:pgSz w:w="11906" w:h="16838"/>
          <w:pgMar w:top="1440" w:right="1800" w:bottom="1440" w:left="1800" w:header="851" w:footer="992" w:gutter="0"/>
          <w:pgNumType w:fmt="numberInDash" w:start="1"/>
          <w:docGrid w:type="lines" w:linePitch="312" w:charSpace="0"/>
        </w:sectPr>
      </w:pPr>
    </w:p>
    <w:bookmarkEnd w:id="115"/>
    <w:p>
      <w:pPr>
        <w:pStyle w:val="20"/>
        <w:outlineLvl w:val="1"/>
        <w:rPr>
          <w:rFonts w:eastAsia="仿宋"/>
          <w:b/>
          <w:bCs/>
        </w:rPr>
      </w:pPr>
      <w:bookmarkStart w:id="120" w:name="_Toc8653315"/>
      <w:bookmarkEnd w:id="120"/>
      <w:bookmarkStart w:id="121" w:name="_Toc14688"/>
      <w:r>
        <w:rPr>
          <w:rFonts w:eastAsia="仿宋"/>
          <w:b/>
          <w:bCs/>
        </w:rPr>
        <w:t>9.2</w:t>
      </w:r>
      <w:r>
        <w:rPr>
          <w:rFonts w:hint="eastAsia" w:ascii="仿宋_GB2312"/>
          <w:bCs/>
        </w:rPr>
        <w:t>茂县突发事件应急组织体系结构图</w:t>
      </w:r>
      <w:bookmarkEnd w:id="121"/>
    </w:p>
    <w:p>
      <w:pPr>
        <w:pStyle w:val="20"/>
        <w:adjustRightInd w:val="0"/>
        <w:snapToGrid w:val="0"/>
        <w:spacing w:line="240" w:lineRule="atLeast"/>
        <w:ind w:firstLine="0" w:firstLineChars="0"/>
        <w:jc w:val="center"/>
      </w:pPr>
    </w:p>
    <w:p>
      <w:pPr>
        <w:pStyle w:val="20"/>
        <w:adjustRightInd w:val="0"/>
        <w:snapToGrid w:val="0"/>
        <w:spacing w:line="240" w:lineRule="atLeast"/>
        <w:ind w:firstLine="0" w:firstLineChars="0"/>
        <w:jc w:val="center"/>
        <w:sectPr>
          <w:pgSz w:w="16838" w:h="11906" w:orient="landscape"/>
          <w:pgMar w:top="1080" w:right="1440" w:bottom="1080" w:left="1440" w:header="851" w:footer="992" w:gutter="0"/>
          <w:pgNumType w:fmt="numberInDash"/>
          <w:docGrid w:type="lines" w:linePitch="312" w:charSpace="0"/>
        </w:sectPr>
      </w:pPr>
      <w:r>
        <w:object>
          <v:shape id="_x0000_i1025" o:spt="75" type="#_x0000_t75" style="height:422.2pt;width:591.75pt;" o:ole="t" filled="f" o:preferrelative="t" stroked="f" coordsize="21600,21600">
            <v:path/>
            <v:fill on="f" focussize="0,0"/>
            <v:stroke on="f" color="#000000"/>
            <v:imagedata r:id="rId9" o:title="8270750781632792288069"/>
            <o:lock v:ext="edit" aspectratio="t"/>
            <w10:wrap type="none"/>
            <w10:anchorlock/>
          </v:shape>
          <o:OLEObject Type="Embed" ProgID="Package" ShapeID="_x0000_i1025" DrawAspect="Content" ObjectID="_1468075725" r:id="rId8">
            <o:LockedField>false</o:LockedField>
          </o:OLEObject>
        </w:object>
      </w:r>
    </w:p>
    <w:bookmarkEnd w:id="110"/>
    <w:p>
      <w:pPr>
        <w:pStyle w:val="20"/>
        <w:outlineLvl w:val="1"/>
        <w:rPr>
          <w:rFonts w:eastAsia="仿宋"/>
          <w:b/>
          <w:bCs/>
        </w:rPr>
      </w:pPr>
      <w:bookmarkStart w:id="122" w:name="_Toc21916"/>
      <w:r>
        <w:rPr>
          <w:rFonts w:eastAsia="仿宋"/>
          <w:b/>
          <w:bCs/>
        </w:rPr>
        <w:t>9.</w:t>
      </w:r>
      <w:r>
        <w:rPr>
          <w:rFonts w:hint="eastAsia" w:eastAsia="仿宋"/>
          <w:b/>
          <w:bCs/>
        </w:rPr>
        <w:t>3茂县突发事件应急响应参考流程图</w:t>
      </w:r>
      <w:bookmarkEnd w:id="122"/>
    </w:p>
    <w:p>
      <w:pPr>
        <w:pStyle w:val="20"/>
        <w:spacing w:line="240" w:lineRule="auto"/>
        <w:ind w:firstLine="198" w:firstLineChars="62"/>
      </w:pPr>
      <w:bookmarkStart w:id="123" w:name="_Toc69484278"/>
      <w:r>
        <w:object>
          <v:shape id="_x0000_i1026" o:spt="75" type="#_x0000_t75" style="height:463.5pt;width:486.75pt;" o:ole="t" filled="f" o:preferrelative="t" stroked="f" coordsize="21600,21600">
            <v:path/>
            <v:fill on="f" focussize="0,0"/>
            <v:stroke on="f" color="#000000"/>
            <v:imagedata r:id="rId11" o:title="5986102241632792288105"/>
            <o:lock v:ext="edit" aspectratio="t"/>
            <w10:wrap type="none"/>
            <w10:anchorlock/>
          </v:shape>
          <o:OLEObject Type="Embed" ProgID="Package" ShapeID="_x0000_i1026" DrawAspect="Content" ObjectID="_1468075726" r:id="rId10">
            <o:LockedField>false</o:LockedField>
          </o:OLEObject>
        </w:object>
      </w:r>
      <w:r>
        <w:br w:type="page"/>
      </w:r>
    </w:p>
    <w:p>
      <w:pPr>
        <w:pStyle w:val="20"/>
        <w:outlineLvl w:val="1"/>
        <w:rPr>
          <w:rFonts w:eastAsia="仿宋"/>
          <w:b/>
          <w:bCs/>
        </w:rPr>
      </w:pPr>
      <w:bookmarkStart w:id="124" w:name="_Toc4223"/>
      <w:r>
        <w:rPr>
          <w:rFonts w:hint="eastAsia" w:eastAsia="仿宋"/>
          <w:b/>
          <w:bCs/>
        </w:rPr>
        <w:t>9.4茂县突发事件应急处置与救援参考流程图</w:t>
      </w:r>
      <w:bookmarkEnd w:id="124"/>
    </w:p>
    <w:p>
      <w:pPr>
        <w:pStyle w:val="20"/>
        <w:spacing w:line="240" w:lineRule="auto"/>
        <w:ind w:firstLine="0" w:firstLineChars="0"/>
        <w:jc w:val="center"/>
      </w:pPr>
      <w:r>
        <w:object>
          <v:shape id="_x0000_i1027" o:spt="75" type="#_x0000_t75" style="height:652.5pt;width:447pt;" o:ole="t" filled="f" o:preferrelative="t" stroked="f" coordsize="21600,21600">
            <v:path/>
            <v:fill on="f" focussize="0,0"/>
            <v:stroke on="f" color="#000000"/>
            <v:imagedata r:id="rId13" o:title="9597449321632792288111"/>
            <o:lock v:ext="edit" aspectratio="t"/>
            <w10:wrap type="none"/>
            <w10:anchorlock/>
          </v:shape>
          <o:OLEObject Type="Embed" ProgID="Package" ShapeID="_x0000_i1027" DrawAspect="Content" ObjectID="_1468075727" r:id="rId12">
            <o:LockedField>false</o:LockedField>
          </o:OLEObject>
        </w:object>
      </w:r>
    </w:p>
    <w:p>
      <w:pPr>
        <w:pStyle w:val="20"/>
        <w:spacing w:line="240" w:lineRule="auto"/>
        <w:ind w:firstLine="0" w:firstLineChars="0"/>
        <w:jc w:val="center"/>
        <w:sectPr>
          <w:pgSz w:w="11906" w:h="16838"/>
          <w:pgMar w:top="1440" w:right="1080" w:bottom="1440" w:left="1080" w:header="851" w:footer="992" w:gutter="0"/>
          <w:pgNumType w:fmt="numberInDash"/>
          <w:docGrid w:type="lines" w:linePitch="312" w:charSpace="0"/>
        </w:sectPr>
      </w:pPr>
    </w:p>
    <w:p>
      <w:pPr>
        <w:pStyle w:val="20"/>
        <w:spacing w:line="600" w:lineRule="exact"/>
        <w:outlineLvl w:val="1"/>
        <w:rPr>
          <w:b/>
          <w:bCs/>
        </w:rPr>
      </w:pPr>
      <w:bookmarkStart w:id="125" w:name="_Toc15686"/>
      <w:r>
        <w:rPr>
          <w:rFonts w:eastAsia="仿宋"/>
          <w:b/>
          <w:bCs/>
        </w:rPr>
        <w:t>9.5</w:t>
      </w:r>
      <w:r>
        <w:rPr>
          <w:rFonts w:hint="eastAsia" w:ascii="仿宋_GB2312"/>
          <w:bCs/>
        </w:rPr>
        <w:t>茂县应急委员会通讯录</w:t>
      </w:r>
      <w:bookmarkEnd w:id="123"/>
      <w:bookmarkEnd w:id="125"/>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61"/>
        <w:gridCol w:w="4141"/>
        <w:gridCol w:w="2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4" w:hRule="atLeast"/>
          <w:jc w:val="center"/>
        </w:trPr>
        <w:tc>
          <w:tcPr>
            <w:tcW w:w="1561" w:type="dxa"/>
            <w:vAlign w:val="center"/>
          </w:tcPr>
          <w:p>
            <w:pPr>
              <w:pStyle w:val="20"/>
              <w:adjustRightInd w:val="0"/>
              <w:snapToGrid w:val="0"/>
              <w:spacing w:line="360" w:lineRule="auto"/>
              <w:ind w:firstLine="0" w:firstLineChars="0"/>
              <w:jc w:val="center"/>
              <w:rPr>
                <w:rFonts w:eastAsia="宋体"/>
                <w:b/>
                <w:sz w:val="24"/>
              </w:rPr>
            </w:pPr>
            <w:r>
              <w:rPr>
                <w:rFonts w:eastAsia="宋体"/>
                <w:b/>
                <w:sz w:val="24"/>
              </w:rPr>
              <w:t>序号</w:t>
            </w:r>
          </w:p>
        </w:tc>
        <w:tc>
          <w:tcPr>
            <w:tcW w:w="4141" w:type="dxa"/>
            <w:vAlign w:val="center"/>
          </w:tcPr>
          <w:p>
            <w:pPr>
              <w:pStyle w:val="20"/>
              <w:adjustRightInd w:val="0"/>
              <w:snapToGrid w:val="0"/>
              <w:spacing w:line="360" w:lineRule="auto"/>
              <w:ind w:firstLine="0" w:firstLineChars="0"/>
              <w:jc w:val="center"/>
              <w:rPr>
                <w:rFonts w:eastAsia="宋体"/>
                <w:b/>
                <w:sz w:val="24"/>
              </w:rPr>
            </w:pPr>
            <w:r>
              <w:rPr>
                <w:rFonts w:eastAsia="宋体"/>
                <w:b/>
                <w:sz w:val="24"/>
              </w:rPr>
              <w:t>单位</w:t>
            </w:r>
          </w:p>
        </w:tc>
        <w:tc>
          <w:tcPr>
            <w:tcW w:w="2980" w:type="dxa"/>
            <w:vAlign w:val="center"/>
          </w:tcPr>
          <w:p>
            <w:pPr>
              <w:pStyle w:val="20"/>
              <w:adjustRightInd w:val="0"/>
              <w:snapToGrid w:val="0"/>
              <w:spacing w:line="360" w:lineRule="auto"/>
              <w:ind w:firstLine="0" w:firstLineChars="0"/>
              <w:jc w:val="center"/>
              <w:rPr>
                <w:rFonts w:eastAsia="宋体"/>
                <w:b/>
                <w:sz w:val="24"/>
              </w:rPr>
            </w:pPr>
            <w:r>
              <w:rPr>
                <w:rFonts w:eastAsia="宋体"/>
                <w:b/>
                <w:sz w:val="24"/>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pStyle w:val="20"/>
              <w:adjustRightInd w:val="0"/>
              <w:snapToGrid w:val="0"/>
              <w:spacing w:line="360" w:lineRule="auto"/>
              <w:ind w:firstLine="0" w:firstLineChars="0"/>
              <w:jc w:val="center"/>
              <w:rPr>
                <w:rFonts w:eastAsia="宋体"/>
                <w:sz w:val="24"/>
              </w:rPr>
            </w:pPr>
            <w:r>
              <w:rPr>
                <w:rFonts w:eastAsia="宋体"/>
                <w:sz w:val="24"/>
              </w:rPr>
              <w:t>县法院</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pStyle w:val="20"/>
              <w:adjustRightInd w:val="0"/>
              <w:snapToGrid w:val="0"/>
              <w:spacing w:line="360" w:lineRule="auto"/>
              <w:ind w:firstLine="0" w:firstLineChars="0"/>
              <w:jc w:val="center"/>
              <w:rPr>
                <w:rFonts w:eastAsia="宋体"/>
                <w:sz w:val="24"/>
              </w:rPr>
            </w:pPr>
            <w:r>
              <w:rPr>
                <w:rFonts w:eastAsia="宋体"/>
                <w:sz w:val="24"/>
              </w:rPr>
              <w:t>县检察院</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pStyle w:val="20"/>
              <w:adjustRightInd w:val="0"/>
              <w:snapToGrid w:val="0"/>
              <w:spacing w:line="360" w:lineRule="auto"/>
              <w:ind w:firstLine="0" w:firstLineChars="0"/>
              <w:jc w:val="center"/>
              <w:rPr>
                <w:rFonts w:eastAsia="宋体"/>
                <w:sz w:val="24"/>
              </w:rPr>
            </w:pPr>
            <w:r>
              <w:rPr>
                <w:rFonts w:eastAsia="宋体"/>
                <w:sz w:val="24"/>
              </w:rPr>
              <w:t>县委宣传部（县委网信办）</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7422069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pStyle w:val="20"/>
              <w:adjustRightInd w:val="0"/>
              <w:snapToGrid w:val="0"/>
              <w:spacing w:line="360" w:lineRule="auto"/>
              <w:ind w:firstLine="0" w:firstLineChars="0"/>
              <w:jc w:val="center"/>
              <w:rPr>
                <w:rFonts w:eastAsia="宋体"/>
                <w:sz w:val="24"/>
              </w:rPr>
            </w:pPr>
            <w:r>
              <w:rPr>
                <w:rFonts w:eastAsia="宋体"/>
                <w:sz w:val="24"/>
              </w:rPr>
              <w:t>县公务服务中心</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7420890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pStyle w:val="20"/>
              <w:adjustRightInd w:val="0"/>
              <w:snapToGrid w:val="0"/>
              <w:spacing w:line="360" w:lineRule="auto"/>
              <w:ind w:firstLine="0" w:firstLineChars="0"/>
              <w:jc w:val="center"/>
              <w:rPr>
                <w:rFonts w:eastAsia="宋体"/>
                <w:sz w:val="24"/>
              </w:rPr>
            </w:pPr>
            <w:r>
              <w:rPr>
                <w:rFonts w:eastAsia="宋体"/>
                <w:sz w:val="24"/>
              </w:rPr>
              <w:t>县发改局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7422767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pStyle w:val="20"/>
              <w:adjustRightInd w:val="0"/>
              <w:snapToGrid w:val="0"/>
              <w:spacing w:line="360" w:lineRule="auto"/>
              <w:ind w:firstLine="0" w:firstLineChars="0"/>
              <w:jc w:val="center"/>
              <w:rPr>
                <w:rFonts w:eastAsia="宋体"/>
                <w:sz w:val="24"/>
              </w:rPr>
            </w:pPr>
            <w:r>
              <w:rPr>
                <w:rFonts w:eastAsia="宋体"/>
                <w:sz w:val="24"/>
              </w:rPr>
              <w:t>县经信局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pStyle w:val="20"/>
              <w:adjustRightInd w:val="0"/>
              <w:snapToGrid w:val="0"/>
              <w:spacing w:line="360" w:lineRule="auto"/>
              <w:ind w:firstLine="0" w:firstLineChars="0"/>
              <w:jc w:val="center"/>
              <w:rPr>
                <w:rFonts w:eastAsia="宋体"/>
                <w:sz w:val="24"/>
              </w:rPr>
            </w:pPr>
            <w:r>
              <w:rPr>
                <w:rFonts w:eastAsia="宋体"/>
                <w:sz w:val="24"/>
              </w:rPr>
              <w:t>县教育局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7422255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pStyle w:val="20"/>
              <w:adjustRightInd w:val="0"/>
              <w:snapToGrid w:val="0"/>
              <w:spacing w:line="360" w:lineRule="auto"/>
              <w:ind w:firstLine="0" w:firstLineChars="0"/>
              <w:jc w:val="center"/>
              <w:rPr>
                <w:rFonts w:eastAsia="宋体"/>
                <w:sz w:val="24"/>
              </w:rPr>
            </w:pPr>
            <w:r>
              <w:rPr>
                <w:rFonts w:eastAsia="宋体"/>
                <w:sz w:val="24"/>
              </w:rPr>
              <w:t>县民宗局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7425027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pStyle w:val="20"/>
              <w:adjustRightInd w:val="0"/>
              <w:snapToGrid w:val="0"/>
              <w:spacing w:line="360" w:lineRule="auto"/>
              <w:ind w:firstLine="0" w:firstLineChars="0"/>
              <w:jc w:val="center"/>
              <w:rPr>
                <w:rFonts w:eastAsia="宋体"/>
                <w:sz w:val="24"/>
              </w:rPr>
            </w:pPr>
            <w:r>
              <w:rPr>
                <w:rFonts w:eastAsia="宋体"/>
                <w:sz w:val="24"/>
              </w:rPr>
              <w:t>县公安局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7428325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pStyle w:val="20"/>
              <w:adjustRightInd w:val="0"/>
              <w:snapToGrid w:val="0"/>
              <w:spacing w:line="360" w:lineRule="auto"/>
              <w:ind w:firstLine="0" w:firstLineChars="0"/>
              <w:jc w:val="center"/>
              <w:rPr>
                <w:rFonts w:eastAsia="宋体"/>
                <w:sz w:val="24"/>
              </w:rPr>
            </w:pPr>
            <w:r>
              <w:rPr>
                <w:rFonts w:eastAsia="宋体"/>
                <w:sz w:val="24"/>
              </w:rPr>
              <w:t>县民政局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7448530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县司法局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7423148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县财政局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7422332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县人社局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7422203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县自然资源局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7422212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县生态环境局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7421033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县住建局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7422211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县交通运输局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7422341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县水务局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6939100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县科技农业局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7422401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县文体旅游局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7422944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县卫生健康局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7422137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县应急局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7428105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县市场监管局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7422417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县扶贫开发局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7421908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县信访局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7428200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县林草局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7422252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县融媒体中心</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7422440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shd w:val="clear" w:color="auto" w:fill="auto"/>
            <w:vAlign w:val="center"/>
          </w:tcPr>
          <w:p>
            <w:pPr>
              <w:spacing w:line="360" w:lineRule="auto"/>
              <w:jc w:val="center"/>
              <w:rPr>
                <w:sz w:val="24"/>
              </w:rPr>
            </w:pPr>
            <w:r>
              <w:rPr>
                <w:sz w:val="24"/>
              </w:rPr>
              <w:t>县国资中心</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7465015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县人防办</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7425918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shd w:val="clear" w:color="auto" w:fill="auto"/>
            <w:vAlign w:val="center"/>
          </w:tcPr>
          <w:p>
            <w:pPr>
              <w:spacing w:line="360" w:lineRule="auto"/>
              <w:jc w:val="center"/>
              <w:rPr>
                <w:sz w:val="24"/>
              </w:rPr>
            </w:pPr>
            <w:r>
              <w:rPr>
                <w:sz w:val="24"/>
              </w:rPr>
              <w:t>县防震减灾局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7422746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县气象局</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县供销社</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7422933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团县委</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7422067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县红十字会</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7448509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县消防救援大队</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县人武部</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7422321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武警茂县中队</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7422307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九黄运业茂县分公司</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徐康贤13909042661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农行茂县支行</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7422373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茂县信用社</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7421539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建设银行茂县支行</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7419036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茂县电力公司</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7428799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中石油四川岷江销售分公司</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冉  茂13547738940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中国石化四川德阳石油分公司</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贺志清13890130301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移动茂县分公司</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余国琼13909045922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电信茂县分公司</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钟木云1530949326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联通茂县分公司</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马  芳18608370157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jc w:val="center"/>
        </w:trPr>
        <w:tc>
          <w:tcPr>
            <w:tcW w:w="1561" w:type="dxa"/>
            <w:vAlign w:val="center"/>
          </w:tcPr>
          <w:p>
            <w:pPr>
              <w:pStyle w:val="20"/>
              <w:numPr>
                <w:ilvl w:val="0"/>
                <w:numId w:val="3"/>
              </w:numPr>
              <w:adjustRightInd w:val="0"/>
              <w:snapToGrid w:val="0"/>
              <w:spacing w:line="360" w:lineRule="auto"/>
              <w:ind w:left="630"/>
              <w:jc w:val="center"/>
              <w:rPr>
                <w:rFonts w:eastAsia="宋体"/>
                <w:sz w:val="24"/>
              </w:rPr>
            </w:pPr>
          </w:p>
        </w:tc>
        <w:tc>
          <w:tcPr>
            <w:tcW w:w="4141" w:type="dxa"/>
            <w:vAlign w:val="center"/>
          </w:tcPr>
          <w:p>
            <w:pPr>
              <w:spacing w:line="360" w:lineRule="auto"/>
              <w:jc w:val="center"/>
              <w:rPr>
                <w:sz w:val="24"/>
              </w:rPr>
            </w:pPr>
            <w:r>
              <w:rPr>
                <w:sz w:val="24"/>
              </w:rPr>
              <w:t>茂县铁塔公司</w:t>
            </w:r>
          </w:p>
        </w:tc>
        <w:tc>
          <w:tcPr>
            <w:tcW w:w="2980" w:type="dxa"/>
            <w:vAlign w:val="center"/>
          </w:tcPr>
          <w:p>
            <w:pPr>
              <w:pStyle w:val="20"/>
              <w:adjustRightInd w:val="0"/>
              <w:snapToGrid w:val="0"/>
              <w:spacing w:line="360" w:lineRule="auto"/>
              <w:ind w:firstLine="0" w:firstLineChars="0"/>
              <w:jc w:val="center"/>
              <w:rPr>
                <w:rFonts w:eastAsia="宋体"/>
                <w:sz w:val="24"/>
              </w:rPr>
            </w:pPr>
            <w:r>
              <w:rPr>
                <w:rFonts w:eastAsia="宋体"/>
                <w:sz w:val="24"/>
              </w:rPr>
              <w:t>15884076633</w:t>
            </w:r>
          </w:p>
        </w:tc>
      </w:tr>
    </w:tbl>
    <w:p>
      <w:pPr>
        <w:pStyle w:val="20"/>
        <w:adjustRightInd w:val="0"/>
        <w:snapToGrid w:val="0"/>
        <w:spacing w:line="240" w:lineRule="atLeast"/>
        <w:ind w:firstLine="0" w:firstLineChars="0"/>
        <w:jc w:val="center"/>
        <w:rPr>
          <w:rFonts w:eastAsia="仿宋"/>
        </w:rPr>
      </w:pPr>
    </w:p>
    <w:p>
      <w:pPr>
        <w:spacing w:line="40" w:lineRule="atLeast"/>
        <w:rPr>
          <w:rFonts w:eastAsia="黑体"/>
          <w:sz w:val="18"/>
          <w:szCs w:val="18"/>
        </w:rPr>
      </w:pPr>
    </w:p>
    <w:p>
      <w:pPr>
        <w:spacing w:line="40" w:lineRule="atLeast"/>
        <w:rPr>
          <w:rFonts w:eastAsia="黑体"/>
          <w:sz w:val="18"/>
          <w:szCs w:val="18"/>
        </w:rPr>
      </w:pPr>
    </w:p>
    <w:p>
      <w:pPr>
        <w:spacing w:line="40" w:lineRule="atLeast"/>
        <w:rPr>
          <w:rFonts w:eastAsia="黑体"/>
          <w:sz w:val="18"/>
          <w:szCs w:val="18"/>
        </w:rPr>
      </w:pPr>
    </w:p>
    <w:p>
      <w:pPr>
        <w:spacing w:line="576" w:lineRule="exact"/>
        <w:rPr>
          <w:rFonts w:hint="eastAsia" w:ascii="方正小标宋简体" w:eastAsia="方正小标宋简体" w:cs="方正小标宋简体"/>
          <w:sz w:val="32"/>
          <w:szCs w:val="32"/>
          <w:lang w:bidi="ar-SA"/>
        </w:rPr>
      </w:pPr>
      <w:r>
        <w:rPr>
          <w:rFonts w:hint="eastAsia" w:ascii="黑体" w:eastAsia="黑体" w:cs="黑体"/>
          <w:sz w:val="32"/>
          <w:szCs w:val="32"/>
          <w:lang w:bidi="ar-SA"/>
        </w:rPr>
        <w:t>息公开选项：</w:t>
      </w:r>
      <w:r>
        <w:rPr>
          <w:rFonts w:hint="eastAsia" w:ascii="方正小标宋简体" w:eastAsia="方正小标宋简体" w:cs="方正小标宋简体"/>
          <w:sz w:val="32"/>
          <w:szCs w:val="32"/>
          <w:lang w:bidi="ar-SA"/>
        </w:rPr>
        <w:t>主动公开</w:t>
      </w:r>
    </w:p>
    <w:p>
      <w:pPr>
        <w:snapToGrid w:val="0"/>
        <w:spacing w:line="576" w:lineRule="exact"/>
        <w:ind w:left="46" w:leftChars="22"/>
        <w:jc w:val="left"/>
        <w:rPr>
          <w:rFonts w:hint="eastAsia" w:ascii="黑体" w:eastAsia="黑体"/>
          <w:sz w:val="28"/>
          <w:szCs w:val="28"/>
        </w:rPr>
      </w:pPr>
      <w:r>
        <w:rPr>
          <w:rFonts w:hint="eastAsia" w:ascii="黑体" w:eastAsia="黑体"/>
          <w:sz w:val="28"/>
          <w:szCs w:val="28"/>
          <w:lang w:val="en-US" w:eastAsia="zh-CN"/>
        </w:rPr>
        <mc:AlternateContent>
          <mc:Choice Requires="wps">
            <w:drawing>
              <wp:anchor distT="0" distB="0" distL="113665" distR="113665" simplePos="0" relativeHeight="1024" behindDoc="0" locked="0" layoutInCell="1" allowOverlap="1">
                <wp:simplePos x="0" y="0"/>
                <wp:positionH relativeFrom="column">
                  <wp:posOffset>0</wp:posOffset>
                </wp:positionH>
                <wp:positionV relativeFrom="paragraph">
                  <wp:posOffset>27305</wp:posOffset>
                </wp:positionV>
                <wp:extent cx="5600700" cy="0"/>
                <wp:effectExtent l="0" t="0" r="0" b="0"/>
                <wp:wrapNone/>
                <wp:docPr id="13" name="直线 6"/>
                <wp:cNvGraphicFramePr/>
                <a:graphic xmlns:a="http://schemas.openxmlformats.org/drawingml/2006/main">
                  <a:graphicData uri="http://schemas.microsoft.com/office/word/2010/wordprocessingShape">
                    <wps:wsp>
                      <wps:cNvCnPr/>
                      <wps:spPr>
                        <a:xfrm>
                          <a:off x="0" y="0"/>
                          <a:ext cx="5600700" cy="0"/>
                        </a:xfrm>
                        <a:prstGeom prst="line">
                          <a:avLst/>
                        </a:prstGeom>
                        <a:noFill/>
                        <a:ln w="190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6" o:spid="_x0000_s1026" o:spt="20" style="position:absolute;left:0pt;margin-left:0pt;margin-top:2.15pt;height:0pt;width:441pt;z-index:1024;mso-width-relative:page;mso-height-relative:page;" filled="f" stroked="t" coordsize="21600,21600" o:gfxdata="UEsDBAoAAAAAAIdO4kAAAAAAAAAAAAAAAAAEAAAAZHJzL1BLAwQUAAAACACHTuJAfQiqZ9QAAAAE&#10;AQAADwAAAGRycy9kb3ducmV2LnhtbE2PTUsDMRCG74L/IYzgzSZtRdJ1s0UKpYgKbtuDx3Qz3V3c&#10;TJZN+vXvO3rR48M7vO8z+fzsO3HEIbaBDIxHCgRSFVxLtYHtZvmgQcRkydkuEBq4YIR5cXuT28yF&#10;E5V4XKdacAnFzBpoUuozKWPVoLdxFHokzvZh8DYxDrV0gz1xue/kRKkn6W1LvNDYHhcNVt/rgzcw&#10;ffvYlOlT07Lcz95X4eVLv6pgzP3dWD2DSHhOf8fwo8/qULDTLhzIRdEZ4EeSgccpCA61njDvflkW&#10;ufwvX1wBUEsDBBQAAAAIAIdO4kDTR1T/9wEAANEDAAAOAAAAZHJzL2Uyb0RvYy54bWytU82O0zAQ&#10;viPxDpbvNGlpu2zUdIVaLUJCUAn2AVzHTiz5j7HbtLwKr8GJC4+zr8HY6bZduCFycGY845n5Pn9e&#10;3B2MJnsBQTlb0/GopERY7hpl25o+fLl/9YaSEJltmHZW1PQoAr1bvnyx6H0lJq5zuhFAsIgNVe9r&#10;2sXoq6IIvBOGhZHzwmJQOjAsogtt0QDrsbrRxaQs50XvoPHguAgBd9dDkC5zfSkFj5+kDCISXVOc&#10;LeYV8rpNa7FcsKoF5jvFT2Owf5jCMGWx6bnUmkVGdqD+KmUUBxecjCPuTOGkVFxkDIhmXP6B5nPH&#10;vMhYkJzgzzSF/1eWf9xvgKgG7+41JZYZvKPH7z8ef/4i80RO70OFOSu7gZMX/AYS0oMEk/6IgRwy&#10;occzoeIQCcfN2bwsb0rknT/FistBDyG+E86QZNRUK5uwsortP4SIzTD1KSVtW3evtM73pS3pceDb&#10;cpZKM5SN1CyiaTwCCbbNdYLTqkln0ukA7XalgexZEkL+Ejzs8SwtNVyz0A15OTRIxKgoEgN4QFv8&#10;JV4GJpK1dc0RacR3gEA6B98o6VFTOMvXHQNBiX5v8dJux9NpEmF2prObCTpwHdleR5jlWKqmCGww&#10;V3EQ7s6DajvsNM44rXu7i06qzNllmtOQqJs89UnjSZjXfs66vMTlb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H0IqmfUAAAABAEAAA8AAAAAAAAAAQAgAAAAIgAAAGRycy9kb3ducmV2LnhtbFBLAQIU&#10;ABQAAAAIAIdO4kDTR1T/9wEAANEDAAAOAAAAAAAAAAEAIAAAACMBAABkcnMvZTJvRG9jLnhtbFBL&#10;BQYAAAAABgAGAFkBAACMBQAAAAA=&#10;">
                <v:fill on="f" focussize="0,0"/>
                <v:stroke weight="1.5pt" color="#000000" joinstyle="miter"/>
                <v:imagedata o:title=""/>
                <o:lock v:ext="edit" aspectratio="f"/>
              </v:line>
            </w:pict>
          </mc:Fallback>
        </mc:AlternateContent>
      </w:r>
      <w:r>
        <w:rPr>
          <w:rFonts w:hint="eastAsia" w:ascii="仿宋_GB2312" w:eastAsia="仿宋_GB2312"/>
          <w:sz w:val="28"/>
          <w:szCs w:val="28"/>
        </w:rPr>
        <w:t>抄送：县委办，县人大办，县政协办，县法院，县检察院，县人武部。</w:t>
      </w:r>
    </w:p>
    <w:p>
      <w:pPr>
        <w:snapToGrid w:val="0"/>
        <w:spacing w:line="576" w:lineRule="exact"/>
        <w:ind w:firstLine="140" w:firstLineChars="50"/>
        <w:jc w:val="left"/>
        <w:rPr>
          <w:rFonts w:hint="eastAsia" w:ascii="仿宋_GB2312" w:eastAsia="仿宋_GB2312"/>
          <w:sz w:val="28"/>
          <w:szCs w:val="28"/>
        </w:rPr>
      </w:pPr>
      <w:r>
        <w:rPr>
          <w:rFonts w:hint="eastAsia" w:ascii="仿宋_GB2312" w:eastAsia="仿宋_GB2312"/>
          <w:sz w:val="28"/>
          <w:szCs w:val="28"/>
        </w:rPr>
        <mc:AlternateContent>
          <mc:Choice Requires="wps">
            <w:drawing>
              <wp:anchor distT="0" distB="0" distL="113665" distR="113665" simplePos="0" relativeHeight="1024" behindDoc="0" locked="0" layoutInCell="1" allowOverlap="1">
                <wp:simplePos x="0" y="0"/>
                <wp:positionH relativeFrom="column">
                  <wp:posOffset>0</wp:posOffset>
                </wp:positionH>
                <wp:positionV relativeFrom="paragraph">
                  <wp:posOffset>397510</wp:posOffset>
                </wp:positionV>
                <wp:extent cx="5600700" cy="0"/>
                <wp:effectExtent l="0" t="0" r="0" b="0"/>
                <wp:wrapNone/>
                <wp:docPr id="15" name="直线 8"/>
                <wp:cNvGraphicFramePr/>
                <a:graphic xmlns:a="http://schemas.openxmlformats.org/drawingml/2006/main">
                  <a:graphicData uri="http://schemas.microsoft.com/office/word/2010/wordprocessingShape">
                    <wps:wsp>
                      <wps:cNvCnPr/>
                      <wps:spPr>
                        <a:xfrm>
                          <a:off x="0" y="0"/>
                          <a:ext cx="5600700" cy="0"/>
                        </a:xfrm>
                        <a:prstGeom prst="line">
                          <a:avLst/>
                        </a:prstGeom>
                        <a:noFill/>
                        <a:ln w="19050"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8" o:spid="_x0000_s1026" o:spt="20" style="position:absolute;left:0pt;margin-left:0pt;margin-top:31.3pt;height:0pt;width:441pt;z-index:1024;mso-width-relative:page;mso-height-relative:page;" filled="f" stroked="t" coordsize="21600,21600" o:gfxdata="UEsDBAoAAAAAAIdO4kAAAAAAAAAAAAAAAAAEAAAAZHJzL1BLAwQUAAAACACHTuJA9n+PTdUAAAAG&#10;AQAADwAAAGRycy9kb3ducmV2LnhtbE2PT0vDQBDF74LfYRnBm91thLDGbEoRiogKpvXgcZudJqHZ&#10;2ZDd/vHbO+LBHt97w3u/KRdnP4gjTrEPZGA+UyCQmuB6ag18blZ3GkRMlpwdAqGBb4ywqK6vSlu4&#10;cKIaj+vUCi6hWFgDXUpjIWVsOvQ2zsKIxNkuTN4mllMr3WRPXO4HmSmVS2974oXOjvjUYbNfH7yB&#10;+9f3TZ0+NK3q3cPbc1h+6RcVjLm9matHEAnP6f8YfvEZHSpm2oYDuSgGA/xIMpBnOQhOtc7Y2P4Z&#10;sirlJX71A1BLAwQUAAAACACHTuJASFGh9vgBAADRAwAADgAAAGRycy9lMm9Eb2MueG1srVNLbtsw&#10;EN0XyB0I7mPJhp2PYDkobCQoULQG2h6ApkiJAH8Z0pbdq/QaXXXT4+QaHVKO7ba7olpQM5zhzLzH&#10;x/nD3miyExCUszUdj0pKhOWuUbat6ZfPj9d3lITIbMO0s6KmBxHow+Lqzbz3lZi4zulGAMEiNlS9&#10;r2kXo6+KIvBOGBZGzguLQenAsIgutEUDrMfqRheTsrwpegeNB8dFCLi7GoJ0ketLKXj8KGUQkeia&#10;4mwxr5DXTVqLxZxVLTDfKX4cg/3DFIYpi01PpVYsMrIF9Vcpozi44GQccWcKJ6XiImNANOPyDzSf&#10;OuZFxoLkBH+iKfy/svzDbg1ENXh3M0osM3hHL9++v/z4Se4SOb0PFeYs7RqOXvBrSEj3Ekz6Iway&#10;z4QeToSKfSQcN2c3ZXlbIu/8NVacD3oI8Uk4Q5JRU61swsoqtnsfIjbD1NeUtG3do9I635e2pMeB&#10;78tZKs1QNlKziKbxCCTYNtcJTqsmnUmnA7SbpQayY0kI+UvwsMdvaanhioVuyMuhQSJGRZEYwAPa&#10;4i/xMjCRrI1rDkgjvgME0jn4SkmPmsJZnrcMBCX6ncVLux9Pp0mE2ZnObifowGVkcxlhlmOpmiKw&#10;wVzGQbhbD6rtsNM447Tu7TY6qTJn52mOQ6Ju8tRHjSdhXvo56/wSF7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9n+PTdUAAAAGAQAADwAAAAAAAAABACAAAAAiAAAAZHJzL2Rvd25yZXYueG1sUEsB&#10;AhQAFAAAAAgAh07iQEhRofb4AQAA0QMAAA4AAAAAAAAAAQAgAAAAJAEAAGRycy9lMm9Eb2MueG1s&#10;UEsFBgAAAAAGAAYAWQEAAI4FAAAAAA==&#10;">
                <v:fill on="f" focussize="0,0"/>
                <v:stroke weight="1.5pt" color="#000000" joinstyle="miter"/>
                <v:imagedata o:title=""/>
                <o:lock v:ext="edit" aspectratio="f"/>
              </v:line>
            </w:pict>
          </mc:Fallback>
        </mc:AlternateContent>
      </w:r>
      <w:r>
        <w:rPr>
          <w:rFonts w:hint="eastAsia" w:ascii="仿宋_GB2312" w:eastAsia="仿宋_GB2312"/>
          <w:sz w:val="28"/>
          <w:szCs w:val="28"/>
        </w:rPr>
        <mc:AlternateContent>
          <mc:Choice Requires="wps">
            <w:drawing>
              <wp:anchor distT="0" distB="0" distL="113665" distR="113665" simplePos="0" relativeHeight="1024" behindDoc="0" locked="0" layoutInCell="1" allowOverlap="1">
                <wp:simplePos x="0" y="0"/>
                <wp:positionH relativeFrom="column">
                  <wp:posOffset>0</wp:posOffset>
                </wp:positionH>
                <wp:positionV relativeFrom="paragraph">
                  <wp:posOffset>32385</wp:posOffset>
                </wp:positionV>
                <wp:extent cx="5600700" cy="0"/>
                <wp:effectExtent l="0" t="0" r="0" b="0"/>
                <wp:wrapNone/>
                <wp:docPr id="17" name="直线 7"/>
                <wp:cNvGraphicFramePr/>
                <a:graphic xmlns:a="http://schemas.openxmlformats.org/drawingml/2006/main">
                  <a:graphicData uri="http://schemas.microsoft.com/office/word/2010/wordprocessingShape">
                    <wps:wsp>
                      <wps:cNvCnPr/>
                      <wps:spPr>
                        <a:xfrm>
                          <a:off x="0" y="0"/>
                          <a:ext cx="5600700" cy="0"/>
                        </a:xfrm>
                        <a:prstGeom prst="line">
                          <a:avLst/>
                        </a:prstGeom>
                        <a:noFill/>
                        <a:ln w="9525" cap="flat" cmpd="sng">
                          <a:solidFill>
                            <a:srgbClr val="000000"/>
                          </a:solidFill>
                          <a:prstDash val="solid"/>
                          <a:miter/>
                        </a:ln>
                      </wps:spPr>
                      <wps:bodyPr vert="horz" wrap="square" lIns="91440" tIns="45720" rIns="91440" bIns="45720" anchor="t" anchorCtr="0" upright="1">
                        <a:noAutofit/>
                      </wps:bodyPr>
                    </wps:wsp>
                  </a:graphicData>
                </a:graphic>
              </wp:anchor>
            </w:drawing>
          </mc:Choice>
          <mc:Fallback>
            <w:pict>
              <v:line id="直线 7" o:spid="_x0000_s1026" o:spt="20" style="position:absolute;left:0pt;margin-left:0pt;margin-top:2.55pt;height:0pt;width:441pt;z-index:1024;mso-width-relative:page;mso-height-relative:page;" filled="f" stroked="t" coordsize="21600,21600" o:gfxdata="UEsDBAoAAAAAAIdO4kAAAAAAAAAAAAAAAAAEAAAAZHJzL1BLAwQUAAAACACHTuJAOuewldMAAAAE&#10;AQAADwAAAGRycy9kb3ducmV2LnhtbE2Py07DMBBF90j9B2uQ2FEnlUBRiFOpSFm1akVaFuzceJqE&#10;xuPUdh/8PQMbWB7d0b1nivnNDuKCPvSOFKTTBARS40xPrYLdtnrMQISoyejBESr4wgDzcnJX6Ny4&#10;K73hpY6t4BIKuVbQxTjmUoamQ6vD1I1InB2ctzoy+lYar69cbgc5S5JnaXVPvNDpEV87bI712So4&#10;4Pp9GTyeVqfN4qOqN5+2rbZKPdynyQuIiLf4dww/+qwOJTvt3ZlMEIMCfiQqeEpBcJhlM+b9L8uy&#10;kP/ly29QSwMEFAAAAAgAh07iQNTG9gv4AQAA0AMAAA4AAABkcnMvZTJvRG9jLnhtbK1TzY7TMBC+&#10;I/EOlu80adVu2ajpCrVahISgEvAArmMnlvzH2G1aXoXX4MSFx9nX2LHTbcvuDZGDM+MZz8z3+fPi&#10;7mA02QsIytmajkclJcJy1yjb1vTb1/s3bykJkdmGaWdFTY8i0Lvl61eL3ldi4jqnGwEEi9hQ9b6m&#10;XYy+KorAO2FYGDkvLAalA8MiutAWDbAeqxtdTMrypugdNB4cFyHg7noI0mWuL6Xg8bOUQUSia4qz&#10;xbxCXrdpLZYLVrXAfKf4aQz2D1MYpiw2PZdas8jIDtSLUkZxcMHJOOLOFE5KxUXGgGjG5TM0Xzrm&#10;RcaC5AR/pin8v7L8034DRDV4d3NKLDN4Rw8/fz38/kPmiZzehwpzVnYDJy/4DSSkBwkm/REDOWRC&#10;j2dCxSESjpuzm7Kcl8g7f4oVl4MeQnwvnCHJqKlWNmFlFdt/DBGbYepTStq27l5pne9LW9LX9HY2&#10;mWFlhqqRmkU0jUccwba5THBaNelIOhyg3a40kD1LOshfQoct/kpL/dYsdENeDg0KMSqKRAAe0BZ/&#10;iZaBiGRtXXNEFvEZII7OwQ9KepQUzvJ9x0BQoj9YvLPb8XSaNJid6Ww+QQeuI9vrCLMcS9UUgQ3m&#10;Kg663XlQbYedxhmnde920UmVKbtMcxoSZZOnPkk86fLaz1mXh7h8B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rnsJXTAAAABAEAAA8AAAAAAAAAAQAgAAAAIgAAAGRycy9kb3ducmV2LnhtbFBLAQIU&#10;ABQAAAAIAIdO4kDUxvYL+AEAANADAAAOAAAAAAAAAAEAIAAAACIBAABkcnMvZTJvRG9jLnhtbFBL&#10;BQYAAAAABgAGAFkBAACMBQAAAAA=&#10;">
                <v:fill on="f" focussize="0,0"/>
                <v:stroke color="#000000" joinstyle="miter"/>
                <v:imagedata o:title=""/>
                <o:lock v:ext="edit" aspectratio="f"/>
              </v:line>
            </w:pict>
          </mc:Fallback>
        </mc:AlternateContent>
      </w:r>
      <w:r>
        <w:rPr>
          <w:rFonts w:hint="eastAsia" w:ascii="仿宋_GB2312" w:eastAsia="仿宋_GB2312"/>
          <w:sz w:val="28"/>
          <w:szCs w:val="28"/>
        </w:rPr>
        <w:t xml:space="preserve">茂县人民政府办公室                     </w:t>
      </w:r>
      <w:r>
        <w:rPr>
          <w:rFonts w:ascii="仿宋_GB2312" w:eastAsia="仿宋_GB2312"/>
          <w:sz w:val="28"/>
          <w:szCs w:val="28"/>
        </w:rPr>
        <w:t xml:space="preserve"> </w:t>
      </w:r>
      <w:r>
        <w:rPr>
          <w:rFonts w:hint="eastAsia" w:ascii="仿宋_GB2312" w:eastAsia="仿宋_GB2312"/>
          <w:sz w:val="28"/>
          <w:szCs w:val="28"/>
        </w:rPr>
        <w:t xml:space="preserve"> 2021年</w:t>
      </w:r>
      <w:r>
        <w:rPr>
          <w:rFonts w:ascii="仿宋_GB2312" w:eastAsia="仿宋_GB2312"/>
          <w:sz w:val="28"/>
          <w:szCs w:val="28"/>
        </w:rPr>
        <w:t>9</w:t>
      </w:r>
      <w:r>
        <w:rPr>
          <w:rFonts w:hint="eastAsia" w:ascii="仿宋_GB2312" w:eastAsia="仿宋_GB2312"/>
          <w:sz w:val="28"/>
          <w:szCs w:val="28"/>
        </w:rPr>
        <w:t>月</w:t>
      </w:r>
      <w:r>
        <w:rPr>
          <w:rFonts w:ascii="仿宋_GB2312" w:eastAsia="仿宋_GB2312"/>
          <w:sz w:val="28"/>
          <w:szCs w:val="28"/>
        </w:rPr>
        <w:t>24</w:t>
      </w:r>
      <w:r>
        <w:rPr>
          <w:rFonts w:hint="eastAsia" w:ascii="仿宋_GB2312" w:eastAsia="仿宋_GB2312"/>
          <w:sz w:val="28"/>
          <w:szCs w:val="28"/>
        </w:rPr>
        <w:t>日印发</w:t>
      </w:r>
    </w:p>
    <w:sectPr>
      <w:pgSz w:w="11906" w:h="16838"/>
      <w:pgMar w:top="1418" w:right="1418" w:bottom="1418" w:left="1701"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等线">
    <w:altName w:val="微软雅黑"/>
    <w:panose1 w:val="02010600030101010101"/>
    <w:charset w:val="86"/>
    <w:family w:val="auto"/>
    <w:pitch w:val="default"/>
    <w:sig w:usb0="00000000" w:usb1="00000000" w:usb2="00000016" w:usb3="00000000" w:csb0="0004000F"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I</w:t>
    </w:r>
    <w:r>
      <w:rPr>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IV</w:t>
    </w:r>
    <w:r>
      <w:rPr>
        <w:sz w:val="24"/>
        <w:szCs w:val="24"/>
      </w:rPr>
      <w:fldChar w:fldCharType="end"/>
    </w:r>
  </w:p>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sz w:val="24"/>
        <w:szCs w:val="24"/>
      </w:rPr>
    </w:pPr>
    <w:r>
      <w:rPr>
        <w:sz w:val="24"/>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239395" cy="186055"/>
              <wp:effectExtent l="0" t="0" r="0" b="0"/>
              <wp:wrapNone/>
              <wp:docPr id="1" name="文本框 1"/>
              <wp:cNvGraphicFramePr/>
              <a:graphic xmlns:a="http://schemas.openxmlformats.org/drawingml/2006/main">
                <a:graphicData uri="http://schemas.microsoft.com/office/word/2010/wordprocessingShape">
                  <wps:wsp>
                    <wps:cNvSpPr/>
                    <wps:spPr>
                      <a:xfrm>
                        <a:off x="0" y="0"/>
                        <a:ext cx="239420" cy="186232"/>
                      </a:xfrm>
                      <a:prstGeom prst="rect">
                        <a:avLst/>
                      </a:prstGeom>
                      <a:noFill/>
                      <a:ln w="6350" cap="flat" cmpd="sng">
                        <a:noFill/>
                        <a:prstDash val="solid"/>
                        <a:round/>
                      </a:ln>
                    </wps:spPr>
                    <wps:txbx>
                      <w:txbxContent>
                        <w:p>
                          <w:pPr>
                            <w:pStyle w:val="5"/>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42</w:t>
                          </w:r>
                          <w:r>
                            <w:rPr>
                              <w:sz w:val="24"/>
                              <w:szCs w:val="24"/>
                            </w:rPr>
                            <w:fldChar w:fldCharType="end"/>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4.65pt;width:18.85pt;mso-position-horizontal:outside;mso-position-horizontal-relative:margin;mso-wrap-style:none;z-index:1024;mso-width-relative:page;mso-height-relative:page;" filled="f" stroked="f" coordsize="21600,21600" o:gfxdata="UEsDBAoAAAAAAIdO4kAAAAAAAAAAAAAAAAAEAAAAZHJzL1BLAwQUAAAACACHTuJAdEqNxdgAAAAD&#10;AQAADwAAAGRycy9kb3ducmV2LnhtbE2PwU7DMBBE70j9B2srcalau6lES4jTQytAQvRAqJC4ufE2&#10;jhqvQ+wmha/HcIHLSqMZzbzN1hfbsB47XzuSMJ8JYEil0zVVEvav99MVMB8UadU4Qgmf6GGdj64y&#10;lWo30Av2RahYLCGfKgkmhDbl3JcGrfIz1yJF7+g6q0KUXcV1p4ZYbhueCHHDraopLhjV4sZgeSrO&#10;VsLz9uH9bWKeRLL7mhzdUOz7j8eTlNfjubgDFvAS/sLwgx/RIY9MB3cm7VkjIT4Sfm/0FsslsIOE&#10;5HYBPM/4f/b8G1BLAwQUAAAACACHTuJAaiUtr+YBAACmAwAADgAAAGRycy9lMm9Eb2MueG1srVPL&#10;jtMwFN0j8Q+W9zRpCtUQNR0hqkFICEYa+ADXsRNLfunabVI+AP6AFRv2fFe/Y66dPkawQ2zcY/vm&#10;+J5zT1e3o9FkLyAoZxs6n5WUCMtdq2zX0C+f717cUBIisy3TzoqGHkSgt+vnz1aDr0XleqdbAQRJ&#10;bKgH39A+Rl8XReC9MCzMnBcWL6UDwyJuoStaYAOyG11UZbksBgetB8dFCHi6mS7pOvNLKXj8JGUQ&#10;keiGYm8xr5DXbVqL9YrVHTDfK35qg/1DF4Ypi49eqDYsMrID9ReVURxccDLOuDOFk1JxkTWgmnn5&#10;h5qHnnmRtaA5wV9sCv+Pln/c3wNRLc6OEssMjuj44/vx5+/jr29knuwZfKix6sHfw2kXECatowST&#10;flEFGbOlh4ulYoyE42G1eP2yQuM5Xs1vltWiSpzF9WMPIb4TzpAEGgo4sWwk238IcSo9l6S3rLtT&#10;WuM5q7UlQ0OXi1eJnmF2pGYRofGoJtgu0zypTzQbFnqyZxiG4LRqp/GD29l2ekpbbC4pnjQmFMft&#10;iJcJbl17QLcw7thp7+ArJQNGp6EWs02Jfm9xMillZwBnsD0DZjl+2FBsdIJv45TGnQfV9chb5r6D&#10;f7OLqDVbcH371B2GIZt4Cm5K29N9rrr+vda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dEqNxdgA&#10;AAADAQAADwAAAAAAAAABACAAAAAiAAAAZHJzL2Rvd25yZXYueG1sUEsBAhQAFAAAAAgAh07iQGol&#10;La/mAQAApgMAAA4AAAAAAAAAAQAgAAAAJwEAAGRycy9lMm9Eb2MueG1sUEsFBgAAAAAGAAYAWQEA&#10;AH8FAAAAAA==&#10;">
              <v:fill on="f" focussize="0,0"/>
              <v:stroke on="f" weight="0.5pt" joinstyle="round"/>
              <v:imagedata o:title=""/>
              <o:lock v:ext="edit" aspectratio="f"/>
              <v:textbox inset="0mm,0mm,0mm,0mm" style="mso-fit-shape-to-text:t;">
                <w:txbxContent>
                  <w:p>
                    <w:pPr>
                      <w:pStyle w:val="5"/>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42</w:t>
                    </w:r>
                    <w:r>
                      <w:rPr>
                        <w:sz w:val="24"/>
                        <w:szCs w:val="24"/>
                      </w:rPr>
                      <w:fldChar w:fldCharType="end"/>
                    </w:r>
                  </w:p>
                </w:txbxContent>
              </v:textbox>
            </v:rect>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rPr>
        <w:sz w:val="24"/>
        <w:szCs w:val="24"/>
      </w:rPr>
    </w:pPr>
    <w:r>
      <w:rPr>
        <w:sz w:val="24"/>
      </w:rPr>
      <mc:AlternateContent>
        <mc:Choice Requires="wps">
          <w:drawing>
            <wp:anchor distT="0" distB="0" distL="113665" distR="113665" simplePos="0" relativeHeight="1024" behindDoc="0" locked="0" layoutInCell="1" allowOverlap="1">
              <wp:simplePos x="0" y="0"/>
              <wp:positionH relativeFrom="margin">
                <wp:align>outside</wp:align>
              </wp:positionH>
              <wp:positionV relativeFrom="paragraph">
                <wp:posOffset>0</wp:posOffset>
              </wp:positionV>
              <wp:extent cx="46355" cy="186055"/>
              <wp:effectExtent l="0" t="0" r="0" b="0"/>
              <wp:wrapNone/>
              <wp:docPr id="4" name="文本框 2"/>
              <wp:cNvGraphicFramePr/>
              <a:graphic xmlns:a="http://schemas.openxmlformats.org/drawingml/2006/main">
                <a:graphicData uri="http://schemas.microsoft.com/office/word/2010/wordprocessingShape">
                  <wps:wsp>
                    <wps:cNvSpPr/>
                    <wps:spPr>
                      <a:xfrm>
                        <a:off x="0" y="0"/>
                        <a:ext cx="46634" cy="186232"/>
                      </a:xfrm>
                      <a:prstGeom prst="rect">
                        <a:avLst/>
                      </a:prstGeom>
                      <a:noFill/>
                      <a:ln w="6350" cap="flat" cmpd="sng">
                        <a:noFill/>
                        <a:prstDash val="solid"/>
                        <a:round/>
                      </a:ln>
                    </wps:spPr>
                    <wps:txbx>
                      <w:txbxContent>
                        <w:p>
                          <w:pPr>
                            <w:pStyle w:val="5"/>
                            <w:jc w:val="right"/>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44 -</w:t>
                          </w:r>
                          <w:r>
                            <w:rPr>
                              <w:sz w:val="24"/>
                              <w:szCs w:val="24"/>
                            </w:rPr>
                            <w:fldChar w:fldCharType="end"/>
                          </w:r>
                        </w:p>
                      </w:txbxContent>
                    </wps:txbx>
                    <wps:bodyPr vert="horz" wrap="none" lIns="0" tIns="0" rIns="0" bIns="0" anchor="t" anchorCtr="0" upright="0">
                      <a:spAutoFit/>
                    </wps:bodyPr>
                  </wps:wsp>
                </a:graphicData>
              </a:graphic>
            </wp:anchor>
          </w:drawing>
        </mc:Choice>
        <mc:Fallback>
          <w:pict>
            <v:rect id="文本框 2" o:spid="_x0000_s1026" o:spt="1" style="position:absolute;left:0pt;margin-top:0pt;height:14.65pt;width:3.65pt;mso-position-horizontal:outside;mso-position-horizontal-relative:margin;mso-wrap-style:none;z-index:1024;mso-width-relative:page;mso-height-relative:page;" filled="f" stroked="f" coordsize="21600,21600" o:gfxdata="UEsDBAoAAAAAAIdO4kAAAAAAAAAAAAAAAAAEAAAAZHJzL1BLAwQUAAAACACHTuJA/4LYWdcAAAAC&#10;AQAADwAAAGRycy9kb3ducmV2LnhtbE2PzU7DMBCE70i8g7VIXCpqN5X4Cdn0AAIkBAdChcTNjbdx&#10;1HgdYjcpPD2GC1xWGs1o5ttidXCdGGkIrWeExVyBIK69ablBWL/enV2CCFGz0Z1nQvikAKvy+KjQ&#10;ufETv9BYxUakEg65RrAx9rmUobbkdJj7njh5Wz84HZMcGmkGPaVy18lMqXPpdMtpweqebizVu2rv&#10;EJ5u79/fZvZRZc9fs62fqvX48bBDPD1ZqGsQkQ7xLww/+AkdysS08Xs2QXQI6ZH4e5N3sQSxQciu&#10;liDLQv5HL78BUEsDBBQAAAAIAIdO4kDQy2Up6AEAAKUDAAAOAAAAZHJzL2Uyb0RvYy54bWytU0tu&#10;2zAQ3RfoHQjua8l2agSC5aCokaJA0QZIewCaIiUC/IFDW3IP0N6gq26677l8jgwp2QnaXZANNSSH&#10;b+a9eVrfDEaTgwignK3pfFZSIix3jbJtTb99vX1zTQlEZhumnRU1PQqgN5vXr9a9r8TCdU43IhAE&#10;sVD1vqZdjL4qCuCdMAxmzguLl9IFwyJuQ1s0gfWIbnSxKMtV0bvQ+OC4AMDT7XhJNxlfSsHjFylB&#10;RKJrir3FvIa87tJabNasagPzneJTG+wZXRimLBa9QG1ZZGQf1H9QRvHgwMk4484UTkrFReaAbObl&#10;P2zuO+ZF5oLigL/IBC8Hyz8f7gJRTU2vKLHM4IhOv36efv89/flBFkme3kOFWff+Lkw7wDBxHWQw&#10;6YssyJAlPV4kFUMkHA+vVqslInO8mV+vFssMWTy+9QHiB+EMSUFNAw4s68gOnyBiPUw9p6RS1t0q&#10;rfPQtCV9TVfLtzhWztA6UrOIofFIBmybYZ7kJ5gtg44cGHoBnFbNOP3g9rYZS2mLFRPhkWKK4rAb&#10;Jt471xxRLHQ7dtq58J2SHp1TU4vWpkR/tDiYZLJzEM7B7hwwy/FhTbHRMXwfRzPufVBth7hl7hv8&#10;u31ErlmC1MZYe+oOvZCVmXybzPZ0n7Me/67N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C2FnX&#10;AAAAAgEAAA8AAAAAAAAAAQAgAAAAIgAAAGRycy9kb3ducmV2LnhtbFBLAQIUABQAAAAIAIdO4kDQ&#10;y2Up6AEAAKUDAAAOAAAAAAAAAAEAIAAAACYBAABkcnMvZTJvRG9jLnhtbFBLBQYAAAAABgAGAFkB&#10;AACABQAAAAA=&#10;">
              <v:fill on="f" focussize="0,0"/>
              <v:stroke on="f" weight="0.5pt" joinstyle="round"/>
              <v:imagedata o:title=""/>
              <o:lock v:ext="edit" aspectratio="f"/>
              <v:textbox inset="0mm,0mm,0mm,0mm" style="mso-fit-shape-to-text:t;">
                <w:txbxContent>
                  <w:p>
                    <w:pPr>
                      <w:pStyle w:val="5"/>
                      <w:jc w:val="right"/>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44 -</w:t>
                    </w:r>
                    <w:r>
                      <w:rPr>
                        <w:sz w:val="24"/>
                        <w:szCs w:val="24"/>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055476D"/>
    <w:multiLevelType w:val="singleLevel"/>
    <w:tmpl w:val="D055476D"/>
    <w:lvl w:ilvl="0" w:tentative="0">
      <w:start w:val="4"/>
      <w:numFmt w:val="decimal"/>
      <w:suff w:val="nothing"/>
      <w:lvlText w:val="（%1）"/>
      <w:lvlJc w:val="left"/>
      <w:pPr>
        <w:tabs>
          <w:tab w:val="left" w:pos="0"/>
        </w:tabs>
        <w:ind w:left="0" w:firstLine="0"/>
      </w:pPr>
    </w:lvl>
  </w:abstractNum>
  <w:abstractNum w:abstractNumId="1">
    <w:nsid w:val="01E30BAB"/>
    <w:multiLevelType w:val="multilevel"/>
    <w:tmpl w:val="01E30BAB"/>
    <w:lvl w:ilvl="0" w:tentative="0">
      <w:start w:val="1"/>
      <w:numFmt w:val="decimal"/>
      <w:lvlText w:val="%1"/>
      <w:lvlJc w:val="center"/>
      <w:pPr>
        <w:tabs>
          <w:tab w:val="left" w:pos="0"/>
        </w:tabs>
        <w:ind w:left="1050" w:hanging="420"/>
      </w:pPr>
      <w:rPr>
        <w:rFonts w:hint="eastAsia"/>
      </w:rPr>
    </w:lvl>
    <w:lvl w:ilvl="1" w:tentative="0">
      <w:start w:val="1"/>
      <w:numFmt w:val="lowerLetter"/>
      <w:lvlText w:val="%2)"/>
      <w:lvlJc w:val="left"/>
      <w:pPr>
        <w:tabs>
          <w:tab w:val="left" w:pos="0"/>
        </w:tabs>
        <w:ind w:left="1470" w:hanging="420"/>
      </w:pPr>
    </w:lvl>
    <w:lvl w:ilvl="2" w:tentative="0">
      <w:start w:val="1"/>
      <w:numFmt w:val="lowerRoman"/>
      <w:lvlText w:val="%3."/>
      <w:lvlJc w:val="right"/>
      <w:pPr>
        <w:tabs>
          <w:tab w:val="left" w:pos="0"/>
        </w:tabs>
        <w:ind w:left="1890" w:hanging="420"/>
      </w:pPr>
    </w:lvl>
    <w:lvl w:ilvl="3" w:tentative="0">
      <w:start w:val="1"/>
      <w:numFmt w:val="decimal"/>
      <w:lvlText w:val="%4."/>
      <w:lvlJc w:val="left"/>
      <w:pPr>
        <w:tabs>
          <w:tab w:val="left" w:pos="0"/>
        </w:tabs>
        <w:ind w:left="2310" w:hanging="420"/>
      </w:pPr>
    </w:lvl>
    <w:lvl w:ilvl="4" w:tentative="0">
      <w:start w:val="1"/>
      <w:numFmt w:val="lowerLetter"/>
      <w:lvlText w:val="%5)"/>
      <w:lvlJc w:val="left"/>
      <w:pPr>
        <w:tabs>
          <w:tab w:val="left" w:pos="0"/>
        </w:tabs>
        <w:ind w:left="2730" w:hanging="420"/>
      </w:pPr>
    </w:lvl>
    <w:lvl w:ilvl="5" w:tentative="0">
      <w:start w:val="1"/>
      <w:numFmt w:val="lowerRoman"/>
      <w:lvlText w:val="%6."/>
      <w:lvlJc w:val="right"/>
      <w:pPr>
        <w:tabs>
          <w:tab w:val="left" w:pos="0"/>
        </w:tabs>
        <w:ind w:left="3150" w:hanging="420"/>
      </w:pPr>
    </w:lvl>
    <w:lvl w:ilvl="6" w:tentative="0">
      <w:start w:val="1"/>
      <w:numFmt w:val="decimal"/>
      <w:lvlText w:val="%7."/>
      <w:lvlJc w:val="left"/>
      <w:pPr>
        <w:tabs>
          <w:tab w:val="left" w:pos="0"/>
        </w:tabs>
        <w:ind w:left="3570" w:hanging="420"/>
      </w:pPr>
    </w:lvl>
    <w:lvl w:ilvl="7" w:tentative="0">
      <w:start w:val="1"/>
      <w:numFmt w:val="lowerLetter"/>
      <w:lvlText w:val="%8)"/>
      <w:lvlJc w:val="left"/>
      <w:pPr>
        <w:tabs>
          <w:tab w:val="left" w:pos="0"/>
        </w:tabs>
        <w:ind w:left="3990" w:hanging="420"/>
      </w:pPr>
    </w:lvl>
    <w:lvl w:ilvl="8" w:tentative="0">
      <w:start w:val="1"/>
      <w:numFmt w:val="lowerRoman"/>
      <w:lvlText w:val="%9."/>
      <w:lvlJc w:val="right"/>
      <w:pPr>
        <w:tabs>
          <w:tab w:val="left" w:pos="0"/>
        </w:tabs>
        <w:ind w:left="4410" w:hanging="420"/>
      </w:pPr>
    </w:lvl>
  </w:abstractNum>
  <w:abstractNum w:abstractNumId="2">
    <w:nsid w:val="4818D870"/>
    <w:multiLevelType w:val="singleLevel"/>
    <w:tmpl w:val="4818D870"/>
    <w:lvl w:ilvl="0" w:tentative="0">
      <w:start w:val="3"/>
      <w:numFmt w:val="decimal"/>
      <w:suff w:val="nothing"/>
      <w:lvlText w:val="（%1）"/>
      <w:lvlJc w:val="left"/>
      <w:pPr>
        <w:tabs>
          <w:tab w:val="left" w:pos="0"/>
        </w:tabs>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2"/>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useFELayout/>
    <w:compatSetting w:name="compatibilityMode" w:uri="http://schemas.microsoft.com/office/word" w:val="14"/>
  </w:compat>
  <w:rsids>
    <w:rsidRoot w:val="00000000"/>
    <w:rsid w:val="287B544E"/>
    <w:rsid w:val="2FFD7005"/>
    <w:rsid w:val="7FA11A8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toc 3"/>
    <w:basedOn w:val="1"/>
    <w:next w:val="1"/>
    <w:qFormat/>
    <w:uiPriority w:val="0"/>
    <w:pPr>
      <w:ind w:left="400" w:leftChars="400"/>
    </w:pPr>
  </w:style>
  <w:style w:type="paragraph" w:styleId="4">
    <w:name w:val="Balloon Text"/>
    <w:basedOn w:val="1"/>
    <w:qFormat/>
    <w:uiPriority w:val="0"/>
    <w:rPr>
      <w:sz w:val="18"/>
      <w:szCs w:val="18"/>
    </w:rPr>
  </w:style>
  <w:style w:type="paragraph" w:styleId="5">
    <w:name w:val="footer"/>
    <w:basedOn w:val="1"/>
    <w:qFormat/>
    <w:uiPriority w:val="0"/>
    <w:pPr>
      <w:widowControl/>
      <w:tabs>
        <w:tab w:val="center" w:pos="4153"/>
        <w:tab w:val="right" w:pos="8306"/>
      </w:tabs>
      <w:snapToGrid w:val="0"/>
      <w:jc w:val="left"/>
      <w:textAlignment w:val="baseline"/>
    </w:pPr>
    <w:rPr>
      <w:rFonts w:ascii="Calibri" w:hAnsi="Calibri"/>
      <w:sz w:val="18"/>
      <w:szCs w:val="18"/>
    </w:rPr>
  </w:style>
  <w:style w:type="paragraph" w:styleId="6">
    <w:name w:val="header"/>
    <w:basedOn w:val="1"/>
    <w:qFormat/>
    <w:uiPriority w:val="0"/>
    <w:pPr>
      <w:widowControl/>
      <w:pBdr>
        <w:bottom w:val="single" w:color="auto" w:sz="6" w:space="1"/>
      </w:pBdr>
      <w:tabs>
        <w:tab w:val="center" w:pos="4153"/>
        <w:tab w:val="right" w:pos="8306"/>
      </w:tabs>
      <w:snapToGrid w:val="0"/>
      <w:jc w:val="center"/>
      <w:textAlignment w:val="baseline"/>
    </w:pPr>
    <w:rPr>
      <w:rFonts w:ascii="Calibri" w:hAnsi="Calibri"/>
      <w:sz w:val="18"/>
      <w:szCs w:val="18"/>
    </w:rPr>
  </w:style>
  <w:style w:type="paragraph" w:styleId="7">
    <w:name w:val="toc 1"/>
    <w:basedOn w:val="1"/>
    <w:next w:val="1"/>
    <w:qFormat/>
    <w:uiPriority w:val="0"/>
    <w:pPr>
      <w:tabs>
        <w:tab w:val="right" w:leader="dot" w:pos="8834"/>
      </w:tabs>
      <w:adjustRightInd w:val="0"/>
      <w:snapToGrid w:val="0"/>
      <w:spacing w:line="360" w:lineRule="auto"/>
    </w:pPr>
    <w:rPr>
      <w:rFonts w:ascii="仿宋_GB2312" w:eastAsia="仿宋_GB2312"/>
      <w:b/>
      <w:bCs/>
      <w:sz w:val="32"/>
      <w:szCs w:val="32"/>
    </w:rPr>
  </w:style>
  <w:style w:type="paragraph" w:styleId="8">
    <w:name w:val="toc 2"/>
    <w:basedOn w:val="1"/>
    <w:next w:val="1"/>
    <w:qFormat/>
    <w:uiPriority w:val="0"/>
    <w:pPr>
      <w:ind w:left="200" w:leftChars="200"/>
    </w:pPr>
  </w:style>
  <w:style w:type="paragraph" w:styleId="9">
    <w:name w:val="Normal (Web)"/>
    <w:basedOn w:val="1"/>
    <w:qFormat/>
    <w:uiPriority w:val="0"/>
    <w:rPr>
      <w:rFonts w:ascii="等线" w:eastAsia="等线"/>
      <w:sz w:val="24"/>
      <w:szCs w:val="22"/>
    </w:rPr>
  </w:style>
  <w:style w:type="paragraph" w:styleId="10">
    <w:name w:val="annotation subject"/>
    <w:basedOn w:val="2"/>
    <w:next w:val="2"/>
    <w:qFormat/>
    <w:uiPriority w:val="0"/>
    <w:rPr>
      <w:b/>
      <w:bCs/>
    </w:rPr>
  </w:style>
  <w:style w:type="character" w:styleId="13">
    <w:name w:val="Strong"/>
    <w:basedOn w:val="12"/>
    <w:qFormat/>
    <w:uiPriority w:val="0"/>
    <w:rPr>
      <w:b/>
    </w:rPr>
  </w:style>
  <w:style w:type="character" w:styleId="14">
    <w:name w:val="page number"/>
    <w:basedOn w:val="12"/>
    <w:qFormat/>
    <w:uiPriority w:val="0"/>
  </w:style>
  <w:style w:type="character" w:styleId="15">
    <w:name w:val="Emphasis"/>
    <w:basedOn w:val="12"/>
    <w:qFormat/>
    <w:uiPriority w:val="0"/>
    <w:rPr>
      <w:i/>
    </w:rPr>
  </w:style>
  <w:style w:type="character" w:styleId="16">
    <w:name w:val="Hyperlink"/>
    <w:qFormat/>
    <w:uiPriority w:val="0"/>
    <w:rPr>
      <w:color w:val="0563C1"/>
      <w:u w:val="single"/>
    </w:rPr>
  </w:style>
  <w:style w:type="character" w:styleId="17">
    <w:name w:val="annotation reference"/>
    <w:basedOn w:val="12"/>
    <w:qFormat/>
    <w:uiPriority w:val="0"/>
    <w:rPr>
      <w:sz w:val="21"/>
      <w:szCs w:val="21"/>
    </w:rPr>
  </w:style>
  <w:style w:type="paragraph" w:customStyle="1" w:styleId="18">
    <w:name w:val="p0"/>
    <w:basedOn w:val="1"/>
    <w:qFormat/>
    <w:uiPriority w:val="0"/>
    <w:pPr>
      <w:widowControl/>
    </w:pPr>
    <w:rPr>
      <w:kern w:val="0"/>
      <w:szCs w:val="21"/>
    </w:rPr>
  </w:style>
  <w:style w:type="paragraph" w:customStyle="1" w:styleId="19">
    <w:name w:val="列出段落1"/>
    <w:basedOn w:val="1"/>
    <w:qFormat/>
    <w:uiPriority w:val="0"/>
    <w:pPr>
      <w:ind w:firstLine="200" w:firstLineChars="200"/>
    </w:pPr>
    <w:rPr>
      <w:rFonts w:ascii="Calibri" w:hAnsi="Calibri" w:eastAsia="黑体"/>
      <w:szCs w:val="22"/>
    </w:rPr>
  </w:style>
  <w:style w:type="paragraph" w:customStyle="1" w:styleId="20">
    <w:name w:val="公文主体"/>
    <w:basedOn w:val="1"/>
    <w:qFormat/>
    <w:uiPriority w:val="0"/>
    <w:pPr>
      <w:spacing w:line="580" w:lineRule="exact"/>
      <w:ind w:firstLine="200" w:firstLineChars="200"/>
    </w:pPr>
    <w:rPr>
      <w:rFonts w:eastAsia="仿宋_GB2312"/>
      <w:sz w:val="32"/>
    </w:rPr>
  </w:style>
  <w:style w:type="paragraph" w:customStyle="1" w:styleId="21">
    <w:name w:val="一级标题"/>
    <w:basedOn w:val="20"/>
    <w:next w:val="20"/>
    <w:qFormat/>
    <w:uiPriority w:val="0"/>
    <w:pPr>
      <w:outlineLvl w:val="2"/>
    </w:pPr>
    <w:rPr>
      <w:rFonts w:eastAsia="黑体"/>
    </w:rPr>
  </w:style>
  <w:style w:type="paragraph" w:customStyle="1" w:styleId="22">
    <w:name w:val="标题注释"/>
    <w:basedOn w:val="20"/>
    <w:next w:val="23"/>
    <w:qFormat/>
    <w:uiPriority w:val="0"/>
    <w:pPr>
      <w:ind w:firstLine="0" w:firstLineChars="0"/>
      <w:jc w:val="center"/>
      <w:outlineLvl w:val="1"/>
    </w:pPr>
    <w:rPr>
      <w:rFonts w:eastAsia="楷体_GB2312"/>
    </w:rPr>
  </w:style>
  <w:style w:type="paragraph" w:customStyle="1" w:styleId="23">
    <w:name w:val="主送单位"/>
    <w:basedOn w:val="20"/>
    <w:next w:val="20"/>
    <w:qFormat/>
    <w:uiPriority w:val="0"/>
    <w:pPr>
      <w:ind w:firstLine="0" w:firstLineChars="0"/>
      <w:outlineLvl w:val="1"/>
    </w:pPr>
  </w:style>
  <w:style w:type="paragraph" w:customStyle="1" w:styleId="24">
    <w:name w:val="表格"/>
    <w:basedOn w:val="20"/>
    <w:next w:val="20"/>
    <w:uiPriority w:val="0"/>
    <w:pPr>
      <w:spacing w:line="440" w:lineRule="exact"/>
      <w:ind w:firstLine="0" w:firstLineChars="0"/>
      <w:jc w:val="center"/>
    </w:pPr>
    <w:rPr>
      <w:rFonts w:eastAsia="宋体"/>
      <w:sz w:val="28"/>
    </w:rPr>
  </w:style>
  <w:style w:type="paragraph" w:customStyle="1" w:styleId="25">
    <w:name w:val="大标题"/>
    <w:basedOn w:val="20"/>
    <w:next w:val="22"/>
    <w:uiPriority w:val="0"/>
    <w:pPr>
      <w:ind w:firstLine="0" w:firstLineChars="0"/>
      <w:jc w:val="center"/>
      <w:outlineLvl w:val="0"/>
    </w:pPr>
    <w:rPr>
      <w:rFonts w:eastAsia="方正小标宋简体"/>
      <w:sz w:val="44"/>
    </w:rPr>
  </w:style>
  <w:style w:type="paragraph" w:customStyle="1" w:styleId="26">
    <w:name w:val="修订1"/>
    <w:uiPriority w:val="0"/>
    <w:rPr>
      <w:rFonts w:ascii="Times New Roman" w:hAnsi="Times New Roman" w:eastAsia="宋体" w:cs="Times New Roman"/>
      <w:kern w:val="2"/>
      <w:sz w:val="21"/>
      <w:szCs w:val="24"/>
      <w:lang w:val="en-US" w:eastAsia="zh-CN" w:bidi="ar-SA"/>
    </w:rPr>
  </w:style>
  <w:style w:type="paragraph" w:customStyle="1" w:styleId="27">
    <w:name w:val="修订2"/>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emf"/><Relationship Id="rId8" Type="http://schemas.openxmlformats.org/officeDocument/2006/relationships/oleObject" Target="embeddings/oleObject1.bin"/><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3.emf"/><Relationship Id="rId12" Type="http://schemas.openxmlformats.org/officeDocument/2006/relationships/oleObject" Target="embeddings/oleObject3.bin"/><Relationship Id="rId11" Type="http://schemas.openxmlformats.org/officeDocument/2006/relationships/image" Target="media/image2.emf"/><Relationship Id="rId10" Type="http://schemas.openxmlformats.org/officeDocument/2006/relationships/oleObject" Target="embeddings/oleObject2.bin"/><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47</Pages>
  <Words>21720</Words>
  <Characters>22576</Characters>
  <Lines>1355</Lines>
  <Paragraphs>579</Paragraphs>
  <TotalTime>38</TotalTime>
  <ScaleCrop>false</ScaleCrop>
  <LinksUpToDate>false</LinksUpToDate>
  <CharactersWithSpaces>22815</CharactersWithSpaces>
  <Application>WPS Office_11.8.2.8875_F1E327BC-269C-435d-A152-05C5408002CA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2021-07-18T02:12:00Z</dcterms:created>
  <dc:creator>admin</dc:creator>
  <cp:lastModifiedBy>wt</cp:lastModifiedBy>
  <cp:lastPrinted>2021-09-28T01:28:00Z</cp:lastPrinted>
  <dcterms:modified xsi:type="dcterms:W3CDTF">2021-09-29T10:11:19Z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2052-11.8.2.8875</vt:lpwstr>
  </property>
  <property fmtid="{D5CDD505-2E9C-101B-9397-08002B2CF9AE}" pid="3" name="ICV">
    <vt:lpwstr>5F8FC165452742A59FC0C431AAD2B51B</vt:lpwstr>
  </property>
</Properties>
</file>