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74" w:name="_GoBack"/>
      <w:bookmarkEnd w:id="74"/>
      <w:bookmarkStart w:id="0" w:name="_Toc15396475"/>
      <w:bookmarkStart w:id="1" w:name="_Toc15378441"/>
      <w:bookmarkStart w:id="2" w:name="_Toc15377193"/>
      <w:bookmarkStart w:id="3" w:name="_Toc15396597"/>
      <w:bookmarkStart w:id="4" w:name="_Toc15377425"/>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06268"/>
      <w:bookmarkStart w:id="7" w:name="_Toc15378442"/>
      <w:bookmarkStart w:id="8" w:name="_Toc15377194"/>
      <w:bookmarkStart w:id="9" w:name="_Toc15377426"/>
      <w:bookmarkStart w:id="10" w:name="_Toc15396598"/>
      <w:bookmarkStart w:id="11" w:name="_Toc15396476"/>
      <w:r>
        <w:rPr>
          <w:rFonts w:asciiTheme="minorEastAsia" w:hAnsiTheme="minorEastAsia" w:eastAsiaTheme="minorEastAsia"/>
          <w:b/>
          <w:sz w:val="72"/>
          <w:szCs w:val="72"/>
        </w:rPr>
        <w:t>阿坝州茂县委员会办公室（本级）</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rPr>
          <w:rFonts w:asciiTheme="minorHAnsi" w:hAnsiTheme="minorHAnsi" w:eastAsiaTheme="minorEastAsia" w:cstheme="minorBidi"/>
          <w:sz w:val="21"/>
          <w:szCs w:val="22"/>
        </w:rPr>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"_Toc113981009" </w:instrText>
      </w:r>
      <w:r>
        <w:fldChar w:fldCharType="separate"/>
      </w:r>
      <w:r>
        <w:rPr>
          <w:rStyle w:val="18"/>
          <w:rFonts w:ascii="黑体" w:hAns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"_Toc113981010" </w:instrText>
      </w:r>
      <w:r>
        <w:fldChar w:fldCharType="separate"/>
      </w:r>
      <w:r>
        <w:rPr>
          <w:rStyle w:val="18"/>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"_Toc113981011" </w:instrText>
      </w:r>
      <w:r>
        <w:fldChar w:fldCharType="separate"/>
      </w:r>
      <w:r>
        <w:rPr>
          <w:rStyle w:val="18"/>
          <w:rFonts w:ascii="黑体" w:eastAsia="黑体"/>
        </w:rPr>
        <w:t>二、机构设置</w:t>
      </w:r>
      <w:r>
        <w:tab/>
      </w:r>
      <w:r>
        <w:fldChar w:fldCharType="begin"/>
      </w:r>
      <w:r>
        <w:instrText xml:space="preserve"> PAGEREF _Toc113981011 \h </w:instrText>
      </w:r>
      <w:r>
        <w:fldChar w:fldCharType="separate"/>
      </w:r>
      <w:r>
        <w:t>3</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"_Toc113981012" </w:instrText>
      </w:r>
      <w:r>
        <w:fldChar w:fldCharType="separate"/>
      </w:r>
      <w:r>
        <w:rPr>
          <w:rStyle w:val="18"/>
          <w:rFonts w:hint="eastAsia" w:ascii="黑体" w:hAnsi="黑体" w:eastAsia="黑体" w:cs="黑体"/>
        </w:rPr>
        <w:t>第二部分</w:t>
      </w:r>
      <w:r>
        <w:rPr>
          <w:rStyle w:val="18"/>
          <w:rFonts w:ascii="黑体" w:hAnsi="黑体" w:eastAsia="黑体" w:cs="黑体"/>
        </w:rPr>
        <w:t xml:space="preserve"> 2021年度部门决算情况说明</w:t>
      </w:r>
      <w:r>
        <w:tab/>
      </w:r>
      <w:r>
        <w:fldChar w:fldCharType="begin"/>
      </w:r>
      <w:r>
        <w:instrText xml:space="preserve"> PAGEREF _Toc113981012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"_Toc113981013" </w:instrText>
      </w:r>
      <w:r>
        <w:fldChar w:fldCharType="separate"/>
      </w:r>
      <w:r>
        <w:rPr>
          <w:rStyle w:val="18"/>
          <w:rFonts w:ascii="黑体" w:eastAsia="黑体"/>
        </w:rPr>
        <w:t>一、收入支出决算总体情况说明</w:t>
      </w:r>
      <w:r>
        <w:tab/>
      </w:r>
      <w:r>
        <w:fldChar w:fldCharType="begin"/>
      </w:r>
      <w:r>
        <w:instrText xml:space="preserve"> PAGEREF _Toc113981013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"_Toc113981014" </w:instrText>
      </w:r>
      <w:r>
        <w:fldChar w:fldCharType="separate"/>
      </w:r>
      <w:r>
        <w:rPr>
          <w:rStyle w:val="18"/>
          <w:rFonts w:ascii="黑体" w:eastAsia="黑体"/>
        </w:rPr>
        <w:t>二、收入决算情况说明</w:t>
      </w:r>
      <w:r>
        <w:tab/>
      </w:r>
      <w:r>
        <w:fldChar w:fldCharType="begin"/>
      </w:r>
      <w:r>
        <w:instrText xml:space="preserve"> PAGEREF _Toc113981014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"_Toc113981015" </w:instrText>
      </w:r>
      <w:r>
        <w:fldChar w:fldCharType="separate"/>
      </w:r>
      <w:r>
        <w:rPr>
          <w:rStyle w:val="18"/>
          <w:rFonts w:ascii="黑体" w:eastAsia="黑体"/>
        </w:rPr>
        <w:t>三、支出决算情况说明</w:t>
      </w:r>
      <w:r>
        <w:tab/>
      </w:r>
      <w:r>
        <w:fldChar w:fldCharType="begin"/>
      </w:r>
      <w:r>
        <w:instrText xml:space="preserve"> PAGEREF _Toc113981015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"_Toc113981016" </w:instrText>
      </w:r>
      <w:r>
        <w:fldChar w:fldCharType="separate"/>
      </w:r>
      <w:r>
        <w:rPr>
          <w:rStyle w:val="18"/>
          <w:rFonts w:ascii="黑体" w:eastAsia="黑体"/>
        </w:rPr>
        <w:t>四、财政拨款收入支出决算总体情况说明</w:t>
      </w:r>
      <w:r>
        <w:tab/>
      </w:r>
      <w:r>
        <w:fldChar w:fldCharType="begin"/>
      </w:r>
      <w:r>
        <w:instrText xml:space="preserve"> PAGEREF _Toc113981016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"_Toc113981017" </w:instrText>
      </w:r>
      <w:r>
        <w:fldChar w:fldCharType="separate"/>
      </w:r>
      <w:r>
        <w:rPr>
          <w:rStyle w:val="18"/>
          <w:rFonts w:ascii="黑体" w:eastAsia="黑体"/>
        </w:rPr>
        <w:t>五、一般公共预算财政拨款支出决算情况说明</w:t>
      </w:r>
      <w:r>
        <w:tab/>
      </w:r>
      <w:r>
        <w:fldChar w:fldCharType="begin"/>
      </w:r>
      <w:r>
        <w:instrText xml:space="preserve"> PAGEREF _Toc113981017 \h </w:instrText>
      </w:r>
      <w:r>
        <w:fldChar w:fldCharType="separate"/>
      </w:r>
      <w:r>
        <w:t>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"_Toc113981018" </w:instrText>
      </w:r>
      <w:r>
        <w:fldChar w:fldCharType="separate"/>
      </w:r>
      <w:r>
        <w:rPr>
          <w:rStyle w:val="18"/>
          <w:rFonts w:ascii="黑体" w:eastAsia="黑体"/>
        </w:rPr>
        <w:t>六、一般公共预算财政拨款基本支出决算情况说明</w:t>
      </w:r>
      <w:r>
        <w:tab/>
      </w:r>
      <w:r>
        <w:fldChar w:fldCharType="begin"/>
      </w:r>
      <w:r>
        <w:instrText xml:space="preserve"> PAGEREF _Toc113981018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"_Toc113981019" </w:instrText>
      </w:r>
      <w:r>
        <w:fldChar w:fldCharType="separate"/>
      </w:r>
      <w:r>
        <w:rPr>
          <w:rStyle w:val="18"/>
          <w:rFonts w:ascii="黑体" w:eastAsia="黑体"/>
        </w:rPr>
        <w:t>七、“三公”经费财政拨款支出决算情况说明</w:t>
      </w:r>
      <w:r>
        <w:tab/>
      </w:r>
      <w:r>
        <w:fldChar w:fldCharType="begin"/>
      </w:r>
      <w:r>
        <w:instrText xml:space="preserve"> PAGEREF _Toc113981019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"_Toc113981020" </w:instrText>
      </w:r>
      <w:r>
        <w:fldChar w:fldCharType="separate"/>
      </w:r>
      <w:r>
        <w:rPr>
          <w:rStyle w:val="18"/>
          <w:rFonts w:ascii="黑体" w:eastAsia="黑体"/>
        </w:rPr>
        <w:t>八、政府性基金预算支出决算情况说明</w:t>
      </w:r>
      <w:r>
        <w:tab/>
      </w:r>
      <w:r>
        <w:fldChar w:fldCharType="begin"/>
      </w:r>
      <w:r>
        <w:instrText xml:space="preserve"> PAGEREF _Toc113981020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"_Toc113981021" </w:instrText>
      </w:r>
      <w:r>
        <w:fldChar w:fldCharType="separate"/>
      </w:r>
      <w:r>
        <w:rPr>
          <w:rStyle w:val="18"/>
          <w:rFonts w:ascii="黑体" w:eastAsia="黑体"/>
        </w:rPr>
        <w:t>九、国有资本经营预算支出决算情况说明</w:t>
      </w:r>
      <w:r>
        <w:tab/>
      </w:r>
      <w:r>
        <w:fldChar w:fldCharType="begin"/>
      </w:r>
      <w:r>
        <w:instrText xml:space="preserve"> PAGEREF _Toc113981021 \h </w:instrText>
      </w:r>
      <w:r>
        <w:fldChar w:fldCharType="separate"/>
      </w:r>
      <w:r>
        <w:t>12</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"_Toc113981022" </w:instrText>
      </w:r>
      <w:r>
        <w:fldChar w:fldCharType="separate"/>
      </w:r>
      <w:r>
        <w:rPr>
          <w:rStyle w:val="18"/>
          <w:rFonts w:ascii="黑体" w:eastAsia="黑体"/>
        </w:rPr>
        <w:t>十、其他重要事项的情况说明</w:t>
      </w:r>
      <w:r>
        <w:tab/>
      </w:r>
      <w:r>
        <w:fldChar w:fldCharType="begin"/>
      </w:r>
      <w:r>
        <w:instrText xml:space="preserve"> PAGEREF _Toc113981022 \h </w:instrText>
      </w:r>
      <w:r>
        <w:fldChar w:fldCharType="separate"/>
      </w:r>
      <w:r>
        <w:t>12</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"_Toc113981023" </w:instrText>
      </w:r>
      <w:r>
        <w:fldChar w:fldCharType="separate"/>
      </w:r>
      <w:r>
        <w:rPr>
          <w:rStyle w:val="18"/>
          <w:rFonts w:ascii="黑体" w:hAnsi="黑体" w:eastAsia="黑体" w:cs="黑体"/>
        </w:rPr>
        <w:t>第三部分 名词解释</w:t>
      </w:r>
      <w:r>
        <w:tab/>
      </w:r>
      <w:r>
        <w:fldChar w:fldCharType="begin"/>
      </w:r>
      <w:r>
        <w:instrText xml:space="preserve"> PAGEREF _Toc113981023 \h </w:instrText>
      </w:r>
      <w:r>
        <w:fldChar w:fldCharType="separate"/>
      </w:r>
      <w:r>
        <w:t>14</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"_Toc113981024" </w:instrText>
      </w:r>
      <w:r>
        <w:fldChar w:fldCharType="separate"/>
      </w:r>
      <w:r>
        <w:rPr>
          <w:rStyle w:val="18"/>
          <w:rFonts w:ascii="黑体" w:hAnsi="黑体" w:eastAsia="黑体" w:cs="黑体"/>
        </w:rPr>
        <w:t>第四部分 附件</w:t>
      </w:r>
      <w:r>
        <w:tab/>
      </w:r>
      <w:r>
        <w:fldChar w:fldCharType="begin"/>
      </w:r>
      <w:r>
        <w:instrText xml:space="preserve"> PAGEREF _Toc113981024 \h </w:instrText>
      </w:r>
      <w:r>
        <w:fldChar w:fldCharType="separate"/>
      </w:r>
      <w:r>
        <w:t>16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"_Toc113981025" </w:instrText>
      </w:r>
      <w:r>
        <w:fldChar w:fldCharType="separate"/>
      </w:r>
      <w:r>
        <w:rPr>
          <w:rStyle w:val="18"/>
          <w:rFonts w:ascii="黑体" w:hAnsi="黑体" w:eastAsia="黑体" w:cs="黑体"/>
        </w:rPr>
        <w:t>第五部分 附表</w:t>
      </w:r>
      <w:r>
        <w:tab/>
      </w:r>
      <w:r>
        <w:fldChar w:fldCharType="begin"/>
      </w:r>
      <w:r>
        <w:instrText xml:space="preserve"> PAGEREF _Toc113981025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"_Toc113981026" </w:instrText>
      </w:r>
      <w:r>
        <w:fldChar w:fldCharType="separate"/>
      </w:r>
      <w:r>
        <w:rPr>
          <w:rStyle w:val="18"/>
          <w:rFonts w:ascii="黑体" w:eastAsia="黑体"/>
        </w:rPr>
        <w:t>一、收入支出决算总表</w:t>
      </w:r>
      <w:r>
        <w:tab/>
      </w:r>
      <w:r>
        <w:fldChar w:fldCharType="begin"/>
      </w:r>
      <w:r>
        <w:instrText xml:space="preserve"> PAGEREF _Toc113981026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"_Toc113981027" </w:instrText>
      </w:r>
      <w:r>
        <w:fldChar w:fldCharType="separate"/>
      </w:r>
      <w:r>
        <w:rPr>
          <w:rStyle w:val="18"/>
          <w:rFonts w:ascii="黑体" w:eastAsia="黑体"/>
        </w:rPr>
        <w:t>二、收入决算表</w:t>
      </w:r>
      <w:r>
        <w:tab/>
      </w:r>
      <w:r>
        <w:fldChar w:fldCharType="begin"/>
      </w:r>
      <w:r>
        <w:instrText xml:space="preserve"> PAGEREF _Toc113981027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"_Toc113981028" </w:instrText>
      </w:r>
      <w:r>
        <w:fldChar w:fldCharType="separate"/>
      </w:r>
      <w:r>
        <w:rPr>
          <w:rStyle w:val="18"/>
          <w:rFonts w:ascii="黑体" w:eastAsia="黑体"/>
        </w:rPr>
        <w:t>三、支出决算表</w:t>
      </w:r>
      <w:r>
        <w:tab/>
      </w:r>
      <w:r>
        <w:fldChar w:fldCharType="begin"/>
      </w:r>
      <w:r>
        <w:instrText xml:space="preserve"> PAGEREF _Toc113981028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"_Toc113981029" </w:instrText>
      </w:r>
      <w:r>
        <w:fldChar w:fldCharType="separate"/>
      </w:r>
      <w:r>
        <w:rPr>
          <w:rStyle w:val="18"/>
          <w:rFonts w:ascii="黑体" w:eastAsia="黑体"/>
        </w:rPr>
        <w:t>四、财政拨款收入支出决算总表</w:t>
      </w:r>
      <w:r>
        <w:tab/>
      </w:r>
      <w:r>
        <w:fldChar w:fldCharType="begin"/>
      </w:r>
      <w:r>
        <w:instrText xml:space="preserve"> PAGEREF _Toc113981029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"_Toc113981030" </w:instrText>
      </w:r>
      <w:r>
        <w:fldChar w:fldCharType="separate"/>
      </w:r>
      <w:r>
        <w:rPr>
          <w:rStyle w:val="18"/>
          <w:rFonts w:ascii="黑体" w:eastAsia="黑体"/>
        </w:rPr>
        <w:t>五、财政拨款支出决算明细表</w:t>
      </w:r>
      <w:r>
        <w:tab/>
      </w:r>
      <w:r>
        <w:fldChar w:fldCharType="begin"/>
      </w:r>
      <w:r>
        <w:instrText xml:space="preserve"> PAGEREF _Toc113981030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"_Toc113981031" </w:instrText>
      </w:r>
      <w:r>
        <w:fldChar w:fldCharType="separate"/>
      </w:r>
      <w:r>
        <w:rPr>
          <w:rStyle w:val="18"/>
          <w:rFonts w:ascii="黑体" w:eastAsia="黑体"/>
        </w:rPr>
        <w:t>六、一般公共预算财政拨款支出决算表</w:t>
      </w:r>
      <w:r>
        <w:tab/>
      </w:r>
      <w:r>
        <w:fldChar w:fldCharType="begin"/>
      </w:r>
      <w:r>
        <w:instrText xml:space="preserve"> PAGEREF _Toc113981031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"_Toc113981032" </w:instrText>
      </w:r>
      <w:r>
        <w:fldChar w:fldCharType="separate"/>
      </w:r>
      <w:r>
        <w:rPr>
          <w:rStyle w:val="18"/>
          <w:rFonts w:ascii="黑体" w:eastAsia="黑体"/>
        </w:rPr>
        <w:t>七、一般公共预算财政拨款支出决算明细表</w:t>
      </w:r>
      <w:r>
        <w:tab/>
      </w:r>
      <w:r>
        <w:fldChar w:fldCharType="begin"/>
      </w:r>
      <w:r>
        <w:instrText xml:space="preserve"> PAGEREF _Toc113981032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"_Toc113981033" </w:instrText>
      </w:r>
      <w:r>
        <w:fldChar w:fldCharType="separate"/>
      </w:r>
      <w:r>
        <w:rPr>
          <w:rStyle w:val="18"/>
          <w:rFonts w:ascii="黑体" w:eastAsia="黑体"/>
        </w:rPr>
        <w:t>八、一般公共预算财政拨款基本支出决算表</w:t>
      </w:r>
      <w:r>
        <w:tab/>
      </w:r>
      <w:r>
        <w:fldChar w:fldCharType="begin"/>
      </w:r>
      <w:r>
        <w:instrText xml:space="preserve"> PAGEREF _Toc113981033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"_Toc113981034" </w:instrText>
      </w:r>
      <w:r>
        <w:fldChar w:fldCharType="separate"/>
      </w:r>
      <w:r>
        <w:rPr>
          <w:rStyle w:val="18"/>
          <w:rFonts w:ascii="黑体" w:eastAsia="黑体"/>
        </w:rPr>
        <w:t>九、一般公共预算财政拨款项目支出决算表</w:t>
      </w:r>
      <w:r>
        <w:tab/>
      </w:r>
      <w:r>
        <w:fldChar w:fldCharType="begin"/>
      </w:r>
      <w:r>
        <w:instrText xml:space="preserve"> PAGEREF _Toc113981034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"_Toc113981035" </w:instrText>
      </w:r>
      <w:r>
        <w:fldChar w:fldCharType="separate"/>
      </w:r>
      <w:r>
        <w:rPr>
          <w:rStyle w:val="18"/>
          <w:rFonts w:ascii="黑体" w:eastAsia="黑体"/>
        </w:rPr>
        <w:t>十、一般公共预算财政拨款“三公”经费支出决算表</w:t>
      </w:r>
      <w:r>
        <w:tab/>
      </w:r>
      <w:r>
        <w:fldChar w:fldCharType="begin"/>
      </w:r>
      <w:r>
        <w:instrText xml:space="preserve"> PAGEREF _Toc113981035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"_Toc113981036" </w:instrText>
      </w:r>
      <w:r>
        <w:fldChar w:fldCharType="separate"/>
      </w:r>
      <w:r>
        <w:rPr>
          <w:rStyle w:val="18"/>
          <w:rFonts w:ascii="黑体" w:eastAsia="黑体"/>
        </w:rPr>
        <w:t>十一、政府性基金预算财政拨款收入支出决算表</w:t>
      </w:r>
      <w:r>
        <w:tab/>
      </w:r>
      <w:r>
        <w:fldChar w:fldCharType="begin"/>
      </w:r>
      <w:r>
        <w:instrText xml:space="preserve"> PAGEREF _Toc113981036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"_Toc113981037" </w:instrText>
      </w:r>
      <w:r>
        <w:fldChar w:fldCharType="separate"/>
      </w:r>
      <w:r>
        <w:rPr>
          <w:rStyle w:val="18"/>
          <w:rFonts w:ascii="黑体" w:eastAsia="黑体"/>
        </w:rPr>
        <w:t>十二、政府性基金预算财政拨款“三公”经费支出决算表</w:t>
      </w:r>
      <w:r>
        <w:tab/>
      </w:r>
      <w:r>
        <w:fldChar w:fldCharType="begin"/>
      </w:r>
      <w:r>
        <w:instrText xml:space="preserve"> PAGEREF _Toc113981037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"_Toc113981038" </w:instrText>
      </w:r>
      <w:r>
        <w:fldChar w:fldCharType="separate"/>
      </w:r>
      <w:r>
        <w:rPr>
          <w:rStyle w:val="18"/>
          <w:rFonts w:ascii="黑体" w:eastAsia="黑体"/>
        </w:rPr>
        <w:t>十三、国有资本经营预算财政拨款收入支出决算表</w:t>
      </w:r>
      <w:r>
        <w:tab/>
      </w:r>
      <w:r>
        <w:fldChar w:fldCharType="begin"/>
      </w:r>
      <w:r>
        <w:instrText xml:space="preserve"> PAGEREF _Toc113981038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"_Toc113981039" </w:instrText>
      </w:r>
      <w:r>
        <w:fldChar w:fldCharType="separate"/>
      </w:r>
      <w:r>
        <w:rPr>
          <w:rStyle w:val="18"/>
          <w:rFonts w:ascii="黑体" w:eastAsia="黑体"/>
        </w:rPr>
        <w:t>十四、国有资本经营预算财政拨款支出决算表</w:t>
      </w:r>
      <w:r>
        <w:tab/>
      </w:r>
      <w:r>
        <w:fldChar w:fldCharType="begin"/>
      </w:r>
      <w:r>
        <w:instrText xml:space="preserve"> PAGEREF _Toc113981039 \h </w:instrText>
      </w:r>
      <w:r>
        <w:fldChar w:fldCharType="separate"/>
      </w:r>
      <w:r>
        <w:t>17</w:t>
      </w:r>
      <w:r>
        <w:fldChar w:fldCharType="end"/>
      </w:r>
      <w: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3981009"/>
      <w:bookmarkStart w:id="14" w:name="_Toc111208495"/>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rPr>
          <w:rStyle w:val="41"/>
          <w:rFonts w:ascii="仿宋" w:hAnsi="仿宋" w:eastAsia="仿宋"/>
          <w:b w:val="0"/>
          <w:bCs w:val="0"/>
        </w:rPr>
      </w:pPr>
      <w:bookmarkStart w:id="15" w:name="_Toc15377197"/>
      <w:bookmarkStart w:id="16" w:name="_Toc15396600"/>
      <w:bookmarkStart w:id="17" w:name="_Toc25800"/>
      <w:bookmarkStart w:id="18" w:name="_Toc79163602"/>
      <w:bookmarkStart w:id="19" w:name="_Toc15377204"/>
      <w:r>
        <w:rPr>
          <w:rFonts w:hint="eastAsia" w:ascii="黑体" w:hAnsi="黑体" w:eastAsia="黑体"/>
          <w:b w:val="0"/>
          <w:color w:val="000000"/>
        </w:rPr>
        <w:t>一、基</w:t>
      </w:r>
      <w:r>
        <w:rPr>
          <w:rStyle w:val="41"/>
          <w:rFonts w:hint="eastAsia" w:ascii="黑体" w:hAnsi="黑体" w:eastAsia="黑体"/>
          <w:b w:val="0"/>
          <w:bCs w:val="0"/>
        </w:rPr>
        <w:t>本职能及主要工作</w:t>
      </w:r>
      <w:bookmarkEnd w:id="15"/>
      <w:bookmarkEnd w:id="16"/>
      <w:bookmarkEnd w:id="17"/>
      <w:bookmarkEnd w:id="18"/>
    </w:p>
    <w:p>
      <w:pPr>
        <w:pStyle w:val="7"/>
        <w:adjustRightInd w:val="0"/>
        <w:snapToGrid w:val="0"/>
        <w:spacing w:before="93" w:line="600" w:lineRule="exact"/>
        <w:ind w:firstLine="674" w:firstLineChars="210"/>
        <w:outlineLvl w:val="2"/>
        <w:rPr>
          <w:rFonts w:hint="eastAsia" w:ascii="楷体" w:hAnsi="楷体" w:eastAsia="楷体" w:cs="楷体"/>
          <w:b/>
          <w:bCs w:val="0"/>
          <w:color w:val="000000"/>
          <w:sz w:val="32"/>
          <w:szCs w:val="32"/>
        </w:rPr>
      </w:pPr>
      <w:bookmarkStart w:id="20" w:name="_Toc8880"/>
      <w:bookmarkStart w:id="21" w:name="_Toc79163603"/>
      <w:bookmarkStart w:id="22" w:name="_Toc15378445"/>
      <w:bookmarkStart w:id="23" w:name="_Toc15377198"/>
      <w:r>
        <w:rPr>
          <w:rFonts w:hint="eastAsia" w:ascii="楷体" w:hAnsi="楷体" w:eastAsia="楷体" w:cs="楷体"/>
          <w:b/>
          <w:bCs w:val="0"/>
          <w:color w:val="000000"/>
          <w:sz w:val="32"/>
          <w:szCs w:val="32"/>
        </w:rPr>
        <w:t>（一）主要职能</w:t>
      </w:r>
      <w:bookmarkEnd w:id="20"/>
      <w:bookmarkEnd w:id="21"/>
    </w:p>
    <w:bookmarkEnd w:id="22"/>
    <w:bookmarkEnd w:id="2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围绕中央、省委和州委重要决策以及县委总体工作部署，开展调研，并负责信息的收集、综合和报送工作。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负责县委常委会议、书记办公会议、县党代会、县委全委会、县委工作会、全县领导干部会等会议的会务工作，负责县委领导参加重要公务活动的组织安排。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负责县委重要工作部署贯彻落实的督促检查，负责县委指示、县委领导批示的转达和催办落实。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负责县保密委员会及其办公室的日常工作。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负责管理县委密码局工作。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7.完成县委和县委领导交办的其他工作任务。</w:t>
      </w:r>
    </w:p>
    <w:p>
      <w:pPr>
        <w:pStyle w:val="7"/>
        <w:adjustRightInd w:val="0"/>
        <w:snapToGrid w:val="0"/>
        <w:spacing w:before="93" w:line="600" w:lineRule="exact"/>
        <w:ind w:firstLine="674" w:firstLineChars="210"/>
        <w:outlineLvl w:val="2"/>
        <w:rPr>
          <w:rFonts w:hint="eastAsia" w:ascii="楷体" w:hAnsi="楷体" w:eastAsia="楷体" w:cs="楷体"/>
          <w:b/>
          <w:bCs w:val="0"/>
          <w:color w:val="000000"/>
          <w:sz w:val="32"/>
          <w:szCs w:val="32"/>
          <w:lang w:eastAsia="zh-CN"/>
        </w:rPr>
      </w:pPr>
      <w:bookmarkStart w:id="24" w:name="_Toc31514"/>
      <w:bookmarkStart w:id="25" w:name="_Toc15377200"/>
      <w:r>
        <w:rPr>
          <w:rFonts w:hint="eastAsia" w:ascii="楷体" w:hAnsi="楷体" w:eastAsia="楷体" w:cs="楷体"/>
          <w:b/>
          <w:bCs w:val="0"/>
          <w:color w:val="000000"/>
          <w:sz w:val="32"/>
          <w:szCs w:val="32"/>
        </w:rPr>
        <w:t>（二）2020年重点工作完成情况。</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1.提高文稿质量、保证公文高效运转。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2.扎实做好县委常委会议、书记办公会议、县党代会、县委全委会、县委工作会、全县领导干部会等会议的会务工作，确保会议规范有序。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3.充分发挥办公室综合协调职能，加强与各级各部门的沟通协调，周密安排领导公务活动，做到事前缜密谋划、事中灵活应对、事后总结完善，不断提高服务能力和水平。</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4.加强日常信息报送。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5.扩展非涉密计算机敏感信息监管系统，做到全覆盖，开展全县网络核查分类工作，切实做好全县普通高校招生考试安全保密工作，做好保密</w:t>
      </w:r>
      <w:r>
        <w:rPr>
          <w:rFonts w:hint="default" w:ascii="仿宋_GB2312" w:hAnsi="仿宋_GB2312" w:eastAsia="仿宋_GB2312" w:cs="仿宋_GB2312"/>
          <w:color w:val="000000"/>
          <w:sz w:val="32"/>
          <w:szCs w:val="32"/>
          <w:lang w:val="en-US"/>
        </w:rPr>
        <w:t>法治宣传教育</w:t>
      </w:r>
      <w:r>
        <w:rPr>
          <w:rFonts w:hint="eastAsia" w:ascii="仿宋_GB2312" w:hAnsi="仿宋_GB2312" w:eastAsia="仿宋_GB2312" w:cs="仿宋_GB2312"/>
          <w:color w:val="000000"/>
          <w:sz w:val="32"/>
          <w:szCs w:val="32"/>
        </w:rPr>
        <w:t>和保密业务培训。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6.扎实做好密码通信服务保障，推进密码管理规范化，抓好和完善党政内网建设。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7.成立重点工作与目标考评中心，开展重点工作、重点项目督查，并形成督查专报，做好年度目标考核工作。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做好人民群众来信来访工作，妥善处置各类突发事件，努力维护社会大局稳定。对来访人员合理诉求及时联系相关部门给予答复，树立良好窗口形象。做好《书记信箱》、《阿坝民声》中涉及我县的信访问题，及时督察督办，及时回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9.严格执行24小时值班制度，周末、节假日值班制定。加强车辆管理，确保县委工作正常运转。</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bookmarkStart w:id="26" w:name="_Toc113981011"/>
      <w:bookmarkStart w:id="27" w:name="_Toc111208497"/>
      <w:r>
        <w:rPr>
          <w:rFonts w:hint="eastAsia" w:ascii="黑体" w:hAnsi="黑体" w:eastAsia="黑体" w:cs="黑体"/>
          <w:b w:val="0"/>
          <w:bCs/>
          <w:color w:val="000000"/>
        </w:rPr>
        <w:t>二、机构设置</w:t>
      </w:r>
      <w:bookmarkEnd w:id="25"/>
      <w:bookmarkEnd w:id="26"/>
      <w:bookmarkEnd w:id="27"/>
      <w:r>
        <w:rPr>
          <w:rFonts w:ascii="仿宋" w:hAnsi="仿宋" w:eastAsia="仿宋"/>
          <w:color w:val="000000"/>
          <w:sz w:val="32"/>
          <w:szCs w:val="32"/>
        </w:rPr>
        <w:br w:type="textWrapping"/>
      </w:r>
      <w:r>
        <w:rPr>
          <w:rFonts w:ascii="仿宋" w:hAnsi="仿宋" w:eastAsia="仿宋"/>
          <w:color w:val="000000"/>
          <w:sz w:val="32"/>
          <w:szCs w:val="32"/>
        </w:rPr>
        <w:tab/>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县委办下属二级单位0个，其中行政单位0个，参照公务员法管理的事业单位0个，其他事业单位0个。
我单位不涉及纳入2021年度部门决算编制范围的二级预算单位。</w:t>
      </w:r>
    </w:p>
    <w:p>
      <w:pPr>
        <w:widowControl/>
        <w:jc w:val="left"/>
        <w:rPr>
          <w:rFonts w:ascii="仿宋_GB2312" w:hAnsi="黑体" w:eastAsia="仿宋_GB2312"/>
          <w:b/>
          <w:bCs/>
          <w:color w:val="000000"/>
          <w:kern w:val="44"/>
          <w:sz w:val="44"/>
          <w:szCs w:val="44"/>
        </w:rPr>
      </w:pPr>
      <w:r>
        <w:rPr>
          <w:rFonts w:ascii="仿宋_GB2312" w:hAnsi="黑体" w:eastAsia="仿宋_GB2312"/>
          <w:color w:val="000000"/>
        </w:rPr>
        <w:br w:type="page"/>
      </w:r>
    </w:p>
    <w:p>
      <w:pPr>
        <w:pStyle w:val="3"/>
        <w:jc w:val="center"/>
        <w:rPr>
          <w:rFonts w:ascii="黑体" w:hAnsi="黑体" w:eastAsia="黑体" w:cs="黑体"/>
          <w:b w:val="0"/>
          <w:bCs w:val="0"/>
        </w:rPr>
      </w:pPr>
      <w:bookmarkStart w:id="28" w:name="_Toc113981012"/>
      <w:bookmarkStart w:id="29" w:name="_Toc111208498"/>
      <w:r>
        <w:rPr>
          <w:rFonts w:hint="eastAsia" w:ascii="黑体" w:hAnsi="黑体" w:eastAsia="黑体" w:cs="黑体"/>
          <w:b w:val="0"/>
          <w:bCs w:val="0"/>
        </w:rPr>
        <w:t>第二部分</w:t>
      </w:r>
      <w:r>
        <w:rPr>
          <w:rFonts w:ascii="黑体" w:hAnsi="黑体" w:eastAsia="黑体" w:cs="黑体"/>
          <w:b w:val="0"/>
          <w:bCs w:val="0"/>
        </w:rPr>
        <w:t xml:space="preserve"> </w:t>
      </w:r>
      <w:r>
        <w:rPr>
          <w:rFonts w:hint="eastAsia" w:ascii="黑体" w:hAnsi="黑体" w:eastAsia="黑体" w:cs="黑体"/>
          <w:b w:val="0"/>
          <w:bCs w:val="0"/>
        </w:rPr>
        <w:t>2021年度部门决算情况说明</w:t>
      </w:r>
      <w:bookmarkEnd w:id="19"/>
      <w:bookmarkEnd w:id="28"/>
      <w:bookmarkEnd w:id="29"/>
    </w:p>
    <w:p>
      <w:pPr>
        <w:pStyle w:val="4"/>
        <w:ind w:firstLine="640" w:firstLineChars="200"/>
        <w:rPr>
          <w:rFonts w:ascii="黑体" w:eastAsia="黑体" w:cs="Times New Roman"/>
          <w:b w:val="0"/>
          <w:bCs/>
          <w:color w:val="000000"/>
        </w:rPr>
      </w:pPr>
      <w:bookmarkStart w:id="30" w:name="_Toc15377205"/>
      <w:bookmarkStart w:id="31" w:name="_Toc113981013"/>
      <w:bookmarkStart w:id="32" w:name="_Toc111208499"/>
      <w:r>
        <w:rPr>
          <w:rFonts w:hint="eastAsia" w:ascii="黑体" w:eastAsia="黑体" w:cs="Times New Roman"/>
          <w:b w:val="0"/>
          <w:bCs/>
          <w:color w:val="000000"/>
        </w:rPr>
        <w:t>一、收入支出决算总体情况说</w:t>
      </w:r>
      <w:bookmarkEnd w:id="30"/>
      <w:r>
        <w:rPr>
          <w:rFonts w:hint="eastAsia" w:ascii="黑体" w:eastAsia="黑体" w:cs="Times New Roman"/>
          <w:b w:val="0"/>
          <w:bCs/>
          <w:color w:val="000000"/>
        </w:rPr>
        <w:t>明</w:t>
      </w:r>
      <w:bookmarkEnd w:id="31"/>
      <w:bookmarkEnd w:id="32"/>
    </w:p>
    <w:p>
      <w:pPr>
        <w:spacing w:line="600" w:lineRule="exact"/>
        <w:ind w:firstLine="640" w:firstLineChars="200"/>
        <w:rPr>
          <w:rFonts w:hint="eastAsia" w:ascii="仿宋_GB2312" w:hAnsi="仿宋_GB2312" w:eastAsia="仿宋_GB2312" w:cs="仿宋_GB2312"/>
          <w:color w:val="00B0F0"/>
          <w:sz w:val="32"/>
          <w:szCs w:val="32"/>
          <w:lang w:eastAsia="zh-CN"/>
        </w:rPr>
      </w:pPr>
      <w:r>
        <w:rPr>
          <w:rFonts w:hint="eastAsia" w:ascii="仿宋_GB2312" w:hAnsi="仿宋_GB2312" w:eastAsia="仿宋_GB2312" w:cs="仿宋_GB2312"/>
          <w:color w:val="000000"/>
          <w:sz w:val="32"/>
          <w:szCs w:val="32"/>
        </w:rPr>
        <w:t>2021年度收、支总计1253.71万元。与2020年相比，收、支总计各增加33.52万元，增加2.75 %。主要变动原因是增员增资</w:t>
      </w:r>
      <w:r>
        <w:rPr>
          <w:rFonts w:hint="eastAsia" w:ascii="仿宋_GB2312" w:hAnsi="仿宋_GB2312" w:eastAsia="仿宋_GB2312" w:cs="仿宋_GB2312"/>
          <w:color w:val="000000"/>
          <w:sz w:val="32"/>
          <w:szCs w:val="32"/>
          <w:lang w:eastAsia="zh-CN"/>
        </w:rPr>
        <w:t>。</w:t>
      </w:r>
    </w:p>
    <w:p>
      <w:pPr>
        <w:spacing w:line="600" w:lineRule="exact"/>
        <w:ind w:firstLine="1600" w:firstLineChars="5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（图1：收、支决算总计变动情况图）</w:t>
      </w:r>
    </w:p>
    <w:p>
      <w:pPr>
        <w:pStyle w:val="2"/>
      </w:pPr>
      <w:r>
        <w:drawing>
          <wp:inline distT="0" distB="0" distL="114300" distR="114300">
            <wp:extent cx="5059680" cy="2466975"/>
            <wp:effectExtent l="4445" t="4445" r="22225" b="508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ind w:firstLine="640" w:firstLineChars="200"/>
        <w:rPr>
          <w:rFonts w:ascii="黑体" w:eastAsia="黑体" w:cs="Times New Roman"/>
          <w:b w:val="0"/>
          <w:bCs/>
          <w:color w:val="000000"/>
        </w:rPr>
      </w:pPr>
      <w:bookmarkStart w:id="33" w:name="_Toc15377206"/>
      <w:bookmarkStart w:id="34" w:name="_Toc111208500"/>
      <w:bookmarkStart w:id="35" w:name="_Toc113981014"/>
      <w:r>
        <w:rPr>
          <w:rFonts w:hint="eastAsia" w:ascii="黑体" w:eastAsia="黑体" w:cs="Times New Roman"/>
          <w:b w:val="0"/>
          <w:bCs/>
          <w:color w:val="000000"/>
        </w:rPr>
        <w:t>二、收入决算情况说明</w:t>
      </w:r>
      <w:bookmarkEnd w:id="33"/>
      <w:bookmarkEnd w:id="34"/>
      <w:bookmarkEnd w:id="3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本年收入合计1253.71万元，其中：一般公共预算财政拨款收入1253.71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2560" w:firstLineChars="8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4599940" cy="2667000"/>
            <wp:effectExtent l="4445" t="4445" r="571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ind w:firstLine="640" w:firstLineChars="200"/>
        <w:rPr>
          <w:rFonts w:ascii="黑体" w:eastAsia="黑体" w:cs="Times New Roman"/>
          <w:b w:val="0"/>
          <w:bCs/>
          <w:color w:val="000000"/>
        </w:rPr>
      </w:pPr>
      <w:bookmarkStart w:id="36" w:name="_Toc113981015"/>
      <w:bookmarkStart w:id="37" w:name="_Toc15377207"/>
      <w:bookmarkStart w:id="38" w:name="_Toc111208501"/>
      <w:r>
        <w:rPr>
          <w:rFonts w:hint="eastAsia" w:ascii="黑体" w:eastAsia="黑体" w:cs="Times New Roman"/>
          <w:b w:val="0"/>
          <w:bCs/>
          <w:color w:val="000000"/>
        </w:rPr>
        <w:t>三、支出决算情况说明</w:t>
      </w:r>
      <w:bookmarkEnd w:id="36"/>
      <w:bookmarkEnd w:id="37"/>
      <w:bookmarkEnd w:id="38"/>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2021年本年支出合计1253.71万元，其中：基本支出869.29万元，占69.34%；项目支出384.42万元，占30.66%；上缴上级支出0.00万元，占0.00%；经营支出0.00万元，占0.00%；对附属单位补助支出0.00万元，占0.00%。</w:t>
      </w:r>
    </w:p>
    <w:p>
      <w:pPr>
        <w:spacing w:line="600" w:lineRule="exact"/>
        <w:ind w:firstLine="2240" w:firstLineChars="7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028565" cy="2703830"/>
            <wp:effectExtent l="4445" t="4445" r="15240" b="1587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pPr>
    </w:p>
    <w:p>
      <w:pPr>
        <w:pStyle w:val="4"/>
        <w:ind w:firstLine="642" w:firstLineChars="200"/>
        <w:rPr>
          <w:rFonts w:ascii="黑体" w:eastAsia="黑体" w:cs="Times New Roman"/>
          <w:bCs w:val="0"/>
          <w:color w:val="000000"/>
        </w:rPr>
      </w:pPr>
      <w:bookmarkStart w:id="39" w:name="_Toc113981016"/>
      <w:bookmarkStart w:id="40" w:name="_Toc15377208"/>
      <w:bookmarkStart w:id="41" w:name="_Toc111208502"/>
      <w:r>
        <w:rPr>
          <w:rFonts w:hint="eastAsia" w:ascii="黑体" w:eastAsia="黑体" w:cs="Times New Roman"/>
          <w:bCs w:val="0"/>
          <w:color w:val="000000"/>
        </w:rPr>
        <w:t>四、财政拨款收入支出决算总体情况说明</w:t>
      </w:r>
      <w:bookmarkEnd w:id="39"/>
      <w:bookmarkEnd w:id="40"/>
      <w:bookmarkEnd w:id="41"/>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2021年财政拨款收、支总计1253.71万元。与2020年相比，财政拨款收、支总计各增加33.52万元，增加2.75 %。主要变动原因是增员增资。</w:t>
      </w:r>
    </w:p>
    <w:p>
      <w:pPr>
        <w:pStyle w:val="2"/>
        <w:ind w:firstLine="1673" w:firstLineChars="523"/>
      </w:pPr>
      <w:r>
        <w:rPr>
          <w:rFonts w:hint="eastAsia" w:ascii="仿宋_GB2312" w:hAnsi="仿宋_GB2312" w:eastAsia="仿宋_GB2312" w:cs="仿宋_GB2312"/>
          <w:color w:val="000000"/>
          <w:kern w:val="2"/>
          <w:sz w:val="32"/>
          <w:szCs w:val="32"/>
          <w:lang w:val="en-US" w:eastAsia="zh-CN" w:bidi="ar-SA"/>
        </w:rPr>
        <w:t>（图4：财政拨款收、支决算总计变动情况）</w:t>
      </w:r>
    </w:p>
    <w:p>
      <w:pPr>
        <w:pStyle w:val="2"/>
        <w:jc w:val="left"/>
      </w:pPr>
      <w:r>
        <w:rPr>
          <w:rFonts w:hint="eastAsia" w:ascii="仿宋_GB2312" w:hAnsi="仿宋" w:eastAsia="仿宋_GB2312"/>
          <w:color w:val="000000"/>
          <w:sz w:val="32"/>
          <w:szCs w:val="32"/>
        </w:rPr>
        <w:drawing>
          <wp:inline distT="0" distB="0" distL="0" distR="0">
            <wp:extent cx="5362575" cy="3162300"/>
            <wp:effectExtent l="4445" t="4445" r="5080"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ind w:firstLine="640" w:firstLineChars="200"/>
        <w:rPr>
          <w:rFonts w:hint="eastAsia" w:ascii="黑体" w:eastAsia="黑体" w:cs="Times New Roman"/>
          <w:b w:val="0"/>
          <w:bCs/>
          <w:color w:val="000000"/>
        </w:rPr>
      </w:pPr>
      <w:bookmarkStart w:id="42" w:name="_Toc15377209"/>
      <w:bookmarkStart w:id="43" w:name="_Toc113981017"/>
      <w:bookmarkStart w:id="44" w:name="_Toc111208503"/>
      <w:bookmarkStart w:id="45" w:name="_Toc15377211"/>
      <w:r>
        <w:rPr>
          <w:rFonts w:hint="eastAsia" w:ascii="黑体" w:eastAsia="黑体" w:cs="Times New Roman"/>
          <w:b w:val="0"/>
          <w:bCs/>
          <w:color w:val="000000"/>
        </w:rPr>
        <w:t>五、一般公共预算财政拨款支出决算情况说</w:t>
      </w:r>
      <w:bookmarkEnd w:id="42"/>
      <w:r>
        <w:rPr>
          <w:rFonts w:hint="eastAsia" w:ascii="黑体" w:eastAsia="黑体" w:cs="Times New Roman"/>
          <w:b w:val="0"/>
          <w:bCs/>
          <w:color w:val="000000"/>
        </w:rPr>
        <w:t>明</w:t>
      </w:r>
      <w:bookmarkEnd w:id="43"/>
      <w:bookmarkEnd w:id="44"/>
    </w:p>
    <w:p>
      <w:pPr>
        <w:spacing w:line="600" w:lineRule="exact"/>
        <w:ind w:firstLine="642" w:firstLineChars="200"/>
        <w:outlineLvl w:val="2"/>
        <w:rPr>
          <w:rFonts w:hint="eastAsia" w:ascii="楷体_GB2312" w:hAnsi="楷体_GB2312" w:eastAsia="楷体_GB2312" w:cs="楷体_GB2312"/>
          <w:b/>
          <w:bCs w:val="0"/>
          <w:color w:val="000000"/>
          <w:sz w:val="32"/>
          <w:szCs w:val="32"/>
        </w:rPr>
      </w:pPr>
      <w:bookmarkStart w:id="46" w:name="_Toc15377210"/>
      <w:r>
        <w:rPr>
          <w:rFonts w:hint="eastAsia" w:ascii="楷体_GB2312" w:hAnsi="楷体_GB2312" w:eastAsia="楷体_GB2312" w:cs="楷体_GB2312"/>
          <w:b/>
          <w:bCs w:val="0"/>
          <w:color w:val="000000"/>
          <w:sz w:val="32"/>
          <w:szCs w:val="32"/>
        </w:rPr>
        <w:t>（一）一般公共预算财政拨款支出决算总体情况</w:t>
      </w:r>
      <w:bookmarkEnd w:id="46"/>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2021年一般公共预算财政拨款支出1253.71万元，占本年支出合计的100.00%。与2020相比，一般公共预算财政拨款增加33.52万元，增加2.75 %。主要变动原因是增员增资。</w:t>
      </w:r>
    </w:p>
    <w:p>
      <w:pPr>
        <w:pStyle w:val="2"/>
        <w:rPr>
          <w:rFonts w:hint="eastAsia" w:ascii="仿宋_GB2312" w:hAnsi="仿宋_GB2312" w:eastAsia="仿宋_GB2312" w:cs="仿宋_GB2312"/>
          <w:color w:val="000000"/>
          <w:kern w:val="2"/>
          <w:sz w:val="32"/>
          <w:szCs w:val="32"/>
          <w:lang w:val="en-US" w:eastAsia="zh-CN" w:bidi="ar-SA"/>
        </w:rPr>
      </w:pPr>
    </w:p>
    <w:p>
      <w:pPr>
        <w:pStyle w:val="2"/>
        <w:rPr>
          <w:rFonts w:hint="eastAsia" w:ascii="仿宋_GB2312" w:hAnsi="仿宋_GB2312" w:eastAsia="仿宋_GB2312" w:cs="仿宋_GB2312"/>
          <w:color w:val="000000"/>
          <w:kern w:val="2"/>
          <w:sz w:val="32"/>
          <w:szCs w:val="32"/>
          <w:lang w:val="en-US" w:eastAsia="zh-CN" w:bidi="ar-SA"/>
        </w:rPr>
      </w:pPr>
    </w:p>
    <w:p>
      <w:pPr>
        <w:pStyle w:val="2"/>
        <w:ind w:left="0" w:leftChars="0" w:firstLine="0" w:firstLineChars="0"/>
        <w:rPr>
          <w:rFonts w:ascii="仿宋_GB2312" w:hAnsi="仿宋" w:eastAsia="仿宋_GB2312"/>
          <w:b/>
          <w:color w:val="000000"/>
          <w:sz w:val="32"/>
          <w:szCs w:val="32"/>
        </w:rPr>
      </w:pPr>
      <w:r>
        <w:rPr>
          <w:rFonts w:hint="eastAsia" w:ascii="仿宋_GB2312" w:hAnsi="仿宋_GB2312" w:eastAsia="仿宋_GB2312" w:cs="仿宋_GB2312"/>
          <w:color w:val="000000"/>
          <w:kern w:val="2"/>
          <w:sz w:val="32"/>
          <w:szCs w:val="32"/>
          <w:lang w:val="en-US" w:eastAsia="zh-CN" w:bidi="ar-SA"/>
        </w:rPr>
        <w:t>(图5：一般公共预算财政拨款支出决算变动情况）</w:t>
      </w: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239260" cy="2608580"/>
            <wp:effectExtent l="4445" t="4445" r="23495"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45"/>
    <w:p>
      <w:pPr>
        <w:spacing w:line="600" w:lineRule="exact"/>
        <w:ind w:firstLine="642"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（二）一般公共预算财政拨款支出决算结构情况</w:t>
      </w:r>
    </w:p>
    <w:p>
      <w:p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一般公共预算财政拨款支出1253.71万元，主要用于以下方面:一般公共服务支出1084.36万元，占86.49%；社会保障和就业支出77.08万元，占6.15%；卫生健康支出36.21万元，占2.89%；农林水支出0.84万元，占0.07%；住房保障支出55.23万元，占4.40%。</w:t>
      </w:r>
    </w:p>
    <w:p>
      <w:pPr>
        <w:spacing w:line="600" w:lineRule="exact"/>
        <w:ind w:firstLine="640" w:firstLineChars="200"/>
        <w:rPr>
          <w:rFonts w:ascii="仿宋" w:hAnsi="仿宋" w:eastAsia="仿宋"/>
          <w:color w:val="000000"/>
          <w:sz w:val="32"/>
          <w:szCs w:val="32"/>
        </w:rPr>
      </w:pPr>
      <w:r>
        <w:rPr>
          <w:rFonts w:hint="eastAsia" w:ascii="仿宋_GB2312" w:hAnsi="仿宋_GB2312" w:eastAsia="仿宋_GB2312" w:cs="仿宋_GB2312"/>
          <w:color w:val="000000"/>
          <w:kern w:val="2"/>
          <w:sz w:val="32"/>
          <w:szCs w:val="32"/>
          <w:lang w:val="en-US" w:eastAsia="zh-CN" w:bidi="ar-SA"/>
        </w:rPr>
        <w:t>（图6：一般公共预算财政拨款支出决算结构）</w:t>
      </w:r>
      <w:bookmarkStart w:id="47" w:name="_Toc15377212"/>
    </w:p>
    <w:p>
      <w:pPr>
        <w:pStyle w:val="2"/>
      </w:pPr>
      <w:r>
        <w:drawing>
          <wp:inline distT="0" distB="0" distL="0" distR="0">
            <wp:extent cx="4724400" cy="2685415"/>
            <wp:effectExtent l="4445" t="4445" r="1460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（三）一般公共预算财政拨款支出决算具体情况</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bookmarkStart w:id="48" w:name="_Toc15377444"/>
      <w:bookmarkStart w:id="49" w:name="_Toc15377213"/>
      <w:bookmarkStart w:id="50" w:name="_Toc15378460"/>
      <w:r>
        <w:rPr>
          <w:rFonts w:hint="eastAsia" w:ascii="仿宋_GB2312" w:hAnsi="仿宋_GB2312" w:eastAsia="仿宋_GB2312" w:cs="仿宋_GB2312"/>
          <w:color w:val="000000"/>
          <w:kern w:val="2"/>
          <w:sz w:val="32"/>
          <w:szCs w:val="32"/>
          <w:lang w:val="en-US" w:eastAsia="zh-CN" w:bidi="ar-SA"/>
        </w:rPr>
        <w:t>2021年一般公共预算支出决算数为1253.71万元，完成预算100%。其中：</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1.一般公共服务支出（201）党委办公厅（室）及相关机构事务（20131）行政运行（2013101）支出决算700.78万元，完成预算100%。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2.一般公共服务支出（201）党委办公厅（室）及相关机构事务（20131）一般行政管理事务（2013102）支出决算208.50万元，完成预算100%。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3.一般公共服务支出（201）党委办公厅（室）及相关机构事务（20131）其他党委办公厅（室）及相关机构事务支出（2013199）支出决算135.08万元，完成预算100%。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4.一般公共服务支出（201）其他一般公共服务支出（20199）其他一般公共服务支出（2019999）支出决算40.00万元，完成预算100%。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5.社会保障和就业支出（208）行政事业单位养老支出（20805）机关事业单位基本养老保险缴费支出（2080505）支出决算51.37万元，完成预算100%。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6.社会保障和就业支出（208）行政事业单位养老支出（20805）机关事业单位职业年金缴费支出（2080506）支出决算25.71万元，完成预算100%。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7.卫生健康支出（210）行政事业单位医疗（21011）行政单位医疗（2101101）支出决算36.21万元，完成预算100%。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8.农林水支出（213）扶贫（21305）其他扶贫支出（2130599）支出决算0.84万元，完成预算100%。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9.住房保障支出（221）住房改革支出（22102）住房公积金（2210201）支出决算54.21万元，完成预算100%。</w:t>
      </w:r>
      <w:r>
        <w:rPr>
          <w:rFonts w:hint="eastAsia" w:ascii="仿宋_GB2312" w:hAnsi="仿宋_GB2312" w:eastAsia="仿宋_GB2312" w:cs="仿宋_GB2312"/>
          <w:color w:val="000000"/>
          <w:kern w:val="2"/>
          <w:sz w:val="32"/>
          <w:szCs w:val="32"/>
          <w:lang w:val="en-US" w:eastAsia="zh-CN" w:bidi="ar-SA"/>
        </w:rPr>
        <w:br w:type="textWrapping"/>
      </w:r>
      <w:r>
        <w:rPr>
          <w:rFonts w:hint="eastAsia" w:ascii="仿宋_GB2312" w:hAnsi="仿宋_GB2312" w:eastAsia="仿宋_GB2312" w:cs="仿宋_GB2312"/>
          <w:color w:val="000000"/>
          <w:kern w:val="2"/>
          <w:sz w:val="32"/>
          <w:szCs w:val="32"/>
          <w:lang w:val="en-US" w:eastAsia="zh-CN" w:bidi="ar-SA"/>
        </w:rPr>
        <w:tab/>
      </w:r>
      <w:r>
        <w:rPr>
          <w:rFonts w:hint="eastAsia" w:ascii="仿宋_GB2312" w:hAnsi="仿宋_GB2312" w:eastAsia="仿宋_GB2312" w:cs="仿宋_GB2312"/>
          <w:color w:val="000000"/>
          <w:kern w:val="2"/>
          <w:sz w:val="32"/>
          <w:szCs w:val="32"/>
          <w:lang w:val="en-US" w:eastAsia="zh-CN" w:bidi="ar-SA"/>
        </w:rPr>
        <w:t>10.住房保障支出（221）住房改革支出（22102）购房补贴（2210203）支出决算1.02万元，完成预算100%。</w:t>
      </w:r>
    </w:p>
    <w:p>
      <w:pPr>
        <w:pStyle w:val="4"/>
        <w:ind w:firstLine="642" w:firstLineChars="200"/>
        <w:rPr>
          <w:rFonts w:ascii="黑体" w:eastAsia="黑体" w:cs="Times New Roman"/>
          <w:b w:val="0"/>
          <w:color w:val="000000"/>
        </w:rPr>
      </w:pPr>
      <w:bookmarkStart w:id="51" w:name="_Toc15377214"/>
      <w:bookmarkStart w:id="52" w:name="_Toc111208504"/>
      <w:bookmarkStart w:id="53" w:name="_Toc113981018"/>
      <w:r>
        <w:rPr>
          <w:rFonts w:hint="eastAsia" w:ascii="黑体" w:eastAsia="黑体" w:cs="Times New Roman"/>
          <w:bCs w:val="0"/>
          <w:color w:val="000000"/>
        </w:rPr>
        <w:t>六、一般公共预算财政拨款基本支出决算情况说</w:t>
      </w:r>
      <w:bookmarkEnd w:id="51"/>
      <w:r>
        <w:rPr>
          <w:rFonts w:hint="eastAsia" w:ascii="黑体" w:eastAsia="黑体" w:cs="Times New Roman"/>
          <w:bCs w:val="0"/>
          <w:color w:val="000000"/>
        </w:rPr>
        <w:t>明</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2021年一般公共预算财政拨款基本支出869.29万元，其中：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人员经费752.37万元，主要包括：基本工资159.33万元、津贴补贴161.67万元、奖金206.74万元、机关事业单位基本养老保险缴费51.37万元、职业年金缴费25.71万元、职工基本医疗保险缴费36.21万元、其他社会保障缴费1.57万元、住房公积金54.21万元、医疗费5.44万元、抚恤金20.02万元、生活补助29.90万元、医疗费补助0.05万元、奖励金0.16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公用经费116.92万元，主要包括：办公费0.58万元、邮电费6.07万元、差旅费13.08万元、维修（护）费2.16万元、会议费40.73万元、培训费0.60万元、公务接待费2.91万元、劳务费0.70万元、公务用车运行维护费48.28万元。</w:t>
      </w:r>
    </w:p>
    <w:p>
      <w:pPr>
        <w:pStyle w:val="4"/>
        <w:ind w:firstLine="642" w:firstLineChars="200"/>
        <w:rPr>
          <w:rFonts w:ascii="黑体" w:eastAsia="黑体" w:cs="Times New Roman"/>
          <w:bCs w:val="0"/>
          <w:color w:val="000000"/>
        </w:rPr>
      </w:pPr>
      <w:bookmarkStart w:id="54" w:name="_Toc113981019"/>
      <w:bookmarkStart w:id="55" w:name="_Toc111208505"/>
      <w:bookmarkStart w:id="56" w:name="_Toc15377215"/>
      <w:r>
        <w:rPr>
          <w:rFonts w:hint="eastAsia" w:ascii="黑体" w:eastAsia="黑体" w:cs="Times New Roman"/>
          <w:bCs w:val="0"/>
          <w:color w:val="000000"/>
        </w:rPr>
        <w:t>七、“三公”经费财政拨款支出决算情况说明</w:t>
      </w:r>
      <w:bookmarkEnd w:id="54"/>
      <w:bookmarkEnd w:id="55"/>
      <w:bookmarkEnd w:id="56"/>
    </w:p>
    <w:p>
      <w:pPr>
        <w:spacing w:line="600" w:lineRule="exact"/>
        <w:ind w:firstLine="642" w:firstLineChars="200"/>
        <w:outlineLvl w:val="2"/>
        <w:rPr>
          <w:rFonts w:ascii="仿宋" w:hAnsi="仿宋" w:eastAsia="仿宋"/>
          <w:b/>
          <w:color w:val="000000"/>
          <w:sz w:val="32"/>
          <w:szCs w:val="32"/>
        </w:rPr>
      </w:pPr>
      <w:bookmarkStart w:id="57" w:name="_Toc15377216"/>
      <w:r>
        <w:rPr>
          <w:rFonts w:hint="eastAsia" w:ascii="楷体_GB2312" w:hAnsi="楷体_GB2312" w:eastAsia="楷体_GB2312" w:cs="楷体_GB2312"/>
          <w:b/>
          <w:color w:val="000000"/>
          <w:sz w:val="32"/>
          <w:szCs w:val="32"/>
        </w:rPr>
        <w:t>（一）“三公”经费财政拨款支出决算总体情况说明</w:t>
      </w:r>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2021年“三公”经费财政拨款支出决算为96.61万元，完成预算100.00%。</w:t>
      </w:r>
      <w:bookmarkStart w:id="58" w:name="_Toc15377217"/>
    </w:p>
    <w:p>
      <w:pPr>
        <w:spacing w:line="600" w:lineRule="exact"/>
        <w:ind w:firstLine="642" w:firstLineChars="200"/>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（二）“三公”经费财政拨款支出决算具体情况说明</w:t>
      </w:r>
      <w:bookmarkEnd w:id="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olor w:val="000000"/>
          <w:sz w:val="32"/>
          <w:szCs w:val="32"/>
        </w:rPr>
        <w:t>2</w:t>
      </w:r>
      <w:r>
        <w:rPr>
          <w:rFonts w:hint="eastAsia" w:ascii="仿宋_GB2312" w:hAnsi="仿宋_GB2312" w:eastAsia="仿宋_GB2312" w:cs="仿宋_GB2312"/>
          <w:color w:val="000000"/>
          <w:kern w:val="2"/>
          <w:sz w:val="32"/>
          <w:szCs w:val="32"/>
          <w:lang w:val="en-US" w:eastAsia="zh-CN" w:bidi="ar-SA"/>
        </w:rPr>
        <w:t>021年“三公”经费财政拨款支出96.61万元，因公出国（境）费支出决算0.00万元，占0.00%；公务用车购置及运行维护费支出决算93.70万元，占96.99%；公务接待费支出决算2.91万元，占3.01%。具体情况如下：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1.因公出国（境）经费支出0.00万元,完成预算100%。全年安排因公出国（境）团组0次，出国（境）0人。因公出国（境）支出决算比2020年增加0.00万元，增加100.00 %。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2.公务用车购置及运行维护费支出93.70万元,完成预算100.00%。公务用车购置及运行维护费支出决算比2020年减少2.99万元，减少3.09%。主要原因是压缩三公经费支出。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其中：公务用车购置支出0.00万元。全年按规定更新购置公务用车-1辆，其中：轿车-1辆、金额-35.80万元，越野车0辆、金额0.00万元，载客汽车0辆、金额0.00万元。截至2021年12月底，单位共有公务用车7辆，其中：轿车0辆、越野车7辆、载客汽车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公务用车运行维护费支出93.70万元。主要用于压缩三公经费支出。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3.公务接待费支出2.91万元，完成预算100.00%。公务接待费支出决算比2020年减少1.87万元，减少64.05%。</w:t>
      </w:r>
      <w:bookmarkStart w:id="59" w:name="_Toc15377218"/>
      <w:r>
        <w:rPr>
          <w:rFonts w:hint="eastAsia" w:ascii="仿宋_GB2312" w:hAnsi="仿宋_GB2312" w:eastAsia="仿宋_GB2312" w:cs="仿宋_GB2312"/>
          <w:color w:val="000000"/>
          <w:kern w:val="2"/>
          <w:sz w:val="32"/>
          <w:szCs w:val="32"/>
          <w:lang w:val="en-US" w:eastAsia="zh-CN" w:bidi="ar-SA"/>
        </w:rPr>
        <w:t xml:space="preserve">主要原因是压缩三公经费支出。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国内公务接待支出2.91万元。国内公务接待21批次，252人次（不包括陪同人员），共计支出2.91万元。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外事接待支出0.00万元，外事接待0批次，0人，共计支出0.00万元。</w:t>
      </w:r>
    </w:p>
    <w:p>
      <w:pPr>
        <w:pStyle w:val="4"/>
        <w:ind w:firstLine="642" w:firstLineChars="200"/>
        <w:rPr>
          <w:rFonts w:ascii="黑体" w:eastAsia="黑体" w:cs="Times New Roman"/>
          <w:bCs w:val="0"/>
          <w:color w:val="000000"/>
        </w:rPr>
      </w:pPr>
      <w:bookmarkStart w:id="60" w:name="_Toc111208506"/>
      <w:bookmarkStart w:id="61" w:name="_Toc113981020"/>
      <w:r>
        <w:rPr>
          <w:rFonts w:hint="eastAsia" w:ascii="黑体" w:eastAsia="黑体" w:cs="Times New Roman"/>
          <w:bCs w:val="0"/>
          <w:color w:val="000000"/>
        </w:rPr>
        <w:t>八、政府性基金预算支出决算情况说明</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2021年政府性基金预算拨款支出0.00万元。</w:t>
      </w:r>
      <w:bookmarkStart w:id="62" w:name="_Toc15377219"/>
    </w:p>
    <w:p>
      <w:pPr>
        <w:pStyle w:val="4"/>
        <w:ind w:firstLine="642" w:firstLineChars="200"/>
        <w:rPr>
          <w:rFonts w:ascii="黑体" w:eastAsia="黑体" w:cs="Times New Roman"/>
          <w:bCs w:val="0"/>
          <w:color w:val="000000"/>
        </w:rPr>
      </w:pPr>
      <w:bookmarkStart w:id="63" w:name="_Toc111208507"/>
      <w:bookmarkStart w:id="64" w:name="_Toc113981021"/>
      <w:r>
        <w:rPr>
          <w:rFonts w:hint="eastAsia" w:ascii="黑体" w:eastAsia="黑体" w:cs="Times New Roman"/>
          <w:bCs w:val="0"/>
          <w:color w:val="000000"/>
        </w:rPr>
        <w:t>九、国有资本经营预算支出决算情况说明</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2021年国有资本经营预算拨款支出0.00万元。</w:t>
      </w:r>
    </w:p>
    <w:p>
      <w:pPr>
        <w:pStyle w:val="4"/>
        <w:ind w:firstLine="642" w:firstLineChars="200"/>
        <w:rPr>
          <w:rFonts w:ascii="黑体" w:eastAsia="黑体" w:cs="Times New Roman"/>
          <w:bCs w:val="0"/>
          <w:color w:val="000000"/>
        </w:rPr>
      </w:pPr>
      <w:bookmarkStart w:id="65" w:name="_Toc15377221"/>
      <w:bookmarkStart w:id="66" w:name="_Toc113981022"/>
      <w:bookmarkStart w:id="67" w:name="_Toc111208508"/>
      <w:r>
        <w:rPr>
          <w:rFonts w:hint="eastAsia" w:ascii="黑体" w:eastAsia="黑体" w:cs="Times New Roman"/>
          <w:bCs w:val="0"/>
          <w:color w:val="000000"/>
        </w:rPr>
        <w:t>十、其他重要事项的情况说明</w:t>
      </w:r>
      <w:bookmarkEnd w:id="65"/>
      <w:bookmarkEnd w:id="66"/>
      <w:bookmarkEnd w:id="67"/>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68" w:name="_Toc15377222"/>
      <w:r>
        <w:rPr>
          <w:rFonts w:hint="eastAsia" w:ascii="楷体_GB2312" w:hAnsi="楷体_GB2312" w:eastAsia="楷体_GB2312" w:cs="楷体_GB2312"/>
          <w:b/>
          <w:color w:val="000000"/>
          <w:sz w:val="32"/>
          <w:szCs w:val="32"/>
        </w:rPr>
        <w:t>（一）机关运行经费支出情况</w:t>
      </w:r>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2021年，机关运行经费支出116.92万元，比2020年减少175.25万元，减少59.98 %。主要原因是压缩经费支出。 </w:t>
      </w:r>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69" w:name="_Toc15377223"/>
      <w:r>
        <w:rPr>
          <w:rFonts w:hint="eastAsia" w:ascii="楷体_GB2312" w:hAnsi="楷体_GB2312" w:eastAsia="楷体_GB2312" w:cs="楷体_GB2312"/>
          <w:b/>
          <w:color w:val="000000"/>
          <w:sz w:val="32"/>
          <w:szCs w:val="32"/>
        </w:rPr>
        <w:t>（二）政府采购支出情况</w:t>
      </w:r>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政府采购支出总额214.59万元，其中：政府采购货物支出214.59万元、政府采购工程支出0.00万元、政府采购服务支出0.00万元。授予中小企业合同金额214.59万元，其中：授予小微企业合同金额214.59万元，占总合同的100.00%。</w:t>
      </w:r>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70" w:name="_Toc15377224"/>
      <w:r>
        <w:rPr>
          <w:rFonts w:hint="eastAsia" w:ascii="楷体_GB2312" w:hAnsi="楷体_GB2312" w:eastAsia="楷体_GB2312" w:cs="楷体_GB2312"/>
          <w:b/>
          <w:color w:val="000000"/>
          <w:sz w:val="32"/>
          <w:szCs w:val="32"/>
        </w:rPr>
        <w:t>（三）国有资产占有使用情况</w:t>
      </w:r>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截至2021年12月31日，共有车辆7辆，其中：主要领导干部用车0辆、机要通信用车1辆、应急保障用车6辆、其他用车0辆。单价50万元以上通用设备0台（套），单价100万元以上专用设备0台（套）。</w:t>
      </w:r>
    </w:p>
    <w:p>
      <w:pPr>
        <w:spacing w:line="600" w:lineRule="exact"/>
        <w:ind w:firstLine="642" w:firstLineChars="200"/>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我办根据预算绩效管理要求，根据年初工作规划和重点性工作，积极履职，强化管理，通过加强预算收支管理，不断建立健全内部管理制度，梳理内部管理流程，较好的完成了年度工作目标。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仿宋_GB2312" w:hAnsi="仿宋_GB2312" w:eastAsia="仿宋_GB2312" w:cs="仿宋_GB2312"/>
          <w:color w:val="000000"/>
          <w:kern w:val="2"/>
          <w:sz w:val="32"/>
          <w:szCs w:val="32"/>
          <w:lang w:val="en-US" w:eastAsia="zh-CN" w:bidi="ar-SA"/>
        </w:rPr>
        <w:t>我办按要求对2021年部门整体支出开展绩效自评，从评价情况来看，2021年我办部门整体支出绩效评价自查自评结果良好，全年基本支出保证了部门的正常运行和日常工作的正常开展，绩效目标得到较好实现，绩效管理水平不断提高，绩效指标体系逐渐丰富和完善。</w:t>
      </w:r>
    </w:p>
    <w:p>
      <w:pPr>
        <w:pStyle w:val="3"/>
        <w:jc w:val="center"/>
        <w:rPr>
          <w:rFonts w:ascii="黑体" w:hAnsi="黑体" w:eastAsia="黑体" w:cs="黑体"/>
        </w:rPr>
      </w:pPr>
      <w:r>
        <w:rPr>
          <w:rFonts w:hint="eastAsia" w:ascii="黑体" w:hAnsi="黑体" w:eastAsia="黑体" w:cs="黑体"/>
        </w:rPr>
        <w:t>第三部分 名词解释</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9.一般公共服务支出（201）党委办公厅（室）及相关机构事务（20131）行政运行（2013101）：反映行政单位（包括实行公务员管理的事业单位）的基本支出。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10.一般公共服务支出（201）党委办公厅（室）及相关机构事务（20131）一般行政管理事务（2013102）：反映行政单位（包括实行公务员管理的事业单位）未单独设置项级科目的其他项目支出。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11.一般公共服务支出（201）党委办公厅（室）及相关机构事务（20131）事业运行（2013150）：反映事业单位的基本支出，不包括行政单位（包括实行公务员管理的事业单位）后勤服务中心、医务室等附属事业单位。</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12.一般公共服务支出（201）党委办公厅（室）及相关机构事务（20131）其他党委办公厅（室）及相关机构事务支出（2013199）：反映除上述项目以外其他用于党委办公厅（室）及相关机构事务支出。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13.一般公共服务支出（201）其他一般公共服务支出（20199）其他一般公共服务支出（2019999）：反映除上述项以外的其他一般公共服务支出。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14.社会保障和就业支出（208）行政事业单位养老支出（20805）机关事业单位基本养老保险缴费支出（2080505）：反映机关事业单位实施养老保险制度由单位缴纳的基本养老保险费支出。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15.社会保障和就业支出（208）行政事业单位养老支出（20805）机关事业单位职业年金缴费支出（2080506）：反映机关事业单位实施养老保险制度由单位实际缴纳的职业年金支出。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16.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17.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18.农林水支出（213）扶贫（21305）其他扶贫支出（2130599）：反映除上述项目以外其他用于扶贫方面的支出。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19.住房保障支出（221）住房改革支出（22102）住房公积金（2210201）：反映行政事业单位按人力资源和社会保障部、财政部规定的基本工资和津贴补贴以及规定比例为职工缴纳的住房公积金。</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20.住房保障支出（221）住房改革支出（22102）购房补贴（2210203）：反映按房改政策规定，行政事业单位向符合条件职工（含离退休人员）、军队（含武警）向转役复员离退休人员发放的用于购买住房的补贴。</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22.经营支出：指事业单位在专业业务活动及其辅助活动之外开展非独立核算经营活动发生的支出。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25.财政应返还额度：为行政事业单位会计核算科目，用于核算实行国库集中支付的行政事业单位应收财政返还的资金额度。</w:t>
      </w:r>
    </w:p>
    <w:p>
      <w:pPr>
        <w:keepNext w:val="0"/>
        <w:keepLines w:val="0"/>
        <w:pageBreakBefore w:val="0"/>
        <w:widowControl/>
        <w:kinsoku/>
        <w:wordWrap/>
        <w:overflowPunct/>
        <w:topLinePunct w:val="0"/>
        <w:autoSpaceDE/>
        <w:autoSpaceDN/>
        <w:bidi w:val="0"/>
        <w:adjustRightInd/>
        <w:snapToGrid/>
        <w:spacing w:line="560" w:lineRule="exact"/>
        <w:ind w:firstLine="883" w:firstLineChars="200"/>
        <w:jc w:val="left"/>
        <w:textAlignment w:val="auto"/>
        <w:rPr>
          <w:rStyle w:val="28"/>
          <w:rFonts w:hint="eastAsia" w:ascii="仿宋_GB2312" w:hAnsi="仿宋_GB2312" w:eastAsia="仿宋_GB2312" w:cs="仿宋_GB2312"/>
        </w:rPr>
      </w:pPr>
      <w:r>
        <w:rPr>
          <w:rStyle w:val="28"/>
          <w:rFonts w:hint="eastAsia" w:ascii="仿宋_GB2312" w:hAnsi="仿宋_GB2312" w:eastAsia="仿宋_GB2312" w:cs="仿宋_GB2312"/>
        </w:rPr>
        <w:br w:type="page"/>
      </w:r>
    </w:p>
    <w:p>
      <w:pPr>
        <w:pStyle w:val="3"/>
        <w:jc w:val="center"/>
        <w:rPr>
          <w:rFonts w:ascii="黑体" w:hAnsi="黑体" w:eastAsia="黑体" w:cs="黑体"/>
        </w:rPr>
      </w:pPr>
      <w:bookmarkStart w:id="71" w:name="_Toc111208510"/>
      <w:bookmarkStart w:id="72" w:name="_Toc113981024"/>
      <w:r>
        <w:rPr>
          <w:rFonts w:hint="eastAsia" w:ascii="黑体" w:hAnsi="黑体" w:eastAsia="黑体" w:cs="黑体"/>
        </w:rPr>
        <w:t>第四部分 附件</w:t>
      </w:r>
      <w:bookmarkEnd w:id="71"/>
      <w:bookmarkEnd w:id="72"/>
    </w:p>
    <w:p>
      <w:pPr>
        <w:pStyle w:val="36"/>
        <w:spacing w:line="576" w:lineRule="exact"/>
        <w:jc w:val="center"/>
        <w:rPr>
          <w:rFonts w:hint="eastAsia" w:ascii="方正小标宋简体" w:hAnsi="方正小标宋简体" w:eastAsia="方正小标宋简体" w:cs="方正小标宋简体"/>
          <w:sz w:val="44"/>
          <w:szCs w:val="44"/>
        </w:rPr>
      </w:pPr>
      <w:bookmarkStart w:id="73" w:name="_Toc15396616"/>
      <w:r>
        <w:rPr>
          <w:rFonts w:hint="eastAsia" w:ascii="方正小标宋简体" w:hAnsi="方正小标宋简体" w:eastAsia="方正小标宋简体" w:cs="方正小标宋简体"/>
          <w:sz w:val="44"/>
          <w:szCs w:val="44"/>
          <w:lang w:eastAsia="zh-CN"/>
        </w:rPr>
        <w:t>中共茂县</w:t>
      </w:r>
      <w:r>
        <w:rPr>
          <w:rFonts w:hint="eastAsia" w:ascii="方正小标宋简体" w:hAnsi="方正小标宋简体" w:eastAsia="方正小标宋简体" w:cs="方正小标宋简体"/>
          <w:sz w:val="44"/>
          <w:szCs w:val="44"/>
        </w:rPr>
        <w:t>县委办</w:t>
      </w:r>
    </w:p>
    <w:p>
      <w:pPr>
        <w:pStyle w:val="36"/>
        <w:spacing w:line="576" w:lineRule="exact"/>
        <w:jc w:val="center"/>
        <w:rPr>
          <w:rFonts w:ascii="仿宋_GB2312" w:hAnsi="宋体" w:eastAsia="仿宋_GB2312"/>
          <w:sz w:val="32"/>
          <w:szCs w:val="32"/>
          <w:shd w:val="clear" w:color="auto" w:fill="FFFFFF"/>
        </w:rPr>
      </w:pP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年部门整体支出绩效评价报告</w:t>
      </w:r>
      <w:bookmarkEnd w:id="73"/>
    </w:p>
    <w:p>
      <w:pPr>
        <w:pStyle w:val="36"/>
        <w:keepNext w:val="0"/>
        <w:keepLines w:val="0"/>
        <w:pageBreakBefore w:val="0"/>
        <w:kinsoku/>
        <w:wordWrap/>
        <w:overflowPunct/>
        <w:topLinePunct w:val="0"/>
        <w:autoSpaceDE/>
        <w:autoSpaceDN/>
        <w:bidi w:val="0"/>
        <w:spacing w:line="560" w:lineRule="exact"/>
        <w:ind w:firstLine="640" w:firstLineChars="200"/>
        <w:rPr>
          <w:rFonts w:ascii="黑体" w:hAnsi="黑体" w:eastAsia="黑体"/>
          <w:sz w:val="32"/>
          <w:szCs w:val="32"/>
        </w:rPr>
      </w:pPr>
      <w:r>
        <w:rPr>
          <w:rFonts w:hint="eastAsia" w:ascii="黑体" w:hAnsi="黑体" w:eastAsia="黑体" w:cs="黑体"/>
          <w:sz w:val="32"/>
          <w:szCs w:val="32"/>
        </w:rPr>
        <w:t>一、部门概况</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（一）机构组成</w:t>
      </w:r>
    </w:p>
    <w:p>
      <w:pPr>
        <w:pStyle w:val="36"/>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本部门下属</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级预算单位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个，其中内设机构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综合股、秘书一股、秘书二股、政研和信息股、督查室、保密机要股、财务股、后勤股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（二）机构职能</w:t>
      </w:r>
    </w:p>
    <w:p>
      <w:pPr>
        <w:pStyle w:val="36"/>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负责县委日常文件的处理，负责中央和省、州、县委文件的收发、管理、传递工作；负责中央、省、州、县党委领导同志的批示的转达和催办落实等。</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（三）人员概况</w:t>
      </w:r>
    </w:p>
    <w:p>
      <w:pPr>
        <w:pStyle w:val="36"/>
        <w:keepNext w:val="0"/>
        <w:keepLines w:val="0"/>
        <w:pageBreakBefore w:val="0"/>
        <w:widowControl/>
        <w:kinsoku/>
        <w:wordWrap/>
        <w:overflowPunct/>
        <w:topLinePunct w:val="0"/>
        <w:autoSpaceDE/>
        <w:autoSpaceDN/>
        <w:bidi w:val="0"/>
        <w:adjustRightInd/>
        <w:snapToGrid/>
        <w:spacing w:line="560" w:lineRule="exact"/>
        <w:ind w:left="210" w:leftChars="100" w:firstLine="640" w:firstLineChars="200"/>
        <w:jc w:val="left"/>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总编制</w:t>
      </w:r>
      <w:r>
        <w:rPr>
          <w:rFonts w:hint="eastAsia" w:ascii="仿宋_GB2312" w:hAnsi="仿宋" w:eastAsia="仿宋_GB2312"/>
          <w:color w:val="auto"/>
          <w:sz w:val="32"/>
          <w:szCs w:val="32"/>
          <w:highlight w:val="none"/>
          <w:lang w:val="en-US" w:eastAsia="zh-CN"/>
        </w:rPr>
        <w:t>56</w:t>
      </w:r>
      <w:r>
        <w:rPr>
          <w:rFonts w:hint="eastAsia" w:ascii="仿宋_GB2312" w:hAnsi="仿宋" w:eastAsia="仿宋_GB2312"/>
          <w:color w:val="auto"/>
          <w:sz w:val="32"/>
          <w:szCs w:val="32"/>
          <w:highlight w:val="none"/>
        </w:rPr>
        <w:t xml:space="preserve">名,其中:行政编制 </w:t>
      </w:r>
      <w:r>
        <w:rPr>
          <w:rFonts w:hint="eastAsia" w:ascii="仿宋_GB2312" w:hAnsi="仿宋" w:eastAsia="仿宋_GB2312"/>
          <w:color w:val="auto"/>
          <w:sz w:val="32"/>
          <w:szCs w:val="32"/>
          <w:highlight w:val="none"/>
          <w:lang w:val="en-US" w:eastAsia="zh-CN"/>
        </w:rPr>
        <w:t>22</w:t>
      </w:r>
      <w:r>
        <w:rPr>
          <w:rFonts w:hint="eastAsia" w:ascii="仿宋_GB2312" w:hAnsi="仿宋" w:eastAsia="仿宋_GB2312"/>
          <w:color w:val="auto"/>
          <w:sz w:val="32"/>
          <w:szCs w:val="32"/>
          <w:highlight w:val="none"/>
        </w:rPr>
        <w:t>名,参照公务员法管理的事业编制 4 名，行政工勤编制 1</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 xml:space="preserve"> 名，事业编制 </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名。在职人员总数</w:t>
      </w:r>
      <w:r>
        <w:rPr>
          <w:rFonts w:hint="eastAsia" w:ascii="仿宋_GB2312" w:hAnsi="仿宋" w:eastAsia="仿宋_GB2312"/>
          <w:color w:val="auto"/>
          <w:sz w:val="32"/>
          <w:szCs w:val="32"/>
          <w:highlight w:val="none"/>
          <w:lang w:val="en-US" w:eastAsia="zh-CN"/>
        </w:rPr>
        <w:t>50</w:t>
      </w:r>
      <w:r>
        <w:rPr>
          <w:rFonts w:hint="eastAsia" w:ascii="仿宋_GB2312" w:hAnsi="仿宋" w:eastAsia="仿宋_GB2312"/>
          <w:color w:val="auto"/>
          <w:sz w:val="32"/>
          <w:szCs w:val="32"/>
          <w:highlight w:val="none"/>
        </w:rPr>
        <w:t>名，其中：行政人员</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 xml:space="preserve">名，参照公务员法管理的事业人员 </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 xml:space="preserve">名，行政工勤人员 11 名；事业人员 </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名。退休人员 1</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人。</w:t>
      </w:r>
    </w:p>
    <w:p>
      <w:pPr>
        <w:pStyle w:val="36"/>
        <w:keepNext w:val="0"/>
        <w:keepLines w:val="0"/>
        <w:pageBreakBefore w:val="0"/>
        <w:kinsoku/>
        <w:wordWrap/>
        <w:overflowPunct/>
        <w:topLinePunct w:val="0"/>
        <w:autoSpaceDE/>
        <w:autoSpaceDN/>
        <w:bidi w:val="0"/>
        <w:spacing w:line="560" w:lineRule="exact"/>
        <w:ind w:firstLine="640" w:firstLineChars="200"/>
        <w:rPr>
          <w:rFonts w:ascii="黑体" w:hAnsi="黑体" w:eastAsia="黑体"/>
          <w:sz w:val="32"/>
          <w:szCs w:val="32"/>
        </w:rPr>
      </w:pPr>
      <w:r>
        <w:rPr>
          <w:rFonts w:hint="eastAsia" w:ascii="黑体" w:hAnsi="黑体" w:eastAsia="黑体" w:cs="黑体"/>
          <w:sz w:val="32"/>
          <w:szCs w:val="32"/>
        </w:rPr>
        <w:t>二、部门财政资金收支情况</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（一）部门财政资金收入情况</w:t>
      </w:r>
    </w:p>
    <w:p>
      <w:pPr>
        <w:pStyle w:val="36"/>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年本部门财政拨款收入决算总额为</w:t>
      </w:r>
      <w:r>
        <w:rPr>
          <w:rFonts w:hint="eastAsia" w:ascii="仿宋_GB2312" w:hAnsi="宋体" w:eastAsia="仿宋_GB2312" w:cs="宋体"/>
          <w:color w:val="000000"/>
          <w:kern w:val="0"/>
          <w:sz w:val="32"/>
          <w:szCs w:val="32"/>
          <w:lang w:val="en-US" w:eastAsia="zh-CN"/>
        </w:rPr>
        <w:t>1253.71万</w:t>
      </w:r>
      <w:r>
        <w:rPr>
          <w:rFonts w:hint="eastAsia" w:ascii="仿宋_GB2312" w:hAnsi="仿宋_GB2312" w:eastAsia="仿宋_GB2312" w:cs="仿宋_GB2312"/>
          <w:sz w:val="32"/>
          <w:szCs w:val="32"/>
        </w:rPr>
        <w:t>元，其中：当年财政拨款收入</w:t>
      </w:r>
      <w:r>
        <w:rPr>
          <w:rFonts w:hint="eastAsia" w:ascii="仿宋_GB2312" w:hAnsi="宋体" w:eastAsia="仿宋_GB2312" w:cs="宋体"/>
          <w:color w:val="000000"/>
          <w:kern w:val="0"/>
          <w:sz w:val="32"/>
          <w:szCs w:val="32"/>
          <w:lang w:val="en-US" w:eastAsia="zh-CN"/>
        </w:rPr>
        <w:t>1253.71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均为一般公共预算财政拨款。</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（二）部门财政资金支出情况</w:t>
      </w:r>
    </w:p>
    <w:p>
      <w:pPr>
        <w:pStyle w:val="36"/>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color w:val="auto"/>
          <w:sz w:val="32"/>
          <w:szCs w:val="32"/>
        </w:rPr>
        <w:t>20</w:t>
      </w:r>
      <w:r>
        <w:rPr>
          <w:rFonts w:hint="eastAsia" w:ascii="仿宋_GB2312" w:hAnsi="仿宋" w:eastAsia="仿宋_GB2312" w:cs="仿宋_GB2312"/>
          <w:color w:val="auto"/>
          <w:sz w:val="32"/>
          <w:szCs w:val="32"/>
          <w:lang w:val="en-US" w:eastAsia="zh-CN"/>
        </w:rPr>
        <w:t>21</w:t>
      </w:r>
      <w:r>
        <w:rPr>
          <w:rFonts w:hint="eastAsia" w:ascii="仿宋_GB2312" w:hAnsi="仿宋" w:eastAsia="仿宋_GB2312" w:cs="仿宋_GB2312"/>
          <w:color w:val="auto"/>
          <w:sz w:val="32"/>
          <w:szCs w:val="32"/>
        </w:rPr>
        <w:t>年部门决算总支出</w:t>
      </w:r>
      <w:r>
        <w:rPr>
          <w:rFonts w:hint="eastAsia" w:ascii="仿宋_GB2312" w:hAnsi="宋体" w:eastAsia="仿宋_GB2312" w:cs="宋体"/>
          <w:color w:val="000000"/>
          <w:kern w:val="0"/>
          <w:sz w:val="32"/>
          <w:szCs w:val="32"/>
          <w:lang w:val="en-US" w:eastAsia="zh-CN"/>
        </w:rPr>
        <w:t>1253.71</w:t>
      </w:r>
      <w:r>
        <w:rPr>
          <w:rFonts w:hint="eastAsia" w:ascii="仿宋_GB2312" w:hAnsi="仿宋_GB2312" w:eastAsia="仿宋_GB2312" w:cs="仿宋_GB2312"/>
          <w:color w:val="auto"/>
          <w:sz w:val="32"/>
          <w:szCs w:val="32"/>
        </w:rPr>
        <w:t>万元</w:t>
      </w:r>
      <w:r>
        <w:rPr>
          <w:rFonts w:hint="eastAsia" w:ascii="仿宋_GB2312" w:hAnsi="仿宋" w:eastAsia="仿宋_GB2312" w:cs="仿宋_GB2312"/>
          <w:color w:val="auto"/>
          <w:sz w:val="32"/>
          <w:szCs w:val="32"/>
        </w:rPr>
        <w:t>，其中：一般公共服务支出</w:t>
      </w:r>
      <w:r>
        <w:rPr>
          <w:rFonts w:hint="eastAsia" w:ascii="仿宋_GB2312" w:hAnsi="仿宋" w:eastAsia="仿宋_GB2312" w:cs="仿宋_GB2312"/>
          <w:color w:val="auto"/>
          <w:sz w:val="32"/>
          <w:szCs w:val="32"/>
          <w:lang w:val="en-US" w:eastAsia="zh-CN"/>
        </w:rPr>
        <w:t>1084.36万元，</w:t>
      </w:r>
      <w:r>
        <w:rPr>
          <w:rFonts w:hint="eastAsia" w:ascii="仿宋_GB2312" w:hAnsi="仿宋" w:eastAsia="仿宋_GB2312" w:cs="仿宋_GB2312"/>
          <w:color w:val="auto"/>
          <w:sz w:val="32"/>
          <w:szCs w:val="32"/>
        </w:rPr>
        <w:t>社会保障就业支出</w:t>
      </w:r>
      <w:r>
        <w:rPr>
          <w:rFonts w:hint="eastAsia" w:ascii="仿宋_GB2312" w:hAnsi="仿宋" w:eastAsia="仿宋_GB2312" w:cs="仿宋_GB2312"/>
          <w:color w:val="auto"/>
          <w:sz w:val="32"/>
          <w:szCs w:val="32"/>
          <w:lang w:val="en-US" w:eastAsia="zh-CN"/>
        </w:rPr>
        <w:t>77.08万</w:t>
      </w:r>
      <w:r>
        <w:rPr>
          <w:rFonts w:hint="eastAsia" w:ascii="仿宋_GB2312" w:hAnsi="仿宋" w:eastAsia="仿宋_GB2312" w:cs="仿宋_GB2312"/>
          <w:color w:val="auto"/>
          <w:sz w:val="32"/>
          <w:szCs w:val="32"/>
        </w:rPr>
        <w:t>元，卫生</w:t>
      </w:r>
      <w:r>
        <w:rPr>
          <w:rFonts w:hint="eastAsia" w:ascii="仿宋_GB2312" w:hAnsi="仿宋" w:eastAsia="仿宋_GB2312" w:cs="仿宋_GB2312"/>
          <w:color w:val="auto"/>
          <w:sz w:val="32"/>
          <w:szCs w:val="32"/>
          <w:lang w:val="en-US" w:eastAsia="zh-CN"/>
        </w:rPr>
        <w:t>健康支出36.2万</w:t>
      </w:r>
      <w:r>
        <w:rPr>
          <w:rFonts w:hint="eastAsia" w:ascii="仿宋_GB2312" w:hAnsi="仿宋" w:eastAsia="仿宋_GB2312" w:cs="仿宋_GB2312"/>
          <w:color w:val="auto"/>
          <w:sz w:val="32"/>
          <w:szCs w:val="32"/>
        </w:rPr>
        <w:t>元，住房保障支出</w:t>
      </w:r>
      <w:r>
        <w:rPr>
          <w:rFonts w:hint="eastAsia" w:ascii="仿宋_GB2312" w:hAnsi="仿宋" w:eastAsia="仿宋_GB2312" w:cs="仿宋_GB2312"/>
          <w:color w:val="auto"/>
          <w:sz w:val="32"/>
          <w:szCs w:val="32"/>
          <w:lang w:val="en-US" w:eastAsia="zh-CN"/>
        </w:rPr>
        <w:t>55.2万</w:t>
      </w:r>
      <w:r>
        <w:rPr>
          <w:rFonts w:hint="eastAsia" w:ascii="仿宋_GB2312" w:hAnsi="仿宋" w:eastAsia="仿宋_GB2312" w:cs="仿宋_GB2312"/>
          <w:color w:val="auto"/>
          <w:sz w:val="32"/>
          <w:szCs w:val="32"/>
        </w:rPr>
        <w:t>元</w:t>
      </w:r>
      <w:r>
        <w:rPr>
          <w:rFonts w:hint="eastAsia" w:ascii="仿宋_GB2312" w:hAnsi="仿宋" w:eastAsia="仿宋_GB2312" w:cs="仿宋_GB2312"/>
          <w:color w:val="auto"/>
          <w:sz w:val="32"/>
          <w:szCs w:val="32"/>
          <w:lang w:eastAsia="zh-CN"/>
        </w:rPr>
        <w:t>，农林水支出</w:t>
      </w:r>
      <w:r>
        <w:rPr>
          <w:rFonts w:hint="eastAsia" w:ascii="仿宋_GB2312" w:hAnsi="仿宋" w:eastAsia="仿宋_GB2312" w:cs="仿宋_GB2312"/>
          <w:color w:val="auto"/>
          <w:sz w:val="32"/>
          <w:szCs w:val="32"/>
          <w:lang w:val="en-US" w:eastAsia="zh-CN"/>
        </w:rPr>
        <w:t>0.84万元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按支出性质分类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w:t>
      </w:r>
      <w:r>
        <w:rPr>
          <w:rFonts w:hint="eastAsia" w:ascii="仿宋_GB2312" w:hAnsi="仿宋_GB2312" w:eastAsia="仿宋_GB2312" w:cs="仿宋_GB2312"/>
          <w:sz w:val="32"/>
          <w:szCs w:val="32"/>
        </w:rPr>
        <w:t>本支出</w:t>
      </w:r>
      <w:r>
        <w:rPr>
          <w:rFonts w:hint="eastAsia" w:ascii="仿宋_GB2312" w:hAnsi="仿宋_GB2312" w:eastAsia="仿宋_GB2312" w:cs="仿宋_GB2312"/>
          <w:sz w:val="32"/>
          <w:szCs w:val="32"/>
          <w:lang w:val="en-US" w:eastAsia="zh-CN"/>
        </w:rPr>
        <w:t>869.29</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384.41</w:t>
      </w:r>
      <w:r>
        <w:rPr>
          <w:rFonts w:hint="eastAsia" w:ascii="仿宋_GB2312" w:hAnsi="仿宋_GB2312" w:eastAsia="仿宋_GB2312" w:cs="仿宋_GB2312"/>
          <w:sz w:val="32"/>
          <w:szCs w:val="32"/>
        </w:rPr>
        <w:t>万元；按经济分类，工资福利支出</w:t>
      </w:r>
      <w:r>
        <w:rPr>
          <w:rFonts w:hint="eastAsia" w:ascii="仿宋_GB2312" w:hAnsi="仿宋_GB2312" w:eastAsia="仿宋_GB2312" w:cs="仿宋_GB2312"/>
          <w:sz w:val="32"/>
          <w:szCs w:val="32"/>
          <w:lang w:val="en-US" w:eastAsia="zh-CN"/>
        </w:rPr>
        <w:t>702.24</w:t>
      </w:r>
      <w:r>
        <w:rPr>
          <w:rFonts w:hint="eastAsia" w:ascii="仿宋_GB2312" w:hAnsi="仿宋_GB2312" w:eastAsia="仿宋_GB2312" w:cs="仿宋_GB2312"/>
          <w:sz w:val="32"/>
          <w:szCs w:val="32"/>
        </w:rPr>
        <w:t>万元，商品服务支出</w:t>
      </w:r>
      <w:r>
        <w:rPr>
          <w:rFonts w:hint="eastAsia" w:ascii="仿宋_GB2312" w:hAnsi="仿宋_GB2312" w:eastAsia="仿宋_GB2312" w:cs="仿宋_GB2312"/>
          <w:sz w:val="32"/>
          <w:szCs w:val="32"/>
          <w:lang w:val="en-US" w:eastAsia="zh-CN"/>
        </w:rPr>
        <w:t>244.39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个人及家庭补助支出</w:t>
      </w:r>
      <w:r>
        <w:rPr>
          <w:rFonts w:hint="eastAsia" w:ascii="仿宋_GB2312" w:hAnsi="仿宋_GB2312" w:eastAsia="仿宋_GB2312" w:cs="仿宋_GB2312"/>
          <w:sz w:val="32"/>
          <w:szCs w:val="32"/>
          <w:lang w:val="en-US" w:eastAsia="zh-CN"/>
        </w:rPr>
        <w:t>92.5</w:t>
      </w:r>
      <w:r>
        <w:rPr>
          <w:rFonts w:hint="eastAsia" w:ascii="仿宋_GB2312" w:hAnsi="仿宋_GB2312" w:eastAsia="仿宋_GB2312" w:cs="仿宋_GB2312"/>
          <w:sz w:val="32"/>
          <w:szCs w:val="32"/>
        </w:rPr>
        <w:t>万元，资本性支出</w:t>
      </w:r>
      <w:r>
        <w:rPr>
          <w:rFonts w:hint="eastAsia" w:ascii="仿宋_GB2312" w:hAnsi="仿宋_GB2312" w:eastAsia="仿宋_GB2312" w:cs="仿宋_GB2312"/>
          <w:sz w:val="32"/>
          <w:szCs w:val="32"/>
          <w:lang w:val="en-US" w:eastAsia="zh-CN"/>
        </w:rPr>
        <w:t>214.6</w:t>
      </w:r>
      <w:r>
        <w:rPr>
          <w:rFonts w:hint="eastAsia" w:ascii="仿宋_GB2312" w:hAnsi="仿宋_GB2312" w:eastAsia="仿宋_GB2312" w:cs="仿宋_GB2312"/>
          <w:sz w:val="32"/>
          <w:szCs w:val="32"/>
        </w:rPr>
        <w:t>万元。</w:t>
      </w:r>
    </w:p>
    <w:p>
      <w:pPr>
        <w:pStyle w:val="36"/>
        <w:keepNext w:val="0"/>
        <w:keepLines w:val="0"/>
        <w:pageBreakBefore w:val="0"/>
        <w:kinsoku/>
        <w:wordWrap/>
        <w:overflowPunct/>
        <w:topLinePunct w:val="0"/>
        <w:autoSpaceDE/>
        <w:autoSpaceDN/>
        <w:bidi w:val="0"/>
        <w:spacing w:line="560" w:lineRule="exact"/>
        <w:ind w:firstLine="640" w:firstLineChars="200"/>
        <w:rPr>
          <w:rFonts w:ascii="黑体" w:hAnsi="黑体" w:eastAsia="黑体"/>
          <w:sz w:val="32"/>
          <w:szCs w:val="32"/>
        </w:rPr>
      </w:pPr>
      <w:r>
        <w:rPr>
          <w:rFonts w:hint="eastAsia" w:ascii="黑体" w:hAnsi="黑体" w:eastAsia="黑体" w:cs="黑体"/>
          <w:sz w:val="32"/>
          <w:szCs w:val="32"/>
        </w:rPr>
        <w:t>三、部门整体预算绩效管理情况</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（一）部门预</w:t>
      </w:r>
      <w:r>
        <w:rPr>
          <w:rFonts w:hint="eastAsia" w:ascii="楷体" w:hAnsi="楷体" w:eastAsia="楷体" w:cs="楷体"/>
          <w:b/>
          <w:bCs/>
          <w:sz w:val="32"/>
          <w:szCs w:val="32"/>
          <w:lang w:eastAsia="zh-CN"/>
        </w:rPr>
        <w:t>决</w:t>
      </w:r>
      <w:r>
        <w:rPr>
          <w:rFonts w:hint="eastAsia" w:ascii="楷体" w:hAnsi="楷体" w:eastAsia="楷体" w:cs="楷体"/>
          <w:b/>
          <w:bCs/>
          <w:sz w:val="32"/>
          <w:szCs w:val="32"/>
        </w:rPr>
        <w:t>算管理</w:t>
      </w:r>
    </w:p>
    <w:p>
      <w:pPr>
        <w:pStyle w:val="36"/>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我办严格按照有关要求，按时完成</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编制工作，。按规定编制政府采购预算，预算编制全面、科学。</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年部门决算、绩效目标填报及年末结余结转都是严格按照要求认真完成。</w:t>
      </w:r>
    </w:p>
    <w:p>
      <w:pPr>
        <w:pStyle w:val="36"/>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bCs/>
          <w:sz w:val="32"/>
          <w:szCs w:val="32"/>
        </w:rPr>
      </w:pPr>
      <w:r>
        <w:rPr>
          <w:rFonts w:hint="eastAsia" w:ascii="仿宋_GB2312" w:hAnsi="仿宋_GB2312" w:eastAsia="仿宋_GB2312" w:cs="仿宋_GB2312"/>
          <w:sz w:val="32"/>
          <w:szCs w:val="32"/>
        </w:rPr>
        <w:t>“三公”经费支出</w:t>
      </w:r>
      <w:r>
        <w:rPr>
          <w:rFonts w:hint="eastAsia" w:ascii="仿宋_GB2312" w:hAnsi="仿宋_GB2312" w:eastAsia="仿宋_GB2312" w:cs="仿宋_GB2312"/>
          <w:sz w:val="32"/>
          <w:szCs w:val="32"/>
          <w:lang w:val="en-US" w:eastAsia="zh-CN"/>
        </w:rPr>
        <w:t>96.61</w:t>
      </w:r>
      <w:r>
        <w:rPr>
          <w:rFonts w:hint="eastAsia" w:ascii="仿宋_GB2312" w:hAnsi="仿宋_GB2312" w:eastAsia="仿宋_GB2312" w:cs="仿宋_GB2312"/>
          <w:sz w:val="32"/>
          <w:szCs w:val="32"/>
        </w:rPr>
        <w:t>万元，其中：公务用车购置和维护经费</w:t>
      </w:r>
      <w:r>
        <w:rPr>
          <w:rFonts w:hint="eastAsia" w:ascii="仿宋_GB2312" w:hAnsi="仿宋_GB2312" w:eastAsia="仿宋_GB2312" w:cs="仿宋_GB2312"/>
          <w:sz w:val="32"/>
          <w:szCs w:val="32"/>
          <w:lang w:val="en-US" w:eastAsia="zh-CN"/>
        </w:rPr>
        <w:t>93.7</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2.91</w:t>
      </w:r>
      <w:r>
        <w:rPr>
          <w:rFonts w:hint="eastAsia" w:ascii="仿宋_GB2312" w:hAnsi="仿宋_GB2312" w:eastAsia="仿宋_GB2312" w:cs="仿宋_GB2312"/>
          <w:sz w:val="32"/>
          <w:szCs w:val="32"/>
        </w:rPr>
        <w:t>万元；预算数</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万元，比预算</w:t>
      </w:r>
      <w:r>
        <w:rPr>
          <w:rFonts w:hint="eastAsia" w:ascii="仿宋_GB2312" w:hAnsi="仿宋_GB2312" w:eastAsia="仿宋_GB2312" w:cs="仿宋_GB2312"/>
          <w:sz w:val="32"/>
          <w:szCs w:val="32"/>
          <w:lang w:val="en-US" w:eastAsia="zh-CN"/>
        </w:rPr>
        <w:t>增加42.61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比例为</w:t>
      </w:r>
      <w:r>
        <w:rPr>
          <w:rFonts w:hint="eastAsia" w:ascii="仿宋_GB2312" w:hAnsi="仿宋_GB2312" w:eastAsia="仿宋_GB2312" w:cs="仿宋_GB2312"/>
          <w:sz w:val="32"/>
          <w:szCs w:val="32"/>
          <w:lang w:val="en-US" w:eastAsia="zh-CN"/>
        </w:rPr>
        <w:t>78.9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其原因是下乡及出差工作量增加，公务用车的使用频率增加，车辆使用年限较长，维修成本增大。</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）结果应用情况</w:t>
      </w:r>
    </w:p>
    <w:p>
      <w:pPr>
        <w:pStyle w:val="36"/>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rPr>
        <w:t>我办对部门预算绩效管理工作开展情况认真进行了自查自评。绩效评价自查开展覆盖下属单位及重点支出，将评价结果作为预算安排的重要依据，调整支出结构，优化财政资金配置，不断强化绩效理念，推动我部门整体绩效管理水平不断提升。</w:t>
      </w:r>
    </w:p>
    <w:p>
      <w:pPr>
        <w:pStyle w:val="36"/>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四、资产情况</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hAnsi="仿宋" w:eastAsia="仿宋_GB2312"/>
          <w:b/>
          <w:sz w:val="32"/>
          <w:szCs w:val="32"/>
        </w:rPr>
      </w:pPr>
      <w:r>
        <w:rPr>
          <w:rFonts w:hint="eastAsia" w:ascii="仿宋_GB2312" w:hAnsi="仿宋" w:eastAsia="仿宋_GB2312"/>
          <w:b/>
          <w:sz w:val="32"/>
          <w:szCs w:val="32"/>
        </w:rPr>
        <w:t>(一)资产总体状况</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日，经过清查确认我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的资产合计为</w:t>
      </w:r>
      <w:r>
        <w:rPr>
          <w:rFonts w:hint="eastAsia" w:ascii="仿宋_GB2312" w:hAnsi="仿宋_GB2312" w:eastAsia="仿宋_GB2312" w:cs="仿宋_GB2312"/>
          <w:sz w:val="32"/>
          <w:szCs w:val="32"/>
          <w:lang w:val="en-US" w:eastAsia="zh-CN"/>
        </w:rPr>
        <w:t>5873425.45</w:t>
      </w:r>
      <w:r>
        <w:rPr>
          <w:rFonts w:hint="eastAsia" w:ascii="仿宋_GB2312" w:hAnsi="仿宋_GB2312" w:eastAsia="仿宋_GB2312" w:cs="仿宋_GB2312"/>
          <w:sz w:val="32"/>
          <w:szCs w:val="32"/>
        </w:rPr>
        <w:t>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_GB2312"/>
          <w:b/>
          <w:sz w:val="32"/>
          <w:szCs w:val="32"/>
          <w:lang w:eastAsia="zh-CN"/>
        </w:rPr>
        <w:t>本</w:t>
      </w:r>
      <w:r>
        <w:rPr>
          <w:rFonts w:hint="eastAsia" w:ascii="仿宋_GB2312" w:hAnsi="仿宋" w:eastAsia="仿宋_GB2312"/>
          <w:b/>
          <w:sz w:val="32"/>
          <w:szCs w:val="32"/>
        </w:rPr>
        <w:t>单位各项固定资产清查、分类状况</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土地清查总值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0元。</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房屋及建筑物清查总值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专用设备清查总值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通用设备清查总值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5532294.57</w:t>
      </w:r>
      <w:r>
        <w:rPr>
          <w:rFonts w:hint="eastAsia" w:ascii="仿宋_GB2312" w:hAnsi="仿宋_GB2312" w:eastAsia="仿宋_GB2312" w:cs="仿宋_GB2312"/>
          <w:sz w:val="32"/>
          <w:szCs w:val="32"/>
        </w:rPr>
        <w:t>元。</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家具</w:t>
      </w:r>
      <w:r>
        <w:rPr>
          <w:rFonts w:hint="eastAsia" w:ascii="仿宋_GB2312" w:hAnsi="仿宋_GB2312" w:eastAsia="仿宋_GB2312" w:cs="仿宋_GB2312"/>
          <w:sz w:val="32"/>
          <w:szCs w:val="32"/>
          <w:lang w:eastAsia="zh-CN"/>
        </w:rPr>
        <w:t>、用具、装具及动植物</w:t>
      </w:r>
      <w:r>
        <w:rPr>
          <w:rFonts w:hint="eastAsia" w:ascii="仿宋_GB2312" w:hAnsi="仿宋_GB2312" w:eastAsia="仿宋_GB2312" w:cs="仿宋_GB2312"/>
          <w:sz w:val="32"/>
          <w:szCs w:val="32"/>
        </w:rPr>
        <w:t>清查总值为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341130.88</w:t>
      </w:r>
      <w:r>
        <w:rPr>
          <w:rFonts w:hint="eastAsia" w:ascii="仿宋_GB2312" w:hAnsi="仿宋_GB2312" w:eastAsia="仿宋_GB2312" w:cs="仿宋_GB2312"/>
          <w:sz w:val="32"/>
          <w:szCs w:val="32"/>
        </w:rPr>
        <w:t>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z w:val="32"/>
          <w:szCs w:val="32"/>
          <w:lang w:eastAsia="zh-CN"/>
        </w:rPr>
        <w:t>三</w:t>
      </w:r>
      <w:r>
        <w:rPr>
          <w:rFonts w:hint="eastAsia" w:ascii="仿宋_GB2312" w:hAnsi="仿宋" w:eastAsia="仿宋_GB2312"/>
          <w:b/>
          <w:sz w:val="32"/>
          <w:szCs w:val="32"/>
        </w:rPr>
        <w:t>）资产信息情况。</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1.货币资金：98元。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2.其他应收款514373.07元。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3.固定资产原值：5873425.45元。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4.固定资产累计折旧：4196921.08元。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b/>
          <w:sz w:val="32"/>
          <w:szCs w:val="32"/>
        </w:rPr>
      </w:pPr>
      <w:r>
        <w:rPr>
          <w:rFonts w:hint="eastAsia" w:ascii="仿宋_GB2312" w:hAnsi="仿宋" w:eastAsia="仿宋_GB2312" w:cs="仿宋"/>
          <w:color w:val="000000"/>
          <w:sz w:val="32"/>
          <w:szCs w:val="32"/>
          <w:lang w:val="en-US" w:eastAsia="zh-CN"/>
        </w:rPr>
        <w:t>5.固定资产净值：1676504.37元。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z w:val="32"/>
          <w:szCs w:val="32"/>
          <w:lang w:eastAsia="zh-CN"/>
        </w:rPr>
        <w:t>四</w:t>
      </w:r>
      <w:r>
        <w:rPr>
          <w:rFonts w:hint="eastAsia" w:ascii="仿宋_GB2312" w:hAnsi="仿宋" w:eastAsia="仿宋_GB2312"/>
          <w:b/>
          <w:sz w:val="32"/>
          <w:szCs w:val="32"/>
        </w:rPr>
        <w:t>）负债信息情况。</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rPr>
        <w:t>其他应付款</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7716344.4</w:t>
      </w:r>
      <w:r>
        <w:rPr>
          <w:rFonts w:hint="eastAsia" w:ascii="仿宋_GB2312" w:hAnsi="仿宋" w:eastAsia="仿宋_GB2312" w:cs="仿宋"/>
          <w:color w:val="000000"/>
          <w:sz w:val="32"/>
          <w:szCs w:val="32"/>
        </w:rPr>
        <w:t>元</w:t>
      </w:r>
      <w:r>
        <w:rPr>
          <w:rFonts w:hint="eastAsia" w:ascii="仿宋_GB2312" w:hAnsi="仿宋" w:eastAsia="仿宋_GB2312" w:cs="仿宋"/>
          <w:color w:val="000000"/>
          <w:sz w:val="32"/>
          <w:szCs w:val="32"/>
          <w:lang w:eastAsia="zh-CN"/>
        </w:rPr>
        <w:t>。</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2.财政预拨资金：790126.13元。</w:t>
      </w:r>
    </w:p>
    <w:p>
      <w:pPr>
        <w:pStyle w:val="3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bCs/>
          <w:sz w:val="32"/>
          <w:szCs w:val="32"/>
        </w:rPr>
      </w:pPr>
      <w:r>
        <w:rPr>
          <w:rFonts w:hint="eastAsia" w:ascii="仿宋_GB2312" w:hAnsi="仿宋" w:eastAsia="仿宋_GB2312" w:cs="仿宋"/>
          <w:color w:val="000000"/>
          <w:sz w:val="32"/>
          <w:szCs w:val="32"/>
          <w:lang w:val="en-US" w:eastAsia="zh-CN"/>
        </w:rPr>
        <w:t>3.工会经费及工作经费：115128.27元。</w:t>
      </w:r>
    </w:p>
    <w:p>
      <w:pPr>
        <w:pStyle w:val="3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资产盘亏、盘盈的状况说明</w:t>
      </w:r>
    </w:p>
    <w:p>
      <w:pPr>
        <w:pStyle w:val="36"/>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没有盘亏、盘盈的状况。</w:t>
      </w:r>
    </w:p>
    <w:p>
      <w:pPr>
        <w:pStyle w:val="36"/>
        <w:keepNext w:val="0"/>
        <w:keepLines w:val="0"/>
        <w:pageBreakBefore w:val="0"/>
        <w:kinsoku/>
        <w:wordWrap/>
        <w:overflowPunct/>
        <w:topLinePunct w:val="0"/>
        <w:autoSpaceDE/>
        <w:autoSpaceDN/>
        <w:bidi w:val="0"/>
        <w:spacing w:line="560" w:lineRule="exact"/>
        <w:ind w:firstLine="640" w:firstLineChars="200"/>
        <w:rPr>
          <w:rFonts w:ascii="黑体" w:hAnsi="黑体" w:eastAsia="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、评价结论及建议</w:t>
      </w:r>
    </w:p>
    <w:p>
      <w:pPr>
        <w:pStyle w:val="36"/>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办对财政资金使用管理情况，认真开展自评工作，撰写部门自评报告。我办财务管理制度健全，执行制度严格合规，会计核算符合相关规定，资金专款专用，资金支付依据和开支标准合法合规，严格执行政府采购。</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（一）评价结论</w:t>
      </w:r>
    </w:p>
    <w:p>
      <w:pPr>
        <w:pStyle w:val="36"/>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年我办部门整体支出绩效评价自查自评结果良好，全年基本支出保证了部门的正常运行和日常工作的正常开展，项目支出保障了重点工作的开展，达到预期绩效目标。</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（二）存在问题</w:t>
      </w:r>
    </w:p>
    <w:p>
      <w:pPr>
        <w:pStyle w:val="36"/>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编制需进一步细化，绩效目标设定有待更科学更合理。</w:t>
      </w:r>
    </w:p>
    <w:p>
      <w:pPr>
        <w:pStyle w:val="36"/>
        <w:keepNext w:val="0"/>
        <w:keepLines w:val="0"/>
        <w:pageBreakBefore w:val="0"/>
        <w:kinsoku/>
        <w:wordWrap/>
        <w:overflowPunct/>
        <w:topLinePunct w:val="0"/>
        <w:autoSpaceDE/>
        <w:autoSpaceDN/>
        <w:bidi w:val="0"/>
        <w:spacing w:line="560"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（三）改进建议</w:t>
      </w:r>
    </w:p>
    <w:p>
      <w:pPr>
        <w:pStyle w:val="36"/>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针对存在的问题，我们将进一步科学设定绩效目标，加强预算执行管理。遵循先有预算、后有支出的原则，加强新《预算法》、《行政单位会计制度》等学习培训，规范部门预算收支核算；加强财务管理和内部控制监督制度。</w:t>
      </w:r>
    </w:p>
    <w:p>
      <w:pPr>
        <w:pStyle w:val="36"/>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p>
    <w:p>
      <w:pPr>
        <w:pStyle w:val="36"/>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hAnsi="仿宋_GB2312" w:eastAsia="仿宋_GB2312" w:cs="仿宋_GB2312"/>
          <w:sz w:val="32"/>
          <w:szCs w:val="32"/>
          <w:lang w:eastAsia="zh-CN"/>
        </w:rPr>
      </w:pPr>
    </w:p>
    <w:p>
      <w:pPr>
        <w:pStyle w:val="36"/>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hAnsi="仿宋_GB2312" w:eastAsia="仿宋_GB2312" w:cs="仿宋_GB2312"/>
          <w:sz w:val="32"/>
          <w:szCs w:val="32"/>
          <w:lang w:eastAsia="zh-CN"/>
        </w:rPr>
      </w:pPr>
    </w:p>
    <w:p>
      <w:pPr>
        <w:pStyle w:val="36"/>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hAnsi="仿宋_GB2312" w:eastAsia="仿宋_GB2312" w:cs="仿宋_GB2312"/>
          <w:sz w:val="32"/>
          <w:szCs w:val="32"/>
          <w:lang w:eastAsia="zh-CN"/>
        </w:rPr>
      </w:pPr>
    </w:p>
    <w:p>
      <w:pPr>
        <w:pStyle w:val="36"/>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中国共产党茂县委员会办公室</w:t>
      </w:r>
    </w:p>
    <w:p>
      <w:pPr>
        <w:pStyle w:val="36"/>
        <w:keepNext w:val="0"/>
        <w:keepLines w:val="0"/>
        <w:pageBreakBefore w:val="0"/>
        <w:kinsoku/>
        <w:wordWrap/>
        <w:overflowPunct/>
        <w:topLinePunct w:val="0"/>
        <w:autoSpaceDE/>
        <w:autoSpaceDN/>
        <w:bidi w:val="0"/>
        <w:adjustRightInd/>
        <w:snapToGrid/>
        <w:spacing w:line="560" w:lineRule="exact"/>
        <w:ind w:firstLine="5120" w:firstLineChars="1600"/>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474" w:bottom="1440" w:left="1587" w:header="851" w:footer="992" w:gutter="0"/>
          <w:cols w:space="720" w:num="1"/>
          <w:docGrid w:type="lines" w:linePitch="312" w:charSpace="0"/>
        </w:sectPr>
      </w:pPr>
      <w:r>
        <w:rPr>
          <w:rFonts w:hint="eastAsia" w:ascii="仿宋_GB2312" w:hAnsi="仿宋_GB2312" w:eastAsia="仿宋_GB2312" w:cs="仿宋_GB2312"/>
          <w:sz w:val="32"/>
          <w:szCs w:val="32"/>
          <w:lang w:val="en-US" w:eastAsia="zh-CN"/>
        </w:rPr>
        <w:t>2022年9月21日</w:t>
      </w:r>
    </w:p>
    <w:p>
      <w:pPr>
        <w:pStyle w:val="3"/>
        <w:jc w:val="center"/>
        <w:rPr>
          <w:rFonts w:ascii="黑体" w:hAnsi="黑体" w:eastAsia="黑体" w:cs="黑体"/>
        </w:rPr>
      </w:pPr>
      <w:r>
        <w:rPr>
          <w:rFonts w:hint="eastAsia" w:ascii="黑体" w:hAnsi="黑体" w:eastAsia="黑体" w:cs="黑体"/>
        </w:rPr>
        <w:t>第五部分 附表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一、收入支出决算总表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二、收入决算表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三、支出决算表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四、财政拨款收入支出决算总表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五、财政拨款支出决算明细表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六、一般公共预算财政拨款支出决算表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七、一般公共预算财政拨款支出决算明细表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八、一般公共预算财政拨款基本支出决算表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九、一般公共预算财政拨款项目支出决算表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十、一般公共预算财政拨款“三公”经费支出决算表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十一、政府性基金预算财政拨款收入支出决算表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十二、政府性基金预算财政拨款“三公”经费支出决算表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十三、国有资本经营预算财政拨款收入支出决算表</w:t>
      </w:r>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十四、国有资本经营预算财政拨款支出决算表</w:t>
      </w:r>
    </w:p>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王羲之行书体">
    <w:panose1 w:val="02010609000101010101"/>
    <w:charset w:val="00"/>
    <w:family w:val="auto"/>
    <w:pitch w:val="default"/>
    <w:sig w:usb0="00000000" w:usb1="00000000" w:usb2="00000000" w:usb3="00000000" w:csb0="00003F00" w:csb1="01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xZDM0MjZkNjI3OGVhNjQ0OTE3ZDU0YmUxOTQ0MjE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275F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2B0537A"/>
    <w:rsid w:val="03F359AA"/>
    <w:rsid w:val="0463543B"/>
    <w:rsid w:val="04A56E6E"/>
    <w:rsid w:val="051A6F96"/>
    <w:rsid w:val="06951176"/>
    <w:rsid w:val="07001BE1"/>
    <w:rsid w:val="07267DE7"/>
    <w:rsid w:val="089C4B49"/>
    <w:rsid w:val="09081517"/>
    <w:rsid w:val="091B747D"/>
    <w:rsid w:val="0A19737C"/>
    <w:rsid w:val="0B7218AA"/>
    <w:rsid w:val="0B9670CA"/>
    <w:rsid w:val="0B99373B"/>
    <w:rsid w:val="0BA37CB5"/>
    <w:rsid w:val="0D0429D6"/>
    <w:rsid w:val="0D093B48"/>
    <w:rsid w:val="0D222E5C"/>
    <w:rsid w:val="0D322E51"/>
    <w:rsid w:val="0D6C338E"/>
    <w:rsid w:val="0DB37F58"/>
    <w:rsid w:val="0F5E6610"/>
    <w:rsid w:val="10C055FF"/>
    <w:rsid w:val="11D56DF6"/>
    <w:rsid w:val="11ED6591"/>
    <w:rsid w:val="124D2729"/>
    <w:rsid w:val="13367661"/>
    <w:rsid w:val="14D579BD"/>
    <w:rsid w:val="16BB723D"/>
    <w:rsid w:val="17BC7656"/>
    <w:rsid w:val="17EA348C"/>
    <w:rsid w:val="1840212F"/>
    <w:rsid w:val="19943114"/>
    <w:rsid w:val="1AB026BC"/>
    <w:rsid w:val="1ABB32B6"/>
    <w:rsid w:val="1BF70747"/>
    <w:rsid w:val="1C06153F"/>
    <w:rsid w:val="1C986C96"/>
    <w:rsid w:val="1D406AE7"/>
    <w:rsid w:val="1D7371C3"/>
    <w:rsid w:val="1DDC2BB3"/>
    <w:rsid w:val="1E34479D"/>
    <w:rsid w:val="1EF81F78"/>
    <w:rsid w:val="1F620905"/>
    <w:rsid w:val="201A6AB0"/>
    <w:rsid w:val="203B66A0"/>
    <w:rsid w:val="211A679A"/>
    <w:rsid w:val="22930507"/>
    <w:rsid w:val="23902475"/>
    <w:rsid w:val="23CE7442"/>
    <w:rsid w:val="240371BF"/>
    <w:rsid w:val="2435534E"/>
    <w:rsid w:val="24534F10"/>
    <w:rsid w:val="24DF6C66"/>
    <w:rsid w:val="253D03DB"/>
    <w:rsid w:val="25A20B86"/>
    <w:rsid w:val="25B1070F"/>
    <w:rsid w:val="25DD571A"/>
    <w:rsid w:val="25F34F3E"/>
    <w:rsid w:val="265C1D1F"/>
    <w:rsid w:val="26BB36DB"/>
    <w:rsid w:val="271C5A93"/>
    <w:rsid w:val="276F1834"/>
    <w:rsid w:val="277F117F"/>
    <w:rsid w:val="27B459F9"/>
    <w:rsid w:val="27C51E91"/>
    <w:rsid w:val="28513369"/>
    <w:rsid w:val="28BF6D42"/>
    <w:rsid w:val="29CC4423"/>
    <w:rsid w:val="29FD04D3"/>
    <w:rsid w:val="2CAE1BBE"/>
    <w:rsid w:val="2CCF04B2"/>
    <w:rsid w:val="2E4C04E0"/>
    <w:rsid w:val="2F803D16"/>
    <w:rsid w:val="31810DA9"/>
    <w:rsid w:val="31903F88"/>
    <w:rsid w:val="319F7F4E"/>
    <w:rsid w:val="3256C290"/>
    <w:rsid w:val="329448A6"/>
    <w:rsid w:val="32EB368F"/>
    <w:rsid w:val="32F45598"/>
    <w:rsid w:val="35244754"/>
    <w:rsid w:val="364D41F6"/>
    <w:rsid w:val="36FD0156"/>
    <w:rsid w:val="38F8371D"/>
    <w:rsid w:val="39226F5F"/>
    <w:rsid w:val="39902098"/>
    <w:rsid w:val="3A3A0F35"/>
    <w:rsid w:val="3A4E1148"/>
    <w:rsid w:val="3BBB528E"/>
    <w:rsid w:val="3C8D2F9D"/>
    <w:rsid w:val="3CE0510E"/>
    <w:rsid w:val="3D1E4B3E"/>
    <w:rsid w:val="3E03620E"/>
    <w:rsid w:val="3E343C22"/>
    <w:rsid w:val="3F3B3785"/>
    <w:rsid w:val="3F512FA9"/>
    <w:rsid w:val="3FAC4683"/>
    <w:rsid w:val="3FEA5DFB"/>
    <w:rsid w:val="401C35B7"/>
    <w:rsid w:val="4119235A"/>
    <w:rsid w:val="41677310"/>
    <w:rsid w:val="422C2C46"/>
    <w:rsid w:val="4251506E"/>
    <w:rsid w:val="43684120"/>
    <w:rsid w:val="444F07DA"/>
    <w:rsid w:val="44601E28"/>
    <w:rsid w:val="449851D6"/>
    <w:rsid w:val="475E72DC"/>
    <w:rsid w:val="47F514AF"/>
    <w:rsid w:val="4839282C"/>
    <w:rsid w:val="48FD75BD"/>
    <w:rsid w:val="4A745623"/>
    <w:rsid w:val="4C9F3CBC"/>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D460E23"/>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A061712"/>
    <w:rsid w:val="6B4666B6"/>
    <w:rsid w:val="6CC85DA9"/>
    <w:rsid w:val="6D8F2D6B"/>
    <w:rsid w:val="6DC31436"/>
    <w:rsid w:val="6ECB49CF"/>
    <w:rsid w:val="6ECB5A2B"/>
    <w:rsid w:val="6FBB8EEF"/>
    <w:rsid w:val="70202A42"/>
    <w:rsid w:val="72227D09"/>
    <w:rsid w:val="72D53FE4"/>
    <w:rsid w:val="72E476B5"/>
    <w:rsid w:val="73BE3A62"/>
    <w:rsid w:val="746C7E4B"/>
    <w:rsid w:val="750E6C6B"/>
    <w:rsid w:val="755E374E"/>
    <w:rsid w:val="76377F56"/>
    <w:rsid w:val="764B35A7"/>
    <w:rsid w:val="78A4106B"/>
    <w:rsid w:val="79975481"/>
    <w:rsid w:val="79C3070C"/>
    <w:rsid w:val="7A1B4027"/>
    <w:rsid w:val="7A965738"/>
    <w:rsid w:val="7ABC1C9C"/>
    <w:rsid w:val="7B022DCE"/>
    <w:rsid w:val="7B272834"/>
    <w:rsid w:val="7B8F71DF"/>
    <w:rsid w:val="7B98103C"/>
    <w:rsid w:val="7CB2612E"/>
    <w:rsid w:val="7CBBEFC4"/>
    <w:rsid w:val="7CC25607"/>
    <w:rsid w:val="7D24527D"/>
    <w:rsid w:val="7DE859ED"/>
    <w:rsid w:val="7E4C610E"/>
    <w:rsid w:val="B3F99345"/>
    <w:rsid w:val="BBCE6B31"/>
    <w:rsid w:val="D9FB51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Default Paragraph Font830522c6"/>
    <w:semiHidden/>
    <w:qFormat/>
    <w:uiPriority w:val="0"/>
  </w:style>
  <w:style w:type="table" w:customStyle="1" w:styleId="35">
    <w:name w:val="Normal Table145cca43"/>
    <w:semiHidden/>
    <w:qFormat/>
    <w:uiPriority w:val="0"/>
    <w:tblPr>
      <w:tblCellMar>
        <w:top w:w="0" w:type="dxa"/>
        <w:left w:w="108" w:type="dxa"/>
        <w:bottom w:w="0" w:type="dxa"/>
        <w:right w:w="108" w:type="dxa"/>
      </w:tblCellMar>
    </w:tblPr>
  </w:style>
  <w:style w:type="paragraph" w:customStyle="1" w:styleId="36">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Default Paragraph Font5"/>
    <w:semiHidden/>
    <w:qFormat/>
    <w:uiPriority w:val="0"/>
  </w:style>
  <w:style w:type="table" w:customStyle="1" w:styleId="38">
    <w:name w:val="Normal Table4"/>
    <w:semiHidden/>
    <w:qFormat/>
    <w:uiPriority w:val="0"/>
    <w:tblPr>
      <w:tblCellMar>
        <w:top w:w="0" w:type="dxa"/>
        <w:left w:w="108" w:type="dxa"/>
        <w:bottom w:w="0" w:type="dxa"/>
        <w:right w:w="108" w:type="dxa"/>
      </w:tblCellMar>
    </w:tblPr>
  </w:style>
  <w:style w:type="paragraph" w:customStyle="1" w:styleId="39">
    <w:name w:val="footerce85b5ec"/>
    <w:basedOn w:val="36"/>
    <w:qFormat/>
    <w:uiPriority w:val="99"/>
    <w:pPr>
      <w:tabs>
        <w:tab w:val="center" w:pos="4153"/>
        <w:tab w:val="right" w:pos="8306"/>
      </w:tabs>
      <w:snapToGrid w:val="0"/>
      <w:jc w:val="left"/>
    </w:pPr>
    <w:rPr>
      <w:kern w:val="0"/>
      <w:sz w:val="18"/>
      <w:szCs w:val="20"/>
    </w:rPr>
  </w:style>
  <w:style w:type="paragraph" w:customStyle="1" w:styleId="40">
    <w:name w:val="headerf7e0821f"/>
    <w:basedOn w:val="36"/>
    <w:semiHidden/>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41">
    <w:name w:val="标题 2 Char"/>
    <w:basedOn w:val="16"/>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{1220.19,1253.71}</c:f>
              <c:numCache>
                <c:formatCode>General</c:formatCode>
                <c:ptCount val="2"/>
                <c:pt idx="0">
                  <c:v>1220.19</c:v>
                </c:pt>
                <c:pt idx="1">
                  <c:v>1253.71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{1220.19,1253.71}</c:f>
              <c:numCache>
                <c:formatCode>General</c:formatCode>
                <c:ptCount val="2"/>
                <c:pt idx="0">
                  <c:v>1220.19</c:v>
                </c:pt>
                <c:pt idx="1">
                  <c:v>1253.71</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{8692931.79,3844170.88,0,0,0}</c:f>
              <c:numCache>
                <c:formatCode>General</c:formatCode>
                <c:ptCount val="5"/>
                <c:pt idx="0">
                  <c:v>8692931.79</c:v>
                </c:pt>
                <c:pt idx="1">
                  <c:v>3844170.88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{1220.19,1253.71}</c:f>
              <c:numCache>
                <c:formatCode>General</c:formatCode>
                <c:ptCount val="2"/>
                <c:pt idx="0">
                  <c:v>1220.19</c:v>
                </c:pt>
                <c:pt idx="1">
                  <c:v>1253.71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{"2020","2021"}</c:f>
              <c:numCache>
                <c:formatCode>General</c:formatCode>
                <c:ptCount val="2"/>
                <c:pt idx="0">
                  <c:v>2020</c:v>
                </c:pt>
                <c:pt idx="1">
                  <c:v>2021</c:v>
                </c:pt>
              </c:numCache>
            </c:numRef>
          </c:cat>
          <c:val>
            <c:numRef>
              <c:f>{1220.19,1253.71}</c:f>
              <c:numCache>
                <c:formatCode>General</c:formatCode>
                <c:ptCount val="2"/>
                <c:pt idx="0">
                  <c:v>1220.19</c:v>
                </c:pt>
                <c:pt idx="1">
                  <c:v>1253.71</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{1220.19}</c:f>
              <c:numCache>
                <c:formatCode>General</c:formatCode>
                <c:ptCount val="1"/>
                <c:pt idx="0">
                  <c:v>1220.19</c:v>
                </c:pt>
              </c:numCache>
            </c:numRef>
          </c:val>
        </c:ser>
        <c:ser>
          <c:idx val="2"/>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{1253.71}</c:f>
              <c:numCache>
                <c:formatCode>General</c:formatCode>
                <c:ptCount val="1"/>
                <c:pt idx="0">
                  <c:v>1253.71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{1084.36,77.08,36.21,0.84,55.23}</c:f>
              <c:numCache>
                <c:formatCode>General</c:formatCode>
                <c:ptCount val="5"/>
                <c:pt idx="0">
                  <c:v>1084.36</c:v>
                </c:pt>
                <c:pt idx="1">
                  <c:v>77.08</c:v>
                </c:pt>
                <c:pt idx="2">
                  <c:v>36.21</c:v>
                </c:pt>
                <c:pt idx="3">
                  <c:v>0.84</c:v>
                </c:pt>
                <c:pt idx="4">
                  <c:v>55.23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{0,93.7,2.91}</c:f>
              <c:numCache>
                <c:formatCode>General</c:formatCode>
                <c:ptCount val="3"/>
                <c:pt idx="0">
                  <c:v>0</c:v>
                </c:pt>
                <c:pt idx="1">
                  <c:v>93.7</c:v>
                </c:pt>
                <c:pt idx="2">
                  <c:v>2.91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7510</Words>
  <Characters>8704</Characters>
  <Lines>51</Lines>
  <Paragraphs>14</Paragraphs>
  <TotalTime>6</TotalTime>
  <ScaleCrop>false</ScaleCrop>
  <LinksUpToDate>false</LinksUpToDate>
  <CharactersWithSpaces>8947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2022-08-17T17:31:00Z</dcterms:created>
  <dc:creator>lgk</dc:creator>
  <cp:lastModifiedBy>user</cp:lastModifiedBy>
  <cp:lastPrinted>2021-09-27T00:39:00Z</cp:lastPrinted>
  <dcterms:modified xsi:type="dcterms:W3CDTF">2026-04-22T10:43:40Z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B93CA6F4BEAD4F359769D1203595D585</vt:lpwstr>
  </property>
</Properties>
</file>