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131" w:name="_GoBack"/>
      <w:bookmarkEnd w:id="131"/>
      <w:bookmarkStart w:id="0" w:name="_Toc15377425"/>
      <w:bookmarkStart w:id="1" w:name="_Toc15396475"/>
      <w:bookmarkStart w:id="2" w:name="_Toc15377193"/>
      <w:bookmarkStart w:id="3" w:name="_Toc15396597"/>
      <w:bookmarkStart w:id="4" w:name="_Toc15306267"/>
      <w:bookmarkStart w:id="5" w:name="_Toc15378441"/>
    </w:p>
    <w:p>
      <w:pPr>
        <w:pStyle w:val="2"/>
        <w:ind w:firstLine="0"/>
      </w:pPr>
    </w:p>
    <w:bookmarkEnd w:id="0"/>
    <w:bookmarkEnd w:id="1"/>
    <w:bookmarkEnd w:id="2"/>
    <w:bookmarkEnd w:id="3"/>
    <w:bookmarkEnd w:id="4"/>
    <w:bookmarkEnd w:id="5"/>
    <w:p>
      <w:pPr>
        <w:pStyle w:val="7"/>
        <w:jc w:val="center"/>
        <w:rPr>
          <w:rFonts w:hint="eastAsia" w:ascii="方正小标宋简体" w:eastAsia="方正小标宋简体" w:cs="Times New Roman"/>
          <w:color w:val="auto"/>
          <w:kern w:val="2"/>
          <w:sz w:val="44"/>
          <w:szCs w:val="44"/>
          <w:highlight w:val="none"/>
          <w:lang w:val="en-US" w:eastAsia="zh-CN" w:bidi="ar-SA"/>
        </w:rPr>
      </w:pP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2023年度</w:t>
      </w:r>
      <w:bookmarkStart w:id="6" w:name="_Toc15378442"/>
      <w:bookmarkStart w:id="7" w:name="_Toc15396598"/>
      <w:bookmarkStart w:id="8" w:name="_Toc15396476"/>
      <w:bookmarkStart w:id="9" w:name="_Toc15377194"/>
      <w:bookmarkStart w:id="10" w:name="_Toc15377426"/>
      <w:r>
        <w:rPr>
          <w:rFonts w:hint="eastAsia" w:ascii="方正小标宋简体" w:eastAsia="方正小标宋简体" w:cs="Times New Roman"/>
          <w:color w:val="auto"/>
          <w:kern w:val="2"/>
          <w:sz w:val="44"/>
          <w:szCs w:val="44"/>
          <w:highlight w:val="none"/>
          <w:lang w:val="en-US" w:eastAsia="zh-CN" w:bidi="ar-SA"/>
        </w:rPr>
        <w:t>四川省阿坝州</w:t>
      </w: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茂县</w:t>
      </w:r>
      <w:bookmarkStart w:id="11" w:name="_Toc15306268"/>
      <w:r>
        <w:rPr>
          <w:rFonts w:hint="eastAsia" w:ascii="方正小标宋简体" w:eastAsia="方正小标宋简体" w:cs="Times New Roman"/>
          <w:color w:val="auto"/>
          <w:kern w:val="2"/>
          <w:sz w:val="44"/>
          <w:szCs w:val="44"/>
          <w:highlight w:val="none"/>
          <w:lang w:val="en-US" w:eastAsia="zh-CN" w:bidi="ar-SA"/>
        </w:rPr>
        <w:t>县委办公室部门决算</w:t>
      </w:r>
      <w:bookmarkEnd w:id="6"/>
      <w:bookmarkEnd w:id="7"/>
      <w:bookmarkEnd w:id="8"/>
      <w:bookmarkEnd w:id="9"/>
      <w:bookmarkEnd w:id="10"/>
      <w:bookmarkEnd w:id="11"/>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sz w:val="32"/>
          <w:szCs w:val="32"/>
        </w:rPr>
      </w:pPr>
    </w:p>
    <w:p>
      <w:pPr>
        <w:widowControl/>
        <w:jc w:val="center"/>
        <w:rPr>
          <w:rFonts w:ascii="黑体" w:eastAsia="黑体"/>
          <w:color w:val="auto"/>
          <w:sz w:val="48"/>
          <w:szCs w:val="48"/>
          <w:highlight w:val="none"/>
        </w:rPr>
      </w:pPr>
      <w:r>
        <w:rPr>
          <w:rFonts w:ascii="方正小标宋简体" w:eastAsia="方正小标宋简体"/>
          <w:color w:val="000000"/>
          <w:sz w:val="36"/>
          <w:szCs w:val="36"/>
        </w:rPr>
        <w:br w:type="page"/>
      </w:r>
      <w:bookmarkStart w:id="12" w:name="_Toc15377196"/>
      <w:r>
        <w:rPr>
          <w:rFonts w:hint="eastAsia" w:ascii="黑体" w:eastAsia="黑体"/>
          <w:color w:val="auto"/>
          <w:sz w:val="48"/>
          <w:szCs w:val="48"/>
          <w:highlight w:val="none"/>
        </w:rPr>
        <w:t>目录</w:t>
      </w:r>
    </w:p>
    <w:p>
      <w:pPr>
        <w:widowControl/>
        <w:jc w:val="center"/>
        <w:rPr>
          <w:rFonts w:ascii="黑体" w:eastAsia="黑体" w:cs="Times New Roman"/>
          <w:color w:val="auto"/>
          <w:sz w:val="28"/>
          <w:szCs w:val="28"/>
          <w:highlight w:val="none"/>
        </w:rPr>
      </w:pPr>
    </w:p>
    <w:p>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_Toc11934 </w:instrText>
      </w:r>
      <w:r>
        <w:rPr>
          <w:caps w:val="0"/>
          <w:smallCaps/>
          <w:szCs w:val="20"/>
        </w:rPr>
        <w:fldChar w:fldCharType="separate"/>
      </w:r>
      <w:r>
        <w:rPr>
          <w:rFonts w:hint="eastAsia"/>
        </w:rPr>
        <w:t>第一部分 部门概况</w:t>
      </w:r>
      <w:r>
        <w:tab/>
      </w:r>
      <w:r>
        <w:fldChar w:fldCharType="begin"/>
      </w:r>
      <w:r>
        <w:instrText xml:space="preserve"> PAGEREF _Toc11934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_Toc5972 </w:instrText>
      </w:r>
      <w:r>
        <w:rPr>
          <w:caps w:val="0"/>
          <w:smallCaps/>
          <w:szCs w:val="20"/>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_Toc5972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_Toc15377 </w:instrText>
      </w:r>
      <w:r>
        <w:rPr>
          <w:caps w:val="0"/>
          <w:smallCaps/>
          <w:szCs w:val="20"/>
        </w:rPr>
        <w:fldChar w:fldCharType="separate"/>
      </w:r>
      <w:r>
        <w:rPr>
          <w:rFonts w:hint="eastAsia" w:ascii="黑体" w:eastAsia="黑体" w:cs="黑体"/>
          <w:bCs/>
        </w:rPr>
        <w:t>二、机构设置</w:t>
      </w:r>
      <w:r>
        <w:tab/>
      </w:r>
      <w:r>
        <w:fldChar w:fldCharType="begin"/>
      </w:r>
      <w:r>
        <w:instrText xml:space="preserve"> PAGEREF _Toc15377 \h </w:instrText>
      </w:r>
      <w:r>
        <w:fldChar w:fldCharType="separate"/>
      </w:r>
      <w:r>
        <w:t>4</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_Toc10233 </w:instrText>
      </w:r>
      <w:r>
        <w:rPr>
          <w:caps w:val="0"/>
          <w:smallCaps/>
          <w:szCs w:val="20"/>
        </w:rPr>
        <w:fldChar w:fldCharType="separate"/>
      </w:r>
      <w:r>
        <w:rPr>
          <w:rFonts w:hint="eastAsia" w:ascii="黑体" w:eastAsia="黑体" w:cs="黑体"/>
        </w:rPr>
        <w:t>第二部分 202</w:t>
      </w:r>
      <w:r>
        <w:rPr>
          <w:rFonts w:hint="eastAsia" w:ascii="黑体" w:eastAsia="黑体" w:cs="黑体"/>
          <w:lang w:val="en-US" w:eastAsia="zh-CN"/>
        </w:rPr>
        <w:t>3</w:t>
      </w:r>
      <w:r>
        <w:rPr>
          <w:rFonts w:hint="eastAsia" w:ascii="黑体" w:eastAsia="黑体" w:cs="黑体"/>
        </w:rPr>
        <w:t>年度部门决算情况说明</w:t>
      </w:r>
      <w:r>
        <w:tab/>
      </w:r>
      <w:r>
        <w:fldChar w:fldCharType="begin"/>
      </w:r>
      <w:r>
        <w:instrText xml:space="preserve"> PAGEREF _Toc10233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_Toc4252 </w:instrText>
      </w:r>
      <w:r>
        <w:rPr>
          <w:caps w:val="0"/>
          <w:smallCaps/>
          <w:szCs w:val="20"/>
        </w:rPr>
        <w:fldChar w:fldCharType="separate"/>
      </w:r>
      <w:r>
        <w:rPr>
          <w:rFonts w:hint="eastAsia" w:ascii="黑体" w:eastAsia="黑体" w:cs="Times New Roman"/>
          <w:bCs/>
        </w:rPr>
        <w:t>一、收入支出决算总体情况说明</w:t>
      </w:r>
      <w:r>
        <w:tab/>
      </w:r>
      <w:r>
        <w:fldChar w:fldCharType="begin"/>
      </w:r>
      <w:r>
        <w:instrText xml:space="preserve"> PAGEREF _Toc4252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_Toc16754 </w:instrText>
      </w:r>
      <w:r>
        <w:rPr>
          <w:caps w:val="0"/>
          <w:smallCaps/>
          <w:szCs w:val="20"/>
        </w:rPr>
        <w:fldChar w:fldCharType="separate"/>
      </w:r>
      <w:r>
        <w:rPr>
          <w:rFonts w:hint="eastAsia" w:ascii="黑体" w:eastAsia="黑体" w:cs="Times New Roman"/>
          <w:bCs/>
        </w:rPr>
        <w:t>二、收入决算情况说明</w:t>
      </w:r>
      <w:r>
        <w:tab/>
      </w:r>
      <w:r>
        <w:fldChar w:fldCharType="begin"/>
      </w:r>
      <w:r>
        <w:instrText xml:space="preserve"> PAGEREF _Toc16754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_Toc24992 </w:instrText>
      </w:r>
      <w:r>
        <w:rPr>
          <w:caps w:val="0"/>
          <w:smallCaps/>
          <w:szCs w:val="20"/>
        </w:rPr>
        <w:fldChar w:fldCharType="separate"/>
      </w:r>
      <w:r>
        <w:rPr>
          <w:rFonts w:hint="eastAsia" w:ascii="黑体" w:eastAsia="黑体" w:cs="Times New Roman"/>
          <w:bCs/>
        </w:rPr>
        <w:t>三、支出决算情况说明</w:t>
      </w:r>
      <w:r>
        <w:tab/>
      </w:r>
      <w:r>
        <w:fldChar w:fldCharType="begin"/>
      </w:r>
      <w:r>
        <w:instrText xml:space="preserve"> PAGEREF _Toc24992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_Toc20533 </w:instrText>
      </w:r>
      <w:r>
        <w:rPr>
          <w:caps w:val="0"/>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_Toc20533 \h </w:instrText>
      </w:r>
      <w:r>
        <w:fldChar w:fldCharType="separate"/>
      </w:r>
      <w:r>
        <w:t>6</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_Toc8582 </w:instrText>
      </w:r>
      <w:r>
        <w:rPr>
          <w:caps w:val="0"/>
          <w:smallCaps/>
          <w:szCs w:val="20"/>
        </w:rPr>
        <w:fldChar w:fldCharType="separate"/>
      </w:r>
      <w:r>
        <w:rPr>
          <w:rFonts w:hint="eastAsia" w:ascii="黑体" w:eastAsia="黑体" w:cs="Times New Roman"/>
          <w:bCs/>
        </w:rPr>
        <w:t>五、一般公共预算财政拨款支出决算情况说明</w:t>
      </w:r>
      <w:r>
        <w:tab/>
      </w:r>
      <w:r>
        <w:fldChar w:fldCharType="begin"/>
      </w:r>
      <w:r>
        <w:instrText xml:space="preserve"> PAGEREF _Toc8582 \h </w:instrText>
      </w:r>
      <w:r>
        <w:fldChar w:fldCharType="separate"/>
      </w:r>
      <w:r>
        <w:t>7</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_Toc30483 </w:instrText>
      </w:r>
      <w:r>
        <w:rPr>
          <w:caps w:val="0"/>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_Toc30483 \h </w:instrText>
      </w:r>
      <w:r>
        <w:fldChar w:fldCharType="separate"/>
      </w:r>
      <w:r>
        <w:t>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_Toc30687 </w:instrText>
      </w:r>
      <w:r>
        <w:rPr>
          <w:caps w:val="0"/>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_Toc30687 \h </w:instrText>
      </w:r>
      <w:r>
        <w:fldChar w:fldCharType="separate"/>
      </w:r>
      <w:r>
        <w:t>10</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_Toc5968 </w:instrText>
      </w:r>
      <w:r>
        <w:rPr>
          <w:caps w:val="0"/>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_Toc5968 \h </w:instrText>
      </w:r>
      <w:r>
        <w:fldChar w:fldCharType="separate"/>
      </w:r>
      <w:r>
        <w:t>12</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_Toc8431 </w:instrText>
      </w:r>
      <w:r>
        <w:rPr>
          <w:caps w:val="0"/>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_Toc8431 \h </w:instrText>
      </w:r>
      <w:r>
        <w:fldChar w:fldCharType="separate"/>
      </w:r>
      <w:r>
        <w:t>12</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_Toc9196 </w:instrText>
      </w:r>
      <w:r>
        <w:rPr>
          <w:caps w:val="0"/>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_Toc9196 \h </w:instrText>
      </w:r>
      <w:r>
        <w:fldChar w:fldCharType="separate"/>
      </w:r>
      <w:r>
        <w:t>12</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_Toc29784 </w:instrText>
      </w:r>
      <w:r>
        <w:rPr>
          <w:caps w:val="0"/>
          <w:smallCaps/>
          <w:szCs w:val="20"/>
        </w:rPr>
        <w:fldChar w:fldCharType="separate"/>
      </w:r>
      <w:r>
        <w:rPr>
          <w:rFonts w:hint="eastAsia" w:ascii="黑体" w:eastAsia="黑体" w:cs="黑体"/>
        </w:rPr>
        <w:t>第三部分 名词解释</w:t>
      </w:r>
      <w: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_Toc29784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14</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_Toc3097 </w:instrText>
      </w:r>
      <w:r>
        <w:rPr>
          <w:caps w:val="0"/>
          <w:smallCaps/>
          <w:szCs w:val="20"/>
        </w:rPr>
        <w:fldChar w:fldCharType="separate"/>
      </w:r>
      <w:r>
        <w:rPr>
          <w:rFonts w:hint="eastAsia" w:ascii="黑体" w:eastAsia="黑体" w:cs="黑体"/>
        </w:rPr>
        <w:t>第四部分 附件</w:t>
      </w:r>
      <w:r>
        <w:tab/>
      </w:r>
      <w:r>
        <w:fldChar w:fldCharType="begin"/>
      </w:r>
      <w:r>
        <w:instrText xml:space="preserve"> PAGEREF _Toc3097 \h </w:instrText>
      </w:r>
      <w:r>
        <w:fldChar w:fldCharType="separate"/>
      </w:r>
      <w:r>
        <w:rPr>
          <w:rFonts w:ascii="Times New Roman" w:hAnsi="Times New Roman" w:eastAsia="宋体" w:cs="Times New Roman"/>
          <w:kern w:val="2"/>
          <w:sz w:val="21"/>
          <w:szCs w:val="24"/>
          <w:lang w:val="en-US" w:eastAsia="zh-CN" w:bidi="ar-SA"/>
        </w:rPr>
        <w:t>18</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_Toc10808 </w:instrText>
      </w:r>
      <w:r>
        <w:rPr>
          <w:caps w:val="0"/>
          <w:smallCaps/>
          <w:szCs w:val="20"/>
        </w:rPr>
        <w:fldChar w:fldCharType="separate"/>
      </w:r>
      <w:r>
        <w:rPr>
          <w:rFonts w:hint="eastAsia" w:ascii="黑体" w:eastAsia="黑体" w:cs="黑体"/>
        </w:rPr>
        <w:t>第五部分 附表</w:t>
      </w:r>
      <w: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_Toc10808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_Toc24170 </w:instrText>
      </w:r>
      <w:r>
        <w:rPr>
          <w:caps w:val="0"/>
          <w:smallCaps/>
          <w:szCs w:val="20"/>
        </w:rPr>
        <w:fldChar w:fldCharType="separate"/>
      </w:r>
      <w:r>
        <w:rPr>
          <w:rFonts w:hint="eastAsia" w:ascii="仿宋" w:eastAsia="仿宋" w:cs="Times New Roman"/>
          <w:kern w:val="2"/>
          <w:szCs w:val="32"/>
          <w:lang w:bidi="ar-SA"/>
        </w:rPr>
        <w:t>一、收入支出决算总表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_Toc6676 </w:instrText>
      </w:r>
      <w:r>
        <w:rPr>
          <w:caps w:val="0"/>
          <w:smallCaps/>
          <w:szCs w:val="20"/>
        </w:rPr>
        <w:fldChar w:fldCharType="separate"/>
      </w:r>
      <w:r>
        <w:rPr>
          <w:rFonts w:hint="eastAsia" w:ascii="仿宋" w:eastAsia="仿宋" w:cs="Times New Roman"/>
          <w:kern w:val="2"/>
          <w:szCs w:val="32"/>
          <w:lang w:bidi="ar-SA"/>
        </w:rPr>
        <w:t>二、收入决算表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_Toc4743 </w:instrText>
      </w:r>
      <w:r>
        <w:rPr>
          <w:caps w:val="0"/>
          <w:smallCaps/>
          <w:szCs w:val="20"/>
        </w:rPr>
        <w:fldChar w:fldCharType="separate"/>
      </w:r>
      <w:r>
        <w:rPr>
          <w:rFonts w:hint="eastAsia" w:ascii="仿宋" w:eastAsia="仿宋" w:cs="Times New Roman"/>
          <w:kern w:val="2"/>
          <w:szCs w:val="32"/>
          <w:lang w:bidi="ar-SA"/>
        </w:rPr>
        <w:t>三、支出决算表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_Toc19017 </w:instrText>
      </w:r>
      <w:r>
        <w:rPr>
          <w:caps w:val="0"/>
          <w:smallCaps/>
          <w:szCs w:val="20"/>
        </w:rPr>
        <w:fldChar w:fldCharType="separate"/>
      </w:r>
      <w:r>
        <w:rPr>
          <w:rFonts w:hint="eastAsia" w:ascii="仿宋" w:eastAsia="仿宋" w:cs="Times New Roman"/>
          <w:kern w:val="2"/>
          <w:szCs w:val="32"/>
          <w:lang w:bidi="ar-SA"/>
        </w:rPr>
        <w:t>四、财政拨款收入支出决算总表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_Toc5476 </w:instrText>
      </w:r>
      <w:r>
        <w:rPr>
          <w:caps w:val="0"/>
          <w:smallCaps/>
          <w:szCs w:val="20"/>
        </w:rPr>
        <w:fldChar w:fldCharType="separate"/>
      </w:r>
      <w:r>
        <w:rPr>
          <w:rFonts w:hint="eastAsia" w:ascii="仿宋" w:eastAsia="仿宋" w:cs="Times New Roman"/>
          <w:kern w:val="2"/>
          <w:szCs w:val="32"/>
          <w:lang w:bidi="ar-SA"/>
        </w:rPr>
        <w:t>五、财政拨款支出决算明细表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_Toc7132 </w:instrText>
      </w:r>
      <w:r>
        <w:rPr>
          <w:caps w:val="0"/>
          <w:smallCaps/>
          <w:szCs w:val="20"/>
        </w:rPr>
        <w:fldChar w:fldCharType="separate"/>
      </w:r>
      <w:r>
        <w:rPr>
          <w:rFonts w:hint="eastAsia" w:ascii="仿宋" w:eastAsia="仿宋" w:cs="Times New Roman"/>
          <w:kern w:val="2"/>
          <w:szCs w:val="32"/>
          <w:lang w:bidi="ar-SA"/>
        </w:rPr>
        <w:t>六、一般公共预算财政拨款支出决算表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_Toc21582 </w:instrText>
      </w:r>
      <w:r>
        <w:rPr>
          <w:caps w:val="0"/>
          <w:smallCaps/>
          <w:szCs w:val="20"/>
        </w:rPr>
        <w:fldChar w:fldCharType="separate"/>
      </w:r>
      <w:r>
        <w:rPr>
          <w:rFonts w:hint="eastAsia" w:ascii="仿宋" w:eastAsia="仿宋" w:cs="Times New Roman"/>
          <w:kern w:val="2"/>
          <w:szCs w:val="32"/>
          <w:lang w:bidi="ar-SA"/>
        </w:rPr>
        <w:t>七、一般公共预算财政拨款支出决算明细表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_Toc32214 </w:instrText>
      </w:r>
      <w:r>
        <w:rPr>
          <w:caps w:val="0"/>
          <w:smallCaps/>
          <w:szCs w:val="20"/>
        </w:rPr>
        <w:fldChar w:fldCharType="separate"/>
      </w:r>
      <w:r>
        <w:rPr>
          <w:rFonts w:hint="eastAsia" w:ascii="仿宋" w:eastAsia="仿宋" w:cs="Times New Roman"/>
          <w:kern w:val="2"/>
          <w:szCs w:val="32"/>
          <w:lang w:bidi="ar-SA"/>
        </w:rPr>
        <w:t>八、一般公共预算财政拨款基本支出决算表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_Toc9552 </w:instrText>
      </w:r>
      <w:r>
        <w:rPr>
          <w:caps w:val="0"/>
          <w:smallCaps/>
          <w:szCs w:val="20"/>
        </w:rPr>
        <w:fldChar w:fldCharType="separate"/>
      </w:r>
      <w:r>
        <w:rPr>
          <w:rFonts w:hint="eastAsia" w:ascii="仿宋" w:eastAsia="仿宋" w:cs="Times New Roman"/>
          <w:kern w:val="2"/>
          <w:szCs w:val="32"/>
          <w:lang w:bidi="ar-SA"/>
        </w:rPr>
        <w:t>九、一般公共预算财政拨款项目支出决算表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_Toc11422 </w:instrText>
      </w:r>
      <w:r>
        <w:rPr>
          <w:caps w:val="0"/>
          <w:smallCaps/>
          <w:szCs w:val="20"/>
        </w:rPr>
        <w:fldChar w:fldCharType="separate"/>
      </w:r>
      <w:r>
        <w:rPr>
          <w:rFonts w:hint="eastAsia" w:ascii="仿宋" w:eastAsia="仿宋" w:cs="Times New Roman"/>
          <w:kern w:val="2"/>
          <w:szCs w:val="32"/>
          <w:lang w:bidi="ar-SA"/>
        </w:rPr>
        <w:t>十、政府性基金预算财政拨款收入支出决算表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_Toc8116 </w:instrText>
      </w:r>
      <w:r>
        <w:rPr>
          <w:caps w:val="0"/>
          <w:smallCaps/>
          <w:szCs w:val="20"/>
        </w:rPr>
        <w:fldChar w:fldCharType="separate"/>
      </w:r>
      <w:r>
        <w:rPr>
          <w:rFonts w:hint="eastAsia" w:ascii="仿宋" w:eastAsia="仿宋" w:cs="Times New Roman"/>
          <w:kern w:val="2"/>
          <w:szCs w:val="32"/>
          <w:lang w:bidi="ar-SA"/>
        </w:rPr>
        <w:t>十一、国有资本经营预算财政拨款收入支出决算表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_Toc25825 </w:instrText>
      </w:r>
      <w:r>
        <w:rPr>
          <w:caps w:val="0"/>
          <w:smallCaps/>
          <w:szCs w:val="20"/>
        </w:rPr>
        <w:fldChar w:fldCharType="separate"/>
      </w:r>
      <w:r>
        <w:rPr>
          <w:rFonts w:hint="eastAsia" w:ascii="仿宋" w:eastAsia="仿宋" w:cs="Times New Roman"/>
          <w:kern w:val="2"/>
          <w:szCs w:val="32"/>
          <w:lang w:bidi="ar-SA"/>
        </w:rPr>
        <w:t>十二、国有资本经营预算财政拨款支出决算表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_Toc19895 </w:instrText>
      </w:r>
      <w:r>
        <w:rPr>
          <w:caps w:val="0"/>
          <w:smallCaps/>
          <w:szCs w:val="20"/>
        </w:rPr>
        <w:fldChar w:fldCharType="separate"/>
      </w:r>
      <w:r>
        <w:rPr>
          <w:rFonts w:hint="eastAsia" w:ascii="仿宋" w:eastAsia="仿宋" w:cs="Times New Roman"/>
          <w:kern w:val="2"/>
          <w:szCs w:val="32"/>
          <w:lang w:bidi="ar-SA"/>
        </w:rPr>
        <w:t>十三、财政拨款“三公”经费支出决算表</w:t>
      </w:r>
      <w:r>
        <w:tab/>
      </w:r>
      <w:r>
        <w:rPr>
          <w:caps w:val="0"/>
          <w:smallCaps/>
          <w:szCs w:val="20"/>
        </w:rPr>
        <w:fldChar w:fldCharType="end"/>
      </w:r>
    </w:p>
    <w:p>
      <w:pPr>
        <w:pStyle w:val="2"/>
        <w:rPr>
          <w:rFonts w:hint="eastAsia"/>
        </w:rPr>
      </w:pPr>
      <w:r>
        <w:rPr>
          <w:caps w:val="0"/>
          <w:smallCaps/>
          <w:szCs w:val="20"/>
        </w:rPr>
        <w:fldChar w:fldCharType="end"/>
      </w:r>
      <w:bookmarkStart w:id="13" w:name="_Toc111208495"/>
      <w:bookmarkStart w:id="14" w:name="_Toc23038"/>
    </w:p>
    <w:p>
      <w:pPr>
        <w:pStyle w:val="3"/>
        <w:bidi w:val="0"/>
        <w:jc w:val="center"/>
      </w:pPr>
      <w:bookmarkStart w:id="15" w:name="_Toc11934"/>
      <w:r>
        <w:rPr>
          <w:rFonts w:hint="eastAsia"/>
        </w:rPr>
        <w:t>第一部分 部门概况</w:t>
      </w:r>
      <w:bookmarkEnd w:id="12"/>
      <w:bookmarkEnd w:id="13"/>
      <w:bookmarkEnd w:id="14"/>
      <w:bookmarkEnd w:id="15"/>
    </w:p>
    <w:p>
      <w:pPr>
        <w:pStyle w:val="4"/>
        <w:rPr>
          <w:rFonts w:hint="eastAsia" w:ascii="楷体" w:eastAsia="楷体" w:cs="楷体"/>
          <w:b/>
          <w:bCs w:val="0"/>
          <w:color w:val="000000"/>
          <w:sz w:val="32"/>
          <w:szCs w:val="32"/>
        </w:rPr>
      </w:pPr>
      <w:bookmarkStart w:id="16" w:name="_Toc15377197"/>
      <w:bookmarkStart w:id="17" w:name="_Toc79163602"/>
      <w:bookmarkStart w:id="18" w:name="_Toc25800"/>
      <w:bookmarkStart w:id="19" w:name="_Toc15396600"/>
      <w:bookmarkStart w:id="20" w:name="_Toc10216"/>
      <w:bookmarkStart w:id="21" w:name="_Toc5972"/>
      <w:bookmarkStart w:id="22" w:name="_Toc15377204"/>
      <w:r>
        <w:rPr>
          <w:rFonts w:hint="eastAsia" w:ascii="黑体" w:eastAsia="黑体"/>
          <w:b w:val="0"/>
          <w:color w:val="000000"/>
        </w:rPr>
        <w:t>一、</w:t>
      </w:r>
      <w:bookmarkEnd w:id="16"/>
      <w:bookmarkEnd w:id="17"/>
      <w:bookmarkEnd w:id="18"/>
      <w:bookmarkEnd w:id="19"/>
      <w:bookmarkEnd w:id="20"/>
      <w:r>
        <w:rPr>
          <w:rFonts w:hint="eastAsia" w:ascii="黑体" w:eastAsia="黑体"/>
          <w:b w:val="0"/>
          <w:color w:val="000000"/>
          <w:lang w:eastAsia="zh-CN"/>
        </w:rPr>
        <w:t>部门职责</w:t>
      </w:r>
      <w:bookmarkEnd w:id="21"/>
      <w:bookmarkStart w:id="23" w:name="_Toc15378445"/>
      <w:bookmarkStart w:id="24" w:name="_Toc15377198"/>
    </w:p>
    <w:bookmarkEnd w:id="23"/>
    <w:bookmarkEnd w:id="2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bookmarkStart w:id="25" w:name="_Toc31514"/>
      <w:bookmarkStart w:id="26" w:name="_Toc15377200"/>
      <w:r>
        <w:rPr>
          <w:rFonts w:hint="eastAsia" w:ascii="仿宋_GB2312" w:eastAsia="仿宋_GB2312" w:cs="仿宋_GB2312"/>
          <w:sz w:val="32"/>
          <w:szCs w:val="32"/>
        </w:rPr>
        <w:t>1.贯彻执行党的路线、方针、政策以及中央、省委、州委和县委的决议、决定和工作的部署，协助县委领导处理县委日常工作，协调镇和部门工作，沟通上下左右联系；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b/>
          <w:bCs w:val="0"/>
          <w:color w:val="000000"/>
          <w:sz w:val="32"/>
          <w:szCs w:val="32"/>
        </w:rPr>
      </w:pPr>
      <w:r>
        <w:rPr>
          <w:rFonts w:hint="eastAsia" w:ascii="仿宋_GB2312" w:eastAsia="仿宋_GB2312" w:cs="仿宋_GB2312"/>
          <w:sz w:val="32"/>
          <w:szCs w:val="32"/>
        </w:rPr>
        <w:t>9.承办县委领导和上级业务部门交办的其他工作。</w:t>
      </w:r>
    </w:p>
    <w:bookmarkEnd w:id="25"/>
    <w:p>
      <w:pPr>
        <w:pStyle w:val="4"/>
        <w:keepNext/>
        <w:keepLines/>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b w:val="0"/>
          <w:bCs/>
          <w:color w:val="000000"/>
          <w:lang w:eastAsia="zh-CN"/>
        </w:rPr>
      </w:pPr>
      <w:bookmarkStart w:id="27" w:name="_Toc111208497"/>
      <w:bookmarkStart w:id="28" w:name="_Toc15377"/>
      <w:bookmarkStart w:id="29" w:name="_Toc2743"/>
      <w:r>
        <w:rPr>
          <w:rFonts w:hint="eastAsia" w:ascii="黑体" w:eastAsia="黑体" w:cs="黑体"/>
          <w:b w:val="0"/>
          <w:bCs/>
          <w:color w:val="000000"/>
        </w:rPr>
        <w:t>二、机构设置</w:t>
      </w:r>
      <w:bookmarkEnd w:id="26"/>
      <w:bookmarkEnd w:id="27"/>
      <w:bookmarkEnd w:id="28"/>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val="0"/>
          <w:bCs w:val="0"/>
          <w:color w:val="000000"/>
          <w:sz w:val="32"/>
          <w:szCs w:val="32"/>
        </w:rPr>
      </w:pPr>
      <w:bookmarkStart w:id="30" w:name="_Toc10545"/>
      <w:r>
        <w:rPr>
          <w:rFonts w:hint="eastAsia" w:ascii="仿宋_GB2312" w:eastAsia="仿宋_GB2312" w:cs="仿宋_GB2312"/>
          <w:b w:val="0"/>
          <w:bCs w:val="0"/>
          <w:color w:val="000000"/>
          <w:sz w:val="32"/>
          <w:szCs w:val="32"/>
        </w:rPr>
        <w:t>县委办下属二级单位0个，其中行政单位0个，参照公务员法管理的事业单位0个，其他事业单位0个。</w:t>
      </w:r>
      <w:r>
        <w:rPr>
          <w:rFonts w:hint="eastAsia" w:ascii="仿宋_GB2312" w:eastAsia="仿宋_GB2312" w:cs="仿宋_GB2312"/>
          <w:b w:val="0"/>
          <w:bCs w:val="0"/>
          <w:color w:val="000000"/>
          <w:sz w:val="32"/>
          <w:szCs w:val="32"/>
        </w:rPr>
        <w:cr/>
      </w:r>
      <w:r>
        <w:rPr>
          <w:rFonts w:hint="eastAsia" w:ascii="仿宋_GB2312" w:eastAsia="仿宋_GB2312" w:cs="仿宋_GB2312"/>
          <w:b w:val="0"/>
          <w:bCs w:val="0"/>
          <w:color w:val="000000"/>
          <w:sz w:val="32"/>
          <w:szCs w:val="32"/>
        </w:rPr>
        <w:t>我单位不涉及纳入202</w:t>
      </w:r>
      <w:r>
        <w:rPr>
          <w:rFonts w:hint="eastAsia" w:ascii="仿宋_GB2312" w:eastAsia="仿宋_GB2312" w:cs="仿宋_GB2312"/>
          <w:b w:val="0"/>
          <w:bCs w:val="0"/>
          <w:color w:val="000000"/>
          <w:sz w:val="32"/>
          <w:szCs w:val="32"/>
          <w:lang w:val="en-US" w:eastAsia="zh-CN"/>
        </w:rPr>
        <w:t>3</w:t>
      </w:r>
      <w:r>
        <w:rPr>
          <w:rFonts w:hint="eastAsia" w:ascii="仿宋_GB2312" w:eastAsia="仿宋_GB2312" w:cs="仿宋_GB2312"/>
          <w:b w:val="0"/>
          <w:bCs w:val="0"/>
          <w:color w:val="000000"/>
          <w:sz w:val="32"/>
          <w:szCs w:val="32"/>
        </w:rPr>
        <w:t>年度部门决算编制范围的二级预算单位。</w:t>
      </w:r>
      <w:bookmarkEnd w:id="29"/>
      <w:bookmarkEnd w:id="30"/>
    </w:p>
    <w:p>
      <w:pPr>
        <w:pStyle w:val="3"/>
        <w:jc w:val="center"/>
        <w:rPr>
          <w:rFonts w:hint="eastAsia" w:ascii="黑体" w:eastAsia="黑体" w:cs="黑体"/>
        </w:rPr>
      </w:pPr>
      <w:bookmarkStart w:id="31" w:name="_Toc4756"/>
      <w:bookmarkStart w:id="32" w:name="_Toc111208498"/>
    </w:p>
    <w:p>
      <w:pPr>
        <w:pStyle w:val="3"/>
        <w:jc w:val="center"/>
        <w:rPr>
          <w:rFonts w:hint="eastAsia" w:ascii="黑体" w:eastAsia="黑体" w:cs="黑体"/>
        </w:rPr>
      </w:pPr>
      <w:bookmarkStart w:id="33" w:name="_Toc10233"/>
      <w:r>
        <w:rPr>
          <w:rFonts w:hint="eastAsia" w:ascii="黑体" w:eastAsia="黑体" w:cs="黑体"/>
        </w:rPr>
        <w:t>第二部分 202</w:t>
      </w:r>
      <w:r>
        <w:rPr>
          <w:rFonts w:hint="eastAsia" w:ascii="黑体" w:eastAsia="黑体" w:cs="黑体"/>
          <w:lang w:val="en-US" w:eastAsia="zh-CN"/>
        </w:rPr>
        <w:t>3</w:t>
      </w:r>
      <w:r>
        <w:rPr>
          <w:rFonts w:hint="eastAsia" w:ascii="黑体" w:eastAsia="黑体" w:cs="黑体"/>
        </w:rPr>
        <w:t>年度部门决算情况说明</w:t>
      </w:r>
      <w:bookmarkEnd w:id="22"/>
      <w:bookmarkEnd w:id="31"/>
      <w:bookmarkEnd w:id="32"/>
      <w:bookmarkEnd w:id="33"/>
    </w:p>
    <w:p>
      <w:pPr>
        <w:pStyle w:val="4"/>
        <w:ind w:firstLine="640" w:firstLineChars="200"/>
        <w:rPr>
          <w:rFonts w:ascii="黑体" w:eastAsia="黑体" w:cs="Times New Roman"/>
          <w:b w:val="0"/>
          <w:bCs/>
          <w:color w:val="000000"/>
        </w:rPr>
      </w:pPr>
      <w:bookmarkStart w:id="34" w:name="_Toc15377205"/>
      <w:bookmarkStart w:id="35" w:name="_Toc4252"/>
      <w:bookmarkStart w:id="36" w:name="_Toc26705"/>
      <w:bookmarkStart w:id="37" w:name="_Toc111208499"/>
      <w:r>
        <w:rPr>
          <w:rFonts w:hint="eastAsia" w:ascii="黑体" w:eastAsia="黑体" w:cs="Times New Roman"/>
          <w:b w:val="0"/>
          <w:bCs/>
          <w:color w:val="000000"/>
        </w:rPr>
        <w:t>一、收入支出决算总体情况说</w:t>
      </w:r>
      <w:bookmarkEnd w:id="34"/>
      <w:r>
        <w:rPr>
          <w:rFonts w:hint="eastAsia" w:ascii="黑体" w:eastAsia="黑体" w:cs="Times New Roman"/>
          <w:b w:val="0"/>
          <w:bCs/>
          <w:color w:val="000000"/>
        </w:rPr>
        <w:t>明</w:t>
      </w:r>
      <w:bookmarkEnd w:id="35"/>
      <w:bookmarkEnd w:id="36"/>
      <w:bookmarkEnd w:id="37"/>
    </w:p>
    <w:p>
      <w:pPr>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2023</w:t>
      </w:r>
      <w:r>
        <w:rPr>
          <w:rFonts w:hint="eastAsia" w:ascii="仿宋" w:eastAsia="仿宋"/>
          <w:color w:val="auto"/>
          <w:sz w:val="32"/>
          <w:szCs w:val="32"/>
          <w:highlight w:val="none"/>
        </w:rPr>
        <w:t>年度收、支总计</w:t>
      </w:r>
      <w:r>
        <w:rPr>
          <w:rFonts w:hint="eastAsia" w:ascii="仿宋" w:eastAsia="仿宋"/>
          <w:color w:val="auto"/>
          <w:sz w:val="32"/>
          <w:szCs w:val="32"/>
          <w:highlight w:val="none"/>
          <w:lang w:eastAsia="zh-CN"/>
        </w:rPr>
        <w:t>均为</w:t>
      </w:r>
      <w:r>
        <w:rPr>
          <w:rFonts w:hint="eastAsia" w:ascii="仿宋" w:eastAsia="仿宋"/>
          <w:color w:val="auto"/>
          <w:sz w:val="32"/>
          <w:szCs w:val="32"/>
          <w:highlight w:val="none"/>
          <w:lang w:val="en-US" w:eastAsia="zh-CN"/>
        </w:rPr>
        <w:t>1267.80</w:t>
      </w:r>
      <w:r>
        <w:rPr>
          <w:rFonts w:hint="eastAsia" w:ascii="仿宋" w:eastAsia="仿宋"/>
          <w:color w:val="auto"/>
          <w:sz w:val="32"/>
          <w:szCs w:val="32"/>
          <w:highlight w:val="none"/>
        </w:rPr>
        <w:t>万元。与</w:t>
      </w:r>
      <w:r>
        <w:rPr>
          <w:rFonts w:hint="eastAsia" w:ascii="仿宋" w:eastAsia="仿宋"/>
          <w:color w:val="auto"/>
          <w:sz w:val="32"/>
          <w:szCs w:val="32"/>
          <w:highlight w:val="none"/>
          <w:lang w:eastAsia="zh-CN"/>
        </w:rPr>
        <w:t>2022</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相比，收、支总计各减少</w:t>
      </w:r>
      <w:r>
        <w:rPr>
          <w:rFonts w:hint="eastAsia" w:ascii="仿宋" w:eastAsia="仿宋"/>
          <w:color w:val="auto"/>
          <w:sz w:val="32"/>
          <w:szCs w:val="32"/>
          <w:highlight w:val="none"/>
          <w:lang w:val="en-US" w:eastAsia="zh-CN"/>
        </w:rPr>
        <w:t>18.85</w:t>
      </w:r>
      <w:r>
        <w:rPr>
          <w:rFonts w:hint="eastAsia" w:ascii="仿宋" w:eastAsia="仿宋"/>
          <w:color w:val="auto"/>
          <w:sz w:val="32"/>
          <w:szCs w:val="32"/>
          <w:highlight w:val="none"/>
        </w:rPr>
        <w:t>万元，下降</w:t>
      </w:r>
      <w:r>
        <w:rPr>
          <w:rFonts w:hint="eastAsia" w:ascii="仿宋" w:eastAsia="仿宋"/>
          <w:color w:val="auto"/>
          <w:sz w:val="32"/>
          <w:szCs w:val="32"/>
          <w:highlight w:val="none"/>
          <w:lang w:val="en-US" w:eastAsia="zh-CN"/>
        </w:rPr>
        <w:t>1.47</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人员变动，厉行节约，压缩办公经费开支。</w:t>
      </w:r>
    </w:p>
    <w:p>
      <w:pPr>
        <w:spacing w:line="600" w:lineRule="exact"/>
        <w:ind w:firstLine="640" w:firstLineChars="200"/>
        <w:rPr>
          <w:rFonts w:hint="eastAsia" w:ascii="仿宋_GB2312" w:eastAsia="仿宋_GB2312" w:cs="仿宋_GB2312"/>
          <w:color w:val="000000"/>
          <w:sz w:val="28"/>
          <w:szCs w:val="28"/>
        </w:rPr>
      </w:pPr>
      <w:r>
        <w:rPr>
          <w:rFonts w:hint="eastAsia" w:ascii="仿宋_GB2312" w:eastAsia="仿宋_GB2312" w:cs="仿宋_GB2312"/>
          <w:color w:val="000000"/>
          <w:sz w:val="32"/>
          <w:szCs w:val="32"/>
        </w:rPr>
        <w:t>（图1：收、支决算总计变动情况图）</w:t>
      </w:r>
      <w:r>
        <w:rPr>
          <w:rFonts w:hint="eastAsia" w:ascii="仿宋_GB2312" w:eastAsia="仿宋_GB2312" w:cs="仿宋_GB2312"/>
          <w:color w:val="000000"/>
          <w:sz w:val="32"/>
          <w:szCs w:val="32"/>
          <w:lang w:val="en-US" w:eastAsia="zh-CN"/>
        </w:rPr>
        <w:t>(单位：万元）</w:t>
      </w:r>
    </w:p>
    <w:p>
      <w:pPr>
        <w:pStyle w:val="2"/>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349250</wp:posOffset>
            </wp:positionH>
            <wp:positionV relativeFrom="paragraph">
              <wp:posOffset>277495</wp:posOffset>
            </wp:positionV>
            <wp:extent cx="4886325" cy="2819400"/>
            <wp:effectExtent l="0" t="0" r="21" b="43"/>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4"/>
        <w:ind w:firstLine="640" w:firstLineChars="200"/>
        <w:rPr>
          <w:rFonts w:ascii="黑体" w:eastAsia="黑体" w:cs="Times New Roman"/>
          <w:b w:val="0"/>
          <w:bCs/>
          <w:color w:val="000000"/>
        </w:rPr>
      </w:pPr>
      <w:bookmarkStart w:id="38" w:name="_Toc111208500"/>
      <w:bookmarkStart w:id="39" w:name="_Toc16754"/>
      <w:bookmarkStart w:id="40" w:name="_Toc15377206"/>
      <w:bookmarkStart w:id="41" w:name="_Toc25746"/>
      <w:r>
        <w:rPr>
          <w:rFonts w:hint="eastAsia" w:ascii="黑体" w:eastAsia="黑体" w:cs="Times New Roman"/>
          <w:b w:val="0"/>
          <w:bCs/>
          <w:color w:val="000000"/>
        </w:rPr>
        <w:t>二、收入决算情况说明</w:t>
      </w:r>
      <w:bookmarkEnd w:id="38"/>
      <w:bookmarkEnd w:id="39"/>
      <w:bookmarkEnd w:id="40"/>
      <w:bookmarkEnd w:id="41"/>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sz w:val="32"/>
          <w:szCs w:val="32"/>
        </w:rPr>
        <w:t>万元，占100%；政府性基金预算财政拨款收入0万元；国有资本经营预算财政拨款收入0万元；上级补助收入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万元；事业收入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万元；经营收入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万元；附属单位上缴收入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万元；其他收入</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spacing w:line="600" w:lineRule="exact"/>
        <w:ind w:firstLine="2560" w:firstLineChars="800"/>
        <w:rPr>
          <w:rFonts w:ascii="仿宋" w:eastAsia="仿宋"/>
          <w:color w:val="000000"/>
          <w:sz w:val="32"/>
          <w:szCs w:val="32"/>
        </w:rPr>
      </w:pPr>
      <w:r>
        <w:rPr>
          <w:rFonts w:hint="eastAsia" w:ascii="仿宋" w:eastAsia="仿宋"/>
          <w:color w:val="000000"/>
          <w:sz w:val="32"/>
          <w:szCs w:val="32"/>
        </w:rPr>
        <w:t>（图2：收入决算结构图）</w:t>
      </w:r>
    </w:p>
    <w:p>
      <w:pPr>
        <w:pStyle w:val="16"/>
        <w:jc w:val="center"/>
      </w:pPr>
      <w:r>
        <w:rPr>
          <w:rFonts w:hint="eastAsia" w:ascii="仿宋_GB2312" w:eastAsia="仿宋_GB2312"/>
          <w:color w:val="FF0000"/>
          <w:sz w:val="32"/>
          <w:szCs w:val="32"/>
        </w:rPr>
        <w:drawing>
          <wp:inline distT="0" distB="0" distL="114300" distR="114300">
            <wp:extent cx="4599940" cy="26670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0" w:firstLineChars="200"/>
        <w:rPr>
          <w:rFonts w:ascii="黑体" w:eastAsia="黑体" w:cs="Times New Roman"/>
          <w:b w:val="0"/>
          <w:bCs/>
          <w:color w:val="000000"/>
        </w:rPr>
      </w:pPr>
      <w:bookmarkStart w:id="42" w:name="_Toc15377207"/>
      <w:bookmarkStart w:id="43" w:name="_Toc24992"/>
      <w:bookmarkStart w:id="44" w:name="_Toc111208501"/>
      <w:bookmarkStart w:id="45" w:name="_Toc26388"/>
      <w:r>
        <w:rPr>
          <w:rFonts w:hint="eastAsia" w:ascii="黑体" w:eastAsia="黑体" w:cs="Times New Roman"/>
          <w:b w:val="0"/>
          <w:bCs/>
          <w:color w:val="000000"/>
        </w:rPr>
        <w:t>三、支出决算情况说明</w:t>
      </w:r>
      <w:bookmarkEnd w:id="42"/>
      <w:bookmarkEnd w:id="43"/>
      <w:bookmarkEnd w:id="44"/>
      <w:bookmarkEnd w:id="45"/>
    </w:p>
    <w:p>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2023年本年支出合计</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kern w:val="2"/>
          <w:sz w:val="32"/>
          <w:szCs w:val="32"/>
          <w:lang w:val="en-US" w:eastAsia="zh-CN" w:bidi="ar-SA"/>
        </w:rPr>
        <w:t>万元，其中：基本支出1096.19万元，占86.46%；项目支出171.61万元，占13.54%；上缴上级支出0万元；经营支出0万元；对附属单位补助支出0万元。</w:t>
      </w: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（图3：支出决算结构图）</w:t>
      </w:r>
    </w:p>
    <w:p>
      <w:pPr>
        <w:jc w:val="cente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737100" cy="3152775"/>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46" w:name="_Toc15377208"/>
      <w:bookmarkStart w:id="47" w:name="_Toc111208502"/>
      <w:bookmarkStart w:id="48" w:name="_Toc20533"/>
      <w:bookmarkStart w:id="49" w:name="_Toc27304"/>
      <w:r>
        <w:rPr>
          <w:rFonts w:hint="eastAsia" w:ascii="黑体" w:eastAsia="黑体" w:cs="Times New Roman"/>
          <w:bCs w:val="0"/>
          <w:color w:val="000000"/>
        </w:rPr>
        <w:t>四、财政拨款收入支出决算总体情况说明</w:t>
      </w:r>
      <w:bookmarkEnd w:id="46"/>
      <w:bookmarkEnd w:id="47"/>
      <w:bookmarkEnd w:id="48"/>
      <w:bookmarkEnd w:id="49"/>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2023年财政拨款收、支总计</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kern w:val="2"/>
          <w:sz w:val="32"/>
          <w:szCs w:val="32"/>
          <w:lang w:val="en-US" w:eastAsia="zh-CN" w:bidi="ar-SA"/>
        </w:rPr>
        <w:t>万元。与2022年相比，财政拨款收、支总计各减少18.85万元，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1.47</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人员变动，厉行节约，</w:t>
      </w:r>
      <w:r>
        <w:rPr>
          <w:rFonts w:ascii="仿宋_GB2312" w:eastAsia="仿宋_GB2312" w:cs="仿宋_GB2312"/>
          <w:color w:val="000000"/>
          <w:sz w:val="32"/>
          <w:szCs w:val="32"/>
        </w:rPr>
        <w:t>压缩经费支出</w:t>
      </w:r>
      <w:r>
        <w:rPr>
          <w:rFonts w:hint="eastAsia" w:ascii="仿宋_GB2312" w:eastAsia="仿宋_GB2312" w:cs="仿宋_GB2312"/>
          <w:color w:val="000000"/>
          <w:sz w:val="32"/>
          <w:szCs w:val="32"/>
          <w:lang w:eastAsia="zh-CN"/>
        </w:rPr>
        <w:t>。</w:t>
      </w:r>
    </w:p>
    <w:p>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（图4：财政拨款收、支决算总计变动情况）</w:t>
      </w:r>
      <w:r>
        <w:rPr>
          <w:rFonts w:hint="eastAsia" w:ascii="仿宋_GB2312" w:eastAsia="仿宋_GB2312" w:cs="仿宋_GB2312"/>
          <w:color w:val="000000"/>
          <w:sz w:val="32"/>
          <w:szCs w:val="32"/>
          <w:lang w:val="en-US" w:eastAsia="zh-CN"/>
        </w:rPr>
        <w:t>(单位：万元）</w:t>
      </w:r>
    </w:p>
    <w:p>
      <w:pPr>
        <w:pStyle w:val="2"/>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548640</wp:posOffset>
            </wp:positionH>
            <wp:positionV relativeFrom="paragraph">
              <wp:posOffset>219075</wp:posOffset>
            </wp:positionV>
            <wp:extent cx="4610735" cy="2696845"/>
            <wp:effectExtent l="0" t="0" r="39" b="22"/>
            <wp:wrapSquare wrapText="bothSides"/>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4"/>
        <w:ind w:firstLine="640" w:firstLineChars="200"/>
        <w:rPr>
          <w:rFonts w:hint="eastAsia" w:ascii="黑体" w:eastAsia="黑体" w:cs="Times New Roman"/>
          <w:b w:val="0"/>
          <w:bCs/>
          <w:color w:val="000000"/>
        </w:rPr>
      </w:pPr>
      <w:bookmarkStart w:id="50" w:name="_Toc15377209"/>
      <w:bookmarkStart w:id="51" w:name="_Toc11217"/>
      <w:bookmarkStart w:id="52" w:name="_Toc111208503"/>
      <w:bookmarkStart w:id="53" w:name="_Toc15377211"/>
    </w:p>
    <w:p>
      <w:pPr>
        <w:pStyle w:val="4"/>
        <w:ind w:firstLine="640" w:firstLineChars="200"/>
        <w:rPr>
          <w:rFonts w:hint="eastAsia" w:ascii="黑体" w:eastAsia="黑体" w:cs="Times New Roman"/>
          <w:b w:val="0"/>
          <w:bCs/>
          <w:color w:val="000000"/>
        </w:rPr>
      </w:pPr>
      <w:bookmarkStart w:id="54" w:name="_Toc8582"/>
      <w:r>
        <w:rPr>
          <w:rFonts w:hint="eastAsia" w:ascii="黑体" w:eastAsia="黑体" w:cs="Times New Roman"/>
          <w:b w:val="0"/>
          <w:bCs/>
          <w:color w:val="000000"/>
        </w:rPr>
        <w:t>五、一般公共预算财政拨款支出决算情况说</w:t>
      </w:r>
      <w:bookmarkEnd w:id="50"/>
      <w:r>
        <w:rPr>
          <w:rFonts w:hint="eastAsia" w:ascii="黑体" w:eastAsia="黑体" w:cs="Times New Roman"/>
          <w:b w:val="0"/>
          <w:bCs/>
          <w:color w:val="000000"/>
        </w:rPr>
        <w:t>明</w:t>
      </w:r>
      <w:bookmarkEnd w:id="51"/>
      <w:bookmarkEnd w:id="52"/>
      <w:bookmarkEnd w:id="54"/>
    </w:p>
    <w:p>
      <w:pPr>
        <w:spacing w:line="600" w:lineRule="exact"/>
        <w:ind w:firstLine="642" w:firstLineChars="200"/>
        <w:outlineLvl w:val="2"/>
        <w:rPr>
          <w:rFonts w:hint="eastAsia" w:ascii="楷体_GB2312" w:eastAsia="楷体_GB2312" w:cs="楷体_GB2312"/>
          <w:b/>
          <w:bCs w:val="0"/>
          <w:color w:val="000000"/>
          <w:sz w:val="32"/>
          <w:szCs w:val="32"/>
        </w:rPr>
      </w:pPr>
      <w:bookmarkStart w:id="55" w:name="_Toc15377210"/>
      <w:r>
        <w:rPr>
          <w:rFonts w:hint="eastAsia" w:ascii="楷体_GB2312" w:eastAsia="楷体_GB2312" w:cs="楷体_GB2312"/>
          <w:b/>
          <w:bCs w:val="0"/>
          <w:color w:val="000000"/>
          <w:sz w:val="32"/>
          <w:szCs w:val="32"/>
        </w:rPr>
        <w:t>（一）一般公共预算财政拨款支出决算总体情况</w:t>
      </w:r>
      <w:bookmarkEnd w:id="5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2023年一般公共预算财政拨款支出</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kern w:val="2"/>
          <w:sz w:val="32"/>
          <w:szCs w:val="32"/>
          <w:lang w:val="en-US" w:eastAsia="zh-CN" w:bidi="ar-SA"/>
        </w:rPr>
        <w:t>万元，占本年支出合计的100%。与2022相比，一般公共预算财政拨款减少</w:t>
      </w:r>
      <w:r>
        <w:rPr>
          <w:rFonts w:hint="eastAsia" w:ascii="仿宋_GB2312" w:eastAsia="仿宋_GB2312" w:cs="仿宋_GB2312"/>
          <w:color w:val="000000"/>
          <w:sz w:val="32"/>
          <w:szCs w:val="32"/>
          <w:lang w:val="en-US" w:eastAsia="zh-CN"/>
        </w:rPr>
        <w:t>1.47</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人员变动，厉行节约，</w:t>
      </w:r>
      <w:r>
        <w:rPr>
          <w:rFonts w:ascii="仿宋_GB2312" w:eastAsia="仿宋_GB2312" w:cs="仿宋_GB2312"/>
          <w:color w:val="000000"/>
          <w:sz w:val="32"/>
          <w:szCs w:val="32"/>
        </w:rPr>
        <w:t>压缩经费支出</w:t>
      </w:r>
      <w:r>
        <w:rPr>
          <w:rFonts w:hint="eastAsia" w:ascii="仿宋_GB2312" w:eastAsia="仿宋_GB2312" w:cs="仿宋_GB2312"/>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76" w:lineRule="exact"/>
        <w:ind w:left="0" w:firstLine="0"/>
        <w:textAlignment w:val="auto"/>
        <w:rPr>
          <w:rFonts w:ascii="仿宋_GB2312" w:eastAsia="仿宋_GB2312"/>
          <w:b/>
          <w:color w:val="000000"/>
          <w:sz w:val="32"/>
          <w:szCs w:val="32"/>
        </w:rPr>
      </w:pPr>
      <w:r>
        <w:rPr>
          <w:rFonts w:hint="eastAsia" w:ascii="仿宋_GB2312" w:eastAsia="仿宋_GB2312" w:cs="仿宋_GB2312"/>
          <w:color w:val="000000"/>
          <w:kern w:val="2"/>
          <w:sz w:val="32"/>
          <w:szCs w:val="32"/>
          <w:lang w:val="en-US" w:eastAsia="zh-CN" w:bidi="ar-SA"/>
        </w:rPr>
        <w:t>(图5：一般公共预算财政拨款支出决算变动情况）</w:t>
      </w:r>
      <w:r>
        <w:rPr>
          <w:rFonts w:hint="eastAsia" w:ascii="仿宋_GB2312" w:eastAsia="仿宋_GB2312" w:cs="仿宋_GB2312"/>
          <w:color w:val="000000"/>
          <w:sz w:val="32"/>
          <w:szCs w:val="32"/>
          <w:lang w:val="en-US" w:eastAsia="zh-CN"/>
        </w:rPr>
        <w:t>(单位：万元）</w:t>
      </w:r>
    </w:p>
    <w:p>
      <w:pPr>
        <w:pStyle w:val="2"/>
        <w:ind w:firstLine="0"/>
        <w:rPr>
          <w:rFonts w:ascii="仿宋_GB2312" w:eastAsia="仿宋_GB2312"/>
          <w:b/>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60960</wp:posOffset>
            </wp:positionV>
            <wp:extent cx="5324475" cy="2619375"/>
            <wp:effectExtent l="0" t="0" r="15" b="39"/>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bookmarkEnd w:id="53"/>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（二）一般公共预算财政拨款支出决算结构情况</w:t>
      </w:r>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2023年一般公共预算财政拨款支出</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kern w:val="2"/>
          <w:sz w:val="32"/>
          <w:szCs w:val="32"/>
          <w:lang w:val="en-US" w:eastAsia="zh-CN" w:bidi="ar-SA"/>
        </w:rPr>
        <w:t>万元，主要用于以下方面:一般公共服务支出1003.20万元，占79.13%；社会保障和就业支出135.59万元，占10.69%；卫生健康支出59.32万元，占4.68%；住房保障支出69.69万元，占5.5%。</w:t>
      </w:r>
    </w:p>
    <w:p>
      <w:pPr>
        <w:spacing w:line="600" w:lineRule="exact"/>
        <w:ind w:firstLine="1280" w:firstLineChars="400"/>
        <w:rPr>
          <w:rFonts w:ascii="仿宋" w:eastAsia="仿宋"/>
          <w:color w:val="000000"/>
          <w:sz w:val="32"/>
          <w:szCs w:val="32"/>
        </w:rPr>
      </w:pPr>
      <w:r>
        <w:rPr>
          <w:rFonts w:hint="eastAsia" w:ascii="仿宋_GB2312" w:eastAsia="仿宋_GB2312" w:cs="仿宋_GB2312"/>
          <w:color w:val="000000"/>
          <w:kern w:val="2"/>
          <w:sz w:val="32"/>
          <w:szCs w:val="32"/>
          <w:lang w:val="en-US" w:eastAsia="zh-CN" w:bidi="ar-SA"/>
        </w:rPr>
        <w:t>（图6：一般公共预算财政拨款支出决算结构）</w:t>
      </w:r>
      <w:bookmarkStart w:id="56" w:name="_Toc15377212"/>
    </w:p>
    <w:p>
      <w:pPr>
        <w:pStyle w:val="2"/>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147320</wp:posOffset>
            </wp:positionV>
            <wp:extent cx="4065905" cy="2190750"/>
            <wp:effectExtent l="0" t="0" r="30" b="34"/>
            <wp:wrapSquare wrapText="bothSides"/>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（三）一般公共预算财政拨款支出决算具体情况</w:t>
      </w:r>
      <w:bookmarkEnd w:id="5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57" w:name="_Toc15377444"/>
      <w:bookmarkStart w:id="58" w:name="_Toc15377213"/>
      <w:bookmarkStart w:id="59" w:name="_Toc15378460"/>
      <w:r>
        <w:rPr>
          <w:rFonts w:hint="eastAsia" w:ascii="仿宋_GB2312" w:eastAsia="仿宋_GB2312" w:cs="仿宋_GB2312"/>
          <w:color w:val="000000"/>
          <w:kern w:val="2"/>
          <w:sz w:val="32"/>
          <w:szCs w:val="32"/>
          <w:lang w:val="en-US" w:eastAsia="zh-CN" w:bidi="ar-SA"/>
        </w:rPr>
        <w:t>2023年一般公共预算支出决算数为</w:t>
      </w:r>
      <w:r>
        <w:rPr>
          <w:rFonts w:hint="eastAsia" w:ascii="仿宋_GB2312" w:eastAsia="仿宋_GB2312" w:cs="仿宋_GB2312"/>
          <w:color w:val="000000"/>
          <w:sz w:val="32"/>
          <w:szCs w:val="32"/>
          <w:lang w:val="en-US" w:eastAsia="zh-CN"/>
        </w:rPr>
        <w:t>1267.80</w:t>
      </w:r>
      <w:r>
        <w:rPr>
          <w:rFonts w:hint="eastAsia" w:ascii="仿宋_GB2312" w:eastAsia="仿宋_GB2312" w:cs="仿宋_GB2312"/>
          <w:color w:val="000000"/>
          <w:kern w:val="2"/>
          <w:sz w:val="32"/>
          <w:szCs w:val="32"/>
          <w:lang w:val="en-US" w:eastAsia="zh-CN" w:bidi="ar-SA"/>
        </w:rPr>
        <w:t>万元，完成预算100%。其中：</w:t>
      </w:r>
      <w:bookmarkEnd w:id="57"/>
      <w:bookmarkEnd w:id="58"/>
      <w:bookmarkEnd w:id="59"/>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一般公共服务支出（201）党委办公厅（室）及相关机构事务（20131）行政运行（2013101）支出决算677.86万元，完成预算100%。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lang w:val="en-US" w:eastAsia="zh-CN"/>
        </w:rPr>
      </w:pPr>
      <w:r>
        <w:rPr>
          <w:rFonts w:hint="eastAsia" w:ascii="仿宋_GB2312" w:eastAsia="仿宋_GB2312" w:cs="仿宋_GB2312"/>
          <w:color w:val="000000"/>
          <w:kern w:val="2"/>
          <w:sz w:val="32"/>
          <w:szCs w:val="32"/>
          <w:lang w:val="en-US" w:eastAsia="zh-CN" w:bidi="ar-SA"/>
        </w:rPr>
        <w:t>2.一般公共服务支出（201）党委办公厅（室）及相关机构事务（20131）事业运行（2013150）支出决算124.36万元，完成预算100%。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3.一般公共服务支出（201）党委办公厅（室）及相关机构事务（20131）其他党委办公厅（室）及相关机构事务支出（2013199）支出决算200.98万元，完成预算100%。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4.社会保障和就业支出（208）行政事业单位养老支出（20805）机关事业单位基本养老保险缴费支出（2080505）支出决算90.4万元，完成预算100%。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5.社会保障和就业支出（208）行政事业单位养老支出（20805）机关事业单位职业年金缴费支出（2080506）支出决算45.2万元，完成预算100%。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6.卫生健康支出（210）行政事业单位医疗（21011）行政单位医疗（2101101）支出决算49.58万元，完成预算100%。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7.卫生健康支出（210）行政事业单位医疗（21011）事业单位医疗（2101102）支出决算9.74万元，完成预算100%。</w:t>
      </w: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ab/>
      </w:r>
      <w:r>
        <w:rPr>
          <w:rFonts w:hint="eastAsia" w:ascii="仿宋_GB2312" w:eastAsia="仿宋_GB2312" w:cs="仿宋_GB2312"/>
          <w:color w:val="000000"/>
          <w:kern w:val="2"/>
          <w:sz w:val="32"/>
          <w:szCs w:val="32"/>
          <w:lang w:val="en-US" w:eastAsia="zh-CN" w:bidi="ar-SA"/>
        </w:rPr>
        <w:t>8.住房保障支出（221）住房改革支出（22102）住房公积金（2210201）支出决算69.69万元，完成预算100%。</w:t>
      </w:r>
    </w:p>
    <w:p>
      <w:pPr>
        <w:pStyle w:val="4"/>
        <w:ind w:firstLine="642" w:firstLineChars="200"/>
        <w:rPr>
          <w:rFonts w:ascii="黑体" w:eastAsia="黑体" w:cs="Times New Roman"/>
          <w:b w:val="0"/>
          <w:color w:val="000000"/>
        </w:rPr>
      </w:pPr>
      <w:bookmarkStart w:id="60" w:name="_Toc15377214"/>
      <w:bookmarkStart w:id="61" w:name="_Toc30483"/>
      <w:bookmarkStart w:id="62" w:name="_Toc32028"/>
      <w:bookmarkStart w:id="63" w:name="_Toc111208504"/>
      <w:r>
        <w:rPr>
          <w:rFonts w:hint="eastAsia" w:ascii="黑体" w:eastAsia="黑体" w:cs="Times New Roman"/>
          <w:bCs w:val="0"/>
          <w:color w:val="000000"/>
        </w:rPr>
        <w:t>六、一般公共预算财政拨款基本支出决算情况说</w:t>
      </w:r>
      <w:bookmarkEnd w:id="60"/>
      <w:r>
        <w:rPr>
          <w:rFonts w:hint="eastAsia" w:ascii="黑体" w:eastAsia="黑体" w:cs="Times New Roman"/>
          <w:bCs w:val="0"/>
          <w:color w:val="000000"/>
        </w:rPr>
        <w:t>明</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2023年度一般公共预算财政拨款基本支出1096.19万元，其中：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人员经费953.71万元，主要包括：基本工资206.61万元、津贴补贴170.70万元、奖金207.86万元、绩效工资72.34万元、机关事业单位基本养老保险缴费90.40万元、职业年金缴费45.20万元、职工基本医疗保险缴费59.32万元、其他社会保障缴费8.34万元、住房公积金69.69万元、医疗费10.03万元、生活补助12.96万元、医疗费补助0.23万元、奖励金0.05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公用经费142.48万元，主要包括：办公费22.50万元、邮电费3.31万元、差旅费12.50万元、培训费1.00万元、因公出国（境）费用17.57万元、公务接待费0.23万元、公务用车运行维护费85.36万元，公车购置费0.00万元。</w:t>
      </w:r>
    </w:p>
    <w:p>
      <w:pPr>
        <w:pStyle w:val="4"/>
        <w:ind w:firstLine="642" w:firstLineChars="200"/>
        <w:rPr>
          <w:rFonts w:ascii="黑体" w:eastAsia="黑体" w:cs="Times New Roman"/>
          <w:bCs w:val="0"/>
          <w:color w:val="000000"/>
        </w:rPr>
      </w:pPr>
      <w:bookmarkStart w:id="64" w:name="_Toc111208505"/>
      <w:bookmarkStart w:id="65" w:name="_Toc30687"/>
      <w:bookmarkStart w:id="66" w:name="_Toc15377215"/>
      <w:bookmarkStart w:id="67" w:name="_Toc8600"/>
      <w:r>
        <w:rPr>
          <w:rFonts w:hint="eastAsia" w:ascii="黑体" w:eastAsia="黑体" w:cs="Times New Roman"/>
          <w:bCs w:val="0"/>
          <w:color w:val="000000"/>
        </w:rPr>
        <w:t>七、“三公”经费财政拨款支出决算情况说明</w:t>
      </w:r>
      <w:bookmarkEnd w:id="64"/>
      <w:bookmarkEnd w:id="65"/>
      <w:bookmarkEnd w:id="66"/>
      <w:bookmarkEnd w:id="67"/>
    </w:p>
    <w:p>
      <w:pPr>
        <w:spacing w:line="600" w:lineRule="exact"/>
        <w:ind w:firstLine="642" w:firstLineChars="200"/>
        <w:outlineLvl w:val="2"/>
        <w:rPr>
          <w:rFonts w:ascii="仿宋" w:eastAsia="仿宋"/>
          <w:b/>
          <w:color w:val="000000"/>
          <w:sz w:val="32"/>
          <w:szCs w:val="32"/>
        </w:rPr>
      </w:pPr>
      <w:bookmarkStart w:id="68" w:name="_Toc15377216"/>
      <w:r>
        <w:rPr>
          <w:rFonts w:hint="eastAsia" w:ascii="楷体_GB2312" w:eastAsia="楷体_GB2312" w:cs="楷体_GB2312"/>
          <w:b/>
          <w:color w:val="000000"/>
          <w:sz w:val="32"/>
          <w:szCs w:val="32"/>
        </w:rPr>
        <w:t>（一）“三公”经费财政拨款支出决算总体情况说明</w:t>
      </w:r>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2023年“三公”经费财政拨款支出决算为103.17万元，完成预算100%。</w:t>
      </w:r>
      <w:bookmarkStart w:id="69" w:name="_Toc15377217"/>
      <w:r>
        <w:rPr>
          <w:rFonts w:hint="eastAsia" w:ascii="仿宋_GB2312" w:eastAsia="仿宋_GB2312" w:cs="仿宋_GB2312"/>
          <w:color w:val="000000"/>
          <w:kern w:val="2"/>
          <w:sz w:val="32"/>
          <w:szCs w:val="32"/>
          <w:lang w:val="en-US" w:eastAsia="zh-CN" w:bidi="ar-SA"/>
        </w:rPr>
        <w:t>较上年度减少50.43万元，其原因为厉行节约，压缩公车运行维护费支出。</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 w:eastAsia="仿宋"/>
          <w:color w:val="000000"/>
          <w:sz w:val="32"/>
          <w:szCs w:val="32"/>
        </w:rPr>
        <w:t>2</w:t>
      </w:r>
      <w:r>
        <w:rPr>
          <w:rFonts w:hint="eastAsia" w:ascii="仿宋_GB2312" w:eastAsia="仿宋_GB2312" w:cs="仿宋_GB2312"/>
          <w:color w:val="000000"/>
          <w:kern w:val="2"/>
          <w:sz w:val="32"/>
          <w:szCs w:val="32"/>
          <w:lang w:val="en-US" w:eastAsia="zh-CN" w:bidi="ar-SA"/>
        </w:rPr>
        <w:t>023年“三公”经费财政拨款支出103.17万，因公出国（境）费支出决算17.57万元、占17.03%；公务用车购置费0万元，占0%；公车运行维护费支出决算85.36万元，占82.74%；公务接待费支出决算0.23万元，占0.23%。具体情况如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（图7：“三公”经费财政拨款支出结构）</w:t>
      </w:r>
    </w:p>
    <w:p>
      <w:pPr>
        <w:pStyle w:val="2"/>
        <w:rPr>
          <w:rFonts w:ascii="仿宋_GB2312" w:eastAsia="仿宋_GB2312"/>
          <w:color w:val="000000"/>
          <w:sz w:val="32"/>
          <w:szCs w:val="32"/>
        </w:rPr>
      </w:pPr>
      <w:r>
        <w:rPr>
          <w:rFonts w:hint="eastAsia" w:ascii="仿宋_GB2312" w:eastAsia="仿宋_GB2312"/>
          <w:color w:val="000000"/>
          <w:sz w:val="32"/>
          <w:szCs w:val="32"/>
          <w:lang w:eastAsia="zh-CN"/>
        </w:rPr>
        <w:drawing>
          <wp:inline distT="0" distB="0" distL="114300" distR="114300">
            <wp:extent cx="4813935" cy="3315335"/>
            <wp:effectExtent l="0" t="0" r="0" b="0"/>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1.因公出国（境）经费支出17.57万元。全年安排因公出国（境）团组1次，出国（境）1人。因公出国（境）支出决算比2022年增加17.57万元。增加100%， 主要原因为新增出国工作。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2.公务用车购置费0万元,公务用车购置支出决算比2022年减少60万元，减少100%，其原因为2023年无公车购置支出。公车运行维护费85.36万元，完成预算100%，减少8.21%。主要原因是压缩公车运行维护费支出。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其中：公务用车购置支出0万元。全年按规定更新购置公务用车0辆，其中：轿车0辆、金额0万元，越野车0辆、金额0万元，载客汽车0辆、金额0万元。截至2023年12月底，单位共有公务用车8辆，其中：轿车0辆、越野车8辆、载客汽车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公务用车运行维护费支出85.36万元（公务用车购置费0万元）。主要用于单位公务用车日常维修维护。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3.公务接待费支出0.23万元，完成预算100%。公务接待费支出决算比2022年减少0.37万元，减少61.66%。</w:t>
      </w:r>
      <w:bookmarkStart w:id="70" w:name="_Toc15377218"/>
      <w:r>
        <w:rPr>
          <w:rFonts w:hint="eastAsia" w:ascii="仿宋_GB2312" w:eastAsia="仿宋_GB2312" w:cs="仿宋_GB2312"/>
          <w:color w:val="000000"/>
          <w:kern w:val="2"/>
          <w:sz w:val="32"/>
          <w:szCs w:val="32"/>
          <w:lang w:val="en-US" w:eastAsia="zh-CN" w:bidi="ar-SA"/>
        </w:rPr>
        <w:t xml:space="preserve">主要原因是压缩三公经费支出。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国内公务接待支出0.23万元。国内公务接待3批次，24人次（不包括陪同人员），共计支出0.23万元。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外事接待支出0万元，外事接待0批次，0人，共计支出0万元。</w:t>
      </w:r>
    </w:p>
    <w:p>
      <w:pPr>
        <w:pStyle w:val="4"/>
        <w:ind w:firstLine="642" w:firstLineChars="200"/>
        <w:rPr>
          <w:rFonts w:ascii="黑体" w:eastAsia="黑体" w:cs="Times New Roman"/>
          <w:bCs w:val="0"/>
          <w:color w:val="000000"/>
        </w:rPr>
      </w:pPr>
      <w:bookmarkStart w:id="71" w:name="_Toc5968"/>
      <w:bookmarkStart w:id="72" w:name="_Toc111208506"/>
      <w:bookmarkStart w:id="73" w:name="_Toc9979"/>
      <w:r>
        <w:rPr>
          <w:rFonts w:hint="eastAsia" w:ascii="黑体" w:eastAsia="黑体" w:cs="Times New Roman"/>
          <w:bCs w:val="0"/>
          <w:color w:val="000000"/>
        </w:rPr>
        <w:t>八、政府性基金预算支出决算情况说明</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2023年政府性基金预算拨款支出0万元。</w:t>
      </w:r>
      <w:bookmarkStart w:id="74" w:name="_Toc15377219"/>
      <w:r>
        <w:rPr>
          <w:rFonts w:hint="eastAsia" w:ascii="仿宋_GB2312" w:eastAsia="仿宋_GB2312" w:cs="仿宋_GB2312"/>
          <w:color w:val="000000"/>
          <w:kern w:val="2"/>
          <w:sz w:val="32"/>
          <w:szCs w:val="32"/>
          <w:lang w:val="en-US" w:eastAsia="zh-CN" w:bidi="ar-SA"/>
        </w:rPr>
        <w:t>较2022年相比无变化。</w:t>
      </w:r>
    </w:p>
    <w:p>
      <w:pPr>
        <w:pStyle w:val="4"/>
        <w:ind w:firstLine="642" w:firstLineChars="200"/>
        <w:rPr>
          <w:rFonts w:ascii="黑体" w:eastAsia="黑体" w:cs="Times New Roman"/>
          <w:bCs w:val="0"/>
          <w:color w:val="000000"/>
        </w:rPr>
      </w:pPr>
      <w:bookmarkStart w:id="75" w:name="_Toc19072"/>
      <w:bookmarkStart w:id="76" w:name="_Toc8431"/>
      <w:bookmarkStart w:id="77" w:name="_Toc111208507"/>
      <w:r>
        <w:rPr>
          <w:rFonts w:hint="eastAsia" w:ascii="黑体" w:eastAsia="黑体" w:cs="Times New Roman"/>
          <w:bCs w:val="0"/>
          <w:color w:val="000000"/>
        </w:rPr>
        <w:t>九、国有资本经营预算支出决算情况说明</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2023年国有资本经营预算拨款支出0万元。较2022年相比无变化。</w:t>
      </w:r>
    </w:p>
    <w:p>
      <w:pPr>
        <w:pStyle w:val="4"/>
        <w:ind w:firstLine="642" w:firstLineChars="200"/>
        <w:rPr>
          <w:rFonts w:hint="eastAsia" w:ascii="黑体" w:eastAsia="黑体" w:cs="Times New Roman"/>
          <w:bCs w:val="0"/>
          <w:color w:val="000000"/>
        </w:rPr>
      </w:pPr>
      <w:bookmarkStart w:id="78" w:name="_Toc9196"/>
      <w:bookmarkStart w:id="79" w:name="_Toc15377221"/>
      <w:bookmarkStart w:id="80" w:name="_Toc111208508"/>
      <w:bookmarkStart w:id="81" w:name="_Toc24656"/>
      <w:r>
        <w:rPr>
          <w:rFonts w:hint="eastAsia" w:ascii="黑体" w:eastAsia="黑体" w:cs="Times New Roman"/>
          <w:bCs w:val="0"/>
          <w:color w:val="000000"/>
        </w:rPr>
        <w:t>十、其他重要事项的情况说明</w:t>
      </w:r>
      <w:bookmarkEnd w:id="78"/>
      <w:bookmarkEnd w:id="79"/>
      <w:bookmarkEnd w:id="80"/>
      <w:bookmarkEnd w:id="81"/>
      <w:bookmarkStart w:id="82" w:name="_Toc15377222"/>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（一）机关运行经费支出情况</w:t>
      </w:r>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2023年，机关运行经费支出133.27万元，比2022年减少6.05万元，减少4.34%。主要原因是压缩经费开支，经费减少。 </w:t>
      </w:r>
      <w:bookmarkStart w:id="83" w:name="_Toc15377223"/>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政府采购支出总额76.40万元，其中：政府采购货物支出76.40万元、政府采购工程支出0.00万元、政府采购服务支出0.00万元。授予中小企业合同金额0.00万元，其中：授予小微企业合同金额0.00万元。较2022年相比无变化。</w:t>
      </w:r>
    </w:p>
    <w:p>
      <w:pPr>
        <w:spacing w:line="600" w:lineRule="exact"/>
        <w:ind w:firstLine="642" w:firstLineChars="200"/>
        <w:outlineLvl w:val="2"/>
        <w:rPr>
          <w:rFonts w:hint="eastAsia" w:ascii="楷体_GB2312" w:eastAsia="楷体_GB2312" w:cs="楷体_GB2312"/>
          <w:b/>
          <w:color w:val="000000"/>
          <w:sz w:val="32"/>
          <w:szCs w:val="32"/>
        </w:rPr>
      </w:pPr>
      <w:bookmarkStart w:id="84" w:name="_Toc15377224"/>
      <w:r>
        <w:rPr>
          <w:rFonts w:hint="eastAsia" w:ascii="楷体_GB2312" w:eastAsia="楷体_GB2312" w:cs="楷体_GB2312"/>
          <w:b/>
          <w:color w:val="000000"/>
          <w:sz w:val="32"/>
          <w:szCs w:val="32"/>
        </w:rPr>
        <w:t>（三）国有资产占有使用情况</w:t>
      </w:r>
      <w:bookmarkEnd w:id="8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截至2023年12月31日，共有车辆8辆，其中：主要领导干部用车0辆、机要通信用车1辆、应急保障用车7辆、其他用车0辆。单价50万元以上通用设备0台（套），单价100万元以上专用设备0台（套）。较2022年相比无变化。</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spacing w:line="58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2023年度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eastAsia="zh-CN"/>
        </w:rPr>
        <w:t>视频会议采购项目、办公经费等</w:t>
      </w:r>
      <w:r>
        <w:rPr>
          <w:rFonts w:hint="eastAsia" w:ascii="仿宋_GB2312" w:eastAsia="仿宋_GB2312" w:cs="仿宋_GB2312"/>
          <w:color w:val="auto"/>
          <w:sz w:val="32"/>
          <w:szCs w:val="32"/>
          <w:highlight w:val="none"/>
          <w:lang w:val="en-US" w:eastAsia="zh-CN"/>
        </w:rPr>
        <w:t>3个</w:t>
      </w:r>
      <w:r>
        <w:rPr>
          <w:rFonts w:hint="eastAsia" w:ascii="仿宋_GB2312" w:eastAsia="仿宋_GB2312" w:cs="仿宋_GB2312"/>
          <w:color w:val="auto"/>
          <w:sz w:val="32"/>
          <w:szCs w:val="32"/>
          <w:highlight w:val="none"/>
        </w:rPr>
        <w:t>项目开展了预算事前绩效评估，对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pPr>
        <w:spacing w:line="580" w:lineRule="exact"/>
        <w:ind w:firstLine="640" w:firstLineChars="200"/>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2023年度一般公共预算、</w:t>
      </w:r>
      <w:r>
        <w:rPr>
          <w:rFonts w:hint="eastAsia" w:asci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s="仿宋_GB2312"/>
          <w:color w:val="auto"/>
          <w:sz w:val="32"/>
          <w:szCs w:val="32"/>
          <w:highlight w:val="none"/>
          <w:lang w:val="en-US" w:eastAsia="zh-CN"/>
        </w:rPr>
        <w:t>全面开展绩效自评，形成中共茂县县委办公室</w:t>
      </w:r>
      <w:r>
        <w:rPr>
          <w:rFonts w:hint="eastAsia" w:ascii="仿宋_GB2312" w:eastAsia="仿宋_GB2312" w:cs="仿宋_GB2312"/>
          <w:color w:val="auto"/>
          <w:sz w:val="32"/>
          <w:szCs w:val="32"/>
          <w:highlight w:val="none"/>
          <w:lang w:eastAsia="zh-CN"/>
        </w:rPr>
        <w:t>部门整体（含部门预算项目）</w:t>
      </w:r>
      <w:r>
        <w:rPr>
          <w:rFonts w:hint="eastAsia" w:ascii="仿宋_GB2312" w:eastAsia="仿宋_GB2312" w:cs="仿宋_GB2312"/>
          <w:color w:val="auto"/>
          <w:sz w:val="32"/>
          <w:szCs w:val="32"/>
          <w:highlight w:val="none"/>
          <w:lang w:val="en-US" w:eastAsia="zh-CN"/>
        </w:rPr>
        <w:t>绩效自评报告</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项目</w:t>
      </w:r>
      <w:r>
        <w:rPr>
          <w:rFonts w:hint="eastAsia" w:ascii="仿宋_GB2312" w:eastAsia="仿宋_GB2312" w:cs="仿宋_GB2312"/>
          <w:color w:val="auto"/>
          <w:sz w:val="32"/>
          <w:szCs w:val="32"/>
          <w:highlight w:val="none"/>
          <w:lang w:eastAsia="zh-CN"/>
        </w:rPr>
        <w:t>专项预算项目</w:t>
      </w:r>
      <w:r>
        <w:rPr>
          <w:rFonts w:hint="eastAsia" w:ascii="仿宋_GB2312" w:eastAsia="仿宋_GB2312" w:cs="仿宋_GB2312"/>
          <w:color w:val="auto"/>
          <w:sz w:val="32"/>
          <w:szCs w:val="32"/>
          <w:highlight w:val="none"/>
          <w:lang w:val="en-US" w:eastAsia="zh-CN"/>
        </w:rPr>
        <w:t>绩效自评报告，其中，中共茂县县委办公室</w:t>
      </w:r>
      <w:r>
        <w:rPr>
          <w:rFonts w:hint="eastAsia" w:ascii="仿宋_GB2312" w:eastAsia="仿宋_GB2312" w:cs="仿宋_GB2312"/>
          <w:color w:val="auto"/>
          <w:sz w:val="32"/>
          <w:szCs w:val="32"/>
          <w:highlight w:val="none"/>
          <w:lang w:eastAsia="zh-CN"/>
        </w:rPr>
        <w:t>部门整体</w:t>
      </w:r>
      <w:r>
        <w:rPr>
          <w:rFonts w:hint="eastAsia" w:ascii="仿宋_GB2312" w:eastAsia="仿宋_GB2312" w:cs="仿宋_GB2312"/>
          <w:color w:val="auto"/>
          <w:sz w:val="32"/>
          <w:szCs w:val="32"/>
          <w:highlight w:val="none"/>
          <w:lang w:val="en-US" w:eastAsia="zh-CN"/>
        </w:rPr>
        <w:t>部门整体</w:t>
      </w:r>
      <w:r>
        <w:rPr>
          <w:rFonts w:hint="eastAsia" w:ascii="仿宋_GB2312" w:eastAsia="仿宋_GB2312" w:cs="仿宋_GB2312"/>
          <w:color w:val="auto"/>
          <w:sz w:val="32"/>
          <w:szCs w:val="32"/>
          <w:highlight w:val="none"/>
          <w:lang w:eastAsia="zh-CN"/>
        </w:rPr>
        <w:t>（含部门预算项目）</w:t>
      </w:r>
      <w:r>
        <w:rPr>
          <w:rFonts w:hint="eastAsia" w:ascii="仿宋_GB2312" w:eastAsia="仿宋_GB2312" w:cs="仿宋_GB2312"/>
          <w:color w:val="auto"/>
          <w:sz w:val="32"/>
          <w:szCs w:val="32"/>
          <w:highlight w:val="none"/>
          <w:lang w:val="en-US" w:eastAsia="zh-CN"/>
        </w:rPr>
        <w:t>绩效自评得分为96分；</w:t>
      </w:r>
      <w:r>
        <w:rPr>
          <w:rFonts w:hint="eastAsia" w:ascii="仿宋_GB2312" w:eastAsia="仿宋_GB2312" w:cs="仿宋_GB2312"/>
          <w:color w:val="auto"/>
          <w:sz w:val="32"/>
          <w:szCs w:val="32"/>
          <w:highlight w:val="none"/>
          <w:lang w:eastAsia="zh-CN"/>
        </w:rPr>
        <w:t>专项预</w:t>
      </w:r>
      <w:r>
        <w:rPr>
          <w:rFonts w:hint="eastAsia" w:ascii="仿宋_GB2312" w:eastAsia="仿宋_GB2312" w:cs="仿宋_GB2312"/>
          <w:color w:val="auto"/>
          <w:sz w:val="32"/>
          <w:szCs w:val="32"/>
          <w:highlight w:val="none"/>
          <w:lang w:val="en-US" w:eastAsia="zh-CN"/>
        </w:rPr>
        <w:t>算项目绩效自评得分为95分，绩效自绩效自评报告详见附件。</w:t>
      </w:r>
    </w:p>
    <w:p>
      <w:pPr>
        <w:pStyle w:val="15"/>
        <w:rPr>
          <w:rFonts w:hint="eastAsia"/>
        </w:rPr>
      </w:pPr>
    </w:p>
    <w:p>
      <w:pPr>
        <w:pStyle w:val="3"/>
        <w:jc w:val="center"/>
        <w:rPr>
          <w:rFonts w:hint="eastAsia" w:ascii="黑体" w:eastAsia="黑体" w:cs="黑体"/>
        </w:rPr>
      </w:pPr>
      <w:bookmarkStart w:id="85" w:name="_Toc2930"/>
    </w:p>
    <w:p>
      <w:pPr>
        <w:pStyle w:val="3"/>
        <w:jc w:val="center"/>
        <w:rPr>
          <w:rFonts w:ascii="黑体" w:eastAsia="黑体" w:cs="黑体"/>
        </w:rPr>
      </w:pPr>
      <w:bookmarkStart w:id="86" w:name="_Toc29784"/>
      <w:r>
        <w:rPr>
          <w:rFonts w:hint="eastAsia" w:ascii="黑体" w:eastAsia="黑体" w:cs="黑体"/>
        </w:rPr>
        <w:t>第三部分 名词解释</w:t>
      </w:r>
      <w:bookmarkEnd w:id="85"/>
      <w:bookmarkEnd w:id="86"/>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1.财政拨款收入：指单位从同级财政部门取得的财政预算资金。</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2.事业收入：指事业单位开展专业业务活动及辅助活动取得的收入。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4.其他收入：指单位取得的除上述收入以外的各项收入。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7.结余分配：指事业单位按照事业单位会计制度的规定从非财政补助结余中分配的事业基金和职工福利基金等。</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9.一般公共服务支出（201）党委办公厅（室）及相关机构事务（20131）行政运行（2013101）：反映行政单位（包括实行公务员管理的事业单位）的基本支出。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10.一般公共服务支出（201）党委办公厅（室）及相关机构事务（20131）一般行政管理事务（2013102）：反映行政单位（包括实行公务员管理的事业单位）未单独设置项级科目的其他项目支出。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11.一般公共服务支出（201）党委办公厅（室）及相关机构事务（20131）事业运行（2013150）：反映事业单位的基本支出，不包括行政单位（包括实行公务员管理的事业单位）后勤服务中心、医务室等附属事业单位。</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12.一般公共服务支出（201）党委办公厅（室）及相关机构事务（20131）其他党委办公厅（室）及相关机构事务支出（2013199）：反映除上述项目以外其他用于党委办公厅（室）及相关机构事务支出。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13.一般公共服务支出（201）其他一般公共服务支出（20199）其他一般公共服务支出（2019999）：反映除上述项以外的其他一般公共服务支出。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14.社会保障和就业支出（208）行政事业单位养老支出（20805）机关事业单位基本养老保险缴费支出（2080505）：反映机关事业单位实施养老保险制度由单位缴纳的基本养老保险费支出。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15.社会保障和就业支出（208）行政事业单位养老支出（20805）机关事业单位职业年金缴费支出（2080506）：反映机关事业单位实施养老保险制度由单位实际缴纳的职业年金支出。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16.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17.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18.农林水支出（213）扶贫（21305）其他扶贫支出（2130599）：反映除上述项目以外其他用于扶贫方面的支出。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19.住房保障支出（221）住房改革支出（22102）住房公积金（2210201）：反映行政事业单位按人力资源和社会保障部、财政部规定的基本工资和津贴补贴以及规定比例为职工缴纳的住房公积金。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20.住房保障支出（221）住房改革支出（22102）购房补贴（2210203）：反映按房改政策规定，行政事业单位向符合条件职工（含离退休人员）、军队（含武警）向转役复员离退休人员发放的用于购买住房的补贴。</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21.基本支出：指为保障机构正常运转、完成日常工作任务而发生的人员支出和公用支出。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25.项目支出：指在基本支出之外为完成特定行政任务和事业发展目标所发生的支出。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22.经营支出：指事业单位在专业业务活动及其辅助活动之外开展非独立核算经营活动发生的支出。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eastAsia="仿宋_GB2312" w:cs="仿宋_GB2312"/>
          <w:sz w:val="32"/>
          <w:szCs w:val="32"/>
        </w:rPr>
      </w:pPr>
      <w:r>
        <w:rPr>
          <w:rFonts w:hint="eastAsia" w:ascii="仿宋_GB2312" w:eastAsia="仿宋_GB2312" w:cs="仿宋_GB2312"/>
          <w:color w:val="000000"/>
          <w:sz w:val="32"/>
          <w:szCs w:val="32"/>
        </w:rPr>
        <w:t>25.财政应返还额度：为行政事业单位会计核算科目，用于核算实行国库集中支付的行政事业单位应收财政返还的资金额度。</w:t>
      </w:r>
    </w:p>
    <w:p>
      <w:pPr>
        <w:keepNext w:val="0"/>
        <w:keepLines w:val="0"/>
        <w:pageBreakBefore w:val="0"/>
        <w:widowControl/>
        <w:kinsoku/>
        <w:wordWrap/>
        <w:overflowPunct/>
        <w:topLinePunct w:val="0"/>
        <w:autoSpaceDE/>
        <w:autoSpaceDN/>
        <w:bidi w:val="0"/>
        <w:adjustRightInd/>
        <w:snapToGrid/>
        <w:spacing w:line="560" w:lineRule="exact"/>
        <w:ind w:firstLine="883" w:firstLineChars="200"/>
        <w:jc w:val="left"/>
        <w:textAlignment w:val="auto"/>
        <w:rPr>
          <w:rStyle w:val="24"/>
          <w:rFonts w:hint="eastAsia" w:ascii="仿宋_GB2312" w:eastAsia="仿宋_GB2312" w:cs="仿宋_GB2312"/>
        </w:rPr>
      </w:pPr>
      <w:r>
        <w:rPr>
          <w:rStyle w:val="24"/>
          <w:rFonts w:hint="eastAsia" w:ascii="仿宋_GB2312" w:eastAsia="仿宋_GB2312" w:cs="仿宋_GB2312"/>
        </w:rPr>
        <w:br w:type="page"/>
      </w:r>
    </w:p>
    <w:p>
      <w:pPr>
        <w:pStyle w:val="3"/>
        <w:jc w:val="center"/>
        <w:rPr>
          <w:rFonts w:ascii="黑体" w:eastAsia="黑体" w:cs="黑体"/>
        </w:rPr>
      </w:pPr>
      <w:bookmarkStart w:id="87" w:name="_Toc3097"/>
      <w:bookmarkStart w:id="88" w:name="_Toc15177"/>
      <w:bookmarkStart w:id="89" w:name="_Toc111208510"/>
      <w:r>
        <w:rPr>
          <w:rFonts w:hint="eastAsia" w:ascii="黑体" w:eastAsia="黑体" w:cs="黑体"/>
        </w:rPr>
        <w:t>第四部分 附件</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76" w:lineRule="exact"/>
        <w:ind w:firstLine="2208" w:firstLineChars="500"/>
        <w:jc w:val="both"/>
        <w:textAlignment w:val="auto"/>
        <w:rPr>
          <w:rFonts w:hint="eastAsia" w:ascii="方正小标宋简体" w:eastAsia="方正小标宋简体" w:cs="方正小标宋简体"/>
          <w:b/>
          <w:sz w:val="44"/>
          <w:szCs w:val="44"/>
          <w:lang w:val="en-US" w:eastAsia="zh-CN"/>
        </w:rPr>
      </w:pPr>
      <w:bookmarkStart w:id="90" w:name="_Toc29502"/>
      <w:r>
        <w:rPr>
          <w:rFonts w:hint="eastAsia" w:ascii="方正小标宋简体" w:eastAsia="方正小标宋简体" w:cs="方正小标宋简体"/>
          <w:b/>
          <w:sz w:val="44"/>
          <w:szCs w:val="44"/>
          <w:lang w:val="en-US" w:eastAsia="zh-CN"/>
        </w:rPr>
        <w:t>中共茂县县委办公室</w:t>
      </w:r>
    </w:p>
    <w:p>
      <w:pPr>
        <w:keepNext w:val="0"/>
        <w:keepLines w:val="0"/>
        <w:pageBreakBefore w:val="0"/>
        <w:widowControl/>
        <w:kinsoku/>
        <w:wordWrap/>
        <w:overflowPunct/>
        <w:topLinePunct w:val="0"/>
        <w:bidi w:val="0"/>
        <w:spacing w:line="576" w:lineRule="exact"/>
        <w:contextualSpacing/>
        <w:jc w:val="center"/>
        <w:textAlignment w:val="auto"/>
        <w:rPr>
          <w:rFonts w:eastAsia="黑体"/>
          <w:color w:val="000000"/>
          <w:kern w:val="0"/>
          <w:sz w:val="24"/>
          <w:szCs w:val="32"/>
          <w:shd w:val="clear" w:color="auto" w:fill="FFFFFF"/>
        </w:rPr>
      </w:pPr>
      <w:r>
        <w:rPr>
          <w:rFonts w:hint="eastAsia" w:ascii="方正小标宋简体" w:eastAsia="方正小标宋简体" w:cs="方正小标宋简体"/>
          <w:bCs/>
          <w:sz w:val="44"/>
          <w:szCs w:val="44"/>
          <w:shd w:val="clear" w:color="auto" w:fill="FFFFFF"/>
          <w:lang w:val="en-US" w:eastAsia="zh-CN"/>
        </w:rPr>
        <w:t>2023年</w:t>
      </w:r>
      <w:r>
        <w:rPr>
          <w:rFonts w:hint="eastAsia" w:ascii="方正小标宋简体" w:eastAsia="方正小标宋简体" w:cs="方正小标宋简体"/>
          <w:bCs/>
          <w:sz w:val="44"/>
          <w:szCs w:val="44"/>
          <w:shd w:val="clear" w:color="auto" w:fill="FFFFFF"/>
        </w:rPr>
        <w:t>部门预算</w:t>
      </w:r>
      <w:r>
        <w:rPr>
          <w:rFonts w:hint="eastAsia" w:ascii="方正小标宋简体" w:eastAsia="方正小标宋简体" w:cs="方正小标宋简体"/>
          <w:bCs/>
          <w:sz w:val="44"/>
          <w:szCs w:val="44"/>
          <w:shd w:val="clear" w:color="auto" w:fill="FFFFFF"/>
          <w:lang w:eastAsia="zh-CN"/>
        </w:rPr>
        <w:t>整体</w:t>
      </w:r>
      <w:r>
        <w:rPr>
          <w:rFonts w:hint="eastAsia" w:ascii="方正小标宋简体" w:eastAsia="方正小标宋简体" w:cs="方正小标宋简体"/>
          <w:bCs/>
          <w:sz w:val="44"/>
          <w:szCs w:val="44"/>
          <w:shd w:val="clear" w:color="auto" w:fill="FFFFFF"/>
        </w:rPr>
        <w:t>绩效评价报告</w:t>
      </w:r>
    </w:p>
    <w:p>
      <w:pPr>
        <w:keepNext w:val="0"/>
        <w:keepLines w:val="0"/>
        <w:pageBreakBefore w:val="0"/>
        <w:widowControl/>
        <w:kinsoku/>
        <w:wordWrap/>
        <w:overflowPunct/>
        <w:topLinePunct w:val="0"/>
        <w:bidi w:val="0"/>
        <w:adjustRightInd w:val="0"/>
        <w:snapToGrid w:val="0"/>
        <w:spacing w:line="576" w:lineRule="exact"/>
        <w:ind w:firstLine="480" w:firstLineChars="200"/>
        <w:contextualSpacing/>
        <w:jc w:val="left"/>
        <w:textAlignment w:val="auto"/>
        <w:rPr>
          <w:rFonts w:eastAsia="黑体"/>
          <w:color w:val="000000"/>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sz w:val="32"/>
          <w:szCs w:val="32"/>
        </w:rPr>
      </w:pPr>
      <w:r>
        <w:rPr>
          <w:rFonts w:hint="eastAsia" w:ascii="黑体" w:eastAsia="黑体" w:cs="黑体"/>
          <w:color w:val="000000"/>
          <w:kern w:val="0"/>
          <w:sz w:val="32"/>
          <w:szCs w:val="32"/>
          <w:shd w:val="clear" w:color="auto" w:fill="FFFFFF"/>
          <w:lang w:val="zh-CN"/>
        </w:rPr>
        <w:t>一、部门（单位）基本情况</w:t>
      </w:r>
    </w:p>
    <w:p>
      <w:pPr>
        <w:keepNext w:val="0"/>
        <w:keepLines w:val="0"/>
        <w:pageBreakBefore w:val="0"/>
        <w:widowControl w:val="0"/>
        <w:kinsoku/>
        <w:wordWrap/>
        <w:overflowPunct/>
        <w:topLinePunct w:val="0"/>
        <w:bidi w:val="0"/>
        <w:spacing w:line="576" w:lineRule="exact"/>
        <w:ind w:firstLine="642" w:firstLineChars="200"/>
        <w:textAlignment w:val="auto"/>
        <w:rPr>
          <w:rFonts w:eastAsia="仿宋_GB2312"/>
          <w:b/>
          <w:bCs/>
          <w:color w:val="000000"/>
          <w:kern w:val="0"/>
          <w:sz w:val="32"/>
          <w:szCs w:val="32"/>
          <w:shd w:val="clear" w:color="auto" w:fill="FFFFFF"/>
          <w:lang w:val="zh-CN"/>
        </w:rPr>
      </w:pPr>
      <w:r>
        <w:rPr>
          <w:rFonts w:hint="eastAsia" w:eastAsia="仿宋_GB2312"/>
          <w:b/>
          <w:bCs/>
          <w:color w:val="000000"/>
          <w:kern w:val="0"/>
          <w:sz w:val="32"/>
          <w:szCs w:val="32"/>
          <w:shd w:val="clear" w:color="auto" w:fill="FFFFFF"/>
          <w:lang w:val="zh-CN"/>
        </w:rPr>
        <w:t>（一）</w:t>
      </w:r>
      <w:r>
        <w:rPr>
          <w:rFonts w:eastAsia="仿宋_GB2312"/>
          <w:b/>
          <w:bCs/>
          <w:color w:val="000000"/>
          <w:kern w:val="0"/>
          <w:sz w:val="32"/>
          <w:szCs w:val="32"/>
          <w:shd w:val="clear" w:color="auto" w:fill="FFFFFF"/>
          <w:lang w:val="zh-CN"/>
        </w:rPr>
        <w:t>机构组成。</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eastAsia="仿宋_GB2312"/>
          <w:sz w:val="32"/>
          <w:szCs w:val="32"/>
          <w:lang w:val="en-US" w:eastAsia="zh-CN"/>
        </w:rPr>
      </w:pPr>
      <w:r>
        <w:rPr>
          <w:rFonts w:hint="eastAsia" w:ascii="仿宋_GB2312" w:eastAsia="仿宋_GB2312"/>
          <w:sz w:val="32"/>
          <w:szCs w:val="32"/>
          <w:lang w:eastAsia="zh-CN"/>
        </w:rPr>
        <w:t>中共茂县县委办公室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下设股室有综合股、秘书一股、秘书二股、督查室、总值班室、档案监督管理科、人事行财股、保密机要股。</w:t>
      </w:r>
    </w:p>
    <w:p>
      <w:pPr>
        <w:keepNext w:val="0"/>
        <w:keepLines w:val="0"/>
        <w:pageBreakBefore w:val="0"/>
        <w:widowControl w:val="0"/>
        <w:numPr>
          <w:ilvl w:val="0"/>
          <w:numId w:val="2"/>
        </w:numPr>
        <w:kinsoku/>
        <w:wordWrap/>
        <w:overflowPunct/>
        <w:topLinePunct w:val="0"/>
        <w:bidi w:val="0"/>
        <w:spacing w:line="576" w:lineRule="exact"/>
        <w:ind w:left="0" w:firstLine="642" w:firstLineChars="200"/>
        <w:textAlignment w:val="auto"/>
        <w:rPr>
          <w:rFonts w:hint="eastAsia"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机构职能</w:t>
      </w:r>
      <w:r>
        <w:rPr>
          <w:rFonts w:hint="eastAsia" w:eastAsia="仿宋_GB2312"/>
          <w:b/>
          <w:bCs/>
          <w:color w:val="000000"/>
          <w:kern w:val="0"/>
          <w:sz w:val="32"/>
          <w:szCs w:val="32"/>
          <w:shd w:val="clear" w:color="auto" w:fill="FFFFFF"/>
          <w:lang w:val="zh-CN"/>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2.围绕中央、省委和州委重要决策以及县委总体工作部署，开展调研，并负责信息的收集、综合和报送工作。</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4.负责县委重要工作部署贯彻落实的督促检查，负责县委指示、县委领导批示的转达和催办落实。</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5.负责县保密委员会及其办公室的日常工作。</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6.负责管理县委密码局工作。</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eastAsia="仿宋_GB2312"/>
          <w:b/>
          <w:bCs/>
          <w:color w:val="000000"/>
          <w:kern w:val="0"/>
          <w:sz w:val="32"/>
          <w:szCs w:val="32"/>
          <w:shd w:val="clear" w:color="auto" w:fill="FFFFFF"/>
          <w:lang w:val="zh-CN"/>
        </w:rPr>
      </w:pPr>
      <w:r>
        <w:rPr>
          <w:rFonts w:hint="eastAsia" w:ascii="仿宋_GB2312" w:eastAsia="仿宋_GB2312" w:cs="仿宋_GB2312"/>
          <w:sz w:val="32"/>
          <w:szCs w:val="32"/>
        </w:rPr>
        <w:t>7.完成县委和县委领导交办的其他工作任务。</w:t>
      </w:r>
    </w:p>
    <w:p>
      <w:pPr>
        <w:keepNext w:val="0"/>
        <w:keepLines w:val="0"/>
        <w:pageBreakBefore w:val="0"/>
        <w:widowControl w:val="0"/>
        <w:kinsoku/>
        <w:wordWrap/>
        <w:overflowPunct/>
        <w:topLinePunct w:val="0"/>
        <w:bidi w:val="0"/>
        <w:spacing w:line="576" w:lineRule="exact"/>
        <w:ind w:firstLine="642" w:firstLineChars="200"/>
        <w:textAlignment w:val="auto"/>
        <w:rPr>
          <w:rFonts w:hint="eastAsia"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）人员概况</w:t>
      </w:r>
      <w:r>
        <w:rPr>
          <w:rFonts w:hint="eastAsia" w:eastAsia="仿宋_GB2312"/>
          <w:b/>
          <w:bCs/>
          <w:color w:val="000000"/>
          <w:kern w:val="0"/>
          <w:sz w:val="32"/>
          <w:szCs w:val="32"/>
          <w:shd w:val="clear" w:color="auto" w:fill="FFFFFF"/>
          <w:lang w:val="zh-CN"/>
        </w:rPr>
        <w:t>。</w:t>
      </w:r>
    </w:p>
    <w:p>
      <w:pPr>
        <w:keepNext w:val="0"/>
        <w:keepLines w:val="0"/>
        <w:pageBreakBefore w:val="0"/>
        <w:widowControl/>
        <w:kinsoku/>
        <w:wordWrap/>
        <w:overflowPunct/>
        <w:topLinePunct w:val="0"/>
        <w:bidi w:val="0"/>
        <w:spacing w:line="576" w:lineRule="exact"/>
        <w:ind w:left="210" w:leftChars="100" w:firstLine="640" w:firstLineChars="200"/>
        <w:jc w:val="left"/>
        <w:textAlignment w:val="auto"/>
        <w:rPr>
          <w:rFonts w:eastAsia="仿宋_GB2312"/>
          <w:sz w:val="32"/>
        </w:rPr>
      </w:pPr>
      <w:r>
        <w:rPr>
          <w:rFonts w:hint="eastAsia" w:ascii="仿宋_GB2312" w:eastAsia="仿宋_GB2312"/>
          <w:color w:val="auto"/>
          <w:sz w:val="32"/>
          <w:szCs w:val="32"/>
          <w:highlight w:val="none"/>
        </w:rPr>
        <w:t>总编制</w:t>
      </w:r>
      <w:r>
        <w:rPr>
          <w:rFonts w:hint="eastAsia" w:ascii="仿宋_GB2312" w:eastAsia="仿宋_GB2312"/>
          <w:color w:val="auto"/>
          <w:sz w:val="32"/>
          <w:szCs w:val="32"/>
          <w:highlight w:val="none"/>
          <w:lang w:val="en-US" w:eastAsia="zh-CN"/>
        </w:rPr>
        <w:t>54</w:t>
      </w:r>
      <w:r>
        <w:rPr>
          <w:rFonts w:hint="eastAsia" w:ascii="仿宋_GB2312" w:eastAsia="仿宋_GB2312"/>
          <w:color w:val="auto"/>
          <w:sz w:val="32"/>
          <w:szCs w:val="32"/>
          <w:highlight w:val="none"/>
        </w:rPr>
        <w:t xml:space="preserve">名,其中:行政编制 </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 xml:space="preserve">名,参照公务员法管理的事业编制 </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名，行政工勤编制 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 xml:space="preserve"> 名，事业编制</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名。在职人员总数</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名，其中：行政人员</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 xml:space="preserve">名，参照公务员法管理的事业人员 </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 xml:space="preserve">名，行政工勤人员 11 名；事业人员 </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名。退休人员 1</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人。</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二、部门资金收支情况</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eastAsia" w:ascii="仿宋_GB2312" w:eastAsia="仿宋_GB2312" w:cs="仿宋_GB2312"/>
          <w:sz w:val="32"/>
          <w:szCs w:val="32"/>
        </w:rPr>
      </w:pPr>
      <w:r>
        <w:rPr>
          <w:rFonts w:eastAsia="仿宋_GB2312"/>
          <w:b/>
          <w:bCs/>
          <w:color w:val="000000"/>
          <w:kern w:val="0"/>
          <w:sz w:val="32"/>
          <w:szCs w:val="32"/>
          <w:shd w:val="clear" w:color="auto" w:fill="FFFFFF"/>
          <w:lang w:val="zh-CN"/>
        </w:rPr>
        <w:t>（一）</w:t>
      </w:r>
      <w:r>
        <w:rPr>
          <w:rFonts w:hint="eastAsia" w:eastAsia="仿宋_GB2312"/>
          <w:b/>
          <w:bCs/>
          <w:color w:val="000000"/>
          <w:kern w:val="0"/>
          <w:sz w:val="32"/>
          <w:szCs w:val="32"/>
          <w:shd w:val="clear" w:color="auto" w:fill="FFFFFF"/>
          <w:lang w:val="zh-CN"/>
        </w:rPr>
        <w:t>收入情况</w:t>
      </w:r>
      <w:r>
        <w:rPr>
          <w:rFonts w:eastAsia="仿宋_GB2312"/>
          <w:b/>
          <w:bCs/>
          <w:color w:val="000000"/>
          <w:kern w:val="0"/>
          <w:sz w:val="32"/>
          <w:szCs w:val="32"/>
          <w:shd w:val="clear" w:color="auto" w:fill="FFFFFF"/>
          <w:lang w:val="zh-CN"/>
        </w:rPr>
        <w:t>。</w:t>
      </w: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年本部门财政拨款收入决算总额为</w:t>
      </w:r>
      <w:r>
        <w:rPr>
          <w:rFonts w:hint="eastAsia" w:ascii="仿宋_GB2312" w:eastAsia="仿宋_GB2312" w:cs="宋体"/>
          <w:color w:val="000000"/>
          <w:kern w:val="0"/>
          <w:sz w:val="32"/>
          <w:szCs w:val="32"/>
          <w:shd w:val="clear" w:color="auto" w:fill="FFFFFF"/>
          <w:lang w:val="en-US" w:eastAsia="zh-CN"/>
        </w:rPr>
        <w:t>1267.80万</w:t>
      </w:r>
      <w:r>
        <w:rPr>
          <w:rFonts w:hint="eastAsia" w:ascii="仿宋_GB2312" w:eastAsia="仿宋_GB2312" w:cs="宋体"/>
          <w:color w:val="000000"/>
          <w:kern w:val="0"/>
          <w:sz w:val="32"/>
          <w:szCs w:val="32"/>
          <w:shd w:val="clear" w:color="auto" w:fill="FFFFFF"/>
          <w:lang w:val="zh-CN"/>
        </w:rPr>
        <w:t>元，</w:t>
      </w:r>
      <w:r>
        <w:rPr>
          <w:rFonts w:hint="eastAsia" w:ascii="仿宋_GB2312" w:eastAsia="仿宋_GB2312" w:cs="仿宋_GB2312"/>
          <w:sz w:val="32"/>
          <w:szCs w:val="32"/>
        </w:rPr>
        <w:t>当年财政拨款收入</w:t>
      </w:r>
      <w:r>
        <w:rPr>
          <w:rFonts w:hint="eastAsia" w:ascii="仿宋_GB2312" w:eastAsia="仿宋_GB2312" w:cs="宋体"/>
          <w:color w:val="000000"/>
          <w:kern w:val="0"/>
          <w:sz w:val="32"/>
          <w:szCs w:val="32"/>
          <w:shd w:val="clear" w:color="auto" w:fill="FFFFFF"/>
          <w:lang w:val="en-US" w:eastAsia="zh-CN"/>
        </w:rPr>
        <w:t>1267.80万</w:t>
      </w:r>
      <w:r>
        <w:rPr>
          <w:rFonts w:hint="eastAsia" w:ascii="仿宋_GB2312" w:eastAsia="仿宋_GB2312" w:cs="宋体"/>
          <w:color w:val="000000"/>
          <w:kern w:val="0"/>
          <w:sz w:val="32"/>
          <w:szCs w:val="32"/>
          <w:shd w:val="clear" w:color="auto" w:fill="FFFFFF"/>
          <w:lang w:val="zh-CN"/>
        </w:rPr>
        <w:t>元，</w:t>
      </w:r>
      <w:r>
        <w:rPr>
          <w:rFonts w:hint="eastAsia" w:ascii="仿宋_GB2312" w:eastAsia="仿宋_GB2312" w:cs="仿宋_GB2312"/>
          <w:sz w:val="32"/>
          <w:szCs w:val="32"/>
        </w:rPr>
        <w:t>均为一般公共预算财政拨款。</w:t>
      </w:r>
    </w:p>
    <w:p>
      <w:pPr>
        <w:keepNext w:val="0"/>
        <w:keepLines w:val="0"/>
        <w:pageBreakBefore w:val="0"/>
        <w:widowControl w:val="0"/>
        <w:kinsoku/>
        <w:wordWrap/>
        <w:overflowPunct/>
        <w:topLinePunct w:val="0"/>
        <w:bidi w:val="0"/>
        <w:spacing w:line="576" w:lineRule="exact"/>
        <w:ind w:firstLine="642" w:firstLineChars="200"/>
        <w:textAlignment w:val="auto"/>
        <w:rPr>
          <w:rFonts w:hint="eastAsia" w:ascii="仿宋_GB2312" w:eastAsia="仿宋_GB2312" w:cs="仿宋_GB2312"/>
          <w:kern w:val="2"/>
          <w:sz w:val="32"/>
          <w:szCs w:val="32"/>
          <w:lang w:val="en-US" w:eastAsia="zh-CN" w:bidi="ar-SA"/>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二</w:t>
      </w: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支出情况</w:t>
      </w:r>
      <w:r>
        <w:rPr>
          <w:rFonts w:eastAsia="仿宋_GB2312"/>
          <w:b/>
          <w:bCs/>
          <w:color w:val="000000"/>
          <w:kern w:val="0"/>
          <w:sz w:val="32"/>
          <w:szCs w:val="32"/>
          <w:shd w:val="clear" w:color="auto" w:fill="FFFFFF"/>
          <w:lang w:val="zh-CN"/>
        </w:rPr>
        <w:t>。</w:t>
      </w:r>
      <w:r>
        <w:rPr>
          <w:rFonts w:hint="eastAsia" w:ascii="仿宋_GB2312" w:eastAsia="仿宋_GB2312" w:cs="仿宋_GB2312"/>
          <w:kern w:val="2"/>
          <w:sz w:val="32"/>
          <w:szCs w:val="32"/>
          <w:lang w:val="en-US" w:eastAsia="zh-CN" w:bidi="ar-SA"/>
        </w:rPr>
        <w:t>2023年总支出</w:t>
      </w:r>
      <w:r>
        <w:rPr>
          <w:rFonts w:hint="eastAsia" w:ascii="仿宋_GB2312" w:eastAsia="仿宋_GB2312" w:cs="仿宋_GB2312"/>
          <w:sz w:val="32"/>
          <w:szCs w:val="32"/>
          <w:lang w:val="en-US" w:eastAsia="zh-CN"/>
        </w:rPr>
        <w:t>1267.80</w:t>
      </w:r>
      <w:r>
        <w:rPr>
          <w:rFonts w:hint="eastAsia" w:ascii="仿宋_GB2312" w:eastAsia="仿宋_GB2312" w:cs="仿宋_GB2312"/>
          <w:kern w:val="2"/>
          <w:sz w:val="32"/>
          <w:szCs w:val="32"/>
          <w:lang w:val="en-US" w:eastAsia="zh-CN" w:bidi="ar-SA"/>
        </w:rPr>
        <w:t>万元，其中201-一般公共服务支出为1003.19万元,208-社会保障和就业支出为135.59万元,210-卫生健康支出为59.32万元,221-住房保障支出为69.68万元。</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eastAsia="仿宋_GB2312"/>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w:t>
      </w:r>
      <w:r>
        <w:rPr>
          <w:rFonts w:eastAsia="仿宋_GB2312"/>
          <w:b/>
          <w:sz w:val="32"/>
          <w:szCs w:val="32"/>
        </w:rPr>
        <w:t>结余分配和结转结余情况</w:t>
      </w:r>
      <w:r>
        <w:rPr>
          <w:rFonts w:hint="eastAsia" w:eastAsia="仿宋_GB2312"/>
          <w:b/>
          <w:sz w:val="32"/>
          <w:szCs w:val="32"/>
        </w:rPr>
        <w:t>。</w:t>
      </w:r>
      <w:r>
        <w:rPr>
          <w:rFonts w:hint="eastAsia" w:ascii="仿宋_GB2312" w:eastAsia="仿宋_GB2312" w:cs="仿宋_GB2312"/>
          <w:kern w:val="2"/>
          <w:sz w:val="32"/>
          <w:szCs w:val="32"/>
          <w:lang w:val="en-US" w:eastAsia="zh-CN" w:bidi="ar-SA"/>
        </w:rPr>
        <w:t>2023年年末结转和结余0.00万元，其中基本支出结转0.00万元，项目支出结转和结余0.00万元。项目支出结转和结余中：201-一般公共服务支出为0.00万元,208-社会保障和就业支出为0.00万元,210-卫生健康支出为0.00万元,213-农林水支出为0.00万元,221-住房保障支出为0.00万元。</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三、部门预算绩效分析</w:t>
      </w:r>
    </w:p>
    <w:p>
      <w:pPr>
        <w:keepNext w:val="0"/>
        <w:keepLines w:val="0"/>
        <w:pageBreakBefore w:val="0"/>
        <w:widowControl w:val="0"/>
        <w:kinsoku/>
        <w:wordWrap/>
        <w:overflowPunct/>
        <w:topLinePunct w:val="0"/>
        <w:bidi w:val="0"/>
        <w:adjustRightInd w:val="0"/>
        <w:snapToGrid w:val="0"/>
        <w:spacing w:line="576" w:lineRule="exact"/>
        <w:ind w:firstLine="642" w:firstLineChars="200"/>
        <w:contextualSpacing/>
        <w:jc w:val="left"/>
        <w:textAlignment w:val="auto"/>
        <w:rPr>
          <w:rFonts w:eastAsia="仿宋_GB2312"/>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（一）</w:t>
      </w:r>
      <w:r>
        <w:rPr>
          <w:rFonts w:hint="eastAsia" w:eastAsia="仿宋_GB2312"/>
          <w:b/>
          <w:bCs/>
          <w:color w:val="000000"/>
          <w:kern w:val="0"/>
          <w:sz w:val="32"/>
          <w:szCs w:val="32"/>
          <w:shd w:val="clear" w:color="auto" w:fill="FFFFFF"/>
          <w:lang w:val="zh-CN"/>
        </w:rPr>
        <w:t>部门预算</w:t>
      </w:r>
      <w:r>
        <w:rPr>
          <w:rFonts w:eastAsia="仿宋_GB2312"/>
          <w:b/>
          <w:bCs/>
          <w:color w:val="000000"/>
          <w:kern w:val="0"/>
          <w:sz w:val="32"/>
          <w:szCs w:val="32"/>
          <w:shd w:val="clear" w:color="auto" w:fill="FFFFFF"/>
          <w:lang w:val="zh-CN"/>
        </w:rPr>
        <w:t>总体绩效分析。</w:t>
      </w:r>
      <w:r>
        <w:rPr>
          <w:rFonts w:eastAsia="仿宋_GB2312"/>
          <w:color w:val="000000"/>
          <w:kern w:val="0"/>
          <w:sz w:val="32"/>
          <w:szCs w:val="32"/>
          <w:shd w:val="clear" w:color="auto" w:fill="FFFFFF"/>
          <w:lang w:val="zh-CN"/>
        </w:rPr>
        <w:t>根据部门预算绩效评价指标体系“总体绩效”涉及</w:t>
      </w:r>
      <w:r>
        <w:rPr>
          <w:rFonts w:hint="eastAsia" w:eastAsia="仿宋_GB2312"/>
          <w:color w:val="000000"/>
          <w:kern w:val="0"/>
          <w:sz w:val="32"/>
          <w:szCs w:val="32"/>
          <w:shd w:val="clear" w:color="auto" w:fill="FFFFFF"/>
          <w:lang w:val="zh-CN"/>
        </w:rPr>
        <w:t>二、三级</w:t>
      </w:r>
      <w:r>
        <w:rPr>
          <w:rFonts w:eastAsia="仿宋_GB2312"/>
          <w:color w:val="000000"/>
          <w:kern w:val="0"/>
          <w:sz w:val="32"/>
          <w:szCs w:val="32"/>
          <w:shd w:val="clear" w:color="auto" w:fill="FFFFFF"/>
          <w:lang w:val="zh-CN"/>
        </w:rPr>
        <w:t>指标进行</w:t>
      </w:r>
      <w:r>
        <w:rPr>
          <w:rFonts w:hint="eastAsia" w:eastAsia="仿宋_GB2312"/>
          <w:color w:val="000000"/>
          <w:kern w:val="0"/>
          <w:sz w:val="32"/>
          <w:szCs w:val="32"/>
          <w:shd w:val="clear" w:color="auto" w:fill="FFFFFF"/>
          <w:lang w:val="zh-CN"/>
        </w:rPr>
        <w:t>逐项</w:t>
      </w:r>
      <w:r>
        <w:rPr>
          <w:rFonts w:eastAsia="仿宋_GB2312"/>
          <w:color w:val="000000"/>
          <w:kern w:val="0"/>
          <w:sz w:val="32"/>
          <w:szCs w:val="32"/>
          <w:shd w:val="clear" w:color="auto" w:fill="FFFFFF"/>
          <w:lang w:val="zh-CN"/>
        </w:rPr>
        <w:t>绩效分析</w:t>
      </w:r>
      <w:r>
        <w:rPr>
          <w:rFonts w:hint="eastAsia" w:eastAsia="仿宋_GB2312"/>
          <w:color w:val="000000"/>
          <w:kern w:val="0"/>
          <w:sz w:val="32"/>
          <w:szCs w:val="32"/>
          <w:shd w:val="clear" w:color="auto" w:fill="FFFFFF"/>
          <w:lang w:val="zh-CN"/>
        </w:rPr>
        <w:t>并评分</w:t>
      </w:r>
      <w:r>
        <w:rPr>
          <w:rFonts w:eastAsia="仿宋_GB2312"/>
          <w:color w:val="000000"/>
          <w:kern w:val="0"/>
          <w:sz w:val="32"/>
          <w:szCs w:val="32"/>
          <w:shd w:val="clear" w:color="auto" w:fill="FFFFFF"/>
          <w:lang w:val="zh-CN"/>
        </w:rPr>
        <w:t>，依次包括履职效能、预算管理、财务管理、资产管理、采购管理等情况。</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rPr>
        <w:t>1</w:t>
      </w: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lang w:val="zh-CN"/>
        </w:rPr>
        <w:t>履职效能。</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w:t>
      </w:r>
      <w:r>
        <w:rPr>
          <w:rFonts w:hint="default" w:ascii="仿宋_GB2312" w:eastAsia="仿宋_GB2312" w:cs="仿宋_GB2312"/>
          <w:sz w:val="32"/>
          <w:szCs w:val="32"/>
          <w:lang w:val="en-US"/>
        </w:rPr>
        <w:t>法治宣传教育</w:t>
      </w:r>
      <w:r>
        <w:rPr>
          <w:rFonts w:hint="eastAsia" w:ascii="仿宋_GB2312" w:eastAsia="仿宋_GB2312" w:cs="仿宋_GB2312"/>
          <w:sz w:val="32"/>
          <w:szCs w:val="32"/>
        </w:rPr>
        <w:t>和保密业务培训。</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重点工作与目标考评中心</w:t>
      </w:r>
      <w:r>
        <w:rPr>
          <w:rFonts w:hint="eastAsia" w:ascii="仿宋_GB2312" w:eastAsia="仿宋_GB2312" w:cs="仿宋_GB2312"/>
          <w:sz w:val="32"/>
          <w:szCs w:val="32"/>
        </w:rPr>
        <w:t>，开展重点工作、重点项目督查，并形成督查专报，做好年度目标考核工作。</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eastAsia="仿宋_GB2312"/>
          <w:sz w:val="32"/>
          <w:lang w:val="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lang w:val="en-US" w:eastAsia="zh-CN"/>
        </w:rPr>
        <w:t>2</w:t>
      </w:r>
      <w:r>
        <w:rPr>
          <w:rFonts w:hint="eastAsia" w:ascii="楷体_GB2312" w:hAnsi="楷体_GB2312" w:eastAsia="仿宋_GB2312" w:cs="楷体_GB2312"/>
          <w:color w:val="000000"/>
          <w:kern w:val="0"/>
          <w:sz w:val="32"/>
          <w:szCs w:val="32"/>
          <w:shd w:val="clear" w:color="auto" w:fill="FFFFFF"/>
          <w:lang w:eastAsia="zh-CN"/>
        </w:rPr>
        <w:t>）</w:t>
      </w:r>
      <w:r>
        <w:rPr>
          <w:rFonts w:ascii="楷体_GB2312" w:hAnsi="楷体_GB2312" w:eastAsia="仿宋_GB2312" w:cs="楷体_GB2312"/>
          <w:color w:val="000000"/>
          <w:kern w:val="0"/>
          <w:sz w:val="32"/>
          <w:szCs w:val="32"/>
          <w:shd w:val="clear" w:color="auto" w:fill="FFFFFF"/>
          <w:lang w:val="zh-CN"/>
        </w:rPr>
        <w:t>预算管理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宋体"/>
          <w:color w:val="000000"/>
          <w:kern w:val="0"/>
          <w:sz w:val="32"/>
          <w:szCs w:val="32"/>
          <w:shd w:val="clear" w:color="auto" w:fill="FFFFFF"/>
          <w:lang w:val="zh-CN"/>
        </w:rPr>
        <w:t>我单位在预决算编制上做到认真、负责、按时按规定报送。严格按要求编制本单位的部门预算，编制预算时做到有文件有依据，</w:t>
      </w:r>
      <w:r>
        <w:rPr>
          <w:rFonts w:hint="eastAsia" w:eastAsia="仿宋_GB2312"/>
          <w:color w:val="000000"/>
          <w:kern w:val="0"/>
          <w:sz w:val="32"/>
          <w:szCs w:val="32"/>
          <w:shd w:val="clear" w:color="auto" w:fill="FFFFFF"/>
          <w:lang w:val="zh-CN"/>
        </w:rPr>
        <w:t>严格控制一般性支出</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仿宋_GB2312"/>
          <w:sz w:val="32"/>
          <w:szCs w:val="32"/>
          <w:lang w:val="en-US" w:eastAsia="zh-CN"/>
        </w:rPr>
        <w:t>2023年</w:t>
      </w:r>
      <w:r>
        <w:rPr>
          <w:rFonts w:hint="eastAsia" w:ascii="仿宋_GB2312" w:eastAsia="仿宋_GB2312" w:cs="仿宋_GB2312"/>
          <w:sz w:val="32"/>
          <w:szCs w:val="32"/>
        </w:rPr>
        <w:t>本年预算收</w:t>
      </w:r>
      <w:r>
        <w:rPr>
          <w:rFonts w:hint="eastAsia" w:ascii="仿宋_GB2312" w:eastAsia="仿宋_GB2312" w:cs="仿宋_GB2312"/>
          <w:sz w:val="32"/>
          <w:szCs w:val="32"/>
          <w:lang w:val="en-US" w:eastAsia="zh-CN"/>
        </w:rPr>
        <w:t>923.28万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上</w:t>
      </w:r>
      <w:r>
        <w:rPr>
          <w:rFonts w:hint="eastAsia" w:ascii="仿宋_GB2312" w:eastAsia="仿宋_GB2312" w:cs="仿宋_GB2312"/>
          <w:sz w:val="32"/>
          <w:szCs w:val="32"/>
        </w:rPr>
        <w:t>年预算收入</w:t>
      </w:r>
      <w:r>
        <w:rPr>
          <w:rFonts w:hint="eastAsia" w:ascii="仿宋_GB2312" w:eastAsia="仿宋_GB2312" w:cs="仿宋_GB2312"/>
          <w:sz w:val="32"/>
          <w:szCs w:val="32"/>
          <w:lang w:val="en-US" w:eastAsia="zh-CN"/>
        </w:rPr>
        <w:t>695.58万</w:t>
      </w:r>
      <w:r>
        <w:rPr>
          <w:rFonts w:hint="eastAsia" w:ascii="仿宋_GB2312" w:eastAsia="仿宋_GB2312" w:cs="仿宋_GB2312"/>
          <w:sz w:val="32"/>
          <w:szCs w:val="32"/>
        </w:rPr>
        <w:t>元，比去年</w:t>
      </w:r>
      <w:r>
        <w:rPr>
          <w:rFonts w:hint="eastAsia" w:ascii="仿宋_GB2312" w:eastAsia="仿宋_GB2312" w:cs="仿宋_GB2312"/>
          <w:sz w:val="32"/>
          <w:szCs w:val="32"/>
          <w:lang w:val="en-US" w:eastAsia="zh-CN"/>
        </w:rPr>
        <w:t>增加227.70万</w:t>
      </w:r>
      <w:r>
        <w:rPr>
          <w:rFonts w:hint="eastAsia" w:ascii="仿宋_GB2312" w:eastAsia="仿宋_GB2312" w:cs="仿宋_GB2312"/>
          <w:sz w:val="32"/>
          <w:szCs w:val="32"/>
        </w:rPr>
        <w:t>元；本年支出预算数为</w:t>
      </w:r>
      <w:r>
        <w:rPr>
          <w:rFonts w:hint="eastAsia" w:ascii="仿宋_GB2312" w:eastAsia="仿宋_GB2312" w:cs="仿宋_GB2312"/>
          <w:sz w:val="32"/>
          <w:szCs w:val="32"/>
          <w:lang w:val="en-US" w:eastAsia="zh-CN"/>
        </w:rPr>
        <w:t>923.28万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上</w:t>
      </w:r>
      <w:r>
        <w:rPr>
          <w:rFonts w:hint="eastAsia" w:ascii="仿宋_GB2312" w:eastAsia="仿宋_GB2312" w:cs="仿宋_GB2312"/>
          <w:sz w:val="32"/>
          <w:szCs w:val="32"/>
        </w:rPr>
        <w:t>年支出预算数为</w:t>
      </w:r>
      <w:r>
        <w:rPr>
          <w:rFonts w:hint="eastAsia" w:ascii="仿宋_GB2312" w:eastAsia="仿宋_GB2312" w:cs="仿宋_GB2312"/>
          <w:sz w:val="32"/>
          <w:szCs w:val="32"/>
          <w:lang w:val="en-US" w:eastAsia="zh-CN"/>
        </w:rPr>
        <w:t>695.58万</w:t>
      </w:r>
      <w:r>
        <w:rPr>
          <w:rFonts w:hint="eastAsia" w:ascii="仿宋_GB2312" w:eastAsia="仿宋_GB2312" w:cs="仿宋_GB2312"/>
          <w:sz w:val="32"/>
          <w:szCs w:val="32"/>
        </w:rPr>
        <w:t>元，比去年</w:t>
      </w:r>
      <w:r>
        <w:rPr>
          <w:rFonts w:hint="eastAsia" w:ascii="仿宋_GB2312" w:eastAsia="仿宋_GB2312" w:cs="仿宋_GB2312"/>
          <w:sz w:val="32"/>
          <w:szCs w:val="32"/>
          <w:lang w:val="en-US" w:eastAsia="zh-CN"/>
        </w:rPr>
        <w:t>增加227.7</w:t>
      </w:r>
      <w:r>
        <w:rPr>
          <w:rFonts w:ascii="仿宋_GB2312" w:eastAsia="仿宋_GB2312" w:cs="仿宋_GB2312"/>
          <w:sz w:val="32"/>
          <w:szCs w:val="32"/>
          <w:lang w:val="en-US" w:eastAsia="zh-CN"/>
        </w:rPr>
        <w:t>0</w:t>
      </w:r>
      <w:r>
        <w:rPr>
          <w:rFonts w:hint="eastAsia" w:ascii="仿宋_GB2312" w:eastAsia="仿宋_GB2312" w:cs="仿宋_GB2312"/>
          <w:sz w:val="32"/>
          <w:szCs w:val="32"/>
          <w:lang w:val="en-US" w:eastAsia="zh-CN"/>
        </w:rPr>
        <w:t>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rPr>
        <w:t>原因：</w:t>
      </w:r>
      <w:r>
        <w:rPr>
          <w:rFonts w:hint="eastAsia" w:ascii="仿宋_GB2312" w:eastAsia="仿宋_GB2312" w:cs="仿宋_GB2312"/>
          <w:sz w:val="32"/>
          <w:szCs w:val="32"/>
          <w:lang w:val="en-US" w:eastAsia="zh-CN"/>
        </w:rPr>
        <w:t>人员增加及经费增多。</w:t>
      </w:r>
      <w:r>
        <w:rPr>
          <w:rFonts w:hint="eastAsia" w:ascii="仿宋_GB2312" w:eastAsia="仿宋_GB2312" w:cs="仿宋_GB2312"/>
          <w:sz w:val="32"/>
          <w:szCs w:val="32"/>
        </w:rPr>
        <w:t>本年收入调整预算数为</w:t>
      </w:r>
      <w:r>
        <w:rPr>
          <w:rFonts w:hint="eastAsia" w:ascii="仿宋_GB2312" w:eastAsia="仿宋_GB2312" w:cs="仿宋_GB2312"/>
          <w:sz w:val="32"/>
          <w:szCs w:val="32"/>
          <w:lang w:val="en-US" w:eastAsia="zh-CN"/>
        </w:rPr>
        <w:t>1267.80万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上年调整</w:t>
      </w:r>
      <w:r>
        <w:rPr>
          <w:rFonts w:hint="eastAsia" w:ascii="仿宋_GB2312" w:eastAsia="仿宋_GB2312" w:cs="仿宋_GB2312"/>
          <w:sz w:val="32"/>
          <w:szCs w:val="32"/>
          <w:lang w:eastAsia="zh-CN"/>
        </w:rPr>
        <w:t>收入决算数为</w:t>
      </w:r>
      <w:r>
        <w:rPr>
          <w:rFonts w:hint="eastAsia" w:ascii="仿宋_GB2312" w:eastAsia="仿宋_GB2312" w:cs="仿宋_GB2312"/>
          <w:sz w:val="32"/>
          <w:szCs w:val="32"/>
          <w:lang w:val="en-US" w:eastAsia="zh-CN"/>
        </w:rPr>
        <w:t>1286.65万元，差额-18.85万元.本年度调整支出预算数1267.80万元，上年调整支出数1286.65万元，差额-18.85万元。</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zh-CN"/>
        </w:rPr>
        <w:t>（</w:t>
      </w:r>
      <w:r>
        <w:rPr>
          <w:rFonts w:hint="eastAsia" w:ascii="楷体_GB2312" w:hAnsi="楷体_GB2312" w:eastAsia="仿宋_GB2312" w:cs="楷体_GB2312"/>
          <w:color w:val="000000"/>
          <w:kern w:val="0"/>
          <w:sz w:val="32"/>
          <w:szCs w:val="32"/>
          <w:shd w:val="clear" w:color="auto" w:fill="FFFFFF"/>
          <w:lang w:val="en-US" w:eastAsia="zh-CN"/>
        </w:rPr>
        <w:t>3</w:t>
      </w:r>
      <w:r>
        <w:rPr>
          <w:rFonts w:hint="eastAsia" w:ascii="楷体_GB2312" w:hAnsi="楷体_GB2312" w:eastAsia="仿宋_GB2312" w:cs="楷体_GB2312"/>
          <w:color w:val="000000"/>
          <w:kern w:val="0"/>
          <w:sz w:val="32"/>
          <w:szCs w:val="32"/>
          <w:shd w:val="clear" w:color="auto" w:fill="FFFFFF"/>
          <w:lang w:val="zh-CN"/>
        </w:rPr>
        <w:t>）</w:t>
      </w:r>
      <w:r>
        <w:rPr>
          <w:rFonts w:ascii="楷体_GB2312" w:hAnsi="楷体_GB2312" w:eastAsia="仿宋_GB2312" w:cs="楷体_GB2312"/>
          <w:color w:val="000000"/>
          <w:kern w:val="0"/>
          <w:sz w:val="32"/>
          <w:szCs w:val="32"/>
          <w:shd w:val="clear" w:color="auto" w:fill="FFFFFF"/>
          <w:lang w:val="zh-CN"/>
        </w:rPr>
        <w:t>财务管理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hint="eastAsia" w:eastAsia="仿宋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lang w:val="zh-CN"/>
        </w:rPr>
        <w:t>单位建立了相关的财务管理制度，设立了出纳和会计岗</w:t>
      </w:r>
      <w:r>
        <w:rPr>
          <w:rFonts w:ascii="楷体_GB2312" w:hAnsi="楷体_GB2312" w:eastAsia="仿宋_GB2312" w:cs="楷体_GB2312"/>
          <w:color w:val="000000"/>
          <w:kern w:val="0"/>
          <w:sz w:val="32"/>
          <w:szCs w:val="32"/>
          <w:shd w:val="clear" w:color="auto" w:fill="FFFFFF"/>
          <w:lang w:val="zh-CN"/>
        </w:rPr>
        <w:t>，</w:t>
      </w:r>
      <w:r>
        <w:rPr>
          <w:rFonts w:hint="eastAsia" w:ascii="楷体_GB2312" w:hAnsi="楷体_GB2312" w:eastAsia="仿宋_GB2312" w:cs="楷体_GB2312"/>
          <w:color w:val="000000"/>
          <w:kern w:val="0"/>
          <w:sz w:val="32"/>
          <w:szCs w:val="32"/>
          <w:shd w:val="clear" w:color="auto" w:fill="FFFFFF"/>
          <w:lang w:val="zh-CN"/>
        </w:rPr>
        <w:t>配备了相应的财务人员。</w:t>
      </w:r>
      <w:r>
        <w:rPr>
          <w:rFonts w:hint="eastAsia" w:ascii="仿宋_GB2312" w:eastAsia="仿宋_GB2312"/>
          <w:color w:val="000000"/>
          <w:sz w:val="32"/>
          <w:szCs w:val="32"/>
        </w:rPr>
        <w:t>在财务管理方面，经费支出实行</w:t>
      </w:r>
      <w:r>
        <w:rPr>
          <w:rFonts w:hint="eastAsia" w:ascii="仿宋_GB2312" w:eastAsia="仿宋_GB2312"/>
          <w:color w:val="000000"/>
          <w:sz w:val="32"/>
          <w:szCs w:val="32"/>
          <w:lang w:eastAsia="zh-CN"/>
        </w:rPr>
        <w:t>严格</w:t>
      </w:r>
      <w:r>
        <w:rPr>
          <w:rFonts w:hint="eastAsia" w:ascii="仿宋_GB2312" w:eastAsia="仿宋_GB2312"/>
          <w:color w:val="000000"/>
          <w:sz w:val="32"/>
          <w:szCs w:val="32"/>
        </w:rPr>
        <w:t>审批制度，严格预算原则。严格控制基本经费支出，加强对日常经费开支的管理。</w:t>
      </w:r>
      <w:r>
        <w:rPr>
          <w:rFonts w:hint="eastAsia" w:ascii="仿宋_GB2312" w:eastAsia="仿宋_GB2312"/>
          <w:color w:val="000000"/>
          <w:sz w:val="32"/>
          <w:szCs w:val="32"/>
          <w:lang w:eastAsia="zh-CN"/>
        </w:rPr>
        <w:t>严禁超预算支出。</w:t>
      </w:r>
      <w:r>
        <w:rPr>
          <w:rFonts w:hint="eastAsia" w:ascii="仿宋_GB2312" w:eastAsia="仿宋_GB2312"/>
          <w:color w:val="000000"/>
          <w:sz w:val="32"/>
          <w:szCs w:val="32"/>
        </w:rPr>
        <w:t>加大对公务卡的使用管理，要求工作人员严格按照公务卡结算目录的要求使用公务卡。</w:t>
      </w:r>
      <w:r>
        <w:rPr>
          <w:rFonts w:hint="eastAsia" w:ascii="仿宋_GB2312" w:eastAsia="仿宋_GB2312"/>
          <w:color w:val="000000"/>
          <w:sz w:val="32"/>
          <w:szCs w:val="32"/>
          <w:lang w:eastAsia="zh-CN"/>
        </w:rPr>
        <w:t>资金使用符合相关的财务管理规定。</w:t>
      </w:r>
      <w:r>
        <w:rPr>
          <w:rFonts w:hint="eastAsia" w:eastAsia="仿宋_GB2312"/>
          <w:color w:val="000000"/>
          <w:kern w:val="0"/>
          <w:sz w:val="32"/>
          <w:szCs w:val="32"/>
          <w:shd w:val="clear" w:color="auto" w:fill="FFFFFF"/>
          <w:lang w:val="en-US" w:eastAsia="zh-CN"/>
        </w:rPr>
        <w:t xml:space="preserve"> </w:t>
      </w:r>
    </w:p>
    <w:p>
      <w:pPr>
        <w:keepNext w:val="0"/>
        <w:keepLines w:val="0"/>
        <w:pageBreakBefore w:val="0"/>
        <w:widowControl w:val="0"/>
        <w:kinsoku/>
        <w:wordWrap/>
        <w:overflowPunct/>
        <w:topLinePunct w:val="0"/>
        <w:bidi w:val="0"/>
        <w:adjustRightInd w:val="0"/>
        <w:snapToGrid w:val="0"/>
        <w:spacing w:line="576" w:lineRule="exact"/>
        <w:ind w:left="420" w:leftChars="200"/>
        <w:contextualSpacing/>
        <w:jc w:val="left"/>
        <w:textAlignment w:val="auto"/>
        <w:rPr>
          <w:rFonts w:hint="eastAsia" w:eastAsia="仿宋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lang w:val="en-US" w:eastAsia="zh-CN"/>
        </w:rPr>
        <w:t>（4）</w:t>
      </w:r>
      <w:r>
        <w:rPr>
          <w:rFonts w:ascii="楷体_GB2312" w:hAnsi="楷体_GB2312" w:eastAsia="仿宋_GB2312" w:cs="楷体_GB2312"/>
          <w:color w:val="000000"/>
          <w:kern w:val="0"/>
          <w:sz w:val="32"/>
          <w:szCs w:val="32"/>
          <w:shd w:val="clear" w:color="auto" w:fill="FFFFFF"/>
          <w:lang w:val="zh-CN"/>
        </w:rPr>
        <w:t>资产管理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eastAsia="仿宋_GB2312"/>
          <w:color w:val="000000"/>
          <w:kern w:val="0"/>
          <w:sz w:val="32"/>
          <w:szCs w:val="32"/>
          <w:shd w:val="clear" w:color="auto" w:fill="FFFFFF"/>
          <w:lang w:val="en-US" w:eastAsia="zh-CN"/>
        </w:rPr>
      </w:pPr>
      <w:r>
        <w:rPr>
          <w:rFonts w:hint="eastAsia" w:ascii="仿宋_GB2312" w:eastAsia="仿宋_GB2312"/>
          <w:color w:val="00000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sz w:val="32"/>
          <w:szCs w:val="32"/>
          <w:lang w:eastAsia="zh-CN"/>
        </w:rPr>
        <w:t>维修，使资产</w:t>
      </w:r>
      <w:r>
        <w:rPr>
          <w:rFonts w:hint="eastAsia" w:eastAsia="仿宋_GB2312"/>
          <w:color w:val="000000"/>
          <w:kern w:val="0"/>
          <w:sz w:val="32"/>
          <w:szCs w:val="32"/>
          <w:shd w:val="clear" w:color="auto" w:fill="FFFFFF"/>
          <w:lang w:val="en-US" w:eastAsia="zh-CN"/>
        </w:rPr>
        <w:t>能保障单位工作的正常运转。在办公设备配置上，严格执行电脑，打印机等最低使用年限且年限满后只要维修后能正常使用的我单位都将继续使用，没有超出配置。资产利用率达</w:t>
      </w:r>
      <w:r>
        <w:rPr>
          <w:rFonts w:hint="eastAsia" w:eastAsia="仿宋_GB2312"/>
          <w:b w:val="0"/>
          <w:bCs w:val="0"/>
          <w:color w:val="000000"/>
          <w:kern w:val="0"/>
          <w:sz w:val="32"/>
          <w:szCs w:val="32"/>
          <w:shd w:val="clear" w:color="auto" w:fill="FFFFFF"/>
          <w:lang w:val="en-US" w:eastAsia="zh-CN"/>
        </w:rPr>
        <w:t>100%，</w:t>
      </w:r>
      <w:r>
        <w:rPr>
          <w:rFonts w:hint="eastAsia" w:eastAsia="仿宋_GB2312"/>
          <w:color w:val="000000"/>
          <w:kern w:val="0"/>
          <w:sz w:val="32"/>
          <w:szCs w:val="32"/>
          <w:shd w:val="clear" w:color="auto" w:fill="FFFFFF"/>
          <w:lang w:val="en-US" w:eastAsia="zh-CN"/>
        </w:rPr>
        <w:t>无闲置资产。</w:t>
      </w:r>
    </w:p>
    <w:p>
      <w:pPr>
        <w:keepNext w:val="0"/>
        <w:keepLines w:val="0"/>
        <w:pageBreakBefore w:val="0"/>
        <w:widowControl w:val="0"/>
        <w:kinsoku/>
        <w:wordWrap/>
        <w:overflowPunct/>
        <w:topLinePunct w:val="0"/>
        <w:bidi w:val="0"/>
        <w:adjustRightInd w:val="0"/>
        <w:snapToGrid w:val="0"/>
        <w:spacing w:line="576" w:lineRule="exact"/>
        <w:ind w:left="420" w:left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en-US" w:eastAsia="zh-CN"/>
        </w:rPr>
        <w:t>（5）</w:t>
      </w:r>
      <w:r>
        <w:rPr>
          <w:rFonts w:ascii="楷体_GB2312" w:hAnsi="楷体_GB2312" w:eastAsia="仿宋_GB2312" w:cs="楷体_GB2312"/>
          <w:color w:val="000000"/>
          <w:kern w:val="0"/>
          <w:sz w:val="32"/>
          <w:szCs w:val="32"/>
          <w:shd w:val="clear" w:color="auto" w:fill="FFFFFF"/>
          <w:lang w:val="zh-CN"/>
        </w:rPr>
        <w:t>采购管理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zh-CN"/>
        </w:rPr>
        <w:t>我单位的采购主要是采用询价的方式进行，采购严格按照相关的文件进行。围绕支持中小企业发展，我单位按要求发布询价公告进行实地询价，最后确定询价结果和中标公司并公示以及合同的签订，项目在单位的监管下按合同正常推进完成，采购执行率高。</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eastAsia="仿宋_GB2312"/>
          <w:color w:val="000000"/>
          <w:kern w:val="0"/>
          <w:sz w:val="32"/>
          <w:szCs w:val="32"/>
          <w:shd w:val="clear" w:color="auto" w:fill="FFFFFF"/>
        </w:rPr>
      </w:pPr>
      <w:r>
        <w:rPr>
          <w:rFonts w:eastAsia="仿宋_GB2312"/>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常年项目绩效分析。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lang w:val="en-US" w:eastAsia="zh-CN"/>
        </w:rPr>
        <w:t>0.00</w:t>
      </w:r>
      <w:r>
        <w:rPr>
          <w:rFonts w:eastAsia="仿宋_GB2312"/>
          <w:color w:val="000000"/>
          <w:kern w:val="0"/>
          <w:sz w:val="32"/>
          <w:szCs w:val="32"/>
          <w:shd w:val="clear" w:color="auto" w:fill="FFFFFF"/>
          <w:lang w:val="zh-CN"/>
        </w:rPr>
        <w:t>万元，1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阶段</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一次性</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lang w:val="en-US" w:eastAsia="zh-CN"/>
        </w:rPr>
        <w:t>5</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lang w:val="en-US" w:eastAsia="zh-CN"/>
        </w:rPr>
        <w:t>294.71</w:t>
      </w:r>
      <w:r>
        <w:rPr>
          <w:rFonts w:eastAsia="仿宋_GB2312"/>
          <w:color w:val="000000"/>
          <w:kern w:val="0"/>
          <w:sz w:val="32"/>
          <w:szCs w:val="32"/>
          <w:shd w:val="clear" w:color="auto" w:fill="FFFFFF"/>
          <w:lang w:val="zh-CN"/>
        </w:rPr>
        <w:t>万元，1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lang w:val="en-US" w:eastAsia="zh-CN"/>
        </w:rPr>
        <w:t>100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w:t>
      </w:r>
    </w:p>
    <w:p>
      <w:pPr>
        <w:keepNext w:val="0"/>
        <w:keepLines w:val="0"/>
        <w:pageBreakBefore w:val="0"/>
        <w:widowControl w:val="0"/>
        <w:kinsoku/>
        <w:wordWrap/>
        <w:overflowPunct/>
        <w:topLinePunct w:val="0"/>
        <w:bidi w:val="0"/>
        <w:spacing w:line="576" w:lineRule="exact"/>
        <w:ind w:firstLine="640" w:firstLineChars="200"/>
        <w:textAlignment w:val="auto"/>
        <w:rPr>
          <w:rFonts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rPr>
        <w:t>1.</w:t>
      </w:r>
      <w:r>
        <w:rPr>
          <w:rFonts w:hint="eastAsia" w:ascii="楷体_GB2312" w:hAnsi="楷体_GB2312" w:eastAsia="仿宋_GB2312" w:cs="楷体_GB2312"/>
          <w:color w:val="000000"/>
          <w:kern w:val="0"/>
          <w:sz w:val="32"/>
          <w:szCs w:val="32"/>
          <w:shd w:val="clear" w:color="auto" w:fill="FFFFFF"/>
          <w:lang w:val="zh-CN"/>
        </w:rPr>
        <w:t>项目决策。</w:t>
      </w:r>
      <w:r>
        <w:rPr>
          <w:rFonts w:hint="eastAsia" w:eastAsia="仿宋_GB2312"/>
          <w:color w:val="000000"/>
          <w:kern w:val="0"/>
          <w:sz w:val="32"/>
          <w:szCs w:val="32"/>
          <w:shd w:val="clear" w:color="auto" w:fill="FFFFFF"/>
          <w:lang w:val="en-US" w:eastAsia="zh-CN"/>
        </w:rPr>
        <w:t>根据我办“三重一大”决策制度对需要资金进行商讨，严格决策程序。在项目入库时，进行科学目标设置。</w:t>
      </w:r>
    </w:p>
    <w:p>
      <w:pPr>
        <w:keepNext w:val="0"/>
        <w:keepLines w:val="0"/>
        <w:pageBreakBefore w:val="0"/>
        <w:widowControl w:val="0"/>
        <w:kinsoku/>
        <w:wordWrap/>
        <w:overflowPunct/>
        <w:topLinePunct w:val="0"/>
        <w:bidi w:val="0"/>
        <w:snapToGrid w:val="0"/>
        <w:spacing w:line="576" w:lineRule="exact"/>
        <w:ind w:firstLine="640" w:firstLineChars="200"/>
        <w:textAlignment w:val="auto"/>
        <w:rPr>
          <w:rFonts w:hint="eastAsia" w:ascii="仿宋_GB2312" w:eastAsia="仿宋_GB2312" w:cs="仿宋_GB2312"/>
          <w:kern w:val="2"/>
          <w:sz w:val="32"/>
          <w:szCs w:val="32"/>
          <w:lang w:val="en-US" w:eastAsia="zh-CN" w:bidi="ar-SA"/>
        </w:rPr>
      </w:pPr>
      <w:r>
        <w:rPr>
          <w:rFonts w:hint="eastAsia" w:ascii="楷体_GB2312" w:hAnsi="楷体_GB2312" w:eastAsia="仿宋_GB2312" w:cs="楷体_GB2312"/>
          <w:color w:val="000000"/>
          <w:kern w:val="0"/>
          <w:sz w:val="32"/>
          <w:szCs w:val="32"/>
          <w:shd w:val="clear" w:color="auto" w:fill="FFFFFF"/>
        </w:rPr>
        <w:t>2.项目执行</w:t>
      </w:r>
      <w:r>
        <w:rPr>
          <w:rFonts w:hint="eastAsia" w:ascii="楷体_GB2312" w:hAnsi="楷体_GB2312" w:eastAsia="仿宋_GB2312" w:cs="楷体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en-US" w:eastAsia="zh-CN"/>
        </w:rPr>
        <w:t>所需资金均为县级资金，</w:t>
      </w:r>
      <w:r>
        <w:rPr>
          <w:rFonts w:hint="eastAsia" w:ascii="仿宋_GB2312" w:eastAsia="仿宋_GB2312"/>
          <w:sz w:val="32"/>
          <w:lang w:val="en-US" w:eastAsia="zh-CN"/>
        </w:rPr>
        <w:t>纳入同级财政部门预算统筹解决。</w:t>
      </w:r>
      <w:r>
        <w:rPr>
          <w:rFonts w:hint="eastAsia" w:eastAsia="仿宋_GB2312"/>
          <w:color w:val="000000"/>
          <w:kern w:val="0"/>
          <w:sz w:val="32"/>
          <w:szCs w:val="32"/>
          <w:shd w:val="clear" w:color="auto" w:fill="FFFFFF"/>
          <w:lang w:val="en-US" w:eastAsia="zh-CN"/>
        </w:rPr>
        <w:t>按照相关财务制度严格支出，保障我办各项工作正常运转。</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rPr>
        <w:t>3.</w:t>
      </w:r>
      <w:r>
        <w:rPr>
          <w:rFonts w:hint="eastAsia" w:ascii="楷体_GB2312" w:hAnsi="楷体_GB2312" w:eastAsia="仿宋_GB2312" w:cs="楷体_GB2312"/>
          <w:color w:val="000000"/>
          <w:kern w:val="0"/>
          <w:sz w:val="32"/>
          <w:szCs w:val="32"/>
          <w:shd w:val="clear" w:color="auto" w:fill="FFFFFF"/>
          <w:lang w:val="zh-CN"/>
        </w:rPr>
        <w:t>目标实现。</w:t>
      </w:r>
      <w:r>
        <w:rPr>
          <w:rFonts w:hint="eastAsia" w:eastAsia="仿宋_GB2312"/>
          <w:color w:val="000000"/>
          <w:kern w:val="0"/>
          <w:sz w:val="32"/>
          <w:szCs w:val="32"/>
          <w:shd w:val="clear" w:color="auto" w:fill="FFFFFF"/>
          <w:lang w:val="en-US" w:eastAsia="zh-CN"/>
        </w:rPr>
        <w:t>所有项目资金于当年完成支付，完成各项指标预期值。</w:t>
      </w:r>
    </w:p>
    <w:p>
      <w:pPr>
        <w:keepNext w:val="0"/>
        <w:keepLines w:val="0"/>
        <w:pageBreakBefore w:val="0"/>
        <w:widowControl w:val="0"/>
        <w:kinsoku/>
        <w:wordWrap/>
        <w:overflowPunct/>
        <w:topLinePunct w:val="0"/>
        <w:bidi w:val="0"/>
        <w:spacing w:line="576" w:lineRule="exact"/>
        <w:ind w:firstLine="640" w:firstLineChars="200"/>
        <w:textAlignment w:val="auto"/>
        <w:rPr>
          <w:rFonts w:hint="eastAsia" w:eastAsia="仿宋_GB2312"/>
          <w:color w:val="333333"/>
          <w:sz w:val="32"/>
          <w:szCs w:val="32"/>
          <w:lang w:eastAsia="zh-CN"/>
        </w:rPr>
      </w:pPr>
      <w:r>
        <w:rPr>
          <w:rFonts w:hint="eastAsia" w:eastAsia="仿宋_GB2312"/>
          <w:sz w:val="32"/>
          <w:szCs w:val="32"/>
          <w:lang w:val="en-US" w:eastAsia="zh-CN"/>
        </w:rPr>
        <w:t>我办</w:t>
      </w:r>
      <w:r>
        <w:rPr>
          <w:rFonts w:hint="eastAsia" w:eastAsia="仿宋_GB2312"/>
          <w:sz w:val="32"/>
          <w:szCs w:val="32"/>
        </w:rPr>
        <w:t>2023年度</w:t>
      </w:r>
      <w:r>
        <w:rPr>
          <w:rFonts w:hint="eastAsia" w:eastAsia="仿宋_GB2312"/>
          <w:sz w:val="32"/>
          <w:szCs w:val="32"/>
          <w:lang w:val="en-US" w:eastAsia="zh-CN"/>
        </w:rPr>
        <w:t>不</w:t>
      </w:r>
      <w:r>
        <w:rPr>
          <w:rFonts w:eastAsia="仿宋_GB2312"/>
          <w:sz w:val="32"/>
          <w:szCs w:val="32"/>
        </w:rPr>
        <w:t>涉及国有资本经营预算、社会保险基金预算的</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hint="eastAsia" w:eastAsia="仿宋_GB2312"/>
          <w:color w:val="000000"/>
          <w:kern w:val="0"/>
          <w:sz w:val="32"/>
          <w:szCs w:val="32"/>
          <w:shd w:val="clear" w:color="auto" w:fill="FFFFFF"/>
          <w:lang w:eastAsia="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）重点领域绩效分析。</w:t>
      </w:r>
      <w:r>
        <w:rPr>
          <w:rFonts w:hint="eastAsia" w:eastAsia="仿宋_GB2312"/>
          <w:sz w:val="32"/>
          <w:szCs w:val="32"/>
          <w:lang w:val="en-US" w:eastAsia="zh-CN"/>
        </w:rPr>
        <w:t>我办</w:t>
      </w:r>
      <w:r>
        <w:rPr>
          <w:rFonts w:hint="eastAsia" w:eastAsia="仿宋_GB2312"/>
          <w:sz w:val="32"/>
          <w:szCs w:val="32"/>
        </w:rPr>
        <w:t>2023年度</w:t>
      </w:r>
      <w:r>
        <w:rPr>
          <w:rFonts w:hint="eastAsia" w:eastAsia="仿宋_GB2312"/>
          <w:sz w:val="32"/>
          <w:szCs w:val="32"/>
          <w:lang w:val="en-US" w:eastAsia="zh-CN"/>
        </w:rPr>
        <w:t>不</w:t>
      </w:r>
      <w:r>
        <w:rPr>
          <w:rFonts w:eastAsia="仿宋_GB2312"/>
          <w:sz w:val="32"/>
          <w:szCs w:val="32"/>
        </w:rPr>
        <w:t>涉及国有资本、行政事业性国有资产、债券资金、政府采购和政府购买服务等重点领域</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hint="eastAsia" w:eastAsia="仿宋_GB2312"/>
          <w:b/>
          <w:bCs/>
          <w:sz w:val="32"/>
          <w:szCs w:val="32"/>
          <w:lang w:val="zh-CN"/>
        </w:rPr>
      </w:pPr>
      <w:r>
        <w:rPr>
          <w:rFonts w:eastAsia="仿宋_GB2312"/>
          <w:b/>
          <w:bCs/>
          <w:sz w:val="32"/>
          <w:szCs w:val="32"/>
          <w:lang w:val="zh-CN"/>
        </w:rPr>
        <w:t>（四）绩效结果应用情况</w:t>
      </w:r>
      <w:r>
        <w:rPr>
          <w:rFonts w:hint="eastAsia" w:eastAsia="仿宋_GB2312"/>
          <w:b/>
          <w:bCs/>
          <w:sz w:val="32"/>
          <w:szCs w:val="32"/>
          <w:lang w:val="zh-CN"/>
        </w:rPr>
        <w:t>。</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eastAsia="仿宋_GB2312" w:cs="仿宋_GB2312"/>
          <w:b/>
          <w:sz w:val="32"/>
          <w:szCs w:val="32"/>
          <w:lang w:val="en-US" w:eastAsia="zh-CN"/>
        </w:rPr>
      </w:pPr>
      <w:r>
        <w:rPr>
          <w:rFonts w:hint="eastAsia" w:eastAsia="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r>
        <w:rPr>
          <w:rFonts w:hint="eastAsia" w:eastAsia="仿宋_GB2312"/>
          <w:color w:val="000000"/>
          <w:kern w:val="0"/>
          <w:sz w:val="32"/>
          <w:szCs w:val="32"/>
          <w:shd w:val="clear" w:color="auto" w:fill="FFFFFF"/>
          <w:lang w:val="en-US" w:eastAsia="zh-CN"/>
        </w:rPr>
        <w:t>我办2023年绩效评价得分96分。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（一）评价结论。</w:t>
      </w:r>
      <w:r>
        <w:rPr>
          <w:rFonts w:hint="eastAsia" w:ascii="仿宋_GB2312" w:eastAsia="仿宋_GB2312" w:cs="仿宋_GB2312"/>
          <w:color w:val="000000"/>
          <w:kern w:val="2"/>
          <w:sz w:val="32"/>
          <w:szCs w:val="32"/>
          <w:lang w:val="en-US" w:eastAsia="zh-CN"/>
        </w:rPr>
        <w:t>根据我办整体支出情况的自查和自评，结论为：我办整体支出情况合法、合规。严格执行法律、政策、科学分配、有效使用、严密管理，有力地促进了我办各项工作顺利完成和各项目标的实现，建立了我办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eastAsia="仿宋_GB2312" w:cs="仿宋_GB2312"/>
          <w:color w:val="000000"/>
          <w:kern w:val="2"/>
          <w:sz w:val="32"/>
          <w:szCs w:val="32"/>
          <w:lang w:val="en-US" w:eastAsia="zh-CN"/>
        </w:rPr>
      </w:pPr>
      <w:r>
        <w:rPr>
          <w:rFonts w:hint="eastAsia" w:ascii="仿宋_GB2312" w:eastAsia="仿宋_GB2312" w:cs="仿宋_GB2312"/>
          <w:color w:val="000000"/>
          <w:kern w:val="2"/>
          <w:sz w:val="32"/>
          <w:szCs w:val="32"/>
          <w:lang w:val="en-US" w:eastAsia="zh-CN"/>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eastAsia="仿宋_GB2312" w:cs="仿宋_GB2312"/>
          <w:color w:val="000000"/>
          <w:kern w:val="2"/>
          <w:sz w:val="32"/>
          <w:szCs w:val="32"/>
          <w:lang w:val="zh-CN" w:eastAsia="zh-CN"/>
        </w:rPr>
      </w:pPr>
      <w:r>
        <w:rPr>
          <w:rFonts w:eastAsia="仿宋_GB2312"/>
          <w:b/>
          <w:bCs/>
          <w:color w:val="000000"/>
          <w:kern w:val="0"/>
          <w:sz w:val="32"/>
          <w:szCs w:val="32"/>
          <w:shd w:val="clear" w:color="auto" w:fill="FFFFFF"/>
          <w:lang w:val="zh-CN"/>
        </w:rPr>
        <w:t>（三）改进建议。</w:t>
      </w:r>
      <w:r>
        <w:rPr>
          <w:rFonts w:hint="eastAsia" w:ascii="仿宋_GB2312" w:eastAsia="仿宋_GB2312" w:cs="仿宋_GB2312"/>
          <w:color w:val="000000"/>
          <w:kern w:val="2"/>
          <w:sz w:val="32"/>
          <w:szCs w:val="32"/>
          <w:lang w:val="zh-CN" w:eastAsia="zh-CN"/>
        </w:rPr>
        <w:t>根据</w:t>
      </w:r>
      <w:r>
        <w:rPr>
          <w:rFonts w:hint="eastAsia" w:ascii="仿宋_GB2312" w:eastAsia="仿宋_GB2312" w:cs="仿宋_GB2312"/>
          <w:color w:val="000000"/>
          <w:kern w:val="2"/>
          <w:sz w:val="32"/>
          <w:szCs w:val="32"/>
          <w:lang w:val="en-US" w:eastAsia="zh-CN"/>
        </w:rPr>
        <w:t>我办</w:t>
      </w:r>
      <w:r>
        <w:rPr>
          <w:rFonts w:hint="eastAsia" w:ascii="仿宋_GB2312" w:eastAsia="仿宋_GB2312" w:cs="仿宋_GB2312"/>
          <w:color w:val="000000"/>
          <w:kern w:val="2"/>
          <w:sz w:val="32"/>
          <w:szCs w:val="32"/>
          <w:lang w:val="zh-CN" w:eastAsia="zh-CN"/>
        </w:rPr>
        <w:t>年初工作计划，按照中央和省、州的各项工作部署积极履职，强化管理，较好的完成了年度工作目标。通过加强预算收支管理，不断建立健全内部管理制度，梳理内部管理流程，单位整体支出管理情况得到提升。</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eastAsia="仿宋_GB2312" w:cs="仿宋_GB2312"/>
          <w:kern w:val="0"/>
          <w:sz w:val="32"/>
          <w:szCs w:val="32"/>
          <w:lang w:val="zh-CN"/>
        </w:rPr>
      </w:pPr>
    </w:p>
    <w:p>
      <w:pPr>
        <w:keepNext w:val="0"/>
        <w:keepLines w:val="0"/>
        <w:pageBreakBefore w:val="0"/>
        <w:widowControl w:val="0"/>
        <w:kinsoku/>
        <w:wordWrap/>
        <w:overflowPunct/>
        <w:topLinePunct w:val="0"/>
        <w:bidi w:val="0"/>
        <w:spacing w:line="576" w:lineRule="exact"/>
        <w:contextualSpacing/>
        <w:textAlignment w:val="auto"/>
        <w:rPr>
          <w:rFonts w:eastAsia="仿宋_GB2312"/>
          <w:sz w:val="32"/>
          <w:szCs w:val="32"/>
        </w:rPr>
      </w:pPr>
    </w:p>
    <w:p>
      <w:pPr>
        <w:keepNext w:val="0"/>
        <w:keepLines w:val="0"/>
        <w:pageBreakBefore w:val="0"/>
        <w:widowControl w:val="0"/>
        <w:kinsoku/>
        <w:wordWrap/>
        <w:overflowPunct/>
        <w:topLinePunct w:val="0"/>
        <w:bidi w:val="0"/>
        <w:spacing w:line="576" w:lineRule="exact"/>
        <w:ind w:firstLine="640" w:firstLineChars="200"/>
        <w:textAlignment w:val="auto"/>
      </w:pPr>
      <w:r>
        <w:rPr>
          <w:rFonts w:hint="eastAsia" w:eastAsia="仿宋_GB2312"/>
          <w:color w:val="000000"/>
          <w:kern w:val="0"/>
          <w:sz w:val="32"/>
          <w:szCs w:val="32"/>
          <w:shd w:val="clear" w:color="auto" w:fill="FFFFFF"/>
        </w:rPr>
        <w:t>附表：</w:t>
      </w:r>
      <w:r>
        <w:rPr>
          <w:rFonts w:eastAsia="仿宋_GB2312"/>
          <w:color w:val="000000"/>
          <w:kern w:val="0"/>
          <w:sz w:val="32"/>
          <w:szCs w:val="32"/>
          <w:shd w:val="clear" w:color="auto" w:fill="FFFFFF"/>
        </w:rPr>
        <w:t>部门整体支出绩效目标完成情况自评表</w:t>
      </w:r>
      <w:r>
        <w:rPr>
          <w:rFonts w:eastAsia="仿宋_GB2312"/>
          <w:color w:val="000000"/>
          <w:kern w:val="0"/>
          <w:sz w:val="32"/>
          <w:szCs w:val="32"/>
          <w:shd w:val="clear" w:color="auto" w:fill="FFFFFF"/>
        </w:rPr>
        <w:br w:type="page"/>
      </w:r>
      <w:r>
        <w:rPr>
          <w:rFonts w:hint="eastAsia" w:ascii="黑体" w:eastAsia="黑体" w:cs="黑体"/>
        </w:rPr>
        <w:t>附表</w:t>
      </w:r>
    </w:p>
    <w:tbl>
      <w:tblPr>
        <w:tblStyle w:val="1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rPr>
              <w:t>县委办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lang w:val="en-US" w:eastAsia="zh-CN"/>
              </w:rPr>
            </w:pPr>
            <w:r>
              <w:rPr>
                <w:rFonts w:hint="eastAsia" w:eastAsia="宋体"/>
                <w:color w:val="000000"/>
                <w:kern w:val="0"/>
                <w:sz w:val="24"/>
                <w:lang w:val="en-US" w:eastAsia="zh-CN"/>
              </w:rPr>
              <w:t>923.29</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val="en-US" w:eastAsia="zh-CN"/>
              </w:rPr>
              <w:t>923.29</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年度总体</w:t>
            </w:r>
          </w:p>
          <w:p>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1.用于保障职工的基本工资福利、保险、年金等</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和单位的正常日常公用经费开支</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2.保障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3.保障围绕中央、省委和州委重要决策以及县委总体工作部署，开展调研，并负责信息的收集、综合和报送工作。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4.保障县委常委会议、书记办公会议、县党代会、县委全委会、县委工作会、全县领导干部会等会议的会务工作，负责县委领导参加重要公务活动的组织安排。</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5.保障县委重要工作部署贯彻落实的督促检查，负责县委指示、县委领导批示的转达和催办落实。</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6.保障县保密委员会及其办公室的日常工作。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7.保障管理县委密码局工作。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8.完成县委和县委领导交办的其他工作任务。</w:t>
            </w:r>
          </w:p>
          <w:p>
            <w:pPr>
              <w:widowControl/>
              <w:spacing w:line="300" w:lineRule="exact"/>
              <w:jc w:val="left"/>
              <w:textAlignment w:val="center"/>
              <w:rPr>
                <w:rFonts w:eastAsia="宋体"/>
                <w:color w:val="000000"/>
                <w:sz w:val="24"/>
              </w:rPr>
            </w:pPr>
            <w:r>
              <w:rPr>
                <w:rFonts w:hint="eastAsia" w:eastAsia="宋体"/>
                <w:color w:val="000000"/>
                <w:kern w:val="0"/>
                <w:sz w:val="24"/>
              </w:rPr>
              <w:t>9.用于驻村工作队的乡镇和临岗补贴，保障工作队员生活，有利于驻村工作的落实和顺利开展。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年度主要</w:t>
            </w:r>
          </w:p>
          <w:p>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rPr>
              <w:t>执行中央、省委和州委重要决策以及县委总体工作部署，保障县委日常工作</w:t>
            </w:r>
            <w:r>
              <w:rPr>
                <w:rFonts w:hint="eastAsia" w:eastAsia="宋体"/>
                <w:color w:val="000000"/>
                <w:kern w:val="0"/>
                <w:sz w:val="24"/>
                <w:lang w:eastAsia="zh-CN"/>
              </w:rPr>
              <w:t>；保障县委常委会议</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1.用于保障职工的基本工资福利、保险、年金等</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和单位的正常日常公用经费开支</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2.保障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3.保障围绕中央、省委和州委重要决策以及县委总体工作部署，开展调研，并负责信息的收集、综合和报送工作。</w:t>
            </w:r>
          </w:p>
          <w:p>
            <w:pPr>
              <w:widowControl/>
              <w:spacing w:line="300" w:lineRule="exact"/>
              <w:jc w:val="left"/>
              <w:textAlignment w:val="center"/>
              <w:rPr>
                <w:rFonts w:hint="eastAsia" w:eastAsia="宋体"/>
                <w:color w:val="000000"/>
                <w:kern w:val="0"/>
                <w:sz w:val="24"/>
              </w:rPr>
            </w:pP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5.保障县委重要工作部署贯彻落实的督促检查，负责县委指示、县委领导批示的转达和催办落实。</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6.保障县保密委员会及其办公室的日常工作。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7.保障管理县委密码局工作。</w:t>
            </w:r>
          </w:p>
          <w:p>
            <w:pPr>
              <w:widowControl/>
              <w:spacing w:line="300" w:lineRule="exact"/>
              <w:jc w:val="left"/>
              <w:textAlignment w:val="center"/>
              <w:rPr>
                <w:rFonts w:eastAsia="宋体"/>
                <w:color w:val="000000"/>
                <w:sz w:val="24"/>
              </w:rPr>
            </w:pPr>
            <w:r>
              <w:rPr>
                <w:rFonts w:hint="eastAsia" w:eastAsia="宋体"/>
                <w:color w:val="000000"/>
                <w:kern w:val="0"/>
                <w:sz w:val="24"/>
              </w:rPr>
              <w:t>8.完成县委和县委领导交办的其他工作任务。保障县委常委会议、书记办公会议、县党代会、县委全委会、县委工作会、全县领导干部会等会议的会务工作，负责县委领导参加重要公务活动的组织安排。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管理县委保密委员会县委密码局工作</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rPr>
            </w:pPr>
            <w:r>
              <w:rPr>
                <w:rFonts w:hint="eastAsia" w:eastAsia="宋体"/>
                <w:color w:val="000000"/>
                <w:sz w:val="24"/>
              </w:rPr>
              <w:t>扩展非涉密计算机敏感信息监管系统</w:t>
            </w:r>
          </w:p>
          <w:p>
            <w:pPr>
              <w:widowControl/>
              <w:spacing w:line="300" w:lineRule="exact"/>
              <w:jc w:val="left"/>
              <w:rPr>
                <w:rFonts w:hint="eastAsia" w:eastAsia="宋体"/>
                <w:color w:val="000000"/>
                <w:sz w:val="24"/>
              </w:rPr>
            </w:pPr>
            <w:r>
              <w:rPr>
                <w:rFonts w:hint="eastAsia" w:eastAsia="宋体"/>
                <w:color w:val="000000"/>
                <w:sz w:val="24"/>
              </w:rPr>
              <w:t>全县网络核查工作</w:t>
            </w:r>
          </w:p>
          <w:p>
            <w:pPr>
              <w:widowControl/>
              <w:spacing w:line="300" w:lineRule="exact"/>
              <w:jc w:val="left"/>
              <w:rPr>
                <w:rFonts w:eastAsia="宋体"/>
                <w:color w:val="000000"/>
                <w:sz w:val="24"/>
              </w:rPr>
            </w:pPr>
            <w:r>
              <w:rPr>
                <w:rFonts w:hint="eastAsia" w:eastAsia="宋体"/>
                <w:color w:val="000000"/>
                <w:sz w:val="24"/>
              </w:rPr>
              <w:t>全县普高招生安全保密工作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年度绩效</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绩效指标</w:t>
            </w:r>
          </w:p>
          <w:p>
            <w:pPr>
              <w:widowControl/>
              <w:spacing w:line="30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实际完成</w:t>
            </w:r>
          </w:p>
          <w:p>
            <w:pPr>
              <w:widowControl/>
              <w:spacing w:line="300" w:lineRule="exact"/>
              <w:jc w:val="center"/>
              <w:textAlignment w:val="center"/>
              <w:rPr>
                <w:rFonts w:eastAsia="宋体"/>
                <w:color w:val="000000"/>
                <w:sz w:val="24"/>
              </w:rPr>
            </w:pPr>
            <w:r>
              <w:rPr>
                <w:rFonts w:eastAsia="宋体"/>
                <w:color w:val="000000"/>
                <w:kern w:val="0"/>
                <w:sz w:val="24"/>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完成项目数量达标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提高服务质量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及时准确传达收发文件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社会效益</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全县网络核查安全工作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vMerge w:val="continue"/>
            <w:tcBorders>
              <w:top w:val="single" w:color="000000" w:sz="4" w:space="0"/>
              <w:left w:val="single" w:color="000000" w:sz="4" w:space="0"/>
              <w:right w:val="single" w:color="000000" w:sz="4" w:space="0"/>
            </w:tcBorders>
            <w:shd w:val="clear" w:color="auto" w:fill="auto"/>
            <w:vAlign w:val="center"/>
          </w:tc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群众政策知晓度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解决来访对象诉求，提高满意度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bl>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37"/>
        <w:spacing w:line="578" w:lineRule="exact"/>
        <w:rPr>
          <w:rFonts w:ascii="方正小标宋简体" w:eastAsia="方正小标宋简体" w:cs="方正小标宋简体"/>
          <w:color w:val="auto"/>
          <w:kern w:val="2"/>
          <w:sz w:val="44"/>
          <w:szCs w:val="44"/>
          <w:lang w:val="en-US"/>
        </w:rPr>
      </w:pPr>
    </w:p>
    <w:p>
      <w:pPr>
        <w:pStyle w:val="37"/>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eastAsia="zh-CN"/>
        </w:rPr>
        <w:t>中共茂县县委办公室</w:t>
      </w:r>
    </w:p>
    <w:p>
      <w:pPr>
        <w:pStyle w:val="37"/>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rPr>
        <w:t>专项预算项目绩效评价</w:t>
      </w:r>
      <w:r>
        <w:rPr>
          <w:rFonts w:hint="eastAsia" w:ascii="方正小标宋简体" w:eastAsia="方正小标宋简体" w:cs="方正小标宋简体"/>
          <w:color w:val="auto"/>
          <w:kern w:val="2"/>
          <w:sz w:val="44"/>
          <w:szCs w:val="44"/>
          <w:lang w:val="en-US" w:eastAsia="zh-CN"/>
        </w:rPr>
        <w:t>报告</w:t>
      </w:r>
    </w:p>
    <w:p>
      <w:pPr>
        <w:pStyle w:val="37"/>
        <w:pageBreakBefore w:val="0"/>
        <w:widowControl w:val="0"/>
        <w:kinsoku/>
        <w:wordWrap/>
        <w:overflowPunct/>
        <w:topLinePunct w:val="0"/>
        <w:autoSpaceDE/>
        <w:autoSpaceDN/>
        <w:bidi w:val="0"/>
        <w:spacing w:line="576" w:lineRule="exact"/>
        <w:ind w:firstLine="640"/>
        <w:jc w:val="center"/>
        <w:textAlignment w:val="auto"/>
        <w:rPr>
          <w:rFonts w:ascii="宋体"/>
          <w:color w:val="auto"/>
          <w:kern w:val="2"/>
          <w:sz w:val="32"/>
          <w:szCs w:val="32"/>
        </w:rPr>
      </w:pP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eastAsia="黑体" w:cs="黑体"/>
          <w:sz w:val="32"/>
          <w:szCs w:val="32"/>
          <w:lang w:val="zh-CN"/>
        </w:rPr>
      </w:pPr>
      <w:r>
        <w:rPr>
          <w:rFonts w:hint="eastAsia" w:ascii="黑体" w:eastAsia="黑体" w:cs="黑体"/>
          <w:sz w:val="32"/>
          <w:szCs w:val="32"/>
        </w:rPr>
        <w:t>一、</w:t>
      </w:r>
      <w:r>
        <w:rPr>
          <w:rFonts w:hint="eastAsia" w:ascii="黑体" w:eastAsia="黑体" w:cs="黑体"/>
          <w:sz w:val="32"/>
          <w:szCs w:val="32"/>
          <w:lang w:val="zh-CN"/>
        </w:rPr>
        <w:t>项目概况</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（一）设立背景及基本情况。</w:t>
      </w:r>
    </w:p>
    <w:p>
      <w:pPr>
        <w:pStyle w:val="38"/>
        <w:keepNext/>
        <w:keepLines/>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kern w:val="0"/>
          <w:sz w:val="32"/>
          <w:szCs w:val="32"/>
          <w:shd w:val="clear" w:color="auto" w:fill="FFFFFF"/>
          <w:lang w:val="en-US" w:eastAsia="zh-CN"/>
        </w:rPr>
      </w:pPr>
      <w:r>
        <w:rPr>
          <w:rFonts w:hint="eastAsia" w:ascii="仿宋_GB2312" w:eastAsia="仿宋_GB2312" w:cs="仿宋_GB2312"/>
          <w:b w:val="0"/>
          <w:bCs/>
          <w:kern w:val="0"/>
          <w:sz w:val="32"/>
          <w:szCs w:val="32"/>
          <w:shd w:val="clear" w:color="auto" w:fill="FFFFFF"/>
          <w:lang w:val="en-US" w:eastAsia="zh-CN"/>
        </w:rPr>
        <w:t>1.建设乡镇视屏会议系统，保障会议及时准确传达，申请资金76.40万元，用于项目建设。</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kern w:val="0"/>
          <w:sz w:val="32"/>
          <w:szCs w:val="32"/>
          <w:shd w:val="clear" w:color="auto" w:fill="FFFFFF"/>
          <w:lang w:val="en-US" w:eastAsia="zh-CN"/>
        </w:rPr>
        <w:t>2.办公经费(2023),申请资金</w:t>
      </w:r>
      <w:r>
        <w:rPr>
          <w:rFonts w:hint="eastAsia" w:ascii="仿宋_GB2312" w:eastAsia="仿宋_GB2312" w:cs="仿宋_GB2312"/>
          <w:b w:val="0"/>
          <w:bCs/>
          <w:sz w:val="32"/>
          <w:szCs w:val="32"/>
          <w:lang w:val="en-US" w:eastAsia="zh-CN"/>
        </w:rPr>
        <w:t>95.96万元，用于日常办公经费支出。</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w:t>
      </w:r>
      <w:r>
        <w:rPr>
          <w:rFonts w:hint="eastAsia" w:ascii="仿宋_GB2312" w:eastAsia="仿宋_GB2312" w:cs="仿宋_GB2312"/>
          <w:b w:val="0"/>
          <w:bCs/>
          <w:kern w:val="0"/>
          <w:sz w:val="32"/>
          <w:szCs w:val="32"/>
          <w:shd w:val="clear" w:color="auto" w:fill="FFFFFF"/>
          <w:lang w:val="en-US" w:eastAsia="zh-CN"/>
        </w:rPr>
        <w:t>办公经费2，申请资金</w:t>
      </w:r>
      <w:r>
        <w:rPr>
          <w:rFonts w:hint="eastAsia" w:ascii="仿宋_GB2312" w:eastAsia="仿宋_GB2312" w:cs="仿宋_GB2312"/>
          <w:b w:val="0"/>
          <w:bCs/>
          <w:sz w:val="32"/>
          <w:szCs w:val="32"/>
          <w:lang w:val="en-US" w:eastAsia="zh-CN"/>
        </w:rPr>
        <w:t>56.00万元，用于日常办公经费支出。</w:t>
      </w:r>
    </w:p>
    <w:p>
      <w:pPr>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实施目的及支持方向。</w:t>
      </w:r>
    </w:p>
    <w:p>
      <w:pPr>
        <w:pStyle w:val="38"/>
        <w:keepNext/>
        <w:keepLines/>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rPr>
      </w:pPr>
      <w:r>
        <w:rPr>
          <w:rFonts w:hint="eastAsia" w:ascii="仿宋_GB2312" w:eastAsia="仿宋_GB2312" w:cs="仿宋_GB2312"/>
          <w:b w:val="0"/>
          <w:bCs/>
          <w:kern w:val="0"/>
          <w:sz w:val="32"/>
          <w:szCs w:val="32"/>
          <w:shd w:val="clear" w:color="auto" w:fill="FFFFFF"/>
          <w:lang w:val="en-US" w:eastAsia="zh-CN"/>
        </w:rPr>
        <w:t>根据财政资金使用管理办法对资金进行管理。建设乡镇视屏会议系统，保障会议及时准确传达及保障我办日常正常有序办公，更好更快做到上传下达，完成各项工作任务。</w:t>
      </w:r>
    </w:p>
    <w:p>
      <w:pPr>
        <w:pageBreakBefore w:val="0"/>
        <w:widowControl/>
        <w:numPr>
          <w:ilvl w:val="0"/>
          <w:numId w:val="3"/>
        </w:numPr>
        <w:kinsoku/>
        <w:wordWrap/>
        <w:overflowPunct/>
        <w:topLinePunct w:val="0"/>
        <w:autoSpaceDE/>
        <w:autoSpaceDN/>
        <w:bidi w:val="0"/>
        <w:adjustRightInd w:val="0"/>
        <w:snapToGrid w:val="0"/>
        <w:spacing w:line="576" w:lineRule="exact"/>
        <w:ind w:left="0" w:firstLine="642" w:firstLineChars="200"/>
        <w:contextualSpacing/>
        <w:jc w:val="left"/>
        <w:textAlignment w:val="auto"/>
        <w:rPr>
          <w:rFonts w:hint="eastAsia" w:ascii="仿宋_GB2312" w:eastAsia="仿宋_GB2312" w:cs="仿宋_GB2312"/>
          <w:b w:val="0"/>
          <w:bCs/>
          <w:kern w:val="0"/>
          <w:sz w:val="32"/>
          <w:szCs w:val="32"/>
          <w:shd w:val="clear" w:color="auto" w:fill="FFFFFF"/>
          <w:lang w:val="en-US" w:eastAsia="zh-CN"/>
        </w:rPr>
      </w:pPr>
      <w:r>
        <w:rPr>
          <w:rFonts w:hint="eastAsia" w:ascii="仿宋_GB2312" w:eastAsia="仿宋_GB2312" w:cs="仿宋_GB2312"/>
          <w:b/>
          <w:sz w:val="32"/>
          <w:szCs w:val="32"/>
        </w:rPr>
        <w:t>预算安排及分配管理</w:t>
      </w:r>
      <w:r>
        <w:rPr>
          <w:rFonts w:hint="eastAsia" w:ascii="仿宋_GB2312" w:eastAsia="仿宋_GB2312" w:cs="仿宋_GB2312"/>
          <w:b/>
          <w:sz w:val="32"/>
          <w:szCs w:val="32"/>
          <w:lang w:val="zh-CN"/>
        </w:rPr>
        <w:t>。</w:t>
      </w:r>
    </w:p>
    <w:p>
      <w:pPr>
        <w:pageBreakBefore w:val="0"/>
        <w:widowControl/>
        <w:kinsoku/>
        <w:wordWrap/>
        <w:overflowPunct/>
        <w:topLinePunct w:val="0"/>
        <w:autoSpaceDE/>
        <w:autoSpaceDN/>
        <w:bidi w:val="0"/>
        <w:adjustRightInd w:val="0"/>
        <w:snapToGrid w:val="0"/>
        <w:spacing w:line="576" w:lineRule="exact"/>
        <w:ind w:left="0" w:firstLine="640" w:firstLineChars="200"/>
        <w:contextualSpacing/>
        <w:jc w:val="left"/>
        <w:textAlignment w:val="auto"/>
        <w:rPr>
          <w:rFonts w:hint="eastAsia" w:ascii="仿宋_GB2312" w:eastAsia="仿宋_GB2312" w:cs="仿宋_GB2312"/>
          <w:b w:val="0"/>
          <w:bCs/>
          <w:kern w:val="2"/>
          <w:sz w:val="32"/>
          <w:szCs w:val="32"/>
          <w:lang w:val="en-US" w:eastAsia="zh-CN" w:bidi="ar-SA"/>
        </w:rPr>
      </w:pPr>
      <w:r>
        <w:rPr>
          <w:rFonts w:hint="eastAsia" w:ascii="仿宋_GB2312" w:eastAsia="仿宋_GB2312" w:cs="仿宋_GB2312"/>
          <w:b w:val="0"/>
          <w:bCs/>
          <w:kern w:val="0"/>
          <w:sz w:val="32"/>
          <w:szCs w:val="32"/>
          <w:shd w:val="clear" w:color="auto" w:fill="FFFFFF"/>
          <w:lang w:val="en-US" w:eastAsia="zh-CN"/>
        </w:rPr>
        <w:t>1.全年追加，申请资金76.40万元，用于项目建设，</w:t>
      </w:r>
      <w:r>
        <w:rPr>
          <w:rFonts w:hint="eastAsia" w:ascii="仿宋_GB2312" w:eastAsia="仿宋_GB2312" w:cs="仿宋_GB2312"/>
          <w:sz w:val="32"/>
          <w:szCs w:val="32"/>
          <w:lang w:val="en-US" w:eastAsia="zh-CN"/>
        </w:rPr>
        <w:t>资金属县级资金。</w:t>
      </w:r>
    </w:p>
    <w:p>
      <w:pPr>
        <w:pageBreakBefore w:val="0"/>
        <w:widowControl/>
        <w:kinsoku/>
        <w:wordWrap/>
        <w:overflowPunct/>
        <w:topLinePunct w:val="0"/>
        <w:autoSpaceDE/>
        <w:autoSpaceDN/>
        <w:bidi w:val="0"/>
        <w:adjustRightInd w:val="0"/>
        <w:snapToGrid w:val="0"/>
        <w:spacing w:line="576" w:lineRule="exact"/>
        <w:ind w:left="0" w:firstLine="640" w:firstLineChars="200"/>
        <w:contextualSpacing/>
        <w:jc w:val="left"/>
        <w:textAlignment w:val="auto"/>
        <w:rPr>
          <w:rFonts w:hint="eastAsia" w:ascii="仿宋_GB2312" w:eastAsia="仿宋_GB2312" w:cs="仿宋_GB2312"/>
          <w:b w:val="0"/>
          <w:bCs/>
          <w:kern w:val="2"/>
          <w:sz w:val="32"/>
          <w:szCs w:val="32"/>
          <w:lang w:val="en-US" w:eastAsia="zh-CN" w:bidi="ar-SA"/>
        </w:rPr>
      </w:pPr>
      <w:r>
        <w:rPr>
          <w:rFonts w:hint="eastAsia" w:ascii="仿宋_GB2312" w:eastAsia="仿宋_GB2312" w:cs="仿宋_GB2312"/>
          <w:b w:val="0"/>
          <w:bCs/>
          <w:kern w:val="0"/>
          <w:sz w:val="32"/>
          <w:szCs w:val="32"/>
          <w:shd w:val="clear" w:color="auto" w:fill="FFFFFF"/>
          <w:lang w:val="en-US" w:eastAsia="zh-CN"/>
        </w:rPr>
        <w:t>2.全年追加办公经费，申请资金</w:t>
      </w:r>
      <w:r>
        <w:rPr>
          <w:rFonts w:hint="eastAsia" w:ascii="仿宋_GB2312" w:eastAsia="仿宋_GB2312" w:cs="仿宋_GB2312"/>
          <w:b w:val="0"/>
          <w:bCs/>
          <w:sz w:val="32"/>
          <w:szCs w:val="32"/>
          <w:lang w:val="en-US" w:eastAsia="zh-CN"/>
        </w:rPr>
        <w:t>151.96万元，用于日常办公经费支出</w:t>
      </w:r>
      <w:r>
        <w:rPr>
          <w:rFonts w:hint="eastAsia" w:ascii="仿宋_GB2312" w:eastAsia="仿宋_GB2312" w:cs="仿宋_GB2312"/>
          <w:b w:val="0"/>
          <w:bCs/>
          <w:kern w:val="2"/>
          <w:sz w:val="32"/>
          <w:szCs w:val="32"/>
          <w:lang w:val="en-US" w:eastAsia="zh-CN" w:bidi="ar-SA"/>
        </w:rPr>
        <w:t>，资金属县级资金。</w:t>
      </w:r>
    </w:p>
    <w:p>
      <w:pPr>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（四）项目绩效目标设置。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kern w:val="0"/>
          <w:sz w:val="32"/>
          <w:szCs w:val="32"/>
          <w:shd w:val="clear" w:color="auto" w:fill="FFFFFF"/>
          <w:lang w:val="zh-CN"/>
        </w:rPr>
      </w:pPr>
      <w:r>
        <w:rPr>
          <w:rFonts w:hint="eastAsia" w:ascii="仿宋_GB2312" w:eastAsia="仿宋_GB2312" w:cs="仿宋_GB2312"/>
          <w:kern w:val="0"/>
          <w:sz w:val="32"/>
          <w:szCs w:val="32"/>
          <w:shd w:val="clear" w:color="auto" w:fill="FFFFFF"/>
          <w:lang w:val="zh-CN"/>
        </w:rPr>
        <w:t>在本项目中，我们采取了分层次的绩效目标设置，确保项目整体、区域相互协调并支持项目</w:t>
      </w:r>
      <w:r>
        <w:rPr>
          <w:rFonts w:hint="eastAsia" w:ascii="仿宋_GB2312" w:eastAsia="仿宋_GB2312" w:cs="仿宋_GB2312"/>
          <w:kern w:val="0"/>
          <w:sz w:val="32"/>
          <w:szCs w:val="32"/>
          <w:shd w:val="clear" w:color="auto" w:fill="FFFFFF"/>
          <w:lang w:val="en-US" w:eastAsia="zh-CN"/>
        </w:rPr>
        <w:t>绩效目标</w:t>
      </w:r>
      <w:r>
        <w:rPr>
          <w:rFonts w:hint="eastAsia" w:ascii="仿宋_GB2312" w:eastAsia="仿宋_GB2312" w:cs="仿宋_GB2312"/>
          <w:kern w:val="0"/>
          <w:sz w:val="32"/>
          <w:szCs w:val="32"/>
          <w:shd w:val="clear" w:color="auto" w:fill="FFFFFF"/>
          <w:lang w:val="zh-CN"/>
        </w:rPr>
        <w:t>的实现。项目整体绩效目标聚焦于关键的成果和长远影响，为了确保项目目标的实现并持续提升项目执行质量，我们开展了全面的项目自评工作。自评工作定期进行，自评结果被用于项目监控、风险管理和决策制定，同时，我们根据自评发现制定改进措施，不断优化项目流程和执行策略。</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rPr>
        <w:t>二、评价实施</w:t>
      </w:r>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sz w:val="32"/>
          <w:szCs w:val="32"/>
        </w:rPr>
      </w:pPr>
      <w:r>
        <w:rPr>
          <w:rFonts w:hint="eastAsia" w:ascii="仿宋_GB2312" w:eastAsia="仿宋_GB2312" w:cs="仿宋_GB2312"/>
          <w:b/>
          <w:sz w:val="32"/>
          <w:szCs w:val="32"/>
          <w:lang w:val="zh-CN"/>
        </w:rPr>
        <w:t>（一）评价目的。</w:t>
      </w:r>
    </w:p>
    <w:p>
      <w:pPr>
        <w:pStyle w:val="38"/>
        <w:keepNext/>
        <w:keepLines/>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kern w:val="0"/>
          <w:sz w:val="32"/>
          <w:szCs w:val="32"/>
          <w:shd w:val="clear" w:color="auto" w:fill="FFFFFF"/>
          <w:lang w:val="zh-CN" w:eastAsia="zh-CN" w:bidi="ar-SA"/>
        </w:rPr>
      </w:pPr>
      <w:r>
        <w:rPr>
          <w:rFonts w:hint="eastAsia" w:ascii="仿宋_GB2312" w:eastAsia="仿宋_GB2312" w:cs="仿宋_GB2312"/>
          <w:b w:val="0"/>
          <w:kern w:val="0"/>
          <w:sz w:val="32"/>
          <w:szCs w:val="32"/>
          <w:shd w:val="clear" w:color="auto" w:fill="FFFFFF"/>
          <w:lang w:val="en-US" w:eastAsia="zh-CN" w:bidi="ar-SA"/>
        </w:rPr>
        <w:t>1.</w:t>
      </w:r>
      <w:r>
        <w:rPr>
          <w:rFonts w:hint="eastAsia" w:ascii="仿宋_GB2312" w:eastAsia="仿宋_GB2312" w:cs="仿宋_GB2312"/>
          <w:b w:val="0"/>
          <w:kern w:val="0"/>
          <w:sz w:val="32"/>
          <w:szCs w:val="32"/>
          <w:shd w:val="clear" w:color="auto" w:fill="FFFFFF"/>
          <w:lang w:val="zh-CN" w:eastAsia="zh-CN" w:bidi="ar-SA"/>
        </w:rPr>
        <w:t>有助于确保项目活动与既定的绩效目标保持一致，及时发现偏离目标的情况。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kern w:val="0"/>
          <w:sz w:val="32"/>
          <w:szCs w:val="32"/>
          <w:shd w:val="clear" w:color="auto" w:fill="FFFFFF"/>
          <w:lang w:val="zh-CN" w:eastAsia="zh-CN" w:bidi="ar-SA"/>
        </w:rPr>
      </w:pPr>
      <w:r>
        <w:rPr>
          <w:rFonts w:hint="eastAsia" w:ascii="仿宋_GB2312" w:eastAsia="仿宋_GB2312" w:cs="仿宋_GB2312"/>
          <w:b w:val="0"/>
          <w:kern w:val="0"/>
          <w:sz w:val="32"/>
          <w:szCs w:val="32"/>
          <w:shd w:val="clear" w:color="auto" w:fill="FFFFFF"/>
          <w:lang w:val="en-US" w:eastAsia="zh-CN" w:bidi="ar-SA"/>
        </w:rPr>
        <w:t>2.</w:t>
      </w:r>
      <w:r>
        <w:rPr>
          <w:rFonts w:hint="eastAsia" w:ascii="仿宋_GB2312" w:eastAsia="仿宋_GB2312" w:cs="仿宋_GB2312"/>
          <w:b w:val="0"/>
          <w:kern w:val="0"/>
          <w:sz w:val="32"/>
          <w:szCs w:val="32"/>
          <w:shd w:val="clear" w:color="auto" w:fill="FFFFFF"/>
          <w:lang w:val="zh-CN" w:eastAsia="zh-CN" w:bidi="ar-SA"/>
        </w:rPr>
        <w:t>通过自评，项目团队能够识别项目执行过程中的问题和潜在风险，从而采取预防或纠正措施。</w:t>
      </w:r>
    </w:p>
    <w:p>
      <w:pPr>
        <w:pStyle w:val="38"/>
        <w:keepNext/>
        <w:keepLines/>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kern w:val="0"/>
          <w:sz w:val="32"/>
          <w:szCs w:val="32"/>
          <w:shd w:val="clear" w:color="auto" w:fill="FFFFFF"/>
          <w:lang w:val="zh-CN" w:eastAsia="zh-CN" w:bidi="ar-SA"/>
        </w:rPr>
      </w:pPr>
      <w:r>
        <w:rPr>
          <w:rFonts w:hint="eastAsia" w:ascii="仿宋_GB2312" w:eastAsia="仿宋_GB2312" w:cs="仿宋_GB2312"/>
          <w:b w:val="0"/>
          <w:kern w:val="0"/>
          <w:sz w:val="32"/>
          <w:szCs w:val="32"/>
          <w:shd w:val="clear" w:color="auto" w:fill="FFFFFF"/>
          <w:lang w:val="en-US" w:eastAsia="zh-CN" w:bidi="ar-SA"/>
        </w:rPr>
        <w:t>3.</w:t>
      </w:r>
      <w:r>
        <w:rPr>
          <w:rFonts w:hint="eastAsia" w:ascii="仿宋_GB2312" w:eastAsia="仿宋_GB2312" w:cs="仿宋_GB2312"/>
          <w:b w:val="0"/>
          <w:kern w:val="0"/>
          <w:sz w:val="32"/>
          <w:szCs w:val="32"/>
          <w:shd w:val="clear" w:color="auto" w:fill="FFFFFF"/>
          <w:lang w:val="zh-CN" w:eastAsia="zh-CN" w:bidi="ar-SA"/>
        </w:rPr>
        <w:t>自评结果为项目管理层提供了重要的信息，支持基于数据的决策制定。</w:t>
      </w:r>
    </w:p>
    <w:p>
      <w:pPr>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（二）预设问题及评价重点。</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b w:val="0"/>
          <w:bCs/>
          <w:kern w:val="0"/>
          <w:sz w:val="32"/>
          <w:szCs w:val="32"/>
          <w:shd w:val="clear" w:color="auto" w:fill="FFFFFF"/>
          <w:lang w:val="en-US" w:eastAsia="zh-CN"/>
        </w:rPr>
        <w:t>通过建设乡镇视屏会议系统，保障全县会议及时准确传达及通过追加办公经费保障我办日常正常有序办公，更好更快做到上传下达，完成各项工作任务。</w:t>
      </w:r>
    </w:p>
    <w:p>
      <w:pPr>
        <w:pStyle w:val="38"/>
        <w:keepNext/>
        <w:keepLines/>
        <w:pageBreakBefore w:val="0"/>
        <w:widowControl w:val="0"/>
        <w:kinsoku/>
        <w:wordWrap/>
        <w:overflowPunct/>
        <w:topLinePunct w:val="0"/>
        <w:autoSpaceDE/>
        <w:autoSpaceDN/>
        <w:bidi w:val="0"/>
        <w:spacing w:line="576" w:lineRule="exact"/>
        <w:textAlignment w:val="auto"/>
        <w:rPr>
          <w:rFonts w:hint="eastAsia" w:ascii="仿宋_GB2312" w:eastAsia="仿宋_GB2312" w:cs="仿宋_GB2312"/>
          <w:sz w:val="32"/>
          <w:szCs w:val="32"/>
        </w:rPr>
      </w:pPr>
    </w:p>
    <w:p>
      <w:pPr>
        <w:pStyle w:val="38"/>
        <w:keepNext/>
        <w:keepLines/>
        <w:pageBreakBefore w:val="0"/>
        <w:widowControl w:val="0"/>
        <w:kinsoku/>
        <w:wordWrap/>
        <w:overflowPunct/>
        <w:topLinePunct w:val="0"/>
        <w:autoSpaceDE/>
        <w:autoSpaceDN/>
        <w:bidi w:val="0"/>
        <w:spacing w:line="576" w:lineRule="exact"/>
        <w:textAlignment w:val="auto"/>
        <w:rPr>
          <w:rFonts w:hint="eastAsia" w:ascii="仿宋_GB2312" w:eastAsia="仿宋_GB2312" w:cs="仿宋_GB2312"/>
          <w:sz w:val="32"/>
          <w:szCs w:val="32"/>
        </w:rPr>
      </w:pPr>
    </w:p>
    <w:p>
      <w:pPr>
        <w:pageBreakBefore w:val="0"/>
        <w:widowControl w:val="0"/>
        <w:numPr>
          <w:ilvl w:val="0"/>
          <w:numId w:val="3"/>
        </w:numPr>
        <w:kinsoku/>
        <w:wordWrap/>
        <w:overflowPunct/>
        <w:topLinePunct w:val="0"/>
        <w:autoSpaceDE/>
        <w:autoSpaceDN/>
        <w:bidi w:val="0"/>
        <w:adjustRightInd w:val="0"/>
        <w:snapToGrid w:val="0"/>
        <w:spacing w:line="576" w:lineRule="exact"/>
        <w:ind w:left="0" w:firstLine="642" w:firstLineChars="200"/>
        <w:textAlignment w:val="auto"/>
        <w:rPr>
          <w:rFonts w:hint="eastAsia" w:ascii="仿宋_GB2312" w:eastAsia="仿宋_GB2312" w:cs="仿宋_GB2312"/>
          <w:b/>
          <w:sz w:val="32"/>
          <w:szCs w:val="32"/>
          <w:lang w:val="zh-CN"/>
        </w:rPr>
      </w:pPr>
      <w:r>
        <w:rPr>
          <w:rFonts w:hint="eastAsia" w:ascii="仿宋_GB2312" w:eastAsia="仿宋_GB2312" w:cs="仿宋_GB2312"/>
          <w:b/>
          <w:sz w:val="32"/>
          <w:szCs w:val="32"/>
          <w:lang w:val="zh-CN"/>
        </w:rPr>
        <w:t>评价选点。</w:t>
      </w:r>
    </w:p>
    <w:p>
      <w:pPr>
        <w:pageBreakBefore w:val="0"/>
        <w:widowControl w:val="0"/>
        <w:kinsoku/>
        <w:wordWrap/>
        <w:overflowPunct/>
        <w:topLinePunct w:val="0"/>
        <w:autoSpaceDE/>
        <w:autoSpaceDN/>
        <w:bidi w:val="0"/>
        <w:adjustRightInd w:val="0"/>
        <w:snapToGrid w:val="0"/>
        <w:spacing w:line="576" w:lineRule="exact"/>
        <w:ind w:left="420" w:leftChars="200" w:firstLine="640" w:firstLineChars="200"/>
        <w:textAlignment w:val="auto"/>
        <w:rPr>
          <w:rFonts w:hint="eastAsia" w:ascii="仿宋_GB2312" w:eastAsia="仿宋_GB2312" w:cs="仿宋_GB2312"/>
          <w:sz w:val="32"/>
          <w:szCs w:val="32"/>
          <w:lang w:val="zh-CN"/>
        </w:rPr>
      </w:pPr>
      <w:r>
        <w:rPr>
          <w:rFonts w:hint="eastAsia" w:ascii="仿宋_GB2312" w:eastAsia="仿宋_GB2312" w:cs="仿宋_GB2312"/>
          <w:sz w:val="32"/>
          <w:szCs w:val="32"/>
          <w:lang w:val="en-US" w:eastAsia="zh-CN"/>
        </w:rPr>
        <w:t>无</w:t>
      </w:r>
      <w:r>
        <w:rPr>
          <w:rFonts w:hint="eastAsia" w:ascii="仿宋_GB2312" w:eastAsia="仿宋_GB2312" w:cs="仿宋_GB2312"/>
          <w:sz w:val="32"/>
          <w:szCs w:val="32"/>
          <w:lang w:val="zh-CN"/>
        </w:rPr>
        <w:t>。</w:t>
      </w:r>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sz w:val="32"/>
          <w:szCs w:val="32"/>
        </w:rPr>
      </w:pPr>
      <w:r>
        <w:rPr>
          <w:rFonts w:hint="eastAsia" w:ascii="仿宋_GB2312" w:eastAsia="仿宋_GB2312" w:cs="仿宋_GB2312"/>
          <w:b/>
          <w:sz w:val="32"/>
          <w:szCs w:val="32"/>
          <w:lang w:val="zh-CN"/>
        </w:rPr>
        <w:t>（四）评价方法。</w:t>
      </w:r>
    </w:p>
    <w:p>
      <w:pPr>
        <w:pStyle w:val="38"/>
        <w:keepNext/>
        <w:keepLines/>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b w:val="0"/>
          <w:kern w:val="2"/>
          <w:sz w:val="32"/>
          <w:szCs w:val="32"/>
          <w:lang w:val="en-US" w:eastAsia="zh-CN" w:bidi="ar-SA"/>
        </w:rPr>
      </w:pPr>
      <w:r>
        <w:rPr>
          <w:rFonts w:hint="eastAsia" w:ascii="仿宋_GB2312" w:eastAsia="仿宋_GB2312" w:cs="仿宋_GB2312"/>
          <w:b w:val="0"/>
          <w:kern w:val="2"/>
          <w:sz w:val="32"/>
          <w:szCs w:val="32"/>
          <w:lang w:val="en-US" w:eastAsia="zh-CN" w:bidi="ar-SA"/>
        </w:rPr>
        <w:t>自评工作定期进行，通过收集关键数据和信息，分析项目进展和绩效，识别存在的问题和挑战。我们采用了单位自评法和数据分析，以确保自评的全面性和客观性。</w:t>
      </w:r>
    </w:p>
    <w:p>
      <w:pPr>
        <w:keepNext w:val="0"/>
        <w:keepLines w:val="0"/>
        <w:pageBreakBefore w:val="0"/>
        <w:widowControl/>
        <w:suppressLineNumbers w:val="0"/>
        <w:kinsoku/>
        <w:wordWrap/>
        <w:overflowPunct/>
        <w:topLinePunct w:val="0"/>
        <w:autoSpaceDE/>
        <w:autoSpaceDN/>
        <w:bidi w:val="0"/>
        <w:spacing w:line="576" w:lineRule="exact"/>
        <w:ind w:firstLine="642" w:firstLineChars="200"/>
        <w:jc w:val="left"/>
        <w:textAlignment w:val="auto"/>
        <w:rPr>
          <w:rFonts w:hint="eastAsia" w:ascii="仿宋_GB2312" w:eastAsia="仿宋_GB2312" w:cs="仿宋_GB2312"/>
          <w:bCs/>
          <w:sz w:val="32"/>
          <w:szCs w:val="32"/>
          <w:lang w:val="en-US" w:eastAsia="zh-CN"/>
        </w:rPr>
      </w:pPr>
      <w:r>
        <w:rPr>
          <w:rFonts w:hint="eastAsia" w:ascii="仿宋_GB2312" w:eastAsia="仿宋_GB2312" w:cs="仿宋_GB2312"/>
          <w:b/>
          <w:sz w:val="32"/>
          <w:szCs w:val="32"/>
          <w:lang w:val="zh-CN"/>
        </w:rPr>
        <w:t>（五）评价组织。</w:t>
      </w:r>
      <w:r>
        <w:rPr>
          <w:rFonts w:hint="eastAsia" w:ascii="仿宋_GB2312" w:eastAsia="仿宋_GB2312" w:cs="仿宋_GB2312"/>
          <w:sz w:val="32"/>
          <w:szCs w:val="32"/>
          <w:lang w:val="en-US" w:eastAsia="zh-CN"/>
        </w:rPr>
        <w:t>成立绩效评价工作小组，明确工作职责，制定评价方案。</w:t>
      </w:r>
      <w:r>
        <w:rPr>
          <w:rFonts w:hint="eastAsia" w:ascii="仿宋_GB2312" w:eastAsia="仿宋_GB2312" w:cs="仿宋_GB2312"/>
          <w:sz w:val="32"/>
          <w:szCs w:val="32"/>
          <w:lang w:val="zh-CN" w:eastAsia="zh-CN"/>
        </w:rPr>
        <w:t>自评小组依据专项资金绩效考评指标体系，对项目开展综合评分，全面考量项目实施程序的规范性、财务管理的合规性，以及项目执行率和目标绩效完成情况。</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sz w:val="32"/>
          <w:szCs w:val="32"/>
          <w:lang w:val="zh-CN"/>
        </w:rPr>
      </w:pPr>
      <w:r>
        <w:rPr>
          <w:rFonts w:hint="eastAsia" w:ascii="黑体" w:eastAsia="黑体" w:cs="黑体"/>
          <w:sz w:val="32"/>
          <w:szCs w:val="32"/>
        </w:rPr>
        <w:t>三、绩效分析</w:t>
      </w:r>
      <w:r>
        <w:rPr>
          <w:rFonts w:hint="eastAsia" w:ascii="仿宋_GB2312" w:eastAsia="仿宋_GB2312" w:cs="仿宋_GB2312"/>
          <w:sz w:val="32"/>
          <w:szCs w:val="32"/>
          <w:lang w:val="zh-CN"/>
        </w:rPr>
        <w:tab/>
      </w:r>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b/>
          <w:sz w:val="32"/>
          <w:szCs w:val="32"/>
        </w:rPr>
      </w:pPr>
      <w:r>
        <w:rPr>
          <w:rFonts w:hint="eastAsia" w:ascii="仿宋_GB2312" w:eastAsia="仿宋_GB2312" w:cs="仿宋_GB2312"/>
          <w:b/>
          <w:sz w:val="32"/>
          <w:szCs w:val="32"/>
          <w:lang w:val="zh-CN"/>
        </w:rPr>
        <w:t>（一）</w:t>
      </w:r>
      <w:r>
        <w:rPr>
          <w:rFonts w:hint="eastAsia" w:ascii="仿宋_GB2312" w:eastAsia="仿宋_GB2312" w:cs="仿宋_GB2312"/>
          <w:b/>
          <w:sz w:val="32"/>
          <w:szCs w:val="32"/>
        </w:rPr>
        <w:t>通用指标</w:t>
      </w:r>
      <w:r>
        <w:rPr>
          <w:rFonts w:hint="eastAsia" w:ascii="仿宋_GB2312" w:eastAsia="仿宋_GB2312" w:cs="仿宋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000000"/>
          <w:kern w:val="0"/>
          <w:sz w:val="32"/>
          <w:szCs w:val="32"/>
          <w:shd w:val="clear" w:color="auto" w:fill="FFFFFF"/>
          <w:lang w:val="en-US" w:eastAsia="zh-CN"/>
        </w:rPr>
      </w:pPr>
      <w:r>
        <w:rPr>
          <w:rFonts w:hint="eastAsia" w:ascii="仿宋_GB2312" w:eastAsia="仿宋_GB2312" w:cs="仿宋_GB2312"/>
          <w:sz w:val="32"/>
          <w:szCs w:val="32"/>
        </w:rPr>
        <w:t>1.项目决策。</w:t>
      </w:r>
      <w:r>
        <w:rPr>
          <w:rFonts w:hint="eastAsia" w:ascii="仿宋_GB2312" w:eastAsia="仿宋_GB2312" w:cs="仿宋_GB2312"/>
          <w:color w:val="000000"/>
          <w:kern w:val="0"/>
          <w:sz w:val="32"/>
          <w:szCs w:val="32"/>
          <w:shd w:val="clear" w:color="auto" w:fill="FFFFFF"/>
          <w:lang w:val="en-US" w:eastAsia="zh-CN"/>
        </w:rPr>
        <w:t>根据我办“三重一大”决策制度对需要资金进行商讨，严格决策程序。在项目入库时，进行科学目标设置。</w:t>
      </w:r>
    </w:p>
    <w:p>
      <w:pPr>
        <w:keepNext w:val="0"/>
        <w:keepLines w:val="0"/>
        <w:pageBreakBefore w:val="0"/>
        <w:widowControl/>
        <w:suppressLineNumbers w:val="0"/>
        <w:kinsoku/>
        <w:wordWrap/>
        <w:overflowPunct/>
        <w:topLinePunct w:val="0"/>
        <w:autoSpaceDE/>
        <w:autoSpaceDN/>
        <w:bidi w:val="0"/>
        <w:spacing w:line="576"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2.项目管理。</w:t>
      </w:r>
      <w:r>
        <w:rPr>
          <w:rFonts w:hint="eastAsia" w:ascii="仿宋_GB2312" w:eastAsia="仿宋_GB2312" w:cs="仿宋_GB2312"/>
          <w:sz w:val="32"/>
          <w:szCs w:val="32"/>
          <w:lang w:val="en-US" w:eastAsia="zh-CN"/>
        </w:rPr>
        <w:t>严格按照财政资金使用办法规定，</w:t>
      </w:r>
      <w:r>
        <w:rPr>
          <w:rFonts w:hint="eastAsia" w:ascii="仿宋_GB2312" w:eastAsia="仿宋_GB2312" w:cs="仿宋_GB2312"/>
          <w:sz w:val="32"/>
          <w:szCs w:val="32"/>
          <w:lang w:val="zh-CN" w:eastAsia="zh-CN"/>
        </w:rPr>
        <w:t>以厉行节约、实事求是为原则，合理控制日常办公运行需求，并严格执行规定。</w:t>
      </w:r>
      <w:r>
        <w:rPr>
          <w:rFonts w:hint="eastAsia" w:ascii="仿宋_GB2312" w:eastAsia="仿宋_GB2312" w:cs="仿宋_GB2312"/>
          <w:color w:val="000000"/>
          <w:kern w:val="0"/>
          <w:sz w:val="32"/>
          <w:szCs w:val="32"/>
          <w:shd w:val="clear" w:color="auto" w:fill="FFFFFF"/>
          <w:lang w:val="en-US" w:eastAsia="zh-CN"/>
        </w:rPr>
        <w:t>保障我办各项工作正常运转。</w:t>
      </w:r>
    </w:p>
    <w:p>
      <w:pPr>
        <w:pageBreakBefore w:val="0"/>
        <w:widowControl w:val="0"/>
        <w:kinsoku/>
        <w:wordWrap/>
        <w:overflowPunct/>
        <w:topLinePunct w:val="0"/>
        <w:autoSpaceDE/>
        <w:autoSpaceDN/>
        <w:bidi w:val="0"/>
        <w:spacing w:line="576" w:lineRule="exact"/>
        <w:ind w:left="420" w:leftChars="200"/>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rPr>
        <w:t>3.项目实施。</w:t>
      </w:r>
      <w:r>
        <w:rPr>
          <w:rFonts w:hint="eastAsia" w:ascii="仿宋_GB2312" w:eastAsia="仿宋_GB2312" w:cs="仿宋_GB2312"/>
          <w:sz w:val="32"/>
          <w:szCs w:val="32"/>
          <w:lang w:val="zh-CN" w:eastAsia="zh-CN"/>
        </w:rPr>
        <w:t>根据</w:t>
      </w:r>
      <w:r>
        <w:rPr>
          <w:rFonts w:hint="eastAsia" w:ascii="仿宋_GB2312" w:eastAsia="仿宋_GB2312" w:cs="仿宋_GB2312"/>
          <w:sz w:val="32"/>
          <w:szCs w:val="32"/>
          <w:lang w:val="en-US" w:eastAsia="zh-CN"/>
        </w:rPr>
        <w:t>2023年度重点工作开展情况及经济业务发生情况，</w:t>
      </w:r>
      <w:r>
        <w:rPr>
          <w:rFonts w:hint="eastAsia" w:ascii="仿宋_GB2312" w:eastAsia="仿宋_GB2312" w:cs="仿宋_GB2312"/>
          <w:sz w:val="32"/>
          <w:szCs w:val="32"/>
          <w:lang w:val="zh-CN" w:eastAsia="zh-CN"/>
        </w:rPr>
        <w:t>严格按照项目资金管理办法对资金进行计划申请、划拨、使用。</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4.项目结果。</w:t>
      </w:r>
      <w:r>
        <w:rPr>
          <w:rFonts w:hint="eastAsia" w:ascii="仿宋_GB2312" w:eastAsia="仿宋_GB2312" w:cs="仿宋_GB2312"/>
          <w:sz w:val="32"/>
          <w:szCs w:val="32"/>
          <w:lang w:val="zh-CN" w:eastAsia="zh-CN"/>
        </w:rPr>
        <w:t>以年度为周期，结合</w:t>
      </w:r>
      <w:r>
        <w:rPr>
          <w:rFonts w:hint="eastAsia" w:ascii="仿宋_GB2312" w:eastAsia="仿宋_GB2312" w:cs="仿宋_GB2312"/>
          <w:sz w:val="32"/>
          <w:szCs w:val="32"/>
          <w:lang w:val="en-US" w:eastAsia="zh-CN"/>
        </w:rPr>
        <w:t>2023年度</w:t>
      </w:r>
      <w:r>
        <w:rPr>
          <w:rFonts w:hint="eastAsia" w:ascii="仿宋_GB2312" w:eastAsia="仿宋_GB2312" w:cs="仿宋_GB2312"/>
          <w:sz w:val="32"/>
          <w:szCs w:val="32"/>
          <w:lang w:val="zh-CN" w:eastAsia="zh-CN"/>
        </w:rPr>
        <w:t>实际工作进程，稳步推进日常支出管理，已完成绩效目标任务。</w:t>
      </w:r>
    </w:p>
    <w:p>
      <w:pPr>
        <w:pageBreakBefore w:val="0"/>
        <w:widowControl w:val="0"/>
        <w:kinsoku/>
        <w:wordWrap/>
        <w:overflowPunct/>
        <w:topLinePunct w:val="0"/>
        <w:autoSpaceDE/>
        <w:autoSpaceDN/>
        <w:bidi w:val="0"/>
        <w:spacing w:line="576" w:lineRule="exact"/>
        <w:ind w:firstLine="642" w:firstLineChars="200"/>
        <w:textAlignment w:val="auto"/>
        <w:rPr>
          <w:rFonts w:hint="eastAsia" w:ascii="仿宋_GB2312" w:eastAsia="仿宋_GB2312" w:cs="仿宋_GB2312"/>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专用指标</w:t>
      </w:r>
      <w:r>
        <w:rPr>
          <w:rFonts w:hint="eastAsia" w:ascii="仿宋_GB2312" w:eastAsia="仿宋_GB2312" w:cs="仿宋_GB2312"/>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1.产业发展。</w:t>
      </w:r>
      <w:r>
        <w:rPr>
          <w:rFonts w:hint="eastAsia" w:ascii="仿宋_GB2312" w:eastAsia="仿宋_GB2312" w:cs="仿宋_GB2312"/>
          <w:sz w:val="32"/>
          <w:szCs w:val="32"/>
          <w:lang w:eastAsia="zh-CN"/>
        </w:rPr>
        <w:t>该项目不涉及产业发展。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2.</w:t>
      </w:r>
      <w:r>
        <w:rPr>
          <w:rFonts w:hint="eastAsia" w:ascii="仿宋_GB2312" w:eastAsia="仿宋_GB2312" w:cs="仿宋_GB2312"/>
          <w:sz w:val="32"/>
          <w:szCs w:val="32"/>
          <w:lang w:val="zh-CN"/>
        </w:rPr>
        <w:t>民生保障。</w:t>
      </w:r>
      <w:r>
        <w:rPr>
          <w:rFonts w:hint="eastAsia" w:ascii="仿宋_GB2312" w:eastAsia="仿宋_GB2312" w:cs="仿宋_GB2312"/>
          <w:sz w:val="32"/>
          <w:szCs w:val="32"/>
          <w:lang w:eastAsia="zh-CN"/>
        </w:rPr>
        <w:t>该项目不属于民生保障项目。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3.基础设施。</w:t>
      </w:r>
      <w:r>
        <w:rPr>
          <w:rFonts w:hint="eastAsia" w:ascii="仿宋_GB2312" w:eastAsia="仿宋_GB2312" w:cs="仿宋_GB2312"/>
          <w:sz w:val="32"/>
          <w:szCs w:val="32"/>
          <w:lang w:eastAsia="zh-CN"/>
        </w:rPr>
        <w:t>该项目不属于基础设施项目。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sz w:val="32"/>
          <w:szCs w:val="32"/>
          <w:lang w:val="zh-CN"/>
        </w:rPr>
        <w:t>行政运转。</w:t>
      </w:r>
      <w:r>
        <w:rPr>
          <w:rFonts w:hint="eastAsia" w:ascii="仿宋_GB2312" w:eastAsia="仿宋_GB2312" w:cs="仿宋_GB2312"/>
          <w:sz w:val="32"/>
          <w:szCs w:val="32"/>
          <w:lang w:val="zh-CN" w:eastAsia="zh-CN"/>
        </w:rPr>
        <w:t>以年度为周期，结合</w:t>
      </w:r>
      <w:r>
        <w:rPr>
          <w:rFonts w:hint="eastAsia" w:ascii="仿宋_GB2312" w:eastAsia="仿宋_GB2312" w:cs="仿宋_GB2312"/>
          <w:sz w:val="32"/>
          <w:szCs w:val="32"/>
          <w:lang w:val="en-US" w:eastAsia="zh-CN"/>
        </w:rPr>
        <w:t>2023年度</w:t>
      </w:r>
      <w:r>
        <w:rPr>
          <w:rFonts w:hint="eastAsia" w:ascii="仿宋_GB2312" w:eastAsia="仿宋_GB2312" w:cs="仿宋_GB2312"/>
          <w:sz w:val="32"/>
          <w:szCs w:val="32"/>
          <w:lang w:val="zh-CN" w:eastAsia="zh-CN"/>
        </w:rPr>
        <w:t>实际工作进程，稳步推进日常支出管理，已完成绩效目标任务。</w:t>
      </w:r>
    </w:p>
    <w:p>
      <w:pPr>
        <w:pageBreakBefore w:val="0"/>
        <w:widowControl w:val="0"/>
        <w:kinsoku/>
        <w:wordWrap/>
        <w:overflowPunct/>
        <w:topLinePunct w:val="0"/>
        <w:autoSpaceDE/>
        <w:autoSpaceDN/>
        <w:bidi w:val="0"/>
        <w:spacing w:line="576" w:lineRule="exact"/>
        <w:ind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个性指标</w:t>
      </w:r>
      <w:r>
        <w:rPr>
          <w:rFonts w:hint="eastAsia" w:ascii="仿宋_GB2312" w:eastAsia="仿宋_GB2312" w:cs="仿宋_GB2312"/>
          <w:b/>
          <w:bCs/>
          <w:color w:val="000000"/>
          <w:kern w:val="0"/>
          <w:sz w:val="32"/>
          <w:szCs w:val="32"/>
          <w:shd w:val="clear" w:color="auto" w:fill="FFFFFF"/>
          <w:lang w:val="zh-CN"/>
        </w:rPr>
        <w:t>绩效分析。</w:t>
      </w:r>
      <w:r>
        <w:rPr>
          <w:rFonts w:hint="eastAsia" w:ascii="仿宋_GB2312" w:eastAsia="仿宋_GB2312" w:cs="仿宋_GB2312"/>
          <w:sz w:val="32"/>
          <w:szCs w:val="32"/>
          <w:lang w:val="en-US" w:eastAsia="zh-CN"/>
        </w:rPr>
        <w:t>无</w:t>
      </w:r>
    </w:p>
    <w:p>
      <w:pPr>
        <w:pStyle w:val="7"/>
        <w:pageBreakBefore w:val="0"/>
        <w:widowControl w:val="0"/>
        <w:tabs>
          <w:tab w:val="left" w:pos="2160"/>
        </w:tabs>
        <w:kinsoku/>
        <w:wordWrap/>
        <w:overflowPunct/>
        <w:topLinePunct w:val="0"/>
        <w:autoSpaceDE/>
        <w:autoSpaceDN/>
        <w:bidi w:val="0"/>
        <w:spacing w:line="576" w:lineRule="exact"/>
        <w:ind w:firstLine="640" w:firstLineChars="200"/>
        <w:textAlignment w:val="auto"/>
        <w:rPr>
          <w:rFonts w:hint="eastAsia" w:ascii="黑体" w:eastAsia="黑体" w:cs="黑体"/>
          <w:sz w:val="32"/>
          <w:szCs w:val="32"/>
          <w:lang w:eastAsia="zh-CN"/>
        </w:rPr>
      </w:pPr>
      <w:r>
        <w:rPr>
          <w:rFonts w:hint="eastAsia" w:ascii="黑体" w:eastAsia="黑体" w:cs="黑体"/>
          <w:sz w:val="32"/>
          <w:szCs w:val="32"/>
          <w:lang w:eastAsia="zh-CN"/>
        </w:rPr>
        <w:t>四、评价结论</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通过综合评价，一是在项目决策方面，能够做到切合实际、科学合理决策，二是在项目管理方面能够做到自觉接受监督、公开透明并强化后续跟踪管理，三是在项目绩效方面实现了项目预期目的，保障了</w:t>
      </w:r>
      <w:r>
        <w:rPr>
          <w:rFonts w:hint="eastAsia" w:ascii="仿宋_GB2312" w:eastAsia="仿宋_GB2312" w:cs="仿宋_GB2312"/>
          <w:sz w:val="32"/>
          <w:szCs w:val="32"/>
          <w:lang w:val="en-US" w:eastAsia="zh-CN"/>
        </w:rPr>
        <w:t>我办</w:t>
      </w:r>
      <w:r>
        <w:rPr>
          <w:rFonts w:hint="eastAsia" w:ascii="仿宋_GB2312" w:eastAsia="仿宋_GB2312" w:cs="仿宋_GB2312"/>
          <w:sz w:val="32"/>
          <w:szCs w:val="32"/>
          <w:lang w:val="zh-CN" w:eastAsia="zh-CN"/>
        </w:rPr>
        <w:t>工作正常开展。</w:t>
      </w:r>
    </w:p>
    <w:p>
      <w:pPr>
        <w:pStyle w:val="7"/>
        <w:pageBreakBefore w:val="0"/>
        <w:widowControl w:val="0"/>
        <w:tabs>
          <w:tab w:val="left" w:pos="2160"/>
        </w:tabs>
        <w:kinsoku/>
        <w:wordWrap/>
        <w:overflowPunct/>
        <w:topLinePunct w:val="0"/>
        <w:autoSpaceDE/>
        <w:autoSpaceDN/>
        <w:bidi w:val="0"/>
        <w:spacing w:line="576" w:lineRule="exact"/>
        <w:ind w:firstLine="640" w:firstLineChars="200"/>
        <w:textAlignment w:val="auto"/>
        <w:rPr>
          <w:rFonts w:hint="eastAsia" w:ascii="黑体" w:eastAsia="黑体" w:cs="黑体"/>
          <w:sz w:val="32"/>
          <w:szCs w:val="32"/>
          <w:lang w:eastAsia="zh-CN"/>
        </w:rPr>
      </w:pPr>
      <w:r>
        <w:rPr>
          <w:rFonts w:hint="eastAsia" w:ascii="黑体" w:eastAsia="黑体" w:cs="黑体"/>
          <w:sz w:val="32"/>
          <w:szCs w:val="32"/>
          <w:lang w:eastAsia="zh-CN"/>
        </w:rPr>
        <w:t>五、存在主要问题</w:t>
      </w:r>
    </w:p>
    <w:p>
      <w:pPr>
        <w:keepNext w:val="0"/>
        <w:keepLines w:val="0"/>
        <w:pageBreakBefore w:val="0"/>
        <w:widowControl/>
        <w:suppressLineNumbers w:val="0"/>
        <w:kinsoku/>
        <w:wordWrap/>
        <w:overflowPunct/>
        <w:topLinePunct w:val="0"/>
        <w:autoSpaceDE/>
        <w:autoSpaceDN/>
        <w:bidi w:val="0"/>
        <w:spacing w:line="576" w:lineRule="exact"/>
        <w:ind w:firstLine="640" w:firstLineChars="200"/>
        <w:jc w:val="left"/>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受相关不可预见因素影响，无法准确预计机关运行成本费用，导致部门预算申报不够准确一定程度上影响了工作的正常开展。</w:t>
      </w:r>
    </w:p>
    <w:p>
      <w:pPr>
        <w:pStyle w:val="7"/>
        <w:pageBreakBefore w:val="0"/>
        <w:widowControl w:val="0"/>
        <w:tabs>
          <w:tab w:val="left" w:pos="2160"/>
        </w:tabs>
        <w:kinsoku/>
        <w:wordWrap/>
        <w:overflowPunct/>
        <w:topLinePunct w:val="0"/>
        <w:autoSpaceDE/>
        <w:autoSpaceDN/>
        <w:bidi w:val="0"/>
        <w:spacing w:line="576" w:lineRule="exact"/>
        <w:ind w:firstLine="640" w:firstLineChars="200"/>
        <w:textAlignment w:val="auto"/>
        <w:rPr>
          <w:rFonts w:hint="eastAsia" w:ascii="黑体" w:eastAsia="黑体" w:cs="黑体"/>
          <w:sz w:val="32"/>
          <w:szCs w:val="32"/>
          <w:lang w:val="zh-CN" w:eastAsia="zh-CN"/>
        </w:rPr>
      </w:pPr>
      <w:r>
        <w:rPr>
          <w:rFonts w:hint="eastAsia" w:ascii="黑体" w:eastAsia="黑体" w:cs="黑体"/>
          <w:sz w:val="32"/>
          <w:szCs w:val="32"/>
          <w:lang w:val="zh-CN" w:eastAsia="zh-CN"/>
        </w:rPr>
        <w:t>六、改进建议</w:t>
      </w:r>
    </w:p>
    <w:p>
      <w:pPr>
        <w:pStyle w:val="7"/>
        <w:keepNext w:val="0"/>
        <w:keepLines w:val="0"/>
        <w:pageBreakBefore w:val="0"/>
        <w:widowControl w:val="0"/>
        <w:tabs>
          <w:tab w:val="left" w:pos="2160"/>
        </w:tabs>
        <w:kinsoku/>
        <w:wordWrap/>
        <w:overflowPunct/>
        <w:topLinePunct w:val="0"/>
        <w:autoSpaceDE/>
        <w:autoSpaceDN/>
        <w:bidi w:val="0"/>
        <w:spacing w:line="576" w:lineRule="exact"/>
        <w:ind w:left="0" w:firstLine="640"/>
        <w:textAlignment w:val="auto"/>
        <w:rPr>
          <w:rFonts w:hint="eastAsia" w:ascii="仿宋_GB2312" w:eastAsia="仿宋_GB2312" w:cs="仿宋_GB2312"/>
          <w:b w:val="0"/>
          <w:bCs w:val="0"/>
          <w:sz w:val="32"/>
          <w:szCs w:val="32"/>
          <w:lang w:val="zh-CN" w:eastAsia="zh-CN"/>
        </w:rPr>
      </w:pPr>
      <w:r>
        <w:rPr>
          <w:rFonts w:hint="eastAsia" w:ascii="仿宋_GB2312" w:eastAsia="仿宋_GB2312" w:cs="仿宋_GB2312"/>
          <w:b w:val="0"/>
          <w:bCs w:val="0"/>
          <w:sz w:val="32"/>
          <w:szCs w:val="32"/>
          <w:lang w:val="zh-CN" w:eastAsia="zh-CN"/>
        </w:rPr>
        <w:t>按照实际工作安排，做到尽早谋划，提前规划，减少年中专项预算的追加。</w:t>
      </w:r>
    </w:p>
    <w:p>
      <w:pPr>
        <w:pStyle w:val="7"/>
        <w:keepNext w:val="0"/>
        <w:keepLines w:val="0"/>
        <w:pageBreakBefore w:val="0"/>
        <w:widowControl w:val="0"/>
        <w:tabs>
          <w:tab w:val="left" w:pos="2160"/>
        </w:tabs>
        <w:kinsoku/>
        <w:wordWrap/>
        <w:overflowPunct/>
        <w:topLinePunct w:val="0"/>
        <w:autoSpaceDE/>
        <w:autoSpaceDN/>
        <w:bidi w:val="0"/>
        <w:spacing w:line="576" w:lineRule="exact"/>
        <w:ind w:left="0" w:firstLine="640"/>
        <w:textAlignment w:val="auto"/>
        <w:rPr>
          <w:rFonts w:hint="eastAsia" w:ascii="仿宋_GB2312" w:eastAsia="仿宋_GB2312" w:cs="仿宋_GB2312"/>
          <w:b w:val="0"/>
          <w:bCs w:val="0"/>
          <w:sz w:val="32"/>
          <w:szCs w:val="32"/>
          <w:lang w:val="zh-CN" w:eastAsia="zh-CN"/>
        </w:rPr>
      </w:pP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办公经费和视频会议室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中国共产党茂县委员会办公室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eastAsia" w:ascii="宋体" w:eastAsia="宋体" w:cs="宋体"/>
                <w:color w:val="000000"/>
                <w:sz w:val="24"/>
                <w:szCs w:val="24"/>
                <w:lang w:eastAsia="zh-CN"/>
              </w:rPr>
            </w:pPr>
            <w:r>
              <w:rPr>
                <w:rFonts w:ascii="Arial" w:hAnsi="Arial" w:eastAsia="宋体" w:cs="Arial"/>
                <w:i w:val="0"/>
                <w:iCs w:val="0"/>
                <w:caps w:val="0"/>
                <w:smallCaps w:val="0"/>
                <w:color w:val="333333"/>
                <w:spacing w:val="0"/>
                <w:sz w:val="19"/>
                <w:szCs w:val="19"/>
                <w:shd w:val="clear" w:color="auto" w:fill="FFFFFF"/>
              </w:rPr>
              <w:t>常规</w:t>
            </w:r>
            <w:r>
              <w:rPr>
                <w:rFonts w:hint="eastAsia" w:ascii="Arial" w:hAnsi="Arial" w:eastAsia="宋体" w:cs="Arial"/>
                <w:i w:val="0"/>
                <w:iCs w:val="0"/>
                <w:caps w:val="0"/>
                <w:smallCaps w:val="0"/>
                <w:color w:val="333333"/>
                <w:spacing w:val="0"/>
                <w:sz w:val="19"/>
                <w:szCs w:val="19"/>
                <w:shd w:val="clear" w:color="auto" w:fill="FFFFFF"/>
                <w:lang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eastAsia="宋体" w:cs="宋体"/>
                <w:color w:val="000000"/>
                <w:sz w:val="24"/>
                <w:szCs w:val="24"/>
                <w:lang w:val="en-US"/>
              </w:rPr>
            </w:pPr>
            <w:r>
              <w:rPr>
                <w:rFonts w:hint="eastAsia" w:ascii="宋体" w:eastAsia="宋体" w:cs="宋体"/>
                <w:color w:val="000000"/>
                <w:sz w:val="24"/>
                <w:szCs w:val="24"/>
                <w:lang w:val="en-US" w:eastAsia="zh-CN"/>
              </w:rPr>
              <w:t>根据我办“三重一大”决策制度及政府要求相关文件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rPr>
              <w:t>根据我单位职能职责结合2023年度重点工作，保障机关日常工作运转</w:t>
            </w:r>
            <w:r>
              <w:rPr>
                <w:rFonts w:hint="eastAsia" w:ascii="宋体" w:eastAsia="宋体" w:cs="宋体"/>
                <w:color w:val="000000"/>
                <w:sz w:val="24"/>
                <w:szCs w:val="24"/>
                <w:lang w:val="en-US" w:eastAsia="zh-CN"/>
              </w:rPr>
              <w:t>相关办公费支出以及视频会议室项目相关支出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766"/>
              </w:tabs>
              <w:spacing w:line="300" w:lineRule="exact"/>
              <w:ind w:firstLine="960" w:firstLineChars="400"/>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228.36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499"/>
              </w:tabs>
              <w:spacing w:line="300" w:lineRule="exact"/>
              <w:ind w:firstLine="960" w:firstLineChars="400"/>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228.36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资金使用效率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保障日常工作有序开展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eastAsia="zh-CN"/>
              </w:rPr>
            </w:pPr>
            <w:r>
              <w:rPr>
                <w:rFonts w:ascii="Arial" w:hAnsi="Arial" w:eastAsia="宋体" w:cs="Arial"/>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Arial" w:hAnsi="Arial" w:eastAsia="宋体" w:cs="Arial"/>
                <w:color w:val="000000"/>
                <w:sz w:val="24"/>
                <w:szCs w:val="24"/>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限定时间内完成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经济效益</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资金使用效益率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服务效能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好</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服务对象</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单位职工满意度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rPr>
            </w:pPr>
            <w:r>
              <w:rPr>
                <w:rFonts w:ascii="Arial" w:hAnsi="Arial" w:eastAsia="宋体" w:cs="Arial"/>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eastAsia="zh-CN"/>
              </w:rPr>
            </w:pPr>
            <w:r>
              <w:rPr>
                <w:rFonts w:hint="eastAsia" w:ascii="Arial" w:hAnsi="Arial" w:eastAsia="宋体" w:cs="Arial"/>
                <w:color w:val="000000"/>
                <w:sz w:val="24"/>
                <w:szCs w:val="24"/>
                <w:lang w:val="en-US" w:eastAsia="zh-CN"/>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经济成本</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工作经费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228.36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bl>
    <w:p>
      <w:pPr>
        <w:pStyle w:val="9"/>
        <w:spacing w:after="0" w:line="578" w:lineRule="exact"/>
        <w:ind w:left="0" w:leftChars="0" w:firstLine="0" w:firstLineChars="0"/>
        <w:rPr>
          <w:rFonts w:ascii="黑体" w:eastAsia="黑体" w:cs="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3"/>
        <w:jc w:val="center"/>
        <w:rPr>
          <w:rFonts w:ascii="黑体" w:eastAsia="黑体" w:cs="黑体"/>
        </w:rPr>
      </w:pPr>
      <w:bookmarkStart w:id="91" w:name="_Toc10808"/>
      <w:r>
        <w:rPr>
          <w:rFonts w:hint="eastAsia" w:ascii="黑体" w:eastAsia="黑体" w:cs="黑体"/>
        </w:rPr>
        <w:t>第五部分 附表</w:t>
      </w:r>
      <w:bookmarkEnd w:id="90"/>
      <w:bookmarkEnd w:id="91"/>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2" w:name="_Toc26370"/>
      <w:bookmarkStart w:id="93" w:name="_Toc24170"/>
      <w:bookmarkStart w:id="94" w:name="_Toc12986"/>
      <w:r>
        <w:rPr>
          <w:rFonts w:hint="eastAsia" w:ascii="仿宋" w:eastAsia="仿宋" w:cs="Times New Roman"/>
          <w:b w:val="0"/>
          <w:color w:val="000000"/>
          <w:kern w:val="2"/>
          <w:sz w:val="32"/>
          <w:szCs w:val="32"/>
          <w:lang w:bidi="ar-SA"/>
        </w:rPr>
        <w:t>一、收入支出决算总表</w:t>
      </w:r>
      <w:bookmarkEnd w:id="92"/>
      <w:bookmarkEnd w:id="93"/>
      <w:bookmarkEnd w:id="94"/>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5" w:name="_Toc13062"/>
      <w:bookmarkStart w:id="96" w:name="_Toc13591"/>
      <w:bookmarkStart w:id="97" w:name="_Toc6676"/>
      <w:r>
        <w:rPr>
          <w:rFonts w:hint="eastAsia" w:ascii="仿宋" w:eastAsia="仿宋" w:cs="Times New Roman"/>
          <w:b w:val="0"/>
          <w:color w:val="000000"/>
          <w:kern w:val="2"/>
          <w:sz w:val="32"/>
          <w:szCs w:val="32"/>
          <w:lang w:bidi="ar-SA"/>
        </w:rPr>
        <w:t>二、收入决算表</w:t>
      </w:r>
      <w:bookmarkEnd w:id="95"/>
      <w:bookmarkEnd w:id="96"/>
      <w:bookmarkEnd w:id="97"/>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8" w:name="_Toc16600"/>
      <w:bookmarkStart w:id="99" w:name="_Toc4743"/>
      <w:bookmarkStart w:id="100" w:name="_Toc29688"/>
      <w:r>
        <w:rPr>
          <w:rFonts w:hint="eastAsia" w:ascii="仿宋" w:eastAsia="仿宋" w:cs="Times New Roman"/>
          <w:b w:val="0"/>
          <w:color w:val="000000"/>
          <w:kern w:val="2"/>
          <w:sz w:val="32"/>
          <w:szCs w:val="32"/>
          <w:lang w:bidi="ar-SA"/>
        </w:rPr>
        <w:t>三、支出决算表</w:t>
      </w:r>
      <w:bookmarkEnd w:id="98"/>
      <w:bookmarkEnd w:id="99"/>
      <w:bookmarkEnd w:id="100"/>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1" w:name="_Toc26630"/>
      <w:bookmarkStart w:id="102" w:name="_Toc5964"/>
      <w:bookmarkStart w:id="103" w:name="_Toc19017"/>
      <w:r>
        <w:rPr>
          <w:rFonts w:hint="eastAsia" w:ascii="仿宋" w:eastAsia="仿宋" w:cs="Times New Roman"/>
          <w:b w:val="0"/>
          <w:color w:val="000000"/>
          <w:kern w:val="2"/>
          <w:sz w:val="32"/>
          <w:szCs w:val="32"/>
          <w:lang w:bidi="ar-SA"/>
        </w:rPr>
        <w:t>四、财政拨款收入支出决算总表</w:t>
      </w:r>
      <w:bookmarkEnd w:id="101"/>
      <w:bookmarkEnd w:id="102"/>
      <w:bookmarkEnd w:id="103"/>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4" w:name="_Toc19934"/>
      <w:bookmarkStart w:id="105" w:name="_Toc5476"/>
      <w:bookmarkStart w:id="106" w:name="_Toc14273"/>
      <w:r>
        <w:rPr>
          <w:rFonts w:hint="eastAsia" w:ascii="仿宋" w:eastAsia="仿宋" w:cs="Times New Roman"/>
          <w:b w:val="0"/>
          <w:color w:val="000000"/>
          <w:kern w:val="2"/>
          <w:sz w:val="32"/>
          <w:szCs w:val="32"/>
          <w:lang w:bidi="ar-SA"/>
        </w:rPr>
        <w:t>五、财政拨款支出决算明细表</w:t>
      </w:r>
      <w:bookmarkEnd w:id="104"/>
      <w:bookmarkEnd w:id="105"/>
      <w:bookmarkEnd w:id="106"/>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7" w:name="_Toc7132"/>
      <w:bookmarkStart w:id="108" w:name="_Toc16449"/>
      <w:bookmarkStart w:id="109" w:name="_Toc6686"/>
      <w:r>
        <w:rPr>
          <w:rFonts w:hint="eastAsia" w:ascii="仿宋" w:eastAsia="仿宋" w:cs="Times New Roman"/>
          <w:b w:val="0"/>
          <w:color w:val="000000"/>
          <w:kern w:val="2"/>
          <w:sz w:val="32"/>
          <w:szCs w:val="32"/>
          <w:lang w:bidi="ar-SA"/>
        </w:rPr>
        <w:t>六、一般公共预算财政拨款支出决算表</w:t>
      </w:r>
      <w:bookmarkEnd w:id="107"/>
      <w:bookmarkEnd w:id="108"/>
      <w:bookmarkEnd w:id="109"/>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0" w:name="_Toc3478"/>
      <w:bookmarkStart w:id="111" w:name="_Toc19514"/>
      <w:bookmarkStart w:id="112" w:name="_Toc21582"/>
      <w:r>
        <w:rPr>
          <w:rFonts w:hint="eastAsia" w:ascii="仿宋" w:eastAsia="仿宋" w:cs="Times New Roman"/>
          <w:b w:val="0"/>
          <w:color w:val="000000"/>
          <w:kern w:val="2"/>
          <w:sz w:val="32"/>
          <w:szCs w:val="32"/>
          <w:lang w:bidi="ar-SA"/>
        </w:rPr>
        <w:t>七、一般公共预算财政拨款支出决算明细表</w:t>
      </w:r>
      <w:bookmarkEnd w:id="110"/>
      <w:bookmarkEnd w:id="111"/>
      <w:bookmarkEnd w:id="112"/>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3" w:name="_Toc32214"/>
      <w:bookmarkStart w:id="114" w:name="_Toc191"/>
      <w:bookmarkStart w:id="115" w:name="_Toc17352"/>
      <w:r>
        <w:rPr>
          <w:rFonts w:hint="eastAsia" w:ascii="仿宋" w:eastAsia="仿宋" w:cs="Times New Roman"/>
          <w:b w:val="0"/>
          <w:color w:val="000000"/>
          <w:kern w:val="2"/>
          <w:sz w:val="32"/>
          <w:szCs w:val="32"/>
          <w:lang w:bidi="ar-SA"/>
        </w:rPr>
        <w:t>八、一般公共预算财政拨款基本支出决算表</w:t>
      </w:r>
      <w:bookmarkEnd w:id="113"/>
      <w:bookmarkEnd w:id="114"/>
      <w:bookmarkEnd w:id="115"/>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6" w:name="_Toc9552"/>
      <w:bookmarkStart w:id="117" w:name="_Toc5204"/>
      <w:bookmarkStart w:id="118" w:name="_Toc3726"/>
      <w:r>
        <w:rPr>
          <w:rFonts w:hint="eastAsia" w:ascii="仿宋" w:eastAsia="仿宋" w:cs="Times New Roman"/>
          <w:b w:val="0"/>
          <w:color w:val="000000"/>
          <w:kern w:val="2"/>
          <w:sz w:val="32"/>
          <w:szCs w:val="32"/>
          <w:lang w:bidi="ar-SA"/>
        </w:rPr>
        <w:t>九、一般公共预算财政拨款项目支出决算表</w:t>
      </w:r>
      <w:bookmarkEnd w:id="116"/>
      <w:bookmarkEnd w:id="117"/>
      <w:bookmarkEnd w:id="118"/>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9" w:name="_Toc11422"/>
      <w:bookmarkStart w:id="120" w:name="_Toc20056"/>
      <w:bookmarkStart w:id="121" w:name="_Toc20756"/>
      <w:r>
        <w:rPr>
          <w:rFonts w:hint="eastAsia" w:ascii="仿宋" w:eastAsia="仿宋" w:cs="Times New Roman"/>
          <w:b w:val="0"/>
          <w:color w:val="000000"/>
          <w:kern w:val="2"/>
          <w:sz w:val="32"/>
          <w:szCs w:val="32"/>
          <w:lang w:bidi="ar-SA"/>
        </w:rPr>
        <w:t>十、政府性基金预算财政拨款收入支出决算表</w:t>
      </w:r>
      <w:bookmarkEnd w:id="119"/>
      <w:bookmarkEnd w:id="120"/>
      <w:bookmarkEnd w:id="121"/>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2" w:name="_Toc8116"/>
      <w:bookmarkStart w:id="123" w:name="_Toc21387"/>
      <w:bookmarkStart w:id="124" w:name="_Toc13849"/>
      <w:r>
        <w:rPr>
          <w:rFonts w:hint="eastAsia" w:ascii="仿宋" w:eastAsia="仿宋" w:cs="Times New Roman"/>
          <w:b w:val="0"/>
          <w:color w:val="000000"/>
          <w:kern w:val="2"/>
          <w:sz w:val="32"/>
          <w:szCs w:val="32"/>
          <w:lang w:bidi="ar-SA"/>
        </w:rPr>
        <w:t>十一、国有资本经营预算财政拨款收入支出决算表</w:t>
      </w:r>
      <w:bookmarkEnd w:id="122"/>
      <w:bookmarkEnd w:id="123"/>
      <w:bookmarkEnd w:id="124"/>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5" w:name="_Toc1140"/>
      <w:bookmarkStart w:id="126" w:name="_Toc13099"/>
      <w:bookmarkStart w:id="127" w:name="_Toc25825"/>
      <w:r>
        <w:rPr>
          <w:rFonts w:hint="eastAsia" w:ascii="仿宋" w:eastAsia="仿宋" w:cs="Times New Roman"/>
          <w:b w:val="0"/>
          <w:color w:val="000000"/>
          <w:kern w:val="2"/>
          <w:sz w:val="32"/>
          <w:szCs w:val="32"/>
          <w:lang w:bidi="ar-SA"/>
        </w:rPr>
        <w:t>十二、国有资本经营预算财政拨款支出决算表</w:t>
      </w:r>
      <w:bookmarkEnd w:id="125"/>
      <w:bookmarkEnd w:id="126"/>
      <w:bookmarkEnd w:id="127"/>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8" w:name="_Toc19895"/>
      <w:bookmarkStart w:id="129" w:name="_Toc25065"/>
      <w:bookmarkStart w:id="130" w:name="_Toc24957"/>
      <w:r>
        <w:rPr>
          <w:rFonts w:hint="eastAsia" w:ascii="仿宋" w:eastAsia="仿宋" w:cs="Times New Roman"/>
          <w:b w:val="0"/>
          <w:color w:val="000000"/>
          <w:kern w:val="2"/>
          <w:sz w:val="32"/>
          <w:szCs w:val="32"/>
          <w:lang w:bidi="ar-SA"/>
        </w:rPr>
        <w:t>十三、财政拨款“三公”经费支出决算表</w:t>
      </w:r>
      <w:bookmarkEnd w:id="128"/>
      <w:bookmarkEnd w:id="129"/>
      <w:bookmarkEnd w:id="130"/>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王羲之行书体">
    <w:panose1 w:val="0201060900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A22E1"/>
    <w:multiLevelType w:val="singleLevel"/>
    <w:tmpl w:val="AC9A22E1"/>
    <w:lvl w:ilvl="0" w:tentative="0">
      <w:start w:val="2"/>
      <w:numFmt w:val="chineseCounting"/>
      <w:suff w:val="nothing"/>
      <w:lvlText w:val="（%1）"/>
      <w:lvlJc w:val="left"/>
      <w:pPr>
        <w:ind w:left="0" w:firstLine="0"/>
      </w:pPr>
      <w:rPr>
        <w:rFonts w:hint="eastAsia"/>
      </w:rPr>
    </w:lvl>
  </w:abstractNum>
  <w:abstractNum w:abstractNumId="1">
    <w:nsid w:val="C636D42A"/>
    <w:multiLevelType w:val="singleLevel"/>
    <w:tmpl w:val="C636D42A"/>
    <w:lvl w:ilvl="0" w:tentative="0">
      <w:start w:val="3"/>
      <w:numFmt w:val="chineseCounting"/>
      <w:suff w:val="nothing"/>
      <w:lvlText w:val="（%1）"/>
      <w:lvlJc w:val="left"/>
      <w:pPr>
        <w:ind w:left="0" w:firstLine="0"/>
      </w:pPr>
      <w:rPr>
        <w:rFonts w:hint="eastAsia"/>
      </w:rPr>
    </w:lvl>
  </w:abstractNum>
  <w:abstractNum w:abstractNumId="2">
    <w:nsid w:val="29497A6D"/>
    <w:multiLevelType w:val="singleLevel"/>
    <w:tmpl w:val="29497A6D"/>
    <w:lvl w:ilvl="0" w:tentative="0">
      <w:start w:val="1"/>
      <w:numFmt w:val="decimal"/>
      <w:lvlText w:val="%1."/>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zcxZDM0MjZkNjI3OGVhNjQ0OTE3ZDU0YmUxOTQ0MjEifQ=="/>
  </w:docVars>
  <w:rsids>
    <w:rsidRoot w:val="00000000"/>
    <w:rsid w:val="01916179"/>
    <w:rsid w:val="02E039E5"/>
    <w:rsid w:val="359D6D2B"/>
    <w:rsid w:val="4FCFC848"/>
    <w:rsid w:val="5A647BDD"/>
    <w:rsid w:val="5D2D04BC"/>
    <w:rsid w:val="7700053B"/>
    <w:rsid w:val="7C9ED0AA"/>
    <w:rsid w:val="FF7FD9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9"/>
    <w:qFormat/>
    <w:uiPriority w:val="0"/>
    <w:pPr>
      <w:snapToGrid w:val="0"/>
      <w:jc w:val="left"/>
    </w:pPr>
    <w:rPr>
      <w:sz w:val="18"/>
      <w:szCs w:val="1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Normal (Web)"/>
    <w:basedOn w:val="1"/>
    <w:qFormat/>
    <w:uiPriority w:val="0"/>
    <w:pPr>
      <w:spacing w:beforeAutospacing="1" w:afterAutospacing="1"/>
    </w:pPr>
    <w:rPr>
      <w:rFonts w:cs="Times New Roman"/>
      <w:sz w:val="24"/>
      <w:lang w:eastAsia="zh-CN" w:bidi="ar-SA"/>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1">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Default Paragraph Font830522c6"/>
    <w:qFormat/>
    <w:uiPriority w:val="0"/>
  </w:style>
  <w:style w:type="paragraph" w:customStyle="1" w:styleId="33">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Default Paragraph Font5"/>
    <w:qFormat/>
    <w:uiPriority w:val="0"/>
  </w:style>
  <w:style w:type="paragraph" w:customStyle="1" w:styleId="35">
    <w:name w:val="footerce85b5ec"/>
    <w:basedOn w:val="33"/>
    <w:qFormat/>
    <w:uiPriority w:val="0"/>
    <w:pPr>
      <w:tabs>
        <w:tab w:val="center" w:pos="4153"/>
        <w:tab w:val="right" w:pos="8306"/>
      </w:tabs>
      <w:snapToGrid w:val="0"/>
      <w:jc w:val="left"/>
    </w:pPr>
    <w:rPr>
      <w:kern w:val="0"/>
      <w:sz w:val="18"/>
      <w:szCs w:val="20"/>
    </w:rPr>
  </w:style>
  <w:style w:type="paragraph" w:customStyle="1" w:styleId="36">
    <w:name w:val="headerf7e0821f"/>
    <w:basedOn w:val="3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 w:type="paragraph" w:customStyle="1" w:styleId="38">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2"/>
          <c:y val="0.0088963965"/>
          <c:w val="0.8623782"/>
          <c:h val="0.8260135"/>
        </c:manualLayout>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100000">
                  <a:srgbClr val="3D6CA4">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2022年支出</c:v>
                </c:pt>
                <c:pt idx="2">
                  <c:v>2023年收入</c:v>
                </c:pt>
                <c:pt idx="3">
                  <c:v>2023年支出</c:v>
                </c:pt>
              </c:strCache>
            </c:strRef>
          </c:cat>
          <c:val>
            <c:numRef>
              <c:f>'Sheet1'!$B$2:$B$5</c:f>
              <c:numCache>
                <c:formatCode>General</c:formatCode>
                <c:ptCount val="4"/>
                <c:pt idx="0">
                  <c:v>1286.65</c:v>
                </c:pt>
                <c:pt idx="1">
                  <c:v>1286.65</c:v>
                </c:pt>
                <c:pt idx="2">
                  <c:v>1267.8</c:v>
                </c:pt>
                <c:pt idx="3">
                  <c:v>1267.8</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收入决算结构图</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572A8"/>
              </a:solidFill>
              <a:ln>
                <a:noFill/>
              </a:ln>
              <a:effectLst>
                <a:outerShdw dist="35921" dir="2700000" algn="br">
                  <a:srgbClr val="000000"/>
                </a:outerShdw>
              </a:effectLst>
            </c:spPr>
          </c:dPt>
          <c:dPt>
            <c:idx val="1"/>
            <c:bubble3D val="0"/>
            <c:spPr>
              <a:solidFill>
                <a:srgbClr val="AA4643"/>
              </a:solidFill>
              <a:ln>
                <a:noFill/>
              </a:ln>
              <a:effectLst>
                <a:outerShdw dist="35921" dir="2700000" algn="br">
                  <a:srgbClr val="000000"/>
                </a:outerShdw>
              </a:effectLst>
            </c:spPr>
          </c:dPt>
          <c:dPt>
            <c:idx val="2"/>
            <c:bubble3D val="0"/>
            <c:spPr>
              <a:solidFill>
                <a:srgbClr val="89A64E"/>
              </a:solidFill>
              <a:ln>
                <a:noFill/>
              </a:ln>
              <a:effectLst>
                <a:outerShdw dist="35921" dir="2700000" algn="br">
                  <a:srgbClr val="000000"/>
                </a:outerShdw>
              </a:effectLst>
            </c:spPr>
          </c:dPt>
          <c:dPt>
            <c:idx val="3"/>
            <c:bubble3D val="0"/>
            <c:spPr>
              <a:solidFill>
                <a:srgbClr val="715890"/>
              </a:solidFill>
              <a:ln>
                <a:noFill/>
              </a:ln>
              <a:effectLst>
                <a:outerShdw dist="35921" dir="2700000" algn="br">
                  <a:srgbClr val="000000"/>
                </a:outerShdw>
              </a:effectLst>
            </c:spPr>
          </c:dPt>
          <c:dPt>
            <c:idx val="4"/>
            <c:bubble3D val="0"/>
            <c:spPr>
              <a:solidFill>
                <a:srgbClr val="4299B0"/>
              </a:solidFill>
              <a:ln>
                <a:noFill/>
              </a:ln>
              <a:effectLst>
                <a:outerShdw dist="35921" dir="2700000" algn="br">
                  <a:srgbClr val="000000"/>
                </a:outerShdw>
              </a:effectLst>
            </c:spPr>
          </c:dPt>
          <c:dPt>
            <c:idx val="5"/>
            <c:bubble3D val="0"/>
            <c:spPr>
              <a:solidFill>
                <a:srgbClr val="DC853D"/>
              </a:solidFill>
              <a:ln>
                <a:noFill/>
              </a:ln>
              <a:effectLst>
                <a:outerShdw dist="35921" dir="2700000" algn="br">
                  <a:srgbClr val="000000"/>
                </a:outerShdw>
              </a:effectLst>
            </c:spPr>
          </c:dPt>
          <c:dPt>
            <c:idx val="6"/>
            <c:bubble3D val="0"/>
            <c:spPr>
              <a:solidFill>
                <a:srgbClr val="93AACF"/>
              </a:solidFill>
              <a:ln>
                <a:noFill/>
              </a:ln>
              <a:effectLst>
                <a:outerShdw dist="35921" dir="2700000" algn="br">
                  <a:srgbClr val="000000"/>
                </a:outerShdw>
              </a:effectLst>
            </c:spPr>
          </c:dPt>
          <c:dPt>
            <c:idx val="7"/>
            <c:bubble3D val="0"/>
            <c:spPr>
              <a:solidFill>
                <a:srgbClr val="D19493"/>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上级上缴支出</c:v>
                </c:pt>
                <c:pt idx="3">
                  <c:v>经营支出</c:v>
                </c:pt>
                <c:pt idx="4">
                  <c:v>对附属单位补助支出</c:v>
                </c:pt>
              </c:strCache>
            </c:strRef>
          </c:cat>
          <c:val>
            <c:numRef>
              <c:f>'Sheet1 (3)'!$B$2:$B$6</c:f>
              <c:numCache>
                <c:formatCode>General</c:formatCode>
                <c:ptCount val="5"/>
                <c:pt idx="0">
                  <c:v>927.49</c:v>
                </c:pt>
                <c:pt idx="1">
                  <c:v>171.61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
          <c:y val="0.01225991"/>
          <c:w val="0.8623782"/>
          <c:h val="0.8260135"/>
        </c:manualLayout>
      </c:layout>
      <c:barChart>
        <c:barDir val="col"/>
        <c:grouping val="clustered"/>
        <c:varyColors val="0"/>
        <c:ser>
          <c:idx val="0"/>
          <c:order val="0"/>
          <c:tx>
            <c:strRef>
              <c:f>'Sheet1 (4)'!$B$1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2023年收入</c:v>
                </c:pt>
                <c:pt idx="1">
                  <c:v>2023年支出</c:v>
                </c:pt>
                <c:pt idx="2">
                  <c:v>2022年收入</c:v>
                </c:pt>
                <c:pt idx="3">
                  <c:v>2022年支出</c:v>
                </c:pt>
              </c:strCache>
            </c:strRef>
          </c:cat>
          <c:val>
            <c:numRef>
              <c:f>'Sheet1 (4)'!$B$2:$B$5</c:f>
              <c:numCache>
                <c:formatCode>General</c:formatCode>
                <c:ptCount val="4"/>
                <c:pt idx="0">
                  <c:v>1267.8</c:v>
                </c:pt>
                <c:pt idx="1">
                  <c:v>1267.8</c:v>
                </c:pt>
                <c:pt idx="2">
                  <c:v>1286.65</c:v>
                </c:pt>
                <c:pt idx="3">
                  <c:v>1286.65</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2"/>
          <c:y val="0.040242426"/>
          <c:w val="0.8623782"/>
          <c:h val="0.8260135"/>
        </c:manualLayout>
      </c:layout>
      <c:barChart>
        <c:barDir val="col"/>
        <c:grouping val="clustered"/>
        <c:varyColors val="0"/>
        <c:ser>
          <c:idx val="0"/>
          <c:order val="0"/>
          <c:tx>
            <c:strRef>
              <c:f>'Sheet1 (5)'!$B$1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2023年</c:v>
                </c:pt>
                <c:pt idx="1">
                  <c:v>2022年</c:v>
                </c:pt>
              </c:strCache>
            </c:strRef>
          </c:cat>
          <c:val>
            <c:numRef>
              <c:f>'Sheet1 (5)'!$B$2:$B$3</c:f>
              <c:numCache>
                <c:formatCode>General</c:formatCode>
                <c:ptCount val="2"/>
                <c:pt idx="0">
                  <c:v>1267.8</c:v>
                </c:pt>
                <c:pt idx="1">
                  <c:v>1286.65</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一般公共服务支出79.13%</c:v>
                </c:pt>
                <c:pt idx="1">
                  <c:v>社会保障和就业支出10.69%</c:v>
                </c:pt>
                <c:pt idx="2">
                  <c:v>卫生健康支出4.68%</c:v>
                </c:pt>
                <c:pt idx="3">
                  <c:v>住房保障支出5.5%</c:v>
                </c:pt>
              </c:strCache>
            </c:strRef>
          </c:cat>
          <c:val>
            <c:numRef>
              <c:f>'Sheet1 (6)'!$B$2:$B$5</c:f>
              <c:numCache>
                <c:formatCode>General</c:formatCode>
                <c:ptCount val="4"/>
                <c:pt idx="0">
                  <c:v>1003.2</c:v>
                </c:pt>
                <c:pt idx="1">
                  <c:v>135.59</c:v>
                </c:pt>
                <c:pt idx="2">
                  <c:v>59.32</c:v>
                </c:pt>
                <c:pt idx="3">
                  <c:v>69.69</c:v>
                </c:pt>
              </c:numCache>
            </c:numRef>
          </c:val>
        </c:ser>
        <c:ser>
          <c:idx val="1"/>
          <c:order val="1"/>
          <c:spPr>
            <a:ln>
              <a:noFill/>
            </a:ln>
          </c:spPr>
          <c:explosion val="0"/>
          <c:dPt>
            <c:idx val="0"/>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一般公共服务支出79.13%</c:v>
                </c:pt>
                <c:pt idx="1">
                  <c:v>社会保障和就业支出10.69%</c:v>
                </c:pt>
                <c:pt idx="2">
                  <c:v>卫生健康支出4.68%</c:v>
                </c:pt>
                <c:pt idx="3">
                  <c:v>住房保障支出5.5%</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c:spPr>
    </c:plotArea>
    <c:legend>
      <c:legendPos val="r"/>
      <c:layout>
        <c:manualLayout>
          <c:xMode val="edge"/>
          <c:yMode val="edge"/>
          <c:x val="0.67723846"/>
          <c:y val="0.084125675"/>
          <c:w val="0.31807625"/>
          <c:h val="0.86161566"/>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(7)'!$A$2:$A$5</c:f>
              <c:strCache>
                <c:ptCount val="4"/>
                <c:pt idx="0">
                  <c:v>公务接待费0.22%</c:v>
                </c:pt>
                <c:pt idx="1">
                  <c:v>公务用车购置费0%</c:v>
                </c:pt>
                <c:pt idx="2">
                  <c:v>公车运行维护费82.74%</c:v>
                </c:pt>
                <c:pt idx="3">
                  <c:v>因公出国（境）费17.03%</c:v>
                </c:pt>
              </c:strCache>
            </c:strRef>
          </c:cat>
          <c:val>
            <c:numRef>
              <c:f>'Sheet1 (7)'!$B$2:$B$5</c:f>
              <c:numCache>
                <c:formatCode>General</c:formatCode>
                <c:ptCount val="4"/>
                <c:pt idx="0">
                  <c:v>0.23</c:v>
                </c:pt>
                <c:pt idx="1">
                  <c:v>0</c:v>
                </c:pt>
                <c:pt idx="2">
                  <c:v>85.36</c:v>
                </c:pt>
                <c:pt idx="3">
                  <c:v>17.57</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32</Pages>
  <Words>12058</Words>
  <Characters>13298</Characters>
  <Lines>896</Lines>
  <Paragraphs>443</Paragraphs>
  <TotalTime>15</TotalTime>
  <ScaleCrop>false</ScaleCrop>
  <LinksUpToDate>false</LinksUpToDate>
  <CharactersWithSpaces>13397</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2022-08-18T01:31:00Z</dcterms:created>
  <dc:creator>lgk</dc:creator>
  <cp:lastModifiedBy>user</cp:lastModifiedBy>
  <cp:lastPrinted>2024-09-24T01:00:00Z</cp:lastPrinted>
  <dcterms:modified xsi:type="dcterms:W3CDTF">2026-04-22T10:42:09Z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B93CA6F4BEAD4F359769D1203595D585</vt:lpwstr>
  </property>
  <property fmtid="{D5CDD505-2E9C-101B-9397-08002B2CF9AE}" pid="4" name="KSOTemplateDocerSaveRecord">
    <vt:lpwstr>eyJoZGlkIjoiMTMzYTk5OTM1YzU1ZjA0ZDMzMjM1YTkxZGYzMTA5NTQiLCJ1c2VySWQiOiIxMDM5NDYxNjA2In0=</vt:lpwstr>
  </property>
</Properties>
</file>