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EDF54">
      <w:pPr>
        <w:rPr>
          <w:rFonts w:ascii="宋体" w:eastAsia="宋体"/>
          <w:b/>
          <w:sz w:val="72"/>
          <w:szCs w:val="72"/>
        </w:rPr>
      </w:pPr>
      <w:bookmarkStart w:id="0" w:name="_Toc15306267"/>
      <w:bookmarkStart w:id="1" w:name="_Toc15377425"/>
      <w:bookmarkStart w:id="2" w:name="_Toc15377193"/>
      <w:bookmarkStart w:id="3" w:name="_Toc15396475"/>
      <w:bookmarkStart w:id="4" w:name="_Toc15396597"/>
      <w:bookmarkStart w:id="5" w:name="_Toc15378441"/>
    </w:p>
    <w:p w14:paraId="44B05B90">
      <w:pPr>
        <w:pStyle w:val="2"/>
        <w:ind w:firstLine="0"/>
      </w:pPr>
    </w:p>
    <w:bookmarkEnd w:id="0"/>
    <w:bookmarkEnd w:id="1"/>
    <w:bookmarkEnd w:id="2"/>
    <w:bookmarkEnd w:id="3"/>
    <w:bookmarkEnd w:id="4"/>
    <w:bookmarkEnd w:id="5"/>
    <w:p w14:paraId="2E13878B">
      <w:pPr>
        <w:pStyle w:val="7"/>
        <w:jc w:val="center"/>
        <w:rPr>
          <w:rFonts w:hint="eastAsia" w:ascii="方正小标宋简体" w:eastAsia="方正小标宋简体" w:cs="Times New Roman"/>
          <w:color w:val="auto"/>
          <w:kern w:val="2"/>
          <w:sz w:val="44"/>
          <w:szCs w:val="44"/>
          <w:highlight w:val="none"/>
          <w:lang w:val="en-US" w:eastAsia="zh-CN" w:bidi="ar-SA"/>
        </w:rPr>
      </w:pPr>
    </w:p>
    <w:p w14:paraId="55DE0FA3">
      <w:pPr>
        <w:pStyle w:val="7"/>
        <w:jc w:val="center"/>
        <w:rPr>
          <w:rFonts w:hint="eastAsia" w:ascii="方正小标宋简体" w:eastAsia="方正小标宋简体" w:cs="Times New Roman"/>
          <w:color w:val="auto"/>
          <w:kern w:val="2"/>
          <w:sz w:val="44"/>
          <w:szCs w:val="44"/>
          <w:highlight w:val="none"/>
          <w:lang w:val="en-US" w:eastAsia="zh-CN" w:bidi="ar-SA"/>
        </w:rPr>
      </w:pPr>
      <w:r>
        <w:rPr>
          <w:rFonts w:hint="eastAsia" w:ascii="方正小标宋简体" w:eastAsia="方正小标宋简体" w:cs="Times New Roman"/>
          <w:color w:val="auto"/>
          <w:kern w:val="2"/>
          <w:sz w:val="44"/>
          <w:szCs w:val="44"/>
          <w:highlight w:val="none"/>
          <w:lang w:val="en-US" w:eastAsia="zh-CN" w:bidi="ar-SA"/>
        </w:rPr>
        <w:t>2024年度</w:t>
      </w:r>
      <w:bookmarkStart w:id="6" w:name="_Toc15377426"/>
      <w:bookmarkStart w:id="7" w:name="_Toc15396598"/>
      <w:bookmarkStart w:id="8" w:name="_Toc15377194"/>
      <w:bookmarkStart w:id="9" w:name="_Toc15378442"/>
      <w:bookmarkStart w:id="10" w:name="_Toc15396476"/>
      <w:r>
        <w:rPr>
          <w:rFonts w:hint="eastAsia" w:ascii="方正小标宋简体" w:eastAsia="方正小标宋简体" w:cs="Times New Roman"/>
          <w:color w:val="auto"/>
          <w:kern w:val="2"/>
          <w:sz w:val="44"/>
          <w:szCs w:val="44"/>
          <w:highlight w:val="none"/>
          <w:lang w:val="en-US" w:eastAsia="zh-CN" w:bidi="ar-SA"/>
        </w:rPr>
        <w:t>四川省阿坝州茂县</w:t>
      </w:r>
      <w:bookmarkStart w:id="11" w:name="_Toc15306268"/>
      <w:r>
        <w:rPr>
          <w:rFonts w:hint="eastAsia" w:ascii="方正小标宋简体" w:eastAsia="方正小标宋简体" w:cs="Times New Roman"/>
          <w:color w:val="auto"/>
          <w:kern w:val="2"/>
          <w:sz w:val="44"/>
          <w:szCs w:val="44"/>
          <w:highlight w:val="none"/>
          <w:lang w:val="en-US" w:eastAsia="zh-CN" w:bidi="ar-SA"/>
        </w:rPr>
        <w:t>县委办公室</w:t>
      </w:r>
    </w:p>
    <w:p w14:paraId="0980EB63">
      <w:pPr>
        <w:pStyle w:val="7"/>
        <w:jc w:val="center"/>
        <w:rPr>
          <w:rFonts w:hint="eastAsia" w:ascii="方正小标宋简体" w:eastAsia="方正小标宋简体" w:cs="Times New Roman"/>
          <w:color w:val="auto"/>
          <w:kern w:val="2"/>
          <w:sz w:val="44"/>
          <w:szCs w:val="44"/>
          <w:highlight w:val="none"/>
          <w:lang w:val="en-US" w:eastAsia="zh-CN" w:bidi="ar-SA"/>
        </w:rPr>
      </w:pPr>
      <w:r>
        <w:rPr>
          <w:rFonts w:hint="eastAsia" w:ascii="方正小标宋简体" w:eastAsia="方正小标宋简体" w:cs="Times New Roman"/>
          <w:color w:val="auto"/>
          <w:kern w:val="2"/>
          <w:sz w:val="44"/>
          <w:szCs w:val="44"/>
          <w:highlight w:val="none"/>
          <w:lang w:val="en-US" w:eastAsia="zh-CN" w:bidi="ar-SA"/>
        </w:rPr>
        <w:t>（事业）部门决算</w:t>
      </w:r>
      <w:bookmarkEnd w:id="6"/>
      <w:bookmarkEnd w:id="7"/>
      <w:bookmarkEnd w:id="8"/>
      <w:bookmarkEnd w:id="9"/>
      <w:bookmarkEnd w:id="10"/>
      <w:bookmarkEnd w:id="11"/>
    </w:p>
    <w:p w14:paraId="1C79F7F1">
      <w:pPr>
        <w:pStyle w:val="2"/>
      </w:pPr>
    </w:p>
    <w:p w14:paraId="585CD875">
      <w:pPr>
        <w:pStyle w:val="2"/>
      </w:pPr>
    </w:p>
    <w:p w14:paraId="6D0C41C9">
      <w:pPr>
        <w:pStyle w:val="2"/>
      </w:pPr>
    </w:p>
    <w:p w14:paraId="49222AE1">
      <w:pPr>
        <w:pStyle w:val="2"/>
      </w:pPr>
    </w:p>
    <w:p w14:paraId="00220489">
      <w:pPr>
        <w:pStyle w:val="2"/>
      </w:pPr>
    </w:p>
    <w:p w14:paraId="705A7E09">
      <w:pPr>
        <w:pStyle w:val="2"/>
      </w:pPr>
    </w:p>
    <w:p w14:paraId="250BA1DF">
      <w:pPr>
        <w:pStyle w:val="2"/>
      </w:pPr>
    </w:p>
    <w:p w14:paraId="41E5B30D">
      <w:pPr>
        <w:pStyle w:val="2"/>
      </w:pPr>
    </w:p>
    <w:p w14:paraId="7713A87D">
      <w:pPr>
        <w:pStyle w:val="2"/>
      </w:pPr>
    </w:p>
    <w:p w14:paraId="0F8C998A">
      <w:pPr>
        <w:pStyle w:val="2"/>
        <w:tabs>
          <w:tab w:val="left" w:pos="3600"/>
        </w:tabs>
      </w:pPr>
      <w:r>
        <w:tab/>
      </w:r>
    </w:p>
    <w:p w14:paraId="3CED10E0">
      <w:pPr>
        <w:pStyle w:val="2"/>
      </w:pPr>
    </w:p>
    <w:p w14:paraId="6F7A7933">
      <w:pPr>
        <w:pStyle w:val="2"/>
      </w:pPr>
    </w:p>
    <w:p w14:paraId="53F5EF5F">
      <w:pPr>
        <w:pStyle w:val="2"/>
      </w:pPr>
    </w:p>
    <w:p w14:paraId="1A4F8C60">
      <w:pPr>
        <w:pStyle w:val="2"/>
      </w:pPr>
    </w:p>
    <w:p w14:paraId="1A8B1511">
      <w:pPr>
        <w:pStyle w:val="2"/>
      </w:pPr>
    </w:p>
    <w:p w14:paraId="2D35CC3C">
      <w:pPr>
        <w:pStyle w:val="2"/>
      </w:pPr>
    </w:p>
    <w:p w14:paraId="02B4C879">
      <w:pPr>
        <w:pStyle w:val="2"/>
      </w:pPr>
    </w:p>
    <w:p w14:paraId="1BED0B7F">
      <w:pPr>
        <w:pStyle w:val="2"/>
      </w:pPr>
    </w:p>
    <w:p w14:paraId="3FCF0657">
      <w:pPr>
        <w:pStyle w:val="2"/>
      </w:pPr>
    </w:p>
    <w:p w14:paraId="21454DFB">
      <w:pPr>
        <w:autoSpaceDE w:val="0"/>
        <w:autoSpaceDN w:val="0"/>
        <w:adjustRightInd w:val="0"/>
        <w:ind w:left="420" w:leftChars="200"/>
        <w:jc w:val="left"/>
        <w:rPr>
          <w:rFonts w:ascii="宋体"/>
          <w:sz w:val="32"/>
          <w:szCs w:val="32"/>
        </w:rPr>
      </w:pPr>
    </w:p>
    <w:p w14:paraId="2B65EBDD">
      <w:pPr>
        <w:widowControl/>
        <w:jc w:val="center"/>
        <w:rPr>
          <w:rFonts w:ascii="黑体" w:eastAsia="黑体"/>
          <w:color w:val="auto"/>
          <w:sz w:val="48"/>
          <w:szCs w:val="48"/>
          <w:highlight w:val="none"/>
        </w:rPr>
      </w:pPr>
      <w:r>
        <w:rPr>
          <w:rFonts w:ascii="方正小标宋简体" w:eastAsia="方正小标宋简体"/>
          <w:color w:val="000000"/>
          <w:sz w:val="36"/>
          <w:szCs w:val="36"/>
        </w:rPr>
        <w:br w:type="page"/>
      </w:r>
      <w:bookmarkStart w:id="12" w:name="_Toc15377196"/>
      <w:r>
        <w:rPr>
          <w:rFonts w:hint="eastAsia" w:ascii="黑体" w:eastAsia="黑体"/>
          <w:color w:val="auto"/>
          <w:sz w:val="48"/>
          <w:szCs w:val="48"/>
          <w:highlight w:val="none"/>
        </w:rPr>
        <w:t>目录</w:t>
      </w:r>
    </w:p>
    <w:p w14:paraId="76EF1702">
      <w:pPr>
        <w:widowControl/>
        <w:jc w:val="center"/>
        <w:rPr>
          <w:rFonts w:ascii="黑体" w:eastAsia="黑体" w:cs="Times New Roman"/>
          <w:color w:val="auto"/>
          <w:sz w:val="28"/>
          <w:szCs w:val="28"/>
          <w:highlight w:val="none"/>
        </w:rPr>
      </w:pPr>
    </w:p>
    <w:p w14:paraId="1F0EB3A8">
      <w:pPr>
        <w:pStyle w:val="14"/>
        <w:rPr>
          <w:color w:val="auto"/>
          <w:highlight w:val="none"/>
        </w:rPr>
      </w:pPr>
      <w:r>
        <w:rPr>
          <w:rFonts w:hint="eastAsia"/>
          <w:color w:val="auto"/>
          <w:highlight w:val="none"/>
        </w:rPr>
        <w:t>公开时间：20</w:t>
      </w:r>
      <w:r>
        <w:rPr>
          <w:rFonts w:hint="eastAsia"/>
          <w:color w:val="auto"/>
          <w:highlight w:val="none"/>
          <w:lang w:val="en-US" w:eastAsia="zh-CN"/>
        </w:rPr>
        <w:t>25</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p w14:paraId="4639CE81">
      <w:pPr>
        <w:rPr>
          <w:color w:val="auto"/>
          <w:highlight w:val="none"/>
        </w:rPr>
      </w:pPr>
    </w:p>
    <w:p w14:paraId="1CCE4FCE">
      <w:pPr>
        <w:pStyle w:val="14"/>
        <w:tabs>
          <w:tab w:val="right" w:leader="dot" w:pos="8306"/>
          <w:tab w:val="clear" w:pos="8296"/>
        </w:tabs>
      </w:pPr>
      <w:r>
        <w:rPr>
          <w:caps w:val="0"/>
          <w:smallCaps/>
          <w:sz w:val="20"/>
          <w:szCs w:val="20"/>
        </w:rPr>
        <w:fldChar w:fldCharType="begin"/>
      </w:r>
      <w:r>
        <w:rPr>
          <w:caps w:val="0"/>
          <w:smallCaps/>
          <w:sz w:val="20"/>
          <w:szCs w:val="20"/>
        </w:rPr>
        <w:instrText xml:space="preserve"> TOC \o "1-2" \h \z \u </w:instrText>
      </w:r>
      <w:r>
        <w:rPr>
          <w:caps w:val="0"/>
          <w:smallCaps/>
          <w:sz w:val="20"/>
          <w:szCs w:val="20"/>
        </w:rPr>
        <w:fldChar w:fldCharType="separate"/>
      </w:r>
      <w:r>
        <w:rPr>
          <w:caps w:val="0"/>
          <w:smallCaps/>
          <w:szCs w:val="20"/>
        </w:rPr>
        <w:fldChar w:fldCharType="begin"/>
      </w:r>
      <w:r>
        <w:rPr>
          <w:caps w:val="0"/>
          <w:smallCaps/>
          <w:szCs w:val="20"/>
        </w:rPr>
        <w:instrText xml:space="preserve"> HYPERLINK \l _Toc31649 </w:instrText>
      </w:r>
      <w:r>
        <w:rPr>
          <w:caps w:val="0"/>
          <w:smallCaps/>
          <w:szCs w:val="20"/>
        </w:rPr>
        <w:fldChar w:fldCharType="separate"/>
      </w:r>
      <w:r>
        <w:rPr>
          <w:rFonts w:hint="eastAsia" w:ascii="方正小标宋简体" w:hAnsi="方正小标宋简体" w:eastAsia="方正小标宋简体" w:cs="方正小标宋简体"/>
        </w:rPr>
        <w:t>第一部分 部门概况</w:t>
      </w:r>
      <w:r>
        <w:tab/>
      </w:r>
      <w:r>
        <w:fldChar w:fldCharType="begin"/>
      </w:r>
      <w:r>
        <w:instrText xml:space="preserve"> PAGEREF _Toc31649 \h </w:instrText>
      </w:r>
      <w:r>
        <w:fldChar w:fldCharType="separate"/>
      </w:r>
      <w:r>
        <w:t>3</w:t>
      </w:r>
      <w:r>
        <w:fldChar w:fldCharType="end"/>
      </w:r>
      <w:r>
        <w:rPr>
          <w:caps w:val="0"/>
          <w:smallCaps/>
          <w:szCs w:val="20"/>
        </w:rPr>
        <w:fldChar w:fldCharType="end"/>
      </w:r>
    </w:p>
    <w:p w14:paraId="0D908424">
      <w:pPr>
        <w:pStyle w:val="17"/>
        <w:tabs>
          <w:tab w:val="right" w:leader="dot" w:pos="8306"/>
          <w:tab w:val="clear" w:pos="8296"/>
        </w:tabs>
      </w:pPr>
      <w:r>
        <w:rPr>
          <w:caps w:val="0"/>
          <w:smallCaps/>
          <w:szCs w:val="20"/>
        </w:rPr>
        <w:fldChar w:fldCharType="begin"/>
      </w:r>
      <w:r>
        <w:rPr>
          <w:caps w:val="0"/>
          <w:smallCaps/>
          <w:szCs w:val="20"/>
        </w:rPr>
        <w:instrText xml:space="preserve"> HYPERLINK \l _Toc25145 </w:instrText>
      </w:r>
      <w:r>
        <w:rPr>
          <w:caps w:val="0"/>
          <w:smallCaps/>
          <w:szCs w:val="20"/>
        </w:rPr>
        <w:fldChar w:fldCharType="separate"/>
      </w:r>
      <w:r>
        <w:rPr>
          <w:rFonts w:hint="eastAsia" w:ascii="黑体" w:eastAsia="黑体"/>
        </w:rPr>
        <w:t>一、</w:t>
      </w:r>
      <w:r>
        <w:rPr>
          <w:rFonts w:hint="eastAsia" w:ascii="黑体" w:eastAsia="黑体"/>
          <w:lang w:eastAsia="zh-CN"/>
        </w:rPr>
        <w:t>部门职责</w:t>
      </w:r>
      <w:r>
        <w:tab/>
      </w:r>
      <w:r>
        <w:fldChar w:fldCharType="begin"/>
      </w:r>
      <w:r>
        <w:instrText xml:space="preserve"> PAGEREF _Toc25145 \h </w:instrText>
      </w:r>
      <w:r>
        <w:fldChar w:fldCharType="separate"/>
      </w:r>
      <w:r>
        <w:t>3</w:t>
      </w:r>
      <w:r>
        <w:fldChar w:fldCharType="end"/>
      </w:r>
      <w:r>
        <w:rPr>
          <w:caps w:val="0"/>
          <w:smallCaps/>
          <w:szCs w:val="20"/>
        </w:rPr>
        <w:fldChar w:fldCharType="end"/>
      </w:r>
    </w:p>
    <w:p w14:paraId="276C2A95">
      <w:pPr>
        <w:pStyle w:val="17"/>
        <w:tabs>
          <w:tab w:val="right" w:leader="dot" w:pos="8306"/>
          <w:tab w:val="clear" w:pos="8296"/>
        </w:tabs>
      </w:pPr>
      <w:r>
        <w:rPr>
          <w:caps w:val="0"/>
          <w:smallCaps/>
          <w:szCs w:val="20"/>
        </w:rPr>
        <w:fldChar w:fldCharType="begin"/>
      </w:r>
      <w:r>
        <w:rPr>
          <w:caps w:val="0"/>
          <w:smallCaps/>
          <w:szCs w:val="20"/>
        </w:rPr>
        <w:instrText xml:space="preserve"> HYPERLINK \l _Toc10058 </w:instrText>
      </w:r>
      <w:r>
        <w:rPr>
          <w:caps w:val="0"/>
          <w:smallCaps/>
          <w:szCs w:val="20"/>
        </w:rPr>
        <w:fldChar w:fldCharType="separate"/>
      </w:r>
      <w:r>
        <w:rPr>
          <w:rFonts w:hint="eastAsia" w:ascii="黑体" w:eastAsia="黑体"/>
          <w:lang w:val="en-US" w:eastAsia="zh-CN"/>
        </w:rPr>
        <w:t>二、</w:t>
      </w:r>
      <w:r>
        <w:rPr>
          <w:rFonts w:hint="eastAsia" w:ascii="黑体" w:eastAsia="黑体"/>
        </w:rPr>
        <w:t>机构设置</w:t>
      </w:r>
      <w:r>
        <w:tab/>
      </w:r>
      <w:r>
        <w:fldChar w:fldCharType="begin"/>
      </w:r>
      <w:r>
        <w:instrText xml:space="preserve"> PAGEREF _Toc10058 \h </w:instrText>
      </w:r>
      <w:r>
        <w:fldChar w:fldCharType="separate"/>
      </w:r>
      <w:r>
        <w:t>4</w:t>
      </w:r>
      <w:r>
        <w:fldChar w:fldCharType="end"/>
      </w:r>
      <w:r>
        <w:rPr>
          <w:caps w:val="0"/>
          <w:smallCaps/>
          <w:szCs w:val="20"/>
        </w:rPr>
        <w:fldChar w:fldCharType="end"/>
      </w:r>
    </w:p>
    <w:p w14:paraId="298A51C5">
      <w:pPr>
        <w:pStyle w:val="14"/>
        <w:tabs>
          <w:tab w:val="right" w:leader="dot" w:pos="8306"/>
          <w:tab w:val="clear" w:pos="8296"/>
        </w:tabs>
      </w:pPr>
      <w:r>
        <w:rPr>
          <w:caps w:val="0"/>
          <w:smallCaps/>
          <w:szCs w:val="20"/>
        </w:rPr>
        <w:fldChar w:fldCharType="begin"/>
      </w:r>
      <w:r>
        <w:rPr>
          <w:caps w:val="0"/>
          <w:smallCaps/>
          <w:szCs w:val="20"/>
        </w:rPr>
        <w:instrText xml:space="preserve"> HYPERLINK \l _Toc4351 </w:instrText>
      </w:r>
      <w:r>
        <w:rPr>
          <w:caps w:val="0"/>
          <w:smallCaps/>
          <w:szCs w:val="20"/>
        </w:rPr>
        <w:fldChar w:fldCharType="separate"/>
      </w:r>
      <w:r>
        <w:rPr>
          <w:rFonts w:hint="eastAsia" w:ascii="方正小标宋简体" w:hAnsi="方正小标宋简体" w:eastAsia="方正小标宋简体" w:cs="方正小标宋简体"/>
        </w:rPr>
        <w:t>第二部分 202</w:t>
      </w:r>
      <w:r>
        <w:rPr>
          <w:rFonts w:hint="eastAsia" w:ascii="方正小标宋简体" w:hAnsi="方正小标宋简体" w:eastAsia="方正小标宋简体" w:cs="方正小标宋简体"/>
          <w:lang w:val="en-US" w:eastAsia="zh-CN"/>
        </w:rPr>
        <w:t>4</w:t>
      </w:r>
      <w:r>
        <w:rPr>
          <w:rFonts w:hint="eastAsia" w:ascii="方正小标宋简体" w:hAnsi="方正小标宋简体" w:eastAsia="方正小标宋简体" w:cs="方正小标宋简体"/>
        </w:rPr>
        <w:t>年度部门决算情况说明</w:t>
      </w:r>
      <w:r>
        <w:tab/>
      </w:r>
      <w:r>
        <w:fldChar w:fldCharType="begin"/>
      </w:r>
      <w:r>
        <w:instrText xml:space="preserve"> PAGEREF _Toc4351 \h </w:instrText>
      </w:r>
      <w:r>
        <w:fldChar w:fldCharType="separate"/>
      </w:r>
      <w:r>
        <w:t>4</w:t>
      </w:r>
      <w:r>
        <w:fldChar w:fldCharType="end"/>
      </w:r>
      <w:r>
        <w:rPr>
          <w:caps w:val="0"/>
          <w:smallCaps/>
          <w:szCs w:val="20"/>
        </w:rPr>
        <w:fldChar w:fldCharType="end"/>
      </w:r>
    </w:p>
    <w:p w14:paraId="31F29E8D">
      <w:pPr>
        <w:pStyle w:val="17"/>
        <w:tabs>
          <w:tab w:val="right" w:leader="dot" w:pos="8306"/>
          <w:tab w:val="clear" w:pos="8296"/>
        </w:tabs>
      </w:pPr>
      <w:r>
        <w:rPr>
          <w:caps w:val="0"/>
          <w:smallCaps/>
          <w:szCs w:val="20"/>
        </w:rPr>
        <w:fldChar w:fldCharType="begin"/>
      </w:r>
      <w:r>
        <w:rPr>
          <w:caps w:val="0"/>
          <w:smallCaps/>
          <w:szCs w:val="20"/>
        </w:rPr>
        <w:instrText xml:space="preserve"> HYPERLINK \l _Toc27435 </w:instrText>
      </w:r>
      <w:r>
        <w:rPr>
          <w:caps w:val="0"/>
          <w:smallCaps/>
          <w:szCs w:val="20"/>
        </w:rPr>
        <w:fldChar w:fldCharType="separate"/>
      </w:r>
      <w:r>
        <w:rPr>
          <w:rFonts w:hint="eastAsia" w:ascii="黑体" w:eastAsia="黑体"/>
          <w:lang w:val="en-US" w:eastAsia="zh-CN"/>
        </w:rPr>
        <w:t>一、收入支出决算总体情况说明</w:t>
      </w:r>
      <w:r>
        <w:tab/>
      </w:r>
      <w:r>
        <w:fldChar w:fldCharType="begin"/>
      </w:r>
      <w:r>
        <w:instrText xml:space="preserve"> PAGEREF _Toc27435 \h </w:instrText>
      </w:r>
      <w:r>
        <w:fldChar w:fldCharType="separate"/>
      </w:r>
      <w:r>
        <w:t>4</w:t>
      </w:r>
      <w:r>
        <w:fldChar w:fldCharType="end"/>
      </w:r>
      <w:r>
        <w:rPr>
          <w:caps w:val="0"/>
          <w:smallCaps/>
          <w:szCs w:val="20"/>
        </w:rPr>
        <w:fldChar w:fldCharType="end"/>
      </w:r>
    </w:p>
    <w:p w14:paraId="0ACB2A89">
      <w:pPr>
        <w:pStyle w:val="17"/>
        <w:tabs>
          <w:tab w:val="right" w:leader="dot" w:pos="8306"/>
          <w:tab w:val="clear" w:pos="8296"/>
        </w:tabs>
      </w:pPr>
      <w:r>
        <w:rPr>
          <w:caps w:val="0"/>
          <w:smallCaps/>
          <w:szCs w:val="20"/>
        </w:rPr>
        <w:fldChar w:fldCharType="begin"/>
      </w:r>
      <w:r>
        <w:rPr>
          <w:caps w:val="0"/>
          <w:smallCaps/>
          <w:szCs w:val="20"/>
        </w:rPr>
        <w:instrText xml:space="preserve"> HYPERLINK \l _Toc22924 </w:instrText>
      </w:r>
      <w:r>
        <w:rPr>
          <w:caps w:val="0"/>
          <w:smallCaps/>
          <w:szCs w:val="20"/>
        </w:rPr>
        <w:fldChar w:fldCharType="separate"/>
      </w:r>
      <w:r>
        <w:rPr>
          <w:rFonts w:hint="eastAsia" w:ascii="黑体" w:eastAsia="黑体"/>
          <w:lang w:val="en-US" w:eastAsia="zh-CN"/>
        </w:rPr>
        <w:t>二、收入决算情况说明</w:t>
      </w:r>
      <w:r>
        <w:tab/>
      </w:r>
      <w:r>
        <w:fldChar w:fldCharType="begin"/>
      </w:r>
      <w:r>
        <w:instrText xml:space="preserve"> PAGEREF _Toc22924 \h </w:instrText>
      </w:r>
      <w:r>
        <w:fldChar w:fldCharType="separate"/>
      </w:r>
      <w:r>
        <w:t>5</w:t>
      </w:r>
      <w:r>
        <w:fldChar w:fldCharType="end"/>
      </w:r>
      <w:r>
        <w:rPr>
          <w:caps w:val="0"/>
          <w:smallCaps/>
          <w:szCs w:val="20"/>
        </w:rPr>
        <w:fldChar w:fldCharType="end"/>
      </w:r>
    </w:p>
    <w:p w14:paraId="729B7D8C">
      <w:pPr>
        <w:pStyle w:val="17"/>
        <w:tabs>
          <w:tab w:val="right" w:leader="dot" w:pos="8306"/>
          <w:tab w:val="clear" w:pos="8296"/>
        </w:tabs>
      </w:pPr>
      <w:r>
        <w:rPr>
          <w:caps w:val="0"/>
          <w:smallCaps/>
          <w:szCs w:val="20"/>
        </w:rPr>
        <w:fldChar w:fldCharType="begin"/>
      </w:r>
      <w:r>
        <w:rPr>
          <w:caps w:val="0"/>
          <w:smallCaps/>
          <w:szCs w:val="20"/>
        </w:rPr>
        <w:instrText xml:space="preserve"> HYPERLINK \l _Toc10215 </w:instrText>
      </w:r>
      <w:r>
        <w:rPr>
          <w:caps w:val="0"/>
          <w:smallCaps/>
          <w:szCs w:val="20"/>
        </w:rPr>
        <w:fldChar w:fldCharType="separate"/>
      </w:r>
      <w:r>
        <w:rPr>
          <w:rFonts w:hint="eastAsia" w:ascii="黑体" w:eastAsia="黑体"/>
          <w:lang w:val="en-US" w:eastAsia="zh-CN"/>
        </w:rPr>
        <w:t>三、支出决算情况说明</w:t>
      </w:r>
      <w:r>
        <w:tab/>
      </w:r>
      <w:r>
        <w:fldChar w:fldCharType="begin"/>
      </w:r>
      <w:r>
        <w:instrText xml:space="preserve"> PAGEREF _Toc10215 \h </w:instrText>
      </w:r>
      <w:r>
        <w:fldChar w:fldCharType="separate"/>
      </w:r>
      <w:r>
        <w:t>5</w:t>
      </w:r>
      <w:r>
        <w:fldChar w:fldCharType="end"/>
      </w:r>
      <w:r>
        <w:rPr>
          <w:caps w:val="0"/>
          <w:smallCaps/>
          <w:szCs w:val="20"/>
        </w:rPr>
        <w:fldChar w:fldCharType="end"/>
      </w:r>
    </w:p>
    <w:p w14:paraId="4939280D">
      <w:pPr>
        <w:pStyle w:val="17"/>
        <w:tabs>
          <w:tab w:val="right" w:leader="dot" w:pos="8306"/>
          <w:tab w:val="clear" w:pos="8296"/>
        </w:tabs>
      </w:pPr>
      <w:r>
        <w:rPr>
          <w:caps w:val="0"/>
          <w:smallCaps/>
          <w:szCs w:val="20"/>
        </w:rPr>
        <w:fldChar w:fldCharType="begin"/>
      </w:r>
      <w:r>
        <w:rPr>
          <w:caps w:val="0"/>
          <w:smallCaps/>
          <w:szCs w:val="20"/>
        </w:rPr>
        <w:instrText xml:space="preserve"> HYPERLINK \l _Toc32718 </w:instrText>
      </w:r>
      <w:r>
        <w:rPr>
          <w:caps w:val="0"/>
          <w:smallCaps/>
          <w:szCs w:val="20"/>
        </w:rPr>
        <w:fldChar w:fldCharType="separate"/>
      </w:r>
      <w:r>
        <w:rPr>
          <w:rFonts w:hint="eastAsia" w:ascii="黑体" w:eastAsia="黑体"/>
          <w:lang w:val="en-US" w:eastAsia="zh-CN"/>
        </w:rPr>
        <w:t>四、财政拨款收入支出决算总体情况说明</w:t>
      </w:r>
      <w:r>
        <w:tab/>
      </w:r>
      <w:r>
        <w:fldChar w:fldCharType="begin"/>
      </w:r>
      <w:r>
        <w:instrText xml:space="preserve"> PAGEREF _Toc32718 \h </w:instrText>
      </w:r>
      <w:r>
        <w:fldChar w:fldCharType="separate"/>
      </w:r>
      <w:r>
        <w:t>6</w:t>
      </w:r>
      <w:r>
        <w:fldChar w:fldCharType="end"/>
      </w:r>
      <w:r>
        <w:rPr>
          <w:caps w:val="0"/>
          <w:smallCaps/>
          <w:szCs w:val="20"/>
        </w:rPr>
        <w:fldChar w:fldCharType="end"/>
      </w:r>
    </w:p>
    <w:p w14:paraId="6D43D1F9">
      <w:pPr>
        <w:pStyle w:val="17"/>
        <w:tabs>
          <w:tab w:val="right" w:leader="dot" w:pos="8306"/>
          <w:tab w:val="clear" w:pos="8296"/>
        </w:tabs>
      </w:pPr>
      <w:r>
        <w:rPr>
          <w:caps w:val="0"/>
          <w:smallCaps/>
          <w:szCs w:val="20"/>
        </w:rPr>
        <w:fldChar w:fldCharType="begin"/>
      </w:r>
      <w:r>
        <w:rPr>
          <w:caps w:val="0"/>
          <w:smallCaps/>
          <w:szCs w:val="20"/>
        </w:rPr>
        <w:instrText xml:space="preserve"> HYPERLINK \l _Toc16607 </w:instrText>
      </w:r>
      <w:r>
        <w:rPr>
          <w:caps w:val="0"/>
          <w:smallCaps/>
          <w:szCs w:val="20"/>
        </w:rPr>
        <w:fldChar w:fldCharType="separate"/>
      </w:r>
      <w:r>
        <w:rPr>
          <w:rFonts w:hint="eastAsia" w:ascii="黑体" w:eastAsia="黑体" w:cs="Times New Roman"/>
          <w:lang w:val="en-US" w:eastAsia="zh-CN"/>
        </w:rPr>
        <w:t>五、一般公共预算财政拨款支出决算情况说明</w:t>
      </w:r>
      <w:r>
        <w:tab/>
      </w:r>
      <w:r>
        <w:fldChar w:fldCharType="begin"/>
      </w:r>
      <w:r>
        <w:instrText xml:space="preserve"> PAGEREF _Toc16607 \h </w:instrText>
      </w:r>
      <w:r>
        <w:fldChar w:fldCharType="separate"/>
      </w:r>
      <w:r>
        <w:t>6</w:t>
      </w:r>
      <w:r>
        <w:fldChar w:fldCharType="end"/>
      </w:r>
      <w:r>
        <w:rPr>
          <w:caps w:val="0"/>
          <w:smallCaps/>
          <w:szCs w:val="20"/>
        </w:rPr>
        <w:fldChar w:fldCharType="end"/>
      </w:r>
    </w:p>
    <w:p w14:paraId="1DE6540C">
      <w:pPr>
        <w:pStyle w:val="17"/>
        <w:tabs>
          <w:tab w:val="right" w:leader="dot" w:pos="8306"/>
          <w:tab w:val="clear" w:pos="8296"/>
        </w:tabs>
      </w:pPr>
      <w:r>
        <w:rPr>
          <w:caps w:val="0"/>
          <w:smallCaps/>
          <w:szCs w:val="20"/>
        </w:rPr>
        <w:fldChar w:fldCharType="begin"/>
      </w:r>
      <w:r>
        <w:rPr>
          <w:caps w:val="0"/>
          <w:smallCaps/>
          <w:szCs w:val="20"/>
        </w:rPr>
        <w:instrText xml:space="preserve"> HYPERLINK \l _Toc11851 </w:instrText>
      </w:r>
      <w:r>
        <w:rPr>
          <w:caps w:val="0"/>
          <w:smallCaps/>
          <w:szCs w:val="20"/>
        </w:rPr>
        <w:fldChar w:fldCharType="separate"/>
      </w:r>
      <w:r>
        <w:rPr>
          <w:rFonts w:hint="eastAsia" w:ascii="黑体" w:eastAsia="黑体" w:cs="Times New Roman"/>
          <w:lang w:val="en-US" w:eastAsia="zh-CN"/>
        </w:rPr>
        <w:t>六、一般公共预算财政拨款基本支出决算情况说明</w:t>
      </w:r>
      <w:r>
        <w:tab/>
      </w:r>
      <w:r>
        <w:fldChar w:fldCharType="begin"/>
      </w:r>
      <w:r>
        <w:instrText xml:space="preserve"> PAGEREF _Toc11851 \h </w:instrText>
      </w:r>
      <w:r>
        <w:fldChar w:fldCharType="separate"/>
      </w:r>
      <w:r>
        <w:t>8</w:t>
      </w:r>
      <w:r>
        <w:fldChar w:fldCharType="end"/>
      </w:r>
      <w:r>
        <w:rPr>
          <w:caps w:val="0"/>
          <w:smallCaps/>
          <w:szCs w:val="20"/>
        </w:rPr>
        <w:fldChar w:fldCharType="end"/>
      </w:r>
    </w:p>
    <w:p w14:paraId="7D4F1B11">
      <w:pPr>
        <w:pStyle w:val="17"/>
        <w:tabs>
          <w:tab w:val="right" w:leader="dot" w:pos="8306"/>
          <w:tab w:val="clear" w:pos="8296"/>
        </w:tabs>
      </w:pPr>
      <w:r>
        <w:rPr>
          <w:caps w:val="0"/>
          <w:smallCaps/>
          <w:szCs w:val="20"/>
        </w:rPr>
        <w:fldChar w:fldCharType="begin"/>
      </w:r>
      <w:r>
        <w:rPr>
          <w:caps w:val="0"/>
          <w:smallCaps/>
          <w:szCs w:val="20"/>
        </w:rPr>
        <w:instrText xml:space="preserve"> HYPERLINK \l _Toc29532 </w:instrText>
      </w:r>
      <w:r>
        <w:rPr>
          <w:caps w:val="0"/>
          <w:smallCaps/>
          <w:szCs w:val="20"/>
        </w:rPr>
        <w:fldChar w:fldCharType="separate"/>
      </w:r>
      <w:r>
        <w:rPr>
          <w:rFonts w:hint="eastAsia" w:ascii="黑体" w:eastAsia="黑体" w:cs="Times New Roman"/>
          <w:lang w:val="en-US" w:eastAsia="zh-CN"/>
        </w:rPr>
        <w:t>七、“三公”经费财政拨款支出决算情况说明</w:t>
      </w:r>
      <w:r>
        <w:tab/>
      </w:r>
      <w:r>
        <w:fldChar w:fldCharType="begin"/>
      </w:r>
      <w:r>
        <w:instrText xml:space="preserve"> PAGEREF _Toc29532 \h </w:instrText>
      </w:r>
      <w:r>
        <w:fldChar w:fldCharType="separate"/>
      </w:r>
      <w:r>
        <w:t>9</w:t>
      </w:r>
      <w:r>
        <w:fldChar w:fldCharType="end"/>
      </w:r>
      <w:r>
        <w:rPr>
          <w:caps w:val="0"/>
          <w:smallCaps/>
          <w:szCs w:val="20"/>
        </w:rPr>
        <w:fldChar w:fldCharType="end"/>
      </w:r>
    </w:p>
    <w:p w14:paraId="21FA8738">
      <w:pPr>
        <w:pStyle w:val="17"/>
        <w:tabs>
          <w:tab w:val="right" w:leader="dot" w:pos="8306"/>
          <w:tab w:val="clear" w:pos="8296"/>
        </w:tabs>
      </w:pPr>
      <w:r>
        <w:rPr>
          <w:caps w:val="0"/>
          <w:smallCaps/>
          <w:szCs w:val="20"/>
        </w:rPr>
        <w:fldChar w:fldCharType="begin"/>
      </w:r>
      <w:r>
        <w:rPr>
          <w:caps w:val="0"/>
          <w:smallCaps/>
          <w:szCs w:val="20"/>
        </w:rPr>
        <w:instrText xml:space="preserve"> HYPERLINK \l _Toc24216 </w:instrText>
      </w:r>
      <w:r>
        <w:rPr>
          <w:caps w:val="0"/>
          <w:smallCaps/>
          <w:szCs w:val="20"/>
        </w:rPr>
        <w:fldChar w:fldCharType="separate"/>
      </w:r>
      <w:r>
        <w:rPr>
          <w:rFonts w:hint="eastAsia" w:ascii="黑体" w:eastAsia="黑体" w:cs="Times New Roman"/>
          <w:lang w:val="en-US" w:eastAsia="zh-CN"/>
        </w:rPr>
        <w:t>八、政府性基金预算支出决算情况说明</w:t>
      </w:r>
      <w:r>
        <w:tab/>
      </w:r>
      <w:r>
        <w:fldChar w:fldCharType="begin"/>
      </w:r>
      <w:r>
        <w:instrText xml:space="preserve"> PAGEREF _Toc24216 \h </w:instrText>
      </w:r>
      <w:r>
        <w:fldChar w:fldCharType="separate"/>
      </w:r>
      <w:r>
        <w:t>11</w:t>
      </w:r>
      <w:r>
        <w:fldChar w:fldCharType="end"/>
      </w:r>
      <w:r>
        <w:rPr>
          <w:caps w:val="0"/>
          <w:smallCaps/>
          <w:szCs w:val="20"/>
        </w:rPr>
        <w:fldChar w:fldCharType="end"/>
      </w:r>
    </w:p>
    <w:p w14:paraId="0DCE83FB">
      <w:pPr>
        <w:pStyle w:val="17"/>
        <w:tabs>
          <w:tab w:val="right" w:leader="dot" w:pos="8306"/>
          <w:tab w:val="clear" w:pos="8296"/>
        </w:tabs>
      </w:pPr>
      <w:r>
        <w:rPr>
          <w:caps w:val="0"/>
          <w:smallCaps/>
          <w:szCs w:val="20"/>
        </w:rPr>
        <w:fldChar w:fldCharType="begin"/>
      </w:r>
      <w:r>
        <w:rPr>
          <w:caps w:val="0"/>
          <w:smallCaps/>
          <w:szCs w:val="20"/>
        </w:rPr>
        <w:instrText xml:space="preserve"> HYPERLINK \l _Toc1611 </w:instrText>
      </w:r>
      <w:r>
        <w:rPr>
          <w:caps w:val="0"/>
          <w:smallCaps/>
          <w:szCs w:val="20"/>
        </w:rPr>
        <w:fldChar w:fldCharType="separate"/>
      </w:r>
      <w:r>
        <w:rPr>
          <w:rFonts w:hint="eastAsia" w:ascii="黑体" w:eastAsia="黑体" w:cs="Times New Roman"/>
          <w:lang w:val="en-US" w:eastAsia="zh-CN"/>
        </w:rPr>
        <w:t>九、国有资本经营预算支出决算情况说明</w:t>
      </w:r>
      <w:r>
        <w:tab/>
      </w:r>
      <w:r>
        <w:fldChar w:fldCharType="begin"/>
      </w:r>
      <w:r>
        <w:instrText xml:space="preserve"> PAGEREF _Toc1611 \h </w:instrText>
      </w:r>
      <w:r>
        <w:fldChar w:fldCharType="separate"/>
      </w:r>
      <w:r>
        <w:t>11</w:t>
      </w:r>
      <w:r>
        <w:fldChar w:fldCharType="end"/>
      </w:r>
      <w:r>
        <w:rPr>
          <w:caps w:val="0"/>
          <w:smallCaps/>
          <w:szCs w:val="20"/>
        </w:rPr>
        <w:fldChar w:fldCharType="end"/>
      </w:r>
    </w:p>
    <w:p w14:paraId="33E3F91B">
      <w:pPr>
        <w:pStyle w:val="17"/>
        <w:tabs>
          <w:tab w:val="right" w:leader="dot" w:pos="8306"/>
          <w:tab w:val="clear" w:pos="8296"/>
        </w:tabs>
      </w:pPr>
      <w:r>
        <w:rPr>
          <w:caps w:val="0"/>
          <w:smallCaps/>
          <w:szCs w:val="20"/>
        </w:rPr>
        <w:fldChar w:fldCharType="begin"/>
      </w:r>
      <w:r>
        <w:rPr>
          <w:caps w:val="0"/>
          <w:smallCaps/>
          <w:szCs w:val="20"/>
        </w:rPr>
        <w:instrText xml:space="preserve"> HYPERLINK \l _Toc18675 </w:instrText>
      </w:r>
      <w:r>
        <w:rPr>
          <w:caps w:val="0"/>
          <w:smallCaps/>
          <w:szCs w:val="20"/>
        </w:rPr>
        <w:fldChar w:fldCharType="separate"/>
      </w:r>
      <w:r>
        <w:rPr>
          <w:rFonts w:hint="eastAsia" w:ascii="黑体" w:eastAsia="黑体" w:cs="Times New Roman"/>
          <w:lang w:val="en-US" w:eastAsia="zh-CN"/>
        </w:rPr>
        <w:t>十、其他重要事项的情况说明</w:t>
      </w:r>
      <w:r>
        <w:tab/>
      </w:r>
      <w:r>
        <w:fldChar w:fldCharType="begin"/>
      </w:r>
      <w:r>
        <w:instrText xml:space="preserve"> PAGEREF _Toc18675 \h </w:instrText>
      </w:r>
      <w:r>
        <w:fldChar w:fldCharType="separate"/>
      </w:r>
      <w:r>
        <w:t>11</w:t>
      </w:r>
      <w:r>
        <w:fldChar w:fldCharType="end"/>
      </w:r>
      <w:r>
        <w:rPr>
          <w:caps w:val="0"/>
          <w:smallCaps/>
          <w:szCs w:val="20"/>
        </w:rPr>
        <w:fldChar w:fldCharType="end"/>
      </w:r>
    </w:p>
    <w:p w14:paraId="7350F692">
      <w:pPr>
        <w:pStyle w:val="14"/>
        <w:tabs>
          <w:tab w:val="right" w:leader="dot" w:pos="8306"/>
          <w:tab w:val="clear" w:pos="8296"/>
        </w:tabs>
      </w:pPr>
      <w:r>
        <w:rPr>
          <w:caps w:val="0"/>
          <w:smallCaps/>
          <w:szCs w:val="20"/>
        </w:rPr>
        <w:fldChar w:fldCharType="begin"/>
      </w:r>
      <w:r>
        <w:rPr>
          <w:caps w:val="0"/>
          <w:smallCaps/>
          <w:szCs w:val="20"/>
        </w:rPr>
        <w:instrText xml:space="preserve"> HYPERLINK \l _Toc12772 </w:instrText>
      </w:r>
      <w:r>
        <w:rPr>
          <w:caps w:val="0"/>
          <w:smallCaps/>
          <w:szCs w:val="20"/>
        </w:rPr>
        <w:fldChar w:fldCharType="separate"/>
      </w:r>
      <w:r>
        <w:rPr>
          <w:rFonts w:hint="eastAsia" w:ascii="方正小标宋简体" w:hAnsi="方正小标宋简体" w:eastAsia="方正小标宋简体" w:cs="方正小标宋简体"/>
        </w:rPr>
        <w:t>第三部分 名词解释</w:t>
      </w:r>
      <w:r>
        <w:tab/>
      </w:r>
      <w:r>
        <w:fldChar w:fldCharType="begin"/>
      </w:r>
      <w:r>
        <w:instrText xml:space="preserve"> PAGEREF _Toc12772 \h </w:instrText>
      </w:r>
      <w:r>
        <w:fldChar w:fldCharType="separate"/>
      </w:r>
      <w:r>
        <w:t>12</w:t>
      </w:r>
      <w:r>
        <w:fldChar w:fldCharType="end"/>
      </w:r>
      <w:r>
        <w:rPr>
          <w:caps w:val="0"/>
          <w:smallCaps/>
          <w:szCs w:val="20"/>
        </w:rPr>
        <w:fldChar w:fldCharType="end"/>
      </w:r>
    </w:p>
    <w:p w14:paraId="76865C56">
      <w:pPr>
        <w:pStyle w:val="14"/>
        <w:tabs>
          <w:tab w:val="right" w:leader="dot" w:pos="8306"/>
          <w:tab w:val="clear" w:pos="8296"/>
        </w:tabs>
      </w:pPr>
      <w:r>
        <w:rPr>
          <w:caps w:val="0"/>
          <w:smallCaps/>
          <w:szCs w:val="20"/>
        </w:rPr>
        <w:fldChar w:fldCharType="begin"/>
      </w:r>
      <w:r>
        <w:rPr>
          <w:caps w:val="0"/>
          <w:smallCaps/>
          <w:szCs w:val="20"/>
        </w:rPr>
        <w:instrText xml:space="preserve"> HYPERLINK \l _Toc2498 </w:instrText>
      </w:r>
      <w:r>
        <w:rPr>
          <w:caps w:val="0"/>
          <w:smallCaps/>
          <w:szCs w:val="20"/>
        </w:rPr>
        <w:fldChar w:fldCharType="separate"/>
      </w:r>
      <w:r>
        <w:rPr>
          <w:rFonts w:hint="eastAsia" w:ascii="方正小标宋简体" w:hAnsi="方正小标宋简体" w:eastAsia="方正小标宋简体" w:cs="方正小标宋简体"/>
          <w:lang w:val="en-US" w:eastAsia="zh-CN"/>
        </w:rPr>
        <w:t xml:space="preserve">第四部分 </w:t>
      </w:r>
      <w:r>
        <w:rPr>
          <w:rFonts w:hint="eastAsia" w:ascii="方正小标宋简体" w:hAnsi="方正小标宋简体" w:eastAsia="方正小标宋简体" w:cs="方正小标宋简体"/>
        </w:rPr>
        <w:t>附件</w:t>
      </w:r>
      <w:r>
        <w:tab/>
      </w:r>
      <w:r>
        <w:fldChar w:fldCharType="begin"/>
      </w:r>
      <w:r>
        <w:instrText xml:space="preserve"> PAGEREF _Toc2498 \h </w:instrText>
      </w:r>
      <w:r>
        <w:fldChar w:fldCharType="separate"/>
      </w:r>
      <w:r>
        <w:t>15</w:t>
      </w:r>
      <w:r>
        <w:fldChar w:fldCharType="end"/>
      </w:r>
      <w:r>
        <w:rPr>
          <w:caps w:val="0"/>
          <w:smallCaps/>
          <w:szCs w:val="20"/>
        </w:rPr>
        <w:fldChar w:fldCharType="end"/>
      </w:r>
    </w:p>
    <w:p w14:paraId="708DA7CE">
      <w:pPr>
        <w:pStyle w:val="14"/>
        <w:tabs>
          <w:tab w:val="right" w:leader="dot" w:pos="8306"/>
          <w:tab w:val="clear" w:pos="8296"/>
        </w:tabs>
      </w:pPr>
      <w:r>
        <w:rPr>
          <w:caps w:val="0"/>
          <w:smallCaps/>
          <w:szCs w:val="20"/>
        </w:rPr>
        <w:fldChar w:fldCharType="begin"/>
      </w:r>
      <w:r>
        <w:rPr>
          <w:caps w:val="0"/>
          <w:smallCaps/>
          <w:szCs w:val="20"/>
        </w:rPr>
        <w:instrText xml:space="preserve"> HYPERLINK \l _Toc6599 </w:instrText>
      </w:r>
      <w:r>
        <w:rPr>
          <w:caps w:val="0"/>
          <w:smallCaps/>
          <w:szCs w:val="20"/>
        </w:rPr>
        <w:fldChar w:fldCharType="separate"/>
      </w:r>
      <w:r>
        <w:rPr>
          <w:rFonts w:hint="eastAsia" w:ascii="方正小标宋简体" w:hAnsi="方正小标宋简体" w:eastAsia="方正小标宋简体" w:cs="方正小标宋简体"/>
          <w:lang w:val="en-US" w:eastAsia="zh-CN"/>
        </w:rPr>
        <w:t>第五部分 附表</w:t>
      </w:r>
      <w:r>
        <w:tab/>
      </w:r>
      <w:r>
        <w:fldChar w:fldCharType="begin"/>
      </w:r>
      <w:r>
        <w:instrText xml:space="preserve"> PAGEREF _Toc6599 \h </w:instrText>
      </w:r>
      <w:r>
        <w:fldChar w:fldCharType="separate"/>
      </w:r>
      <w:r>
        <w:t>16</w:t>
      </w:r>
      <w:r>
        <w:fldChar w:fldCharType="end"/>
      </w:r>
      <w:r>
        <w:rPr>
          <w:caps w:val="0"/>
          <w:smallCaps/>
          <w:szCs w:val="20"/>
        </w:rPr>
        <w:fldChar w:fldCharType="end"/>
      </w:r>
    </w:p>
    <w:p w14:paraId="2A2FBA88">
      <w:pPr>
        <w:pStyle w:val="17"/>
        <w:tabs>
          <w:tab w:val="right" w:leader="dot" w:pos="8306"/>
          <w:tab w:val="clear" w:pos="8296"/>
        </w:tabs>
      </w:pPr>
      <w:r>
        <w:rPr>
          <w:caps w:val="0"/>
          <w:smallCaps/>
          <w:szCs w:val="20"/>
        </w:rPr>
        <w:fldChar w:fldCharType="begin"/>
      </w:r>
      <w:r>
        <w:rPr>
          <w:caps w:val="0"/>
          <w:smallCaps/>
          <w:szCs w:val="20"/>
        </w:rPr>
        <w:instrText xml:space="preserve"> HYPERLINK \l _Toc29641 </w:instrText>
      </w:r>
      <w:r>
        <w:rPr>
          <w:caps w:val="0"/>
          <w:smallCaps/>
          <w:szCs w:val="20"/>
        </w:rPr>
        <w:fldChar w:fldCharType="separate"/>
      </w:r>
      <w:r>
        <w:rPr>
          <w:rFonts w:hint="eastAsia" w:ascii="仿宋_GB2312" w:hAnsi="仿宋_GB2312" w:eastAsia="仿宋_GB2312" w:cs="仿宋_GB2312"/>
          <w:kern w:val="2"/>
          <w:szCs w:val="32"/>
          <w:lang w:bidi="ar-SA"/>
        </w:rPr>
        <w:t>一、收入支出决算总表</w:t>
      </w:r>
      <w:r>
        <w:tab/>
      </w:r>
      <w:r>
        <w:fldChar w:fldCharType="begin"/>
      </w:r>
      <w:r>
        <w:instrText xml:space="preserve"> PAGEREF _Toc29641 \h </w:instrText>
      </w:r>
      <w:r>
        <w:fldChar w:fldCharType="separate"/>
      </w:r>
      <w:r>
        <w:t>16</w:t>
      </w:r>
      <w:r>
        <w:fldChar w:fldCharType="end"/>
      </w:r>
      <w:r>
        <w:rPr>
          <w:caps w:val="0"/>
          <w:smallCaps/>
          <w:szCs w:val="20"/>
        </w:rPr>
        <w:fldChar w:fldCharType="end"/>
      </w:r>
    </w:p>
    <w:p w14:paraId="3849EB18">
      <w:pPr>
        <w:pStyle w:val="17"/>
        <w:tabs>
          <w:tab w:val="right" w:leader="dot" w:pos="8306"/>
          <w:tab w:val="clear" w:pos="8296"/>
        </w:tabs>
      </w:pPr>
      <w:r>
        <w:rPr>
          <w:caps w:val="0"/>
          <w:smallCaps/>
          <w:szCs w:val="20"/>
        </w:rPr>
        <w:fldChar w:fldCharType="begin"/>
      </w:r>
      <w:r>
        <w:rPr>
          <w:caps w:val="0"/>
          <w:smallCaps/>
          <w:szCs w:val="20"/>
        </w:rPr>
        <w:instrText xml:space="preserve"> HYPERLINK \l _Toc5312 </w:instrText>
      </w:r>
      <w:r>
        <w:rPr>
          <w:caps w:val="0"/>
          <w:smallCaps/>
          <w:szCs w:val="20"/>
        </w:rPr>
        <w:fldChar w:fldCharType="separate"/>
      </w:r>
      <w:r>
        <w:rPr>
          <w:rFonts w:hint="eastAsia" w:ascii="仿宋_GB2312" w:hAnsi="仿宋_GB2312" w:eastAsia="仿宋_GB2312" w:cs="仿宋_GB2312"/>
          <w:kern w:val="2"/>
          <w:szCs w:val="32"/>
          <w:lang w:bidi="ar-SA"/>
        </w:rPr>
        <w:t>二、收入决算表</w:t>
      </w:r>
      <w:r>
        <w:tab/>
      </w:r>
      <w:r>
        <w:fldChar w:fldCharType="begin"/>
      </w:r>
      <w:r>
        <w:instrText xml:space="preserve"> PAGEREF _Toc5312 \h </w:instrText>
      </w:r>
      <w:r>
        <w:fldChar w:fldCharType="separate"/>
      </w:r>
      <w:r>
        <w:t>16</w:t>
      </w:r>
      <w:r>
        <w:fldChar w:fldCharType="end"/>
      </w:r>
      <w:r>
        <w:rPr>
          <w:caps w:val="0"/>
          <w:smallCaps/>
          <w:szCs w:val="20"/>
        </w:rPr>
        <w:fldChar w:fldCharType="end"/>
      </w:r>
    </w:p>
    <w:p w14:paraId="24AA6E6B">
      <w:pPr>
        <w:pStyle w:val="17"/>
        <w:tabs>
          <w:tab w:val="right" w:leader="dot" w:pos="8306"/>
          <w:tab w:val="clear" w:pos="8296"/>
        </w:tabs>
      </w:pPr>
      <w:r>
        <w:rPr>
          <w:caps w:val="0"/>
          <w:smallCaps/>
          <w:szCs w:val="20"/>
        </w:rPr>
        <w:fldChar w:fldCharType="begin"/>
      </w:r>
      <w:r>
        <w:rPr>
          <w:caps w:val="0"/>
          <w:smallCaps/>
          <w:szCs w:val="20"/>
        </w:rPr>
        <w:instrText xml:space="preserve"> HYPERLINK \l _Toc32089 </w:instrText>
      </w:r>
      <w:r>
        <w:rPr>
          <w:caps w:val="0"/>
          <w:smallCaps/>
          <w:szCs w:val="20"/>
        </w:rPr>
        <w:fldChar w:fldCharType="separate"/>
      </w:r>
      <w:r>
        <w:rPr>
          <w:rFonts w:hint="eastAsia" w:ascii="仿宋_GB2312" w:hAnsi="仿宋_GB2312" w:eastAsia="仿宋_GB2312" w:cs="仿宋_GB2312"/>
          <w:kern w:val="2"/>
          <w:szCs w:val="32"/>
          <w:lang w:bidi="ar-SA"/>
        </w:rPr>
        <w:t>三、支出决算表</w:t>
      </w:r>
      <w:r>
        <w:tab/>
      </w:r>
      <w:r>
        <w:fldChar w:fldCharType="begin"/>
      </w:r>
      <w:r>
        <w:instrText xml:space="preserve"> PAGEREF _Toc32089 \h </w:instrText>
      </w:r>
      <w:r>
        <w:fldChar w:fldCharType="separate"/>
      </w:r>
      <w:r>
        <w:t>16</w:t>
      </w:r>
      <w:r>
        <w:fldChar w:fldCharType="end"/>
      </w:r>
      <w:r>
        <w:rPr>
          <w:caps w:val="0"/>
          <w:smallCaps/>
          <w:szCs w:val="20"/>
        </w:rPr>
        <w:fldChar w:fldCharType="end"/>
      </w:r>
    </w:p>
    <w:p w14:paraId="1D1F950B">
      <w:pPr>
        <w:pStyle w:val="17"/>
        <w:tabs>
          <w:tab w:val="right" w:leader="dot" w:pos="8306"/>
          <w:tab w:val="clear" w:pos="8296"/>
        </w:tabs>
      </w:pPr>
      <w:r>
        <w:rPr>
          <w:caps w:val="0"/>
          <w:smallCaps/>
          <w:szCs w:val="20"/>
        </w:rPr>
        <w:fldChar w:fldCharType="begin"/>
      </w:r>
      <w:r>
        <w:rPr>
          <w:caps w:val="0"/>
          <w:smallCaps/>
          <w:szCs w:val="20"/>
        </w:rPr>
        <w:instrText xml:space="preserve"> HYPERLINK \l _Toc6085 </w:instrText>
      </w:r>
      <w:r>
        <w:rPr>
          <w:caps w:val="0"/>
          <w:smallCaps/>
          <w:szCs w:val="20"/>
        </w:rPr>
        <w:fldChar w:fldCharType="separate"/>
      </w:r>
      <w:r>
        <w:rPr>
          <w:rFonts w:hint="eastAsia" w:ascii="仿宋_GB2312" w:hAnsi="仿宋_GB2312" w:eastAsia="仿宋_GB2312" w:cs="仿宋_GB2312"/>
          <w:kern w:val="2"/>
          <w:szCs w:val="32"/>
          <w:lang w:bidi="ar-SA"/>
        </w:rPr>
        <w:t>四、财政拨款收入支出决算总表</w:t>
      </w:r>
      <w:r>
        <w:tab/>
      </w:r>
      <w:r>
        <w:fldChar w:fldCharType="begin"/>
      </w:r>
      <w:r>
        <w:instrText xml:space="preserve"> PAGEREF _Toc6085 \h </w:instrText>
      </w:r>
      <w:r>
        <w:fldChar w:fldCharType="separate"/>
      </w:r>
      <w:r>
        <w:t>16</w:t>
      </w:r>
      <w:r>
        <w:fldChar w:fldCharType="end"/>
      </w:r>
      <w:r>
        <w:rPr>
          <w:caps w:val="0"/>
          <w:smallCaps/>
          <w:szCs w:val="20"/>
        </w:rPr>
        <w:fldChar w:fldCharType="end"/>
      </w:r>
    </w:p>
    <w:p w14:paraId="7B25A3B8">
      <w:pPr>
        <w:pStyle w:val="17"/>
        <w:tabs>
          <w:tab w:val="right" w:leader="dot" w:pos="8306"/>
          <w:tab w:val="clear" w:pos="8296"/>
        </w:tabs>
      </w:pPr>
      <w:r>
        <w:rPr>
          <w:caps w:val="0"/>
          <w:smallCaps/>
          <w:szCs w:val="20"/>
        </w:rPr>
        <w:fldChar w:fldCharType="begin"/>
      </w:r>
      <w:r>
        <w:rPr>
          <w:caps w:val="0"/>
          <w:smallCaps/>
          <w:szCs w:val="20"/>
        </w:rPr>
        <w:instrText xml:space="preserve"> HYPERLINK \l _Toc26574 </w:instrText>
      </w:r>
      <w:r>
        <w:rPr>
          <w:caps w:val="0"/>
          <w:smallCaps/>
          <w:szCs w:val="20"/>
        </w:rPr>
        <w:fldChar w:fldCharType="separate"/>
      </w:r>
      <w:r>
        <w:rPr>
          <w:rFonts w:hint="eastAsia" w:ascii="仿宋_GB2312" w:hAnsi="仿宋_GB2312" w:eastAsia="仿宋_GB2312" w:cs="仿宋_GB2312"/>
          <w:kern w:val="2"/>
          <w:szCs w:val="32"/>
          <w:lang w:bidi="ar-SA"/>
        </w:rPr>
        <w:t>五、财政拨款支出决算明细表</w:t>
      </w:r>
      <w:r>
        <w:tab/>
      </w:r>
      <w:r>
        <w:fldChar w:fldCharType="begin"/>
      </w:r>
      <w:r>
        <w:instrText xml:space="preserve"> PAGEREF _Toc26574 \h </w:instrText>
      </w:r>
      <w:r>
        <w:fldChar w:fldCharType="separate"/>
      </w:r>
      <w:r>
        <w:t>16</w:t>
      </w:r>
      <w:r>
        <w:fldChar w:fldCharType="end"/>
      </w:r>
      <w:r>
        <w:rPr>
          <w:caps w:val="0"/>
          <w:smallCaps/>
          <w:szCs w:val="20"/>
        </w:rPr>
        <w:fldChar w:fldCharType="end"/>
      </w:r>
    </w:p>
    <w:p w14:paraId="3F55984B">
      <w:pPr>
        <w:pStyle w:val="17"/>
        <w:tabs>
          <w:tab w:val="right" w:leader="dot" w:pos="8306"/>
          <w:tab w:val="clear" w:pos="8296"/>
        </w:tabs>
      </w:pPr>
      <w:r>
        <w:rPr>
          <w:caps w:val="0"/>
          <w:smallCaps/>
          <w:szCs w:val="20"/>
        </w:rPr>
        <w:fldChar w:fldCharType="begin"/>
      </w:r>
      <w:r>
        <w:rPr>
          <w:caps w:val="0"/>
          <w:smallCaps/>
          <w:szCs w:val="20"/>
        </w:rPr>
        <w:instrText xml:space="preserve"> HYPERLINK \l _Toc1530 </w:instrText>
      </w:r>
      <w:r>
        <w:rPr>
          <w:caps w:val="0"/>
          <w:smallCaps/>
          <w:szCs w:val="20"/>
        </w:rPr>
        <w:fldChar w:fldCharType="separate"/>
      </w:r>
      <w:r>
        <w:rPr>
          <w:rFonts w:hint="eastAsia" w:ascii="仿宋_GB2312" w:hAnsi="仿宋_GB2312" w:eastAsia="仿宋_GB2312" w:cs="仿宋_GB2312"/>
          <w:kern w:val="2"/>
          <w:szCs w:val="32"/>
          <w:lang w:bidi="ar-SA"/>
        </w:rPr>
        <w:t>六、一般公共预算财政拨款支出决算表</w:t>
      </w:r>
      <w:r>
        <w:tab/>
      </w:r>
      <w:r>
        <w:fldChar w:fldCharType="begin"/>
      </w:r>
      <w:r>
        <w:instrText xml:space="preserve"> PAGEREF _Toc1530 \h </w:instrText>
      </w:r>
      <w:r>
        <w:fldChar w:fldCharType="separate"/>
      </w:r>
      <w:r>
        <w:t>16</w:t>
      </w:r>
      <w:r>
        <w:fldChar w:fldCharType="end"/>
      </w:r>
      <w:r>
        <w:rPr>
          <w:caps w:val="0"/>
          <w:smallCaps/>
          <w:szCs w:val="20"/>
        </w:rPr>
        <w:fldChar w:fldCharType="end"/>
      </w:r>
    </w:p>
    <w:p w14:paraId="39E1CFEA">
      <w:pPr>
        <w:pStyle w:val="17"/>
        <w:tabs>
          <w:tab w:val="right" w:leader="dot" w:pos="8306"/>
          <w:tab w:val="clear" w:pos="8296"/>
        </w:tabs>
      </w:pPr>
      <w:r>
        <w:rPr>
          <w:caps w:val="0"/>
          <w:smallCaps/>
          <w:szCs w:val="20"/>
        </w:rPr>
        <w:fldChar w:fldCharType="begin"/>
      </w:r>
      <w:r>
        <w:rPr>
          <w:caps w:val="0"/>
          <w:smallCaps/>
          <w:szCs w:val="20"/>
        </w:rPr>
        <w:instrText xml:space="preserve"> HYPERLINK \l _Toc31758 </w:instrText>
      </w:r>
      <w:r>
        <w:rPr>
          <w:caps w:val="0"/>
          <w:smallCaps/>
          <w:szCs w:val="20"/>
        </w:rPr>
        <w:fldChar w:fldCharType="separate"/>
      </w:r>
      <w:r>
        <w:rPr>
          <w:rFonts w:hint="eastAsia" w:ascii="仿宋_GB2312" w:hAnsi="仿宋_GB2312" w:eastAsia="仿宋_GB2312" w:cs="仿宋_GB2312"/>
          <w:kern w:val="2"/>
          <w:szCs w:val="32"/>
          <w:lang w:bidi="ar-SA"/>
        </w:rPr>
        <w:t>七、一般公共预算财政拨款支出决算明细表</w:t>
      </w:r>
      <w:r>
        <w:tab/>
      </w:r>
      <w:r>
        <w:fldChar w:fldCharType="begin"/>
      </w:r>
      <w:r>
        <w:instrText xml:space="preserve"> PAGEREF _Toc31758 \h </w:instrText>
      </w:r>
      <w:r>
        <w:fldChar w:fldCharType="separate"/>
      </w:r>
      <w:r>
        <w:t>16</w:t>
      </w:r>
      <w:r>
        <w:fldChar w:fldCharType="end"/>
      </w:r>
      <w:r>
        <w:rPr>
          <w:caps w:val="0"/>
          <w:smallCaps/>
          <w:szCs w:val="20"/>
        </w:rPr>
        <w:fldChar w:fldCharType="end"/>
      </w:r>
    </w:p>
    <w:p w14:paraId="4C821143">
      <w:pPr>
        <w:pStyle w:val="17"/>
        <w:tabs>
          <w:tab w:val="right" w:leader="dot" w:pos="8306"/>
          <w:tab w:val="clear" w:pos="8296"/>
        </w:tabs>
      </w:pPr>
      <w:r>
        <w:rPr>
          <w:caps w:val="0"/>
          <w:smallCaps/>
          <w:szCs w:val="20"/>
        </w:rPr>
        <w:fldChar w:fldCharType="begin"/>
      </w:r>
      <w:r>
        <w:rPr>
          <w:caps w:val="0"/>
          <w:smallCaps/>
          <w:szCs w:val="20"/>
        </w:rPr>
        <w:instrText xml:space="preserve"> HYPERLINK \l _Toc30140 </w:instrText>
      </w:r>
      <w:r>
        <w:rPr>
          <w:caps w:val="0"/>
          <w:smallCaps/>
          <w:szCs w:val="20"/>
        </w:rPr>
        <w:fldChar w:fldCharType="separate"/>
      </w:r>
      <w:r>
        <w:rPr>
          <w:rFonts w:hint="eastAsia" w:ascii="仿宋_GB2312" w:hAnsi="仿宋_GB2312" w:eastAsia="仿宋_GB2312" w:cs="仿宋_GB2312"/>
          <w:kern w:val="2"/>
          <w:szCs w:val="32"/>
          <w:lang w:bidi="ar-SA"/>
        </w:rPr>
        <w:t>八、一般公共预算财政拨款基本支出决算表</w:t>
      </w:r>
      <w:r>
        <w:tab/>
      </w:r>
      <w:r>
        <w:fldChar w:fldCharType="begin"/>
      </w:r>
      <w:r>
        <w:instrText xml:space="preserve"> PAGEREF _Toc30140 \h </w:instrText>
      </w:r>
      <w:r>
        <w:fldChar w:fldCharType="separate"/>
      </w:r>
      <w:r>
        <w:t>16</w:t>
      </w:r>
      <w:r>
        <w:fldChar w:fldCharType="end"/>
      </w:r>
      <w:r>
        <w:rPr>
          <w:caps w:val="0"/>
          <w:smallCaps/>
          <w:szCs w:val="20"/>
        </w:rPr>
        <w:fldChar w:fldCharType="end"/>
      </w:r>
    </w:p>
    <w:p w14:paraId="5AE749BC">
      <w:pPr>
        <w:pStyle w:val="17"/>
        <w:tabs>
          <w:tab w:val="right" w:leader="dot" w:pos="8306"/>
          <w:tab w:val="clear" w:pos="8296"/>
        </w:tabs>
      </w:pPr>
      <w:r>
        <w:rPr>
          <w:caps w:val="0"/>
          <w:smallCaps/>
          <w:szCs w:val="20"/>
        </w:rPr>
        <w:fldChar w:fldCharType="begin"/>
      </w:r>
      <w:r>
        <w:rPr>
          <w:caps w:val="0"/>
          <w:smallCaps/>
          <w:szCs w:val="20"/>
        </w:rPr>
        <w:instrText xml:space="preserve"> HYPERLINK \l _Toc19430 </w:instrText>
      </w:r>
      <w:r>
        <w:rPr>
          <w:caps w:val="0"/>
          <w:smallCaps/>
          <w:szCs w:val="20"/>
        </w:rPr>
        <w:fldChar w:fldCharType="separate"/>
      </w:r>
      <w:r>
        <w:rPr>
          <w:rFonts w:hint="eastAsia" w:ascii="仿宋_GB2312" w:hAnsi="仿宋_GB2312" w:eastAsia="仿宋_GB2312" w:cs="仿宋_GB2312"/>
          <w:kern w:val="2"/>
          <w:szCs w:val="32"/>
          <w:lang w:bidi="ar-SA"/>
        </w:rPr>
        <w:t>九、一般公共预算财政拨款项目支出决算表</w:t>
      </w:r>
      <w:r>
        <w:tab/>
      </w:r>
      <w:r>
        <w:fldChar w:fldCharType="begin"/>
      </w:r>
      <w:r>
        <w:instrText xml:space="preserve"> PAGEREF _Toc19430 \h </w:instrText>
      </w:r>
      <w:r>
        <w:fldChar w:fldCharType="separate"/>
      </w:r>
      <w:r>
        <w:t>16</w:t>
      </w:r>
      <w:r>
        <w:fldChar w:fldCharType="end"/>
      </w:r>
      <w:r>
        <w:rPr>
          <w:caps w:val="0"/>
          <w:smallCaps/>
          <w:szCs w:val="20"/>
        </w:rPr>
        <w:fldChar w:fldCharType="end"/>
      </w:r>
    </w:p>
    <w:p w14:paraId="7E73B5E9">
      <w:pPr>
        <w:pStyle w:val="17"/>
        <w:tabs>
          <w:tab w:val="right" w:leader="dot" w:pos="8306"/>
          <w:tab w:val="clear" w:pos="8296"/>
        </w:tabs>
      </w:pPr>
      <w:r>
        <w:rPr>
          <w:caps w:val="0"/>
          <w:smallCaps/>
          <w:szCs w:val="20"/>
        </w:rPr>
        <w:fldChar w:fldCharType="begin"/>
      </w:r>
      <w:r>
        <w:rPr>
          <w:caps w:val="0"/>
          <w:smallCaps/>
          <w:szCs w:val="20"/>
        </w:rPr>
        <w:instrText xml:space="preserve"> HYPERLINK \l _Toc15097 </w:instrText>
      </w:r>
      <w:r>
        <w:rPr>
          <w:caps w:val="0"/>
          <w:smallCaps/>
          <w:szCs w:val="20"/>
        </w:rPr>
        <w:fldChar w:fldCharType="separate"/>
      </w:r>
      <w:r>
        <w:rPr>
          <w:rFonts w:hint="eastAsia" w:ascii="仿宋_GB2312" w:hAnsi="仿宋_GB2312" w:eastAsia="仿宋_GB2312" w:cs="仿宋_GB2312"/>
          <w:kern w:val="2"/>
          <w:szCs w:val="32"/>
          <w:lang w:bidi="ar-SA"/>
        </w:rPr>
        <w:t>十、政府性基金预算财政拨款收入支出决算表</w:t>
      </w:r>
      <w:r>
        <w:tab/>
      </w:r>
      <w:r>
        <w:fldChar w:fldCharType="begin"/>
      </w:r>
      <w:r>
        <w:instrText xml:space="preserve"> PAGEREF _Toc15097 \h </w:instrText>
      </w:r>
      <w:r>
        <w:fldChar w:fldCharType="separate"/>
      </w:r>
      <w:r>
        <w:t>16</w:t>
      </w:r>
      <w:r>
        <w:fldChar w:fldCharType="end"/>
      </w:r>
      <w:r>
        <w:rPr>
          <w:caps w:val="0"/>
          <w:smallCaps/>
          <w:szCs w:val="20"/>
        </w:rPr>
        <w:fldChar w:fldCharType="end"/>
      </w:r>
    </w:p>
    <w:p w14:paraId="5D6E3C61">
      <w:pPr>
        <w:pStyle w:val="17"/>
        <w:tabs>
          <w:tab w:val="right" w:leader="dot" w:pos="8306"/>
          <w:tab w:val="clear" w:pos="8296"/>
        </w:tabs>
      </w:pPr>
      <w:r>
        <w:rPr>
          <w:caps w:val="0"/>
          <w:smallCaps/>
          <w:szCs w:val="20"/>
        </w:rPr>
        <w:fldChar w:fldCharType="begin"/>
      </w:r>
      <w:r>
        <w:rPr>
          <w:caps w:val="0"/>
          <w:smallCaps/>
          <w:szCs w:val="20"/>
        </w:rPr>
        <w:instrText xml:space="preserve"> HYPERLINK \l _Toc10110 </w:instrText>
      </w:r>
      <w:r>
        <w:rPr>
          <w:caps w:val="0"/>
          <w:smallCaps/>
          <w:szCs w:val="20"/>
        </w:rPr>
        <w:fldChar w:fldCharType="separate"/>
      </w:r>
      <w:r>
        <w:rPr>
          <w:rFonts w:hint="eastAsia" w:ascii="仿宋_GB2312" w:hAnsi="仿宋_GB2312" w:eastAsia="仿宋_GB2312" w:cs="仿宋_GB2312"/>
          <w:kern w:val="2"/>
          <w:szCs w:val="32"/>
          <w:lang w:bidi="ar-SA"/>
        </w:rPr>
        <w:t>十一、国有资本经营预算财政拨款收入支出决算表</w:t>
      </w:r>
      <w:r>
        <w:tab/>
      </w:r>
      <w:r>
        <w:fldChar w:fldCharType="begin"/>
      </w:r>
      <w:r>
        <w:instrText xml:space="preserve"> PAGEREF _Toc10110 \h </w:instrText>
      </w:r>
      <w:r>
        <w:fldChar w:fldCharType="separate"/>
      </w:r>
      <w:r>
        <w:t>16</w:t>
      </w:r>
      <w:r>
        <w:fldChar w:fldCharType="end"/>
      </w:r>
      <w:r>
        <w:rPr>
          <w:caps w:val="0"/>
          <w:smallCaps/>
          <w:szCs w:val="20"/>
        </w:rPr>
        <w:fldChar w:fldCharType="end"/>
      </w:r>
    </w:p>
    <w:p w14:paraId="184BC86F">
      <w:pPr>
        <w:pStyle w:val="17"/>
        <w:tabs>
          <w:tab w:val="right" w:leader="dot" w:pos="8306"/>
          <w:tab w:val="clear" w:pos="8296"/>
        </w:tabs>
      </w:pPr>
      <w:r>
        <w:rPr>
          <w:caps w:val="0"/>
          <w:smallCaps/>
          <w:szCs w:val="20"/>
        </w:rPr>
        <w:fldChar w:fldCharType="begin"/>
      </w:r>
      <w:r>
        <w:rPr>
          <w:caps w:val="0"/>
          <w:smallCaps/>
          <w:szCs w:val="20"/>
        </w:rPr>
        <w:instrText xml:space="preserve"> HYPERLINK \l _Toc18789 </w:instrText>
      </w:r>
      <w:r>
        <w:rPr>
          <w:caps w:val="0"/>
          <w:smallCaps/>
          <w:szCs w:val="20"/>
        </w:rPr>
        <w:fldChar w:fldCharType="separate"/>
      </w:r>
      <w:r>
        <w:rPr>
          <w:rFonts w:hint="eastAsia" w:ascii="仿宋_GB2312" w:hAnsi="仿宋_GB2312" w:eastAsia="仿宋_GB2312" w:cs="仿宋_GB2312"/>
          <w:kern w:val="2"/>
          <w:szCs w:val="32"/>
          <w:lang w:bidi="ar-SA"/>
        </w:rPr>
        <w:t>十二、国有资本经营预算财政拨款支出决算表</w:t>
      </w:r>
      <w:r>
        <w:tab/>
      </w:r>
      <w:r>
        <w:fldChar w:fldCharType="begin"/>
      </w:r>
      <w:r>
        <w:instrText xml:space="preserve"> PAGEREF _Toc18789 \h </w:instrText>
      </w:r>
      <w:r>
        <w:fldChar w:fldCharType="separate"/>
      </w:r>
      <w:r>
        <w:t>16</w:t>
      </w:r>
      <w:r>
        <w:fldChar w:fldCharType="end"/>
      </w:r>
      <w:r>
        <w:rPr>
          <w:caps w:val="0"/>
          <w:smallCaps/>
          <w:szCs w:val="20"/>
        </w:rPr>
        <w:fldChar w:fldCharType="end"/>
      </w:r>
    </w:p>
    <w:p w14:paraId="0152B1F0">
      <w:pPr>
        <w:pStyle w:val="17"/>
        <w:tabs>
          <w:tab w:val="right" w:leader="dot" w:pos="8306"/>
          <w:tab w:val="clear" w:pos="8296"/>
        </w:tabs>
      </w:pPr>
      <w:r>
        <w:rPr>
          <w:caps w:val="0"/>
          <w:smallCaps/>
          <w:szCs w:val="20"/>
        </w:rPr>
        <w:fldChar w:fldCharType="begin"/>
      </w:r>
      <w:r>
        <w:rPr>
          <w:caps w:val="0"/>
          <w:smallCaps/>
          <w:szCs w:val="20"/>
        </w:rPr>
        <w:instrText xml:space="preserve"> HYPERLINK \l _Toc12089 </w:instrText>
      </w:r>
      <w:r>
        <w:rPr>
          <w:caps w:val="0"/>
          <w:smallCaps/>
          <w:szCs w:val="20"/>
        </w:rPr>
        <w:fldChar w:fldCharType="separate"/>
      </w:r>
      <w:r>
        <w:rPr>
          <w:rFonts w:hint="eastAsia" w:ascii="仿宋_GB2312" w:hAnsi="仿宋_GB2312" w:eastAsia="仿宋_GB2312" w:cs="仿宋_GB2312"/>
          <w:kern w:val="2"/>
          <w:szCs w:val="32"/>
          <w:lang w:bidi="ar-SA"/>
        </w:rPr>
        <w:t>十三、财政拨款“三公”经费支出决算表</w:t>
      </w:r>
      <w:r>
        <w:tab/>
      </w:r>
      <w:r>
        <w:fldChar w:fldCharType="begin"/>
      </w:r>
      <w:r>
        <w:instrText xml:space="preserve"> PAGEREF _Toc12089 \h </w:instrText>
      </w:r>
      <w:r>
        <w:fldChar w:fldCharType="separate"/>
      </w:r>
      <w:r>
        <w:t>16</w:t>
      </w:r>
      <w:r>
        <w:fldChar w:fldCharType="end"/>
      </w:r>
      <w:r>
        <w:rPr>
          <w:caps w:val="0"/>
          <w:smallCaps/>
          <w:szCs w:val="20"/>
        </w:rPr>
        <w:fldChar w:fldCharType="end"/>
      </w:r>
    </w:p>
    <w:p w14:paraId="3AFCDD14">
      <w:pPr>
        <w:pStyle w:val="2"/>
        <w:rPr>
          <w:rFonts w:hint="eastAsia" w:ascii="黑体" w:eastAsia="黑体" w:cs="黑体"/>
        </w:rPr>
      </w:pPr>
      <w:r>
        <w:rPr>
          <w:caps w:val="0"/>
          <w:smallCaps/>
          <w:szCs w:val="20"/>
        </w:rPr>
        <w:fldChar w:fldCharType="end"/>
      </w:r>
      <w:bookmarkStart w:id="13" w:name="_Toc23038"/>
      <w:bookmarkStart w:id="14" w:name="_Toc111208495"/>
    </w:p>
    <w:p w14:paraId="1A4E7E70">
      <w:pPr>
        <w:pStyle w:val="3"/>
        <w:keepNext/>
        <w:keepLines/>
        <w:pageBreakBefore w:val="0"/>
        <w:widowControl w:val="0"/>
        <w:kinsoku/>
        <w:wordWrap/>
        <w:overflowPunct/>
        <w:topLinePunct w:val="0"/>
        <w:autoSpaceDE/>
        <w:autoSpaceDN/>
        <w:bidi w:val="0"/>
        <w:adjustRightInd/>
        <w:snapToGrid/>
        <w:spacing w:after="157" w:afterLines="50" w:line="579" w:lineRule="auto"/>
        <w:jc w:val="center"/>
        <w:textAlignment w:val="auto"/>
        <w:rPr>
          <w:rStyle w:val="24"/>
          <w:rFonts w:hint="eastAsia" w:ascii="方正公文小标宋" w:hAnsi="方正公文小标宋" w:eastAsia="方正公文小标宋" w:cs="方正公文小标宋"/>
          <w:b/>
          <w:bCs/>
        </w:rPr>
      </w:pPr>
      <w:bookmarkStart w:id="15" w:name="_Toc31649"/>
      <w:r>
        <w:rPr>
          <w:rStyle w:val="24"/>
          <w:rFonts w:hint="eastAsia" w:ascii="方正公文小标宋" w:hAnsi="方正公文小标宋" w:eastAsia="方正公文小标宋" w:cs="方正公文小标宋"/>
          <w:b/>
          <w:bCs/>
        </w:rPr>
        <w:t>第一部分 部门概况</w:t>
      </w:r>
      <w:bookmarkEnd w:id="12"/>
      <w:bookmarkEnd w:id="13"/>
      <w:bookmarkEnd w:id="14"/>
      <w:bookmarkEnd w:id="15"/>
    </w:p>
    <w:p w14:paraId="13987D3E">
      <w:pPr>
        <w:pStyle w:val="4"/>
        <w:pageBreakBefore w:val="0"/>
        <w:kinsoku/>
        <w:wordWrap/>
        <w:overflowPunct/>
        <w:topLinePunct w:val="0"/>
        <w:autoSpaceDE/>
        <w:autoSpaceDN/>
        <w:bidi w:val="0"/>
        <w:spacing w:before="0" w:after="0" w:line="576" w:lineRule="exact"/>
        <w:ind w:firstLine="640" w:firstLineChars="200"/>
        <w:textAlignment w:val="auto"/>
        <w:rPr>
          <w:rFonts w:hint="eastAsia" w:ascii="黑体" w:eastAsia="黑体"/>
          <w:b w:val="0"/>
          <w:color w:val="000000"/>
        </w:rPr>
      </w:pPr>
      <w:bookmarkStart w:id="16" w:name="_Toc15396600"/>
      <w:bookmarkStart w:id="17" w:name="_Toc15377197"/>
      <w:bookmarkStart w:id="18" w:name="_Toc10216"/>
      <w:bookmarkStart w:id="19" w:name="_Toc79163602"/>
      <w:bookmarkStart w:id="20" w:name="_Toc25800"/>
      <w:bookmarkStart w:id="21" w:name="_Toc25145"/>
      <w:bookmarkStart w:id="22" w:name="_Toc15377204"/>
      <w:r>
        <w:rPr>
          <w:rFonts w:hint="eastAsia" w:ascii="黑体" w:eastAsia="黑体"/>
          <w:b w:val="0"/>
          <w:color w:val="000000"/>
        </w:rPr>
        <w:t>一、</w:t>
      </w:r>
      <w:bookmarkEnd w:id="16"/>
      <w:bookmarkEnd w:id="17"/>
      <w:bookmarkEnd w:id="18"/>
      <w:bookmarkEnd w:id="19"/>
      <w:bookmarkEnd w:id="20"/>
      <w:r>
        <w:rPr>
          <w:rFonts w:hint="eastAsia" w:ascii="黑体" w:eastAsia="黑体"/>
          <w:b w:val="0"/>
          <w:color w:val="000000"/>
          <w:lang w:eastAsia="zh-CN"/>
        </w:rPr>
        <w:t>部门职责</w:t>
      </w:r>
      <w:bookmarkEnd w:id="21"/>
      <w:bookmarkStart w:id="23" w:name="_Toc15377198"/>
      <w:bookmarkStart w:id="24" w:name="_Toc15378445"/>
    </w:p>
    <w:bookmarkEnd w:id="23"/>
    <w:bookmarkEnd w:id="24"/>
    <w:p w14:paraId="5BE6AF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bookmarkStart w:id="25" w:name="_Toc31514"/>
      <w:bookmarkStart w:id="26" w:name="_Toc15377200"/>
      <w:r>
        <w:rPr>
          <w:rFonts w:hint="eastAsia" w:ascii="仿宋_GB2312" w:eastAsia="仿宋_GB2312" w:cs="仿宋_GB2312"/>
          <w:sz w:val="32"/>
          <w:szCs w:val="32"/>
        </w:rPr>
        <w:t>1.贯彻执行党的路线、方针、政策以及中央、省委、州委和县委的决议、决定和工作的部署，协助县委领导处理县委日常工作，协调镇和部门工作，沟通上下左右联系；</w:t>
      </w:r>
    </w:p>
    <w:p w14:paraId="50D0E7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2.负责县委日常文书的处理、县委领导同志公务活动的组织安排、县委各类会议的组织工作；</w:t>
      </w:r>
    </w:p>
    <w:p w14:paraId="364A42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3.负责县委文件、文稿的起草、批办、审核和印发工作；</w:t>
      </w:r>
    </w:p>
    <w:p w14:paraId="3BFB11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４.围绕县委中心工作开展调查研究，及时准确地向县委领导和上级党委反映各方面的实际情况，并提供切实可行的建议；</w:t>
      </w:r>
    </w:p>
    <w:p w14:paraId="14463C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5.及时收集、筛选、综合整理各类情况，全面准确地为县委领导、上级党委报送信息；</w:t>
      </w:r>
    </w:p>
    <w:p w14:paraId="1992A8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6.围绕县委重大决策和工作部署，进行督促检查，做好领导重要批示件、新闻舆论批评和群众反映的突出问题的查办工作；</w:t>
      </w:r>
    </w:p>
    <w:p w14:paraId="026FC2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7.负责全县党政密码通信、密码管理和密码保密及全县商用密码的管理工作；中央、省委、市委、县委文件和县级重要机密件的传递，领导机要专线电话的管理工作；</w:t>
      </w:r>
    </w:p>
    <w:p w14:paraId="046457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8.主管全县保密工作，督促、检查全县及驻本县单位、部队和企事业单位对《保密法》及其配套法规的贯彻实施情况；</w:t>
      </w:r>
    </w:p>
    <w:p w14:paraId="0D726E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eastAsia="楷体" w:cs="楷体"/>
          <w:b/>
          <w:bCs w:val="0"/>
          <w:color w:val="000000"/>
          <w:sz w:val="32"/>
          <w:szCs w:val="32"/>
        </w:rPr>
      </w:pPr>
      <w:r>
        <w:rPr>
          <w:rFonts w:hint="eastAsia" w:ascii="仿宋_GB2312" w:eastAsia="仿宋_GB2312" w:cs="仿宋_GB2312"/>
          <w:sz w:val="32"/>
          <w:szCs w:val="32"/>
        </w:rPr>
        <w:t>9.承办县委领导和上级业务部门交办的其他工作。</w:t>
      </w:r>
    </w:p>
    <w:bookmarkEnd w:id="25"/>
    <w:p w14:paraId="0664BEE9">
      <w:pPr>
        <w:pStyle w:val="4"/>
        <w:pageBreakBefore w:val="0"/>
        <w:numPr>
          <w:ilvl w:val="0"/>
          <w:numId w:val="0"/>
        </w:numPr>
        <w:kinsoku/>
        <w:wordWrap/>
        <w:overflowPunct/>
        <w:topLinePunct w:val="0"/>
        <w:autoSpaceDE/>
        <w:autoSpaceDN/>
        <w:bidi w:val="0"/>
        <w:spacing w:before="0" w:after="0" w:line="576" w:lineRule="exact"/>
        <w:ind w:firstLine="640" w:firstLineChars="200"/>
        <w:textAlignment w:val="auto"/>
        <w:rPr>
          <w:rFonts w:hint="eastAsia" w:ascii="黑体" w:eastAsia="黑体"/>
          <w:b w:val="0"/>
          <w:color w:val="000000"/>
        </w:rPr>
      </w:pPr>
      <w:bookmarkStart w:id="27" w:name="_Toc10058"/>
      <w:bookmarkStart w:id="28" w:name="_Toc111208497"/>
      <w:bookmarkStart w:id="29" w:name="_Toc2743"/>
      <w:r>
        <w:rPr>
          <w:rFonts w:hint="eastAsia" w:ascii="黑体" w:eastAsia="黑体"/>
          <w:b w:val="0"/>
          <w:color w:val="000000"/>
          <w:lang w:val="en-US" w:eastAsia="zh-CN"/>
        </w:rPr>
        <w:t>二、</w:t>
      </w:r>
      <w:r>
        <w:rPr>
          <w:rFonts w:hint="eastAsia" w:ascii="黑体" w:eastAsia="黑体"/>
          <w:b w:val="0"/>
          <w:color w:val="000000"/>
        </w:rPr>
        <w:t>机构设置</w:t>
      </w:r>
      <w:bookmarkEnd w:id="26"/>
      <w:bookmarkEnd w:id="27"/>
      <w:bookmarkEnd w:id="28"/>
      <w:bookmarkEnd w:id="29"/>
      <w:bookmarkStart w:id="30" w:name="_Toc6325"/>
      <w:bookmarkStart w:id="31" w:name="_Toc1153"/>
      <w:bookmarkStart w:id="32" w:name="_Toc17616"/>
      <w:bookmarkStart w:id="33" w:name="_Toc4385"/>
      <w:bookmarkStart w:id="34" w:name="_Toc671"/>
      <w:bookmarkStart w:id="35" w:name="_Toc4756"/>
      <w:bookmarkStart w:id="36" w:name="_Toc111208498"/>
    </w:p>
    <w:p w14:paraId="5CB83593">
      <w:pPr>
        <w:pStyle w:val="4"/>
        <w:pageBreakBefore w:val="0"/>
        <w:numPr>
          <w:ilvl w:val="0"/>
          <w:numId w:val="0"/>
        </w:numPr>
        <w:kinsoku/>
        <w:wordWrap/>
        <w:overflowPunct/>
        <w:topLinePunct w:val="0"/>
        <w:autoSpaceDE/>
        <w:autoSpaceDN/>
        <w:bidi w:val="0"/>
        <w:spacing w:before="0" w:after="0" w:line="576" w:lineRule="exact"/>
        <w:ind w:firstLine="640" w:firstLineChars="200"/>
        <w:textAlignment w:val="auto"/>
        <w:rPr>
          <w:rFonts w:hint="eastAsia" w:ascii="黑体" w:eastAsia="黑体" w:cs="黑体"/>
        </w:rPr>
      </w:pPr>
      <w:bookmarkStart w:id="37" w:name="_Toc17689"/>
      <w:bookmarkStart w:id="38" w:name="_Toc7863"/>
      <w:bookmarkStart w:id="39" w:name="_Toc18015"/>
      <w:bookmarkStart w:id="40" w:name="_Toc28833"/>
      <w:r>
        <w:rPr>
          <w:rFonts w:hint="eastAsia" w:ascii="仿宋_GB2312" w:hAnsi="仿宋_GB2312" w:eastAsia="仿宋_GB2312" w:cs="仿宋_GB2312"/>
          <w:b w:val="0"/>
          <w:bCs w:val="0"/>
        </w:rPr>
        <w:t>县委办下属二级单位0个，其中行政单位0个，参照公务员法管理的事业单位0个，其他事业单位0个。</w:t>
      </w:r>
      <w:bookmarkEnd w:id="30"/>
      <w:bookmarkEnd w:id="31"/>
      <w:bookmarkEnd w:id="32"/>
      <w:bookmarkEnd w:id="33"/>
      <w:bookmarkEnd w:id="34"/>
      <w:bookmarkEnd w:id="37"/>
      <w:bookmarkEnd w:id="38"/>
      <w:bookmarkEnd w:id="39"/>
      <w:bookmarkEnd w:id="40"/>
    </w:p>
    <w:p w14:paraId="05733CF7">
      <w:pPr>
        <w:pStyle w:val="3"/>
        <w:keepNext/>
        <w:keepLines/>
        <w:pageBreakBefore w:val="0"/>
        <w:widowControl w:val="0"/>
        <w:kinsoku/>
        <w:wordWrap/>
        <w:overflowPunct/>
        <w:topLinePunct w:val="0"/>
        <w:autoSpaceDE/>
        <w:autoSpaceDN/>
        <w:bidi w:val="0"/>
        <w:adjustRightInd/>
        <w:snapToGrid/>
        <w:spacing w:after="157" w:afterLines="50" w:line="579" w:lineRule="auto"/>
        <w:jc w:val="center"/>
        <w:textAlignment w:val="auto"/>
        <w:rPr>
          <w:rStyle w:val="24"/>
          <w:rFonts w:hint="eastAsia" w:ascii="方正公文小标宋" w:hAnsi="方正公文小标宋" w:eastAsia="方正公文小标宋" w:cs="方正公文小标宋"/>
          <w:b/>
          <w:bCs/>
        </w:rPr>
      </w:pPr>
      <w:bookmarkStart w:id="41" w:name="_Toc4351"/>
      <w:r>
        <w:rPr>
          <w:rStyle w:val="24"/>
          <w:rFonts w:hint="eastAsia" w:ascii="方正公文小标宋" w:hAnsi="方正公文小标宋" w:eastAsia="方正公文小标宋" w:cs="方正公文小标宋"/>
          <w:b/>
          <w:bCs/>
        </w:rPr>
        <w:t>第二部分 202</w:t>
      </w:r>
      <w:r>
        <w:rPr>
          <w:rStyle w:val="24"/>
          <w:rFonts w:hint="eastAsia" w:ascii="方正公文小标宋" w:hAnsi="方正公文小标宋" w:eastAsia="方正公文小标宋" w:cs="方正公文小标宋"/>
          <w:b/>
          <w:bCs/>
          <w:lang w:val="en-US" w:eastAsia="zh-CN"/>
        </w:rPr>
        <w:t>4</w:t>
      </w:r>
      <w:r>
        <w:rPr>
          <w:rStyle w:val="24"/>
          <w:rFonts w:hint="eastAsia" w:ascii="方正公文小标宋" w:hAnsi="方正公文小标宋" w:eastAsia="方正公文小标宋" w:cs="方正公文小标宋"/>
          <w:b/>
          <w:bCs/>
        </w:rPr>
        <w:t>年度部门决算情况说明</w:t>
      </w:r>
      <w:bookmarkEnd w:id="22"/>
      <w:bookmarkEnd w:id="35"/>
      <w:bookmarkEnd w:id="36"/>
      <w:bookmarkEnd w:id="41"/>
    </w:p>
    <w:p w14:paraId="256B8965">
      <w:pPr>
        <w:pStyle w:val="4"/>
        <w:pageBreakBefore w:val="0"/>
        <w:numPr>
          <w:ilvl w:val="0"/>
          <w:numId w:val="0"/>
        </w:numPr>
        <w:kinsoku/>
        <w:wordWrap/>
        <w:overflowPunct/>
        <w:topLinePunct w:val="0"/>
        <w:autoSpaceDE/>
        <w:autoSpaceDN/>
        <w:bidi w:val="0"/>
        <w:spacing w:before="0" w:after="0" w:line="576" w:lineRule="exact"/>
        <w:ind w:firstLine="640" w:firstLineChars="200"/>
        <w:textAlignment w:val="auto"/>
        <w:rPr>
          <w:rFonts w:hint="eastAsia" w:ascii="黑体" w:eastAsia="黑体"/>
          <w:b w:val="0"/>
          <w:color w:val="000000"/>
          <w:lang w:val="en-US" w:eastAsia="zh-CN"/>
        </w:rPr>
      </w:pPr>
      <w:bookmarkStart w:id="42" w:name="_Toc15377205"/>
      <w:bookmarkStart w:id="43" w:name="_Toc26705"/>
      <w:bookmarkStart w:id="44" w:name="_Toc27435"/>
      <w:bookmarkStart w:id="45" w:name="_Toc111208499"/>
      <w:r>
        <w:rPr>
          <w:rFonts w:hint="eastAsia" w:ascii="黑体" w:eastAsia="黑体"/>
          <w:b w:val="0"/>
          <w:color w:val="000000"/>
          <w:lang w:val="en-US" w:eastAsia="zh-CN"/>
        </w:rPr>
        <w:t>一、收入支出决算总体情况说</w:t>
      </w:r>
      <w:bookmarkEnd w:id="42"/>
      <w:r>
        <w:rPr>
          <w:rFonts w:hint="eastAsia" w:ascii="黑体" w:eastAsia="黑体"/>
          <w:b w:val="0"/>
          <w:color w:val="000000"/>
          <w:lang w:val="en-US" w:eastAsia="zh-CN"/>
        </w:rPr>
        <w:t>明</w:t>
      </w:r>
      <w:bookmarkEnd w:id="43"/>
      <w:bookmarkEnd w:id="44"/>
      <w:bookmarkEnd w:id="45"/>
    </w:p>
    <w:p w14:paraId="2384406B">
      <w:pPr>
        <w:spacing w:line="600" w:lineRule="exact"/>
        <w:ind w:firstLine="640" w:firstLineChars="200"/>
        <w:rPr>
          <w:rFonts w:hint="eastAsia" w:ascii="仿宋" w:eastAsia="仿宋"/>
          <w:color w:val="auto"/>
          <w:sz w:val="32"/>
          <w:szCs w:val="32"/>
          <w:highlight w:val="none"/>
          <w:lang w:eastAsia="zh-CN"/>
        </w:rPr>
      </w:pPr>
      <w:r>
        <w:rPr>
          <w:rFonts w:hint="eastAsia" w:ascii="仿宋" w:eastAsia="仿宋"/>
          <w:color w:val="auto"/>
          <w:sz w:val="32"/>
          <w:szCs w:val="32"/>
          <w:highlight w:val="none"/>
          <w:lang w:eastAsia="zh-CN"/>
        </w:rPr>
        <w:t>202</w:t>
      </w:r>
      <w:r>
        <w:rPr>
          <w:rFonts w:hint="eastAsia" w:ascii="仿宋" w:eastAsia="仿宋"/>
          <w:color w:val="auto"/>
          <w:sz w:val="32"/>
          <w:szCs w:val="32"/>
          <w:highlight w:val="none"/>
          <w:lang w:val="en-US" w:eastAsia="zh-CN"/>
        </w:rPr>
        <w:t>4</w:t>
      </w:r>
      <w:r>
        <w:rPr>
          <w:rFonts w:hint="eastAsia" w:ascii="仿宋" w:eastAsia="仿宋"/>
          <w:color w:val="auto"/>
          <w:sz w:val="32"/>
          <w:szCs w:val="32"/>
          <w:highlight w:val="none"/>
        </w:rPr>
        <w:t>年度收、支总计</w:t>
      </w:r>
      <w:r>
        <w:rPr>
          <w:rFonts w:hint="eastAsia" w:ascii="仿宋" w:eastAsia="仿宋"/>
          <w:color w:val="auto"/>
          <w:sz w:val="32"/>
          <w:szCs w:val="32"/>
          <w:highlight w:val="none"/>
          <w:lang w:eastAsia="zh-CN"/>
        </w:rPr>
        <w:t>均为</w:t>
      </w:r>
      <w:r>
        <w:rPr>
          <w:rFonts w:hint="eastAsia" w:ascii="仿宋" w:eastAsia="仿宋"/>
          <w:color w:val="auto"/>
          <w:sz w:val="32"/>
          <w:szCs w:val="32"/>
          <w:highlight w:val="none"/>
          <w:lang w:val="en-US" w:eastAsia="zh-CN"/>
        </w:rPr>
        <w:t>173.06</w:t>
      </w:r>
      <w:r>
        <w:rPr>
          <w:rFonts w:hint="eastAsia" w:ascii="仿宋" w:eastAsia="仿宋"/>
          <w:color w:val="auto"/>
          <w:sz w:val="32"/>
          <w:szCs w:val="32"/>
          <w:highlight w:val="none"/>
        </w:rPr>
        <w:t>万元。与</w:t>
      </w:r>
      <w:r>
        <w:rPr>
          <w:rFonts w:hint="eastAsia" w:ascii="仿宋" w:eastAsia="仿宋"/>
          <w:color w:val="auto"/>
          <w:sz w:val="32"/>
          <w:szCs w:val="32"/>
          <w:highlight w:val="none"/>
          <w:lang w:eastAsia="zh-CN"/>
        </w:rPr>
        <w:t>202</w:t>
      </w:r>
      <w:r>
        <w:rPr>
          <w:rFonts w:hint="eastAsia" w:ascii="仿宋" w:eastAsia="仿宋"/>
          <w:color w:val="auto"/>
          <w:sz w:val="32"/>
          <w:szCs w:val="32"/>
          <w:highlight w:val="none"/>
          <w:lang w:val="en-US" w:eastAsia="zh-CN"/>
        </w:rPr>
        <w:t>3</w:t>
      </w:r>
      <w:r>
        <w:rPr>
          <w:rFonts w:hint="eastAsia" w:ascii="仿宋" w:eastAsia="仿宋"/>
          <w:color w:val="auto"/>
          <w:sz w:val="32"/>
          <w:szCs w:val="32"/>
          <w:highlight w:val="none"/>
        </w:rPr>
        <w:t>年</w:t>
      </w:r>
      <w:r>
        <w:rPr>
          <w:rFonts w:hint="eastAsia" w:ascii="仿宋" w:eastAsia="仿宋"/>
          <w:color w:val="auto"/>
          <w:sz w:val="32"/>
          <w:szCs w:val="32"/>
          <w:highlight w:val="none"/>
          <w:lang w:eastAsia="zh-CN"/>
        </w:rPr>
        <w:t>度</w:t>
      </w:r>
      <w:r>
        <w:rPr>
          <w:rFonts w:hint="eastAsia" w:ascii="仿宋" w:eastAsia="仿宋"/>
          <w:color w:val="auto"/>
          <w:sz w:val="32"/>
          <w:szCs w:val="32"/>
          <w:highlight w:val="none"/>
        </w:rPr>
        <w:t>相比，收、支总计各</w:t>
      </w:r>
      <w:r>
        <w:rPr>
          <w:rFonts w:hint="eastAsia" w:ascii="仿宋" w:eastAsia="仿宋"/>
          <w:color w:val="auto"/>
          <w:sz w:val="32"/>
          <w:szCs w:val="32"/>
          <w:highlight w:val="none"/>
          <w:lang w:eastAsia="zh-CN"/>
        </w:rPr>
        <w:t>增加</w:t>
      </w:r>
      <w:r>
        <w:rPr>
          <w:rFonts w:hint="eastAsia" w:ascii="仿宋" w:eastAsia="仿宋"/>
          <w:color w:val="auto"/>
          <w:sz w:val="32"/>
          <w:szCs w:val="32"/>
          <w:highlight w:val="none"/>
          <w:lang w:val="en-US" w:eastAsia="zh-CN"/>
        </w:rPr>
        <w:t>4.36</w:t>
      </w:r>
      <w:r>
        <w:rPr>
          <w:rFonts w:hint="eastAsia" w:ascii="仿宋" w:eastAsia="仿宋"/>
          <w:color w:val="auto"/>
          <w:sz w:val="32"/>
          <w:szCs w:val="32"/>
          <w:highlight w:val="none"/>
        </w:rPr>
        <w:t>万元，</w:t>
      </w:r>
      <w:r>
        <w:rPr>
          <w:rFonts w:hint="eastAsia" w:ascii="仿宋" w:eastAsia="仿宋"/>
          <w:color w:val="auto"/>
          <w:sz w:val="32"/>
          <w:szCs w:val="32"/>
          <w:highlight w:val="none"/>
          <w:lang w:eastAsia="zh-CN"/>
        </w:rPr>
        <w:t>增加</w:t>
      </w:r>
      <w:r>
        <w:rPr>
          <w:rFonts w:hint="eastAsia" w:ascii="仿宋" w:eastAsia="仿宋"/>
          <w:color w:val="auto"/>
          <w:sz w:val="32"/>
          <w:szCs w:val="32"/>
          <w:highlight w:val="none"/>
          <w:lang w:val="en-US" w:eastAsia="zh-CN"/>
        </w:rPr>
        <w:t>2.6</w:t>
      </w:r>
      <w:r>
        <w:rPr>
          <w:rFonts w:ascii="仿宋" w:eastAsia="仿宋"/>
          <w:color w:val="auto"/>
          <w:sz w:val="32"/>
          <w:szCs w:val="32"/>
          <w:highlight w:val="none"/>
        </w:rPr>
        <w:t>%</w:t>
      </w:r>
      <w:r>
        <w:rPr>
          <w:rFonts w:hint="eastAsia" w:ascii="仿宋" w:eastAsia="仿宋"/>
          <w:color w:val="auto"/>
          <w:sz w:val="32"/>
          <w:szCs w:val="32"/>
          <w:highlight w:val="none"/>
        </w:rPr>
        <w:t>。主要变动原因是</w:t>
      </w:r>
      <w:r>
        <w:rPr>
          <w:rFonts w:hint="eastAsia" w:ascii="仿宋" w:eastAsia="仿宋"/>
          <w:color w:val="auto"/>
          <w:sz w:val="32"/>
          <w:szCs w:val="32"/>
          <w:highlight w:val="none"/>
          <w:lang w:eastAsia="zh-CN"/>
        </w:rPr>
        <w:t>：人员变动，经费开支增多。</w:t>
      </w:r>
    </w:p>
    <w:p w14:paraId="579B33D1">
      <w:pPr>
        <w:pStyle w:val="2"/>
        <w:rPr>
          <w:rFonts w:hint="eastAsia" w:ascii="仿宋_GB2312" w:eastAsia="仿宋_GB2312"/>
          <w:color w:val="000000"/>
          <w:sz w:val="32"/>
          <w:szCs w:val="32"/>
        </w:rPr>
      </w:pPr>
      <w:r>
        <w:rPr>
          <w:rFonts w:hint="eastAsia"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349250</wp:posOffset>
            </wp:positionH>
            <wp:positionV relativeFrom="paragraph">
              <wp:posOffset>277495</wp:posOffset>
            </wp:positionV>
            <wp:extent cx="4886325" cy="2819400"/>
            <wp:effectExtent l="0" t="0" r="21" b="43"/>
            <wp:wrapSquare wrapText="bothSides"/>
            <wp:docPr id="1"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35F35989">
      <w:pPr>
        <w:pStyle w:val="2"/>
        <w:rPr>
          <w:rFonts w:hint="eastAsia" w:ascii="仿宋_GB2312" w:eastAsia="仿宋_GB2312"/>
          <w:color w:val="000000"/>
          <w:sz w:val="32"/>
          <w:szCs w:val="32"/>
        </w:rPr>
      </w:pPr>
    </w:p>
    <w:p w14:paraId="73B7EC23">
      <w:pPr>
        <w:pStyle w:val="2"/>
        <w:rPr>
          <w:rFonts w:hint="eastAsia" w:ascii="仿宋_GB2312" w:eastAsia="仿宋_GB2312"/>
          <w:color w:val="000000"/>
          <w:sz w:val="32"/>
          <w:szCs w:val="32"/>
        </w:rPr>
      </w:pPr>
    </w:p>
    <w:p w14:paraId="5B45DD7F">
      <w:pPr>
        <w:pStyle w:val="2"/>
        <w:rPr>
          <w:rFonts w:hint="eastAsia" w:ascii="仿宋_GB2312" w:eastAsia="仿宋_GB2312"/>
          <w:color w:val="000000"/>
          <w:sz w:val="32"/>
          <w:szCs w:val="32"/>
        </w:rPr>
      </w:pPr>
    </w:p>
    <w:p w14:paraId="672AD916">
      <w:pPr>
        <w:pStyle w:val="2"/>
        <w:rPr>
          <w:rFonts w:hint="eastAsia" w:ascii="仿宋_GB2312" w:eastAsia="仿宋_GB2312"/>
          <w:color w:val="000000"/>
          <w:sz w:val="32"/>
          <w:szCs w:val="32"/>
        </w:rPr>
      </w:pPr>
    </w:p>
    <w:p w14:paraId="7856E0A2">
      <w:pPr>
        <w:pStyle w:val="2"/>
        <w:rPr>
          <w:rFonts w:hint="eastAsia" w:ascii="仿宋_GB2312" w:eastAsia="仿宋_GB2312"/>
          <w:color w:val="000000"/>
          <w:sz w:val="32"/>
          <w:szCs w:val="32"/>
        </w:rPr>
      </w:pPr>
    </w:p>
    <w:p w14:paraId="1DF4DFAB">
      <w:pPr>
        <w:pStyle w:val="4"/>
        <w:pageBreakBefore w:val="0"/>
        <w:numPr>
          <w:ilvl w:val="0"/>
          <w:numId w:val="0"/>
        </w:numPr>
        <w:kinsoku/>
        <w:wordWrap/>
        <w:overflowPunct/>
        <w:topLinePunct w:val="0"/>
        <w:autoSpaceDE/>
        <w:autoSpaceDN/>
        <w:bidi w:val="0"/>
        <w:spacing w:before="0" w:after="0" w:line="576" w:lineRule="exact"/>
        <w:ind w:firstLine="640" w:firstLineChars="200"/>
        <w:textAlignment w:val="auto"/>
        <w:rPr>
          <w:rFonts w:hint="eastAsia" w:ascii="黑体" w:eastAsia="黑体"/>
          <w:b w:val="0"/>
          <w:color w:val="000000"/>
          <w:lang w:val="en-US" w:eastAsia="zh-CN"/>
        </w:rPr>
      </w:pPr>
      <w:bookmarkStart w:id="46" w:name="_Toc15377206"/>
      <w:bookmarkStart w:id="47" w:name="_Toc111208500"/>
      <w:bookmarkStart w:id="48" w:name="_Toc22924"/>
      <w:bookmarkStart w:id="49" w:name="_Toc25746"/>
      <w:r>
        <w:rPr>
          <w:rFonts w:hint="eastAsia" w:ascii="黑体" w:eastAsia="黑体"/>
          <w:b w:val="0"/>
          <w:color w:val="000000"/>
          <w:lang w:val="en-US" w:eastAsia="zh-CN"/>
        </w:rPr>
        <w:t>二、收入决算情况说明</w:t>
      </w:r>
      <w:bookmarkEnd w:id="46"/>
      <w:bookmarkEnd w:id="47"/>
      <w:bookmarkEnd w:id="48"/>
      <w:bookmarkEnd w:id="49"/>
    </w:p>
    <w:p w14:paraId="062A8E56">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年本年收入合计</w:t>
      </w:r>
      <w:r>
        <w:rPr>
          <w:rFonts w:hint="eastAsia" w:ascii="仿宋_GB2312" w:eastAsia="仿宋_GB2312" w:cs="仿宋_GB2312"/>
          <w:color w:val="000000"/>
          <w:sz w:val="32"/>
          <w:szCs w:val="32"/>
          <w:lang w:val="en-US" w:eastAsia="zh-CN"/>
        </w:rPr>
        <w:t>173.06</w:t>
      </w:r>
      <w:r>
        <w:rPr>
          <w:rFonts w:hint="eastAsia" w:ascii="仿宋_GB2312" w:eastAsia="仿宋_GB2312" w:cs="仿宋_GB2312"/>
          <w:color w:val="000000"/>
          <w:sz w:val="32"/>
          <w:szCs w:val="32"/>
        </w:rPr>
        <w:t>万元，其中：一般公共预算财政拨款收入</w:t>
      </w:r>
      <w:r>
        <w:rPr>
          <w:rFonts w:hint="eastAsia" w:ascii="仿宋_GB2312" w:eastAsia="仿宋_GB2312" w:cs="仿宋_GB2312"/>
          <w:color w:val="000000"/>
          <w:sz w:val="32"/>
          <w:szCs w:val="32"/>
          <w:lang w:val="en-US" w:eastAsia="zh-CN"/>
        </w:rPr>
        <w:t>173.06</w:t>
      </w:r>
      <w:r>
        <w:rPr>
          <w:rFonts w:hint="eastAsia" w:ascii="仿宋_GB2312" w:eastAsia="仿宋_GB2312" w:cs="仿宋_GB2312"/>
          <w:color w:val="000000"/>
          <w:sz w:val="32"/>
          <w:szCs w:val="32"/>
        </w:rPr>
        <w:t>万元，占100%。</w:t>
      </w:r>
      <w:r>
        <w:rPr>
          <w:rFonts w:hint="eastAsia" w:ascii="仿宋_GB2312" w:hAnsi="仿宋_GB2312" w:eastAsia="仿宋_GB2312" w:cs="仿宋_GB2312"/>
          <w:color w:val="000000"/>
          <w:sz w:val="32"/>
          <w:szCs w:val="32"/>
        </w:rPr>
        <w:t>政府性基金预算财政拨款收入</w:t>
      </w:r>
      <w:r>
        <w:rPr>
          <w:rFonts w:hint="eastAsia" w:ascii="仿宋_GB2312" w:hAnsi="仿宋_GB2312" w:eastAsia="仿宋_GB2312" w:cs="仿宋_GB2312"/>
          <w:color w:val="000000"/>
          <w:sz w:val="32"/>
          <w:szCs w:val="32"/>
          <w:lang w:val="en-US" w:eastAsia="zh-CN"/>
        </w:rPr>
        <w:t>0.00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p>
    <w:p w14:paraId="4BEF1229">
      <w:pPr>
        <w:pStyle w:val="16"/>
        <w:jc w:val="center"/>
      </w:pPr>
      <w:r>
        <w:rPr>
          <w:rFonts w:hint="eastAsia" w:ascii="仿宋_GB2312" w:eastAsia="仿宋_GB2312"/>
          <w:color w:val="FF0000"/>
          <w:sz w:val="32"/>
          <w:szCs w:val="32"/>
        </w:rPr>
        <w:drawing>
          <wp:inline distT="0" distB="0" distL="114300" distR="114300">
            <wp:extent cx="4180840" cy="2286635"/>
            <wp:effectExtent l="4445" t="4445" r="5715" b="1397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275D29F">
      <w:pPr>
        <w:pStyle w:val="4"/>
        <w:pageBreakBefore w:val="0"/>
        <w:numPr>
          <w:ilvl w:val="0"/>
          <w:numId w:val="0"/>
        </w:numPr>
        <w:kinsoku/>
        <w:wordWrap/>
        <w:overflowPunct/>
        <w:topLinePunct w:val="0"/>
        <w:autoSpaceDE/>
        <w:autoSpaceDN/>
        <w:bidi w:val="0"/>
        <w:spacing w:before="0" w:after="0" w:line="576" w:lineRule="exact"/>
        <w:ind w:firstLine="640" w:firstLineChars="200"/>
        <w:textAlignment w:val="auto"/>
        <w:rPr>
          <w:rFonts w:hint="eastAsia" w:ascii="黑体" w:eastAsia="黑体"/>
          <w:b w:val="0"/>
          <w:color w:val="000000"/>
          <w:lang w:val="en-US" w:eastAsia="zh-CN"/>
        </w:rPr>
      </w:pPr>
      <w:bookmarkStart w:id="50" w:name="_Toc111208501"/>
      <w:bookmarkStart w:id="51" w:name="_Toc10215"/>
      <w:bookmarkStart w:id="52" w:name="_Toc26388"/>
      <w:bookmarkStart w:id="53" w:name="_Toc15377207"/>
      <w:r>
        <w:rPr>
          <w:rFonts w:hint="eastAsia" w:ascii="黑体" w:eastAsia="黑体"/>
          <w:b w:val="0"/>
          <w:color w:val="000000"/>
          <w:lang w:val="en-US" w:eastAsia="zh-CN"/>
        </w:rPr>
        <w:t>三、支出决算情况说明</w:t>
      </w:r>
      <w:bookmarkEnd w:id="50"/>
      <w:bookmarkEnd w:id="51"/>
      <w:bookmarkEnd w:id="52"/>
      <w:bookmarkEnd w:id="53"/>
    </w:p>
    <w:p w14:paraId="2FAD19B2">
      <w:pPr>
        <w:pStyle w:val="2"/>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2024年本年支出合计</w:t>
      </w:r>
      <w:r>
        <w:rPr>
          <w:rFonts w:hint="eastAsia" w:ascii="仿宋_GB2312" w:eastAsia="仿宋_GB2312" w:cs="仿宋_GB2312"/>
          <w:color w:val="000000"/>
          <w:sz w:val="32"/>
          <w:szCs w:val="32"/>
          <w:lang w:val="en-US" w:eastAsia="zh-CN"/>
        </w:rPr>
        <w:t>173.06</w:t>
      </w:r>
      <w:r>
        <w:rPr>
          <w:rFonts w:hint="eastAsia" w:ascii="仿宋_GB2312" w:eastAsia="仿宋_GB2312" w:cs="仿宋_GB2312"/>
          <w:color w:val="000000"/>
          <w:kern w:val="2"/>
          <w:sz w:val="32"/>
          <w:szCs w:val="32"/>
          <w:lang w:val="en-US" w:eastAsia="zh-CN" w:bidi="ar-SA"/>
        </w:rPr>
        <w:t>万元，其中：基本支出</w:t>
      </w:r>
      <w:r>
        <w:rPr>
          <w:rFonts w:hint="eastAsia" w:ascii="仿宋_GB2312" w:eastAsia="仿宋_GB2312" w:cs="仿宋_GB2312"/>
          <w:color w:val="000000"/>
          <w:sz w:val="32"/>
          <w:szCs w:val="32"/>
          <w:lang w:val="en-US" w:eastAsia="zh-CN"/>
        </w:rPr>
        <w:t>168.70</w:t>
      </w:r>
      <w:r>
        <w:rPr>
          <w:rFonts w:hint="eastAsia" w:ascii="仿宋_GB2312" w:eastAsia="仿宋_GB2312" w:cs="仿宋_GB2312"/>
          <w:color w:val="000000"/>
          <w:kern w:val="2"/>
          <w:sz w:val="32"/>
          <w:szCs w:val="32"/>
          <w:lang w:val="en-US" w:eastAsia="zh-CN" w:bidi="ar-SA"/>
        </w:rPr>
        <w:t>万元，占100%。</w:t>
      </w:r>
      <w:r>
        <w:rPr>
          <w:rFonts w:hint="eastAsia" w:ascii="仿宋_GB2312" w:hAnsi="仿宋_GB2312" w:eastAsia="仿宋_GB2312" w:cs="仿宋_GB2312"/>
          <w:color w:val="000000"/>
          <w:sz w:val="32"/>
          <w:szCs w:val="32"/>
          <w:lang w:val="en-US" w:eastAsia="zh-CN"/>
        </w:rPr>
        <w:t xml:space="preserve">项目支出 </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color w:val="000000"/>
          <w:sz w:val="32"/>
          <w:szCs w:val="32"/>
          <w:lang w:val="en-US" w:eastAsia="zh-CN"/>
        </w:rPr>
        <w:t>万元。</w:t>
      </w:r>
    </w:p>
    <w:p w14:paraId="2FDE9A03">
      <w:pPr>
        <w:jc w:val="center"/>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drawing>
          <wp:inline distT="0" distB="0" distL="114300" distR="114300">
            <wp:extent cx="3909060" cy="2581910"/>
            <wp:effectExtent l="4445" t="4445" r="10795" b="23495"/>
            <wp:docPr id="3"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DE0D53A">
      <w:pPr>
        <w:pStyle w:val="2"/>
      </w:pPr>
    </w:p>
    <w:p w14:paraId="139CDD88">
      <w:pPr>
        <w:pStyle w:val="4"/>
        <w:pageBreakBefore w:val="0"/>
        <w:numPr>
          <w:ilvl w:val="0"/>
          <w:numId w:val="0"/>
        </w:numPr>
        <w:kinsoku/>
        <w:wordWrap/>
        <w:overflowPunct/>
        <w:topLinePunct w:val="0"/>
        <w:autoSpaceDE/>
        <w:autoSpaceDN/>
        <w:bidi w:val="0"/>
        <w:spacing w:before="0" w:after="0" w:line="576" w:lineRule="exact"/>
        <w:ind w:firstLine="640" w:firstLineChars="200"/>
        <w:textAlignment w:val="auto"/>
        <w:rPr>
          <w:rFonts w:hint="eastAsia" w:ascii="黑体" w:eastAsia="黑体"/>
          <w:b w:val="0"/>
          <w:color w:val="000000"/>
          <w:lang w:val="en-US" w:eastAsia="zh-CN"/>
        </w:rPr>
      </w:pPr>
      <w:bookmarkStart w:id="54" w:name="_Toc15377208"/>
      <w:bookmarkStart w:id="55" w:name="_Toc27304"/>
      <w:bookmarkStart w:id="56" w:name="_Toc111208502"/>
      <w:bookmarkStart w:id="57" w:name="_Toc32718"/>
      <w:r>
        <w:rPr>
          <w:rFonts w:hint="eastAsia" w:ascii="黑体" w:eastAsia="黑体"/>
          <w:b w:val="0"/>
          <w:color w:val="000000"/>
          <w:lang w:val="en-US" w:eastAsia="zh-CN"/>
        </w:rPr>
        <w:t>四、财政拨款收入支出决算总体情况说明</w:t>
      </w:r>
      <w:bookmarkEnd w:id="54"/>
      <w:bookmarkEnd w:id="55"/>
      <w:bookmarkEnd w:id="56"/>
      <w:bookmarkEnd w:id="57"/>
    </w:p>
    <w:p w14:paraId="4D9E789A">
      <w:pPr>
        <w:spacing w:line="600" w:lineRule="exact"/>
        <w:ind w:firstLine="640" w:firstLineChars="200"/>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2024年财政拨款收、支总计</w:t>
      </w:r>
      <w:r>
        <w:rPr>
          <w:rFonts w:hint="eastAsia" w:ascii="仿宋_GB2312" w:eastAsia="仿宋_GB2312" w:cs="仿宋_GB2312"/>
          <w:color w:val="000000"/>
          <w:sz w:val="32"/>
          <w:szCs w:val="32"/>
          <w:lang w:val="en-US" w:eastAsia="zh-CN"/>
        </w:rPr>
        <w:t>173.06</w:t>
      </w:r>
      <w:r>
        <w:rPr>
          <w:rFonts w:hint="eastAsia" w:ascii="仿宋_GB2312" w:eastAsia="仿宋_GB2312" w:cs="仿宋_GB2312"/>
          <w:color w:val="000000"/>
          <w:kern w:val="2"/>
          <w:sz w:val="32"/>
          <w:szCs w:val="32"/>
          <w:lang w:val="en-US" w:eastAsia="zh-CN" w:bidi="ar-SA"/>
        </w:rPr>
        <w:t>万元。与2023年相比，财政拨款收、支总计各</w:t>
      </w:r>
      <w:r>
        <w:rPr>
          <w:rFonts w:hint="eastAsia" w:ascii="仿宋" w:eastAsia="仿宋"/>
          <w:color w:val="auto"/>
          <w:sz w:val="32"/>
          <w:szCs w:val="32"/>
          <w:highlight w:val="none"/>
          <w:lang w:eastAsia="zh-CN"/>
        </w:rPr>
        <w:t>增加</w:t>
      </w:r>
      <w:r>
        <w:rPr>
          <w:rFonts w:hint="eastAsia" w:ascii="仿宋" w:eastAsia="仿宋"/>
          <w:color w:val="auto"/>
          <w:sz w:val="32"/>
          <w:szCs w:val="32"/>
          <w:highlight w:val="none"/>
          <w:lang w:val="en-US" w:eastAsia="zh-CN"/>
        </w:rPr>
        <w:t>4.36</w:t>
      </w:r>
      <w:r>
        <w:rPr>
          <w:rFonts w:hint="eastAsia" w:ascii="仿宋" w:eastAsia="仿宋"/>
          <w:color w:val="auto"/>
          <w:sz w:val="32"/>
          <w:szCs w:val="32"/>
          <w:highlight w:val="none"/>
        </w:rPr>
        <w:t>万元，</w:t>
      </w:r>
      <w:r>
        <w:rPr>
          <w:rFonts w:hint="eastAsia" w:ascii="仿宋" w:eastAsia="仿宋"/>
          <w:color w:val="auto"/>
          <w:sz w:val="32"/>
          <w:szCs w:val="32"/>
          <w:highlight w:val="none"/>
          <w:lang w:eastAsia="zh-CN"/>
        </w:rPr>
        <w:t>增加</w:t>
      </w:r>
      <w:r>
        <w:rPr>
          <w:rFonts w:hint="eastAsia" w:ascii="仿宋" w:eastAsia="仿宋"/>
          <w:color w:val="auto"/>
          <w:sz w:val="32"/>
          <w:szCs w:val="32"/>
          <w:highlight w:val="none"/>
          <w:lang w:val="en-US" w:eastAsia="zh-CN"/>
        </w:rPr>
        <w:t>2.6</w:t>
      </w:r>
      <w:r>
        <w:rPr>
          <w:rFonts w:ascii="仿宋" w:eastAsia="仿宋"/>
          <w:color w:val="auto"/>
          <w:sz w:val="32"/>
          <w:szCs w:val="32"/>
          <w:highlight w:val="none"/>
        </w:rPr>
        <w:t>%</w:t>
      </w:r>
      <w:r>
        <w:rPr>
          <w:rFonts w:hint="eastAsia" w:ascii="仿宋" w:eastAsia="仿宋"/>
          <w:color w:val="auto"/>
          <w:sz w:val="32"/>
          <w:szCs w:val="32"/>
          <w:highlight w:val="none"/>
        </w:rPr>
        <w:t>。主要变动原因是</w:t>
      </w:r>
      <w:r>
        <w:rPr>
          <w:rFonts w:hint="eastAsia" w:ascii="仿宋" w:eastAsia="仿宋"/>
          <w:color w:val="auto"/>
          <w:sz w:val="32"/>
          <w:szCs w:val="32"/>
          <w:highlight w:val="none"/>
          <w:lang w:eastAsia="zh-CN"/>
        </w:rPr>
        <w:t>人员变动，经费开支增多。</w:t>
      </w:r>
    </w:p>
    <w:p w14:paraId="772AFB83">
      <w:pPr>
        <w:pStyle w:val="2"/>
        <w:ind w:firstLine="1673" w:firstLineChars="523"/>
        <w:rPr>
          <w:rFonts w:hint="eastAsia" w:ascii="仿宋_GB2312" w:eastAsia="仿宋_GB2312" w:cs="仿宋_GB2312"/>
          <w:color w:val="000000"/>
          <w:kern w:val="2"/>
          <w:sz w:val="32"/>
          <w:szCs w:val="32"/>
          <w:lang w:val="en-US" w:eastAsia="zh-CN" w:bidi="ar-SA"/>
        </w:rPr>
      </w:pPr>
      <w:r>
        <w:rPr>
          <w:rFonts w:hint="eastAsia"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548640</wp:posOffset>
            </wp:positionH>
            <wp:positionV relativeFrom="paragraph">
              <wp:posOffset>219075</wp:posOffset>
            </wp:positionV>
            <wp:extent cx="4610735" cy="2696845"/>
            <wp:effectExtent l="0" t="0" r="39" b="22"/>
            <wp:wrapSquare wrapText="bothSides"/>
            <wp:docPr id="4"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729306BB">
      <w:pPr>
        <w:pStyle w:val="2"/>
        <w:jc w:val="left"/>
      </w:pPr>
    </w:p>
    <w:p w14:paraId="31A1D1B1">
      <w:pPr>
        <w:pStyle w:val="2"/>
        <w:jc w:val="left"/>
      </w:pPr>
    </w:p>
    <w:p w14:paraId="4339DC51">
      <w:pPr>
        <w:pStyle w:val="2"/>
        <w:jc w:val="left"/>
      </w:pPr>
    </w:p>
    <w:p w14:paraId="597B45C1">
      <w:pPr>
        <w:pStyle w:val="2"/>
        <w:jc w:val="left"/>
      </w:pPr>
    </w:p>
    <w:p w14:paraId="21EEDFD3">
      <w:pPr>
        <w:pStyle w:val="2"/>
        <w:jc w:val="left"/>
      </w:pPr>
    </w:p>
    <w:p w14:paraId="10E2A229">
      <w:pPr>
        <w:pStyle w:val="2"/>
        <w:jc w:val="left"/>
      </w:pPr>
    </w:p>
    <w:p w14:paraId="48224203">
      <w:pPr>
        <w:pStyle w:val="2"/>
        <w:jc w:val="left"/>
      </w:pPr>
    </w:p>
    <w:p w14:paraId="54BB60F1">
      <w:pPr>
        <w:pStyle w:val="4"/>
        <w:ind w:firstLine="640" w:firstLineChars="200"/>
        <w:rPr>
          <w:rFonts w:hint="eastAsia" w:ascii="黑体" w:eastAsia="黑体" w:cs="Times New Roman"/>
          <w:b w:val="0"/>
          <w:bCs/>
          <w:color w:val="000000"/>
        </w:rPr>
      </w:pPr>
      <w:bookmarkStart w:id="58" w:name="_Toc15377209"/>
      <w:bookmarkStart w:id="59" w:name="_Toc11217"/>
      <w:bookmarkStart w:id="60" w:name="_Toc111208503"/>
      <w:bookmarkStart w:id="61" w:name="_Toc15377211"/>
    </w:p>
    <w:p w14:paraId="0A361508">
      <w:pPr>
        <w:pStyle w:val="4"/>
        <w:pageBreakBefore w:val="0"/>
        <w:numPr>
          <w:ilvl w:val="0"/>
          <w:numId w:val="0"/>
        </w:numPr>
        <w:kinsoku/>
        <w:wordWrap/>
        <w:overflowPunct/>
        <w:topLinePunct w:val="0"/>
        <w:autoSpaceDE/>
        <w:autoSpaceDN/>
        <w:bidi w:val="0"/>
        <w:spacing w:before="0" w:after="0" w:line="576" w:lineRule="exact"/>
        <w:ind w:firstLine="640" w:firstLineChars="200"/>
        <w:textAlignment w:val="auto"/>
        <w:rPr>
          <w:rFonts w:hint="eastAsia" w:ascii="黑体" w:eastAsia="黑体" w:cs="Times New Roman"/>
          <w:b w:val="0"/>
          <w:color w:val="000000"/>
          <w:lang w:val="en-US" w:eastAsia="zh-CN"/>
        </w:rPr>
      </w:pPr>
      <w:bookmarkStart w:id="62" w:name="_Toc16607"/>
      <w:r>
        <w:rPr>
          <w:rFonts w:hint="eastAsia" w:ascii="黑体" w:eastAsia="黑体" w:cs="Times New Roman"/>
          <w:b w:val="0"/>
          <w:color w:val="000000"/>
          <w:lang w:val="en-US" w:eastAsia="zh-CN"/>
        </w:rPr>
        <w:t>五、一般公共预算财政拨款支出决算情况说</w:t>
      </w:r>
      <w:bookmarkEnd w:id="58"/>
      <w:r>
        <w:rPr>
          <w:rFonts w:hint="eastAsia" w:ascii="黑体" w:eastAsia="黑体" w:cs="Times New Roman"/>
          <w:b w:val="0"/>
          <w:color w:val="000000"/>
          <w:lang w:val="en-US" w:eastAsia="zh-CN"/>
        </w:rPr>
        <w:t>明</w:t>
      </w:r>
      <w:bookmarkEnd w:id="59"/>
      <w:bookmarkEnd w:id="60"/>
      <w:bookmarkEnd w:id="62"/>
    </w:p>
    <w:p w14:paraId="34525DEA">
      <w:pPr>
        <w:spacing w:line="600" w:lineRule="exact"/>
        <w:ind w:firstLine="643" w:firstLineChars="200"/>
        <w:outlineLvl w:val="2"/>
        <w:rPr>
          <w:rFonts w:hint="eastAsia" w:ascii="楷体_GB2312" w:eastAsia="楷体_GB2312" w:cs="楷体_GB2312"/>
          <w:b/>
          <w:bCs w:val="0"/>
          <w:color w:val="000000"/>
          <w:sz w:val="32"/>
          <w:szCs w:val="32"/>
        </w:rPr>
      </w:pPr>
      <w:bookmarkStart w:id="63" w:name="_Toc15377210"/>
      <w:r>
        <w:rPr>
          <w:rFonts w:hint="eastAsia" w:ascii="楷体_GB2312" w:eastAsia="楷体_GB2312" w:cs="楷体_GB2312"/>
          <w:b/>
          <w:bCs w:val="0"/>
          <w:color w:val="000000"/>
          <w:sz w:val="32"/>
          <w:szCs w:val="32"/>
        </w:rPr>
        <w:t>（一）一般公共预算财政拨款支出决算总体情况</w:t>
      </w:r>
      <w:bookmarkEnd w:id="63"/>
    </w:p>
    <w:p w14:paraId="2D9B4619">
      <w:pPr>
        <w:spacing w:line="600" w:lineRule="exact"/>
        <w:ind w:firstLine="640" w:firstLineChars="200"/>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2024年一般公共预算财政拨款支出</w:t>
      </w:r>
      <w:r>
        <w:rPr>
          <w:rFonts w:hint="eastAsia" w:ascii="仿宋_GB2312" w:eastAsia="仿宋_GB2312" w:cs="仿宋_GB2312"/>
          <w:color w:val="000000"/>
          <w:sz w:val="32"/>
          <w:szCs w:val="32"/>
          <w:lang w:val="en-US" w:eastAsia="zh-CN"/>
        </w:rPr>
        <w:t>173.06</w:t>
      </w:r>
      <w:r>
        <w:rPr>
          <w:rFonts w:hint="eastAsia" w:ascii="仿宋_GB2312" w:eastAsia="仿宋_GB2312" w:cs="仿宋_GB2312"/>
          <w:color w:val="000000"/>
          <w:kern w:val="2"/>
          <w:sz w:val="32"/>
          <w:szCs w:val="32"/>
          <w:lang w:val="en-US" w:eastAsia="zh-CN" w:bidi="ar-SA"/>
        </w:rPr>
        <w:t>万元，占本年支出合计的100%。与2023相比，一般公共预算财政拨款</w:t>
      </w:r>
      <w:r>
        <w:rPr>
          <w:rFonts w:hint="eastAsia" w:ascii="仿宋" w:eastAsia="仿宋"/>
          <w:color w:val="auto"/>
          <w:sz w:val="32"/>
          <w:szCs w:val="32"/>
          <w:highlight w:val="none"/>
          <w:lang w:eastAsia="zh-CN"/>
        </w:rPr>
        <w:t>增加</w:t>
      </w:r>
      <w:r>
        <w:rPr>
          <w:rFonts w:hint="eastAsia" w:ascii="仿宋" w:eastAsia="仿宋"/>
          <w:color w:val="auto"/>
          <w:sz w:val="32"/>
          <w:szCs w:val="32"/>
          <w:highlight w:val="none"/>
          <w:lang w:val="en-US" w:eastAsia="zh-CN"/>
        </w:rPr>
        <w:t>2.6</w:t>
      </w:r>
      <w:r>
        <w:rPr>
          <w:rFonts w:ascii="仿宋" w:eastAsia="仿宋"/>
          <w:color w:val="auto"/>
          <w:sz w:val="32"/>
          <w:szCs w:val="32"/>
          <w:highlight w:val="none"/>
        </w:rPr>
        <w:t>%</w:t>
      </w:r>
      <w:r>
        <w:rPr>
          <w:rFonts w:hint="eastAsia" w:ascii="仿宋" w:eastAsia="仿宋"/>
          <w:color w:val="auto"/>
          <w:sz w:val="32"/>
          <w:szCs w:val="32"/>
          <w:highlight w:val="none"/>
        </w:rPr>
        <w:t>。主要变动原因是</w:t>
      </w:r>
      <w:r>
        <w:rPr>
          <w:rFonts w:hint="eastAsia" w:ascii="仿宋" w:eastAsia="仿宋"/>
          <w:color w:val="auto"/>
          <w:sz w:val="32"/>
          <w:szCs w:val="32"/>
          <w:highlight w:val="none"/>
          <w:lang w:eastAsia="zh-CN"/>
        </w:rPr>
        <w:t>：人员变动，经费开支增多。</w:t>
      </w:r>
    </w:p>
    <w:p w14:paraId="1CCFA4DD">
      <w:pPr>
        <w:pStyle w:val="2"/>
        <w:ind w:firstLine="0"/>
        <w:rPr>
          <w:rFonts w:ascii="仿宋_GB2312" w:eastAsia="仿宋_GB2312"/>
          <w:b/>
          <w:color w:val="000000"/>
          <w:sz w:val="32"/>
          <w:szCs w:val="32"/>
        </w:rPr>
      </w:pPr>
      <w:r>
        <w:rPr>
          <w:rFonts w:hint="eastAsia"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434340</wp:posOffset>
            </wp:positionH>
            <wp:positionV relativeFrom="paragraph">
              <wp:posOffset>60960</wp:posOffset>
            </wp:positionV>
            <wp:extent cx="5324475" cy="2619375"/>
            <wp:effectExtent l="0" t="0" r="15" b="39"/>
            <wp:wrapSquare wrapText="bothSides"/>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176948DD">
      <w:pPr>
        <w:pStyle w:val="2"/>
        <w:ind w:firstLine="0"/>
        <w:rPr>
          <w:rFonts w:ascii="仿宋_GB2312" w:eastAsia="仿宋_GB2312"/>
          <w:b/>
          <w:color w:val="000000"/>
          <w:sz w:val="32"/>
          <w:szCs w:val="32"/>
        </w:rPr>
      </w:pPr>
    </w:p>
    <w:p w14:paraId="6347E57C">
      <w:pPr>
        <w:pStyle w:val="2"/>
        <w:ind w:firstLine="0"/>
        <w:rPr>
          <w:rFonts w:ascii="仿宋_GB2312" w:eastAsia="仿宋_GB2312"/>
          <w:b/>
          <w:color w:val="000000"/>
          <w:sz w:val="32"/>
          <w:szCs w:val="32"/>
        </w:rPr>
      </w:pPr>
    </w:p>
    <w:p w14:paraId="77FEE98F">
      <w:pPr>
        <w:pStyle w:val="2"/>
        <w:ind w:firstLine="0"/>
        <w:rPr>
          <w:rFonts w:ascii="仿宋_GB2312" w:eastAsia="仿宋_GB2312"/>
          <w:b/>
          <w:color w:val="000000"/>
          <w:sz w:val="32"/>
          <w:szCs w:val="32"/>
        </w:rPr>
      </w:pPr>
    </w:p>
    <w:p w14:paraId="1B483C8F">
      <w:pPr>
        <w:pStyle w:val="2"/>
        <w:ind w:firstLine="0"/>
        <w:rPr>
          <w:rFonts w:ascii="仿宋_GB2312" w:eastAsia="仿宋_GB2312"/>
          <w:b/>
          <w:color w:val="000000"/>
          <w:sz w:val="32"/>
          <w:szCs w:val="32"/>
        </w:rPr>
      </w:pPr>
    </w:p>
    <w:p w14:paraId="53B30B73">
      <w:pPr>
        <w:pStyle w:val="2"/>
        <w:ind w:firstLine="0"/>
        <w:rPr>
          <w:rFonts w:ascii="仿宋_GB2312" w:eastAsia="仿宋_GB2312"/>
          <w:b/>
          <w:color w:val="000000"/>
          <w:sz w:val="32"/>
          <w:szCs w:val="32"/>
        </w:rPr>
      </w:pPr>
    </w:p>
    <w:p w14:paraId="0881C992">
      <w:pPr>
        <w:pStyle w:val="2"/>
        <w:ind w:firstLine="0"/>
        <w:rPr>
          <w:rFonts w:ascii="仿宋_GB2312" w:eastAsia="仿宋_GB2312"/>
          <w:b/>
          <w:color w:val="000000"/>
          <w:sz w:val="32"/>
          <w:szCs w:val="32"/>
        </w:rPr>
      </w:pPr>
    </w:p>
    <w:bookmarkEnd w:id="61"/>
    <w:p w14:paraId="227167F7">
      <w:pPr>
        <w:spacing w:line="600" w:lineRule="exact"/>
        <w:ind w:firstLine="643" w:firstLineChars="200"/>
        <w:outlineLvl w:val="2"/>
        <w:rPr>
          <w:rFonts w:hint="eastAsia" w:ascii="楷体_GB2312" w:eastAsia="楷体_GB2312" w:cs="楷体_GB2312"/>
          <w:b/>
          <w:bCs w:val="0"/>
          <w:color w:val="000000"/>
          <w:sz w:val="32"/>
          <w:szCs w:val="32"/>
        </w:rPr>
      </w:pPr>
      <w:r>
        <w:rPr>
          <w:rFonts w:hint="eastAsia" w:ascii="楷体_GB2312" w:eastAsia="楷体_GB2312" w:cs="楷体_GB2312"/>
          <w:b/>
          <w:bCs w:val="0"/>
          <w:color w:val="000000"/>
          <w:sz w:val="32"/>
          <w:szCs w:val="32"/>
        </w:rPr>
        <w:t>（二）一般公共预算财政拨款支出决算结构情况</w:t>
      </w:r>
    </w:p>
    <w:p w14:paraId="38EC0024">
      <w:pPr>
        <w:spacing w:line="600" w:lineRule="exact"/>
        <w:ind w:firstLine="640" w:firstLineChars="200"/>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2024年一般公共预算财政拨款支出</w:t>
      </w:r>
      <w:r>
        <w:rPr>
          <w:rFonts w:hint="eastAsia" w:ascii="仿宋_GB2312" w:eastAsia="仿宋_GB2312" w:cs="仿宋_GB2312"/>
          <w:color w:val="000000"/>
          <w:sz w:val="32"/>
          <w:szCs w:val="32"/>
          <w:lang w:val="en-US" w:eastAsia="zh-CN"/>
        </w:rPr>
        <w:t>173.06</w:t>
      </w:r>
      <w:r>
        <w:rPr>
          <w:rFonts w:hint="eastAsia" w:ascii="仿宋_GB2312" w:eastAsia="仿宋_GB2312" w:cs="仿宋_GB2312"/>
          <w:color w:val="000000"/>
          <w:kern w:val="2"/>
          <w:sz w:val="32"/>
          <w:szCs w:val="32"/>
          <w:lang w:val="en-US" w:eastAsia="zh-CN" w:bidi="ar-SA"/>
        </w:rPr>
        <w:t>万元，主要用于以下方面:一般公共服务支出126.67万元，占73.2%；社会保障和就业支出23.49万元，占13.6%；卫生健康支出9.91万元，占5.7%；住房保障支出12.99万元，占7.5%。</w:t>
      </w:r>
    </w:p>
    <w:p w14:paraId="28B6F037">
      <w:pPr>
        <w:pStyle w:val="2"/>
      </w:pPr>
      <w:bookmarkStart w:id="64" w:name="_Toc15377212"/>
      <w:r>
        <w:rPr>
          <w:rFonts w:hint="eastAsia" w:ascii="仿宋" w:eastAsia="仿宋"/>
          <w:color w:val="000000"/>
          <w:sz w:val="32"/>
          <w:szCs w:val="32"/>
        </w:rPr>
        <w:drawing>
          <wp:anchor distT="0" distB="0" distL="114300" distR="114300" simplePos="0" relativeHeight="251659264" behindDoc="0" locked="0" layoutInCell="1" allowOverlap="1">
            <wp:simplePos x="0" y="0"/>
            <wp:positionH relativeFrom="column">
              <wp:posOffset>854075</wp:posOffset>
            </wp:positionH>
            <wp:positionV relativeFrom="paragraph">
              <wp:posOffset>147320</wp:posOffset>
            </wp:positionV>
            <wp:extent cx="4065905" cy="2190750"/>
            <wp:effectExtent l="0" t="0" r="30" b="34"/>
            <wp:wrapSquare wrapText="bothSides"/>
            <wp:docPr id="6"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32CEAD55">
      <w:pPr>
        <w:pStyle w:val="2"/>
      </w:pPr>
    </w:p>
    <w:p w14:paraId="3EDD4249">
      <w:pPr>
        <w:spacing w:line="600" w:lineRule="exact"/>
        <w:ind w:firstLine="643" w:firstLineChars="200"/>
        <w:outlineLvl w:val="2"/>
        <w:rPr>
          <w:rFonts w:hint="eastAsia" w:ascii="楷体_GB2312" w:eastAsia="楷体_GB2312" w:cs="楷体_GB2312"/>
          <w:b/>
          <w:bCs w:val="0"/>
          <w:color w:val="000000"/>
          <w:sz w:val="32"/>
          <w:szCs w:val="32"/>
        </w:rPr>
      </w:pPr>
    </w:p>
    <w:p w14:paraId="61A8AE88">
      <w:pPr>
        <w:spacing w:line="600" w:lineRule="exact"/>
        <w:ind w:firstLine="643" w:firstLineChars="200"/>
        <w:outlineLvl w:val="2"/>
        <w:rPr>
          <w:rFonts w:hint="eastAsia" w:ascii="楷体_GB2312" w:eastAsia="楷体_GB2312" w:cs="楷体_GB2312"/>
          <w:b/>
          <w:bCs w:val="0"/>
          <w:color w:val="000000"/>
          <w:sz w:val="32"/>
          <w:szCs w:val="32"/>
        </w:rPr>
      </w:pPr>
    </w:p>
    <w:p w14:paraId="14E8B0B6">
      <w:pPr>
        <w:spacing w:line="600" w:lineRule="exact"/>
        <w:ind w:firstLine="643" w:firstLineChars="200"/>
        <w:outlineLvl w:val="2"/>
        <w:rPr>
          <w:rFonts w:hint="eastAsia" w:ascii="楷体_GB2312" w:eastAsia="楷体_GB2312" w:cs="楷体_GB2312"/>
          <w:b/>
          <w:bCs w:val="0"/>
          <w:color w:val="000000"/>
          <w:sz w:val="32"/>
          <w:szCs w:val="32"/>
        </w:rPr>
      </w:pPr>
    </w:p>
    <w:p w14:paraId="18CC123E">
      <w:pPr>
        <w:spacing w:line="600" w:lineRule="exact"/>
        <w:ind w:firstLine="643" w:firstLineChars="200"/>
        <w:outlineLvl w:val="2"/>
        <w:rPr>
          <w:rFonts w:hint="eastAsia" w:ascii="楷体_GB2312" w:eastAsia="楷体_GB2312" w:cs="楷体_GB2312"/>
          <w:b/>
          <w:bCs w:val="0"/>
          <w:color w:val="000000"/>
          <w:sz w:val="32"/>
          <w:szCs w:val="32"/>
        </w:rPr>
      </w:pPr>
    </w:p>
    <w:p w14:paraId="3D3FE339">
      <w:pPr>
        <w:spacing w:line="600" w:lineRule="exact"/>
        <w:ind w:firstLine="643" w:firstLineChars="200"/>
        <w:outlineLvl w:val="2"/>
        <w:rPr>
          <w:rFonts w:hint="eastAsia" w:ascii="楷体_GB2312" w:eastAsia="楷体_GB2312" w:cs="楷体_GB2312"/>
          <w:b/>
          <w:bCs w:val="0"/>
          <w:color w:val="000000"/>
          <w:sz w:val="32"/>
          <w:szCs w:val="32"/>
        </w:rPr>
      </w:pPr>
    </w:p>
    <w:p w14:paraId="20533886">
      <w:pPr>
        <w:spacing w:line="600" w:lineRule="exact"/>
        <w:ind w:firstLine="643" w:firstLineChars="200"/>
        <w:outlineLvl w:val="2"/>
        <w:rPr>
          <w:rFonts w:hint="eastAsia" w:ascii="楷体_GB2312" w:eastAsia="楷体_GB2312" w:cs="楷体_GB2312"/>
          <w:b/>
          <w:bCs w:val="0"/>
          <w:color w:val="000000"/>
          <w:sz w:val="32"/>
          <w:szCs w:val="32"/>
        </w:rPr>
      </w:pPr>
    </w:p>
    <w:p w14:paraId="0001195A">
      <w:pPr>
        <w:spacing w:line="600" w:lineRule="exact"/>
        <w:ind w:firstLine="643" w:firstLineChars="200"/>
        <w:outlineLvl w:val="2"/>
        <w:rPr>
          <w:rFonts w:hint="eastAsia" w:ascii="楷体_GB2312" w:eastAsia="楷体_GB2312" w:cs="楷体_GB2312"/>
          <w:b/>
          <w:bCs w:val="0"/>
          <w:color w:val="000000"/>
          <w:sz w:val="32"/>
          <w:szCs w:val="32"/>
        </w:rPr>
      </w:pPr>
      <w:r>
        <w:rPr>
          <w:rFonts w:hint="eastAsia" w:ascii="楷体_GB2312" w:eastAsia="楷体_GB2312" w:cs="楷体_GB2312"/>
          <w:b/>
          <w:bCs w:val="0"/>
          <w:color w:val="000000"/>
          <w:sz w:val="32"/>
          <w:szCs w:val="32"/>
        </w:rPr>
        <w:t>（三）一般公共预算财政拨款支出决算具体情况</w:t>
      </w:r>
      <w:bookmarkEnd w:id="64"/>
    </w:p>
    <w:p w14:paraId="5D29A8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bookmarkStart w:id="65" w:name="_Toc15378460"/>
      <w:bookmarkStart w:id="66" w:name="_Toc15377213"/>
      <w:bookmarkStart w:id="67" w:name="_Toc15377444"/>
      <w:r>
        <w:rPr>
          <w:rFonts w:hint="eastAsia" w:ascii="仿宋_GB2312" w:eastAsia="仿宋_GB2312" w:cs="仿宋_GB2312"/>
          <w:color w:val="000000"/>
          <w:kern w:val="2"/>
          <w:sz w:val="32"/>
          <w:szCs w:val="32"/>
          <w:lang w:val="en-US" w:eastAsia="zh-CN" w:bidi="ar-SA"/>
        </w:rPr>
        <w:t>2024年一般公共预算支出决算数为</w:t>
      </w:r>
      <w:r>
        <w:rPr>
          <w:rFonts w:hint="eastAsia" w:ascii="仿宋_GB2312" w:eastAsia="仿宋_GB2312" w:cs="仿宋_GB2312"/>
          <w:color w:val="000000"/>
          <w:sz w:val="32"/>
          <w:szCs w:val="32"/>
          <w:lang w:val="en-US" w:eastAsia="zh-CN"/>
        </w:rPr>
        <w:t>173.06</w:t>
      </w:r>
      <w:r>
        <w:rPr>
          <w:rFonts w:hint="eastAsia" w:ascii="仿宋_GB2312" w:eastAsia="仿宋_GB2312" w:cs="仿宋_GB2312"/>
          <w:color w:val="000000"/>
          <w:kern w:val="2"/>
          <w:sz w:val="32"/>
          <w:szCs w:val="32"/>
          <w:lang w:val="en-US" w:eastAsia="zh-CN" w:bidi="ar-SA"/>
        </w:rPr>
        <w:t>万元，完成预算100%。其中：</w:t>
      </w:r>
      <w:bookmarkEnd w:id="65"/>
      <w:bookmarkEnd w:id="66"/>
      <w:bookmarkEnd w:id="67"/>
    </w:p>
    <w:p w14:paraId="0BBAFBC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1.一般公共服务支出（201）党委办公厅（室）及相关机构事务（31）事业运行（50）支出决算</w:t>
      </w:r>
      <w:r>
        <w:rPr>
          <w:rFonts w:hint="eastAsia" w:ascii="仿宋_GB2312" w:eastAsia="仿宋_GB2312" w:cs="仿宋_GB2312"/>
          <w:color w:val="000000"/>
          <w:sz w:val="32"/>
          <w:szCs w:val="32"/>
          <w:lang w:val="en-US" w:eastAsia="zh-CN"/>
        </w:rPr>
        <w:t>126.67</w:t>
      </w:r>
      <w:r>
        <w:rPr>
          <w:rFonts w:hint="eastAsia" w:ascii="仿宋_GB2312" w:eastAsia="仿宋_GB2312" w:cs="仿宋_GB2312"/>
          <w:color w:val="000000"/>
          <w:kern w:val="2"/>
          <w:sz w:val="32"/>
          <w:szCs w:val="32"/>
          <w:lang w:val="en-US" w:eastAsia="zh-CN" w:bidi="ar-SA"/>
        </w:rPr>
        <w:t>万元，完成预算100%。</w:t>
      </w:r>
    </w:p>
    <w:p w14:paraId="06B20C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2.社会保障和就业支出（208）行政事业单位养老支出（05）机关事业单位基本养老保险缴费支出（05）支出决算15.66万元，完成预算100%，决算数与预算数持平。</w:t>
      </w:r>
    </w:p>
    <w:p w14:paraId="49E644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3.社会保障和就业支出（208）行政事业单位养老支出（05）机关事业单位职业年金缴费支出（06）支出决算7.83万元，完成预算100%，决算数与预算数持平。</w:t>
      </w:r>
    </w:p>
    <w:p w14:paraId="23C3F9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4.卫生健康支出（210）行政事业单位医疗（11）事业单位医疗（02）支出决算9.91万元，完成预算100%，决算数与预算数持平。</w:t>
      </w:r>
    </w:p>
    <w:p w14:paraId="1A0C33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5.住房保障支出（221）住房改革支出（02）住房公积金（01）支出决算12.99万元，完成预算100%，决算数与预算数持平。</w:t>
      </w:r>
    </w:p>
    <w:p w14:paraId="023390AA">
      <w:pPr>
        <w:pStyle w:val="4"/>
        <w:pageBreakBefore w:val="0"/>
        <w:numPr>
          <w:ilvl w:val="0"/>
          <w:numId w:val="0"/>
        </w:numPr>
        <w:kinsoku/>
        <w:wordWrap/>
        <w:overflowPunct/>
        <w:topLinePunct w:val="0"/>
        <w:autoSpaceDE/>
        <w:autoSpaceDN/>
        <w:bidi w:val="0"/>
        <w:spacing w:before="0" w:after="0" w:line="576" w:lineRule="exact"/>
        <w:ind w:firstLine="640" w:firstLineChars="200"/>
        <w:textAlignment w:val="auto"/>
        <w:rPr>
          <w:rFonts w:hint="eastAsia" w:ascii="黑体" w:eastAsia="黑体" w:cs="Times New Roman"/>
          <w:b w:val="0"/>
          <w:color w:val="000000"/>
          <w:lang w:val="en-US" w:eastAsia="zh-CN"/>
        </w:rPr>
      </w:pPr>
      <w:bookmarkStart w:id="68" w:name="_Toc15377214"/>
      <w:bookmarkStart w:id="69" w:name="_Toc111208504"/>
      <w:bookmarkStart w:id="70" w:name="_Toc32028"/>
      <w:bookmarkStart w:id="71" w:name="_Toc11851"/>
      <w:r>
        <w:rPr>
          <w:rFonts w:hint="eastAsia" w:ascii="黑体" w:eastAsia="黑体" w:cs="Times New Roman"/>
          <w:b w:val="0"/>
          <w:color w:val="000000"/>
          <w:lang w:val="en-US" w:eastAsia="zh-CN"/>
        </w:rPr>
        <w:t>六、一般公共预算财政拨款基本支出决算情况说</w:t>
      </w:r>
      <w:bookmarkEnd w:id="68"/>
      <w:r>
        <w:rPr>
          <w:rFonts w:hint="eastAsia" w:ascii="黑体" w:eastAsia="黑体" w:cs="Times New Roman"/>
          <w:b w:val="0"/>
          <w:color w:val="000000"/>
          <w:lang w:val="en-US" w:eastAsia="zh-CN"/>
        </w:rPr>
        <w:t>明</w:t>
      </w:r>
      <w:bookmarkEnd w:id="69"/>
      <w:bookmarkEnd w:id="70"/>
      <w:bookmarkEnd w:id="71"/>
    </w:p>
    <w:p w14:paraId="5EE361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2024年一般公共预算财政拨款基本支出168.70万元，其中：</w:t>
      </w:r>
    </w:p>
    <w:p w14:paraId="21316B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人员经费164.77万元，主要包括：基本工资35.41万元、津贴补贴6.46万元、绩效工资74.21万元、机关事业单位基本养老保险缴费15.66万元、职业年金缴费7.83万元、职工基本医疗保险缴费9.91万元、其他社会保障缴费0.74万元、住房公积金12.99万元、医疗费1.55万元、奖励金0.01万元。</w:t>
      </w:r>
    </w:p>
    <w:p w14:paraId="0D588C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公用经费8.29万元，主要包括：办公费5.00万元、差旅费3.29万元。</w:t>
      </w:r>
    </w:p>
    <w:p w14:paraId="3FFEBB26">
      <w:pPr>
        <w:pStyle w:val="4"/>
        <w:pageBreakBefore w:val="0"/>
        <w:numPr>
          <w:ilvl w:val="0"/>
          <w:numId w:val="0"/>
        </w:numPr>
        <w:kinsoku/>
        <w:wordWrap/>
        <w:overflowPunct/>
        <w:topLinePunct w:val="0"/>
        <w:autoSpaceDE/>
        <w:autoSpaceDN/>
        <w:bidi w:val="0"/>
        <w:spacing w:before="0" w:after="0" w:line="576" w:lineRule="exact"/>
        <w:ind w:firstLine="640" w:firstLineChars="200"/>
        <w:textAlignment w:val="auto"/>
        <w:rPr>
          <w:rFonts w:hint="eastAsia" w:ascii="黑体" w:eastAsia="黑体" w:cs="Times New Roman"/>
          <w:b w:val="0"/>
          <w:color w:val="000000"/>
          <w:lang w:val="en-US" w:eastAsia="zh-CN"/>
        </w:rPr>
      </w:pPr>
      <w:bookmarkStart w:id="72" w:name="_Toc15377215"/>
      <w:bookmarkStart w:id="73" w:name="_Toc29532"/>
      <w:bookmarkStart w:id="74" w:name="_Toc111208505"/>
      <w:bookmarkStart w:id="75" w:name="_Toc8600"/>
      <w:r>
        <w:rPr>
          <w:rFonts w:hint="eastAsia" w:ascii="黑体" w:eastAsia="黑体" w:cs="Times New Roman"/>
          <w:b w:val="0"/>
          <w:color w:val="000000"/>
          <w:lang w:val="en-US" w:eastAsia="zh-CN"/>
        </w:rPr>
        <w:t>七、“三公”经费财政拨款支出决算情况说明</w:t>
      </w:r>
      <w:bookmarkEnd w:id="72"/>
      <w:bookmarkEnd w:id="73"/>
      <w:bookmarkEnd w:id="74"/>
      <w:bookmarkEnd w:id="75"/>
    </w:p>
    <w:p w14:paraId="63601545">
      <w:pPr>
        <w:spacing w:line="600" w:lineRule="exact"/>
        <w:ind w:firstLine="643" w:firstLineChars="200"/>
        <w:outlineLvl w:val="2"/>
        <w:rPr>
          <w:rFonts w:ascii="仿宋" w:eastAsia="仿宋"/>
          <w:b/>
          <w:color w:val="000000"/>
          <w:sz w:val="32"/>
          <w:szCs w:val="32"/>
        </w:rPr>
      </w:pPr>
      <w:bookmarkStart w:id="76" w:name="_Toc15377216"/>
      <w:r>
        <w:rPr>
          <w:rFonts w:hint="eastAsia" w:ascii="楷体_GB2312" w:eastAsia="楷体_GB2312" w:cs="楷体_GB2312"/>
          <w:b/>
          <w:color w:val="000000"/>
          <w:sz w:val="32"/>
          <w:szCs w:val="32"/>
        </w:rPr>
        <w:t>（一）“三公”经费财政拨款支出决算总体情况说明</w:t>
      </w:r>
      <w:bookmarkEnd w:id="76"/>
    </w:p>
    <w:p w14:paraId="3B6F8A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2024年“三公”经费财政拨款支出决算为0.00万元，完成预算100%。</w:t>
      </w:r>
      <w:bookmarkStart w:id="77" w:name="_Toc15377217"/>
      <w:r>
        <w:rPr>
          <w:rFonts w:hint="eastAsia" w:ascii="仿宋_GB2312" w:eastAsia="仿宋_GB2312" w:cs="仿宋_GB2312"/>
          <w:color w:val="000000"/>
          <w:kern w:val="2"/>
          <w:sz w:val="32"/>
          <w:szCs w:val="32"/>
          <w:lang w:val="en-US" w:eastAsia="zh-CN" w:bidi="ar-SA"/>
        </w:rPr>
        <w:t>较上年度减少0.00万元。</w:t>
      </w:r>
    </w:p>
    <w:p w14:paraId="3BF0EE77">
      <w:pPr>
        <w:spacing w:line="600" w:lineRule="exact"/>
        <w:ind w:firstLine="643" w:firstLineChars="200"/>
        <w:outlineLvl w:val="2"/>
        <w:rPr>
          <w:rFonts w:hint="eastAsia" w:ascii="楷体_GB2312" w:eastAsia="楷体_GB2312" w:cs="楷体_GB2312"/>
          <w:b/>
          <w:color w:val="000000"/>
          <w:sz w:val="32"/>
          <w:szCs w:val="32"/>
        </w:rPr>
      </w:pPr>
      <w:r>
        <w:rPr>
          <w:rFonts w:hint="eastAsia" w:ascii="楷体_GB2312" w:eastAsia="楷体_GB2312" w:cs="楷体_GB2312"/>
          <w:b/>
          <w:color w:val="000000"/>
          <w:sz w:val="32"/>
          <w:szCs w:val="32"/>
        </w:rPr>
        <w:t>（二）“三公”经费财政拨款支出决算具体情况说明</w:t>
      </w:r>
      <w:bookmarkEnd w:id="77"/>
    </w:p>
    <w:p w14:paraId="0A34E0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 w:eastAsia="仿宋"/>
          <w:color w:val="000000"/>
          <w:sz w:val="32"/>
          <w:szCs w:val="32"/>
        </w:rPr>
        <w:t>2</w:t>
      </w:r>
      <w:r>
        <w:rPr>
          <w:rFonts w:hint="eastAsia" w:ascii="仿宋_GB2312" w:eastAsia="仿宋_GB2312" w:cs="仿宋_GB2312"/>
          <w:color w:val="000000"/>
          <w:kern w:val="2"/>
          <w:sz w:val="32"/>
          <w:szCs w:val="32"/>
          <w:lang w:val="en-US" w:eastAsia="zh-CN" w:bidi="ar-SA"/>
        </w:rPr>
        <w:t>024年“三公”经费财政拨款支出0.00万，因公出国（境）费支出决算0.00万元、占0%；公务用车购置费0.00万元，占0%；公车运行维护费支出决算0.00万元，占0%；公务接待费支出决算0.00万元，占0%。具体情况如下：</w:t>
      </w:r>
    </w:p>
    <w:p w14:paraId="7BBDB92E">
      <w:pPr>
        <w:pStyle w:val="2"/>
        <w:rPr>
          <w:rFonts w:ascii="仿宋_GB2312" w:eastAsia="仿宋_GB2312"/>
          <w:color w:val="000000"/>
          <w:sz w:val="32"/>
          <w:szCs w:val="32"/>
        </w:rPr>
      </w:pPr>
      <w:r>
        <w:rPr>
          <w:rFonts w:hint="eastAsia" w:ascii="仿宋_GB2312" w:eastAsia="仿宋_GB2312"/>
          <w:color w:val="000000"/>
          <w:sz w:val="32"/>
          <w:szCs w:val="32"/>
          <w:lang w:eastAsia="zh-CN"/>
        </w:rPr>
        <w:drawing>
          <wp:inline distT="0" distB="0" distL="114300" distR="114300">
            <wp:extent cx="5079365" cy="3810000"/>
            <wp:effectExtent l="0" t="0" r="0" b="0"/>
            <wp:docPr id="7"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A3F07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bookmarkStart w:id="78" w:name="_Toc9979"/>
      <w:bookmarkStart w:id="79" w:name="_Toc15377218"/>
      <w:bookmarkStart w:id="80" w:name="_Toc111208506"/>
      <w:r>
        <w:rPr>
          <w:rFonts w:hint="eastAsia" w:ascii="仿宋_GB2312" w:eastAsia="仿宋_GB2312" w:cs="仿宋_GB2312"/>
          <w:color w:val="000000"/>
          <w:kern w:val="2"/>
          <w:sz w:val="32"/>
          <w:szCs w:val="32"/>
          <w:lang w:val="en-US" w:eastAsia="zh-CN" w:bidi="ar-SA"/>
        </w:rPr>
        <w:t xml:space="preserve">1.因公出国（境）经费支出0.00万元。全年安排因公出国（境）团组0次，出国（境）0人。因公出国（境）支出决算与2023年相比无变化。 </w:t>
      </w:r>
    </w:p>
    <w:p w14:paraId="0AF0FC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2.公务用车购置及运行维护费支出0.00万元。公务用车购置及公车运行维护费支出决算与2023年相比</w:t>
      </w:r>
      <w:bookmarkStart w:id="157" w:name="_GoBack"/>
      <w:bookmarkEnd w:id="157"/>
      <w:r>
        <w:rPr>
          <w:rFonts w:hint="eastAsia" w:ascii="仿宋_GB2312" w:eastAsia="仿宋_GB2312" w:cs="仿宋_GB2312"/>
          <w:color w:val="000000"/>
          <w:kern w:val="2"/>
          <w:sz w:val="32"/>
          <w:szCs w:val="32"/>
          <w:lang w:val="en-US" w:eastAsia="zh-CN" w:bidi="ar-SA"/>
        </w:rPr>
        <w:t xml:space="preserve">无变化。 </w:t>
      </w:r>
    </w:p>
    <w:p w14:paraId="4D2DD1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其中：公务用车购置支出0.00万元。全年按规定更新购置公务用车0辆，其中：轿车0辆、金额0.00万元，越野车0辆、金额0.00万元，载客汽车0辆、金额0.00万元。截至2023年12月底，单位共有公务用车0辆，其中：轿车0辆、越野车0辆、载客汽车0辆。</w:t>
      </w:r>
    </w:p>
    <w:p w14:paraId="5D630C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公务用车运行维护费、公务用车购置支出0.00万元。无变化。</w:t>
      </w:r>
    </w:p>
    <w:p w14:paraId="39C31D0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3.公务接待费支出0.00万元。公务接待费支出决算与2023年相比减少0.00万元。无变化。</w:t>
      </w:r>
    </w:p>
    <w:p w14:paraId="262D74A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4.国内公务接待支出0.00万元。国内公务接待0批次，0人次（不包括陪同人员），共计支出0.00万元。无变化。</w:t>
      </w:r>
    </w:p>
    <w:p w14:paraId="3D57EC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外事接待支出0.00万元，外事接待0批次，0人，共计支出0.00万元。无变化。</w:t>
      </w:r>
    </w:p>
    <w:p w14:paraId="48C5ACBF">
      <w:pPr>
        <w:pStyle w:val="4"/>
        <w:pageBreakBefore w:val="0"/>
        <w:kinsoku/>
        <w:wordWrap/>
        <w:overflowPunct/>
        <w:topLinePunct w:val="0"/>
        <w:autoSpaceDE/>
        <w:autoSpaceDN/>
        <w:bidi w:val="0"/>
        <w:spacing w:before="0" w:after="0" w:line="576" w:lineRule="exact"/>
        <w:ind w:firstLine="640" w:firstLineChars="200"/>
        <w:textAlignment w:val="auto"/>
        <w:rPr>
          <w:rFonts w:hint="eastAsia" w:ascii="黑体" w:eastAsia="黑体" w:cs="Times New Roman"/>
          <w:b w:val="0"/>
          <w:color w:val="000000"/>
          <w:lang w:val="en-US" w:eastAsia="zh-CN"/>
        </w:rPr>
      </w:pPr>
      <w:bookmarkStart w:id="81" w:name="_Toc24216"/>
      <w:r>
        <w:rPr>
          <w:rFonts w:hint="eastAsia" w:ascii="黑体" w:eastAsia="黑体" w:cs="Times New Roman"/>
          <w:b w:val="0"/>
          <w:color w:val="000000"/>
          <w:lang w:val="en-US" w:eastAsia="zh-CN"/>
        </w:rPr>
        <w:t>八、政府性基金预算支出决算情况说明</w:t>
      </w:r>
      <w:bookmarkEnd w:id="78"/>
      <w:bookmarkEnd w:id="79"/>
      <w:bookmarkEnd w:id="80"/>
      <w:bookmarkEnd w:id="81"/>
    </w:p>
    <w:p w14:paraId="47417B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2024年政府性基金预算拨款支出0.00万元。</w:t>
      </w:r>
      <w:bookmarkStart w:id="82" w:name="_Toc15377219"/>
      <w:r>
        <w:rPr>
          <w:rFonts w:hint="eastAsia" w:ascii="仿宋_GB2312" w:eastAsia="仿宋_GB2312" w:cs="仿宋_GB2312"/>
          <w:color w:val="000000"/>
          <w:kern w:val="2"/>
          <w:sz w:val="32"/>
          <w:szCs w:val="32"/>
          <w:lang w:val="en-US" w:eastAsia="zh-CN" w:bidi="ar-SA"/>
        </w:rPr>
        <w:t>与2023年相比无变化。</w:t>
      </w:r>
    </w:p>
    <w:p w14:paraId="7511F231">
      <w:pPr>
        <w:pStyle w:val="4"/>
        <w:pageBreakBefore w:val="0"/>
        <w:kinsoku/>
        <w:wordWrap/>
        <w:overflowPunct/>
        <w:topLinePunct w:val="0"/>
        <w:autoSpaceDE/>
        <w:autoSpaceDN/>
        <w:bidi w:val="0"/>
        <w:spacing w:before="0" w:after="0" w:line="576" w:lineRule="exact"/>
        <w:ind w:firstLine="640" w:firstLineChars="200"/>
        <w:textAlignment w:val="auto"/>
        <w:rPr>
          <w:rFonts w:hint="eastAsia" w:ascii="黑体" w:eastAsia="黑体" w:cs="Times New Roman"/>
          <w:b w:val="0"/>
          <w:color w:val="000000"/>
          <w:lang w:val="en-US" w:eastAsia="zh-CN"/>
        </w:rPr>
      </w:pPr>
      <w:bookmarkStart w:id="83" w:name="_Toc19072"/>
      <w:bookmarkStart w:id="84" w:name="_Toc1611"/>
      <w:bookmarkStart w:id="85" w:name="_Toc111208507"/>
      <w:r>
        <w:rPr>
          <w:rFonts w:hint="eastAsia" w:ascii="黑体" w:eastAsia="黑体" w:cs="Times New Roman"/>
          <w:b w:val="0"/>
          <w:color w:val="000000"/>
          <w:lang w:val="en-US" w:eastAsia="zh-CN"/>
        </w:rPr>
        <w:t>九、国有资本经营预算支出决算情况说明</w:t>
      </w:r>
      <w:bookmarkEnd w:id="82"/>
      <w:bookmarkEnd w:id="83"/>
      <w:bookmarkEnd w:id="84"/>
      <w:bookmarkEnd w:id="85"/>
    </w:p>
    <w:p w14:paraId="5AE1B7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2024年国有资本经营预算拨款支出0.00万元。与2023年相比无变化。</w:t>
      </w:r>
    </w:p>
    <w:p w14:paraId="668B2510">
      <w:pPr>
        <w:pStyle w:val="4"/>
        <w:pageBreakBefore w:val="0"/>
        <w:kinsoku/>
        <w:wordWrap/>
        <w:overflowPunct/>
        <w:topLinePunct w:val="0"/>
        <w:autoSpaceDE/>
        <w:autoSpaceDN/>
        <w:bidi w:val="0"/>
        <w:spacing w:before="0" w:after="0" w:line="576" w:lineRule="exact"/>
        <w:ind w:firstLine="640" w:firstLineChars="200"/>
        <w:textAlignment w:val="auto"/>
        <w:rPr>
          <w:rFonts w:hint="eastAsia" w:ascii="黑体" w:eastAsia="黑体" w:cs="Times New Roman"/>
          <w:b w:val="0"/>
          <w:color w:val="000000"/>
          <w:lang w:val="en-US" w:eastAsia="zh-CN"/>
        </w:rPr>
      </w:pPr>
      <w:bookmarkStart w:id="86" w:name="_Toc15377221"/>
      <w:bookmarkStart w:id="87" w:name="_Toc24656"/>
      <w:bookmarkStart w:id="88" w:name="_Toc111208508"/>
      <w:bookmarkStart w:id="89" w:name="_Toc18675"/>
      <w:r>
        <w:rPr>
          <w:rFonts w:hint="eastAsia" w:ascii="黑体" w:eastAsia="黑体" w:cs="Times New Roman"/>
          <w:b w:val="0"/>
          <w:color w:val="000000"/>
          <w:lang w:val="en-US" w:eastAsia="zh-CN"/>
        </w:rPr>
        <w:t>十、其他重要事项的情况说明</w:t>
      </w:r>
      <w:bookmarkEnd w:id="86"/>
      <w:bookmarkEnd w:id="87"/>
      <w:bookmarkEnd w:id="88"/>
      <w:bookmarkEnd w:id="89"/>
    </w:p>
    <w:p w14:paraId="4D82F70B">
      <w:pPr>
        <w:spacing w:line="600" w:lineRule="exact"/>
        <w:ind w:firstLine="643" w:firstLineChars="200"/>
        <w:outlineLvl w:val="2"/>
        <w:rPr>
          <w:rFonts w:hint="eastAsia" w:ascii="楷体_GB2312" w:eastAsia="楷体_GB2312" w:cs="楷体_GB2312"/>
          <w:b/>
          <w:color w:val="000000"/>
          <w:sz w:val="32"/>
          <w:szCs w:val="32"/>
        </w:rPr>
      </w:pPr>
      <w:bookmarkStart w:id="90" w:name="_Toc15377222"/>
      <w:r>
        <w:rPr>
          <w:rFonts w:hint="eastAsia" w:ascii="楷体_GB2312" w:eastAsia="楷体_GB2312" w:cs="楷体_GB2312"/>
          <w:b/>
          <w:color w:val="000000"/>
          <w:sz w:val="32"/>
          <w:szCs w:val="32"/>
        </w:rPr>
        <w:t>（一）机关运行经费支出情况</w:t>
      </w:r>
      <w:bookmarkEnd w:id="90"/>
    </w:p>
    <w:p w14:paraId="0FF171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2024年，机关运行经费支出0.00万元，与2023年相比减少0.00万元</w:t>
      </w:r>
      <w:bookmarkStart w:id="91" w:name="_Toc15377223"/>
      <w:r>
        <w:rPr>
          <w:rFonts w:hint="eastAsia" w:ascii="仿宋_GB2312" w:eastAsia="仿宋_GB2312" w:cs="仿宋_GB2312"/>
          <w:color w:val="000000"/>
          <w:kern w:val="2"/>
          <w:sz w:val="32"/>
          <w:szCs w:val="32"/>
          <w:lang w:val="en-US" w:eastAsia="zh-CN" w:bidi="ar-SA"/>
        </w:rPr>
        <w:t>，无变化。</w:t>
      </w:r>
    </w:p>
    <w:p w14:paraId="567DD39D">
      <w:pPr>
        <w:spacing w:line="600" w:lineRule="exact"/>
        <w:ind w:firstLine="643" w:firstLineChars="200"/>
        <w:outlineLvl w:val="2"/>
        <w:rPr>
          <w:rFonts w:hint="eastAsia" w:ascii="楷体_GB2312" w:eastAsia="楷体_GB2312" w:cs="楷体_GB2312"/>
          <w:b/>
          <w:color w:val="000000"/>
          <w:sz w:val="32"/>
          <w:szCs w:val="32"/>
        </w:rPr>
      </w:pPr>
      <w:r>
        <w:rPr>
          <w:rFonts w:hint="eastAsia" w:ascii="楷体_GB2312" w:eastAsia="楷体_GB2312" w:cs="楷体_GB2312"/>
          <w:b/>
          <w:color w:val="000000"/>
          <w:sz w:val="32"/>
          <w:szCs w:val="32"/>
        </w:rPr>
        <w:t>（二）政府采购支出情况</w:t>
      </w:r>
      <w:bookmarkEnd w:id="91"/>
    </w:p>
    <w:p w14:paraId="02AF54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cs="楷体_GB2312"/>
          <w:b/>
          <w:color w:val="000000"/>
          <w:sz w:val="32"/>
          <w:szCs w:val="32"/>
        </w:rPr>
      </w:pPr>
      <w:r>
        <w:rPr>
          <w:rFonts w:hint="eastAsia" w:ascii="仿宋_GB2312" w:eastAsia="仿宋_GB2312" w:cs="仿宋_GB2312"/>
          <w:color w:val="000000"/>
          <w:kern w:val="2"/>
          <w:sz w:val="32"/>
          <w:szCs w:val="32"/>
          <w:lang w:val="en-US" w:eastAsia="zh-CN" w:bidi="ar-SA"/>
        </w:rPr>
        <w:t>2024年，政府采购支出总额0.00万元，其中：政府采购货物支出0.00万元、政府采购工程支出0.00万元、政府采购服务支出0.00万元。授予中小企业合同金额0.00万元，其中：授予小微企业合同金额0.00万元。与2023年相比无变化。</w:t>
      </w:r>
      <w:bookmarkStart w:id="92" w:name="_Toc15377224"/>
    </w:p>
    <w:p w14:paraId="2A0024FA">
      <w:pPr>
        <w:spacing w:line="600" w:lineRule="exact"/>
        <w:ind w:firstLine="643" w:firstLineChars="200"/>
        <w:outlineLvl w:val="2"/>
        <w:rPr>
          <w:rFonts w:hint="eastAsia" w:ascii="楷体_GB2312" w:eastAsia="楷体_GB2312" w:cs="楷体_GB2312"/>
          <w:b/>
          <w:color w:val="000000"/>
          <w:sz w:val="32"/>
          <w:szCs w:val="32"/>
        </w:rPr>
      </w:pPr>
      <w:r>
        <w:rPr>
          <w:rFonts w:hint="eastAsia" w:ascii="楷体_GB2312" w:eastAsia="楷体_GB2312" w:cs="楷体_GB2312"/>
          <w:b/>
          <w:color w:val="000000"/>
          <w:sz w:val="32"/>
          <w:szCs w:val="32"/>
        </w:rPr>
        <w:t>（三）国有资产占有使用情况</w:t>
      </w:r>
      <w:bookmarkEnd w:id="92"/>
    </w:p>
    <w:p w14:paraId="083E98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kern w:val="2"/>
          <w:sz w:val="32"/>
          <w:szCs w:val="32"/>
          <w:lang w:val="en-US" w:eastAsia="zh-CN" w:bidi="ar-SA"/>
        </w:rPr>
      </w:pPr>
      <w:r>
        <w:rPr>
          <w:rFonts w:hint="eastAsia" w:ascii="仿宋_GB2312" w:eastAsia="仿宋_GB2312" w:cs="仿宋_GB2312"/>
          <w:color w:val="000000"/>
          <w:kern w:val="2"/>
          <w:sz w:val="32"/>
          <w:szCs w:val="32"/>
          <w:lang w:val="en-US" w:eastAsia="zh-CN" w:bidi="ar-SA"/>
        </w:rPr>
        <w:t>截至2024年12月31日，共有车辆0辆，其中：主要领导干部用车0辆、机要通信用车0辆、应急保障用车0辆、其他用车0辆。单价50万元以上通用设备0台（套），单价100万元以上专用设备0台（套）。较2023年相比无变化。</w:t>
      </w:r>
    </w:p>
    <w:p w14:paraId="20DF4B1F">
      <w:pPr>
        <w:spacing w:line="600" w:lineRule="exact"/>
        <w:ind w:firstLine="643" w:firstLineChars="200"/>
        <w:outlineLvl w:val="2"/>
        <w:rPr>
          <w:rFonts w:hint="eastAsia" w:ascii="楷体_GB2312" w:eastAsia="楷体_GB2312" w:cs="楷体_GB2312"/>
          <w:b/>
          <w:color w:val="000000"/>
          <w:sz w:val="32"/>
          <w:szCs w:val="32"/>
        </w:rPr>
      </w:pPr>
      <w:r>
        <w:rPr>
          <w:rFonts w:hint="eastAsia" w:ascii="楷体_GB2312" w:eastAsia="楷体_GB2312" w:cs="楷体_GB2312"/>
          <w:b/>
          <w:color w:val="000000"/>
          <w:sz w:val="32"/>
          <w:szCs w:val="32"/>
        </w:rPr>
        <w:t>（四）预算绩效管理情况</w:t>
      </w:r>
    </w:p>
    <w:p w14:paraId="17528945">
      <w:pPr>
        <w:spacing w:line="580" w:lineRule="exact"/>
        <w:ind w:firstLine="640" w:firstLineChars="200"/>
        <w:rPr>
          <w:rFonts w:hint="eastAsia" w:ascii="仿宋_GB2312" w:eastAsia="仿宋_GB2312" w:cs="仿宋_GB2312"/>
          <w:color w:val="auto"/>
          <w:sz w:val="32"/>
          <w:szCs w:val="32"/>
          <w:highlight w:val="none"/>
          <w:lang w:eastAsia="zh-CN"/>
        </w:rPr>
      </w:pPr>
      <w:r>
        <w:rPr>
          <w:rFonts w:hint="eastAsia" w:ascii="仿宋_GB2312" w:eastAsia="仿宋_GB2312" w:cs="仿宋_GB2312"/>
          <w:color w:val="auto"/>
          <w:sz w:val="32"/>
          <w:szCs w:val="32"/>
          <w:highlight w:val="none"/>
        </w:rPr>
        <w:t>根据预算绩效管理要求，本部门在</w:t>
      </w:r>
      <w:r>
        <w:rPr>
          <w:rFonts w:hint="eastAsia" w:ascii="仿宋_GB2312" w:eastAsia="仿宋_GB2312" w:cs="仿宋_GB2312"/>
          <w:color w:val="auto"/>
          <w:sz w:val="32"/>
          <w:szCs w:val="32"/>
          <w:highlight w:val="none"/>
          <w:lang w:val="en-US" w:eastAsia="zh-CN"/>
        </w:rPr>
        <w:t>2024年度</w:t>
      </w:r>
      <w:r>
        <w:rPr>
          <w:rFonts w:hint="eastAsia" w:ascii="仿宋_GB2312" w:eastAsia="仿宋_GB2312" w:cs="仿宋_GB2312"/>
          <w:color w:val="auto"/>
          <w:sz w:val="32"/>
          <w:szCs w:val="32"/>
          <w:highlight w:val="none"/>
        </w:rPr>
        <w:t>预算编制阶段，组织对</w:t>
      </w:r>
      <w:r>
        <w:rPr>
          <w:rFonts w:hint="eastAsia" w:ascii="仿宋_GB2312" w:eastAsia="仿宋_GB2312" w:cs="仿宋_GB2312"/>
          <w:color w:val="auto"/>
          <w:sz w:val="32"/>
          <w:szCs w:val="32"/>
          <w:highlight w:val="none"/>
          <w:lang w:val="en-US" w:eastAsia="zh-CN"/>
        </w:rPr>
        <w:t>0个</w:t>
      </w:r>
      <w:r>
        <w:rPr>
          <w:rFonts w:hint="eastAsia" w:ascii="仿宋_GB2312" w:eastAsia="仿宋_GB2312" w:cs="仿宋_GB2312"/>
          <w:color w:val="auto"/>
          <w:sz w:val="32"/>
          <w:szCs w:val="32"/>
          <w:highlight w:val="none"/>
        </w:rPr>
        <w:t>项目开展了预算事前绩效评估，对</w:t>
      </w:r>
      <w:r>
        <w:rPr>
          <w:rFonts w:hint="eastAsia" w:ascii="仿宋_GB2312" w:eastAsia="仿宋_GB2312" w:cs="仿宋_GB2312"/>
          <w:color w:val="auto"/>
          <w:sz w:val="32"/>
          <w:szCs w:val="32"/>
          <w:highlight w:val="none"/>
          <w:lang w:val="en-US" w:eastAsia="zh-CN"/>
        </w:rPr>
        <w:t>0</w:t>
      </w:r>
      <w:r>
        <w:rPr>
          <w:rFonts w:hint="eastAsia" w:ascii="仿宋_GB2312" w:eastAsia="仿宋_GB2312" w:cs="仿宋_GB2312"/>
          <w:color w:val="auto"/>
          <w:sz w:val="32"/>
          <w:szCs w:val="32"/>
          <w:highlight w:val="none"/>
        </w:rPr>
        <w:t>个项目编制了绩效目标，预算执行过程中，选取</w:t>
      </w:r>
      <w:r>
        <w:rPr>
          <w:rFonts w:hint="eastAsia" w:ascii="仿宋_GB2312" w:eastAsia="仿宋_GB2312" w:cs="仿宋_GB2312"/>
          <w:color w:val="auto"/>
          <w:sz w:val="32"/>
          <w:szCs w:val="32"/>
          <w:highlight w:val="none"/>
          <w:lang w:val="en-US" w:eastAsia="zh-CN"/>
        </w:rPr>
        <w:t>0</w:t>
      </w:r>
      <w:r>
        <w:rPr>
          <w:rFonts w:hint="eastAsia" w:ascii="仿宋_GB2312" w:eastAsia="仿宋_GB2312" w:cs="仿宋_GB2312"/>
          <w:color w:val="auto"/>
          <w:sz w:val="32"/>
          <w:szCs w:val="32"/>
          <w:highlight w:val="none"/>
        </w:rPr>
        <w:t>个项目开展绩效监控</w:t>
      </w:r>
      <w:r>
        <w:rPr>
          <w:rFonts w:hint="eastAsia" w:ascii="仿宋_GB2312" w:eastAsia="仿宋_GB2312" w:cs="仿宋_GB2312"/>
          <w:color w:val="auto"/>
          <w:sz w:val="32"/>
          <w:szCs w:val="32"/>
          <w:highlight w:val="none"/>
          <w:lang w:eastAsia="zh-CN"/>
        </w:rPr>
        <w:t>。</w:t>
      </w:r>
    </w:p>
    <w:p w14:paraId="29F69846">
      <w:pPr>
        <w:pStyle w:val="3"/>
        <w:keepNext/>
        <w:keepLines/>
        <w:pageBreakBefore w:val="0"/>
        <w:widowControl w:val="0"/>
        <w:kinsoku/>
        <w:wordWrap/>
        <w:overflowPunct/>
        <w:topLinePunct w:val="0"/>
        <w:autoSpaceDE/>
        <w:autoSpaceDN/>
        <w:bidi w:val="0"/>
        <w:adjustRightInd/>
        <w:snapToGrid/>
        <w:spacing w:after="157" w:afterLines="50" w:line="579" w:lineRule="auto"/>
        <w:jc w:val="center"/>
        <w:textAlignment w:val="auto"/>
        <w:rPr>
          <w:rStyle w:val="24"/>
          <w:rFonts w:hint="eastAsia" w:ascii="方正公文小标宋" w:hAnsi="方正公文小标宋" w:eastAsia="方正公文小标宋" w:cs="方正公文小标宋"/>
          <w:b/>
          <w:bCs/>
        </w:rPr>
      </w:pPr>
      <w:bookmarkStart w:id="93" w:name="_Toc12772"/>
      <w:bookmarkStart w:id="94" w:name="_Toc2930"/>
      <w:r>
        <w:rPr>
          <w:rStyle w:val="24"/>
          <w:rFonts w:hint="eastAsia" w:ascii="方正公文小标宋" w:hAnsi="方正公文小标宋" w:eastAsia="方正公文小标宋" w:cs="方正公文小标宋"/>
          <w:b/>
          <w:bCs/>
        </w:rPr>
        <w:t>第三部分 名词解释</w:t>
      </w:r>
      <w:bookmarkEnd w:id="93"/>
      <w:bookmarkEnd w:id="94"/>
    </w:p>
    <w:p w14:paraId="42A825FC">
      <w:pPr>
        <w:pageBreakBefore w:val="0"/>
        <w:kinsoku/>
        <w:wordWrap/>
        <w:overflowPunct/>
        <w:topLinePunct w:val="0"/>
        <w:bidi w:val="0"/>
        <w:spacing w:beforeAutospacing="0" w:afterAutospacing="0" w:line="576" w:lineRule="exact"/>
        <w:ind w:leftChars="0"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1.财政拨款收入：指单位从同级财政部门取得的财政预算资金。</w:t>
      </w:r>
    </w:p>
    <w:p w14:paraId="3B589832">
      <w:pPr>
        <w:pStyle w:val="25"/>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w:t>
      </w:r>
    </w:p>
    <w:p w14:paraId="1A1D804D">
      <w:pPr>
        <w:pStyle w:val="25"/>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3.经营收入：指事业单位在专业业务活动及其辅助活动之外开展非独立核算经营活动取得的收入。</w:t>
      </w:r>
    </w:p>
    <w:p w14:paraId="09CA0238">
      <w:pPr>
        <w:pStyle w:val="25"/>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4.其他收入：指单位取得的除上述收入以外的各项收入。 </w:t>
      </w:r>
    </w:p>
    <w:p w14:paraId="1F880D57">
      <w:pPr>
        <w:pStyle w:val="25"/>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5.使用非财政拨款结余：指事业单位使用以前年度积累的非财政拨款结余弥补当年收支差额的金额。 </w:t>
      </w:r>
    </w:p>
    <w:p w14:paraId="0483DAF5">
      <w:pPr>
        <w:pStyle w:val="25"/>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6.年初结转和结余：指以前年度尚未完成、结转到本年按有关规定继续使用的资金。 </w:t>
      </w:r>
    </w:p>
    <w:p w14:paraId="56138655">
      <w:pPr>
        <w:pStyle w:val="25"/>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7.结余分配：指事业单位按照会计制度规定缴纳的所得税、提取的专用结余以及转入非财政拨款结余的金额等。</w:t>
      </w:r>
    </w:p>
    <w:p w14:paraId="77C82926">
      <w:pPr>
        <w:pStyle w:val="25"/>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8、年末结转和结余：指单位按有关规定结转到下年或以后年度继续使用的资金。</w:t>
      </w:r>
    </w:p>
    <w:p w14:paraId="0B82131C">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9.科学技术（类）科技条件与服务（款）其他科技条件与服务（项）：指反映其他用于科技条件与服务方面的支出。</w:t>
      </w:r>
    </w:p>
    <w:p w14:paraId="06ED901C">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10.社会保障和就业（类）行政事业单位离退休（款）机关事业单位基本养老保险缴费支出（项）：指反映机关事业单位实施养老保险制度由单位缴纳的基本养老保险费支出。</w:t>
      </w:r>
    </w:p>
    <w:p w14:paraId="4D008554">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11.社会保障和就业（类）行政事业单位离退休（款）机关事业单位职业年金缴费支出（项）：指反映机关事业单位实施养老保险制度由单位缴纳的职业年金支出。</w:t>
      </w:r>
    </w:p>
    <w:p w14:paraId="0859F165">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12.医疗卫生与计划生育（类）行政事业单位医疗（款）行政单位医疗（项）：指反映财政部门集中安排的行政单位基本医疗保险缴费经费。</w:t>
      </w:r>
    </w:p>
    <w:p w14:paraId="4B8D05CE">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13.住房保障（类）住房改革（款）住房公积金（项）：指反映行政事业单位按人力资源和社会保障部、财政部规定的基本工资和津贴补贴以及规定比例为职工缴纳的住房公积金。</w:t>
      </w:r>
    </w:p>
    <w:p w14:paraId="138DC27D">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Cs/>
          <w:color w:val="000000"/>
          <w:sz w:val="32"/>
          <w:szCs w:val="32"/>
        </w:rPr>
        <w:t>14.</w:t>
      </w:r>
      <w:r>
        <w:rPr>
          <w:rFonts w:hint="eastAsia" w:ascii="仿宋_GB2312" w:hAnsi="仿宋_GB2312" w:eastAsia="仿宋_GB2312" w:cs="仿宋_GB2312"/>
          <w:color w:val="000000"/>
          <w:kern w:val="0"/>
          <w:sz w:val="32"/>
          <w:szCs w:val="32"/>
        </w:rPr>
        <w:t>住房保障（类）住房改革（款）购房补贴（项）：指反映行政事业单位按人力资源和社会保障部、财政部规定的基本工资和津贴补贴以及规定比例为职工支出的购房补贴。</w:t>
      </w:r>
    </w:p>
    <w:p w14:paraId="3C7D33EE">
      <w:pPr>
        <w:pageBreakBefore w:val="0"/>
        <w:kinsoku/>
        <w:wordWrap/>
        <w:overflowPunct/>
        <w:topLinePunct w:val="0"/>
        <w:bidi w:val="0"/>
        <w:spacing w:beforeAutospacing="0" w:afterAutospacing="0" w:line="576" w:lineRule="exact"/>
        <w:ind w:leftChars="0" w:firstLine="64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Cs/>
          <w:color w:val="000000"/>
          <w:sz w:val="32"/>
          <w:szCs w:val="32"/>
        </w:rPr>
        <w:t>15.农林水支出</w:t>
      </w:r>
      <w:r>
        <w:rPr>
          <w:rFonts w:hint="eastAsia" w:ascii="仿宋_GB2312" w:hAnsi="仿宋_GB2312" w:eastAsia="仿宋_GB2312" w:cs="仿宋_GB2312"/>
          <w:color w:val="000000"/>
          <w:kern w:val="0"/>
          <w:sz w:val="32"/>
          <w:szCs w:val="32"/>
        </w:rPr>
        <w:t>（类）扶贫（款）社会发展（项）：指反映用于农村贫困地区中小学教育、文化、广播、电视、医疗、卫生等方面的项目支出。</w:t>
      </w:r>
    </w:p>
    <w:p w14:paraId="600ADB9D">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16.基本支出：指为保障机构正常运转、完成日常工作任务而发生的人员支出和公用支出。</w:t>
      </w:r>
    </w:p>
    <w:p w14:paraId="5F64A1E0">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17.项目支出：指在基本支出之外为完成特定行政任务和事业发展目标所发生的支出。 </w:t>
      </w:r>
    </w:p>
    <w:p w14:paraId="65EA6431">
      <w:pPr>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18.经营支出：指事业单位在专业业务活动及其辅助活动之外开展非独立核算经营活动发生的支出。</w:t>
      </w:r>
    </w:p>
    <w:p w14:paraId="1F149814">
      <w:pPr>
        <w:pStyle w:val="25"/>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0A78D93">
      <w:pPr>
        <w:pStyle w:val="25"/>
        <w:pageBreakBefore w:val="0"/>
        <w:kinsoku/>
        <w:wordWrap/>
        <w:overflowPunct/>
        <w:topLinePunct w:val="0"/>
        <w:bidi w:val="0"/>
        <w:spacing w:beforeAutospacing="0" w:afterAutospacing="0" w:line="576"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EB31036">
      <w:pPr>
        <w:keepNext w:val="0"/>
        <w:keepLines w:val="0"/>
        <w:pageBreakBefore w:val="0"/>
        <w:widowControl/>
        <w:kinsoku/>
        <w:wordWrap/>
        <w:overflowPunct/>
        <w:topLinePunct w:val="0"/>
        <w:autoSpaceDE/>
        <w:autoSpaceDN/>
        <w:bidi w:val="0"/>
        <w:adjustRightInd/>
        <w:snapToGrid/>
        <w:spacing w:line="560" w:lineRule="exact"/>
        <w:ind w:firstLine="883" w:firstLineChars="200"/>
        <w:jc w:val="left"/>
        <w:textAlignment w:val="auto"/>
        <w:rPr>
          <w:rStyle w:val="24"/>
          <w:rFonts w:hint="eastAsia" w:ascii="仿宋_GB2312" w:eastAsia="仿宋_GB2312" w:cs="仿宋_GB2312"/>
        </w:rPr>
      </w:pPr>
      <w:r>
        <w:rPr>
          <w:rStyle w:val="24"/>
          <w:rFonts w:hint="eastAsia" w:ascii="仿宋_GB2312" w:eastAsia="仿宋_GB2312" w:cs="仿宋_GB2312"/>
        </w:rPr>
        <w:br w:type="page"/>
      </w:r>
    </w:p>
    <w:p w14:paraId="64B472DA">
      <w:pPr>
        <w:pStyle w:val="3"/>
        <w:keepNext/>
        <w:keepLines/>
        <w:pageBreakBefore w:val="0"/>
        <w:widowControl w:val="0"/>
        <w:kinsoku/>
        <w:wordWrap/>
        <w:overflowPunct/>
        <w:topLinePunct w:val="0"/>
        <w:autoSpaceDE/>
        <w:autoSpaceDN/>
        <w:bidi w:val="0"/>
        <w:adjustRightInd/>
        <w:snapToGrid/>
        <w:spacing w:after="157" w:afterLines="50" w:line="579" w:lineRule="auto"/>
        <w:jc w:val="center"/>
        <w:textAlignment w:val="auto"/>
        <w:rPr>
          <w:rStyle w:val="24"/>
          <w:rFonts w:hint="eastAsia" w:ascii="方正公文小标宋" w:hAnsi="方正公文小标宋" w:eastAsia="方正公文小标宋" w:cs="方正公文小标宋"/>
          <w:b/>
          <w:bCs/>
        </w:rPr>
      </w:pPr>
      <w:bookmarkStart w:id="95" w:name="_Toc2498"/>
      <w:bookmarkStart w:id="96" w:name="_Toc111208510"/>
      <w:bookmarkStart w:id="97" w:name="_Toc15177"/>
      <w:bookmarkStart w:id="98" w:name="_Toc13881"/>
      <w:bookmarkStart w:id="99" w:name="_Toc29502"/>
      <w:r>
        <w:rPr>
          <w:rStyle w:val="24"/>
          <w:rFonts w:hint="eastAsia" w:ascii="方正公文小标宋" w:hAnsi="方正公文小标宋" w:eastAsia="方正公文小标宋" w:cs="方正公文小标宋"/>
          <w:b/>
          <w:bCs/>
          <w:lang w:val="en-US" w:eastAsia="zh-CN"/>
        </w:rPr>
        <w:t xml:space="preserve">第四部分 </w:t>
      </w:r>
      <w:r>
        <w:rPr>
          <w:rStyle w:val="24"/>
          <w:rFonts w:hint="eastAsia" w:ascii="方正公文小标宋" w:hAnsi="方正公文小标宋" w:eastAsia="方正公文小标宋" w:cs="方正公文小标宋"/>
          <w:b/>
          <w:bCs/>
        </w:rPr>
        <w:t>附件</w:t>
      </w:r>
      <w:bookmarkEnd w:id="95"/>
      <w:bookmarkEnd w:id="96"/>
      <w:bookmarkEnd w:id="97"/>
      <w:bookmarkEnd w:id="98"/>
    </w:p>
    <w:p w14:paraId="582D8B70">
      <w:pPr>
        <w:bidi w:val="0"/>
        <w:ind w:firstLine="640" w:firstLineChars="200"/>
        <w:rPr>
          <w:rFonts w:hint="eastAsia" w:ascii="仿宋_GB2312" w:hAnsi="Calibri" w:eastAsia="仿宋_GB2312" w:cs="仿宋"/>
          <w:color w:val="auto"/>
          <w:kern w:val="0"/>
          <w:szCs w:val="32"/>
          <w:highlight w:val="none"/>
          <w:lang w:val="en-US" w:eastAsia="zh-CN" w:bidi="ar-SA"/>
        </w:rPr>
      </w:pPr>
      <w:bookmarkStart w:id="100" w:name="_Toc9931"/>
      <w:bookmarkStart w:id="101" w:name="_Toc1519"/>
      <w:bookmarkStart w:id="102" w:name="_Toc6833"/>
      <w:r>
        <w:rPr>
          <w:rFonts w:hint="eastAsia" w:ascii="仿宋_GB2312" w:hAnsi="仿宋_GB2312" w:eastAsia="仿宋_GB2312" w:cs="仿宋_GB2312"/>
          <w:sz w:val="32"/>
          <w:szCs w:val="32"/>
          <w:lang w:val="en-US" w:eastAsia="zh-CN"/>
        </w:rPr>
        <w:t>单位预算项目支出绩效自评表（2024年度）</w:t>
      </w:r>
      <w:bookmarkEnd w:id="100"/>
      <w:bookmarkEnd w:id="101"/>
      <w:bookmarkEnd w:id="102"/>
      <w:r>
        <w:rPr>
          <w:rFonts w:hint="eastAsia" w:ascii="仿宋_GB2312" w:hAnsi="仿宋_GB2312" w:eastAsia="仿宋_GB2312" w:cs="仿宋_GB2312"/>
          <w:sz w:val="32"/>
          <w:szCs w:val="32"/>
          <w:lang w:val="en-US" w:eastAsia="zh-CN"/>
        </w:rPr>
        <w:t>，我单位2024年度无特定目标类部门预算项目。</w:t>
      </w:r>
    </w:p>
    <w:p w14:paraId="3F72DAE4">
      <w:pPr>
        <w:pStyle w:val="3"/>
        <w:keepNext/>
        <w:keepLines/>
        <w:pageBreakBefore w:val="0"/>
        <w:widowControl w:val="0"/>
        <w:kinsoku/>
        <w:wordWrap/>
        <w:overflowPunct/>
        <w:topLinePunct w:val="0"/>
        <w:autoSpaceDE/>
        <w:autoSpaceDN/>
        <w:bidi w:val="0"/>
        <w:adjustRightInd/>
        <w:snapToGrid/>
        <w:spacing w:after="157" w:afterLines="50" w:line="579" w:lineRule="auto"/>
        <w:jc w:val="center"/>
        <w:textAlignment w:val="auto"/>
        <w:rPr>
          <w:rStyle w:val="24"/>
          <w:rFonts w:hint="eastAsia" w:ascii="方正公文小标宋" w:hAnsi="方正公文小标宋" w:eastAsia="方正公文小标宋" w:cs="方正公文小标宋"/>
          <w:b/>
          <w:bCs/>
          <w:lang w:val="en-US" w:eastAsia="zh-CN"/>
        </w:rPr>
      </w:pPr>
      <w:bookmarkStart w:id="103" w:name="_Toc6599"/>
      <w:bookmarkStart w:id="104" w:name="_Toc13634"/>
      <w:r>
        <w:rPr>
          <w:rStyle w:val="24"/>
          <w:rFonts w:hint="eastAsia" w:ascii="方正公文小标宋" w:hAnsi="方正公文小标宋" w:eastAsia="方正公文小标宋" w:cs="方正公文小标宋"/>
          <w:b/>
          <w:bCs/>
          <w:lang w:val="en-US" w:eastAsia="zh-CN"/>
        </w:rPr>
        <w:t>第五部分 附表</w:t>
      </w:r>
      <w:bookmarkEnd w:id="99"/>
      <w:bookmarkEnd w:id="103"/>
      <w:bookmarkEnd w:id="104"/>
    </w:p>
    <w:p w14:paraId="1815C2F2">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_GB2312" w:hAnsi="仿宋_GB2312" w:eastAsia="仿宋_GB2312" w:cs="仿宋_GB2312"/>
          <w:b w:val="0"/>
          <w:color w:val="000000"/>
          <w:kern w:val="2"/>
          <w:sz w:val="32"/>
          <w:szCs w:val="32"/>
          <w:lang w:bidi="ar-SA"/>
        </w:rPr>
      </w:pPr>
      <w:bookmarkStart w:id="105" w:name="_Toc29641"/>
      <w:bookmarkStart w:id="106" w:name="_Toc12986"/>
      <w:bookmarkStart w:id="107" w:name="_Toc26370"/>
      <w:bookmarkStart w:id="108" w:name="_Toc17974"/>
      <w:r>
        <w:rPr>
          <w:rFonts w:hint="eastAsia" w:ascii="仿宋_GB2312" w:hAnsi="仿宋_GB2312" w:eastAsia="仿宋_GB2312" w:cs="仿宋_GB2312"/>
          <w:b w:val="0"/>
          <w:color w:val="000000"/>
          <w:kern w:val="2"/>
          <w:sz w:val="32"/>
          <w:szCs w:val="32"/>
          <w:lang w:bidi="ar-SA"/>
        </w:rPr>
        <w:t>一、收入支出决算总表</w:t>
      </w:r>
      <w:bookmarkEnd w:id="105"/>
      <w:bookmarkEnd w:id="106"/>
      <w:bookmarkEnd w:id="107"/>
      <w:bookmarkEnd w:id="108"/>
    </w:p>
    <w:p w14:paraId="74E6D197">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_GB2312" w:hAnsi="仿宋_GB2312" w:eastAsia="仿宋_GB2312" w:cs="仿宋_GB2312"/>
          <w:b w:val="0"/>
          <w:color w:val="000000"/>
          <w:kern w:val="2"/>
          <w:sz w:val="32"/>
          <w:szCs w:val="32"/>
          <w:lang w:bidi="ar-SA"/>
        </w:rPr>
      </w:pPr>
      <w:bookmarkStart w:id="109" w:name="_Toc21996"/>
      <w:bookmarkStart w:id="110" w:name="_Toc13591"/>
      <w:bookmarkStart w:id="111" w:name="_Toc5312"/>
      <w:bookmarkStart w:id="112" w:name="_Toc13062"/>
      <w:r>
        <w:rPr>
          <w:rFonts w:hint="eastAsia" w:ascii="仿宋_GB2312" w:hAnsi="仿宋_GB2312" w:eastAsia="仿宋_GB2312" w:cs="仿宋_GB2312"/>
          <w:b w:val="0"/>
          <w:color w:val="000000"/>
          <w:kern w:val="2"/>
          <w:sz w:val="32"/>
          <w:szCs w:val="32"/>
          <w:lang w:bidi="ar-SA"/>
        </w:rPr>
        <w:t>二、收入决算表</w:t>
      </w:r>
      <w:bookmarkEnd w:id="109"/>
      <w:bookmarkEnd w:id="110"/>
      <w:bookmarkEnd w:id="111"/>
      <w:bookmarkEnd w:id="112"/>
    </w:p>
    <w:p w14:paraId="649D7065">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_GB2312" w:hAnsi="仿宋_GB2312" w:eastAsia="仿宋_GB2312" w:cs="仿宋_GB2312"/>
          <w:b w:val="0"/>
          <w:color w:val="000000"/>
          <w:kern w:val="2"/>
          <w:sz w:val="32"/>
          <w:szCs w:val="32"/>
          <w:lang w:bidi="ar-SA"/>
        </w:rPr>
      </w:pPr>
      <w:bookmarkStart w:id="113" w:name="_Toc16600"/>
      <w:bookmarkStart w:id="114" w:name="_Toc32089"/>
      <w:bookmarkStart w:id="115" w:name="_Toc23368"/>
      <w:bookmarkStart w:id="116" w:name="_Toc29688"/>
      <w:r>
        <w:rPr>
          <w:rFonts w:hint="eastAsia" w:ascii="仿宋_GB2312" w:hAnsi="仿宋_GB2312" w:eastAsia="仿宋_GB2312" w:cs="仿宋_GB2312"/>
          <w:b w:val="0"/>
          <w:color w:val="000000"/>
          <w:kern w:val="2"/>
          <w:sz w:val="32"/>
          <w:szCs w:val="32"/>
          <w:lang w:bidi="ar-SA"/>
        </w:rPr>
        <w:t>三、支出决算表</w:t>
      </w:r>
      <w:bookmarkEnd w:id="113"/>
      <w:bookmarkEnd w:id="114"/>
      <w:bookmarkEnd w:id="115"/>
      <w:bookmarkEnd w:id="116"/>
    </w:p>
    <w:p w14:paraId="2BBC4FD4">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_GB2312" w:hAnsi="仿宋_GB2312" w:eastAsia="仿宋_GB2312" w:cs="仿宋_GB2312"/>
          <w:b w:val="0"/>
          <w:color w:val="000000"/>
          <w:kern w:val="2"/>
          <w:sz w:val="32"/>
          <w:szCs w:val="32"/>
          <w:lang w:bidi="ar-SA"/>
        </w:rPr>
      </w:pPr>
      <w:bookmarkStart w:id="117" w:name="_Toc26630"/>
      <w:bookmarkStart w:id="118" w:name="_Toc6085"/>
      <w:bookmarkStart w:id="119" w:name="_Toc31023"/>
      <w:bookmarkStart w:id="120" w:name="_Toc5964"/>
      <w:r>
        <w:rPr>
          <w:rFonts w:hint="eastAsia" w:ascii="仿宋_GB2312" w:hAnsi="仿宋_GB2312" w:eastAsia="仿宋_GB2312" w:cs="仿宋_GB2312"/>
          <w:b w:val="0"/>
          <w:color w:val="000000"/>
          <w:kern w:val="2"/>
          <w:sz w:val="32"/>
          <w:szCs w:val="32"/>
          <w:lang w:bidi="ar-SA"/>
        </w:rPr>
        <w:t>四、财政拨款收入支出决算总表</w:t>
      </w:r>
      <w:bookmarkEnd w:id="117"/>
      <w:bookmarkEnd w:id="118"/>
      <w:bookmarkEnd w:id="119"/>
      <w:bookmarkEnd w:id="120"/>
    </w:p>
    <w:p w14:paraId="1BC082D0">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_GB2312" w:hAnsi="仿宋_GB2312" w:eastAsia="仿宋_GB2312" w:cs="仿宋_GB2312"/>
          <w:b w:val="0"/>
          <w:color w:val="000000"/>
          <w:kern w:val="2"/>
          <w:sz w:val="32"/>
          <w:szCs w:val="32"/>
          <w:lang w:bidi="ar-SA"/>
        </w:rPr>
      </w:pPr>
      <w:bookmarkStart w:id="121" w:name="_Toc29494"/>
      <w:bookmarkStart w:id="122" w:name="_Toc19934"/>
      <w:bookmarkStart w:id="123" w:name="_Toc26574"/>
      <w:bookmarkStart w:id="124" w:name="_Toc14273"/>
      <w:r>
        <w:rPr>
          <w:rFonts w:hint="eastAsia" w:ascii="仿宋_GB2312" w:hAnsi="仿宋_GB2312" w:eastAsia="仿宋_GB2312" w:cs="仿宋_GB2312"/>
          <w:b w:val="0"/>
          <w:color w:val="000000"/>
          <w:kern w:val="2"/>
          <w:sz w:val="32"/>
          <w:szCs w:val="32"/>
          <w:lang w:bidi="ar-SA"/>
        </w:rPr>
        <w:t>五、财政拨款支出决算明细表</w:t>
      </w:r>
      <w:bookmarkEnd w:id="121"/>
      <w:bookmarkEnd w:id="122"/>
      <w:bookmarkEnd w:id="123"/>
      <w:bookmarkEnd w:id="124"/>
    </w:p>
    <w:p w14:paraId="3AE459A0">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_GB2312" w:hAnsi="仿宋_GB2312" w:eastAsia="仿宋_GB2312" w:cs="仿宋_GB2312"/>
          <w:b w:val="0"/>
          <w:color w:val="000000"/>
          <w:kern w:val="2"/>
          <w:sz w:val="32"/>
          <w:szCs w:val="32"/>
          <w:lang w:bidi="ar-SA"/>
        </w:rPr>
      </w:pPr>
      <w:bookmarkStart w:id="125" w:name="_Toc12507"/>
      <w:bookmarkStart w:id="126" w:name="_Toc1530"/>
      <w:bookmarkStart w:id="127" w:name="_Toc16449"/>
      <w:bookmarkStart w:id="128" w:name="_Toc6686"/>
      <w:r>
        <w:rPr>
          <w:rFonts w:hint="eastAsia" w:ascii="仿宋_GB2312" w:hAnsi="仿宋_GB2312" w:eastAsia="仿宋_GB2312" w:cs="仿宋_GB2312"/>
          <w:b w:val="0"/>
          <w:color w:val="000000"/>
          <w:kern w:val="2"/>
          <w:sz w:val="32"/>
          <w:szCs w:val="32"/>
          <w:lang w:bidi="ar-SA"/>
        </w:rPr>
        <w:t>六、一般公共预算财政拨款支出决算表</w:t>
      </w:r>
      <w:bookmarkEnd w:id="125"/>
      <w:bookmarkEnd w:id="126"/>
      <w:bookmarkEnd w:id="127"/>
      <w:bookmarkEnd w:id="128"/>
    </w:p>
    <w:p w14:paraId="1187BBCF">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_GB2312" w:hAnsi="仿宋_GB2312" w:eastAsia="仿宋_GB2312" w:cs="仿宋_GB2312"/>
          <w:b w:val="0"/>
          <w:color w:val="000000"/>
          <w:kern w:val="2"/>
          <w:sz w:val="32"/>
          <w:szCs w:val="32"/>
          <w:lang w:bidi="ar-SA"/>
        </w:rPr>
      </w:pPr>
      <w:bookmarkStart w:id="129" w:name="_Toc16368"/>
      <w:bookmarkStart w:id="130" w:name="_Toc19514"/>
      <w:bookmarkStart w:id="131" w:name="_Toc31758"/>
      <w:bookmarkStart w:id="132" w:name="_Toc3478"/>
      <w:r>
        <w:rPr>
          <w:rFonts w:hint="eastAsia" w:ascii="仿宋_GB2312" w:hAnsi="仿宋_GB2312" w:eastAsia="仿宋_GB2312" w:cs="仿宋_GB2312"/>
          <w:b w:val="0"/>
          <w:color w:val="000000"/>
          <w:kern w:val="2"/>
          <w:sz w:val="32"/>
          <w:szCs w:val="32"/>
          <w:lang w:bidi="ar-SA"/>
        </w:rPr>
        <w:t>七、一般公共预算财政拨款支出决算明细表</w:t>
      </w:r>
      <w:bookmarkEnd w:id="129"/>
      <w:bookmarkEnd w:id="130"/>
      <w:bookmarkEnd w:id="131"/>
      <w:bookmarkEnd w:id="132"/>
    </w:p>
    <w:p w14:paraId="1B1B82CE">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_GB2312" w:hAnsi="仿宋_GB2312" w:eastAsia="仿宋_GB2312" w:cs="仿宋_GB2312"/>
          <w:b w:val="0"/>
          <w:color w:val="000000"/>
          <w:kern w:val="2"/>
          <w:sz w:val="32"/>
          <w:szCs w:val="32"/>
          <w:lang w:bidi="ar-SA"/>
        </w:rPr>
      </w:pPr>
      <w:bookmarkStart w:id="133" w:name="_Toc191"/>
      <w:bookmarkStart w:id="134" w:name="_Toc30140"/>
      <w:bookmarkStart w:id="135" w:name="_Toc6418"/>
      <w:bookmarkStart w:id="136" w:name="_Toc17352"/>
      <w:r>
        <w:rPr>
          <w:rFonts w:hint="eastAsia" w:ascii="仿宋_GB2312" w:hAnsi="仿宋_GB2312" w:eastAsia="仿宋_GB2312" w:cs="仿宋_GB2312"/>
          <w:b w:val="0"/>
          <w:color w:val="000000"/>
          <w:kern w:val="2"/>
          <w:sz w:val="32"/>
          <w:szCs w:val="32"/>
          <w:lang w:bidi="ar-SA"/>
        </w:rPr>
        <w:t>八、一般公共预算财政拨款基本支出决算表</w:t>
      </w:r>
      <w:bookmarkEnd w:id="133"/>
      <w:bookmarkEnd w:id="134"/>
      <w:bookmarkEnd w:id="135"/>
      <w:bookmarkEnd w:id="136"/>
    </w:p>
    <w:p w14:paraId="61E99569">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_GB2312" w:hAnsi="仿宋_GB2312" w:eastAsia="仿宋_GB2312" w:cs="仿宋_GB2312"/>
          <w:b w:val="0"/>
          <w:color w:val="000000"/>
          <w:kern w:val="2"/>
          <w:sz w:val="32"/>
          <w:szCs w:val="32"/>
          <w:lang w:bidi="ar-SA"/>
        </w:rPr>
      </w:pPr>
      <w:bookmarkStart w:id="137" w:name="_Toc5204"/>
      <w:bookmarkStart w:id="138" w:name="_Toc3726"/>
      <w:bookmarkStart w:id="139" w:name="_Toc7994"/>
      <w:bookmarkStart w:id="140" w:name="_Toc19430"/>
      <w:r>
        <w:rPr>
          <w:rFonts w:hint="eastAsia" w:ascii="仿宋_GB2312" w:hAnsi="仿宋_GB2312" w:eastAsia="仿宋_GB2312" w:cs="仿宋_GB2312"/>
          <w:b w:val="0"/>
          <w:color w:val="000000"/>
          <w:kern w:val="2"/>
          <w:sz w:val="32"/>
          <w:szCs w:val="32"/>
          <w:lang w:bidi="ar-SA"/>
        </w:rPr>
        <w:t>九、一般公共预算财政拨款项目支出决算表</w:t>
      </w:r>
      <w:bookmarkEnd w:id="137"/>
      <w:bookmarkEnd w:id="138"/>
      <w:bookmarkEnd w:id="139"/>
      <w:bookmarkEnd w:id="140"/>
    </w:p>
    <w:p w14:paraId="3DE75E7B">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_GB2312" w:hAnsi="仿宋_GB2312" w:eastAsia="仿宋_GB2312" w:cs="仿宋_GB2312"/>
          <w:b w:val="0"/>
          <w:color w:val="000000"/>
          <w:kern w:val="2"/>
          <w:sz w:val="32"/>
          <w:szCs w:val="32"/>
          <w:lang w:bidi="ar-SA"/>
        </w:rPr>
      </w:pPr>
      <w:bookmarkStart w:id="141" w:name="_Toc20056"/>
      <w:bookmarkStart w:id="142" w:name="_Toc15097"/>
      <w:bookmarkStart w:id="143" w:name="_Toc10765"/>
      <w:bookmarkStart w:id="144" w:name="_Toc20756"/>
      <w:r>
        <w:rPr>
          <w:rFonts w:hint="eastAsia" w:ascii="仿宋_GB2312" w:hAnsi="仿宋_GB2312" w:eastAsia="仿宋_GB2312" w:cs="仿宋_GB2312"/>
          <w:b w:val="0"/>
          <w:color w:val="000000"/>
          <w:kern w:val="2"/>
          <w:sz w:val="32"/>
          <w:szCs w:val="32"/>
          <w:lang w:bidi="ar-SA"/>
        </w:rPr>
        <w:t>十、政府性基金预算财政拨款收入支出决算表</w:t>
      </w:r>
      <w:bookmarkEnd w:id="141"/>
      <w:bookmarkEnd w:id="142"/>
      <w:bookmarkEnd w:id="143"/>
      <w:bookmarkEnd w:id="144"/>
    </w:p>
    <w:p w14:paraId="51329FA3">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_GB2312" w:hAnsi="仿宋_GB2312" w:eastAsia="仿宋_GB2312" w:cs="仿宋_GB2312"/>
          <w:b w:val="0"/>
          <w:color w:val="000000"/>
          <w:kern w:val="2"/>
          <w:sz w:val="32"/>
          <w:szCs w:val="32"/>
          <w:lang w:bidi="ar-SA"/>
        </w:rPr>
      </w:pPr>
      <w:bookmarkStart w:id="145" w:name="_Toc31709"/>
      <w:bookmarkStart w:id="146" w:name="_Toc13849"/>
      <w:bookmarkStart w:id="147" w:name="_Toc10110"/>
      <w:bookmarkStart w:id="148" w:name="_Toc21387"/>
      <w:r>
        <w:rPr>
          <w:rFonts w:hint="eastAsia" w:ascii="仿宋_GB2312" w:hAnsi="仿宋_GB2312" w:eastAsia="仿宋_GB2312" w:cs="仿宋_GB2312"/>
          <w:b w:val="0"/>
          <w:color w:val="000000"/>
          <w:kern w:val="2"/>
          <w:sz w:val="32"/>
          <w:szCs w:val="32"/>
          <w:lang w:bidi="ar-SA"/>
        </w:rPr>
        <w:t>十一、国有资本经营预算财政拨款收入支出决算表</w:t>
      </w:r>
      <w:bookmarkEnd w:id="145"/>
      <w:bookmarkEnd w:id="146"/>
      <w:bookmarkEnd w:id="147"/>
      <w:bookmarkEnd w:id="148"/>
    </w:p>
    <w:p w14:paraId="2025CBE6">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_GB2312" w:hAnsi="仿宋_GB2312" w:eastAsia="仿宋_GB2312" w:cs="仿宋_GB2312"/>
          <w:b w:val="0"/>
          <w:color w:val="000000"/>
          <w:kern w:val="2"/>
          <w:sz w:val="32"/>
          <w:szCs w:val="32"/>
          <w:lang w:bidi="ar-SA"/>
        </w:rPr>
      </w:pPr>
      <w:bookmarkStart w:id="149" w:name="_Toc4354"/>
      <w:bookmarkStart w:id="150" w:name="_Toc1140"/>
      <w:bookmarkStart w:id="151" w:name="_Toc18789"/>
      <w:bookmarkStart w:id="152" w:name="_Toc13099"/>
      <w:r>
        <w:rPr>
          <w:rFonts w:hint="eastAsia" w:ascii="仿宋_GB2312" w:hAnsi="仿宋_GB2312" w:eastAsia="仿宋_GB2312" w:cs="仿宋_GB2312"/>
          <w:b w:val="0"/>
          <w:color w:val="000000"/>
          <w:kern w:val="2"/>
          <w:sz w:val="32"/>
          <w:szCs w:val="32"/>
          <w:lang w:bidi="ar-SA"/>
        </w:rPr>
        <w:t>十二、国有资本经营预算财政拨款支出决算表</w:t>
      </w:r>
      <w:bookmarkEnd w:id="149"/>
      <w:bookmarkEnd w:id="150"/>
      <w:bookmarkEnd w:id="151"/>
      <w:bookmarkEnd w:id="152"/>
    </w:p>
    <w:p w14:paraId="6D621CD1">
      <w:pPr>
        <w:pStyle w:val="4"/>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_GB2312" w:hAnsi="仿宋_GB2312" w:eastAsia="仿宋_GB2312" w:cs="仿宋_GB2312"/>
          <w:b w:val="0"/>
          <w:color w:val="000000"/>
          <w:kern w:val="2"/>
          <w:sz w:val="32"/>
          <w:szCs w:val="32"/>
          <w:lang w:bidi="ar-SA"/>
        </w:rPr>
      </w:pPr>
      <w:bookmarkStart w:id="153" w:name="_Toc24957"/>
      <w:bookmarkStart w:id="154" w:name="_Toc25065"/>
      <w:bookmarkStart w:id="155" w:name="_Toc12089"/>
      <w:bookmarkStart w:id="156" w:name="_Toc19849"/>
      <w:r>
        <w:rPr>
          <w:rFonts w:hint="eastAsia" w:ascii="仿宋_GB2312" w:hAnsi="仿宋_GB2312" w:eastAsia="仿宋_GB2312" w:cs="仿宋_GB2312"/>
          <w:b w:val="0"/>
          <w:color w:val="000000"/>
          <w:kern w:val="2"/>
          <w:sz w:val="32"/>
          <w:szCs w:val="32"/>
          <w:lang w:bidi="ar-SA"/>
        </w:rPr>
        <w:t>十三、财政拨款“三公”经费支出决算表</w:t>
      </w:r>
      <w:bookmarkEnd w:id="153"/>
      <w:bookmarkEnd w:id="154"/>
      <w:bookmarkEnd w:id="155"/>
      <w:bookmarkEnd w:id="156"/>
    </w:p>
    <w:p w14:paraId="0CFE63ED"/>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公文小标宋">
    <w:altName w:val="宋体"/>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Lucida Sans">
    <w:altName w:val="Lucida Sans Unicode"/>
    <w:panose1 w:val="00000000000000000000"/>
    <w:charset w:val="01"/>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73785B46">
        <w:pPr>
          <w:pStyle w:val="12"/>
          <w:jc w:val="center"/>
        </w:pPr>
        <w:r>
          <w:fldChar w:fldCharType="begin"/>
        </w:r>
        <w:r>
          <w:instrText xml:space="preserve">PAGE   \* MERGEFORMAT</w:instrText>
        </w:r>
        <w:r>
          <w:fldChar w:fldCharType="separate"/>
        </w:r>
        <w:r>
          <w:rPr>
            <w:lang w:val="zh-CN"/>
          </w:rPr>
          <w:t>4</w:t>
        </w:r>
        <w:r>
          <w:fldChar w:fldCharType="end"/>
        </w:r>
      </w:p>
    </w:sdtContent>
  </w:sdt>
  <w:p w14:paraId="3071AC1B">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26FA8">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2"/>
  </w:compat>
  <w:docVars>
    <w:docVar w:name="commondata" w:val="eyJoZGlkIjoiYzcxZDM0MjZkNjI3OGVhNjQ0OTE3ZDU0YmUxOTQ0MjEifQ=="/>
  </w:docVars>
  <w:rsids>
    <w:rsidRoot w:val="00000000"/>
    <w:rsid w:val="03DD1F43"/>
    <w:rsid w:val="04341530"/>
    <w:rsid w:val="060E1BB7"/>
    <w:rsid w:val="08332819"/>
    <w:rsid w:val="12702105"/>
    <w:rsid w:val="12C91954"/>
    <w:rsid w:val="13854144"/>
    <w:rsid w:val="166E0EC0"/>
    <w:rsid w:val="176D64DA"/>
    <w:rsid w:val="1C864021"/>
    <w:rsid w:val="1DE55F0B"/>
    <w:rsid w:val="3065701A"/>
    <w:rsid w:val="38C113C3"/>
    <w:rsid w:val="3BB6283D"/>
    <w:rsid w:val="48E81740"/>
    <w:rsid w:val="4F6E284D"/>
    <w:rsid w:val="4FB70C06"/>
    <w:rsid w:val="5289420F"/>
    <w:rsid w:val="54DE20EF"/>
    <w:rsid w:val="59C965FF"/>
    <w:rsid w:val="59CC3500"/>
    <w:rsid w:val="5C217E2B"/>
    <w:rsid w:val="6254757F"/>
    <w:rsid w:val="6632293D"/>
    <w:rsid w:val="6A8C1EEE"/>
    <w:rsid w:val="6AA14535"/>
    <w:rsid w:val="71990467"/>
    <w:rsid w:val="72D00747"/>
    <w:rsid w:val="F73F7831"/>
    <w:rsid w:val="F7662739"/>
    <w:rsid w:val="FFFBC9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20">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680"/>
    </w:pPr>
  </w:style>
  <w:style w:type="paragraph" w:styleId="6">
    <w:name w:val="annotation text"/>
    <w:basedOn w:val="1"/>
    <w:qFormat/>
    <w:uiPriority w:val="0"/>
    <w:pPr>
      <w:jc w:val="left"/>
    </w:pPr>
  </w:style>
  <w:style w:type="paragraph" w:styleId="7">
    <w:name w:val="Body Text"/>
    <w:basedOn w:val="1"/>
    <w:qFormat/>
    <w:uiPriority w:val="0"/>
    <w:pPr>
      <w:spacing w:before="30" w:beforeLines="30"/>
    </w:pPr>
    <w:rPr>
      <w:rFonts w:ascii="仿宋_GB2312" w:eastAsia="仿宋_GB2312"/>
      <w:kern w:val="0"/>
      <w:sz w:val="30"/>
    </w:rPr>
  </w:style>
  <w:style w:type="paragraph" w:styleId="8">
    <w:name w:val="Body Text Indent"/>
    <w:basedOn w:val="1"/>
    <w:next w:val="9"/>
    <w:qFormat/>
    <w:uiPriority w:val="0"/>
    <w:pPr>
      <w:spacing w:after="120"/>
      <w:ind w:left="200" w:leftChars="200"/>
    </w:pPr>
    <w:rPr>
      <w:rFonts w:ascii="仿宋_GB2312" w:hAnsi="仿宋_GB2312"/>
      <w:szCs w:val="32"/>
    </w:rPr>
  </w:style>
  <w:style w:type="paragraph" w:styleId="9">
    <w:name w:val="Body Text First Indent 2"/>
    <w:basedOn w:val="8"/>
    <w:qFormat/>
    <w:uiPriority w:val="0"/>
    <w:pPr>
      <w:ind w:firstLine="200" w:firstLineChars="200"/>
    </w:pPr>
  </w:style>
  <w:style w:type="paragraph" w:styleId="10">
    <w:name w:val="toc 3"/>
    <w:basedOn w:val="1"/>
    <w:next w:val="1"/>
    <w:qFormat/>
    <w:uiPriority w:val="0"/>
    <w:pPr>
      <w:tabs>
        <w:tab w:val="right" w:leader="dot" w:pos="8296"/>
      </w:tabs>
      <w:ind w:left="400" w:leftChars="400"/>
    </w:p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qFormat/>
    <w:uiPriority w:val="0"/>
    <w:pPr>
      <w:tabs>
        <w:tab w:val="right" w:leader="dot" w:pos="8296"/>
      </w:tabs>
      <w:spacing w:before="93"/>
      <w:jc w:val="center"/>
    </w:pPr>
    <w:rPr>
      <w:rFonts w:ascii="仿宋" w:eastAsia="仿宋"/>
      <w:sz w:val="28"/>
      <w:szCs w:val="28"/>
    </w:rPr>
  </w:style>
  <w:style w:type="paragraph" w:styleId="15">
    <w:name w:val="footnote text"/>
    <w:basedOn w:val="1"/>
    <w:next w:val="9"/>
    <w:qFormat/>
    <w:uiPriority w:val="0"/>
    <w:pPr>
      <w:snapToGrid w:val="0"/>
      <w:jc w:val="left"/>
    </w:pPr>
    <w:rPr>
      <w:sz w:val="18"/>
      <w:szCs w:val="18"/>
    </w:rPr>
  </w:style>
  <w:style w:type="paragraph" w:styleId="16">
    <w:name w:val="table of figures"/>
    <w:basedOn w:val="1"/>
    <w:next w:val="1"/>
    <w:qFormat/>
    <w:uiPriority w:val="0"/>
    <w:pPr>
      <w:ind w:left="400" w:leftChars="200" w:hanging="200" w:hangingChars="200"/>
    </w:pPr>
  </w:style>
  <w:style w:type="paragraph" w:styleId="17">
    <w:name w:val="toc 2"/>
    <w:basedOn w:val="1"/>
    <w:next w:val="1"/>
    <w:qFormat/>
    <w:uiPriority w:val="0"/>
    <w:pPr>
      <w:tabs>
        <w:tab w:val="right" w:leader="dot" w:pos="8296"/>
      </w:tabs>
      <w:ind w:left="200" w:leftChars="200"/>
    </w:pPr>
  </w:style>
  <w:style w:type="paragraph" w:styleId="18">
    <w:name w:val="Normal (Web)"/>
    <w:basedOn w:val="1"/>
    <w:qFormat/>
    <w:uiPriority w:val="0"/>
    <w:pPr>
      <w:spacing w:beforeAutospacing="1" w:afterAutospacing="1"/>
    </w:pPr>
    <w:rPr>
      <w:rFonts w:cs="Times New Roman"/>
      <w:sz w:val="24"/>
      <w:lang w:eastAsia="zh-CN" w:bidi="ar-SA"/>
    </w:rPr>
  </w:style>
  <w:style w:type="character" w:styleId="21">
    <w:name w:val="Strong"/>
    <w:basedOn w:val="20"/>
    <w:qFormat/>
    <w:uiPriority w:val="0"/>
    <w:rPr>
      <w:b/>
    </w:rPr>
  </w:style>
  <w:style w:type="character" w:styleId="22">
    <w:name w:val="Hyperlink"/>
    <w:basedOn w:val="20"/>
    <w:autoRedefine/>
    <w:qFormat/>
    <w:uiPriority w:val="0"/>
    <w:rPr>
      <w:color w:val="0000FF"/>
      <w:u w:val="single"/>
    </w:rPr>
  </w:style>
  <w:style w:type="character" w:styleId="23">
    <w:name w:val="annotation reference"/>
    <w:basedOn w:val="20"/>
    <w:qFormat/>
    <w:uiPriority w:val="0"/>
    <w:rPr>
      <w:sz w:val="21"/>
      <w:szCs w:val="21"/>
    </w:rPr>
  </w:style>
  <w:style w:type="character" w:customStyle="1" w:styleId="24">
    <w:name w:val="heading 1 Char"/>
    <w:basedOn w:val="20"/>
    <w:link w:val="3"/>
    <w:qFormat/>
    <w:uiPriority w:val="0"/>
    <w:rPr>
      <w:rFonts w:ascii="Times New Roman" w:hAnsi="Times New Roman" w:eastAsia="宋体" w:cs="Times New Roman"/>
      <w:b/>
      <w:bCs/>
      <w:kern w:val="44"/>
      <w:sz w:val="44"/>
      <w:szCs w:val="44"/>
      <w:lang w:val="en-US" w:eastAsia="zh-CN" w:bidi="ar-SA"/>
    </w:rPr>
  </w:style>
  <w:style w:type="paragraph" w:customStyle="1" w:styleId="25">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26">
    <w:name w:val="Header Char"/>
    <w:basedOn w:val="20"/>
    <w:qFormat/>
    <w:uiPriority w:val="0"/>
    <w:rPr>
      <w:rFonts w:ascii="Times New Roman" w:hAnsi="Times New Roman"/>
      <w:sz w:val="18"/>
      <w:szCs w:val="18"/>
    </w:rPr>
  </w:style>
  <w:style w:type="character" w:customStyle="1" w:styleId="27">
    <w:name w:val="Footer Char"/>
    <w:basedOn w:val="20"/>
    <w:qFormat/>
    <w:uiPriority w:val="0"/>
    <w:rPr>
      <w:rFonts w:ascii="Times New Roman" w:hAnsi="Times New Roman"/>
      <w:sz w:val="18"/>
      <w:szCs w:val="18"/>
    </w:rPr>
  </w:style>
  <w:style w:type="character" w:customStyle="1" w:styleId="28">
    <w:name w:val="Body Text Char"/>
    <w:basedOn w:val="20"/>
    <w:qFormat/>
    <w:uiPriority w:val="0"/>
    <w:rPr>
      <w:rFonts w:ascii="Times New Roman" w:hAnsi="Times New Roman"/>
      <w:szCs w:val="24"/>
    </w:rPr>
  </w:style>
  <w:style w:type="paragraph" w:styleId="29">
    <w:name w:val="List Paragraph"/>
    <w:basedOn w:val="1"/>
    <w:qFormat/>
    <w:uiPriority w:val="0"/>
    <w:pPr>
      <w:ind w:firstLine="200" w:firstLineChars="200"/>
    </w:pPr>
  </w:style>
  <w:style w:type="paragraph" w:customStyle="1" w:styleId="30">
    <w:name w:val="TOC 标题1"/>
    <w:basedOn w:val="3"/>
    <w:next w:val="1"/>
    <w:autoRedefine/>
    <w:qFormat/>
    <w:uiPriority w:val="0"/>
    <w:pPr>
      <w:keepNext/>
      <w:keepLines/>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31">
    <w:name w:val="Normal363950e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Default Paragraph Font830522c6"/>
    <w:qFormat/>
    <w:uiPriority w:val="0"/>
  </w:style>
  <w:style w:type="paragraph" w:customStyle="1" w:styleId="33">
    <w:name w:val="Normal31da962d"/>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34">
    <w:name w:val="Default Paragraph Font5"/>
    <w:qFormat/>
    <w:uiPriority w:val="0"/>
  </w:style>
  <w:style w:type="paragraph" w:customStyle="1" w:styleId="35">
    <w:name w:val="footerce85b5ec"/>
    <w:basedOn w:val="33"/>
    <w:qFormat/>
    <w:uiPriority w:val="0"/>
    <w:pPr>
      <w:tabs>
        <w:tab w:val="center" w:pos="4153"/>
        <w:tab w:val="right" w:pos="8306"/>
      </w:tabs>
      <w:snapToGrid w:val="0"/>
      <w:jc w:val="left"/>
    </w:pPr>
    <w:rPr>
      <w:kern w:val="0"/>
      <w:sz w:val="18"/>
      <w:szCs w:val="20"/>
    </w:rPr>
  </w:style>
  <w:style w:type="paragraph" w:customStyle="1" w:styleId="36">
    <w:name w:val="headerf7e0821f"/>
    <w:basedOn w:val="33"/>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37">
    <w:name w:val="标题 5（有编号）（绿盟科技）"/>
    <w:next w:val="1"/>
    <w:autoRedefine/>
    <w:qFormat/>
    <w:uiPriority w:val="0"/>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7232"/>
          <c:y val="0.0088963965"/>
          <c:w val="0.8623782"/>
          <c:h val="0.8260135"/>
        </c:manualLayout>
      </c:layout>
      <c:barChart>
        <c:barDir val="col"/>
        <c:grouping val="clustered"/>
        <c:varyColors val="0"/>
        <c:ser>
          <c:idx val="0"/>
          <c:order val="0"/>
          <c:tx>
            <c:strRef>
              <c:f>Sheet1!$B$1</c:f>
              <c:strCache>
                <c:ptCount val="1"/>
                <c:pt idx="0">
                  <c:v>金额</c:v>
                </c:pt>
              </c:strCache>
            </c:strRef>
          </c:tx>
          <c:spPr>
            <a:gradFill rotWithShape="1">
              <a:gsLst>
                <a:gs pos="0">
                  <a:srgbClr val="4F81BD">
                    <a:alpha val="100000"/>
                  </a:srgbClr>
                </a:gs>
                <a:gs pos="100000">
                  <a:srgbClr val="3D6CA4">
                    <a:alpha val="100000"/>
                  </a:srgbClr>
                </a:gs>
              </a:gsLst>
              <a:lin ang="5400000" scaled="1"/>
            </a:gradFill>
            <a:ln>
              <a:noFill/>
            </a:ln>
            <a:effectLst>
              <a:outerShdw dist="35921" dir="2700000" algn="br">
                <a:srgbClr val="000000"/>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FFFFFF"/>
                    </a:solidFill>
                    <a:latin typeface="Times New Roman" panose="02020603050405020304"/>
                    <a:ea typeface="宋体" panose="02010600030101010101" charset="-122"/>
                    <a:cs typeface="Lucida San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2024年收入</c:v>
                </c:pt>
                <c:pt idx="1">
                  <c:v>2024年支出</c:v>
                </c:pt>
                <c:pt idx="2">
                  <c:v>2023年收入</c:v>
                </c:pt>
                <c:pt idx="3">
                  <c:v>2023年支出</c:v>
                </c:pt>
              </c:strCache>
            </c:strRef>
          </c:cat>
          <c:val>
            <c:numRef>
              <c:f>Sheet1!$B$2:$B$5</c:f>
              <c:numCache>
                <c:formatCode>General</c:formatCode>
                <c:ptCount val="4"/>
                <c:pt idx="0">
                  <c:v>173.06</c:v>
                </c:pt>
                <c:pt idx="1">
                  <c:v>173.06</c:v>
                </c:pt>
                <c:pt idx="2">
                  <c:v>168.7</c:v>
                </c:pt>
                <c:pt idx="3">
                  <c:v>168.7</c:v>
                </c:pt>
              </c:numCache>
            </c:numRef>
          </c:val>
        </c:ser>
        <c:dLbls>
          <c:showLegendKey val="0"/>
          <c:showVal val="1"/>
          <c:showCatName val="0"/>
          <c:showSerName val="0"/>
          <c:showPercent val="0"/>
          <c:showBubbleSize val="0"/>
        </c:dLbls>
        <c:gapWidth val="41"/>
        <c:axId val="0"/>
        <c:axId val="1"/>
      </c:barChart>
      <c:catAx>
        <c:axId val="0"/>
        <c:scaling>
          <c:orientation val="minMax"/>
        </c:scaling>
        <c:delete val="0"/>
        <c:axPos val="b"/>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0"/>
        <c:crossesAt val="1"/>
        <c:crossBetween val="between"/>
      </c:valAx>
      <c:spPr>
        <a:noFill/>
        <a:ln>
          <a:noFill/>
        </a:ln>
      </c:spPr>
    </c:plotArea>
    <c:plotVisOnly val="1"/>
    <c:dispBlanksAs val="gap"/>
    <c:showDLblsOverMax val="0"/>
    <c:extLst>
      <c:ext uri="{0b15fc19-7d7d-44ad-8c2d-2c3a37ce22c3}">
        <chartProps xmlns="https://web.wps.cn/et/2018/main" chartId="{7b32d9fc-51a2-4895-83d1-32215d73782a}"/>
      </c:ext>
    </c:extLst>
  </c:chart>
  <c:spPr>
    <a:gradFill rotWithShape="1">
      <a:gsLst>
        <a:gs pos="0">
          <a:srgbClr val="FFFFFF">
            <a:alpha val="100000"/>
          </a:srgbClr>
        </a:gs>
        <a:gs pos="68000">
          <a:srgbClr val="D9D9D9">
            <a:alpha val="100000"/>
          </a:srgbClr>
        </a:gs>
        <a:gs pos="100000">
          <a:srgbClr val="FFFFFF">
            <a:alpha val="100000"/>
          </a:srgbClr>
        </a:gs>
      </a:gsLst>
      <a:lin ang="5400000" scaled="1"/>
    </a:gra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404040"/>
                </a:solidFill>
                <a:latin typeface="Times New Roman" panose="02020603050405020304"/>
                <a:ea typeface="宋体" panose="02010600030101010101" charset="-122"/>
                <a:cs typeface="Lucida Sans"/>
              </a:defRPr>
            </a:pPr>
            <a:r>
              <a:rPr lang="zh-CN"/>
              <a:t>收入决算结构图</a:t>
            </a:r>
            <a:endParaRPr lang="zh-CN"/>
          </a:p>
        </c:rich>
      </c:tx>
      <c:layout/>
      <c:overlay val="0"/>
      <c:spPr>
        <a:noFill/>
        <a:ln>
          <a:noFill/>
        </a:ln>
      </c:spPr>
    </c:title>
    <c:autoTitleDeleted val="0"/>
    <c:plotArea>
      <c:layout/>
      <c:pieChart>
        <c:varyColors val="1"/>
        <c:ser>
          <c:idx val="1"/>
          <c:order val="0"/>
          <c:spPr>
            <a:ln>
              <a:noFill/>
            </a:ln>
          </c:spPr>
          <c:explosion val="0"/>
          <c:dPt>
            <c:idx val="0"/>
            <c:bubble3D val="0"/>
            <c:spPr>
              <a:solidFill>
                <a:srgbClr val="4572A8"/>
              </a:solidFill>
              <a:ln>
                <a:noFill/>
              </a:ln>
              <a:effectLst>
                <a:outerShdw dist="35921" dir="2700000" algn="br">
                  <a:srgbClr val="000000"/>
                </a:outerShdw>
              </a:effectLst>
            </c:spPr>
          </c:dPt>
          <c:dPt>
            <c:idx val="1"/>
            <c:bubble3D val="0"/>
            <c:spPr>
              <a:solidFill>
                <a:srgbClr val="AA4643"/>
              </a:solidFill>
              <a:ln>
                <a:noFill/>
              </a:ln>
              <a:effectLst>
                <a:outerShdw dist="35921" dir="2700000" algn="br">
                  <a:srgbClr val="000000"/>
                </a:outerShdw>
              </a:effectLst>
            </c:spPr>
          </c:dPt>
          <c:dPt>
            <c:idx val="2"/>
            <c:bubble3D val="0"/>
            <c:spPr>
              <a:solidFill>
                <a:srgbClr val="89A64E"/>
              </a:solidFill>
              <a:ln>
                <a:noFill/>
              </a:ln>
              <a:effectLst>
                <a:outerShdw dist="35921" dir="2700000" algn="br">
                  <a:srgbClr val="000000"/>
                </a:outerShdw>
              </a:effectLst>
            </c:spPr>
          </c:dPt>
          <c:dPt>
            <c:idx val="3"/>
            <c:bubble3D val="0"/>
            <c:spPr>
              <a:solidFill>
                <a:srgbClr val="715890"/>
              </a:solidFill>
              <a:ln>
                <a:noFill/>
              </a:ln>
              <a:effectLst>
                <a:outerShdw dist="35921" dir="2700000" algn="br">
                  <a:srgbClr val="000000"/>
                </a:outerShdw>
              </a:effectLst>
            </c:spPr>
          </c:dPt>
          <c:dPt>
            <c:idx val="4"/>
            <c:bubble3D val="0"/>
            <c:spPr>
              <a:solidFill>
                <a:srgbClr val="4299B0"/>
              </a:solidFill>
              <a:ln>
                <a:noFill/>
              </a:ln>
              <a:effectLst>
                <a:outerShdw dist="35921" dir="2700000" algn="br">
                  <a:srgbClr val="000000"/>
                </a:outerShdw>
              </a:effectLst>
            </c:spPr>
          </c:dPt>
          <c:dPt>
            <c:idx val="5"/>
            <c:bubble3D val="0"/>
            <c:spPr>
              <a:solidFill>
                <a:srgbClr val="DC853D"/>
              </a:solidFill>
              <a:ln>
                <a:noFill/>
              </a:ln>
              <a:effectLst>
                <a:outerShdw dist="35921" dir="2700000" algn="br">
                  <a:srgbClr val="000000"/>
                </a:outerShdw>
              </a:effectLst>
            </c:spPr>
          </c:dPt>
          <c:dPt>
            <c:idx val="6"/>
            <c:bubble3D val="0"/>
            <c:spPr>
              <a:solidFill>
                <a:srgbClr val="93AACF"/>
              </a:solidFill>
              <a:ln>
                <a:noFill/>
              </a:ln>
              <a:effectLst>
                <a:outerShdw dist="35921" dir="2700000" algn="br">
                  <a:srgbClr val="000000"/>
                </a:outerShdw>
              </a:effectLst>
            </c:spPr>
          </c:dPt>
          <c:dPt>
            <c:idx val="7"/>
            <c:bubble3D val="0"/>
            <c:spPr>
              <a:solidFill>
                <a:srgbClr val="D19493"/>
              </a:solidFill>
              <a:ln>
                <a:noFill/>
              </a:ln>
              <a:effectLst>
                <a:outerShdw dist="35921" dir="2700000" algn="br">
                  <a:srgbClr val="000000"/>
                </a:outerShdw>
              </a:effectLst>
            </c:spPr>
          </c:dPt>
          <c:dLbls>
            <c:numFmt formatCode="0%" sourceLinked="0"/>
            <c:spPr>
              <a:pattFill prst="pct75">
                <a:fgClr>
                  <a:srgbClr val="404040"/>
                </a:fgClr>
                <a:bgClr>
                  <a:srgbClr val="595959"/>
                </a:bgClr>
              </a:patt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FFFFFF"/>
                    </a:solidFill>
                    <a:latin typeface="Times New Roman" panose="02020603050405020304"/>
                    <a:ea typeface="宋体" panose="02010600030101010101" charset="-122"/>
                    <a:cs typeface="Lucida San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{12537102.67,0,0,0,0,0,0,0}</c:f>
              <c:numCache>
                <c:formatCode>General</c:formatCode>
                <c:ptCount val="8"/>
                <c:pt idx="0">
                  <c:v>12537102.67</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c:spPr>
    </c:plotArea>
    <c:legend>
      <c:legendPos val="r"/>
      <c:layout>
        <c:manualLayout>
          <c:xMode val="edge"/>
          <c:yMode val="edge"/>
          <c:x val="0.652263942573164"/>
          <c:y val="0.138452380952381"/>
        </c:manualLayout>
      </c:layout>
      <c:overlay val="0"/>
      <c:spPr>
        <a:solidFill>
          <a:srgbClr val="F2F2F2">
            <a:alpha val="39000"/>
          </a:srgbClr>
        </a:solidFill>
        <a:ln>
          <a:noFill/>
        </a:ln>
      </c:spPr>
      <c:txPr>
        <a:bodyPr rot="0" spcFirstLastPara="0" vertOverflow="ellipsis" vert="horz" wrap="square"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legend>
    <c:plotVisOnly val="1"/>
    <c:dispBlanksAs val="zero"/>
    <c:showDLblsOverMax val="0"/>
    <c:extLst>
      <c:ext uri="{0b15fc19-7d7d-44ad-8c2d-2c3a37ce22c3}">
        <chartProps xmlns="https://web.wps.cn/et/2018/main" chartId="{78cc1dbd-fd20-4044-91de-e6f589193146}"/>
      </c:ext>
    </c:extLst>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404040"/>
                </a:solidFill>
                <a:latin typeface="Times New Roman" panose="02020603050405020304"/>
                <a:ea typeface="宋体" panose="02010600030101010101" charset="-122"/>
                <a:cs typeface="Lucida Sans"/>
              </a:defRPr>
            </a:pPr>
            <a:r>
              <a:rPr lang="zh-CN"/>
              <a:t>支出决算结构图</a:t>
            </a:r>
            <a:endParaRPr lang="zh-CN"/>
          </a:p>
        </c:rich>
      </c:tx>
      <c:layout/>
      <c:overlay val="0"/>
      <c:spPr>
        <a:noFill/>
        <a:ln>
          <a:noFill/>
        </a:ln>
      </c:spPr>
    </c:title>
    <c:autoTitleDeleted val="0"/>
    <c:plotArea>
      <c:layout/>
      <c:pieChart>
        <c:varyColors val="1"/>
        <c:ser>
          <c:idx val="0"/>
          <c:order val="0"/>
          <c:tx>
            <c:strRef>
              <c:f>'Sheet1 (3)'!$B$1</c:f>
              <c:strCache>
                <c:ptCount val="1"/>
                <c:pt idx="0">
                  <c:v>支出决算结构图</c:v>
                </c:pt>
              </c:strCache>
            </c:strRef>
          </c:tx>
          <c:spPr>
            <a:ln>
              <a:noFill/>
            </a:ln>
          </c:spPr>
          <c:explosion val="0"/>
          <c:dPt>
            <c:idx val="0"/>
            <c:bubble3D val="0"/>
            <c:spPr>
              <a:solidFill>
                <a:srgbClr val="4F81BD"/>
              </a:solidFill>
              <a:ln>
                <a:noFill/>
              </a:ln>
              <a:effectLst>
                <a:outerShdw dist="35921" dir="2700000" algn="br">
                  <a:srgbClr val="000000"/>
                </a:outerShdw>
              </a:effectLst>
            </c:spPr>
          </c:dPt>
          <c:dPt>
            <c:idx val="1"/>
            <c:bubble3D val="0"/>
            <c:spPr>
              <a:solidFill>
                <a:srgbClr val="C0504D"/>
              </a:solidFill>
              <a:ln>
                <a:noFill/>
              </a:ln>
              <a:effectLst>
                <a:outerShdw dist="35921" dir="2700000" algn="br">
                  <a:srgbClr val="000000"/>
                </a:outerShdw>
              </a:effectLst>
            </c:spPr>
          </c:dPt>
          <c:dPt>
            <c:idx val="2"/>
            <c:bubble3D val="0"/>
            <c:spPr>
              <a:solidFill>
                <a:srgbClr val="9BBB59"/>
              </a:solidFill>
              <a:ln>
                <a:noFill/>
              </a:ln>
              <a:effectLst>
                <a:outerShdw dist="35921" dir="2700000" algn="br">
                  <a:srgbClr val="000000"/>
                </a:outerShdw>
              </a:effectLst>
            </c:spPr>
          </c:dPt>
          <c:dPt>
            <c:idx val="3"/>
            <c:bubble3D val="0"/>
            <c:spPr>
              <a:solidFill>
                <a:srgbClr val="8064A2"/>
              </a:solidFill>
              <a:ln>
                <a:noFill/>
              </a:ln>
              <a:effectLst>
                <a:outerShdw dist="35921" dir="2700000" algn="br">
                  <a:srgbClr val="000000"/>
                </a:outerShdw>
              </a:effectLst>
            </c:spPr>
          </c:dPt>
          <c:dPt>
            <c:idx val="4"/>
            <c:bubble3D val="0"/>
            <c:spPr>
              <a:solidFill>
                <a:srgbClr val="4BACC6"/>
              </a:solidFill>
              <a:ln>
                <a:noFill/>
              </a:ln>
              <a:effectLst>
                <a:outerShdw dist="35921" dir="2700000" algn="br">
                  <a:srgbClr val="000000"/>
                </a:outerShdw>
              </a:effectLst>
            </c:spPr>
          </c:dPt>
          <c:dLbls>
            <c:numFmt formatCode="0%" sourceLinked="0"/>
            <c:spPr>
              <a:pattFill prst="pct75">
                <a:fgClr>
                  <a:srgbClr val="404040"/>
                </a:fgClr>
                <a:bgClr>
                  <a:srgbClr val="595959"/>
                </a:bgClr>
              </a:patt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FFFFFF"/>
                    </a:solidFill>
                    <a:latin typeface="Times New Roman" panose="02020603050405020304"/>
                    <a:ea typeface="宋体" panose="02010600030101010101" charset="-122"/>
                    <a:cs typeface="Lucida San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 (3)'!$A$2:$A$6</c:f>
              <c:strCache>
                <c:ptCount val="5"/>
                <c:pt idx="0">
                  <c:v>基本支出</c:v>
                </c:pt>
                <c:pt idx="1">
                  <c:v>项目支出</c:v>
                </c:pt>
                <c:pt idx="2">
                  <c:v>上级上缴支出</c:v>
                </c:pt>
                <c:pt idx="3">
                  <c:v>经营支出</c:v>
                </c:pt>
                <c:pt idx="4">
                  <c:v>对附属单位补助支出</c:v>
                </c:pt>
              </c:strCache>
            </c:strRef>
          </c:cat>
          <c:val>
            <c:numRef>
              <c:f>'Sheet1 (3)'!$B$2:$B$6</c:f>
              <c:numCache>
                <c:formatCode>General</c:formatCode>
                <c:ptCount val="5"/>
                <c:pt idx="0">
                  <c:v>168.7</c:v>
                </c:pt>
                <c:pt idx="1">
                  <c:v>0</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c:spPr>
    </c:plotArea>
    <c:legend>
      <c:legendPos val="r"/>
      <c:layout/>
      <c:overlay val="0"/>
      <c:spPr>
        <a:solidFill>
          <a:srgbClr val="F2F2F2">
            <a:alpha val="39000"/>
          </a:srgbClr>
        </a:solidFill>
        <a:ln>
          <a:noFill/>
        </a:ln>
      </c:spPr>
      <c:txPr>
        <a:bodyPr rot="0" spcFirstLastPara="0" vertOverflow="ellipsis" vert="horz" wrap="square"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legend>
    <c:plotVisOnly val="1"/>
    <c:dispBlanksAs val="gap"/>
    <c:showDLblsOverMax val="0"/>
    <c:extLst>
      <c:ext uri="{0b15fc19-7d7d-44ad-8c2d-2c3a37ce22c3}">
        <chartProps xmlns="https://web.wps.cn/et/2018/main" chartId="{a6e08763-e78c-4697-9996-a6e76376d983}"/>
      </c:ext>
    </c:extLst>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10249402"/>
          <c:y val="0.01225991"/>
          <c:w val="0.8623782"/>
          <c:h val="0.8260135"/>
        </c:manualLayout>
      </c:layout>
      <c:barChart>
        <c:barDir val="col"/>
        <c:grouping val="clustered"/>
        <c:varyColors val="0"/>
        <c:ser>
          <c:idx val="0"/>
          <c:order val="0"/>
          <c:tx>
            <c:strRef>
              <c:f>'Sheet1 (4)'!$B$1</c:f>
              <c:strCache>
                <c:ptCount val="1"/>
                <c:pt idx="0">
                  <c:v>金额</c:v>
                </c:pt>
              </c:strCache>
            </c:strRef>
          </c:tx>
          <c:spPr>
            <a:solidFill>
              <a:srgbClr val="4F81BD"/>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(4)'!$A$2:$A$5</c:f>
              <c:strCache>
                <c:ptCount val="4"/>
                <c:pt idx="0">
                  <c:v>2023年收入</c:v>
                </c:pt>
                <c:pt idx="1">
                  <c:v>2023年支出</c:v>
                </c:pt>
                <c:pt idx="2">
                  <c:v>2024年收入</c:v>
                </c:pt>
                <c:pt idx="3">
                  <c:v>2024年支出</c:v>
                </c:pt>
              </c:strCache>
            </c:strRef>
          </c:cat>
          <c:val>
            <c:numRef>
              <c:f>'Sheet1 (4)'!$B$2:$B$5</c:f>
              <c:numCache>
                <c:formatCode>General</c:formatCode>
                <c:ptCount val="4"/>
                <c:pt idx="0">
                  <c:v>168.7</c:v>
                </c:pt>
                <c:pt idx="1">
                  <c:v>168.7</c:v>
                </c:pt>
                <c:pt idx="2">
                  <c:v>173.06</c:v>
                </c:pt>
                <c:pt idx="3">
                  <c:v>173.06</c:v>
                </c:pt>
              </c:numCache>
            </c:numRef>
          </c:val>
        </c:ser>
        <c:dLbls>
          <c:showLegendKey val="0"/>
          <c:showVal val="1"/>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crossAx val="0"/>
        <c:crossesAt val="1"/>
        <c:crossBetween val="between"/>
      </c:valAx>
      <c:spPr>
        <a:noFill/>
        <a:ln>
          <a:noFill/>
        </a:ln>
      </c:spPr>
    </c:plotArea>
    <c:plotVisOnly val="1"/>
    <c:dispBlanksAs val="gap"/>
    <c:showDLblsOverMax val="0"/>
    <c:extLst>
      <c:ext uri="{0b15fc19-7d7d-44ad-8c2d-2c3a37ce22c3}">
        <chartProps xmlns="https://web.wps.cn/et/2018/main" chartId="{8cbb467f-c364-4863-a1cd-5e775da69335}"/>
      </c:ext>
    </c:extLst>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04402"/>
          <c:y val="0.040242426"/>
          <c:w val="0.8623782"/>
          <c:h val="0.8260135"/>
        </c:manualLayout>
      </c:layout>
      <c:barChart>
        <c:barDir val="col"/>
        <c:grouping val="clustered"/>
        <c:varyColors val="0"/>
        <c:ser>
          <c:idx val="0"/>
          <c:order val="0"/>
          <c:tx>
            <c:strRef>
              <c:f>'Sheet1 (5)'!$B$1</c:f>
              <c:strCache>
                <c:ptCount val="1"/>
                <c:pt idx="0">
                  <c:v>金额</c:v>
                </c:pt>
              </c:strCache>
            </c:strRef>
          </c:tx>
          <c:spPr>
            <a:solidFill>
              <a:srgbClr val="4F81BD"/>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(5)'!$A$2:$A$3</c:f>
              <c:strCache>
                <c:ptCount val="2"/>
                <c:pt idx="0">
                  <c:v>2023年</c:v>
                </c:pt>
                <c:pt idx="1">
                  <c:v>2024年</c:v>
                </c:pt>
              </c:strCache>
            </c:strRef>
          </c:cat>
          <c:val>
            <c:numRef>
              <c:f>'Sheet1 (5)'!$B$2:$B$3</c:f>
              <c:numCache>
                <c:formatCode>General</c:formatCode>
                <c:ptCount val="2"/>
                <c:pt idx="0">
                  <c:v>168.7</c:v>
                </c:pt>
                <c:pt idx="1">
                  <c:v>173.06</c:v>
                </c:pt>
              </c:numCache>
            </c:numRef>
          </c:val>
        </c:ser>
        <c:dLbls>
          <c:showLegendKey val="0"/>
          <c:showVal val="1"/>
          <c:showCatName val="0"/>
          <c:showSerName val="0"/>
          <c:showPercent val="0"/>
          <c:showBubbleSize val="0"/>
        </c:dLbls>
        <c:gapWidth val="75"/>
        <c:axId val="0"/>
        <c:axId val="1"/>
      </c:barChart>
      <c:catAx>
        <c:axId val="0"/>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crossAx val="1"/>
        <c:crosses val="autoZero"/>
        <c:auto val="1"/>
        <c:lblAlgn val="ctr"/>
        <c:lblOffset val="100"/>
        <c:noMultiLvlLbl val="0"/>
      </c:catAx>
      <c:valAx>
        <c:axId val="1"/>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crossAx val="0"/>
        <c:crossesAt val="1"/>
        <c:crossBetween val="between"/>
      </c:valAx>
      <c:spPr>
        <a:solidFill>
          <a:srgbClr val="FFFFFF"/>
        </a:solidFill>
      </c:spPr>
    </c:plotArea>
    <c:plotVisOnly val="1"/>
    <c:dispBlanksAs val="gap"/>
    <c:showDLblsOverMax val="0"/>
    <c:extLst>
      <c:ext uri="{0b15fc19-7d7d-44ad-8c2d-2c3a37ce22c3}">
        <chartProps xmlns="https://web.wps.cn/et/2018/main" chartId="{b67d7256-90b3-4306-b9ac-4e3a41d629c9}"/>
      </c:ext>
    </c:extLst>
  </c:chart>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 (6)'!$B$1</c:f>
              <c:strCache>
                <c:ptCount val="1"/>
                <c:pt idx="0">
                  <c:v>金额</c:v>
                </c:pt>
              </c:strCache>
            </c:strRef>
          </c:tx>
          <c:spPr>
            <a:ln>
              <a:noFill/>
            </a:ln>
          </c:spPr>
          <c:explosion val="0"/>
          <c:dPt>
            <c:idx val="0"/>
            <c:bubble3D val="0"/>
            <c:spPr>
              <a:solidFill>
                <a:srgbClr val="4F81BD"/>
              </a:solidFill>
            </c:spPr>
          </c:dPt>
          <c:dPt>
            <c:idx val="1"/>
            <c:bubble3D val="0"/>
            <c:spPr>
              <a:solidFill>
                <a:srgbClr val="C0504D"/>
              </a:solidFill>
            </c:spPr>
          </c:dPt>
          <c:dPt>
            <c:idx val="2"/>
            <c:bubble3D val="0"/>
            <c:spPr>
              <a:solidFill>
                <a:srgbClr val="9BBB59"/>
              </a:solidFill>
            </c:spPr>
          </c:dPt>
          <c:dPt>
            <c:idx val="3"/>
            <c:bubble3D val="0"/>
            <c:spPr>
              <a:solidFill>
                <a:srgbClr val="8064A2"/>
              </a:solidFill>
            </c:spPr>
          </c:dPt>
          <c:dLbls>
            <c:dLbl>
              <c:idx val="0"/>
              <c:delete val="1"/>
            </c:dLbl>
            <c:dLbl>
              <c:idx val="1"/>
              <c:delete val="1"/>
            </c:dLbl>
            <c:dLbl>
              <c:idx val="2"/>
              <c:delete val="1"/>
            </c:dLbl>
            <c:dLbl>
              <c:idx val="3"/>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(6)'!$A$2:$A$5</c:f>
              <c:strCache>
                <c:ptCount val="4"/>
                <c:pt idx="0">
                  <c:v>一般公共服务支出73.2%</c:v>
                </c:pt>
                <c:pt idx="1">
                  <c:v>社会保障和就业支出13.6%</c:v>
                </c:pt>
                <c:pt idx="2">
                  <c:v>卫生健康支出5.7%</c:v>
                </c:pt>
                <c:pt idx="3">
                  <c:v>住房保障支出7.5%</c:v>
                </c:pt>
              </c:strCache>
            </c:strRef>
          </c:cat>
          <c:val>
            <c:numRef>
              <c:f>'Sheet1 (6)'!$B$2:$B$5</c:f>
              <c:numCache>
                <c:formatCode>General</c:formatCode>
                <c:ptCount val="4"/>
                <c:pt idx="0">
                  <c:v>126.67</c:v>
                </c:pt>
                <c:pt idx="1">
                  <c:v>23.49</c:v>
                </c:pt>
                <c:pt idx="2">
                  <c:v>9.91</c:v>
                </c:pt>
                <c:pt idx="3">
                  <c:v>12.99</c:v>
                </c:pt>
              </c:numCache>
            </c:numRef>
          </c:val>
        </c:ser>
        <c:ser>
          <c:idx val="1"/>
          <c:order val="1"/>
          <c:spPr>
            <a:ln>
              <a:noFill/>
            </a:ln>
          </c:spPr>
          <c:explosion val="0"/>
          <c:dPt>
            <c:idx val="0"/>
            <c:bubble3D val="0"/>
            <c:spPr>
              <a:ln>
                <a:noFill/>
              </a:ln>
            </c:spPr>
          </c:dPt>
          <c:dLbls>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ext>
            </c:extLst>
          </c:dLbls>
          <c:cat>
            <c:strRef>
              <c:f>'Sheet1 (6)'!$A$2:$A$5</c:f>
              <c:strCache>
                <c:ptCount val="4"/>
                <c:pt idx="0">
                  <c:v>一般公共服务支出73.2%</c:v>
                </c:pt>
                <c:pt idx="1">
                  <c:v>社会保障和就业支出13.6%</c:v>
                </c:pt>
                <c:pt idx="2">
                  <c:v>卫生健康支出5.7%</c:v>
                </c:pt>
                <c:pt idx="3">
                  <c:v>住房保障支出7.5%</c:v>
                </c:pt>
              </c:strCache>
            </c:strRef>
          </c:cat>
          <c:val>
            <c:numRef>
              <c:f>{1}</c:f>
              <c:numCache>
                <c:formatCode>General</c:formatCode>
                <c:ptCount val="1"/>
                <c:pt idx="0">
                  <c:v>1</c:v>
                </c:pt>
              </c:numCache>
            </c:numRef>
          </c:val>
        </c:ser>
        <c:dLbls>
          <c:showLegendKey val="0"/>
          <c:showVal val="0"/>
          <c:showCatName val="0"/>
          <c:showSerName val="0"/>
          <c:showPercent val="0"/>
          <c:showBubbleSize val="0"/>
          <c:showLeaderLines val="1"/>
        </c:dLbls>
        <c:firstSliceAng val="0"/>
      </c:pieChart>
      <c:spPr>
        <a:noFill/>
      </c:spPr>
    </c:plotArea>
    <c:legend>
      <c:legendPos val="r"/>
      <c:layout>
        <c:manualLayout>
          <c:xMode val="edge"/>
          <c:yMode val="edge"/>
          <c:x val="0.67723846"/>
          <c:y val="0.084125675"/>
          <c:w val="0.31807625"/>
          <c:h val="0.86161566"/>
        </c:manualLayout>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legend>
    <c:plotVisOnly val="1"/>
    <c:dispBlanksAs val="gap"/>
    <c:showDLblsOverMax val="0"/>
    <c:extLst>
      <c:ext uri="{0b15fc19-7d7d-44ad-8c2d-2c3a37ce22c3}">
        <chartProps xmlns="https://web.wps.cn/et/2018/main" chartId="{47d6b9ff-b5da-49e9-8f12-dfe832e26c31}"/>
      </c:ext>
    </c:extLst>
  </c:chart>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Lucida Sans"/>
              </a:defRPr>
            </a:pPr>
            <a:r>
              <a:rPr lang="zh-CN"/>
              <a:t>三公经费</a:t>
            </a:r>
            <a:endParaRPr lang="zh-CN"/>
          </a:p>
        </c:rich>
      </c:tx>
      <c:layout/>
      <c:overlay val="0"/>
      <c:spPr>
        <a:noFill/>
        <a:ln>
          <a:noFill/>
        </a:ln>
      </c:spPr>
    </c:title>
    <c:autoTitleDeleted val="0"/>
    <c:plotArea>
      <c:layout/>
      <c:pieChart>
        <c:varyColors val="1"/>
        <c:ser>
          <c:idx val="0"/>
          <c:order val="0"/>
          <c:tx>
            <c:strRef>
              <c:f>'Sheet1 (7)'!$B$1</c:f>
              <c:strCache>
                <c:ptCount val="1"/>
                <c:pt idx="0">
                  <c:v>三公经费</c:v>
                </c:pt>
              </c:strCache>
            </c:strRef>
          </c:tx>
          <c:spPr>
            <a:ln>
              <a:noFill/>
            </a:ln>
          </c:spPr>
          <c:explosion val="0"/>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Pt>
            <c:idx val="2"/>
            <c:bubble3D val="0"/>
            <c:spPr>
              <a:solidFill>
                <a:srgbClr val="9BBB59"/>
              </a:solidFill>
              <a:ln w="19050">
                <a:solidFill>
                  <a:srgbClr val="FFFFFF"/>
                </a:solidFill>
                <a:prstDash val="solid"/>
              </a:ln>
            </c:spPr>
          </c:dPt>
          <c:dPt>
            <c:idx val="3"/>
            <c:bubble3D val="0"/>
            <c:spPr>
              <a:solidFill>
                <a:srgbClr val="8064A2"/>
              </a:solidFill>
              <a:ln w="19050">
                <a:solidFill>
                  <a:srgbClr val="FFFFFF"/>
                </a:solidFill>
                <a:prstDash val="solid"/>
              </a:ln>
            </c:spPr>
          </c:dPt>
          <c:dLbls>
            <c:dLbl>
              <c:idx val="0"/>
              <c:delete val="1"/>
            </c:dLbl>
            <c:dLbl>
              <c:idx val="1"/>
              <c:delete val="1"/>
            </c:dLbl>
            <c:dLbl>
              <c:idx val="2"/>
              <c:delete val="1"/>
            </c:dLbl>
            <c:dLbl>
              <c:idx val="3"/>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a:defRPr>
                </a:pPr>
              </a:p>
            </c:txPr>
            <c:dLblPos val="bestFit"/>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(7)'!$A$2:$A$5</c:f>
              <c:strCache>
                <c:ptCount val="4"/>
                <c:pt idx="0">
                  <c:v>公务接待费</c:v>
                </c:pt>
                <c:pt idx="1">
                  <c:v>公务用车购置费</c:v>
                </c:pt>
                <c:pt idx="2">
                  <c:v>公车运行维护费</c:v>
                </c:pt>
                <c:pt idx="3">
                  <c:v>因公出国（境）费</c:v>
                </c:pt>
              </c:strCache>
            </c:strRef>
          </c:cat>
          <c:val>
            <c:numRef>
              <c:f>'Sheet1 (7)'!$B$2:$B$5</c:f>
              <c:numCache>
                <c:formatCode>General</c:formatCode>
                <c:ptCount val="4"/>
              </c:numCache>
            </c:numRef>
          </c:val>
        </c:ser>
        <c:dLbls>
          <c:showLegendKey val="0"/>
          <c:showVal val="0"/>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legend>
    <c:plotVisOnly val="1"/>
    <c:dispBlanksAs val="gap"/>
    <c:showDLblsOverMax val="0"/>
    <c:extLst>
      <c:ext uri="{0b15fc19-7d7d-44ad-8c2d-2c3a37ce22c3}">
        <chartProps xmlns="https://web.wps.cn/et/2018/main" chartId="{bf58762b-9bb2-45c0-a2e1-ff277c34f04c}"/>
      </c:ext>
    </c:extLst>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四川省财政厅</Company>
  <Pages>15</Pages>
  <Words>4490</Words>
  <Characters>4980</Characters>
  <Lines>529</Lines>
  <Paragraphs>298</Paragraphs>
  <TotalTime>2</TotalTime>
  <ScaleCrop>false</ScaleCrop>
  <LinksUpToDate>false</LinksUpToDate>
  <CharactersWithSpaces>5031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2022-08-17T09:31:00Z</dcterms:created>
  <dc:creator>lgk</dc:creator>
  <cp:lastModifiedBy>。</cp:lastModifiedBy>
  <cp:lastPrinted>2025-09-15T03:28:00Z</cp:lastPrinted>
  <dcterms:modified xsi:type="dcterms:W3CDTF">2025-09-26T01:29:34Z</dcterms:modified>
  <dc:title>四川省决算编制说明</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B93CA6F4BEAD4F359769D1203595D585</vt:lpwstr>
  </property>
  <property fmtid="{D5CDD505-2E9C-101B-9397-08002B2CF9AE}" pid="4" name="KSOTemplateDocerSaveRecord">
    <vt:lpwstr>eyJoZGlkIjoiMTMzYTk5OTM1YzU1ZjA0ZDMzMjM1YTkxZGYzMTA5NTQiLCJ1c2VySWQiOiIxMDM5NDYxNjA2In0=</vt:lpwstr>
  </property>
</Properties>
</file>