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96475"/>
      <w:bookmarkStart w:id="1" w:name="_Toc15306267"/>
      <w:bookmarkStart w:id="2" w:name="_Toc15396597"/>
      <w:bookmarkStart w:id="3" w:name="_Toc15377425"/>
      <w:bookmarkStart w:id="4" w:name="_Toc15377193"/>
      <w:bookmarkStart w:id="5" w:name="_Toc15378441"/>
      <w:bookmarkStart w:id="136" w:name="_GoBack"/>
      <w:bookmarkEnd w:id="136"/>
    </w:p>
    <w:p>
      <w:pPr>
        <w:pStyle w:val="5"/>
        <w:ind w:firstLine="0"/>
      </w:pPr>
    </w:p>
    <w:bookmarkEnd w:id="0"/>
    <w:bookmarkEnd w:id="1"/>
    <w:bookmarkEnd w:id="2"/>
    <w:bookmarkEnd w:id="3"/>
    <w:bookmarkEnd w:id="4"/>
    <w:bookmarkEnd w:id="5"/>
    <w:p>
      <w:pPr>
        <w:pStyle w:val="7"/>
        <w:jc w:val="center"/>
        <w:rPr>
          <w:rFonts w:hint="eastAsia" w:ascii="方正小标宋简体" w:eastAsia="方正小标宋简体" w:cs="Times New Roman"/>
          <w:color w:val="auto"/>
          <w:kern w:val="2"/>
          <w:sz w:val="44"/>
          <w:szCs w:val="44"/>
          <w:highlight w:val="none"/>
          <w:lang w:val="en-US" w:eastAsia="zh-CN" w:bidi="ar-SA"/>
        </w:rPr>
      </w:pP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2024年度</w:t>
      </w:r>
      <w:bookmarkStart w:id="6" w:name="_Toc15396598"/>
      <w:bookmarkStart w:id="7" w:name="_Toc15396476"/>
      <w:bookmarkStart w:id="8" w:name="_Toc15377194"/>
      <w:bookmarkStart w:id="9" w:name="_Toc15377426"/>
      <w:bookmarkStart w:id="10" w:name="_Toc15378442"/>
      <w:r>
        <w:rPr>
          <w:rFonts w:hint="eastAsia" w:ascii="方正小标宋简体" w:eastAsia="方正小标宋简体" w:cs="Times New Roman"/>
          <w:color w:val="auto"/>
          <w:kern w:val="2"/>
          <w:sz w:val="44"/>
          <w:szCs w:val="44"/>
          <w:highlight w:val="none"/>
          <w:lang w:val="en-US" w:eastAsia="zh-CN" w:bidi="ar-SA"/>
        </w:rPr>
        <w:t>四川省阿坝州茂县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w:t>
      </w: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(汇总）部门决算</w:t>
      </w:r>
      <w:bookmarkEnd w:id="6"/>
      <w:bookmarkEnd w:id="7"/>
      <w:bookmarkEnd w:id="8"/>
      <w:bookmarkEnd w:id="9"/>
      <w:bookmarkEnd w:id="10"/>
      <w:bookmarkEnd w:id="11"/>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tabs>
          <w:tab w:val="left" w:pos="3600"/>
        </w:tabs>
      </w:pPr>
      <w:r>
        <w:tab/>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utoSpaceDE w:val="0"/>
        <w:autoSpaceDN w:val="0"/>
        <w:adjustRightInd w:val="0"/>
        <w:ind w:left="420" w:leftChars="200"/>
        <w:jc w:val="left"/>
        <w:rPr>
          <w:rFonts w:ascii="宋体"/>
          <w:sz w:val="32"/>
          <w:szCs w:val="32"/>
        </w:rPr>
      </w:pPr>
    </w:p>
    <w:p>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pPr>
        <w:widowControl/>
        <w:jc w:val="center"/>
        <w:rPr>
          <w:rFonts w:ascii="黑体" w:eastAsia="黑体" w:cs="Times New Roman"/>
          <w:color w:val="auto"/>
          <w:sz w:val="28"/>
          <w:szCs w:val="28"/>
          <w:highlight w:val="none"/>
        </w:rPr>
      </w:pPr>
    </w:p>
    <w:p>
      <w:pPr>
        <w:pStyle w:val="14"/>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_Toc24880 </w:instrText>
      </w:r>
      <w:r>
        <w:rPr>
          <w:caps w:val="0"/>
          <w:smallCaps/>
          <w:szCs w:val="20"/>
        </w:rPr>
        <w:fldChar w:fldCharType="separate"/>
      </w:r>
      <w:r>
        <w:rPr>
          <w:rFonts w:hint="eastAsia" w:ascii="方正小标宋简体" w:hAnsi="方正小标宋简体" w:eastAsia="方正小标宋简体" w:cs="方正小标宋简体"/>
        </w:rPr>
        <w:t>第一部分 部门概况</w:t>
      </w:r>
      <w:r>
        <w:tab/>
      </w:r>
      <w:r>
        <w:fldChar w:fldCharType="begin"/>
      </w:r>
      <w:r>
        <w:instrText xml:space="preserve"> PAGEREF _Toc24880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_Toc17003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_Toc17003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_Toc8794 </w:instrText>
      </w:r>
      <w:r>
        <w:rPr>
          <w:caps w:val="0"/>
          <w:smallCaps/>
          <w:szCs w:val="20"/>
        </w:rPr>
        <w:fldChar w:fldCharType="separate"/>
      </w:r>
      <w:r>
        <w:rPr>
          <w:rFonts w:hint="eastAsia" w:ascii="黑体" w:eastAsia="黑体" w:cs="Times New Roman"/>
        </w:rPr>
        <w:t>二、机构设置</w:t>
      </w:r>
      <w:r>
        <w:tab/>
      </w:r>
      <w:r>
        <w:fldChar w:fldCharType="begin"/>
      </w:r>
      <w:r>
        <w:instrText xml:space="preserve"> PAGEREF _Toc8794 \h </w:instrText>
      </w:r>
      <w:r>
        <w:fldChar w:fldCharType="separate"/>
      </w:r>
      <w:r>
        <w:t>4</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_Toc28635 </w:instrText>
      </w:r>
      <w:r>
        <w:rPr>
          <w:caps w:val="0"/>
          <w:smallCaps/>
          <w:szCs w:val="20"/>
        </w:rPr>
        <w:fldChar w:fldCharType="separate"/>
      </w:r>
      <w:r>
        <w:rPr>
          <w:rFonts w:hint="eastAsia" w:ascii="方正小标宋简体" w:hAnsi="方正小标宋简体" w:eastAsia="方正小标宋简体" w:cs="方正小标宋简体"/>
        </w:rPr>
        <w:t>第二部分 202</w:t>
      </w:r>
      <w:r>
        <w:rPr>
          <w:rFonts w:hint="eastAsia"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rPr>
        <w:t>年度部门决算情况说明</w:t>
      </w:r>
      <w:r>
        <w:tab/>
      </w:r>
      <w:r>
        <w:fldChar w:fldCharType="begin"/>
      </w:r>
      <w:r>
        <w:instrText xml:space="preserve"> PAGEREF _Toc28635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_Toc5851 </w:instrText>
      </w:r>
      <w:r>
        <w:rPr>
          <w:caps w:val="0"/>
          <w:smallCaps/>
          <w:szCs w:val="20"/>
        </w:rPr>
        <w:fldChar w:fldCharType="separate"/>
      </w:r>
      <w:r>
        <w:rPr>
          <w:rFonts w:hint="eastAsia" w:ascii="黑体" w:eastAsia="黑体" w:cs="Times New Roman"/>
          <w:lang w:val="en-US" w:eastAsia="zh-CN"/>
        </w:rPr>
        <w:t>一、收入支出决算总体情况说明</w:t>
      </w:r>
      <w:r>
        <w:tab/>
      </w:r>
      <w:r>
        <w:fldChar w:fldCharType="begin"/>
      </w:r>
      <w:r>
        <w:instrText xml:space="preserve"> PAGEREF _Toc5851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_Toc11522 </w:instrText>
      </w:r>
      <w:r>
        <w:rPr>
          <w:caps w:val="0"/>
          <w:smallCaps/>
          <w:szCs w:val="20"/>
        </w:rPr>
        <w:fldChar w:fldCharType="separate"/>
      </w:r>
      <w:r>
        <w:rPr>
          <w:rFonts w:hint="eastAsia" w:ascii="黑体" w:eastAsia="黑体" w:cs="Times New Roman"/>
          <w:lang w:val="en-US" w:eastAsia="zh-CN"/>
        </w:rPr>
        <w:t>二、收入决算情况说明</w:t>
      </w:r>
      <w:r>
        <w:tab/>
      </w:r>
      <w:r>
        <w:fldChar w:fldCharType="begin"/>
      </w:r>
      <w:r>
        <w:instrText xml:space="preserve"> PAGEREF _Toc11522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_Toc23557 </w:instrText>
      </w:r>
      <w:r>
        <w:rPr>
          <w:caps w:val="0"/>
          <w:smallCaps/>
          <w:szCs w:val="20"/>
        </w:rPr>
        <w:fldChar w:fldCharType="separate"/>
      </w:r>
      <w:r>
        <w:rPr>
          <w:rFonts w:hint="eastAsia" w:ascii="黑体" w:eastAsia="黑体" w:cs="Times New Roman"/>
          <w:lang w:val="en-US" w:eastAsia="zh-CN"/>
        </w:rPr>
        <w:t>三、支出决算情况说明</w:t>
      </w:r>
      <w:r>
        <w:tab/>
      </w:r>
      <w:r>
        <w:fldChar w:fldCharType="begin"/>
      </w:r>
      <w:r>
        <w:instrText xml:space="preserve"> PAGEREF _Toc23557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_Toc452 </w:instrText>
      </w:r>
      <w:r>
        <w:rPr>
          <w:caps w:val="0"/>
          <w:smallCaps/>
          <w:szCs w:val="20"/>
        </w:rPr>
        <w:fldChar w:fldCharType="separate"/>
      </w:r>
      <w:r>
        <w:rPr>
          <w:rFonts w:hint="eastAsia" w:ascii="黑体" w:eastAsia="黑体" w:cs="Times New Roman"/>
          <w:lang w:val="en-US" w:eastAsia="zh-CN"/>
        </w:rPr>
        <w:t>四、财政拨款收入支出决算总体情况说明</w:t>
      </w:r>
      <w:r>
        <w:tab/>
      </w:r>
      <w:r>
        <w:fldChar w:fldCharType="begin"/>
      </w:r>
      <w:r>
        <w:instrText xml:space="preserve"> PAGEREF _Toc452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_Toc8864 </w:instrText>
      </w:r>
      <w:r>
        <w:rPr>
          <w:caps w:val="0"/>
          <w:smallCaps/>
          <w:szCs w:val="20"/>
        </w:rPr>
        <w:fldChar w:fldCharType="separate"/>
      </w:r>
      <w:r>
        <w:rPr>
          <w:rFonts w:hint="eastAsia" w:ascii="黑体" w:eastAsia="黑体" w:cs="Times New Roman"/>
          <w:lang w:val="en-US" w:eastAsia="zh-CN"/>
        </w:rPr>
        <w:t>五、一般公共预算财政拨款支出决算情况说明</w:t>
      </w:r>
      <w:r>
        <w:tab/>
      </w:r>
      <w:r>
        <w:fldChar w:fldCharType="begin"/>
      </w:r>
      <w:r>
        <w:instrText xml:space="preserve"> PAGEREF _Toc8864 \h </w:instrText>
      </w:r>
      <w:r>
        <w:fldChar w:fldCharType="separate"/>
      </w:r>
      <w:r>
        <w:t>6</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_Toc19060 </w:instrText>
      </w:r>
      <w:r>
        <w:rPr>
          <w:caps w:val="0"/>
          <w:smallCaps/>
          <w:szCs w:val="20"/>
        </w:rPr>
        <w:fldChar w:fldCharType="separate"/>
      </w:r>
      <w:r>
        <w:rPr>
          <w:rFonts w:hint="eastAsia" w:ascii="黑体" w:eastAsia="黑体" w:cs="Times New Roman"/>
          <w:lang w:val="en-US" w:eastAsia="zh-CN"/>
        </w:rPr>
        <w:t>六、一般公共预算财政拨款基本支出决算情况说明</w:t>
      </w:r>
      <w:r>
        <w:tab/>
      </w:r>
      <w:r>
        <w:fldChar w:fldCharType="begin"/>
      </w:r>
      <w:r>
        <w:instrText xml:space="preserve"> PAGEREF _Toc19060 \h </w:instrText>
      </w:r>
      <w:r>
        <w:fldChar w:fldCharType="separate"/>
      </w:r>
      <w:r>
        <w:t>8</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_Toc12723 </w:instrText>
      </w:r>
      <w:r>
        <w:rPr>
          <w:caps w:val="0"/>
          <w:smallCaps/>
          <w:szCs w:val="20"/>
        </w:rPr>
        <w:fldChar w:fldCharType="separate"/>
      </w:r>
      <w:r>
        <w:rPr>
          <w:rFonts w:hint="eastAsia" w:ascii="黑体" w:eastAsia="黑体" w:cs="Times New Roman"/>
          <w:lang w:val="en-US" w:eastAsia="zh-CN"/>
        </w:rPr>
        <w:t>七、“三公”经费财政拨款支出决算情况说明</w:t>
      </w:r>
      <w:r>
        <w:tab/>
      </w:r>
      <w:r>
        <w:fldChar w:fldCharType="begin"/>
      </w:r>
      <w:r>
        <w:instrText xml:space="preserve"> PAGEREF _Toc12723 \h </w:instrText>
      </w:r>
      <w:r>
        <w:fldChar w:fldCharType="separate"/>
      </w:r>
      <w:r>
        <w:t>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_Toc9713 </w:instrText>
      </w:r>
      <w:r>
        <w:rPr>
          <w:caps w:val="0"/>
          <w:smallCaps/>
          <w:szCs w:val="20"/>
        </w:rPr>
        <w:fldChar w:fldCharType="separate"/>
      </w:r>
      <w:r>
        <w:rPr>
          <w:rFonts w:hint="eastAsia" w:ascii="黑体" w:eastAsia="黑体" w:cs="Times New Roman"/>
          <w:lang w:val="en-US" w:eastAsia="zh-CN"/>
        </w:rPr>
        <w:t>八、政府性基金预算支出决算情况说明</w:t>
      </w:r>
      <w:r>
        <w:tab/>
      </w:r>
      <w:r>
        <w:fldChar w:fldCharType="begin"/>
      </w:r>
      <w:r>
        <w:instrText xml:space="preserve"> PAGEREF _Toc9713 \h </w:instrText>
      </w:r>
      <w:r>
        <w:fldChar w:fldCharType="separate"/>
      </w:r>
      <w:r>
        <w:t>10</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_Toc14515 </w:instrText>
      </w:r>
      <w:r>
        <w:rPr>
          <w:caps w:val="0"/>
          <w:smallCaps/>
          <w:szCs w:val="20"/>
        </w:rPr>
        <w:fldChar w:fldCharType="separate"/>
      </w:r>
      <w:r>
        <w:rPr>
          <w:rFonts w:hint="eastAsia" w:ascii="黑体" w:eastAsia="黑体" w:cs="Times New Roman"/>
          <w:lang w:val="en-US" w:eastAsia="zh-CN"/>
        </w:rPr>
        <w:t>九、国有资本经营预算支出决算情况说明</w:t>
      </w:r>
      <w:r>
        <w:tab/>
      </w:r>
      <w:r>
        <w:fldChar w:fldCharType="begin"/>
      </w:r>
      <w:r>
        <w:instrText xml:space="preserve"> PAGEREF _Toc14515 \h </w:instrText>
      </w:r>
      <w:r>
        <w:fldChar w:fldCharType="separate"/>
      </w:r>
      <w:r>
        <w:t>11</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_Toc10670 </w:instrText>
      </w:r>
      <w:r>
        <w:rPr>
          <w:caps w:val="0"/>
          <w:smallCaps/>
          <w:szCs w:val="20"/>
        </w:rPr>
        <w:fldChar w:fldCharType="separate"/>
      </w:r>
      <w:r>
        <w:rPr>
          <w:rFonts w:hint="eastAsia" w:ascii="黑体" w:eastAsia="黑体" w:cs="Times New Roman"/>
          <w:lang w:val="en-US" w:eastAsia="zh-CN"/>
        </w:rPr>
        <w:t>十、其他重要事项的情况说明</w:t>
      </w:r>
      <w:r>
        <w:tab/>
      </w:r>
      <w:r>
        <w:fldChar w:fldCharType="begin"/>
      </w:r>
      <w:r>
        <w:instrText xml:space="preserve"> PAGEREF _Toc10670 \h </w:instrText>
      </w:r>
      <w:r>
        <w:fldChar w:fldCharType="separate"/>
      </w:r>
      <w:r>
        <w:t>11</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_Toc13288 </w:instrText>
      </w:r>
      <w:r>
        <w:rPr>
          <w:caps w:val="0"/>
          <w:smallCaps/>
          <w:szCs w:val="20"/>
        </w:rPr>
        <w:fldChar w:fldCharType="separate"/>
      </w:r>
      <w:r>
        <w:rPr>
          <w:rFonts w:hint="eastAsia" w:ascii="方正小标宋简体" w:hAnsi="方正小标宋简体" w:eastAsia="方正小标宋简体" w:cs="方正小标宋简体"/>
        </w:rPr>
        <w:t>第三部分 名词解释</w:t>
      </w:r>
      <w:r>
        <w:tab/>
      </w:r>
      <w:r>
        <w:fldChar w:fldCharType="begin"/>
      </w:r>
      <w:r>
        <w:instrText xml:space="preserve"> PAGEREF _Toc13288 \h </w:instrText>
      </w:r>
      <w:r>
        <w:fldChar w:fldCharType="separate"/>
      </w:r>
      <w:r>
        <w:t>12</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_Toc13033 </w:instrText>
      </w:r>
      <w:r>
        <w:rPr>
          <w:caps w:val="0"/>
          <w:smallCaps/>
          <w:szCs w:val="20"/>
        </w:rPr>
        <w:fldChar w:fldCharType="separate"/>
      </w:r>
      <w:r>
        <w:rPr>
          <w:rFonts w:hint="eastAsia" w:ascii="方正小标宋简体" w:hAnsi="方正小标宋简体" w:eastAsia="方正小标宋简体" w:cs="方正小标宋简体"/>
        </w:rPr>
        <w:t>第四部分 附件</w:t>
      </w:r>
      <w:r>
        <w:tab/>
      </w:r>
      <w:r>
        <w:fldChar w:fldCharType="begin"/>
      </w:r>
      <w:r>
        <w:instrText xml:space="preserve"> PAGEREF _Toc13033 \h </w:instrText>
      </w:r>
      <w:r>
        <w:fldChar w:fldCharType="separate"/>
      </w:r>
      <w:r>
        <w:t>15</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_Toc32078 </w:instrText>
      </w:r>
      <w:r>
        <w:rPr>
          <w:caps w:val="0"/>
          <w:smallCaps/>
          <w:szCs w:val="20"/>
        </w:rPr>
        <w:fldChar w:fldCharType="separate"/>
      </w:r>
      <w:r>
        <w:rPr>
          <w:rFonts w:hint="eastAsia" w:ascii="方正小标宋简体" w:hAnsi="方正小标宋简体" w:eastAsia="方正小标宋简体" w:cs="方正小标宋简体"/>
        </w:rPr>
        <w:t>第五部分 附表</w:t>
      </w:r>
      <w:r>
        <w:tab/>
      </w:r>
      <w:r>
        <w:fldChar w:fldCharType="begin"/>
      </w:r>
      <w:r>
        <w:instrText xml:space="preserve"> PAGEREF _Toc32078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_Toc9879 </w:instrText>
      </w:r>
      <w:r>
        <w:rPr>
          <w:caps w:val="0"/>
          <w:smallCaps/>
          <w:szCs w:val="20"/>
        </w:rPr>
        <w:fldChar w:fldCharType="separate"/>
      </w:r>
      <w:r>
        <w:rPr>
          <w:rFonts w:hint="eastAsia" w:ascii="仿宋_GB2312" w:hAnsi="仿宋_GB2312" w:eastAsia="仿宋_GB2312" w:cs="仿宋_GB2312"/>
          <w:kern w:val="2"/>
          <w:szCs w:val="32"/>
          <w:lang w:bidi="ar-SA"/>
        </w:rPr>
        <w:t>一、收入支出决算总表</w:t>
      </w:r>
      <w:r>
        <w:tab/>
      </w:r>
      <w:r>
        <w:fldChar w:fldCharType="begin"/>
      </w:r>
      <w:r>
        <w:instrText xml:space="preserve"> PAGEREF _Toc9879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_Toc13634 </w:instrText>
      </w:r>
      <w:r>
        <w:rPr>
          <w:caps w:val="0"/>
          <w:smallCaps/>
          <w:szCs w:val="20"/>
        </w:rPr>
        <w:fldChar w:fldCharType="separate"/>
      </w:r>
      <w:r>
        <w:rPr>
          <w:rFonts w:hint="eastAsia" w:ascii="仿宋_GB2312" w:hAnsi="仿宋_GB2312" w:eastAsia="仿宋_GB2312" w:cs="仿宋_GB2312"/>
          <w:kern w:val="2"/>
          <w:szCs w:val="32"/>
          <w:lang w:bidi="ar-SA"/>
        </w:rPr>
        <w:t>二、收入决算表</w:t>
      </w:r>
      <w:r>
        <w:tab/>
      </w:r>
      <w:r>
        <w:fldChar w:fldCharType="begin"/>
      </w:r>
      <w:r>
        <w:instrText xml:space="preserve"> PAGEREF _Toc13634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_Toc15836 </w:instrText>
      </w:r>
      <w:r>
        <w:rPr>
          <w:caps w:val="0"/>
          <w:smallCaps/>
          <w:szCs w:val="20"/>
        </w:rPr>
        <w:fldChar w:fldCharType="separate"/>
      </w:r>
      <w:r>
        <w:rPr>
          <w:rFonts w:hint="eastAsia" w:ascii="仿宋_GB2312" w:hAnsi="仿宋_GB2312" w:eastAsia="仿宋_GB2312" w:cs="仿宋_GB2312"/>
          <w:kern w:val="2"/>
          <w:szCs w:val="32"/>
          <w:lang w:bidi="ar-SA"/>
        </w:rPr>
        <w:t>三、支出决算表</w:t>
      </w:r>
      <w:r>
        <w:tab/>
      </w:r>
      <w:r>
        <w:fldChar w:fldCharType="begin"/>
      </w:r>
      <w:r>
        <w:instrText xml:space="preserve"> PAGEREF _Toc15836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_Toc18864 </w:instrText>
      </w:r>
      <w:r>
        <w:rPr>
          <w:caps w:val="0"/>
          <w:smallCaps/>
          <w:szCs w:val="20"/>
        </w:rPr>
        <w:fldChar w:fldCharType="separate"/>
      </w:r>
      <w:r>
        <w:rPr>
          <w:rFonts w:hint="eastAsia" w:ascii="仿宋_GB2312" w:hAnsi="仿宋_GB2312" w:eastAsia="仿宋_GB2312" w:cs="仿宋_GB2312"/>
          <w:kern w:val="2"/>
          <w:szCs w:val="32"/>
          <w:lang w:bidi="ar-SA"/>
        </w:rPr>
        <w:t>四、财政拨款收入支出决算总表</w:t>
      </w:r>
      <w:r>
        <w:tab/>
      </w:r>
      <w:r>
        <w:fldChar w:fldCharType="begin"/>
      </w:r>
      <w:r>
        <w:instrText xml:space="preserve"> PAGEREF _Toc18864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_Toc11006 </w:instrText>
      </w:r>
      <w:r>
        <w:rPr>
          <w:caps w:val="0"/>
          <w:smallCaps/>
          <w:szCs w:val="20"/>
        </w:rPr>
        <w:fldChar w:fldCharType="separate"/>
      </w:r>
      <w:r>
        <w:rPr>
          <w:rFonts w:hint="eastAsia" w:ascii="仿宋_GB2312" w:hAnsi="仿宋_GB2312" w:eastAsia="仿宋_GB2312" w:cs="仿宋_GB2312"/>
          <w:kern w:val="2"/>
          <w:szCs w:val="32"/>
          <w:lang w:bidi="ar-SA"/>
        </w:rPr>
        <w:t>五、财政拨款支出决算明细表</w:t>
      </w:r>
      <w:r>
        <w:tab/>
      </w:r>
      <w:r>
        <w:fldChar w:fldCharType="begin"/>
      </w:r>
      <w:r>
        <w:instrText xml:space="preserve"> PAGEREF _Toc11006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_Toc22435 </w:instrText>
      </w:r>
      <w:r>
        <w:rPr>
          <w:caps w:val="0"/>
          <w:smallCaps/>
          <w:szCs w:val="20"/>
        </w:rPr>
        <w:fldChar w:fldCharType="separate"/>
      </w:r>
      <w:r>
        <w:rPr>
          <w:rFonts w:hint="eastAsia" w:ascii="仿宋_GB2312" w:hAnsi="仿宋_GB2312" w:eastAsia="仿宋_GB2312" w:cs="仿宋_GB2312"/>
          <w:kern w:val="2"/>
          <w:szCs w:val="32"/>
          <w:lang w:bidi="ar-SA"/>
        </w:rPr>
        <w:t>六、一般公共预算财政拨款支出决算表</w:t>
      </w:r>
      <w:r>
        <w:tab/>
      </w:r>
      <w:r>
        <w:fldChar w:fldCharType="begin"/>
      </w:r>
      <w:r>
        <w:instrText xml:space="preserve"> PAGEREF _Toc22435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_Toc822 </w:instrText>
      </w:r>
      <w:r>
        <w:rPr>
          <w:caps w:val="0"/>
          <w:smallCaps/>
          <w:szCs w:val="20"/>
        </w:rPr>
        <w:fldChar w:fldCharType="separate"/>
      </w:r>
      <w:r>
        <w:rPr>
          <w:rFonts w:hint="eastAsia" w:ascii="仿宋_GB2312" w:hAnsi="仿宋_GB2312" w:eastAsia="仿宋_GB2312" w:cs="仿宋_GB2312"/>
          <w:kern w:val="2"/>
          <w:szCs w:val="32"/>
          <w:lang w:bidi="ar-SA"/>
        </w:rPr>
        <w:t>七、一般公共预算财政拨款支出决算明细表</w:t>
      </w:r>
      <w:r>
        <w:tab/>
      </w:r>
      <w:r>
        <w:fldChar w:fldCharType="begin"/>
      </w:r>
      <w:r>
        <w:instrText xml:space="preserve"> PAGEREF _Toc822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_Toc16998 </w:instrText>
      </w:r>
      <w:r>
        <w:rPr>
          <w:caps w:val="0"/>
          <w:smallCaps/>
          <w:szCs w:val="20"/>
        </w:rPr>
        <w:fldChar w:fldCharType="separate"/>
      </w:r>
      <w:r>
        <w:rPr>
          <w:rFonts w:hint="eastAsia" w:ascii="仿宋_GB2312" w:hAnsi="仿宋_GB2312" w:eastAsia="仿宋_GB2312" w:cs="仿宋_GB2312"/>
          <w:kern w:val="2"/>
          <w:szCs w:val="32"/>
          <w:lang w:bidi="ar-SA"/>
        </w:rPr>
        <w:t>八、一般公共预算财政拨款基本支出决算表</w:t>
      </w:r>
      <w:r>
        <w:tab/>
      </w:r>
      <w:r>
        <w:fldChar w:fldCharType="begin"/>
      </w:r>
      <w:r>
        <w:instrText xml:space="preserve"> PAGEREF _Toc16998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_Toc31696 </w:instrText>
      </w:r>
      <w:r>
        <w:rPr>
          <w:caps w:val="0"/>
          <w:smallCaps/>
          <w:szCs w:val="20"/>
        </w:rPr>
        <w:fldChar w:fldCharType="separate"/>
      </w:r>
      <w:r>
        <w:rPr>
          <w:rFonts w:hint="eastAsia" w:ascii="仿宋_GB2312" w:hAnsi="仿宋_GB2312" w:eastAsia="仿宋_GB2312" w:cs="仿宋_GB2312"/>
          <w:kern w:val="2"/>
          <w:szCs w:val="32"/>
          <w:lang w:bidi="ar-SA"/>
        </w:rPr>
        <w:t>九、一般公共预算财政拨款项目支出决算表</w:t>
      </w:r>
      <w:r>
        <w:tab/>
      </w:r>
      <w:r>
        <w:fldChar w:fldCharType="begin"/>
      </w:r>
      <w:r>
        <w:instrText xml:space="preserve"> PAGEREF _Toc31696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_Toc29843 </w:instrText>
      </w:r>
      <w:r>
        <w:rPr>
          <w:caps w:val="0"/>
          <w:smallCaps/>
          <w:szCs w:val="20"/>
        </w:rPr>
        <w:fldChar w:fldCharType="separate"/>
      </w:r>
      <w:r>
        <w:rPr>
          <w:rFonts w:hint="eastAsia" w:ascii="仿宋_GB2312" w:hAnsi="仿宋_GB2312" w:eastAsia="仿宋_GB2312" w:cs="仿宋_GB2312"/>
          <w:kern w:val="2"/>
          <w:szCs w:val="32"/>
          <w:lang w:bidi="ar-SA"/>
        </w:rPr>
        <w:t>十、政府性基金预算财政拨款收入支出决算表</w:t>
      </w:r>
      <w:r>
        <w:tab/>
      </w:r>
      <w:r>
        <w:fldChar w:fldCharType="begin"/>
      </w:r>
      <w:r>
        <w:instrText xml:space="preserve"> PAGEREF _Toc29843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_Toc15732 </w:instrText>
      </w:r>
      <w:r>
        <w:rPr>
          <w:caps w:val="0"/>
          <w:smallCaps/>
          <w:szCs w:val="20"/>
        </w:rPr>
        <w:fldChar w:fldCharType="separate"/>
      </w:r>
      <w:r>
        <w:rPr>
          <w:rFonts w:hint="eastAsia" w:ascii="仿宋_GB2312" w:hAnsi="仿宋_GB2312" w:eastAsia="仿宋_GB2312" w:cs="仿宋_GB2312"/>
          <w:kern w:val="2"/>
          <w:szCs w:val="32"/>
          <w:lang w:bidi="ar-SA"/>
        </w:rPr>
        <w:t>十一、国有资本经营预算财政拨款收入支出决算表</w:t>
      </w:r>
      <w:r>
        <w:tab/>
      </w:r>
      <w:r>
        <w:fldChar w:fldCharType="begin"/>
      </w:r>
      <w:r>
        <w:instrText xml:space="preserve"> PAGEREF _Toc15732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_Toc8905 </w:instrText>
      </w:r>
      <w:r>
        <w:rPr>
          <w:caps w:val="0"/>
          <w:smallCaps/>
          <w:szCs w:val="20"/>
        </w:rPr>
        <w:fldChar w:fldCharType="separate"/>
      </w:r>
      <w:r>
        <w:rPr>
          <w:rFonts w:hint="eastAsia" w:ascii="仿宋_GB2312" w:hAnsi="仿宋_GB2312" w:eastAsia="仿宋_GB2312" w:cs="仿宋_GB2312"/>
          <w:kern w:val="2"/>
          <w:szCs w:val="32"/>
          <w:lang w:bidi="ar-SA"/>
        </w:rPr>
        <w:t>十二、国有资本经营预算财政拨款支出决算表</w:t>
      </w:r>
      <w:r>
        <w:tab/>
      </w:r>
      <w:r>
        <w:fldChar w:fldCharType="begin"/>
      </w:r>
      <w:r>
        <w:instrText xml:space="preserve"> PAGEREF _Toc8905 \h </w:instrText>
      </w:r>
      <w:r>
        <w:fldChar w:fldCharType="separate"/>
      </w:r>
      <w:r>
        <w:t>29</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_Toc26255 </w:instrText>
      </w:r>
      <w:r>
        <w:rPr>
          <w:caps w:val="0"/>
          <w:smallCaps/>
          <w:szCs w:val="20"/>
        </w:rPr>
        <w:fldChar w:fldCharType="separate"/>
      </w:r>
      <w:r>
        <w:rPr>
          <w:rFonts w:hint="eastAsia" w:ascii="仿宋_GB2312" w:hAnsi="仿宋_GB2312" w:eastAsia="仿宋_GB2312" w:cs="仿宋_GB2312"/>
          <w:kern w:val="2"/>
          <w:szCs w:val="32"/>
          <w:lang w:bidi="ar-SA"/>
        </w:rPr>
        <w:t>十三、财政拨款“三公”经费支出决算表</w:t>
      </w:r>
      <w:r>
        <w:tab/>
      </w:r>
      <w:r>
        <w:fldChar w:fldCharType="begin"/>
      </w:r>
      <w:r>
        <w:instrText xml:space="preserve"> PAGEREF _Toc26255 \h </w:instrText>
      </w:r>
      <w:r>
        <w:fldChar w:fldCharType="separate"/>
      </w:r>
      <w:r>
        <w:t>29</w:t>
      </w:r>
      <w:r>
        <w:fldChar w:fldCharType="end"/>
      </w:r>
      <w:r>
        <w:rPr>
          <w:caps w:val="0"/>
          <w:smallCaps/>
          <w:szCs w:val="20"/>
        </w:rPr>
        <w:fldChar w:fldCharType="end"/>
      </w:r>
    </w:p>
    <w:p>
      <w:pPr>
        <w:pStyle w:val="5"/>
        <w:rPr>
          <w:rFonts w:hint="eastAsia" w:ascii="黑体" w:hAnsi="黑体" w:eastAsia="黑体" w:cs="黑体"/>
        </w:rPr>
      </w:pPr>
      <w:r>
        <w:rPr>
          <w:caps w:val="0"/>
          <w:smallCaps/>
          <w:szCs w:val="20"/>
        </w:rPr>
        <w:fldChar w:fldCharType="end"/>
      </w:r>
      <w:bookmarkStart w:id="13" w:name="_Toc111208495"/>
      <w:bookmarkStart w:id="14" w:name="_Toc23038"/>
    </w:p>
    <w:p>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15" w:name="_Toc24880"/>
      <w:r>
        <w:rPr>
          <w:rStyle w:val="24"/>
          <w:rFonts w:hint="eastAsia" w:ascii="方正公文小标宋" w:hAnsi="方正公文小标宋" w:eastAsia="方正公文小标宋" w:cs="方正公文小标宋"/>
          <w:b/>
          <w:bCs/>
        </w:rPr>
        <w:t>第一部分 部门概况</w:t>
      </w:r>
      <w:bookmarkEnd w:id="12"/>
      <w:bookmarkEnd w:id="13"/>
      <w:bookmarkEnd w:id="14"/>
      <w:bookmarkEnd w:id="15"/>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eastAsia="zh-CN"/>
        </w:rPr>
      </w:pPr>
      <w:bookmarkStart w:id="16" w:name="_Toc15377197"/>
      <w:bookmarkStart w:id="17" w:name="_Toc79163602"/>
      <w:bookmarkStart w:id="18" w:name="_Toc10216"/>
      <w:bookmarkStart w:id="19" w:name="_Toc25800"/>
      <w:bookmarkStart w:id="20" w:name="_Toc15396600"/>
      <w:bookmarkStart w:id="21" w:name="_Toc17003"/>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31514"/>
      <w:bookmarkStart w:id="24" w:name="_Toc153772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1.贯彻执行党的路线、方针、政策以及中央、省委、州委和县委的决议、决定和工作的部署，协助县委领导处理县委日常工作，协调镇和部门工作，沟通上下左右联系；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b/>
          <w:bCs w:val="0"/>
          <w:color w:val="000000"/>
          <w:sz w:val="32"/>
          <w:szCs w:val="32"/>
        </w:rPr>
      </w:pPr>
      <w:r>
        <w:rPr>
          <w:rFonts w:hint="eastAsia" w:ascii="仿宋_GB2312" w:eastAsia="仿宋_GB2312" w:cs="仿宋_GB2312"/>
          <w:sz w:val="32"/>
          <w:szCs w:val="32"/>
        </w:rPr>
        <w:t>9.承办县委领导和上级业务部门交办的其他工作。</w:t>
      </w:r>
    </w:p>
    <w:bookmarkEnd w:id="23"/>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eastAsia="zh-CN"/>
        </w:rPr>
      </w:pPr>
      <w:bookmarkStart w:id="25" w:name="_Toc8794"/>
      <w:bookmarkStart w:id="26" w:name="_Toc111208497"/>
      <w:bookmarkStart w:id="27" w:name="_Toc2743"/>
      <w:r>
        <w:rPr>
          <w:rFonts w:hint="eastAsia" w:ascii="黑体" w:eastAsia="黑体" w:cs="Times New Roman"/>
          <w:b w:val="0"/>
          <w:color w:val="000000"/>
        </w:rPr>
        <w:t>二、机构设置</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28" w:name="_Toc9366"/>
      <w:bookmarkStart w:id="29" w:name="_Toc9242"/>
      <w:bookmarkStart w:id="30" w:name="_Toc31540"/>
      <w:bookmarkStart w:id="31" w:name="_Toc10545"/>
      <w:r>
        <w:rPr>
          <w:rFonts w:hint="eastAsia" w:ascii="仿宋_GB2312" w:hAnsi="仿宋_GB2312" w:eastAsia="仿宋_GB2312" w:cs="仿宋_GB2312"/>
          <w:sz w:val="32"/>
          <w:szCs w:val="32"/>
        </w:rPr>
        <w:t>县委办下属二级单位0个，其中行政单位0个，参照公务员法管理的事业单位0个，其他事业单位0个。</w:t>
      </w:r>
      <w:bookmarkEnd w:id="27"/>
      <w:bookmarkEnd w:id="28"/>
      <w:bookmarkEnd w:id="29"/>
      <w:bookmarkEnd w:id="30"/>
      <w:bookmarkEnd w:id="31"/>
      <w:bookmarkStart w:id="32" w:name="_Toc111208498"/>
      <w:bookmarkStart w:id="33" w:name="_Toc4756"/>
    </w:p>
    <w:p>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34" w:name="_Toc28635"/>
      <w:r>
        <w:rPr>
          <w:rStyle w:val="24"/>
          <w:rFonts w:hint="eastAsia" w:ascii="方正公文小标宋" w:hAnsi="方正公文小标宋" w:eastAsia="方正公文小标宋" w:cs="方正公文小标宋"/>
          <w:b/>
          <w:bCs/>
        </w:rPr>
        <w:t>第二部分 202</w:t>
      </w:r>
      <w:r>
        <w:rPr>
          <w:rStyle w:val="24"/>
          <w:rFonts w:hint="eastAsia" w:ascii="方正公文小标宋" w:hAnsi="方正公文小标宋" w:eastAsia="方正公文小标宋" w:cs="方正公文小标宋"/>
          <w:b/>
          <w:bCs/>
          <w:lang w:val="en-US" w:eastAsia="zh-CN"/>
        </w:rPr>
        <w:t>4</w:t>
      </w:r>
      <w:r>
        <w:rPr>
          <w:rStyle w:val="24"/>
          <w:rFonts w:hint="eastAsia" w:ascii="方正公文小标宋" w:hAnsi="方正公文小标宋" w:eastAsia="方正公文小标宋" w:cs="方正公文小标宋"/>
          <w:b/>
          <w:bCs/>
        </w:rPr>
        <w:t>年度部门决算情况说明</w:t>
      </w:r>
      <w:bookmarkEnd w:id="22"/>
      <w:bookmarkEnd w:id="32"/>
      <w:bookmarkEnd w:id="33"/>
      <w:bookmarkEnd w:id="34"/>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35" w:name="_Toc15377205"/>
      <w:bookmarkStart w:id="36" w:name="_Toc26705"/>
      <w:bookmarkStart w:id="37" w:name="_Toc5851"/>
      <w:bookmarkStart w:id="38" w:name="_Toc111208499"/>
      <w:r>
        <w:rPr>
          <w:rFonts w:hint="eastAsia" w:ascii="黑体" w:eastAsia="黑体" w:cs="Times New Roman"/>
          <w:b w:val="0"/>
          <w:color w:val="000000"/>
          <w:lang w:val="en-US" w:eastAsia="zh-CN"/>
        </w:rPr>
        <w:t>一、收入支出决算总体情况说</w:t>
      </w:r>
      <w:bookmarkEnd w:id="35"/>
      <w:r>
        <w:rPr>
          <w:rFonts w:hint="eastAsia" w:ascii="黑体" w:eastAsia="黑体" w:cs="Times New Roman"/>
          <w:b w:val="0"/>
          <w:color w:val="000000"/>
          <w:lang w:val="en-US" w:eastAsia="zh-CN"/>
        </w:rPr>
        <w:t>明</w:t>
      </w:r>
      <w:bookmarkEnd w:id="36"/>
      <w:bookmarkEnd w:id="37"/>
      <w:bookmarkEnd w:id="38"/>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2024年度收、支总计均为1293.65万元。与2023年度相比，收、支总计各增加25.85万元，增长2%。主要变动原因是：人员增加，人员经费及项目经费增多。</w:t>
      </w:r>
    </w:p>
    <w:p>
      <w:pPr>
        <w:pStyle w:val="5"/>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5"/>
        <w:rPr>
          <w:rFonts w:hint="eastAsia" w:ascii="仿宋_GB2312" w:eastAsia="仿宋_GB2312"/>
          <w:color w:val="000000"/>
          <w:sz w:val="32"/>
          <w:szCs w:val="32"/>
        </w:rPr>
      </w:pPr>
    </w:p>
    <w:p>
      <w:pPr>
        <w:pStyle w:val="5"/>
        <w:rPr>
          <w:rFonts w:hint="eastAsia" w:ascii="仿宋_GB2312" w:eastAsia="仿宋_GB2312"/>
          <w:color w:val="000000"/>
          <w:sz w:val="32"/>
          <w:szCs w:val="32"/>
        </w:rPr>
      </w:pPr>
    </w:p>
    <w:p>
      <w:pPr>
        <w:pStyle w:val="5"/>
        <w:rPr>
          <w:rFonts w:hint="eastAsia" w:ascii="仿宋_GB2312" w:eastAsia="仿宋_GB2312"/>
          <w:color w:val="000000"/>
          <w:sz w:val="32"/>
          <w:szCs w:val="32"/>
        </w:rPr>
      </w:pPr>
    </w:p>
    <w:p>
      <w:pPr>
        <w:pStyle w:val="5"/>
        <w:rPr>
          <w:rFonts w:hint="eastAsia" w:ascii="仿宋_GB2312" w:eastAsia="仿宋_GB2312"/>
          <w:color w:val="000000"/>
          <w:sz w:val="32"/>
          <w:szCs w:val="32"/>
        </w:rPr>
      </w:pPr>
    </w:p>
    <w:p>
      <w:pPr>
        <w:pStyle w:val="5"/>
        <w:rPr>
          <w:rFonts w:hint="eastAsia" w:ascii="仿宋_GB2312" w:eastAsia="仿宋_GB2312"/>
          <w:color w:val="000000"/>
          <w:sz w:val="32"/>
          <w:szCs w:val="32"/>
        </w:rPr>
      </w:pPr>
    </w:p>
    <w:p>
      <w:pPr>
        <w:pStyle w:val="3"/>
        <w:rPr>
          <w:rFonts w:hint="eastAsia" w:ascii="黑体" w:eastAsia="黑体" w:cs="Times New Roman"/>
          <w:b w:val="0"/>
          <w:bCs/>
          <w:color w:val="000000"/>
        </w:rPr>
      </w:pPr>
      <w:bookmarkStart w:id="39" w:name="_Toc111208500"/>
      <w:bookmarkStart w:id="40" w:name="_Toc15377206"/>
      <w:bookmarkStart w:id="41" w:name="_Toc25746"/>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42" w:name="_Toc11522"/>
      <w:r>
        <w:rPr>
          <w:rFonts w:hint="eastAsia" w:ascii="黑体" w:eastAsia="黑体" w:cs="Times New Roman"/>
          <w:b w:val="0"/>
          <w:color w:val="000000"/>
          <w:lang w:val="en-US" w:eastAsia="zh-CN"/>
        </w:rPr>
        <w:t>二、收入决算情况说明</w:t>
      </w:r>
      <w:bookmarkEnd w:id="39"/>
      <w:bookmarkEnd w:id="40"/>
      <w:bookmarkEnd w:id="41"/>
      <w:bookmarkEnd w:id="42"/>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2024年本年收入合计1293.65万元，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1293.65</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Style w:val="16"/>
        <w:jc w:val="center"/>
      </w:pPr>
      <w:r>
        <w:rPr>
          <w:rFonts w:hint="eastAsia" w:ascii="仿宋_GB2312" w:eastAsia="仿宋_GB2312"/>
          <w:color w:val="FF0000"/>
          <w:sz w:val="32"/>
          <w:szCs w:val="32"/>
        </w:rPr>
        <w:drawing>
          <wp:inline distT="0" distB="0" distL="114300" distR="114300">
            <wp:extent cx="4599940" cy="2667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43" w:name="_Toc111208501"/>
      <w:bookmarkStart w:id="44" w:name="_Toc26388"/>
      <w:bookmarkStart w:id="45" w:name="_Toc23557"/>
      <w:bookmarkStart w:id="46" w:name="_Toc15377207"/>
      <w:r>
        <w:rPr>
          <w:rFonts w:hint="eastAsia" w:ascii="黑体" w:eastAsia="黑体" w:cs="Times New Roman"/>
          <w:b w:val="0"/>
          <w:color w:val="000000"/>
          <w:lang w:val="en-US" w:eastAsia="zh-CN"/>
        </w:rPr>
        <w:t>三、支出决算情况说明</w:t>
      </w:r>
      <w:bookmarkEnd w:id="43"/>
      <w:bookmarkEnd w:id="44"/>
      <w:bookmarkEnd w:id="45"/>
      <w:bookmarkEnd w:id="46"/>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2024年本年支出合计1293.65万元，其中：基本支出1085.65万元，占83.9%；项目支出208.00万元，占16.1%。</w:t>
      </w:r>
    </w:p>
    <w:p>
      <w:pPr>
        <w:jc w:val="center"/>
      </w:pPr>
      <w:r>
        <w:rPr>
          <w:rFonts w:hint="eastAsia" w:ascii="仿宋_GB2312" w:eastAsia="仿宋_GB2312"/>
          <w:color w:val="FF0000"/>
          <w:sz w:val="32"/>
          <w:szCs w:val="32"/>
          <w:lang w:eastAsia="zh-CN"/>
        </w:rPr>
        <w:drawing>
          <wp:inline distT="0" distB="0" distL="114300" distR="114300">
            <wp:extent cx="4013835" cy="2363470"/>
            <wp:effectExtent l="4445" t="4445" r="20320" b="13335"/>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47" w:name="_Toc15377208"/>
      <w:bookmarkStart w:id="48" w:name="_Toc452"/>
      <w:bookmarkStart w:id="49" w:name="_Toc111208502"/>
      <w:bookmarkStart w:id="50" w:name="_Toc27304"/>
      <w:r>
        <w:rPr>
          <w:rFonts w:hint="eastAsia" w:ascii="黑体" w:eastAsia="黑体" w:cs="Times New Roman"/>
          <w:b w:val="0"/>
          <w:color w:val="000000"/>
          <w:lang w:val="en-US" w:eastAsia="zh-CN"/>
        </w:rPr>
        <w:t>四、财政拨款收入支出决算总体情况说明</w:t>
      </w:r>
      <w:bookmarkEnd w:id="47"/>
      <w:bookmarkEnd w:id="48"/>
      <w:bookmarkEnd w:id="49"/>
      <w:bookmarkEnd w:id="50"/>
    </w:p>
    <w:p>
      <w:pPr>
        <w:bidi w:val="0"/>
        <w:ind w:firstLine="640" w:firstLineChars="200"/>
        <w:rPr>
          <w:rFonts w:hint="eastAsia" w:ascii="仿宋_GB2312" w:hAnsi="仿宋_GB2312" w:eastAsia="仿宋_GB2312" w:cs="仿宋_GB2312"/>
          <w:sz w:val="32"/>
          <w:szCs w:val="32"/>
          <w:lang w:val="en-US" w:eastAsia="zh-CN"/>
        </w:rPr>
      </w:pPr>
      <w:bookmarkStart w:id="51" w:name="_Toc14723"/>
      <w:bookmarkStart w:id="52" w:name="_Toc8781"/>
      <w:bookmarkStart w:id="53" w:name="_Toc10398"/>
      <w:r>
        <w:rPr>
          <w:rFonts w:hint="eastAsia" w:ascii="仿宋_GB2312" w:hAnsi="仿宋_GB2312" w:eastAsia="仿宋_GB2312" w:cs="仿宋_GB2312"/>
          <w:sz w:val="32"/>
          <w:szCs w:val="32"/>
          <w:lang w:val="en-US" w:eastAsia="zh-CN"/>
        </w:rPr>
        <w:t>2024年财政拨款收、支总计1293.65万元。与2023年相比，财政拨款收、支总计各增加25.85万元，增长2%。主要变动原因是：人员增加，人员经费及项目经费增多。</w:t>
      </w:r>
      <w:bookmarkEnd w:id="51"/>
      <w:bookmarkEnd w:id="52"/>
      <w:bookmarkEnd w:id="53"/>
    </w:p>
    <w:p>
      <w:pPr>
        <w:pStyle w:val="5"/>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5"/>
        <w:jc w:val="left"/>
      </w:pPr>
    </w:p>
    <w:p>
      <w:pPr>
        <w:pStyle w:val="5"/>
        <w:jc w:val="left"/>
      </w:pPr>
    </w:p>
    <w:p>
      <w:pPr>
        <w:pStyle w:val="5"/>
        <w:jc w:val="left"/>
      </w:pPr>
    </w:p>
    <w:p>
      <w:pPr>
        <w:pStyle w:val="5"/>
        <w:jc w:val="left"/>
      </w:pPr>
    </w:p>
    <w:p>
      <w:pPr>
        <w:pStyle w:val="5"/>
        <w:jc w:val="left"/>
      </w:pPr>
    </w:p>
    <w:p>
      <w:pPr>
        <w:pStyle w:val="5"/>
        <w:jc w:val="left"/>
      </w:pPr>
    </w:p>
    <w:p>
      <w:pPr>
        <w:pStyle w:val="5"/>
        <w:jc w:val="left"/>
      </w:pPr>
    </w:p>
    <w:p>
      <w:pPr>
        <w:pStyle w:val="3"/>
        <w:ind w:firstLine="640" w:firstLineChars="200"/>
        <w:rPr>
          <w:rFonts w:hint="eastAsia" w:ascii="黑体" w:eastAsia="黑体" w:cs="Times New Roman"/>
          <w:b w:val="0"/>
          <w:bCs/>
          <w:color w:val="000000"/>
        </w:rPr>
      </w:pPr>
      <w:bookmarkStart w:id="54" w:name="_Toc15377209"/>
      <w:bookmarkStart w:id="55" w:name="_Toc11217"/>
      <w:bookmarkStart w:id="56" w:name="_Toc111208503"/>
      <w:bookmarkStart w:id="57" w:name="_Toc15377211"/>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58" w:name="_Toc8864"/>
      <w:r>
        <w:rPr>
          <w:rFonts w:hint="eastAsia" w:ascii="黑体" w:eastAsia="黑体" w:cs="Times New Roman"/>
          <w:b w:val="0"/>
          <w:color w:val="000000"/>
          <w:lang w:val="en-US" w:eastAsia="zh-CN"/>
        </w:rPr>
        <w:t>五、一般公共预算财政拨款支出决算情况说</w:t>
      </w:r>
      <w:bookmarkEnd w:id="54"/>
      <w:r>
        <w:rPr>
          <w:rFonts w:hint="eastAsia" w:ascii="黑体" w:eastAsia="黑体" w:cs="Times New Roman"/>
          <w:b w:val="0"/>
          <w:color w:val="000000"/>
          <w:lang w:val="en-US" w:eastAsia="zh-CN"/>
        </w:rPr>
        <w:t>明</w:t>
      </w:r>
      <w:bookmarkEnd w:id="55"/>
      <w:bookmarkEnd w:id="56"/>
      <w:bookmarkEnd w:id="58"/>
    </w:p>
    <w:p>
      <w:pPr>
        <w:spacing w:line="600" w:lineRule="exact"/>
        <w:ind w:firstLine="642" w:firstLineChars="200"/>
        <w:outlineLvl w:val="2"/>
        <w:rPr>
          <w:rFonts w:hint="eastAsia" w:ascii="楷体_GB2312" w:eastAsia="楷体_GB2312" w:cs="楷体_GB2312"/>
          <w:b/>
          <w:bCs w:val="0"/>
          <w:color w:val="000000"/>
          <w:sz w:val="32"/>
          <w:szCs w:val="32"/>
        </w:rPr>
      </w:pPr>
      <w:bookmarkStart w:id="59" w:name="_Toc15377210"/>
      <w:r>
        <w:rPr>
          <w:rFonts w:hint="eastAsia" w:ascii="楷体_GB2312" w:eastAsia="楷体_GB2312" w:cs="楷体_GB2312"/>
          <w:b/>
          <w:bCs w:val="0"/>
          <w:color w:val="000000"/>
          <w:sz w:val="32"/>
          <w:szCs w:val="32"/>
        </w:rPr>
        <w:t>（一）一般公共预算财政拨款支出决算总体情况</w:t>
      </w:r>
      <w:bookmarkEnd w:id="5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color w:val="000000"/>
          <w:sz w:val="32"/>
          <w:szCs w:val="32"/>
          <w:lang w:val="en-US" w:eastAsia="zh-CN"/>
        </w:rPr>
        <w:t>1293.65</w:t>
      </w:r>
      <w:r>
        <w:rPr>
          <w:rFonts w:hint="eastAsia" w:ascii="仿宋_GB2312" w:eastAsia="仿宋_GB2312" w:cs="仿宋_GB2312"/>
          <w:color w:val="000000"/>
          <w:kern w:val="2"/>
          <w:sz w:val="32"/>
          <w:szCs w:val="32"/>
          <w:lang w:val="en-US" w:eastAsia="zh-CN" w:bidi="ar-SA"/>
        </w:rPr>
        <w:t>万元，占本年支出合计的100%。与2023年相比，一般公共预算财政拨款</w:t>
      </w:r>
      <w:r>
        <w:rPr>
          <w:rFonts w:hint="eastAsia" w:ascii="仿宋" w:eastAsia="仿宋"/>
          <w:color w:val="auto"/>
          <w:sz w:val="32"/>
          <w:szCs w:val="32"/>
          <w:highlight w:val="none"/>
          <w:lang w:eastAsia="zh-CN"/>
        </w:rPr>
        <w:t>增长</w:t>
      </w:r>
      <w:r>
        <w:rPr>
          <w:rFonts w:hint="eastAsia" w:ascii="仿宋" w:eastAsia="仿宋"/>
          <w:color w:val="auto"/>
          <w:sz w:val="32"/>
          <w:szCs w:val="32"/>
          <w:highlight w:val="none"/>
          <w:lang w:val="en-US" w:eastAsia="zh-CN"/>
        </w:rPr>
        <w:t>2</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：人员增加，人员经费及项目经费增多。</w:t>
      </w:r>
    </w:p>
    <w:p>
      <w:pPr>
        <w:pStyle w:val="5"/>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039360" cy="2429510"/>
            <wp:effectExtent l="4445" t="4445" r="23495" b="2349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p>
      <w:pPr>
        <w:pStyle w:val="5"/>
        <w:ind w:firstLine="0"/>
        <w:rPr>
          <w:rFonts w:ascii="仿宋_GB2312" w:eastAsia="仿宋_GB2312"/>
          <w:b/>
          <w:color w:val="000000"/>
          <w:sz w:val="32"/>
          <w:szCs w:val="32"/>
        </w:rPr>
      </w:pPr>
    </w:p>
    <w:bookmarkEnd w:id="57"/>
    <w:p>
      <w:pPr>
        <w:spacing w:line="600" w:lineRule="exact"/>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color w:val="000000"/>
          <w:sz w:val="32"/>
          <w:szCs w:val="32"/>
          <w:lang w:val="en-US" w:eastAsia="zh-CN"/>
        </w:rPr>
        <w:t>1293.65</w:t>
      </w:r>
      <w:r>
        <w:rPr>
          <w:rFonts w:hint="eastAsia" w:ascii="仿宋_GB2312" w:eastAsia="仿宋_GB2312" w:cs="仿宋_GB2312"/>
          <w:color w:val="000000"/>
          <w:kern w:val="2"/>
          <w:sz w:val="32"/>
          <w:szCs w:val="32"/>
          <w:lang w:val="en-US" w:eastAsia="zh-CN" w:bidi="ar-SA"/>
        </w:rPr>
        <w:t>万元，主要用于以下方面:一般公共服务支出1016.83万元，占78.6%；社会保障和就业支出139.23万元，占10.8%；卫生健康支出60.30万元，占4.7%；住房保障支出77.29万元，占6%。</w:t>
      </w:r>
    </w:p>
    <w:p>
      <w:pPr>
        <w:pStyle w:val="5"/>
        <w:ind w:left="0" w:leftChars="0" w:firstLine="0" w:firstLineChars="0"/>
      </w:pPr>
      <w:bookmarkStart w:id="60" w:name="_Toc15377212"/>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5"/>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（三）一般公共预算财政拨款支出决算具体情况</w:t>
      </w:r>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61" w:name="_Toc15377213"/>
      <w:bookmarkStart w:id="62" w:name="_Toc15377444"/>
      <w:bookmarkStart w:id="63" w:name="_Toc15378460"/>
      <w:r>
        <w:rPr>
          <w:rFonts w:hint="eastAsia" w:ascii="仿宋_GB2312" w:eastAsia="仿宋_GB2312" w:cs="仿宋_GB2312"/>
          <w:color w:val="000000"/>
          <w:kern w:val="2"/>
          <w:sz w:val="32"/>
          <w:szCs w:val="32"/>
          <w:lang w:val="en-US" w:eastAsia="zh-CN" w:bidi="ar-SA"/>
        </w:rPr>
        <w:t>2024年一般公共预算支出决算数为</w:t>
      </w:r>
      <w:r>
        <w:rPr>
          <w:rFonts w:hint="eastAsia" w:ascii="仿宋_GB2312" w:eastAsia="仿宋_GB2312" w:cs="仿宋_GB2312"/>
          <w:color w:val="000000"/>
          <w:sz w:val="32"/>
          <w:szCs w:val="32"/>
          <w:lang w:val="en-US" w:eastAsia="zh-CN"/>
        </w:rPr>
        <w:t>1293.65</w:t>
      </w:r>
      <w:r>
        <w:rPr>
          <w:rFonts w:hint="eastAsia" w:ascii="仿宋_GB2312" w:eastAsia="仿宋_GB2312" w:cs="仿宋_GB2312"/>
          <w:color w:val="000000"/>
          <w:kern w:val="2"/>
          <w:sz w:val="32"/>
          <w:szCs w:val="32"/>
          <w:lang w:val="en-US" w:eastAsia="zh-CN" w:bidi="ar-SA"/>
        </w:rPr>
        <w:t>万元，完成预算100%。其中：</w:t>
      </w:r>
      <w:bookmarkEnd w:id="61"/>
      <w:bookmarkEnd w:id="62"/>
      <w:bookmarkEnd w:id="63"/>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一般公共服务支出（201）党委办公厅（室）及相关机构事务（31）行政运行（01）支出决算682.16万元，完成预算100%，决算数与预算数持平。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lang w:val="en-US" w:eastAsia="zh-CN"/>
        </w:rPr>
      </w:pPr>
      <w:r>
        <w:rPr>
          <w:rFonts w:hint="eastAsia" w:ascii="仿宋_GB2312" w:eastAsia="仿宋_GB2312" w:cs="仿宋_GB2312"/>
          <w:color w:val="000000"/>
          <w:kern w:val="2"/>
          <w:sz w:val="32"/>
          <w:szCs w:val="32"/>
          <w:lang w:val="en-US" w:eastAsia="zh-CN" w:bidi="ar-SA"/>
        </w:rPr>
        <w:t>2.一般公共服务支出（201）党委办公厅（室）及相关机构事务（31）事业运行（50）支出决算126.67万元，完成预算100%，决算数与预算数持平。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3.一般公共服务支出（201）党委办公厅（室）及相关机构事务（31）一般行政事务管理（02）支出决算208.00万元，完成预算100%，决算数与预算数持平。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4.社会保障和就业支出（208）行政事业单位养老支出（05）机关事业单位基本养老保险缴费支出（05）支出决算98.82万元，完成预算100%，决算数与预算数持平。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5.社会保障和就业支出（208）行政事业单位养老支出（05）机关事业单位职业年金缴费支出（06）支出决算46.41万元，完成预算100%，决算数与预算数持平。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6.卫生健康支出（210）行政事业单位医疗（11）行政单位医疗（01）支出决算50.39万元，完成预算100%，决算数与预算数持平。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7.卫生健康支出（210）行政事业单位医疗（11）事业单位医疗（02）支出决算9.91万元，完成预算100%，决算数与预算数持平。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8.住房保障支出（221）住房改革支出（02）住房公积金（01）支出决算76.09万元，完成预算100%，决算数与预算数持平。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cs="仿宋_GB2312"/>
          <w:color w:val="000000"/>
          <w:kern w:val="2"/>
          <w:sz w:val="32"/>
          <w:szCs w:val="32"/>
          <w:lang w:val="en-US" w:eastAsia="zh-CN" w:bidi="ar-SA"/>
        </w:rPr>
        <w:t>9.住房保障支出（221）住房改革支出（02）购房补贴（03）支出决算1.20万元，完成预算100%，决算数与预算数持平。</w:t>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64" w:name="_Toc15377214"/>
      <w:bookmarkStart w:id="65" w:name="_Toc19060"/>
      <w:bookmarkStart w:id="66" w:name="_Toc32028"/>
      <w:bookmarkStart w:id="67" w:name="_Toc111208504"/>
      <w:r>
        <w:rPr>
          <w:rFonts w:hint="eastAsia" w:ascii="黑体" w:eastAsia="黑体" w:cs="Times New Roman"/>
          <w:b w:val="0"/>
          <w:color w:val="000000"/>
          <w:lang w:val="en-US" w:eastAsia="zh-CN"/>
        </w:rPr>
        <w:t>六、一般公共预算财政拨款基本支出决算情况说</w:t>
      </w:r>
      <w:bookmarkEnd w:id="64"/>
      <w:r>
        <w:rPr>
          <w:rFonts w:hint="eastAsia" w:ascii="黑体" w:eastAsia="黑体" w:cs="Times New Roman"/>
          <w:b w:val="0"/>
          <w:color w:val="000000"/>
          <w:lang w:val="en-US" w:eastAsia="zh-CN"/>
        </w:rPr>
        <w:t>明</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2024年度一般公共预算财政拨款基本支出1085.65万元，其中：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974.55万元，主要包括：基本工资214.44万元、津贴补贴168.88万元、奖金206.99万元、绩效工资74.21万元、机关事业单位基本养老保险缴费92.82万元、职业年金缴费46.41万元、职工基本医疗保险缴费60.30万元、其他社会保障缴费11.47万元、住房公积金76.09万元、医疗费9.76万元、生活补助13.14万元、奖励金0.05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公用经费111.10万元，主要包括：办公费22.00万元、邮电费3.00万元、差旅费13.29万元、培训费0.88万元、因公出国（境）费用0.00万元、公务接待费0.35万元、公务用车运行维护费71.58万元，公车购置费0.00万元。</w:t>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68" w:name="_Toc12723"/>
      <w:bookmarkStart w:id="69" w:name="_Toc111208505"/>
      <w:bookmarkStart w:id="70" w:name="_Toc8600"/>
      <w:bookmarkStart w:id="71" w:name="_Toc15377215"/>
      <w:r>
        <w:rPr>
          <w:rFonts w:hint="eastAsia" w:ascii="黑体" w:eastAsia="黑体" w:cs="Times New Roman"/>
          <w:b w:val="0"/>
          <w:color w:val="000000"/>
          <w:lang w:val="en-US" w:eastAsia="zh-CN"/>
        </w:rPr>
        <w:t>七、“三公”经费财政拨款支出决算情况说明</w:t>
      </w:r>
      <w:bookmarkEnd w:id="68"/>
      <w:bookmarkEnd w:id="69"/>
      <w:bookmarkEnd w:id="70"/>
      <w:bookmarkEnd w:id="71"/>
    </w:p>
    <w:p>
      <w:pPr>
        <w:spacing w:line="600" w:lineRule="exact"/>
        <w:ind w:firstLine="642" w:firstLineChars="200"/>
        <w:outlineLvl w:val="2"/>
        <w:rPr>
          <w:rFonts w:hint="eastAsia" w:ascii="楷体_GB2312" w:eastAsia="楷体_GB2312" w:cs="楷体_GB2312"/>
          <w:b/>
          <w:color w:val="000000"/>
          <w:sz w:val="32"/>
          <w:szCs w:val="32"/>
          <w:lang w:val="en-US" w:eastAsia="zh-CN"/>
        </w:rPr>
      </w:pPr>
      <w:bookmarkStart w:id="72" w:name="_Toc15377216"/>
      <w:r>
        <w:rPr>
          <w:rFonts w:hint="eastAsia" w:ascii="楷体_GB2312" w:eastAsia="楷体_GB2312" w:cs="楷体_GB2312"/>
          <w:b/>
          <w:color w:val="000000"/>
          <w:sz w:val="32"/>
          <w:szCs w:val="32"/>
          <w:lang w:val="en-US" w:eastAsia="zh-CN"/>
        </w:rPr>
        <w:t>（一）“三公”经费财政拨款支出决算总体情况说明</w:t>
      </w:r>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2024年“三公”经费财政拨款支出决算为71.93万元，完成预算100%。</w:t>
      </w:r>
      <w:bookmarkStart w:id="73" w:name="_Toc15377217"/>
      <w:r>
        <w:rPr>
          <w:rFonts w:hint="eastAsia" w:ascii="仿宋_GB2312" w:eastAsia="仿宋_GB2312" w:cs="仿宋_GB2312"/>
          <w:color w:val="000000"/>
          <w:kern w:val="2"/>
          <w:sz w:val="32"/>
          <w:szCs w:val="32"/>
          <w:lang w:val="en-US" w:eastAsia="zh-CN" w:bidi="ar-SA"/>
        </w:rPr>
        <w:t>较上年度减少31.24万元，下降30.3%，主要原因是：厉行节约，压缩公车运行维护费支出。</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024年“三公”经费财政拨款支出71.93万，因公出国（境）费支出决算0.00万元、占0%；公务用车购置费0.00万元，占0%；公车运行维护费支出决算71.58万元，占99.5%；公务接待费支出决算0.35万元，占0.5%。具体情况如下：</w:t>
      </w:r>
    </w:p>
    <w:p>
      <w:pPr>
        <w:pStyle w:val="5"/>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4547870" cy="2639060"/>
            <wp:effectExtent l="4445" t="4445" r="19685" b="23495"/>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1.因公出国（境）经费支出0.00万元。全年安排因公出国（境）团组0次，出国（境）0人。因公出国（境）支出决算与2023年相比无变化。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2.公务用车购置费0.00万元,公务用车购置支出决算与2023年相比减少0.00万元。公车运行维护费71.58万元，完成预算100%，减少16.2%。主要原因是：压缩公车运行维护费支出。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万元。全年按规定更新购置公务用车0辆，其中：轿车0辆、金额0万元，越野车0辆、金额0万元，载客汽车0辆、金额0万元。截至2024年12月底，单位共有公务用车8辆，其中：轿车0辆、越野车8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公务用车运行维护费支出71.58万元（公务用车购置费0万元）。主要用于单位公务用车日常维修维护。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3.公务接待费支出0.35万元，完成预算100%。公务接待费支出决算与2023年相比增加0.12万元，增长52.8%。</w:t>
      </w:r>
      <w:bookmarkStart w:id="74" w:name="_Toc15377218"/>
      <w:r>
        <w:rPr>
          <w:rFonts w:hint="eastAsia" w:ascii="仿宋_GB2312" w:eastAsia="仿宋_GB2312" w:cs="仿宋_GB2312"/>
          <w:color w:val="000000"/>
          <w:kern w:val="2"/>
          <w:sz w:val="32"/>
          <w:szCs w:val="32"/>
          <w:lang w:val="en-US" w:eastAsia="zh-CN" w:bidi="ar-SA"/>
        </w:rPr>
        <w:t xml:space="preserve">主要原因是：2024年业务活动增加。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国内公务接待支出0.35万元。国内公务接待3批次，38人次（不包括陪同人员），共计支出0.23万元。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外事接待支出0.00万元，外事接待0批次，0人，共计支出0.00万元。</w:t>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75" w:name="_Toc111208506"/>
      <w:bookmarkStart w:id="76" w:name="_Toc9713"/>
      <w:bookmarkStart w:id="77" w:name="_Toc9979"/>
      <w:r>
        <w:rPr>
          <w:rFonts w:hint="eastAsia" w:ascii="黑体" w:eastAsia="黑体" w:cs="Times New Roman"/>
          <w:b w:val="0"/>
          <w:color w:val="000000"/>
          <w:lang w:val="en-US" w:eastAsia="zh-CN"/>
        </w:rPr>
        <w:t>八、政府性基金预算支出决算情况说明</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2024年政府性基金预算拨款支出0.00万元。</w:t>
      </w:r>
      <w:bookmarkStart w:id="78" w:name="_Toc15377219"/>
      <w:r>
        <w:rPr>
          <w:rFonts w:hint="eastAsia" w:ascii="仿宋_GB2312" w:eastAsia="仿宋_GB2312" w:cs="仿宋_GB2312"/>
          <w:color w:val="000000"/>
          <w:kern w:val="2"/>
          <w:sz w:val="32"/>
          <w:szCs w:val="32"/>
          <w:lang w:val="en-US" w:eastAsia="zh-CN" w:bidi="ar-SA"/>
        </w:rPr>
        <w:t>与2023年相比无变化。</w:t>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79" w:name="_Toc14515"/>
      <w:bookmarkStart w:id="80" w:name="_Toc19072"/>
      <w:bookmarkStart w:id="81" w:name="_Toc111208507"/>
      <w:r>
        <w:rPr>
          <w:rFonts w:hint="eastAsia" w:ascii="黑体" w:eastAsia="黑体" w:cs="Times New Roman"/>
          <w:b w:val="0"/>
          <w:color w:val="000000"/>
          <w:lang w:val="en-US" w:eastAsia="zh-CN"/>
        </w:rPr>
        <w:t>九、国有资本经营预算支出决算情况说明</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2024年国有资本经营预算拨款支出0.00万元。与2023年相比无变化。</w:t>
      </w:r>
    </w:p>
    <w:p>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82" w:name="_Toc24656"/>
      <w:bookmarkStart w:id="83" w:name="_Toc15377221"/>
      <w:bookmarkStart w:id="84" w:name="_Toc10670"/>
      <w:bookmarkStart w:id="85" w:name="_Toc111208508"/>
      <w:r>
        <w:rPr>
          <w:rFonts w:hint="eastAsia" w:ascii="黑体" w:eastAsia="黑体" w:cs="Times New Roman"/>
          <w:b w:val="0"/>
          <w:color w:val="000000"/>
          <w:lang w:val="en-US" w:eastAsia="zh-CN"/>
        </w:rPr>
        <w:t>十、其他重要事项的情况说明</w:t>
      </w:r>
      <w:bookmarkEnd w:id="82"/>
      <w:bookmarkEnd w:id="83"/>
      <w:bookmarkEnd w:id="84"/>
      <w:bookmarkEnd w:id="85"/>
      <w:bookmarkStart w:id="86" w:name="_Toc15377222"/>
    </w:p>
    <w:p>
      <w:pPr>
        <w:spacing w:line="600" w:lineRule="exact"/>
        <w:ind w:firstLine="642" w:firstLineChars="200"/>
        <w:outlineLvl w:val="2"/>
        <w:rPr>
          <w:rFonts w:hint="eastAsia" w:ascii="楷体_GB2312" w:eastAsia="楷体_GB2312" w:cs="楷体_GB2312"/>
          <w:b/>
          <w:color w:val="000000"/>
          <w:sz w:val="32"/>
          <w:szCs w:val="32"/>
          <w:lang w:val="en-US" w:eastAsia="zh-CN"/>
        </w:rPr>
      </w:pPr>
      <w:r>
        <w:rPr>
          <w:rFonts w:hint="eastAsia" w:ascii="楷体_GB2312" w:eastAsia="楷体_GB2312" w:cs="楷体_GB2312"/>
          <w:b/>
          <w:color w:val="000000"/>
          <w:sz w:val="32"/>
          <w:szCs w:val="32"/>
          <w:lang w:val="en-US" w:eastAsia="zh-CN"/>
        </w:rPr>
        <w:t>（一）机关运行经费支出情况</w:t>
      </w:r>
      <w:bookmarkEnd w:id="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2024年，机关运行经费支出102.81万元，与2023年相比减少30.46万元，减少29.6%。主要原因是：压缩经费开支，经费减少。 </w:t>
      </w:r>
      <w:bookmarkStart w:id="87" w:name="_Toc15377223"/>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b/>
          <w:color w:val="000000"/>
          <w:sz w:val="32"/>
          <w:szCs w:val="32"/>
        </w:rPr>
      </w:pPr>
      <w:r>
        <w:rPr>
          <w:rFonts w:hint="eastAsia" w:ascii="仿宋_GB2312" w:eastAsia="仿宋_GB2312" w:cs="仿宋_GB2312"/>
          <w:color w:val="000000"/>
          <w:kern w:val="2"/>
          <w:sz w:val="32"/>
          <w:szCs w:val="32"/>
          <w:lang w:val="en-US" w:eastAsia="zh-CN" w:bidi="ar-SA"/>
        </w:rPr>
        <w:t>2024年，政府采购支出总额0.00万元，其中：政府采购货物支出0.00万元、政府采购工程支出0.00万元、政府采购服务支出0.00万元。授予中小企业合同金额0.00万元，其中：授予小微企业合同金额0.00万元。与2023年相比无变化。</w:t>
      </w:r>
      <w:bookmarkStart w:id="88" w:name="_Toc15377224"/>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截至2024年12月31日，共有车辆8辆，其中：主要领导干部用车0辆、机要通信用车1辆、应急保障用车7辆、其他用车0辆。单价50万元以上通用设备0台（套），单价100万元以上专用设备0台（套）。与2023年相比无变化。</w:t>
      </w:r>
    </w:p>
    <w:p>
      <w:pPr>
        <w:spacing w:line="600" w:lineRule="exact"/>
        <w:ind w:firstLine="642" w:firstLineChars="200"/>
        <w:outlineLvl w:val="2"/>
        <w:rPr>
          <w:rFonts w:hint="eastAsia" w:ascii="楷体_GB2312" w:eastAsia="楷体_GB2312" w:cs="楷体_GB2312"/>
          <w:b/>
          <w:color w:val="000000"/>
          <w:sz w:val="32"/>
          <w:szCs w:val="32"/>
          <w:highlight w:val="none"/>
        </w:rPr>
      </w:pPr>
      <w:r>
        <w:rPr>
          <w:rFonts w:hint="eastAsia" w:ascii="楷体_GB2312" w:eastAsia="楷体_GB2312" w:cs="楷体_GB2312"/>
          <w:b/>
          <w:color w:val="000000"/>
          <w:sz w:val="32"/>
          <w:szCs w:val="32"/>
          <w:highlight w:val="none"/>
        </w:rPr>
        <w:t>（四）预算绩效管理情况</w:t>
      </w:r>
    </w:p>
    <w:p>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2024年度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设备维修维护、办公经费等</w:t>
      </w:r>
      <w:r>
        <w:rPr>
          <w:rFonts w:hint="eastAsia" w:ascii="仿宋_GB2312" w:eastAsia="仿宋_GB2312" w:cs="仿宋_GB2312"/>
          <w:color w:val="auto"/>
          <w:sz w:val="32"/>
          <w:szCs w:val="32"/>
          <w:highlight w:val="none"/>
          <w:lang w:val="en-US" w:eastAsia="zh-CN"/>
        </w:rPr>
        <w:t>3个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spacing w:line="580" w:lineRule="exact"/>
        <w:ind w:firstLine="640" w:firstLineChars="200"/>
        <w:rPr>
          <w:rFonts w:hint="eastAsia" w:ascii="黑体" w:eastAsia="黑体" w:cs="黑体"/>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2024年度一般公共预算、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全面开展绩效自评，形成中共茂县县委办公室</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项目</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w:t>
      </w:r>
      <w:bookmarkStart w:id="89" w:name="_Toc2930"/>
      <w:r>
        <w:rPr>
          <w:rFonts w:hint="eastAsia" w:ascii="仿宋_GB2312" w:hAnsi="仿宋_GB2312" w:eastAsia="仿宋_GB2312" w:cs="仿宋_GB2312"/>
          <w:color w:val="000000"/>
          <w:sz w:val="32"/>
          <w:szCs w:val="32"/>
        </w:rPr>
        <w:t>绩效目标完成情况整体良好</w:t>
      </w:r>
      <w:r>
        <w:rPr>
          <w:rFonts w:hint="eastAsia" w:ascii="仿宋_GB2312" w:hAnsi="仿宋_GB2312" w:eastAsia="仿宋_GB2312" w:cs="仿宋_GB2312"/>
          <w:color w:val="000000"/>
          <w:sz w:val="32"/>
          <w:szCs w:val="32"/>
          <w:lang w:eastAsia="zh-CN"/>
        </w:rPr>
        <w:t>，自评良好</w:t>
      </w:r>
      <w:r>
        <w:rPr>
          <w:rFonts w:hint="eastAsia" w:ascii="仿宋_GB2312" w:hAnsi="仿宋_GB2312" w:eastAsia="仿宋_GB2312" w:cs="仿宋_GB2312"/>
          <w:color w:val="000000"/>
          <w:sz w:val="32"/>
          <w:szCs w:val="32"/>
        </w:rPr>
        <w:t>。</w:t>
      </w:r>
    </w:p>
    <w:p>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90" w:name="_Toc13288"/>
      <w:r>
        <w:rPr>
          <w:rStyle w:val="24"/>
          <w:rFonts w:hint="eastAsia" w:ascii="方正公文小标宋" w:hAnsi="方正公文小标宋" w:eastAsia="方正公文小标宋" w:cs="方正公文小标宋"/>
          <w:b/>
          <w:bCs/>
        </w:rPr>
        <w:t>第三部分 名词解释</w:t>
      </w:r>
      <w:bookmarkEnd w:id="89"/>
      <w:bookmarkEnd w:id="90"/>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4"/>
          <w:rFonts w:hint="eastAsia" w:ascii="仿宋_GB2312" w:eastAsia="仿宋_GB2312" w:cs="仿宋_GB2312"/>
        </w:rPr>
      </w:pPr>
      <w:r>
        <w:rPr>
          <w:rStyle w:val="24"/>
          <w:rFonts w:hint="eastAsia" w:ascii="仿宋_GB2312" w:eastAsia="仿宋_GB2312" w:cs="仿宋_GB2312"/>
        </w:rPr>
        <w:br w:type="page"/>
      </w:r>
    </w:p>
    <w:p>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Fonts w:hint="eastAsia" w:ascii="方正小标宋简体" w:hAnsi="方正小标宋简体" w:eastAsia="方正小标宋简体" w:cs="方正小标宋简体"/>
          <w:lang w:val="en-US" w:eastAsia="zh-CN"/>
        </w:rPr>
      </w:pPr>
      <w:bookmarkStart w:id="91" w:name="_Toc111208510"/>
      <w:bookmarkStart w:id="92" w:name="_Toc13881"/>
      <w:bookmarkStart w:id="93" w:name="_Toc15177"/>
      <w:bookmarkStart w:id="94" w:name="_Toc13033"/>
      <w:bookmarkStart w:id="95" w:name="_Toc29502"/>
      <w:r>
        <w:rPr>
          <w:rStyle w:val="24"/>
          <w:rFonts w:hint="eastAsia" w:ascii="方正公文小标宋" w:hAnsi="方正公文小标宋" w:eastAsia="方正公文小标宋" w:cs="方正公文小标宋"/>
          <w:b/>
          <w:bCs/>
        </w:rPr>
        <w:t>第四部分 附件</w:t>
      </w:r>
      <w:bookmarkEnd w:id="91"/>
      <w:bookmarkEnd w:id="92"/>
      <w:bookmarkEnd w:id="93"/>
      <w:bookmarkEnd w:id="94"/>
    </w:p>
    <w:p>
      <w:pPr>
        <w:keepNext w:val="0"/>
        <w:keepLines w:val="0"/>
        <w:pageBreakBefore w:val="0"/>
        <w:widowControl/>
        <w:kinsoku/>
        <w:wordWrap/>
        <w:overflowPunct/>
        <w:topLinePunct w:val="0"/>
        <w:autoSpaceDE/>
        <w:autoSpaceDN/>
        <w:bidi w:val="0"/>
        <w:adjustRightInd/>
        <w:snapToGrid/>
        <w:spacing w:after="157" w:afterLines="50" w:line="578" w:lineRule="exact"/>
        <w:contextualSpacing/>
        <w:jc w:val="center"/>
        <w:textAlignment w:val="auto"/>
        <w:rPr>
          <w:rFonts w:hint="eastAsia" w:eastAsia="方正小标宋简体"/>
          <w:bCs/>
          <w:sz w:val="44"/>
          <w:szCs w:val="44"/>
          <w:shd w:val="clear" w:color="auto" w:fill="FFFFFF"/>
          <w:lang w:val="en-US" w:eastAsia="zh-CN"/>
        </w:rPr>
      </w:pPr>
      <w:r>
        <w:rPr>
          <w:rFonts w:hint="eastAsia" w:eastAsia="方正小标宋简体"/>
          <w:bCs/>
          <w:sz w:val="44"/>
          <w:szCs w:val="44"/>
          <w:shd w:val="clear" w:color="auto" w:fill="FFFFFF"/>
          <w:lang w:val="en-US" w:eastAsia="zh-CN"/>
        </w:rPr>
        <w:t>中国共产党茂县委员会办公室</w:t>
      </w:r>
    </w:p>
    <w:p>
      <w:pPr>
        <w:keepNext w:val="0"/>
        <w:keepLines w:val="0"/>
        <w:pageBreakBefore w:val="0"/>
        <w:widowControl/>
        <w:kinsoku/>
        <w:wordWrap/>
        <w:overflowPunct/>
        <w:topLinePunct w:val="0"/>
        <w:autoSpaceDE/>
        <w:autoSpaceDN/>
        <w:bidi w:val="0"/>
        <w:adjustRightInd/>
        <w:snapToGrid/>
        <w:spacing w:after="157" w:afterLines="50" w:line="578" w:lineRule="exact"/>
        <w:contextualSpacing/>
        <w:jc w:val="center"/>
        <w:textAlignment w:val="auto"/>
        <w:rPr>
          <w:rFonts w:eastAsia="黑体"/>
          <w:color w:val="000000"/>
          <w:kern w:val="0"/>
          <w:sz w:val="24"/>
          <w:szCs w:val="32"/>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自评</w:t>
      </w:r>
      <w:r>
        <w:rPr>
          <w:rFonts w:eastAsia="方正小标宋简体"/>
          <w:bCs/>
          <w:sz w:val="44"/>
          <w:szCs w:val="44"/>
          <w:shd w:val="clear" w:color="auto" w:fill="FFFFFF"/>
        </w:rPr>
        <w:t>报告</w:t>
      </w:r>
    </w:p>
    <w:p>
      <w:pPr>
        <w:widowControl/>
        <w:adjustRightInd w:val="0"/>
        <w:snapToGrid w:val="0"/>
        <w:spacing w:line="578" w:lineRule="exact"/>
        <w:ind w:firstLine="640" w:firstLineChars="200"/>
        <w:contextualSpacing/>
        <w:jc w:val="left"/>
        <w:rPr>
          <w:rFonts w:hint="eastAsia" w:ascii="黑体" w:hAnsi="黑体" w:eastAsia="黑体" w:cs="黑体"/>
          <w:sz w:val="32"/>
          <w:szCs w:val="32"/>
        </w:rPr>
      </w:pPr>
      <w:r>
        <w:rPr>
          <w:rFonts w:hint="eastAsia" w:ascii="黑体" w:hAnsi="黑体" w:eastAsia="黑体" w:cs="黑体"/>
          <w:color w:val="000000"/>
          <w:kern w:val="0"/>
          <w:sz w:val="32"/>
          <w:szCs w:val="32"/>
          <w:shd w:val="clear" w:color="auto" w:fill="FFFFFF"/>
          <w:lang w:val="zh-CN"/>
        </w:rPr>
        <w:t>一、部门（单位）基本情况</w:t>
      </w:r>
    </w:p>
    <w:p>
      <w:pPr>
        <w:widowControl/>
        <w:adjustRightInd w:val="0"/>
        <w:snapToGrid w:val="0"/>
        <w:spacing w:line="578"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中共茂县县委办公室</w:t>
      </w:r>
      <w:r>
        <w:rPr>
          <w:rFonts w:hint="eastAsia" w:ascii="仿宋_GB2312" w:hAnsi="仿宋_GB2312" w:eastAsia="仿宋_GB2312" w:cs="仿宋_GB2312"/>
          <w:sz w:val="32"/>
          <w:szCs w:val="32"/>
        </w:rPr>
        <w:t>属一级预算单位，下属二级预算单位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下设股室有综合股、秘书一股、秘书二股、督查室、总值班室、档案监督管理科、人事行财股、保密机要股。</w:t>
      </w:r>
    </w:p>
    <w:p>
      <w:pPr>
        <w:widowControl/>
        <w:adjustRightInd w:val="0"/>
        <w:snapToGrid w:val="0"/>
        <w:spacing w:line="578"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w:t>
      </w:r>
      <w:r>
        <w:rPr>
          <w:rFonts w:hint="eastAsia" w:ascii="楷体" w:hAnsi="楷体" w:eastAsia="楷体" w:cs="楷体"/>
          <w:b/>
          <w:bCs/>
          <w:color w:val="000000"/>
          <w:kern w:val="0"/>
          <w:sz w:val="32"/>
          <w:szCs w:val="32"/>
          <w:shd w:val="clear" w:color="auto" w:fill="FFFFFF"/>
          <w:lang w:val="en-US" w:eastAsia="zh-CN"/>
        </w:rPr>
        <w:t>二</w:t>
      </w:r>
      <w:r>
        <w:rPr>
          <w:rFonts w:hint="eastAsia" w:ascii="楷体" w:hAnsi="楷体" w:eastAsia="楷体" w:cs="楷体"/>
          <w:b/>
          <w:bCs/>
          <w:color w:val="000000"/>
          <w:kern w:val="0"/>
          <w:sz w:val="32"/>
          <w:szCs w:val="32"/>
          <w:shd w:val="clear" w:color="auto" w:fill="FFFFFF"/>
          <w:lang w:val="zh-CN"/>
        </w:rPr>
        <w:t>）机构职能</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25"/>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2.围绕中央、省委和州委重要决策以及县委总体工作部署，开展调研，并负责信息的收集、综合和报送工作。</w:t>
      </w:r>
    </w:p>
    <w:p>
      <w:pPr>
        <w:pStyle w:val="25"/>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25"/>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4.负责县委重要工作部署贯彻落实的督促检查，负责县委指示、县委领导批示的转达和催办落实。</w:t>
      </w:r>
    </w:p>
    <w:p>
      <w:pPr>
        <w:pStyle w:val="25"/>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5.负责县保密委员会及其办公室的日常工作。</w:t>
      </w:r>
    </w:p>
    <w:p>
      <w:pPr>
        <w:pStyle w:val="25"/>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6.负责管理县委密码局工作。</w:t>
      </w:r>
    </w:p>
    <w:p>
      <w:pPr>
        <w:pStyle w:val="25"/>
        <w:spacing w:line="576"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7.完成县委和县委领导交办的其他工作任务。</w:t>
      </w:r>
    </w:p>
    <w:p>
      <w:pPr>
        <w:widowControl/>
        <w:adjustRightInd w:val="0"/>
        <w:snapToGrid w:val="0"/>
        <w:spacing w:line="578"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widowControl/>
        <w:spacing w:line="600" w:lineRule="exact"/>
        <w:ind w:left="210" w:leftChars="100"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auto"/>
          <w:sz w:val="32"/>
          <w:szCs w:val="32"/>
          <w:highlight w:val="none"/>
        </w:rPr>
        <w:t>总编制</w:t>
      </w: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 xml:space="preserve">名,其中:行政编制 </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 xml:space="preserve">名,参照公务员法管理的事业编制 </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名，行政工勤编制 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 名，事业编制</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名。在职人员总数</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名，其中：行政人员</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 xml:space="preserve">名，参照公务员法管理的事业人员 </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名，行政工勤人员 11 名；事业人员</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名。退休人员</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sz w:val="32"/>
          <w:szCs w:val="32"/>
        </w:rPr>
        <w:t>2024年年初预算收入</w:t>
      </w:r>
      <w:r>
        <w:rPr>
          <w:rFonts w:hint="eastAsia" w:ascii="仿宋_GB2312" w:hAnsi="仿宋_GB2312" w:eastAsia="仿宋_GB2312" w:cs="仿宋_GB2312"/>
          <w:sz w:val="32"/>
          <w:szCs w:val="32"/>
          <w:lang w:val="en-US" w:eastAsia="zh-CN"/>
        </w:rPr>
        <w:t>925.21万</w:t>
      </w:r>
      <w:r>
        <w:rPr>
          <w:rFonts w:hint="eastAsia" w:ascii="仿宋_GB2312" w:hAnsi="仿宋_GB2312" w:eastAsia="仿宋_GB2312" w:cs="仿宋_GB2312"/>
          <w:sz w:val="32"/>
          <w:szCs w:val="32"/>
        </w:rPr>
        <w:t>元，本年收入调整预算数为</w:t>
      </w:r>
      <w:r>
        <w:rPr>
          <w:rFonts w:hint="eastAsia" w:ascii="仿宋_GB2312" w:hAnsi="仿宋_GB2312" w:eastAsia="仿宋_GB2312" w:cs="仿宋_GB2312"/>
          <w:sz w:val="32"/>
          <w:szCs w:val="32"/>
          <w:lang w:val="en-US" w:eastAsia="zh-CN"/>
        </w:rPr>
        <w:t>1293.65万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收入决算数为</w:t>
      </w:r>
      <w:r>
        <w:rPr>
          <w:rFonts w:hint="eastAsia" w:ascii="仿宋_GB2312" w:hAnsi="仿宋_GB2312" w:eastAsia="仿宋_GB2312" w:cs="仿宋_GB2312"/>
          <w:sz w:val="32"/>
          <w:szCs w:val="32"/>
          <w:lang w:val="en-US" w:eastAsia="zh-CN"/>
        </w:rPr>
        <w:t>1293.65万元</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w:t>
      </w:r>
      <w:r>
        <w:rPr>
          <w:rFonts w:hint="eastAsia" w:ascii="楷体" w:hAnsi="楷体" w:eastAsia="楷体" w:cs="楷体"/>
          <w:b/>
          <w:bCs/>
          <w:color w:val="000000"/>
          <w:kern w:val="0"/>
          <w:sz w:val="32"/>
          <w:szCs w:val="32"/>
          <w:shd w:val="clear" w:color="auto" w:fill="FFFFFF"/>
          <w:lang w:val="en-US" w:eastAsia="zh-CN"/>
        </w:rPr>
        <w:t>二</w:t>
      </w:r>
      <w:r>
        <w:rPr>
          <w:rFonts w:hint="eastAsia" w:ascii="楷体" w:hAnsi="楷体" w:eastAsia="楷体" w:cs="楷体"/>
          <w:b/>
          <w:bCs/>
          <w:color w:val="000000"/>
          <w:kern w:val="0"/>
          <w:sz w:val="32"/>
          <w:szCs w:val="32"/>
          <w:shd w:val="clear" w:color="auto" w:fill="FFFFFF"/>
          <w:lang w:val="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2024年年初预算支出</w:t>
      </w:r>
      <w:r>
        <w:rPr>
          <w:rFonts w:hint="eastAsia" w:ascii="仿宋_GB2312" w:hAnsi="仿宋_GB2312" w:eastAsia="仿宋_GB2312" w:cs="仿宋_GB2312"/>
          <w:sz w:val="32"/>
          <w:szCs w:val="32"/>
          <w:lang w:val="en-US" w:eastAsia="zh-CN"/>
        </w:rPr>
        <w:t>925.21</w:t>
      </w:r>
      <w:r>
        <w:rPr>
          <w:rFonts w:hint="eastAsia" w:ascii="仿宋_GB2312" w:hAnsi="仿宋_GB2312" w:eastAsia="仿宋_GB2312" w:cs="仿宋_GB2312"/>
          <w:sz w:val="32"/>
          <w:szCs w:val="32"/>
        </w:rPr>
        <w:t>万元、决算报表支出</w:t>
      </w:r>
      <w:r>
        <w:rPr>
          <w:rFonts w:hint="eastAsia" w:ascii="仿宋_GB2312" w:hAnsi="仿宋_GB2312" w:eastAsia="仿宋_GB2312" w:cs="仿宋_GB2312"/>
          <w:sz w:val="32"/>
          <w:szCs w:val="32"/>
          <w:lang w:val="en-US" w:eastAsia="zh-CN"/>
        </w:rPr>
        <w:t>1293.65</w:t>
      </w:r>
      <w:r>
        <w:rPr>
          <w:rFonts w:hint="eastAsia" w:ascii="仿宋_GB2312" w:hAnsi="仿宋_GB2312" w:eastAsia="仿宋_GB2312" w:cs="仿宋_GB2312"/>
          <w:sz w:val="32"/>
          <w:szCs w:val="32"/>
        </w:rPr>
        <w:t>万元。</w:t>
      </w:r>
    </w:p>
    <w:p>
      <w:pPr>
        <w:widowControl/>
        <w:adjustRightInd w:val="0"/>
        <w:snapToGrid w:val="0"/>
        <w:spacing w:line="578" w:lineRule="exact"/>
        <w:ind w:firstLine="642"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en-US" w:eastAsia="zh-CN"/>
        </w:rPr>
        <w:t>（三）</w:t>
      </w:r>
      <w:r>
        <w:rPr>
          <w:rFonts w:hint="eastAsia" w:ascii="楷体" w:hAnsi="楷体" w:eastAsia="楷体" w:cs="楷体"/>
          <w:b/>
          <w:bCs/>
          <w:color w:val="000000"/>
          <w:kern w:val="0"/>
          <w:sz w:val="32"/>
          <w:szCs w:val="32"/>
          <w:shd w:val="clear" w:color="auto" w:fill="FFFFFF"/>
          <w:lang w:val="zh-CN"/>
        </w:rPr>
        <w:t>结余分配和结转结余情况</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2024年决算报表</w:t>
      </w:r>
      <w:r>
        <w:rPr>
          <w:rFonts w:hint="eastAsia" w:ascii="仿宋_GB2312" w:hAnsi="仿宋_GB2312" w:eastAsia="仿宋_GB2312" w:cs="仿宋_GB2312"/>
          <w:color w:val="000000"/>
          <w:kern w:val="0"/>
          <w:sz w:val="32"/>
          <w:szCs w:val="32"/>
          <w:shd w:val="clear" w:color="auto" w:fill="FFFFFF"/>
        </w:rPr>
        <w:t>结转结余</w:t>
      </w:r>
      <w:r>
        <w:rPr>
          <w:rFonts w:hint="eastAsia" w:ascii="仿宋_GB2312" w:hAnsi="仿宋_GB2312" w:eastAsia="仿宋_GB2312" w:cs="仿宋_GB2312"/>
          <w:color w:val="000000"/>
          <w:kern w:val="0"/>
          <w:sz w:val="32"/>
          <w:szCs w:val="32"/>
          <w:shd w:val="clear" w:color="auto" w:fill="FFFFFF"/>
          <w:lang w:val="en-US" w:eastAsia="zh-CN"/>
        </w:rPr>
        <w:t>0万元</w:t>
      </w:r>
      <w:r>
        <w:rPr>
          <w:rFonts w:hint="eastAsia" w:ascii="仿宋_GB2312" w:hAnsi="仿宋_GB2312" w:eastAsia="仿宋_GB2312" w:cs="仿宋_GB2312"/>
          <w:color w:val="000000"/>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黑体" w:hAnsi="黑体" w:eastAsia="黑体" w:cs="黑体"/>
          <w:color w:val="000000" w:themeColor="text1"/>
          <w:kern w:val="0"/>
          <w:sz w:val="32"/>
          <w:szCs w:val="32"/>
          <w:shd w:val="clear" w:color="auto" w:fill="FFFFFF"/>
        </w:rPr>
      </w:pPr>
      <w:r>
        <w:rPr>
          <w:rFonts w:hint="eastAsia" w:ascii="黑体" w:hAnsi="黑体" w:eastAsia="黑体" w:cs="黑体"/>
          <w:color w:val="000000"/>
          <w:kern w:val="0"/>
          <w:sz w:val="32"/>
          <w:szCs w:val="32"/>
          <w:shd w:val="clear" w:color="auto" w:fill="FFFFFF"/>
        </w:rPr>
        <w:t>三、部门预算绩效分析</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zh-CN"/>
        </w:rPr>
        <w:t>（一）部门预算总体绩效分析</w:t>
      </w:r>
    </w:p>
    <w:p>
      <w:pPr>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1.</w:t>
      </w:r>
      <w:r>
        <w:rPr>
          <w:rFonts w:hint="eastAsia" w:ascii="仿宋_GB2312" w:hAnsi="仿宋_GB2312" w:eastAsia="仿宋_GB2312" w:cs="仿宋_GB2312"/>
          <w:b/>
          <w:bCs/>
          <w:color w:val="000000"/>
          <w:kern w:val="0"/>
          <w:sz w:val="32"/>
          <w:szCs w:val="32"/>
          <w:shd w:val="clear" w:color="auto" w:fill="FFFFFF"/>
          <w:lang w:val="zh-CN"/>
        </w:rPr>
        <w:t>履职效能</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1</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严格执行《阿坝州关于贯彻落实中央八项规定精神、省委省政府十项规定和州委州政府八条实施意见的实施细则》要求，深入开展精文减会、基层减负和机关规范化建设。</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3</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持续落实“无会周”，按照节俭、高效的原则，进一步加强与“</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大办”、县委工作部门、县委议事协调机构办公室的信息沟通，加大会议的统筹力度，严控会议频次和规模。</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lang w:val="en-US" w:eastAsia="zh-CN"/>
        </w:rPr>
        <w:t>扩展</w:t>
      </w:r>
      <w:r>
        <w:rPr>
          <w:rFonts w:hint="eastAsia" w:ascii="仿宋_GB2312" w:hAnsi="仿宋_GB2312" w:eastAsia="仿宋_GB2312" w:cs="仿宋_GB2312"/>
          <w:b w:val="0"/>
          <w:bCs w:val="0"/>
          <w:sz w:val="32"/>
          <w:szCs w:val="32"/>
        </w:rPr>
        <w:t>非涉密计算机敏感信息监管系统，</w:t>
      </w:r>
      <w:r>
        <w:rPr>
          <w:rFonts w:hint="eastAsia" w:ascii="仿宋_GB2312" w:hAnsi="仿宋_GB2312" w:eastAsia="仿宋_GB2312" w:cs="仿宋_GB2312"/>
          <w:b w:val="0"/>
          <w:bCs w:val="0"/>
          <w:sz w:val="32"/>
          <w:szCs w:val="32"/>
          <w:lang w:val="en-US" w:eastAsia="zh-CN"/>
        </w:rPr>
        <w:t>做到全覆盖，</w:t>
      </w:r>
      <w:r>
        <w:rPr>
          <w:rFonts w:hint="eastAsia" w:ascii="仿宋_GB2312" w:hAnsi="仿宋_GB2312" w:eastAsia="仿宋_GB2312" w:cs="仿宋_GB2312"/>
          <w:b w:val="0"/>
          <w:bCs w:val="0"/>
          <w:sz w:val="32"/>
          <w:szCs w:val="32"/>
        </w:rPr>
        <w:t>开展全县网络核查分类工作，切实做好全县普通高校招生考试安全保密工作，做好保密</w:t>
      </w:r>
      <w:r>
        <w:rPr>
          <w:rFonts w:hint="default" w:ascii="仿宋_GB2312" w:hAnsi="仿宋_GB2312" w:eastAsia="仿宋_GB2312" w:cs="仿宋_GB2312"/>
          <w:b w:val="0"/>
          <w:bCs w:val="0"/>
          <w:sz w:val="32"/>
          <w:szCs w:val="32"/>
          <w:lang w:val="en-US"/>
        </w:rPr>
        <w:t>法治宣传教育</w:t>
      </w:r>
      <w:r>
        <w:rPr>
          <w:rFonts w:hint="eastAsia" w:ascii="仿宋_GB2312" w:hAnsi="仿宋_GB2312" w:eastAsia="仿宋_GB2312" w:cs="仿宋_GB2312"/>
          <w:b w:val="0"/>
          <w:bCs w:val="0"/>
          <w:sz w:val="32"/>
          <w:szCs w:val="32"/>
        </w:rPr>
        <w:t>和保密业务培训。</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5</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扎实做好密码通信服务保障，推进密码管理规范化，抓好和完善党政内网建设</w:t>
      </w:r>
      <w:r>
        <w:rPr>
          <w:rFonts w:hint="eastAsia" w:ascii="仿宋_GB2312" w:hAnsi="仿宋_GB2312" w:eastAsia="仿宋_GB2312" w:cs="仿宋_GB2312"/>
          <w:b w:val="0"/>
          <w:bCs w:val="0"/>
          <w:sz w:val="32"/>
          <w:szCs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6</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lang w:val="en-US" w:eastAsia="zh-CN"/>
        </w:rPr>
        <w:t>重点工作与目标考评中心</w:t>
      </w:r>
      <w:r>
        <w:rPr>
          <w:rFonts w:hint="eastAsia" w:ascii="仿宋_GB2312" w:hAnsi="仿宋_GB2312" w:eastAsia="仿宋_GB2312" w:cs="仿宋_GB2312"/>
          <w:b w:val="0"/>
          <w:bCs w:val="0"/>
          <w:sz w:val="32"/>
          <w:szCs w:val="32"/>
        </w:rPr>
        <w:t>，开展重点工作、重点项目督查，并形成督查专报，做好年度目标考核工作。</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7</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lang w:eastAsia="zh-CN"/>
        </w:rPr>
        <w:t>做好</w:t>
      </w:r>
      <w:r>
        <w:rPr>
          <w:rFonts w:hint="eastAsia" w:ascii="仿宋_GB2312" w:hAnsi="仿宋_GB2312" w:eastAsia="仿宋_GB2312" w:cs="仿宋_GB2312"/>
          <w:b w:val="0"/>
          <w:bCs w:val="0"/>
          <w:sz w:val="32"/>
          <w:szCs w:val="32"/>
        </w:rPr>
        <w:t>人民群众来信来访</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，妥善处置各类突发事件，努力维护社会大局稳定。对来访人员合理诉求及时联系相关部门给予答复，树立良好窗口形象。做好《书记信箱》《阿坝民声》中涉及我县的信访问题，及时督</w:t>
      </w:r>
      <w:r>
        <w:rPr>
          <w:rFonts w:hint="eastAsia" w:ascii="仿宋_GB2312" w:hAnsi="仿宋_GB2312" w:eastAsia="仿宋_GB2312" w:cs="仿宋_GB2312"/>
          <w:b w:val="0"/>
          <w:bCs w:val="0"/>
          <w:sz w:val="32"/>
          <w:szCs w:val="32"/>
          <w:lang w:eastAsia="zh-CN"/>
        </w:rPr>
        <w:t>查</w:t>
      </w:r>
      <w:r>
        <w:rPr>
          <w:rFonts w:hint="eastAsia" w:ascii="仿宋_GB2312" w:hAnsi="仿宋_GB2312" w:eastAsia="仿宋_GB2312" w:cs="仿宋_GB2312"/>
          <w:b w:val="0"/>
          <w:bCs w:val="0"/>
          <w:sz w:val="32"/>
          <w:szCs w:val="32"/>
        </w:rPr>
        <w:t>督办，及时回复。</w:t>
      </w:r>
    </w:p>
    <w:p>
      <w:pPr>
        <w:pStyle w:val="18"/>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8</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sz w:val="32"/>
          <w:szCs w:val="32"/>
        </w:rPr>
        <w:t>严格执行24小时值班制度，周末、节假日值班制定。加强车辆管理，确保县委工作正常运转。</w:t>
      </w:r>
    </w:p>
    <w:p>
      <w:pPr>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bCs/>
          <w:color w:val="000000"/>
          <w:kern w:val="0"/>
          <w:sz w:val="32"/>
          <w:szCs w:val="32"/>
          <w:shd w:val="clear" w:color="auto" w:fill="FFFFFF"/>
          <w:lang w:val="en-US" w:eastAsia="zh-CN"/>
        </w:rPr>
        <w:t>2.</w:t>
      </w:r>
      <w:r>
        <w:rPr>
          <w:rFonts w:hint="eastAsia" w:ascii="仿宋_GB2312" w:hAnsi="仿宋_GB2312" w:eastAsia="仿宋_GB2312" w:cs="仿宋_GB2312"/>
          <w:b/>
          <w:bCs/>
          <w:color w:val="000000"/>
          <w:kern w:val="0"/>
          <w:sz w:val="32"/>
          <w:szCs w:val="32"/>
          <w:shd w:val="clear" w:color="auto" w:fill="FFFFFF"/>
          <w:lang w:val="zh-CN" w:eastAsia="zh-CN"/>
        </w:rPr>
        <w:t>预算管理</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我单位严格按照单位实际情况制定绩效目标管理制度，严格按照预算管理法进行有效的预算编制工作。</w:t>
      </w:r>
      <w:r>
        <w:rPr>
          <w:rFonts w:hint="eastAsia" w:ascii="仿宋_GB2312" w:hAnsi="仿宋_GB2312" w:eastAsia="仿宋_GB2312" w:cs="仿宋_GB2312"/>
          <w:color w:val="000000"/>
          <w:kern w:val="0"/>
          <w:sz w:val="32"/>
          <w:szCs w:val="32"/>
          <w:shd w:val="clear" w:color="auto" w:fill="FFFFFF"/>
          <w:lang w:val="en-US" w:eastAsia="zh-CN"/>
        </w:rPr>
        <w:t>2024年我单位无违规违法行为，保质保量的完成了目标实现情况，支出控制及执行进度等指标都及时完成。</w:t>
      </w:r>
    </w:p>
    <w:p>
      <w:pPr>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bCs/>
          <w:color w:val="000000"/>
          <w:kern w:val="0"/>
          <w:sz w:val="32"/>
          <w:szCs w:val="32"/>
          <w:shd w:val="clear" w:color="auto" w:fill="FFFFFF"/>
          <w:lang w:val="en-US" w:eastAsia="zh-CN"/>
        </w:rPr>
        <w:t>3.</w:t>
      </w:r>
      <w:r>
        <w:rPr>
          <w:rFonts w:hint="eastAsia" w:ascii="仿宋_GB2312" w:hAnsi="仿宋_GB2312" w:eastAsia="仿宋_GB2312" w:cs="仿宋_GB2312"/>
          <w:b/>
          <w:bCs/>
          <w:color w:val="000000"/>
          <w:kern w:val="0"/>
          <w:sz w:val="32"/>
          <w:szCs w:val="32"/>
          <w:shd w:val="clear" w:color="auto" w:fill="FFFFFF"/>
          <w:lang w:val="zh-CN" w:eastAsia="zh-CN"/>
        </w:rPr>
        <w:t>财务管理</w:t>
      </w:r>
    </w:p>
    <w:p>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单位建立了相关的财务管理制度，设立了出纳和会计岗配备了相应的财务人员。</w:t>
      </w:r>
      <w:r>
        <w:rPr>
          <w:rFonts w:hint="eastAsia" w:ascii="仿宋_GB2312" w:hAnsi="仿宋_GB2312" w:eastAsia="仿宋_GB2312" w:cs="仿宋_GB2312"/>
          <w:color w:val="000000"/>
          <w:sz w:val="32"/>
          <w:szCs w:val="32"/>
        </w:rPr>
        <w:t>在财务管理方面，经费支出实行</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审批制度，严格预算原则。严格控制基本经费支出，加强对日常经费开支的管理。</w:t>
      </w:r>
      <w:r>
        <w:rPr>
          <w:rFonts w:hint="eastAsia" w:ascii="仿宋_GB2312" w:hAnsi="仿宋_GB2312" w:eastAsia="仿宋_GB2312" w:cs="仿宋_GB2312"/>
          <w:color w:val="000000"/>
          <w:sz w:val="32"/>
          <w:szCs w:val="32"/>
          <w:lang w:eastAsia="zh-CN"/>
        </w:rPr>
        <w:t>严禁超预算支出。</w:t>
      </w:r>
      <w:r>
        <w:rPr>
          <w:rFonts w:hint="eastAsia" w:ascii="仿宋_GB2312" w:hAnsi="仿宋_GB2312" w:eastAsia="仿宋_GB2312" w:cs="仿宋_GB2312"/>
          <w:color w:val="000000"/>
          <w:sz w:val="32"/>
          <w:szCs w:val="32"/>
        </w:rPr>
        <w:t>加大对公务卡的使用管理，要求工作人员严格按照公务卡结算目录的要求使用公务卡。</w:t>
      </w:r>
      <w:r>
        <w:rPr>
          <w:rFonts w:hint="eastAsia" w:ascii="仿宋_GB2312" w:hAnsi="仿宋_GB2312" w:eastAsia="仿宋_GB2312" w:cs="仿宋_GB2312"/>
          <w:color w:val="000000"/>
          <w:sz w:val="32"/>
          <w:szCs w:val="32"/>
          <w:lang w:eastAsia="zh-CN"/>
        </w:rPr>
        <w:t>资金使用符合相关的财务管理规定。</w:t>
      </w:r>
      <w:r>
        <w:rPr>
          <w:rFonts w:hint="eastAsia" w:ascii="仿宋_GB2312" w:hAnsi="仿宋_GB2312" w:eastAsia="仿宋_GB2312" w:cs="仿宋_GB2312"/>
          <w:color w:val="000000"/>
          <w:kern w:val="0"/>
          <w:sz w:val="32"/>
          <w:szCs w:val="32"/>
          <w:shd w:val="clear" w:color="auto" w:fill="FFFFFF"/>
          <w:lang w:val="en-US" w:eastAsia="zh-CN"/>
        </w:rPr>
        <w:t xml:space="preserve"> </w:t>
      </w:r>
    </w:p>
    <w:p>
      <w:pPr>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4.</w:t>
      </w:r>
      <w:r>
        <w:rPr>
          <w:rFonts w:hint="eastAsia" w:ascii="仿宋_GB2312" w:hAnsi="仿宋_GB2312" w:eastAsia="仿宋_GB2312" w:cs="仿宋_GB2312"/>
          <w:b/>
          <w:bCs/>
          <w:color w:val="000000"/>
          <w:kern w:val="0"/>
          <w:sz w:val="32"/>
          <w:szCs w:val="32"/>
          <w:shd w:val="clear" w:color="auto" w:fill="FFFFFF"/>
          <w:lang w:val="zh-CN" w:eastAsia="zh-CN"/>
        </w:rPr>
        <w:t>资产管理</w:t>
      </w:r>
    </w:p>
    <w:p>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sz w:val="32"/>
          <w:szCs w:val="32"/>
        </w:rPr>
        <w:t>在资产管理方面，坚持谁使用谁保管谁负责的原则，建立台账，各负其责，财务室负责固定资产的日常账务处理，办公室负责台账登记和日常</w:t>
      </w:r>
      <w:r>
        <w:rPr>
          <w:rFonts w:hint="eastAsia" w:ascii="仿宋_GB2312" w:hAnsi="仿宋_GB2312" w:eastAsia="仿宋_GB2312" w:cs="仿宋_GB2312"/>
          <w:color w:val="000000"/>
          <w:sz w:val="32"/>
          <w:szCs w:val="32"/>
          <w:lang w:eastAsia="zh-CN"/>
        </w:rPr>
        <w:t>维修，使资产</w:t>
      </w:r>
      <w:r>
        <w:rPr>
          <w:rFonts w:hint="eastAsia" w:ascii="仿宋_GB2312" w:hAnsi="仿宋_GB2312" w:eastAsia="仿宋_GB2312" w:cs="仿宋_GB2312"/>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w:t>
      </w:r>
      <w:r>
        <w:rPr>
          <w:rFonts w:hint="eastAsia" w:ascii="仿宋_GB2312" w:hAnsi="仿宋_GB2312" w:eastAsia="仿宋_GB2312" w:cs="仿宋_GB2312"/>
          <w:b w:val="0"/>
          <w:bCs w:val="0"/>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en-US" w:eastAsia="zh-CN"/>
        </w:rPr>
        <w:t>无闲置资产。</w:t>
      </w:r>
    </w:p>
    <w:p>
      <w:pPr>
        <w:adjustRightInd w:val="0"/>
        <w:snapToGrid w:val="0"/>
        <w:spacing w:line="578" w:lineRule="exact"/>
        <w:ind w:firstLine="642" w:firstLineChars="200"/>
        <w:contextualSpacing/>
        <w:jc w:val="left"/>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bCs/>
          <w:color w:val="000000"/>
          <w:kern w:val="0"/>
          <w:sz w:val="32"/>
          <w:szCs w:val="32"/>
          <w:shd w:val="clear" w:color="auto" w:fill="FFFFFF"/>
          <w:lang w:val="en-US" w:eastAsia="zh-CN"/>
        </w:rPr>
        <w:t>5.</w:t>
      </w:r>
      <w:r>
        <w:rPr>
          <w:rFonts w:hint="eastAsia" w:ascii="仿宋_GB2312" w:hAnsi="仿宋_GB2312" w:eastAsia="仿宋_GB2312" w:cs="仿宋_GB2312"/>
          <w:b/>
          <w:bCs/>
          <w:color w:val="000000"/>
          <w:kern w:val="0"/>
          <w:sz w:val="32"/>
          <w:szCs w:val="32"/>
          <w:shd w:val="clear" w:color="auto" w:fill="FFFFFF"/>
          <w:lang w:val="zh-CN" w:eastAsia="zh-CN"/>
        </w:rPr>
        <w:t>采购管理</w:t>
      </w:r>
    </w:p>
    <w:p>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的采购主要是采用询价的方式进行，采购严格按照相关的文件进行。围绕支持中小企业发展，我单位按要求发布询价公告进行实地询价，最后确定询价结果和中标公司并公示以及合同的签订，项目在单位的监管下按合同正常推进完成，采购执行率高。</w:t>
      </w:r>
    </w:p>
    <w:p>
      <w:pPr>
        <w:widowControl/>
        <w:adjustRightInd w:val="0"/>
        <w:snapToGrid w:val="0"/>
        <w:spacing w:line="578" w:lineRule="exact"/>
        <w:ind w:firstLine="642" w:firstLineChars="200"/>
        <w:contextualSpacing/>
        <w:jc w:val="left"/>
        <w:rPr>
          <w:rFonts w:hint="eastAsia" w:ascii="楷体" w:hAnsi="楷体" w:eastAsia="楷体" w:cs="楷体"/>
          <w:color w:val="000000"/>
          <w:kern w:val="0"/>
          <w:sz w:val="32"/>
          <w:szCs w:val="32"/>
          <w:shd w:val="clear" w:color="auto" w:fill="FFFFFF"/>
        </w:rPr>
      </w:pPr>
      <w:r>
        <w:rPr>
          <w:rFonts w:hint="eastAsia" w:ascii="楷体" w:hAnsi="楷体" w:eastAsia="楷体" w:cs="楷体"/>
          <w:b/>
          <w:bCs/>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阶段（含一次性）项目绩效分析。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245.10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1.</w:t>
      </w:r>
      <w:r>
        <w:rPr>
          <w:rFonts w:hint="eastAsia" w:ascii="仿宋_GB2312" w:hAnsi="仿宋_GB2312" w:eastAsia="仿宋_GB2312" w:cs="仿宋_GB2312"/>
          <w:b/>
          <w:bCs/>
          <w:color w:val="000000"/>
          <w:kern w:val="0"/>
          <w:sz w:val="32"/>
          <w:szCs w:val="32"/>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决策程序</w:t>
      </w:r>
      <w:r>
        <w:rPr>
          <w:rFonts w:hint="eastAsia" w:ascii="仿宋_GB2312" w:hAnsi="仿宋_GB2312" w:eastAsia="仿宋_GB2312" w:cs="仿宋_GB2312"/>
          <w:color w:val="000000"/>
          <w:kern w:val="0"/>
          <w:sz w:val="32"/>
          <w:szCs w:val="32"/>
          <w:shd w:val="clear" w:color="auto" w:fill="FFFFFF"/>
          <w:lang w:val="en-US" w:eastAsia="zh-CN"/>
        </w:rPr>
        <w:t>方面，部门预算项目设立是按规定履行评估论证、申报程序；</w:t>
      </w:r>
      <w:r>
        <w:rPr>
          <w:rFonts w:hint="eastAsia" w:ascii="仿宋_GB2312" w:hAnsi="仿宋_GB2312" w:eastAsia="仿宋_GB2312" w:cs="仿宋_GB2312"/>
          <w:color w:val="000000"/>
          <w:kern w:val="0"/>
          <w:sz w:val="32"/>
          <w:szCs w:val="32"/>
          <w:shd w:val="clear" w:color="auto" w:fill="FFFFFF"/>
          <w:lang w:val="zh-CN"/>
        </w:rPr>
        <w:t>目标设置</w:t>
      </w:r>
      <w:r>
        <w:rPr>
          <w:rFonts w:hint="eastAsia" w:ascii="仿宋_GB2312" w:hAnsi="仿宋_GB2312" w:eastAsia="仿宋_GB2312" w:cs="仿宋_GB2312"/>
          <w:color w:val="000000"/>
          <w:kern w:val="0"/>
          <w:sz w:val="32"/>
          <w:szCs w:val="32"/>
          <w:shd w:val="clear" w:color="auto" w:fill="FFFFFF"/>
          <w:lang w:val="en-US" w:eastAsia="zh-CN"/>
        </w:rPr>
        <w:t>方面，部门预算项目绩效目标与计划期内的任务量、预算安排的资金量是相匹配的，绩效目标设置是科学合理、规范完整、量化细化、预算匹配的；项目入库方面，部门预算项目在规定时间完成项目入库。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2.</w:t>
      </w:r>
      <w:r>
        <w:rPr>
          <w:rFonts w:hint="eastAsia" w:ascii="仿宋_GB2312" w:hAnsi="仿宋_GB2312" w:eastAsia="仿宋_GB2312" w:cs="仿宋_GB2312"/>
          <w:b/>
          <w:bCs/>
          <w:color w:val="000000"/>
          <w:kern w:val="0"/>
          <w:sz w:val="32"/>
          <w:szCs w:val="32"/>
          <w:shd w:val="clear" w:color="auto" w:fill="FFFFFF"/>
        </w:rPr>
        <w:t>项目执行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执行同向</w:t>
      </w:r>
      <w:r>
        <w:rPr>
          <w:rFonts w:hint="eastAsia" w:ascii="仿宋_GB2312" w:hAnsi="仿宋_GB2312" w:eastAsia="仿宋_GB2312" w:cs="仿宋_GB2312"/>
          <w:color w:val="000000"/>
          <w:kern w:val="0"/>
          <w:sz w:val="32"/>
          <w:szCs w:val="32"/>
          <w:shd w:val="clear" w:color="auto" w:fill="FFFFFF"/>
          <w:lang w:val="en-US" w:eastAsia="zh-CN"/>
        </w:rPr>
        <w:t>方面，部门预算项目实际列支内容是与绩效目标设置方向相符的；项目调整方面，部门预算项目采取了对应调整措施进行调整；执行结果方面，部门预算项目预算执行按照资金用途合法合规进行支付执行。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bCs/>
          <w:color w:val="000000"/>
          <w:kern w:val="0"/>
          <w:sz w:val="32"/>
          <w:szCs w:val="32"/>
          <w:shd w:val="clear" w:color="auto" w:fill="FFFFFF"/>
          <w:lang w:val="en-US" w:eastAsia="zh-CN"/>
        </w:rPr>
        <w:t>3.</w:t>
      </w:r>
      <w:r>
        <w:rPr>
          <w:rFonts w:hint="eastAsia" w:ascii="仿宋_GB2312" w:hAnsi="仿宋_GB2312" w:eastAsia="仿宋_GB2312" w:cs="仿宋_GB2312"/>
          <w:b/>
          <w:bCs/>
          <w:color w:val="000000"/>
          <w:kern w:val="0"/>
          <w:sz w:val="32"/>
          <w:szCs w:val="32"/>
          <w:shd w:val="clear" w:color="auto" w:fill="FFFFFF"/>
          <w:lang w:val="zh-CN" w:eastAsia="zh-CN"/>
        </w:rPr>
        <w:t>目标实现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目标完成</w:t>
      </w:r>
      <w:r>
        <w:rPr>
          <w:rFonts w:hint="eastAsia" w:ascii="仿宋_GB2312" w:hAnsi="仿宋_GB2312" w:eastAsia="仿宋_GB2312" w:cs="仿宋_GB2312"/>
          <w:color w:val="000000"/>
          <w:kern w:val="0"/>
          <w:sz w:val="32"/>
          <w:szCs w:val="32"/>
          <w:shd w:val="clear" w:color="auto" w:fill="FFFFFF"/>
          <w:lang w:val="en-US" w:eastAsia="zh-CN"/>
        </w:rPr>
        <w:t>方面，部门预算项目绩效目标数量指标按时完成了；目标偏离方面，部门预算项目绩效目标数量指标实现程度与预期目标不存在偏离情况；实现效果方面，部门预算项目绩效目标效益指标得到有效实施。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涉及国有资本经营预算、社会保险基金预算。</w:t>
      </w:r>
    </w:p>
    <w:p>
      <w:pPr>
        <w:numPr>
          <w:ilvl w:val="0"/>
          <w:numId w:val="0"/>
        </w:numPr>
        <w:snapToGrid w:val="0"/>
        <w:spacing w:line="600" w:lineRule="exact"/>
        <w:ind w:leftChars="200"/>
        <w:rPr>
          <w:rFonts w:hint="eastAsia" w:ascii="楷体" w:hAnsi="楷体" w:eastAsia="楷体" w:cs="楷体"/>
          <w:b/>
          <w:bCs/>
          <w:sz w:val="32"/>
          <w:szCs w:val="32"/>
          <w:lang w:val="zh-CN"/>
        </w:rPr>
      </w:pPr>
      <w:r>
        <w:rPr>
          <w:rFonts w:hint="eastAsia" w:ascii="楷体" w:hAnsi="楷体" w:eastAsia="楷体" w:cs="楷体"/>
          <w:b/>
          <w:bCs/>
          <w:sz w:val="32"/>
          <w:szCs w:val="32"/>
          <w:lang w:val="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val="zh-CN"/>
        </w:rPr>
        <w:t>）绩效结果应用情况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我单位严格按照预算执行进度进行资金使用管理，中期进行评估，“三公”经费严格按照预算执行，做到对资金的有效管理。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本单位对所有项目都进行严格管理，比如：严格按照政策进行采购、资产管理、内控制度管理、信息公开、绩效评价及依法接受财政监督情况等。</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我单位将评价结果作为预算安排的重要依据，参照项目年度预算执行情况“三年滚动规划”执行情况统筹项目支出需求，保障重点支出，调整支出结构，优化财政资金配置，不断强化绩效理念，推动部门整体绩效管理水平不断提升。</w:t>
      </w:r>
      <w:r>
        <w:rPr>
          <w:rFonts w:hint="eastAsia" w:ascii="仿宋_GB2312" w:hAnsi="仿宋_GB2312" w:eastAsia="仿宋_GB2312" w:cs="仿宋_GB2312"/>
          <w:color w:val="000000"/>
          <w:sz w:val="32"/>
          <w:szCs w:val="32"/>
        </w:rPr>
        <w:t>绩效目标完成情况整体良好</w:t>
      </w:r>
      <w:r>
        <w:rPr>
          <w:rFonts w:hint="eastAsia" w:ascii="仿宋_GB2312" w:hAnsi="仿宋_GB2312" w:eastAsia="仿宋_GB2312" w:cs="仿宋_GB2312"/>
          <w:color w:val="000000"/>
          <w:sz w:val="32"/>
          <w:szCs w:val="32"/>
          <w:lang w:eastAsia="zh-CN"/>
        </w:rPr>
        <w:t>，自评良好</w:t>
      </w:r>
      <w:r>
        <w:rPr>
          <w:rFonts w:hint="eastAsia" w:ascii="仿宋_GB2312" w:hAnsi="仿宋_GB2312" w:eastAsia="仿宋_GB2312" w:cs="仿宋_GB2312"/>
          <w:color w:val="000000"/>
          <w:sz w:val="32"/>
          <w:szCs w:val="32"/>
        </w:rPr>
        <w:t>。</w:t>
      </w:r>
    </w:p>
    <w:p>
      <w:pPr>
        <w:widowControl/>
        <w:adjustRightInd w:val="0"/>
        <w:snapToGrid w:val="0"/>
        <w:spacing w:line="578"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2"/>
          <w:sz w:val="32"/>
          <w:szCs w:val="32"/>
          <w:lang w:val="en-US" w:eastAsia="zh-CN" w:bidi="ar"/>
        </w:rPr>
        <w:t>根据我办整体支出情况的自查和自评，结论为：我办整体支出情况合法、合规。严格执行法律、政策、科学分配、有效使用、严密管理，有力地促进了我办各项工作顺利完成和各项目标的实现，建立了我办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w:t>
      </w:r>
      <w:r>
        <w:rPr>
          <w:rFonts w:hint="eastAsia" w:ascii="楷体" w:hAnsi="楷体" w:eastAsia="楷体" w:cs="楷体"/>
          <w:b/>
          <w:bCs/>
          <w:color w:val="000000"/>
          <w:kern w:val="0"/>
          <w:sz w:val="32"/>
          <w:szCs w:val="32"/>
          <w:shd w:val="clear" w:color="auto" w:fill="FFFFFF"/>
          <w:lang w:val="en-US" w:eastAsia="zh-CN"/>
        </w:rPr>
        <w:t>二</w:t>
      </w:r>
      <w:r>
        <w:rPr>
          <w:rFonts w:hint="eastAsia" w:ascii="楷体" w:hAnsi="楷体" w:eastAsia="楷体" w:cs="楷体"/>
          <w:b/>
          <w:bCs/>
          <w:color w:val="000000"/>
          <w:kern w:val="0"/>
          <w:sz w:val="32"/>
          <w:szCs w:val="32"/>
          <w:shd w:val="clear" w:color="auto" w:fill="FFFFFF"/>
          <w:lang w:val="zh-CN"/>
        </w:rPr>
        <w:t>）存在问题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w:t>
      </w:r>
      <w:r>
        <w:rPr>
          <w:rFonts w:hint="eastAsia" w:ascii="楷体" w:hAnsi="楷体" w:eastAsia="楷体" w:cs="楷体"/>
          <w:b/>
          <w:bCs/>
          <w:color w:val="000000"/>
          <w:kern w:val="0"/>
          <w:sz w:val="32"/>
          <w:szCs w:val="32"/>
          <w:shd w:val="clear" w:color="auto" w:fill="FFFFFF"/>
          <w:lang w:val="en-US" w:eastAsia="zh-CN"/>
        </w:rPr>
        <w:t>三</w:t>
      </w:r>
      <w:r>
        <w:rPr>
          <w:rFonts w:hint="eastAsia" w:ascii="楷体" w:hAnsi="楷体" w:eastAsia="楷体" w:cs="楷体"/>
          <w:b/>
          <w:bCs/>
          <w:color w:val="000000"/>
          <w:kern w:val="0"/>
          <w:sz w:val="32"/>
          <w:szCs w:val="32"/>
          <w:shd w:val="clear" w:color="auto" w:fill="FFFFFF"/>
          <w:lang w:val="zh-CN" w:eastAsia="zh-CN"/>
        </w:rPr>
        <w:t>）改进建议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根据</w:t>
      </w:r>
      <w:r>
        <w:rPr>
          <w:rFonts w:hint="eastAsia" w:ascii="仿宋_GB2312" w:hAnsi="仿宋_GB2312" w:eastAsia="仿宋_GB2312" w:cs="仿宋_GB2312"/>
          <w:color w:val="000000"/>
          <w:kern w:val="2"/>
          <w:sz w:val="32"/>
          <w:szCs w:val="32"/>
          <w:lang w:val="en-US" w:eastAsia="zh-CN" w:bidi="ar"/>
        </w:rPr>
        <w:t>我办</w:t>
      </w:r>
      <w:r>
        <w:rPr>
          <w:rFonts w:hint="eastAsia" w:ascii="仿宋_GB2312" w:hAnsi="仿宋_GB2312" w:eastAsia="仿宋_GB2312" w:cs="仿宋_GB2312"/>
          <w:color w:val="000000"/>
          <w:kern w:val="2"/>
          <w:sz w:val="32"/>
          <w:szCs w:val="32"/>
          <w:lang w:val="zh-CN" w:eastAsia="zh-CN" w:bidi="ar"/>
        </w:rPr>
        <w:t>年初工作计划，按照中央和省、州的各项工作部署积极履职，强化管理，较好的完成了年度工作目标。通过加强预算收支管理，不断建立健全内部管理制度，梳理内部管理流程，单位整体支出管理情况得到提升。</w:t>
      </w: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spacing w:line="578" w:lineRule="exact"/>
        <w:jc w:val="left"/>
        <w:rPr>
          <w:rFonts w:hint="eastAsia" w:ascii="仿宋_GB2312" w:hAnsi="仿宋_GB2312" w:eastAsia="仿宋_GB2312" w:cs="仿宋_GB2312"/>
        </w:rPr>
      </w:pPr>
    </w:p>
    <w:p>
      <w:pPr>
        <w:widowControl/>
        <w:spacing w:line="600" w:lineRule="exact"/>
        <w:jc w:val="left"/>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附表1</w:t>
      </w:r>
    </w:p>
    <w:p>
      <w:pPr>
        <w:widowControl/>
        <w:spacing w:line="600" w:lineRule="exact"/>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部门预算绩效自评打分表</w:t>
      </w:r>
    </w:p>
    <w:tbl>
      <w:tblPr>
        <w:tblStyle w:val="19"/>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总体绩效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履职效能</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预算管理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财务管理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资产管理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总体绩效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资产管理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采购管理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项目决策</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项目执行</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目标实现</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扣分项</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bl>
    <w:p>
      <w:pPr>
        <w:pStyle w:val="38"/>
        <w:spacing w:line="2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黑体" w:hAnsi="黑体" w:eastAsia="黑体" w:cs="黑体"/>
          <w:color w:val="000000"/>
          <w:kern w:val="0"/>
          <w:sz w:val="32"/>
          <w:szCs w:val="32"/>
          <w:lang w:bidi="ar"/>
        </w:rPr>
        <w:t>附表2</w:t>
      </w:r>
    </w:p>
    <w:tbl>
      <w:tblPr>
        <w:tblStyle w:val="19"/>
        <w:tblW w:w="10560" w:type="dxa"/>
        <w:jc w:val="center"/>
        <w:tblLayout w:type="fixed"/>
        <w:tblCellMar>
          <w:top w:w="15" w:type="dxa"/>
          <w:left w:w="15" w:type="dxa"/>
          <w:bottom w:w="15" w:type="dxa"/>
          <w:right w:w="15" w:type="dxa"/>
        </w:tblCellMar>
      </w:tblPr>
      <w:tblGrid>
        <w:gridCol w:w="1308"/>
        <w:gridCol w:w="1347"/>
        <w:gridCol w:w="1273"/>
        <w:gridCol w:w="1409"/>
        <w:gridCol w:w="836"/>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hint="eastAsia" w:ascii="仿宋_GB2312" w:hAnsi="仿宋_GB2312" w:eastAsia="仿宋_GB2312" w:cs="仿宋_GB2312"/>
                <w:color w:val="000000"/>
                <w:sz w:val="28"/>
                <w:szCs w:val="28"/>
              </w:rPr>
            </w:pPr>
            <w:r>
              <w:rPr>
                <w:rFonts w:hint="eastAsia" w:ascii="黑体" w:hAnsi="黑体" w:eastAsia="黑体" w:cs="黑体"/>
                <w:color w:val="000000"/>
                <w:kern w:val="0"/>
                <w:sz w:val="32"/>
                <w:szCs w:val="32"/>
                <w:lang w:bidi="ar"/>
              </w:rPr>
              <w:t>部门整体绩效目标完成情况自评表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（2024年度）</w:t>
            </w:r>
          </w:p>
        </w:tc>
      </w:tr>
      <w:tr>
        <w:tblPrEx>
          <w:tblCellMar>
            <w:top w:w="15" w:type="dxa"/>
            <w:left w:w="15" w:type="dxa"/>
            <w:bottom w:w="15" w:type="dxa"/>
            <w:right w:w="15" w:type="dxa"/>
          </w:tblCellMar>
        </w:tblPrEx>
        <w:trPr>
          <w:trHeight w:val="475"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中共茂县县委办公室</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年度总体</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保障单位日常工作正常运转，完成各项工作指标任务。</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年度主要</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 xml:space="preserve">日常工作所需人员及运转经费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人员工资、各类保险、日常办公经费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年度绩效</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三级指标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绩效指标</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实际完成</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数量指标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金额</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质量指标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资金拨付率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时效指标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资金到位及时率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r>
    </w:tbl>
    <w:p>
      <w:pPr>
        <w:widowControl/>
        <w:spacing w:line="240" w:lineRule="exact"/>
        <w:jc w:val="left"/>
        <w:textAlignment w:val="center"/>
        <w:rPr>
          <w:rFonts w:hint="eastAsia" w:ascii="仿宋_GB2312" w:hAnsi="仿宋_GB2312" w:eastAsia="仿宋_GB2312" w:cs="仿宋_GB2312"/>
          <w:color w:val="000000"/>
          <w:kern w:val="0"/>
          <w:sz w:val="24"/>
          <w:lang w:bidi="ar"/>
        </w:rPr>
      </w:pPr>
    </w:p>
    <w:tbl>
      <w:tblPr>
        <w:tblStyle w:val="19"/>
        <w:tblW w:w="10560" w:type="dxa"/>
        <w:jc w:val="center"/>
        <w:tblLayout w:type="fixed"/>
        <w:tblCellMar>
          <w:top w:w="15" w:type="dxa"/>
          <w:left w:w="15" w:type="dxa"/>
          <w:bottom w:w="15" w:type="dxa"/>
          <w:right w:w="15" w:type="dxa"/>
        </w:tblCellMar>
      </w:tblPr>
      <w:tblGrid>
        <w:gridCol w:w="1308"/>
        <w:gridCol w:w="1347"/>
        <w:gridCol w:w="1273"/>
        <w:gridCol w:w="1424"/>
        <w:gridCol w:w="821"/>
        <w:gridCol w:w="1289"/>
        <w:gridCol w:w="1058"/>
        <w:gridCol w:w="926"/>
        <w:gridCol w:w="1114"/>
      </w:tblGrid>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年度绩效</w:t>
            </w:r>
          </w:p>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w:t>
            </w:r>
          </w:p>
        </w:tc>
        <w:tc>
          <w:tcPr>
            <w:tcW w:w="1347" w:type="dxa"/>
            <w:vMerge w:val="restart"/>
            <w:tcBorders>
              <w:top w:val="single" w:color="000000" w:sz="4" w:space="0"/>
              <w:left w:val="single" w:color="000000" w:sz="4" w:space="0"/>
              <w:right w:val="single" w:color="auto"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可持续发展指标</w:t>
            </w:r>
          </w:p>
        </w:tc>
        <w:tc>
          <w:tcPr>
            <w:tcW w:w="142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保障工作正常开展对社会带来的可持续发展效率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可持续影响指标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保障工作正常开展对单位带来的可持续影响效率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满意度指标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该笔资金使该项工作得到顺利完成让社会得到的满意度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bl>
    <w:p>
      <w:pPr>
        <w:widowControl/>
        <w:spacing w:line="24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br w:type="page"/>
      </w:r>
    </w:p>
    <w:p>
      <w:pPr>
        <w:pStyle w:val="38"/>
        <w:spacing w:before="0" w:after="0" w:line="578" w:lineRule="exact"/>
        <w:ind w:firstLine="640" w:firstLineChars="200"/>
        <w:rPr>
          <w:rFonts w:hint="eastAsia" w:ascii="黑体" w:hAnsi="黑体" w:eastAsia="黑体" w:cs="黑体"/>
          <w:b w:val="0"/>
          <w:color w:val="000000"/>
          <w:kern w:val="0"/>
          <w:sz w:val="32"/>
          <w:szCs w:val="32"/>
          <w:lang w:val="en-US" w:eastAsia="zh-CN" w:bidi="ar"/>
        </w:rPr>
      </w:pPr>
      <w:r>
        <w:rPr>
          <w:rFonts w:hint="eastAsia" w:ascii="黑体" w:hAnsi="黑体" w:eastAsia="黑体" w:cs="黑体"/>
          <w:b w:val="0"/>
          <w:color w:val="000000"/>
          <w:kern w:val="0"/>
          <w:sz w:val="32"/>
          <w:szCs w:val="32"/>
          <w:lang w:val="en-US" w:eastAsia="zh-CN" w:bidi="ar"/>
        </w:rPr>
        <w:t>附表3</w:t>
      </w:r>
    </w:p>
    <w:tbl>
      <w:tblPr>
        <w:tblStyle w:val="19"/>
        <w:tblW w:w="56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57"/>
        <w:gridCol w:w="786"/>
        <w:gridCol w:w="1082"/>
        <w:gridCol w:w="456"/>
        <w:gridCol w:w="727"/>
        <w:gridCol w:w="456"/>
        <w:gridCol w:w="1056"/>
        <w:gridCol w:w="576"/>
        <w:gridCol w:w="456"/>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黑体" w:hAnsi="黑体" w:eastAsia="黑体" w:cs="黑体"/>
                <w:color w:val="000000"/>
                <w:kern w:val="0"/>
                <w:sz w:val="32"/>
                <w:szCs w:val="32"/>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51322324T000010468501-2024年设备维修维护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2024年单位通信设备升级、维修维护等所需费用。其中TD工程400万元、2024换装16.1万元、线路租赁6万元、性能维护5.35万元、内网设备维护26.92万元</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按标准完成2024年项目工作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根据项目建设内容，完成2024年资金支付进度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改善设备环境，保障信息安全不泄密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提高信息化水平可持续性</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替换设备，提升职工工作满意度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提升信息工作安全满意度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控制成本，保质保量完成2024年项目工作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控制设备成本，达到效率最大化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0"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p>
            <w:pPr>
              <w:pStyle w:val="5"/>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51322325T000012409416-HJ建设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HJ建设，保障县委信息安全与工作顺利进行</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按标准完成2024年工作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按照建设时间要求完成建设内容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保障信息安全性及时性</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可持续影响指标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保障信息安全不泄密，可持续发展</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提升工作办公满意度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控制成本，达效益最大化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控制成本，保质保量完成</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0"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51322325T000013255204-党费支出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购买党内书籍，提升党性修养</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数量指标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购买图书60本</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保质保量完成图书购买工作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2024年完成支付</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可持续发展指标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购买党内书籍，持续提升党性修养</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提升职工党内学习满意度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购买图书循环使用节约成本</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元/年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bl>
    <w:p>
      <w:pPr>
        <w:pStyle w:val="9"/>
        <w:spacing w:after="0" w:line="578" w:lineRule="exact"/>
        <w:ind w:left="0" w:leftChars="0" w:firstLine="0" w:firstLineChars="0"/>
        <w:rPr>
          <w:rFonts w:ascii="黑体" w:eastAsia="黑体" w:cs="黑体"/>
          <w:sz w:val="24"/>
          <w:szCs w:val="24"/>
          <w:highlight w:val="yellow"/>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9"/>
        <w:ind w:left="0" w:leftChars="0" w:firstLine="0" w:firstLineChars="0"/>
        <w:rPr>
          <w:rFonts w:ascii="Times New Roman" w:hAnsi="Times New Roman" w:eastAsia="黑体"/>
          <w:sz w:val="24"/>
          <w:szCs w:val="24"/>
        </w:rPr>
      </w:pPr>
    </w:p>
    <w:p>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96" w:name="_Toc32078"/>
      <w:r>
        <w:rPr>
          <w:rStyle w:val="24"/>
          <w:rFonts w:hint="eastAsia" w:ascii="方正公文小标宋" w:hAnsi="方正公文小标宋" w:eastAsia="方正公文小标宋" w:cs="方正公文小标宋"/>
          <w:b/>
          <w:bCs/>
          <w:lang w:val="en-US" w:eastAsia="zh-CN"/>
        </w:rPr>
        <w:t>第五部分 附表</w:t>
      </w:r>
      <w:bookmarkEnd w:id="95"/>
      <w:bookmarkEnd w:id="9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97" w:name="_Toc9879"/>
      <w:bookmarkStart w:id="98" w:name="_Toc12986"/>
      <w:bookmarkStart w:id="99" w:name="_Toc26370"/>
      <w:r>
        <w:rPr>
          <w:rFonts w:hint="eastAsia" w:ascii="仿宋_GB2312" w:hAnsi="仿宋_GB2312" w:eastAsia="仿宋_GB2312" w:cs="仿宋_GB2312"/>
          <w:b w:val="0"/>
          <w:color w:val="000000"/>
          <w:kern w:val="2"/>
          <w:sz w:val="32"/>
          <w:szCs w:val="32"/>
          <w:lang w:bidi="ar-SA"/>
        </w:rPr>
        <w:t>一、收入支出决算总表</w:t>
      </w:r>
      <w:bookmarkEnd w:id="97"/>
      <w:bookmarkEnd w:id="98"/>
      <w:bookmarkEnd w:id="9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0" w:name="_Toc13591"/>
      <w:bookmarkStart w:id="101" w:name="_Toc13062"/>
      <w:bookmarkStart w:id="102" w:name="_Toc13634"/>
      <w:r>
        <w:rPr>
          <w:rFonts w:hint="eastAsia" w:ascii="仿宋_GB2312" w:hAnsi="仿宋_GB2312" w:eastAsia="仿宋_GB2312" w:cs="仿宋_GB2312"/>
          <w:b w:val="0"/>
          <w:color w:val="000000"/>
          <w:kern w:val="2"/>
          <w:sz w:val="32"/>
          <w:szCs w:val="32"/>
          <w:lang w:bidi="ar-SA"/>
        </w:rPr>
        <w:t>二、收入决算表</w:t>
      </w:r>
      <w:bookmarkEnd w:id="100"/>
      <w:bookmarkEnd w:id="101"/>
      <w:bookmarkEnd w:id="10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3" w:name="_Toc29688"/>
      <w:bookmarkStart w:id="104" w:name="_Toc16600"/>
      <w:bookmarkStart w:id="105" w:name="_Toc15836"/>
      <w:r>
        <w:rPr>
          <w:rFonts w:hint="eastAsia" w:ascii="仿宋_GB2312" w:hAnsi="仿宋_GB2312" w:eastAsia="仿宋_GB2312" w:cs="仿宋_GB2312"/>
          <w:b w:val="0"/>
          <w:color w:val="000000"/>
          <w:kern w:val="2"/>
          <w:sz w:val="32"/>
          <w:szCs w:val="32"/>
          <w:lang w:bidi="ar-SA"/>
        </w:rPr>
        <w:t>三、支出决算表</w:t>
      </w:r>
      <w:bookmarkEnd w:id="103"/>
      <w:bookmarkEnd w:id="104"/>
      <w:bookmarkEnd w:id="105"/>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6" w:name="_Toc5964"/>
      <w:bookmarkStart w:id="107" w:name="_Toc18864"/>
      <w:bookmarkStart w:id="108" w:name="_Toc26630"/>
      <w:r>
        <w:rPr>
          <w:rFonts w:hint="eastAsia" w:ascii="仿宋_GB2312" w:hAnsi="仿宋_GB2312" w:eastAsia="仿宋_GB2312" w:cs="仿宋_GB2312"/>
          <w:b w:val="0"/>
          <w:color w:val="000000"/>
          <w:kern w:val="2"/>
          <w:sz w:val="32"/>
          <w:szCs w:val="32"/>
          <w:lang w:bidi="ar-SA"/>
        </w:rPr>
        <w:t>四、财政拨款收入支出决算总表</w:t>
      </w:r>
      <w:bookmarkEnd w:id="106"/>
      <w:bookmarkEnd w:id="107"/>
      <w:bookmarkEnd w:id="10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9" w:name="_Toc19934"/>
      <w:bookmarkStart w:id="110" w:name="_Toc11006"/>
      <w:bookmarkStart w:id="111" w:name="_Toc14273"/>
      <w:r>
        <w:rPr>
          <w:rFonts w:hint="eastAsia" w:ascii="仿宋_GB2312" w:hAnsi="仿宋_GB2312" w:eastAsia="仿宋_GB2312" w:cs="仿宋_GB2312"/>
          <w:b w:val="0"/>
          <w:color w:val="000000"/>
          <w:kern w:val="2"/>
          <w:sz w:val="32"/>
          <w:szCs w:val="32"/>
          <w:lang w:bidi="ar-SA"/>
        </w:rPr>
        <w:t>五、财政拨款支出决算明细表</w:t>
      </w:r>
      <w:bookmarkEnd w:id="109"/>
      <w:bookmarkEnd w:id="110"/>
      <w:bookmarkEnd w:id="111"/>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2" w:name="_Toc6686"/>
      <w:bookmarkStart w:id="113" w:name="_Toc22435"/>
      <w:bookmarkStart w:id="114" w:name="_Toc16449"/>
      <w:r>
        <w:rPr>
          <w:rFonts w:hint="eastAsia" w:ascii="仿宋_GB2312" w:hAnsi="仿宋_GB2312" w:eastAsia="仿宋_GB2312" w:cs="仿宋_GB2312"/>
          <w:b w:val="0"/>
          <w:color w:val="000000"/>
          <w:kern w:val="2"/>
          <w:sz w:val="32"/>
          <w:szCs w:val="32"/>
          <w:lang w:bidi="ar-SA"/>
        </w:rPr>
        <w:t>六、一般公共预算财政拨款支出决算表</w:t>
      </w:r>
      <w:bookmarkEnd w:id="112"/>
      <w:bookmarkEnd w:id="113"/>
      <w:bookmarkEnd w:id="11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5" w:name="_Toc822"/>
      <w:bookmarkStart w:id="116" w:name="_Toc3478"/>
      <w:bookmarkStart w:id="117" w:name="_Toc19514"/>
      <w:r>
        <w:rPr>
          <w:rFonts w:hint="eastAsia" w:ascii="仿宋_GB2312" w:hAnsi="仿宋_GB2312" w:eastAsia="仿宋_GB2312" w:cs="仿宋_GB2312"/>
          <w:b w:val="0"/>
          <w:color w:val="000000"/>
          <w:kern w:val="2"/>
          <w:sz w:val="32"/>
          <w:szCs w:val="32"/>
          <w:lang w:bidi="ar-SA"/>
        </w:rPr>
        <w:t>七、一般公共预算财政拨款支出决算明细表</w:t>
      </w:r>
      <w:bookmarkEnd w:id="115"/>
      <w:bookmarkEnd w:id="116"/>
      <w:bookmarkEnd w:id="117"/>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8" w:name="_Toc16998"/>
      <w:bookmarkStart w:id="119" w:name="_Toc17352"/>
      <w:bookmarkStart w:id="120" w:name="_Toc191"/>
      <w:r>
        <w:rPr>
          <w:rFonts w:hint="eastAsia" w:ascii="仿宋_GB2312" w:hAnsi="仿宋_GB2312" w:eastAsia="仿宋_GB2312" w:cs="仿宋_GB2312"/>
          <w:b w:val="0"/>
          <w:color w:val="000000"/>
          <w:kern w:val="2"/>
          <w:sz w:val="32"/>
          <w:szCs w:val="32"/>
          <w:lang w:bidi="ar-SA"/>
        </w:rPr>
        <w:t>八、一般公共预算财政拨款基本支出决算表</w:t>
      </w:r>
      <w:bookmarkEnd w:id="118"/>
      <w:bookmarkEnd w:id="119"/>
      <w:bookmarkEnd w:id="12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1" w:name="_Toc5204"/>
      <w:bookmarkStart w:id="122" w:name="_Toc31696"/>
      <w:bookmarkStart w:id="123" w:name="_Toc3726"/>
      <w:r>
        <w:rPr>
          <w:rFonts w:hint="eastAsia" w:ascii="仿宋_GB2312" w:hAnsi="仿宋_GB2312" w:eastAsia="仿宋_GB2312" w:cs="仿宋_GB2312"/>
          <w:b w:val="0"/>
          <w:color w:val="000000"/>
          <w:kern w:val="2"/>
          <w:sz w:val="32"/>
          <w:szCs w:val="32"/>
          <w:lang w:bidi="ar-SA"/>
        </w:rPr>
        <w:t>九、一般公共预算财政拨款项目支出决算表</w:t>
      </w:r>
      <w:bookmarkEnd w:id="121"/>
      <w:bookmarkEnd w:id="122"/>
      <w:bookmarkEnd w:id="123"/>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4" w:name="_Toc20756"/>
      <w:bookmarkStart w:id="125" w:name="_Toc29843"/>
      <w:bookmarkStart w:id="126" w:name="_Toc20056"/>
      <w:r>
        <w:rPr>
          <w:rFonts w:hint="eastAsia" w:ascii="仿宋_GB2312" w:hAnsi="仿宋_GB2312" w:eastAsia="仿宋_GB2312" w:cs="仿宋_GB2312"/>
          <w:b w:val="0"/>
          <w:color w:val="000000"/>
          <w:kern w:val="2"/>
          <w:sz w:val="32"/>
          <w:szCs w:val="32"/>
          <w:lang w:bidi="ar-SA"/>
        </w:rPr>
        <w:t>十、政府性基金预算财政拨款收入支出决算表</w:t>
      </w:r>
      <w:bookmarkEnd w:id="124"/>
      <w:bookmarkEnd w:id="125"/>
      <w:bookmarkEnd w:id="12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7" w:name="_Toc15732"/>
      <w:bookmarkStart w:id="128" w:name="_Toc21387"/>
      <w:bookmarkStart w:id="129" w:name="_Toc13849"/>
      <w:r>
        <w:rPr>
          <w:rFonts w:hint="eastAsia" w:ascii="仿宋_GB2312" w:hAnsi="仿宋_GB2312" w:eastAsia="仿宋_GB2312" w:cs="仿宋_GB2312"/>
          <w:b w:val="0"/>
          <w:color w:val="000000"/>
          <w:kern w:val="2"/>
          <w:sz w:val="32"/>
          <w:szCs w:val="32"/>
          <w:lang w:bidi="ar-SA"/>
        </w:rPr>
        <w:t>十一、国有资本经营预算财政拨款收入支出决算表</w:t>
      </w:r>
      <w:bookmarkEnd w:id="127"/>
      <w:bookmarkEnd w:id="128"/>
      <w:bookmarkEnd w:id="129"/>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0" w:name="_Toc8905"/>
      <w:bookmarkStart w:id="131" w:name="_Toc1140"/>
      <w:bookmarkStart w:id="132" w:name="_Toc13099"/>
      <w:r>
        <w:rPr>
          <w:rFonts w:hint="eastAsia" w:ascii="仿宋_GB2312" w:hAnsi="仿宋_GB2312" w:eastAsia="仿宋_GB2312" w:cs="仿宋_GB2312"/>
          <w:b w:val="0"/>
          <w:color w:val="000000"/>
          <w:kern w:val="2"/>
          <w:sz w:val="32"/>
          <w:szCs w:val="32"/>
          <w:lang w:bidi="ar-SA"/>
        </w:rPr>
        <w:t>十二、国有资本经营预算财政拨款支出决算表</w:t>
      </w:r>
      <w:bookmarkEnd w:id="130"/>
      <w:bookmarkEnd w:id="131"/>
      <w:bookmarkEnd w:id="13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3" w:name="_Toc26255"/>
      <w:bookmarkStart w:id="134" w:name="_Toc24957"/>
      <w:bookmarkStart w:id="135" w:name="_Toc25065"/>
      <w:r>
        <w:rPr>
          <w:rFonts w:hint="eastAsia" w:ascii="仿宋_GB2312" w:hAnsi="仿宋_GB2312" w:eastAsia="仿宋_GB2312" w:cs="仿宋_GB2312"/>
          <w:b w:val="0"/>
          <w:color w:val="000000"/>
          <w:kern w:val="2"/>
          <w:sz w:val="32"/>
          <w:szCs w:val="32"/>
          <w:lang w:bidi="ar-SA"/>
        </w:rPr>
        <w:t>十三、财政拨款“三公”经费支出决算表</w:t>
      </w:r>
      <w:bookmarkEnd w:id="133"/>
      <w:bookmarkEnd w:id="134"/>
      <w:bookmarkEnd w:id="135"/>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公文小标宋">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王羲之行书体">
    <w:panose1 w:val="0201060900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97A6D"/>
    <w:multiLevelType w:val="singleLevel"/>
    <w:tmpl w:val="29497A6D"/>
    <w:lvl w:ilvl="0" w:tentative="0">
      <w:start w:val="1"/>
      <w:numFmt w:val="decimal"/>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zlkY2FlNmExNzFhNGJlNGE5OGJlODk5MTVmZWVhZjcifQ=="/>
  </w:docVars>
  <w:rsids>
    <w:rsidRoot w:val="00000000"/>
    <w:rsid w:val="010158F6"/>
    <w:rsid w:val="0ADB2CF4"/>
    <w:rsid w:val="0B470389"/>
    <w:rsid w:val="0ED03E95"/>
    <w:rsid w:val="18113FCB"/>
    <w:rsid w:val="1BBC447B"/>
    <w:rsid w:val="1D757B3E"/>
    <w:rsid w:val="222A2431"/>
    <w:rsid w:val="24A723BA"/>
    <w:rsid w:val="255971B3"/>
    <w:rsid w:val="266C7358"/>
    <w:rsid w:val="27427F2B"/>
    <w:rsid w:val="29057462"/>
    <w:rsid w:val="2ECD27D0"/>
    <w:rsid w:val="31394A62"/>
    <w:rsid w:val="32C739DA"/>
    <w:rsid w:val="3302506B"/>
    <w:rsid w:val="33D23C45"/>
    <w:rsid w:val="35847960"/>
    <w:rsid w:val="359D6D2B"/>
    <w:rsid w:val="39F7270B"/>
    <w:rsid w:val="3A2636DC"/>
    <w:rsid w:val="3C591848"/>
    <w:rsid w:val="3DDA0A65"/>
    <w:rsid w:val="406227C5"/>
    <w:rsid w:val="41A81EBB"/>
    <w:rsid w:val="43BF7BB1"/>
    <w:rsid w:val="44313CC3"/>
    <w:rsid w:val="45232CF2"/>
    <w:rsid w:val="4C266263"/>
    <w:rsid w:val="4C36087D"/>
    <w:rsid w:val="4FCFC848"/>
    <w:rsid w:val="50B067B2"/>
    <w:rsid w:val="53BE5749"/>
    <w:rsid w:val="56CE5980"/>
    <w:rsid w:val="58384833"/>
    <w:rsid w:val="58D44218"/>
    <w:rsid w:val="5C4E644E"/>
    <w:rsid w:val="60512C55"/>
    <w:rsid w:val="63AD163B"/>
    <w:rsid w:val="642653D2"/>
    <w:rsid w:val="64A84B6A"/>
    <w:rsid w:val="659F7D1B"/>
    <w:rsid w:val="67642FCA"/>
    <w:rsid w:val="6DFB848C"/>
    <w:rsid w:val="6E6D47E6"/>
    <w:rsid w:val="6EF91CD9"/>
    <w:rsid w:val="710C37CC"/>
    <w:rsid w:val="751C6D9C"/>
    <w:rsid w:val="7A4E230F"/>
    <w:rsid w:val="7BDC4A82"/>
    <w:rsid w:val="7C9ED0AA"/>
    <w:rsid w:val="7DA71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 w:type="paragraph" w:customStyle="1" w:styleId="38">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2023年收入</c:v>
                </c:pt>
                <c:pt idx="1">
                  <c:v>2023年支出</c:v>
                </c:pt>
                <c:pt idx="2">
                  <c:v>2024年收入</c:v>
                </c:pt>
                <c:pt idx="3">
                  <c:v>2024年支出</c:v>
                </c:pt>
              </c:strCache>
            </c:strRef>
          </c:cat>
          <c:val>
            <c:numRef>
              <c:f>Sheet1!$B$2:$B$5</c:f>
              <c:numCache>
                <c:formatCode>General</c:formatCode>
                <c:ptCount val="4"/>
                <c:pt idx="0">
                  <c:v>1267.8</c:v>
                </c:pt>
                <c:pt idx="1">
                  <c:v>1267.8</c:v>
                </c:pt>
                <c:pt idx="2">
                  <c:v>1293.65</c:v>
                </c:pt>
                <c:pt idx="3">
                  <c:v>1293.65</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1085.65</c:v>
                </c:pt>
                <c:pt idx="1">
                  <c:v>208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2024年收入</c:v>
                </c:pt>
                <c:pt idx="3">
                  <c:v>2024年支出</c:v>
                </c:pt>
              </c:strCache>
            </c:strRef>
          </c:cat>
          <c:val>
            <c:numRef>
              <c:f>'Sheet1 (4)'!$B$2:$B$5</c:f>
              <c:numCache>
                <c:formatCode>General</c:formatCode>
                <c:ptCount val="4"/>
                <c:pt idx="0">
                  <c:v>1267.8</c:v>
                </c:pt>
                <c:pt idx="1">
                  <c:v>1267.8</c:v>
                </c:pt>
                <c:pt idx="2">
                  <c:v>1293.65</c:v>
                </c:pt>
                <c:pt idx="3">
                  <c:v>1293.65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2024年</c:v>
                </c:pt>
              </c:strCache>
            </c:strRef>
          </c:cat>
          <c:val>
            <c:numRef>
              <c:f>'Sheet1 (5)'!$B$2:$B$3</c:f>
              <c:numCache>
                <c:formatCode>General</c:formatCode>
                <c:ptCount val="2"/>
                <c:pt idx="0">
                  <c:v>1267.8</c:v>
                </c:pt>
                <c:pt idx="1">
                  <c:v>1293.65</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一般公共服务支出78.6%</c:v>
                </c:pt>
                <c:pt idx="1">
                  <c:v>社会保障和就业支出10.8%</c:v>
                </c:pt>
                <c:pt idx="2">
                  <c:v>卫生健康支出4.7%</c:v>
                </c:pt>
                <c:pt idx="3">
                  <c:v>住房保障支出6%</c:v>
                </c:pt>
              </c:strCache>
            </c:strRef>
          </c:cat>
          <c:val>
            <c:numRef>
              <c:f>'Sheet1 (6)'!$B$2:$B$5</c:f>
              <c:numCache>
                <c:formatCode>General</c:formatCode>
                <c:ptCount val="4"/>
                <c:pt idx="0">
                  <c:v>1016.83</c:v>
                </c:pt>
                <c:pt idx="1">
                  <c:v>139.23</c:v>
                </c:pt>
                <c:pt idx="2">
                  <c:v>60.3</c:v>
                </c:pt>
                <c:pt idx="3">
                  <c:v>77.29</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一般公共服务支出78.6%</c:v>
                </c:pt>
                <c:pt idx="1">
                  <c:v>社会保障和就业支出10.8%</c:v>
                </c:pt>
                <c:pt idx="2">
                  <c:v>卫生健康支出4.7%</c:v>
                </c:pt>
                <c:pt idx="3">
                  <c:v>住房保障支出6%</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公务接待费0.5%</c:v>
                </c:pt>
                <c:pt idx="1">
                  <c:v>公务用车购置费</c:v>
                </c:pt>
                <c:pt idx="2">
                  <c:v>公车运行维护费99.5%</c:v>
                </c:pt>
                <c:pt idx="3">
                  <c:v>因公出国（境）费</c:v>
                </c:pt>
              </c:strCache>
            </c:strRef>
          </c:cat>
          <c:val>
            <c:numRef>
              <c:f>'Sheet1 (7)'!$B$2:$B$5</c:f>
              <c:numCache>
                <c:formatCode>General</c:formatCode>
                <c:ptCount val="4"/>
                <c:pt idx="0">
                  <c:v>0.35</c:v>
                </c:pt>
                <c:pt idx="1">
                  <c:v>0</c:v>
                </c:pt>
                <c:pt idx="2">
                  <c:v>71.58</c:v>
                </c:pt>
                <c:pt idx="3">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9080</Words>
  <Characters>9884</Characters>
  <Lines>896</Lines>
  <Paragraphs>443</Paragraphs>
  <TotalTime>6</TotalTime>
  <ScaleCrop>false</ScaleCrop>
  <LinksUpToDate>false</LinksUpToDate>
  <CharactersWithSpaces>9944</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2022-08-18T01:31:00Z</dcterms:created>
  <dc:creator>lgk</dc:creator>
  <cp:lastModifiedBy>user</cp:lastModifiedBy>
  <cp:lastPrinted>2025-09-23T16:00:00Z</cp:lastPrinted>
  <dcterms:modified xsi:type="dcterms:W3CDTF">2026-04-22T10:40:08Z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