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D190FF">
      <w:pPr>
        <w:rPr>
          <w:rFonts w:ascii="宋体" w:eastAsia="宋体"/>
          <w:b/>
          <w:sz w:val="72"/>
          <w:szCs w:val="72"/>
        </w:rPr>
      </w:pPr>
      <w:bookmarkStart w:id="0" w:name="_Toc15306267"/>
      <w:bookmarkStart w:id="1" w:name="_Toc15377193"/>
      <w:bookmarkStart w:id="2" w:name="_Toc15396597"/>
      <w:bookmarkStart w:id="3" w:name="_Toc15377425"/>
      <w:bookmarkStart w:id="4" w:name="_Toc15378441"/>
      <w:bookmarkStart w:id="5" w:name="_Toc15396475"/>
    </w:p>
    <w:p w14:paraId="6369810F">
      <w:pPr>
        <w:pStyle w:val="2"/>
        <w:ind w:firstLine="0"/>
      </w:pPr>
    </w:p>
    <w:bookmarkEnd w:id="0"/>
    <w:bookmarkEnd w:id="1"/>
    <w:bookmarkEnd w:id="2"/>
    <w:bookmarkEnd w:id="3"/>
    <w:bookmarkEnd w:id="4"/>
    <w:bookmarkEnd w:id="5"/>
    <w:p w14:paraId="4351D511">
      <w:pPr>
        <w:pStyle w:val="7"/>
        <w:jc w:val="center"/>
        <w:rPr>
          <w:rFonts w:hint="eastAsia" w:ascii="方正小标宋简体" w:eastAsia="方正小标宋简体" w:cs="Times New Roman"/>
          <w:color w:val="auto"/>
          <w:kern w:val="2"/>
          <w:sz w:val="44"/>
          <w:szCs w:val="44"/>
          <w:highlight w:val="none"/>
          <w:lang w:val="en-US" w:eastAsia="zh-CN" w:bidi="ar-SA"/>
        </w:rPr>
      </w:pPr>
    </w:p>
    <w:p w14:paraId="6CDDA69B">
      <w:pPr>
        <w:pStyle w:val="7"/>
        <w:jc w:val="center"/>
        <w:rPr>
          <w:rFonts w:hint="eastAsia" w:ascii="方正小标宋简体" w:eastAsia="方正小标宋简体" w:cs="Times New Roman"/>
          <w:color w:val="auto"/>
          <w:kern w:val="2"/>
          <w:sz w:val="44"/>
          <w:szCs w:val="44"/>
          <w:highlight w:val="none"/>
          <w:lang w:val="en-US" w:eastAsia="zh-CN" w:bidi="ar-SA"/>
        </w:rPr>
      </w:pPr>
      <w:r>
        <w:rPr>
          <w:rFonts w:hint="eastAsia" w:ascii="方正小标宋简体" w:eastAsia="方正小标宋简体" w:cs="Times New Roman"/>
          <w:color w:val="auto"/>
          <w:kern w:val="2"/>
          <w:sz w:val="44"/>
          <w:szCs w:val="44"/>
          <w:highlight w:val="none"/>
          <w:lang w:val="en-US" w:eastAsia="zh-CN" w:bidi="ar-SA"/>
        </w:rPr>
        <w:t>2025年度</w:t>
      </w:r>
      <w:bookmarkStart w:id="6" w:name="_Toc15378442"/>
      <w:bookmarkStart w:id="7" w:name="_Toc15377426"/>
      <w:bookmarkStart w:id="8" w:name="_Toc15377194"/>
      <w:bookmarkStart w:id="9" w:name="_Toc15396598"/>
      <w:bookmarkStart w:id="10" w:name="_Toc15396476"/>
      <w:r>
        <w:rPr>
          <w:rFonts w:hint="eastAsia" w:ascii="方正小标宋简体" w:eastAsia="方正小标宋简体" w:cs="Times New Roman"/>
          <w:color w:val="auto"/>
          <w:kern w:val="2"/>
          <w:sz w:val="44"/>
          <w:szCs w:val="44"/>
          <w:highlight w:val="none"/>
          <w:lang w:val="en-US" w:eastAsia="zh-CN" w:bidi="ar-SA"/>
        </w:rPr>
        <w:t>四川省阿坝州茂县</w:t>
      </w:r>
      <w:bookmarkStart w:id="11" w:name="_Toc15306268"/>
      <w:r>
        <w:rPr>
          <w:rFonts w:hint="eastAsia" w:ascii="方正小标宋简体" w:eastAsia="方正小标宋简体" w:cs="Times New Roman"/>
          <w:color w:val="auto"/>
          <w:kern w:val="2"/>
          <w:sz w:val="44"/>
          <w:szCs w:val="44"/>
          <w:highlight w:val="none"/>
          <w:lang w:val="en-US" w:eastAsia="zh-CN" w:bidi="ar-SA"/>
        </w:rPr>
        <w:t>县委办公室</w:t>
      </w:r>
    </w:p>
    <w:p w14:paraId="42685813">
      <w:pPr>
        <w:pStyle w:val="7"/>
        <w:jc w:val="center"/>
        <w:rPr>
          <w:rFonts w:hint="eastAsia" w:ascii="方正小标宋简体" w:eastAsia="方正小标宋简体" w:cs="Times New Roman"/>
          <w:color w:val="auto"/>
          <w:kern w:val="2"/>
          <w:sz w:val="44"/>
          <w:szCs w:val="44"/>
          <w:highlight w:val="none"/>
          <w:lang w:val="en-US" w:eastAsia="zh-CN" w:bidi="ar-SA"/>
        </w:rPr>
      </w:pPr>
      <w:r>
        <w:rPr>
          <w:rFonts w:hint="eastAsia" w:ascii="方正小标宋简体" w:eastAsia="方正小标宋简体" w:cs="Times New Roman"/>
          <w:color w:val="auto"/>
          <w:kern w:val="2"/>
          <w:sz w:val="44"/>
          <w:szCs w:val="44"/>
          <w:highlight w:val="none"/>
          <w:lang w:val="en-US" w:eastAsia="zh-CN" w:bidi="ar-SA"/>
        </w:rPr>
        <w:t>(汇总）部门决算</w:t>
      </w:r>
      <w:bookmarkEnd w:id="6"/>
      <w:bookmarkEnd w:id="7"/>
      <w:bookmarkEnd w:id="8"/>
      <w:bookmarkEnd w:id="9"/>
      <w:bookmarkEnd w:id="10"/>
      <w:bookmarkEnd w:id="11"/>
    </w:p>
    <w:p w14:paraId="7464479F">
      <w:pPr>
        <w:pStyle w:val="2"/>
      </w:pPr>
    </w:p>
    <w:p w14:paraId="703BA7EA">
      <w:pPr>
        <w:pStyle w:val="2"/>
      </w:pPr>
    </w:p>
    <w:p w14:paraId="4483D736">
      <w:pPr>
        <w:pStyle w:val="2"/>
      </w:pPr>
    </w:p>
    <w:p w14:paraId="7F96DE01">
      <w:pPr>
        <w:pStyle w:val="2"/>
      </w:pPr>
    </w:p>
    <w:p w14:paraId="2DD2EA86">
      <w:pPr>
        <w:pStyle w:val="2"/>
      </w:pPr>
    </w:p>
    <w:p w14:paraId="143ED888">
      <w:pPr>
        <w:pStyle w:val="2"/>
      </w:pPr>
    </w:p>
    <w:p w14:paraId="71FDA7DC">
      <w:pPr>
        <w:pStyle w:val="2"/>
      </w:pPr>
    </w:p>
    <w:p w14:paraId="0D9D3E2A">
      <w:pPr>
        <w:pStyle w:val="2"/>
      </w:pPr>
    </w:p>
    <w:p w14:paraId="71F53428">
      <w:pPr>
        <w:pStyle w:val="2"/>
      </w:pPr>
    </w:p>
    <w:p w14:paraId="3CAED7C3">
      <w:pPr>
        <w:pStyle w:val="2"/>
        <w:tabs>
          <w:tab w:val="left" w:pos="3600"/>
        </w:tabs>
      </w:pPr>
      <w:r>
        <w:tab/>
      </w:r>
    </w:p>
    <w:p w14:paraId="5CD7E1DE">
      <w:pPr>
        <w:pStyle w:val="2"/>
      </w:pPr>
    </w:p>
    <w:p w14:paraId="1B8BF75C">
      <w:pPr>
        <w:pStyle w:val="2"/>
      </w:pPr>
    </w:p>
    <w:p w14:paraId="495CDD29">
      <w:pPr>
        <w:pStyle w:val="2"/>
      </w:pPr>
    </w:p>
    <w:p w14:paraId="09F24C12">
      <w:pPr>
        <w:pStyle w:val="2"/>
      </w:pPr>
    </w:p>
    <w:p w14:paraId="7607475F">
      <w:pPr>
        <w:pStyle w:val="2"/>
      </w:pPr>
    </w:p>
    <w:p w14:paraId="1F5F502C">
      <w:pPr>
        <w:pStyle w:val="2"/>
      </w:pPr>
    </w:p>
    <w:p w14:paraId="7360E0B0">
      <w:pPr>
        <w:pStyle w:val="2"/>
      </w:pPr>
    </w:p>
    <w:p w14:paraId="20866684">
      <w:pPr>
        <w:pStyle w:val="2"/>
      </w:pPr>
    </w:p>
    <w:p w14:paraId="5165F87D">
      <w:pPr>
        <w:pStyle w:val="2"/>
      </w:pPr>
    </w:p>
    <w:p w14:paraId="196CC66D">
      <w:pPr>
        <w:autoSpaceDE w:val="0"/>
        <w:autoSpaceDN w:val="0"/>
        <w:adjustRightInd w:val="0"/>
        <w:ind w:left="420" w:leftChars="200"/>
        <w:jc w:val="left"/>
        <w:rPr>
          <w:rFonts w:ascii="宋体"/>
          <w:sz w:val="32"/>
          <w:szCs w:val="32"/>
        </w:rPr>
      </w:pPr>
    </w:p>
    <w:p w14:paraId="3EA0C79A">
      <w:pPr>
        <w:widowControl/>
        <w:jc w:val="center"/>
        <w:rPr>
          <w:rFonts w:ascii="黑体" w:eastAsia="黑体"/>
          <w:color w:val="auto"/>
          <w:sz w:val="48"/>
          <w:szCs w:val="48"/>
          <w:highlight w:val="none"/>
        </w:rPr>
      </w:pPr>
      <w:r>
        <w:rPr>
          <w:rFonts w:ascii="方正小标宋简体" w:eastAsia="方正小标宋简体"/>
          <w:color w:val="000000"/>
          <w:sz w:val="36"/>
          <w:szCs w:val="36"/>
        </w:rPr>
        <w:br w:type="page"/>
      </w:r>
      <w:bookmarkStart w:id="12" w:name="_Toc15377196"/>
      <w:r>
        <w:rPr>
          <w:rFonts w:hint="eastAsia" w:ascii="黑体" w:eastAsia="黑体"/>
          <w:color w:val="auto"/>
          <w:sz w:val="48"/>
          <w:szCs w:val="48"/>
          <w:highlight w:val="none"/>
        </w:rPr>
        <w:t>目录</w:t>
      </w:r>
    </w:p>
    <w:p w14:paraId="05C5E406">
      <w:pPr>
        <w:widowControl/>
        <w:jc w:val="center"/>
        <w:rPr>
          <w:rFonts w:ascii="黑体" w:eastAsia="黑体" w:cs="Times New Roman"/>
          <w:color w:val="auto"/>
          <w:sz w:val="28"/>
          <w:szCs w:val="28"/>
          <w:highlight w:val="none"/>
        </w:rPr>
      </w:pPr>
    </w:p>
    <w:p w14:paraId="05260208">
      <w:pPr>
        <w:pStyle w:val="13"/>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公开时间：20</w:t>
      </w:r>
      <w:r>
        <w:rPr>
          <w:rFonts w:hint="eastAsia" w:ascii="仿宋_GB2312" w:hAnsi="仿宋_GB2312" w:eastAsia="仿宋_GB2312" w:cs="仿宋_GB2312"/>
          <w:color w:val="auto"/>
          <w:sz w:val="32"/>
          <w:szCs w:val="32"/>
          <w:highlight w:val="none"/>
          <w:lang w:val="en-US" w:eastAsia="zh-CN"/>
        </w:rPr>
        <w:t>25</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val="en-US" w:eastAsia="zh-CN"/>
        </w:rPr>
        <w:t>9</w:t>
      </w:r>
      <w:r>
        <w:rPr>
          <w:rFonts w:hint="eastAsia" w:ascii="仿宋_GB2312" w:hAnsi="仿宋_GB2312" w:eastAsia="仿宋_GB2312" w:cs="仿宋_GB2312"/>
          <w:color w:val="auto"/>
          <w:sz w:val="32"/>
          <w:szCs w:val="32"/>
          <w:highlight w:val="none"/>
        </w:rPr>
        <w:t>月</w:t>
      </w: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日</w:t>
      </w:r>
    </w:p>
    <w:p w14:paraId="78554F45">
      <w:pPr>
        <w:rPr>
          <w:rFonts w:hint="eastAsia" w:ascii="仿宋_GB2312" w:hAnsi="仿宋_GB2312" w:eastAsia="仿宋_GB2312" w:cs="仿宋_GB2312"/>
          <w:color w:val="auto"/>
          <w:sz w:val="32"/>
          <w:szCs w:val="32"/>
          <w:highlight w:val="none"/>
        </w:rPr>
      </w:pPr>
    </w:p>
    <w:p w14:paraId="58CA7FAB">
      <w:pPr>
        <w:pStyle w:val="13"/>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aps w:val="0"/>
          <w:smallCaps/>
          <w:sz w:val="32"/>
          <w:szCs w:val="32"/>
        </w:rPr>
        <w:fldChar w:fldCharType="begin"/>
      </w:r>
      <w:r>
        <w:rPr>
          <w:rFonts w:hint="eastAsia" w:ascii="仿宋_GB2312" w:hAnsi="仿宋_GB2312" w:eastAsia="仿宋_GB2312" w:cs="仿宋_GB2312"/>
          <w:caps w:val="0"/>
          <w:smallCaps/>
          <w:sz w:val="32"/>
          <w:szCs w:val="32"/>
        </w:rPr>
        <w:instrText xml:space="preserve"> TOC \o "1-2" \h \z \u </w:instrText>
      </w:r>
      <w:r>
        <w:rPr>
          <w:rFonts w:hint="eastAsia" w:ascii="仿宋_GB2312" w:hAnsi="仿宋_GB2312" w:eastAsia="仿宋_GB2312" w:cs="仿宋_GB2312"/>
          <w:caps w:val="0"/>
          <w:smallCaps/>
          <w:sz w:val="32"/>
          <w:szCs w:val="32"/>
        </w:rPr>
        <w:fldChar w:fldCharType="separate"/>
      </w:r>
      <w:r>
        <w:rPr>
          <w:rFonts w:hint="eastAsia" w:ascii="仿宋_GB2312" w:hAnsi="仿宋_GB2312" w:eastAsia="仿宋_GB2312" w:cs="仿宋_GB2312"/>
          <w:caps w:val="0"/>
          <w:smallCaps/>
          <w:sz w:val="32"/>
          <w:szCs w:val="32"/>
        </w:rPr>
        <w:fldChar w:fldCharType="begin"/>
      </w:r>
      <w:r>
        <w:rPr>
          <w:rFonts w:hint="eastAsia" w:ascii="仿宋_GB2312" w:hAnsi="仿宋_GB2312" w:eastAsia="仿宋_GB2312" w:cs="仿宋_GB2312"/>
          <w:caps w:val="0"/>
          <w:smallCaps/>
          <w:sz w:val="32"/>
          <w:szCs w:val="32"/>
        </w:rPr>
        <w:instrText xml:space="preserve"> HYPERLINK \l _Toc9126 </w:instrText>
      </w:r>
      <w:r>
        <w:rPr>
          <w:rFonts w:hint="eastAsia" w:ascii="仿宋_GB2312" w:hAnsi="仿宋_GB2312" w:eastAsia="仿宋_GB2312" w:cs="仿宋_GB2312"/>
          <w:caps w:val="0"/>
          <w:smallCaps/>
          <w:sz w:val="32"/>
          <w:szCs w:val="32"/>
        </w:rPr>
        <w:fldChar w:fldCharType="separate"/>
      </w:r>
      <w:r>
        <w:rPr>
          <w:rFonts w:hint="eastAsia" w:ascii="仿宋_GB2312" w:hAnsi="仿宋_GB2312" w:eastAsia="仿宋_GB2312" w:cs="仿宋_GB2312"/>
          <w:bCs/>
          <w:sz w:val="32"/>
          <w:szCs w:val="32"/>
        </w:rPr>
        <w:t>第一部分 部门概况</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_Toc9126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aps w:val="0"/>
          <w:smallCaps/>
          <w:sz w:val="32"/>
          <w:szCs w:val="32"/>
        </w:rPr>
        <w:fldChar w:fldCharType="end"/>
      </w:r>
    </w:p>
    <w:p w14:paraId="62E6EE38">
      <w:pPr>
        <w:pStyle w:val="17"/>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aps w:val="0"/>
          <w:smallCaps/>
          <w:sz w:val="32"/>
          <w:szCs w:val="32"/>
        </w:rPr>
        <w:fldChar w:fldCharType="begin"/>
      </w:r>
      <w:r>
        <w:rPr>
          <w:rFonts w:hint="eastAsia" w:ascii="仿宋_GB2312" w:hAnsi="仿宋_GB2312" w:eastAsia="仿宋_GB2312" w:cs="仿宋_GB2312"/>
          <w:caps w:val="0"/>
          <w:smallCaps/>
          <w:sz w:val="32"/>
          <w:szCs w:val="32"/>
        </w:rPr>
        <w:instrText xml:space="preserve"> HYPERLINK \l _Toc19957 </w:instrText>
      </w:r>
      <w:r>
        <w:rPr>
          <w:rFonts w:hint="eastAsia" w:ascii="仿宋_GB2312" w:hAnsi="仿宋_GB2312" w:eastAsia="仿宋_GB2312" w:cs="仿宋_GB2312"/>
          <w:caps w:val="0"/>
          <w:smallCaps/>
          <w:sz w:val="32"/>
          <w:szCs w:val="32"/>
        </w:rPr>
        <w:fldChar w:fldCharType="separate"/>
      </w: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eastAsia="zh-CN"/>
        </w:rPr>
        <w:t>部门职责</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_Toc19957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aps w:val="0"/>
          <w:smallCaps/>
          <w:sz w:val="32"/>
          <w:szCs w:val="32"/>
        </w:rPr>
        <w:fldChar w:fldCharType="end"/>
      </w:r>
    </w:p>
    <w:p w14:paraId="782727B8">
      <w:pPr>
        <w:pStyle w:val="17"/>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aps w:val="0"/>
          <w:smallCaps/>
          <w:sz w:val="32"/>
          <w:szCs w:val="32"/>
        </w:rPr>
        <w:fldChar w:fldCharType="begin"/>
      </w:r>
      <w:r>
        <w:rPr>
          <w:rFonts w:hint="eastAsia" w:ascii="仿宋_GB2312" w:hAnsi="仿宋_GB2312" w:eastAsia="仿宋_GB2312" w:cs="仿宋_GB2312"/>
          <w:caps w:val="0"/>
          <w:smallCaps/>
          <w:sz w:val="32"/>
          <w:szCs w:val="32"/>
        </w:rPr>
        <w:instrText xml:space="preserve"> HYPERLINK \l _Toc8726 </w:instrText>
      </w:r>
      <w:r>
        <w:rPr>
          <w:rFonts w:hint="eastAsia" w:ascii="仿宋_GB2312" w:hAnsi="仿宋_GB2312" w:eastAsia="仿宋_GB2312" w:cs="仿宋_GB2312"/>
          <w:caps w:val="0"/>
          <w:smallCaps/>
          <w:sz w:val="32"/>
          <w:szCs w:val="32"/>
        </w:rPr>
        <w:fldChar w:fldCharType="separate"/>
      </w:r>
      <w:r>
        <w:rPr>
          <w:rFonts w:hint="eastAsia" w:ascii="仿宋_GB2312" w:hAnsi="仿宋_GB2312" w:eastAsia="仿宋_GB2312" w:cs="仿宋_GB2312"/>
          <w:sz w:val="32"/>
          <w:szCs w:val="32"/>
        </w:rPr>
        <w:t>二、机构设置</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_Toc8726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aps w:val="0"/>
          <w:smallCaps/>
          <w:sz w:val="32"/>
          <w:szCs w:val="32"/>
        </w:rPr>
        <w:fldChar w:fldCharType="end"/>
      </w:r>
    </w:p>
    <w:p w14:paraId="586F6263">
      <w:pPr>
        <w:pStyle w:val="13"/>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aps w:val="0"/>
          <w:smallCaps/>
          <w:sz w:val="32"/>
          <w:szCs w:val="32"/>
        </w:rPr>
        <w:fldChar w:fldCharType="begin"/>
      </w:r>
      <w:r>
        <w:rPr>
          <w:rFonts w:hint="eastAsia" w:ascii="仿宋_GB2312" w:hAnsi="仿宋_GB2312" w:eastAsia="仿宋_GB2312" w:cs="仿宋_GB2312"/>
          <w:caps w:val="0"/>
          <w:smallCaps/>
          <w:sz w:val="32"/>
          <w:szCs w:val="32"/>
        </w:rPr>
        <w:instrText xml:space="preserve"> HYPERLINK \l _Toc14389 </w:instrText>
      </w:r>
      <w:r>
        <w:rPr>
          <w:rFonts w:hint="eastAsia" w:ascii="仿宋_GB2312" w:hAnsi="仿宋_GB2312" w:eastAsia="仿宋_GB2312" w:cs="仿宋_GB2312"/>
          <w:caps w:val="0"/>
          <w:smallCaps/>
          <w:sz w:val="32"/>
          <w:szCs w:val="32"/>
        </w:rPr>
        <w:fldChar w:fldCharType="separate"/>
      </w:r>
      <w:r>
        <w:rPr>
          <w:rFonts w:hint="eastAsia" w:ascii="仿宋_GB2312" w:hAnsi="仿宋_GB2312" w:eastAsia="仿宋_GB2312" w:cs="仿宋_GB2312"/>
          <w:bCs/>
          <w:sz w:val="32"/>
          <w:szCs w:val="32"/>
        </w:rPr>
        <w:t>第二部分 202</w:t>
      </w:r>
      <w:r>
        <w:rPr>
          <w:rFonts w:hint="eastAsia" w:ascii="仿宋_GB2312" w:hAnsi="仿宋_GB2312" w:eastAsia="仿宋_GB2312" w:cs="仿宋_GB2312"/>
          <w:bCs/>
          <w:sz w:val="32"/>
          <w:szCs w:val="32"/>
          <w:lang w:val="en-US"/>
        </w:rPr>
        <w:t>5</w:t>
      </w:r>
      <w:r>
        <w:rPr>
          <w:rFonts w:hint="eastAsia" w:ascii="仿宋_GB2312" w:hAnsi="仿宋_GB2312" w:eastAsia="仿宋_GB2312" w:cs="仿宋_GB2312"/>
          <w:bCs/>
          <w:sz w:val="32"/>
          <w:szCs w:val="32"/>
        </w:rPr>
        <w:t>年度部门决算情况说明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_Toc14389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aps w:val="0"/>
          <w:smallCaps/>
          <w:sz w:val="32"/>
          <w:szCs w:val="32"/>
        </w:rPr>
        <w:fldChar w:fldCharType="end"/>
      </w:r>
    </w:p>
    <w:p w14:paraId="63A03DA9">
      <w:pPr>
        <w:pStyle w:val="17"/>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aps w:val="0"/>
          <w:smallCaps/>
          <w:sz w:val="32"/>
          <w:szCs w:val="32"/>
        </w:rPr>
        <w:fldChar w:fldCharType="begin"/>
      </w:r>
      <w:r>
        <w:rPr>
          <w:rFonts w:hint="eastAsia" w:ascii="仿宋_GB2312" w:hAnsi="仿宋_GB2312" w:eastAsia="仿宋_GB2312" w:cs="仿宋_GB2312"/>
          <w:caps w:val="0"/>
          <w:smallCaps/>
          <w:sz w:val="32"/>
          <w:szCs w:val="32"/>
        </w:rPr>
        <w:instrText xml:space="preserve"> HYPERLINK \l _Toc23362 </w:instrText>
      </w:r>
      <w:r>
        <w:rPr>
          <w:rFonts w:hint="eastAsia" w:ascii="仿宋_GB2312" w:hAnsi="仿宋_GB2312" w:eastAsia="仿宋_GB2312" w:cs="仿宋_GB2312"/>
          <w:caps w:val="0"/>
          <w:smallCaps/>
          <w:sz w:val="32"/>
          <w:szCs w:val="32"/>
        </w:rPr>
        <w:fldChar w:fldCharType="separate"/>
      </w:r>
      <w:r>
        <w:rPr>
          <w:rFonts w:hint="eastAsia" w:ascii="仿宋_GB2312" w:hAnsi="仿宋_GB2312" w:eastAsia="仿宋_GB2312" w:cs="仿宋_GB2312"/>
          <w:sz w:val="32"/>
          <w:szCs w:val="32"/>
          <w:lang w:val="en-US" w:eastAsia="zh-CN"/>
        </w:rPr>
        <w:t>一、收入支出决算总体情况说明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_Toc23362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aps w:val="0"/>
          <w:smallCaps/>
          <w:sz w:val="32"/>
          <w:szCs w:val="32"/>
        </w:rPr>
        <w:fldChar w:fldCharType="end"/>
      </w:r>
    </w:p>
    <w:p w14:paraId="4A530095">
      <w:pPr>
        <w:pStyle w:val="17"/>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aps w:val="0"/>
          <w:smallCaps/>
          <w:sz w:val="32"/>
          <w:szCs w:val="32"/>
        </w:rPr>
        <w:fldChar w:fldCharType="begin"/>
      </w:r>
      <w:r>
        <w:rPr>
          <w:rFonts w:hint="eastAsia" w:ascii="仿宋_GB2312" w:hAnsi="仿宋_GB2312" w:eastAsia="仿宋_GB2312" w:cs="仿宋_GB2312"/>
          <w:caps w:val="0"/>
          <w:smallCaps/>
          <w:sz w:val="32"/>
          <w:szCs w:val="32"/>
        </w:rPr>
        <w:instrText xml:space="preserve"> HYPERLINK \l _Toc11024 </w:instrText>
      </w:r>
      <w:r>
        <w:rPr>
          <w:rFonts w:hint="eastAsia" w:ascii="仿宋_GB2312" w:hAnsi="仿宋_GB2312" w:eastAsia="仿宋_GB2312" w:cs="仿宋_GB2312"/>
          <w:caps w:val="0"/>
          <w:smallCaps/>
          <w:sz w:val="32"/>
          <w:szCs w:val="32"/>
        </w:rPr>
        <w:fldChar w:fldCharType="separate"/>
      </w:r>
      <w:r>
        <w:rPr>
          <w:rFonts w:hint="eastAsia" w:ascii="仿宋_GB2312" w:hAnsi="仿宋_GB2312" w:eastAsia="仿宋_GB2312" w:cs="仿宋_GB2312"/>
          <w:sz w:val="32"/>
          <w:szCs w:val="32"/>
          <w:lang w:val="en-US" w:eastAsia="zh-CN"/>
        </w:rPr>
        <w:t>二、收入决算情况说明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_Toc11024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aps w:val="0"/>
          <w:smallCaps/>
          <w:sz w:val="32"/>
          <w:szCs w:val="32"/>
        </w:rPr>
        <w:fldChar w:fldCharType="end"/>
      </w:r>
    </w:p>
    <w:p w14:paraId="2011C31A">
      <w:pPr>
        <w:pStyle w:val="17"/>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aps w:val="0"/>
          <w:smallCaps/>
          <w:sz w:val="32"/>
          <w:szCs w:val="32"/>
        </w:rPr>
        <w:fldChar w:fldCharType="begin"/>
      </w:r>
      <w:r>
        <w:rPr>
          <w:rFonts w:hint="eastAsia" w:ascii="仿宋_GB2312" w:hAnsi="仿宋_GB2312" w:eastAsia="仿宋_GB2312" w:cs="仿宋_GB2312"/>
          <w:caps w:val="0"/>
          <w:smallCaps/>
          <w:sz w:val="32"/>
          <w:szCs w:val="32"/>
        </w:rPr>
        <w:instrText xml:space="preserve"> HYPERLINK \l _Toc5429 </w:instrText>
      </w:r>
      <w:r>
        <w:rPr>
          <w:rFonts w:hint="eastAsia" w:ascii="仿宋_GB2312" w:hAnsi="仿宋_GB2312" w:eastAsia="仿宋_GB2312" w:cs="仿宋_GB2312"/>
          <w:caps w:val="0"/>
          <w:smallCaps/>
          <w:sz w:val="32"/>
          <w:szCs w:val="32"/>
        </w:rPr>
        <w:fldChar w:fldCharType="separate"/>
      </w:r>
      <w:r>
        <w:rPr>
          <w:rFonts w:hint="eastAsia" w:ascii="仿宋_GB2312" w:hAnsi="仿宋_GB2312" w:eastAsia="仿宋_GB2312" w:cs="仿宋_GB2312"/>
          <w:sz w:val="32"/>
          <w:szCs w:val="32"/>
          <w:lang w:val="en-US" w:eastAsia="zh-CN"/>
        </w:rPr>
        <w:t>三、支出决算情况说明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_Toc5429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aps w:val="0"/>
          <w:smallCaps/>
          <w:sz w:val="32"/>
          <w:szCs w:val="32"/>
        </w:rPr>
        <w:fldChar w:fldCharType="end"/>
      </w:r>
    </w:p>
    <w:p w14:paraId="3D815BE2">
      <w:pPr>
        <w:pStyle w:val="17"/>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aps w:val="0"/>
          <w:smallCaps/>
          <w:sz w:val="32"/>
          <w:szCs w:val="32"/>
        </w:rPr>
        <w:fldChar w:fldCharType="begin"/>
      </w:r>
      <w:r>
        <w:rPr>
          <w:rFonts w:hint="eastAsia" w:ascii="仿宋_GB2312" w:hAnsi="仿宋_GB2312" w:eastAsia="仿宋_GB2312" w:cs="仿宋_GB2312"/>
          <w:caps w:val="0"/>
          <w:smallCaps/>
          <w:sz w:val="32"/>
          <w:szCs w:val="32"/>
        </w:rPr>
        <w:instrText xml:space="preserve"> HYPERLINK \l _Toc31951 </w:instrText>
      </w:r>
      <w:r>
        <w:rPr>
          <w:rFonts w:hint="eastAsia" w:ascii="仿宋_GB2312" w:hAnsi="仿宋_GB2312" w:eastAsia="仿宋_GB2312" w:cs="仿宋_GB2312"/>
          <w:caps w:val="0"/>
          <w:smallCaps/>
          <w:sz w:val="32"/>
          <w:szCs w:val="32"/>
        </w:rPr>
        <w:fldChar w:fldCharType="separate"/>
      </w:r>
      <w:r>
        <w:rPr>
          <w:rFonts w:hint="eastAsia" w:ascii="仿宋_GB2312" w:hAnsi="仿宋_GB2312" w:eastAsia="仿宋_GB2312" w:cs="仿宋_GB2312"/>
          <w:sz w:val="32"/>
          <w:szCs w:val="32"/>
          <w:lang w:val="en-US" w:eastAsia="zh-CN"/>
        </w:rPr>
        <w:t>四、财政拨款收入支出决算总体情况说明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_Toc31951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aps w:val="0"/>
          <w:smallCaps/>
          <w:sz w:val="32"/>
          <w:szCs w:val="32"/>
        </w:rPr>
        <w:fldChar w:fldCharType="end"/>
      </w:r>
    </w:p>
    <w:p w14:paraId="664DADAF">
      <w:pPr>
        <w:pStyle w:val="17"/>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aps w:val="0"/>
          <w:smallCaps/>
          <w:sz w:val="32"/>
          <w:szCs w:val="32"/>
        </w:rPr>
        <w:fldChar w:fldCharType="begin"/>
      </w:r>
      <w:r>
        <w:rPr>
          <w:rFonts w:hint="eastAsia" w:ascii="仿宋_GB2312" w:hAnsi="仿宋_GB2312" w:eastAsia="仿宋_GB2312" w:cs="仿宋_GB2312"/>
          <w:caps w:val="0"/>
          <w:smallCaps/>
          <w:sz w:val="32"/>
          <w:szCs w:val="32"/>
        </w:rPr>
        <w:instrText xml:space="preserve"> HYPERLINK \l _Toc31701 </w:instrText>
      </w:r>
      <w:r>
        <w:rPr>
          <w:rFonts w:hint="eastAsia" w:ascii="仿宋_GB2312" w:hAnsi="仿宋_GB2312" w:eastAsia="仿宋_GB2312" w:cs="仿宋_GB2312"/>
          <w:caps w:val="0"/>
          <w:smallCaps/>
          <w:sz w:val="32"/>
          <w:szCs w:val="32"/>
        </w:rPr>
        <w:fldChar w:fldCharType="separate"/>
      </w:r>
      <w:r>
        <w:rPr>
          <w:rFonts w:hint="eastAsia" w:ascii="仿宋_GB2312" w:hAnsi="仿宋_GB2312" w:eastAsia="仿宋_GB2312" w:cs="仿宋_GB2312"/>
          <w:sz w:val="32"/>
          <w:szCs w:val="32"/>
          <w:lang w:val="en-US" w:eastAsia="zh-CN"/>
        </w:rPr>
        <w:t>五、一般公共预算财政拨款支出决算情况说明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_Toc31701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aps w:val="0"/>
          <w:smallCaps/>
          <w:sz w:val="32"/>
          <w:szCs w:val="32"/>
        </w:rPr>
        <w:fldChar w:fldCharType="end"/>
      </w:r>
    </w:p>
    <w:p w14:paraId="32B7664F">
      <w:pPr>
        <w:pStyle w:val="17"/>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aps w:val="0"/>
          <w:smallCaps/>
          <w:sz w:val="32"/>
          <w:szCs w:val="32"/>
        </w:rPr>
        <w:fldChar w:fldCharType="begin"/>
      </w:r>
      <w:r>
        <w:rPr>
          <w:rFonts w:hint="eastAsia" w:ascii="仿宋_GB2312" w:hAnsi="仿宋_GB2312" w:eastAsia="仿宋_GB2312" w:cs="仿宋_GB2312"/>
          <w:caps w:val="0"/>
          <w:smallCaps/>
          <w:sz w:val="32"/>
          <w:szCs w:val="32"/>
        </w:rPr>
        <w:instrText xml:space="preserve"> HYPERLINK \l _Toc9589 </w:instrText>
      </w:r>
      <w:r>
        <w:rPr>
          <w:rFonts w:hint="eastAsia" w:ascii="仿宋_GB2312" w:hAnsi="仿宋_GB2312" w:eastAsia="仿宋_GB2312" w:cs="仿宋_GB2312"/>
          <w:caps w:val="0"/>
          <w:smallCaps/>
          <w:sz w:val="32"/>
          <w:szCs w:val="32"/>
        </w:rPr>
        <w:fldChar w:fldCharType="separate"/>
      </w:r>
      <w:r>
        <w:rPr>
          <w:rFonts w:hint="eastAsia" w:ascii="仿宋_GB2312" w:hAnsi="仿宋_GB2312" w:eastAsia="仿宋_GB2312" w:cs="仿宋_GB2312"/>
          <w:sz w:val="32"/>
          <w:szCs w:val="32"/>
          <w:lang w:val="en-US" w:eastAsia="zh-CN"/>
        </w:rPr>
        <w:t>六、一般公共预算财政拨款基本支出决算情况说明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_Toc9589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aps w:val="0"/>
          <w:smallCaps/>
          <w:sz w:val="32"/>
          <w:szCs w:val="32"/>
        </w:rPr>
        <w:fldChar w:fldCharType="end"/>
      </w:r>
    </w:p>
    <w:p w14:paraId="5486336F">
      <w:pPr>
        <w:pStyle w:val="17"/>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aps w:val="0"/>
          <w:smallCaps/>
          <w:sz w:val="32"/>
          <w:szCs w:val="32"/>
        </w:rPr>
        <w:fldChar w:fldCharType="begin"/>
      </w:r>
      <w:r>
        <w:rPr>
          <w:rFonts w:hint="eastAsia" w:ascii="仿宋_GB2312" w:hAnsi="仿宋_GB2312" w:eastAsia="仿宋_GB2312" w:cs="仿宋_GB2312"/>
          <w:caps w:val="0"/>
          <w:smallCaps/>
          <w:sz w:val="32"/>
          <w:szCs w:val="32"/>
        </w:rPr>
        <w:instrText xml:space="preserve"> HYPERLINK \l _Toc7148 </w:instrText>
      </w:r>
      <w:r>
        <w:rPr>
          <w:rFonts w:hint="eastAsia" w:ascii="仿宋_GB2312" w:hAnsi="仿宋_GB2312" w:eastAsia="仿宋_GB2312" w:cs="仿宋_GB2312"/>
          <w:caps w:val="0"/>
          <w:smallCaps/>
          <w:sz w:val="32"/>
          <w:szCs w:val="32"/>
        </w:rPr>
        <w:fldChar w:fldCharType="separate"/>
      </w:r>
      <w:r>
        <w:rPr>
          <w:rFonts w:hint="eastAsia" w:ascii="仿宋_GB2312" w:hAnsi="仿宋_GB2312" w:eastAsia="仿宋_GB2312" w:cs="仿宋_GB2312"/>
          <w:sz w:val="32"/>
          <w:szCs w:val="32"/>
          <w:lang w:val="en-US" w:eastAsia="zh-CN"/>
        </w:rPr>
        <w:t>七、“三公”经费财政拨款支出决算情况说明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_Toc7148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aps w:val="0"/>
          <w:smallCaps/>
          <w:sz w:val="32"/>
          <w:szCs w:val="32"/>
        </w:rPr>
        <w:fldChar w:fldCharType="end"/>
      </w:r>
    </w:p>
    <w:p w14:paraId="7CDCB573">
      <w:pPr>
        <w:pStyle w:val="17"/>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aps w:val="0"/>
          <w:smallCaps/>
          <w:sz w:val="32"/>
          <w:szCs w:val="32"/>
        </w:rPr>
        <w:fldChar w:fldCharType="begin"/>
      </w:r>
      <w:r>
        <w:rPr>
          <w:rFonts w:hint="eastAsia" w:ascii="仿宋_GB2312" w:hAnsi="仿宋_GB2312" w:eastAsia="仿宋_GB2312" w:cs="仿宋_GB2312"/>
          <w:caps w:val="0"/>
          <w:smallCaps/>
          <w:sz w:val="32"/>
          <w:szCs w:val="32"/>
        </w:rPr>
        <w:instrText xml:space="preserve"> HYPERLINK \l _Toc26674 </w:instrText>
      </w:r>
      <w:r>
        <w:rPr>
          <w:rFonts w:hint="eastAsia" w:ascii="仿宋_GB2312" w:hAnsi="仿宋_GB2312" w:eastAsia="仿宋_GB2312" w:cs="仿宋_GB2312"/>
          <w:caps w:val="0"/>
          <w:smallCaps/>
          <w:sz w:val="32"/>
          <w:szCs w:val="32"/>
        </w:rPr>
        <w:fldChar w:fldCharType="separate"/>
      </w:r>
      <w:r>
        <w:rPr>
          <w:rFonts w:hint="eastAsia" w:ascii="仿宋_GB2312" w:hAnsi="仿宋_GB2312" w:eastAsia="仿宋_GB2312" w:cs="仿宋_GB2312"/>
          <w:sz w:val="32"/>
          <w:szCs w:val="32"/>
          <w:lang w:val="en-US" w:eastAsia="zh-CN"/>
        </w:rPr>
        <w:t>八、政府性基金预算支出决算情况说明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_Toc26674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aps w:val="0"/>
          <w:smallCaps/>
          <w:sz w:val="32"/>
          <w:szCs w:val="32"/>
        </w:rPr>
        <w:fldChar w:fldCharType="end"/>
      </w:r>
    </w:p>
    <w:p w14:paraId="4F955391">
      <w:pPr>
        <w:pStyle w:val="17"/>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aps w:val="0"/>
          <w:smallCaps/>
          <w:sz w:val="32"/>
          <w:szCs w:val="32"/>
        </w:rPr>
        <w:fldChar w:fldCharType="begin"/>
      </w:r>
      <w:r>
        <w:rPr>
          <w:rFonts w:hint="eastAsia" w:ascii="仿宋_GB2312" w:hAnsi="仿宋_GB2312" w:eastAsia="仿宋_GB2312" w:cs="仿宋_GB2312"/>
          <w:caps w:val="0"/>
          <w:smallCaps/>
          <w:sz w:val="32"/>
          <w:szCs w:val="32"/>
        </w:rPr>
        <w:instrText xml:space="preserve"> HYPERLINK \l _Toc5966 </w:instrText>
      </w:r>
      <w:r>
        <w:rPr>
          <w:rFonts w:hint="eastAsia" w:ascii="仿宋_GB2312" w:hAnsi="仿宋_GB2312" w:eastAsia="仿宋_GB2312" w:cs="仿宋_GB2312"/>
          <w:caps w:val="0"/>
          <w:smallCaps/>
          <w:sz w:val="32"/>
          <w:szCs w:val="32"/>
        </w:rPr>
        <w:fldChar w:fldCharType="separate"/>
      </w:r>
      <w:r>
        <w:rPr>
          <w:rFonts w:hint="eastAsia" w:ascii="仿宋_GB2312" w:hAnsi="仿宋_GB2312" w:eastAsia="仿宋_GB2312" w:cs="仿宋_GB2312"/>
          <w:sz w:val="32"/>
          <w:szCs w:val="32"/>
          <w:lang w:val="en-US" w:eastAsia="zh-CN"/>
        </w:rPr>
        <w:t>九、国有资本经营预算支出决算情况说明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_Toc5966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aps w:val="0"/>
          <w:smallCaps/>
          <w:sz w:val="32"/>
          <w:szCs w:val="32"/>
        </w:rPr>
        <w:fldChar w:fldCharType="end"/>
      </w:r>
    </w:p>
    <w:p w14:paraId="390933C7">
      <w:pPr>
        <w:pStyle w:val="17"/>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aps w:val="0"/>
          <w:smallCaps/>
          <w:sz w:val="32"/>
          <w:szCs w:val="32"/>
        </w:rPr>
        <w:fldChar w:fldCharType="begin"/>
      </w:r>
      <w:r>
        <w:rPr>
          <w:rFonts w:hint="eastAsia" w:ascii="仿宋_GB2312" w:hAnsi="仿宋_GB2312" w:eastAsia="仿宋_GB2312" w:cs="仿宋_GB2312"/>
          <w:caps w:val="0"/>
          <w:smallCaps/>
          <w:sz w:val="32"/>
          <w:szCs w:val="32"/>
        </w:rPr>
        <w:instrText xml:space="preserve"> HYPERLINK \l _Toc9572 </w:instrText>
      </w:r>
      <w:r>
        <w:rPr>
          <w:rFonts w:hint="eastAsia" w:ascii="仿宋_GB2312" w:hAnsi="仿宋_GB2312" w:eastAsia="仿宋_GB2312" w:cs="仿宋_GB2312"/>
          <w:caps w:val="0"/>
          <w:smallCaps/>
          <w:sz w:val="32"/>
          <w:szCs w:val="32"/>
        </w:rPr>
        <w:fldChar w:fldCharType="separate"/>
      </w:r>
      <w:r>
        <w:rPr>
          <w:rFonts w:hint="eastAsia" w:ascii="仿宋_GB2312" w:hAnsi="仿宋_GB2312" w:eastAsia="仿宋_GB2312" w:cs="仿宋_GB2312"/>
          <w:sz w:val="32"/>
          <w:szCs w:val="32"/>
          <w:lang w:val="en-US" w:eastAsia="zh-CN"/>
        </w:rPr>
        <w:t>十、其他重要事项的情况说明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_Toc9572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aps w:val="0"/>
          <w:smallCaps/>
          <w:sz w:val="32"/>
          <w:szCs w:val="32"/>
        </w:rPr>
        <w:fldChar w:fldCharType="end"/>
      </w:r>
    </w:p>
    <w:p w14:paraId="67C7F6D5">
      <w:pPr>
        <w:pStyle w:val="13"/>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aps w:val="0"/>
          <w:smallCaps/>
          <w:sz w:val="32"/>
          <w:szCs w:val="32"/>
        </w:rPr>
        <w:fldChar w:fldCharType="begin"/>
      </w:r>
      <w:r>
        <w:rPr>
          <w:rFonts w:hint="eastAsia" w:ascii="仿宋_GB2312" w:hAnsi="仿宋_GB2312" w:eastAsia="仿宋_GB2312" w:cs="仿宋_GB2312"/>
          <w:caps w:val="0"/>
          <w:smallCaps/>
          <w:sz w:val="32"/>
          <w:szCs w:val="32"/>
        </w:rPr>
        <w:instrText xml:space="preserve"> HYPERLINK \l _Toc25424 </w:instrText>
      </w:r>
      <w:r>
        <w:rPr>
          <w:rFonts w:hint="eastAsia" w:ascii="仿宋_GB2312" w:hAnsi="仿宋_GB2312" w:eastAsia="仿宋_GB2312" w:cs="仿宋_GB2312"/>
          <w:caps w:val="0"/>
          <w:smallCaps/>
          <w:sz w:val="32"/>
          <w:szCs w:val="32"/>
        </w:rPr>
        <w:fldChar w:fldCharType="separate"/>
      </w:r>
      <w:r>
        <w:rPr>
          <w:rFonts w:hint="eastAsia" w:ascii="仿宋_GB2312" w:hAnsi="仿宋_GB2312" w:eastAsia="仿宋_GB2312" w:cs="仿宋_GB2312"/>
          <w:bCs/>
          <w:sz w:val="32"/>
          <w:szCs w:val="32"/>
        </w:rPr>
        <w:t>第三部分 名词解释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_Toc25424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aps w:val="0"/>
          <w:smallCaps/>
          <w:sz w:val="32"/>
          <w:szCs w:val="32"/>
        </w:rPr>
        <w:fldChar w:fldCharType="end"/>
      </w:r>
    </w:p>
    <w:p w14:paraId="660C1F59">
      <w:pPr>
        <w:pStyle w:val="13"/>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aps w:val="0"/>
          <w:smallCaps/>
          <w:sz w:val="32"/>
          <w:szCs w:val="32"/>
        </w:rPr>
        <w:fldChar w:fldCharType="begin"/>
      </w:r>
      <w:r>
        <w:rPr>
          <w:rFonts w:hint="eastAsia" w:ascii="仿宋_GB2312" w:hAnsi="仿宋_GB2312" w:eastAsia="仿宋_GB2312" w:cs="仿宋_GB2312"/>
          <w:caps w:val="0"/>
          <w:smallCaps/>
          <w:sz w:val="32"/>
          <w:szCs w:val="32"/>
        </w:rPr>
        <w:instrText xml:space="preserve"> HYPERLINK \l _Toc438 </w:instrText>
      </w:r>
      <w:r>
        <w:rPr>
          <w:rFonts w:hint="eastAsia" w:ascii="仿宋_GB2312" w:hAnsi="仿宋_GB2312" w:eastAsia="仿宋_GB2312" w:cs="仿宋_GB2312"/>
          <w:caps w:val="0"/>
          <w:smallCaps/>
          <w:sz w:val="32"/>
          <w:szCs w:val="32"/>
        </w:rPr>
        <w:fldChar w:fldCharType="separate"/>
      </w:r>
      <w:r>
        <w:rPr>
          <w:rFonts w:hint="eastAsia" w:ascii="仿宋_GB2312" w:hAnsi="仿宋_GB2312" w:eastAsia="仿宋_GB2312" w:cs="仿宋_GB2312"/>
          <w:bCs/>
          <w:sz w:val="32"/>
          <w:szCs w:val="32"/>
        </w:rPr>
        <w:t>第四部分 附件</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_Toc438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aps w:val="0"/>
          <w:smallCaps/>
          <w:sz w:val="32"/>
          <w:szCs w:val="32"/>
        </w:rPr>
        <w:fldChar w:fldCharType="end"/>
      </w:r>
    </w:p>
    <w:p w14:paraId="0652C3A7">
      <w:pPr>
        <w:pStyle w:val="13"/>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aps w:val="0"/>
          <w:smallCaps/>
          <w:sz w:val="32"/>
          <w:szCs w:val="32"/>
        </w:rPr>
        <w:fldChar w:fldCharType="begin"/>
      </w:r>
      <w:r>
        <w:rPr>
          <w:rFonts w:hint="eastAsia" w:ascii="仿宋_GB2312" w:hAnsi="仿宋_GB2312" w:eastAsia="仿宋_GB2312" w:cs="仿宋_GB2312"/>
          <w:caps w:val="0"/>
          <w:smallCaps/>
          <w:sz w:val="32"/>
          <w:szCs w:val="32"/>
        </w:rPr>
        <w:instrText xml:space="preserve"> HYPERLINK \l _Toc11251 </w:instrText>
      </w:r>
      <w:r>
        <w:rPr>
          <w:rFonts w:hint="eastAsia" w:ascii="仿宋_GB2312" w:hAnsi="仿宋_GB2312" w:eastAsia="仿宋_GB2312" w:cs="仿宋_GB2312"/>
          <w:caps w:val="0"/>
          <w:smallCaps/>
          <w:sz w:val="32"/>
          <w:szCs w:val="32"/>
        </w:rPr>
        <w:fldChar w:fldCharType="separate"/>
      </w:r>
      <w:r>
        <w:rPr>
          <w:rFonts w:hint="eastAsia" w:ascii="仿宋_GB2312" w:hAnsi="仿宋_GB2312" w:eastAsia="仿宋_GB2312" w:cs="仿宋_GB2312"/>
          <w:bCs/>
          <w:sz w:val="32"/>
          <w:szCs w:val="32"/>
          <w:lang w:val="en-US" w:eastAsia="zh-CN"/>
        </w:rPr>
        <w:t>第五部分 附表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_Toc11251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aps w:val="0"/>
          <w:smallCaps/>
          <w:sz w:val="32"/>
          <w:szCs w:val="32"/>
        </w:rPr>
        <w:fldChar w:fldCharType="end"/>
      </w:r>
    </w:p>
    <w:p w14:paraId="57A70CB8">
      <w:pPr>
        <w:pStyle w:val="17"/>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aps w:val="0"/>
          <w:smallCaps/>
          <w:sz w:val="32"/>
          <w:szCs w:val="32"/>
        </w:rPr>
        <w:fldChar w:fldCharType="begin"/>
      </w:r>
      <w:r>
        <w:rPr>
          <w:rFonts w:hint="eastAsia" w:ascii="仿宋_GB2312" w:hAnsi="仿宋_GB2312" w:eastAsia="仿宋_GB2312" w:cs="仿宋_GB2312"/>
          <w:caps w:val="0"/>
          <w:smallCaps/>
          <w:sz w:val="32"/>
          <w:szCs w:val="32"/>
        </w:rPr>
        <w:instrText xml:space="preserve"> HYPERLINK \l _Toc13084 </w:instrText>
      </w:r>
      <w:r>
        <w:rPr>
          <w:rFonts w:hint="eastAsia" w:ascii="仿宋_GB2312" w:hAnsi="仿宋_GB2312" w:eastAsia="仿宋_GB2312" w:cs="仿宋_GB2312"/>
          <w:caps w:val="0"/>
          <w:smallCaps/>
          <w:sz w:val="32"/>
          <w:szCs w:val="32"/>
        </w:rPr>
        <w:fldChar w:fldCharType="separate"/>
      </w:r>
      <w:r>
        <w:rPr>
          <w:rFonts w:hint="eastAsia" w:ascii="仿宋_GB2312" w:hAnsi="仿宋_GB2312" w:eastAsia="仿宋_GB2312" w:cs="仿宋_GB2312"/>
          <w:kern w:val="2"/>
          <w:sz w:val="32"/>
          <w:szCs w:val="32"/>
          <w:lang w:bidi="ar-SA"/>
        </w:rPr>
        <w:t>一、收入支出决算总表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_Toc13084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aps w:val="0"/>
          <w:smallCaps/>
          <w:sz w:val="32"/>
          <w:szCs w:val="32"/>
        </w:rPr>
        <w:fldChar w:fldCharType="end"/>
      </w:r>
    </w:p>
    <w:p w14:paraId="7F76EA7E">
      <w:pPr>
        <w:pStyle w:val="17"/>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aps w:val="0"/>
          <w:smallCaps/>
          <w:sz w:val="32"/>
          <w:szCs w:val="32"/>
        </w:rPr>
        <w:fldChar w:fldCharType="begin"/>
      </w:r>
      <w:r>
        <w:rPr>
          <w:rFonts w:hint="eastAsia" w:ascii="仿宋_GB2312" w:hAnsi="仿宋_GB2312" w:eastAsia="仿宋_GB2312" w:cs="仿宋_GB2312"/>
          <w:caps w:val="0"/>
          <w:smallCaps/>
          <w:sz w:val="32"/>
          <w:szCs w:val="32"/>
        </w:rPr>
        <w:instrText xml:space="preserve"> HYPERLINK \l _Toc2417 </w:instrText>
      </w:r>
      <w:r>
        <w:rPr>
          <w:rFonts w:hint="eastAsia" w:ascii="仿宋_GB2312" w:hAnsi="仿宋_GB2312" w:eastAsia="仿宋_GB2312" w:cs="仿宋_GB2312"/>
          <w:caps w:val="0"/>
          <w:smallCaps/>
          <w:sz w:val="32"/>
          <w:szCs w:val="32"/>
        </w:rPr>
        <w:fldChar w:fldCharType="separate"/>
      </w:r>
      <w:r>
        <w:rPr>
          <w:rFonts w:hint="eastAsia" w:ascii="仿宋_GB2312" w:hAnsi="仿宋_GB2312" w:eastAsia="仿宋_GB2312" w:cs="仿宋_GB2312"/>
          <w:kern w:val="2"/>
          <w:sz w:val="32"/>
          <w:szCs w:val="32"/>
          <w:lang w:bidi="ar-SA"/>
        </w:rPr>
        <w:t>二、收入决算表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_Toc2417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aps w:val="0"/>
          <w:smallCaps/>
          <w:sz w:val="32"/>
          <w:szCs w:val="32"/>
        </w:rPr>
        <w:fldChar w:fldCharType="end"/>
      </w:r>
    </w:p>
    <w:p w14:paraId="7446124E">
      <w:pPr>
        <w:pStyle w:val="17"/>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aps w:val="0"/>
          <w:smallCaps/>
          <w:sz w:val="32"/>
          <w:szCs w:val="32"/>
        </w:rPr>
        <w:fldChar w:fldCharType="begin"/>
      </w:r>
      <w:r>
        <w:rPr>
          <w:rFonts w:hint="eastAsia" w:ascii="仿宋_GB2312" w:hAnsi="仿宋_GB2312" w:eastAsia="仿宋_GB2312" w:cs="仿宋_GB2312"/>
          <w:caps w:val="0"/>
          <w:smallCaps/>
          <w:sz w:val="32"/>
          <w:szCs w:val="32"/>
        </w:rPr>
        <w:instrText xml:space="preserve"> HYPERLINK \l _Toc25347 </w:instrText>
      </w:r>
      <w:r>
        <w:rPr>
          <w:rFonts w:hint="eastAsia" w:ascii="仿宋_GB2312" w:hAnsi="仿宋_GB2312" w:eastAsia="仿宋_GB2312" w:cs="仿宋_GB2312"/>
          <w:caps w:val="0"/>
          <w:smallCaps/>
          <w:sz w:val="32"/>
          <w:szCs w:val="32"/>
        </w:rPr>
        <w:fldChar w:fldCharType="separate"/>
      </w:r>
      <w:r>
        <w:rPr>
          <w:rFonts w:hint="eastAsia" w:ascii="仿宋_GB2312" w:hAnsi="仿宋_GB2312" w:eastAsia="仿宋_GB2312" w:cs="仿宋_GB2312"/>
          <w:kern w:val="2"/>
          <w:sz w:val="32"/>
          <w:szCs w:val="32"/>
          <w:lang w:bidi="ar-SA"/>
        </w:rPr>
        <w:t>三、支出决算表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_Toc25347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aps w:val="0"/>
          <w:smallCaps/>
          <w:sz w:val="32"/>
          <w:szCs w:val="32"/>
        </w:rPr>
        <w:fldChar w:fldCharType="end"/>
      </w:r>
    </w:p>
    <w:p w14:paraId="282C131A">
      <w:pPr>
        <w:pStyle w:val="17"/>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aps w:val="0"/>
          <w:smallCaps/>
          <w:sz w:val="32"/>
          <w:szCs w:val="32"/>
        </w:rPr>
        <w:fldChar w:fldCharType="begin"/>
      </w:r>
      <w:r>
        <w:rPr>
          <w:rFonts w:hint="eastAsia" w:ascii="仿宋_GB2312" w:hAnsi="仿宋_GB2312" w:eastAsia="仿宋_GB2312" w:cs="仿宋_GB2312"/>
          <w:caps w:val="0"/>
          <w:smallCaps/>
          <w:sz w:val="32"/>
          <w:szCs w:val="32"/>
        </w:rPr>
        <w:instrText xml:space="preserve"> HYPERLINK \l _Toc19185 </w:instrText>
      </w:r>
      <w:r>
        <w:rPr>
          <w:rFonts w:hint="eastAsia" w:ascii="仿宋_GB2312" w:hAnsi="仿宋_GB2312" w:eastAsia="仿宋_GB2312" w:cs="仿宋_GB2312"/>
          <w:caps w:val="0"/>
          <w:smallCaps/>
          <w:sz w:val="32"/>
          <w:szCs w:val="32"/>
        </w:rPr>
        <w:fldChar w:fldCharType="separate"/>
      </w:r>
      <w:r>
        <w:rPr>
          <w:rFonts w:hint="eastAsia" w:ascii="仿宋_GB2312" w:hAnsi="仿宋_GB2312" w:eastAsia="仿宋_GB2312" w:cs="仿宋_GB2312"/>
          <w:kern w:val="2"/>
          <w:sz w:val="32"/>
          <w:szCs w:val="32"/>
          <w:lang w:bidi="ar-SA"/>
        </w:rPr>
        <w:t>四、财政拨款收入支出决算总表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_Toc19185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aps w:val="0"/>
          <w:smallCaps/>
          <w:sz w:val="32"/>
          <w:szCs w:val="32"/>
        </w:rPr>
        <w:fldChar w:fldCharType="end"/>
      </w:r>
    </w:p>
    <w:p w14:paraId="6702944F">
      <w:pPr>
        <w:pStyle w:val="17"/>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aps w:val="0"/>
          <w:smallCaps/>
          <w:sz w:val="32"/>
          <w:szCs w:val="32"/>
        </w:rPr>
        <w:fldChar w:fldCharType="begin"/>
      </w:r>
      <w:r>
        <w:rPr>
          <w:rFonts w:hint="eastAsia" w:ascii="仿宋_GB2312" w:hAnsi="仿宋_GB2312" w:eastAsia="仿宋_GB2312" w:cs="仿宋_GB2312"/>
          <w:caps w:val="0"/>
          <w:smallCaps/>
          <w:sz w:val="32"/>
          <w:szCs w:val="32"/>
        </w:rPr>
        <w:instrText xml:space="preserve"> HYPERLINK \l _Toc28964 </w:instrText>
      </w:r>
      <w:r>
        <w:rPr>
          <w:rFonts w:hint="eastAsia" w:ascii="仿宋_GB2312" w:hAnsi="仿宋_GB2312" w:eastAsia="仿宋_GB2312" w:cs="仿宋_GB2312"/>
          <w:caps w:val="0"/>
          <w:smallCaps/>
          <w:sz w:val="32"/>
          <w:szCs w:val="32"/>
        </w:rPr>
        <w:fldChar w:fldCharType="separate"/>
      </w:r>
      <w:r>
        <w:rPr>
          <w:rFonts w:hint="eastAsia" w:ascii="仿宋_GB2312" w:hAnsi="仿宋_GB2312" w:eastAsia="仿宋_GB2312" w:cs="仿宋_GB2312"/>
          <w:kern w:val="2"/>
          <w:sz w:val="32"/>
          <w:szCs w:val="32"/>
          <w:lang w:bidi="ar-SA"/>
        </w:rPr>
        <w:t>五、财政拨款支出决算明细表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_Toc28964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aps w:val="0"/>
          <w:smallCaps/>
          <w:sz w:val="32"/>
          <w:szCs w:val="32"/>
        </w:rPr>
        <w:fldChar w:fldCharType="end"/>
      </w:r>
    </w:p>
    <w:p w14:paraId="178568B5">
      <w:pPr>
        <w:pStyle w:val="17"/>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aps w:val="0"/>
          <w:smallCaps/>
          <w:sz w:val="32"/>
          <w:szCs w:val="32"/>
        </w:rPr>
        <w:fldChar w:fldCharType="begin"/>
      </w:r>
      <w:r>
        <w:rPr>
          <w:rFonts w:hint="eastAsia" w:ascii="仿宋_GB2312" w:hAnsi="仿宋_GB2312" w:eastAsia="仿宋_GB2312" w:cs="仿宋_GB2312"/>
          <w:caps w:val="0"/>
          <w:smallCaps/>
          <w:sz w:val="32"/>
          <w:szCs w:val="32"/>
        </w:rPr>
        <w:instrText xml:space="preserve"> HYPERLINK \l _Toc4935 </w:instrText>
      </w:r>
      <w:r>
        <w:rPr>
          <w:rFonts w:hint="eastAsia" w:ascii="仿宋_GB2312" w:hAnsi="仿宋_GB2312" w:eastAsia="仿宋_GB2312" w:cs="仿宋_GB2312"/>
          <w:caps w:val="0"/>
          <w:smallCaps/>
          <w:sz w:val="32"/>
          <w:szCs w:val="32"/>
        </w:rPr>
        <w:fldChar w:fldCharType="separate"/>
      </w:r>
      <w:r>
        <w:rPr>
          <w:rFonts w:hint="eastAsia" w:ascii="仿宋_GB2312" w:hAnsi="仿宋_GB2312" w:eastAsia="仿宋_GB2312" w:cs="仿宋_GB2312"/>
          <w:kern w:val="2"/>
          <w:sz w:val="32"/>
          <w:szCs w:val="32"/>
          <w:lang w:bidi="ar-SA"/>
        </w:rPr>
        <w:t>六、一般公共预算财政拨款支出决算表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_Toc4935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aps w:val="0"/>
          <w:smallCaps/>
          <w:sz w:val="32"/>
          <w:szCs w:val="32"/>
        </w:rPr>
        <w:fldChar w:fldCharType="end"/>
      </w:r>
    </w:p>
    <w:p w14:paraId="59B45F6F">
      <w:pPr>
        <w:pStyle w:val="17"/>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aps w:val="0"/>
          <w:smallCaps/>
          <w:sz w:val="32"/>
          <w:szCs w:val="32"/>
        </w:rPr>
        <w:fldChar w:fldCharType="begin"/>
      </w:r>
      <w:r>
        <w:rPr>
          <w:rFonts w:hint="eastAsia" w:ascii="仿宋_GB2312" w:hAnsi="仿宋_GB2312" w:eastAsia="仿宋_GB2312" w:cs="仿宋_GB2312"/>
          <w:caps w:val="0"/>
          <w:smallCaps/>
          <w:sz w:val="32"/>
          <w:szCs w:val="32"/>
        </w:rPr>
        <w:instrText xml:space="preserve"> HYPERLINK \l _Toc8858 </w:instrText>
      </w:r>
      <w:r>
        <w:rPr>
          <w:rFonts w:hint="eastAsia" w:ascii="仿宋_GB2312" w:hAnsi="仿宋_GB2312" w:eastAsia="仿宋_GB2312" w:cs="仿宋_GB2312"/>
          <w:caps w:val="0"/>
          <w:smallCaps/>
          <w:sz w:val="32"/>
          <w:szCs w:val="32"/>
        </w:rPr>
        <w:fldChar w:fldCharType="separate"/>
      </w:r>
      <w:r>
        <w:rPr>
          <w:rFonts w:hint="eastAsia" w:ascii="仿宋_GB2312" w:hAnsi="仿宋_GB2312" w:eastAsia="仿宋_GB2312" w:cs="仿宋_GB2312"/>
          <w:kern w:val="2"/>
          <w:sz w:val="32"/>
          <w:szCs w:val="32"/>
          <w:lang w:bidi="ar-SA"/>
        </w:rPr>
        <w:t>七、一般公共预算财政拨款支出决算明细表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_Toc8858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aps w:val="0"/>
          <w:smallCaps/>
          <w:sz w:val="32"/>
          <w:szCs w:val="32"/>
        </w:rPr>
        <w:fldChar w:fldCharType="end"/>
      </w:r>
    </w:p>
    <w:p w14:paraId="3B6DE1E5">
      <w:pPr>
        <w:pStyle w:val="17"/>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aps w:val="0"/>
          <w:smallCaps/>
          <w:sz w:val="32"/>
          <w:szCs w:val="32"/>
        </w:rPr>
        <w:fldChar w:fldCharType="begin"/>
      </w:r>
      <w:r>
        <w:rPr>
          <w:rFonts w:hint="eastAsia" w:ascii="仿宋_GB2312" w:hAnsi="仿宋_GB2312" w:eastAsia="仿宋_GB2312" w:cs="仿宋_GB2312"/>
          <w:caps w:val="0"/>
          <w:smallCaps/>
          <w:sz w:val="32"/>
          <w:szCs w:val="32"/>
        </w:rPr>
        <w:instrText xml:space="preserve"> HYPERLINK \l _Toc14239 </w:instrText>
      </w:r>
      <w:r>
        <w:rPr>
          <w:rFonts w:hint="eastAsia" w:ascii="仿宋_GB2312" w:hAnsi="仿宋_GB2312" w:eastAsia="仿宋_GB2312" w:cs="仿宋_GB2312"/>
          <w:caps w:val="0"/>
          <w:smallCaps/>
          <w:sz w:val="32"/>
          <w:szCs w:val="32"/>
        </w:rPr>
        <w:fldChar w:fldCharType="separate"/>
      </w:r>
      <w:r>
        <w:rPr>
          <w:rFonts w:hint="eastAsia" w:ascii="仿宋_GB2312" w:hAnsi="仿宋_GB2312" w:eastAsia="仿宋_GB2312" w:cs="仿宋_GB2312"/>
          <w:kern w:val="2"/>
          <w:sz w:val="32"/>
          <w:szCs w:val="32"/>
          <w:lang w:bidi="ar-SA"/>
        </w:rPr>
        <w:t>八、一般公共预算财政拨款基本支出决算表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_Toc14239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aps w:val="0"/>
          <w:smallCaps/>
          <w:sz w:val="32"/>
          <w:szCs w:val="32"/>
        </w:rPr>
        <w:fldChar w:fldCharType="end"/>
      </w:r>
    </w:p>
    <w:p w14:paraId="48D4B127">
      <w:pPr>
        <w:pStyle w:val="17"/>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aps w:val="0"/>
          <w:smallCaps/>
          <w:sz w:val="32"/>
          <w:szCs w:val="32"/>
        </w:rPr>
        <w:fldChar w:fldCharType="begin"/>
      </w:r>
      <w:r>
        <w:rPr>
          <w:rFonts w:hint="eastAsia" w:ascii="仿宋_GB2312" w:hAnsi="仿宋_GB2312" w:eastAsia="仿宋_GB2312" w:cs="仿宋_GB2312"/>
          <w:caps w:val="0"/>
          <w:smallCaps/>
          <w:sz w:val="32"/>
          <w:szCs w:val="32"/>
        </w:rPr>
        <w:instrText xml:space="preserve"> HYPERLINK \l _Toc774 </w:instrText>
      </w:r>
      <w:r>
        <w:rPr>
          <w:rFonts w:hint="eastAsia" w:ascii="仿宋_GB2312" w:hAnsi="仿宋_GB2312" w:eastAsia="仿宋_GB2312" w:cs="仿宋_GB2312"/>
          <w:caps w:val="0"/>
          <w:smallCaps/>
          <w:sz w:val="32"/>
          <w:szCs w:val="32"/>
        </w:rPr>
        <w:fldChar w:fldCharType="separate"/>
      </w:r>
      <w:r>
        <w:rPr>
          <w:rFonts w:hint="eastAsia" w:ascii="仿宋_GB2312" w:hAnsi="仿宋_GB2312" w:eastAsia="仿宋_GB2312" w:cs="仿宋_GB2312"/>
          <w:kern w:val="2"/>
          <w:sz w:val="32"/>
          <w:szCs w:val="32"/>
          <w:lang w:bidi="ar-SA"/>
        </w:rPr>
        <w:t>九、一般公共预算财政拨款项目支出决算表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_Toc774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aps w:val="0"/>
          <w:smallCaps/>
          <w:sz w:val="32"/>
          <w:szCs w:val="32"/>
        </w:rPr>
        <w:fldChar w:fldCharType="end"/>
      </w:r>
    </w:p>
    <w:p w14:paraId="6C4EFC73">
      <w:pPr>
        <w:pStyle w:val="17"/>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aps w:val="0"/>
          <w:smallCaps/>
          <w:sz w:val="32"/>
          <w:szCs w:val="32"/>
        </w:rPr>
        <w:fldChar w:fldCharType="begin"/>
      </w:r>
      <w:r>
        <w:rPr>
          <w:rFonts w:hint="eastAsia" w:ascii="仿宋_GB2312" w:hAnsi="仿宋_GB2312" w:eastAsia="仿宋_GB2312" w:cs="仿宋_GB2312"/>
          <w:caps w:val="0"/>
          <w:smallCaps/>
          <w:sz w:val="32"/>
          <w:szCs w:val="32"/>
        </w:rPr>
        <w:instrText xml:space="preserve"> HYPERLINK \l _Toc18208 </w:instrText>
      </w:r>
      <w:r>
        <w:rPr>
          <w:rFonts w:hint="eastAsia" w:ascii="仿宋_GB2312" w:hAnsi="仿宋_GB2312" w:eastAsia="仿宋_GB2312" w:cs="仿宋_GB2312"/>
          <w:caps w:val="0"/>
          <w:smallCaps/>
          <w:sz w:val="32"/>
          <w:szCs w:val="32"/>
        </w:rPr>
        <w:fldChar w:fldCharType="separate"/>
      </w:r>
      <w:r>
        <w:rPr>
          <w:rFonts w:hint="eastAsia" w:ascii="仿宋_GB2312" w:hAnsi="仿宋_GB2312" w:eastAsia="仿宋_GB2312" w:cs="仿宋_GB2312"/>
          <w:kern w:val="2"/>
          <w:sz w:val="32"/>
          <w:szCs w:val="32"/>
          <w:lang w:bidi="ar-SA"/>
        </w:rPr>
        <w:t>十、政府性基金预算财政拨款收入支出决算表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_Toc18208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aps w:val="0"/>
          <w:smallCaps/>
          <w:sz w:val="32"/>
          <w:szCs w:val="32"/>
        </w:rPr>
        <w:fldChar w:fldCharType="end"/>
      </w:r>
    </w:p>
    <w:p w14:paraId="319855A2">
      <w:pPr>
        <w:pStyle w:val="17"/>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aps w:val="0"/>
          <w:smallCaps/>
          <w:sz w:val="32"/>
          <w:szCs w:val="32"/>
        </w:rPr>
        <w:fldChar w:fldCharType="begin"/>
      </w:r>
      <w:r>
        <w:rPr>
          <w:rFonts w:hint="eastAsia" w:ascii="仿宋_GB2312" w:hAnsi="仿宋_GB2312" w:eastAsia="仿宋_GB2312" w:cs="仿宋_GB2312"/>
          <w:caps w:val="0"/>
          <w:smallCaps/>
          <w:sz w:val="32"/>
          <w:szCs w:val="32"/>
        </w:rPr>
        <w:instrText xml:space="preserve"> HYPERLINK \l _Toc30420 </w:instrText>
      </w:r>
      <w:r>
        <w:rPr>
          <w:rFonts w:hint="eastAsia" w:ascii="仿宋_GB2312" w:hAnsi="仿宋_GB2312" w:eastAsia="仿宋_GB2312" w:cs="仿宋_GB2312"/>
          <w:caps w:val="0"/>
          <w:smallCaps/>
          <w:sz w:val="32"/>
          <w:szCs w:val="32"/>
        </w:rPr>
        <w:fldChar w:fldCharType="separate"/>
      </w:r>
      <w:r>
        <w:rPr>
          <w:rFonts w:hint="eastAsia" w:ascii="仿宋_GB2312" w:hAnsi="仿宋_GB2312" w:eastAsia="仿宋_GB2312" w:cs="仿宋_GB2312"/>
          <w:kern w:val="2"/>
          <w:sz w:val="32"/>
          <w:szCs w:val="32"/>
          <w:lang w:bidi="ar-SA"/>
        </w:rPr>
        <w:t>十一、国有资本经营预算财政拨款收入支出决算表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_Toc30420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aps w:val="0"/>
          <w:smallCaps/>
          <w:sz w:val="32"/>
          <w:szCs w:val="32"/>
        </w:rPr>
        <w:fldChar w:fldCharType="end"/>
      </w:r>
    </w:p>
    <w:p w14:paraId="5F1E601A">
      <w:pPr>
        <w:pStyle w:val="17"/>
        <w:tabs>
          <w:tab w:val="right" w:leader="dot" w:pos="8306"/>
          <w:tab w:val="clear" w:pos="8296"/>
        </w:tabs>
        <w:rPr>
          <w:rFonts w:hint="eastAsia" w:ascii="仿宋_GB2312" w:hAnsi="仿宋_GB2312" w:eastAsia="仿宋_GB2312" w:cs="仿宋_GB2312"/>
          <w:sz w:val="32"/>
          <w:szCs w:val="32"/>
        </w:rPr>
      </w:pPr>
      <w:r>
        <w:rPr>
          <w:rFonts w:hint="eastAsia" w:ascii="仿宋_GB2312" w:hAnsi="仿宋_GB2312" w:eastAsia="仿宋_GB2312" w:cs="仿宋_GB2312"/>
          <w:caps w:val="0"/>
          <w:smallCaps/>
          <w:sz w:val="32"/>
          <w:szCs w:val="32"/>
        </w:rPr>
        <w:fldChar w:fldCharType="begin"/>
      </w:r>
      <w:r>
        <w:rPr>
          <w:rFonts w:hint="eastAsia" w:ascii="仿宋_GB2312" w:hAnsi="仿宋_GB2312" w:eastAsia="仿宋_GB2312" w:cs="仿宋_GB2312"/>
          <w:caps w:val="0"/>
          <w:smallCaps/>
          <w:sz w:val="32"/>
          <w:szCs w:val="32"/>
        </w:rPr>
        <w:instrText xml:space="preserve"> HYPERLINK \l _Toc26334 </w:instrText>
      </w:r>
      <w:r>
        <w:rPr>
          <w:rFonts w:hint="eastAsia" w:ascii="仿宋_GB2312" w:hAnsi="仿宋_GB2312" w:eastAsia="仿宋_GB2312" w:cs="仿宋_GB2312"/>
          <w:caps w:val="0"/>
          <w:smallCaps/>
          <w:sz w:val="32"/>
          <w:szCs w:val="32"/>
        </w:rPr>
        <w:fldChar w:fldCharType="separate"/>
      </w:r>
      <w:r>
        <w:rPr>
          <w:rFonts w:hint="eastAsia" w:ascii="仿宋_GB2312" w:hAnsi="仿宋_GB2312" w:eastAsia="仿宋_GB2312" w:cs="仿宋_GB2312"/>
          <w:kern w:val="2"/>
          <w:sz w:val="32"/>
          <w:szCs w:val="32"/>
          <w:lang w:bidi="ar-SA"/>
        </w:rPr>
        <w:t>十二、国有资本经营预算财政拨款支出决算表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_Toc26334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aps w:val="0"/>
          <w:smallCaps/>
          <w:sz w:val="32"/>
          <w:szCs w:val="32"/>
        </w:rPr>
        <w:fldChar w:fldCharType="end"/>
      </w:r>
    </w:p>
    <w:p w14:paraId="14B63011">
      <w:pPr>
        <w:pStyle w:val="17"/>
        <w:tabs>
          <w:tab w:val="right" w:leader="dot" w:pos="8306"/>
          <w:tab w:val="clear" w:pos="8296"/>
        </w:tabs>
      </w:pPr>
      <w:r>
        <w:rPr>
          <w:rFonts w:hint="eastAsia" w:ascii="仿宋_GB2312" w:hAnsi="仿宋_GB2312" w:eastAsia="仿宋_GB2312" w:cs="仿宋_GB2312"/>
          <w:caps w:val="0"/>
          <w:smallCaps/>
          <w:sz w:val="32"/>
          <w:szCs w:val="32"/>
        </w:rPr>
        <w:fldChar w:fldCharType="begin"/>
      </w:r>
      <w:r>
        <w:rPr>
          <w:rFonts w:hint="eastAsia" w:ascii="仿宋_GB2312" w:hAnsi="仿宋_GB2312" w:eastAsia="仿宋_GB2312" w:cs="仿宋_GB2312"/>
          <w:caps w:val="0"/>
          <w:smallCaps/>
          <w:sz w:val="32"/>
          <w:szCs w:val="32"/>
        </w:rPr>
        <w:instrText xml:space="preserve"> HYPERLINK \l _Toc32701 </w:instrText>
      </w:r>
      <w:r>
        <w:rPr>
          <w:rFonts w:hint="eastAsia" w:ascii="仿宋_GB2312" w:hAnsi="仿宋_GB2312" w:eastAsia="仿宋_GB2312" w:cs="仿宋_GB2312"/>
          <w:caps w:val="0"/>
          <w:smallCaps/>
          <w:sz w:val="32"/>
          <w:szCs w:val="32"/>
        </w:rPr>
        <w:fldChar w:fldCharType="separate"/>
      </w:r>
      <w:r>
        <w:rPr>
          <w:rFonts w:hint="eastAsia" w:ascii="仿宋_GB2312" w:hAnsi="仿宋_GB2312" w:eastAsia="仿宋_GB2312" w:cs="仿宋_GB2312"/>
          <w:kern w:val="2"/>
          <w:sz w:val="32"/>
          <w:szCs w:val="32"/>
          <w:lang w:bidi="ar-SA"/>
        </w:rPr>
        <w:t>十三、财政拨款“三公”经费支出决算表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_Toc32701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caps w:val="0"/>
          <w:smallCaps/>
          <w:sz w:val="32"/>
          <w:szCs w:val="32"/>
        </w:rPr>
        <w:fldChar w:fldCharType="end"/>
      </w:r>
    </w:p>
    <w:p w14:paraId="37C60EFF">
      <w:pPr>
        <w:pStyle w:val="2"/>
        <w:rPr>
          <w:rFonts w:hint="eastAsia" w:ascii="仿宋_GB2312" w:hAnsi="仿宋_GB2312" w:eastAsia="仿宋_GB2312" w:cs="仿宋_GB2312"/>
          <w:caps w:val="0"/>
          <w:smallCaps/>
          <w:sz w:val="32"/>
          <w:szCs w:val="32"/>
        </w:rPr>
      </w:pPr>
      <w:r>
        <w:rPr>
          <w:rFonts w:hint="eastAsia" w:ascii="仿宋_GB2312" w:hAnsi="仿宋_GB2312" w:eastAsia="仿宋_GB2312" w:cs="仿宋_GB2312"/>
          <w:caps w:val="0"/>
          <w:smallCaps/>
          <w:szCs w:val="32"/>
        </w:rPr>
        <w:fldChar w:fldCharType="end"/>
      </w:r>
      <w:bookmarkStart w:id="13" w:name="_Toc23038"/>
      <w:bookmarkStart w:id="14" w:name="_Toc111208495"/>
    </w:p>
    <w:p w14:paraId="4512AD49">
      <w:pPr>
        <w:pStyle w:val="2"/>
        <w:rPr>
          <w:rFonts w:hint="eastAsia" w:ascii="仿宋_GB2312" w:hAnsi="仿宋_GB2312" w:eastAsia="仿宋_GB2312" w:cs="仿宋_GB2312"/>
          <w:caps w:val="0"/>
          <w:smallCaps/>
          <w:sz w:val="32"/>
          <w:szCs w:val="32"/>
        </w:rPr>
      </w:pPr>
    </w:p>
    <w:p w14:paraId="20784E62">
      <w:pPr>
        <w:pStyle w:val="2"/>
        <w:rPr>
          <w:rFonts w:hint="eastAsia" w:ascii="仿宋_GB2312" w:hAnsi="仿宋_GB2312" w:eastAsia="仿宋_GB2312" w:cs="仿宋_GB2312"/>
          <w:caps w:val="0"/>
          <w:smallCaps/>
          <w:sz w:val="32"/>
          <w:szCs w:val="32"/>
        </w:rPr>
      </w:pPr>
    </w:p>
    <w:p w14:paraId="4CBDC43A">
      <w:pPr>
        <w:pStyle w:val="2"/>
        <w:rPr>
          <w:rFonts w:hint="eastAsia" w:ascii="仿宋_GB2312" w:hAnsi="仿宋_GB2312" w:eastAsia="仿宋_GB2312" w:cs="仿宋_GB2312"/>
          <w:caps w:val="0"/>
          <w:smallCaps/>
          <w:sz w:val="32"/>
          <w:szCs w:val="32"/>
        </w:rPr>
      </w:pPr>
    </w:p>
    <w:p w14:paraId="76A9DDAF">
      <w:pPr>
        <w:pStyle w:val="2"/>
        <w:rPr>
          <w:rFonts w:hint="eastAsia" w:ascii="仿宋_GB2312" w:hAnsi="仿宋_GB2312" w:eastAsia="仿宋_GB2312" w:cs="仿宋_GB2312"/>
          <w:caps w:val="0"/>
          <w:smallCaps/>
          <w:sz w:val="32"/>
          <w:szCs w:val="32"/>
        </w:rPr>
      </w:pPr>
    </w:p>
    <w:p w14:paraId="7662CEE8">
      <w:pPr>
        <w:pStyle w:val="2"/>
        <w:rPr>
          <w:rFonts w:hint="eastAsia" w:ascii="仿宋_GB2312" w:hAnsi="仿宋_GB2312" w:eastAsia="仿宋_GB2312" w:cs="仿宋_GB2312"/>
          <w:caps w:val="0"/>
          <w:smallCaps/>
          <w:sz w:val="32"/>
          <w:szCs w:val="32"/>
        </w:rPr>
      </w:pPr>
    </w:p>
    <w:p w14:paraId="056EE34B">
      <w:pPr>
        <w:pStyle w:val="2"/>
        <w:rPr>
          <w:rFonts w:hint="eastAsia" w:ascii="仿宋_GB2312" w:hAnsi="仿宋_GB2312" w:eastAsia="仿宋_GB2312" w:cs="仿宋_GB2312"/>
          <w:caps w:val="0"/>
          <w:smallCaps/>
          <w:sz w:val="32"/>
          <w:szCs w:val="32"/>
        </w:rPr>
      </w:pPr>
    </w:p>
    <w:p w14:paraId="0B1EE227">
      <w:pPr>
        <w:pStyle w:val="2"/>
        <w:rPr>
          <w:rFonts w:hint="eastAsia" w:ascii="仿宋_GB2312" w:hAnsi="仿宋_GB2312" w:eastAsia="仿宋_GB2312" w:cs="仿宋_GB2312"/>
          <w:caps w:val="0"/>
          <w:smallCaps/>
          <w:sz w:val="32"/>
          <w:szCs w:val="32"/>
        </w:rPr>
      </w:pPr>
    </w:p>
    <w:p w14:paraId="43092987">
      <w:pPr>
        <w:pStyle w:val="2"/>
        <w:rPr>
          <w:rFonts w:hint="eastAsia" w:ascii="仿宋_GB2312" w:hAnsi="仿宋_GB2312" w:eastAsia="仿宋_GB2312" w:cs="仿宋_GB2312"/>
          <w:caps w:val="0"/>
          <w:smallCaps/>
          <w:sz w:val="32"/>
          <w:szCs w:val="32"/>
        </w:rPr>
      </w:pPr>
    </w:p>
    <w:p w14:paraId="0280E9E7">
      <w:pPr>
        <w:pStyle w:val="2"/>
        <w:rPr>
          <w:rFonts w:hint="eastAsia" w:ascii="仿宋_GB2312" w:hAnsi="仿宋_GB2312" w:eastAsia="仿宋_GB2312" w:cs="仿宋_GB2312"/>
          <w:caps w:val="0"/>
          <w:smallCaps/>
          <w:sz w:val="32"/>
          <w:szCs w:val="32"/>
        </w:rPr>
      </w:pPr>
    </w:p>
    <w:p w14:paraId="28412BDD">
      <w:pPr>
        <w:pStyle w:val="2"/>
        <w:ind w:firstLine="2310" w:firstLineChars="523"/>
        <w:rPr>
          <w:rStyle w:val="24"/>
          <w:rFonts w:hint="eastAsia" w:ascii="方正公文小标宋" w:hAnsi="方正公文小标宋" w:eastAsia="方正公文小标宋" w:cs="方正公文小标宋"/>
          <w:b/>
          <w:bCs/>
        </w:rPr>
      </w:pPr>
      <w:bookmarkStart w:id="15" w:name="_Toc9126"/>
      <w:r>
        <w:rPr>
          <w:rStyle w:val="24"/>
          <w:rFonts w:hint="eastAsia" w:ascii="方正公文小标宋" w:hAnsi="方正公文小标宋" w:eastAsia="方正公文小标宋" w:cs="方正公文小标宋"/>
          <w:b/>
          <w:bCs/>
        </w:rPr>
        <w:t>第一部分 部门概况</w:t>
      </w:r>
      <w:bookmarkEnd w:id="12"/>
      <w:bookmarkEnd w:id="13"/>
      <w:bookmarkEnd w:id="14"/>
    </w:p>
    <w:bookmarkEnd w:id="15"/>
    <w:p w14:paraId="5CD9FB43">
      <w:pPr>
        <w:pStyle w:val="4"/>
        <w:pageBreakBefore w:val="0"/>
        <w:kinsoku/>
        <w:wordWrap/>
        <w:overflowPunct/>
        <w:topLinePunct w:val="0"/>
        <w:autoSpaceDE/>
        <w:autoSpaceDN/>
        <w:bidi w:val="0"/>
        <w:spacing w:before="0" w:after="0" w:line="576" w:lineRule="exact"/>
        <w:ind w:firstLine="640" w:firstLineChars="200"/>
        <w:textAlignment w:val="auto"/>
        <w:rPr>
          <w:rFonts w:hint="eastAsia" w:ascii="黑体" w:eastAsia="黑体"/>
          <w:b w:val="0"/>
          <w:color w:val="000000"/>
          <w:lang w:eastAsia="zh-CN"/>
        </w:rPr>
      </w:pPr>
      <w:bookmarkStart w:id="16" w:name="_Toc10216"/>
      <w:bookmarkStart w:id="17" w:name="_Toc15377197"/>
      <w:bookmarkStart w:id="18" w:name="_Toc79163602"/>
      <w:bookmarkStart w:id="19" w:name="_Toc15396600"/>
      <w:bookmarkStart w:id="20" w:name="_Toc25800"/>
      <w:bookmarkStart w:id="21" w:name="_Toc19957"/>
      <w:bookmarkStart w:id="22" w:name="_Toc15377204"/>
      <w:r>
        <w:rPr>
          <w:rFonts w:hint="eastAsia" w:ascii="黑体" w:eastAsia="黑体"/>
          <w:b w:val="0"/>
          <w:color w:val="000000"/>
        </w:rPr>
        <w:t>一、</w:t>
      </w:r>
      <w:bookmarkEnd w:id="16"/>
      <w:bookmarkEnd w:id="17"/>
      <w:bookmarkEnd w:id="18"/>
      <w:bookmarkEnd w:id="19"/>
      <w:bookmarkEnd w:id="20"/>
      <w:r>
        <w:rPr>
          <w:rFonts w:hint="eastAsia" w:ascii="黑体" w:eastAsia="黑体"/>
          <w:b w:val="0"/>
          <w:color w:val="000000"/>
          <w:lang w:eastAsia="zh-CN"/>
        </w:rPr>
        <w:t>部门职责</w:t>
      </w:r>
      <w:bookmarkEnd w:id="21"/>
      <w:bookmarkStart w:id="23" w:name="_Toc31514"/>
      <w:bookmarkStart w:id="24" w:name="_Toc15377200"/>
    </w:p>
    <w:p w14:paraId="5D8C414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1.贯彻执行党的路线、方针、政策以及中央、省委、州委和县委的决议、决定和工作的部署，协助县委领导处理县委日常工作，协调镇和部门工作，沟通上下左右联系；</w:t>
      </w:r>
    </w:p>
    <w:p w14:paraId="73121E0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2.负责县委日常文书的处理、县委领导同志公务活动的组织安排、县委各类会议的组织工作；</w:t>
      </w:r>
    </w:p>
    <w:p w14:paraId="00625DB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3.负责县委文件、文稿的起草、批办、审核和印发工作；</w:t>
      </w:r>
    </w:p>
    <w:p w14:paraId="451A5D1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４.围绕县委中心工作开展调查研究，及时准确地向县委领导和上级党委反映各方面的实际情况，并提供切实可行的建议；</w:t>
      </w:r>
    </w:p>
    <w:p w14:paraId="4341C5F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5.及时收集、筛选、综合整理各类情况，全面准确地为县委领导、上级党委报送信息；</w:t>
      </w:r>
    </w:p>
    <w:p w14:paraId="5EF5AA9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6.围绕县委重大决策和工作部署，进行督促检查，做好领导重要批示件、新闻舆论批评和群众反映的突出问题的查办工作；</w:t>
      </w:r>
    </w:p>
    <w:p w14:paraId="2279AB3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7.负责全县党政密码通信、密码管理和密码保密及全县商用密码管理</w:t>
      </w:r>
      <w:r>
        <w:rPr>
          <w:rFonts w:hint="eastAsia" w:ascii="仿宋_GB2312" w:eastAsia="仿宋_GB2312" w:cs="仿宋_GB2312"/>
          <w:sz w:val="32"/>
          <w:szCs w:val="32"/>
          <w:lang w:val="en-US" w:eastAsia="zh-CN"/>
        </w:rPr>
        <w:t>和上级涉密文件传递</w:t>
      </w:r>
      <w:r>
        <w:rPr>
          <w:rFonts w:hint="eastAsia" w:ascii="仿宋_GB2312" w:eastAsia="仿宋_GB2312" w:cs="仿宋_GB2312"/>
          <w:sz w:val="32"/>
          <w:szCs w:val="32"/>
        </w:rPr>
        <w:t>工作；</w:t>
      </w:r>
    </w:p>
    <w:p w14:paraId="48F9520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8.主管全县保密工作，督促、检查全县及驻本县单位、部队和企事业单位对《保密法》及其配套法规的贯彻实施情况；</w:t>
      </w:r>
    </w:p>
    <w:p w14:paraId="5A92452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eastAsia="楷体" w:cs="楷体"/>
          <w:b/>
          <w:bCs w:val="0"/>
          <w:color w:val="000000"/>
          <w:sz w:val="32"/>
          <w:szCs w:val="32"/>
        </w:rPr>
      </w:pPr>
      <w:r>
        <w:rPr>
          <w:rFonts w:hint="eastAsia" w:ascii="仿宋_GB2312" w:eastAsia="仿宋_GB2312" w:cs="仿宋_GB2312"/>
          <w:sz w:val="32"/>
          <w:szCs w:val="32"/>
        </w:rPr>
        <w:t>9.承办县委领导和上级业务部门交办的其他工作。</w:t>
      </w:r>
    </w:p>
    <w:bookmarkEnd w:id="23"/>
    <w:p w14:paraId="5EB2A89D">
      <w:pPr>
        <w:pStyle w:val="4"/>
        <w:pageBreakBefore w:val="0"/>
        <w:kinsoku/>
        <w:wordWrap/>
        <w:overflowPunct/>
        <w:topLinePunct w:val="0"/>
        <w:autoSpaceDE/>
        <w:autoSpaceDN/>
        <w:bidi w:val="0"/>
        <w:spacing w:before="0" w:after="0" w:line="576" w:lineRule="exact"/>
        <w:ind w:firstLine="640" w:firstLineChars="200"/>
        <w:textAlignment w:val="auto"/>
        <w:rPr>
          <w:rFonts w:hint="eastAsia" w:ascii="黑体" w:eastAsia="黑体" w:cs="Times New Roman"/>
          <w:b w:val="0"/>
          <w:color w:val="000000"/>
          <w:lang w:eastAsia="zh-CN"/>
        </w:rPr>
      </w:pPr>
      <w:bookmarkStart w:id="25" w:name="_Toc8726"/>
      <w:bookmarkStart w:id="26" w:name="_Toc111208497"/>
      <w:bookmarkStart w:id="27" w:name="_Toc2743"/>
      <w:r>
        <w:rPr>
          <w:rFonts w:hint="eastAsia" w:ascii="黑体" w:eastAsia="黑体" w:cs="Times New Roman"/>
          <w:b w:val="0"/>
          <w:color w:val="000000"/>
        </w:rPr>
        <w:t>二、机构设置</w:t>
      </w:r>
      <w:bookmarkEnd w:id="24"/>
      <w:bookmarkEnd w:id="25"/>
      <w:bookmarkEnd w:id="26"/>
    </w:p>
    <w:p w14:paraId="0B8DA9A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bookmarkStart w:id="28" w:name="_Toc9366"/>
      <w:bookmarkStart w:id="29" w:name="_Toc10545"/>
      <w:bookmarkStart w:id="30" w:name="_Toc9242"/>
      <w:bookmarkStart w:id="31" w:name="_Toc31540"/>
      <w:r>
        <w:rPr>
          <w:rFonts w:hint="eastAsia" w:ascii="仿宋_GB2312" w:hAnsi="仿宋_GB2312" w:eastAsia="仿宋_GB2312" w:cs="仿宋_GB2312"/>
          <w:sz w:val="32"/>
          <w:szCs w:val="32"/>
        </w:rPr>
        <w:t>县委办下属二级单位0个，其中行政单位0个，参照公务员法管理的事业单位0个，其他事业单位0个。</w:t>
      </w:r>
      <w:bookmarkEnd w:id="27"/>
      <w:bookmarkEnd w:id="28"/>
      <w:bookmarkEnd w:id="29"/>
      <w:bookmarkEnd w:id="30"/>
      <w:bookmarkEnd w:id="31"/>
      <w:bookmarkStart w:id="32" w:name="_Toc4756"/>
      <w:bookmarkStart w:id="33" w:name="_Toc111208498"/>
    </w:p>
    <w:p w14:paraId="33967652">
      <w:pPr>
        <w:pStyle w:val="3"/>
        <w:keepNext/>
        <w:keepLines/>
        <w:pageBreakBefore w:val="0"/>
        <w:widowControl w:val="0"/>
        <w:kinsoku/>
        <w:wordWrap/>
        <w:overflowPunct/>
        <w:topLinePunct w:val="0"/>
        <w:autoSpaceDE/>
        <w:autoSpaceDN/>
        <w:bidi w:val="0"/>
        <w:adjustRightInd/>
        <w:snapToGrid/>
        <w:spacing w:after="157" w:afterLines="50" w:line="579" w:lineRule="auto"/>
        <w:jc w:val="center"/>
        <w:textAlignment w:val="auto"/>
        <w:rPr>
          <w:rStyle w:val="24"/>
          <w:rFonts w:hint="eastAsia" w:ascii="方正公文小标宋" w:hAnsi="方正公文小标宋" w:eastAsia="方正公文小标宋" w:cs="方正公文小标宋"/>
          <w:b/>
          <w:bCs/>
        </w:rPr>
      </w:pPr>
      <w:bookmarkStart w:id="34" w:name="_Toc14389"/>
      <w:r>
        <w:rPr>
          <w:rStyle w:val="24"/>
          <w:rFonts w:hint="eastAsia" w:ascii="方正公文小标宋" w:hAnsi="方正公文小标宋" w:eastAsia="方正公文小标宋" w:cs="方正公文小标宋"/>
          <w:b/>
          <w:bCs/>
        </w:rPr>
        <w:t>第二部分 202</w:t>
      </w:r>
      <w:r>
        <w:rPr>
          <w:rStyle w:val="24"/>
          <w:rFonts w:hint="eastAsia" w:ascii="方正公文小标宋" w:hAnsi="方正公文小标宋" w:eastAsia="方正公文小标宋" w:cs="方正公文小标宋"/>
          <w:b/>
          <w:bCs/>
          <w:lang w:val="en-US"/>
        </w:rPr>
        <w:t>5</w:t>
      </w:r>
      <w:r>
        <w:rPr>
          <w:rStyle w:val="24"/>
          <w:rFonts w:hint="eastAsia" w:ascii="方正公文小标宋" w:hAnsi="方正公文小标宋" w:eastAsia="方正公文小标宋" w:cs="方正公文小标宋"/>
          <w:b/>
          <w:bCs/>
        </w:rPr>
        <w:t>年度部门决算情况说明</w:t>
      </w:r>
      <w:bookmarkEnd w:id="22"/>
      <w:bookmarkEnd w:id="32"/>
      <w:bookmarkEnd w:id="33"/>
      <w:bookmarkEnd w:id="34"/>
    </w:p>
    <w:p w14:paraId="29559852">
      <w:pPr>
        <w:pStyle w:val="4"/>
        <w:pageBreakBefore w:val="0"/>
        <w:kinsoku/>
        <w:wordWrap/>
        <w:overflowPunct/>
        <w:topLinePunct w:val="0"/>
        <w:autoSpaceDE/>
        <w:autoSpaceDN/>
        <w:bidi w:val="0"/>
        <w:spacing w:before="0" w:after="0" w:line="576" w:lineRule="exact"/>
        <w:ind w:firstLine="640" w:firstLineChars="200"/>
        <w:textAlignment w:val="auto"/>
        <w:rPr>
          <w:rFonts w:hint="eastAsia" w:ascii="黑体" w:eastAsia="黑体" w:cs="Times New Roman"/>
          <w:b w:val="0"/>
          <w:color w:val="000000"/>
          <w:lang w:val="en-US" w:eastAsia="zh-CN"/>
        </w:rPr>
      </w:pPr>
      <w:bookmarkStart w:id="35" w:name="_Toc15377205"/>
      <w:bookmarkStart w:id="36" w:name="_Toc111208499"/>
      <w:bookmarkStart w:id="37" w:name="_Toc23362"/>
      <w:bookmarkStart w:id="38" w:name="_Toc26705"/>
      <w:r>
        <w:rPr>
          <w:rFonts w:hint="eastAsia" w:ascii="黑体" w:eastAsia="黑体" w:cs="Times New Roman"/>
          <w:b w:val="0"/>
          <w:color w:val="000000"/>
          <w:lang w:val="en-US" w:eastAsia="zh-CN"/>
        </w:rPr>
        <w:t>一、收入支出决算总体情况说</w:t>
      </w:r>
      <w:bookmarkEnd w:id="35"/>
      <w:r>
        <w:rPr>
          <w:rFonts w:hint="eastAsia" w:ascii="黑体" w:eastAsia="黑体" w:cs="Times New Roman"/>
          <w:b w:val="0"/>
          <w:color w:val="000000"/>
          <w:lang w:val="en-US" w:eastAsia="zh-CN"/>
        </w:rPr>
        <w:t>明</w:t>
      </w:r>
      <w:bookmarkEnd w:id="36"/>
      <w:bookmarkEnd w:id="37"/>
      <w:bookmarkEnd w:id="38"/>
    </w:p>
    <w:p w14:paraId="550A10E1">
      <w:pPr>
        <w:bidi w:val="0"/>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2025年度收、支总计均为1306.08万元。与2024年度相比，收、支总计各增加12.43万元，增长1%。主要变动原因是：人员增加，人员经费及项目经费增多。</w:t>
      </w:r>
    </w:p>
    <w:p w14:paraId="603FBA89">
      <w:pPr>
        <w:pStyle w:val="2"/>
        <w:rPr>
          <w:rFonts w:hint="eastAsia" w:ascii="仿宋_GB2312" w:eastAsia="仿宋_GB2312"/>
          <w:color w:val="000000"/>
          <w:sz w:val="32"/>
          <w:szCs w:val="32"/>
        </w:rPr>
      </w:pPr>
      <w:r>
        <w:rPr>
          <w:rFonts w:hint="eastAsia" w:ascii="仿宋_GB2312" w:eastAsia="仿宋_GB2312"/>
          <w:color w:val="000000"/>
          <w:sz w:val="32"/>
          <w:szCs w:val="32"/>
        </w:rPr>
        <w:drawing>
          <wp:anchor distT="0" distB="0" distL="114300" distR="114300" simplePos="0" relativeHeight="251659264" behindDoc="0" locked="0" layoutInCell="1" allowOverlap="1">
            <wp:simplePos x="0" y="0"/>
            <wp:positionH relativeFrom="column">
              <wp:posOffset>349250</wp:posOffset>
            </wp:positionH>
            <wp:positionV relativeFrom="paragraph">
              <wp:posOffset>277495</wp:posOffset>
            </wp:positionV>
            <wp:extent cx="4886325" cy="2819400"/>
            <wp:effectExtent l="0" t="0" r="21" b="43"/>
            <wp:wrapSquare wrapText="bothSides"/>
            <wp:docPr id="1"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14:paraId="26D780A7">
      <w:pPr>
        <w:pStyle w:val="2"/>
        <w:rPr>
          <w:rFonts w:hint="eastAsia" w:ascii="仿宋_GB2312" w:eastAsia="仿宋_GB2312"/>
          <w:color w:val="000000"/>
          <w:sz w:val="32"/>
          <w:szCs w:val="32"/>
        </w:rPr>
      </w:pPr>
    </w:p>
    <w:p w14:paraId="6F64FA5B">
      <w:pPr>
        <w:pStyle w:val="2"/>
        <w:rPr>
          <w:rFonts w:hint="eastAsia" w:ascii="仿宋_GB2312" w:eastAsia="仿宋_GB2312"/>
          <w:color w:val="000000"/>
          <w:sz w:val="32"/>
          <w:szCs w:val="32"/>
        </w:rPr>
      </w:pPr>
    </w:p>
    <w:p w14:paraId="1BC755E9">
      <w:pPr>
        <w:pStyle w:val="2"/>
        <w:rPr>
          <w:rFonts w:hint="eastAsia" w:ascii="仿宋_GB2312" w:eastAsia="仿宋_GB2312"/>
          <w:color w:val="000000"/>
          <w:sz w:val="32"/>
          <w:szCs w:val="32"/>
        </w:rPr>
      </w:pPr>
    </w:p>
    <w:p w14:paraId="2CA19950">
      <w:pPr>
        <w:pStyle w:val="2"/>
        <w:rPr>
          <w:rFonts w:hint="eastAsia" w:ascii="仿宋_GB2312" w:eastAsia="仿宋_GB2312"/>
          <w:color w:val="000000"/>
          <w:sz w:val="32"/>
          <w:szCs w:val="32"/>
        </w:rPr>
      </w:pPr>
    </w:p>
    <w:p w14:paraId="40175F41">
      <w:pPr>
        <w:pStyle w:val="2"/>
        <w:rPr>
          <w:rFonts w:hint="eastAsia" w:ascii="仿宋_GB2312" w:eastAsia="仿宋_GB2312"/>
          <w:color w:val="000000"/>
          <w:sz w:val="32"/>
          <w:szCs w:val="32"/>
        </w:rPr>
      </w:pPr>
    </w:p>
    <w:p w14:paraId="2E9D4AC6">
      <w:pPr>
        <w:pStyle w:val="4"/>
        <w:rPr>
          <w:rFonts w:hint="eastAsia" w:ascii="黑体" w:eastAsia="黑体" w:cs="Times New Roman"/>
          <w:b w:val="0"/>
          <w:bCs/>
          <w:color w:val="000000"/>
        </w:rPr>
      </w:pPr>
      <w:bookmarkStart w:id="39" w:name="_Toc111208500"/>
      <w:bookmarkStart w:id="40" w:name="_Toc15377206"/>
      <w:bookmarkStart w:id="41" w:name="_Toc25746"/>
    </w:p>
    <w:p w14:paraId="1ACA3B60">
      <w:pPr>
        <w:pStyle w:val="4"/>
        <w:pageBreakBefore w:val="0"/>
        <w:kinsoku/>
        <w:wordWrap/>
        <w:overflowPunct/>
        <w:topLinePunct w:val="0"/>
        <w:autoSpaceDE/>
        <w:autoSpaceDN/>
        <w:bidi w:val="0"/>
        <w:spacing w:before="0" w:after="0" w:line="576" w:lineRule="exact"/>
        <w:ind w:firstLine="640" w:firstLineChars="200"/>
        <w:textAlignment w:val="auto"/>
        <w:rPr>
          <w:rFonts w:hint="eastAsia" w:ascii="黑体" w:eastAsia="黑体" w:cs="Times New Roman"/>
          <w:b w:val="0"/>
          <w:color w:val="000000"/>
          <w:lang w:val="en-US" w:eastAsia="zh-CN"/>
        </w:rPr>
      </w:pPr>
      <w:bookmarkStart w:id="42" w:name="_Toc11024"/>
      <w:r>
        <w:rPr>
          <w:rFonts w:hint="eastAsia" w:ascii="黑体" w:eastAsia="黑体" w:cs="Times New Roman"/>
          <w:b w:val="0"/>
          <w:color w:val="000000"/>
          <w:lang w:val="en-US" w:eastAsia="zh-CN"/>
        </w:rPr>
        <w:t>二、收入决算情况说明</w:t>
      </w:r>
      <w:bookmarkEnd w:id="39"/>
      <w:bookmarkEnd w:id="40"/>
      <w:bookmarkEnd w:id="41"/>
      <w:bookmarkEnd w:id="42"/>
    </w:p>
    <w:p w14:paraId="1CAC5C3B">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2025年本年收入合计1306.08万元，</w:t>
      </w:r>
      <w:r>
        <w:rPr>
          <w:rFonts w:hint="eastAsia" w:ascii="仿宋_GB2312" w:hAnsi="仿宋_GB2312" w:eastAsia="仿宋_GB2312" w:cs="仿宋_GB2312"/>
          <w:sz w:val="32"/>
          <w:szCs w:val="32"/>
        </w:rPr>
        <w:t>其中：一般公共预算财政拨款收入</w:t>
      </w:r>
      <w:r>
        <w:rPr>
          <w:rFonts w:hint="eastAsia" w:ascii="仿宋_GB2312" w:hAnsi="仿宋_GB2312" w:eastAsia="仿宋_GB2312" w:cs="仿宋_GB2312"/>
          <w:sz w:val="32"/>
          <w:szCs w:val="32"/>
          <w:lang w:val="en-US" w:eastAsia="zh-CN"/>
        </w:rPr>
        <w:t>1306.08</w:t>
      </w:r>
      <w:r>
        <w:rPr>
          <w:rFonts w:hint="eastAsia" w:ascii="仿宋_GB2312" w:hAnsi="仿宋_GB2312" w:eastAsia="仿宋_GB2312" w:cs="仿宋_GB2312"/>
          <w:sz w:val="32"/>
          <w:szCs w:val="32"/>
        </w:rPr>
        <w:t>万元，占100%</w:t>
      </w:r>
      <w:r>
        <w:rPr>
          <w:rFonts w:hint="eastAsia" w:ascii="仿宋_GB2312" w:hAnsi="仿宋_GB2312" w:eastAsia="仿宋_GB2312" w:cs="仿宋_GB2312"/>
          <w:sz w:val="32"/>
          <w:szCs w:val="32"/>
          <w:lang w:eastAsia="zh-CN"/>
        </w:rPr>
        <w:t>。</w:t>
      </w:r>
    </w:p>
    <w:p w14:paraId="30C16AFC">
      <w:pPr>
        <w:pStyle w:val="16"/>
        <w:jc w:val="center"/>
      </w:pPr>
      <w:r>
        <w:rPr>
          <w:rFonts w:hint="eastAsia" w:ascii="仿宋_GB2312" w:eastAsia="仿宋_GB2312"/>
          <w:color w:val="FF0000"/>
          <w:sz w:val="32"/>
          <w:szCs w:val="32"/>
        </w:rPr>
        <w:drawing>
          <wp:inline distT="0" distB="0" distL="114300" distR="114300">
            <wp:extent cx="4599940" cy="2667000"/>
            <wp:effectExtent l="0" t="0" r="0" b="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573C36C5">
      <w:pPr>
        <w:pStyle w:val="4"/>
        <w:pageBreakBefore w:val="0"/>
        <w:kinsoku/>
        <w:wordWrap/>
        <w:overflowPunct/>
        <w:topLinePunct w:val="0"/>
        <w:autoSpaceDE/>
        <w:autoSpaceDN/>
        <w:bidi w:val="0"/>
        <w:spacing w:before="0" w:after="0" w:line="576" w:lineRule="exact"/>
        <w:ind w:firstLine="640" w:firstLineChars="200"/>
        <w:textAlignment w:val="auto"/>
        <w:rPr>
          <w:rFonts w:hint="eastAsia" w:ascii="黑体" w:eastAsia="黑体" w:cs="Times New Roman"/>
          <w:b w:val="0"/>
          <w:color w:val="000000"/>
          <w:lang w:val="en-US" w:eastAsia="zh-CN"/>
        </w:rPr>
      </w:pPr>
      <w:bookmarkStart w:id="43" w:name="_Toc111208501"/>
      <w:bookmarkStart w:id="44" w:name="_Toc26388"/>
      <w:bookmarkStart w:id="45" w:name="_Toc15377207"/>
      <w:bookmarkStart w:id="46" w:name="_Toc5429"/>
      <w:r>
        <w:rPr>
          <w:rFonts w:hint="eastAsia" w:ascii="黑体" w:eastAsia="黑体" w:cs="Times New Roman"/>
          <w:b w:val="0"/>
          <w:color w:val="000000"/>
          <w:lang w:val="en-US" w:eastAsia="zh-CN"/>
        </w:rPr>
        <w:t>三、支出决算情况说明</w:t>
      </w:r>
      <w:bookmarkEnd w:id="43"/>
      <w:bookmarkEnd w:id="44"/>
      <w:bookmarkEnd w:id="45"/>
      <w:bookmarkEnd w:id="46"/>
    </w:p>
    <w:p w14:paraId="3F9152A9">
      <w:pPr>
        <w:bidi w:val="0"/>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2025年本年支出合计1306.08万元，其中：基本支出1104.19万元，占84.5%；项目支出201.89万元，占15.5%。</w:t>
      </w:r>
    </w:p>
    <w:p w14:paraId="01976427">
      <w:pPr>
        <w:jc w:val="center"/>
      </w:pPr>
      <w:r>
        <w:rPr>
          <w:rFonts w:hint="eastAsia" w:ascii="仿宋_GB2312" w:eastAsia="仿宋_GB2312"/>
          <w:color w:val="FF0000"/>
          <w:sz w:val="32"/>
          <w:szCs w:val="32"/>
          <w:lang w:eastAsia="zh-CN"/>
        </w:rPr>
        <w:drawing>
          <wp:inline distT="0" distB="0" distL="114300" distR="114300">
            <wp:extent cx="4013835" cy="2363470"/>
            <wp:effectExtent l="4445" t="4445" r="20320" b="13335"/>
            <wp:docPr id="3"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FBEB80F">
      <w:pPr>
        <w:pStyle w:val="4"/>
        <w:pageBreakBefore w:val="0"/>
        <w:kinsoku/>
        <w:wordWrap/>
        <w:overflowPunct/>
        <w:topLinePunct w:val="0"/>
        <w:autoSpaceDE/>
        <w:autoSpaceDN/>
        <w:bidi w:val="0"/>
        <w:spacing w:before="0" w:after="0" w:line="576" w:lineRule="exact"/>
        <w:ind w:firstLine="640" w:firstLineChars="200"/>
        <w:textAlignment w:val="auto"/>
        <w:rPr>
          <w:rFonts w:hint="eastAsia" w:ascii="黑体" w:eastAsia="黑体" w:cs="Times New Roman"/>
          <w:b w:val="0"/>
          <w:color w:val="000000"/>
          <w:lang w:val="en-US" w:eastAsia="zh-CN"/>
        </w:rPr>
      </w:pPr>
      <w:bookmarkStart w:id="47" w:name="_Toc111208502"/>
      <w:bookmarkStart w:id="48" w:name="_Toc31951"/>
      <w:bookmarkStart w:id="49" w:name="_Toc27304"/>
      <w:bookmarkStart w:id="50" w:name="_Toc15377208"/>
      <w:r>
        <w:rPr>
          <w:rFonts w:hint="eastAsia" w:ascii="黑体" w:eastAsia="黑体" w:cs="Times New Roman"/>
          <w:b w:val="0"/>
          <w:color w:val="000000"/>
          <w:lang w:val="en-US" w:eastAsia="zh-CN"/>
        </w:rPr>
        <w:t>四、财政拨款收入支出决算总体情况说明</w:t>
      </w:r>
      <w:bookmarkEnd w:id="47"/>
      <w:bookmarkEnd w:id="48"/>
      <w:bookmarkEnd w:id="49"/>
      <w:bookmarkEnd w:id="50"/>
    </w:p>
    <w:p w14:paraId="4016F78A">
      <w:pPr>
        <w:bidi w:val="0"/>
        <w:ind w:firstLine="640" w:firstLineChars="200"/>
        <w:rPr>
          <w:rFonts w:hint="eastAsia" w:ascii="仿宋_GB2312" w:hAnsi="仿宋_GB2312" w:eastAsia="仿宋_GB2312" w:cs="仿宋_GB2312"/>
          <w:sz w:val="32"/>
          <w:szCs w:val="32"/>
          <w:lang w:val="en-US" w:eastAsia="zh-CN"/>
        </w:rPr>
      </w:pPr>
      <w:bookmarkStart w:id="51" w:name="_Toc10398"/>
      <w:bookmarkStart w:id="52" w:name="_Toc14723"/>
      <w:bookmarkStart w:id="53" w:name="_Toc8781"/>
      <w:r>
        <w:rPr>
          <w:rFonts w:hint="eastAsia" w:ascii="仿宋_GB2312" w:hAnsi="仿宋_GB2312" w:eastAsia="仿宋_GB2312" w:cs="仿宋_GB2312"/>
          <w:sz w:val="32"/>
          <w:szCs w:val="32"/>
          <w:lang w:val="en-US" w:eastAsia="zh-CN"/>
        </w:rPr>
        <w:t>2025年财政拨款收、支总计1306.08万元。与2024年相比，财政拨款收、支总计各增加</w:t>
      </w:r>
      <w:bookmarkEnd w:id="51"/>
      <w:bookmarkEnd w:id="52"/>
      <w:bookmarkEnd w:id="53"/>
      <w:r>
        <w:rPr>
          <w:rFonts w:hint="eastAsia" w:ascii="仿宋_GB2312" w:hAnsi="仿宋_GB2312" w:eastAsia="仿宋_GB2312" w:cs="仿宋_GB2312"/>
          <w:sz w:val="32"/>
          <w:szCs w:val="32"/>
          <w:lang w:val="en-US" w:eastAsia="zh-CN"/>
        </w:rPr>
        <w:t>12.43万元，增长1%。主要变动原因是：人员增加，人员经费及项目经费增多。</w:t>
      </w:r>
    </w:p>
    <w:p w14:paraId="084E663D">
      <w:pPr>
        <w:pStyle w:val="2"/>
        <w:ind w:firstLine="1673" w:firstLineChars="523"/>
        <w:rPr>
          <w:rFonts w:hint="eastAsia" w:ascii="仿宋_GB2312" w:eastAsia="仿宋_GB2312" w:cs="仿宋_GB2312"/>
          <w:color w:val="000000"/>
          <w:kern w:val="2"/>
          <w:sz w:val="32"/>
          <w:szCs w:val="32"/>
          <w:lang w:val="en-US" w:eastAsia="zh-CN" w:bidi="ar-SA"/>
        </w:rPr>
      </w:pPr>
      <w:r>
        <w:rPr>
          <w:rFonts w:hint="eastAsia" w:ascii="仿宋_GB2312" w:eastAsia="仿宋_GB2312"/>
          <w:color w:val="000000"/>
          <w:sz w:val="32"/>
          <w:szCs w:val="32"/>
        </w:rPr>
        <w:drawing>
          <wp:anchor distT="0" distB="0" distL="114300" distR="114300" simplePos="0" relativeHeight="251659264" behindDoc="0" locked="0" layoutInCell="1" allowOverlap="1">
            <wp:simplePos x="0" y="0"/>
            <wp:positionH relativeFrom="column">
              <wp:posOffset>548640</wp:posOffset>
            </wp:positionH>
            <wp:positionV relativeFrom="paragraph">
              <wp:posOffset>219075</wp:posOffset>
            </wp:positionV>
            <wp:extent cx="4610735" cy="2696845"/>
            <wp:effectExtent l="0" t="0" r="39" b="22"/>
            <wp:wrapSquare wrapText="bothSides"/>
            <wp:docPr id="4"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14:paraId="548EA124">
      <w:pPr>
        <w:pStyle w:val="2"/>
        <w:jc w:val="left"/>
      </w:pPr>
    </w:p>
    <w:p w14:paraId="1FBA579C">
      <w:pPr>
        <w:pStyle w:val="2"/>
        <w:jc w:val="left"/>
      </w:pPr>
    </w:p>
    <w:p w14:paraId="095ECA7E">
      <w:pPr>
        <w:pStyle w:val="2"/>
        <w:jc w:val="left"/>
      </w:pPr>
    </w:p>
    <w:p w14:paraId="18E11627">
      <w:pPr>
        <w:pStyle w:val="2"/>
        <w:jc w:val="left"/>
      </w:pPr>
    </w:p>
    <w:p w14:paraId="56F8E7E2">
      <w:pPr>
        <w:pStyle w:val="2"/>
        <w:jc w:val="left"/>
      </w:pPr>
    </w:p>
    <w:p w14:paraId="16539181">
      <w:pPr>
        <w:pStyle w:val="2"/>
        <w:jc w:val="left"/>
      </w:pPr>
    </w:p>
    <w:p w14:paraId="32A25D32">
      <w:pPr>
        <w:pStyle w:val="2"/>
        <w:jc w:val="left"/>
      </w:pPr>
    </w:p>
    <w:p w14:paraId="4DF931A4">
      <w:pPr>
        <w:pStyle w:val="4"/>
        <w:ind w:firstLine="640" w:firstLineChars="200"/>
        <w:rPr>
          <w:rFonts w:hint="eastAsia" w:ascii="黑体" w:eastAsia="黑体" w:cs="Times New Roman"/>
          <w:b w:val="0"/>
          <w:bCs/>
          <w:color w:val="000000"/>
        </w:rPr>
      </w:pPr>
      <w:bookmarkStart w:id="54" w:name="_Toc15377209"/>
      <w:bookmarkStart w:id="55" w:name="_Toc111208503"/>
      <w:bookmarkStart w:id="56" w:name="_Toc11217"/>
      <w:bookmarkStart w:id="57" w:name="_Toc15377211"/>
    </w:p>
    <w:p w14:paraId="502DD27B">
      <w:pPr>
        <w:pStyle w:val="4"/>
        <w:pageBreakBefore w:val="0"/>
        <w:kinsoku/>
        <w:wordWrap/>
        <w:overflowPunct/>
        <w:topLinePunct w:val="0"/>
        <w:autoSpaceDE/>
        <w:autoSpaceDN/>
        <w:bidi w:val="0"/>
        <w:spacing w:before="0" w:after="0" w:line="576" w:lineRule="exact"/>
        <w:ind w:firstLine="640" w:firstLineChars="200"/>
        <w:textAlignment w:val="auto"/>
        <w:rPr>
          <w:rFonts w:hint="eastAsia" w:ascii="黑体" w:eastAsia="黑体" w:cs="Times New Roman"/>
          <w:b w:val="0"/>
          <w:color w:val="000000"/>
          <w:lang w:val="en-US" w:eastAsia="zh-CN"/>
        </w:rPr>
      </w:pPr>
      <w:bookmarkStart w:id="58" w:name="_Toc31701"/>
      <w:r>
        <w:rPr>
          <w:rFonts w:hint="eastAsia" w:ascii="黑体" w:eastAsia="黑体" w:cs="Times New Roman"/>
          <w:b w:val="0"/>
          <w:color w:val="000000"/>
          <w:lang w:val="en-US" w:eastAsia="zh-CN"/>
        </w:rPr>
        <w:t>五、一般公共预算财政拨款支出决算情况说</w:t>
      </w:r>
      <w:bookmarkEnd w:id="54"/>
      <w:r>
        <w:rPr>
          <w:rFonts w:hint="eastAsia" w:ascii="黑体" w:eastAsia="黑体" w:cs="Times New Roman"/>
          <w:b w:val="0"/>
          <w:color w:val="000000"/>
          <w:lang w:val="en-US" w:eastAsia="zh-CN"/>
        </w:rPr>
        <w:t>明</w:t>
      </w:r>
      <w:bookmarkEnd w:id="55"/>
      <w:bookmarkEnd w:id="56"/>
      <w:bookmarkEnd w:id="58"/>
    </w:p>
    <w:p w14:paraId="2D212B1D">
      <w:pPr>
        <w:spacing w:line="600" w:lineRule="exact"/>
        <w:ind w:firstLine="643" w:firstLineChars="200"/>
        <w:outlineLvl w:val="2"/>
        <w:rPr>
          <w:rFonts w:hint="eastAsia" w:ascii="楷体_GB2312" w:eastAsia="楷体_GB2312" w:cs="楷体_GB2312"/>
          <w:b/>
          <w:bCs w:val="0"/>
          <w:color w:val="000000"/>
          <w:sz w:val="32"/>
          <w:szCs w:val="32"/>
        </w:rPr>
      </w:pPr>
      <w:bookmarkStart w:id="59" w:name="_Toc15377210"/>
      <w:r>
        <w:rPr>
          <w:rFonts w:hint="eastAsia" w:ascii="楷体_GB2312" w:eastAsia="楷体_GB2312" w:cs="楷体_GB2312"/>
          <w:b/>
          <w:bCs w:val="0"/>
          <w:color w:val="000000"/>
          <w:sz w:val="32"/>
          <w:szCs w:val="32"/>
        </w:rPr>
        <w:t>（一）一般公共预算财政拨款支出决算总体情况</w:t>
      </w:r>
      <w:bookmarkEnd w:id="59"/>
    </w:p>
    <w:p w14:paraId="0B5A9C8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2025年一般公共预算财政拨款支出</w:t>
      </w:r>
      <w:r>
        <w:rPr>
          <w:rFonts w:hint="eastAsia" w:ascii="仿宋_GB2312" w:eastAsia="仿宋_GB2312" w:cs="仿宋_GB2312"/>
          <w:color w:val="000000"/>
          <w:sz w:val="32"/>
          <w:szCs w:val="32"/>
          <w:lang w:val="en-US" w:eastAsia="zh-CN"/>
        </w:rPr>
        <w:t>1306.08</w:t>
      </w:r>
      <w:r>
        <w:rPr>
          <w:rFonts w:hint="eastAsia" w:ascii="仿宋_GB2312" w:eastAsia="仿宋_GB2312" w:cs="仿宋_GB2312"/>
          <w:color w:val="000000"/>
          <w:kern w:val="2"/>
          <w:sz w:val="32"/>
          <w:szCs w:val="32"/>
          <w:lang w:val="en-US" w:eastAsia="zh-CN" w:bidi="ar-SA"/>
        </w:rPr>
        <w:t>万元，占本年支出合计的100%。与2024年相比，一般公共预算财政拨款</w:t>
      </w:r>
      <w:r>
        <w:rPr>
          <w:rFonts w:hint="eastAsia" w:ascii="仿宋" w:eastAsia="仿宋"/>
          <w:color w:val="auto"/>
          <w:sz w:val="32"/>
          <w:szCs w:val="32"/>
          <w:highlight w:val="none"/>
          <w:lang w:eastAsia="zh-CN"/>
        </w:rPr>
        <w:t>增长</w:t>
      </w:r>
      <w:r>
        <w:rPr>
          <w:rFonts w:hint="eastAsia" w:ascii="仿宋_GB2312" w:hAnsi="仿宋_GB2312" w:eastAsia="仿宋_GB2312" w:cs="仿宋_GB2312"/>
          <w:sz w:val="32"/>
          <w:szCs w:val="32"/>
          <w:lang w:val="en-US" w:eastAsia="zh-CN"/>
        </w:rPr>
        <w:t>12.43万元，增长1%。主要变动原因是：人员增加，人员经费及项目经费增多。</w:t>
      </w:r>
    </w:p>
    <w:p w14:paraId="0BBED496">
      <w:pPr>
        <w:pStyle w:val="2"/>
        <w:ind w:firstLine="0"/>
        <w:rPr>
          <w:rFonts w:ascii="仿宋_GB2312" w:eastAsia="仿宋_GB2312"/>
          <w:b/>
          <w:color w:val="000000"/>
          <w:sz w:val="32"/>
          <w:szCs w:val="32"/>
        </w:rPr>
      </w:pPr>
      <w:r>
        <w:rPr>
          <w:rFonts w:hint="eastAsia" w:ascii="仿宋_GB2312" w:eastAsia="仿宋_GB2312"/>
          <w:color w:val="000000"/>
          <w:sz w:val="32"/>
          <w:szCs w:val="32"/>
        </w:rPr>
        <w:drawing>
          <wp:anchor distT="0" distB="0" distL="114300" distR="114300" simplePos="0" relativeHeight="251659264" behindDoc="0" locked="0" layoutInCell="1" allowOverlap="1">
            <wp:simplePos x="0" y="0"/>
            <wp:positionH relativeFrom="column">
              <wp:posOffset>434340</wp:posOffset>
            </wp:positionH>
            <wp:positionV relativeFrom="paragraph">
              <wp:posOffset>60960</wp:posOffset>
            </wp:positionV>
            <wp:extent cx="5039360" cy="2429510"/>
            <wp:effectExtent l="4445" t="4445" r="23495" b="23495"/>
            <wp:wrapSquare wrapText="bothSides"/>
            <wp:docPr id="5"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383DF2CC">
      <w:pPr>
        <w:pStyle w:val="2"/>
        <w:ind w:firstLine="0"/>
        <w:rPr>
          <w:rFonts w:ascii="仿宋_GB2312" w:eastAsia="仿宋_GB2312"/>
          <w:b/>
          <w:color w:val="000000"/>
          <w:sz w:val="32"/>
          <w:szCs w:val="32"/>
        </w:rPr>
      </w:pPr>
    </w:p>
    <w:p w14:paraId="21972A02">
      <w:pPr>
        <w:pStyle w:val="2"/>
        <w:ind w:firstLine="0"/>
        <w:rPr>
          <w:rFonts w:ascii="仿宋_GB2312" w:eastAsia="仿宋_GB2312"/>
          <w:b/>
          <w:color w:val="000000"/>
          <w:sz w:val="32"/>
          <w:szCs w:val="32"/>
        </w:rPr>
      </w:pPr>
    </w:p>
    <w:p w14:paraId="1C57957A">
      <w:pPr>
        <w:pStyle w:val="2"/>
        <w:ind w:firstLine="0"/>
        <w:rPr>
          <w:rFonts w:ascii="仿宋_GB2312" w:eastAsia="仿宋_GB2312"/>
          <w:b/>
          <w:color w:val="000000"/>
          <w:sz w:val="32"/>
          <w:szCs w:val="32"/>
        </w:rPr>
      </w:pPr>
    </w:p>
    <w:p w14:paraId="6994BFA3">
      <w:pPr>
        <w:pStyle w:val="2"/>
        <w:ind w:firstLine="0"/>
        <w:rPr>
          <w:rFonts w:ascii="仿宋_GB2312" w:eastAsia="仿宋_GB2312"/>
          <w:b/>
          <w:color w:val="000000"/>
          <w:sz w:val="32"/>
          <w:szCs w:val="32"/>
        </w:rPr>
      </w:pPr>
    </w:p>
    <w:p w14:paraId="047010AA">
      <w:pPr>
        <w:pStyle w:val="2"/>
        <w:ind w:firstLine="0"/>
        <w:rPr>
          <w:rFonts w:ascii="仿宋_GB2312" w:eastAsia="仿宋_GB2312"/>
          <w:b/>
          <w:color w:val="000000"/>
          <w:sz w:val="32"/>
          <w:szCs w:val="32"/>
        </w:rPr>
      </w:pPr>
    </w:p>
    <w:bookmarkEnd w:id="57"/>
    <w:p w14:paraId="612DEB8B">
      <w:pPr>
        <w:spacing w:line="600" w:lineRule="exact"/>
        <w:outlineLvl w:val="2"/>
        <w:rPr>
          <w:rFonts w:hint="eastAsia" w:ascii="楷体_GB2312" w:eastAsia="楷体_GB2312" w:cs="楷体_GB2312"/>
          <w:b/>
          <w:bCs w:val="0"/>
          <w:color w:val="000000"/>
          <w:sz w:val="32"/>
          <w:szCs w:val="32"/>
        </w:rPr>
      </w:pPr>
    </w:p>
    <w:p w14:paraId="45CEAED7">
      <w:pPr>
        <w:spacing w:line="600" w:lineRule="exact"/>
        <w:ind w:firstLine="643" w:firstLineChars="200"/>
        <w:outlineLvl w:val="2"/>
        <w:rPr>
          <w:rFonts w:hint="eastAsia" w:ascii="楷体_GB2312" w:eastAsia="楷体_GB2312" w:cs="楷体_GB2312"/>
          <w:b/>
          <w:bCs w:val="0"/>
          <w:color w:val="000000"/>
          <w:sz w:val="32"/>
          <w:szCs w:val="32"/>
        </w:rPr>
      </w:pPr>
      <w:r>
        <w:rPr>
          <w:rFonts w:hint="eastAsia" w:ascii="楷体_GB2312" w:eastAsia="楷体_GB2312" w:cs="楷体_GB2312"/>
          <w:b/>
          <w:bCs w:val="0"/>
          <w:color w:val="000000"/>
          <w:sz w:val="32"/>
          <w:szCs w:val="32"/>
        </w:rPr>
        <w:t>（二）一般公共预算财政拨款支出决算结构情况</w:t>
      </w:r>
    </w:p>
    <w:p w14:paraId="6B853F72">
      <w:pPr>
        <w:spacing w:line="600" w:lineRule="exact"/>
        <w:ind w:firstLine="640" w:firstLineChars="200"/>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2025年一般公共预算财政拨款支出</w:t>
      </w:r>
      <w:r>
        <w:rPr>
          <w:rFonts w:hint="eastAsia" w:ascii="仿宋_GB2312" w:eastAsia="仿宋_GB2312" w:cs="仿宋_GB2312"/>
          <w:color w:val="000000"/>
          <w:sz w:val="32"/>
          <w:szCs w:val="32"/>
          <w:lang w:val="en-US" w:eastAsia="zh-CN"/>
        </w:rPr>
        <w:t>1306.08</w:t>
      </w:r>
      <w:r>
        <w:rPr>
          <w:rFonts w:hint="eastAsia" w:ascii="仿宋_GB2312" w:eastAsia="仿宋_GB2312" w:cs="仿宋_GB2312"/>
          <w:color w:val="000000"/>
          <w:kern w:val="2"/>
          <w:sz w:val="32"/>
          <w:szCs w:val="32"/>
          <w:lang w:val="en-US" w:eastAsia="zh-CN" w:bidi="ar-SA"/>
        </w:rPr>
        <w:t>万元，主要用于以下方面:一般公共服务支出1028.28万元，占78.8%；社会保障和就业支出140.43万元，占10.8%；卫生健康支出57.09万元，占4.4%；住房保障支出80.28万元，占6%。</w:t>
      </w:r>
    </w:p>
    <w:p w14:paraId="3F016652">
      <w:pPr>
        <w:pStyle w:val="2"/>
        <w:ind w:left="0" w:leftChars="0" w:firstLine="0" w:firstLineChars="0"/>
      </w:pPr>
      <w:bookmarkStart w:id="60" w:name="_Toc15377212"/>
      <w:r>
        <w:rPr>
          <w:rFonts w:hint="eastAsia" w:ascii="仿宋" w:eastAsia="仿宋"/>
          <w:color w:val="000000"/>
          <w:sz w:val="32"/>
          <w:szCs w:val="32"/>
        </w:rPr>
        <w:drawing>
          <wp:anchor distT="0" distB="0" distL="114300" distR="114300" simplePos="0" relativeHeight="251659264" behindDoc="0" locked="0" layoutInCell="1" allowOverlap="1">
            <wp:simplePos x="0" y="0"/>
            <wp:positionH relativeFrom="column">
              <wp:posOffset>854075</wp:posOffset>
            </wp:positionH>
            <wp:positionV relativeFrom="paragraph">
              <wp:posOffset>147320</wp:posOffset>
            </wp:positionV>
            <wp:extent cx="4065905" cy="2190750"/>
            <wp:effectExtent l="0" t="0" r="30" b="34"/>
            <wp:wrapSquare wrapText="bothSides"/>
            <wp:docPr id="6"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6FBEA31B">
      <w:pPr>
        <w:pStyle w:val="2"/>
      </w:pPr>
    </w:p>
    <w:p w14:paraId="44A9CA57">
      <w:pPr>
        <w:spacing w:line="600" w:lineRule="exact"/>
        <w:ind w:firstLine="643" w:firstLineChars="200"/>
        <w:outlineLvl w:val="2"/>
        <w:rPr>
          <w:rFonts w:hint="eastAsia" w:ascii="楷体_GB2312" w:eastAsia="楷体_GB2312" w:cs="楷体_GB2312"/>
          <w:b/>
          <w:bCs w:val="0"/>
          <w:color w:val="000000"/>
          <w:sz w:val="32"/>
          <w:szCs w:val="32"/>
        </w:rPr>
      </w:pPr>
    </w:p>
    <w:p w14:paraId="61BE4725">
      <w:pPr>
        <w:spacing w:line="600" w:lineRule="exact"/>
        <w:ind w:firstLine="643" w:firstLineChars="200"/>
        <w:outlineLvl w:val="2"/>
        <w:rPr>
          <w:rFonts w:hint="eastAsia" w:ascii="楷体_GB2312" w:eastAsia="楷体_GB2312" w:cs="楷体_GB2312"/>
          <w:b/>
          <w:bCs w:val="0"/>
          <w:color w:val="000000"/>
          <w:sz w:val="32"/>
          <w:szCs w:val="32"/>
        </w:rPr>
      </w:pPr>
    </w:p>
    <w:p w14:paraId="2B216E7B">
      <w:pPr>
        <w:spacing w:line="600" w:lineRule="exact"/>
        <w:ind w:firstLine="643" w:firstLineChars="200"/>
        <w:outlineLvl w:val="2"/>
        <w:rPr>
          <w:rFonts w:hint="eastAsia" w:ascii="楷体_GB2312" w:eastAsia="楷体_GB2312" w:cs="楷体_GB2312"/>
          <w:b/>
          <w:bCs w:val="0"/>
          <w:color w:val="000000"/>
          <w:sz w:val="32"/>
          <w:szCs w:val="32"/>
        </w:rPr>
      </w:pPr>
    </w:p>
    <w:p w14:paraId="30AF7BF7">
      <w:pPr>
        <w:spacing w:line="600" w:lineRule="exact"/>
        <w:ind w:firstLine="643" w:firstLineChars="200"/>
        <w:outlineLvl w:val="2"/>
        <w:rPr>
          <w:rFonts w:hint="eastAsia" w:ascii="楷体_GB2312" w:eastAsia="楷体_GB2312" w:cs="楷体_GB2312"/>
          <w:b/>
          <w:bCs w:val="0"/>
          <w:color w:val="000000"/>
          <w:sz w:val="32"/>
          <w:szCs w:val="32"/>
        </w:rPr>
      </w:pPr>
    </w:p>
    <w:p w14:paraId="19781C59">
      <w:pPr>
        <w:spacing w:line="600" w:lineRule="exact"/>
        <w:ind w:firstLine="643" w:firstLineChars="200"/>
        <w:outlineLvl w:val="2"/>
        <w:rPr>
          <w:rFonts w:hint="eastAsia" w:ascii="楷体_GB2312" w:eastAsia="楷体_GB2312" w:cs="楷体_GB2312"/>
          <w:b/>
          <w:bCs w:val="0"/>
          <w:color w:val="000000"/>
          <w:sz w:val="32"/>
          <w:szCs w:val="32"/>
        </w:rPr>
      </w:pPr>
    </w:p>
    <w:p w14:paraId="365A1CEA">
      <w:pPr>
        <w:spacing w:line="600" w:lineRule="exact"/>
        <w:ind w:firstLine="643" w:firstLineChars="200"/>
        <w:outlineLvl w:val="2"/>
        <w:rPr>
          <w:rFonts w:hint="eastAsia" w:ascii="楷体_GB2312" w:eastAsia="楷体_GB2312" w:cs="楷体_GB2312"/>
          <w:b/>
          <w:bCs w:val="0"/>
          <w:color w:val="000000"/>
          <w:sz w:val="32"/>
          <w:szCs w:val="32"/>
        </w:rPr>
      </w:pPr>
    </w:p>
    <w:p w14:paraId="5CBBD1A7">
      <w:pPr>
        <w:spacing w:line="600" w:lineRule="exact"/>
        <w:ind w:firstLine="643" w:firstLineChars="200"/>
        <w:outlineLvl w:val="2"/>
        <w:rPr>
          <w:rFonts w:hint="eastAsia" w:ascii="楷体_GB2312" w:eastAsia="楷体_GB2312" w:cs="楷体_GB2312"/>
          <w:b/>
          <w:bCs w:val="0"/>
          <w:color w:val="000000"/>
          <w:sz w:val="32"/>
          <w:szCs w:val="32"/>
        </w:rPr>
      </w:pPr>
      <w:r>
        <w:rPr>
          <w:rFonts w:hint="eastAsia" w:ascii="楷体_GB2312" w:eastAsia="楷体_GB2312" w:cs="楷体_GB2312"/>
          <w:b/>
          <w:bCs w:val="0"/>
          <w:color w:val="000000"/>
          <w:sz w:val="32"/>
          <w:szCs w:val="32"/>
        </w:rPr>
        <w:t>（三）一般公共预算财政拨款支出决算具体情况</w:t>
      </w:r>
      <w:bookmarkEnd w:id="60"/>
    </w:p>
    <w:p w14:paraId="367426B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bookmarkStart w:id="61" w:name="_Toc15378460"/>
      <w:bookmarkStart w:id="62" w:name="_Toc15377444"/>
      <w:bookmarkStart w:id="63" w:name="_Toc15377213"/>
      <w:r>
        <w:rPr>
          <w:rFonts w:hint="eastAsia" w:ascii="仿宋_GB2312" w:eastAsia="仿宋_GB2312" w:cs="仿宋_GB2312"/>
          <w:color w:val="000000"/>
          <w:kern w:val="2"/>
          <w:sz w:val="32"/>
          <w:szCs w:val="32"/>
          <w:lang w:val="en-US" w:eastAsia="zh-CN" w:bidi="ar-SA"/>
        </w:rPr>
        <w:t>2025年一般公共预算支出决算数为</w:t>
      </w:r>
      <w:r>
        <w:rPr>
          <w:rFonts w:hint="eastAsia" w:ascii="仿宋_GB2312" w:eastAsia="仿宋_GB2312" w:cs="仿宋_GB2312"/>
          <w:color w:val="000000"/>
          <w:sz w:val="32"/>
          <w:szCs w:val="32"/>
          <w:lang w:val="en-US" w:eastAsia="zh-CN"/>
        </w:rPr>
        <w:t>1306.08</w:t>
      </w:r>
      <w:r>
        <w:rPr>
          <w:rFonts w:hint="eastAsia" w:ascii="仿宋_GB2312" w:eastAsia="仿宋_GB2312" w:cs="仿宋_GB2312"/>
          <w:color w:val="000000"/>
          <w:kern w:val="2"/>
          <w:sz w:val="32"/>
          <w:szCs w:val="32"/>
          <w:lang w:val="en-US" w:eastAsia="zh-CN" w:bidi="ar-SA"/>
        </w:rPr>
        <w:t>万元，完成预算100%。其中：</w:t>
      </w:r>
      <w:bookmarkEnd w:id="61"/>
      <w:bookmarkEnd w:id="62"/>
      <w:bookmarkEnd w:id="63"/>
    </w:p>
    <w:p w14:paraId="62B6122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1.一般公共服务支出（类）党委办公厅（室）及相关机构事务（款）行政运行（项）支出决算673.7万元，完成预算100%，决算数与预算数持平。</w:t>
      </w:r>
    </w:p>
    <w:p w14:paraId="5EF4B9F0">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lang w:val="en-US" w:eastAsia="zh-CN"/>
        </w:rPr>
      </w:pPr>
      <w:r>
        <w:rPr>
          <w:rFonts w:hint="eastAsia" w:ascii="仿宋_GB2312" w:eastAsia="仿宋_GB2312" w:cs="仿宋_GB2312"/>
          <w:color w:val="000000"/>
          <w:kern w:val="2"/>
          <w:sz w:val="32"/>
          <w:szCs w:val="32"/>
          <w:lang w:val="en-US" w:eastAsia="zh-CN" w:bidi="ar-SA"/>
        </w:rPr>
        <w:t>2.一般公共服务支出（类）党委办公厅（室）及相关机构事务（款）事业运行（项）支出决算152.7万元，完成预算100%，决算数与预算数持平。</w:t>
      </w:r>
    </w:p>
    <w:p w14:paraId="792B037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3.一般公共服务支出（类）党委办公厅（室）及相关机构事务（款）一般行政事务管理（项）支出决算201.89万元，完成预算100%，决算数与预算数持平。</w:t>
      </w:r>
    </w:p>
    <w:p w14:paraId="0638487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4.社会保障和就业支出（类）行政事业单位养老支出（款）机关事业单位基本养老保险缴费支出（项）支出决算93.61万元，完成预算100%，决算数与预算数持平。</w:t>
      </w:r>
    </w:p>
    <w:p w14:paraId="17AD216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5.社会保障和就业支出（类）行政事业单位养老支出（款）机关事业单位职业年金缴费支出（项）支出决算46.81万元，完成预算100%，决算数与预算数持平。</w:t>
      </w:r>
    </w:p>
    <w:p w14:paraId="629E400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6.卫生健康支出（类）行政事业单位医疗（款）行政单位医疗（项）支出决算46.25万元，完成预算100%，决算数与预算数持平。</w:t>
      </w:r>
    </w:p>
    <w:p w14:paraId="25AC4B8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7.卫生健康支出（类）行政事业单位医疗（款）事业单位医疗（项）支出决算10.84万元，完成预算100%，决算数与预算数持平。</w:t>
      </w:r>
    </w:p>
    <w:p w14:paraId="33AEC15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8.住房保障支出（类）住房改革支出（款）住房公积金（项）支出决算78.08万元，完成预算100%，决算数与预算数持平。</w:t>
      </w:r>
    </w:p>
    <w:p w14:paraId="1095F0C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val="en-US" w:eastAsia="zh-CN"/>
        </w:rPr>
      </w:pPr>
      <w:r>
        <w:rPr>
          <w:rFonts w:hint="eastAsia" w:ascii="仿宋_GB2312" w:eastAsia="仿宋_GB2312" w:cs="仿宋_GB2312"/>
          <w:color w:val="000000"/>
          <w:kern w:val="2"/>
          <w:sz w:val="32"/>
          <w:szCs w:val="32"/>
          <w:lang w:val="en-US" w:eastAsia="zh-CN" w:bidi="ar-SA"/>
        </w:rPr>
        <w:t>9.住房保障支出（类）住房改革支出（款）购房补贴（项）支出决算2.2万元，完成预算100%，决算数与预算数持平。</w:t>
      </w:r>
    </w:p>
    <w:p w14:paraId="0C3CAFE6">
      <w:pPr>
        <w:pStyle w:val="4"/>
        <w:pageBreakBefore w:val="0"/>
        <w:kinsoku/>
        <w:wordWrap/>
        <w:overflowPunct/>
        <w:topLinePunct w:val="0"/>
        <w:autoSpaceDE/>
        <w:autoSpaceDN/>
        <w:bidi w:val="0"/>
        <w:spacing w:before="0" w:after="0" w:line="576" w:lineRule="exact"/>
        <w:ind w:firstLine="640" w:firstLineChars="200"/>
        <w:textAlignment w:val="auto"/>
        <w:rPr>
          <w:rFonts w:hint="eastAsia" w:ascii="黑体" w:eastAsia="黑体" w:cs="Times New Roman"/>
          <w:b w:val="0"/>
          <w:color w:val="000000"/>
          <w:lang w:val="en-US" w:eastAsia="zh-CN"/>
        </w:rPr>
      </w:pPr>
      <w:bookmarkStart w:id="64" w:name="_Toc15377214"/>
      <w:bookmarkStart w:id="65" w:name="_Toc9589"/>
      <w:bookmarkStart w:id="66" w:name="_Toc32028"/>
      <w:bookmarkStart w:id="67" w:name="_Toc111208504"/>
      <w:r>
        <w:rPr>
          <w:rFonts w:hint="eastAsia" w:ascii="黑体" w:eastAsia="黑体" w:cs="Times New Roman"/>
          <w:b w:val="0"/>
          <w:color w:val="000000"/>
          <w:lang w:val="en-US" w:eastAsia="zh-CN"/>
        </w:rPr>
        <w:t>六、一般公共预算财政拨款基本支出决算情况说</w:t>
      </w:r>
      <w:bookmarkEnd w:id="64"/>
      <w:r>
        <w:rPr>
          <w:rFonts w:hint="eastAsia" w:ascii="黑体" w:eastAsia="黑体" w:cs="Times New Roman"/>
          <w:b w:val="0"/>
          <w:color w:val="000000"/>
          <w:lang w:val="en-US" w:eastAsia="zh-CN"/>
        </w:rPr>
        <w:t>明</w:t>
      </w:r>
      <w:bookmarkEnd w:id="65"/>
      <w:bookmarkEnd w:id="66"/>
      <w:bookmarkEnd w:id="67"/>
    </w:p>
    <w:p w14:paraId="6FBCEE6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2025年度一般公共预算财政拨款基本支出1104.19万元，其中：</w:t>
      </w:r>
    </w:p>
    <w:p w14:paraId="0C73E3B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人员经费1014.13万元，主要包括：基本工资256.65万元、津贴补贴164.27万元、奖金199.45万元、绩效工资82.17万元、机关事业单位基本养老保险缴费93.62万元、职业年金缴费46.81万元、职工基本医疗保险缴费57.09万元、其他社会保障缴费11.46万元、住房公积金78.08万元、医疗费9.72万元、生活补助14.76万元、奖励金0.05万元。</w:t>
      </w:r>
    </w:p>
    <w:p w14:paraId="613F558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公用经费90.06万元，主要包括：办公费23万元、邮电费3.5万元、差旅费13.21万元、培训费0.7万元、因公出国（境）费用0万元、公务接待费0.13万元、公务用车运行维护费48万元，公车购置费0万元，其他商品和服务费1.52万元。</w:t>
      </w:r>
    </w:p>
    <w:p w14:paraId="1A1DCF15">
      <w:pPr>
        <w:pStyle w:val="4"/>
        <w:pageBreakBefore w:val="0"/>
        <w:numPr>
          <w:ilvl w:val="0"/>
          <w:numId w:val="0"/>
        </w:numPr>
        <w:kinsoku/>
        <w:wordWrap/>
        <w:overflowPunct/>
        <w:topLinePunct w:val="0"/>
        <w:autoSpaceDE/>
        <w:autoSpaceDN/>
        <w:bidi w:val="0"/>
        <w:spacing w:before="0" w:after="0" w:line="576" w:lineRule="exact"/>
        <w:ind w:firstLine="640" w:firstLineChars="200"/>
        <w:textAlignment w:val="auto"/>
        <w:rPr>
          <w:rFonts w:hint="eastAsia" w:ascii="黑体" w:eastAsia="黑体"/>
          <w:b w:val="0"/>
          <w:color w:val="000000"/>
          <w:lang w:val="en-US" w:eastAsia="zh-CN"/>
        </w:rPr>
      </w:pPr>
      <w:bookmarkStart w:id="68" w:name="_Toc9475"/>
      <w:bookmarkStart w:id="69" w:name="_Toc111208505"/>
      <w:bookmarkStart w:id="70" w:name="_Toc7148"/>
      <w:bookmarkStart w:id="71" w:name="_Toc8600"/>
      <w:bookmarkStart w:id="72" w:name="_Toc15377215"/>
      <w:bookmarkStart w:id="73" w:name="_Toc111208508"/>
      <w:bookmarkStart w:id="74" w:name="_Toc15377221"/>
      <w:bookmarkStart w:id="75" w:name="_Toc24656"/>
      <w:r>
        <w:rPr>
          <w:rFonts w:hint="eastAsia" w:ascii="黑体" w:eastAsia="黑体"/>
          <w:b w:val="0"/>
          <w:color w:val="000000"/>
          <w:lang w:val="en-US" w:eastAsia="zh-CN"/>
        </w:rPr>
        <w:t>七、“三公”经费财政拨款支出决算情况说明</w:t>
      </w:r>
      <w:bookmarkEnd w:id="68"/>
      <w:bookmarkEnd w:id="69"/>
      <w:bookmarkEnd w:id="70"/>
      <w:bookmarkEnd w:id="71"/>
      <w:bookmarkEnd w:id="72"/>
    </w:p>
    <w:p w14:paraId="29F86A10">
      <w:pPr>
        <w:spacing w:line="600" w:lineRule="exact"/>
        <w:ind w:firstLine="643" w:firstLineChars="200"/>
        <w:outlineLvl w:val="2"/>
        <w:rPr>
          <w:rFonts w:ascii="仿宋" w:eastAsia="仿宋"/>
          <w:b/>
          <w:color w:val="000000"/>
          <w:sz w:val="32"/>
          <w:szCs w:val="32"/>
        </w:rPr>
      </w:pPr>
      <w:bookmarkStart w:id="76" w:name="_Toc15377216"/>
      <w:r>
        <w:rPr>
          <w:rFonts w:hint="eastAsia" w:ascii="楷体_GB2312" w:eastAsia="楷体_GB2312" w:cs="楷体_GB2312"/>
          <w:b/>
          <w:color w:val="000000"/>
          <w:sz w:val="32"/>
          <w:szCs w:val="32"/>
        </w:rPr>
        <w:t>（一）“三公”经费财政拨款支出决算总体情况说明</w:t>
      </w:r>
      <w:bookmarkEnd w:id="76"/>
    </w:p>
    <w:p w14:paraId="6EE06E88">
      <w:pPr>
        <w:spacing w:line="600" w:lineRule="exact"/>
        <w:ind w:firstLine="640" w:firstLineChars="200"/>
        <w:outlineLvl w:val="2"/>
        <w:rPr>
          <w:rFonts w:hint="eastAsia" w:ascii="仿宋_GB2312" w:eastAsia="仿宋_GB2312" w:cs="仿宋_GB2312"/>
          <w:color w:val="000000"/>
          <w:kern w:val="2"/>
          <w:sz w:val="32"/>
          <w:szCs w:val="32"/>
          <w:lang w:val="en-US" w:eastAsia="zh-CN" w:bidi="ar-SA"/>
        </w:rPr>
      </w:pPr>
      <w:bookmarkStart w:id="77" w:name="_Toc15377217"/>
      <w:r>
        <w:rPr>
          <w:rFonts w:hint="eastAsia" w:ascii="仿宋_GB2312" w:eastAsia="仿宋_GB2312" w:cs="仿宋_GB2312"/>
          <w:color w:val="000000"/>
          <w:kern w:val="2"/>
          <w:sz w:val="32"/>
          <w:szCs w:val="32"/>
          <w:lang w:val="en-US" w:eastAsia="zh-CN" w:bidi="ar-SA"/>
        </w:rPr>
        <w:t>2025年“三公”经费财政拨款支出决算为67.93万元，完成预算100%。较上年度减少4万元，下降5.6%，决算数与预算数持平。</w:t>
      </w:r>
    </w:p>
    <w:p w14:paraId="316442B1">
      <w:pPr>
        <w:spacing w:line="600" w:lineRule="exact"/>
        <w:ind w:firstLine="643" w:firstLineChars="200"/>
        <w:outlineLvl w:val="2"/>
        <w:rPr>
          <w:rFonts w:hint="eastAsia" w:ascii="楷体_GB2312" w:eastAsia="楷体_GB2312" w:cs="楷体_GB2312"/>
          <w:b/>
          <w:color w:val="000000"/>
          <w:sz w:val="32"/>
          <w:szCs w:val="32"/>
        </w:rPr>
      </w:pPr>
      <w:r>
        <w:rPr>
          <w:rFonts w:hint="eastAsia" w:ascii="楷体_GB2312" w:eastAsia="楷体_GB2312" w:cs="楷体_GB2312"/>
          <w:b/>
          <w:color w:val="000000"/>
          <w:sz w:val="32"/>
          <w:szCs w:val="32"/>
        </w:rPr>
        <w:t>（二）“三公”经费财政拨款支出决算具体情况说明</w:t>
      </w:r>
      <w:bookmarkEnd w:id="77"/>
    </w:p>
    <w:p w14:paraId="0322562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2025年“三公”经费财政拨款支出67.93万元。公车运行维护费支出决算67.8万元，占99.8%；公务接待费支出决算0.13万元，占0%。具体情况如下：</w:t>
      </w:r>
    </w:p>
    <w:p w14:paraId="19670E24">
      <w:pPr>
        <w:keepNext w:val="0"/>
        <w:keepLines w:val="0"/>
        <w:pageBreakBefore w:val="0"/>
        <w:widowControl w:val="0"/>
        <w:kinsoku/>
        <w:wordWrap/>
        <w:overflowPunct/>
        <w:topLinePunct w:val="0"/>
        <w:autoSpaceDE/>
        <w:autoSpaceDN/>
        <w:bidi w:val="0"/>
        <w:adjustRightInd/>
        <w:snapToGrid/>
        <w:spacing w:line="560" w:lineRule="exact"/>
        <w:ind w:firstLine="1280" w:firstLineChars="400"/>
        <w:textAlignment w:val="auto"/>
        <w:rPr>
          <w:rFonts w:hint="eastAsia" w:ascii="仿宋_GB2312" w:eastAsia="仿宋_GB2312" w:cs="仿宋_GB2312"/>
          <w:color w:val="000000"/>
          <w:kern w:val="2"/>
          <w:sz w:val="32"/>
          <w:szCs w:val="32"/>
          <w:lang w:val="en-US" w:eastAsia="zh-CN" w:bidi="ar-SA"/>
        </w:rPr>
      </w:pPr>
    </w:p>
    <w:p w14:paraId="4B361874">
      <w:pPr>
        <w:pStyle w:val="2"/>
        <w:rPr>
          <w:rFonts w:ascii="仿宋_GB2312" w:eastAsia="仿宋_GB2312"/>
          <w:color w:val="000000"/>
          <w:sz w:val="32"/>
          <w:szCs w:val="32"/>
        </w:rPr>
      </w:pPr>
      <w:r>
        <w:rPr>
          <w:rFonts w:hint="eastAsia" w:ascii="仿宋_GB2312" w:eastAsia="仿宋_GB2312"/>
          <w:color w:val="000000"/>
          <w:sz w:val="32"/>
          <w:szCs w:val="32"/>
          <w:lang w:eastAsia="zh-CN"/>
        </w:rPr>
        <w:drawing>
          <wp:inline distT="0" distB="0" distL="114300" distR="114300">
            <wp:extent cx="4394200" cy="2715260"/>
            <wp:effectExtent l="4445" t="4445" r="20955" b="23495"/>
            <wp:docPr id="7" name="图表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4C2F174">
      <w:pPr>
        <w:keepNext w:val="0"/>
        <w:keepLines w:val="0"/>
        <w:pageBreakBefore w:val="0"/>
        <w:widowControl w:val="0"/>
        <w:numPr>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bookmarkStart w:id="78" w:name="_Toc111208506"/>
      <w:bookmarkStart w:id="79" w:name="_Toc15377218"/>
      <w:bookmarkStart w:id="80" w:name="_Toc9979"/>
      <w:r>
        <w:rPr>
          <w:rFonts w:hint="eastAsia" w:ascii="仿宋_GB2312" w:eastAsia="仿宋_GB2312" w:cs="仿宋_GB2312"/>
          <w:color w:val="000000"/>
          <w:kern w:val="2"/>
          <w:sz w:val="32"/>
          <w:szCs w:val="32"/>
          <w:lang w:val="en-US" w:eastAsia="zh-CN" w:bidi="ar-SA"/>
        </w:rPr>
        <w:t>1.因公出</w:t>
      </w:r>
      <w:bookmarkStart w:id="141" w:name="_GoBack"/>
      <w:bookmarkEnd w:id="141"/>
      <w:r>
        <w:rPr>
          <w:rFonts w:hint="eastAsia" w:ascii="仿宋_GB2312" w:eastAsia="仿宋_GB2312" w:cs="仿宋_GB2312"/>
          <w:color w:val="000000"/>
          <w:kern w:val="2"/>
          <w:sz w:val="32"/>
          <w:szCs w:val="32"/>
          <w:lang w:val="en-US" w:eastAsia="zh-CN" w:bidi="ar-SA"/>
        </w:rPr>
        <w:t>国（境）经费支出0万元。全年安排因公出国（境）团组0次，出国（境）0人。</w:t>
      </w:r>
    </w:p>
    <w:p w14:paraId="2F49E74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 xml:space="preserve">2.公务用车购置费0万元,公务用车购置支出决算与2024年相比无变化。公车运行维护费67.8万元，完成预算100%，公车运行维护费与2024年决算相比减少3.78万元，下降5.3%。主要原因是：压缩公车运行维护费支出。 </w:t>
      </w:r>
    </w:p>
    <w:p w14:paraId="0420836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截至2025年12月底，单位共有公务用车8辆，其中：轿车0辆、越野车8辆、载客汽车0辆。</w:t>
      </w:r>
    </w:p>
    <w:p w14:paraId="7AB3670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 xml:space="preserve">公务用车运行维护费支出67.8万元（公务用车购置费0万元）。主要用于：单位公务用车日常维修维护。 </w:t>
      </w:r>
    </w:p>
    <w:p w14:paraId="7DD66AA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 xml:space="preserve">3.公务接待费支出0.13万元，完成预算100%。公务接待费支出决算与2024年相比减少0.22万元，下降62.9%。主要原因是：2025年业务活动减少。 </w:t>
      </w:r>
    </w:p>
    <w:p w14:paraId="62A195C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国内公务接待支出0.13万元。国内公务接待2批次，14人次（不包括陪同人员），共计支出0.13万元。</w:t>
      </w:r>
    </w:p>
    <w:bookmarkEnd w:id="78"/>
    <w:bookmarkEnd w:id="79"/>
    <w:bookmarkEnd w:id="80"/>
    <w:p w14:paraId="67E43BB9">
      <w:pPr>
        <w:pStyle w:val="4"/>
        <w:pageBreakBefore w:val="0"/>
        <w:numPr>
          <w:ilvl w:val="0"/>
          <w:numId w:val="0"/>
        </w:numPr>
        <w:kinsoku/>
        <w:wordWrap/>
        <w:overflowPunct/>
        <w:topLinePunct w:val="0"/>
        <w:autoSpaceDE/>
        <w:autoSpaceDN/>
        <w:bidi w:val="0"/>
        <w:spacing w:before="0" w:after="0" w:line="576" w:lineRule="exact"/>
        <w:ind w:firstLine="640" w:firstLineChars="200"/>
        <w:textAlignment w:val="auto"/>
        <w:rPr>
          <w:rFonts w:hint="eastAsia" w:ascii="黑体" w:eastAsia="黑体"/>
          <w:b w:val="0"/>
          <w:color w:val="000000"/>
          <w:lang w:val="en-US" w:eastAsia="zh-CN"/>
        </w:rPr>
      </w:pPr>
      <w:bookmarkStart w:id="81" w:name="_Toc12098"/>
      <w:bookmarkStart w:id="82" w:name="_Toc11025"/>
      <w:bookmarkStart w:id="83" w:name="_Toc26674"/>
      <w:r>
        <w:rPr>
          <w:rFonts w:hint="eastAsia" w:ascii="黑体" w:eastAsia="黑体"/>
          <w:b w:val="0"/>
          <w:color w:val="000000"/>
          <w:lang w:val="en-US" w:eastAsia="zh-CN"/>
        </w:rPr>
        <w:t>八、政府性基金预算支出决算情况说明</w:t>
      </w:r>
      <w:bookmarkEnd w:id="81"/>
      <w:bookmarkEnd w:id="82"/>
      <w:bookmarkEnd w:id="83"/>
    </w:p>
    <w:p w14:paraId="5DD16E7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2025年政府性基金预算拨款支出0万元</w:t>
      </w:r>
      <w:bookmarkStart w:id="84" w:name="_Toc15377219"/>
      <w:r>
        <w:rPr>
          <w:rFonts w:hint="eastAsia" w:ascii="仿宋_GB2312" w:eastAsia="仿宋_GB2312" w:cs="仿宋_GB2312"/>
          <w:color w:val="000000"/>
          <w:kern w:val="2"/>
          <w:sz w:val="32"/>
          <w:szCs w:val="32"/>
          <w:lang w:val="en-US" w:eastAsia="zh-CN" w:bidi="ar-SA"/>
        </w:rPr>
        <w:t>。</w:t>
      </w:r>
    </w:p>
    <w:p w14:paraId="57604222">
      <w:pPr>
        <w:pStyle w:val="4"/>
        <w:pageBreakBefore w:val="0"/>
        <w:numPr>
          <w:ilvl w:val="0"/>
          <w:numId w:val="0"/>
        </w:numPr>
        <w:kinsoku/>
        <w:wordWrap/>
        <w:overflowPunct/>
        <w:topLinePunct w:val="0"/>
        <w:autoSpaceDE/>
        <w:autoSpaceDN/>
        <w:bidi w:val="0"/>
        <w:spacing w:before="0" w:after="0" w:line="576" w:lineRule="exact"/>
        <w:ind w:firstLine="640" w:firstLineChars="200"/>
        <w:textAlignment w:val="auto"/>
        <w:rPr>
          <w:rFonts w:hint="eastAsia" w:ascii="黑体" w:eastAsia="黑体"/>
          <w:b w:val="0"/>
          <w:color w:val="000000"/>
          <w:lang w:val="en-US" w:eastAsia="zh-CN"/>
        </w:rPr>
      </w:pPr>
      <w:bookmarkStart w:id="85" w:name="_Toc743"/>
      <w:bookmarkStart w:id="86" w:name="_Toc19072"/>
      <w:bookmarkStart w:id="87" w:name="_Toc19133"/>
      <w:bookmarkStart w:id="88" w:name="_Toc5966"/>
      <w:bookmarkStart w:id="89" w:name="_Toc111208507"/>
      <w:r>
        <w:rPr>
          <w:rFonts w:hint="eastAsia" w:ascii="黑体" w:eastAsia="黑体"/>
          <w:b w:val="0"/>
          <w:color w:val="000000"/>
          <w:lang w:val="en-US" w:eastAsia="zh-CN"/>
        </w:rPr>
        <w:t>九、国有资本经营预算支出决算情况说明</w:t>
      </w:r>
      <w:bookmarkEnd w:id="84"/>
      <w:bookmarkEnd w:id="85"/>
      <w:bookmarkEnd w:id="86"/>
      <w:bookmarkEnd w:id="87"/>
      <w:bookmarkEnd w:id="88"/>
      <w:bookmarkEnd w:id="89"/>
    </w:p>
    <w:p w14:paraId="3F3A41B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2025年国有资本经营预算拨款支出0万元。</w:t>
      </w:r>
    </w:p>
    <w:p w14:paraId="510DFA29">
      <w:pPr>
        <w:pStyle w:val="4"/>
        <w:pageBreakBefore w:val="0"/>
        <w:kinsoku/>
        <w:wordWrap/>
        <w:overflowPunct/>
        <w:topLinePunct w:val="0"/>
        <w:autoSpaceDE/>
        <w:autoSpaceDN/>
        <w:bidi w:val="0"/>
        <w:spacing w:before="0" w:after="0" w:line="576" w:lineRule="exact"/>
        <w:ind w:firstLine="640" w:firstLineChars="200"/>
        <w:textAlignment w:val="auto"/>
        <w:rPr>
          <w:rFonts w:hint="eastAsia" w:ascii="黑体" w:eastAsia="黑体" w:cs="Times New Roman"/>
          <w:b w:val="0"/>
          <w:color w:val="000000"/>
          <w:lang w:val="en-US" w:eastAsia="zh-CN"/>
        </w:rPr>
      </w:pPr>
      <w:bookmarkStart w:id="90" w:name="_Toc9572"/>
      <w:r>
        <w:rPr>
          <w:rFonts w:hint="eastAsia" w:ascii="黑体" w:eastAsia="黑体" w:cs="Times New Roman"/>
          <w:b w:val="0"/>
          <w:color w:val="000000"/>
          <w:lang w:val="en-US" w:eastAsia="zh-CN"/>
        </w:rPr>
        <w:t>十、其他重要事项的情况说明</w:t>
      </w:r>
      <w:bookmarkEnd w:id="73"/>
      <w:bookmarkEnd w:id="74"/>
      <w:bookmarkEnd w:id="75"/>
      <w:bookmarkEnd w:id="90"/>
      <w:bookmarkStart w:id="91" w:name="_Toc15377222"/>
    </w:p>
    <w:p w14:paraId="51C51A50">
      <w:pPr>
        <w:spacing w:line="600" w:lineRule="exact"/>
        <w:ind w:firstLine="643" w:firstLineChars="200"/>
        <w:outlineLvl w:val="2"/>
        <w:rPr>
          <w:rFonts w:hint="eastAsia" w:ascii="楷体_GB2312" w:eastAsia="楷体_GB2312" w:cs="楷体_GB2312"/>
          <w:b/>
          <w:color w:val="000000"/>
          <w:sz w:val="32"/>
          <w:szCs w:val="32"/>
          <w:lang w:val="en-US" w:eastAsia="zh-CN"/>
        </w:rPr>
      </w:pPr>
      <w:r>
        <w:rPr>
          <w:rFonts w:hint="eastAsia" w:ascii="楷体_GB2312" w:eastAsia="楷体_GB2312" w:cs="楷体_GB2312"/>
          <w:b/>
          <w:color w:val="000000"/>
          <w:sz w:val="32"/>
          <w:szCs w:val="32"/>
          <w:lang w:val="en-US" w:eastAsia="zh-CN"/>
        </w:rPr>
        <w:t>（一）机关运行经费支出情况</w:t>
      </w:r>
      <w:bookmarkEnd w:id="91"/>
    </w:p>
    <w:p w14:paraId="4469311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bookmarkStart w:id="92" w:name="_Toc15377223"/>
      <w:r>
        <w:rPr>
          <w:rFonts w:hint="eastAsia" w:ascii="仿宋_GB2312" w:eastAsia="仿宋_GB2312" w:cs="仿宋_GB2312"/>
          <w:color w:val="000000"/>
          <w:kern w:val="2"/>
          <w:sz w:val="32"/>
          <w:szCs w:val="32"/>
          <w:lang w:val="en-US" w:eastAsia="zh-CN" w:bidi="ar-SA"/>
        </w:rPr>
        <w:t xml:space="preserve">2025年，机关运行经费支出79.33万元，与2024年相比减少23.48万元，下降22.8%。主要原因是：压缩经费开支，经费减少。 </w:t>
      </w:r>
    </w:p>
    <w:bookmarkEnd w:id="92"/>
    <w:p w14:paraId="16537E38">
      <w:pPr>
        <w:spacing w:line="600" w:lineRule="exact"/>
        <w:ind w:firstLine="643" w:firstLineChars="200"/>
        <w:outlineLvl w:val="2"/>
        <w:rPr>
          <w:rFonts w:hint="eastAsia" w:ascii="楷体_GB2312" w:eastAsia="楷体_GB2312" w:cs="楷体_GB2312"/>
          <w:b/>
          <w:color w:val="000000"/>
          <w:sz w:val="32"/>
          <w:szCs w:val="32"/>
        </w:rPr>
      </w:pPr>
      <w:bookmarkStart w:id="93" w:name="_Toc2930"/>
      <w:r>
        <w:rPr>
          <w:rFonts w:hint="eastAsia" w:ascii="楷体_GB2312" w:eastAsia="楷体_GB2312" w:cs="楷体_GB2312"/>
          <w:b/>
          <w:color w:val="000000"/>
          <w:sz w:val="32"/>
          <w:szCs w:val="32"/>
        </w:rPr>
        <w:t>（二）政府采购支出情况</w:t>
      </w:r>
    </w:p>
    <w:p w14:paraId="1AE43CA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2025年，政府采购支出总额0万元。</w:t>
      </w:r>
    </w:p>
    <w:p w14:paraId="5CA5AE75">
      <w:pPr>
        <w:spacing w:line="600" w:lineRule="exact"/>
        <w:ind w:firstLine="643" w:firstLineChars="200"/>
        <w:outlineLvl w:val="2"/>
        <w:rPr>
          <w:rFonts w:hint="eastAsia" w:ascii="楷体_GB2312" w:eastAsia="楷体_GB2312" w:cs="楷体_GB2312"/>
          <w:b/>
          <w:color w:val="000000"/>
          <w:sz w:val="32"/>
          <w:szCs w:val="32"/>
        </w:rPr>
      </w:pPr>
      <w:bookmarkStart w:id="94" w:name="_Toc15377224"/>
      <w:r>
        <w:rPr>
          <w:rFonts w:hint="eastAsia" w:ascii="楷体_GB2312" w:eastAsia="楷体_GB2312" w:cs="楷体_GB2312"/>
          <w:b/>
          <w:color w:val="000000"/>
          <w:sz w:val="32"/>
          <w:szCs w:val="32"/>
        </w:rPr>
        <w:t>（三）国有资产占有使用情况</w:t>
      </w:r>
      <w:bookmarkEnd w:id="94"/>
    </w:p>
    <w:p w14:paraId="2BDFE03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截至2025年12月31日，共有车辆8辆，其中：主要领导干部用车0辆、机要通信用车1辆、应急保障用车7辆、其他用车0辆。单价50万元以上通用设备0台（套），单价100万元以上专用设备0台（套）。</w:t>
      </w:r>
      <w:r>
        <w:rPr>
          <w:rFonts w:hint="default" w:ascii="仿宋_GB2312" w:eastAsia="仿宋_GB2312" w:cs="仿宋_GB2312"/>
          <w:color w:val="000000"/>
          <w:kern w:val="2"/>
          <w:sz w:val="32"/>
          <w:szCs w:val="32"/>
          <w:lang w:eastAsia="zh-CN" w:bidi="ar-SA"/>
        </w:rPr>
        <w:t>与</w:t>
      </w:r>
      <w:r>
        <w:rPr>
          <w:rFonts w:hint="eastAsia" w:ascii="仿宋_GB2312" w:eastAsia="仿宋_GB2312" w:cs="仿宋_GB2312"/>
          <w:color w:val="000000"/>
          <w:kern w:val="2"/>
          <w:sz w:val="32"/>
          <w:szCs w:val="32"/>
          <w:lang w:val="en-US" w:eastAsia="zh-CN" w:bidi="ar-SA"/>
        </w:rPr>
        <w:t>2024年相比无变化。</w:t>
      </w:r>
    </w:p>
    <w:p w14:paraId="2DD1EB41">
      <w:pPr>
        <w:spacing w:line="600" w:lineRule="exact"/>
        <w:ind w:firstLine="643" w:firstLineChars="200"/>
        <w:outlineLvl w:val="2"/>
        <w:rPr>
          <w:rFonts w:hint="eastAsia" w:ascii="楷体_GB2312" w:eastAsia="楷体_GB2312" w:cs="楷体_GB2312"/>
          <w:b/>
          <w:color w:val="000000"/>
          <w:sz w:val="32"/>
          <w:szCs w:val="32"/>
          <w:highlight w:val="none"/>
        </w:rPr>
      </w:pPr>
      <w:r>
        <w:rPr>
          <w:rFonts w:hint="eastAsia" w:ascii="楷体_GB2312" w:eastAsia="楷体_GB2312" w:cs="楷体_GB2312"/>
          <w:b/>
          <w:color w:val="000000"/>
          <w:sz w:val="32"/>
          <w:szCs w:val="32"/>
          <w:highlight w:val="none"/>
        </w:rPr>
        <w:t>（四）预算绩效管理情况</w:t>
      </w:r>
    </w:p>
    <w:p w14:paraId="5D4AF8BA">
      <w:pPr>
        <w:spacing w:line="580" w:lineRule="exact"/>
        <w:ind w:firstLine="640" w:firstLineChars="200"/>
        <w:rPr>
          <w:rFonts w:hint="eastAsia" w:ascii="仿宋_GB2312" w:eastAsia="仿宋_GB2312" w:cs="仿宋_GB2312"/>
          <w:color w:val="auto"/>
          <w:sz w:val="32"/>
          <w:szCs w:val="32"/>
          <w:highlight w:val="none"/>
          <w:lang w:eastAsia="zh-CN"/>
        </w:rPr>
      </w:pPr>
      <w:r>
        <w:rPr>
          <w:rFonts w:hint="eastAsia" w:ascii="仿宋_GB2312" w:eastAsia="仿宋_GB2312" w:cs="仿宋_GB2312"/>
          <w:color w:val="auto"/>
          <w:sz w:val="32"/>
          <w:szCs w:val="32"/>
          <w:highlight w:val="none"/>
        </w:rPr>
        <w:t>根据预算绩效管理要求，本部门在</w:t>
      </w:r>
      <w:r>
        <w:rPr>
          <w:rFonts w:hint="eastAsia" w:ascii="仿宋_GB2312" w:eastAsia="仿宋_GB2312" w:cs="仿宋_GB2312"/>
          <w:color w:val="auto"/>
          <w:sz w:val="32"/>
          <w:szCs w:val="32"/>
          <w:highlight w:val="none"/>
          <w:lang w:val="en-US" w:eastAsia="zh-CN"/>
        </w:rPr>
        <w:t>2025年度</w:t>
      </w:r>
      <w:r>
        <w:rPr>
          <w:rFonts w:hint="eastAsia" w:ascii="仿宋_GB2312" w:eastAsia="仿宋_GB2312" w:cs="仿宋_GB2312"/>
          <w:color w:val="auto"/>
          <w:sz w:val="32"/>
          <w:szCs w:val="32"/>
          <w:highlight w:val="none"/>
        </w:rPr>
        <w:t>预算编制阶段，组织对</w:t>
      </w:r>
      <w:r>
        <w:rPr>
          <w:rFonts w:hint="eastAsia" w:ascii="仿宋_GB2312" w:eastAsia="仿宋_GB2312" w:cs="仿宋_GB2312"/>
          <w:color w:val="auto"/>
          <w:sz w:val="32"/>
          <w:szCs w:val="32"/>
          <w:highlight w:val="none"/>
          <w:lang w:eastAsia="zh-CN"/>
        </w:rPr>
        <w:t>设备维修维护、办公经费等</w:t>
      </w:r>
      <w:r>
        <w:rPr>
          <w:rFonts w:hint="eastAsia" w:ascii="仿宋_GB2312" w:eastAsia="仿宋_GB2312" w:cs="仿宋_GB2312"/>
          <w:color w:val="auto"/>
          <w:sz w:val="32"/>
          <w:szCs w:val="32"/>
          <w:highlight w:val="none"/>
          <w:lang w:val="en-US" w:eastAsia="zh-CN"/>
        </w:rPr>
        <w:t>3个</w:t>
      </w:r>
      <w:r>
        <w:rPr>
          <w:rFonts w:hint="eastAsia" w:ascii="仿宋_GB2312" w:eastAsia="仿宋_GB2312" w:cs="仿宋_GB2312"/>
          <w:color w:val="auto"/>
          <w:sz w:val="32"/>
          <w:szCs w:val="32"/>
          <w:highlight w:val="none"/>
        </w:rPr>
        <w:t>项目开展了预算事前绩效评估，对</w:t>
      </w:r>
      <w:r>
        <w:rPr>
          <w:rFonts w:hint="eastAsia" w:ascii="仿宋_GB2312" w:eastAsia="仿宋_GB2312" w:cs="仿宋_GB2312"/>
          <w:color w:val="auto"/>
          <w:sz w:val="32"/>
          <w:szCs w:val="32"/>
          <w:highlight w:val="none"/>
          <w:lang w:val="en-US" w:eastAsia="zh-CN"/>
        </w:rPr>
        <w:t>3</w:t>
      </w:r>
      <w:r>
        <w:rPr>
          <w:rFonts w:hint="eastAsia" w:ascii="仿宋_GB2312" w:eastAsia="仿宋_GB2312" w:cs="仿宋_GB2312"/>
          <w:color w:val="auto"/>
          <w:sz w:val="32"/>
          <w:szCs w:val="32"/>
          <w:highlight w:val="none"/>
        </w:rPr>
        <w:t>个项目编制了绩效目标，预算执行过程中，选取</w:t>
      </w:r>
      <w:r>
        <w:rPr>
          <w:rFonts w:hint="eastAsia" w:ascii="仿宋_GB2312" w:eastAsia="仿宋_GB2312" w:cs="仿宋_GB2312"/>
          <w:color w:val="auto"/>
          <w:sz w:val="32"/>
          <w:szCs w:val="32"/>
          <w:highlight w:val="none"/>
          <w:lang w:val="en-US" w:eastAsia="zh-CN"/>
        </w:rPr>
        <w:t>3</w:t>
      </w:r>
      <w:r>
        <w:rPr>
          <w:rFonts w:hint="eastAsia" w:ascii="仿宋_GB2312" w:eastAsia="仿宋_GB2312" w:cs="仿宋_GB2312"/>
          <w:color w:val="auto"/>
          <w:sz w:val="32"/>
          <w:szCs w:val="32"/>
          <w:highlight w:val="none"/>
        </w:rPr>
        <w:t>个项目开展绩效监控</w:t>
      </w:r>
      <w:r>
        <w:rPr>
          <w:rFonts w:hint="eastAsia" w:ascii="仿宋_GB2312" w:eastAsia="仿宋_GB2312" w:cs="仿宋_GB2312"/>
          <w:color w:val="auto"/>
          <w:sz w:val="32"/>
          <w:szCs w:val="32"/>
          <w:highlight w:val="none"/>
          <w:lang w:eastAsia="zh-CN"/>
        </w:rPr>
        <w:t>。</w:t>
      </w:r>
    </w:p>
    <w:p w14:paraId="715F0A44">
      <w:pPr>
        <w:spacing w:line="580" w:lineRule="exact"/>
        <w:ind w:firstLine="640" w:firstLineChars="200"/>
        <w:rPr>
          <w:rFonts w:hint="eastAsia" w:ascii="仿宋_GB2312" w:eastAsia="仿宋_GB2312" w:cs="仿宋_GB2312"/>
          <w:color w:val="auto"/>
          <w:sz w:val="32"/>
          <w:szCs w:val="32"/>
          <w:highlight w:val="none"/>
          <w:lang w:val="en-US" w:eastAsia="zh-CN"/>
        </w:rPr>
      </w:pPr>
      <w:r>
        <w:rPr>
          <w:rFonts w:hint="eastAsia" w:ascii="仿宋_GB2312" w:eastAsia="仿宋_GB2312" w:cs="仿宋_GB2312"/>
          <w:color w:val="auto"/>
          <w:sz w:val="32"/>
          <w:szCs w:val="32"/>
          <w:highlight w:val="none"/>
          <w:lang w:eastAsia="zh-CN"/>
        </w:rPr>
        <w:t>组织</w:t>
      </w:r>
      <w:r>
        <w:rPr>
          <w:rFonts w:hint="eastAsia" w:ascii="仿宋_GB2312" w:eastAsia="仿宋_GB2312" w:cs="仿宋_GB2312"/>
          <w:color w:val="auto"/>
          <w:sz w:val="32"/>
          <w:szCs w:val="32"/>
          <w:highlight w:val="none"/>
        </w:rPr>
        <w:t>对</w:t>
      </w:r>
      <w:r>
        <w:rPr>
          <w:rFonts w:hint="eastAsia" w:ascii="仿宋_GB2312" w:eastAsia="仿宋_GB2312" w:cs="仿宋_GB2312"/>
          <w:color w:val="auto"/>
          <w:sz w:val="32"/>
          <w:szCs w:val="32"/>
          <w:highlight w:val="none"/>
          <w:lang w:val="en-US" w:eastAsia="zh-CN"/>
        </w:rPr>
        <w:t>2025年度一般公共预算、</w:t>
      </w:r>
      <w:r>
        <w:rPr>
          <w:rFonts w:hint="eastAsia" w:ascii="仿宋_GB2312" w:eastAsia="仿宋_GB2312" w:cs="仿宋_GB2312"/>
          <w:color w:val="auto"/>
          <w:sz w:val="32"/>
          <w:szCs w:val="32"/>
          <w:highlight w:val="none"/>
          <w:lang w:eastAsia="zh-CN"/>
        </w:rPr>
        <w:t>政府性基金预算、国有资本经营预算、社会保险基金预算以及资本资产、债券资金等</w:t>
      </w:r>
      <w:r>
        <w:rPr>
          <w:rFonts w:hint="eastAsia" w:ascii="仿宋_GB2312" w:eastAsia="仿宋_GB2312" w:cs="仿宋_GB2312"/>
          <w:color w:val="auto"/>
          <w:sz w:val="32"/>
          <w:szCs w:val="32"/>
          <w:highlight w:val="none"/>
          <w:lang w:val="en-US" w:eastAsia="zh-CN"/>
        </w:rPr>
        <w:t>全面开展绩效自评，形成中共茂县县委办公室</w:t>
      </w:r>
      <w:r>
        <w:rPr>
          <w:rFonts w:hint="eastAsia" w:ascii="仿宋_GB2312" w:eastAsia="仿宋_GB2312" w:cs="仿宋_GB2312"/>
          <w:color w:val="auto"/>
          <w:sz w:val="32"/>
          <w:szCs w:val="32"/>
          <w:highlight w:val="none"/>
          <w:lang w:eastAsia="zh-CN"/>
        </w:rPr>
        <w:t>部门整体（含部门预算项目）</w:t>
      </w:r>
      <w:r>
        <w:rPr>
          <w:rFonts w:hint="eastAsia" w:ascii="仿宋_GB2312" w:eastAsia="仿宋_GB2312" w:cs="仿宋_GB2312"/>
          <w:color w:val="auto"/>
          <w:sz w:val="32"/>
          <w:szCs w:val="32"/>
          <w:highlight w:val="none"/>
          <w:lang w:val="en-US" w:eastAsia="zh-CN"/>
        </w:rPr>
        <w:t>绩效自评报告</w:t>
      </w:r>
      <w:r>
        <w:rPr>
          <w:rFonts w:hint="eastAsia" w:ascii="仿宋_GB2312" w:eastAsia="仿宋_GB2312" w:cs="仿宋_GB2312"/>
          <w:color w:val="auto"/>
          <w:sz w:val="32"/>
          <w:szCs w:val="32"/>
          <w:highlight w:val="none"/>
          <w:lang w:eastAsia="zh-CN"/>
        </w:rPr>
        <w:t>、</w:t>
      </w:r>
      <w:r>
        <w:rPr>
          <w:rFonts w:hint="eastAsia" w:ascii="仿宋_GB2312" w:eastAsia="仿宋_GB2312" w:cs="仿宋_GB2312"/>
          <w:color w:val="auto"/>
          <w:sz w:val="32"/>
          <w:szCs w:val="32"/>
          <w:highlight w:val="none"/>
          <w:lang w:val="en-US" w:eastAsia="zh-CN"/>
        </w:rPr>
        <w:t>项目</w:t>
      </w:r>
      <w:r>
        <w:rPr>
          <w:rFonts w:hint="eastAsia" w:ascii="仿宋_GB2312" w:eastAsia="仿宋_GB2312" w:cs="仿宋_GB2312"/>
          <w:color w:val="auto"/>
          <w:sz w:val="32"/>
          <w:szCs w:val="32"/>
          <w:highlight w:val="none"/>
          <w:lang w:eastAsia="zh-CN"/>
        </w:rPr>
        <w:t>专项预算项目</w:t>
      </w:r>
      <w:r>
        <w:rPr>
          <w:rFonts w:hint="eastAsia" w:ascii="仿宋_GB2312" w:eastAsia="仿宋_GB2312" w:cs="仿宋_GB2312"/>
          <w:color w:val="auto"/>
          <w:sz w:val="32"/>
          <w:szCs w:val="32"/>
          <w:highlight w:val="none"/>
          <w:lang w:val="en-US" w:eastAsia="zh-CN"/>
        </w:rPr>
        <w:t>绩效自评报告，</w:t>
      </w:r>
      <w:r>
        <w:rPr>
          <w:rFonts w:hint="eastAsia" w:ascii="仿宋_GB2312" w:hAnsi="仿宋_GB2312" w:eastAsia="仿宋_GB2312" w:cs="仿宋_GB2312"/>
          <w:color w:val="000000"/>
          <w:sz w:val="32"/>
          <w:szCs w:val="32"/>
          <w:highlight w:val="none"/>
        </w:rPr>
        <w:t>绩效目标完成情况整体良好</w:t>
      </w:r>
      <w:r>
        <w:rPr>
          <w:rFonts w:hint="eastAsia" w:ascii="仿宋_GB2312" w:hAnsi="仿宋_GB2312" w:eastAsia="仿宋_GB2312" w:cs="仿宋_GB2312"/>
          <w:color w:val="000000"/>
          <w:sz w:val="32"/>
          <w:szCs w:val="32"/>
          <w:highlight w:val="none"/>
          <w:lang w:eastAsia="zh-CN"/>
        </w:rPr>
        <w:t>，自评良好</w:t>
      </w:r>
      <w:r>
        <w:rPr>
          <w:rFonts w:hint="eastAsia" w:ascii="仿宋_GB2312" w:hAnsi="仿宋_GB2312" w:eastAsia="仿宋_GB2312" w:cs="仿宋_GB2312"/>
          <w:color w:val="000000"/>
          <w:sz w:val="32"/>
          <w:szCs w:val="32"/>
          <w:highlight w:val="none"/>
        </w:rPr>
        <w:t>。</w:t>
      </w:r>
    </w:p>
    <w:p w14:paraId="35C5537B">
      <w:pPr>
        <w:pStyle w:val="3"/>
        <w:keepNext/>
        <w:keepLines/>
        <w:pageBreakBefore w:val="0"/>
        <w:widowControl w:val="0"/>
        <w:kinsoku/>
        <w:wordWrap/>
        <w:overflowPunct/>
        <w:topLinePunct w:val="0"/>
        <w:autoSpaceDE/>
        <w:autoSpaceDN/>
        <w:bidi w:val="0"/>
        <w:adjustRightInd/>
        <w:snapToGrid/>
        <w:spacing w:after="157" w:afterLines="50" w:line="579" w:lineRule="auto"/>
        <w:jc w:val="center"/>
        <w:textAlignment w:val="auto"/>
        <w:rPr>
          <w:rStyle w:val="24"/>
          <w:rFonts w:hint="eastAsia" w:ascii="方正公文小标宋" w:hAnsi="方正公文小标宋" w:eastAsia="方正公文小标宋" w:cs="方正公文小标宋"/>
          <w:b/>
          <w:bCs/>
        </w:rPr>
      </w:pPr>
      <w:bookmarkStart w:id="95" w:name="_Toc25424"/>
      <w:r>
        <w:rPr>
          <w:rStyle w:val="24"/>
          <w:rFonts w:hint="eastAsia" w:ascii="方正公文小标宋" w:hAnsi="方正公文小标宋" w:eastAsia="方正公文小标宋" w:cs="方正公文小标宋"/>
          <w:b/>
          <w:bCs/>
        </w:rPr>
        <w:t>第三部分 名词解释</w:t>
      </w:r>
      <w:bookmarkEnd w:id="93"/>
      <w:bookmarkEnd w:id="95"/>
    </w:p>
    <w:p w14:paraId="3EF287EC">
      <w:pPr>
        <w:pageBreakBefore w:val="0"/>
        <w:kinsoku/>
        <w:wordWrap/>
        <w:overflowPunct/>
        <w:topLinePunct w:val="0"/>
        <w:bidi w:val="0"/>
        <w:spacing w:beforeAutospacing="0" w:afterAutospacing="0" w:line="576" w:lineRule="exact"/>
        <w:ind w:leftChars="0"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1.财政拨款收入：指单位从同级财政部门取得的财政预算资金。</w:t>
      </w:r>
    </w:p>
    <w:p w14:paraId="29B65762">
      <w:pPr>
        <w:pStyle w:val="25"/>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2.事业收入：指事业单位开展专业业务活动及辅助活动取得的收入。</w:t>
      </w:r>
    </w:p>
    <w:p w14:paraId="773A627E">
      <w:pPr>
        <w:pStyle w:val="25"/>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3.经营收入：指事业单位在专业业务活动及其辅助活动之外开展非独立核算经营活动取得的收入。</w:t>
      </w:r>
    </w:p>
    <w:p w14:paraId="7CA85D6A">
      <w:pPr>
        <w:pStyle w:val="25"/>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4.其他收入：指单位取得的除上述收入以外的各项收入。 </w:t>
      </w:r>
    </w:p>
    <w:p w14:paraId="451180CA">
      <w:pPr>
        <w:pStyle w:val="25"/>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5.使用非财政拨款结余：指事业单位使用以前年度积累的非财政拨款结余弥补当年收支差额的金额。 </w:t>
      </w:r>
    </w:p>
    <w:p w14:paraId="5571F85F">
      <w:pPr>
        <w:pStyle w:val="25"/>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6.年初结转和结余：指以前年度尚未完成、结转到本年按有关规定继续使用的资金。 </w:t>
      </w:r>
    </w:p>
    <w:p w14:paraId="757076E6">
      <w:pPr>
        <w:pStyle w:val="25"/>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7.结余分配：指事业单位按照会计制度规定缴纳的所得税、提取的专用结余以及转入非财政拨款结余的金额等。</w:t>
      </w:r>
    </w:p>
    <w:p w14:paraId="2C88B4B8">
      <w:pPr>
        <w:pStyle w:val="25"/>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8、年末结转和结余：指单位按有关规定结转到下年或以后年度继续使用的资金。</w:t>
      </w:r>
    </w:p>
    <w:p w14:paraId="14F2F73A">
      <w:pPr>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9.科学技术（类）科技条件与服务（款）其他科技条件与服务（项）：指反映其他用于科技条件与服务方面的支出。</w:t>
      </w:r>
    </w:p>
    <w:p w14:paraId="4EA9D3AB">
      <w:pPr>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10.社会保障和就业（类）行政事业单位离退休（款）机关事业单位基本养老保险缴费支出（项）：指反映机关事业单位实施养老保险制度由单位缴纳的基本养老保险费支出。</w:t>
      </w:r>
    </w:p>
    <w:p w14:paraId="32769E15">
      <w:pPr>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11.社会保障和就业（类）行政事业单位离退休（款）机关事业单位职业年金缴费支出（项）：指反映机关事业单位实施养老保险制度由单位缴纳的职业年金支出。</w:t>
      </w:r>
    </w:p>
    <w:p w14:paraId="3F4B5D24">
      <w:pPr>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12.医疗卫生与计划生育（类）行政事业单位医疗（款）行政单位医疗（项）：指反映财政部门集中安排的行政单位基本医疗保险缴费经费。</w:t>
      </w:r>
    </w:p>
    <w:p w14:paraId="39837CB2">
      <w:pPr>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13.住房保障（类）住房改革（款）住房公积金（项）：指反映行政事业单位按人力资源和社会保障部、财政部规定的基本工资和津贴补贴以及规定比例为职工缴纳的住房公积金。</w:t>
      </w:r>
    </w:p>
    <w:p w14:paraId="330D4815">
      <w:pPr>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Cs/>
          <w:color w:val="000000"/>
          <w:sz w:val="32"/>
          <w:szCs w:val="32"/>
        </w:rPr>
        <w:t>14.</w:t>
      </w:r>
      <w:r>
        <w:rPr>
          <w:rFonts w:hint="eastAsia" w:ascii="仿宋_GB2312" w:hAnsi="仿宋_GB2312" w:eastAsia="仿宋_GB2312" w:cs="仿宋_GB2312"/>
          <w:color w:val="000000"/>
          <w:kern w:val="0"/>
          <w:sz w:val="32"/>
          <w:szCs w:val="32"/>
        </w:rPr>
        <w:t>住房保障（类）住房改革（款）购房补贴（项）：指反映行政事业单位按人力资源和社会保障部、财政部规定的基本工资和津贴补贴以及规定比例为职工支出的购房补贴。</w:t>
      </w:r>
    </w:p>
    <w:p w14:paraId="74A2B725">
      <w:pPr>
        <w:pageBreakBefore w:val="0"/>
        <w:kinsoku/>
        <w:wordWrap/>
        <w:overflowPunct/>
        <w:topLinePunct w:val="0"/>
        <w:bidi w:val="0"/>
        <w:spacing w:beforeAutospacing="0" w:afterAutospacing="0" w:line="576" w:lineRule="exact"/>
        <w:ind w:leftChars="0" w:firstLine="640"/>
        <w:textAlignment w:val="auto"/>
        <w:rPr>
          <w:rFonts w:hint="eastAsia" w:ascii="仿宋_GB2312" w:hAnsi="仿宋_GB2312" w:eastAsia="仿宋_GB2312" w:cs="仿宋_GB2312"/>
          <w:b/>
          <w:color w:val="000000"/>
          <w:sz w:val="32"/>
          <w:szCs w:val="32"/>
        </w:rPr>
      </w:pPr>
      <w:r>
        <w:rPr>
          <w:rFonts w:hint="eastAsia" w:ascii="仿宋_GB2312" w:hAnsi="仿宋_GB2312" w:eastAsia="仿宋_GB2312" w:cs="仿宋_GB2312"/>
          <w:bCs/>
          <w:color w:val="000000"/>
          <w:sz w:val="32"/>
          <w:szCs w:val="32"/>
        </w:rPr>
        <w:t>15.农林水支出</w:t>
      </w:r>
      <w:r>
        <w:rPr>
          <w:rFonts w:hint="eastAsia" w:ascii="仿宋_GB2312" w:hAnsi="仿宋_GB2312" w:eastAsia="仿宋_GB2312" w:cs="仿宋_GB2312"/>
          <w:color w:val="000000"/>
          <w:kern w:val="0"/>
          <w:sz w:val="32"/>
          <w:szCs w:val="32"/>
        </w:rPr>
        <w:t>（类）扶贫（款）社会发展（项）：指反映用于农村贫困地区中小学教育、文化、广播、电视、医疗、卫生等方面的项目支出。</w:t>
      </w:r>
    </w:p>
    <w:p w14:paraId="468F417A">
      <w:pPr>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16.基本支出：指为保障机构正常运转、完成日常工作任务而发生的人员支出和公用支出。</w:t>
      </w:r>
    </w:p>
    <w:p w14:paraId="7DE067F9">
      <w:pPr>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17.项目支出：指在基本支出之外为完成特定行政任务和事业发展目标所发生的支出。 </w:t>
      </w:r>
    </w:p>
    <w:p w14:paraId="5D929366">
      <w:pPr>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18.经营支出：指事业单位在专业业务活动及其辅助活动之外开展非独立核算经营活动发生的支出。</w:t>
      </w:r>
    </w:p>
    <w:p w14:paraId="03101C82">
      <w:pPr>
        <w:pStyle w:val="25"/>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19.“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6954A4AE">
      <w:pPr>
        <w:pStyle w:val="25"/>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5BD89344">
      <w:pPr>
        <w:keepNext w:val="0"/>
        <w:keepLines w:val="0"/>
        <w:pageBreakBefore w:val="0"/>
        <w:widowControl/>
        <w:kinsoku/>
        <w:wordWrap/>
        <w:overflowPunct/>
        <w:topLinePunct w:val="0"/>
        <w:autoSpaceDE/>
        <w:autoSpaceDN/>
        <w:bidi w:val="0"/>
        <w:adjustRightInd/>
        <w:snapToGrid/>
        <w:spacing w:line="560" w:lineRule="exact"/>
        <w:ind w:firstLine="883" w:firstLineChars="200"/>
        <w:jc w:val="left"/>
        <w:textAlignment w:val="auto"/>
        <w:rPr>
          <w:rStyle w:val="24"/>
          <w:rFonts w:hint="eastAsia" w:ascii="仿宋_GB2312" w:eastAsia="仿宋_GB2312" w:cs="仿宋_GB2312"/>
        </w:rPr>
      </w:pPr>
      <w:r>
        <w:rPr>
          <w:rStyle w:val="24"/>
          <w:rFonts w:hint="eastAsia" w:ascii="仿宋_GB2312" w:eastAsia="仿宋_GB2312" w:cs="仿宋_GB2312"/>
        </w:rPr>
        <w:br w:type="page"/>
      </w:r>
    </w:p>
    <w:p w14:paraId="3A7EDCEB">
      <w:pPr>
        <w:pStyle w:val="3"/>
        <w:keepNext/>
        <w:keepLines/>
        <w:pageBreakBefore w:val="0"/>
        <w:widowControl w:val="0"/>
        <w:kinsoku/>
        <w:wordWrap/>
        <w:overflowPunct/>
        <w:topLinePunct w:val="0"/>
        <w:autoSpaceDE/>
        <w:autoSpaceDN/>
        <w:bidi w:val="0"/>
        <w:adjustRightInd/>
        <w:snapToGrid/>
        <w:spacing w:after="157" w:afterLines="50" w:line="579" w:lineRule="auto"/>
        <w:jc w:val="center"/>
        <w:textAlignment w:val="auto"/>
        <w:rPr>
          <w:rFonts w:hint="eastAsia" w:ascii="方正小标宋简体" w:hAnsi="方正小标宋简体" w:eastAsia="方正小标宋简体" w:cs="方正小标宋简体"/>
          <w:lang w:val="en-US" w:eastAsia="zh-CN"/>
        </w:rPr>
      </w:pPr>
      <w:bookmarkStart w:id="96" w:name="_Toc111208510"/>
      <w:bookmarkStart w:id="97" w:name="_Toc438"/>
      <w:bookmarkStart w:id="98" w:name="_Toc13881"/>
      <w:bookmarkStart w:id="99" w:name="_Toc15177"/>
      <w:bookmarkStart w:id="100" w:name="_Toc29502"/>
      <w:r>
        <w:rPr>
          <w:rStyle w:val="24"/>
          <w:rFonts w:hint="eastAsia" w:ascii="方正公文小标宋" w:hAnsi="方正公文小标宋" w:eastAsia="方正公文小标宋" w:cs="方正公文小标宋"/>
          <w:b/>
          <w:bCs/>
        </w:rPr>
        <w:t>第四部分 附件</w:t>
      </w:r>
      <w:bookmarkEnd w:id="96"/>
      <w:bookmarkEnd w:id="97"/>
      <w:bookmarkEnd w:id="98"/>
      <w:bookmarkEnd w:id="99"/>
    </w:p>
    <w:p w14:paraId="7BBA3CB2">
      <w:pPr>
        <w:widowControl/>
        <w:spacing w:line="578" w:lineRule="exact"/>
        <w:contextualSpacing/>
        <w:jc w:val="center"/>
        <w:rPr>
          <w:rFonts w:eastAsia="方正小标宋简体"/>
          <w:bCs/>
          <w:sz w:val="44"/>
          <w:szCs w:val="44"/>
          <w:shd w:val="clear" w:color="auto" w:fill="FFFFFF"/>
        </w:rPr>
      </w:pPr>
      <w:r>
        <w:rPr>
          <w:rFonts w:hint="eastAsia" w:eastAsia="方正小标宋简体"/>
          <w:bCs/>
          <w:sz w:val="44"/>
          <w:szCs w:val="44"/>
          <w:shd w:val="clear" w:color="auto" w:fill="FFFFFF"/>
          <w:lang w:val="en-US" w:eastAsia="zh-CN"/>
        </w:rPr>
        <w:t>中共茂县县委办公室</w:t>
      </w:r>
    </w:p>
    <w:p w14:paraId="34849610">
      <w:pPr>
        <w:widowControl/>
        <w:spacing w:line="578" w:lineRule="exact"/>
        <w:contextualSpacing/>
        <w:jc w:val="center"/>
        <w:rPr>
          <w:rFonts w:eastAsia="黑体"/>
          <w:color w:val="000000"/>
          <w:kern w:val="0"/>
          <w:sz w:val="24"/>
          <w:szCs w:val="32"/>
          <w:shd w:val="clear" w:color="auto" w:fill="FFFFFF"/>
        </w:rPr>
      </w:pPr>
      <w:r>
        <w:rPr>
          <w:rFonts w:eastAsia="方正小标宋简体"/>
          <w:bCs/>
          <w:sz w:val="44"/>
          <w:szCs w:val="44"/>
          <w:shd w:val="clear" w:color="auto" w:fill="FFFFFF"/>
        </w:rPr>
        <w:t>部门预算绩效</w:t>
      </w:r>
      <w:r>
        <w:rPr>
          <w:rFonts w:hint="eastAsia" w:eastAsia="方正小标宋简体"/>
          <w:bCs/>
          <w:sz w:val="44"/>
          <w:szCs w:val="44"/>
          <w:shd w:val="clear" w:color="auto" w:fill="FFFFFF"/>
        </w:rPr>
        <w:t>自评</w:t>
      </w:r>
      <w:r>
        <w:rPr>
          <w:rFonts w:eastAsia="方正小标宋简体"/>
          <w:bCs/>
          <w:sz w:val="44"/>
          <w:szCs w:val="44"/>
          <w:shd w:val="clear" w:color="auto" w:fill="FFFFFF"/>
        </w:rPr>
        <w:t>报告</w:t>
      </w:r>
    </w:p>
    <w:p w14:paraId="690BAE0B">
      <w:pPr>
        <w:widowControl/>
        <w:adjustRightInd w:val="0"/>
        <w:snapToGrid w:val="0"/>
        <w:spacing w:line="578" w:lineRule="exact"/>
        <w:ind w:firstLine="420" w:firstLineChars="200"/>
        <w:contextualSpacing/>
        <w:jc w:val="left"/>
        <w:rPr>
          <w:rFonts w:eastAsia="黑体"/>
          <w:color w:val="000000"/>
          <w:kern w:val="0"/>
          <w:szCs w:val="32"/>
          <w:shd w:val="clear" w:color="auto" w:fill="FFFFFF"/>
          <w:lang w:val="zh-CN"/>
        </w:rPr>
      </w:pPr>
    </w:p>
    <w:p w14:paraId="3FA5498D">
      <w:pPr>
        <w:keepNext w:val="0"/>
        <w:keepLines w:val="0"/>
        <w:pageBreakBefore w:val="0"/>
        <w:widowControl/>
        <w:kinsoku/>
        <w:wordWrap/>
        <w:overflowPunct/>
        <w:topLinePunct w:val="0"/>
        <w:bidi w:val="0"/>
        <w:adjustRightInd w:val="0"/>
        <w:snapToGrid w:val="0"/>
        <w:spacing w:line="560" w:lineRule="exact"/>
        <w:ind w:firstLine="640" w:firstLineChars="200"/>
        <w:contextualSpacing/>
        <w:jc w:val="left"/>
        <w:textAlignment w:val="auto"/>
        <w:rPr>
          <w:sz w:val="32"/>
          <w:szCs w:val="32"/>
        </w:rPr>
      </w:pPr>
      <w:r>
        <w:rPr>
          <w:rFonts w:eastAsia="黑体"/>
          <w:color w:val="000000"/>
          <w:kern w:val="0"/>
          <w:sz w:val="32"/>
          <w:szCs w:val="32"/>
          <w:shd w:val="clear" w:color="auto" w:fill="FFFFFF"/>
          <w:lang w:val="zh-CN"/>
        </w:rPr>
        <w:t>一、部门（单位）基本情况</w:t>
      </w:r>
    </w:p>
    <w:p w14:paraId="531180B3">
      <w:pPr>
        <w:keepNext w:val="0"/>
        <w:keepLines w:val="0"/>
        <w:pageBreakBefore w:val="0"/>
        <w:widowControl/>
        <w:kinsoku/>
        <w:wordWrap/>
        <w:overflowPunct/>
        <w:topLinePunct w:val="0"/>
        <w:bidi w:val="0"/>
        <w:adjustRightInd w:val="0"/>
        <w:snapToGrid w:val="0"/>
        <w:spacing w:line="560" w:lineRule="exact"/>
        <w:ind w:firstLine="640" w:firstLineChars="200"/>
        <w:contextualSpacing/>
        <w:jc w:val="left"/>
        <w:textAlignment w:val="auto"/>
        <w:rPr>
          <w:rFonts w:eastAsia="楷体_GB2312"/>
          <w:b w:val="0"/>
          <w:bCs w:val="0"/>
          <w:color w:val="000000"/>
          <w:kern w:val="0"/>
          <w:sz w:val="32"/>
          <w:szCs w:val="32"/>
          <w:shd w:val="clear" w:color="auto" w:fill="FFFFFF"/>
          <w:lang w:val="zh-CN"/>
        </w:rPr>
      </w:pPr>
      <w:r>
        <w:rPr>
          <w:rFonts w:eastAsia="楷体_GB2312"/>
          <w:b w:val="0"/>
          <w:bCs w:val="0"/>
          <w:color w:val="000000"/>
          <w:kern w:val="0"/>
          <w:sz w:val="32"/>
          <w:szCs w:val="32"/>
          <w:shd w:val="clear" w:color="auto" w:fill="FFFFFF"/>
          <w:lang w:val="zh-CN"/>
        </w:rPr>
        <w:t>（一）机构组成</w:t>
      </w:r>
    </w:p>
    <w:p w14:paraId="5E90E76D">
      <w:pPr>
        <w:keepNext w:val="0"/>
        <w:keepLines w:val="0"/>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中共茂县县委办公室</w:t>
      </w:r>
      <w:r>
        <w:rPr>
          <w:rFonts w:hint="eastAsia" w:ascii="仿宋_GB2312" w:hAnsi="仿宋_GB2312" w:eastAsia="仿宋_GB2312" w:cs="仿宋_GB2312"/>
          <w:sz w:val="32"/>
          <w:szCs w:val="32"/>
        </w:rPr>
        <w:t>属一级预算单位，下属二级预算单位</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个，其中：参照公务员法管理的事业单位</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个，其他事业单位</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w:t>
      </w:r>
      <w:r>
        <w:rPr>
          <w:rFonts w:hint="eastAsia" w:ascii="仿宋_GB2312" w:hAnsi="仿宋_GB2312" w:eastAsia="仿宋_GB2312" w:cs="仿宋_GB2312"/>
          <w:sz w:val="32"/>
          <w:szCs w:val="32"/>
          <w:lang w:val="en-US" w:eastAsia="zh-CN"/>
        </w:rPr>
        <w:t>下设股室有综合股、秘书一股、秘书二股、督查室、总值班室、档案监督管理科、人事行财股、保密机要股。</w:t>
      </w:r>
    </w:p>
    <w:p w14:paraId="7FD24733">
      <w:pPr>
        <w:keepNext w:val="0"/>
        <w:keepLines w:val="0"/>
        <w:pageBreakBefore w:val="0"/>
        <w:widowControl/>
        <w:kinsoku/>
        <w:wordWrap/>
        <w:overflowPunct/>
        <w:topLinePunct w:val="0"/>
        <w:bidi w:val="0"/>
        <w:adjustRightInd w:val="0"/>
        <w:snapToGrid w:val="0"/>
        <w:spacing w:line="560" w:lineRule="exact"/>
        <w:ind w:firstLine="640" w:firstLineChars="200"/>
        <w:contextualSpacing/>
        <w:jc w:val="left"/>
        <w:textAlignment w:val="auto"/>
        <w:rPr>
          <w:rFonts w:eastAsia="楷体_GB2312"/>
          <w:b w:val="0"/>
          <w:bCs w:val="0"/>
          <w:color w:val="000000"/>
          <w:kern w:val="0"/>
          <w:sz w:val="32"/>
          <w:szCs w:val="32"/>
          <w:shd w:val="clear" w:color="auto" w:fill="FFFFFF"/>
          <w:lang w:val="zh-CN"/>
        </w:rPr>
      </w:pPr>
      <w:r>
        <w:rPr>
          <w:rFonts w:hint="eastAsia" w:eastAsia="楷体_GB2312"/>
          <w:b w:val="0"/>
          <w:bCs w:val="0"/>
          <w:color w:val="000000"/>
          <w:kern w:val="0"/>
          <w:sz w:val="32"/>
          <w:szCs w:val="32"/>
          <w:shd w:val="clear" w:color="auto" w:fill="FFFFFF"/>
          <w:lang w:val="zh-CN"/>
        </w:rPr>
        <w:t>（</w:t>
      </w:r>
      <w:r>
        <w:rPr>
          <w:rFonts w:hint="eastAsia" w:eastAsia="楷体_GB2312"/>
          <w:b w:val="0"/>
          <w:bCs w:val="0"/>
          <w:color w:val="000000"/>
          <w:kern w:val="0"/>
          <w:sz w:val="32"/>
          <w:szCs w:val="32"/>
          <w:shd w:val="clear" w:color="auto" w:fill="FFFFFF"/>
          <w:lang w:val="en-US" w:eastAsia="zh-CN"/>
        </w:rPr>
        <w:t>二</w:t>
      </w:r>
      <w:r>
        <w:rPr>
          <w:rFonts w:hint="eastAsia" w:eastAsia="楷体_GB2312"/>
          <w:b w:val="0"/>
          <w:bCs w:val="0"/>
          <w:color w:val="000000"/>
          <w:kern w:val="0"/>
          <w:sz w:val="32"/>
          <w:szCs w:val="32"/>
          <w:shd w:val="clear" w:color="auto" w:fill="FFFFFF"/>
          <w:lang w:val="zh-CN"/>
        </w:rPr>
        <w:t>）</w:t>
      </w:r>
      <w:r>
        <w:rPr>
          <w:rFonts w:eastAsia="楷体_GB2312"/>
          <w:b w:val="0"/>
          <w:bCs w:val="0"/>
          <w:color w:val="000000"/>
          <w:kern w:val="0"/>
          <w:sz w:val="32"/>
          <w:szCs w:val="32"/>
          <w:shd w:val="clear" w:color="auto" w:fill="FFFFFF"/>
          <w:lang w:val="zh-CN"/>
        </w:rPr>
        <w:t>机构职能</w:t>
      </w:r>
    </w:p>
    <w:p w14:paraId="555AFA07">
      <w:pPr>
        <w:keepNext w:val="0"/>
        <w:keepLines w:val="0"/>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贯彻执行党的路线、方针、政策以及中央、省委、州委和县委的决议、决定和工作的部署，负责县委重要会议、领导讲话和上报下发的重要文件的起草和县委日常的文书处理，负责部门代拟县委文件和领导讲话的校核、规范、把关，负责对全县党委办公部门秘书工作业务的联系和指导。</w:t>
      </w:r>
    </w:p>
    <w:p w14:paraId="62632FD9">
      <w:pPr>
        <w:keepNext w:val="0"/>
        <w:keepLines w:val="0"/>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2.围绕中央、省委和州委重要决策以及县委总体工作部署，开展调研，并负责信息的收集、综合和报送工作。</w:t>
      </w:r>
    </w:p>
    <w:p w14:paraId="1DAA83CC">
      <w:pPr>
        <w:keepNext w:val="0"/>
        <w:keepLines w:val="0"/>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3.负责县委常委会议、书记办公会议、县党代会、县委全委会、县委工作会、全县领导干部会等会议的会务工作，负责县委领导参加重要公务活动的组织安排。</w:t>
      </w:r>
    </w:p>
    <w:p w14:paraId="75E884C5">
      <w:pPr>
        <w:keepNext w:val="0"/>
        <w:keepLines w:val="0"/>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4.负责县委重要工作部署贯彻落实的督促检查，负责县委指示、县委领导批示的转达和催办落实。</w:t>
      </w:r>
    </w:p>
    <w:p w14:paraId="557F4B3D">
      <w:pPr>
        <w:keepNext w:val="0"/>
        <w:keepLines w:val="0"/>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5.负责县保密委员会及其办公室的日常工作。</w:t>
      </w:r>
    </w:p>
    <w:p w14:paraId="43217565">
      <w:pPr>
        <w:keepNext w:val="0"/>
        <w:keepLines w:val="0"/>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6.负责管理县委密码局工作。</w:t>
      </w:r>
    </w:p>
    <w:p w14:paraId="74047CD8">
      <w:pPr>
        <w:keepNext w:val="0"/>
        <w:keepLines w:val="0"/>
        <w:pageBreakBefore w:val="0"/>
        <w:kinsoku/>
        <w:wordWrap/>
        <w:overflowPunct/>
        <w:topLinePunct w:val="0"/>
        <w:bidi w:val="0"/>
        <w:spacing w:line="560" w:lineRule="exact"/>
        <w:ind w:firstLine="640" w:firstLineChars="200"/>
        <w:textAlignment w:val="auto"/>
        <w:rPr>
          <w:sz w:val="32"/>
          <w:szCs w:val="32"/>
          <w:lang w:val="zh-CN"/>
        </w:rPr>
      </w:pPr>
      <w:r>
        <w:rPr>
          <w:rFonts w:hint="eastAsia" w:ascii="仿宋_GB2312" w:hAnsi="仿宋_GB2312" w:eastAsia="仿宋_GB2312" w:cs="仿宋_GB2312"/>
          <w:sz w:val="32"/>
          <w:szCs w:val="32"/>
          <w:lang w:eastAsia="zh-CN"/>
        </w:rPr>
        <w:t>7.完成县委和县委领导交办的其他工作任务。</w:t>
      </w:r>
    </w:p>
    <w:p w14:paraId="1ED5569A">
      <w:pPr>
        <w:keepNext w:val="0"/>
        <w:keepLines w:val="0"/>
        <w:pageBreakBefore w:val="0"/>
        <w:widowControl/>
        <w:kinsoku/>
        <w:wordWrap/>
        <w:overflowPunct/>
        <w:topLinePunct w:val="0"/>
        <w:bidi w:val="0"/>
        <w:adjustRightInd w:val="0"/>
        <w:snapToGrid w:val="0"/>
        <w:spacing w:line="560" w:lineRule="exact"/>
        <w:ind w:firstLine="640" w:firstLineChars="200"/>
        <w:contextualSpacing/>
        <w:jc w:val="left"/>
        <w:textAlignment w:val="auto"/>
        <w:rPr>
          <w:rFonts w:hint="eastAsia" w:eastAsia="楷体_GB2312"/>
          <w:b w:val="0"/>
          <w:bCs w:val="0"/>
          <w:color w:val="000000"/>
          <w:kern w:val="0"/>
          <w:sz w:val="32"/>
          <w:szCs w:val="32"/>
          <w:shd w:val="clear" w:color="auto" w:fill="FFFFFF"/>
          <w:lang w:val="zh-CN"/>
        </w:rPr>
      </w:pPr>
      <w:r>
        <w:rPr>
          <w:rFonts w:hint="eastAsia" w:eastAsia="楷体_GB2312"/>
          <w:b w:val="0"/>
          <w:bCs w:val="0"/>
          <w:color w:val="000000"/>
          <w:kern w:val="0"/>
          <w:sz w:val="32"/>
          <w:szCs w:val="32"/>
          <w:shd w:val="clear" w:color="auto" w:fill="FFFFFF"/>
          <w:lang w:val="zh-CN"/>
        </w:rPr>
        <w:t>（三）人员概况</w:t>
      </w:r>
    </w:p>
    <w:p w14:paraId="15112B99">
      <w:pPr>
        <w:keepNext w:val="0"/>
        <w:keepLines w:val="0"/>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截</w:t>
      </w:r>
      <w:r>
        <w:rPr>
          <w:rFonts w:hint="default" w:ascii="仿宋_GB2312" w:hAnsi="仿宋_GB2312" w:eastAsia="仿宋_GB2312" w:cs="仿宋_GB2312"/>
          <w:sz w:val="32"/>
          <w:szCs w:val="32"/>
          <w:lang w:eastAsia="zh-CN"/>
        </w:rPr>
        <w:t>至</w:t>
      </w:r>
      <w:r>
        <w:rPr>
          <w:rFonts w:hint="eastAsia" w:ascii="仿宋_GB2312" w:hAnsi="仿宋_GB2312" w:eastAsia="仿宋_GB2312" w:cs="仿宋_GB2312"/>
          <w:sz w:val="32"/>
          <w:szCs w:val="32"/>
          <w:lang w:val="en-US" w:eastAsia="zh-CN"/>
        </w:rPr>
        <w:t>2025年12月31日，</w:t>
      </w:r>
      <w:r>
        <w:rPr>
          <w:rFonts w:hint="eastAsia" w:ascii="仿宋_GB2312" w:hAnsi="仿宋_GB2312" w:eastAsia="仿宋_GB2312" w:cs="仿宋_GB2312"/>
          <w:sz w:val="32"/>
          <w:szCs w:val="32"/>
          <w:lang w:eastAsia="zh-CN"/>
        </w:rPr>
        <w:t>总编制</w:t>
      </w:r>
      <w:r>
        <w:rPr>
          <w:rFonts w:hint="eastAsia" w:ascii="仿宋_GB2312" w:hAnsi="仿宋_GB2312" w:eastAsia="仿宋_GB2312" w:cs="仿宋_GB2312"/>
          <w:sz w:val="32"/>
          <w:szCs w:val="32"/>
          <w:lang w:val="en-US" w:eastAsia="zh-CN"/>
        </w:rPr>
        <w:t>54</w:t>
      </w:r>
      <w:r>
        <w:rPr>
          <w:rFonts w:hint="eastAsia" w:ascii="仿宋_GB2312" w:hAnsi="仿宋_GB2312" w:eastAsia="仿宋_GB2312" w:cs="仿宋_GB2312"/>
          <w:sz w:val="32"/>
          <w:szCs w:val="32"/>
          <w:lang w:eastAsia="zh-CN"/>
        </w:rPr>
        <w:t xml:space="preserve">名,其中:行政编制 </w:t>
      </w:r>
      <w:r>
        <w:rPr>
          <w:rFonts w:hint="eastAsia" w:ascii="仿宋_GB2312" w:hAnsi="仿宋_GB2312" w:eastAsia="仿宋_GB2312" w:cs="仿宋_GB2312"/>
          <w:sz w:val="32"/>
          <w:szCs w:val="32"/>
          <w:lang w:val="en-US" w:eastAsia="zh-CN"/>
        </w:rPr>
        <w:t>19</w:t>
      </w:r>
      <w:r>
        <w:rPr>
          <w:rFonts w:hint="eastAsia" w:ascii="仿宋_GB2312" w:hAnsi="仿宋_GB2312" w:eastAsia="仿宋_GB2312" w:cs="仿宋_GB2312"/>
          <w:sz w:val="32"/>
          <w:szCs w:val="32"/>
          <w:lang w:eastAsia="zh-CN"/>
        </w:rPr>
        <w:t xml:space="preserve">名,参照公务员法管理的事业编制 </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lang w:eastAsia="zh-CN"/>
        </w:rPr>
        <w:t>名，行政工勤编制 1</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 xml:space="preserve"> 名，事业编制</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lang w:eastAsia="zh-CN"/>
        </w:rPr>
        <w:t>名。在职人员总数</w:t>
      </w:r>
      <w:r>
        <w:rPr>
          <w:rFonts w:hint="eastAsia" w:ascii="仿宋_GB2312" w:hAnsi="仿宋_GB2312" w:eastAsia="仿宋_GB2312" w:cs="仿宋_GB2312"/>
          <w:sz w:val="32"/>
          <w:szCs w:val="32"/>
          <w:lang w:val="en-US" w:eastAsia="zh-CN"/>
        </w:rPr>
        <w:t>48</w:t>
      </w:r>
      <w:r>
        <w:rPr>
          <w:rFonts w:hint="eastAsia" w:ascii="仿宋_GB2312" w:hAnsi="仿宋_GB2312" w:eastAsia="仿宋_GB2312" w:cs="仿宋_GB2312"/>
          <w:sz w:val="32"/>
          <w:szCs w:val="32"/>
          <w:lang w:eastAsia="zh-CN"/>
        </w:rPr>
        <w:t>名，其中：行政人员</w:t>
      </w:r>
      <w:r>
        <w:rPr>
          <w:rFonts w:hint="eastAsia" w:ascii="仿宋_GB2312" w:hAnsi="仿宋_GB2312" w:eastAsia="仿宋_GB2312" w:cs="仿宋_GB2312"/>
          <w:sz w:val="32"/>
          <w:szCs w:val="32"/>
          <w:lang w:val="en-US" w:eastAsia="zh-CN"/>
        </w:rPr>
        <w:t>18</w:t>
      </w:r>
      <w:r>
        <w:rPr>
          <w:rFonts w:hint="eastAsia" w:ascii="仿宋_GB2312" w:hAnsi="仿宋_GB2312" w:eastAsia="仿宋_GB2312" w:cs="仿宋_GB2312"/>
          <w:sz w:val="32"/>
          <w:szCs w:val="32"/>
          <w:lang w:eastAsia="zh-CN"/>
        </w:rPr>
        <w:t xml:space="preserve">名，参照公务员法管理的事业人员 </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lang w:eastAsia="zh-CN"/>
        </w:rPr>
        <w:t>名，行政工勤人员 11 名；事业人员</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lang w:eastAsia="zh-CN"/>
        </w:rPr>
        <w:t>名。退休人员</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lang w:eastAsia="zh-CN"/>
        </w:rPr>
        <w:t>人。</w:t>
      </w:r>
    </w:p>
    <w:p w14:paraId="2E512EC2">
      <w:pPr>
        <w:keepNext w:val="0"/>
        <w:keepLines w:val="0"/>
        <w:pageBreakBefore w:val="0"/>
        <w:widowControl/>
        <w:kinsoku/>
        <w:wordWrap/>
        <w:overflowPunct/>
        <w:topLinePunct w:val="0"/>
        <w:bidi w:val="0"/>
        <w:adjustRightInd w:val="0"/>
        <w:snapToGrid w:val="0"/>
        <w:spacing w:line="560" w:lineRule="exact"/>
        <w:ind w:firstLine="640" w:firstLineChars="200"/>
        <w:contextualSpacing/>
        <w:jc w:val="left"/>
        <w:textAlignment w:val="auto"/>
        <w:rPr>
          <w:rFonts w:eastAsia="黑体"/>
          <w:color w:val="000000"/>
          <w:kern w:val="0"/>
          <w:sz w:val="32"/>
          <w:szCs w:val="32"/>
          <w:shd w:val="clear" w:color="auto" w:fill="FFFFFF"/>
        </w:rPr>
      </w:pPr>
      <w:r>
        <w:rPr>
          <w:rFonts w:eastAsia="黑体"/>
          <w:color w:val="000000"/>
          <w:kern w:val="0"/>
          <w:sz w:val="32"/>
          <w:szCs w:val="32"/>
          <w:shd w:val="clear" w:color="auto" w:fill="FFFFFF"/>
        </w:rPr>
        <w:t>二、部门资金收支情况</w:t>
      </w:r>
    </w:p>
    <w:p w14:paraId="3AD6E8F5">
      <w:pPr>
        <w:keepNext w:val="0"/>
        <w:keepLines w:val="0"/>
        <w:pageBreakBefore w:val="0"/>
        <w:widowControl/>
        <w:kinsoku/>
        <w:wordWrap/>
        <w:overflowPunct/>
        <w:topLinePunct w:val="0"/>
        <w:bidi w:val="0"/>
        <w:adjustRightInd w:val="0"/>
        <w:snapToGrid w:val="0"/>
        <w:spacing w:line="560" w:lineRule="exact"/>
        <w:ind w:firstLine="640" w:firstLineChars="200"/>
        <w:contextualSpacing/>
        <w:jc w:val="left"/>
        <w:textAlignment w:val="auto"/>
        <w:rPr>
          <w:rFonts w:hint="eastAsia" w:eastAsia="楷体_GB2312"/>
          <w:b w:val="0"/>
          <w:bCs w:val="0"/>
          <w:color w:val="000000"/>
          <w:kern w:val="0"/>
          <w:sz w:val="32"/>
          <w:szCs w:val="32"/>
          <w:shd w:val="clear" w:color="auto" w:fill="FFFFFF"/>
          <w:lang w:val="zh-CN"/>
        </w:rPr>
      </w:pPr>
      <w:r>
        <w:rPr>
          <w:rFonts w:hint="eastAsia" w:eastAsia="楷体_GB2312"/>
          <w:b w:val="0"/>
          <w:bCs w:val="0"/>
          <w:color w:val="000000"/>
          <w:kern w:val="0"/>
          <w:sz w:val="32"/>
          <w:szCs w:val="32"/>
          <w:shd w:val="clear" w:color="auto" w:fill="FFFFFF"/>
          <w:lang w:val="zh-CN"/>
        </w:rPr>
        <w:t>（一）收入情况</w:t>
      </w:r>
    </w:p>
    <w:p w14:paraId="27BB874B">
      <w:pPr>
        <w:keepNext w:val="0"/>
        <w:keepLines w:val="0"/>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2025年年初预算收入974.13万元，本年收入调整预算数为1306.08万元，收入决算数为1306.08万元。</w:t>
      </w:r>
    </w:p>
    <w:p w14:paraId="1CA66419">
      <w:pPr>
        <w:keepNext w:val="0"/>
        <w:keepLines w:val="0"/>
        <w:pageBreakBefore w:val="0"/>
        <w:widowControl/>
        <w:kinsoku/>
        <w:wordWrap/>
        <w:overflowPunct/>
        <w:topLinePunct w:val="0"/>
        <w:bidi w:val="0"/>
        <w:adjustRightInd w:val="0"/>
        <w:snapToGrid w:val="0"/>
        <w:spacing w:line="560" w:lineRule="exact"/>
        <w:ind w:firstLine="640" w:firstLineChars="200"/>
        <w:contextualSpacing/>
        <w:jc w:val="left"/>
        <w:textAlignment w:val="auto"/>
        <w:rPr>
          <w:rFonts w:hint="eastAsia" w:eastAsia="楷体_GB2312"/>
          <w:b w:val="0"/>
          <w:bCs w:val="0"/>
          <w:color w:val="000000"/>
          <w:kern w:val="0"/>
          <w:sz w:val="32"/>
          <w:szCs w:val="32"/>
          <w:shd w:val="clear" w:color="auto" w:fill="FFFFFF"/>
          <w:lang w:val="zh-CN"/>
        </w:rPr>
      </w:pPr>
      <w:r>
        <w:rPr>
          <w:rFonts w:hint="eastAsia" w:eastAsia="楷体_GB2312"/>
          <w:b w:val="0"/>
          <w:bCs w:val="0"/>
          <w:color w:val="000000"/>
          <w:kern w:val="0"/>
          <w:sz w:val="32"/>
          <w:szCs w:val="32"/>
          <w:shd w:val="clear" w:color="auto" w:fill="FFFFFF"/>
          <w:lang w:val="zh-CN"/>
        </w:rPr>
        <w:t>（</w:t>
      </w:r>
      <w:r>
        <w:rPr>
          <w:rFonts w:hint="eastAsia" w:eastAsia="楷体_GB2312"/>
          <w:b w:val="0"/>
          <w:bCs w:val="0"/>
          <w:color w:val="000000"/>
          <w:kern w:val="0"/>
          <w:sz w:val="32"/>
          <w:szCs w:val="32"/>
          <w:shd w:val="clear" w:color="auto" w:fill="FFFFFF"/>
          <w:lang w:val="en-US" w:eastAsia="zh-CN"/>
        </w:rPr>
        <w:t>二</w:t>
      </w:r>
      <w:r>
        <w:rPr>
          <w:rFonts w:hint="eastAsia" w:eastAsia="楷体_GB2312"/>
          <w:b w:val="0"/>
          <w:bCs w:val="0"/>
          <w:color w:val="000000"/>
          <w:kern w:val="0"/>
          <w:sz w:val="32"/>
          <w:szCs w:val="32"/>
          <w:shd w:val="clear" w:color="auto" w:fill="FFFFFF"/>
          <w:lang w:val="zh-CN"/>
        </w:rPr>
        <w:t>）支出情况</w:t>
      </w:r>
    </w:p>
    <w:p w14:paraId="1A10244F">
      <w:pPr>
        <w:keepNext w:val="0"/>
        <w:keepLines w:val="0"/>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en-US" w:eastAsia="zh-CN"/>
        </w:rPr>
        <w:t>2025年年初预算支出974.13万元、决算报表支出1306.08万元。</w:t>
      </w:r>
    </w:p>
    <w:p w14:paraId="7A6F28E4">
      <w:pPr>
        <w:keepNext w:val="0"/>
        <w:keepLines w:val="0"/>
        <w:pageBreakBefore w:val="0"/>
        <w:widowControl/>
        <w:kinsoku/>
        <w:wordWrap/>
        <w:overflowPunct/>
        <w:topLinePunct w:val="0"/>
        <w:bidi w:val="0"/>
        <w:adjustRightInd w:val="0"/>
        <w:snapToGrid w:val="0"/>
        <w:spacing w:line="560" w:lineRule="exact"/>
        <w:ind w:firstLine="640" w:firstLineChars="200"/>
        <w:contextualSpacing/>
        <w:jc w:val="left"/>
        <w:textAlignment w:val="auto"/>
        <w:rPr>
          <w:rFonts w:hint="eastAsia" w:eastAsia="楷体_GB2312"/>
          <w:b w:val="0"/>
          <w:bCs w:val="0"/>
          <w:color w:val="000000"/>
          <w:kern w:val="0"/>
          <w:sz w:val="32"/>
          <w:szCs w:val="32"/>
          <w:shd w:val="clear" w:color="auto" w:fill="FFFFFF"/>
          <w:lang w:val="zh-CN"/>
        </w:rPr>
      </w:pPr>
      <w:r>
        <w:rPr>
          <w:rFonts w:hint="eastAsia" w:eastAsia="楷体_GB2312"/>
          <w:b w:val="0"/>
          <w:bCs w:val="0"/>
          <w:color w:val="000000"/>
          <w:kern w:val="0"/>
          <w:sz w:val="32"/>
          <w:szCs w:val="32"/>
          <w:shd w:val="clear" w:color="auto" w:fill="FFFFFF"/>
          <w:lang w:val="zh-CN" w:eastAsia="zh-CN"/>
        </w:rPr>
        <w:t>（</w:t>
      </w:r>
      <w:r>
        <w:rPr>
          <w:rFonts w:hint="eastAsia" w:eastAsia="楷体_GB2312"/>
          <w:b w:val="0"/>
          <w:bCs w:val="0"/>
          <w:color w:val="000000"/>
          <w:kern w:val="0"/>
          <w:sz w:val="32"/>
          <w:szCs w:val="32"/>
          <w:shd w:val="clear" w:color="auto" w:fill="FFFFFF"/>
          <w:lang w:val="en-US" w:eastAsia="zh-CN"/>
        </w:rPr>
        <w:t>三</w:t>
      </w:r>
      <w:r>
        <w:rPr>
          <w:rFonts w:hint="eastAsia" w:eastAsia="楷体_GB2312"/>
          <w:b w:val="0"/>
          <w:bCs w:val="0"/>
          <w:color w:val="000000"/>
          <w:kern w:val="0"/>
          <w:sz w:val="32"/>
          <w:szCs w:val="32"/>
          <w:shd w:val="clear" w:color="auto" w:fill="FFFFFF"/>
          <w:lang w:val="zh-CN" w:eastAsia="zh-CN"/>
        </w:rPr>
        <w:t>）</w:t>
      </w:r>
      <w:r>
        <w:rPr>
          <w:rFonts w:hint="eastAsia" w:eastAsia="楷体_GB2312"/>
          <w:b w:val="0"/>
          <w:bCs w:val="0"/>
          <w:color w:val="000000"/>
          <w:kern w:val="0"/>
          <w:sz w:val="32"/>
          <w:szCs w:val="32"/>
          <w:shd w:val="clear" w:color="auto" w:fill="FFFFFF"/>
          <w:lang w:val="zh-CN"/>
        </w:rPr>
        <w:t>结余分配和结转结余情况</w:t>
      </w:r>
    </w:p>
    <w:p w14:paraId="5548B7DF">
      <w:pPr>
        <w:keepNext w:val="0"/>
        <w:keepLines w:val="0"/>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en-US" w:eastAsia="zh-CN"/>
        </w:rPr>
        <w:t>2025年决算报表结转结余0万元。</w:t>
      </w:r>
    </w:p>
    <w:p w14:paraId="2672D36A">
      <w:pPr>
        <w:keepNext w:val="0"/>
        <w:keepLines w:val="0"/>
        <w:pageBreakBefore w:val="0"/>
        <w:widowControl/>
        <w:kinsoku/>
        <w:wordWrap/>
        <w:overflowPunct/>
        <w:topLinePunct w:val="0"/>
        <w:bidi w:val="0"/>
        <w:adjustRightInd w:val="0"/>
        <w:snapToGrid w:val="0"/>
        <w:spacing w:line="560" w:lineRule="exact"/>
        <w:ind w:firstLine="640" w:firstLineChars="200"/>
        <w:contextualSpacing/>
        <w:jc w:val="left"/>
        <w:textAlignment w:val="auto"/>
        <w:rPr>
          <w:rFonts w:eastAsia="黑体"/>
          <w:color w:val="000000" w:themeColor="text1"/>
          <w:kern w:val="0"/>
          <w:sz w:val="32"/>
          <w:szCs w:val="32"/>
          <w:shd w:val="clear" w:color="auto" w:fill="FFFFFF"/>
        </w:rPr>
      </w:pPr>
      <w:r>
        <w:rPr>
          <w:rFonts w:eastAsia="黑体"/>
          <w:color w:val="000000"/>
          <w:kern w:val="0"/>
          <w:sz w:val="32"/>
          <w:szCs w:val="32"/>
          <w:shd w:val="clear" w:color="auto" w:fill="FFFFFF"/>
        </w:rPr>
        <w:t>三、部门预算绩效分析</w:t>
      </w:r>
    </w:p>
    <w:p w14:paraId="53E50910">
      <w:pPr>
        <w:keepNext w:val="0"/>
        <w:keepLines w:val="0"/>
        <w:pageBreakBefore w:val="0"/>
        <w:kinsoku/>
        <w:wordWrap/>
        <w:overflowPunct/>
        <w:topLinePunct w:val="0"/>
        <w:bidi w:val="0"/>
        <w:adjustRightInd w:val="0"/>
        <w:snapToGrid w:val="0"/>
        <w:spacing w:line="560" w:lineRule="exact"/>
        <w:ind w:firstLine="640" w:firstLineChars="200"/>
        <w:contextualSpacing/>
        <w:jc w:val="left"/>
        <w:textAlignment w:val="auto"/>
        <w:rPr>
          <w:rFonts w:eastAsia="楷体_GB2312"/>
          <w:b w:val="0"/>
          <w:bCs w:val="0"/>
          <w:color w:val="000000"/>
          <w:kern w:val="0"/>
          <w:sz w:val="32"/>
          <w:szCs w:val="32"/>
          <w:shd w:val="clear" w:color="auto" w:fill="FFFFFF"/>
          <w:lang w:val="zh-CN"/>
        </w:rPr>
      </w:pPr>
      <w:r>
        <w:rPr>
          <w:rFonts w:eastAsia="楷体_GB2312"/>
          <w:b w:val="0"/>
          <w:bCs w:val="0"/>
          <w:color w:val="000000"/>
          <w:kern w:val="0"/>
          <w:sz w:val="32"/>
          <w:szCs w:val="32"/>
          <w:shd w:val="clear" w:color="auto" w:fill="FFFFFF"/>
          <w:lang w:val="zh-CN"/>
        </w:rPr>
        <w:t>（一）部门预算总体绩效分析</w:t>
      </w:r>
    </w:p>
    <w:p w14:paraId="42460F54">
      <w:pPr>
        <w:keepNext w:val="0"/>
        <w:keepLines w:val="0"/>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val="zh-CN" w:eastAsia="zh-CN"/>
        </w:rPr>
        <w:t>履职效能</w:t>
      </w:r>
    </w:p>
    <w:p w14:paraId="2975B724">
      <w:pPr>
        <w:keepNext w:val="0"/>
        <w:keepLines w:val="0"/>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1.严格执行《阿坝州关于贯彻落实中央八项规定精神、省委省政府十项规定和州委州政府八条实施意见的实施细则》要求，深入开展精文减会、基层减负和机关规范化建设。</w:t>
      </w:r>
    </w:p>
    <w:p w14:paraId="5CC3CE05">
      <w:pPr>
        <w:keepNext w:val="0"/>
        <w:keepLines w:val="0"/>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2.大力提升公文质效，从严审核把关以县委、县委办名义发文，及时收集掌握县委办、县政府办发文数量，确保发文逐年递减要求刚性落实。同时，进一步规范各镇、各部门上报信息简报，严格控制篇幅字数。</w:t>
      </w:r>
    </w:p>
    <w:p w14:paraId="113AA0EE">
      <w:pPr>
        <w:keepNext w:val="0"/>
        <w:keepLines w:val="0"/>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3.持续落实“无会周”，按照节俭、高效的原则，进一步加强与“四大办”、县委工作部门、县委议事协调机构办公室的信息沟通，加大会议的统筹力度，严控会议频次和规模。</w:t>
      </w:r>
    </w:p>
    <w:p w14:paraId="5FA8732B">
      <w:pPr>
        <w:keepNext w:val="0"/>
        <w:keepLines w:val="0"/>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4.扩展非涉密计算机敏感信息监管系统，做到全覆盖，开展全县网络核查分类工作，切实做好全县普通高校招生考试安全保密工作，做好保密法制宣传教育和保密业务培训。</w:t>
      </w:r>
    </w:p>
    <w:p w14:paraId="58AB0D31">
      <w:pPr>
        <w:keepNext w:val="0"/>
        <w:keepLines w:val="0"/>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5.扎实做好密码通信服务保障，推进密码管理规范化，抓好和完善党政内网建设。</w:t>
      </w:r>
    </w:p>
    <w:p w14:paraId="7381B86B">
      <w:pPr>
        <w:keepNext w:val="0"/>
        <w:keepLines w:val="0"/>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6.重点工作与目标考评中心，开展重点工作、重点项目督查，并形成督查专报，做好年度目标考核工作。</w:t>
      </w:r>
    </w:p>
    <w:p w14:paraId="3E727D40">
      <w:pPr>
        <w:keepNext w:val="0"/>
        <w:keepLines w:val="0"/>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做好人民群众来信来访工作，妥善处置各类突发事件，努力维护社会大局稳定。对来访人员合理诉求及时联系相关部门给予答复，树立良好窗口形象。做好《书记信箱》、《阿坝民声》中涉及我县的信访问题，及时督察督办，及时回复。</w:t>
      </w:r>
    </w:p>
    <w:p w14:paraId="22ACD8F8">
      <w:pPr>
        <w:keepNext w:val="0"/>
        <w:keepLines w:val="0"/>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en-US" w:eastAsia="zh-CN"/>
        </w:rPr>
        <w:t>8.严格执行24小时值班制度，周末、节假日值班制定。加强车辆管理，确保县委工作正常运转。</w:t>
      </w:r>
    </w:p>
    <w:p w14:paraId="5E90E34D">
      <w:pPr>
        <w:keepNext w:val="0"/>
        <w:keepLines w:val="0"/>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val="zh-CN" w:eastAsia="zh-CN"/>
        </w:rPr>
        <w:t>预算管理</w:t>
      </w:r>
    </w:p>
    <w:p w14:paraId="590BAC80">
      <w:pPr>
        <w:keepNext w:val="0"/>
        <w:keepLines w:val="0"/>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我单位严格按照单位实际情况制定绩效目标管理制度，严格按照预算管理法进行有效的预算编制工作。</w:t>
      </w:r>
      <w:r>
        <w:rPr>
          <w:rFonts w:hint="eastAsia" w:ascii="仿宋_GB2312" w:hAnsi="仿宋_GB2312" w:eastAsia="仿宋_GB2312" w:cs="仿宋_GB2312"/>
          <w:sz w:val="32"/>
          <w:szCs w:val="32"/>
          <w:lang w:val="en-US" w:eastAsia="zh-CN"/>
        </w:rPr>
        <w:t>2025年我单位无违规违法行为，保质保量的完成了目标实现情况，支出控制及执行进度等指标都及时完成。</w:t>
      </w:r>
    </w:p>
    <w:p w14:paraId="5B462E98">
      <w:pPr>
        <w:keepNext w:val="0"/>
        <w:keepLines w:val="0"/>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val="zh-CN" w:eastAsia="zh-CN"/>
        </w:rPr>
        <w:t>财务管理</w:t>
      </w:r>
    </w:p>
    <w:p w14:paraId="5A201B70">
      <w:pPr>
        <w:keepNext w:val="0"/>
        <w:keepLines w:val="0"/>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zh-CN" w:eastAsia="zh-CN"/>
        </w:rPr>
        <w:t>单位建立了相关的财务管理制度，设立了出纳和会计岗配备了相应的财务人员。</w:t>
      </w:r>
      <w:r>
        <w:rPr>
          <w:rFonts w:hint="eastAsia" w:ascii="仿宋_GB2312" w:hAnsi="仿宋_GB2312" w:eastAsia="仿宋_GB2312" w:cs="仿宋_GB2312"/>
          <w:sz w:val="32"/>
          <w:szCs w:val="32"/>
          <w:lang w:val="en-US" w:eastAsia="zh-CN"/>
        </w:rPr>
        <w:t xml:space="preserve">在财务管理方面，经费支出实行严格审批制度，严格预算原则。严格控制基本经费支出，加强对日常经费开支的管理。严禁超预算支出。加大对公务卡的使用管理，要求工作人员严格按照公务卡结算目录的要求使用公务卡。资金使用符合相关的财务管理规定。 </w:t>
      </w:r>
    </w:p>
    <w:p w14:paraId="67481F0E">
      <w:pPr>
        <w:keepNext w:val="0"/>
        <w:keepLines w:val="0"/>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val="zh-CN" w:eastAsia="zh-CN"/>
        </w:rPr>
        <w:t>资产管理</w:t>
      </w:r>
    </w:p>
    <w:p w14:paraId="30E6B74C">
      <w:pPr>
        <w:keepNext w:val="0"/>
        <w:keepLines w:val="0"/>
        <w:pageBreakBefore w:val="0"/>
        <w:kinsoku/>
        <w:wordWrap/>
        <w:overflowPunct/>
        <w:topLinePunct w:val="0"/>
        <w:bidi w:val="0"/>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在资产管理方面，坚持谁使用谁保管谁负责的原则，建立台账，各负其责，财务室负责固定资产的日常账务处理，办公室负责台账登记和日常维修，使资产能保障单位工作的正常运转。在办公设备配置上，严格执行电脑，打印机等最低使用年限且年限满后只要维修后能正常使用的我单位都将继续使用，没有超出配置。资产利用率达100%，无闲置资产。</w:t>
      </w:r>
    </w:p>
    <w:p w14:paraId="531D96E4">
      <w:pPr>
        <w:keepNext w:val="0"/>
        <w:keepLines w:val="0"/>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val="zh-CN" w:eastAsia="zh-CN"/>
        </w:rPr>
        <w:t>采购管理</w:t>
      </w:r>
    </w:p>
    <w:p w14:paraId="61271DB6">
      <w:pPr>
        <w:keepNext w:val="0"/>
        <w:keepLines w:val="0"/>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我单位的采购主要是采用询价的方式进行，采购严格按照相关的文件进行。围绕支持中小企业发展，我单位按要求发布询价公告进行实地询价，最后确定询价结果和中标公司并公示以及合同的签订，项目在单位的监管下按合同正常推进完成，采购执行率高。</w:t>
      </w:r>
    </w:p>
    <w:p w14:paraId="1109F56F">
      <w:pPr>
        <w:keepNext w:val="0"/>
        <w:keepLines w:val="0"/>
        <w:pageBreakBefore w:val="0"/>
        <w:widowControl/>
        <w:kinsoku/>
        <w:wordWrap/>
        <w:overflowPunct/>
        <w:topLinePunct w:val="0"/>
        <w:bidi w:val="0"/>
        <w:adjustRightInd w:val="0"/>
        <w:snapToGrid w:val="0"/>
        <w:spacing w:line="560" w:lineRule="exact"/>
        <w:ind w:firstLine="640" w:firstLineChars="200"/>
        <w:contextualSpacing/>
        <w:jc w:val="left"/>
        <w:textAlignment w:val="auto"/>
        <w:rPr>
          <w:rFonts w:eastAsia="楷体_GB2312"/>
          <w:b w:val="0"/>
          <w:bCs w:val="0"/>
          <w:color w:val="000000"/>
          <w:kern w:val="0"/>
          <w:sz w:val="32"/>
          <w:szCs w:val="32"/>
          <w:highlight w:val="none"/>
          <w:shd w:val="clear" w:color="auto" w:fill="FFFFFF"/>
          <w:lang w:val="zh-CN"/>
        </w:rPr>
      </w:pPr>
    </w:p>
    <w:p w14:paraId="6BB5793F">
      <w:pPr>
        <w:keepNext w:val="0"/>
        <w:keepLines w:val="0"/>
        <w:pageBreakBefore w:val="0"/>
        <w:widowControl/>
        <w:kinsoku/>
        <w:wordWrap/>
        <w:overflowPunct/>
        <w:topLinePunct w:val="0"/>
        <w:bidi w:val="0"/>
        <w:adjustRightInd w:val="0"/>
        <w:snapToGrid w:val="0"/>
        <w:spacing w:line="560" w:lineRule="exact"/>
        <w:ind w:firstLine="640" w:firstLineChars="200"/>
        <w:contextualSpacing/>
        <w:jc w:val="left"/>
        <w:textAlignment w:val="auto"/>
        <w:rPr>
          <w:b w:val="0"/>
          <w:bCs w:val="0"/>
          <w:color w:val="000000"/>
          <w:kern w:val="0"/>
          <w:sz w:val="32"/>
          <w:szCs w:val="32"/>
          <w:highlight w:val="none"/>
          <w:shd w:val="clear" w:color="auto" w:fill="FFFFFF"/>
        </w:rPr>
      </w:pPr>
      <w:r>
        <w:rPr>
          <w:rFonts w:eastAsia="楷体_GB2312"/>
          <w:b w:val="0"/>
          <w:bCs w:val="0"/>
          <w:color w:val="000000"/>
          <w:kern w:val="0"/>
          <w:sz w:val="32"/>
          <w:szCs w:val="32"/>
          <w:highlight w:val="none"/>
          <w:shd w:val="clear" w:color="auto" w:fill="FFFFFF"/>
          <w:lang w:val="zh-CN"/>
        </w:rPr>
        <w:t>（二）部门预算项目绩效分析</w:t>
      </w:r>
    </w:p>
    <w:p w14:paraId="179B71E2">
      <w:pPr>
        <w:keepNext w:val="0"/>
        <w:keepLines w:val="0"/>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常年项目绩效分析。该类项目总数</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lang w:val="zh-CN" w:eastAsia="zh-CN"/>
        </w:rPr>
        <w:t>个，涉及预算总金额</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lang w:val="zh-CN" w:eastAsia="zh-CN"/>
        </w:rPr>
        <w:t>万元，1—12月预算执行总体进度为</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lang w:val="zh-CN" w:eastAsia="zh-CN"/>
        </w:rPr>
        <w:t>%，其中：预算结余率大于10%的项目共计</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lang w:val="zh-CN" w:eastAsia="zh-CN"/>
        </w:rPr>
        <w:t>个。</w:t>
      </w:r>
    </w:p>
    <w:p w14:paraId="35445519">
      <w:pPr>
        <w:keepNext w:val="0"/>
        <w:keepLines w:val="0"/>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阶段（含一次性）项目绩效分析。该类项目总数</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val="zh-CN" w:eastAsia="zh-CN"/>
        </w:rPr>
        <w:t>个，涉及预算总金额</w:t>
      </w:r>
      <w:r>
        <w:rPr>
          <w:rFonts w:hint="eastAsia" w:ascii="仿宋_GB2312" w:hAnsi="仿宋_GB2312" w:eastAsia="仿宋_GB2312" w:cs="仿宋_GB2312"/>
          <w:sz w:val="32"/>
          <w:szCs w:val="32"/>
          <w:lang w:val="en-US" w:eastAsia="zh-CN"/>
        </w:rPr>
        <w:t>371.89</w:t>
      </w:r>
      <w:r>
        <w:rPr>
          <w:rFonts w:hint="eastAsia" w:ascii="仿宋_GB2312" w:hAnsi="仿宋_GB2312" w:eastAsia="仿宋_GB2312" w:cs="仿宋_GB2312"/>
          <w:sz w:val="32"/>
          <w:szCs w:val="32"/>
          <w:lang w:val="zh-CN" w:eastAsia="zh-CN"/>
        </w:rPr>
        <w:t>万元，1—12月预算执行总体进度为</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lang w:val="zh-CN" w:eastAsia="zh-CN"/>
        </w:rPr>
        <w:t>%，其中：预算结余率大于10%的项目共计</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lang w:val="zh-CN" w:eastAsia="zh-CN"/>
        </w:rPr>
        <w:t>个。</w:t>
      </w:r>
    </w:p>
    <w:p w14:paraId="12C4EF57">
      <w:pPr>
        <w:keepNext w:val="0"/>
        <w:keepLines w:val="0"/>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val="zh-CN" w:eastAsia="zh-CN"/>
        </w:rPr>
        <w:t>项目决策</w:t>
      </w:r>
    </w:p>
    <w:p w14:paraId="119B7DBF">
      <w:pPr>
        <w:keepNext w:val="0"/>
        <w:keepLines w:val="0"/>
        <w:pageBreakBefore w:val="0"/>
        <w:kinsoku/>
        <w:wordWrap/>
        <w:overflowPunct/>
        <w:topLinePunct w:val="0"/>
        <w:bidi w:val="0"/>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zh-CN" w:eastAsia="zh-CN"/>
        </w:rPr>
        <w:t>决策程序</w:t>
      </w:r>
      <w:r>
        <w:rPr>
          <w:rFonts w:hint="eastAsia" w:ascii="仿宋_GB2312" w:hAnsi="仿宋_GB2312" w:eastAsia="仿宋_GB2312" w:cs="仿宋_GB2312"/>
          <w:sz w:val="32"/>
          <w:szCs w:val="32"/>
          <w:lang w:val="en-US" w:eastAsia="zh-CN"/>
        </w:rPr>
        <w:t>方面，部门预算项目设立是按规定履行评估论证、申报程序；</w:t>
      </w:r>
      <w:r>
        <w:rPr>
          <w:rFonts w:hint="eastAsia" w:ascii="仿宋_GB2312" w:hAnsi="仿宋_GB2312" w:eastAsia="仿宋_GB2312" w:cs="仿宋_GB2312"/>
          <w:sz w:val="32"/>
          <w:szCs w:val="32"/>
          <w:lang w:val="zh-CN" w:eastAsia="zh-CN"/>
        </w:rPr>
        <w:t>目标设置</w:t>
      </w:r>
      <w:r>
        <w:rPr>
          <w:rFonts w:hint="eastAsia" w:ascii="仿宋_GB2312" w:hAnsi="仿宋_GB2312" w:eastAsia="仿宋_GB2312" w:cs="仿宋_GB2312"/>
          <w:sz w:val="32"/>
          <w:szCs w:val="32"/>
          <w:lang w:val="en-US" w:eastAsia="zh-CN"/>
        </w:rPr>
        <w:t>方面，部门预算项目绩效目标与计划期内的任务量、预算安排的资金量是相匹配的，绩效目标设置是科学合理、规范完整、量化细化、预算匹配的；项目入库方面，部门预算项目是在规定时间完成项目入库。</w:t>
      </w:r>
    </w:p>
    <w:p w14:paraId="7EE70344">
      <w:pPr>
        <w:keepNext w:val="0"/>
        <w:keepLines w:val="0"/>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val="zh-CN" w:eastAsia="zh-CN"/>
        </w:rPr>
        <w:t>项目执行</w:t>
      </w:r>
    </w:p>
    <w:p w14:paraId="3DA254B7">
      <w:pPr>
        <w:keepNext w:val="0"/>
        <w:keepLines w:val="0"/>
        <w:pageBreakBefore w:val="0"/>
        <w:kinsoku/>
        <w:wordWrap/>
        <w:overflowPunct/>
        <w:topLinePunct w:val="0"/>
        <w:bidi w:val="0"/>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zh-CN" w:eastAsia="zh-CN"/>
        </w:rPr>
        <w:t>执行同向</w:t>
      </w:r>
      <w:r>
        <w:rPr>
          <w:rFonts w:hint="eastAsia" w:ascii="仿宋_GB2312" w:hAnsi="仿宋_GB2312" w:eastAsia="仿宋_GB2312" w:cs="仿宋_GB2312"/>
          <w:sz w:val="32"/>
          <w:szCs w:val="32"/>
          <w:lang w:val="en-US" w:eastAsia="zh-CN"/>
        </w:rPr>
        <w:t>方面，部门预算项目实际列支内容是与绩效目标设置方向相符的；项目调整方面，部门预算项目是采取了对应调整措施进行调整；执行结果方面，部门预算项目预算执行是按照资金用途合法合规进行支付执行。</w:t>
      </w:r>
    </w:p>
    <w:p w14:paraId="36027F15">
      <w:pPr>
        <w:keepNext w:val="0"/>
        <w:keepLines w:val="0"/>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val="zh-CN" w:eastAsia="zh-CN"/>
        </w:rPr>
        <w:t>目标实现</w:t>
      </w:r>
    </w:p>
    <w:p w14:paraId="24153CF4">
      <w:pPr>
        <w:keepNext w:val="0"/>
        <w:keepLines w:val="0"/>
        <w:pageBreakBefore w:val="0"/>
        <w:kinsoku/>
        <w:wordWrap/>
        <w:overflowPunct/>
        <w:topLinePunct w:val="0"/>
        <w:bidi w:val="0"/>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zh-CN" w:eastAsia="zh-CN"/>
        </w:rPr>
        <w:t>目标完成</w:t>
      </w:r>
      <w:r>
        <w:rPr>
          <w:rFonts w:hint="eastAsia" w:ascii="仿宋_GB2312" w:hAnsi="仿宋_GB2312" w:eastAsia="仿宋_GB2312" w:cs="仿宋_GB2312"/>
          <w:sz w:val="32"/>
          <w:szCs w:val="32"/>
          <w:lang w:val="en-US" w:eastAsia="zh-CN"/>
        </w:rPr>
        <w:t>方面，部门预算项目绩效目标数量指标按时完成了；目标偏离方面，部门预算项目绩效目标数量指标实现程度与预期目标不存在偏离情况；实现效果方面，部门预算项目绩效目标效益指标得到有效实施。</w:t>
      </w:r>
    </w:p>
    <w:p w14:paraId="0C977061">
      <w:pPr>
        <w:keepNext w:val="0"/>
        <w:keepLines w:val="0"/>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部门202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val="zh-CN" w:eastAsia="zh-CN"/>
        </w:rPr>
        <w:t>年度</w:t>
      </w:r>
      <w:r>
        <w:rPr>
          <w:rFonts w:hint="eastAsia" w:ascii="仿宋_GB2312" w:hAnsi="仿宋_GB2312" w:eastAsia="仿宋_GB2312" w:cs="仿宋_GB2312"/>
          <w:sz w:val="32"/>
          <w:szCs w:val="32"/>
          <w:lang w:val="en-US" w:eastAsia="zh-CN"/>
        </w:rPr>
        <w:t>不</w:t>
      </w:r>
      <w:r>
        <w:rPr>
          <w:rFonts w:hint="eastAsia" w:ascii="仿宋_GB2312" w:hAnsi="仿宋_GB2312" w:eastAsia="仿宋_GB2312" w:cs="仿宋_GB2312"/>
          <w:sz w:val="32"/>
          <w:szCs w:val="32"/>
          <w:lang w:val="zh-CN" w:eastAsia="zh-CN"/>
        </w:rPr>
        <w:t>涉及国有资本经营预算、社会保险基金预算。</w:t>
      </w:r>
    </w:p>
    <w:p w14:paraId="69B7F255">
      <w:pPr>
        <w:keepNext w:val="0"/>
        <w:keepLines w:val="0"/>
        <w:pageBreakBefore w:val="0"/>
        <w:numPr>
          <w:ilvl w:val="0"/>
          <w:numId w:val="0"/>
        </w:numPr>
        <w:kinsoku/>
        <w:wordWrap/>
        <w:overflowPunct/>
        <w:topLinePunct w:val="0"/>
        <w:bidi w:val="0"/>
        <w:snapToGrid w:val="0"/>
        <w:spacing w:line="560" w:lineRule="exact"/>
        <w:ind w:leftChars="200"/>
        <w:textAlignment w:val="auto"/>
        <w:rPr>
          <w:rFonts w:eastAsia="楷体_GB2312"/>
          <w:b w:val="0"/>
          <w:bCs w:val="0"/>
          <w:sz w:val="32"/>
          <w:szCs w:val="32"/>
          <w:highlight w:val="none"/>
          <w:lang w:val="zh-CN"/>
        </w:rPr>
      </w:pPr>
      <w:r>
        <w:rPr>
          <w:rFonts w:hint="eastAsia" w:eastAsia="楷体_GB2312"/>
          <w:b w:val="0"/>
          <w:bCs w:val="0"/>
          <w:sz w:val="32"/>
          <w:szCs w:val="32"/>
          <w:highlight w:val="none"/>
          <w:lang w:val="zh-CN"/>
        </w:rPr>
        <w:t>（</w:t>
      </w:r>
      <w:r>
        <w:rPr>
          <w:rFonts w:hint="eastAsia" w:eastAsia="楷体_GB2312"/>
          <w:b w:val="0"/>
          <w:bCs w:val="0"/>
          <w:sz w:val="32"/>
          <w:szCs w:val="32"/>
          <w:highlight w:val="none"/>
          <w:lang w:val="en-US" w:eastAsia="zh-CN"/>
        </w:rPr>
        <w:t>二</w:t>
      </w:r>
      <w:r>
        <w:rPr>
          <w:rFonts w:hint="eastAsia" w:eastAsia="楷体_GB2312"/>
          <w:b w:val="0"/>
          <w:bCs w:val="0"/>
          <w:sz w:val="32"/>
          <w:szCs w:val="32"/>
          <w:highlight w:val="none"/>
          <w:lang w:val="zh-CN"/>
        </w:rPr>
        <w:t>）</w:t>
      </w:r>
      <w:r>
        <w:rPr>
          <w:rFonts w:eastAsia="楷体_GB2312"/>
          <w:b w:val="0"/>
          <w:bCs w:val="0"/>
          <w:sz w:val="32"/>
          <w:szCs w:val="32"/>
          <w:highlight w:val="none"/>
          <w:lang w:val="zh-CN"/>
        </w:rPr>
        <w:t>绩效结果应用情况</w:t>
      </w:r>
    </w:p>
    <w:p w14:paraId="1755170A">
      <w:pPr>
        <w:keepNext w:val="0"/>
        <w:keepLines w:val="0"/>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我单位严格按照预算执行进度进行资金使用管理，中期进行评估，“三公”经费严格按照预算执行，做到对资金的有效管理。</w:t>
      </w:r>
    </w:p>
    <w:p w14:paraId="2F33B918">
      <w:pPr>
        <w:keepNext w:val="0"/>
        <w:keepLines w:val="0"/>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本单位对所有项目都进行严格管理，比如：严格按照政策进行采购、资产管理、内控制度管理、信息公开、绩效评价及依法接受财政监督情况等。</w:t>
      </w:r>
    </w:p>
    <w:p w14:paraId="75F15551">
      <w:pPr>
        <w:keepNext w:val="0"/>
        <w:keepLines w:val="0"/>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zh-CN" w:eastAsia="zh-CN"/>
        </w:rPr>
        <w:t>我单位将评价结果作为预算安排的重要依据，参照项目年度预算执行情况“三年滚动规划”执行情况统筹项目支出需求，保障重点支出，调整支出结构，优化财政资金配置，不断强化绩效理念，推动部门整体绩效管理水平不断提升。</w:t>
      </w:r>
      <w:r>
        <w:rPr>
          <w:rFonts w:hint="eastAsia" w:ascii="仿宋_GB2312" w:hAnsi="仿宋_GB2312" w:eastAsia="仿宋_GB2312" w:cs="仿宋_GB2312"/>
          <w:sz w:val="32"/>
          <w:szCs w:val="32"/>
          <w:lang w:val="en-US" w:eastAsia="zh-CN"/>
        </w:rPr>
        <w:t>我办2025年绩效评价得分96分。</w:t>
      </w:r>
    </w:p>
    <w:p w14:paraId="04BB7732">
      <w:pPr>
        <w:keepNext w:val="0"/>
        <w:keepLines w:val="0"/>
        <w:pageBreakBefore w:val="0"/>
        <w:widowControl/>
        <w:kinsoku/>
        <w:wordWrap/>
        <w:overflowPunct/>
        <w:topLinePunct w:val="0"/>
        <w:bidi w:val="0"/>
        <w:adjustRightInd w:val="0"/>
        <w:snapToGrid w:val="0"/>
        <w:spacing w:line="560" w:lineRule="exact"/>
        <w:ind w:firstLine="640" w:firstLineChars="200"/>
        <w:contextualSpacing/>
        <w:jc w:val="left"/>
        <w:textAlignment w:val="auto"/>
        <w:rPr>
          <w:rFonts w:eastAsia="黑体"/>
          <w:color w:val="000000"/>
          <w:kern w:val="0"/>
          <w:sz w:val="32"/>
          <w:szCs w:val="32"/>
          <w:shd w:val="clear" w:color="auto" w:fill="FFFFFF"/>
        </w:rPr>
      </w:pPr>
      <w:r>
        <w:rPr>
          <w:rFonts w:eastAsia="黑体"/>
          <w:color w:val="000000"/>
          <w:kern w:val="0"/>
          <w:sz w:val="32"/>
          <w:szCs w:val="32"/>
          <w:shd w:val="clear" w:color="auto" w:fill="FFFFFF"/>
        </w:rPr>
        <w:t>四、评价结论及建议</w:t>
      </w:r>
    </w:p>
    <w:p w14:paraId="5A2430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eastAsia="楷体_GB2312"/>
          <w:b w:val="0"/>
          <w:bCs w:val="0"/>
          <w:color w:val="000000"/>
          <w:kern w:val="0"/>
          <w:sz w:val="32"/>
          <w:szCs w:val="32"/>
          <w:shd w:val="clear" w:color="auto" w:fill="FFFFFF"/>
          <w:lang w:val="zh-CN"/>
        </w:rPr>
      </w:pPr>
      <w:r>
        <w:rPr>
          <w:rFonts w:eastAsia="楷体_GB2312"/>
          <w:b w:val="0"/>
          <w:bCs w:val="0"/>
          <w:color w:val="000000"/>
          <w:kern w:val="0"/>
          <w:sz w:val="32"/>
          <w:szCs w:val="32"/>
          <w:shd w:val="clear" w:color="auto" w:fill="FFFFFF"/>
          <w:lang w:val="zh-CN"/>
        </w:rPr>
        <w:t>（一）评价结论</w:t>
      </w:r>
    </w:p>
    <w:p w14:paraId="147D849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b w:val="0"/>
          <w:bCs w:val="0"/>
          <w:sz w:val="32"/>
          <w:szCs w:val="32"/>
          <w:lang w:val="zh-CN"/>
        </w:rPr>
      </w:pPr>
      <w:r>
        <w:rPr>
          <w:rFonts w:hint="eastAsia" w:ascii="仿宋_GB2312" w:hAnsi="仿宋_GB2312" w:eastAsia="仿宋_GB2312" w:cs="仿宋_GB2312"/>
          <w:b w:val="0"/>
          <w:bCs w:val="0"/>
          <w:color w:val="000000"/>
          <w:kern w:val="2"/>
          <w:sz w:val="32"/>
          <w:szCs w:val="32"/>
          <w:lang w:val="en-US" w:eastAsia="zh-CN" w:bidi="ar"/>
        </w:rPr>
        <w:t>根据我办整体支出情况的自查和自评，结论为：我办整体支出情况合法、合规。严格执行法律、政策、科学分配、有效使用、严密管理，有力地促进了我办各项工作顺利完成和各项目标的实现，建立了我办财务管理制度、公务接待制度、车辆管理制度、财务公开制度等。严格按照相关制度进行财务核算，做到资金专款专用，资金支付依据和开支标准合规合法。并按照规定编制决算，审核汇总后报财政部门审批。加强决算审核和分析，规范决算管理工作，保证决算数据的完整、真实、准确。</w:t>
      </w:r>
    </w:p>
    <w:p w14:paraId="7BC8E786">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eastAsia="楷体_GB2312"/>
          <w:b w:val="0"/>
          <w:bCs w:val="0"/>
          <w:color w:val="000000"/>
          <w:kern w:val="0"/>
          <w:sz w:val="32"/>
          <w:szCs w:val="32"/>
          <w:shd w:val="clear" w:color="auto" w:fill="FFFFFF"/>
          <w:lang w:val="zh-CN"/>
        </w:rPr>
      </w:pPr>
      <w:r>
        <w:rPr>
          <w:rFonts w:eastAsia="楷体_GB2312"/>
          <w:b w:val="0"/>
          <w:bCs w:val="0"/>
          <w:color w:val="000000"/>
          <w:kern w:val="0"/>
          <w:sz w:val="32"/>
          <w:szCs w:val="32"/>
          <w:shd w:val="clear" w:color="auto" w:fill="FFFFFF"/>
          <w:lang w:val="zh-CN"/>
        </w:rPr>
        <w:t>存在问题</w:t>
      </w:r>
    </w:p>
    <w:p w14:paraId="280E4545">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仿宋_GB2312" w:hAnsi="仿宋_GB2312" w:eastAsia="仿宋_GB2312" w:cs="仿宋_GB2312"/>
          <w:b w:val="0"/>
          <w:bCs w:val="0"/>
          <w:color w:val="000000"/>
          <w:kern w:val="2"/>
          <w:sz w:val="32"/>
          <w:szCs w:val="32"/>
          <w:lang w:val="en-US" w:eastAsia="zh-CN" w:bidi="ar"/>
        </w:rPr>
      </w:pPr>
      <w:r>
        <w:rPr>
          <w:rFonts w:hint="eastAsia" w:ascii="仿宋_GB2312" w:hAnsi="仿宋_GB2312" w:eastAsia="仿宋_GB2312" w:cs="仿宋_GB2312"/>
          <w:b w:val="0"/>
          <w:bCs w:val="0"/>
          <w:color w:val="000000"/>
          <w:kern w:val="2"/>
          <w:sz w:val="32"/>
          <w:szCs w:val="32"/>
          <w:lang w:val="en-US" w:eastAsia="zh-CN" w:bidi="ar"/>
        </w:rPr>
        <w:t>编制单位预算，应当综合考虑年度工作计划和相应支出需求，做到准确无误。</w:t>
      </w:r>
    </w:p>
    <w:p w14:paraId="4DCD0E22">
      <w:pPr>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eastAsia="楷体_GB2312"/>
          <w:b w:val="0"/>
          <w:bCs w:val="0"/>
          <w:color w:val="000000"/>
          <w:kern w:val="0"/>
          <w:sz w:val="32"/>
          <w:szCs w:val="32"/>
          <w:shd w:val="clear" w:color="auto" w:fill="FFFFFF"/>
          <w:lang w:val="zh-CN"/>
        </w:rPr>
      </w:pPr>
      <w:r>
        <w:rPr>
          <w:rFonts w:eastAsia="楷体_GB2312"/>
          <w:b w:val="0"/>
          <w:bCs w:val="0"/>
          <w:color w:val="000000"/>
          <w:kern w:val="0"/>
          <w:sz w:val="32"/>
          <w:szCs w:val="32"/>
          <w:shd w:val="clear" w:color="auto" w:fill="FFFFFF"/>
          <w:lang w:val="zh-CN"/>
        </w:rPr>
        <w:t>改进建议</w:t>
      </w:r>
    </w:p>
    <w:p w14:paraId="2F9B1C58">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Chars="200" w:right="0" w:rightChars="0" w:firstLine="640" w:firstLineChars="200"/>
        <w:jc w:val="both"/>
        <w:textAlignment w:val="auto"/>
        <w:rPr>
          <w:rFonts w:hint="eastAsia" w:ascii="仿宋_GB2312" w:hAnsi="仿宋_GB2312" w:eastAsia="仿宋_GB2312" w:cs="仿宋_GB2312"/>
          <w:color w:val="000000"/>
          <w:kern w:val="2"/>
          <w:sz w:val="32"/>
          <w:szCs w:val="32"/>
          <w:lang w:val="zh-CN" w:eastAsia="zh-CN" w:bidi="ar"/>
        </w:rPr>
      </w:pPr>
      <w:r>
        <w:rPr>
          <w:rFonts w:hint="eastAsia" w:ascii="仿宋_GB2312" w:hAnsi="仿宋_GB2312" w:eastAsia="仿宋_GB2312" w:cs="仿宋_GB2312"/>
          <w:b w:val="0"/>
          <w:bCs w:val="0"/>
          <w:color w:val="000000"/>
          <w:kern w:val="2"/>
          <w:sz w:val="32"/>
          <w:szCs w:val="32"/>
          <w:lang w:val="zh-CN" w:eastAsia="zh-CN" w:bidi="ar"/>
        </w:rPr>
        <w:t>根据</w:t>
      </w:r>
      <w:r>
        <w:rPr>
          <w:rFonts w:hint="eastAsia" w:ascii="仿宋_GB2312" w:hAnsi="仿宋_GB2312" w:eastAsia="仿宋_GB2312" w:cs="仿宋_GB2312"/>
          <w:b w:val="0"/>
          <w:bCs w:val="0"/>
          <w:color w:val="000000"/>
          <w:kern w:val="2"/>
          <w:sz w:val="32"/>
          <w:szCs w:val="32"/>
          <w:lang w:val="en-US" w:eastAsia="zh-CN" w:bidi="ar"/>
        </w:rPr>
        <w:t>我办</w:t>
      </w:r>
      <w:r>
        <w:rPr>
          <w:rFonts w:hint="eastAsia" w:ascii="仿宋_GB2312" w:hAnsi="仿宋_GB2312" w:eastAsia="仿宋_GB2312" w:cs="仿宋_GB2312"/>
          <w:b w:val="0"/>
          <w:bCs w:val="0"/>
          <w:color w:val="000000"/>
          <w:kern w:val="2"/>
          <w:sz w:val="32"/>
          <w:szCs w:val="32"/>
          <w:lang w:val="zh-CN" w:eastAsia="zh-CN" w:bidi="ar"/>
        </w:rPr>
        <w:t>年初工作计划，按照中央和省、州的各项工作部署积极履职，强化管理，</w:t>
      </w:r>
      <w:r>
        <w:rPr>
          <w:rFonts w:hint="eastAsia" w:ascii="仿宋_GB2312" w:hAnsi="仿宋_GB2312" w:eastAsia="仿宋_GB2312" w:cs="仿宋_GB2312"/>
          <w:color w:val="000000"/>
          <w:kern w:val="2"/>
          <w:sz w:val="32"/>
          <w:szCs w:val="32"/>
          <w:lang w:val="zh-CN" w:eastAsia="zh-CN" w:bidi="ar"/>
        </w:rPr>
        <w:t>较好的完成了年度工作目标。通过加强预算收支管理，不断建立健全内部管理制度，梳理内部管理流程，单位整体支出管理情况得到提升。</w:t>
      </w:r>
    </w:p>
    <w:p w14:paraId="46B159EA">
      <w:pPr>
        <w:keepNext w:val="0"/>
        <w:keepLines w:val="0"/>
        <w:pageBreakBefore w:val="0"/>
        <w:kinsoku/>
        <w:wordWrap/>
        <w:overflowPunct/>
        <w:topLinePunct w:val="0"/>
        <w:bidi w:val="0"/>
        <w:spacing w:line="560" w:lineRule="exact"/>
        <w:ind w:firstLine="640" w:firstLineChars="200"/>
        <w:contextualSpacing/>
        <w:jc w:val="left"/>
        <w:textAlignment w:val="auto"/>
        <w:rPr>
          <w:rFonts w:eastAsia="黑体"/>
          <w:sz w:val="32"/>
          <w:szCs w:val="32"/>
        </w:rPr>
      </w:pPr>
    </w:p>
    <w:p w14:paraId="3749CD1C">
      <w:pPr>
        <w:spacing w:line="578" w:lineRule="exact"/>
        <w:jc w:val="left"/>
        <w:rPr>
          <w:rFonts w:eastAsia="黑体"/>
        </w:rPr>
      </w:pPr>
    </w:p>
    <w:p w14:paraId="2EBD7806">
      <w:pPr>
        <w:spacing w:line="578" w:lineRule="exact"/>
        <w:jc w:val="left"/>
        <w:rPr>
          <w:rFonts w:eastAsia="黑体"/>
        </w:rPr>
      </w:pPr>
    </w:p>
    <w:p w14:paraId="05A3E7CF">
      <w:pPr>
        <w:spacing w:line="578" w:lineRule="exact"/>
        <w:jc w:val="left"/>
        <w:rPr>
          <w:rFonts w:eastAsia="黑体"/>
        </w:rPr>
      </w:pPr>
    </w:p>
    <w:p w14:paraId="482B9853">
      <w:pPr>
        <w:spacing w:line="578" w:lineRule="exact"/>
        <w:jc w:val="left"/>
        <w:rPr>
          <w:rFonts w:eastAsia="黑体"/>
        </w:rPr>
      </w:pPr>
    </w:p>
    <w:p w14:paraId="045E276B">
      <w:pPr>
        <w:spacing w:line="578" w:lineRule="exact"/>
        <w:jc w:val="left"/>
        <w:rPr>
          <w:rFonts w:eastAsia="黑体"/>
        </w:rPr>
      </w:pPr>
    </w:p>
    <w:p w14:paraId="42C4168E">
      <w:pPr>
        <w:spacing w:line="578" w:lineRule="exact"/>
        <w:jc w:val="left"/>
        <w:rPr>
          <w:rFonts w:eastAsia="黑体"/>
        </w:rPr>
      </w:pPr>
    </w:p>
    <w:p w14:paraId="5126DA38">
      <w:pPr>
        <w:spacing w:line="578" w:lineRule="exact"/>
        <w:jc w:val="left"/>
        <w:rPr>
          <w:rFonts w:eastAsia="黑体"/>
        </w:rPr>
      </w:pPr>
    </w:p>
    <w:p w14:paraId="54CA1910">
      <w:pPr>
        <w:spacing w:line="578" w:lineRule="exact"/>
        <w:jc w:val="left"/>
        <w:rPr>
          <w:rFonts w:eastAsia="黑体"/>
        </w:rPr>
      </w:pPr>
    </w:p>
    <w:p w14:paraId="33C81ABB">
      <w:pPr>
        <w:spacing w:line="578" w:lineRule="exact"/>
        <w:jc w:val="left"/>
        <w:rPr>
          <w:rFonts w:eastAsia="黑体"/>
        </w:rPr>
      </w:pPr>
    </w:p>
    <w:p w14:paraId="486A2B9D">
      <w:pPr>
        <w:spacing w:line="578" w:lineRule="exact"/>
        <w:jc w:val="left"/>
        <w:rPr>
          <w:rFonts w:eastAsia="黑体"/>
        </w:rPr>
      </w:pPr>
    </w:p>
    <w:p w14:paraId="58C4A767">
      <w:pPr>
        <w:spacing w:line="578" w:lineRule="exact"/>
        <w:jc w:val="left"/>
        <w:rPr>
          <w:rFonts w:eastAsia="黑体"/>
        </w:rPr>
      </w:pPr>
    </w:p>
    <w:p w14:paraId="2769D8D3">
      <w:pPr>
        <w:spacing w:line="578" w:lineRule="exact"/>
        <w:jc w:val="left"/>
        <w:rPr>
          <w:rFonts w:eastAsia="黑体"/>
        </w:rPr>
      </w:pPr>
    </w:p>
    <w:p w14:paraId="21EEA8B0">
      <w:pPr>
        <w:spacing w:line="578" w:lineRule="exact"/>
        <w:jc w:val="left"/>
        <w:rPr>
          <w:rFonts w:eastAsia="黑体"/>
        </w:rPr>
      </w:pPr>
    </w:p>
    <w:p w14:paraId="125D11CD">
      <w:pPr>
        <w:spacing w:line="578" w:lineRule="exact"/>
        <w:jc w:val="left"/>
        <w:rPr>
          <w:rFonts w:eastAsia="黑体"/>
        </w:rPr>
      </w:pPr>
    </w:p>
    <w:p w14:paraId="4BF2C36B">
      <w:pPr>
        <w:spacing w:line="578" w:lineRule="exact"/>
        <w:jc w:val="left"/>
        <w:rPr>
          <w:rFonts w:eastAsia="黑体"/>
        </w:rPr>
      </w:pPr>
    </w:p>
    <w:p w14:paraId="6089FD73">
      <w:pPr>
        <w:spacing w:line="578" w:lineRule="exact"/>
        <w:jc w:val="left"/>
        <w:rPr>
          <w:rFonts w:eastAsia="黑体"/>
        </w:rPr>
      </w:pPr>
      <w:r>
        <w:rPr>
          <w:rFonts w:eastAsia="黑体"/>
        </w:rPr>
        <w:t>附表</w:t>
      </w:r>
      <w:r>
        <w:rPr>
          <w:rFonts w:hint="eastAsia" w:eastAsia="黑体"/>
        </w:rPr>
        <w:t>1</w:t>
      </w:r>
    </w:p>
    <w:p w14:paraId="7AC3C366">
      <w:pPr>
        <w:widowControl/>
        <w:spacing w:line="600" w:lineRule="exact"/>
        <w:jc w:val="center"/>
        <w:textAlignment w:val="center"/>
        <w:rPr>
          <w:rFonts w:eastAsia="方正小标宋简体"/>
          <w:i w:val="0"/>
          <w:iCs w:val="0"/>
          <w:color w:val="000000"/>
          <w:kern w:val="0"/>
          <w:sz w:val="44"/>
          <w:szCs w:val="44"/>
        </w:rPr>
      </w:pPr>
      <w:r>
        <w:rPr>
          <w:rFonts w:hint="eastAsia" w:eastAsia="方正小标宋简体"/>
          <w:i w:val="0"/>
          <w:iCs w:val="0"/>
          <w:color w:val="000000"/>
          <w:kern w:val="0"/>
          <w:sz w:val="44"/>
          <w:szCs w:val="44"/>
        </w:rPr>
        <w:t>部门预算绩效自评打分表</w:t>
      </w:r>
    </w:p>
    <w:tbl>
      <w:tblPr>
        <w:tblStyle w:val="19"/>
        <w:tblW w:w="10912" w:type="dxa"/>
        <w:jc w:val="center"/>
        <w:tblLayout w:type="fixed"/>
        <w:tblCellMar>
          <w:top w:w="0" w:type="dxa"/>
          <w:left w:w="108" w:type="dxa"/>
          <w:bottom w:w="0" w:type="dxa"/>
          <w:right w:w="108" w:type="dxa"/>
        </w:tblCellMar>
      </w:tblPr>
      <w:tblGrid>
        <w:gridCol w:w="1097"/>
        <w:gridCol w:w="1201"/>
        <w:gridCol w:w="1929"/>
        <w:gridCol w:w="717"/>
        <w:gridCol w:w="4760"/>
        <w:gridCol w:w="730"/>
        <w:gridCol w:w="478"/>
      </w:tblGrid>
      <w:tr w14:paraId="7D83BF03">
        <w:tblPrEx>
          <w:tblCellMar>
            <w:top w:w="0" w:type="dxa"/>
            <w:left w:w="108" w:type="dxa"/>
            <w:bottom w:w="0" w:type="dxa"/>
            <w:right w:w="108" w:type="dxa"/>
          </w:tblCellMar>
        </w:tblPrEx>
        <w:trPr>
          <w:trHeight w:val="23" w:hRule="atLeast"/>
          <w:jc w:val="center"/>
        </w:trPr>
        <w:tc>
          <w:tcPr>
            <w:tcW w:w="494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5C95FD1">
            <w:pPr>
              <w:widowControl/>
              <w:spacing w:line="240" w:lineRule="exact"/>
              <w:jc w:val="center"/>
              <w:textAlignment w:val="center"/>
              <w:rPr>
                <w:rFonts w:hint="eastAsia" w:ascii="仿宋_GB2312" w:hAnsi="仿宋_GB2312" w:eastAsia="仿宋_GB2312" w:cs="仿宋_GB2312"/>
                <w:i w:val="0"/>
                <w:iCs w:val="0"/>
                <w:color w:val="000000"/>
                <w:sz w:val="24"/>
                <w:szCs w:val="24"/>
              </w:rPr>
            </w:pPr>
            <w:r>
              <w:rPr>
                <w:rFonts w:hint="eastAsia" w:ascii="仿宋_GB2312" w:hAnsi="仿宋_GB2312" w:eastAsia="仿宋_GB2312" w:cs="仿宋_GB2312"/>
                <w:i w:val="0"/>
                <w:iCs w:val="0"/>
                <w:color w:val="000000"/>
                <w:kern w:val="0"/>
                <w:sz w:val="24"/>
                <w:szCs w:val="24"/>
              </w:rPr>
              <w:t>绩效评价指标指标分值</w:t>
            </w:r>
          </w:p>
        </w:tc>
        <w:tc>
          <w:tcPr>
            <w:tcW w:w="47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5126CC">
            <w:pPr>
              <w:widowControl/>
              <w:spacing w:line="240" w:lineRule="exact"/>
              <w:jc w:val="center"/>
              <w:textAlignment w:val="center"/>
              <w:rPr>
                <w:rFonts w:hint="eastAsia" w:ascii="仿宋_GB2312" w:hAnsi="仿宋_GB2312" w:eastAsia="仿宋_GB2312" w:cs="仿宋_GB2312"/>
                <w:i w:val="0"/>
                <w:iCs w:val="0"/>
                <w:color w:val="000000"/>
                <w:sz w:val="24"/>
                <w:szCs w:val="24"/>
              </w:rPr>
            </w:pPr>
            <w:r>
              <w:rPr>
                <w:rFonts w:hint="eastAsia" w:ascii="仿宋_GB2312" w:hAnsi="仿宋_GB2312" w:eastAsia="仿宋_GB2312" w:cs="仿宋_GB2312"/>
                <w:i w:val="0"/>
                <w:iCs w:val="0"/>
                <w:color w:val="000000"/>
                <w:kern w:val="0"/>
                <w:sz w:val="24"/>
                <w:szCs w:val="24"/>
              </w:rPr>
              <w:t>指标解释</w:t>
            </w:r>
          </w:p>
        </w:tc>
        <w:tc>
          <w:tcPr>
            <w:tcW w:w="730" w:type="dxa"/>
            <w:vMerge w:val="restart"/>
            <w:tcBorders>
              <w:top w:val="single" w:color="000000" w:sz="4" w:space="0"/>
              <w:left w:val="single" w:color="000000" w:sz="4" w:space="0"/>
              <w:right w:val="single" w:color="000000" w:sz="4" w:space="0"/>
            </w:tcBorders>
            <w:shd w:val="clear" w:color="auto" w:fill="auto"/>
            <w:vAlign w:val="center"/>
          </w:tcPr>
          <w:p w14:paraId="109CFC4E">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rPr>
              <w:t>自评得分</w:t>
            </w:r>
          </w:p>
        </w:tc>
        <w:tc>
          <w:tcPr>
            <w:tcW w:w="478" w:type="dxa"/>
            <w:vMerge w:val="restart"/>
            <w:tcBorders>
              <w:top w:val="single" w:color="000000" w:sz="4" w:space="0"/>
              <w:left w:val="single" w:color="000000" w:sz="4" w:space="0"/>
              <w:right w:val="single" w:color="000000" w:sz="4" w:space="0"/>
            </w:tcBorders>
            <w:shd w:val="clear" w:color="auto" w:fill="auto"/>
            <w:vAlign w:val="center"/>
          </w:tcPr>
          <w:p w14:paraId="7B279071">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rPr>
              <w:t>备注</w:t>
            </w:r>
          </w:p>
        </w:tc>
      </w:tr>
      <w:tr w14:paraId="1C3A8E8B">
        <w:tblPrEx>
          <w:tblCellMar>
            <w:top w:w="0" w:type="dxa"/>
            <w:left w:w="108" w:type="dxa"/>
            <w:bottom w:w="0" w:type="dxa"/>
            <w:right w:w="108" w:type="dxa"/>
          </w:tblCellMar>
        </w:tblPrEx>
        <w:trPr>
          <w:trHeight w:val="23" w:hRule="atLeast"/>
          <w:jc w:val="center"/>
        </w:trPr>
        <w:tc>
          <w:tcPr>
            <w:tcW w:w="1097" w:type="dxa"/>
            <w:tcBorders>
              <w:top w:val="single" w:color="000000" w:sz="4" w:space="0"/>
              <w:left w:val="single" w:color="000000" w:sz="4" w:space="0"/>
              <w:bottom w:val="single" w:color="000000" w:sz="4" w:space="0"/>
              <w:right w:val="nil"/>
            </w:tcBorders>
            <w:shd w:val="clear" w:color="auto" w:fill="auto"/>
            <w:vAlign w:val="center"/>
          </w:tcPr>
          <w:p w14:paraId="333D03DE">
            <w:pPr>
              <w:widowControl/>
              <w:spacing w:line="240" w:lineRule="exact"/>
              <w:jc w:val="center"/>
              <w:textAlignment w:val="center"/>
              <w:rPr>
                <w:rFonts w:hint="eastAsia" w:ascii="仿宋_GB2312" w:hAnsi="仿宋_GB2312" w:eastAsia="仿宋_GB2312" w:cs="仿宋_GB2312"/>
                <w:i w:val="0"/>
                <w:iCs w:val="0"/>
                <w:color w:val="000000"/>
                <w:sz w:val="24"/>
                <w:szCs w:val="24"/>
              </w:rPr>
            </w:pPr>
            <w:r>
              <w:rPr>
                <w:rFonts w:hint="eastAsia" w:ascii="仿宋_GB2312" w:hAnsi="仿宋_GB2312" w:eastAsia="仿宋_GB2312" w:cs="仿宋_GB2312"/>
                <w:i w:val="0"/>
                <w:iCs w:val="0"/>
                <w:color w:val="000000"/>
                <w:kern w:val="0"/>
                <w:sz w:val="24"/>
                <w:szCs w:val="24"/>
              </w:rPr>
              <w:t>一级指标</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C7755">
            <w:pPr>
              <w:widowControl/>
              <w:spacing w:line="240" w:lineRule="exact"/>
              <w:jc w:val="center"/>
              <w:textAlignment w:val="center"/>
              <w:rPr>
                <w:rFonts w:hint="eastAsia" w:ascii="仿宋_GB2312" w:hAnsi="仿宋_GB2312" w:eastAsia="仿宋_GB2312" w:cs="仿宋_GB2312"/>
                <w:i w:val="0"/>
                <w:iCs w:val="0"/>
                <w:color w:val="000000"/>
                <w:sz w:val="24"/>
                <w:szCs w:val="24"/>
              </w:rPr>
            </w:pPr>
            <w:r>
              <w:rPr>
                <w:rFonts w:hint="eastAsia" w:ascii="仿宋_GB2312" w:hAnsi="仿宋_GB2312" w:eastAsia="仿宋_GB2312" w:cs="仿宋_GB2312"/>
                <w:i w:val="0"/>
                <w:iCs w:val="0"/>
                <w:color w:val="000000"/>
                <w:kern w:val="0"/>
                <w:sz w:val="24"/>
                <w:szCs w:val="24"/>
              </w:rPr>
              <w:t>二级指标</w:t>
            </w: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9B2E9">
            <w:pPr>
              <w:widowControl/>
              <w:spacing w:line="240" w:lineRule="exact"/>
              <w:jc w:val="center"/>
              <w:textAlignment w:val="center"/>
              <w:rPr>
                <w:rFonts w:hint="eastAsia" w:ascii="仿宋_GB2312" w:hAnsi="仿宋_GB2312" w:eastAsia="仿宋_GB2312" w:cs="仿宋_GB2312"/>
                <w:i w:val="0"/>
                <w:iCs w:val="0"/>
                <w:color w:val="000000"/>
                <w:sz w:val="24"/>
                <w:szCs w:val="24"/>
              </w:rPr>
            </w:pPr>
            <w:r>
              <w:rPr>
                <w:rFonts w:hint="eastAsia" w:ascii="仿宋_GB2312" w:hAnsi="仿宋_GB2312" w:eastAsia="仿宋_GB2312" w:cs="仿宋_GB2312"/>
                <w:i w:val="0"/>
                <w:iCs w:val="0"/>
                <w:color w:val="000000"/>
                <w:kern w:val="0"/>
                <w:sz w:val="24"/>
                <w:szCs w:val="24"/>
              </w:rPr>
              <w:t>三级指标</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AB0FE">
            <w:pPr>
              <w:widowControl/>
              <w:spacing w:line="240" w:lineRule="exact"/>
              <w:jc w:val="center"/>
              <w:textAlignment w:val="center"/>
              <w:rPr>
                <w:rFonts w:hint="eastAsia" w:ascii="仿宋_GB2312" w:hAnsi="仿宋_GB2312" w:eastAsia="仿宋_GB2312" w:cs="仿宋_GB2312"/>
                <w:i w:val="0"/>
                <w:iCs w:val="0"/>
                <w:color w:val="000000"/>
                <w:sz w:val="24"/>
                <w:szCs w:val="24"/>
              </w:rPr>
            </w:pPr>
            <w:r>
              <w:rPr>
                <w:rFonts w:hint="eastAsia" w:ascii="仿宋_GB2312" w:hAnsi="仿宋_GB2312" w:eastAsia="仿宋_GB2312" w:cs="仿宋_GB2312"/>
                <w:i w:val="0"/>
                <w:iCs w:val="0"/>
                <w:color w:val="000000"/>
                <w:kern w:val="0"/>
                <w:sz w:val="24"/>
                <w:szCs w:val="24"/>
              </w:rPr>
              <w:t>指标</w:t>
            </w:r>
            <w:r>
              <w:rPr>
                <w:rFonts w:hint="eastAsia" w:ascii="仿宋_GB2312" w:hAnsi="仿宋_GB2312" w:eastAsia="仿宋_GB2312" w:cs="仿宋_GB2312"/>
                <w:i w:val="0"/>
                <w:iCs w:val="0"/>
                <w:color w:val="000000"/>
                <w:kern w:val="0"/>
                <w:sz w:val="24"/>
                <w:szCs w:val="24"/>
              </w:rPr>
              <w:br w:type="textWrapping"/>
            </w:r>
            <w:r>
              <w:rPr>
                <w:rFonts w:hint="eastAsia" w:ascii="仿宋_GB2312" w:hAnsi="仿宋_GB2312" w:eastAsia="仿宋_GB2312" w:cs="仿宋_GB2312"/>
                <w:i w:val="0"/>
                <w:iCs w:val="0"/>
                <w:color w:val="000000"/>
                <w:kern w:val="0"/>
                <w:sz w:val="24"/>
                <w:szCs w:val="24"/>
              </w:rPr>
              <w:t>分值</w:t>
            </w:r>
          </w:p>
        </w:tc>
        <w:tc>
          <w:tcPr>
            <w:tcW w:w="47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601B81">
            <w:pPr>
              <w:widowControl/>
              <w:spacing w:line="240" w:lineRule="exact"/>
              <w:jc w:val="center"/>
              <w:rPr>
                <w:rFonts w:hint="eastAsia" w:ascii="仿宋_GB2312" w:hAnsi="仿宋_GB2312" w:eastAsia="仿宋_GB2312" w:cs="仿宋_GB2312"/>
                <w:i w:val="0"/>
                <w:iCs w:val="0"/>
                <w:color w:val="000000"/>
                <w:sz w:val="24"/>
                <w:szCs w:val="24"/>
              </w:rPr>
            </w:pPr>
          </w:p>
        </w:tc>
        <w:tc>
          <w:tcPr>
            <w:tcW w:w="730" w:type="dxa"/>
            <w:vMerge w:val="continue"/>
            <w:tcBorders>
              <w:left w:val="single" w:color="000000" w:sz="4" w:space="0"/>
              <w:bottom w:val="single" w:color="000000" w:sz="4" w:space="0"/>
              <w:right w:val="single" w:color="000000" w:sz="4" w:space="0"/>
            </w:tcBorders>
            <w:shd w:val="clear" w:color="auto" w:fill="auto"/>
            <w:vAlign w:val="center"/>
          </w:tcPr>
          <w:p w14:paraId="775F0763">
            <w:pPr>
              <w:widowControl/>
              <w:spacing w:line="240" w:lineRule="exact"/>
              <w:jc w:val="center"/>
              <w:rPr>
                <w:rFonts w:hint="eastAsia" w:ascii="仿宋_GB2312" w:hAnsi="仿宋_GB2312" w:eastAsia="仿宋_GB2312" w:cs="仿宋_GB2312"/>
                <w:i w:val="0"/>
                <w:iCs w:val="0"/>
                <w:color w:val="000000"/>
                <w:sz w:val="24"/>
                <w:szCs w:val="24"/>
              </w:rPr>
            </w:pPr>
          </w:p>
        </w:tc>
        <w:tc>
          <w:tcPr>
            <w:tcW w:w="478" w:type="dxa"/>
            <w:vMerge w:val="continue"/>
            <w:tcBorders>
              <w:left w:val="single" w:color="000000" w:sz="4" w:space="0"/>
              <w:bottom w:val="single" w:color="000000" w:sz="4" w:space="0"/>
              <w:right w:val="single" w:color="000000" w:sz="4" w:space="0"/>
            </w:tcBorders>
            <w:shd w:val="clear" w:color="auto" w:fill="auto"/>
            <w:vAlign w:val="center"/>
          </w:tcPr>
          <w:p w14:paraId="5585812F">
            <w:pPr>
              <w:widowControl/>
              <w:spacing w:line="240" w:lineRule="exact"/>
              <w:jc w:val="center"/>
              <w:rPr>
                <w:rFonts w:hint="eastAsia" w:ascii="仿宋_GB2312" w:hAnsi="仿宋_GB2312" w:eastAsia="仿宋_GB2312" w:cs="仿宋_GB2312"/>
                <w:i w:val="0"/>
                <w:iCs w:val="0"/>
                <w:color w:val="000000"/>
                <w:sz w:val="24"/>
                <w:szCs w:val="24"/>
              </w:rPr>
            </w:pPr>
          </w:p>
        </w:tc>
      </w:tr>
      <w:tr w14:paraId="508518E5">
        <w:tblPrEx>
          <w:tblCellMar>
            <w:top w:w="0" w:type="dxa"/>
            <w:left w:w="108" w:type="dxa"/>
            <w:bottom w:w="0" w:type="dxa"/>
            <w:right w:w="108" w:type="dxa"/>
          </w:tblCellMar>
        </w:tblPrEx>
        <w:trPr>
          <w:trHeight w:val="23" w:hRule="atLeast"/>
          <w:jc w:val="center"/>
        </w:trPr>
        <w:tc>
          <w:tcPr>
            <w:tcW w:w="1097" w:type="dxa"/>
            <w:vMerge w:val="restart"/>
            <w:tcBorders>
              <w:top w:val="single" w:color="000000" w:sz="4" w:space="0"/>
              <w:left w:val="single" w:color="000000" w:sz="4" w:space="0"/>
              <w:right w:val="single" w:color="000000" w:sz="4" w:space="0"/>
            </w:tcBorders>
            <w:shd w:val="clear" w:color="auto" w:fill="auto"/>
            <w:vAlign w:val="center"/>
          </w:tcPr>
          <w:p w14:paraId="576015CE">
            <w:pPr>
              <w:widowControl/>
              <w:spacing w:line="240" w:lineRule="exact"/>
              <w:jc w:val="center"/>
              <w:textAlignment w:val="center"/>
              <w:rPr>
                <w:rFonts w:hint="eastAsia" w:ascii="仿宋_GB2312" w:hAnsi="仿宋_GB2312" w:eastAsia="仿宋_GB2312" w:cs="仿宋_GB2312"/>
                <w:b/>
                <w:i w:val="0"/>
                <w:iCs w:val="0"/>
                <w:color w:val="000000"/>
                <w:sz w:val="24"/>
                <w:szCs w:val="24"/>
              </w:rPr>
            </w:pPr>
            <w:r>
              <w:rPr>
                <w:rFonts w:hint="eastAsia" w:ascii="仿宋_GB2312" w:hAnsi="仿宋_GB2312" w:eastAsia="仿宋_GB2312" w:cs="仿宋_GB2312"/>
                <w:b/>
                <w:i w:val="0"/>
                <w:iCs w:val="0"/>
                <w:color w:val="000000"/>
                <w:kern w:val="0"/>
                <w:sz w:val="24"/>
                <w:szCs w:val="24"/>
              </w:rPr>
              <w:t>总体绩效（65分）</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467D3">
            <w:pPr>
              <w:widowControl/>
              <w:spacing w:line="240" w:lineRule="exact"/>
              <w:jc w:val="center"/>
              <w:textAlignment w:val="center"/>
              <w:rPr>
                <w:rFonts w:hint="eastAsia" w:ascii="仿宋_GB2312" w:hAnsi="仿宋_GB2312" w:eastAsia="仿宋_GB2312" w:cs="仿宋_GB2312"/>
                <w:b/>
                <w:i w:val="0"/>
                <w:iCs w:val="0"/>
                <w:color w:val="000000"/>
                <w:sz w:val="24"/>
                <w:szCs w:val="24"/>
              </w:rPr>
            </w:pPr>
            <w:r>
              <w:rPr>
                <w:rFonts w:hint="eastAsia" w:ascii="仿宋_GB2312" w:hAnsi="仿宋_GB2312" w:eastAsia="仿宋_GB2312" w:cs="仿宋_GB2312"/>
                <w:b/>
                <w:i w:val="0"/>
                <w:iCs w:val="0"/>
                <w:color w:val="000000"/>
                <w:kern w:val="0"/>
                <w:sz w:val="24"/>
                <w:szCs w:val="24"/>
              </w:rPr>
              <w:t>履职效能</w:t>
            </w:r>
            <w:r>
              <w:rPr>
                <w:rFonts w:hint="eastAsia" w:ascii="仿宋_GB2312" w:hAnsi="仿宋_GB2312" w:eastAsia="仿宋_GB2312" w:cs="仿宋_GB2312"/>
                <w:b/>
                <w:i w:val="0"/>
                <w:iCs w:val="0"/>
                <w:color w:val="000000"/>
                <w:kern w:val="0"/>
                <w:sz w:val="24"/>
                <w:szCs w:val="24"/>
              </w:rPr>
              <w:br w:type="textWrapping"/>
            </w:r>
            <w:r>
              <w:rPr>
                <w:rFonts w:hint="eastAsia" w:ascii="仿宋_GB2312" w:hAnsi="仿宋_GB2312" w:eastAsia="仿宋_GB2312" w:cs="仿宋_GB2312"/>
                <w:b/>
                <w:i w:val="0"/>
                <w:iCs w:val="0"/>
                <w:color w:val="000000"/>
                <w:kern w:val="0"/>
                <w:sz w:val="24"/>
                <w:szCs w:val="24"/>
              </w:rPr>
              <w:t>（15分）</w:t>
            </w: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DCDB5">
            <w:pPr>
              <w:widowControl/>
              <w:spacing w:line="240" w:lineRule="exact"/>
              <w:jc w:val="center"/>
              <w:textAlignment w:val="center"/>
              <w:rPr>
                <w:rFonts w:hint="eastAsia" w:ascii="仿宋_GB2312" w:hAnsi="仿宋_GB2312" w:eastAsia="仿宋_GB2312" w:cs="仿宋_GB2312"/>
                <w:i w:val="0"/>
                <w:iCs w:val="0"/>
                <w:color w:val="000000"/>
                <w:sz w:val="24"/>
                <w:szCs w:val="24"/>
              </w:rPr>
            </w:pPr>
            <w:r>
              <w:rPr>
                <w:rFonts w:hint="eastAsia" w:ascii="仿宋_GB2312" w:hAnsi="仿宋_GB2312" w:eastAsia="仿宋_GB2312" w:cs="仿宋_GB2312"/>
                <w:i w:val="0"/>
                <w:iCs w:val="0"/>
                <w:color w:val="000000"/>
                <w:kern w:val="0"/>
                <w:sz w:val="24"/>
                <w:szCs w:val="24"/>
              </w:rPr>
              <w:t>XX履职效果</w:t>
            </w:r>
          </w:p>
        </w:tc>
        <w:tc>
          <w:tcPr>
            <w:tcW w:w="717" w:type="dxa"/>
            <w:tcBorders>
              <w:top w:val="nil"/>
              <w:left w:val="single" w:color="000000" w:sz="4" w:space="0"/>
              <w:bottom w:val="single" w:color="000000" w:sz="4" w:space="0"/>
              <w:right w:val="single" w:color="000000" w:sz="4" w:space="0"/>
            </w:tcBorders>
            <w:shd w:val="clear" w:color="auto" w:fill="auto"/>
            <w:vAlign w:val="center"/>
          </w:tcPr>
          <w:p w14:paraId="4206FFF1">
            <w:pPr>
              <w:widowControl/>
              <w:spacing w:line="240" w:lineRule="exact"/>
              <w:jc w:val="center"/>
              <w:textAlignment w:val="center"/>
              <w:rPr>
                <w:rFonts w:hint="eastAsia" w:ascii="仿宋_GB2312" w:hAnsi="仿宋_GB2312" w:eastAsia="仿宋_GB2312" w:cs="仿宋_GB2312"/>
                <w:i w:val="0"/>
                <w:iCs w:val="0"/>
                <w:color w:val="000000"/>
                <w:sz w:val="24"/>
                <w:szCs w:val="24"/>
              </w:rPr>
            </w:pPr>
            <w:r>
              <w:rPr>
                <w:rFonts w:hint="eastAsia" w:ascii="仿宋_GB2312" w:hAnsi="仿宋_GB2312" w:eastAsia="仿宋_GB2312" w:cs="仿宋_GB2312"/>
                <w:i w:val="0"/>
                <w:iCs w:val="0"/>
                <w:color w:val="000000"/>
                <w:kern w:val="0"/>
                <w:sz w:val="24"/>
                <w:szCs w:val="24"/>
              </w:rPr>
              <w:t>15</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4F49E">
            <w:pPr>
              <w:widowControl/>
              <w:spacing w:line="240" w:lineRule="exact"/>
              <w:jc w:val="left"/>
              <w:textAlignment w:val="center"/>
              <w:rPr>
                <w:rFonts w:hint="eastAsia" w:ascii="仿宋_GB2312" w:hAnsi="仿宋_GB2312" w:eastAsia="仿宋_GB2312" w:cs="仿宋_GB2312"/>
                <w:i w:val="0"/>
                <w:iCs w:val="0"/>
                <w:color w:val="000000"/>
                <w:sz w:val="24"/>
                <w:szCs w:val="24"/>
              </w:rPr>
            </w:pPr>
            <w:r>
              <w:rPr>
                <w:rFonts w:hint="eastAsia" w:ascii="仿宋_GB2312" w:hAnsi="仿宋_GB2312" w:eastAsia="仿宋_GB2312" w:cs="仿宋_GB2312"/>
                <w:i w:val="0"/>
                <w:iCs w:val="0"/>
                <w:color w:val="000000"/>
                <w:kern w:val="0"/>
                <w:sz w:val="24"/>
                <w:szCs w:val="24"/>
              </w:rPr>
              <w:t>部门整体绩效目标中选定3-5个核心职能目标，反映该项职能目标完成效果情况</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E4FF9">
            <w:pPr>
              <w:widowControl/>
              <w:spacing w:line="240" w:lineRule="exact"/>
              <w:jc w:val="left"/>
              <w:textAlignment w:val="center"/>
              <w:rPr>
                <w:rFonts w:hint="eastAsia" w:ascii="仿宋_GB2312" w:hAnsi="仿宋_GB2312" w:eastAsia="仿宋_GB2312" w:cs="仿宋_GB2312"/>
                <w:i w:val="0"/>
                <w:iCs w:val="0"/>
                <w:color w:val="000000"/>
                <w:kern w:val="0"/>
                <w:sz w:val="24"/>
                <w:szCs w:val="24"/>
                <w:lang w:val="en-US" w:eastAsia="zh-CN" w:bidi="ar"/>
              </w:rPr>
            </w:pPr>
            <w:r>
              <w:rPr>
                <w:rFonts w:hint="eastAsia" w:ascii="仿宋_GB2312" w:hAnsi="仿宋_GB2312" w:eastAsia="仿宋_GB2312" w:cs="仿宋_GB2312"/>
                <w:i w:val="0"/>
                <w:iCs w:val="0"/>
                <w:color w:val="000000"/>
                <w:kern w:val="0"/>
                <w:sz w:val="24"/>
                <w:szCs w:val="24"/>
                <w:lang w:val="en-US" w:eastAsia="zh-CN" w:bidi="ar"/>
              </w:rPr>
              <w:t>15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A4829">
            <w:pPr>
              <w:widowControl/>
              <w:spacing w:line="240" w:lineRule="exact"/>
              <w:jc w:val="left"/>
              <w:textAlignment w:val="center"/>
              <w:rPr>
                <w:rFonts w:hint="eastAsia" w:ascii="仿宋_GB2312" w:hAnsi="仿宋_GB2312" w:eastAsia="仿宋_GB2312" w:cs="仿宋_GB2312"/>
                <w:i w:val="0"/>
                <w:iCs w:val="0"/>
                <w:color w:val="000000"/>
                <w:kern w:val="0"/>
                <w:sz w:val="24"/>
                <w:szCs w:val="24"/>
              </w:rPr>
            </w:pPr>
          </w:p>
        </w:tc>
      </w:tr>
      <w:tr w14:paraId="468F24DD">
        <w:tblPrEx>
          <w:tblCellMar>
            <w:top w:w="0" w:type="dxa"/>
            <w:left w:w="108" w:type="dxa"/>
            <w:bottom w:w="0" w:type="dxa"/>
            <w:right w:w="108" w:type="dxa"/>
          </w:tblCellMar>
        </w:tblPrEx>
        <w:trPr>
          <w:trHeight w:val="23" w:hRule="atLeast"/>
          <w:jc w:val="center"/>
        </w:trPr>
        <w:tc>
          <w:tcPr>
            <w:tcW w:w="1097" w:type="dxa"/>
            <w:vMerge w:val="continue"/>
            <w:tcBorders>
              <w:left w:val="single" w:color="000000" w:sz="4" w:space="0"/>
              <w:right w:val="single" w:color="000000" w:sz="4" w:space="0"/>
            </w:tcBorders>
            <w:shd w:val="clear" w:color="auto" w:fill="auto"/>
            <w:vAlign w:val="center"/>
          </w:tcPr>
          <w:p w14:paraId="02D29E9B">
            <w:pPr>
              <w:widowControl/>
              <w:spacing w:line="240" w:lineRule="exact"/>
              <w:jc w:val="center"/>
              <w:rPr>
                <w:rFonts w:hint="eastAsia" w:ascii="仿宋_GB2312" w:hAnsi="仿宋_GB2312" w:eastAsia="仿宋_GB2312" w:cs="仿宋_GB2312"/>
                <w:b/>
                <w:i w:val="0"/>
                <w:iCs w:val="0"/>
                <w:color w:val="000000"/>
                <w:sz w:val="24"/>
                <w:szCs w:val="24"/>
              </w:rPr>
            </w:pPr>
          </w:p>
        </w:tc>
        <w:tc>
          <w:tcPr>
            <w:tcW w:w="1201" w:type="dxa"/>
            <w:vMerge w:val="restart"/>
            <w:tcBorders>
              <w:top w:val="single" w:color="000000" w:sz="4" w:space="0"/>
              <w:left w:val="single" w:color="000000" w:sz="4" w:space="0"/>
              <w:right w:val="single" w:color="000000" w:sz="4" w:space="0"/>
            </w:tcBorders>
            <w:shd w:val="clear" w:color="auto" w:fill="auto"/>
            <w:vAlign w:val="center"/>
          </w:tcPr>
          <w:p w14:paraId="31E49D04">
            <w:pPr>
              <w:widowControl/>
              <w:spacing w:line="240" w:lineRule="exact"/>
              <w:jc w:val="center"/>
              <w:textAlignment w:val="center"/>
              <w:rPr>
                <w:rFonts w:hint="eastAsia" w:ascii="仿宋_GB2312" w:hAnsi="仿宋_GB2312" w:eastAsia="仿宋_GB2312" w:cs="仿宋_GB2312"/>
                <w:b/>
                <w:i w:val="0"/>
                <w:iCs w:val="0"/>
                <w:color w:val="000000"/>
                <w:sz w:val="24"/>
                <w:szCs w:val="24"/>
              </w:rPr>
            </w:pPr>
            <w:r>
              <w:rPr>
                <w:rFonts w:hint="eastAsia" w:ascii="仿宋_GB2312" w:hAnsi="仿宋_GB2312" w:eastAsia="仿宋_GB2312" w:cs="仿宋_GB2312"/>
                <w:b/>
                <w:i w:val="0"/>
                <w:iCs w:val="0"/>
                <w:color w:val="000000"/>
                <w:kern w:val="0"/>
                <w:sz w:val="24"/>
                <w:szCs w:val="24"/>
              </w:rPr>
              <w:t>预算管理</w:t>
            </w:r>
            <w:r>
              <w:rPr>
                <w:rFonts w:hint="eastAsia" w:ascii="仿宋_GB2312" w:hAnsi="仿宋_GB2312" w:eastAsia="仿宋_GB2312" w:cs="仿宋_GB2312"/>
                <w:b/>
                <w:i w:val="0"/>
                <w:iCs w:val="0"/>
                <w:color w:val="000000"/>
                <w:kern w:val="0"/>
                <w:sz w:val="24"/>
                <w:szCs w:val="24"/>
              </w:rPr>
              <w:br w:type="textWrapping"/>
            </w:r>
            <w:r>
              <w:rPr>
                <w:rFonts w:hint="eastAsia" w:ascii="仿宋_GB2312" w:hAnsi="仿宋_GB2312" w:eastAsia="仿宋_GB2312" w:cs="仿宋_GB2312"/>
                <w:b/>
                <w:i w:val="0"/>
                <w:iCs w:val="0"/>
                <w:color w:val="000000"/>
                <w:kern w:val="0"/>
                <w:sz w:val="24"/>
                <w:szCs w:val="24"/>
              </w:rPr>
              <w:t>（25分）</w:t>
            </w: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42C90">
            <w:pPr>
              <w:widowControl/>
              <w:spacing w:line="240" w:lineRule="exact"/>
              <w:jc w:val="center"/>
              <w:textAlignment w:val="center"/>
              <w:rPr>
                <w:rFonts w:hint="eastAsia" w:ascii="仿宋_GB2312" w:hAnsi="仿宋_GB2312" w:eastAsia="仿宋_GB2312" w:cs="仿宋_GB2312"/>
                <w:i w:val="0"/>
                <w:iCs w:val="0"/>
                <w:color w:val="000000"/>
                <w:sz w:val="24"/>
                <w:szCs w:val="24"/>
              </w:rPr>
            </w:pPr>
            <w:r>
              <w:rPr>
                <w:rFonts w:hint="eastAsia" w:ascii="仿宋_GB2312" w:hAnsi="仿宋_GB2312" w:eastAsia="仿宋_GB2312" w:cs="仿宋_GB2312"/>
                <w:i w:val="0"/>
                <w:iCs w:val="0"/>
                <w:color w:val="000000"/>
                <w:kern w:val="0"/>
                <w:sz w:val="24"/>
                <w:szCs w:val="24"/>
              </w:rPr>
              <w:t>预算编制质量</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B79EE">
            <w:pPr>
              <w:widowControl/>
              <w:spacing w:line="240" w:lineRule="exact"/>
              <w:jc w:val="center"/>
              <w:textAlignment w:val="center"/>
              <w:rPr>
                <w:rFonts w:hint="eastAsia" w:ascii="仿宋_GB2312" w:hAnsi="仿宋_GB2312" w:eastAsia="仿宋_GB2312" w:cs="仿宋_GB2312"/>
                <w:i w:val="0"/>
                <w:iCs w:val="0"/>
                <w:color w:val="000000"/>
                <w:sz w:val="24"/>
                <w:szCs w:val="24"/>
              </w:rPr>
            </w:pPr>
            <w:r>
              <w:rPr>
                <w:rFonts w:hint="eastAsia" w:ascii="仿宋_GB2312" w:hAnsi="仿宋_GB2312" w:eastAsia="仿宋_GB2312" w:cs="仿宋_GB2312"/>
                <w:i w:val="0"/>
                <w:iCs w:val="0"/>
                <w:color w:val="000000"/>
                <w:kern w:val="0"/>
                <w:sz w:val="24"/>
                <w:szCs w:val="24"/>
              </w:rPr>
              <w:t>8</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E374F">
            <w:pPr>
              <w:widowControl/>
              <w:spacing w:line="240" w:lineRule="exact"/>
              <w:jc w:val="left"/>
              <w:textAlignment w:val="center"/>
              <w:rPr>
                <w:rFonts w:hint="eastAsia" w:ascii="仿宋_GB2312" w:hAnsi="仿宋_GB2312" w:eastAsia="仿宋_GB2312" w:cs="仿宋_GB2312"/>
                <w:i w:val="0"/>
                <w:iCs w:val="0"/>
                <w:color w:val="000000"/>
                <w:sz w:val="24"/>
                <w:szCs w:val="24"/>
              </w:rPr>
            </w:pPr>
            <w:r>
              <w:rPr>
                <w:rFonts w:hint="eastAsia" w:ascii="仿宋_GB2312" w:hAnsi="仿宋_GB2312" w:eastAsia="仿宋_GB2312" w:cs="仿宋_GB2312"/>
                <w:i w:val="0"/>
                <w:iCs w:val="0"/>
                <w:color w:val="000000"/>
                <w:kern w:val="0"/>
                <w:sz w:val="24"/>
                <w:szCs w:val="24"/>
              </w:rPr>
              <w:t>部门是否严格按要求编制年初部门预算，年初预算编制的科学性和准确性</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EDFB7">
            <w:pPr>
              <w:widowControl/>
              <w:spacing w:line="240" w:lineRule="exact"/>
              <w:jc w:val="left"/>
              <w:textAlignment w:val="center"/>
              <w:rPr>
                <w:rFonts w:hint="eastAsia" w:ascii="仿宋_GB2312" w:hAnsi="仿宋_GB2312" w:eastAsia="仿宋_GB2312" w:cs="仿宋_GB2312"/>
                <w:i w:val="0"/>
                <w:iCs w:val="0"/>
                <w:color w:val="000000"/>
                <w:kern w:val="0"/>
                <w:sz w:val="24"/>
                <w:szCs w:val="24"/>
                <w:lang w:val="en-US" w:eastAsia="zh-CN" w:bidi="ar"/>
              </w:rPr>
            </w:pPr>
            <w:r>
              <w:rPr>
                <w:rFonts w:hint="eastAsia" w:ascii="仿宋_GB2312" w:hAnsi="仿宋_GB2312" w:eastAsia="仿宋_GB2312" w:cs="仿宋_GB2312"/>
                <w:i w:val="0"/>
                <w:iCs w:val="0"/>
                <w:color w:val="000000"/>
                <w:kern w:val="0"/>
                <w:sz w:val="24"/>
                <w:szCs w:val="24"/>
                <w:lang w:val="en-US" w:eastAsia="zh-CN" w:bidi="ar"/>
              </w:rPr>
              <w:t>8</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71823">
            <w:pPr>
              <w:widowControl/>
              <w:spacing w:line="240" w:lineRule="exact"/>
              <w:jc w:val="left"/>
              <w:textAlignment w:val="center"/>
              <w:rPr>
                <w:rFonts w:hint="eastAsia" w:ascii="仿宋_GB2312" w:hAnsi="仿宋_GB2312" w:eastAsia="仿宋_GB2312" w:cs="仿宋_GB2312"/>
                <w:i w:val="0"/>
                <w:iCs w:val="0"/>
                <w:color w:val="000000"/>
                <w:kern w:val="0"/>
                <w:sz w:val="24"/>
                <w:szCs w:val="24"/>
              </w:rPr>
            </w:pPr>
          </w:p>
        </w:tc>
      </w:tr>
      <w:tr w14:paraId="063E9DAE">
        <w:tblPrEx>
          <w:tblCellMar>
            <w:top w:w="0" w:type="dxa"/>
            <w:left w:w="108" w:type="dxa"/>
            <w:bottom w:w="0" w:type="dxa"/>
            <w:right w:w="108" w:type="dxa"/>
          </w:tblCellMar>
        </w:tblPrEx>
        <w:trPr>
          <w:trHeight w:val="23" w:hRule="atLeast"/>
          <w:jc w:val="center"/>
        </w:trPr>
        <w:tc>
          <w:tcPr>
            <w:tcW w:w="1097" w:type="dxa"/>
            <w:vMerge w:val="continue"/>
            <w:tcBorders>
              <w:left w:val="single" w:color="000000" w:sz="4" w:space="0"/>
              <w:right w:val="single" w:color="000000" w:sz="4" w:space="0"/>
            </w:tcBorders>
            <w:shd w:val="clear" w:color="auto" w:fill="auto"/>
            <w:vAlign w:val="center"/>
          </w:tcPr>
          <w:p w14:paraId="2A9E6A49">
            <w:pPr>
              <w:widowControl/>
              <w:spacing w:line="240" w:lineRule="exact"/>
              <w:jc w:val="center"/>
              <w:rPr>
                <w:rFonts w:hint="eastAsia" w:ascii="仿宋_GB2312" w:hAnsi="仿宋_GB2312" w:eastAsia="仿宋_GB2312" w:cs="仿宋_GB2312"/>
                <w:b/>
                <w:i w:val="0"/>
                <w:iCs w:val="0"/>
                <w:color w:val="000000"/>
                <w:sz w:val="24"/>
                <w:szCs w:val="24"/>
              </w:rPr>
            </w:pPr>
          </w:p>
        </w:tc>
        <w:tc>
          <w:tcPr>
            <w:tcW w:w="1201" w:type="dxa"/>
            <w:vMerge w:val="continue"/>
            <w:tcBorders>
              <w:left w:val="single" w:color="000000" w:sz="4" w:space="0"/>
              <w:right w:val="single" w:color="000000" w:sz="4" w:space="0"/>
            </w:tcBorders>
            <w:shd w:val="clear" w:color="auto" w:fill="auto"/>
            <w:vAlign w:val="center"/>
          </w:tcPr>
          <w:p w14:paraId="7666D330">
            <w:pPr>
              <w:widowControl/>
              <w:spacing w:line="240" w:lineRule="exact"/>
              <w:jc w:val="center"/>
              <w:rPr>
                <w:rFonts w:hint="eastAsia" w:ascii="仿宋_GB2312" w:hAnsi="仿宋_GB2312" w:eastAsia="仿宋_GB2312" w:cs="仿宋_GB2312"/>
                <w:b/>
                <w:i w:val="0"/>
                <w:iCs w:val="0"/>
                <w:color w:val="000000"/>
                <w:sz w:val="24"/>
                <w:szCs w:val="24"/>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7D649">
            <w:pPr>
              <w:widowControl/>
              <w:spacing w:line="240" w:lineRule="exact"/>
              <w:jc w:val="center"/>
              <w:textAlignment w:val="center"/>
              <w:rPr>
                <w:rFonts w:hint="eastAsia" w:ascii="仿宋_GB2312" w:hAnsi="仿宋_GB2312" w:eastAsia="仿宋_GB2312" w:cs="仿宋_GB2312"/>
                <w:i w:val="0"/>
                <w:iCs w:val="0"/>
                <w:color w:val="000000"/>
                <w:sz w:val="24"/>
                <w:szCs w:val="24"/>
              </w:rPr>
            </w:pPr>
            <w:r>
              <w:rPr>
                <w:rFonts w:hint="eastAsia" w:ascii="仿宋_GB2312" w:hAnsi="仿宋_GB2312" w:eastAsia="仿宋_GB2312" w:cs="仿宋_GB2312"/>
                <w:i w:val="0"/>
                <w:iCs w:val="0"/>
                <w:color w:val="000000"/>
                <w:kern w:val="0"/>
                <w:sz w:val="24"/>
                <w:szCs w:val="24"/>
              </w:rPr>
              <w:t>单位收入统筹</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06CC6">
            <w:pPr>
              <w:widowControl/>
              <w:spacing w:line="240" w:lineRule="exact"/>
              <w:jc w:val="center"/>
              <w:textAlignment w:val="center"/>
              <w:rPr>
                <w:rFonts w:hint="eastAsia" w:ascii="仿宋_GB2312" w:hAnsi="仿宋_GB2312" w:eastAsia="仿宋_GB2312" w:cs="仿宋_GB2312"/>
                <w:i w:val="0"/>
                <w:iCs w:val="0"/>
                <w:color w:val="000000"/>
                <w:sz w:val="24"/>
                <w:szCs w:val="24"/>
              </w:rPr>
            </w:pPr>
            <w:r>
              <w:rPr>
                <w:rFonts w:hint="eastAsia" w:ascii="仿宋_GB2312" w:hAnsi="仿宋_GB2312" w:eastAsia="仿宋_GB2312" w:cs="仿宋_GB2312"/>
                <w:i w:val="0"/>
                <w:iCs w:val="0"/>
                <w:color w:val="000000"/>
                <w:kern w:val="0"/>
                <w:sz w:val="24"/>
                <w:szCs w:val="24"/>
              </w:rPr>
              <w:t>4</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30BDC">
            <w:pPr>
              <w:widowControl/>
              <w:spacing w:line="240" w:lineRule="exact"/>
              <w:jc w:val="left"/>
              <w:textAlignment w:val="center"/>
              <w:rPr>
                <w:rFonts w:hint="eastAsia" w:ascii="仿宋_GB2312" w:hAnsi="仿宋_GB2312" w:eastAsia="仿宋_GB2312" w:cs="仿宋_GB2312"/>
                <w:i w:val="0"/>
                <w:iCs w:val="0"/>
                <w:color w:val="000000"/>
                <w:sz w:val="24"/>
                <w:szCs w:val="24"/>
              </w:rPr>
            </w:pPr>
            <w:r>
              <w:rPr>
                <w:rFonts w:hint="eastAsia" w:ascii="仿宋_GB2312" w:hAnsi="仿宋_GB2312" w:eastAsia="仿宋_GB2312" w:cs="仿宋_GB2312"/>
                <w:i w:val="0"/>
                <w:iCs w:val="0"/>
                <w:color w:val="000000"/>
                <w:kern w:val="0"/>
                <w:sz w:val="24"/>
                <w:szCs w:val="24"/>
              </w:rPr>
              <w:t>部门统筹自有收入努力程度</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D37F0">
            <w:pPr>
              <w:widowControl/>
              <w:spacing w:line="240" w:lineRule="exact"/>
              <w:jc w:val="left"/>
              <w:textAlignment w:val="center"/>
              <w:rPr>
                <w:rFonts w:hint="eastAsia" w:ascii="仿宋_GB2312" w:hAnsi="仿宋_GB2312" w:eastAsia="仿宋_GB2312" w:cs="仿宋_GB2312"/>
                <w:i w:val="0"/>
                <w:iCs w:val="0"/>
                <w:color w:val="000000"/>
                <w:kern w:val="0"/>
                <w:sz w:val="24"/>
                <w:szCs w:val="24"/>
                <w:lang w:val="en-US" w:eastAsia="zh-CN" w:bidi="ar"/>
              </w:rPr>
            </w:pPr>
            <w:r>
              <w:rPr>
                <w:rFonts w:hint="eastAsia" w:ascii="仿宋_GB2312" w:hAnsi="仿宋_GB2312" w:eastAsia="仿宋_GB2312" w:cs="仿宋_GB2312"/>
                <w:i w:val="0"/>
                <w:iCs w:val="0"/>
                <w:color w:val="000000"/>
                <w:kern w:val="0"/>
                <w:sz w:val="24"/>
                <w:szCs w:val="24"/>
                <w:lang w:val="en-US" w:eastAsia="zh-CN" w:bidi="ar"/>
              </w:rPr>
              <w:t>0</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DCD68">
            <w:pPr>
              <w:widowControl/>
              <w:spacing w:line="240" w:lineRule="exact"/>
              <w:jc w:val="left"/>
              <w:textAlignment w:val="center"/>
              <w:rPr>
                <w:rFonts w:hint="eastAsia" w:ascii="仿宋_GB2312" w:hAnsi="仿宋_GB2312" w:eastAsia="仿宋_GB2312" w:cs="仿宋_GB2312"/>
                <w:i w:val="0"/>
                <w:iCs w:val="0"/>
                <w:color w:val="000000"/>
                <w:kern w:val="0"/>
                <w:sz w:val="24"/>
                <w:szCs w:val="24"/>
              </w:rPr>
            </w:pPr>
          </w:p>
        </w:tc>
      </w:tr>
      <w:tr w14:paraId="06B57865">
        <w:tblPrEx>
          <w:tblCellMar>
            <w:top w:w="0" w:type="dxa"/>
            <w:left w:w="108" w:type="dxa"/>
            <w:bottom w:w="0" w:type="dxa"/>
            <w:right w:w="108" w:type="dxa"/>
          </w:tblCellMar>
        </w:tblPrEx>
        <w:trPr>
          <w:trHeight w:val="23" w:hRule="atLeast"/>
          <w:jc w:val="center"/>
        </w:trPr>
        <w:tc>
          <w:tcPr>
            <w:tcW w:w="1097" w:type="dxa"/>
            <w:vMerge w:val="continue"/>
            <w:tcBorders>
              <w:left w:val="single" w:color="000000" w:sz="4" w:space="0"/>
              <w:right w:val="single" w:color="000000" w:sz="4" w:space="0"/>
            </w:tcBorders>
            <w:shd w:val="clear" w:color="auto" w:fill="auto"/>
            <w:vAlign w:val="center"/>
          </w:tcPr>
          <w:p w14:paraId="43993960">
            <w:pPr>
              <w:widowControl/>
              <w:spacing w:line="240" w:lineRule="exact"/>
              <w:jc w:val="center"/>
              <w:rPr>
                <w:rFonts w:hint="eastAsia" w:ascii="仿宋_GB2312" w:hAnsi="仿宋_GB2312" w:eastAsia="仿宋_GB2312" w:cs="仿宋_GB2312"/>
                <w:b/>
                <w:i w:val="0"/>
                <w:iCs w:val="0"/>
                <w:color w:val="000000"/>
                <w:sz w:val="24"/>
                <w:szCs w:val="24"/>
              </w:rPr>
            </w:pPr>
          </w:p>
        </w:tc>
        <w:tc>
          <w:tcPr>
            <w:tcW w:w="1201" w:type="dxa"/>
            <w:vMerge w:val="continue"/>
            <w:tcBorders>
              <w:left w:val="single" w:color="000000" w:sz="4" w:space="0"/>
              <w:right w:val="single" w:color="000000" w:sz="4" w:space="0"/>
            </w:tcBorders>
            <w:shd w:val="clear" w:color="auto" w:fill="auto"/>
            <w:vAlign w:val="center"/>
          </w:tcPr>
          <w:p w14:paraId="3A0D7214">
            <w:pPr>
              <w:widowControl/>
              <w:spacing w:line="240" w:lineRule="exact"/>
              <w:jc w:val="center"/>
              <w:rPr>
                <w:rFonts w:hint="eastAsia" w:ascii="仿宋_GB2312" w:hAnsi="仿宋_GB2312" w:eastAsia="仿宋_GB2312" w:cs="仿宋_GB2312"/>
                <w:b/>
                <w:i w:val="0"/>
                <w:iCs w:val="0"/>
                <w:color w:val="000000"/>
                <w:sz w:val="24"/>
                <w:szCs w:val="24"/>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0E957">
            <w:pPr>
              <w:widowControl/>
              <w:spacing w:line="240" w:lineRule="exact"/>
              <w:jc w:val="center"/>
              <w:textAlignment w:val="center"/>
              <w:rPr>
                <w:rFonts w:hint="eastAsia" w:ascii="仿宋_GB2312" w:hAnsi="仿宋_GB2312" w:eastAsia="仿宋_GB2312" w:cs="仿宋_GB2312"/>
                <w:i w:val="0"/>
                <w:iCs w:val="0"/>
                <w:color w:val="000000"/>
                <w:sz w:val="24"/>
                <w:szCs w:val="24"/>
              </w:rPr>
            </w:pPr>
            <w:r>
              <w:rPr>
                <w:rFonts w:hint="eastAsia" w:ascii="仿宋_GB2312" w:hAnsi="仿宋_GB2312" w:eastAsia="仿宋_GB2312" w:cs="仿宋_GB2312"/>
                <w:i w:val="0"/>
                <w:iCs w:val="0"/>
                <w:color w:val="000000"/>
                <w:kern w:val="0"/>
                <w:sz w:val="24"/>
                <w:szCs w:val="24"/>
              </w:rPr>
              <w:t>支出执行管理</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BC703">
            <w:pPr>
              <w:widowControl/>
              <w:spacing w:line="240" w:lineRule="exact"/>
              <w:jc w:val="center"/>
              <w:textAlignment w:val="center"/>
              <w:rPr>
                <w:rFonts w:hint="eastAsia" w:ascii="仿宋_GB2312" w:hAnsi="仿宋_GB2312" w:eastAsia="仿宋_GB2312" w:cs="仿宋_GB2312"/>
                <w:i w:val="0"/>
                <w:iCs w:val="0"/>
                <w:color w:val="000000"/>
                <w:sz w:val="24"/>
                <w:szCs w:val="24"/>
              </w:rPr>
            </w:pPr>
            <w:r>
              <w:rPr>
                <w:rFonts w:hint="eastAsia" w:ascii="仿宋_GB2312" w:hAnsi="仿宋_GB2312" w:eastAsia="仿宋_GB2312" w:cs="仿宋_GB2312"/>
                <w:i w:val="0"/>
                <w:iCs w:val="0"/>
                <w:color w:val="000000"/>
                <w:kern w:val="0"/>
                <w:sz w:val="24"/>
                <w:szCs w:val="24"/>
              </w:rPr>
              <w:t>6</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E1941">
            <w:pPr>
              <w:widowControl/>
              <w:spacing w:line="240" w:lineRule="exact"/>
              <w:jc w:val="left"/>
              <w:textAlignment w:val="center"/>
              <w:rPr>
                <w:rFonts w:hint="eastAsia" w:ascii="仿宋_GB2312" w:hAnsi="仿宋_GB2312" w:eastAsia="仿宋_GB2312" w:cs="仿宋_GB2312"/>
                <w:i w:val="0"/>
                <w:iCs w:val="0"/>
                <w:color w:val="000000"/>
                <w:sz w:val="24"/>
                <w:szCs w:val="24"/>
              </w:rPr>
            </w:pPr>
            <w:r>
              <w:rPr>
                <w:rFonts w:hint="eastAsia" w:ascii="仿宋_GB2312" w:hAnsi="仿宋_GB2312" w:eastAsia="仿宋_GB2312" w:cs="仿宋_GB2312"/>
                <w:i w:val="0"/>
                <w:iCs w:val="0"/>
                <w:color w:val="000000"/>
                <w:kern w:val="0"/>
                <w:sz w:val="24"/>
                <w:szCs w:val="24"/>
              </w:rPr>
              <w:t>部门1至6月、1至10月预算执行情况</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CFEC4">
            <w:pPr>
              <w:widowControl/>
              <w:spacing w:line="240" w:lineRule="exact"/>
              <w:jc w:val="left"/>
              <w:textAlignment w:val="center"/>
              <w:rPr>
                <w:rFonts w:hint="eastAsia" w:ascii="仿宋_GB2312" w:hAnsi="仿宋_GB2312" w:eastAsia="仿宋_GB2312" w:cs="仿宋_GB2312"/>
                <w:i w:val="0"/>
                <w:iCs w:val="0"/>
                <w:color w:val="000000"/>
                <w:kern w:val="0"/>
                <w:sz w:val="24"/>
                <w:szCs w:val="24"/>
                <w:lang w:val="en-US" w:eastAsia="zh-CN" w:bidi="ar"/>
              </w:rPr>
            </w:pPr>
            <w:r>
              <w:rPr>
                <w:rFonts w:hint="eastAsia" w:ascii="仿宋_GB2312" w:hAnsi="仿宋_GB2312" w:eastAsia="仿宋_GB2312" w:cs="仿宋_GB2312"/>
                <w:i w:val="0"/>
                <w:iCs w:val="0"/>
                <w:color w:val="000000"/>
                <w:kern w:val="0"/>
                <w:sz w:val="24"/>
                <w:szCs w:val="24"/>
                <w:lang w:val="en-US" w:eastAsia="zh-CN" w:bidi="ar"/>
              </w:rPr>
              <w:t>6</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61856">
            <w:pPr>
              <w:widowControl/>
              <w:spacing w:line="240" w:lineRule="exact"/>
              <w:jc w:val="left"/>
              <w:textAlignment w:val="center"/>
              <w:rPr>
                <w:rFonts w:hint="eastAsia" w:ascii="仿宋_GB2312" w:hAnsi="仿宋_GB2312" w:eastAsia="仿宋_GB2312" w:cs="仿宋_GB2312"/>
                <w:i w:val="0"/>
                <w:iCs w:val="0"/>
                <w:color w:val="000000"/>
                <w:kern w:val="0"/>
                <w:sz w:val="24"/>
                <w:szCs w:val="24"/>
              </w:rPr>
            </w:pPr>
          </w:p>
        </w:tc>
      </w:tr>
      <w:tr w14:paraId="3D31A408">
        <w:tblPrEx>
          <w:tblCellMar>
            <w:top w:w="0" w:type="dxa"/>
            <w:left w:w="108" w:type="dxa"/>
            <w:bottom w:w="0" w:type="dxa"/>
            <w:right w:w="108" w:type="dxa"/>
          </w:tblCellMar>
        </w:tblPrEx>
        <w:trPr>
          <w:trHeight w:val="23" w:hRule="atLeast"/>
          <w:jc w:val="center"/>
        </w:trPr>
        <w:tc>
          <w:tcPr>
            <w:tcW w:w="1097" w:type="dxa"/>
            <w:vMerge w:val="continue"/>
            <w:tcBorders>
              <w:left w:val="single" w:color="000000" w:sz="4" w:space="0"/>
              <w:right w:val="single" w:color="000000" w:sz="4" w:space="0"/>
            </w:tcBorders>
            <w:shd w:val="clear" w:color="auto" w:fill="auto"/>
            <w:vAlign w:val="center"/>
          </w:tcPr>
          <w:p w14:paraId="6DAAEE9C">
            <w:pPr>
              <w:widowControl/>
              <w:spacing w:line="240" w:lineRule="exact"/>
              <w:jc w:val="center"/>
              <w:rPr>
                <w:rFonts w:hint="eastAsia" w:ascii="仿宋_GB2312" w:hAnsi="仿宋_GB2312" w:eastAsia="仿宋_GB2312" w:cs="仿宋_GB2312"/>
                <w:b/>
                <w:i w:val="0"/>
                <w:iCs w:val="0"/>
                <w:color w:val="000000"/>
                <w:sz w:val="24"/>
                <w:szCs w:val="24"/>
              </w:rPr>
            </w:pPr>
          </w:p>
        </w:tc>
        <w:tc>
          <w:tcPr>
            <w:tcW w:w="1201" w:type="dxa"/>
            <w:vMerge w:val="continue"/>
            <w:tcBorders>
              <w:left w:val="single" w:color="000000" w:sz="4" w:space="0"/>
              <w:right w:val="single" w:color="000000" w:sz="4" w:space="0"/>
            </w:tcBorders>
            <w:shd w:val="clear" w:color="auto" w:fill="auto"/>
            <w:vAlign w:val="center"/>
          </w:tcPr>
          <w:p w14:paraId="26D20EC6">
            <w:pPr>
              <w:widowControl/>
              <w:spacing w:line="240" w:lineRule="exact"/>
              <w:jc w:val="center"/>
              <w:rPr>
                <w:rFonts w:hint="eastAsia" w:ascii="仿宋_GB2312" w:hAnsi="仿宋_GB2312" w:eastAsia="仿宋_GB2312" w:cs="仿宋_GB2312"/>
                <w:b/>
                <w:i w:val="0"/>
                <w:iCs w:val="0"/>
                <w:color w:val="000000"/>
                <w:sz w:val="24"/>
                <w:szCs w:val="24"/>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D77A5">
            <w:pPr>
              <w:widowControl/>
              <w:spacing w:line="240" w:lineRule="exact"/>
              <w:jc w:val="center"/>
              <w:textAlignment w:val="center"/>
              <w:rPr>
                <w:rFonts w:hint="eastAsia" w:ascii="仿宋_GB2312" w:hAnsi="仿宋_GB2312" w:eastAsia="仿宋_GB2312" w:cs="仿宋_GB2312"/>
                <w:i w:val="0"/>
                <w:iCs w:val="0"/>
                <w:color w:val="000000"/>
                <w:sz w:val="24"/>
                <w:szCs w:val="24"/>
              </w:rPr>
            </w:pPr>
            <w:r>
              <w:rPr>
                <w:rFonts w:hint="eastAsia" w:ascii="仿宋_GB2312" w:hAnsi="仿宋_GB2312" w:eastAsia="仿宋_GB2312" w:cs="仿宋_GB2312"/>
                <w:i w:val="0"/>
                <w:iCs w:val="0"/>
                <w:color w:val="000000"/>
                <w:kern w:val="0"/>
                <w:sz w:val="24"/>
                <w:szCs w:val="24"/>
              </w:rPr>
              <w:t>预算年终结余</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5F16A">
            <w:pPr>
              <w:widowControl/>
              <w:spacing w:line="240" w:lineRule="exact"/>
              <w:jc w:val="center"/>
              <w:textAlignment w:val="center"/>
              <w:rPr>
                <w:rFonts w:hint="eastAsia" w:ascii="仿宋_GB2312" w:hAnsi="仿宋_GB2312" w:eastAsia="仿宋_GB2312" w:cs="仿宋_GB2312"/>
                <w:i w:val="0"/>
                <w:iCs w:val="0"/>
                <w:color w:val="000000"/>
                <w:sz w:val="24"/>
                <w:szCs w:val="24"/>
              </w:rPr>
            </w:pPr>
            <w:r>
              <w:rPr>
                <w:rFonts w:hint="eastAsia" w:ascii="仿宋_GB2312" w:hAnsi="仿宋_GB2312" w:eastAsia="仿宋_GB2312" w:cs="仿宋_GB2312"/>
                <w:i w:val="0"/>
                <w:iCs w:val="0"/>
                <w:color w:val="000000"/>
                <w:kern w:val="0"/>
                <w:sz w:val="24"/>
                <w:szCs w:val="24"/>
              </w:rPr>
              <w:t>2</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DE3BE">
            <w:pPr>
              <w:widowControl/>
              <w:spacing w:line="240" w:lineRule="exact"/>
              <w:jc w:val="left"/>
              <w:textAlignment w:val="center"/>
              <w:rPr>
                <w:rFonts w:hint="eastAsia" w:ascii="仿宋_GB2312" w:hAnsi="仿宋_GB2312" w:eastAsia="仿宋_GB2312" w:cs="仿宋_GB2312"/>
                <w:i w:val="0"/>
                <w:iCs w:val="0"/>
                <w:color w:val="000000"/>
                <w:sz w:val="24"/>
                <w:szCs w:val="24"/>
              </w:rPr>
            </w:pPr>
            <w:r>
              <w:rPr>
                <w:rFonts w:hint="eastAsia" w:ascii="仿宋_GB2312" w:hAnsi="仿宋_GB2312" w:eastAsia="仿宋_GB2312" w:cs="仿宋_GB2312"/>
                <w:i w:val="0"/>
                <w:iCs w:val="0"/>
                <w:color w:val="000000"/>
                <w:kern w:val="0"/>
                <w:sz w:val="24"/>
                <w:szCs w:val="24"/>
              </w:rPr>
              <w:t>部门整体年终预算结余情况</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06F13">
            <w:pPr>
              <w:widowControl/>
              <w:spacing w:line="240" w:lineRule="exact"/>
              <w:jc w:val="left"/>
              <w:textAlignment w:val="center"/>
              <w:rPr>
                <w:rFonts w:hint="eastAsia" w:ascii="仿宋_GB2312" w:hAnsi="仿宋_GB2312" w:eastAsia="仿宋_GB2312" w:cs="仿宋_GB2312"/>
                <w:i w:val="0"/>
                <w:iCs w:val="0"/>
                <w:color w:val="000000"/>
                <w:kern w:val="0"/>
                <w:sz w:val="24"/>
                <w:szCs w:val="24"/>
                <w:lang w:val="en-US" w:eastAsia="zh-CN" w:bidi="ar"/>
              </w:rPr>
            </w:pPr>
            <w:r>
              <w:rPr>
                <w:rFonts w:hint="eastAsia" w:ascii="仿宋_GB2312" w:hAnsi="仿宋_GB2312" w:eastAsia="仿宋_GB2312" w:cs="仿宋_GB2312"/>
                <w:i w:val="0"/>
                <w:iCs w:val="0"/>
                <w:color w:val="000000"/>
                <w:kern w:val="0"/>
                <w:sz w:val="24"/>
                <w:szCs w:val="24"/>
                <w:lang w:val="en-US" w:eastAsia="zh-CN" w:bidi="ar"/>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689EB">
            <w:pPr>
              <w:widowControl/>
              <w:spacing w:line="240" w:lineRule="exact"/>
              <w:jc w:val="left"/>
              <w:textAlignment w:val="center"/>
              <w:rPr>
                <w:rFonts w:hint="eastAsia" w:ascii="仿宋_GB2312" w:hAnsi="仿宋_GB2312" w:eastAsia="仿宋_GB2312" w:cs="仿宋_GB2312"/>
                <w:i w:val="0"/>
                <w:iCs w:val="0"/>
                <w:color w:val="000000"/>
                <w:kern w:val="0"/>
                <w:sz w:val="24"/>
                <w:szCs w:val="24"/>
              </w:rPr>
            </w:pPr>
          </w:p>
        </w:tc>
      </w:tr>
      <w:tr w14:paraId="559DAABB">
        <w:tblPrEx>
          <w:tblCellMar>
            <w:top w:w="0" w:type="dxa"/>
            <w:left w:w="108" w:type="dxa"/>
            <w:bottom w:w="0" w:type="dxa"/>
            <w:right w:w="108" w:type="dxa"/>
          </w:tblCellMar>
        </w:tblPrEx>
        <w:trPr>
          <w:trHeight w:val="743" w:hRule="atLeast"/>
          <w:jc w:val="center"/>
        </w:trPr>
        <w:tc>
          <w:tcPr>
            <w:tcW w:w="1097" w:type="dxa"/>
            <w:vMerge w:val="continue"/>
            <w:tcBorders>
              <w:left w:val="single" w:color="000000" w:sz="4" w:space="0"/>
              <w:right w:val="single" w:color="000000" w:sz="4" w:space="0"/>
            </w:tcBorders>
            <w:shd w:val="clear" w:color="auto" w:fill="auto"/>
            <w:vAlign w:val="center"/>
          </w:tcPr>
          <w:p w14:paraId="144711B9">
            <w:pPr>
              <w:widowControl/>
              <w:spacing w:line="240" w:lineRule="exact"/>
              <w:jc w:val="center"/>
              <w:rPr>
                <w:rFonts w:hint="eastAsia" w:ascii="仿宋_GB2312" w:hAnsi="仿宋_GB2312" w:eastAsia="仿宋_GB2312" w:cs="仿宋_GB2312"/>
                <w:b/>
                <w:i w:val="0"/>
                <w:iCs w:val="0"/>
                <w:color w:val="000000"/>
                <w:sz w:val="24"/>
                <w:szCs w:val="24"/>
              </w:rPr>
            </w:pPr>
          </w:p>
        </w:tc>
        <w:tc>
          <w:tcPr>
            <w:tcW w:w="1201" w:type="dxa"/>
            <w:vMerge w:val="continue"/>
            <w:tcBorders>
              <w:left w:val="single" w:color="000000" w:sz="4" w:space="0"/>
              <w:right w:val="single" w:color="000000" w:sz="4" w:space="0"/>
            </w:tcBorders>
            <w:shd w:val="clear" w:color="auto" w:fill="auto"/>
            <w:vAlign w:val="center"/>
          </w:tcPr>
          <w:p w14:paraId="07F3D57F">
            <w:pPr>
              <w:widowControl/>
              <w:spacing w:line="240" w:lineRule="exact"/>
              <w:jc w:val="center"/>
              <w:rPr>
                <w:rFonts w:hint="eastAsia" w:ascii="仿宋_GB2312" w:hAnsi="仿宋_GB2312" w:eastAsia="仿宋_GB2312" w:cs="仿宋_GB2312"/>
                <w:b/>
                <w:i w:val="0"/>
                <w:iCs w:val="0"/>
                <w:color w:val="000000"/>
                <w:sz w:val="24"/>
                <w:szCs w:val="24"/>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61CA5">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rPr>
              <w:t>严控一般性支出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DFF3A">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rPr>
              <w:t>5</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C12EB">
            <w:pPr>
              <w:widowControl/>
              <w:spacing w:line="240" w:lineRule="exact"/>
              <w:jc w:val="left"/>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rPr>
              <w:t>部门严控“三公”经费、会议、培训、差旅、办节办展、办公设备购置、信息化建设和运维、课题经费、竞赛活动、规划编制一般性支出情况</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A0F3E">
            <w:pPr>
              <w:widowControl/>
              <w:spacing w:line="240" w:lineRule="exact"/>
              <w:jc w:val="left"/>
              <w:textAlignment w:val="center"/>
              <w:rPr>
                <w:rFonts w:hint="eastAsia" w:ascii="仿宋_GB2312" w:hAnsi="仿宋_GB2312" w:eastAsia="仿宋_GB2312" w:cs="仿宋_GB2312"/>
                <w:i w:val="0"/>
                <w:iCs w:val="0"/>
                <w:color w:val="000000"/>
                <w:kern w:val="0"/>
                <w:sz w:val="24"/>
                <w:szCs w:val="24"/>
                <w:lang w:val="en-US" w:eastAsia="zh-CN" w:bidi="ar"/>
              </w:rPr>
            </w:pPr>
            <w:r>
              <w:rPr>
                <w:rFonts w:hint="eastAsia" w:ascii="仿宋_GB2312" w:hAnsi="仿宋_GB2312" w:eastAsia="仿宋_GB2312" w:cs="仿宋_GB2312"/>
                <w:i w:val="0"/>
                <w:iCs w:val="0"/>
                <w:color w:val="000000"/>
                <w:kern w:val="0"/>
                <w:sz w:val="24"/>
                <w:szCs w:val="24"/>
                <w:lang w:val="en-US" w:eastAsia="zh-CN" w:bidi="ar"/>
              </w:rPr>
              <w:t>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3AECB">
            <w:pPr>
              <w:widowControl/>
              <w:spacing w:line="240" w:lineRule="exact"/>
              <w:jc w:val="left"/>
              <w:textAlignment w:val="center"/>
              <w:rPr>
                <w:rFonts w:hint="eastAsia" w:ascii="仿宋_GB2312" w:hAnsi="仿宋_GB2312" w:eastAsia="仿宋_GB2312" w:cs="仿宋_GB2312"/>
                <w:i w:val="0"/>
                <w:iCs w:val="0"/>
                <w:color w:val="000000"/>
                <w:kern w:val="0"/>
                <w:sz w:val="24"/>
                <w:szCs w:val="24"/>
              </w:rPr>
            </w:pPr>
          </w:p>
        </w:tc>
      </w:tr>
      <w:tr w14:paraId="627CCA8B">
        <w:tblPrEx>
          <w:tblCellMar>
            <w:top w:w="0" w:type="dxa"/>
            <w:left w:w="108" w:type="dxa"/>
            <w:bottom w:w="0" w:type="dxa"/>
            <w:right w:w="108" w:type="dxa"/>
          </w:tblCellMar>
        </w:tblPrEx>
        <w:trPr>
          <w:trHeight w:val="23" w:hRule="atLeast"/>
          <w:jc w:val="center"/>
        </w:trPr>
        <w:tc>
          <w:tcPr>
            <w:tcW w:w="1097" w:type="dxa"/>
            <w:vMerge w:val="continue"/>
            <w:tcBorders>
              <w:left w:val="single" w:color="000000" w:sz="4" w:space="0"/>
              <w:right w:val="single" w:color="000000" w:sz="4" w:space="0"/>
            </w:tcBorders>
            <w:shd w:val="clear" w:color="auto" w:fill="auto"/>
            <w:vAlign w:val="center"/>
          </w:tcPr>
          <w:p w14:paraId="3E063A39">
            <w:pPr>
              <w:widowControl/>
              <w:spacing w:line="240" w:lineRule="exact"/>
              <w:jc w:val="center"/>
              <w:rPr>
                <w:rFonts w:hint="eastAsia" w:ascii="仿宋_GB2312" w:hAnsi="仿宋_GB2312" w:eastAsia="仿宋_GB2312" w:cs="仿宋_GB2312"/>
                <w:b/>
                <w:i w:val="0"/>
                <w:iCs w:val="0"/>
                <w:color w:val="000000"/>
                <w:sz w:val="24"/>
                <w:szCs w:val="24"/>
              </w:rPr>
            </w:pPr>
          </w:p>
        </w:tc>
        <w:tc>
          <w:tcPr>
            <w:tcW w:w="12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647A6F">
            <w:pPr>
              <w:widowControl/>
              <w:spacing w:line="240" w:lineRule="exact"/>
              <w:jc w:val="center"/>
              <w:textAlignment w:val="center"/>
              <w:rPr>
                <w:rFonts w:hint="eastAsia" w:ascii="仿宋_GB2312" w:hAnsi="仿宋_GB2312" w:eastAsia="仿宋_GB2312" w:cs="仿宋_GB2312"/>
                <w:b/>
                <w:i w:val="0"/>
                <w:iCs w:val="0"/>
                <w:color w:val="000000"/>
                <w:sz w:val="24"/>
                <w:szCs w:val="24"/>
              </w:rPr>
            </w:pPr>
            <w:r>
              <w:rPr>
                <w:rFonts w:hint="eastAsia" w:ascii="仿宋_GB2312" w:hAnsi="仿宋_GB2312" w:eastAsia="仿宋_GB2312" w:cs="仿宋_GB2312"/>
                <w:b/>
                <w:i w:val="0"/>
                <w:iCs w:val="0"/>
                <w:color w:val="000000"/>
                <w:kern w:val="0"/>
                <w:sz w:val="24"/>
                <w:szCs w:val="24"/>
              </w:rPr>
              <w:t>财务管理</w:t>
            </w:r>
            <w:r>
              <w:rPr>
                <w:rFonts w:hint="eastAsia" w:ascii="仿宋_GB2312" w:hAnsi="仿宋_GB2312" w:eastAsia="仿宋_GB2312" w:cs="仿宋_GB2312"/>
                <w:b/>
                <w:i w:val="0"/>
                <w:iCs w:val="0"/>
                <w:color w:val="000000"/>
                <w:kern w:val="0"/>
                <w:sz w:val="24"/>
                <w:szCs w:val="24"/>
              </w:rPr>
              <w:br w:type="textWrapping"/>
            </w:r>
            <w:r>
              <w:rPr>
                <w:rFonts w:hint="eastAsia" w:ascii="仿宋_GB2312" w:hAnsi="仿宋_GB2312" w:eastAsia="仿宋_GB2312" w:cs="仿宋_GB2312"/>
                <w:b/>
                <w:i w:val="0"/>
                <w:iCs w:val="0"/>
                <w:color w:val="000000"/>
                <w:kern w:val="0"/>
                <w:sz w:val="24"/>
                <w:szCs w:val="24"/>
              </w:rPr>
              <w:t>（10分）</w:t>
            </w: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7BAB0">
            <w:pPr>
              <w:widowControl/>
              <w:spacing w:line="240" w:lineRule="exact"/>
              <w:jc w:val="center"/>
              <w:textAlignment w:val="center"/>
              <w:rPr>
                <w:rFonts w:hint="eastAsia" w:ascii="仿宋_GB2312" w:hAnsi="仿宋_GB2312" w:eastAsia="仿宋_GB2312" w:cs="仿宋_GB2312"/>
                <w:i w:val="0"/>
                <w:iCs w:val="0"/>
                <w:color w:val="000000"/>
                <w:sz w:val="24"/>
                <w:szCs w:val="24"/>
              </w:rPr>
            </w:pPr>
            <w:r>
              <w:rPr>
                <w:rFonts w:hint="eastAsia" w:ascii="仿宋_GB2312" w:hAnsi="仿宋_GB2312" w:eastAsia="仿宋_GB2312" w:cs="仿宋_GB2312"/>
                <w:i w:val="0"/>
                <w:iCs w:val="0"/>
                <w:color w:val="000000"/>
                <w:kern w:val="0"/>
                <w:sz w:val="24"/>
                <w:szCs w:val="24"/>
              </w:rPr>
              <w:t>财务管理制度</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E9DF8">
            <w:pPr>
              <w:widowControl/>
              <w:spacing w:line="240" w:lineRule="exact"/>
              <w:jc w:val="center"/>
              <w:textAlignment w:val="center"/>
              <w:rPr>
                <w:rFonts w:hint="eastAsia" w:ascii="仿宋_GB2312" w:hAnsi="仿宋_GB2312" w:eastAsia="仿宋_GB2312" w:cs="仿宋_GB2312"/>
                <w:i w:val="0"/>
                <w:iCs w:val="0"/>
                <w:color w:val="000000"/>
                <w:sz w:val="24"/>
                <w:szCs w:val="24"/>
              </w:rPr>
            </w:pPr>
            <w:r>
              <w:rPr>
                <w:rFonts w:hint="eastAsia" w:ascii="仿宋_GB2312" w:hAnsi="仿宋_GB2312" w:eastAsia="仿宋_GB2312" w:cs="仿宋_GB2312"/>
                <w:i w:val="0"/>
                <w:iCs w:val="0"/>
                <w:color w:val="000000"/>
                <w:kern w:val="0"/>
                <w:sz w:val="24"/>
                <w:szCs w:val="24"/>
              </w:rPr>
              <w:t>4</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995CB">
            <w:pPr>
              <w:widowControl/>
              <w:spacing w:line="240" w:lineRule="exact"/>
              <w:jc w:val="left"/>
              <w:textAlignment w:val="center"/>
              <w:rPr>
                <w:rFonts w:hint="eastAsia" w:ascii="仿宋_GB2312" w:hAnsi="仿宋_GB2312" w:eastAsia="仿宋_GB2312" w:cs="仿宋_GB2312"/>
                <w:i w:val="0"/>
                <w:iCs w:val="0"/>
                <w:color w:val="000000"/>
                <w:sz w:val="24"/>
                <w:szCs w:val="24"/>
              </w:rPr>
            </w:pPr>
            <w:r>
              <w:rPr>
                <w:rFonts w:hint="eastAsia" w:ascii="仿宋_GB2312" w:hAnsi="仿宋_GB2312" w:eastAsia="仿宋_GB2312" w:cs="仿宋_GB2312"/>
                <w:i w:val="0"/>
                <w:iCs w:val="0"/>
                <w:color w:val="000000"/>
                <w:kern w:val="0"/>
                <w:sz w:val="24"/>
                <w:szCs w:val="24"/>
              </w:rPr>
              <w:t>部门财务管理制度建立情况</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B6B5F">
            <w:pPr>
              <w:widowControl/>
              <w:spacing w:line="240" w:lineRule="exact"/>
              <w:jc w:val="left"/>
              <w:textAlignment w:val="center"/>
              <w:rPr>
                <w:rFonts w:hint="eastAsia" w:ascii="仿宋_GB2312" w:hAnsi="仿宋_GB2312" w:eastAsia="仿宋_GB2312" w:cs="仿宋_GB2312"/>
                <w:i w:val="0"/>
                <w:iCs w:val="0"/>
                <w:color w:val="000000"/>
                <w:kern w:val="0"/>
                <w:sz w:val="24"/>
                <w:szCs w:val="24"/>
                <w:lang w:val="en-US" w:eastAsia="zh-CN" w:bidi="ar"/>
              </w:rPr>
            </w:pPr>
            <w:r>
              <w:rPr>
                <w:rFonts w:hint="eastAsia" w:ascii="仿宋_GB2312" w:hAnsi="仿宋_GB2312" w:eastAsia="仿宋_GB2312" w:cs="仿宋_GB2312"/>
                <w:i w:val="0"/>
                <w:iCs w:val="0"/>
                <w:color w:val="000000"/>
                <w:kern w:val="0"/>
                <w:sz w:val="24"/>
                <w:szCs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33BBF">
            <w:pPr>
              <w:widowControl/>
              <w:spacing w:line="240" w:lineRule="exact"/>
              <w:jc w:val="left"/>
              <w:textAlignment w:val="center"/>
              <w:rPr>
                <w:rFonts w:hint="eastAsia" w:ascii="仿宋_GB2312" w:hAnsi="仿宋_GB2312" w:eastAsia="仿宋_GB2312" w:cs="仿宋_GB2312"/>
                <w:i w:val="0"/>
                <w:iCs w:val="0"/>
                <w:color w:val="000000"/>
                <w:kern w:val="0"/>
                <w:sz w:val="24"/>
                <w:szCs w:val="24"/>
              </w:rPr>
            </w:pPr>
          </w:p>
        </w:tc>
      </w:tr>
      <w:tr w14:paraId="562FA29D">
        <w:tblPrEx>
          <w:tblCellMar>
            <w:top w:w="0" w:type="dxa"/>
            <w:left w:w="108" w:type="dxa"/>
            <w:bottom w:w="0" w:type="dxa"/>
            <w:right w:w="108" w:type="dxa"/>
          </w:tblCellMar>
        </w:tblPrEx>
        <w:trPr>
          <w:trHeight w:val="23" w:hRule="atLeast"/>
          <w:jc w:val="center"/>
        </w:trPr>
        <w:tc>
          <w:tcPr>
            <w:tcW w:w="1097" w:type="dxa"/>
            <w:vMerge w:val="continue"/>
            <w:tcBorders>
              <w:left w:val="single" w:color="000000" w:sz="4" w:space="0"/>
              <w:right w:val="single" w:color="000000" w:sz="4" w:space="0"/>
            </w:tcBorders>
            <w:shd w:val="clear" w:color="auto" w:fill="auto"/>
            <w:vAlign w:val="center"/>
          </w:tcPr>
          <w:p w14:paraId="68E7B8D0">
            <w:pPr>
              <w:widowControl/>
              <w:spacing w:line="240" w:lineRule="exact"/>
              <w:jc w:val="center"/>
              <w:rPr>
                <w:rFonts w:hint="eastAsia" w:ascii="仿宋_GB2312" w:hAnsi="仿宋_GB2312" w:eastAsia="仿宋_GB2312" w:cs="仿宋_GB2312"/>
                <w:b/>
                <w:i w:val="0"/>
                <w:iCs w:val="0"/>
                <w:color w:val="000000"/>
                <w:sz w:val="24"/>
                <w:szCs w:val="24"/>
              </w:rPr>
            </w:pPr>
          </w:p>
        </w:tc>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F770A4">
            <w:pPr>
              <w:widowControl/>
              <w:spacing w:line="240" w:lineRule="exact"/>
              <w:jc w:val="center"/>
              <w:rPr>
                <w:rFonts w:hint="eastAsia" w:ascii="仿宋_GB2312" w:hAnsi="仿宋_GB2312" w:eastAsia="仿宋_GB2312" w:cs="仿宋_GB2312"/>
                <w:b/>
                <w:i w:val="0"/>
                <w:iCs w:val="0"/>
                <w:color w:val="000000"/>
                <w:sz w:val="24"/>
                <w:szCs w:val="24"/>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F13D2">
            <w:pPr>
              <w:widowControl/>
              <w:spacing w:line="240" w:lineRule="exact"/>
              <w:jc w:val="center"/>
              <w:textAlignment w:val="center"/>
              <w:rPr>
                <w:rFonts w:hint="eastAsia" w:ascii="仿宋_GB2312" w:hAnsi="仿宋_GB2312" w:eastAsia="仿宋_GB2312" w:cs="仿宋_GB2312"/>
                <w:i w:val="0"/>
                <w:iCs w:val="0"/>
                <w:color w:val="000000"/>
                <w:sz w:val="24"/>
                <w:szCs w:val="24"/>
              </w:rPr>
            </w:pPr>
            <w:r>
              <w:rPr>
                <w:rFonts w:hint="eastAsia" w:ascii="仿宋_GB2312" w:hAnsi="仿宋_GB2312" w:eastAsia="仿宋_GB2312" w:cs="仿宋_GB2312"/>
                <w:i w:val="0"/>
                <w:iCs w:val="0"/>
                <w:color w:val="000000"/>
                <w:kern w:val="0"/>
                <w:sz w:val="24"/>
                <w:szCs w:val="24"/>
              </w:rPr>
              <w:t>财务岗位设置</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54833">
            <w:pPr>
              <w:widowControl/>
              <w:spacing w:line="240" w:lineRule="exact"/>
              <w:jc w:val="center"/>
              <w:textAlignment w:val="center"/>
              <w:rPr>
                <w:rFonts w:hint="eastAsia" w:ascii="仿宋_GB2312" w:hAnsi="仿宋_GB2312" w:eastAsia="仿宋_GB2312" w:cs="仿宋_GB2312"/>
                <w:i w:val="0"/>
                <w:iCs w:val="0"/>
                <w:color w:val="000000"/>
                <w:sz w:val="24"/>
                <w:szCs w:val="24"/>
              </w:rPr>
            </w:pPr>
            <w:r>
              <w:rPr>
                <w:rFonts w:hint="eastAsia" w:ascii="仿宋_GB2312" w:hAnsi="仿宋_GB2312" w:eastAsia="仿宋_GB2312" w:cs="仿宋_GB2312"/>
                <w:i w:val="0"/>
                <w:iCs w:val="0"/>
                <w:color w:val="000000"/>
                <w:kern w:val="0"/>
                <w:sz w:val="24"/>
                <w:szCs w:val="24"/>
              </w:rPr>
              <w:t>2</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4E97B">
            <w:pPr>
              <w:widowControl/>
              <w:spacing w:line="240" w:lineRule="exact"/>
              <w:jc w:val="left"/>
              <w:textAlignment w:val="center"/>
              <w:rPr>
                <w:rFonts w:hint="eastAsia" w:ascii="仿宋_GB2312" w:hAnsi="仿宋_GB2312" w:eastAsia="仿宋_GB2312" w:cs="仿宋_GB2312"/>
                <w:i w:val="0"/>
                <w:iCs w:val="0"/>
                <w:color w:val="000000"/>
                <w:sz w:val="24"/>
                <w:szCs w:val="24"/>
              </w:rPr>
            </w:pPr>
            <w:r>
              <w:rPr>
                <w:rFonts w:hint="eastAsia" w:ascii="仿宋_GB2312" w:hAnsi="仿宋_GB2312" w:eastAsia="仿宋_GB2312" w:cs="仿宋_GB2312"/>
                <w:i w:val="0"/>
                <w:iCs w:val="0"/>
                <w:color w:val="000000"/>
                <w:kern w:val="0"/>
                <w:sz w:val="24"/>
                <w:szCs w:val="24"/>
              </w:rPr>
              <w:t>部门财务岗位设置是否符合相关财务管理制度要求</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90FA2">
            <w:pPr>
              <w:widowControl/>
              <w:spacing w:line="240" w:lineRule="exact"/>
              <w:jc w:val="left"/>
              <w:textAlignment w:val="center"/>
              <w:rPr>
                <w:rFonts w:hint="eastAsia" w:ascii="仿宋_GB2312" w:hAnsi="仿宋_GB2312" w:eastAsia="仿宋_GB2312" w:cs="仿宋_GB2312"/>
                <w:i w:val="0"/>
                <w:iCs w:val="0"/>
                <w:color w:val="000000"/>
                <w:kern w:val="0"/>
                <w:sz w:val="24"/>
                <w:szCs w:val="24"/>
                <w:lang w:val="en-US" w:eastAsia="zh-CN" w:bidi="ar"/>
              </w:rPr>
            </w:pPr>
            <w:r>
              <w:rPr>
                <w:rFonts w:hint="eastAsia" w:ascii="仿宋_GB2312" w:hAnsi="仿宋_GB2312" w:eastAsia="仿宋_GB2312" w:cs="仿宋_GB2312"/>
                <w:i w:val="0"/>
                <w:iCs w:val="0"/>
                <w:color w:val="000000"/>
                <w:kern w:val="0"/>
                <w:sz w:val="24"/>
                <w:szCs w:val="24"/>
                <w:lang w:val="en-US" w:eastAsia="zh-CN" w:bidi="ar"/>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EA743">
            <w:pPr>
              <w:widowControl/>
              <w:spacing w:line="240" w:lineRule="exact"/>
              <w:jc w:val="left"/>
              <w:textAlignment w:val="center"/>
              <w:rPr>
                <w:rFonts w:hint="eastAsia" w:ascii="仿宋_GB2312" w:hAnsi="仿宋_GB2312" w:eastAsia="仿宋_GB2312" w:cs="仿宋_GB2312"/>
                <w:i w:val="0"/>
                <w:iCs w:val="0"/>
                <w:color w:val="000000"/>
                <w:kern w:val="0"/>
                <w:sz w:val="24"/>
                <w:szCs w:val="24"/>
              </w:rPr>
            </w:pPr>
          </w:p>
        </w:tc>
      </w:tr>
      <w:tr w14:paraId="315EDFD1">
        <w:tblPrEx>
          <w:tblCellMar>
            <w:top w:w="0" w:type="dxa"/>
            <w:left w:w="108" w:type="dxa"/>
            <w:bottom w:w="0" w:type="dxa"/>
            <w:right w:w="108" w:type="dxa"/>
          </w:tblCellMar>
        </w:tblPrEx>
        <w:trPr>
          <w:trHeight w:val="23" w:hRule="atLeast"/>
          <w:jc w:val="center"/>
        </w:trPr>
        <w:tc>
          <w:tcPr>
            <w:tcW w:w="1097" w:type="dxa"/>
            <w:vMerge w:val="continue"/>
            <w:tcBorders>
              <w:left w:val="single" w:color="000000" w:sz="4" w:space="0"/>
              <w:right w:val="single" w:color="000000" w:sz="4" w:space="0"/>
            </w:tcBorders>
            <w:shd w:val="clear" w:color="auto" w:fill="auto"/>
            <w:vAlign w:val="center"/>
          </w:tcPr>
          <w:p w14:paraId="0650C097">
            <w:pPr>
              <w:widowControl/>
              <w:spacing w:line="240" w:lineRule="exact"/>
              <w:jc w:val="center"/>
              <w:rPr>
                <w:rFonts w:hint="eastAsia" w:ascii="仿宋_GB2312" w:hAnsi="仿宋_GB2312" w:eastAsia="仿宋_GB2312" w:cs="仿宋_GB2312"/>
                <w:b/>
                <w:i w:val="0"/>
                <w:iCs w:val="0"/>
                <w:color w:val="000000"/>
                <w:sz w:val="24"/>
                <w:szCs w:val="24"/>
              </w:rPr>
            </w:pPr>
          </w:p>
        </w:tc>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590F48">
            <w:pPr>
              <w:widowControl/>
              <w:spacing w:line="240" w:lineRule="exact"/>
              <w:jc w:val="center"/>
              <w:rPr>
                <w:rFonts w:hint="eastAsia" w:ascii="仿宋_GB2312" w:hAnsi="仿宋_GB2312" w:eastAsia="仿宋_GB2312" w:cs="仿宋_GB2312"/>
                <w:b/>
                <w:i w:val="0"/>
                <w:iCs w:val="0"/>
                <w:color w:val="000000"/>
                <w:sz w:val="24"/>
                <w:szCs w:val="24"/>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700CA">
            <w:pPr>
              <w:widowControl/>
              <w:spacing w:line="240" w:lineRule="exact"/>
              <w:jc w:val="center"/>
              <w:textAlignment w:val="center"/>
              <w:rPr>
                <w:rFonts w:hint="eastAsia" w:ascii="仿宋_GB2312" w:hAnsi="仿宋_GB2312" w:eastAsia="仿宋_GB2312" w:cs="仿宋_GB2312"/>
                <w:i w:val="0"/>
                <w:iCs w:val="0"/>
                <w:color w:val="000000"/>
                <w:sz w:val="24"/>
                <w:szCs w:val="24"/>
              </w:rPr>
            </w:pPr>
            <w:r>
              <w:rPr>
                <w:rFonts w:hint="eastAsia" w:ascii="仿宋_GB2312" w:hAnsi="仿宋_GB2312" w:eastAsia="仿宋_GB2312" w:cs="仿宋_GB2312"/>
                <w:i w:val="0"/>
                <w:iCs w:val="0"/>
                <w:color w:val="000000"/>
                <w:kern w:val="0"/>
                <w:sz w:val="24"/>
                <w:szCs w:val="24"/>
              </w:rPr>
              <w:t>资金使用规范</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69869">
            <w:pPr>
              <w:widowControl/>
              <w:spacing w:line="240" w:lineRule="exact"/>
              <w:jc w:val="center"/>
              <w:textAlignment w:val="center"/>
              <w:rPr>
                <w:rFonts w:hint="eastAsia" w:ascii="仿宋_GB2312" w:hAnsi="仿宋_GB2312" w:eastAsia="仿宋_GB2312" w:cs="仿宋_GB2312"/>
                <w:i w:val="0"/>
                <w:iCs w:val="0"/>
                <w:color w:val="000000"/>
                <w:sz w:val="24"/>
                <w:szCs w:val="24"/>
              </w:rPr>
            </w:pPr>
            <w:r>
              <w:rPr>
                <w:rFonts w:hint="eastAsia" w:ascii="仿宋_GB2312" w:hAnsi="仿宋_GB2312" w:eastAsia="仿宋_GB2312" w:cs="仿宋_GB2312"/>
                <w:i w:val="0"/>
                <w:iCs w:val="0"/>
                <w:color w:val="000000"/>
                <w:kern w:val="0"/>
                <w:sz w:val="24"/>
                <w:szCs w:val="24"/>
              </w:rPr>
              <w:t>4</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2CCC0">
            <w:pPr>
              <w:widowControl/>
              <w:spacing w:line="240" w:lineRule="exact"/>
              <w:jc w:val="left"/>
              <w:textAlignment w:val="center"/>
              <w:rPr>
                <w:rFonts w:hint="eastAsia" w:ascii="仿宋_GB2312" w:hAnsi="仿宋_GB2312" w:eastAsia="仿宋_GB2312" w:cs="仿宋_GB2312"/>
                <w:i w:val="0"/>
                <w:iCs w:val="0"/>
                <w:color w:val="000000"/>
                <w:sz w:val="24"/>
                <w:szCs w:val="24"/>
              </w:rPr>
            </w:pPr>
            <w:r>
              <w:rPr>
                <w:rFonts w:hint="eastAsia" w:ascii="仿宋_GB2312" w:hAnsi="仿宋_GB2312" w:eastAsia="仿宋_GB2312" w:cs="仿宋_GB2312"/>
                <w:i w:val="0"/>
                <w:iCs w:val="0"/>
                <w:color w:val="000000"/>
                <w:kern w:val="0"/>
                <w:sz w:val="24"/>
                <w:szCs w:val="24"/>
              </w:rPr>
              <w:t>部门资金使用是否符合相关财务管理制度规定</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25BD1">
            <w:pPr>
              <w:widowControl/>
              <w:spacing w:line="240" w:lineRule="exact"/>
              <w:jc w:val="left"/>
              <w:textAlignment w:val="center"/>
              <w:rPr>
                <w:rFonts w:hint="eastAsia" w:ascii="仿宋_GB2312" w:hAnsi="仿宋_GB2312" w:eastAsia="仿宋_GB2312" w:cs="仿宋_GB2312"/>
                <w:i w:val="0"/>
                <w:iCs w:val="0"/>
                <w:color w:val="000000"/>
                <w:kern w:val="0"/>
                <w:sz w:val="24"/>
                <w:szCs w:val="24"/>
                <w:lang w:val="en-US" w:eastAsia="zh-CN" w:bidi="ar"/>
              </w:rPr>
            </w:pPr>
            <w:r>
              <w:rPr>
                <w:rFonts w:hint="eastAsia" w:ascii="仿宋_GB2312" w:hAnsi="仿宋_GB2312" w:eastAsia="仿宋_GB2312" w:cs="仿宋_GB2312"/>
                <w:i w:val="0"/>
                <w:iCs w:val="0"/>
                <w:color w:val="000000"/>
                <w:kern w:val="0"/>
                <w:sz w:val="24"/>
                <w:szCs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52AC8">
            <w:pPr>
              <w:widowControl/>
              <w:spacing w:line="240" w:lineRule="exact"/>
              <w:jc w:val="left"/>
              <w:textAlignment w:val="center"/>
              <w:rPr>
                <w:rFonts w:hint="eastAsia" w:ascii="仿宋_GB2312" w:hAnsi="仿宋_GB2312" w:eastAsia="仿宋_GB2312" w:cs="仿宋_GB2312"/>
                <w:i w:val="0"/>
                <w:iCs w:val="0"/>
                <w:color w:val="000000"/>
                <w:kern w:val="0"/>
                <w:sz w:val="24"/>
                <w:szCs w:val="24"/>
              </w:rPr>
            </w:pPr>
          </w:p>
        </w:tc>
      </w:tr>
      <w:tr w14:paraId="3E1A9AC6">
        <w:tblPrEx>
          <w:tblCellMar>
            <w:top w:w="0" w:type="dxa"/>
            <w:left w:w="108" w:type="dxa"/>
            <w:bottom w:w="0" w:type="dxa"/>
            <w:right w:w="108" w:type="dxa"/>
          </w:tblCellMar>
        </w:tblPrEx>
        <w:trPr>
          <w:trHeight w:val="23" w:hRule="atLeast"/>
          <w:jc w:val="center"/>
        </w:trPr>
        <w:tc>
          <w:tcPr>
            <w:tcW w:w="1097" w:type="dxa"/>
            <w:vMerge w:val="continue"/>
            <w:tcBorders>
              <w:left w:val="single" w:color="000000" w:sz="4" w:space="0"/>
              <w:right w:val="single" w:color="000000" w:sz="4" w:space="0"/>
            </w:tcBorders>
            <w:shd w:val="clear" w:color="auto" w:fill="auto"/>
            <w:vAlign w:val="center"/>
          </w:tcPr>
          <w:p w14:paraId="0B2EA7C7">
            <w:pPr>
              <w:widowControl/>
              <w:spacing w:line="240" w:lineRule="exact"/>
              <w:jc w:val="center"/>
              <w:rPr>
                <w:rFonts w:hint="eastAsia" w:ascii="仿宋_GB2312" w:hAnsi="仿宋_GB2312" w:eastAsia="仿宋_GB2312" w:cs="仿宋_GB2312"/>
                <w:b/>
                <w:i w:val="0"/>
                <w:iCs w:val="0"/>
                <w:color w:val="000000"/>
                <w:sz w:val="24"/>
                <w:szCs w:val="24"/>
              </w:rPr>
            </w:pPr>
          </w:p>
        </w:tc>
        <w:tc>
          <w:tcPr>
            <w:tcW w:w="12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67246B">
            <w:pPr>
              <w:widowControl/>
              <w:spacing w:line="240" w:lineRule="exact"/>
              <w:jc w:val="center"/>
              <w:textAlignment w:val="center"/>
              <w:rPr>
                <w:rFonts w:hint="eastAsia" w:ascii="仿宋_GB2312" w:hAnsi="仿宋_GB2312" w:eastAsia="仿宋_GB2312" w:cs="仿宋_GB2312"/>
                <w:b/>
                <w:i w:val="0"/>
                <w:iCs w:val="0"/>
                <w:color w:val="000000"/>
                <w:sz w:val="24"/>
                <w:szCs w:val="24"/>
              </w:rPr>
            </w:pPr>
            <w:r>
              <w:rPr>
                <w:rFonts w:hint="eastAsia" w:ascii="仿宋_GB2312" w:hAnsi="仿宋_GB2312" w:eastAsia="仿宋_GB2312" w:cs="仿宋_GB2312"/>
                <w:b/>
                <w:i w:val="0"/>
                <w:iCs w:val="0"/>
                <w:color w:val="000000"/>
                <w:kern w:val="0"/>
                <w:sz w:val="24"/>
                <w:szCs w:val="24"/>
              </w:rPr>
              <w:t>资产管理</w:t>
            </w:r>
            <w:r>
              <w:rPr>
                <w:rFonts w:hint="eastAsia" w:ascii="仿宋_GB2312" w:hAnsi="仿宋_GB2312" w:eastAsia="仿宋_GB2312" w:cs="仿宋_GB2312"/>
                <w:b/>
                <w:i w:val="0"/>
                <w:iCs w:val="0"/>
                <w:color w:val="000000"/>
                <w:kern w:val="0"/>
                <w:sz w:val="24"/>
                <w:szCs w:val="24"/>
              </w:rPr>
              <w:br w:type="textWrapping"/>
            </w:r>
            <w:r>
              <w:rPr>
                <w:rFonts w:hint="eastAsia" w:ascii="仿宋_GB2312" w:hAnsi="仿宋_GB2312" w:eastAsia="仿宋_GB2312" w:cs="仿宋_GB2312"/>
                <w:b/>
                <w:i w:val="0"/>
                <w:iCs w:val="0"/>
                <w:color w:val="000000"/>
                <w:kern w:val="0"/>
                <w:sz w:val="24"/>
                <w:szCs w:val="24"/>
              </w:rPr>
              <w:t>（9分）</w:t>
            </w: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3AB57">
            <w:pPr>
              <w:widowControl/>
              <w:spacing w:line="240" w:lineRule="exact"/>
              <w:jc w:val="center"/>
              <w:textAlignment w:val="center"/>
              <w:rPr>
                <w:rFonts w:hint="eastAsia" w:ascii="仿宋_GB2312" w:hAnsi="仿宋_GB2312" w:eastAsia="仿宋_GB2312" w:cs="仿宋_GB2312"/>
                <w:i w:val="0"/>
                <w:iCs w:val="0"/>
                <w:color w:val="000000"/>
                <w:sz w:val="24"/>
                <w:szCs w:val="24"/>
              </w:rPr>
            </w:pPr>
            <w:r>
              <w:rPr>
                <w:rFonts w:hint="eastAsia" w:ascii="仿宋_GB2312" w:hAnsi="仿宋_GB2312" w:eastAsia="仿宋_GB2312" w:cs="仿宋_GB2312"/>
                <w:i w:val="0"/>
                <w:iCs w:val="0"/>
                <w:color w:val="000000"/>
                <w:kern w:val="0"/>
                <w:sz w:val="24"/>
                <w:szCs w:val="24"/>
              </w:rPr>
              <w:t>人均资产变化率</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18EF8">
            <w:pPr>
              <w:widowControl/>
              <w:spacing w:line="240" w:lineRule="exact"/>
              <w:jc w:val="center"/>
              <w:textAlignment w:val="center"/>
              <w:rPr>
                <w:rFonts w:hint="eastAsia" w:ascii="仿宋_GB2312" w:hAnsi="仿宋_GB2312" w:eastAsia="仿宋_GB2312" w:cs="仿宋_GB2312"/>
                <w:i w:val="0"/>
                <w:iCs w:val="0"/>
                <w:color w:val="000000"/>
                <w:sz w:val="24"/>
                <w:szCs w:val="24"/>
              </w:rPr>
            </w:pPr>
            <w:r>
              <w:rPr>
                <w:rFonts w:hint="eastAsia" w:ascii="仿宋_GB2312" w:hAnsi="仿宋_GB2312" w:eastAsia="仿宋_GB2312" w:cs="仿宋_GB2312"/>
                <w:i w:val="0"/>
                <w:iCs w:val="0"/>
                <w:color w:val="000000"/>
                <w:kern w:val="0"/>
                <w:sz w:val="24"/>
                <w:szCs w:val="24"/>
              </w:rPr>
              <w:t>3</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206F4">
            <w:pPr>
              <w:widowControl/>
              <w:spacing w:line="240" w:lineRule="exact"/>
              <w:jc w:val="left"/>
              <w:textAlignment w:val="center"/>
              <w:rPr>
                <w:rFonts w:hint="eastAsia" w:ascii="仿宋_GB2312" w:hAnsi="仿宋_GB2312" w:eastAsia="仿宋_GB2312" w:cs="仿宋_GB2312"/>
                <w:i w:val="0"/>
                <w:iCs w:val="0"/>
                <w:color w:val="000000"/>
                <w:sz w:val="24"/>
                <w:szCs w:val="24"/>
              </w:rPr>
            </w:pPr>
            <w:r>
              <w:rPr>
                <w:rFonts w:hint="eastAsia" w:ascii="仿宋_GB2312" w:hAnsi="仿宋_GB2312" w:eastAsia="仿宋_GB2312" w:cs="仿宋_GB2312"/>
                <w:i w:val="0"/>
                <w:iCs w:val="0"/>
                <w:color w:val="000000"/>
                <w:kern w:val="0"/>
                <w:sz w:val="24"/>
                <w:szCs w:val="24"/>
              </w:rPr>
              <w:t>部门人均资产变化情况</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7EB3F">
            <w:pPr>
              <w:widowControl/>
              <w:spacing w:line="240" w:lineRule="exact"/>
              <w:jc w:val="left"/>
              <w:textAlignment w:val="center"/>
              <w:rPr>
                <w:rFonts w:hint="eastAsia" w:ascii="仿宋_GB2312" w:hAnsi="仿宋_GB2312" w:eastAsia="仿宋_GB2312" w:cs="仿宋_GB2312"/>
                <w:i w:val="0"/>
                <w:iCs w:val="0"/>
                <w:color w:val="000000"/>
                <w:kern w:val="0"/>
                <w:sz w:val="24"/>
                <w:szCs w:val="24"/>
                <w:lang w:val="en-US" w:eastAsia="zh-CN" w:bidi="ar"/>
              </w:rPr>
            </w:pPr>
            <w:r>
              <w:rPr>
                <w:rFonts w:hint="eastAsia" w:ascii="仿宋_GB2312" w:hAnsi="仿宋_GB2312" w:eastAsia="仿宋_GB2312" w:cs="仿宋_GB2312"/>
                <w:i w:val="0"/>
                <w:iCs w:val="0"/>
                <w:color w:val="000000"/>
                <w:kern w:val="0"/>
                <w:sz w:val="24"/>
                <w:szCs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0EDF6">
            <w:pPr>
              <w:widowControl/>
              <w:spacing w:line="240" w:lineRule="exact"/>
              <w:jc w:val="left"/>
              <w:textAlignment w:val="center"/>
              <w:rPr>
                <w:rFonts w:hint="eastAsia" w:ascii="仿宋_GB2312" w:hAnsi="仿宋_GB2312" w:eastAsia="仿宋_GB2312" w:cs="仿宋_GB2312"/>
                <w:i w:val="0"/>
                <w:iCs w:val="0"/>
                <w:color w:val="000000"/>
                <w:kern w:val="0"/>
                <w:sz w:val="24"/>
                <w:szCs w:val="24"/>
              </w:rPr>
            </w:pPr>
          </w:p>
        </w:tc>
      </w:tr>
      <w:tr w14:paraId="397A6D82">
        <w:tblPrEx>
          <w:tblCellMar>
            <w:top w:w="0" w:type="dxa"/>
            <w:left w:w="108" w:type="dxa"/>
            <w:bottom w:w="0" w:type="dxa"/>
            <w:right w:w="108" w:type="dxa"/>
          </w:tblCellMar>
        </w:tblPrEx>
        <w:trPr>
          <w:trHeight w:val="23" w:hRule="atLeast"/>
          <w:jc w:val="center"/>
        </w:trPr>
        <w:tc>
          <w:tcPr>
            <w:tcW w:w="1097" w:type="dxa"/>
            <w:vMerge w:val="continue"/>
            <w:tcBorders>
              <w:left w:val="single" w:color="000000" w:sz="4" w:space="0"/>
              <w:right w:val="single" w:color="000000" w:sz="4" w:space="0"/>
            </w:tcBorders>
            <w:shd w:val="clear" w:color="auto" w:fill="auto"/>
            <w:vAlign w:val="center"/>
          </w:tcPr>
          <w:p w14:paraId="55043C8E">
            <w:pPr>
              <w:widowControl/>
              <w:spacing w:line="240" w:lineRule="exact"/>
              <w:jc w:val="center"/>
              <w:rPr>
                <w:rFonts w:hint="eastAsia" w:ascii="仿宋_GB2312" w:hAnsi="仿宋_GB2312" w:eastAsia="仿宋_GB2312" w:cs="仿宋_GB2312"/>
                <w:b/>
                <w:i w:val="0"/>
                <w:iCs w:val="0"/>
                <w:color w:val="000000"/>
                <w:sz w:val="24"/>
                <w:szCs w:val="24"/>
              </w:rPr>
            </w:pPr>
          </w:p>
        </w:tc>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498E77">
            <w:pPr>
              <w:widowControl/>
              <w:spacing w:line="240" w:lineRule="exact"/>
              <w:jc w:val="center"/>
              <w:rPr>
                <w:rFonts w:hint="eastAsia" w:ascii="仿宋_GB2312" w:hAnsi="仿宋_GB2312" w:eastAsia="仿宋_GB2312" w:cs="仿宋_GB2312"/>
                <w:b/>
                <w:i w:val="0"/>
                <w:iCs w:val="0"/>
                <w:color w:val="000000"/>
                <w:sz w:val="24"/>
                <w:szCs w:val="24"/>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C9232">
            <w:pPr>
              <w:widowControl/>
              <w:spacing w:line="240" w:lineRule="exact"/>
              <w:jc w:val="center"/>
              <w:textAlignment w:val="center"/>
              <w:rPr>
                <w:rFonts w:hint="eastAsia" w:ascii="仿宋_GB2312" w:hAnsi="仿宋_GB2312" w:eastAsia="仿宋_GB2312" w:cs="仿宋_GB2312"/>
                <w:i w:val="0"/>
                <w:iCs w:val="0"/>
                <w:color w:val="000000"/>
                <w:sz w:val="24"/>
                <w:szCs w:val="24"/>
              </w:rPr>
            </w:pPr>
            <w:r>
              <w:rPr>
                <w:rFonts w:hint="eastAsia" w:ascii="仿宋_GB2312" w:hAnsi="仿宋_GB2312" w:eastAsia="仿宋_GB2312" w:cs="仿宋_GB2312"/>
                <w:i w:val="0"/>
                <w:iCs w:val="0"/>
                <w:color w:val="000000"/>
                <w:kern w:val="0"/>
                <w:sz w:val="24"/>
                <w:szCs w:val="24"/>
              </w:rPr>
              <w:t>资产利用率</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A440C">
            <w:pPr>
              <w:widowControl/>
              <w:spacing w:line="240" w:lineRule="exact"/>
              <w:jc w:val="center"/>
              <w:textAlignment w:val="center"/>
              <w:rPr>
                <w:rFonts w:hint="eastAsia" w:ascii="仿宋_GB2312" w:hAnsi="仿宋_GB2312" w:eastAsia="仿宋_GB2312" w:cs="仿宋_GB2312"/>
                <w:i w:val="0"/>
                <w:iCs w:val="0"/>
                <w:color w:val="000000"/>
                <w:sz w:val="24"/>
                <w:szCs w:val="24"/>
              </w:rPr>
            </w:pPr>
            <w:r>
              <w:rPr>
                <w:rFonts w:hint="eastAsia" w:ascii="仿宋_GB2312" w:hAnsi="仿宋_GB2312" w:eastAsia="仿宋_GB2312" w:cs="仿宋_GB2312"/>
                <w:i w:val="0"/>
                <w:iCs w:val="0"/>
                <w:color w:val="000000"/>
                <w:kern w:val="0"/>
                <w:sz w:val="24"/>
                <w:szCs w:val="24"/>
              </w:rPr>
              <w:t>3</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E2E9C">
            <w:pPr>
              <w:widowControl/>
              <w:spacing w:line="240" w:lineRule="exact"/>
              <w:jc w:val="left"/>
              <w:textAlignment w:val="center"/>
              <w:rPr>
                <w:rFonts w:hint="eastAsia" w:ascii="仿宋_GB2312" w:hAnsi="仿宋_GB2312" w:eastAsia="仿宋_GB2312" w:cs="仿宋_GB2312"/>
                <w:i w:val="0"/>
                <w:iCs w:val="0"/>
                <w:color w:val="000000"/>
                <w:sz w:val="24"/>
                <w:szCs w:val="24"/>
              </w:rPr>
            </w:pPr>
            <w:r>
              <w:rPr>
                <w:rFonts w:hint="eastAsia" w:ascii="仿宋_GB2312" w:hAnsi="仿宋_GB2312" w:eastAsia="仿宋_GB2312" w:cs="仿宋_GB2312"/>
                <w:i w:val="0"/>
                <w:iCs w:val="0"/>
                <w:color w:val="000000"/>
                <w:kern w:val="0"/>
                <w:sz w:val="24"/>
                <w:szCs w:val="24"/>
              </w:rPr>
              <w:t>部门资产超最低使用年限情况</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59CAA">
            <w:pPr>
              <w:widowControl/>
              <w:spacing w:line="240" w:lineRule="exact"/>
              <w:jc w:val="left"/>
              <w:textAlignment w:val="center"/>
              <w:rPr>
                <w:rFonts w:hint="eastAsia" w:ascii="仿宋_GB2312" w:hAnsi="仿宋_GB2312" w:eastAsia="仿宋_GB2312" w:cs="仿宋_GB2312"/>
                <w:i w:val="0"/>
                <w:iCs w:val="0"/>
                <w:color w:val="000000"/>
                <w:kern w:val="0"/>
                <w:sz w:val="24"/>
                <w:szCs w:val="24"/>
                <w:lang w:val="en-US" w:eastAsia="zh-CN" w:bidi="ar"/>
              </w:rPr>
            </w:pPr>
            <w:r>
              <w:rPr>
                <w:rFonts w:hint="eastAsia" w:ascii="仿宋_GB2312" w:hAnsi="仿宋_GB2312" w:eastAsia="仿宋_GB2312" w:cs="仿宋_GB2312"/>
                <w:i w:val="0"/>
                <w:iCs w:val="0"/>
                <w:color w:val="000000"/>
                <w:kern w:val="0"/>
                <w:sz w:val="24"/>
                <w:szCs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140AC">
            <w:pPr>
              <w:widowControl/>
              <w:spacing w:line="240" w:lineRule="exact"/>
              <w:jc w:val="left"/>
              <w:textAlignment w:val="center"/>
              <w:rPr>
                <w:rFonts w:hint="eastAsia" w:ascii="仿宋_GB2312" w:hAnsi="仿宋_GB2312" w:eastAsia="仿宋_GB2312" w:cs="仿宋_GB2312"/>
                <w:i w:val="0"/>
                <w:iCs w:val="0"/>
                <w:color w:val="000000"/>
                <w:kern w:val="0"/>
                <w:sz w:val="24"/>
                <w:szCs w:val="24"/>
              </w:rPr>
            </w:pPr>
          </w:p>
        </w:tc>
      </w:tr>
      <w:tr w14:paraId="3B4CC05F">
        <w:tblPrEx>
          <w:tblCellMar>
            <w:top w:w="0" w:type="dxa"/>
            <w:left w:w="108" w:type="dxa"/>
            <w:bottom w:w="0" w:type="dxa"/>
            <w:right w:w="108" w:type="dxa"/>
          </w:tblCellMar>
        </w:tblPrEx>
        <w:trPr>
          <w:trHeight w:val="23" w:hRule="atLeast"/>
          <w:jc w:val="center"/>
        </w:trPr>
        <w:tc>
          <w:tcPr>
            <w:tcW w:w="1097" w:type="dxa"/>
            <w:vMerge w:val="continue"/>
            <w:tcBorders>
              <w:left w:val="single" w:color="000000" w:sz="4" w:space="0"/>
              <w:right w:val="single" w:color="000000" w:sz="4" w:space="0"/>
            </w:tcBorders>
            <w:shd w:val="clear" w:color="auto" w:fill="auto"/>
            <w:vAlign w:val="center"/>
          </w:tcPr>
          <w:p w14:paraId="29F966CF">
            <w:pPr>
              <w:widowControl/>
              <w:spacing w:line="240" w:lineRule="exact"/>
              <w:jc w:val="center"/>
              <w:textAlignment w:val="center"/>
              <w:rPr>
                <w:rFonts w:hint="eastAsia" w:ascii="仿宋_GB2312" w:hAnsi="仿宋_GB2312" w:eastAsia="仿宋_GB2312" w:cs="仿宋_GB2312"/>
                <w:b/>
                <w:i w:val="0"/>
                <w:iCs w:val="0"/>
                <w:color w:val="000000"/>
                <w:sz w:val="24"/>
                <w:szCs w:val="24"/>
              </w:rPr>
            </w:pP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86A8D">
            <w:pPr>
              <w:widowControl/>
              <w:spacing w:line="240" w:lineRule="exact"/>
              <w:jc w:val="center"/>
              <w:textAlignment w:val="center"/>
              <w:rPr>
                <w:rFonts w:hint="eastAsia" w:ascii="仿宋_GB2312" w:hAnsi="仿宋_GB2312" w:eastAsia="仿宋_GB2312" w:cs="仿宋_GB2312"/>
                <w:b/>
                <w:i w:val="0"/>
                <w:iCs w:val="0"/>
                <w:color w:val="000000"/>
                <w:sz w:val="24"/>
                <w:szCs w:val="24"/>
              </w:rPr>
            </w:pPr>
            <w:r>
              <w:rPr>
                <w:rFonts w:hint="eastAsia" w:ascii="仿宋_GB2312" w:hAnsi="仿宋_GB2312" w:eastAsia="仿宋_GB2312" w:cs="仿宋_GB2312"/>
                <w:b/>
                <w:i w:val="0"/>
                <w:iCs w:val="0"/>
                <w:color w:val="000000"/>
                <w:kern w:val="0"/>
                <w:sz w:val="24"/>
                <w:szCs w:val="24"/>
              </w:rPr>
              <w:t>资产管理</w:t>
            </w:r>
            <w:r>
              <w:rPr>
                <w:rFonts w:hint="eastAsia" w:ascii="仿宋_GB2312" w:hAnsi="仿宋_GB2312" w:eastAsia="仿宋_GB2312" w:cs="仿宋_GB2312"/>
                <w:b/>
                <w:i w:val="0"/>
                <w:iCs w:val="0"/>
                <w:color w:val="000000"/>
                <w:kern w:val="0"/>
                <w:sz w:val="24"/>
                <w:szCs w:val="24"/>
              </w:rPr>
              <w:br w:type="textWrapping"/>
            </w:r>
            <w:r>
              <w:rPr>
                <w:rFonts w:hint="eastAsia" w:ascii="仿宋_GB2312" w:hAnsi="仿宋_GB2312" w:eastAsia="仿宋_GB2312" w:cs="仿宋_GB2312"/>
                <w:b/>
                <w:i w:val="0"/>
                <w:iCs w:val="0"/>
                <w:color w:val="000000"/>
                <w:kern w:val="0"/>
                <w:sz w:val="24"/>
                <w:szCs w:val="24"/>
              </w:rPr>
              <w:t>（9分）</w:t>
            </w: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C185F">
            <w:pPr>
              <w:widowControl/>
              <w:spacing w:line="240" w:lineRule="exact"/>
              <w:jc w:val="center"/>
              <w:textAlignment w:val="center"/>
              <w:rPr>
                <w:rFonts w:hint="eastAsia" w:ascii="仿宋_GB2312" w:hAnsi="仿宋_GB2312" w:eastAsia="仿宋_GB2312" w:cs="仿宋_GB2312"/>
                <w:i w:val="0"/>
                <w:iCs w:val="0"/>
                <w:color w:val="000000"/>
                <w:sz w:val="24"/>
                <w:szCs w:val="24"/>
              </w:rPr>
            </w:pPr>
            <w:r>
              <w:rPr>
                <w:rFonts w:hint="eastAsia" w:ascii="仿宋_GB2312" w:hAnsi="仿宋_GB2312" w:eastAsia="仿宋_GB2312" w:cs="仿宋_GB2312"/>
                <w:i w:val="0"/>
                <w:iCs w:val="0"/>
                <w:color w:val="000000"/>
                <w:kern w:val="0"/>
                <w:sz w:val="24"/>
                <w:szCs w:val="24"/>
              </w:rPr>
              <w:t>资产盘活率</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B7064">
            <w:pPr>
              <w:widowControl/>
              <w:spacing w:line="240" w:lineRule="exact"/>
              <w:jc w:val="center"/>
              <w:textAlignment w:val="center"/>
              <w:rPr>
                <w:rFonts w:hint="eastAsia" w:ascii="仿宋_GB2312" w:hAnsi="仿宋_GB2312" w:eastAsia="仿宋_GB2312" w:cs="仿宋_GB2312"/>
                <w:i w:val="0"/>
                <w:iCs w:val="0"/>
                <w:color w:val="000000"/>
                <w:sz w:val="24"/>
                <w:szCs w:val="24"/>
              </w:rPr>
            </w:pPr>
            <w:r>
              <w:rPr>
                <w:rFonts w:hint="eastAsia" w:ascii="仿宋_GB2312" w:hAnsi="仿宋_GB2312" w:eastAsia="仿宋_GB2312" w:cs="仿宋_GB2312"/>
                <w:i w:val="0"/>
                <w:iCs w:val="0"/>
                <w:color w:val="000000"/>
                <w:kern w:val="0"/>
                <w:sz w:val="24"/>
                <w:szCs w:val="24"/>
              </w:rPr>
              <w:t>3</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56B01">
            <w:pPr>
              <w:widowControl/>
              <w:spacing w:line="240" w:lineRule="exact"/>
              <w:jc w:val="left"/>
              <w:textAlignment w:val="center"/>
              <w:rPr>
                <w:rFonts w:hint="eastAsia" w:ascii="仿宋_GB2312" w:hAnsi="仿宋_GB2312" w:eastAsia="仿宋_GB2312" w:cs="仿宋_GB2312"/>
                <w:i w:val="0"/>
                <w:iCs w:val="0"/>
                <w:color w:val="000000"/>
                <w:sz w:val="24"/>
                <w:szCs w:val="24"/>
              </w:rPr>
            </w:pPr>
            <w:r>
              <w:rPr>
                <w:rFonts w:hint="eastAsia" w:ascii="仿宋_GB2312" w:hAnsi="仿宋_GB2312" w:eastAsia="仿宋_GB2312" w:cs="仿宋_GB2312"/>
                <w:i w:val="0"/>
                <w:iCs w:val="0"/>
                <w:color w:val="000000"/>
                <w:kern w:val="0"/>
                <w:sz w:val="24"/>
                <w:szCs w:val="24"/>
              </w:rPr>
              <w:t>部门闲置一年以上的资产盘活情况</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4A40A">
            <w:pPr>
              <w:widowControl/>
              <w:spacing w:line="240" w:lineRule="exact"/>
              <w:jc w:val="left"/>
              <w:textAlignment w:val="center"/>
              <w:rPr>
                <w:rFonts w:hint="eastAsia" w:ascii="仿宋_GB2312" w:hAnsi="仿宋_GB2312" w:eastAsia="仿宋_GB2312" w:cs="仿宋_GB2312"/>
                <w:i w:val="0"/>
                <w:iCs w:val="0"/>
                <w:color w:val="000000"/>
                <w:kern w:val="0"/>
                <w:sz w:val="24"/>
                <w:szCs w:val="24"/>
                <w:lang w:val="en-US" w:eastAsia="zh-CN" w:bidi="ar"/>
              </w:rPr>
            </w:pPr>
            <w:r>
              <w:rPr>
                <w:rFonts w:hint="eastAsia" w:ascii="仿宋_GB2312" w:hAnsi="仿宋_GB2312" w:eastAsia="仿宋_GB2312" w:cs="仿宋_GB2312"/>
                <w:i w:val="0"/>
                <w:iCs w:val="0"/>
                <w:color w:val="000000"/>
                <w:kern w:val="0"/>
                <w:sz w:val="24"/>
                <w:szCs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EF679">
            <w:pPr>
              <w:widowControl/>
              <w:spacing w:line="240" w:lineRule="exact"/>
              <w:jc w:val="left"/>
              <w:textAlignment w:val="center"/>
              <w:rPr>
                <w:rFonts w:hint="eastAsia" w:ascii="仿宋_GB2312" w:hAnsi="仿宋_GB2312" w:eastAsia="仿宋_GB2312" w:cs="仿宋_GB2312"/>
                <w:i w:val="0"/>
                <w:iCs w:val="0"/>
                <w:color w:val="000000"/>
                <w:kern w:val="0"/>
                <w:sz w:val="24"/>
                <w:szCs w:val="24"/>
              </w:rPr>
            </w:pPr>
          </w:p>
        </w:tc>
      </w:tr>
      <w:tr w14:paraId="1E59E468">
        <w:tblPrEx>
          <w:tblCellMar>
            <w:top w:w="0" w:type="dxa"/>
            <w:left w:w="108" w:type="dxa"/>
            <w:bottom w:w="0" w:type="dxa"/>
            <w:right w:w="108" w:type="dxa"/>
          </w:tblCellMar>
        </w:tblPrEx>
        <w:trPr>
          <w:trHeight w:val="23" w:hRule="atLeast"/>
          <w:jc w:val="center"/>
        </w:trPr>
        <w:tc>
          <w:tcPr>
            <w:tcW w:w="1097" w:type="dxa"/>
            <w:vMerge w:val="continue"/>
            <w:tcBorders>
              <w:left w:val="single" w:color="000000" w:sz="4" w:space="0"/>
              <w:right w:val="single" w:color="000000" w:sz="4" w:space="0"/>
            </w:tcBorders>
            <w:shd w:val="clear" w:color="auto" w:fill="auto"/>
            <w:vAlign w:val="center"/>
          </w:tcPr>
          <w:p w14:paraId="5E1F11AF">
            <w:pPr>
              <w:widowControl/>
              <w:spacing w:line="240" w:lineRule="exact"/>
              <w:jc w:val="center"/>
              <w:rPr>
                <w:rFonts w:hint="eastAsia" w:ascii="仿宋_GB2312" w:hAnsi="仿宋_GB2312" w:eastAsia="仿宋_GB2312" w:cs="仿宋_GB2312"/>
                <w:b/>
                <w:i w:val="0"/>
                <w:iCs w:val="0"/>
                <w:color w:val="000000"/>
                <w:sz w:val="24"/>
                <w:szCs w:val="24"/>
              </w:rPr>
            </w:pPr>
          </w:p>
        </w:tc>
        <w:tc>
          <w:tcPr>
            <w:tcW w:w="12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6F712A">
            <w:pPr>
              <w:widowControl/>
              <w:spacing w:line="240" w:lineRule="exact"/>
              <w:jc w:val="center"/>
              <w:textAlignment w:val="center"/>
              <w:rPr>
                <w:rFonts w:hint="eastAsia" w:ascii="仿宋_GB2312" w:hAnsi="仿宋_GB2312" w:eastAsia="仿宋_GB2312" w:cs="仿宋_GB2312"/>
                <w:b/>
                <w:i w:val="0"/>
                <w:iCs w:val="0"/>
                <w:color w:val="000000"/>
                <w:sz w:val="24"/>
                <w:szCs w:val="24"/>
              </w:rPr>
            </w:pPr>
            <w:r>
              <w:rPr>
                <w:rFonts w:hint="eastAsia" w:ascii="仿宋_GB2312" w:hAnsi="仿宋_GB2312" w:eastAsia="仿宋_GB2312" w:cs="仿宋_GB2312"/>
                <w:b/>
                <w:i w:val="0"/>
                <w:iCs w:val="0"/>
                <w:color w:val="000000"/>
                <w:kern w:val="0"/>
                <w:sz w:val="24"/>
                <w:szCs w:val="24"/>
              </w:rPr>
              <w:t>采购管理</w:t>
            </w:r>
            <w:r>
              <w:rPr>
                <w:rFonts w:hint="eastAsia" w:ascii="仿宋_GB2312" w:hAnsi="仿宋_GB2312" w:eastAsia="仿宋_GB2312" w:cs="仿宋_GB2312"/>
                <w:b/>
                <w:i w:val="0"/>
                <w:iCs w:val="0"/>
                <w:color w:val="000000"/>
                <w:kern w:val="0"/>
                <w:sz w:val="24"/>
                <w:szCs w:val="24"/>
              </w:rPr>
              <w:br w:type="textWrapping"/>
            </w:r>
            <w:r>
              <w:rPr>
                <w:rFonts w:hint="eastAsia" w:ascii="仿宋_GB2312" w:hAnsi="仿宋_GB2312" w:eastAsia="仿宋_GB2312" w:cs="仿宋_GB2312"/>
                <w:b/>
                <w:i w:val="0"/>
                <w:iCs w:val="0"/>
                <w:color w:val="000000"/>
                <w:kern w:val="0"/>
                <w:sz w:val="24"/>
                <w:szCs w:val="24"/>
              </w:rPr>
              <w:t>（6分）</w:t>
            </w: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E6265">
            <w:pPr>
              <w:widowControl/>
              <w:spacing w:line="240" w:lineRule="exact"/>
              <w:jc w:val="center"/>
              <w:textAlignment w:val="center"/>
              <w:rPr>
                <w:rFonts w:hint="eastAsia" w:ascii="仿宋_GB2312" w:hAnsi="仿宋_GB2312" w:eastAsia="仿宋_GB2312" w:cs="仿宋_GB2312"/>
                <w:i w:val="0"/>
                <w:iCs w:val="0"/>
                <w:color w:val="000000"/>
                <w:sz w:val="24"/>
                <w:szCs w:val="24"/>
              </w:rPr>
            </w:pPr>
            <w:r>
              <w:rPr>
                <w:rFonts w:hint="eastAsia" w:ascii="仿宋_GB2312" w:hAnsi="仿宋_GB2312" w:eastAsia="仿宋_GB2312" w:cs="仿宋_GB2312"/>
                <w:i w:val="0"/>
                <w:iCs w:val="0"/>
                <w:color w:val="000000"/>
                <w:kern w:val="0"/>
                <w:sz w:val="24"/>
                <w:szCs w:val="24"/>
              </w:rPr>
              <w:t>支持中小企业发展</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AC4BF">
            <w:pPr>
              <w:widowControl/>
              <w:spacing w:line="240" w:lineRule="exact"/>
              <w:jc w:val="center"/>
              <w:textAlignment w:val="center"/>
              <w:rPr>
                <w:rFonts w:hint="eastAsia" w:ascii="仿宋_GB2312" w:hAnsi="仿宋_GB2312" w:eastAsia="仿宋_GB2312" w:cs="仿宋_GB2312"/>
                <w:i w:val="0"/>
                <w:iCs w:val="0"/>
                <w:color w:val="000000"/>
                <w:sz w:val="24"/>
                <w:szCs w:val="24"/>
              </w:rPr>
            </w:pPr>
            <w:r>
              <w:rPr>
                <w:rFonts w:hint="eastAsia" w:ascii="仿宋_GB2312" w:hAnsi="仿宋_GB2312" w:eastAsia="仿宋_GB2312" w:cs="仿宋_GB2312"/>
                <w:i w:val="0"/>
                <w:iCs w:val="0"/>
                <w:color w:val="000000"/>
                <w:kern w:val="0"/>
                <w:sz w:val="24"/>
                <w:szCs w:val="24"/>
              </w:rPr>
              <w:t>3</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E9854">
            <w:pPr>
              <w:widowControl/>
              <w:spacing w:line="240" w:lineRule="exact"/>
              <w:jc w:val="left"/>
              <w:textAlignment w:val="center"/>
              <w:rPr>
                <w:rFonts w:hint="eastAsia" w:ascii="仿宋_GB2312" w:hAnsi="仿宋_GB2312" w:eastAsia="仿宋_GB2312" w:cs="仿宋_GB2312"/>
                <w:i w:val="0"/>
                <w:iCs w:val="0"/>
                <w:color w:val="000000"/>
                <w:sz w:val="24"/>
                <w:szCs w:val="24"/>
              </w:rPr>
            </w:pPr>
            <w:r>
              <w:rPr>
                <w:rFonts w:hint="eastAsia" w:ascii="仿宋_GB2312" w:hAnsi="仿宋_GB2312" w:eastAsia="仿宋_GB2312" w:cs="仿宋_GB2312"/>
                <w:i w:val="0"/>
                <w:iCs w:val="0"/>
                <w:color w:val="000000"/>
                <w:kern w:val="0"/>
                <w:sz w:val="24"/>
                <w:szCs w:val="24"/>
              </w:rPr>
              <w:t>部门是否严格执行政府采购促进中小企业发展相关管理办法</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A8F89">
            <w:pPr>
              <w:widowControl/>
              <w:spacing w:line="240" w:lineRule="exact"/>
              <w:jc w:val="left"/>
              <w:textAlignment w:val="center"/>
              <w:rPr>
                <w:rFonts w:hint="eastAsia" w:ascii="仿宋_GB2312" w:hAnsi="仿宋_GB2312" w:eastAsia="仿宋_GB2312" w:cs="仿宋_GB2312"/>
                <w:i w:val="0"/>
                <w:iCs w:val="0"/>
                <w:color w:val="000000"/>
                <w:kern w:val="0"/>
                <w:sz w:val="24"/>
                <w:szCs w:val="24"/>
                <w:lang w:val="en-US" w:eastAsia="zh-CN" w:bidi="ar"/>
              </w:rPr>
            </w:pPr>
            <w:r>
              <w:rPr>
                <w:rFonts w:hint="eastAsia" w:ascii="仿宋_GB2312" w:hAnsi="仿宋_GB2312" w:eastAsia="仿宋_GB2312" w:cs="仿宋_GB2312"/>
                <w:i w:val="0"/>
                <w:iCs w:val="0"/>
                <w:color w:val="000000"/>
                <w:kern w:val="0"/>
                <w:sz w:val="24"/>
                <w:szCs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62BCE">
            <w:pPr>
              <w:widowControl/>
              <w:spacing w:line="240" w:lineRule="exact"/>
              <w:jc w:val="left"/>
              <w:textAlignment w:val="center"/>
              <w:rPr>
                <w:rFonts w:hint="eastAsia" w:ascii="仿宋_GB2312" w:hAnsi="仿宋_GB2312" w:eastAsia="仿宋_GB2312" w:cs="仿宋_GB2312"/>
                <w:i w:val="0"/>
                <w:iCs w:val="0"/>
                <w:color w:val="000000"/>
                <w:kern w:val="0"/>
                <w:sz w:val="24"/>
                <w:szCs w:val="24"/>
              </w:rPr>
            </w:pPr>
          </w:p>
        </w:tc>
      </w:tr>
      <w:tr w14:paraId="3506B08B">
        <w:tblPrEx>
          <w:tblCellMar>
            <w:top w:w="0" w:type="dxa"/>
            <w:left w:w="108" w:type="dxa"/>
            <w:bottom w:w="0" w:type="dxa"/>
            <w:right w:w="108" w:type="dxa"/>
          </w:tblCellMar>
        </w:tblPrEx>
        <w:trPr>
          <w:trHeight w:val="176" w:hRule="atLeast"/>
          <w:jc w:val="center"/>
        </w:trPr>
        <w:tc>
          <w:tcPr>
            <w:tcW w:w="1097" w:type="dxa"/>
            <w:vMerge w:val="continue"/>
            <w:tcBorders>
              <w:left w:val="single" w:color="000000" w:sz="4" w:space="0"/>
              <w:bottom w:val="single" w:color="000000" w:sz="4" w:space="0"/>
              <w:right w:val="single" w:color="000000" w:sz="4" w:space="0"/>
            </w:tcBorders>
            <w:shd w:val="clear" w:color="auto" w:fill="auto"/>
            <w:vAlign w:val="center"/>
          </w:tcPr>
          <w:p w14:paraId="4A1680B4">
            <w:pPr>
              <w:widowControl/>
              <w:spacing w:line="240" w:lineRule="exact"/>
              <w:jc w:val="center"/>
              <w:rPr>
                <w:rFonts w:hint="eastAsia" w:ascii="仿宋_GB2312" w:hAnsi="仿宋_GB2312" w:eastAsia="仿宋_GB2312" w:cs="仿宋_GB2312"/>
                <w:b/>
                <w:i w:val="0"/>
                <w:iCs w:val="0"/>
                <w:color w:val="000000"/>
                <w:sz w:val="24"/>
                <w:szCs w:val="24"/>
              </w:rPr>
            </w:pPr>
          </w:p>
        </w:tc>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261DD2">
            <w:pPr>
              <w:widowControl/>
              <w:spacing w:line="240" w:lineRule="exact"/>
              <w:jc w:val="center"/>
              <w:rPr>
                <w:rFonts w:hint="eastAsia" w:ascii="仿宋_GB2312" w:hAnsi="仿宋_GB2312" w:eastAsia="仿宋_GB2312" w:cs="仿宋_GB2312"/>
                <w:b/>
                <w:i w:val="0"/>
                <w:iCs w:val="0"/>
                <w:color w:val="000000"/>
                <w:sz w:val="24"/>
                <w:szCs w:val="24"/>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871DF">
            <w:pPr>
              <w:widowControl/>
              <w:spacing w:line="240" w:lineRule="exact"/>
              <w:jc w:val="center"/>
              <w:textAlignment w:val="center"/>
              <w:rPr>
                <w:rFonts w:hint="eastAsia" w:ascii="仿宋_GB2312" w:hAnsi="仿宋_GB2312" w:eastAsia="仿宋_GB2312" w:cs="仿宋_GB2312"/>
                <w:i w:val="0"/>
                <w:iCs w:val="0"/>
                <w:color w:val="000000"/>
                <w:sz w:val="24"/>
                <w:szCs w:val="24"/>
              </w:rPr>
            </w:pPr>
            <w:r>
              <w:rPr>
                <w:rFonts w:hint="eastAsia" w:ascii="仿宋_GB2312" w:hAnsi="仿宋_GB2312" w:eastAsia="仿宋_GB2312" w:cs="仿宋_GB2312"/>
                <w:i w:val="0"/>
                <w:iCs w:val="0"/>
                <w:color w:val="000000"/>
                <w:kern w:val="0"/>
                <w:sz w:val="24"/>
                <w:szCs w:val="24"/>
              </w:rPr>
              <w:t>采购执行率</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EC7EA">
            <w:pPr>
              <w:widowControl/>
              <w:spacing w:line="240" w:lineRule="exact"/>
              <w:jc w:val="center"/>
              <w:textAlignment w:val="center"/>
              <w:rPr>
                <w:rFonts w:hint="eastAsia" w:ascii="仿宋_GB2312" w:hAnsi="仿宋_GB2312" w:eastAsia="仿宋_GB2312" w:cs="仿宋_GB2312"/>
                <w:i w:val="0"/>
                <w:iCs w:val="0"/>
                <w:color w:val="000000"/>
                <w:sz w:val="24"/>
                <w:szCs w:val="24"/>
              </w:rPr>
            </w:pPr>
            <w:r>
              <w:rPr>
                <w:rFonts w:hint="eastAsia" w:ascii="仿宋_GB2312" w:hAnsi="仿宋_GB2312" w:eastAsia="仿宋_GB2312" w:cs="仿宋_GB2312"/>
                <w:i w:val="0"/>
                <w:iCs w:val="0"/>
                <w:color w:val="000000"/>
                <w:kern w:val="0"/>
                <w:sz w:val="24"/>
                <w:szCs w:val="24"/>
              </w:rPr>
              <w:t>3</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6A3F4">
            <w:pPr>
              <w:widowControl/>
              <w:spacing w:line="240" w:lineRule="exact"/>
              <w:jc w:val="left"/>
              <w:textAlignment w:val="center"/>
              <w:rPr>
                <w:rFonts w:hint="eastAsia" w:ascii="仿宋_GB2312" w:hAnsi="仿宋_GB2312" w:eastAsia="仿宋_GB2312" w:cs="仿宋_GB2312"/>
                <w:i w:val="0"/>
                <w:iCs w:val="0"/>
                <w:color w:val="000000"/>
                <w:sz w:val="24"/>
                <w:szCs w:val="24"/>
              </w:rPr>
            </w:pPr>
            <w:r>
              <w:rPr>
                <w:rFonts w:hint="eastAsia" w:ascii="仿宋_GB2312" w:hAnsi="仿宋_GB2312" w:eastAsia="仿宋_GB2312" w:cs="仿宋_GB2312"/>
                <w:i w:val="0"/>
                <w:iCs w:val="0"/>
                <w:color w:val="000000"/>
                <w:kern w:val="0"/>
                <w:sz w:val="24"/>
                <w:szCs w:val="24"/>
              </w:rPr>
              <w:t>部门政府采购项目资金支付比例情况</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3FDE0">
            <w:pPr>
              <w:widowControl/>
              <w:spacing w:line="240" w:lineRule="exact"/>
              <w:jc w:val="left"/>
              <w:textAlignment w:val="center"/>
              <w:rPr>
                <w:rFonts w:hint="eastAsia" w:ascii="仿宋_GB2312" w:hAnsi="仿宋_GB2312" w:eastAsia="仿宋_GB2312" w:cs="仿宋_GB2312"/>
                <w:i w:val="0"/>
                <w:iCs w:val="0"/>
                <w:color w:val="000000"/>
                <w:kern w:val="0"/>
                <w:sz w:val="24"/>
                <w:szCs w:val="24"/>
                <w:lang w:val="en-US" w:eastAsia="zh-CN" w:bidi="ar"/>
              </w:rPr>
            </w:pPr>
            <w:r>
              <w:rPr>
                <w:rFonts w:hint="eastAsia" w:ascii="仿宋_GB2312" w:hAnsi="仿宋_GB2312" w:eastAsia="仿宋_GB2312" w:cs="仿宋_GB2312"/>
                <w:i w:val="0"/>
                <w:iCs w:val="0"/>
                <w:color w:val="000000"/>
                <w:kern w:val="0"/>
                <w:sz w:val="24"/>
                <w:szCs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5A32E">
            <w:pPr>
              <w:widowControl/>
              <w:spacing w:line="240" w:lineRule="exact"/>
              <w:jc w:val="left"/>
              <w:textAlignment w:val="center"/>
              <w:rPr>
                <w:rFonts w:hint="eastAsia" w:ascii="仿宋_GB2312" w:hAnsi="仿宋_GB2312" w:eastAsia="仿宋_GB2312" w:cs="仿宋_GB2312"/>
                <w:i w:val="0"/>
                <w:iCs w:val="0"/>
                <w:color w:val="000000"/>
                <w:kern w:val="0"/>
                <w:sz w:val="24"/>
                <w:szCs w:val="24"/>
              </w:rPr>
            </w:pPr>
          </w:p>
        </w:tc>
      </w:tr>
      <w:tr w14:paraId="211C6255">
        <w:tblPrEx>
          <w:tblCellMar>
            <w:top w:w="0" w:type="dxa"/>
            <w:left w:w="108" w:type="dxa"/>
            <w:bottom w:w="0" w:type="dxa"/>
            <w:right w:w="108" w:type="dxa"/>
          </w:tblCellMar>
        </w:tblPrEx>
        <w:trPr>
          <w:trHeight w:val="23" w:hRule="atLeast"/>
          <w:jc w:val="center"/>
        </w:trPr>
        <w:tc>
          <w:tcPr>
            <w:tcW w:w="10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D5874D">
            <w:pPr>
              <w:widowControl/>
              <w:spacing w:line="240" w:lineRule="exact"/>
              <w:jc w:val="center"/>
              <w:textAlignment w:val="center"/>
              <w:rPr>
                <w:rFonts w:hint="eastAsia" w:ascii="仿宋_GB2312" w:hAnsi="仿宋_GB2312" w:eastAsia="仿宋_GB2312" w:cs="仿宋_GB2312"/>
                <w:b/>
                <w:i w:val="0"/>
                <w:iCs w:val="0"/>
                <w:color w:val="000000"/>
                <w:sz w:val="24"/>
                <w:szCs w:val="24"/>
              </w:rPr>
            </w:pPr>
            <w:r>
              <w:rPr>
                <w:rFonts w:hint="eastAsia" w:ascii="仿宋_GB2312" w:hAnsi="仿宋_GB2312" w:eastAsia="仿宋_GB2312" w:cs="仿宋_GB2312"/>
                <w:b/>
                <w:i w:val="0"/>
                <w:iCs w:val="0"/>
                <w:color w:val="000000"/>
                <w:kern w:val="0"/>
                <w:sz w:val="24"/>
                <w:szCs w:val="24"/>
              </w:rPr>
              <w:t>项目绩效（35分）</w:t>
            </w:r>
          </w:p>
        </w:tc>
        <w:tc>
          <w:tcPr>
            <w:tcW w:w="1201" w:type="dxa"/>
            <w:vMerge w:val="restart"/>
            <w:tcBorders>
              <w:top w:val="single" w:color="000000" w:sz="4" w:space="0"/>
              <w:left w:val="single" w:color="000000" w:sz="4" w:space="0"/>
              <w:bottom w:val="nil"/>
              <w:right w:val="single" w:color="000000" w:sz="4" w:space="0"/>
            </w:tcBorders>
            <w:shd w:val="clear" w:color="auto" w:fill="auto"/>
            <w:vAlign w:val="center"/>
          </w:tcPr>
          <w:p w14:paraId="503DABE7">
            <w:pPr>
              <w:widowControl/>
              <w:spacing w:line="240" w:lineRule="exact"/>
              <w:jc w:val="center"/>
              <w:textAlignment w:val="center"/>
              <w:rPr>
                <w:rFonts w:hint="eastAsia" w:ascii="仿宋_GB2312" w:hAnsi="仿宋_GB2312" w:eastAsia="仿宋_GB2312" w:cs="仿宋_GB2312"/>
                <w:b/>
                <w:i w:val="0"/>
                <w:iCs w:val="0"/>
                <w:color w:val="000000"/>
                <w:sz w:val="24"/>
                <w:szCs w:val="24"/>
              </w:rPr>
            </w:pPr>
            <w:r>
              <w:rPr>
                <w:rFonts w:hint="eastAsia" w:ascii="仿宋_GB2312" w:hAnsi="仿宋_GB2312" w:eastAsia="仿宋_GB2312" w:cs="仿宋_GB2312"/>
                <w:b/>
                <w:i w:val="0"/>
                <w:iCs w:val="0"/>
                <w:color w:val="000000"/>
                <w:kern w:val="0"/>
                <w:sz w:val="24"/>
                <w:szCs w:val="24"/>
              </w:rPr>
              <w:t>项目决策</w:t>
            </w:r>
            <w:r>
              <w:rPr>
                <w:rFonts w:hint="eastAsia" w:ascii="仿宋_GB2312" w:hAnsi="仿宋_GB2312" w:eastAsia="仿宋_GB2312" w:cs="仿宋_GB2312"/>
                <w:b/>
                <w:i w:val="0"/>
                <w:iCs w:val="0"/>
                <w:color w:val="000000"/>
                <w:kern w:val="0"/>
                <w:sz w:val="24"/>
                <w:szCs w:val="24"/>
              </w:rPr>
              <w:br w:type="textWrapping"/>
            </w:r>
            <w:r>
              <w:rPr>
                <w:rFonts w:hint="eastAsia" w:ascii="仿宋_GB2312" w:hAnsi="仿宋_GB2312" w:eastAsia="仿宋_GB2312" w:cs="仿宋_GB2312"/>
                <w:b/>
                <w:i w:val="0"/>
                <w:iCs w:val="0"/>
                <w:color w:val="000000"/>
                <w:kern w:val="0"/>
                <w:sz w:val="24"/>
                <w:szCs w:val="24"/>
              </w:rPr>
              <w:t>（12分）</w:t>
            </w: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25CCB">
            <w:pPr>
              <w:widowControl/>
              <w:spacing w:line="240" w:lineRule="exact"/>
              <w:jc w:val="center"/>
              <w:textAlignment w:val="center"/>
              <w:rPr>
                <w:rFonts w:hint="eastAsia" w:ascii="仿宋_GB2312" w:hAnsi="仿宋_GB2312" w:eastAsia="仿宋_GB2312" w:cs="仿宋_GB2312"/>
                <w:i w:val="0"/>
                <w:iCs w:val="0"/>
                <w:color w:val="000000"/>
                <w:sz w:val="24"/>
                <w:szCs w:val="24"/>
              </w:rPr>
            </w:pPr>
            <w:r>
              <w:rPr>
                <w:rFonts w:hint="eastAsia" w:ascii="仿宋_GB2312" w:hAnsi="仿宋_GB2312" w:eastAsia="仿宋_GB2312" w:cs="仿宋_GB2312"/>
                <w:i w:val="0"/>
                <w:iCs w:val="0"/>
                <w:color w:val="000000"/>
                <w:kern w:val="0"/>
                <w:sz w:val="24"/>
                <w:szCs w:val="24"/>
              </w:rPr>
              <w:t>决策程序</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9C697">
            <w:pPr>
              <w:widowControl/>
              <w:spacing w:line="240" w:lineRule="exact"/>
              <w:jc w:val="center"/>
              <w:textAlignment w:val="center"/>
              <w:rPr>
                <w:rFonts w:hint="eastAsia" w:ascii="仿宋_GB2312" w:hAnsi="仿宋_GB2312" w:eastAsia="仿宋_GB2312" w:cs="仿宋_GB2312"/>
                <w:i w:val="0"/>
                <w:iCs w:val="0"/>
                <w:color w:val="000000"/>
                <w:sz w:val="24"/>
                <w:szCs w:val="24"/>
              </w:rPr>
            </w:pPr>
            <w:r>
              <w:rPr>
                <w:rFonts w:hint="eastAsia" w:ascii="仿宋_GB2312" w:hAnsi="仿宋_GB2312" w:eastAsia="仿宋_GB2312" w:cs="仿宋_GB2312"/>
                <w:i w:val="0"/>
                <w:iCs w:val="0"/>
                <w:color w:val="000000"/>
                <w:kern w:val="0"/>
                <w:sz w:val="24"/>
                <w:szCs w:val="24"/>
              </w:rPr>
              <w:t>4</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8B17D">
            <w:pPr>
              <w:widowControl/>
              <w:spacing w:line="240" w:lineRule="exact"/>
              <w:jc w:val="left"/>
              <w:textAlignment w:val="center"/>
              <w:rPr>
                <w:rFonts w:hint="eastAsia" w:ascii="仿宋_GB2312" w:hAnsi="仿宋_GB2312" w:eastAsia="仿宋_GB2312" w:cs="仿宋_GB2312"/>
                <w:i w:val="0"/>
                <w:iCs w:val="0"/>
                <w:color w:val="000000"/>
                <w:sz w:val="24"/>
                <w:szCs w:val="24"/>
              </w:rPr>
            </w:pPr>
            <w:r>
              <w:rPr>
                <w:rFonts w:hint="eastAsia" w:ascii="仿宋_GB2312" w:hAnsi="仿宋_GB2312" w:eastAsia="仿宋_GB2312" w:cs="仿宋_GB2312"/>
                <w:i w:val="0"/>
                <w:iCs w:val="0"/>
                <w:color w:val="000000"/>
                <w:kern w:val="0"/>
                <w:sz w:val="24"/>
                <w:szCs w:val="24"/>
              </w:rPr>
              <w:t>部门预算项目设立是否按规定履行评估论证、申报程序</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FA126">
            <w:pPr>
              <w:widowControl/>
              <w:spacing w:line="240" w:lineRule="exact"/>
              <w:jc w:val="left"/>
              <w:textAlignment w:val="center"/>
              <w:rPr>
                <w:rFonts w:hint="eastAsia" w:ascii="仿宋_GB2312" w:hAnsi="仿宋_GB2312" w:eastAsia="仿宋_GB2312" w:cs="仿宋_GB2312"/>
                <w:i w:val="0"/>
                <w:iCs w:val="0"/>
                <w:color w:val="000000"/>
                <w:kern w:val="0"/>
                <w:sz w:val="24"/>
                <w:szCs w:val="24"/>
                <w:lang w:val="en-US" w:eastAsia="zh-CN" w:bidi="ar"/>
              </w:rPr>
            </w:pPr>
            <w:r>
              <w:rPr>
                <w:rFonts w:hint="eastAsia" w:ascii="仿宋_GB2312" w:hAnsi="仿宋_GB2312" w:eastAsia="仿宋_GB2312" w:cs="仿宋_GB2312"/>
                <w:i w:val="0"/>
                <w:iCs w:val="0"/>
                <w:color w:val="000000"/>
                <w:kern w:val="0"/>
                <w:sz w:val="24"/>
                <w:szCs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7DEBA">
            <w:pPr>
              <w:widowControl/>
              <w:spacing w:line="240" w:lineRule="exact"/>
              <w:jc w:val="left"/>
              <w:textAlignment w:val="center"/>
              <w:rPr>
                <w:rFonts w:hint="eastAsia" w:ascii="仿宋_GB2312" w:hAnsi="仿宋_GB2312" w:eastAsia="仿宋_GB2312" w:cs="仿宋_GB2312"/>
                <w:i w:val="0"/>
                <w:iCs w:val="0"/>
                <w:color w:val="000000"/>
                <w:kern w:val="0"/>
                <w:sz w:val="24"/>
                <w:szCs w:val="24"/>
              </w:rPr>
            </w:pPr>
          </w:p>
        </w:tc>
      </w:tr>
      <w:tr w14:paraId="64FFAF61">
        <w:tblPrEx>
          <w:tblCellMar>
            <w:top w:w="0" w:type="dxa"/>
            <w:left w:w="108" w:type="dxa"/>
            <w:bottom w:w="0" w:type="dxa"/>
            <w:right w:w="108" w:type="dxa"/>
          </w:tblCellMar>
        </w:tblPrEx>
        <w:trPr>
          <w:trHeight w:val="23" w:hRule="atLeast"/>
          <w:jc w:val="center"/>
        </w:trPr>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4E9B3B">
            <w:pPr>
              <w:widowControl/>
              <w:spacing w:line="240" w:lineRule="exact"/>
              <w:jc w:val="center"/>
              <w:rPr>
                <w:rFonts w:hint="eastAsia" w:ascii="仿宋_GB2312" w:hAnsi="仿宋_GB2312" w:eastAsia="仿宋_GB2312" w:cs="仿宋_GB2312"/>
                <w:b/>
                <w:i w:val="0"/>
                <w:iCs w:val="0"/>
                <w:color w:val="000000"/>
                <w:sz w:val="24"/>
                <w:szCs w:val="24"/>
              </w:rPr>
            </w:pPr>
          </w:p>
        </w:tc>
        <w:tc>
          <w:tcPr>
            <w:tcW w:w="1201" w:type="dxa"/>
            <w:vMerge w:val="continue"/>
            <w:tcBorders>
              <w:top w:val="single" w:color="000000" w:sz="4" w:space="0"/>
              <w:left w:val="single" w:color="000000" w:sz="4" w:space="0"/>
              <w:bottom w:val="nil"/>
              <w:right w:val="single" w:color="000000" w:sz="4" w:space="0"/>
            </w:tcBorders>
            <w:shd w:val="clear" w:color="auto" w:fill="auto"/>
            <w:vAlign w:val="center"/>
          </w:tcPr>
          <w:p w14:paraId="5AE19630">
            <w:pPr>
              <w:widowControl/>
              <w:spacing w:line="240" w:lineRule="exact"/>
              <w:jc w:val="center"/>
              <w:rPr>
                <w:rFonts w:hint="eastAsia" w:ascii="仿宋_GB2312" w:hAnsi="仿宋_GB2312" w:eastAsia="仿宋_GB2312" w:cs="仿宋_GB2312"/>
                <w:b/>
                <w:i w:val="0"/>
                <w:iCs w:val="0"/>
                <w:color w:val="000000"/>
                <w:sz w:val="24"/>
                <w:szCs w:val="24"/>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D9587">
            <w:pPr>
              <w:widowControl/>
              <w:spacing w:line="240" w:lineRule="exact"/>
              <w:jc w:val="center"/>
              <w:textAlignment w:val="center"/>
              <w:rPr>
                <w:rFonts w:hint="eastAsia" w:ascii="仿宋_GB2312" w:hAnsi="仿宋_GB2312" w:eastAsia="仿宋_GB2312" w:cs="仿宋_GB2312"/>
                <w:i w:val="0"/>
                <w:iCs w:val="0"/>
                <w:color w:val="000000"/>
                <w:sz w:val="24"/>
                <w:szCs w:val="24"/>
              </w:rPr>
            </w:pPr>
            <w:r>
              <w:rPr>
                <w:rFonts w:hint="eastAsia" w:ascii="仿宋_GB2312" w:hAnsi="仿宋_GB2312" w:eastAsia="仿宋_GB2312" w:cs="仿宋_GB2312"/>
                <w:i w:val="0"/>
                <w:iCs w:val="0"/>
                <w:color w:val="000000"/>
                <w:kern w:val="0"/>
                <w:sz w:val="24"/>
                <w:szCs w:val="24"/>
              </w:rPr>
              <w:t>目标设置</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866E3">
            <w:pPr>
              <w:widowControl/>
              <w:spacing w:line="240" w:lineRule="exact"/>
              <w:jc w:val="center"/>
              <w:textAlignment w:val="center"/>
              <w:rPr>
                <w:rFonts w:hint="eastAsia" w:ascii="仿宋_GB2312" w:hAnsi="仿宋_GB2312" w:eastAsia="仿宋_GB2312" w:cs="仿宋_GB2312"/>
                <w:i w:val="0"/>
                <w:iCs w:val="0"/>
                <w:color w:val="000000"/>
                <w:sz w:val="24"/>
                <w:szCs w:val="24"/>
              </w:rPr>
            </w:pPr>
            <w:r>
              <w:rPr>
                <w:rFonts w:hint="eastAsia" w:ascii="仿宋_GB2312" w:hAnsi="仿宋_GB2312" w:eastAsia="仿宋_GB2312" w:cs="仿宋_GB2312"/>
                <w:i w:val="0"/>
                <w:iCs w:val="0"/>
                <w:color w:val="000000"/>
                <w:kern w:val="0"/>
                <w:sz w:val="24"/>
                <w:szCs w:val="24"/>
              </w:rPr>
              <w:t>4</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8BB77">
            <w:pPr>
              <w:widowControl/>
              <w:spacing w:line="240" w:lineRule="exact"/>
              <w:jc w:val="left"/>
              <w:textAlignment w:val="center"/>
              <w:rPr>
                <w:rFonts w:hint="eastAsia" w:ascii="仿宋_GB2312" w:hAnsi="仿宋_GB2312" w:eastAsia="仿宋_GB2312" w:cs="仿宋_GB2312"/>
                <w:i w:val="0"/>
                <w:iCs w:val="0"/>
                <w:color w:val="000000"/>
                <w:sz w:val="24"/>
                <w:szCs w:val="24"/>
              </w:rPr>
            </w:pPr>
            <w:r>
              <w:rPr>
                <w:rFonts w:hint="eastAsia" w:ascii="仿宋_GB2312" w:hAnsi="仿宋_GB2312" w:eastAsia="仿宋_GB2312" w:cs="仿宋_GB2312"/>
                <w:i w:val="0"/>
                <w:iCs w:val="0"/>
                <w:color w:val="000000"/>
                <w:kern w:val="0"/>
                <w:sz w:val="24"/>
                <w:szCs w:val="24"/>
              </w:rPr>
              <w:t>部门预算项目绩效目标与计划期内的任务量、预算安排的资金量匹配情况，绩效目标设置是否科学合理、规范完整、量化细化、预算匹配</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E1997">
            <w:pPr>
              <w:widowControl/>
              <w:spacing w:line="240" w:lineRule="exact"/>
              <w:jc w:val="left"/>
              <w:textAlignment w:val="center"/>
              <w:rPr>
                <w:rFonts w:hint="eastAsia" w:ascii="仿宋_GB2312" w:hAnsi="仿宋_GB2312" w:eastAsia="仿宋_GB2312" w:cs="仿宋_GB2312"/>
                <w:i w:val="0"/>
                <w:iCs w:val="0"/>
                <w:color w:val="000000"/>
                <w:kern w:val="0"/>
                <w:sz w:val="24"/>
                <w:szCs w:val="24"/>
                <w:lang w:val="en-US" w:eastAsia="zh-CN" w:bidi="ar"/>
              </w:rPr>
            </w:pPr>
            <w:r>
              <w:rPr>
                <w:rFonts w:hint="eastAsia" w:ascii="仿宋_GB2312" w:hAnsi="仿宋_GB2312" w:eastAsia="仿宋_GB2312" w:cs="仿宋_GB2312"/>
                <w:i w:val="0"/>
                <w:iCs w:val="0"/>
                <w:color w:val="000000"/>
                <w:kern w:val="0"/>
                <w:sz w:val="24"/>
                <w:szCs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F4239">
            <w:pPr>
              <w:widowControl/>
              <w:spacing w:line="240" w:lineRule="exact"/>
              <w:jc w:val="left"/>
              <w:textAlignment w:val="center"/>
              <w:rPr>
                <w:rFonts w:hint="eastAsia" w:ascii="仿宋_GB2312" w:hAnsi="仿宋_GB2312" w:eastAsia="仿宋_GB2312" w:cs="仿宋_GB2312"/>
                <w:i w:val="0"/>
                <w:iCs w:val="0"/>
                <w:color w:val="000000"/>
                <w:kern w:val="0"/>
                <w:sz w:val="24"/>
                <w:szCs w:val="24"/>
              </w:rPr>
            </w:pPr>
          </w:p>
        </w:tc>
      </w:tr>
      <w:tr w14:paraId="435A22A0">
        <w:tblPrEx>
          <w:tblCellMar>
            <w:top w:w="0" w:type="dxa"/>
            <w:left w:w="108" w:type="dxa"/>
            <w:bottom w:w="0" w:type="dxa"/>
            <w:right w:w="108" w:type="dxa"/>
          </w:tblCellMar>
        </w:tblPrEx>
        <w:trPr>
          <w:trHeight w:val="23" w:hRule="atLeast"/>
          <w:jc w:val="center"/>
        </w:trPr>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1FEDB7">
            <w:pPr>
              <w:widowControl/>
              <w:spacing w:line="240" w:lineRule="exact"/>
              <w:jc w:val="center"/>
              <w:rPr>
                <w:rFonts w:hint="eastAsia" w:ascii="仿宋_GB2312" w:hAnsi="仿宋_GB2312" w:eastAsia="仿宋_GB2312" w:cs="仿宋_GB2312"/>
                <w:b/>
                <w:i w:val="0"/>
                <w:iCs w:val="0"/>
                <w:color w:val="000000"/>
                <w:sz w:val="24"/>
                <w:szCs w:val="24"/>
              </w:rPr>
            </w:pPr>
          </w:p>
        </w:tc>
        <w:tc>
          <w:tcPr>
            <w:tcW w:w="1201" w:type="dxa"/>
            <w:vMerge w:val="continue"/>
            <w:tcBorders>
              <w:top w:val="single" w:color="000000" w:sz="4" w:space="0"/>
              <w:left w:val="single" w:color="000000" w:sz="4" w:space="0"/>
              <w:bottom w:val="nil"/>
              <w:right w:val="single" w:color="000000" w:sz="4" w:space="0"/>
            </w:tcBorders>
            <w:shd w:val="clear" w:color="auto" w:fill="auto"/>
            <w:vAlign w:val="center"/>
          </w:tcPr>
          <w:p w14:paraId="224E55D8">
            <w:pPr>
              <w:widowControl/>
              <w:spacing w:line="240" w:lineRule="exact"/>
              <w:jc w:val="center"/>
              <w:rPr>
                <w:rFonts w:hint="eastAsia" w:ascii="仿宋_GB2312" w:hAnsi="仿宋_GB2312" w:eastAsia="仿宋_GB2312" w:cs="仿宋_GB2312"/>
                <w:b/>
                <w:i w:val="0"/>
                <w:iCs w:val="0"/>
                <w:color w:val="000000"/>
                <w:sz w:val="24"/>
                <w:szCs w:val="24"/>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FBEB5">
            <w:pPr>
              <w:widowControl/>
              <w:spacing w:line="240" w:lineRule="exact"/>
              <w:jc w:val="center"/>
              <w:textAlignment w:val="center"/>
              <w:rPr>
                <w:rFonts w:hint="eastAsia" w:ascii="仿宋_GB2312" w:hAnsi="仿宋_GB2312" w:eastAsia="仿宋_GB2312" w:cs="仿宋_GB2312"/>
                <w:i w:val="0"/>
                <w:iCs w:val="0"/>
                <w:color w:val="000000"/>
                <w:sz w:val="24"/>
                <w:szCs w:val="24"/>
              </w:rPr>
            </w:pPr>
            <w:r>
              <w:rPr>
                <w:rFonts w:hint="eastAsia" w:ascii="仿宋_GB2312" w:hAnsi="仿宋_GB2312" w:eastAsia="仿宋_GB2312" w:cs="仿宋_GB2312"/>
                <w:i w:val="0"/>
                <w:iCs w:val="0"/>
                <w:color w:val="000000"/>
                <w:kern w:val="0"/>
                <w:sz w:val="24"/>
                <w:szCs w:val="24"/>
              </w:rPr>
              <w:t>项目入库</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22CBB">
            <w:pPr>
              <w:widowControl/>
              <w:spacing w:line="240" w:lineRule="exact"/>
              <w:jc w:val="center"/>
              <w:textAlignment w:val="center"/>
              <w:rPr>
                <w:rFonts w:hint="eastAsia" w:ascii="仿宋_GB2312" w:hAnsi="仿宋_GB2312" w:eastAsia="仿宋_GB2312" w:cs="仿宋_GB2312"/>
                <w:i w:val="0"/>
                <w:iCs w:val="0"/>
                <w:color w:val="000000"/>
                <w:sz w:val="24"/>
                <w:szCs w:val="24"/>
              </w:rPr>
            </w:pPr>
            <w:r>
              <w:rPr>
                <w:rFonts w:hint="eastAsia" w:ascii="仿宋_GB2312" w:hAnsi="仿宋_GB2312" w:eastAsia="仿宋_GB2312" w:cs="仿宋_GB2312"/>
                <w:i w:val="0"/>
                <w:iCs w:val="0"/>
                <w:color w:val="000000"/>
                <w:kern w:val="0"/>
                <w:sz w:val="24"/>
                <w:szCs w:val="24"/>
              </w:rPr>
              <w:t>4</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BE0C1">
            <w:pPr>
              <w:widowControl/>
              <w:spacing w:line="240" w:lineRule="exact"/>
              <w:jc w:val="left"/>
              <w:textAlignment w:val="center"/>
              <w:rPr>
                <w:rFonts w:hint="eastAsia" w:ascii="仿宋_GB2312" w:hAnsi="仿宋_GB2312" w:eastAsia="仿宋_GB2312" w:cs="仿宋_GB2312"/>
                <w:i w:val="0"/>
                <w:iCs w:val="0"/>
                <w:color w:val="000000"/>
                <w:sz w:val="24"/>
                <w:szCs w:val="24"/>
              </w:rPr>
            </w:pPr>
            <w:r>
              <w:rPr>
                <w:rFonts w:hint="eastAsia" w:ascii="仿宋_GB2312" w:hAnsi="仿宋_GB2312" w:eastAsia="仿宋_GB2312" w:cs="仿宋_GB2312"/>
                <w:i w:val="0"/>
                <w:iCs w:val="0"/>
                <w:color w:val="000000"/>
                <w:kern w:val="0"/>
                <w:sz w:val="24"/>
                <w:szCs w:val="24"/>
              </w:rPr>
              <w:t>部门预算项目是否在规定时间完成项目入库</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A20A2">
            <w:pPr>
              <w:widowControl/>
              <w:spacing w:line="240" w:lineRule="exact"/>
              <w:jc w:val="left"/>
              <w:textAlignment w:val="center"/>
              <w:rPr>
                <w:rFonts w:hint="eastAsia" w:ascii="仿宋_GB2312" w:hAnsi="仿宋_GB2312" w:eastAsia="仿宋_GB2312" w:cs="仿宋_GB2312"/>
                <w:i w:val="0"/>
                <w:iCs w:val="0"/>
                <w:color w:val="000000"/>
                <w:kern w:val="0"/>
                <w:sz w:val="24"/>
                <w:szCs w:val="24"/>
                <w:lang w:val="en-US" w:eastAsia="zh-CN" w:bidi="ar"/>
              </w:rPr>
            </w:pPr>
            <w:r>
              <w:rPr>
                <w:rFonts w:hint="eastAsia" w:ascii="仿宋_GB2312" w:hAnsi="仿宋_GB2312" w:eastAsia="仿宋_GB2312" w:cs="仿宋_GB2312"/>
                <w:i w:val="0"/>
                <w:iCs w:val="0"/>
                <w:color w:val="000000"/>
                <w:kern w:val="0"/>
                <w:sz w:val="24"/>
                <w:szCs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BB645">
            <w:pPr>
              <w:widowControl/>
              <w:spacing w:line="240" w:lineRule="exact"/>
              <w:jc w:val="left"/>
              <w:textAlignment w:val="center"/>
              <w:rPr>
                <w:rFonts w:hint="eastAsia" w:ascii="仿宋_GB2312" w:hAnsi="仿宋_GB2312" w:eastAsia="仿宋_GB2312" w:cs="仿宋_GB2312"/>
                <w:i w:val="0"/>
                <w:iCs w:val="0"/>
                <w:color w:val="000000"/>
                <w:kern w:val="0"/>
                <w:sz w:val="24"/>
                <w:szCs w:val="24"/>
              </w:rPr>
            </w:pPr>
          </w:p>
        </w:tc>
      </w:tr>
      <w:tr w14:paraId="771B0F28">
        <w:tblPrEx>
          <w:tblCellMar>
            <w:top w:w="0" w:type="dxa"/>
            <w:left w:w="108" w:type="dxa"/>
            <w:bottom w:w="0" w:type="dxa"/>
            <w:right w:w="108" w:type="dxa"/>
          </w:tblCellMar>
        </w:tblPrEx>
        <w:trPr>
          <w:trHeight w:val="23" w:hRule="atLeast"/>
          <w:jc w:val="center"/>
        </w:trPr>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041308">
            <w:pPr>
              <w:widowControl/>
              <w:spacing w:line="240" w:lineRule="exact"/>
              <w:jc w:val="center"/>
              <w:rPr>
                <w:rFonts w:hint="eastAsia" w:ascii="仿宋_GB2312" w:hAnsi="仿宋_GB2312" w:eastAsia="仿宋_GB2312" w:cs="仿宋_GB2312"/>
                <w:b/>
                <w:i w:val="0"/>
                <w:iCs w:val="0"/>
                <w:color w:val="000000"/>
                <w:sz w:val="24"/>
                <w:szCs w:val="24"/>
              </w:rPr>
            </w:pPr>
          </w:p>
        </w:tc>
        <w:tc>
          <w:tcPr>
            <w:tcW w:w="1201" w:type="dxa"/>
            <w:vMerge w:val="restart"/>
            <w:tcBorders>
              <w:top w:val="single" w:color="000000" w:sz="4" w:space="0"/>
              <w:left w:val="single" w:color="000000" w:sz="4" w:space="0"/>
              <w:bottom w:val="nil"/>
              <w:right w:val="single" w:color="000000" w:sz="4" w:space="0"/>
            </w:tcBorders>
            <w:shd w:val="clear" w:color="auto" w:fill="auto"/>
            <w:vAlign w:val="center"/>
          </w:tcPr>
          <w:p w14:paraId="6D0997D3">
            <w:pPr>
              <w:widowControl/>
              <w:spacing w:line="240" w:lineRule="exact"/>
              <w:jc w:val="center"/>
              <w:textAlignment w:val="center"/>
              <w:rPr>
                <w:rFonts w:hint="eastAsia" w:ascii="仿宋_GB2312" w:hAnsi="仿宋_GB2312" w:eastAsia="仿宋_GB2312" w:cs="仿宋_GB2312"/>
                <w:b/>
                <w:i w:val="0"/>
                <w:iCs w:val="0"/>
                <w:color w:val="000000"/>
                <w:sz w:val="24"/>
                <w:szCs w:val="24"/>
              </w:rPr>
            </w:pPr>
            <w:r>
              <w:rPr>
                <w:rFonts w:hint="eastAsia" w:ascii="仿宋_GB2312" w:hAnsi="仿宋_GB2312" w:eastAsia="仿宋_GB2312" w:cs="仿宋_GB2312"/>
                <w:b/>
                <w:i w:val="0"/>
                <w:iCs w:val="0"/>
                <w:color w:val="000000"/>
                <w:kern w:val="0"/>
                <w:sz w:val="24"/>
                <w:szCs w:val="24"/>
              </w:rPr>
              <w:t>项目执行</w:t>
            </w:r>
            <w:r>
              <w:rPr>
                <w:rFonts w:hint="eastAsia" w:ascii="仿宋_GB2312" w:hAnsi="仿宋_GB2312" w:eastAsia="仿宋_GB2312" w:cs="仿宋_GB2312"/>
                <w:b/>
                <w:i w:val="0"/>
                <w:iCs w:val="0"/>
                <w:color w:val="000000"/>
                <w:kern w:val="0"/>
                <w:sz w:val="24"/>
                <w:szCs w:val="24"/>
              </w:rPr>
              <w:br w:type="textWrapping"/>
            </w:r>
            <w:r>
              <w:rPr>
                <w:rFonts w:hint="eastAsia" w:ascii="仿宋_GB2312" w:hAnsi="仿宋_GB2312" w:eastAsia="仿宋_GB2312" w:cs="仿宋_GB2312"/>
                <w:b/>
                <w:i w:val="0"/>
                <w:iCs w:val="0"/>
                <w:color w:val="000000"/>
                <w:kern w:val="0"/>
                <w:sz w:val="24"/>
                <w:szCs w:val="24"/>
              </w:rPr>
              <w:t>（12分）</w:t>
            </w: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7CDF4">
            <w:pPr>
              <w:widowControl/>
              <w:spacing w:line="240" w:lineRule="exact"/>
              <w:jc w:val="center"/>
              <w:textAlignment w:val="center"/>
              <w:rPr>
                <w:rFonts w:hint="eastAsia" w:ascii="仿宋_GB2312" w:hAnsi="仿宋_GB2312" w:eastAsia="仿宋_GB2312" w:cs="仿宋_GB2312"/>
                <w:i w:val="0"/>
                <w:iCs w:val="0"/>
                <w:color w:val="000000"/>
                <w:sz w:val="24"/>
                <w:szCs w:val="24"/>
              </w:rPr>
            </w:pPr>
            <w:r>
              <w:rPr>
                <w:rFonts w:hint="eastAsia" w:ascii="仿宋_GB2312" w:hAnsi="仿宋_GB2312" w:eastAsia="仿宋_GB2312" w:cs="仿宋_GB2312"/>
                <w:i w:val="0"/>
                <w:iCs w:val="0"/>
                <w:color w:val="000000"/>
                <w:kern w:val="0"/>
                <w:sz w:val="24"/>
                <w:szCs w:val="24"/>
              </w:rPr>
              <w:t>执行同向</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566DA">
            <w:pPr>
              <w:widowControl/>
              <w:spacing w:line="240" w:lineRule="exact"/>
              <w:jc w:val="center"/>
              <w:textAlignment w:val="center"/>
              <w:rPr>
                <w:rFonts w:hint="eastAsia" w:ascii="仿宋_GB2312" w:hAnsi="仿宋_GB2312" w:eastAsia="仿宋_GB2312" w:cs="仿宋_GB2312"/>
                <w:i w:val="0"/>
                <w:iCs w:val="0"/>
                <w:color w:val="000000"/>
                <w:sz w:val="24"/>
                <w:szCs w:val="24"/>
              </w:rPr>
            </w:pPr>
            <w:r>
              <w:rPr>
                <w:rFonts w:hint="eastAsia" w:ascii="仿宋_GB2312" w:hAnsi="仿宋_GB2312" w:eastAsia="仿宋_GB2312" w:cs="仿宋_GB2312"/>
                <w:i w:val="0"/>
                <w:iCs w:val="0"/>
                <w:color w:val="000000"/>
                <w:kern w:val="0"/>
                <w:sz w:val="24"/>
                <w:szCs w:val="24"/>
              </w:rPr>
              <w:t>4</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5B31D">
            <w:pPr>
              <w:widowControl/>
              <w:spacing w:line="240" w:lineRule="exact"/>
              <w:jc w:val="left"/>
              <w:textAlignment w:val="center"/>
              <w:rPr>
                <w:rFonts w:hint="eastAsia" w:ascii="仿宋_GB2312" w:hAnsi="仿宋_GB2312" w:eastAsia="仿宋_GB2312" w:cs="仿宋_GB2312"/>
                <w:i w:val="0"/>
                <w:iCs w:val="0"/>
                <w:color w:val="000000"/>
                <w:sz w:val="24"/>
                <w:szCs w:val="24"/>
              </w:rPr>
            </w:pPr>
            <w:r>
              <w:rPr>
                <w:rFonts w:hint="eastAsia" w:ascii="仿宋_GB2312" w:hAnsi="仿宋_GB2312" w:eastAsia="仿宋_GB2312" w:cs="仿宋_GB2312"/>
                <w:i w:val="0"/>
                <w:iCs w:val="0"/>
                <w:color w:val="000000"/>
                <w:kern w:val="0"/>
                <w:sz w:val="24"/>
                <w:szCs w:val="24"/>
              </w:rPr>
              <w:t>部门预算项目实际列支内容是否与绩效目标设置方向相符</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31E96">
            <w:pPr>
              <w:widowControl/>
              <w:spacing w:line="240" w:lineRule="exact"/>
              <w:jc w:val="left"/>
              <w:textAlignment w:val="center"/>
              <w:rPr>
                <w:rFonts w:hint="eastAsia" w:ascii="仿宋_GB2312" w:hAnsi="仿宋_GB2312" w:eastAsia="仿宋_GB2312" w:cs="仿宋_GB2312"/>
                <w:i w:val="0"/>
                <w:iCs w:val="0"/>
                <w:color w:val="000000"/>
                <w:kern w:val="0"/>
                <w:sz w:val="24"/>
                <w:szCs w:val="24"/>
                <w:lang w:val="en-US" w:eastAsia="zh-CN" w:bidi="ar"/>
              </w:rPr>
            </w:pPr>
            <w:r>
              <w:rPr>
                <w:rFonts w:hint="eastAsia" w:ascii="仿宋_GB2312" w:hAnsi="仿宋_GB2312" w:eastAsia="仿宋_GB2312" w:cs="仿宋_GB2312"/>
                <w:i w:val="0"/>
                <w:iCs w:val="0"/>
                <w:color w:val="000000"/>
                <w:kern w:val="0"/>
                <w:sz w:val="24"/>
                <w:szCs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19F53">
            <w:pPr>
              <w:widowControl/>
              <w:spacing w:line="240" w:lineRule="exact"/>
              <w:jc w:val="left"/>
              <w:textAlignment w:val="center"/>
              <w:rPr>
                <w:rFonts w:hint="eastAsia" w:ascii="仿宋_GB2312" w:hAnsi="仿宋_GB2312" w:eastAsia="仿宋_GB2312" w:cs="仿宋_GB2312"/>
                <w:i w:val="0"/>
                <w:iCs w:val="0"/>
                <w:color w:val="000000"/>
                <w:kern w:val="0"/>
                <w:sz w:val="24"/>
                <w:szCs w:val="24"/>
              </w:rPr>
            </w:pPr>
          </w:p>
        </w:tc>
      </w:tr>
      <w:tr w14:paraId="0A940E1D">
        <w:tblPrEx>
          <w:tblCellMar>
            <w:top w:w="0" w:type="dxa"/>
            <w:left w:w="108" w:type="dxa"/>
            <w:bottom w:w="0" w:type="dxa"/>
            <w:right w:w="108" w:type="dxa"/>
          </w:tblCellMar>
        </w:tblPrEx>
        <w:trPr>
          <w:trHeight w:val="23" w:hRule="atLeast"/>
          <w:jc w:val="center"/>
        </w:trPr>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83A708">
            <w:pPr>
              <w:widowControl/>
              <w:spacing w:line="240" w:lineRule="exact"/>
              <w:jc w:val="center"/>
              <w:rPr>
                <w:rFonts w:hint="eastAsia" w:ascii="仿宋_GB2312" w:hAnsi="仿宋_GB2312" w:eastAsia="仿宋_GB2312" w:cs="仿宋_GB2312"/>
                <w:b/>
                <w:i w:val="0"/>
                <w:iCs w:val="0"/>
                <w:color w:val="000000"/>
                <w:sz w:val="24"/>
                <w:szCs w:val="24"/>
              </w:rPr>
            </w:pPr>
          </w:p>
        </w:tc>
        <w:tc>
          <w:tcPr>
            <w:tcW w:w="1201" w:type="dxa"/>
            <w:vMerge w:val="continue"/>
            <w:tcBorders>
              <w:top w:val="single" w:color="000000" w:sz="4" w:space="0"/>
              <w:left w:val="single" w:color="000000" w:sz="4" w:space="0"/>
              <w:bottom w:val="nil"/>
              <w:right w:val="single" w:color="000000" w:sz="4" w:space="0"/>
            </w:tcBorders>
            <w:shd w:val="clear" w:color="auto" w:fill="auto"/>
            <w:vAlign w:val="center"/>
          </w:tcPr>
          <w:p w14:paraId="49EA51D7">
            <w:pPr>
              <w:widowControl/>
              <w:spacing w:line="240" w:lineRule="exact"/>
              <w:jc w:val="center"/>
              <w:rPr>
                <w:rFonts w:hint="eastAsia" w:ascii="仿宋_GB2312" w:hAnsi="仿宋_GB2312" w:eastAsia="仿宋_GB2312" w:cs="仿宋_GB2312"/>
                <w:b/>
                <w:i w:val="0"/>
                <w:iCs w:val="0"/>
                <w:color w:val="000000"/>
                <w:sz w:val="24"/>
                <w:szCs w:val="24"/>
              </w:rPr>
            </w:pPr>
          </w:p>
        </w:tc>
        <w:tc>
          <w:tcPr>
            <w:tcW w:w="1929" w:type="dxa"/>
            <w:tcBorders>
              <w:top w:val="single" w:color="000000" w:sz="4" w:space="0"/>
              <w:left w:val="single" w:color="000000" w:sz="4" w:space="0"/>
              <w:bottom w:val="nil"/>
              <w:right w:val="single" w:color="000000" w:sz="4" w:space="0"/>
            </w:tcBorders>
            <w:shd w:val="clear" w:color="auto" w:fill="auto"/>
            <w:vAlign w:val="center"/>
          </w:tcPr>
          <w:p w14:paraId="0B508D11">
            <w:pPr>
              <w:widowControl/>
              <w:spacing w:line="240" w:lineRule="exact"/>
              <w:jc w:val="center"/>
              <w:textAlignment w:val="center"/>
              <w:rPr>
                <w:rFonts w:hint="eastAsia" w:ascii="仿宋_GB2312" w:hAnsi="仿宋_GB2312" w:eastAsia="仿宋_GB2312" w:cs="仿宋_GB2312"/>
                <w:i w:val="0"/>
                <w:iCs w:val="0"/>
                <w:color w:val="000000"/>
                <w:sz w:val="24"/>
                <w:szCs w:val="24"/>
              </w:rPr>
            </w:pPr>
            <w:r>
              <w:rPr>
                <w:rFonts w:hint="eastAsia" w:ascii="仿宋_GB2312" w:hAnsi="仿宋_GB2312" w:eastAsia="仿宋_GB2312" w:cs="仿宋_GB2312"/>
                <w:i w:val="0"/>
                <w:iCs w:val="0"/>
                <w:color w:val="000000"/>
                <w:kern w:val="0"/>
                <w:sz w:val="24"/>
                <w:szCs w:val="24"/>
              </w:rPr>
              <w:t>项目调整</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98C87">
            <w:pPr>
              <w:widowControl/>
              <w:spacing w:line="240" w:lineRule="exact"/>
              <w:jc w:val="center"/>
              <w:textAlignment w:val="center"/>
              <w:rPr>
                <w:rFonts w:hint="eastAsia" w:ascii="仿宋_GB2312" w:hAnsi="仿宋_GB2312" w:eastAsia="仿宋_GB2312" w:cs="仿宋_GB2312"/>
                <w:i w:val="0"/>
                <w:iCs w:val="0"/>
                <w:color w:val="000000"/>
                <w:sz w:val="24"/>
                <w:szCs w:val="24"/>
              </w:rPr>
            </w:pPr>
            <w:r>
              <w:rPr>
                <w:rFonts w:hint="eastAsia" w:ascii="仿宋_GB2312" w:hAnsi="仿宋_GB2312" w:eastAsia="仿宋_GB2312" w:cs="仿宋_GB2312"/>
                <w:i w:val="0"/>
                <w:iCs w:val="0"/>
                <w:color w:val="000000"/>
                <w:kern w:val="0"/>
                <w:sz w:val="24"/>
                <w:szCs w:val="24"/>
              </w:rPr>
              <w:t>4</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BE811">
            <w:pPr>
              <w:widowControl/>
              <w:spacing w:line="240" w:lineRule="exact"/>
              <w:jc w:val="left"/>
              <w:textAlignment w:val="center"/>
              <w:rPr>
                <w:rFonts w:hint="eastAsia" w:ascii="仿宋_GB2312" w:hAnsi="仿宋_GB2312" w:eastAsia="仿宋_GB2312" w:cs="仿宋_GB2312"/>
                <w:i w:val="0"/>
                <w:iCs w:val="0"/>
                <w:color w:val="000000"/>
                <w:sz w:val="24"/>
                <w:szCs w:val="24"/>
              </w:rPr>
            </w:pPr>
            <w:r>
              <w:rPr>
                <w:rFonts w:hint="eastAsia" w:ascii="仿宋_GB2312" w:hAnsi="仿宋_GB2312" w:eastAsia="仿宋_GB2312" w:cs="仿宋_GB2312"/>
                <w:i w:val="0"/>
                <w:iCs w:val="0"/>
                <w:color w:val="000000"/>
                <w:kern w:val="0"/>
                <w:sz w:val="24"/>
                <w:szCs w:val="24"/>
              </w:rPr>
              <w:t>部门预算项目是否采取对应调整措施</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FDFE4">
            <w:pPr>
              <w:widowControl/>
              <w:spacing w:line="240" w:lineRule="exact"/>
              <w:jc w:val="left"/>
              <w:textAlignment w:val="center"/>
              <w:rPr>
                <w:rFonts w:hint="eastAsia" w:ascii="仿宋_GB2312" w:hAnsi="仿宋_GB2312" w:eastAsia="仿宋_GB2312" w:cs="仿宋_GB2312"/>
                <w:i w:val="0"/>
                <w:iCs w:val="0"/>
                <w:color w:val="000000"/>
                <w:kern w:val="0"/>
                <w:sz w:val="24"/>
                <w:szCs w:val="24"/>
                <w:lang w:val="en-US" w:eastAsia="zh-CN" w:bidi="ar"/>
              </w:rPr>
            </w:pPr>
            <w:r>
              <w:rPr>
                <w:rFonts w:hint="eastAsia" w:ascii="仿宋_GB2312" w:hAnsi="仿宋_GB2312" w:eastAsia="仿宋_GB2312" w:cs="仿宋_GB2312"/>
                <w:i w:val="0"/>
                <w:iCs w:val="0"/>
                <w:color w:val="000000"/>
                <w:kern w:val="0"/>
                <w:sz w:val="24"/>
                <w:szCs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B5158">
            <w:pPr>
              <w:widowControl/>
              <w:spacing w:line="240" w:lineRule="exact"/>
              <w:jc w:val="left"/>
              <w:textAlignment w:val="center"/>
              <w:rPr>
                <w:rFonts w:hint="eastAsia" w:ascii="仿宋_GB2312" w:hAnsi="仿宋_GB2312" w:eastAsia="仿宋_GB2312" w:cs="仿宋_GB2312"/>
                <w:i w:val="0"/>
                <w:iCs w:val="0"/>
                <w:color w:val="000000"/>
                <w:kern w:val="0"/>
                <w:sz w:val="24"/>
                <w:szCs w:val="24"/>
              </w:rPr>
            </w:pPr>
          </w:p>
        </w:tc>
      </w:tr>
      <w:tr w14:paraId="4DA4EC31">
        <w:tblPrEx>
          <w:tblCellMar>
            <w:top w:w="0" w:type="dxa"/>
            <w:left w:w="108" w:type="dxa"/>
            <w:bottom w:w="0" w:type="dxa"/>
            <w:right w:w="108" w:type="dxa"/>
          </w:tblCellMar>
        </w:tblPrEx>
        <w:trPr>
          <w:trHeight w:val="23" w:hRule="atLeast"/>
          <w:jc w:val="center"/>
        </w:trPr>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A6BA90">
            <w:pPr>
              <w:widowControl/>
              <w:spacing w:line="240" w:lineRule="exact"/>
              <w:jc w:val="center"/>
              <w:rPr>
                <w:rFonts w:hint="eastAsia" w:ascii="仿宋_GB2312" w:hAnsi="仿宋_GB2312" w:eastAsia="仿宋_GB2312" w:cs="仿宋_GB2312"/>
                <w:b/>
                <w:i w:val="0"/>
                <w:iCs w:val="0"/>
                <w:color w:val="000000"/>
                <w:sz w:val="24"/>
                <w:szCs w:val="24"/>
              </w:rPr>
            </w:pPr>
          </w:p>
        </w:tc>
        <w:tc>
          <w:tcPr>
            <w:tcW w:w="1201" w:type="dxa"/>
            <w:vMerge w:val="continue"/>
            <w:tcBorders>
              <w:top w:val="single" w:color="000000" w:sz="4" w:space="0"/>
              <w:left w:val="single" w:color="000000" w:sz="4" w:space="0"/>
              <w:bottom w:val="nil"/>
              <w:right w:val="single" w:color="000000" w:sz="4" w:space="0"/>
            </w:tcBorders>
            <w:shd w:val="clear" w:color="auto" w:fill="auto"/>
            <w:vAlign w:val="center"/>
          </w:tcPr>
          <w:p w14:paraId="18C4227E">
            <w:pPr>
              <w:widowControl/>
              <w:spacing w:line="240" w:lineRule="exact"/>
              <w:jc w:val="center"/>
              <w:rPr>
                <w:rFonts w:hint="eastAsia" w:ascii="仿宋_GB2312" w:hAnsi="仿宋_GB2312" w:eastAsia="仿宋_GB2312" w:cs="仿宋_GB2312"/>
                <w:b/>
                <w:i w:val="0"/>
                <w:iCs w:val="0"/>
                <w:color w:val="000000"/>
                <w:sz w:val="24"/>
                <w:szCs w:val="24"/>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0BFAD">
            <w:pPr>
              <w:widowControl/>
              <w:spacing w:line="240" w:lineRule="exact"/>
              <w:jc w:val="center"/>
              <w:textAlignment w:val="center"/>
              <w:rPr>
                <w:rFonts w:hint="eastAsia" w:ascii="仿宋_GB2312" w:hAnsi="仿宋_GB2312" w:eastAsia="仿宋_GB2312" w:cs="仿宋_GB2312"/>
                <w:i w:val="0"/>
                <w:iCs w:val="0"/>
                <w:color w:val="000000"/>
                <w:sz w:val="24"/>
                <w:szCs w:val="24"/>
              </w:rPr>
            </w:pPr>
            <w:r>
              <w:rPr>
                <w:rFonts w:hint="eastAsia" w:ascii="仿宋_GB2312" w:hAnsi="仿宋_GB2312" w:eastAsia="仿宋_GB2312" w:cs="仿宋_GB2312"/>
                <w:i w:val="0"/>
                <w:iCs w:val="0"/>
                <w:color w:val="000000"/>
                <w:kern w:val="0"/>
                <w:sz w:val="24"/>
                <w:szCs w:val="24"/>
              </w:rPr>
              <w:t>执行结果</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DFF94">
            <w:pPr>
              <w:widowControl/>
              <w:spacing w:line="240" w:lineRule="exact"/>
              <w:jc w:val="center"/>
              <w:textAlignment w:val="center"/>
              <w:rPr>
                <w:rFonts w:hint="eastAsia" w:ascii="仿宋_GB2312" w:hAnsi="仿宋_GB2312" w:eastAsia="仿宋_GB2312" w:cs="仿宋_GB2312"/>
                <w:i w:val="0"/>
                <w:iCs w:val="0"/>
                <w:color w:val="000000"/>
                <w:sz w:val="24"/>
                <w:szCs w:val="24"/>
              </w:rPr>
            </w:pPr>
            <w:r>
              <w:rPr>
                <w:rFonts w:hint="eastAsia" w:ascii="仿宋_GB2312" w:hAnsi="仿宋_GB2312" w:eastAsia="仿宋_GB2312" w:cs="仿宋_GB2312"/>
                <w:i w:val="0"/>
                <w:iCs w:val="0"/>
                <w:color w:val="000000"/>
                <w:kern w:val="0"/>
                <w:sz w:val="24"/>
                <w:szCs w:val="24"/>
              </w:rPr>
              <w:t>4</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C2DAE">
            <w:pPr>
              <w:widowControl/>
              <w:spacing w:line="240" w:lineRule="exact"/>
              <w:jc w:val="left"/>
              <w:textAlignment w:val="center"/>
              <w:rPr>
                <w:rFonts w:hint="eastAsia" w:ascii="仿宋_GB2312" w:hAnsi="仿宋_GB2312" w:eastAsia="仿宋_GB2312" w:cs="仿宋_GB2312"/>
                <w:i w:val="0"/>
                <w:iCs w:val="0"/>
                <w:color w:val="000000"/>
                <w:sz w:val="24"/>
                <w:szCs w:val="24"/>
              </w:rPr>
            </w:pPr>
            <w:r>
              <w:rPr>
                <w:rFonts w:hint="eastAsia" w:ascii="仿宋_GB2312" w:hAnsi="仿宋_GB2312" w:eastAsia="仿宋_GB2312" w:cs="仿宋_GB2312"/>
                <w:i w:val="0"/>
                <w:iCs w:val="0"/>
                <w:color w:val="000000"/>
                <w:kern w:val="0"/>
                <w:sz w:val="24"/>
                <w:szCs w:val="24"/>
              </w:rPr>
              <w:t>部门预算项目预算执行情况</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703EF">
            <w:pPr>
              <w:widowControl/>
              <w:spacing w:line="240" w:lineRule="exact"/>
              <w:jc w:val="left"/>
              <w:textAlignment w:val="center"/>
              <w:rPr>
                <w:rFonts w:hint="eastAsia" w:ascii="仿宋_GB2312" w:hAnsi="仿宋_GB2312" w:eastAsia="仿宋_GB2312" w:cs="仿宋_GB2312"/>
                <w:i w:val="0"/>
                <w:iCs w:val="0"/>
                <w:color w:val="000000"/>
                <w:kern w:val="0"/>
                <w:sz w:val="24"/>
                <w:szCs w:val="24"/>
                <w:lang w:val="en-US" w:eastAsia="zh-CN" w:bidi="ar"/>
              </w:rPr>
            </w:pPr>
            <w:r>
              <w:rPr>
                <w:rFonts w:hint="eastAsia" w:ascii="仿宋_GB2312" w:hAnsi="仿宋_GB2312" w:eastAsia="仿宋_GB2312" w:cs="仿宋_GB2312"/>
                <w:i w:val="0"/>
                <w:iCs w:val="0"/>
                <w:color w:val="000000"/>
                <w:kern w:val="0"/>
                <w:sz w:val="24"/>
                <w:szCs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6366B">
            <w:pPr>
              <w:widowControl/>
              <w:spacing w:line="240" w:lineRule="exact"/>
              <w:jc w:val="left"/>
              <w:textAlignment w:val="center"/>
              <w:rPr>
                <w:rFonts w:hint="eastAsia" w:ascii="仿宋_GB2312" w:hAnsi="仿宋_GB2312" w:eastAsia="仿宋_GB2312" w:cs="仿宋_GB2312"/>
                <w:i w:val="0"/>
                <w:iCs w:val="0"/>
                <w:color w:val="000000"/>
                <w:kern w:val="0"/>
                <w:sz w:val="24"/>
                <w:szCs w:val="24"/>
              </w:rPr>
            </w:pPr>
          </w:p>
        </w:tc>
      </w:tr>
      <w:tr w14:paraId="72E95778">
        <w:tblPrEx>
          <w:tblCellMar>
            <w:top w:w="0" w:type="dxa"/>
            <w:left w:w="108" w:type="dxa"/>
            <w:bottom w:w="0" w:type="dxa"/>
            <w:right w:w="108" w:type="dxa"/>
          </w:tblCellMar>
        </w:tblPrEx>
        <w:trPr>
          <w:trHeight w:val="23" w:hRule="atLeast"/>
          <w:jc w:val="center"/>
        </w:trPr>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8D2934">
            <w:pPr>
              <w:widowControl/>
              <w:spacing w:line="240" w:lineRule="exact"/>
              <w:jc w:val="center"/>
              <w:rPr>
                <w:rFonts w:hint="eastAsia" w:ascii="仿宋_GB2312" w:hAnsi="仿宋_GB2312" w:eastAsia="仿宋_GB2312" w:cs="仿宋_GB2312"/>
                <w:b/>
                <w:i w:val="0"/>
                <w:iCs w:val="0"/>
                <w:color w:val="000000"/>
                <w:sz w:val="24"/>
                <w:szCs w:val="24"/>
              </w:rPr>
            </w:pPr>
          </w:p>
        </w:tc>
        <w:tc>
          <w:tcPr>
            <w:tcW w:w="12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702FE5">
            <w:pPr>
              <w:widowControl/>
              <w:spacing w:line="240" w:lineRule="exact"/>
              <w:jc w:val="center"/>
              <w:textAlignment w:val="center"/>
              <w:rPr>
                <w:rFonts w:hint="eastAsia" w:ascii="仿宋_GB2312" w:hAnsi="仿宋_GB2312" w:eastAsia="仿宋_GB2312" w:cs="仿宋_GB2312"/>
                <w:b/>
                <w:i w:val="0"/>
                <w:iCs w:val="0"/>
                <w:color w:val="000000"/>
                <w:sz w:val="24"/>
                <w:szCs w:val="24"/>
              </w:rPr>
            </w:pPr>
            <w:r>
              <w:rPr>
                <w:rFonts w:hint="eastAsia" w:ascii="仿宋_GB2312" w:hAnsi="仿宋_GB2312" w:eastAsia="仿宋_GB2312" w:cs="仿宋_GB2312"/>
                <w:b/>
                <w:i w:val="0"/>
                <w:iCs w:val="0"/>
                <w:color w:val="000000"/>
                <w:kern w:val="0"/>
                <w:sz w:val="24"/>
                <w:szCs w:val="24"/>
              </w:rPr>
              <w:t>目标实现</w:t>
            </w:r>
            <w:r>
              <w:rPr>
                <w:rFonts w:hint="eastAsia" w:ascii="仿宋_GB2312" w:hAnsi="仿宋_GB2312" w:eastAsia="仿宋_GB2312" w:cs="仿宋_GB2312"/>
                <w:b/>
                <w:i w:val="0"/>
                <w:iCs w:val="0"/>
                <w:color w:val="000000"/>
                <w:kern w:val="0"/>
                <w:sz w:val="24"/>
                <w:szCs w:val="24"/>
              </w:rPr>
              <w:br w:type="textWrapping"/>
            </w:r>
            <w:r>
              <w:rPr>
                <w:rFonts w:hint="eastAsia" w:ascii="仿宋_GB2312" w:hAnsi="仿宋_GB2312" w:eastAsia="仿宋_GB2312" w:cs="仿宋_GB2312"/>
                <w:b/>
                <w:i w:val="0"/>
                <w:iCs w:val="0"/>
                <w:color w:val="000000"/>
                <w:kern w:val="0"/>
                <w:sz w:val="24"/>
                <w:szCs w:val="24"/>
              </w:rPr>
              <w:t>（11分）</w:t>
            </w: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1D67B">
            <w:pPr>
              <w:widowControl/>
              <w:spacing w:line="240" w:lineRule="exact"/>
              <w:jc w:val="center"/>
              <w:textAlignment w:val="center"/>
              <w:rPr>
                <w:rFonts w:hint="eastAsia" w:ascii="仿宋_GB2312" w:hAnsi="仿宋_GB2312" w:eastAsia="仿宋_GB2312" w:cs="仿宋_GB2312"/>
                <w:i w:val="0"/>
                <w:iCs w:val="0"/>
                <w:color w:val="000000"/>
                <w:sz w:val="24"/>
                <w:szCs w:val="24"/>
              </w:rPr>
            </w:pPr>
            <w:r>
              <w:rPr>
                <w:rFonts w:hint="eastAsia" w:ascii="仿宋_GB2312" w:hAnsi="仿宋_GB2312" w:eastAsia="仿宋_GB2312" w:cs="仿宋_GB2312"/>
                <w:i w:val="0"/>
                <w:iCs w:val="0"/>
                <w:color w:val="000000"/>
                <w:kern w:val="0"/>
                <w:sz w:val="24"/>
                <w:szCs w:val="24"/>
              </w:rPr>
              <w:t>目标完成</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12776">
            <w:pPr>
              <w:widowControl/>
              <w:spacing w:line="240" w:lineRule="exact"/>
              <w:jc w:val="center"/>
              <w:textAlignment w:val="center"/>
              <w:rPr>
                <w:rFonts w:hint="eastAsia" w:ascii="仿宋_GB2312" w:hAnsi="仿宋_GB2312" w:eastAsia="仿宋_GB2312" w:cs="仿宋_GB2312"/>
                <w:i w:val="0"/>
                <w:iCs w:val="0"/>
                <w:color w:val="000000"/>
                <w:sz w:val="24"/>
                <w:szCs w:val="24"/>
              </w:rPr>
            </w:pPr>
            <w:r>
              <w:rPr>
                <w:rFonts w:hint="eastAsia" w:ascii="仿宋_GB2312" w:hAnsi="仿宋_GB2312" w:eastAsia="仿宋_GB2312" w:cs="仿宋_GB2312"/>
                <w:i w:val="0"/>
                <w:iCs w:val="0"/>
                <w:color w:val="000000"/>
                <w:kern w:val="0"/>
                <w:sz w:val="24"/>
                <w:szCs w:val="24"/>
              </w:rPr>
              <w:t>4</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97864">
            <w:pPr>
              <w:widowControl/>
              <w:spacing w:line="240" w:lineRule="exact"/>
              <w:jc w:val="left"/>
              <w:textAlignment w:val="center"/>
              <w:rPr>
                <w:rFonts w:hint="eastAsia" w:ascii="仿宋_GB2312" w:hAnsi="仿宋_GB2312" w:eastAsia="仿宋_GB2312" w:cs="仿宋_GB2312"/>
                <w:i w:val="0"/>
                <w:iCs w:val="0"/>
                <w:color w:val="000000"/>
                <w:sz w:val="24"/>
                <w:szCs w:val="24"/>
              </w:rPr>
            </w:pPr>
            <w:r>
              <w:rPr>
                <w:rFonts w:hint="eastAsia" w:ascii="仿宋_GB2312" w:hAnsi="仿宋_GB2312" w:eastAsia="仿宋_GB2312" w:cs="仿宋_GB2312"/>
                <w:i w:val="0"/>
                <w:iCs w:val="0"/>
                <w:color w:val="000000"/>
                <w:kern w:val="0"/>
                <w:sz w:val="24"/>
                <w:szCs w:val="24"/>
              </w:rPr>
              <w:t>部门预算项目绩效目标数量指标完成情况</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6A50A">
            <w:pPr>
              <w:widowControl/>
              <w:spacing w:line="240" w:lineRule="exact"/>
              <w:jc w:val="left"/>
              <w:textAlignment w:val="center"/>
              <w:rPr>
                <w:rFonts w:hint="eastAsia" w:ascii="仿宋_GB2312" w:hAnsi="仿宋_GB2312" w:eastAsia="仿宋_GB2312" w:cs="仿宋_GB2312"/>
                <w:i w:val="0"/>
                <w:iCs w:val="0"/>
                <w:color w:val="000000"/>
                <w:kern w:val="0"/>
                <w:sz w:val="24"/>
                <w:szCs w:val="24"/>
                <w:lang w:val="en-US" w:eastAsia="zh-CN" w:bidi="ar"/>
              </w:rPr>
            </w:pPr>
            <w:r>
              <w:rPr>
                <w:rFonts w:hint="eastAsia" w:ascii="仿宋_GB2312" w:hAnsi="仿宋_GB2312" w:eastAsia="仿宋_GB2312" w:cs="仿宋_GB2312"/>
                <w:i w:val="0"/>
                <w:iCs w:val="0"/>
                <w:color w:val="000000"/>
                <w:kern w:val="0"/>
                <w:sz w:val="24"/>
                <w:szCs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96FD2">
            <w:pPr>
              <w:widowControl/>
              <w:spacing w:line="240" w:lineRule="exact"/>
              <w:jc w:val="left"/>
              <w:textAlignment w:val="center"/>
              <w:rPr>
                <w:rFonts w:hint="eastAsia" w:ascii="仿宋_GB2312" w:hAnsi="仿宋_GB2312" w:eastAsia="仿宋_GB2312" w:cs="仿宋_GB2312"/>
                <w:i w:val="0"/>
                <w:iCs w:val="0"/>
                <w:color w:val="000000"/>
                <w:kern w:val="0"/>
                <w:sz w:val="24"/>
                <w:szCs w:val="24"/>
              </w:rPr>
            </w:pPr>
          </w:p>
        </w:tc>
      </w:tr>
      <w:tr w14:paraId="3048A5DA">
        <w:tblPrEx>
          <w:tblCellMar>
            <w:top w:w="0" w:type="dxa"/>
            <w:left w:w="108" w:type="dxa"/>
            <w:bottom w:w="0" w:type="dxa"/>
            <w:right w:w="108" w:type="dxa"/>
          </w:tblCellMar>
        </w:tblPrEx>
        <w:trPr>
          <w:trHeight w:val="23" w:hRule="atLeast"/>
          <w:jc w:val="center"/>
        </w:trPr>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695979">
            <w:pPr>
              <w:widowControl/>
              <w:spacing w:line="240" w:lineRule="exact"/>
              <w:jc w:val="center"/>
              <w:rPr>
                <w:rFonts w:hint="eastAsia" w:ascii="仿宋_GB2312" w:hAnsi="仿宋_GB2312" w:eastAsia="仿宋_GB2312" w:cs="仿宋_GB2312"/>
                <w:b/>
                <w:i w:val="0"/>
                <w:iCs w:val="0"/>
                <w:color w:val="000000"/>
                <w:sz w:val="24"/>
                <w:szCs w:val="24"/>
              </w:rPr>
            </w:pPr>
          </w:p>
        </w:tc>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3EFE20">
            <w:pPr>
              <w:widowControl/>
              <w:spacing w:line="240" w:lineRule="exact"/>
              <w:jc w:val="center"/>
              <w:rPr>
                <w:rFonts w:hint="eastAsia" w:ascii="仿宋_GB2312" w:hAnsi="仿宋_GB2312" w:eastAsia="仿宋_GB2312" w:cs="仿宋_GB2312"/>
                <w:b/>
                <w:i w:val="0"/>
                <w:iCs w:val="0"/>
                <w:color w:val="000000"/>
                <w:sz w:val="24"/>
                <w:szCs w:val="24"/>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39BE1">
            <w:pPr>
              <w:widowControl/>
              <w:spacing w:line="240" w:lineRule="exact"/>
              <w:jc w:val="center"/>
              <w:textAlignment w:val="center"/>
              <w:rPr>
                <w:rFonts w:hint="eastAsia" w:ascii="仿宋_GB2312" w:hAnsi="仿宋_GB2312" w:eastAsia="仿宋_GB2312" w:cs="仿宋_GB2312"/>
                <w:i w:val="0"/>
                <w:iCs w:val="0"/>
                <w:color w:val="000000"/>
                <w:sz w:val="24"/>
                <w:szCs w:val="24"/>
              </w:rPr>
            </w:pPr>
            <w:r>
              <w:rPr>
                <w:rFonts w:hint="eastAsia" w:ascii="仿宋_GB2312" w:hAnsi="仿宋_GB2312" w:eastAsia="仿宋_GB2312" w:cs="仿宋_GB2312"/>
                <w:i w:val="0"/>
                <w:iCs w:val="0"/>
                <w:color w:val="000000"/>
                <w:kern w:val="0"/>
                <w:sz w:val="24"/>
                <w:szCs w:val="24"/>
              </w:rPr>
              <w:t>目标偏离</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3FE6D">
            <w:pPr>
              <w:widowControl/>
              <w:spacing w:line="240" w:lineRule="exact"/>
              <w:jc w:val="center"/>
              <w:textAlignment w:val="center"/>
              <w:rPr>
                <w:rFonts w:hint="eastAsia" w:ascii="仿宋_GB2312" w:hAnsi="仿宋_GB2312" w:eastAsia="仿宋_GB2312" w:cs="仿宋_GB2312"/>
                <w:i w:val="0"/>
                <w:iCs w:val="0"/>
                <w:color w:val="000000"/>
                <w:sz w:val="24"/>
                <w:szCs w:val="24"/>
              </w:rPr>
            </w:pPr>
            <w:r>
              <w:rPr>
                <w:rFonts w:hint="eastAsia" w:ascii="仿宋_GB2312" w:hAnsi="仿宋_GB2312" w:eastAsia="仿宋_GB2312" w:cs="仿宋_GB2312"/>
                <w:i w:val="0"/>
                <w:iCs w:val="0"/>
                <w:color w:val="000000"/>
                <w:kern w:val="0"/>
                <w:sz w:val="24"/>
                <w:szCs w:val="24"/>
              </w:rPr>
              <w:t>4</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F75A5">
            <w:pPr>
              <w:widowControl/>
              <w:spacing w:line="240" w:lineRule="exact"/>
              <w:jc w:val="left"/>
              <w:textAlignment w:val="center"/>
              <w:rPr>
                <w:rFonts w:hint="eastAsia" w:ascii="仿宋_GB2312" w:hAnsi="仿宋_GB2312" w:eastAsia="仿宋_GB2312" w:cs="仿宋_GB2312"/>
                <w:i w:val="0"/>
                <w:iCs w:val="0"/>
                <w:color w:val="000000"/>
                <w:sz w:val="24"/>
                <w:szCs w:val="24"/>
              </w:rPr>
            </w:pPr>
            <w:r>
              <w:rPr>
                <w:rFonts w:hint="eastAsia" w:ascii="仿宋_GB2312" w:hAnsi="仿宋_GB2312" w:eastAsia="仿宋_GB2312" w:cs="仿宋_GB2312"/>
                <w:i w:val="0"/>
                <w:iCs w:val="0"/>
                <w:color w:val="000000"/>
                <w:kern w:val="0"/>
                <w:sz w:val="24"/>
                <w:szCs w:val="24"/>
              </w:rPr>
              <w:t>部门预算项目绩效目标数量指标实现程度与预期目标的偏离情况</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DCC11">
            <w:pPr>
              <w:widowControl/>
              <w:spacing w:line="240" w:lineRule="exact"/>
              <w:jc w:val="left"/>
              <w:textAlignment w:val="center"/>
              <w:rPr>
                <w:rFonts w:hint="eastAsia" w:ascii="仿宋_GB2312" w:hAnsi="仿宋_GB2312" w:eastAsia="仿宋_GB2312" w:cs="仿宋_GB2312"/>
                <w:i w:val="0"/>
                <w:iCs w:val="0"/>
                <w:color w:val="000000"/>
                <w:kern w:val="0"/>
                <w:sz w:val="24"/>
                <w:szCs w:val="24"/>
                <w:lang w:val="en-US" w:eastAsia="zh-CN" w:bidi="ar"/>
              </w:rPr>
            </w:pPr>
            <w:r>
              <w:rPr>
                <w:rFonts w:hint="eastAsia" w:ascii="仿宋_GB2312" w:hAnsi="仿宋_GB2312" w:eastAsia="仿宋_GB2312" w:cs="仿宋_GB2312"/>
                <w:i w:val="0"/>
                <w:iCs w:val="0"/>
                <w:color w:val="000000"/>
                <w:kern w:val="0"/>
                <w:sz w:val="24"/>
                <w:szCs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C60B7">
            <w:pPr>
              <w:widowControl/>
              <w:spacing w:line="240" w:lineRule="exact"/>
              <w:jc w:val="left"/>
              <w:textAlignment w:val="center"/>
              <w:rPr>
                <w:rFonts w:hint="eastAsia" w:ascii="仿宋_GB2312" w:hAnsi="仿宋_GB2312" w:eastAsia="仿宋_GB2312" w:cs="仿宋_GB2312"/>
                <w:i w:val="0"/>
                <w:iCs w:val="0"/>
                <w:color w:val="000000"/>
                <w:kern w:val="0"/>
                <w:sz w:val="24"/>
                <w:szCs w:val="24"/>
              </w:rPr>
            </w:pPr>
          </w:p>
        </w:tc>
      </w:tr>
      <w:tr w14:paraId="5F68F635">
        <w:tblPrEx>
          <w:tblCellMar>
            <w:top w:w="0" w:type="dxa"/>
            <w:left w:w="108" w:type="dxa"/>
            <w:bottom w:w="0" w:type="dxa"/>
            <w:right w:w="108" w:type="dxa"/>
          </w:tblCellMar>
        </w:tblPrEx>
        <w:trPr>
          <w:trHeight w:val="23" w:hRule="atLeast"/>
          <w:jc w:val="center"/>
        </w:trPr>
        <w:tc>
          <w:tcPr>
            <w:tcW w:w="1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9E4D4A">
            <w:pPr>
              <w:widowControl/>
              <w:spacing w:line="240" w:lineRule="exact"/>
              <w:jc w:val="center"/>
              <w:rPr>
                <w:rFonts w:hint="eastAsia" w:ascii="仿宋_GB2312" w:hAnsi="仿宋_GB2312" w:eastAsia="仿宋_GB2312" w:cs="仿宋_GB2312"/>
                <w:b/>
                <w:i w:val="0"/>
                <w:iCs w:val="0"/>
                <w:color w:val="000000"/>
                <w:sz w:val="24"/>
                <w:szCs w:val="24"/>
              </w:rPr>
            </w:pPr>
          </w:p>
        </w:tc>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1B4143">
            <w:pPr>
              <w:widowControl/>
              <w:spacing w:line="240" w:lineRule="exact"/>
              <w:jc w:val="center"/>
              <w:rPr>
                <w:rFonts w:hint="eastAsia" w:ascii="仿宋_GB2312" w:hAnsi="仿宋_GB2312" w:eastAsia="仿宋_GB2312" w:cs="仿宋_GB2312"/>
                <w:b/>
                <w:i w:val="0"/>
                <w:iCs w:val="0"/>
                <w:color w:val="000000"/>
                <w:sz w:val="24"/>
                <w:szCs w:val="24"/>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32A99">
            <w:pPr>
              <w:widowControl/>
              <w:spacing w:line="240" w:lineRule="exact"/>
              <w:jc w:val="center"/>
              <w:textAlignment w:val="center"/>
              <w:rPr>
                <w:rFonts w:hint="eastAsia" w:ascii="仿宋_GB2312" w:hAnsi="仿宋_GB2312" w:eastAsia="仿宋_GB2312" w:cs="仿宋_GB2312"/>
                <w:i w:val="0"/>
                <w:iCs w:val="0"/>
                <w:color w:val="000000"/>
                <w:sz w:val="24"/>
                <w:szCs w:val="24"/>
              </w:rPr>
            </w:pPr>
            <w:r>
              <w:rPr>
                <w:rFonts w:hint="eastAsia" w:ascii="仿宋_GB2312" w:hAnsi="仿宋_GB2312" w:eastAsia="仿宋_GB2312" w:cs="仿宋_GB2312"/>
                <w:i w:val="0"/>
                <w:iCs w:val="0"/>
                <w:color w:val="000000"/>
                <w:kern w:val="0"/>
                <w:sz w:val="24"/>
                <w:szCs w:val="24"/>
              </w:rPr>
              <w:t>实现效果</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FA8C9">
            <w:pPr>
              <w:widowControl/>
              <w:spacing w:line="240" w:lineRule="exact"/>
              <w:jc w:val="center"/>
              <w:textAlignment w:val="center"/>
              <w:rPr>
                <w:rFonts w:hint="eastAsia" w:ascii="仿宋_GB2312" w:hAnsi="仿宋_GB2312" w:eastAsia="仿宋_GB2312" w:cs="仿宋_GB2312"/>
                <w:i w:val="0"/>
                <w:iCs w:val="0"/>
                <w:color w:val="000000"/>
                <w:sz w:val="24"/>
                <w:szCs w:val="24"/>
              </w:rPr>
            </w:pPr>
            <w:r>
              <w:rPr>
                <w:rFonts w:hint="eastAsia" w:ascii="仿宋_GB2312" w:hAnsi="仿宋_GB2312" w:eastAsia="仿宋_GB2312" w:cs="仿宋_GB2312"/>
                <w:i w:val="0"/>
                <w:iCs w:val="0"/>
                <w:color w:val="000000"/>
                <w:kern w:val="0"/>
                <w:sz w:val="24"/>
                <w:szCs w:val="24"/>
              </w:rPr>
              <w:t>3</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7D89B">
            <w:pPr>
              <w:widowControl/>
              <w:spacing w:line="240" w:lineRule="exact"/>
              <w:jc w:val="left"/>
              <w:textAlignment w:val="center"/>
              <w:rPr>
                <w:rFonts w:hint="eastAsia" w:ascii="仿宋_GB2312" w:hAnsi="仿宋_GB2312" w:eastAsia="仿宋_GB2312" w:cs="仿宋_GB2312"/>
                <w:i w:val="0"/>
                <w:iCs w:val="0"/>
                <w:color w:val="000000"/>
                <w:sz w:val="24"/>
                <w:szCs w:val="24"/>
              </w:rPr>
            </w:pPr>
            <w:r>
              <w:rPr>
                <w:rFonts w:hint="eastAsia" w:ascii="仿宋_GB2312" w:hAnsi="仿宋_GB2312" w:eastAsia="仿宋_GB2312" w:cs="仿宋_GB2312"/>
                <w:i w:val="0"/>
                <w:iCs w:val="0"/>
                <w:color w:val="000000"/>
                <w:kern w:val="0"/>
                <w:sz w:val="24"/>
                <w:szCs w:val="24"/>
              </w:rPr>
              <w:t>部门预算项目绩效目标效益指标实施效果</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8DED8">
            <w:pPr>
              <w:widowControl/>
              <w:spacing w:line="240" w:lineRule="exact"/>
              <w:jc w:val="left"/>
              <w:textAlignment w:val="center"/>
              <w:rPr>
                <w:rFonts w:hint="eastAsia" w:ascii="仿宋_GB2312" w:hAnsi="仿宋_GB2312" w:eastAsia="仿宋_GB2312" w:cs="仿宋_GB2312"/>
                <w:i w:val="0"/>
                <w:iCs w:val="0"/>
                <w:color w:val="000000"/>
                <w:kern w:val="0"/>
                <w:sz w:val="24"/>
                <w:szCs w:val="24"/>
                <w:lang w:val="en-US" w:eastAsia="zh-CN" w:bidi="ar"/>
              </w:rPr>
            </w:pPr>
            <w:r>
              <w:rPr>
                <w:rFonts w:hint="eastAsia" w:ascii="仿宋_GB2312" w:hAnsi="仿宋_GB2312" w:eastAsia="仿宋_GB2312" w:cs="仿宋_GB2312"/>
                <w:i w:val="0"/>
                <w:iCs w:val="0"/>
                <w:color w:val="000000"/>
                <w:kern w:val="0"/>
                <w:sz w:val="24"/>
                <w:szCs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1396D">
            <w:pPr>
              <w:widowControl/>
              <w:spacing w:line="240" w:lineRule="exact"/>
              <w:jc w:val="left"/>
              <w:textAlignment w:val="center"/>
              <w:rPr>
                <w:rFonts w:hint="eastAsia" w:ascii="仿宋_GB2312" w:hAnsi="仿宋_GB2312" w:eastAsia="仿宋_GB2312" w:cs="仿宋_GB2312"/>
                <w:i w:val="0"/>
                <w:iCs w:val="0"/>
                <w:color w:val="000000"/>
                <w:kern w:val="0"/>
                <w:sz w:val="24"/>
                <w:szCs w:val="24"/>
              </w:rPr>
            </w:pPr>
          </w:p>
        </w:tc>
      </w:tr>
      <w:tr w14:paraId="43D072A8">
        <w:tblPrEx>
          <w:tblCellMar>
            <w:top w:w="0" w:type="dxa"/>
            <w:left w:w="108" w:type="dxa"/>
            <w:bottom w:w="0" w:type="dxa"/>
            <w:right w:w="108" w:type="dxa"/>
          </w:tblCellMar>
        </w:tblPrEx>
        <w:trPr>
          <w:trHeight w:val="23" w:hRule="atLeast"/>
          <w:jc w:val="center"/>
        </w:trPr>
        <w:tc>
          <w:tcPr>
            <w:tcW w:w="1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826E3">
            <w:pPr>
              <w:widowControl/>
              <w:spacing w:line="240" w:lineRule="exact"/>
              <w:jc w:val="center"/>
              <w:textAlignment w:val="center"/>
              <w:rPr>
                <w:rFonts w:hint="eastAsia" w:ascii="仿宋_GB2312" w:hAnsi="仿宋_GB2312" w:eastAsia="仿宋_GB2312" w:cs="仿宋_GB2312"/>
                <w:b/>
                <w:i w:val="0"/>
                <w:iCs w:val="0"/>
                <w:color w:val="000000"/>
                <w:sz w:val="24"/>
                <w:szCs w:val="24"/>
              </w:rPr>
            </w:pPr>
            <w:r>
              <w:rPr>
                <w:rFonts w:hint="eastAsia" w:ascii="仿宋_GB2312" w:hAnsi="仿宋_GB2312" w:eastAsia="仿宋_GB2312" w:cs="仿宋_GB2312"/>
                <w:b/>
                <w:i w:val="0"/>
                <w:iCs w:val="0"/>
                <w:color w:val="000000"/>
                <w:kern w:val="0"/>
                <w:sz w:val="24"/>
                <w:szCs w:val="24"/>
              </w:rPr>
              <w:t>扣分项</w:t>
            </w:r>
            <w:r>
              <w:rPr>
                <w:rFonts w:hint="eastAsia" w:ascii="仿宋_GB2312" w:hAnsi="仿宋_GB2312" w:eastAsia="仿宋_GB2312" w:cs="仿宋_GB2312"/>
                <w:b/>
                <w:i w:val="0"/>
                <w:iCs w:val="0"/>
                <w:color w:val="000000"/>
                <w:kern w:val="0"/>
                <w:sz w:val="24"/>
                <w:szCs w:val="24"/>
              </w:rPr>
              <w:br w:type="textWrapping"/>
            </w:r>
            <w:r>
              <w:rPr>
                <w:rFonts w:hint="eastAsia" w:ascii="仿宋_GB2312" w:hAnsi="仿宋_GB2312" w:eastAsia="仿宋_GB2312" w:cs="仿宋_GB2312"/>
                <w:b/>
                <w:i w:val="0"/>
                <w:iCs w:val="0"/>
                <w:color w:val="000000"/>
                <w:kern w:val="0"/>
                <w:sz w:val="24"/>
                <w:szCs w:val="24"/>
              </w:rPr>
              <w:t>（10分）</w:t>
            </w:r>
          </w:p>
        </w:tc>
        <w:tc>
          <w:tcPr>
            <w:tcW w:w="31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C5B8FB">
            <w:pPr>
              <w:widowControl/>
              <w:spacing w:line="240" w:lineRule="exact"/>
              <w:jc w:val="center"/>
              <w:textAlignment w:val="center"/>
              <w:rPr>
                <w:rFonts w:hint="eastAsia" w:ascii="仿宋_GB2312" w:hAnsi="仿宋_GB2312" w:eastAsia="仿宋_GB2312" w:cs="仿宋_GB2312"/>
                <w:i w:val="0"/>
                <w:iCs w:val="0"/>
                <w:color w:val="000000"/>
                <w:sz w:val="24"/>
                <w:szCs w:val="24"/>
              </w:rPr>
            </w:pPr>
            <w:r>
              <w:rPr>
                <w:rFonts w:hint="eastAsia" w:ascii="仿宋_GB2312" w:hAnsi="仿宋_GB2312" w:eastAsia="仿宋_GB2312" w:cs="仿宋_GB2312"/>
                <w:i w:val="0"/>
                <w:iCs w:val="0"/>
                <w:color w:val="000000"/>
                <w:kern w:val="0"/>
                <w:sz w:val="24"/>
                <w:szCs w:val="24"/>
              </w:rPr>
              <w:t>被评价部门配合度</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BF042">
            <w:pPr>
              <w:widowControl/>
              <w:spacing w:line="240" w:lineRule="exact"/>
              <w:jc w:val="center"/>
              <w:textAlignment w:val="center"/>
              <w:rPr>
                <w:rFonts w:hint="eastAsia" w:ascii="仿宋_GB2312" w:hAnsi="仿宋_GB2312" w:eastAsia="仿宋_GB2312" w:cs="仿宋_GB2312"/>
                <w:i w:val="0"/>
                <w:iCs w:val="0"/>
                <w:color w:val="000000"/>
                <w:sz w:val="24"/>
                <w:szCs w:val="24"/>
              </w:rPr>
            </w:pPr>
            <w:r>
              <w:rPr>
                <w:rFonts w:hint="eastAsia" w:ascii="仿宋_GB2312" w:hAnsi="仿宋_GB2312" w:eastAsia="仿宋_GB2312" w:cs="仿宋_GB2312"/>
                <w:i w:val="0"/>
                <w:iCs w:val="0"/>
                <w:color w:val="000000"/>
                <w:kern w:val="0"/>
                <w:sz w:val="24"/>
                <w:szCs w:val="24"/>
              </w:rPr>
              <w:t>-</w:t>
            </w:r>
          </w:p>
        </w:tc>
        <w:tc>
          <w:tcPr>
            <w:tcW w:w="4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9C628">
            <w:pPr>
              <w:widowControl/>
              <w:spacing w:line="240" w:lineRule="exact"/>
              <w:jc w:val="left"/>
              <w:textAlignment w:val="center"/>
              <w:rPr>
                <w:rFonts w:hint="eastAsia" w:ascii="仿宋_GB2312" w:hAnsi="仿宋_GB2312" w:eastAsia="仿宋_GB2312" w:cs="仿宋_GB2312"/>
                <w:i w:val="0"/>
                <w:iCs w:val="0"/>
                <w:color w:val="000000"/>
                <w:sz w:val="24"/>
                <w:szCs w:val="24"/>
              </w:rPr>
            </w:pPr>
            <w:r>
              <w:rPr>
                <w:rFonts w:hint="eastAsia" w:ascii="仿宋_GB2312" w:hAnsi="仿宋_GB2312" w:eastAsia="仿宋_GB2312" w:cs="仿宋_GB2312"/>
                <w:i w:val="0"/>
                <w:iCs w:val="0"/>
                <w:color w:val="000000"/>
                <w:kern w:val="0"/>
                <w:sz w:val="24"/>
                <w:szCs w:val="24"/>
              </w:rPr>
              <w:t>被评价对象工作配合情况</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48FD1">
            <w:pPr>
              <w:widowControl/>
              <w:spacing w:line="240" w:lineRule="exact"/>
              <w:jc w:val="left"/>
              <w:textAlignment w:val="center"/>
              <w:rPr>
                <w:rFonts w:hint="eastAsia" w:ascii="仿宋_GB2312" w:hAnsi="仿宋_GB2312" w:eastAsia="仿宋_GB2312" w:cs="仿宋_GB2312"/>
                <w:i w:val="0"/>
                <w:iCs w:val="0"/>
                <w:color w:val="000000"/>
                <w:kern w:val="0"/>
                <w:sz w:val="24"/>
                <w:szCs w:val="24"/>
              </w:rPr>
            </w:pP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1991C">
            <w:pPr>
              <w:widowControl/>
              <w:spacing w:line="240" w:lineRule="exact"/>
              <w:jc w:val="left"/>
              <w:textAlignment w:val="center"/>
              <w:rPr>
                <w:rFonts w:hint="eastAsia" w:ascii="仿宋_GB2312" w:hAnsi="仿宋_GB2312" w:eastAsia="仿宋_GB2312" w:cs="仿宋_GB2312"/>
                <w:i w:val="0"/>
                <w:iCs w:val="0"/>
                <w:color w:val="000000"/>
                <w:kern w:val="0"/>
                <w:sz w:val="24"/>
                <w:szCs w:val="24"/>
              </w:rPr>
            </w:pPr>
          </w:p>
        </w:tc>
      </w:tr>
    </w:tbl>
    <w:p w14:paraId="2FF96408">
      <w:pPr>
        <w:pStyle w:val="38"/>
        <w:spacing w:line="20" w:lineRule="exact"/>
        <w:rPr>
          <w:rFonts w:hint="eastAsia" w:ascii="仿宋_GB2312" w:hAnsi="仿宋_GB2312" w:eastAsia="仿宋_GB2312" w:cs="仿宋_GB2312"/>
          <w:i w:val="0"/>
          <w:iCs w:val="0"/>
          <w:sz w:val="24"/>
          <w:szCs w:val="24"/>
        </w:rPr>
      </w:pPr>
    </w:p>
    <w:p w14:paraId="1AD45C93">
      <w:pPr>
        <w:spacing w:line="20" w:lineRule="exact"/>
        <w:rPr>
          <w:rFonts w:hint="eastAsia" w:ascii="仿宋_GB2312" w:hAnsi="仿宋_GB2312" w:eastAsia="仿宋_GB2312" w:cs="仿宋_GB2312"/>
          <w:i w:val="0"/>
          <w:iCs w:val="0"/>
          <w:sz w:val="24"/>
          <w:szCs w:val="24"/>
        </w:rPr>
      </w:pPr>
      <w:r>
        <w:rPr>
          <w:rFonts w:hint="eastAsia" w:ascii="仿宋_GB2312" w:hAnsi="仿宋_GB2312" w:eastAsia="仿宋_GB2312" w:cs="仿宋_GB2312"/>
          <w:i w:val="0"/>
          <w:iCs w:val="0"/>
          <w:sz w:val="24"/>
          <w:szCs w:val="24"/>
        </w:rPr>
        <w:br w:type="page"/>
      </w:r>
    </w:p>
    <w:p w14:paraId="1EBCB923">
      <w:pPr>
        <w:spacing w:line="578" w:lineRule="exact"/>
        <w:jc w:val="left"/>
        <w:rPr>
          <w:rFonts w:hint="eastAsia" w:ascii="仿宋_GB2312" w:hAnsi="仿宋_GB2312" w:eastAsia="仿宋_GB2312" w:cs="仿宋_GB2312"/>
          <w:i w:val="0"/>
          <w:iCs w:val="0"/>
          <w:sz w:val="24"/>
          <w:szCs w:val="24"/>
        </w:rPr>
      </w:pPr>
      <w:r>
        <w:rPr>
          <w:rFonts w:hint="eastAsia" w:ascii="仿宋_GB2312" w:hAnsi="仿宋_GB2312" w:eastAsia="仿宋_GB2312" w:cs="仿宋_GB2312"/>
          <w:i w:val="0"/>
          <w:iCs w:val="0"/>
          <w:sz w:val="24"/>
          <w:szCs w:val="24"/>
        </w:rPr>
        <w:t>附表2</w:t>
      </w:r>
    </w:p>
    <w:p w14:paraId="566A0E30">
      <w:pPr>
        <w:widowControl/>
        <w:spacing w:line="600" w:lineRule="exact"/>
        <w:jc w:val="center"/>
        <w:textAlignment w:val="center"/>
        <w:rPr>
          <w:rFonts w:hint="eastAsia" w:eastAsia="方正小标宋简体"/>
          <w:i w:val="0"/>
          <w:iCs w:val="0"/>
          <w:color w:val="000000"/>
          <w:kern w:val="0"/>
          <w:sz w:val="44"/>
          <w:szCs w:val="44"/>
        </w:rPr>
      </w:pPr>
      <w:r>
        <w:rPr>
          <w:rFonts w:hint="eastAsia" w:eastAsia="方正小标宋简体"/>
          <w:i w:val="0"/>
          <w:iCs w:val="0"/>
          <w:color w:val="000000"/>
          <w:kern w:val="0"/>
          <w:sz w:val="44"/>
          <w:szCs w:val="44"/>
        </w:rPr>
        <w:t>部门整体支出绩效目标完成情况自评表</w:t>
      </w:r>
    </w:p>
    <w:tbl>
      <w:tblPr>
        <w:tblStyle w:val="19"/>
        <w:tblW w:w="9658" w:type="dxa"/>
        <w:jc w:val="center"/>
        <w:tblLayout w:type="fixed"/>
        <w:tblCellMar>
          <w:top w:w="0" w:type="dxa"/>
          <w:left w:w="108" w:type="dxa"/>
          <w:bottom w:w="0" w:type="dxa"/>
          <w:right w:w="108" w:type="dxa"/>
        </w:tblCellMar>
      </w:tblPr>
      <w:tblGrid>
        <w:gridCol w:w="331"/>
        <w:gridCol w:w="593"/>
        <w:gridCol w:w="803"/>
        <w:gridCol w:w="1246"/>
        <w:gridCol w:w="803"/>
        <w:gridCol w:w="777"/>
        <w:gridCol w:w="1018"/>
        <w:gridCol w:w="1045"/>
        <w:gridCol w:w="1111"/>
        <w:gridCol w:w="1931"/>
      </w:tblGrid>
      <w:tr w14:paraId="1D1884B5">
        <w:tblPrEx>
          <w:tblCellMar>
            <w:top w:w="0" w:type="dxa"/>
            <w:left w:w="108" w:type="dxa"/>
            <w:bottom w:w="0" w:type="dxa"/>
            <w:right w:w="108" w:type="dxa"/>
          </w:tblCellMar>
        </w:tblPrEx>
        <w:trPr>
          <w:trHeight w:val="465" w:hRule="atLeast"/>
          <w:jc w:val="center"/>
        </w:trPr>
        <w:tc>
          <w:tcPr>
            <w:tcW w:w="1727" w:type="dxa"/>
            <w:gridSpan w:val="3"/>
            <w:tcBorders>
              <w:top w:val="single" w:color="000000" w:sz="4" w:space="0"/>
              <w:left w:val="single" w:color="000000" w:sz="4" w:space="0"/>
              <w:bottom w:val="single" w:color="auto" w:sz="4" w:space="0"/>
              <w:right w:val="single" w:color="000000" w:sz="4" w:space="0"/>
            </w:tcBorders>
            <w:noWrap/>
            <w:vAlign w:val="center"/>
          </w:tcPr>
          <w:p w14:paraId="076FE7EC">
            <w:pP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sz w:val="24"/>
                <w:szCs w:val="24"/>
              </w:rPr>
              <w:br w:type="page"/>
            </w:r>
            <w:r>
              <w:rPr>
                <w:rFonts w:hint="eastAsia" w:ascii="仿宋_GB2312" w:hAnsi="仿宋_GB2312" w:eastAsia="仿宋_GB2312" w:cs="仿宋_GB2312"/>
                <w:i w:val="0"/>
                <w:iCs w:val="0"/>
                <w:color w:val="000000"/>
                <w:kern w:val="0"/>
                <w:sz w:val="24"/>
                <w:szCs w:val="24"/>
              </w:rPr>
              <w:t>部门名称</w:t>
            </w:r>
          </w:p>
        </w:tc>
        <w:tc>
          <w:tcPr>
            <w:tcW w:w="7931" w:type="dxa"/>
            <w:gridSpan w:val="7"/>
            <w:tcBorders>
              <w:top w:val="single" w:color="000000" w:sz="4" w:space="0"/>
              <w:left w:val="single" w:color="000000" w:sz="4" w:space="0"/>
              <w:bottom w:val="single" w:color="000000" w:sz="4" w:space="0"/>
              <w:right w:val="single" w:color="000000" w:sz="4" w:space="0"/>
            </w:tcBorders>
            <w:noWrap/>
            <w:vAlign w:val="center"/>
          </w:tcPr>
          <w:p w14:paraId="567650DA">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中共茂县县委办公室</w:t>
            </w:r>
          </w:p>
        </w:tc>
      </w:tr>
      <w:tr w14:paraId="67CDA469">
        <w:tblPrEx>
          <w:tblCellMar>
            <w:top w:w="0" w:type="dxa"/>
            <w:left w:w="108" w:type="dxa"/>
            <w:bottom w:w="0" w:type="dxa"/>
            <w:right w:w="108" w:type="dxa"/>
          </w:tblCellMar>
        </w:tblPrEx>
        <w:trPr>
          <w:trHeight w:val="239" w:hRule="atLeast"/>
          <w:jc w:val="center"/>
        </w:trPr>
        <w:tc>
          <w:tcPr>
            <w:tcW w:w="1727" w:type="dxa"/>
            <w:gridSpan w:val="3"/>
            <w:tcBorders>
              <w:top w:val="single" w:color="auto" w:sz="4" w:space="0"/>
              <w:left w:val="single" w:color="auto" w:sz="4" w:space="0"/>
              <w:bottom w:val="single" w:color="auto" w:sz="4" w:space="0"/>
              <w:right w:val="single" w:color="auto" w:sz="4" w:space="0"/>
            </w:tcBorders>
            <w:noWrap/>
            <w:vAlign w:val="center"/>
          </w:tcPr>
          <w:p w14:paraId="76F31C7C">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rPr>
              <w:t>年度部门整体预算</w:t>
            </w:r>
          </w:p>
        </w:tc>
        <w:tc>
          <w:tcPr>
            <w:tcW w:w="2049" w:type="dxa"/>
            <w:gridSpan w:val="2"/>
            <w:tcBorders>
              <w:top w:val="single" w:color="000000" w:sz="4" w:space="0"/>
              <w:left w:val="single" w:color="auto" w:sz="4" w:space="0"/>
              <w:bottom w:val="single" w:color="000000" w:sz="4" w:space="0"/>
              <w:right w:val="single" w:color="auto" w:sz="4" w:space="0"/>
            </w:tcBorders>
            <w:noWrap/>
            <w:vAlign w:val="center"/>
          </w:tcPr>
          <w:p w14:paraId="793689AE">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rPr>
              <w:t>资金总额</w:t>
            </w:r>
          </w:p>
        </w:tc>
        <w:tc>
          <w:tcPr>
            <w:tcW w:w="1795" w:type="dxa"/>
            <w:gridSpan w:val="2"/>
            <w:tcBorders>
              <w:top w:val="single" w:color="auto" w:sz="4" w:space="0"/>
              <w:left w:val="single" w:color="auto" w:sz="4" w:space="0"/>
              <w:bottom w:val="single" w:color="auto" w:sz="4" w:space="0"/>
              <w:right w:val="single" w:color="auto" w:sz="4" w:space="0"/>
            </w:tcBorders>
            <w:noWrap/>
            <w:vAlign w:val="center"/>
          </w:tcPr>
          <w:p w14:paraId="6FD96701">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rPr>
              <w:t>财政拨款</w:t>
            </w:r>
          </w:p>
        </w:tc>
        <w:tc>
          <w:tcPr>
            <w:tcW w:w="4087" w:type="dxa"/>
            <w:gridSpan w:val="3"/>
            <w:tcBorders>
              <w:top w:val="single" w:color="auto" w:sz="4" w:space="0"/>
              <w:left w:val="single" w:color="auto" w:sz="4" w:space="0"/>
              <w:bottom w:val="single" w:color="auto" w:sz="4" w:space="0"/>
              <w:right w:val="single" w:color="auto" w:sz="4" w:space="0"/>
            </w:tcBorders>
            <w:noWrap/>
            <w:vAlign w:val="center"/>
          </w:tcPr>
          <w:p w14:paraId="63BB6C3D">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rPr>
              <w:t>其他资金</w:t>
            </w:r>
          </w:p>
        </w:tc>
      </w:tr>
      <w:tr w14:paraId="39A69D80">
        <w:tblPrEx>
          <w:tblCellMar>
            <w:top w:w="0" w:type="dxa"/>
            <w:left w:w="108" w:type="dxa"/>
            <w:bottom w:w="0" w:type="dxa"/>
            <w:right w:w="108" w:type="dxa"/>
          </w:tblCellMar>
        </w:tblPrEx>
        <w:trPr>
          <w:trHeight w:val="239" w:hRule="atLeast"/>
          <w:jc w:val="center"/>
        </w:trPr>
        <w:tc>
          <w:tcPr>
            <w:tcW w:w="1727" w:type="dxa"/>
            <w:gridSpan w:val="3"/>
            <w:tcBorders>
              <w:top w:val="single" w:color="auto" w:sz="4" w:space="0"/>
              <w:left w:val="single" w:color="auto" w:sz="4" w:space="0"/>
              <w:bottom w:val="single" w:color="auto" w:sz="4" w:space="0"/>
              <w:right w:val="single" w:color="auto" w:sz="4" w:space="0"/>
            </w:tcBorders>
            <w:noWrap/>
            <w:vAlign w:val="center"/>
          </w:tcPr>
          <w:p w14:paraId="72CAEE64">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rPr>
              <w:t>收入预算</w:t>
            </w:r>
          </w:p>
        </w:tc>
        <w:tc>
          <w:tcPr>
            <w:tcW w:w="2049" w:type="dxa"/>
            <w:gridSpan w:val="2"/>
            <w:tcBorders>
              <w:top w:val="single" w:color="000000" w:sz="4" w:space="0"/>
              <w:left w:val="single" w:color="auto" w:sz="4" w:space="0"/>
              <w:bottom w:val="single" w:color="000000" w:sz="4" w:space="0"/>
              <w:right w:val="single" w:color="auto" w:sz="4" w:space="0"/>
            </w:tcBorders>
            <w:noWrap/>
            <w:vAlign w:val="center"/>
          </w:tcPr>
          <w:p w14:paraId="7D73F6FF">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rPr>
              <w:t>974.13</w:t>
            </w:r>
          </w:p>
        </w:tc>
        <w:tc>
          <w:tcPr>
            <w:tcW w:w="1795" w:type="dxa"/>
            <w:gridSpan w:val="2"/>
            <w:tcBorders>
              <w:top w:val="single" w:color="auto" w:sz="4" w:space="0"/>
              <w:left w:val="single" w:color="auto" w:sz="4" w:space="0"/>
              <w:bottom w:val="single" w:color="auto" w:sz="4" w:space="0"/>
              <w:right w:val="single" w:color="auto" w:sz="4" w:space="0"/>
            </w:tcBorders>
            <w:noWrap/>
            <w:vAlign w:val="center"/>
          </w:tcPr>
          <w:p w14:paraId="54F7473E">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rPr>
              <w:t>974.13</w:t>
            </w:r>
          </w:p>
        </w:tc>
        <w:tc>
          <w:tcPr>
            <w:tcW w:w="4087" w:type="dxa"/>
            <w:gridSpan w:val="3"/>
            <w:tcBorders>
              <w:top w:val="single" w:color="auto" w:sz="4" w:space="0"/>
              <w:left w:val="single" w:color="auto" w:sz="4" w:space="0"/>
              <w:bottom w:val="single" w:color="auto" w:sz="4" w:space="0"/>
              <w:right w:val="single" w:color="auto" w:sz="4" w:space="0"/>
            </w:tcBorders>
            <w:noWrap/>
            <w:vAlign w:val="center"/>
          </w:tcPr>
          <w:p w14:paraId="2A908A1A">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eastAsia="zh-CN"/>
              </w:rPr>
            </w:pPr>
            <w:r>
              <w:rPr>
                <w:rFonts w:hint="eastAsia" w:ascii="仿宋_GB2312" w:hAnsi="仿宋_GB2312" w:eastAsia="仿宋_GB2312" w:cs="仿宋_GB2312"/>
                <w:i w:val="0"/>
                <w:iCs w:val="0"/>
                <w:color w:val="000000"/>
                <w:kern w:val="0"/>
                <w:sz w:val="24"/>
                <w:szCs w:val="24"/>
                <w:lang w:val="en-US" w:eastAsia="zh-CN"/>
              </w:rPr>
              <w:t>0</w:t>
            </w:r>
          </w:p>
        </w:tc>
      </w:tr>
      <w:tr w14:paraId="2348F2CB">
        <w:tblPrEx>
          <w:tblCellMar>
            <w:top w:w="0" w:type="dxa"/>
            <w:left w:w="108" w:type="dxa"/>
            <w:bottom w:w="0" w:type="dxa"/>
            <w:right w:w="108" w:type="dxa"/>
          </w:tblCellMar>
        </w:tblPrEx>
        <w:trPr>
          <w:trHeight w:val="296" w:hRule="atLeast"/>
          <w:jc w:val="center"/>
        </w:trPr>
        <w:tc>
          <w:tcPr>
            <w:tcW w:w="1727" w:type="dxa"/>
            <w:gridSpan w:val="3"/>
            <w:tcBorders>
              <w:top w:val="single" w:color="auto" w:sz="4" w:space="0"/>
              <w:left w:val="single" w:color="auto" w:sz="4" w:space="0"/>
              <w:bottom w:val="single" w:color="auto" w:sz="4" w:space="0"/>
              <w:right w:val="single" w:color="auto" w:sz="4" w:space="0"/>
            </w:tcBorders>
            <w:noWrap/>
            <w:vAlign w:val="center"/>
          </w:tcPr>
          <w:p w14:paraId="1EEC6FAC">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rPr>
              <w:t>支出预算</w:t>
            </w:r>
          </w:p>
        </w:tc>
        <w:tc>
          <w:tcPr>
            <w:tcW w:w="2049" w:type="dxa"/>
            <w:gridSpan w:val="2"/>
            <w:tcBorders>
              <w:top w:val="single" w:color="000000" w:sz="4" w:space="0"/>
              <w:left w:val="single" w:color="auto" w:sz="4" w:space="0"/>
              <w:bottom w:val="single" w:color="000000" w:sz="4" w:space="0"/>
              <w:right w:val="single" w:color="000000" w:sz="4" w:space="0"/>
            </w:tcBorders>
            <w:noWrap/>
            <w:vAlign w:val="center"/>
          </w:tcPr>
          <w:p w14:paraId="77F6E6B6">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rPr>
              <w:t>974.13</w:t>
            </w:r>
          </w:p>
        </w:tc>
        <w:tc>
          <w:tcPr>
            <w:tcW w:w="1795" w:type="dxa"/>
            <w:gridSpan w:val="2"/>
            <w:tcBorders>
              <w:top w:val="single" w:color="auto" w:sz="4" w:space="0"/>
              <w:left w:val="single" w:color="000000" w:sz="4" w:space="0"/>
              <w:bottom w:val="single" w:color="000000" w:sz="4" w:space="0"/>
              <w:right w:val="single" w:color="000000" w:sz="4" w:space="0"/>
            </w:tcBorders>
            <w:noWrap/>
            <w:vAlign w:val="center"/>
          </w:tcPr>
          <w:p w14:paraId="00E14E16">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rPr>
              <w:t>974.13</w:t>
            </w:r>
          </w:p>
        </w:tc>
        <w:tc>
          <w:tcPr>
            <w:tcW w:w="4087" w:type="dxa"/>
            <w:gridSpan w:val="3"/>
            <w:tcBorders>
              <w:top w:val="single" w:color="auto" w:sz="4" w:space="0"/>
              <w:left w:val="single" w:color="000000" w:sz="4" w:space="0"/>
              <w:bottom w:val="single" w:color="000000" w:sz="4" w:space="0"/>
              <w:right w:val="single" w:color="000000" w:sz="4" w:space="0"/>
            </w:tcBorders>
            <w:noWrap/>
            <w:vAlign w:val="center"/>
          </w:tcPr>
          <w:p w14:paraId="1AA93ED0">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eastAsia="zh-CN"/>
              </w:rPr>
            </w:pPr>
            <w:r>
              <w:rPr>
                <w:rFonts w:hint="eastAsia" w:ascii="仿宋_GB2312" w:hAnsi="仿宋_GB2312" w:eastAsia="仿宋_GB2312" w:cs="仿宋_GB2312"/>
                <w:i w:val="0"/>
                <w:iCs w:val="0"/>
                <w:color w:val="000000"/>
                <w:kern w:val="0"/>
                <w:sz w:val="24"/>
                <w:szCs w:val="24"/>
                <w:lang w:val="en-US" w:eastAsia="zh-CN"/>
              </w:rPr>
              <w:t>0</w:t>
            </w:r>
          </w:p>
        </w:tc>
      </w:tr>
      <w:tr w14:paraId="2D83F533">
        <w:tblPrEx>
          <w:tblCellMar>
            <w:top w:w="0" w:type="dxa"/>
            <w:left w:w="108" w:type="dxa"/>
            <w:bottom w:w="0" w:type="dxa"/>
            <w:right w:w="108" w:type="dxa"/>
          </w:tblCellMar>
        </w:tblPrEx>
        <w:trPr>
          <w:trHeight w:val="296" w:hRule="atLeast"/>
          <w:jc w:val="center"/>
        </w:trPr>
        <w:tc>
          <w:tcPr>
            <w:tcW w:w="1727" w:type="dxa"/>
            <w:gridSpan w:val="3"/>
            <w:tcBorders>
              <w:top w:val="single" w:color="auto" w:sz="4" w:space="0"/>
              <w:left w:val="single" w:color="000000" w:sz="4" w:space="0"/>
              <w:bottom w:val="single" w:color="000000" w:sz="4" w:space="0"/>
              <w:right w:val="single" w:color="000000" w:sz="4" w:space="0"/>
            </w:tcBorders>
            <w:noWrap/>
            <w:vAlign w:val="center"/>
          </w:tcPr>
          <w:p w14:paraId="1EBAF0D8">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rPr>
              <w:t>年度总体目标</w:t>
            </w:r>
          </w:p>
        </w:tc>
        <w:tc>
          <w:tcPr>
            <w:tcW w:w="7931" w:type="dxa"/>
            <w:gridSpan w:val="7"/>
            <w:tcBorders>
              <w:top w:val="single" w:color="000000" w:sz="4" w:space="0"/>
              <w:left w:val="single" w:color="000000" w:sz="4" w:space="0"/>
              <w:bottom w:val="single" w:color="000000" w:sz="4" w:space="0"/>
              <w:right w:val="single" w:color="000000" w:sz="4" w:space="0"/>
            </w:tcBorders>
            <w:noWrap/>
            <w:vAlign w:val="center"/>
          </w:tcPr>
          <w:p w14:paraId="59666D22">
            <w:pPr>
              <w:widowControl/>
              <w:spacing w:line="240" w:lineRule="exact"/>
              <w:jc w:val="left"/>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rPr>
              <w:t>1.用于保障职工的基本工资福利、保险、年金等</w:t>
            </w:r>
          </w:p>
          <w:p w14:paraId="22F11914">
            <w:pPr>
              <w:widowControl/>
              <w:spacing w:line="240" w:lineRule="exact"/>
              <w:jc w:val="left"/>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rPr>
              <w:t>和单位的正常日常公用经费开支</w:t>
            </w:r>
          </w:p>
          <w:p w14:paraId="42501FA0">
            <w:pPr>
              <w:widowControl/>
              <w:spacing w:line="240" w:lineRule="exact"/>
              <w:jc w:val="left"/>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rPr>
              <w:t>2.保障贯彻执行党的路线、方针、政策以及中央、省委、州委和县委的决议、决定和工作的部署，负责县委重要会议、领导讲话和上报下发的重要文件的起草和县委日常的文书处理，负责部门代拟县委文件和领导讲话的校核、规范、把关，负责对全县党委办公部门秘书工作业务的联系和指导。</w:t>
            </w:r>
          </w:p>
          <w:p w14:paraId="3F1AB9D4">
            <w:pPr>
              <w:widowControl/>
              <w:spacing w:line="240" w:lineRule="exact"/>
              <w:jc w:val="left"/>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rPr>
              <w:t>3.保障围绕中央、省委和州委重要决策以及县委总体工作部署，开展调研，并负责信息的收集、综合和报送工作。</w:t>
            </w:r>
          </w:p>
          <w:p w14:paraId="3C849EDE">
            <w:pPr>
              <w:widowControl/>
              <w:spacing w:line="240" w:lineRule="exact"/>
              <w:jc w:val="left"/>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rPr>
              <w:t>4.保障县委常委会议、书记办公会议、县党代会、县委全委会、县委工作会、全县领导干部会等会议的会务工作，负责县委领导参加重要公务活动的组织安排。</w:t>
            </w:r>
          </w:p>
          <w:p w14:paraId="7579E375">
            <w:pPr>
              <w:widowControl/>
              <w:spacing w:line="240" w:lineRule="exact"/>
              <w:jc w:val="left"/>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rPr>
              <w:t>5.保障县委重要工作部署贯彻落实的督促检查，负责县委指示、县委领导批示的转达和催办落实。</w:t>
            </w:r>
          </w:p>
          <w:p w14:paraId="31408951">
            <w:pPr>
              <w:widowControl/>
              <w:spacing w:line="240" w:lineRule="exact"/>
              <w:jc w:val="left"/>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rPr>
              <w:t>6.保障县保密委员会及其办公室的日常工作。</w:t>
            </w:r>
          </w:p>
          <w:p w14:paraId="4912DD5D">
            <w:pPr>
              <w:widowControl/>
              <w:spacing w:line="240" w:lineRule="exact"/>
              <w:jc w:val="left"/>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rPr>
              <w:t>7.保障管理县委密码局工作。</w:t>
            </w:r>
          </w:p>
          <w:p w14:paraId="6936FCD1">
            <w:pPr>
              <w:widowControl/>
              <w:spacing w:line="240" w:lineRule="exact"/>
              <w:jc w:val="left"/>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rPr>
              <w:t>8.完成县委和县委领导交办的其他工作任务。</w:t>
            </w:r>
          </w:p>
          <w:p w14:paraId="6711146B">
            <w:pPr>
              <w:widowControl/>
              <w:spacing w:line="240" w:lineRule="exact"/>
              <w:jc w:val="left"/>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rPr>
              <w:t>9.用于驻村工作队的乡镇和临岗补贴，保障工作队员生活，有利于驻村工作的落实和顺利开展。</w:t>
            </w:r>
          </w:p>
        </w:tc>
      </w:tr>
      <w:tr w14:paraId="20860C2F">
        <w:tblPrEx>
          <w:tblCellMar>
            <w:top w:w="0" w:type="dxa"/>
            <w:left w:w="108" w:type="dxa"/>
            <w:bottom w:w="0" w:type="dxa"/>
            <w:right w:w="108" w:type="dxa"/>
          </w:tblCellMar>
        </w:tblPrEx>
        <w:trPr>
          <w:trHeight w:val="296" w:hRule="atLeast"/>
          <w:jc w:val="center"/>
        </w:trPr>
        <w:tc>
          <w:tcPr>
            <w:tcW w:w="331" w:type="dxa"/>
            <w:vMerge w:val="restart"/>
            <w:tcBorders>
              <w:top w:val="single" w:color="000000" w:sz="4" w:space="0"/>
              <w:left w:val="single" w:color="000000" w:sz="4" w:space="0"/>
              <w:bottom w:val="single" w:color="000000" w:sz="4" w:space="0"/>
              <w:right w:val="single" w:color="000000" w:sz="4" w:space="0"/>
            </w:tcBorders>
            <w:noWrap/>
            <w:vAlign w:val="center"/>
          </w:tcPr>
          <w:p w14:paraId="72EEB214">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rPr>
              <w:t>管理效率</w:t>
            </w:r>
          </w:p>
        </w:tc>
        <w:tc>
          <w:tcPr>
            <w:tcW w:w="593" w:type="dxa"/>
            <w:vMerge w:val="restart"/>
            <w:tcBorders>
              <w:top w:val="single" w:color="000000" w:sz="4" w:space="0"/>
              <w:left w:val="single" w:color="000000" w:sz="4" w:space="0"/>
              <w:bottom w:val="single" w:color="000000" w:sz="4" w:space="0"/>
              <w:right w:val="single" w:color="000000" w:sz="4" w:space="0"/>
            </w:tcBorders>
            <w:noWrap/>
            <w:vAlign w:val="center"/>
          </w:tcPr>
          <w:p w14:paraId="7CCEBA78">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rPr>
              <w:t>一级指标</w:t>
            </w:r>
          </w:p>
        </w:tc>
        <w:tc>
          <w:tcPr>
            <w:tcW w:w="803" w:type="dxa"/>
            <w:vMerge w:val="restart"/>
            <w:tcBorders>
              <w:top w:val="single" w:color="000000" w:sz="4" w:space="0"/>
              <w:left w:val="single" w:color="000000" w:sz="4" w:space="0"/>
              <w:bottom w:val="single" w:color="000000" w:sz="4" w:space="0"/>
              <w:right w:val="single" w:color="000000" w:sz="4" w:space="0"/>
            </w:tcBorders>
            <w:noWrap/>
            <w:vAlign w:val="center"/>
          </w:tcPr>
          <w:p w14:paraId="55610EA7">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rPr>
              <w:t>二级指标</w:t>
            </w:r>
          </w:p>
        </w:tc>
        <w:tc>
          <w:tcPr>
            <w:tcW w:w="1246" w:type="dxa"/>
            <w:vMerge w:val="restart"/>
            <w:tcBorders>
              <w:top w:val="single" w:color="000000" w:sz="4" w:space="0"/>
              <w:left w:val="single" w:color="000000" w:sz="4" w:space="0"/>
              <w:bottom w:val="single" w:color="000000" w:sz="4" w:space="0"/>
              <w:right w:val="single" w:color="000000" w:sz="4" w:space="0"/>
            </w:tcBorders>
            <w:noWrap/>
            <w:vAlign w:val="center"/>
          </w:tcPr>
          <w:p w14:paraId="0D915573">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rPr>
              <w:t>三级指标</w:t>
            </w:r>
          </w:p>
        </w:tc>
        <w:tc>
          <w:tcPr>
            <w:tcW w:w="803" w:type="dxa"/>
            <w:vMerge w:val="restart"/>
            <w:tcBorders>
              <w:top w:val="single" w:color="000000" w:sz="4" w:space="0"/>
              <w:left w:val="single" w:color="000000" w:sz="4" w:space="0"/>
              <w:bottom w:val="single" w:color="000000" w:sz="4" w:space="0"/>
              <w:right w:val="single" w:color="000000" w:sz="4" w:space="0"/>
            </w:tcBorders>
            <w:noWrap/>
            <w:vAlign w:val="center"/>
          </w:tcPr>
          <w:p w14:paraId="3845D9B6">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rPr>
              <w:t>指标值</w:t>
            </w:r>
          </w:p>
        </w:tc>
        <w:tc>
          <w:tcPr>
            <w:tcW w:w="3951" w:type="dxa"/>
            <w:gridSpan w:val="4"/>
            <w:tcBorders>
              <w:top w:val="single" w:color="000000" w:sz="4" w:space="0"/>
              <w:left w:val="single" w:color="000000" w:sz="4" w:space="0"/>
              <w:bottom w:val="single" w:color="000000" w:sz="4" w:space="0"/>
              <w:right w:val="single" w:color="000000" w:sz="4" w:space="0"/>
            </w:tcBorders>
            <w:noWrap/>
            <w:vAlign w:val="center"/>
          </w:tcPr>
          <w:p w14:paraId="510A8503">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rPr>
              <w:t>指标设置参考值</w:t>
            </w:r>
          </w:p>
        </w:tc>
        <w:tc>
          <w:tcPr>
            <w:tcW w:w="1931" w:type="dxa"/>
            <w:vMerge w:val="restart"/>
            <w:tcBorders>
              <w:top w:val="single" w:color="000000" w:sz="4" w:space="0"/>
              <w:left w:val="single" w:color="000000" w:sz="4" w:space="0"/>
              <w:right w:val="single" w:color="000000" w:sz="4" w:space="0"/>
            </w:tcBorders>
            <w:noWrap/>
            <w:vAlign w:val="center"/>
          </w:tcPr>
          <w:p w14:paraId="7D09E0A8">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rPr>
              <w:t>指标实际完成值</w:t>
            </w:r>
          </w:p>
        </w:tc>
      </w:tr>
      <w:tr w14:paraId="68FD79C6">
        <w:tblPrEx>
          <w:tblCellMar>
            <w:top w:w="0" w:type="dxa"/>
            <w:left w:w="108" w:type="dxa"/>
            <w:bottom w:w="0" w:type="dxa"/>
            <w:right w:w="108" w:type="dxa"/>
          </w:tblCellMar>
        </w:tblPrEx>
        <w:trPr>
          <w:trHeight w:val="296" w:hRule="atLeast"/>
          <w:jc w:val="center"/>
        </w:trPr>
        <w:tc>
          <w:tcPr>
            <w:tcW w:w="331" w:type="dxa"/>
            <w:vMerge w:val="continue"/>
            <w:tcBorders>
              <w:top w:val="single" w:color="000000" w:sz="4" w:space="0"/>
              <w:left w:val="single" w:color="000000" w:sz="4" w:space="0"/>
              <w:bottom w:val="single" w:color="000000" w:sz="4" w:space="0"/>
              <w:right w:val="single" w:color="000000" w:sz="4" w:space="0"/>
            </w:tcBorders>
            <w:noWrap/>
            <w:vAlign w:val="center"/>
          </w:tcPr>
          <w:p w14:paraId="2D37228F">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p>
        </w:tc>
        <w:tc>
          <w:tcPr>
            <w:tcW w:w="593" w:type="dxa"/>
            <w:vMerge w:val="continue"/>
            <w:tcBorders>
              <w:top w:val="single" w:color="000000" w:sz="4" w:space="0"/>
              <w:left w:val="single" w:color="000000" w:sz="4" w:space="0"/>
              <w:bottom w:val="single" w:color="000000" w:sz="4" w:space="0"/>
              <w:right w:val="single" w:color="000000" w:sz="4" w:space="0"/>
            </w:tcBorders>
            <w:noWrap/>
            <w:vAlign w:val="center"/>
          </w:tcPr>
          <w:p w14:paraId="6D8C76B3">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p>
        </w:tc>
        <w:tc>
          <w:tcPr>
            <w:tcW w:w="803" w:type="dxa"/>
            <w:vMerge w:val="continue"/>
            <w:tcBorders>
              <w:top w:val="single" w:color="000000" w:sz="4" w:space="0"/>
              <w:left w:val="single" w:color="000000" w:sz="4" w:space="0"/>
              <w:bottom w:val="single" w:color="000000" w:sz="4" w:space="0"/>
              <w:right w:val="single" w:color="000000" w:sz="4" w:space="0"/>
            </w:tcBorders>
            <w:noWrap/>
            <w:vAlign w:val="center"/>
          </w:tcPr>
          <w:p w14:paraId="41C27801">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p>
        </w:tc>
        <w:tc>
          <w:tcPr>
            <w:tcW w:w="1246" w:type="dxa"/>
            <w:vMerge w:val="continue"/>
            <w:tcBorders>
              <w:top w:val="single" w:color="000000" w:sz="4" w:space="0"/>
              <w:left w:val="single" w:color="000000" w:sz="4" w:space="0"/>
              <w:bottom w:val="single" w:color="000000" w:sz="4" w:space="0"/>
              <w:right w:val="single" w:color="000000" w:sz="4" w:space="0"/>
            </w:tcBorders>
            <w:noWrap/>
            <w:vAlign w:val="center"/>
          </w:tcPr>
          <w:p w14:paraId="0E7875DC">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p>
        </w:tc>
        <w:tc>
          <w:tcPr>
            <w:tcW w:w="803" w:type="dxa"/>
            <w:vMerge w:val="continue"/>
            <w:tcBorders>
              <w:top w:val="single" w:color="000000" w:sz="4" w:space="0"/>
              <w:left w:val="single" w:color="000000" w:sz="4" w:space="0"/>
              <w:bottom w:val="single" w:color="000000" w:sz="4" w:space="0"/>
              <w:right w:val="single" w:color="000000" w:sz="4" w:space="0"/>
            </w:tcBorders>
            <w:noWrap/>
            <w:vAlign w:val="center"/>
          </w:tcPr>
          <w:p w14:paraId="05CDEAB2">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p>
        </w:tc>
        <w:tc>
          <w:tcPr>
            <w:tcW w:w="777" w:type="dxa"/>
            <w:tcBorders>
              <w:top w:val="single" w:color="000000" w:sz="4" w:space="0"/>
              <w:left w:val="single" w:color="000000" w:sz="4" w:space="0"/>
              <w:right w:val="single" w:color="000000" w:sz="4" w:space="0"/>
            </w:tcBorders>
            <w:noWrap/>
            <w:vAlign w:val="center"/>
          </w:tcPr>
          <w:p w14:paraId="558CEFD0">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rPr>
              <w:t>三年</w:t>
            </w:r>
          </w:p>
          <w:p w14:paraId="4A3628D1">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rPr>
              <w:t>均值</w:t>
            </w:r>
          </w:p>
        </w:tc>
        <w:tc>
          <w:tcPr>
            <w:tcW w:w="1018" w:type="dxa"/>
            <w:tcBorders>
              <w:top w:val="single" w:color="000000" w:sz="4" w:space="0"/>
              <w:left w:val="single" w:color="000000" w:sz="4" w:space="0"/>
              <w:bottom w:val="single" w:color="000000" w:sz="4" w:space="0"/>
              <w:right w:val="single" w:color="000000" w:sz="4" w:space="0"/>
            </w:tcBorders>
            <w:noWrap/>
            <w:vAlign w:val="center"/>
          </w:tcPr>
          <w:p w14:paraId="782C4469">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rPr>
              <w:t>2023年</w:t>
            </w:r>
          </w:p>
        </w:tc>
        <w:tc>
          <w:tcPr>
            <w:tcW w:w="1045" w:type="dxa"/>
            <w:tcBorders>
              <w:top w:val="single" w:color="000000" w:sz="4" w:space="0"/>
              <w:left w:val="single" w:color="000000" w:sz="4" w:space="0"/>
              <w:bottom w:val="single" w:color="000000" w:sz="4" w:space="0"/>
              <w:right w:val="single" w:color="000000" w:sz="4" w:space="0"/>
            </w:tcBorders>
            <w:noWrap/>
            <w:vAlign w:val="center"/>
          </w:tcPr>
          <w:p w14:paraId="7D9D6CA8">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rPr>
              <w:t>2024年</w:t>
            </w:r>
          </w:p>
        </w:tc>
        <w:tc>
          <w:tcPr>
            <w:tcW w:w="1111" w:type="dxa"/>
            <w:tcBorders>
              <w:top w:val="single" w:color="000000" w:sz="4" w:space="0"/>
              <w:left w:val="single" w:color="000000" w:sz="4" w:space="0"/>
              <w:bottom w:val="single" w:color="000000" w:sz="4" w:space="0"/>
              <w:right w:val="single" w:color="000000" w:sz="4" w:space="0"/>
            </w:tcBorders>
            <w:noWrap/>
            <w:vAlign w:val="center"/>
          </w:tcPr>
          <w:p w14:paraId="3721A57E">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rPr>
              <w:t>2025年</w:t>
            </w:r>
          </w:p>
        </w:tc>
        <w:tc>
          <w:tcPr>
            <w:tcW w:w="1931" w:type="dxa"/>
            <w:vMerge w:val="continue"/>
            <w:tcBorders>
              <w:left w:val="single" w:color="000000" w:sz="4" w:space="0"/>
              <w:right w:val="single" w:color="000000" w:sz="4" w:space="0"/>
            </w:tcBorders>
            <w:noWrap/>
            <w:vAlign w:val="center"/>
          </w:tcPr>
          <w:p w14:paraId="0DB28F6E">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p>
        </w:tc>
      </w:tr>
      <w:tr w14:paraId="7C5054FC">
        <w:tblPrEx>
          <w:tblCellMar>
            <w:top w:w="0" w:type="dxa"/>
            <w:left w:w="108" w:type="dxa"/>
            <w:bottom w:w="0" w:type="dxa"/>
            <w:right w:w="108" w:type="dxa"/>
          </w:tblCellMar>
        </w:tblPrEx>
        <w:trPr>
          <w:trHeight w:val="90" w:hRule="atLeast"/>
          <w:jc w:val="center"/>
        </w:trPr>
        <w:tc>
          <w:tcPr>
            <w:tcW w:w="331" w:type="dxa"/>
            <w:vMerge w:val="continue"/>
            <w:tcBorders>
              <w:top w:val="single" w:color="000000" w:sz="4" w:space="0"/>
              <w:left w:val="single" w:color="000000" w:sz="4" w:space="0"/>
              <w:bottom w:val="single" w:color="000000" w:sz="4" w:space="0"/>
              <w:right w:val="single" w:color="000000" w:sz="4" w:space="0"/>
            </w:tcBorders>
            <w:noWrap/>
            <w:vAlign w:val="center"/>
          </w:tcPr>
          <w:p w14:paraId="4F0D8346">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p>
        </w:tc>
        <w:tc>
          <w:tcPr>
            <w:tcW w:w="593" w:type="dxa"/>
            <w:vMerge w:val="restart"/>
            <w:tcBorders>
              <w:top w:val="single" w:color="000000" w:sz="4" w:space="0"/>
              <w:left w:val="single" w:color="000000" w:sz="4" w:space="0"/>
              <w:bottom w:val="single" w:color="000000" w:sz="4" w:space="0"/>
              <w:right w:val="single" w:color="000000" w:sz="4" w:space="0"/>
            </w:tcBorders>
            <w:noWrap/>
            <w:vAlign w:val="center"/>
          </w:tcPr>
          <w:p w14:paraId="597BC63F">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rPr>
              <w:t>成本指标</w:t>
            </w:r>
          </w:p>
        </w:tc>
        <w:tc>
          <w:tcPr>
            <w:tcW w:w="803" w:type="dxa"/>
            <w:vMerge w:val="restart"/>
            <w:tcBorders>
              <w:top w:val="single" w:color="000000" w:sz="4" w:space="0"/>
              <w:left w:val="single" w:color="000000" w:sz="4" w:space="0"/>
              <w:bottom w:val="single" w:color="000000" w:sz="4" w:space="0"/>
              <w:right w:val="single" w:color="000000" w:sz="4" w:space="0"/>
            </w:tcBorders>
            <w:noWrap/>
            <w:vAlign w:val="center"/>
          </w:tcPr>
          <w:p w14:paraId="55A21600">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rPr>
              <w:t>预算管理</w:t>
            </w:r>
          </w:p>
        </w:tc>
        <w:tc>
          <w:tcPr>
            <w:tcW w:w="1246" w:type="dxa"/>
            <w:tcBorders>
              <w:top w:val="single" w:color="000000" w:sz="4" w:space="0"/>
              <w:left w:val="single" w:color="000000" w:sz="4" w:space="0"/>
              <w:bottom w:val="single" w:color="000000" w:sz="4" w:space="0"/>
              <w:right w:val="single" w:color="000000" w:sz="4" w:space="0"/>
            </w:tcBorders>
            <w:noWrap/>
            <w:vAlign w:val="center"/>
          </w:tcPr>
          <w:p w14:paraId="25D75533">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rPr>
              <w:t>财政拨款预算编制偏离度</w:t>
            </w: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123906D3">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lang w:val="en-US" w:eastAsia="zh-CN"/>
              </w:rPr>
              <w:t>50.39</w:t>
            </w:r>
            <w:r>
              <w:rPr>
                <w:rFonts w:hint="eastAsia" w:ascii="仿宋_GB2312" w:hAnsi="仿宋_GB2312" w:eastAsia="仿宋_GB2312" w:cs="仿宋_GB2312"/>
                <w:i w:val="0"/>
                <w:iCs w:val="0"/>
                <w:color w:val="000000"/>
                <w:kern w:val="0"/>
                <w:sz w:val="24"/>
                <w:szCs w:val="24"/>
              </w:rPr>
              <w:t>%</w:t>
            </w:r>
          </w:p>
        </w:tc>
        <w:tc>
          <w:tcPr>
            <w:tcW w:w="777" w:type="dxa"/>
            <w:tcBorders>
              <w:top w:val="single" w:color="000000" w:sz="4" w:space="0"/>
              <w:left w:val="single" w:color="000000" w:sz="4" w:space="0"/>
              <w:bottom w:val="single" w:color="000000" w:sz="4" w:space="0"/>
              <w:right w:val="single" w:color="000000" w:sz="4" w:space="0"/>
            </w:tcBorders>
            <w:noWrap/>
            <w:vAlign w:val="center"/>
          </w:tcPr>
          <w:p w14:paraId="5294F8D0">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lang w:val="en-US" w:eastAsia="zh-CN"/>
              </w:rPr>
              <w:t>50.39</w:t>
            </w:r>
            <w:r>
              <w:rPr>
                <w:rFonts w:hint="eastAsia" w:ascii="仿宋_GB2312" w:hAnsi="仿宋_GB2312" w:eastAsia="仿宋_GB2312" w:cs="仿宋_GB2312"/>
                <w:i w:val="0"/>
                <w:iCs w:val="0"/>
                <w:color w:val="000000"/>
                <w:kern w:val="0"/>
                <w:sz w:val="24"/>
                <w:szCs w:val="24"/>
              </w:rPr>
              <w:t>%</w:t>
            </w:r>
          </w:p>
        </w:tc>
        <w:tc>
          <w:tcPr>
            <w:tcW w:w="1018" w:type="dxa"/>
            <w:tcBorders>
              <w:top w:val="single" w:color="000000" w:sz="4" w:space="0"/>
              <w:left w:val="single" w:color="000000" w:sz="4" w:space="0"/>
              <w:bottom w:val="single" w:color="000000" w:sz="4" w:space="0"/>
              <w:right w:val="single" w:color="000000" w:sz="4" w:space="0"/>
            </w:tcBorders>
            <w:noWrap/>
            <w:vAlign w:val="center"/>
          </w:tcPr>
          <w:p w14:paraId="54A65F06">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37%</w:t>
            </w:r>
          </w:p>
        </w:tc>
        <w:tc>
          <w:tcPr>
            <w:tcW w:w="1045" w:type="dxa"/>
            <w:tcBorders>
              <w:top w:val="single" w:color="000000" w:sz="4" w:space="0"/>
              <w:left w:val="single" w:color="000000" w:sz="4" w:space="0"/>
              <w:bottom w:val="single" w:color="000000" w:sz="4" w:space="0"/>
              <w:right w:val="single" w:color="000000" w:sz="4" w:space="0"/>
            </w:tcBorders>
            <w:noWrap/>
            <w:vAlign w:val="center"/>
          </w:tcPr>
          <w:p w14:paraId="16AF87F2">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lang w:val="en-US" w:eastAsia="zh-CN"/>
              </w:rPr>
              <w:t>8%</w:t>
            </w:r>
          </w:p>
        </w:tc>
        <w:tc>
          <w:tcPr>
            <w:tcW w:w="1111" w:type="dxa"/>
            <w:tcBorders>
              <w:top w:val="single" w:color="000000" w:sz="4" w:space="0"/>
              <w:left w:val="single" w:color="000000" w:sz="4" w:space="0"/>
              <w:bottom w:val="single" w:color="000000" w:sz="4" w:space="0"/>
              <w:right w:val="single" w:color="000000" w:sz="4" w:space="0"/>
            </w:tcBorders>
            <w:noWrap/>
            <w:vAlign w:val="center"/>
          </w:tcPr>
          <w:p w14:paraId="3FA0E809">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lang w:val="en-US" w:eastAsia="zh-CN"/>
              </w:rPr>
              <w:t>106.17%</w:t>
            </w:r>
          </w:p>
        </w:tc>
        <w:tc>
          <w:tcPr>
            <w:tcW w:w="1931" w:type="dxa"/>
            <w:tcBorders>
              <w:top w:val="single" w:color="000000" w:sz="4" w:space="0"/>
              <w:left w:val="single" w:color="000000" w:sz="4" w:space="0"/>
              <w:bottom w:val="single" w:color="000000" w:sz="4" w:space="0"/>
              <w:right w:val="single" w:color="000000" w:sz="4" w:space="0"/>
            </w:tcBorders>
            <w:noWrap/>
            <w:vAlign w:val="center"/>
          </w:tcPr>
          <w:p w14:paraId="683797DD">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lang w:val="en-US" w:eastAsia="zh-CN"/>
              </w:rPr>
              <w:t>106.17%</w:t>
            </w:r>
          </w:p>
        </w:tc>
      </w:tr>
      <w:tr w14:paraId="7E9211E8">
        <w:tblPrEx>
          <w:tblCellMar>
            <w:top w:w="0" w:type="dxa"/>
            <w:left w:w="108" w:type="dxa"/>
            <w:bottom w:w="0" w:type="dxa"/>
            <w:right w:w="108" w:type="dxa"/>
          </w:tblCellMar>
        </w:tblPrEx>
        <w:trPr>
          <w:trHeight w:val="90" w:hRule="atLeast"/>
          <w:jc w:val="center"/>
        </w:trPr>
        <w:tc>
          <w:tcPr>
            <w:tcW w:w="331" w:type="dxa"/>
            <w:vMerge w:val="continue"/>
            <w:tcBorders>
              <w:top w:val="single" w:color="000000" w:sz="4" w:space="0"/>
              <w:left w:val="single" w:color="000000" w:sz="4" w:space="0"/>
              <w:bottom w:val="single" w:color="000000" w:sz="4" w:space="0"/>
              <w:right w:val="single" w:color="000000" w:sz="4" w:space="0"/>
            </w:tcBorders>
            <w:noWrap/>
            <w:vAlign w:val="center"/>
          </w:tcPr>
          <w:p w14:paraId="58D72D4F">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p>
        </w:tc>
        <w:tc>
          <w:tcPr>
            <w:tcW w:w="593" w:type="dxa"/>
            <w:vMerge w:val="continue"/>
            <w:tcBorders>
              <w:top w:val="single" w:color="000000" w:sz="4" w:space="0"/>
              <w:left w:val="single" w:color="000000" w:sz="4" w:space="0"/>
              <w:bottom w:val="single" w:color="000000" w:sz="4" w:space="0"/>
              <w:right w:val="single" w:color="000000" w:sz="4" w:space="0"/>
            </w:tcBorders>
            <w:noWrap/>
            <w:vAlign w:val="center"/>
          </w:tcPr>
          <w:p w14:paraId="79018E88">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p>
        </w:tc>
        <w:tc>
          <w:tcPr>
            <w:tcW w:w="803" w:type="dxa"/>
            <w:vMerge w:val="continue"/>
            <w:tcBorders>
              <w:top w:val="single" w:color="000000" w:sz="4" w:space="0"/>
              <w:left w:val="single" w:color="000000" w:sz="4" w:space="0"/>
              <w:bottom w:val="single" w:color="000000" w:sz="4" w:space="0"/>
              <w:right w:val="single" w:color="000000" w:sz="4" w:space="0"/>
            </w:tcBorders>
            <w:noWrap/>
            <w:vAlign w:val="center"/>
          </w:tcPr>
          <w:p w14:paraId="5BE268EF">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p>
        </w:tc>
        <w:tc>
          <w:tcPr>
            <w:tcW w:w="1246" w:type="dxa"/>
            <w:tcBorders>
              <w:top w:val="single" w:color="000000" w:sz="4" w:space="0"/>
              <w:left w:val="single" w:color="000000" w:sz="4" w:space="0"/>
              <w:bottom w:val="single" w:color="000000" w:sz="4" w:space="0"/>
              <w:right w:val="single" w:color="000000" w:sz="4" w:space="0"/>
            </w:tcBorders>
            <w:noWrap/>
            <w:vAlign w:val="center"/>
          </w:tcPr>
          <w:p w14:paraId="5B7A1936">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rPr>
              <w:t>单位收入统筹度</w:t>
            </w: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24E914C1">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0%</w:t>
            </w:r>
          </w:p>
        </w:tc>
        <w:tc>
          <w:tcPr>
            <w:tcW w:w="777" w:type="dxa"/>
            <w:tcBorders>
              <w:top w:val="single" w:color="000000" w:sz="4" w:space="0"/>
              <w:left w:val="single" w:color="000000" w:sz="4" w:space="0"/>
              <w:bottom w:val="single" w:color="000000" w:sz="4" w:space="0"/>
              <w:right w:val="single" w:color="000000" w:sz="4" w:space="0"/>
            </w:tcBorders>
            <w:noWrap/>
            <w:vAlign w:val="center"/>
          </w:tcPr>
          <w:p w14:paraId="22DEF75D">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p>
        </w:tc>
        <w:tc>
          <w:tcPr>
            <w:tcW w:w="1018" w:type="dxa"/>
            <w:tcBorders>
              <w:top w:val="single" w:color="000000" w:sz="4" w:space="0"/>
              <w:left w:val="single" w:color="000000" w:sz="4" w:space="0"/>
              <w:bottom w:val="single" w:color="000000" w:sz="4" w:space="0"/>
              <w:right w:val="single" w:color="000000" w:sz="4" w:space="0"/>
            </w:tcBorders>
            <w:noWrap/>
            <w:vAlign w:val="center"/>
          </w:tcPr>
          <w:p w14:paraId="15BA462B">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0%</w:t>
            </w:r>
          </w:p>
        </w:tc>
        <w:tc>
          <w:tcPr>
            <w:tcW w:w="1045" w:type="dxa"/>
            <w:tcBorders>
              <w:top w:val="single" w:color="000000" w:sz="4" w:space="0"/>
              <w:left w:val="single" w:color="000000" w:sz="4" w:space="0"/>
              <w:bottom w:val="single" w:color="000000" w:sz="4" w:space="0"/>
              <w:right w:val="single" w:color="000000" w:sz="4" w:space="0"/>
            </w:tcBorders>
            <w:noWrap/>
            <w:vAlign w:val="center"/>
          </w:tcPr>
          <w:p w14:paraId="6CAB89E1">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lang w:val="en-US" w:eastAsia="zh-CN"/>
              </w:rPr>
              <w:t>0%</w:t>
            </w:r>
          </w:p>
        </w:tc>
        <w:tc>
          <w:tcPr>
            <w:tcW w:w="1111" w:type="dxa"/>
            <w:tcBorders>
              <w:top w:val="single" w:color="000000" w:sz="4" w:space="0"/>
              <w:left w:val="single" w:color="000000" w:sz="4" w:space="0"/>
              <w:bottom w:val="single" w:color="000000" w:sz="4" w:space="0"/>
              <w:right w:val="single" w:color="000000" w:sz="4" w:space="0"/>
            </w:tcBorders>
            <w:noWrap/>
            <w:vAlign w:val="center"/>
          </w:tcPr>
          <w:p w14:paraId="73FEEE07">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lang w:val="en-US" w:eastAsia="zh-CN"/>
              </w:rPr>
              <w:t>0%</w:t>
            </w:r>
          </w:p>
        </w:tc>
        <w:tc>
          <w:tcPr>
            <w:tcW w:w="1931" w:type="dxa"/>
            <w:tcBorders>
              <w:top w:val="single" w:color="000000" w:sz="4" w:space="0"/>
              <w:left w:val="single" w:color="000000" w:sz="4" w:space="0"/>
              <w:bottom w:val="single" w:color="000000" w:sz="4" w:space="0"/>
              <w:right w:val="single" w:color="000000" w:sz="4" w:space="0"/>
            </w:tcBorders>
            <w:noWrap/>
            <w:vAlign w:val="center"/>
          </w:tcPr>
          <w:p w14:paraId="1A102D08">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lang w:val="en-US" w:eastAsia="zh-CN"/>
              </w:rPr>
              <w:t>0%</w:t>
            </w:r>
          </w:p>
        </w:tc>
      </w:tr>
      <w:tr w14:paraId="43D6B9AC">
        <w:tblPrEx>
          <w:tblCellMar>
            <w:top w:w="0" w:type="dxa"/>
            <w:left w:w="108" w:type="dxa"/>
            <w:bottom w:w="0" w:type="dxa"/>
            <w:right w:w="108" w:type="dxa"/>
          </w:tblCellMar>
        </w:tblPrEx>
        <w:trPr>
          <w:trHeight w:val="90" w:hRule="atLeast"/>
          <w:jc w:val="center"/>
        </w:trPr>
        <w:tc>
          <w:tcPr>
            <w:tcW w:w="331" w:type="dxa"/>
            <w:vMerge w:val="continue"/>
            <w:tcBorders>
              <w:top w:val="single" w:color="000000" w:sz="4" w:space="0"/>
              <w:left w:val="single" w:color="000000" w:sz="4" w:space="0"/>
              <w:bottom w:val="single" w:color="000000" w:sz="4" w:space="0"/>
              <w:right w:val="single" w:color="000000" w:sz="4" w:space="0"/>
            </w:tcBorders>
            <w:noWrap/>
            <w:vAlign w:val="center"/>
          </w:tcPr>
          <w:p w14:paraId="21F463A2">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p>
        </w:tc>
        <w:tc>
          <w:tcPr>
            <w:tcW w:w="593" w:type="dxa"/>
            <w:vMerge w:val="continue"/>
            <w:tcBorders>
              <w:top w:val="single" w:color="000000" w:sz="4" w:space="0"/>
              <w:left w:val="single" w:color="000000" w:sz="4" w:space="0"/>
              <w:bottom w:val="single" w:color="000000" w:sz="4" w:space="0"/>
              <w:right w:val="single" w:color="000000" w:sz="4" w:space="0"/>
            </w:tcBorders>
            <w:noWrap/>
            <w:vAlign w:val="center"/>
          </w:tcPr>
          <w:p w14:paraId="0C17BB78">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p>
        </w:tc>
        <w:tc>
          <w:tcPr>
            <w:tcW w:w="803" w:type="dxa"/>
            <w:vMerge w:val="continue"/>
            <w:tcBorders>
              <w:top w:val="single" w:color="000000" w:sz="4" w:space="0"/>
              <w:left w:val="single" w:color="000000" w:sz="4" w:space="0"/>
              <w:bottom w:val="single" w:color="000000" w:sz="4" w:space="0"/>
              <w:right w:val="single" w:color="000000" w:sz="4" w:space="0"/>
            </w:tcBorders>
            <w:noWrap/>
            <w:vAlign w:val="center"/>
          </w:tcPr>
          <w:p w14:paraId="433C3E48">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p>
        </w:tc>
        <w:tc>
          <w:tcPr>
            <w:tcW w:w="1246" w:type="dxa"/>
            <w:tcBorders>
              <w:top w:val="single" w:color="000000" w:sz="4" w:space="0"/>
              <w:left w:val="single" w:color="000000" w:sz="4" w:space="0"/>
              <w:bottom w:val="single" w:color="000000" w:sz="4" w:space="0"/>
              <w:right w:val="single" w:color="000000" w:sz="4" w:space="0"/>
            </w:tcBorders>
            <w:noWrap/>
            <w:vAlign w:val="center"/>
          </w:tcPr>
          <w:p w14:paraId="3DB01CC1">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rPr>
              <w:t>预算年终结余率</w:t>
            </w: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278ECF94">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lang w:val="en-US" w:eastAsia="zh-CN"/>
              </w:rPr>
              <w:t>20.45</w:t>
            </w:r>
            <w:r>
              <w:rPr>
                <w:rFonts w:hint="eastAsia" w:ascii="仿宋_GB2312" w:hAnsi="仿宋_GB2312" w:eastAsia="仿宋_GB2312" w:cs="仿宋_GB2312"/>
                <w:i w:val="0"/>
                <w:iCs w:val="0"/>
                <w:color w:val="000000"/>
                <w:kern w:val="0"/>
                <w:sz w:val="24"/>
                <w:szCs w:val="24"/>
              </w:rPr>
              <w:t>%</w:t>
            </w:r>
          </w:p>
        </w:tc>
        <w:tc>
          <w:tcPr>
            <w:tcW w:w="777" w:type="dxa"/>
            <w:tcBorders>
              <w:top w:val="single" w:color="000000" w:sz="4" w:space="0"/>
              <w:left w:val="single" w:color="000000" w:sz="4" w:space="0"/>
              <w:bottom w:val="single" w:color="000000" w:sz="4" w:space="0"/>
              <w:right w:val="single" w:color="000000" w:sz="4" w:space="0"/>
            </w:tcBorders>
            <w:noWrap/>
            <w:vAlign w:val="center"/>
          </w:tcPr>
          <w:p w14:paraId="249DBBA1">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lang w:val="en-US" w:eastAsia="zh-CN"/>
              </w:rPr>
              <w:t>20.45</w:t>
            </w:r>
            <w:r>
              <w:rPr>
                <w:rFonts w:hint="eastAsia" w:ascii="仿宋_GB2312" w:hAnsi="仿宋_GB2312" w:eastAsia="仿宋_GB2312" w:cs="仿宋_GB2312"/>
                <w:i w:val="0"/>
                <w:iCs w:val="0"/>
                <w:color w:val="000000"/>
                <w:kern w:val="0"/>
                <w:sz w:val="24"/>
                <w:szCs w:val="24"/>
              </w:rPr>
              <w:t>%</w:t>
            </w:r>
          </w:p>
        </w:tc>
        <w:tc>
          <w:tcPr>
            <w:tcW w:w="1018" w:type="dxa"/>
            <w:tcBorders>
              <w:top w:val="single" w:color="000000" w:sz="4" w:space="0"/>
              <w:left w:val="single" w:color="000000" w:sz="4" w:space="0"/>
              <w:bottom w:val="single" w:color="000000" w:sz="4" w:space="0"/>
              <w:right w:val="single" w:color="000000" w:sz="4" w:space="0"/>
            </w:tcBorders>
            <w:noWrap/>
            <w:vAlign w:val="center"/>
          </w:tcPr>
          <w:p w14:paraId="254096E1">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lang w:val="en-US" w:eastAsia="zh-CN"/>
              </w:rPr>
              <w:t>17%</w:t>
            </w:r>
          </w:p>
        </w:tc>
        <w:tc>
          <w:tcPr>
            <w:tcW w:w="1045" w:type="dxa"/>
            <w:tcBorders>
              <w:top w:val="single" w:color="000000" w:sz="4" w:space="0"/>
              <w:left w:val="single" w:color="000000" w:sz="4" w:space="0"/>
              <w:bottom w:val="single" w:color="000000" w:sz="4" w:space="0"/>
              <w:right w:val="single" w:color="000000" w:sz="4" w:space="0"/>
            </w:tcBorders>
            <w:noWrap/>
            <w:vAlign w:val="center"/>
          </w:tcPr>
          <w:p w14:paraId="27F92708">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lang w:val="en-US" w:eastAsia="zh-CN"/>
              </w:rPr>
              <w:t>2.8%</w:t>
            </w:r>
          </w:p>
        </w:tc>
        <w:tc>
          <w:tcPr>
            <w:tcW w:w="1111" w:type="dxa"/>
            <w:tcBorders>
              <w:top w:val="single" w:color="000000" w:sz="4" w:space="0"/>
              <w:left w:val="single" w:color="000000" w:sz="4" w:space="0"/>
              <w:bottom w:val="single" w:color="000000" w:sz="4" w:space="0"/>
              <w:right w:val="single" w:color="000000" w:sz="4" w:space="0"/>
            </w:tcBorders>
            <w:noWrap/>
            <w:vAlign w:val="center"/>
          </w:tcPr>
          <w:p w14:paraId="25B502D9">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lang w:val="en-US" w:eastAsia="zh-CN"/>
              </w:rPr>
              <w:t>41.55%</w:t>
            </w:r>
          </w:p>
        </w:tc>
        <w:tc>
          <w:tcPr>
            <w:tcW w:w="1931" w:type="dxa"/>
            <w:tcBorders>
              <w:top w:val="single" w:color="000000" w:sz="4" w:space="0"/>
              <w:left w:val="single" w:color="000000" w:sz="4" w:space="0"/>
              <w:bottom w:val="single" w:color="000000" w:sz="4" w:space="0"/>
              <w:right w:val="single" w:color="000000" w:sz="4" w:space="0"/>
            </w:tcBorders>
            <w:noWrap/>
            <w:vAlign w:val="center"/>
          </w:tcPr>
          <w:p w14:paraId="348AC35E">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lang w:val="en-US" w:eastAsia="zh-CN"/>
              </w:rPr>
              <w:t>41.55%</w:t>
            </w:r>
          </w:p>
        </w:tc>
      </w:tr>
      <w:tr w14:paraId="71D4BEA6">
        <w:tblPrEx>
          <w:tblCellMar>
            <w:top w:w="0" w:type="dxa"/>
            <w:left w:w="108" w:type="dxa"/>
            <w:bottom w:w="0" w:type="dxa"/>
            <w:right w:w="108" w:type="dxa"/>
          </w:tblCellMar>
        </w:tblPrEx>
        <w:trPr>
          <w:trHeight w:val="90" w:hRule="atLeast"/>
          <w:jc w:val="center"/>
        </w:trPr>
        <w:tc>
          <w:tcPr>
            <w:tcW w:w="331" w:type="dxa"/>
            <w:vMerge w:val="continue"/>
            <w:tcBorders>
              <w:top w:val="single" w:color="000000" w:sz="4" w:space="0"/>
              <w:left w:val="single" w:color="000000" w:sz="4" w:space="0"/>
              <w:bottom w:val="single" w:color="000000" w:sz="4" w:space="0"/>
              <w:right w:val="single" w:color="000000" w:sz="4" w:space="0"/>
            </w:tcBorders>
            <w:noWrap/>
            <w:vAlign w:val="center"/>
          </w:tcPr>
          <w:p w14:paraId="5F09CBD7">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p>
        </w:tc>
        <w:tc>
          <w:tcPr>
            <w:tcW w:w="593" w:type="dxa"/>
            <w:vMerge w:val="continue"/>
            <w:tcBorders>
              <w:top w:val="single" w:color="000000" w:sz="4" w:space="0"/>
              <w:left w:val="single" w:color="000000" w:sz="4" w:space="0"/>
              <w:bottom w:val="single" w:color="000000" w:sz="4" w:space="0"/>
              <w:right w:val="single" w:color="000000" w:sz="4" w:space="0"/>
            </w:tcBorders>
            <w:noWrap/>
            <w:vAlign w:val="center"/>
          </w:tcPr>
          <w:p w14:paraId="5173F211">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p>
        </w:tc>
        <w:tc>
          <w:tcPr>
            <w:tcW w:w="803" w:type="dxa"/>
            <w:vMerge w:val="continue"/>
            <w:tcBorders>
              <w:top w:val="single" w:color="000000" w:sz="4" w:space="0"/>
              <w:left w:val="single" w:color="000000" w:sz="4" w:space="0"/>
              <w:bottom w:val="single" w:color="000000" w:sz="4" w:space="0"/>
              <w:right w:val="single" w:color="000000" w:sz="4" w:space="0"/>
            </w:tcBorders>
            <w:noWrap/>
            <w:vAlign w:val="center"/>
          </w:tcPr>
          <w:p w14:paraId="09DB270D">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p>
        </w:tc>
        <w:tc>
          <w:tcPr>
            <w:tcW w:w="1246" w:type="dxa"/>
            <w:tcBorders>
              <w:top w:val="single" w:color="000000" w:sz="4" w:space="0"/>
              <w:left w:val="single" w:color="000000" w:sz="4" w:space="0"/>
              <w:bottom w:val="single" w:color="000000" w:sz="4" w:space="0"/>
              <w:right w:val="single" w:color="000000" w:sz="4" w:space="0"/>
            </w:tcBorders>
            <w:noWrap/>
            <w:vAlign w:val="center"/>
          </w:tcPr>
          <w:p w14:paraId="40040F8F">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rPr>
              <w:t>一般性支出金额</w:t>
            </w: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3A642F47">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rPr>
              <w:t>86.1万元</w:t>
            </w:r>
          </w:p>
        </w:tc>
        <w:tc>
          <w:tcPr>
            <w:tcW w:w="3951" w:type="dxa"/>
            <w:gridSpan w:val="4"/>
            <w:tcBorders>
              <w:top w:val="single" w:color="000000" w:sz="4" w:space="0"/>
              <w:left w:val="single" w:color="000000" w:sz="4" w:space="0"/>
              <w:bottom w:val="single" w:color="000000" w:sz="4" w:space="0"/>
              <w:right w:val="single" w:color="000000" w:sz="4" w:space="0"/>
            </w:tcBorders>
            <w:noWrap/>
            <w:vAlign w:val="center"/>
          </w:tcPr>
          <w:p w14:paraId="7AD3C11D">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rPr>
              <w:t>x为上年一般性支出金额</w:t>
            </w:r>
          </w:p>
        </w:tc>
        <w:tc>
          <w:tcPr>
            <w:tcW w:w="1931" w:type="dxa"/>
            <w:tcBorders>
              <w:top w:val="single" w:color="000000" w:sz="4" w:space="0"/>
              <w:left w:val="single" w:color="000000" w:sz="4" w:space="0"/>
              <w:bottom w:val="single" w:color="000000" w:sz="4" w:space="0"/>
              <w:right w:val="single" w:color="000000" w:sz="4" w:space="0"/>
            </w:tcBorders>
            <w:noWrap/>
            <w:vAlign w:val="center"/>
          </w:tcPr>
          <w:p w14:paraId="59ECC5B5">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rPr>
              <w:t>86.1万元</w:t>
            </w:r>
          </w:p>
        </w:tc>
      </w:tr>
      <w:tr w14:paraId="6885C8BF">
        <w:tblPrEx>
          <w:tblCellMar>
            <w:top w:w="0" w:type="dxa"/>
            <w:left w:w="108" w:type="dxa"/>
            <w:bottom w:w="0" w:type="dxa"/>
            <w:right w:w="108" w:type="dxa"/>
          </w:tblCellMar>
        </w:tblPrEx>
        <w:trPr>
          <w:trHeight w:val="90" w:hRule="atLeast"/>
          <w:jc w:val="center"/>
        </w:trPr>
        <w:tc>
          <w:tcPr>
            <w:tcW w:w="331" w:type="dxa"/>
            <w:vMerge w:val="continue"/>
            <w:tcBorders>
              <w:top w:val="single" w:color="000000" w:sz="4" w:space="0"/>
              <w:left w:val="single" w:color="000000" w:sz="4" w:space="0"/>
              <w:bottom w:val="single" w:color="000000" w:sz="4" w:space="0"/>
              <w:right w:val="single" w:color="000000" w:sz="4" w:space="0"/>
            </w:tcBorders>
            <w:noWrap/>
            <w:vAlign w:val="center"/>
          </w:tcPr>
          <w:p w14:paraId="5261ABC3">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p>
        </w:tc>
        <w:tc>
          <w:tcPr>
            <w:tcW w:w="593" w:type="dxa"/>
            <w:vMerge w:val="continue"/>
            <w:tcBorders>
              <w:top w:val="single" w:color="000000" w:sz="4" w:space="0"/>
              <w:left w:val="single" w:color="000000" w:sz="4" w:space="0"/>
              <w:bottom w:val="single" w:color="000000" w:sz="4" w:space="0"/>
              <w:right w:val="single" w:color="000000" w:sz="4" w:space="0"/>
            </w:tcBorders>
            <w:noWrap/>
            <w:vAlign w:val="center"/>
          </w:tcPr>
          <w:p w14:paraId="0C55B3EA">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4744E081">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rPr>
              <w:t>财务管理</w:t>
            </w:r>
          </w:p>
        </w:tc>
        <w:tc>
          <w:tcPr>
            <w:tcW w:w="1246" w:type="dxa"/>
            <w:tcBorders>
              <w:top w:val="single" w:color="000000" w:sz="4" w:space="0"/>
              <w:left w:val="single" w:color="000000" w:sz="4" w:space="0"/>
              <w:bottom w:val="single" w:color="000000" w:sz="4" w:space="0"/>
              <w:right w:val="single" w:color="000000" w:sz="4" w:space="0"/>
            </w:tcBorders>
            <w:noWrap/>
            <w:vAlign w:val="center"/>
          </w:tcPr>
          <w:p w14:paraId="67C0A1E0">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rPr>
              <w:t>财务管理规范</w:t>
            </w: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5D03EB5F">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rPr>
              <w:t>优</w:t>
            </w:r>
          </w:p>
        </w:tc>
        <w:tc>
          <w:tcPr>
            <w:tcW w:w="3951" w:type="dxa"/>
            <w:gridSpan w:val="4"/>
            <w:tcBorders>
              <w:top w:val="single" w:color="000000" w:sz="4" w:space="0"/>
              <w:left w:val="single" w:color="000000" w:sz="4" w:space="0"/>
              <w:bottom w:val="single" w:color="000000" w:sz="4" w:space="0"/>
              <w:right w:val="single" w:color="000000" w:sz="4" w:space="0"/>
            </w:tcBorders>
            <w:noWrap/>
            <w:vAlign w:val="center"/>
          </w:tcPr>
          <w:p w14:paraId="20D5CD14">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rPr>
              <w:t>x为“优”“良”“中”或“差”</w:t>
            </w:r>
          </w:p>
        </w:tc>
        <w:tc>
          <w:tcPr>
            <w:tcW w:w="1931" w:type="dxa"/>
            <w:tcBorders>
              <w:top w:val="single" w:color="000000" w:sz="4" w:space="0"/>
              <w:left w:val="single" w:color="000000" w:sz="4" w:space="0"/>
              <w:bottom w:val="single" w:color="000000" w:sz="4" w:space="0"/>
              <w:right w:val="single" w:color="000000" w:sz="4" w:space="0"/>
            </w:tcBorders>
            <w:noWrap/>
            <w:vAlign w:val="center"/>
          </w:tcPr>
          <w:p w14:paraId="2C8AAFEA">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rPr>
              <w:t>优</w:t>
            </w:r>
          </w:p>
        </w:tc>
      </w:tr>
      <w:tr w14:paraId="21B04729">
        <w:tblPrEx>
          <w:tblCellMar>
            <w:top w:w="0" w:type="dxa"/>
            <w:left w:w="108" w:type="dxa"/>
            <w:bottom w:w="0" w:type="dxa"/>
            <w:right w:w="108" w:type="dxa"/>
          </w:tblCellMar>
        </w:tblPrEx>
        <w:trPr>
          <w:trHeight w:val="90" w:hRule="atLeast"/>
          <w:jc w:val="center"/>
        </w:trPr>
        <w:tc>
          <w:tcPr>
            <w:tcW w:w="331" w:type="dxa"/>
            <w:vMerge w:val="continue"/>
            <w:tcBorders>
              <w:top w:val="single" w:color="000000" w:sz="4" w:space="0"/>
              <w:left w:val="single" w:color="000000" w:sz="4" w:space="0"/>
              <w:bottom w:val="single" w:color="000000" w:sz="4" w:space="0"/>
              <w:right w:val="single" w:color="000000" w:sz="4" w:space="0"/>
            </w:tcBorders>
            <w:noWrap/>
            <w:vAlign w:val="center"/>
          </w:tcPr>
          <w:p w14:paraId="0CC803C3">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p>
        </w:tc>
        <w:tc>
          <w:tcPr>
            <w:tcW w:w="593" w:type="dxa"/>
            <w:vMerge w:val="continue"/>
            <w:tcBorders>
              <w:top w:val="single" w:color="000000" w:sz="4" w:space="0"/>
              <w:left w:val="single" w:color="000000" w:sz="4" w:space="0"/>
              <w:bottom w:val="single" w:color="000000" w:sz="4" w:space="0"/>
              <w:right w:val="single" w:color="000000" w:sz="4" w:space="0"/>
            </w:tcBorders>
            <w:noWrap/>
            <w:vAlign w:val="center"/>
          </w:tcPr>
          <w:p w14:paraId="760E31C3">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2F1EF801">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rPr>
              <w:t>资产管理</w:t>
            </w:r>
          </w:p>
        </w:tc>
        <w:tc>
          <w:tcPr>
            <w:tcW w:w="1246" w:type="dxa"/>
            <w:tcBorders>
              <w:top w:val="single" w:color="000000" w:sz="4" w:space="0"/>
              <w:left w:val="single" w:color="000000" w:sz="4" w:space="0"/>
              <w:bottom w:val="single" w:color="000000" w:sz="4" w:space="0"/>
              <w:right w:val="single" w:color="000000" w:sz="4" w:space="0"/>
            </w:tcBorders>
            <w:noWrap/>
            <w:vAlign w:val="center"/>
          </w:tcPr>
          <w:p w14:paraId="67F75203">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rPr>
              <w:t>资产配置预算偏离度</w:t>
            </w: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1C9979C9">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rPr>
              <w:t>0%</w:t>
            </w:r>
          </w:p>
        </w:tc>
        <w:tc>
          <w:tcPr>
            <w:tcW w:w="777" w:type="dxa"/>
            <w:tcBorders>
              <w:top w:val="single" w:color="000000" w:sz="4" w:space="0"/>
              <w:left w:val="single" w:color="000000" w:sz="4" w:space="0"/>
              <w:bottom w:val="single" w:color="000000" w:sz="4" w:space="0"/>
              <w:right w:val="single" w:color="000000" w:sz="4" w:space="0"/>
            </w:tcBorders>
            <w:noWrap/>
            <w:vAlign w:val="center"/>
          </w:tcPr>
          <w:p w14:paraId="29B03D76">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lang w:val="en-US" w:eastAsia="zh-CN"/>
              </w:rPr>
              <w:t>0%</w:t>
            </w:r>
          </w:p>
        </w:tc>
        <w:tc>
          <w:tcPr>
            <w:tcW w:w="1018" w:type="dxa"/>
            <w:tcBorders>
              <w:top w:val="single" w:color="000000" w:sz="4" w:space="0"/>
              <w:left w:val="single" w:color="000000" w:sz="4" w:space="0"/>
              <w:bottom w:val="single" w:color="000000" w:sz="4" w:space="0"/>
              <w:right w:val="single" w:color="000000" w:sz="4" w:space="0"/>
            </w:tcBorders>
            <w:noWrap/>
            <w:vAlign w:val="center"/>
          </w:tcPr>
          <w:p w14:paraId="3510C751">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lang w:val="en-US" w:eastAsia="zh-CN"/>
              </w:rPr>
              <w:t>0%</w:t>
            </w:r>
          </w:p>
        </w:tc>
        <w:tc>
          <w:tcPr>
            <w:tcW w:w="1045" w:type="dxa"/>
            <w:tcBorders>
              <w:top w:val="single" w:color="000000" w:sz="4" w:space="0"/>
              <w:left w:val="single" w:color="000000" w:sz="4" w:space="0"/>
              <w:bottom w:val="single" w:color="000000" w:sz="4" w:space="0"/>
              <w:right w:val="single" w:color="000000" w:sz="4" w:space="0"/>
            </w:tcBorders>
            <w:noWrap/>
            <w:vAlign w:val="center"/>
          </w:tcPr>
          <w:p w14:paraId="78111640">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lang w:val="en-US" w:eastAsia="zh-CN"/>
              </w:rPr>
              <w:t>0%</w:t>
            </w:r>
          </w:p>
        </w:tc>
        <w:tc>
          <w:tcPr>
            <w:tcW w:w="1111" w:type="dxa"/>
            <w:tcBorders>
              <w:top w:val="single" w:color="000000" w:sz="4" w:space="0"/>
              <w:left w:val="single" w:color="000000" w:sz="4" w:space="0"/>
              <w:bottom w:val="single" w:color="000000" w:sz="4" w:space="0"/>
              <w:right w:val="single" w:color="000000" w:sz="4" w:space="0"/>
            </w:tcBorders>
            <w:noWrap/>
            <w:vAlign w:val="center"/>
          </w:tcPr>
          <w:p w14:paraId="4A203CA8">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lang w:val="en-US" w:eastAsia="zh-CN"/>
              </w:rPr>
              <w:t>0%</w:t>
            </w:r>
          </w:p>
        </w:tc>
        <w:tc>
          <w:tcPr>
            <w:tcW w:w="19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8A6DD">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bidi="ar-SA"/>
              </w:rPr>
            </w:pPr>
            <w:r>
              <w:rPr>
                <w:rFonts w:hint="eastAsia" w:ascii="仿宋_GB2312" w:hAnsi="仿宋_GB2312" w:eastAsia="仿宋_GB2312" w:cs="仿宋_GB2312"/>
                <w:i w:val="0"/>
                <w:iCs w:val="0"/>
                <w:color w:val="000000"/>
                <w:kern w:val="0"/>
                <w:sz w:val="24"/>
                <w:szCs w:val="24"/>
                <w:lang w:val="en-US" w:eastAsia="zh-CN"/>
              </w:rPr>
              <w:t>0%</w:t>
            </w:r>
          </w:p>
        </w:tc>
      </w:tr>
      <w:tr w14:paraId="2C5E4F50">
        <w:tblPrEx>
          <w:tblCellMar>
            <w:top w:w="0" w:type="dxa"/>
            <w:left w:w="108" w:type="dxa"/>
            <w:bottom w:w="0" w:type="dxa"/>
            <w:right w:w="108" w:type="dxa"/>
          </w:tblCellMar>
        </w:tblPrEx>
        <w:trPr>
          <w:trHeight w:val="90" w:hRule="atLeast"/>
          <w:jc w:val="center"/>
        </w:trPr>
        <w:tc>
          <w:tcPr>
            <w:tcW w:w="331" w:type="dxa"/>
            <w:vMerge w:val="continue"/>
            <w:tcBorders>
              <w:top w:val="single" w:color="000000" w:sz="4" w:space="0"/>
              <w:left w:val="single" w:color="000000" w:sz="4" w:space="0"/>
              <w:bottom w:val="single" w:color="000000" w:sz="4" w:space="0"/>
              <w:right w:val="single" w:color="000000" w:sz="4" w:space="0"/>
            </w:tcBorders>
            <w:noWrap/>
            <w:vAlign w:val="center"/>
          </w:tcPr>
          <w:p w14:paraId="433AD26D">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p>
        </w:tc>
        <w:tc>
          <w:tcPr>
            <w:tcW w:w="593" w:type="dxa"/>
            <w:vMerge w:val="continue"/>
            <w:tcBorders>
              <w:top w:val="single" w:color="000000" w:sz="4" w:space="0"/>
              <w:left w:val="single" w:color="000000" w:sz="4" w:space="0"/>
              <w:bottom w:val="single" w:color="000000" w:sz="4" w:space="0"/>
              <w:right w:val="single" w:color="000000" w:sz="4" w:space="0"/>
            </w:tcBorders>
            <w:noWrap/>
            <w:vAlign w:val="center"/>
          </w:tcPr>
          <w:p w14:paraId="27F50B65">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3A999FA2">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rPr>
              <w:t>采购管理</w:t>
            </w:r>
          </w:p>
        </w:tc>
        <w:tc>
          <w:tcPr>
            <w:tcW w:w="1246" w:type="dxa"/>
            <w:tcBorders>
              <w:top w:val="single" w:color="000000" w:sz="4" w:space="0"/>
              <w:left w:val="single" w:color="000000" w:sz="4" w:space="0"/>
              <w:bottom w:val="single" w:color="000000" w:sz="4" w:space="0"/>
              <w:right w:val="single" w:color="000000" w:sz="4" w:space="0"/>
            </w:tcBorders>
            <w:noWrap/>
            <w:vAlign w:val="center"/>
          </w:tcPr>
          <w:p w14:paraId="3D1DDB94">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rPr>
              <w:t>采购执行率</w:t>
            </w: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3C799CAA">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0%</w:t>
            </w:r>
          </w:p>
        </w:tc>
        <w:tc>
          <w:tcPr>
            <w:tcW w:w="777" w:type="dxa"/>
            <w:tcBorders>
              <w:top w:val="single" w:color="000000" w:sz="4" w:space="0"/>
              <w:left w:val="single" w:color="000000" w:sz="4" w:space="0"/>
              <w:bottom w:val="single" w:color="000000" w:sz="4" w:space="0"/>
              <w:right w:val="single" w:color="000000" w:sz="4" w:space="0"/>
            </w:tcBorders>
            <w:noWrap/>
            <w:vAlign w:val="center"/>
          </w:tcPr>
          <w:p w14:paraId="1F8C7099">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lang w:val="en-US" w:eastAsia="zh-CN"/>
              </w:rPr>
              <w:t>0%</w:t>
            </w:r>
          </w:p>
        </w:tc>
        <w:tc>
          <w:tcPr>
            <w:tcW w:w="1018" w:type="dxa"/>
            <w:tcBorders>
              <w:top w:val="single" w:color="000000" w:sz="4" w:space="0"/>
              <w:left w:val="single" w:color="000000" w:sz="4" w:space="0"/>
              <w:bottom w:val="single" w:color="000000" w:sz="4" w:space="0"/>
              <w:right w:val="single" w:color="000000" w:sz="4" w:space="0"/>
            </w:tcBorders>
            <w:noWrap/>
            <w:vAlign w:val="center"/>
          </w:tcPr>
          <w:p w14:paraId="0FFA12D6">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lang w:val="en-US" w:eastAsia="zh-CN"/>
              </w:rPr>
              <w:t>0%</w:t>
            </w:r>
          </w:p>
        </w:tc>
        <w:tc>
          <w:tcPr>
            <w:tcW w:w="1045" w:type="dxa"/>
            <w:tcBorders>
              <w:top w:val="single" w:color="000000" w:sz="4" w:space="0"/>
              <w:left w:val="single" w:color="000000" w:sz="4" w:space="0"/>
              <w:bottom w:val="single" w:color="000000" w:sz="4" w:space="0"/>
              <w:right w:val="single" w:color="000000" w:sz="4" w:space="0"/>
            </w:tcBorders>
            <w:noWrap/>
            <w:vAlign w:val="center"/>
          </w:tcPr>
          <w:p w14:paraId="220FA9F6">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lang w:val="en-US" w:eastAsia="zh-CN"/>
              </w:rPr>
              <w:t>0%</w:t>
            </w:r>
          </w:p>
        </w:tc>
        <w:tc>
          <w:tcPr>
            <w:tcW w:w="1111" w:type="dxa"/>
            <w:tcBorders>
              <w:top w:val="single" w:color="000000" w:sz="4" w:space="0"/>
              <w:left w:val="single" w:color="000000" w:sz="4" w:space="0"/>
              <w:bottom w:val="single" w:color="000000" w:sz="4" w:space="0"/>
              <w:right w:val="single" w:color="000000" w:sz="4" w:space="0"/>
            </w:tcBorders>
            <w:noWrap/>
            <w:vAlign w:val="center"/>
          </w:tcPr>
          <w:p w14:paraId="1D85973B">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lang w:val="en-US" w:eastAsia="zh-CN"/>
              </w:rPr>
              <w:t>0%</w:t>
            </w:r>
          </w:p>
        </w:tc>
        <w:tc>
          <w:tcPr>
            <w:tcW w:w="19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4B75A">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bidi="ar-SA"/>
              </w:rPr>
            </w:pPr>
            <w:r>
              <w:rPr>
                <w:rFonts w:hint="eastAsia" w:ascii="仿宋_GB2312" w:hAnsi="仿宋_GB2312" w:eastAsia="仿宋_GB2312" w:cs="仿宋_GB2312"/>
                <w:i w:val="0"/>
                <w:iCs w:val="0"/>
                <w:color w:val="000000"/>
                <w:kern w:val="0"/>
                <w:sz w:val="24"/>
                <w:szCs w:val="24"/>
                <w:lang w:val="en-US" w:eastAsia="zh-CN"/>
              </w:rPr>
              <w:t>0%</w:t>
            </w:r>
          </w:p>
        </w:tc>
      </w:tr>
      <w:tr w14:paraId="718833AD">
        <w:tblPrEx>
          <w:tblCellMar>
            <w:top w:w="0" w:type="dxa"/>
            <w:left w:w="108" w:type="dxa"/>
            <w:bottom w:w="0" w:type="dxa"/>
            <w:right w:w="108" w:type="dxa"/>
          </w:tblCellMar>
        </w:tblPrEx>
        <w:trPr>
          <w:trHeight w:val="468" w:hRule="atLeast"/>
          <w:jc w:val="center"/>
        </w:trPr>
        <w:tc>
          <w:tcPr>
            <w:tcW w:w="331" w:type="dxa"/>
            <w:vMerge w:val="restart"/>
            <w:tcBorders>
              <w:top w:val="single" w:color="000000" w:sz="4" w:space="0"/>
              <w:left w:val="single" w:color="000000" w:sz="4" w:space="0"/>
              <w:bottom w:val="single" w:color="000000" w:sz="4" w:space="0"/>
              <w:right w:val="single" w:color="000000" w:sz="4" w:space="0"/>
            </w:tcBorders>
            <w:noWrap/>
            <w:vAlign w:val="center"/>
          </w:tcPr>
          <w:p w14:paraId="1A02F4EE">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rPr>
              <w:t>履职效能</w:t>
            </w:r>
          </w:p>
        </w:tc>
        <w:tc>
          <w:tcPr>
            <w:tcW w:w="593" w:type="dxa"/>
            <w:tcBorders>
              <w:top w:val="single" w:color="000000" w:sz="4" w:space="0"/>
              <w:left w:val="single" w:color="000000" w:sz="4" w:space="0"/>
              <w:bottom w:val="single" w:color="000000" w:sz="4" w:space="0"/>
              <w:right w:val="single" w:color="000000" w:sz="4" w:space="0"/>
            </w:tcBorders>
            <w:noWrap/>
            <w:vAlign w:val="center"/>
          </w:tcPr>
          <w:p w14:paraId="7DD59EF3">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rPr>
              <w:t>一级指</w:t>
            </w:r>
          </w:p>
          <w:p w14:paraId="2697FF8F">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p>
          <w:p w14:paraId="49F08432">
            <w:pPr>
              <w:widowControl/>
              <w:spacing w:line="240" w:lineRule="exact"/>
              <w:jc w:val="both"/>
              <w:textAlignment w:val="center"/>
              <w:rPr>
                <w:rFonts w:hint="eastAsia" w:ascii="仿宋_GB2312" w:hAnsi="仿宋_GB2312" w:eastAsia="仿宋_GB2312" w:cs="仿宋_GB2312"/>
                <w:i w:val="0"/>
                <w:iCs w:val="0"/>
                <w:sz w:val="24"/>
                <w:szCs w:val="24"/>
              </w:rPr>
            </w:pPr>
            <w:r>
              <w:rPr>
                <w:rFonts w:hint="eastAsia" w:ascii="仿宋_GB2312" w:hAnsi="仿宋_GB2312" w:eastAsia="仿宋_GB2312" w:cs="仿宋_GB2312"/>
                <w:i w:val="0"/>
                <w:iCs w:val="0"/>
                <w:color w:val="000000"/>
                <w:kern w:val="0"/>
                <w:sz w:val="24"/>
                <w:szCs w:val="24"/>
              </w:rPr>
              <w:t>标</w:t>
            </w: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300DCACB">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rPr>
              <w:t>二级指标</w:t>
            </w:r>
          </w:p>
        </w:tc>
        <w:tc>
          <w:tcPr>
            <w:tcW w:w="1246" w:type="dxa"/>
            <w:tcBorders>
              <w:top w:val="single" w:color="000000" w:sz="4" w:space="0"/>
              <w:left w:val="single" w:color="000000" w:sz="4" w:space="0"/>
              <w:bottom w:val="single" w:color="000000" w:sz="4" w:space="0"/>
              <w:right w:val="single" w:color="000000" w:sz="4" w:space="0"/>
            </w:tcBorders>
            <w:noWrap/>
            <w:vAlign w:val="center"/>
          </w:tcPr>
          <w:p w14:paraId="7B01C860">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rPr>
              <w:t>三级指标</w:t>
            </w:r>
          </w:p>
        </w:tc>
        <w:tc>
          <w:tcPr>
            <w:tcW w:w="4754" w:type="dxa"/>
            <w:gridSpan w:val="5"/>
            <w:tcBorders>
              <w:top w:val="single" w:color="000000" w:sz="4" w:space="0"/>
              <w:left w:val="single" w:color="000000" w:sz="4" w:space="0"/>
              <w:bottom w:val="single" w:color="000000" w:sz="4" w:space="0"/>
              <w:right w:val="single" w:color="000000" w:sz="4" w:space="0"/>
            </w:tcBorders>
            <w:noWrap/>
            <w:vAlign w:val="center"/>
          </w:tcPr>
          <w:p w14:paraId="2B464715">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rPr>
              <w:t>指标值（包含数字及文字描述）</w:t>
            </w:r>
          </w:p>
        </w:tc>
        <w:tc>
          <w:tcPr>
            <w:tcW w:w="1931" w:type="dxa"/>
            <w:tcBorders>
              <w:top w:val="single" w:color="000000" w:sz="4" w:space="0"/>
              <w:left w:val="single" w:color="000000" w:sz="4" w:space="0"/>
              <w:bottom w:val="single" w:color="000000" w:sz="4" w:space="0"/>
              <w:right w:val="single" w:color="000000" w:sz="4" w:space="0"/>
            </w:tcBorders>
            <w:noWrap/>
            <w:vAlign w:val="center"/>
          </w:tcPr>
          <w:p w14:paraId="655CCB35">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p>
        </w:tc>
      </w:tr>
      <w:tr w14:paraId="1DE1C9AE">
        <w:tblPrEx>
          <w:tblCellMar>
            <w:top w:w="0" w:type="dxa"/>
            <w:left w:w="108" w:type="dxa"/>
            <w:bottom w:w="0" w:type="dxa"/>
            <w:right w:w="108" w:type="dxa"/>
          </w:tblCellMar>
        </w:tblPrEx>
        <w:trPr>
          <w:trHeight w:val="296" w:hRule="atLeast"/>
          <w:jc w:val="center"/>
        </w:trPr>
        <w:tc>
          <w:tcPr>
            <w:tcW w:w="331" w:type="dxa"/>
            <w:vMerge w:val="continue"/>
            <w:tcBorders>
              <w:top w:val="single" w:color="000000" w:sz="4" w:space="0"/>
              <w:left w:val="single" w:color="000000" w:sz="4" w:space="0"/>
              <w:bottom w:val="single" w:color="000000" w:sz="4" w:space="0"/>
              <w:right w:val="single" w:color="000000" w:sz="4" w:space="0"/>
            </w:tcBorders>
            <w:noWrap/>
            <w:vAlign w:val="center"/>
          </w:tcPr>
          <w:p w14:paraId="225D50C1">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p>
        </w:tc>
        <w:tc>
          <w:tcPr>
            <w:tcW w:w="593" w:type="dxa"/>
            <w:vMerge w:val="restart"/>
            <w:tcBorders>
              <w:top w:val="single" w:color="000000" w:sz="4" w:space="0"/>
              <w:left w:val="single" w:color="000000" w:sz="4" w:space="0"/>
              <w:bottom w:val="single" w:color="000000" w:sz="4" w:space="0"/>
              <w:right w:val="single" w:color="000000" w:sz="4" w:space="0"/>
            </w:tcBorders>
            <w:noWrap/>
            <w:vAlign w:val="center"/>
          </w:tcPr>
          <w:p w14:paraId="4F4F2EB1">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rPr>
              <w:t>产出指标</w:t>
            </w: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3FBD7FD6">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eastAsia="zh-CN"/>
              </w:rPr>
            </w:pPr>
            <w:r>
              <w:rPr>
                <w:rFonts w:hint="eastAsia" w:ascii="仿宋_GB2312" w:hAnsi="仿宋_GB2312" w:eastAsia="仿宋_GB2312" w:cs="仿宋_GB2312"/>
                <w:i w:val="0"/>
                <w:iCs w:val="0"/>
                <w:color w:val="000000"/>
                <w:kern w:val="0"/>
                <w:sz w:val="24"/>
                <w:szCs w:val="24"/>
                <w:lang w:val="en-US" w:eastAsia="zh-CN"/>
              </w:rPr>
              <w:t>时效指标</w:t>
            </w:r>
          </w:p>
        </w:tc>
        <w:tc>
          <w:tcPr>
            <w:tcW w:w="1246" w:type="dxa"/>
            <w:tcBorders>
              <w:top w:val="single" w:color="000000" w:sz="4" w:space="0"/>
              <w:left w:val="single" w:color="000000" w:sz="4" w:space="0"/>
              <w:bottom w:val="single" w:color="000000" w:sz="4" w:space="0"/>
              <w:right w:val="single" w:color="000000" w:sz="4" w:space="0"/>
            </w:tcBorders>
            <w:noWrap/>
            <w:vAlign w:val="center"/>
          </w:tcPr>
          <w:p w14:paraId="4E8E91D0">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2025年完成资金支付</w:t>
            </w:r>
          </w:p>
        </w:tc>
        <w:tc>
          <w:tcPr>
            <w:tcW w:w="4754" w:type="dxa"/>
            <w:gridSpan w:val="5"/>
            <w:tcBorders>
              <w:top w:val="single" w:color="000000" w:sz="4" w:space="0"/>
              <w:left w:val="single" w:color="000000" w:sz="4" w:space="0"/>
              <w:bottom w:val="single" w:color="000000" w:sz="4" w:space="0"/>
              <w:right w:val="single" w:color="000000" w:sz="4" w:space="0"/>
            </w:tcBorders>
            <w:noWrap/>
            <w:vAlign w:val="center"/>
          </w:tcPr>
          <w:p w14:paraId="62DEE609">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2025年12月31日前支付完成</w:t>
            </w:r>
          </w:p>
        </w:tc>
        <w:tc>
          <w:tcPr>
            <w:tcW w:w="1931" w:type="dxa"/>
            <w:tcBorders>
              <w:top w:val="single" w:color="000000" w:sz="4" w:space="0"/>
              <w:left w:val="single" w:color="000000" w:sz="4" w:space="0"/>
              <w:bottom w:val="single" w:color="000000" w:sz="4" w:space="0"/>
              <w:right w:val="single" w:color="000000" w:sz="4" w:space="0"/>
            </w:tcBorders>
            <w:noWrap/>
            <w:vAlign w:val="center"/>
          </w:tcPr>
          <w:p w14:paraId="6C441B17">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p>
        </w:tc>
      </w:tr>
      <w:tr w14:paraId="45B721D6">
        <w:tblPrEx>
          <w:tblCellMar>
            <w:top w:w="0" w:type="dxa"/>
            <w:left w:w="108" w:type="dxa"/>
            <w:bottom w:w="0" w:type="dxa"/>
            <w:right w:w="108" w:type="dxa"/>
          </w:tblCellMar>
        </w:tblPrEx>
        <w:trPr>
          <w:trHeight w:val="296" w:hRule="atLeast"/>
          <w:jc w:val="center"/>
        </w:trPr>
        <w:tc>
          <w:tcPr>
            <w:tcW w:w="331" w:type="dxa"/>
            <w:vMerge w:val="continue"/>
            <w:tcBorders>
              <w:top w:val="single" w:color="000000" w:sz="4" w:space="0"/>
              <w:left w:val="single" w:color="000000" w:sz="4" w:space="0"/>
              <w:bottom w:val="single" w:color="000000" w:sz="4" w:space="0"/>
              <w:right w:val="single" w:color="000000" w:sz="4" w:space="0"/>
            </w:tcBorders>
            <w:noWrap/>
            <w:vAlign w:val="center"/>
          </w:tcPr>
          <w:p w14:paraId="6FDE4E34">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p>
        </w:tc>
        <w:tc>
          <w:tcPr>
            <w:tcW w:w="593" w:type="dxa"/>
            <w:vMerge w:val="continue"/>
            <w:tcBorders>
              <w:top w:val="single" w:color="000000" w:sz="4" w:space="0"/>
              <w:left w:val="single" w:color="000000" w:sz="4" w:space="0"/>
              <w:bottom w:val="single" w:color="000000" w:sz="4" w:space="0"/>
              <w:right w:val="single" w:color="000000" w:sz="4" w:space="0"/>
            </w:tcBorders>
            <w:noWrap/>
            <w:vAlign w:val="center"/>
          </w:tcPr>
          <w:p w14:paraId="352BAD9E">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38D9B015">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数量指标</w:t>
            </w:r>
          </w:p>
        </w:tc>
        <w:tc>
          <w:tcPr>
            <w:tcW w:w="1246" w:type="dxa"/>
            <w:tcBorders>
              <w:top w:val="single" w:color="000000" w:sz="4" w:space="0"/>
              <w:left w:val="single" w:color="000000" w:sz="4" w:space="0"/>
              <w:bottom w:val="single" w:color="000000" w:sz="4" w:space="0"/>
              <w:right w:val="single" w:color="000000" w:sz="4" w:space="0"/>
            </w:tcBorders>
            <w:noWrap/>
            <w:vAlign w:val="center"/>
          </w:tcPr>
          <w:p w14:paraId="38536EFF">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完成常委会议会务工作</w:t>
            </w:r>
          </w:p>
        </w:tc>
        <w:tc>
          <w:tcPr>
            <w:tcW w:w="4754" w:type="dxa"/>
            <w:gridSpan w:val="5"/>
            <w:tcBorders>
              <w:top w:val="single" w:color="000000" w:sz="4" w:space="0"/>
              <w:left w:val="single" w:color="000000" w:sz="4" w:space="0"/>
              <w:bottom w:val="single" w:color="000000" w:sz="4" w:space="0"/>
              <w:right w:val="single" w:color="000000" w:sz="4" w:space="0"/>
            </w:tcBorders>
            <w:noWrap/>
            <w:vAlign w:val="center"/>
          </w:tcPr>
          <w:p w14:paraId="6F8AB4DD">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≥18次</w:t>
            </w:r>
          </w:p>
        </w:tc>
        <w:tc>
          <w:tcPr>
            <w:tcW w:w="1931" w:type="dxa"/>
            <w:tcBorders>
              <w:top w:val="single" w:color="000000" w:sz="4" w:space="0"/>
              <w:left w:val="single" w:color="000000" w:sz="4" w:space="0"/>
              <w:bottom w:val="single" w:color="000000" w:sz="4" w:space="0"/>
              <w:right w:val="single" w:color="000000" w:sz="4" w:space="0"/>
            </w:tcBorders>
            <w:noWrap/>
            <w:vAlign w:val="center"/>
          </w:tcPr>
          <w:p w14:paraId="597D0F47">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p>
        </w:tc>
      </w:tr>
      <w:tr w14:paraId="32D5AD6C">
        <w:tblPrEx>
          <w:tblCellMar>
            <w:top w:w="0" w:type="dxa"/>
            <w:left w:w="108" w:type="dxa"/>
            <w:bottom w:w="0" w:type="dxa"/>
            <w:right w:w="108" w:type="dxa"/>
          </w:tblCellMar>
        </w:tblPrEx>
        <w:trPr>
          <w:trHeight w:val="296" w:hRule="atLeast"/>
          <w:jc w:val="center"/>
        </w:trPr>
        <w:tc>
          <w:tcPr>
            <w:tcW w:w="331" w:type="dxa"/>
            <w:vMerge w:val="continue"/>
            <w:tcBorders>
              <w:top w:val="single" w:color="000000" w:sz="4" w:space="0"/>
              <w:left w:val="single" w:color="000000" w:sz="4" w:space="0"/>
              <w:bottom w:val="single" w:color="000000" w:sz="4" w:space="0"/>
              <w:right w:val="single" w:color="000000" w:sz="4" w:space="0"/>
            </w:tcBorders>
            <w:noWrap/>
            <w:vAlign w:val="center"/>
          </w:tcPr>
          <w:p w14:paraId="37C677DC">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p>
        </w:tc>
        <w:tc>
          <w:tcPr>
            <w:tcW w:w="593" w:type="dxa"/>
            <w:vMerge w:val="continue"/>
            <w:tcBorders>
              <w:top w:val="single" w:color="000000" w:sz="4" w:space="0"/>
              <w:left w:val="single" w:color="000000" w:sz="4" w:space="0"/>
              <w:bottom w:val="single" w:color="000000" w:sz="4" w:space="0"/>
              <w:right w:val="single" w:color="000000" w:sz="4" w:space="0"/>
            </w:tcBorders>
            <w:noWrap/>
            <w:vAlign w:val="center"/>
          </w:tcPr>
          <w:p w14:paraId="4A9629F5">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6CD6C77E">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质量指标</w:t>
            </w:r>
          </w:p>
        </w:tc>
        <w:tc>
          <w:tcPr>
            <w:tcW w:w="1246" w:type="dxa"/>
            <w:tcBorders>
              <w:top w:val="single" w:color="000000" w:sz="4" w:space="0"/>
              <w:left w:val="single" w:color="000000" w:sz="4" w:space="0"/>
              <w:bottom w:val="single" w:color="000000" w:sz="4" w:space="0"/>
              <w:right w:val="single" w:color="000000" w:sz="4" w:space="0"/>
            </w:tcBorders>
            <w:noWrap/>
            <w:vAlign w:val="center"/>
          </w:tcPr>
          <w:p w14:paraId="6B29F616">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文件起草错漏率</w:t>
            </w:r>
          </w:p>
        </w:tc>
        <w:tc>
          <w:tcPr>
            <w:tcW w:w="4754" w:type="dxa"/>
            <w:gridSpan w:val="5"/>
            <w:tcBorders>
              <w:top w:val="single" w:color="000000" w:sz="4" w:space="0"/>
              <w:left w:val="single" w:color="000000" w:sz="4" w:space="0"/>
              <w:bottom w:val="single" w:color="000000" w:sz="4" w:space="0"/>
              <w:right w:val="single" w:color="000000" w:sz="4" w:space="0"/>
            </w:tcBorders>
            <w:noWrap/>
            <w:vAlign w:val="center"/>
          </w:tcPr>
          <w:p w14:paraId="6D3D377B">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≤3%</w:t>
            </w:r>
          </w:p>
        </w:tc>
        <w:tc>
          <w:tcPr>
            <w:tcW w:w="1931" w:type="dxa"/>
            <w:tcBorders>
              <w:top w:val="single" w:color="000000" w:sz="4" w:space="0"/>
              <w:left w:val="single" w:color="000000" w:sz="4" w:space="0"/>
              <w:bottom w:val="single" w:color="000000" w:sz="4" w:space="0"/>
              <w:right w:val="single" w:color="000000" w:sz="4" w:space="0"/>
            </w:tcBorders>
            <w:noWrap/>
            <w:vAlign w:val="center"/>
          </w:tcPr>
          <w:p w14:paraId="465A7CCC">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p>
        </w:tc>
      </w:tr>
      <w:tr w14:paraId="2A66B9FC">
        <w:tblPrEx>
          <w:tblCellMar>
            <w:top w:w="0" w:type="dxa"/>
            <w:left w:w="108" w:type="dxa"/>
            <w:bottom w:w="0" w:type="dxa"/>
            <w:right w:w="108" w:type="dxa"/>
          </w:tblCellMar>
        </w:tblPrEx>
        <w:trPr>
          <w:trHeight w:val="296" w:hRule="atLeast"/>
          <w:jc w:val="center"/>
        </w:trPr>
        <w:tc>
          <w:tcPr>
            <w:tcW w:w="331" w:type="dxa"/>
            <w:vMerge w:val="continue"/>
            <w:tcBorders>
              <w:top w:val="single" w:color="000000" w:sz="4" w:space="0"/>
              <w:left w:val="single" w:color="000000" w:sz="4" w:space="0"/>
              <w:bottom w:val="single" w:color="000000" w:sz="4" w:space="0"/>
              <w:right w:val="single" w:color="000000" w:sz="4" w:space="0"/>
            </w:tcBorders>
            <w:noWrap/>
            <w:vAlign w:val="center"/>
          </w:tcPr>
          <w:p w14:paraId="67A13963">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p>
        </w:tc>
        <w:tc>
          <w:tcPr>
            <w:tcW w:w="593" w:type="dxa"/>
            <w:vMerge w:val="restart"/>
            <w:tcBorders>
              <w:top w:val="single" w:color="000000" w:sz="4" w:space="0"/>
              <w:left w:val="single" w:color="000000" w:sz="4" w:space="0"/>
              <w:bottom w:val="single" w:color="000000" w:sz="4" w:space="0"/>
              <w:right w:val="single" w:color="000000" w:sz="4" w:space="0"/>
            </w:tcBorders>
            <w:noWrap/>
            <w:vAlign w:val="center"/>
          </w:tcPr>
          <w:p w14:paraId="7147ED86">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rPr>
              <w:t>效益指标</w:t>
            </w: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55FE349A">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可持续影响指标</w:t>
            </w:r>
          </w:p>
        </w:tc>
        <w:tc>
          <w:tcPr>
            <w:tcW w:w="1246" w:type="dxa"/>
            <w:tcBorders>
              <w:top w:val="single" w:color="000000" w:sz="4" w:space="0"/>
              <w:left w:val="single" w:color="000000" w:sz="4" w:space="0"/>
              <w:bottom w:val="single" w:color="000000" w:sz="4" w:space="0"/>
              <w:right w:val="single" w:color="000000" w:sz="4" w:space="0"/>
            </w:tcBorders>
            <w:noWrap/>
            <w:vAlign w:val="center"/>
          </w:tcPr>
          <w:p w14:paraId="186B8802">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高质量完成各种工作</w:t>
            </w:r>
          </w:p>
        </w:tc>
        <w:tc>
          <w:tcPr>
            <w:tcW w:w="4754" w:type="dxa"/>
            <w:gridSpan w:val="5"/>
            <w:tcBorders>
              <w:top w:val="single" w:color="000000" w:sz="4" w:space="0"/>
              <w:left w:val="single" w:color="000000" w:sz="4" w:space="0"/>
              <w:bottom w:val="single" w:color="000000" w:sz="4" w:space="0"/>
              <w:right w:val="single" w:color="000000" w:sz="4" w:space="0"/>
            </w:tcBorders>
            <w:noWrap/>
            <w:vAlign w:val="center"/>
          </w:tcPr>
          <w:p w14:paraId="118C61CA">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持续推动</w:t>
            </w:r>
          </w:p>
        </w:tc>
        <w:tc>
          <w:tcPr>
            <w:tcW w:w="1931" w:type="dxa"/>
            <w:tcBorders>
              <w:top w:val="single" w:color="000000" w:sz="4" w:space="0"/>
              <w:left w:val="single" w:color="000000" w:sz="4" w:space="0"/>
              <w:bottom w:val="single" w:color="000000" w:sz="4" w:space="0"/>
              <w:right w:val="single" w:color="000000" w:sz="4" w:space="0"/>
            </w:tcBorders>
            <w:noWrap/>
            <w:vAlign w:val="center"/>
          </w:tcPr>
          <w:p w14:paraId="4E26A00D">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p>
        </w:tc>
      </w:tr>
      <w:tr w14:paraId="7DAA0F7A">
        <w:tblPrEx>
          <w:tblCellMar>
            <w:top w:w="0" w:type="dxa"/>
            <w:left w:w="108" w:type="dxa"/>
            <w:bottom w:w="0" w:type="dxa"/>
            <w:right w:w="108" w:type="dxa"/>
          </w:tblCellMar>
        </w:tblPrEx>
        <w:trPr>
          <w:trHeight w:val="296" w:hRule="atLeast"/>
          <w:jc w:val="center"/>
        </w:trPr>
        <w:tc>
          <w:tcPr>
            <w:tcW w:w="331" w:type="dxa"/>
            <w:vMerge w:val="continue"/>
            <w:tcBorders>
              <w:top w:val="single" w:color="000000" w:sz="4" w:space="0"/>
              <w:left w:val="single" w:color="000000" w:sz="4" w:space="0"/>
              <w:bottom w:val="single" w:color="000000" w:sz="4" w:space="0"/>
              <w:right w:val="single" w:color="000000" w:sz="4" w:space="0"/>
            </w:tcBorders>
            <w:noWrap/>
            <w:vAlign w:val="center"/>
          </w:tcPr>
          <w:p w14:paraId="4559D13B">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p>
        </w:tc>
        <w:tc>
          <w:tcPr>
            <w:tcW w:w="593" w:type="dxa"/>
            <w:vMerge w:val="continue"/>
            <w:tcBorders>
              <w:top w:val="single" w:color="000000" w:sz="4" w:space="0"/>
              <w:left w:val="single" w:color="000000" w:sz="4" w:space="0"/>
              <w:bottom w:val="single" w:color="000000" w:sz="4" w:space="0"/>
              <w:right w:val="single" w:color="000000" w:sz="4" w:space="0"/>
            </w:tcBorders>
            <w:noWrap/>
            <w:vAlign w:val="center"/>
          </w:tcPr>
          <w:p w14:paraId="110D4067">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2A0CCD0A">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社会效益指标</w:t>
            </w:r>
          </w:p>
        </w:tc>
        <w:tc>
          <w:tcPr>
            <w:tcW w:w="1246" w:type="dxa"/>
            <w:tcBorders>
              <w:top w:val="single" w:color="000000" w:sz="4" w:space="0"/>
              <w:left w:val="single" w:color="000000" w:sz="4" w:space="0"/>
              <w:bottom w:val="single" w:color="000000" w:sz="4" w:space="0"/>
              <w:right w:val="single" w:color="000000" w:sz="4" w:space="0"/>
            </w:tcBorders>
            <w:noWrap/>
            <w:vAlign w:val="center"/>
          </w:tcPr>
          <w:p w14:paraId="0255B3FE">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综合协调，督促贯彻落实</w:t>
            </w:r>
          </w:p>
        </w:tc>
        <w:tc>
          <w:tcPr>
            <w:tcW w:w="4754" w:type="dxa"/>
            <w:gridSpan w:val="5"/>
            <w:tcBorders>
              <w:top w:val="single" w:color="000000" w:sz="4" w:space="0"/>
              <w:left w:val="single" w:color="000000" w:sz="4" w:space="0"/>
              <w:bottom w:val="single" w:color="000000" w:sz="4" w:space="0"/>
              <w:right w:val="single" w:color="000000" w:sz="4" w:space="0"/>
            </w:tcBorders>
            <w:noWrap/>
            <w:vAlign w:val="center"/>
          </w:tcPr>
          <w:p w14:paraId="07444CD8">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进一步提升服务保障</w:t>
            </w:r>
          </w:p>
        </w:tc>
        <w:tc>
          <w:tcPr>
            <w:tcW w:w="1931" w:type="dxa"/>
            <w:tcBorders>
              <w:top w:val="single" w:color="000000" w:sz="4" w:space="0"/>
              <w:left w:val="single" w:color="000000" w:sz="4" w:space="0"/>
              <w:bottom w:val="single" w:color="000000" w:sz="4" w:space="0"/>
              <w:right w:val="single" w:color="000000" w:sz="4" w:space="0"/>
            </w:tcBorders>
            <w:noWrap/>
            <w:vAlign w:val="center"/>
          </w:tcPr>
          <w:p w14:paraId="0D8E3ACB">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p>
        </w:tc>
      </w:tr>
      <w:tr w14:paraId="5122433F">
        <w:tblPrEx>
          <w:tblCellMar>
            <w:top w:w="0" w:type="dxa"/>
            <w:left w:w="108" w:type="dxa"/>
            <w:bottom w:w="0" w:type="dxa"/>
            <w:right w:w="108" w:type="dxa"/>
          </w:tblCellMar>
        </w:tblPrEx>
        <w:trPr>
          <w:trHeight w:val="306" w:hRule="atLeast"/>
          <w:jc w:val="center"/>
        </w:trPr>
        <w:tc>
          <w:tcPr>
            <w:tcW w:w="331" w:type="dxa"/>
            <w:vMerge w:val="continue"/>
            <w:tcBorders>
              <w:top w:val="single" w:color="000000" w:sz="4" w:space="0"/>
              <w:left w:val="single" w:color="000000" w:sz="4" w:space="0"/>
              <w:bottom w:val="single" w:color="000000" w:sz="4" w:space="0"/>
              <w:right w:val="single" w:color="000000" w:sz="4" w:space="0"/>
            </w:tcBorders>
            <w:noWrap/>
            <w:vAlign w:val="center"/>
          </w:tcPr>
          <w:p w14:paraId="1D0D545E">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p>
        </w:tc>
        <w:tc>
          <w:tcPr>
            <w:tcW w:w="593" w:type="dxa"/>
            <w:vMerge w:val="continue"/>
            <w:tcBorders>
              <w:top w:val="single" w:color="000000" w:sz="4" w:space="0"/>
              <w:left w:val="single" w:color="000000" w:sz="4" w:space="0"/>
              <w:bottom w:val="single" w:color="000000" w:sz="4" w:space="0"/>
              <w:right w:val="single" w:color="000000" w:sz="4" w:space="0"/>
            </w:tcBorders>
            <w:noWrap/>
            <w:vAlign w:val="center"/>
          </w:tcPr>
          <w:p w14:paraId="5033C578">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p>
        </w:tc>
        <w:tc>
          <w:tcPr>
            <w:tcW w:w="803" w:type="dxa"/>
            <w:tcBorders>
              <w:top w:val="single" w:color="000000" w:sz="4" w:space="0"/>
              <w:left w:val="single" w:color="000000" w:sz="4" w:space="0"/>
              <w:bottom w:val="single" w:color="000000" w:sz="4" w:space="0"/>
              <w:right w:val="single" w:color="000000" w:sz="4" w:space="0"/>
            </w:tcBorders>
            <w:noWrap/>
            <w:vAlign w:val="center"/>
          </w:tcPr>
          <w:p w14:paraId="38A691F6">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p>
        </w:tc>
        <w:tc>
          <w:tcPr>
            <w:tcW w:w="1246" w:type="dxa"/>
            <w:tcBorders>
              <w:top w:val="single" w:color="000000" w:sz="4" w:space="0"/>
              <w:left w:val="single" w:color="000000" w:sz="4" w:space="0"/>
              <w:bottom w:val="single" w:color="000000" w:sz="4" w:space="0"/>
              <w:right w:val="single" w:color="000000" w:sz="4" w:space="0"/>
            </w:tcBorders>
            <w:noWrap/>
            <w:vAlign w:val="center"/>
          </w:tcPr>
          <w:p w14:paraId="0B831C76">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p>
        </w:tc>
        <w:tc>
          <w:tcPr>
            <w:tcW w:w="4754" w:type="dxa"/>
            <w:gridSpan w:val="5"/>
            <w:tcBorders>
              <w:top w:val="single" w:color="000000" w:sz="4" w:space="0"/>
              <w:left w:val="single" w:color="000000" w:sz="4" w:space="0"/>
              <w:bottom w:val="single" w:color="000000" w:sz="4" w:space="0"/>
              <w:right w:val="single" w:color="000000" w:sz="4" w:space="0"/>
            </w:tcBorders>
            <w:noWrap/>
            <w:vAlign w:val="center"/>
          </w:tcPr>
          <w:p w14:paraId="33E84A62">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p>
        </w:tc>
        <w:tc>
          <w:tcPr>
            <w:tcW w:w="1931" w:type="dxa"/>
            <w:tcBorders>
              <w:top w:val="single" w:color="000000" w:sz="4" w:space="0"/>
              <w:left w:val="single" w:color="000000" w:sz="4" w:space="0"/>
              <w:bottom w:val="single" w:color="000000" w:sz="4" w:space="0"/>
              <w:right w:val="single" w:color="000000" w:sz="4" w:space="0"/>
            </w:tcBorders>
            <w:noWrap/>
            <w:vAlign w:val="center"/>
          </w:tcPr>
          <w:p w14:paraId="6CD9E2FF">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p>
        </w:tc>
      </w:tr>
    </w:tbl>
    <w:p w14:paraId="7E1AB815">
      <w:pPr>
        <w:rPr>
          <w:rFonts w:eastAsia="黑体"/>
          <w:i w:val="0"/>
          <w:iCs w:val="0"/>
          <w:sz w:val="24"/>
        </w:rPr>
      </w:pPr>
    </w:p>
    <w:p w14:paraId="06783647">
      <w:pPr>
        <w:rPr>
          <w:rFonts w:eastAsia="黑体"/>
          <w:i w:val="0"/>
          <w:iCs w:val="0"/>
        </w:rPr>
      </w:pPr>
      <w:r>
        <w:rPr>
          <w:rFonts w:eastAsia="黑体"/>
          <w:i w:val="0"/>
          <w:iCs w:val="0"/>
        </w:rPr>
        <w:br w:type="page"/>
      </w:r>
    </w:p>
    <w:p w14:paraId="3A461D53">
      <w:pPr>
        <w:pStyle w:val="15"/>
        <w:spacing w:after="0" w:line="578" w:lineRule="exact"/>
        <w:ind w:left="0" w:leftChars="0" w:firstLine="0" w:firstLineChars="0"/>
        <w:rPr>
          <w:rFonts w:ascii="Times New Roman" w:eastAsia="黑体"/>
          <w:i w:val="0"/>
          <w:iCs w:val="0"/>
          <w:szCs w:val="24"/>
        </w:rPr>
      </w:pPr>
      <w:r>
        <w:rPr>
          <w:rFonts w:ascii="Times New Roman" w:eastAsia="黑体"/>
          <w:i w:val="0"/>
          <w:iCs w:val="0"/>
          <w:szCs w:val="24"/>
        </w:rPr>
        <w:t>附表</w:t>
      </w:r>
      <w:r>
        <w:rPr>
          <w:rFonts w:hint="eastAsia" w:ascii="Times New Roman" w:eastAsia="黑体"/>
          <w:i w:val="0"/>
          <w:iCs w:val="0"/>
          <w:szCs w:val="24"/>
        </w:rPr>
        <w:t>3</w:t>
      </w:r>
    </w:p>
    <w:p w14:paraId="341F9EAF">
      <w:pPr>
        <w:widowControl/>
        <w:spacing w:line="578" w:lineRule="exact"/>
        <w:jc w:val="center"/>
        <w:textAlignment w:val="center"/>
        <w:rPr>
          <w:rFonts w:eastAsia="方正小标宋简体"/>
          <w:i w:val="0"/>
          <w:iCs w:val="0"/>
          <w:color w:val="000000"/>
          <w:kern w:val="0"/>
          <w:sz w:val="44"/>
          <w:szCs w:val="44"/>
        </w:rPr>
      </w:pPr>
    </w:p>
    <w:p w14:paraId="7C6BAD3D">
      <w:pPr>
        <w:widowControl/>
        <w:spacing w:line="578" w:lineRule="exact"/>
        <w:jc w:val="center"/>
        <w:textAlignment w:val="center"/>
        <w:rPr>
          <w:rFonts w:eastAsia="方正小标宋简体"/>
          <w:i w:val="0"/>
          <w:iCs w:val="0"/>
          <w:color w:val="000000"/>
          <w:kern w:val="0"/>
          <w:sz w:val="44"/>
          <w:szCs w:val="44"/>
        </w:rPr>
      </w:pPr>
      <w:r>
        <w:rPr>
          <w:rFonts w:eastAsia="方正小标宋简体"/>
          <w:i w:val="0"/>
          <w:iCs w:val="0"/>
          <w:color w:val="000000"/>
          <w:kern w:val="0"/>
          <w:sz w:val="44"/>
          <w:szCs w:val="44"/>
        </w:rPr>
        <w:t>部门预算项目支出绩效评价表</w:t>
      </w:r>
    </w:p>
    <w:p w14:paraId="0C51AE12">
      <w:pPr>
        <w:widowControl/>
        <w:spacing w:line="578" w:lineRule="exact"/>
        <w:jc w:val="center"/>
        <w:textAlignment w:val="center"/>
        <w:rPr>
          <w:rFonts w:eastAsia="方正小标宋简体"/>
          <w:i w:val="0"/>
          <w:iCs w:val="0"/>
          <w:color w:val="000000"/>
          <w:kern w:val="0"/>
          <w:szCs w:val="32"/>
        </w:rPr>
      </w:pPr>
      <w:r>
        <w:rPr>
          <w:rFonts w:eastAsia="方正小标宋简体"/>
          <w:i w:val="0"/>
          <w:iCs w:val="0"/>
          <w:color w:val="000000"/>
          <w:kern w:val="0"/>
          <w:szCs w:val="32"/>
        </w:rPr>
        <w:t>（202</w:t>
      </w:r>
      <w:r>
        <w:rPr>
          <w:rFonts w:hint="eastAsia" w:eastAsia="方正小标宋简体"/>
          <w:i w:val="0"/>
          <w:iCs w:val="0"/>
          <w:color w:val="000000"/>
          <w:kern w:val="0"/>
          <w:szCs w:val="32"/>
        </w:rPr>
        <w:t>5</w:t>
      </w:r>
      <w:r>
        <w:rPr>
          <w:rFonts w:eastAsia="方正小标宋简体"/>
          <w:i w:val="0"/>
          <w:iCs w:val="0"/>
          <w:color w:val="000000"/>
          <w:kern w:val="0"/>
          <w:szCs w:val="32"/>
        </w:rPr>
        <w:t>年度）</w:t>
      </w:r>
    </w:p>
    <w:p w14:paraId="6472D5DC">
      <w:pPr>
        <w:pStyle w:val="38"/>
        <w:spacing w:before="0" w:after="0" w:line="578" w:lineRule="exact"/>
        <w:ind w:firstLine="640" w:firstLineChars="200"/>
        <w:rPr>
          <w:rFonts w:ascii="Times New Roman" w:hAnsi="Times New Roman" w:eastAsia="仿宋_GB2312"/>
          <w:b w:val="0"/>
          <w:i w:val="0"/>
          <w:iCs w:val="0"/>
          <w:color w:val="000000"/>
          <w:kern w:val="0"/>
          <w:sz w:val="32"/>
          <w:szCs w:val="32"/>
          <w:shd w:val="clear" w:color="auto" w:fill="FFFFFF"/>
        </w:rPr>
      </w:pPr>
    </w:p>
    <w:tbl>
      <w:tblPr>
        <w:tblStyle w:val="19"/>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96"/>
        <w:gridCol w:w="956"/>
        <w:gridCol w:w="789"/>
        <w:gridCol w:w="1084"/>
        <w:gridCol w:w="456"/>
        <w:gridCol w:w="729"/>
        <w:gridCol w:w="456"/>
        <w:gridCol w:w="1056"/>
        <w:gridCol w:w="576"/>
        <w:gridCol w:w="457"/>
        <w:gridCol w:w="1267"/>
      </w:tblGrid>
      <w:tr w14:paraId="177D09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8765102">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lang w:val="en-US" w:eastAsia="zh-CN"/>
              </w:rPr>
              <w:t>部门预算项目支出绩效自评表（2025年度）</w:t>
            </w:r>
          </w:p>
        </w:tc>
      </w:tr>
      <w:tr w14:paraId="0993D3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6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51A7F9">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lang w:val="en-US" w:eastAsia="zh-CN"/>
              </w:rPr>
              <w:t>项目名称</w:t>
            </w:r>
          </w:p>
        </w:tc>
        <w:tc>
          <w:tcPr>
            <w:tcW w:w="4030"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A97DA4C">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lang w:val="en-US" w:eastAsia="zh-CN"/>
              </w:rPr>
              <w:t>51322325T000012920628-2025年设备维护</w:t>
            </w:r>
          </w:p>
        </w:tc>
      </w:tr>
      <w:tr w14:paraId="7DCDEE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96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BE5CDC">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lang w:val="en-US" w:eastAsia="zh-CN"/>
              </w:rPr>
              <w:t>主管部门</w:t>
            </w:r>
          </w:p>
        </w:tc>
        <w:tc>
          <w:tcPr>
            <w:tcW w:w="239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50DD0AA">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lang w:val="en-US" w:eastAsia="zh-CN"/>
              </w:rPr>
              <w:t>中国共产党茂县委员会办公室</w:t>
            </w:r>
          </w:p>
        </w:tc>
        <w:tc>
          <w:tcPr>
            <w:tcW w:w="386" w:type="pct"/>
            <w:tcBorders>
              <w:top w:val="nil"/>
              <w:left w:val="nil"/>
              <w:bottom w:val="nil"/>
              <w:right w:val="nil"/>
            </w:tcBorders>
            <w:shd w:val="clear" w:color="auto" w:fill="auto"/>
            <w:vAlign w:val="center"/>
          </w:tcPr>
          <w:p w14:paraId="0099E297">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lang w:val="en-US" w:eastAsia="zh-CN"/>
              </w:rPr>
              <w:t>实施单位 （盖章）</w:t>
            </w:r>
          </w:p>
        </w:tc>
        <w:tc>
          <w:tcPr>
            <w:tcW w:w="12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944142">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lang w:val="en-US" w:eastAsia="zh-CN"/>
              </w:rPr>
              <w:t>中共茂县县委办公室（行政）</w:t>
            </w:r>
          </w:p>
        </w:tc>
      </w:tr>
      <w:tr w14:paraId="34570C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15EE77">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lang w:val="en-US" w:eastAsia="zh-CN"/>
              </w:rPr>
              <w:t>项目基本情况</w:t>
            </w:r>
          </w:p>
        </w:tc>
        <w:tc>
          <w:tcPr>
            <w:tcW w:w="72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6FA197">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lang w:val="en-US" w:eastAsia="zh-CN"/>
              </w:rPr>
              <w:t>1.项目年度目标完成情况</w:t>
            </w:r>
          </w:p>
        </w:tc>
        <w:tc>
          <w:tcPr>
            <w:tcW w:w="239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0BFFEF8">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lang w:val="en-US" w:eastAsia="zh-CN"/>
              </w:rPr>
              <w:t>项目年度目标</w:t>
            </w:r>
          </w:p>
        </w:tc>
        <w:tc>
          <w:tcPr>
            <w:tcW w:w="163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BCAC1E6">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lang w:val="en-US" w:eastAsia="zh-CN"/>
              </w:rPr>
              <w:t>年度目标完成情况</w:t>
            </w:r>
          </w:p>
        </w:tc>
      </w:tr>
      <w:tr w14:paraId="6C6278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0D9E27">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p>
        </w:tc>
        <w:tc>
          <w:tcPr>
            <w:tcW w:w="7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212F39">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p>
        </w:tc>
        <w:tc>
          <w:tcPr>
            <w:tcW w:w="239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E26F75F">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p>
        </w:tc>
        <w:tc>
          <w:tcPr>
            <w:tcW w:w="163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D6F28B8">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lang w:val="en-US" w:eastAsia="zh-CN"/>
              </w:rPr>
              <w:t>对照年度目标，说明相关任务目标的完成情况（100字以内）</w:t>
            </w:r>
          </w:p>
        </w:tc>
      </w:tr>
      <w:tr w14:paraId="1424AF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6131D6">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78C767">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lang w:val="en-US" w:eastAsia="zh-CN"/>
              </w:rPr>
              <w:t>2.项目实施内容及过程概述</w:t>
            </w:r>
          </w:p>
        </w:tc>
        <w:tc>
          <w:tcPr>
            <w:tcW w:w="4030"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40B19E4">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p>
        </w:tc>
      </w:tr>
      <w:tr w14:paraId="7C4095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4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C86792">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lang w:val="en-US" w:eastAsia="zh-CN"/>
              </w:rPr>
              <w:t>预算执行情况（10分）</w:t>
            </w: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EEC6D4">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lang w:val="en-US" w:eastAsia="zh-CN"/>
              </w:rPr>
              <w:t>年度预算数（万元）</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8AEA1F">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lang w:val="en-US" w:eastAsia="zh-CN"/>
              </w:rPr>
              <w:t>年初预算</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987FE2">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lang w:val="en-US" w:eastAsia="zh-CN"/>
              </w:rPr>
              <w:t>调整后预算数</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D185478">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lang w:val="en-US" w:eastAsia="zh-CN"/>
              </w:rPr>
              <w:t>预算执行数</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CEE3A4">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lang w:val="en-US" w:eastAsia="zh-CN"/>
              </w:rPr>
              <w:t>预算执行率</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0404D0">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lang w:val="en-US" w:eastAsia="zh-CN"/>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03E74E">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lang w:val="en-US" w:eastAsia="zh-CN"/>
              </w:rPr>
              <w:t>得分</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D4B9A0">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lang w:val="en-US" w:eastAsia="zh-CN"/>
              </w:rPr>
              <w:t>原因</w:t>
            </w:r>
          </w:p>
        </w:tc>
      </w:tr>
      <w:tr w14:paraId="7BA0D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9D4B50">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1F1E42">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lang w:val="en-US" w:eastAsia="zh-CN"/>
              </w:rPr>
              <w:t>总额</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444978">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lang w:val="en-US" w:eastAsia="zh-CN"/>
              </w:rPr>
              <w:t>0.00</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E59E08">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lang w:val="en-US" w:eastAsia="zh-CN"/>
              </w:rPr>
              <w:t>87.35</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03C119">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lang w:val="en-US" w:eastAsia="zh-CN"/>
              </w:rPr>
              <w:t>87.35</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C1EA55">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lang w:val="en-US" w:eastAsia="zh-CN"/>
              </w:rPr>
              <w:t>100.00%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758EC3">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lang w:val="en-US" w:eastAsia="zh-CN"/>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350871">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p>
        </w:tc>
        <w:tc>
          <w:tcPr>
            <w:tcW w:w="90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C854FD">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lang w:val="en-US" w:eastAsia="zh-CN"/>
              </w:rPr>
              <w:t>1.预算执行率=预算执行数/调整后预算数，预算执行率未达到90%的需说明原因（100字以内）;2.年中发生预算调整的（追加或调减）,应单独说明理由；3.其他资金包括：社会投入资金、银行贷款.</w:t>
            </w:r>
          </w:p>
        </w:tc>
      </w:tr>
      <w:tr w14:paraId="49F88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0BD137">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DE616">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lang w:val="en-US" w:eastAsia="zh-CN"/>
              </w:rPr>
              <w:t>其中：财政资金</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2803AF">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lang w:val="en-US" w:eastAsia="zh-CN"/>
              </w:rPr>
              <w:t>0.00</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86FAE">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lang w:val="en-US" w:eastAsia="zh-CN"/>
              </w:rPr>
              <w:t>87.35</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FF0526">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lang w:val="en-US" w:eastAsia="zh-CN"/>
              </w:rPr>
              <w:t>87.35</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973493">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lang w:val="en-US" w:eastAsia="zh-CN"/>
              </w:rPr>
              <w:t>100.00%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EB0D5">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lang w:val="en-US" w:eastAsia="zh-CN"/>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7153C0">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lang w:val="en-US" w:eastAsia="zh-CN"/>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6EFE07">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p>
        </w:tc>
      </w:tr>
      <w:tr w14:paraId="3AB566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CF7867">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0B8B06">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lang w:val="en-US" w:eastAsia="zh-CN"/>
              </w:rPr>
              <w:t>财政专户管理资金</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16D492">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lang w:val="en-US" w:eastAsia="zh-CN"/>
              </w:rPr>
              <w:t>0.00</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EE2810">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lang w:val="en-US" w:eastAsia="zh-CN"/>
              </w:rPr>
              <w:t>0.00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4217FC">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lang w:val="en-US" w:eastAsia="zh-CN"/>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0DC5F9">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lang w:val="en-US" w:eastAsia="zh-CN"/>
              </w:rPr>
              <w:t>0.00%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C65079">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lang w:val="en-US" w:eastAsia="zh-CN"/>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2561AD">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lang w:val="en-US" w:eastAsia="zh-CN"/>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058A87">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p>
        </w:tc>
      </w:tr>
      <w:tr w14:paraId="532BC5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F66E1B">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B7D1E0">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lang w:val="en-US" w:eastAsia="zh-CN"/>
              </w:rPr>
              <w:t>单位资金</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1BB737">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lang w:val="en-US" w:eastAsia="zh-CN"/>
              </w:rPr>
              <w:t>0.00</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DEB5BB">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lang w:val="en-US" w:eastAsia="zh-CN"/>
              </w:rPr>
              <w:t>0.00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27F325">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lang w:val="en-US" w:eastAsia="zh-CN"/>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2B4E7C">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lang w:val="en-US" w:eastAsia="zh-CN"/>
              </w:rPr>
              <w:t>0.00%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6582CD">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lang w:val="en-US" w:eastAsia="zh-CN"/>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81DB0F">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lang w:val="en-US" w:eastAsia="zh-CN"/>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0E22B7">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p>
        </w:tc>
      </w:tr>
      <w:tr w14:paraId="4CD238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A2F7F3">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0F58B0">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lang w:val="en-US" w:eastAsia="zh-CN"/>
              </w:rPr>
              <w:t>其他资金</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55267A">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1E49CA">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8F2D8C">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781650">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548CA5">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lang w:val="en-US" w:eastAsia="zh-CN"/>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7C999D">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lang w:val="en-US" w:eastAsia="zh-CN"/>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06BC07">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p>
        </w:tc>
      </w:tr>
      <w:tr w14:paraId="6D8704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4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989383">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lang w:val="en-US" w:eastAsia="zh-CN"/>
              </w:rPr>
              <w:t>绩效指标（90分）</w:t>
            </w: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3B5E57">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lang w:val="en-US" w:eastAsia="zh-CN"/>
              </w:rPr>
              <w:t>一级指标</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4E53ED">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lang w:val="en-US" w:eastAsia="zh-CN"/>
              </w:rPr>
              <w:t>二级指标</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2E80A8">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lang w:val="en-US" w:eastAsia="zh-CN"/>
              </w:rPr>
              <w:t>三级指标</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3D90F5">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lang w:val="en-US" w:eastAsia="zh-CN"/>
              </w:rPr>
              <w:t>指标性质</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76C8E4">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lang w:val="en-US" w:eastAsia="zh-CN"/>
              </w:rPr>
              <w:t>指标值</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1F27B3">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lang w:val="en-US" w:eastAsia="zh-CN"/>
              </w:rPr>
              <w:t>度量单位</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34E3BC">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lang w:val="en-US" w:eastAsia="zh-CN"/>
              </w:rPr>
              <w:t>完成值</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63D471">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lang w:val="en-US" w:eastAsia="zh-CN"/>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53BF3A">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lang w:val="en-US" w:eastAsia="zh-CN"/>
              </w:rPr>
              <w:t>得分</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DC9435">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lang w:val="en-US" w:eastAsia="zh-CN"/>
              </w:rPr>
              <w:t>未完成原因分析</w:t>
            </w:r>
          </w:p>
        </w:tc>
      </w:tr>
      <w:tr w14:paraId="5B3D3C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0AF692">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760E62">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6CFC0C">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B16CA0">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15A6C4">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BD5886">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642AC5">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1C995F">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FE2E61">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DADAE0">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A6199D">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p>
        </w:tc>
      </w:tr>
      <w:tr w14:paraId="40D6EC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752"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5D7FD70">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lang w:val="en-US" w:eastAsia="zh-CN"/>
              </w:rPr>
              <w:t>合计</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2F9378">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lang w:val="en-US" w:eastAsia="zh-CN"/>
              </w:rPr>
              <w:t>100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588A04">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BF8985">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p>
        </w:tc>
      </w:tr>
      <w:tr w14:paraId="711F04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2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F027D3">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lang w:val="en-US" w:eastAsia="zh-CN"/>
              </w:rPr>
              <w:t>评价结论</w:t>
            </w:r>
          </w:p>
        </w:tc>
        <w:tc>
          <w:tcPr>
            <w:tcW w:w="4757"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4ADB621">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lang w:val="en-US" w:eastAsia="zh-CN"/>
              </w:rPr>
              <w:t>结合自评情况，说明项目自评总分，说明项目实施取得的成效或成果。（200字以内）</w:t>
            </w:r>
          </w:p>
        </w:tc>
      </w:tr>
      <w:tr w14:paraId="7B7584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2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91FF3A">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lang w:val="en-US" w:eastAsia="zh-CN"/>
              </w:rPr>
              <w:t>存在问题</w:t>
            </w:r>
          </w:p>
        </w:tc>
        <w:tc>
          <w:tcPr>
            <w:tcW w:w="4757"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DA7253A">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lang w:val="en-US" w:eastAsia="zh-CN"/>
              </w:rPr>
              <w:t>结合自评情况，分析存在的问题及原因。（200字以内）</w:t>
            </w:r>
          </w:p>
        </w:tc>
      </w:tr>
      <w:tr w14:paraId="30E4DC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2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F9B262">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lang w:val="en-US" w:eastAsia="zh-CN"/>
              </w:rPr>
              <w:t>改进措施</w:t>
            </w:r>
          </w:p>
        </w:tc>
        <w:tc>
          <w:tcPr>
            <w:tcW w:w="4757"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96F9359">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lang w:val="en-US" w:eastAsia="zh-CN"/>
              </w:rPr>
              <w:t>针对项目自评中发现的问题，提出下一步改进完善的意见及有关政策性建议。（200字以内）</w:t>
            </w:r>
          </w:p>
        </w:tc>
      </w:tr>
      <w:tr w14:paraId="6CCECE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58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364E81A">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lang w:val="en-US" w:eastAsia="zh-CN"/>
              </w:rPr>
              <w:t>项目负责人：</w:t>
            </w:r>
          </w:p>
        </w:tc>
        <w:tc>
          <w:tcPr>
            <w:tcW w:w="2414"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092D152">
            <w:pPr>
              <w:widowControl/>
              <w:spacing w:line="240" w:lineRule="exact"/>
              <w:jc w:val="center"/>
              <w:textAlignment w:val="center"/>
              <w:rPr>
                <w:rFonts w:hint="eastAsia" w:ascii="仿宋_GB2312" w:hAnsi="仿宋_GB2312" w:eastAsia="仿宋_GB2312" w:cs="仿宋_GB2312"/>
                <w:i w:val="0"/>
                <w:iCs w:val="0"/>
                <w:color w:val="000000"/>
                <w:kern w:val="0"/>
                <w:sz w:val="24"/>
                <w:szCs w:val="24"/>
              </w:rPr>
            </w:pPr>
            <w:r>
              <w:rPr>
                <w:rFonts w:hint="eastAsia" w:ascii="仿宋_GB2312" w:hAnsi="仿宋_GB2312" w:eastAsia="仿宋_GB2312" w:cs="仿宋_GB2312"/>
                <w:i w:val="0"/>
                <w:iCs w:val="0"/>
                <w:color w:val="000000"/>
                <w:kern w:val="0"/>
                <w:sz w:val="24"/>
                <w:szCs w:val="24"/>
                <w:lang w:val="en-US" w:eastAsia="zh-CN"/>
              </w:rPr>
              <w:t>财务负责人：</w:t>
            </w:r>
          </w:p>
        </w:tc>
      </w:tr>
      <w:tr w14:paraId="794CAA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2" w:type="pct"/>
            <w:tcBorders>
              <w:top w:val="nil"/>
              <w:left w:val="nil"/>
              <w:bottom w:val="nil"/>
              <w:right w:val="nil"/>
            </w:tcBorders>
            <w:shd w:val="clear" w:color="auto" w:fill="auto"/>
            <w:vAlign w:val="center"/>
          </w:tcPr>
          <w:p w14:paraId="75B8CFEA">
            <w:pPr>
              <w:rPr>
                <w:rFonts w:hint="eastAsia" w:ascii="宋体" w:hAnsi="宋体" w:eastAsia="宋体" w:cs="宋体"/>
                <w:i w:val="0"/>
                <w:iCs w:val="0"/>
                <w:color w:val="000000"/>
                <w:sz w:val="18"/>
                <w:szCs w:val="18"/>
                <w:u w:val="none"/>
              </w:rPr>
            </w:pPr>
          </w:p>
        </w:tc>
        <w:tc>
          <w:tcPr>
            <w:tcW w:w="727" w:type="pct"/>
            <w:tcBorders>
              <w:top w:val="nil"/>
              <w:left w:val="nil"/>
              <w:bottom w:val="nil"/>
              <w:right w:val="nil"/>
            </w:tcBorders>
            <w:shd w:val="clear" w:color="auto" w:fill="auto"/>
            <w:vAlign w:val="center"/>
          </w:tcPr>
          <w:p w14:paraId="7ED28F43">
            <w:pPr>
              <w:rPr>
                <w:rFonts w:hint="eastAsia" w:ascii="宋体" w:hAnsi="宋体" w:eastAsia="宋体" w:cs="宋体"/>
                <w:i w:val="0"/>
                <w:iCs w:val="0"/>
                <w:color w:val="000000"/>
                <w:sz w:val="18"/>
                <w:szCs w:val="18"/>
                <w:u w:val="none"/>
              </w:rPr>
            </w:pPr>
          </w:p>
        </w:tc>
        <w:tc>
          <w:tcPr>
            <w:tcW w:w="629" w:type="pct"/>
            <w:tcBorders>
              <w:top w:val="nil"/>
              <w:left w:val="nil"/>
              <w:bottom w:val="nil"/>
              <w:right w:val="nil"/>
            </w:tcBorders>
            <w:shd w:val="clear" w:color="auto" w:fill="auto"/>
            <w:vAlign w:val="center"/>
          </w:tcPr>
          <w:p w14:paraId="71636901">
            <w:pPr>
              <w:rPr>
                <w:rFonts w:hint="eastAsia" w:ascii="宋体" w:hAnsi="宋体" w:eastAsia="宋体" w:cs="宋体"/>
                <w:i w:val="0"/>
                <w:iCs w:val="0"/>
                <w:color w:val="000000"/>
                <w:sz w:val="18"/>
                <w:szCs w:val="18"/>
                <w:u w:val="none"/>
              </w:rPr>
            </w:pPr>
          </w:p>
        </w:tc>
        <w:tc>
          <w:tcPr>
            <w:tcW w:w="802" w:type="pct"/>
            <w:tcBorders>
              <w:top w:val="nil"/>
              <w:left w:val="nil"/>
              <w:bottom w:val="nil"/>
              <w:right w:val="nil"/>
            </w:tcBorders>
            <w:shd w:val="clear" w:color="auto" w:fill="auto"/>
            <w:vAlign w:val="center"/>
          </w:tcPr>
          <w:p w14:paraId="70180043">
            <w:pPr>
              <w:rPr>
                <w:rFonts w:hint="eastAsia" w:ascii="宋体" w:hAnsi="宋体" w:eastAsia="宋体" w:cs="宋体"/>
                <w:i w:val="0"/>
                <w:iCs w:val="0"/>
                <w:color w:val="000000"/>
                <w:sz w:val="18"/>
                <w:szCs w:val="18"/>
                <w:u w:val="none"/>
              </w:rPr>
            </w:pPr>
          </w:p>
        </w:tc>
        <w:tc>
          <w:tcPr>
            <w:tcW w:w="184" w:type="pct"/>
            <w:tcBorders>
              <w:top w:val="nil"/>
              <w:left w:val="nil"/>
              <w:bottom w:val="nil"/>
              <w:right w:val="nil"/>
            </w:tcBorders>
            <w:shd w:val="clear" w:color="auto" w:fill="auto"/>
            <w:vAlign w:val="center"/>
          </w:tcPr>
          <w:p w14:paraId="00CB2538">
            <w:pPr>
              <w:rPr>
                <w:rFonts w:hint="eastAsia" w:ascii="宋体" w:hAnsi="宋体" w:eastAsia="宋体" w:cs="宋体"/>
                <w:i w:val="0"/>
                <w:iCs w:val="0"/>
                <w:color w:val="000000"/>
                <w:sz w:val="18"/>
                <w:szCs w:val="18"/>
                <w:u w:val="none"/>
              </w:rPr>
            </w:pPr>
          </w:p>
        </w:tc>
        <w:tc>
          <w:tcPr>
            <w:tcW w:w="594" w:type="pct"/>
            <w:tcBorders>
              <w:top w:val="nil"/>
              <w:left w:val="nil"/>
              <w:bottom w:val="nil"/>
              <w:right w:val="nil"/>
            </w:tcBorders>
            <w:shd w:val="clear" w:color="auto" w:fill="auto"/>
            <w:vAlign w:val="center"/>
          </w:tcPr>
          <w:p w14:paraId="409B5AA3">
            <w:pPr>
              <w:rPr>
                <w:rFonts w:hint="eastAsia" w:ascii="宋体" w:hAnsi="宋体" w:eastAsia="宋体" w:cs="宋体"/>
                <w:i w:val="0"/>
                <w:iCs w:val="0"/>
                <w:color w:val="000000"/>
                <w:sz w:val="18"/>
                <w:szCs w:val="18"/>
                <w:u w:val="none"/>
              </w:rPr>
            </w:pPr>
          </w:p>
        </w:tc>
        <w:tc>
          <w:tcPr>
            <w:tcW w:w="185" w:type="pct"/>
            <w:tcBorders>
              <w:top w:val="nil"/>
              <w:left w:val="nil"/>
              <w:bottom w:val="nil"/>
              <w:right w:val="nil"/>
            </w:tcBorders>
            <w:shd w:val="clear" w:color="auto" w:fill="auto"/>
            <w:vAlign w:val="center"/>
          </w:tcPr>
          <w:p w14:paraId="0B65622D">
            <w:pPr>
              <w:rPr>
                <w:rFonts w:hint="eastAsia" w:ascii="宋体" w:hAnsi="宋体" w:eastAsia="宋体" w:cs="宋体"/>
                <w:i w:val="0"/>
                <w:iCs w:val="0"/>
                <w:color w:val="000000"/>
                <w:sz w:val="18"/>
                <w:szCs w:val="18"/>
                <w:u w:val="none"/>
              </w:rPr>
            </w:pPr>
          </w:p>
        </w:tc>
        <w:tc>
          <w:tcPr>
            <w:tcW w:w="386" w:type="pct"/>
            <w:tcBorders>
              <w:top w:val="nil"/>
              <w:left w:val="nil"/>
              <w:bottom w:val="nil"/>
              <w:right w:val="nil"/>
            </w:tcBorders>
            <w:shd w:val="clear" w:color="auto" w:fill="auto"/>
            <w:vAlign w:val="center"/>
          </w:tcPr>
          <w:p w14:paraId="72B0E6C8">
            <w:pPr>
              <w:rPr>
                <w:rFonts w:hint="eastAsia" w:ascii="宋体" w:hAnsi="宋体" w:eastAsia="宋体" w:cs="宋体"/>
                <w:i w:val="0"/>
                <w:iCs w:val="0"/>
                <w:color w:val="000000"/>
                <w:sz w:val="18"/>
                <w:szCs w:val="18"/>
                <w:u w:val="none"/>
              </w:rPr>
            </w:pPr>
          </w:p>
        </w:tc>
        <w:tc>
          <w:tcPr>
            <w:tcW w:w="178" w:type="pct"/>
            <w:tcBorders>
              <w:top w:val="nil"/>
              <w:left w:val="nil"/>
              <w:bottom w:val="nil"/>
              <w:right w:val="nil"/>
            </w:tcBorders>
            <w:shd w:val="clear" w:color="auto" w:fill="auto"/>
            <w:vAlign w:val="center"/>
          </w:tcPr>
          <w:p w14:paraId="4699CA1B">
            <w:pPr>
              <w:rPr>
                <w:rFonts w:hint="eastAsia" w:ascii="宋体" w:hAnsi="宋体" w:eastAsia="宋体" w:cs="宋体"/>
                <w:i w:val="0"/>
                <w:iCs w:val="0"/>
                <w:color w:val="000000"/>
                <w:sz w:val="18"/>
                <w:szCs w:val="18"/>
                <w:u w:val="none"/>
              </w:rPr>
            </w:pPr>
          </w:p>
        </w:tc>
        <w:tc>
          <w:tcPr>
            <w:tcW w:w="161" w:type="pct"/>
            <w:tcBorders>
              <w:top w:val="nil"/>
              <w:left w:val="nil"/>
              <w:bottom w:val="nil"/>
              <w:right w:val="nil"/>
            </w:tcBorders>
            <w:shd w:val="clear" w:color="auto" w:fill="auto"/>
            <w:vAlign w:val="center"/>
          </w:tcPr>
          <w:p w14:paraId="714CDCD5">
            <w:pPr>
              <w:rPr>
                <w:rFonts w:hint="eastAsia" w:ascii="宋体" w:hAnsi="宋体" w:eastAsia="宋体" w:cs="宋体"/>
                <w:i w:val="0"/>
                <w:iCs w:val="0"/>
                <w:color w:val="000000"/>
                <w:sz w:val="18"/>
                <w:szCs w:val="18"/>
                <w:u w:val="none"/>
              </w:rPr>
            </w:pPr>
          </w:p>
        </w:tc>
        <w:tc>
          <w:tcPr>
            <w:tcW w:w="907" w:type="pct"/>
            <w:tcBorders>
              <w:top w:val="nil"/>
              <w:left w:val="nil"/>
              <w:bottom w:val="nil"/>
              <w:right w:val="nil"/>
            </w:tcBorders>
            <w:shd w:val="clear" w:color="auto" w:fill="auto"/>
            <w:vAlign w:val="center"/>
          </w:tcPr>
          <w:p w14:paraId="4946A531">
            <w:pPr>
              <w:rPr>
                <w:rFonts w:hint="eastAsia" w:ascii="宋体" w:hAnsi="宋体" w:eastAsia="宋体" w:cs="宋体"/>
                <w:i w:val="0"/>
                <w:iCs w:val="0"/>
                <w:color w:val="000000"/>
                <w:sz w:val="18"/>
                <w:szCs w:val="18"/>
                <w:u w:val="none"/>
              </w:rPr>
            </w:pPr>
          </w:p>
        </w:tc>
      </w:tr>
    </w:tbl>
    <w:p w14:paraId="30A93F66">
      <w:pPr>
        <w:pStyle w:val="2"/>
        <w:ind w:left="0" w:leftChars="0" w:firstLine="0" w:firstLineChars="0"/>
        <w:rPr>
          <w:i w:val="0"/>
          <w:iCs w:val="0"/>
        </w:rPr>
      </w:pPr>
    </w:p>
    <w:tbl>
      <w:tblPr>
        <w:tblStyle w:val="19"/>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96"/>
        <w:gridCol w:w="956"/>
        <w:gridCol w:w="789"/>
        <w:gridCol w:w="1084"/>
        <w:gridCol w:w="456"/>
        <w:gridCol w:w="729"/>
        <w:gridCol w:w="456"/>
        <w:gridCol w:w="1056"/>
        <w:gridCol w:w="576"/>
        <w:gridCol w:w="457"/>
        <w:gridCol w:w="1267"/>
      </w:tblGrid>
      <w:tr w14:paraId="2A62A9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7CC36A9">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部门预算项目支出绩效自评表（2025年度）</w:t>
            </w:r>
          </w:p>
        </w:tc>
      </w:tr>
      <w:tr w14:paraId="0FCFFA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6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5D0101">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项目名称</w:t>
            </w:r>
          </w:p>
        </w:tc>
        <w:tc>
          <w:tcPr>
            <w:tcW w:w="4030"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6641671">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51322325T000013807049-2025年工作经费</w:t>
            </w:r>
          </w:p>
        </w:tc>
      </w:tr>
      <w:tr w14:paraId="1E782F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96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E48D88">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主管部门</w:t>
            </w:r>
          </w:p>
        </w:tc>
        <w:tc>
          <w:tcPr>
            <w:tcW w:w="239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0CBE9F6">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中国共产党茂县委员会办公室</w:t>
            </w:r>
          </w:p>
        </w:tc>
        <w:tc>
          <w:tcPr>
            <w:tcW w:w="386" w:type="pct"/>
            <w:tcBorders>
              <w:top w:val="nil"/>
              <w:left w:val="nil"/>
              <w:bottom w:val="nil"/>
              <w:right w:val="nil"/>
            </w:tcBorders>
            <w:shd w:val="clear" w:color="auto" w:fill="auto"/>
            <w:vAlign w:val="center"/>
          </w:tcPr>
          <w:p w14:paraId="725C5FAC">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实施单位 （盖章）</w:t>
            </w:r>
          </w:p>
        </w:tc>
        <w:tc>
          <w:tcPr>
            <w:tcW w:w="12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9034DAE">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中共茂县县委办公室（行政）</w:t>
            </w:r>
          </w:p>
        </w:tc>
      </w:tr>
      <w:tr w14:paraId="44DDF6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3C5A08">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项目基本情况</w:t>
            </w:r>
          </w:p>
        </w:tc>
        <w:tc>
          <w:tcPr>
            <w:tcW w:w="72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B00272">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1.项目年度目标完成情况</w:t>
            </w:r>
          </w:p>
        </w:tc>
        <w:tc>
          <w:tcPr>
            <w:tcW w:w="239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8A2695E">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项目年度目标</w:t>
            </w:r>
          </w:p>
        </w:tc>
        <w:tc>
          <w:tcPr>
            <w:tcW w:w="163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9E69539">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年度目标完成情况</w:t>
            </w:r>
          </w:p>
        </w:tc>
      </w:tr>
      <w:tr w14:paraId="2D7227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7DFEAB">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c>
          <w:tcPr>
            <w:tcW w:w="7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18C934">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c>
          <w:tcPr>
            <w:tcW w:w="239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A6DD845">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为认真落实省州工作要求，保障县委办正常运行，特申请经费197万元。</w:t>
            </w:r>
          </w:p>
        </w:tc>
        <w:tc>
          <w:tcPr>
            <w:tcW w:w="163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7025C73">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对照年度目标，说明相关任务目标的完成情况（100字以内）</w:t>
            </w:r>
          </w:p>
        </w:tc>
      </w:tr>
      <w:tr w14:paraId="1EFD20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ADC078">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CFAE69">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2.项目实施内容及过程概述</w:t>
            </w:r>
          </w:p>
        </w:tc>
        <w:tc>
          <w:tcPr>
            <w:tcW w:w="4030"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BD61DDC">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r>
      <w:tr w14:paraId="1120EB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4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A1CB70">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预算执行情况（10分）</w:t>
            </w: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2C2BE2">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年度预算数（万元）</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D8FACB">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年初预算</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0755C9">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调整后预算数</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A41C50">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预算执行数</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ED0EF8">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预算执行率</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E08342">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C922B2">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得分</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F89890">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原因</w:t>
            </w:r>
          </w:p>
        </w:tc>
      </w:tr>
      <w:tr w14:paraId="4453DF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A564B9">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CF165C">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总额</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6F9331">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0.00</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BF6BBE">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244.79</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B63859">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244.79</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6FD328">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100.00%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5DBAD6">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94B338">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c>
          <w:tcPr>
            <w:tcW w:w="90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A6951E">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1.预算执行率=预算执行数/调整后预算数，预算执行率未达到90%的需说明原因（100字以内）;2.年中发生预算调整的（追加或调减）,应单独说明理由；3.其他资金包括：社会投入资金、银行贷款.</w:t>
            </w:r>
          </w:p>
        </w:tc>
      </w:tr>
      <w:tr w14:paraId="35E259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B4771C">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86BB35">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其中：财政资金</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FA805F">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0.00</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40D680">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244.79</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0D4C71">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244.79</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C2E294">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100.00%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F680FB">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70A43D">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8E4FD8">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r>
      <w:tr w14:paraId="48BCCB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6C1261">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78F2FF">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财政专户管理资金</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8B693A">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0.00</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CCF125">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0.00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D61975">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5E4FD0">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0.00%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7981E3">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142C3B">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3D98B5">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r>
      <w:tr w14:paraId="5DA978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D6D9AB">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7CE471">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单位资金</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57EFD5">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0.00</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BB297A">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0.00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0C716F">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B7B744">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0.00%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86F2BA">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119176">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5E657B">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r>
      <w:tr w14:paraId="5CB716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CEBACB">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2EAA37">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其他资金</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FA1FD5">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242B8A">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C836C2">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2EFF09">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67F842">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EA803E">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F894E6">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r>
      <w:tr w14:paraId="3D5651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4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0F7B43">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绩效指标（90分）</w:t>
            </w: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664558">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一级指标</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39FA5D">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二级指标</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8B4846">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三级指标</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44DEBA">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指标性质</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F9E003">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指标值</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26029D">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度量单位</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C441F8">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完成值</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A0062">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253031">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得分</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CFCAA0">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未完成原因分析</w:t>
            </w:r>
          </w:p>
        </w:tc>
      </w:tr>
      <w:tr w14:paraId="021D67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FA82FC">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c>
          <w:tcPr>
            <w:tcW w:w="72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A24EB9">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产出指标</w:t>
            </w:r>
          </w:p>
        </w:tc>
        <w:tc>
          <w:tcPr>
            <w:tcW w:w="62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382EBC">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数量指标</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E51B6">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开展重点督查工作</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E50365">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9EBB5B">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2</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BFF072">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次</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EA1986">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69FF89">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9464BC">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AC909C">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r>
      <w:tr w14:paraId="3CA089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24A3FF">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c>
          <w:tcPr>
            <w:tcW w:w="7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9DFB1A">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c>
          <w:tcPr>
            <w:tcW w:w="6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9D0538">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35CF8D">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完成常委会等会议工作</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A650D9">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DE16D0">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5</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93CF0E">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次</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B66B56">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34FAD2">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AF92B2">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32AD9A">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r>
      <w:tr w14:paraId="24AC41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C8C745">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c>
          <w:tcPr>
            <w:tcW w:w="7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016764">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c>
          <w:tcPr>
            <w:tcW w:w="62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EE35CA">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质量指标</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FECD2F">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按照省州工作要求，保质保量完成工作</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B17255">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8102E4">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100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DDFD76">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28B470">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2A14BB">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20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4FF535">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A9DC0A">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r>
      <w:tr w14:paraId="60654D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4CD129">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c>
          <w:tcPr>
            <w:tcW w:w="7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6235A3">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c>
          <w:tcPr>
            <w:tcW w:w="6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2086CC">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AB26E0">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文件起草错误率</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C1B6B7">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227815">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3</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2F3FB5">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30DC10">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27B018">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2213A8">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D27DB5">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r>
      <w:tr w14:paraId="274707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C5BA64">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c>
          <w:tcPr>
            <w:tcW w:w="7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3366CC">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9FA9A1">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时效指标</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26E056">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2025年完成资金支付</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0C58C">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D35A8C">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100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7F2A21">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132AE0">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2F6AB1">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8E97D7">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A6D4B7">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r>
      <w:tr w14:paraId="5059CC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69F47C">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c>
          <w:tcPr>
            <w:tcW w:w="72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B86A02">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效益指标</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05D1E0">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社会效益指标</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8AB64B">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综合协调，督促贯彻各项工作稳步落实</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40D7D8">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定性</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285D7C">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进一步提升服务保障</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363ED4">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9F5F26">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C4D32C">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15</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96E7B9">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E8C71D">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r>
      <w:tr w14:paraId="5A92E4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79FC84">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c>
          <w:tcPr>
            <w:tcW w:w="7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0A8FB3">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F2C994">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可持续影响指标</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29436C">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高质量完成各项工作，推动全县工作发展进度</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19D843">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定性</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5DFFDB">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持续推动</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AD4B6">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8F4E10">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4A0ADD">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15</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8B628E">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63A8C9">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r>
      <w:tr w14:paraId="0B36B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752"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6DA1BC6">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合计</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6BFE53">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100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FBA141">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FC2EE7">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r>
      <w:tr w14:paraId="5F78ED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2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717E91">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评价结论</w:t>
            </w:r>
          </w:p>
        </w:tc>
        <w:tc>
          <w:tcPr>
            <w:tcW w:w="4757"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31A4FD8">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结合自评情况，说明项目自评总分，说明项目实施取得的成效或成果。（200字以内）</w:t>
            </w:r>
          </w:p>
        </w:tc>
      </w:tr>
      <w:tr w14:paraId="22545A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2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DE3145">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存在问题</w:t>
            </w:r>
          </w:p>
        </w:tc>
        <w:tc>
          <w:tcPr>
            <w:tcW w:w="4757"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CCCE546">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结合自评情况，分析存在的问题及原因。（200字以内）</w:t>
            </w:r>
          </w:p>
        </w:tc>
      </w:tr>
      <w:tr w14:paraId="64B2F4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2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366CC8">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改进措施</w:t>
            </w:r>
          </w:p>
        </w:tc>
        <w:tc>
          <w:tcPr>
            <w:tcW w:w="4757"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32C93D8">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针对项目自评中发现的问题，提出下一步改进完善的意见及有关政策性建议。（200字以内）</w:t>
            </w:r>
          </w:p>
        </w:tc>
      </w:tr>
      <w:tr w14:paraId="4737DC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58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7CDD762">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项目负责人：</w:t>
            </w:r>
          </w:p>
        </w:tc>
        <w:tc>
          <w:tcPr>
            <w:tcW w:w="2414"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F40210D">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财务负责人：</w:t>
            </w:r>
          </w:p>
        </w:tc>
      </w:tr>
    </w:tbl>
    <w:p w14:paraId="05EAF987">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bl>
      <w:tblPr>
        <w:tblStyle w:val="19"/>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96"/>
        <w:gridCol w:w="956"/>
        <w:gridCol w:w="789"/>
        <w:gridCol w:w="1084"/>
        <w:gridCol w:w="456"/>
        <w:gridCol w:w="729"/>
        <w:gridCol w:w="456"/>
        <w:gridCol w:w="1056"/>
        <w:gridCol w:w="576"/>
        <w:gridCol w:w="457"/>
        <w:gridCol w:w="1267"/>
      </w:tblGrid>
      <w:tr w14:paraId="76004C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A878360">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部门预算项目支出绩效自评表（2025年度）</w:t>
            </w:r>
          </w:p>
        </w:tc>
      </w:tr>
      <w:tr w14:paraId="31883C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6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9C29A5">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项目名称</w:t>
            </w:r>
          </w:p>
        </w:tc>
        <w:tc>
          <w:tcPr>
            <w:tcW w:w="4030"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665AABE">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51322325T000013911275-25年设备维护（定）</w:t>
            </w:r>
          </w:p>
        </w:tc>
      </w:tr>
      <w:tr w14:paraId="36DE54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96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C86C01">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主管部门</w:t>
            </w:r>
          </w:p>
        </w:tc>
        <w:tc>
          <w:tcPr>
            <w:tcW w:w="2395" w:type="pct"/>
            <w:gridSpan w:val="5"/>
            <w:tcBorders>
              <w:top w:val="single" w:color="000000" w:sz="4" w:space="0"/>
              <w:left w:val="single" w:color="000000" w:sz="4" w:space="0"/>
              <w:bottom w:val="single" w:color="000000" w:sz="4" w:space="0"/>
              <w:right w:val="single" w:color="auto" w:sz="4" w:space="0"/>
            </w:tcBorders>
            <w:shd w:val="clear" w:color="auto" w:fill="auto"/>
            <w:vAlign w:val="center"/>
          </w:tcPr>
          <w:p w14:paraId="41A6AA20">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中国共产党茂县委员会办公室</w:t>
            </w:r>
          </w:p>
        </w:tc>
        <w:tc>
          <w:tcPr>
            <w:tcW w:w="386" w:type="pct"/>
            <w:tcBorders>
              <w:top w:val="single" w:color="auto" w:sz="4" w:space="0"/>
              <w:left w:val="single" w:color="auto" w:sz="4" w:space="0"/>
              <w:bottom w:val="single" w:color="auto" w:sz="4" w:space="0"/>
              <w:right w:val="single" w:color="auto" w:sz="4" w:space="0"/>
            </w:tcBorders>
            <w:shd w:val="clear" w:color="auto" w:fill="auto"/>
            <w:vAlign w:val="center"/>
          </w:tcPr>
          <w:p w14:paraId="1BA8CC9E">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实施单位 （盖章）</w:t>
            </w:r>
          </w:p>
        </w:tc>
        <w:tc>
          <w:tcPr>
            <w:tcW w:w="1247" w:type="pct"/>
            <w:gridSpan w:val="3"/>
            <w:tcBorders>
              <w:top w:val="single" w:color="000000" w:sz="4" w:space="0"/>
              <w:left w:val="single" w:color="auto" w:sz="4" w:space="0"/>
              <w:bottom w:val="single" w:color="000000" w:sz="4" w:space="0"/>
              <w:right w:val="single" w:color="000000" w:sz="4" w:space="0"/>
            </w:tcBorders>
            <w:shd w:val="clear" w:color="auto" w:fill="auto"/>
            <w:vAlign w:val="center"/>
          </w:tcPr>
          <w:p w14:paraId="19BDFABF">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中共茂县县委办公室（行政）</w:t>
            </w:r>
          </w:p>
        </w:tc>
      </w:tr>
      <w:tr w14:paraId="120BB8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EDC5A6">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项目基本情况</w:t>
            </w:r>
          </w:p>
        </w:tc>
        <w:tc>
          <w:tcPr>
            <w:tcW w:w="72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99F958">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1.项目年度目标完成情况</w:t>
            </w:r>
          </w:p>
        </w:tc>
        <w:tc>
          <w:tcPr>
            <w:tcW w:w="239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A1188DE">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项目年度目标</w:t>
            </w:r>
          </w:p>
        </w:tc>
        <w:tc>
          <w:tcPr>
            <w:tcW w:w="163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FF01A9B">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年度目标完成情况</w:t>
            </w:r>
          </w:p>
        </w:tc>
      </w:tr>
      <w:tr w14:paraId="4D4C96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69A461">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c>
          <w:tcPr>
            <w:tcW w:w="7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73E9C3">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c>
          <w:tcPr>
            <w:tcW w:w="239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460C99D">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1.保障全县电子政务内网安全稳定运行；2.保障电子政务内网机房温度稳定，减少设备故障，避免设备老化造成安全隐患；3.保持屏蔽机房性能确保上级党政机关政令畅通；4.消除非涉密计算机敏感信息确保国家秘密安全；5.提升涉密党政高清视频会议效能，保障党和国家秘密安全。</w:t>
            </w:r>
          </w:p>
        </w:tc>
        <w:tc>
          <w:tcPr>
            <w:tcW w:w="163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BF4500E">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对照年度目标，说明相关任务目标的完成情况（100字以内）</w:t>
            </w:r>
          </w:p>
        </w:tc>
      </w:tr>
      <w:tr w14:paraId="2AF26A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7A4B77">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B8A7AD">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2.项目实施内容及过程概述</w:t>
            </w:r>
          </w:p>
        </w:tc>
        <w:tc>
          <w:tcPr>
            <w:tcW w:w="4030"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6F6B4DB">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r>
      <w:tr w14:paraId="110B0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4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FE990B">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预算执行情况（10分）</w:t>
            </w: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C7CACA">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年度预算数（万元）</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4EB718">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年初预算</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D21105">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调整后预算数</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05F1A0">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预算执行数</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5E4AD3">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预算执行率</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545424">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3B2498">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得分</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294576">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原因</w:t>
            </w:r>
          </w:p>
        </w:tc>
      </w:tr>
      <w:tr w14:paraId="5F2968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D6185E">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7B3BFB">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总额</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59B950">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0.00</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E5CBF8">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39.75</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3B8EAEC">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39.75</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647BB3">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100.00%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98C9C6">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1898B8">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c>
          <w:tcPr>
            <w:tcW w:w="90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A07523">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1.预算执行率=预算执行数/调整后预算数，预算执行率未达到90%的需说明原因（100字以内）;2.年中发生预算调整的（追加或调减）,应单独说明理由；3.其他资金包括：社会投入资金、银行贷款.</w:t>
            </w:r>
          </w:p>
        </w:tc>
      </w:tr>
      <w:tr w14:paraId="3CAF88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1378E0">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2F3584">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其中：财政资金</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6D4079">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0.00</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5A110A">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39.75</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007791">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39.75</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742A24">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100.00%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D5ECCA">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E4CD80">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ADAEE4">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r>
      <w:tr w14:paraId="21D842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FB4827">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AF1279">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财政专户管理资金</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037A43">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0.00</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8166D">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0.00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AC2932">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ECFAE8">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0.00%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D5609D">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F9548C">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45373F">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r>
      <w:tr w14:paraId="4F41F8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DF26D9">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70A71F">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单位资金</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A04007">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0.00</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078DDF">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0.00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D89AD8">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DE9843">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0.00%</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C34CA">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229105">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EFE21E">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r>
      <w:tr w14:paraId="1D0137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CBFCD6">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209A9B">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其他资金</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A01DEF">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97EFCB">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3EF874">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288714">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FE5041">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DEF9D0">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w:t>
            </w:r>
          </w:p>
        </w:tc>
        <w:tc>
          <w:tcPr>
            <w:tcW w:w="9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155367">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r>
      <w:tr w14:paraId="70E381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4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0B1E92">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绩效指标（90分）</w:t>
            </w: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100204">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一级指标</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C0B2CA">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二级指标</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3D364D">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三级指标</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14600F">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指标性质</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867488">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指标值</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35637E">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度量单位</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659E23">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完成值</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04479D">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EF3E19">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得分</w:t>
            </w: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CCF92B">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未完成原因分析</w:t>
            </w:r>
          </w:p>
        </w:tc>
      </w:tr>
      <w:tr w14:paraId="34CBEF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51C2EA">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c>
          <w:tcPr>
            <w:tcW w:w="72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21BDCC">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产出指标</w:t>
            </w:r>
          </w:p>
        </w:tc>
        <w:tc>
          <w:tcPr>
            <w:tcW w:w="62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D855CF">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数量指标</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D16B9F">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购买清除工具</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053384">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8714A2">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2</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A59534">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套</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474CD1">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69BADE">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B581DC">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7ED4E">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r>
      <w:tr w14:paraId="4EFF30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A9A060">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c>
          <w:tcPr>
            <w:tcW w:w="7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62591D">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c>
          <w:tcPr>
            <w:tcW w:w="6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7CB58D">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D86613">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机房维护次数</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F8F188">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F3EA3C">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4</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A28E0D">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次</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2D6490">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475AA4">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536E3F">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AAC035">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r>
      <w:tr w14:paraId="002E80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60D065">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c>
          <w:tcPr>
            <w:tcW w:w="7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328350">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c>
          <w:tcPr>
            <w:tcW w:w="6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1A44A0">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10DC99">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通过内网收发密件数</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3A1817">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508BDB">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1000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42CBF9">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件</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E88B60">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47E3FA">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20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DBDC10">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225FF2">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r>
      <w:tr w14:paraId="2C8DB2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B8E97C">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c>
          <w:tcPr>
            <w:tcW w:w="7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5A7E04">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0CA3A1">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质量指标</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8781F4">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资金使用合规率</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58A062">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3B1A48">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100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96E8A4">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BE0E32">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487ABE">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588D9E">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49A930">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r>
      <w:tr w14:paraId="061DA0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9261CA">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c>
          <w:tcPr>
            <w:tcW w:w="7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E76528">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2D97F4">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时效指标</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2A6CD1">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资金支付时限</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369CC8">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67FD1C">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2025</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5941FA">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年</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31B2C1">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F136D4">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4A147D">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45DCA2">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r>
      <w:tr w14:paraId="0E618D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40DD42">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c>
          <w:tcPr>
            <w:tcW w:w="72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D2E1F6">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效益指标</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5AF47E">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社会效益指标</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E7510E">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泄密次数</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C3FD40">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E3DC48">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0</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9B9273">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次</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363382">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2BD10D">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47ACA5">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756259">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r>
      <w:tr w14:paraId="2E080B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C2872F">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c>
          <w:tcPr>
            <w:tcW w:w="7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9B29BE">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C28155">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可持续发展指标</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128A56">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保持内网BM环境安全可靠持续发展</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9E0D24">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定性</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60D00A">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持续保持</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FD7BCD">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21D707">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7A0D14">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5ABFC1">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9E6AD7">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r>
      <w:tr w14:paraId="635A6E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A10EA3">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BCE2FE">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满意度指标</w:t>
            </w:r>
          </w:p>
        </w:tc>
        <w:tc>
          <w:tcPr>
            <w:tcW w:w="6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01A4CB">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满意度指标</w:t>
            </w:r>
          </w:p>
        </w:tc>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685CA4">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通过维护，减少线路故障，提升使用满意度</w:t>
            </w: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F02BD1">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703ED3">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85</w:t>
            </w:r>
          </w:p>
        </w:tc>
        <w:tc>
          <w:tcPr>
            <w:tcW w:w="1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B87410">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8607C4">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A3C3E8">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1FBD90">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9364BB">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r>
      <w:tr w14:paraId="4788B2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752"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90D016E">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合计</w:t>
            </w:r>
          </w:p>
        </w:tc>
        <w:tc>
          <w:tcPr>
            <w:tcW w:w="1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149009">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100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E064CF">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c>
          <w:tcPr>
            <w:tcW w:w="9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D31686">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p>
        </w:tc>
      </w:tr>
      <w:tr w14:paraId="2A93A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2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BCB482">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评价结论</w:t>
            </w:r>
          </w:p>
        </w:tc>
        <w:tc>
          <w:tcPr>
            <w:tcW w:w="4757"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810D853">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结合自评情况，说明项目自评总分，说明项目实施取得的成效或成果。（200字以内）</w:t>
            </w:r>
          </w:p>
        </w:tc>
      </w:tr>
      <w:tr w14:paraId="06D881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2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C26F62">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存在问题</w:t>
            </w:r>
          </w:p>
        </w:tc>
        <w:tc>
          <w:tcPr>
            <w:tcW w:w="4757"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9598168">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结合自评情况，分析存在的问题及原因。（200字以内）</w:t>
            </w:r>
          </w:p>
        </w:tc>
      </w:tr>
      <w:tr w14:paraId="4B903C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2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2A60A1">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改进措施</w:t>
            </w:r>
          </w:p>
        </w:tc>
        <w:tc>
          <w:tcPr>
            <w:tcW w:w="4757"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8B4BF1D">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针对项目自评中发现的问题，提出下一步改进完善的意见及有关政策性建议。（200字以内）</w:t>
            </w:r>
          </w:p>
        </w:tc>
      </w:tr>
      <w:tr w14:paraId="34AC7A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58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35C2DCF">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项目负责人：</w:t>
            </w:r>
          </w:p>
        </w:tc>
        <w:tc>
          <w:tcPr>
            <w:tcW w:w="2414"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C2A0B84">
            <w:pPr>
              <w:widowControl/>
              <w:spacing w:line="240" w:lineRule="exact"/>
              <w:jc w:val="center"/>
              <w:textAlignment w:val="center"/>
              <w:rPr>
                <w:rFonts w:hint="eastAsia" w:ascii="仿宋_GB2312" w:hAnsi="仿宋_GB2312" w:eastAsia="仿宋_GB2312" w:cs="仿宋_GB2312"/>
                <w:i w:val="0"/>
                <w:iCs w:val="0"/>
                <w:color w:val="000000"/>
                <w:kern w:val="0"/>
                <w:sz w:val="24"/>
                <w:szCs w:val="24"/>
                <w:lang w:val="en-US" w:eastAsia="zh-CN"/>
              </w:rPr>
            </w:pPr>
            <w:r>
              <w:rPr>
                <w:rFonts w:hint="eastAsia" w:ascii="仿宋_GB2312" w:hAnsi="仿宋_GB2312" w:eastAsia="仿宋_GB2312" w:cs="仿宋_GB2312"/>
                <w:i w:val="0"/>
                <w:iCs w:val="0"/>
                <w:color w:val="000000"/>
                <w:kern w:val="0"/>
                <w:sz w:val="24"/>
                <w:szCs w:val="24"/>
                <w:lang w:val="en-US" w:eastAsia="zh-CN"/>
              </w:rPr>
              <w:t>财务负责人：</w:t>
            </w:r>
          </w:p>
        </w:tc>
      </w:tr>
    </w:tbl>
    <w:p w14:paraId="3FAED4FE">
      <w:pPr>
        <w:pStyle w:val="15"/>
        <w:spacing w:after="0" w:line="578" w:lineRule="exact"/>
        <w:ind w:left="0" w:leftChars="0" w:firstLine="0" w:firstLineChars="0"/>
        <w:rPr>
          <w:rFonts w:ascii="黑体" w:eastAsia="黑体" w:cs="黑体"/>
          <w:sz w:val="24"/>
          <w:szCs w:val="24"/>
          <w:highlight w:val="yellow"/>
        </w:rPr>
      </w:pPr>
    </w:p>
    <w:p w14:paraId="7A1EC686">
      <w:pPr>
        <w:pStyle w:val="15"/>
        <w:ind w:left="0" w:leftChars="0" w:firstLine="0" w:firstLineChars="0"/>
        <w:rPr>
          <w:rFonts w:ascii="Times New Roman" w:hAnsi="Times New Roman" w:eastAsia="黑体"/>
          <w:sz w:val="24"/>
          <w:szCs w:val="24"/>
        </w:rPr>
      </w:pPr>
    </w:p>
    <w:p w14:paraId="37C8C32C">
      <w:pPr>
        <w:pStyle w:val="15"/>
        <w:ind w:left="0" w:leftChars="0" w:firstLine="0" w:firstLineChars="0"/>
        <w:rPr>
          <w:rFonts w:ascii="Times New Roman" w:hAnsi="Times New Roman" w:eastAsia="黑体"/>
          <w:sz w:val="24"/>
          <w:szCs w:val="24"/>
        </w:rPr>
      </w:pPr>
    </w:p>
    <w:p w14:paraId="3345F841">
      <w:pPr>
        <w:pStyle w:val="15"/>
        <w:ind w:left="0" w:leftChars="0" w:firstLine="0" w:firstLineChars="0"/>
        <w:rPr>
          <w:rFonts w:ascii="Times New Roman" w:hAnsi="Times New Roman" w:eastAsia="黑体"/>
          <w:sz w:val="24"/>
          <w:szCs w:val="24"/>
        </w:rPr>
      </w:pPr>
    </w:p>
    <w:p w14:paraId="503E0FB4">
      <w:pPr>
        <w:pStyle w:val="15"/>
        <w:ind w:left="0" w:leftChars="0" w:firstLine="0" w:firstLineChars="0"/>
        <w:rPr>
          <w:rFonts w:ascii="Times New Roman" w:hAnsi="Times New Roman" w:eastAsia="黑体"/>
          <w:sz w:val="24"/>
          <w:szCs w:val="24"/>
        </w:rPr>
      </w:pPr>
    </w:p>
    <w:p w14:paraId="015FFA2B">
      <w:pPr>
        <w:pStyle w:val="3"/>
        <w:keepNext/>
        <w:keepLines/>
        <w:pageBreakBefore w:val="0"/>
        <w:widowControl w:val="0"/>
        <w:kinsoku/>
        <w:wordWrap/>
        <w:overflowPunct/>
        <w:topLinePunct w:val="0"/>
        <w:autoSpaceDE/>
        <w:autoSpaceDN/>
        <w:bidi w:val="0"/>
        <w:adjustRightInd/>
        <w:snapToGrid/>
        <w:spacing w:after="157" w:afterLines="50" w:line="579" w:lineRule="auto"/>
        <w:jc w:val="center"/>
        <w:textAlignment w:val="auto"/>
        <w:rPr>
          <w:rStyle w:val="24"/>
          <w:rFonts w:hint="eastAsia" w:ascii="方正公文小标宋" w:hAnsi="方正公文小标宋" w:eastAsia="方正公文小标宋" w:cs="方正公文小标宋"/>
          <w:b/>
          <w:bCs/>
          <w:lang w:val="en-US" w:eastAsia="zh-CN"/>
        </w:rPr>
      </w:pPr>
      <w:bookmarkStart w:id="101" w:name="_Toc11251"/>
      <w:r>
        <w:rPr>
          <w:rStyle w:val="24"/>
          <w:rFonts w:hint="eastAsia" w:ascii="方正公文小标宋" w:hAnsi="方正公文小标宋" w:eastAsia="方正公文小标宋" w:cs="方正公文小标宋"/>
          <w:b/>
          <w:bCs/>
          <w:lang w:val="en-US" w:eastAsia="zh-CN"/>
        </w:rPr>
        <w:t>第五部分 附表</w:t>
      </w:r>
      <w:bookmarkEnd w:id="100"/>
      <w:bookmarkEnd w:id="101"/>
    </w:p>
    <w:p w14:paraId="2AFB6F9C">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_GB2312" w:hAnsi="仿宋_GB2312" w:eastAsia="仿宋_GB2312" w:cs="仿宋_GB2312"/>
          <w:b w:val="0"/>
          <w:color w:val="000000"/>
          <w:kern w:val="2"/>
          <w:sz w:val="32"/>
          <w:szCs w:val="32"/>
          <w:lang w:bidi="ar-SA"/>
        </w:rPr>
      </w:pPr>
      <w:bookmarkStart w:id="102" w:name="_Toc26370"/>
      <w:bookmarkStart w:id="103" w:name="_Toc12986"/>
      <w:bookmarkStart w:id="104" w:name="_Toc13084"/>
      <w:r>
        <w:rPr>
          <w:rFonts w:hint="eastAsia" w:ascii="仿宋_GB2312" w:hAnsi="仿宋_GB2312" w:eastAsia="仿宋_GB2312" w:cs="仿宋_GB2312"/>
          <w:b w:val="0"/>
          <w:color w:val="000000"/>
          <w:kern w:val="2"/>
          <w:sz w:val="32"/>
          <w:szCs w:val="32"/>
          <w:lang w:bidi="ar-SA"/>
        </w:rPr>
        <w:t>一、收入支出决算总表</w:t>
      </w:r>
      <w:bookmarkEnd w:id="102"/>
      <w:bookmarkEnd w:id="103"/>
      <w:bookmarkEnd w:id="104"/>
    </w:p>
    <w:p w14:paraId="5CE8A4CD">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_GB2312" w:hAnsi="仿宋_GB2312" w:eastAsia="仿宋_GB2312" w:cs="仿宋_GB2312"/>
          <w:b w:val="0"/>
          <w:color w:val="000000"/>
          <w:kern w:val="2"/>
          <w:sz w:val="32"/>
          <w:szCs w:val="32"/>
          <w:lang w:bidi="ar-SA"/>
        </w:rPr>
      </w:pPr>
      <w:bookmarkStart w:id="105" w:name="_Toc2417"/>
      <w:bookmarkStart w:id="106" w:name="_Toc13591"/>
      <w:bookmarkStart w:id="107" w:name="_Toc13062"/>
      <w:r>
        <w:rPr>
          <w:rFonts w:hint="eastAsia" w:ascii="仿宋_GB2312" w:hAnsi="仿宋_GB2312" w:eastAsia="仿宋_GB2312" w:cs="仿宋_GB2312"/>
          <w:b w:val="0"/>
          <w:color w:val="000000"/>
          <w:kern w:val="2"/>
          <w:sz w:val="32"/>
          <w:szCs w:val="32"/>
          <w:lang w:bidi="ar-SA"/>
        </w:rPr>
        <w:t>二、收入决算表</w:t>
      </w:r>
      <w:bookmarkEnd w:id="105"/>
      <w:bookmarkEnd w:id="106"/>
      <w:bookmarkEnd w:id="107"/>
    </w:p>
    <w:p w14:paraId="6AB3839E">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_GB2312" w:hAnsi="仿宋_GB2312" w:eastAsia="仿宋_GB2312" w:cs="仿宋_GB2312"/>
          <w:b w:val="0"/>
          <w:color w:val="000000"/>
          <w:kern w:val="2"/>
          <w:sz w:val="32"/>
          <w:szCs w:val="32"/>
          <w:lang w:bidi="ar-SA"/>
        </w:rPr>
      </w:pPr>
      <w:bookmarkStart w:id="108" w:name="_Toc25347"/>
      <w:bookmarkStart w:id="109" w:name="_Toc16600"/>
      <w:bookmarkStart w:id="110" w:name="_Toc29688"/>
      <w:r>
        <w:rPr>
          <w:rFonts w:hint="eastAsia" w:ascii="仿宋_GB2312" w:hAnsi="仿宋_GB2312" w:eastAsia="仿宋_GB2312" w:cs="仿宋_GB2312"/>
          <w:b w:val="0"/>
          <w:color w:val="000000"/>
          <w:kern w:val="2"/>
          <w:sz w:val="32"/>
          <w:szCs w:val="32"/>
          <w:lang w:bidi="ar-SA"/>
        </w:rPr>
        <w:t>三、支出决算表</w:t>
      </w:r>
      <w:bookmarkEnd w:id="108"/>
      <w:bookmarkEnd w:id="109"/>
      <w:bookmarkEnd w:id="110"/>
    </w:p>
    <w:p w14:paraId="69FE99F2">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_GB2312" w:hAnsi="仿宋_GB2312" w:eastAsia="仿宋_GB2312" w:cs="仿宋_GB2312"/>
          <w:b w:val="0"/>
          <w:color w:val="000000"/>
          <w:kern w:val="2"/>
          <w:sz w:val="32"/>
          <w:szCs w:val="32"/>
          <w:lang w:bidi="ar-SA"/>
        </w:rPr>
      </w:pPr>
      <w:bookmarkStart w:id="111" w:name="_Toc26630"/>
      <w:bookmarkStart w:id="112" w:name="_Toc5964"/>
      <w:bookmarkStart w:id="113" w:name="_Toc19185"/>
      <w:r>
        <w:rPr>
          <w:rFonts w:hint="eastAsia" w:ascii="仿宋_GB2312" w:hAnsi="仿宋_GB2312" w:eastAsia="仿宋_GB2312" w:cs="仿宋_GB2312"/>
          <w:b w:val="0"/>
          <w:color w:val="000000"/>
          <w:kern w:val="2"/>
          <w:sz w:val="32"/>
          <w:szCs w:val="32"/>
          <w:lang w:bidi="ar-SA"/>
        </w:rPr>
        <w:t>四、财政拨款收入支出决算总表</w:t>
      </w:r>
      <w:bookmarkEnd w:id="111"/>
      <w:bookmarkEnd w:id="112"/>
      <w:bookmarkEnd w:id="113"/>
    </w:p>
    <w:p w14:paraId="6AC05D49">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_GB2312" w:hAnsi="仿宋_GB2312" w:eastAsia="仿宋_GB2312" w:cs="仿宋_GB2312"/>
          <w:b w:val="0"/>
          <w:color w:val="000000"/>
          <w:kern w:val="2"/>
          <w:sz w:val="32"/>
          <w:szCs w:val="32"/>
          <w:lang w:bidi="ar-SA"/>
        </w:rPr>
      </w:pPr>
      <w:bookmarkStart w:id="114" w:name="_Toc19934"/>
      <w:bookmarkStart w:id="115" w:name="_Toc14273"/>
      <w:bookmarkStart w:id="116" w:name="_Toc28964"/>
      <w:r>
        <w:rPr>
          <w:rFonts w:hint="eastAsia" w:ascii="仿宋_GB2312" w:hAnsi="仿宋_GB2312" w:eastAsia="仿宋_GB2312" w:cs="仿宋_GB2312"/>
          <w:b w:val="0"/>
          <w:color w:val="000000"/>
          <w:kern w:val="2"/>
          <w:sz w:val="32"/>
          <w:szCs w:val="32"/>
          <w:lang w:bidi="ar-SA"/>
        </w:rPr>
        <w:t>五、财政拨款支出决算明细表</w:t>
      </w:r>
      <w:bookmarkEnd w:id="114"/>
      <w:bookmarkEnd w:id="115"/>
      <w:bookmarkEnd w:id="116"/>
    </w:p>
    <w:p w14:paraId="05B4118C">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_GB2312" w:hAnsi="仿宋_GB2312" w:eastAsia="仿宋_GB2312" w:cs="仿宋_GB2312"/>
          <w:b w:val="0"/>
          <w:color w:val="000000"/>
          <w:kern w:val="2"/>
          <w:sz w:val="32"/>
          <w:szCs w:val="32"/>
          <w:lang w:bidi="ar-SA"/>
        </w:rPr>
      </w:pPr>
      <w:bookmarkStart w:id="117" w:name="_Toc4935"/>
      <w:bookmarkStart w:id="118" w:name="_Toc16449"/>
      <w:bookmarkStart w:id="119" w:name="_Toc6686"/>
      <w:r>
        <w:rPr>
          <w:rFonts w:hint="eastAsia" w:ascii="仿宋_GB2312" w:hAnsi="仿宋_GB2312" w:eastAsia="仿宋_GB2312" w:cs="仿宋_GB2312"/>
          <w:b w:val="0"/>
          <w:color w:val="000000"/>
          <w:kern w:val="2"/>
          <w:sz w:val="32"/>
          <w:szCs w:val="32"/>
          <w:lang w:bidi="ar-SA"/>
        </w:rPr>
        <w:t>六、一般公共预算财政拨款支出决算表</w:t>
      </w:r>
      <w:bookmarkEnd w:id="117"/>
      <w:bookmarkEnd w:id="118"/>
      <w:bookmarkEnd w:id="119"/>
    </w:p>
    <w:p w14:paraId="3821503C">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_GB2312" w:hAnsi="仿宋_GB2312" w:eastAsia="仿宋_GB2312" w:cs="仿宋_GB2312"/>
          <w:b w:val="0"/>
          <w:color w:val="000000"/>
          <w:kern w:val="2"/>
          <w:sz w:val="32"/>
          <w:szCs w:val="32"/>
          <w:lang w:bidi="ar-SA"/>
        </w:rPr>
      </w:pPr>
      <w:bookmarkStart w:id="120" w:name="_Toc19514"/>
      <w:bookmarkStart w:id="121" w:name="_Toc8858"/>
      <w:bookmarkStart w:id="122" w:name="_Toc3478"/>
      <w:r>
        <w:rPr>
          <w:rFonts w:hint="eastAsia" w:ascii="仿宋_GB2312" w:hAnsi="仿宋_GB2312" w:eastAsia="仿宋_GB2312" w:cs="仿宋_GB2312"/>
          <w:b w:val="0"/>
          <w:color w:val="000000"/>
          <w:kern w:val="2"/>
          <w:sz w:val="32"/>
          <w:szCs w:val="32"/>
          <w:lang w:bidi="ar-SA"/>
        </w:rPr>
        <w:t>七、一般公共预算财政拨款支出决算明细表</w:t>
      </w:r>
      <w:bookmarkEnd w:id="120"/>
      <w:bookmarkEnd w:id="121"/>
      <w:bookmarkEnd w:id="122"/>
    </w:p>
    <w:p w14:paraId="62195CE7">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_GB2312" w:hAnsi="仿宋_GB2312" w:eastAsia="仿宋_GB2312" w:cs="仿宋_GB2312"/>
          <w:b w:val="0"/>
          <w:color w:val="000000"/>
          <w:kern w:val="2"/>
          <w:sz w:val="32"/>
          <w:szCs w:val="32"/>
          <w:lang w:bidi="ar-SA"/>
        </w:rPr>
      </w:pPr>
      <w:bookmarkStart w:id="123" w:name="_Toc14239"/>
      <w:bookmarkStart w:id="124" w:name="_Toc191"/>
      <w:bookmarkStart w:id="125" w:name="_Toc17352"/>
      <w:r>
        <w:rPr>
          <w:rFonts w:hint="eastAsia" w:ascii="仿宋_GB2312" w:hAnsi="仿宋_GB2312" w:eastAsia="仿宋_GB2312" w:cs="仿宋_GB2312"/>
          <w:b w:val="0"/>
          <w:color w:val="000000"/>
          <w:kern w:val="2"/>
          <w:sz w:val="32"/>
          <w:szCs w:val="32"/>
          <w:lang w:bidi="ar-SA"/>
        </w:rPr>
        <w:t>八、一般公共预算财政拨款基本支出决算表</w:t>
      </w:r>
      <w:bookmarkEnd w:id="123"/>
      <w:bookmarkEnd w:id="124"/>
      <w:bookmarkEnd w:id="125"/>
    </w:p>
    <w:p w14:paraId="62C2F863">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_GB2312" w:hAnsi="仿宋_GB2312" w:eastAsia="仿宋_GB2312" w:cs="仿宋_GB2312"/>
          <w:b w:val="0"/>
          <w:color w:val="000000"/>
          <w:kern w:val="2"/>
          <w:sz w:val="32"/>
          <w:szCs w:val="32"/>
          <w:lang w:bidi="ar-SA"/>
        </w:rPr>
      </w:pPr>
      <w:bookmarkStart w:id="126" w:name="_Toc774"/>
      <w:bookmarkStart w:id="127" w:name="_Toc5204"/>
      <w:bookmarkStart w:id="128" w:name="_Toc3726"/>
      <w:r>
        <w:rPr>
          <w:rFonts w:hint="eastAsia" w:ascii="仿宋_GB2312" w:hAnsi="仿宋_GB2312" w:eastAsia="仿宋_GB2312" w:cs="仿宋_GB2312"/>
          <w:b w:val="0"/>
          <w:color w:val="000000"/>
          <w:kern w:val="2"/>
          <w:sz w:val="32"/>
          <w:szCs w:val="32"/>
          <w:lang w:bidi="ar-SA"/>
        </w:rPr>
        <w:t>九、一般公共预算财政拨款项目支出决算表</w:t>
      </w:r>
      <w:bookmarkEnd w:id="126"/>
      <w:bookmarkEnd w:id="127"/>
      <w:bookmarkEnd w:id="128"/>
    </w:p>
    <w:p w14:paraId="65A28C2C">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_GB2312" w:hAnsi="仿宋_GB2312" w:eastAsia="仿宋_GB2312" w:cs="仿宋_GB2312"/>
          <w:b w:val="0"/>
          <w:color w:val="000000"/>
          <w:kern w:val="2"/>
          <w:sz w:val="32"/>
          <w:szCs w:val="32"/>
          <w:lang w:bidi="ar-SA"/>
        </w:rPr>
      </w:pPr>
      <w:bookmarkStart w:id="129" w:name="_Toc20756"/>
      <w:bookmarkStart w:id="130" w:name="_Toc20056"/>
      <w:bookmarkStart w:id="131" w:name="_Toc18208"/>
      <w:r>
        <w:rPr>
          <w:rFonts w:hint="eastAsia" w:ascii="仿宋_GB2312" w:hAnsi="仿宋_GB2312" w:eastAsia="仿宋_GB2312" w:cs="仿宋_GB2312"/>
          <w:b w:val="0"/>
          <w:color w:val="000000"/>
          <w:kern w:val="2"/>
          <w:sz w:val="32"/>
          <w:szCs w:val="32"/>
          <w:lang w:bidi="ar-SA"/>
        </w:rPr>
        <w:t>十、政府性基金预算财政拨款收入支出决算表</w:t>
      </w:r>
      <w:bookmarkEnd w:id="129"/>
      <w:bookmarkEnd w:id="130"/>
      <w:bookmarkEnd w:id="131"/>
    </w:p>
    <w:p w14:paraId="1FF6281C">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_GB2312" w:hAnsi="仿宋_GB2312" w:eastAsia="仿宋_GB2312" w:cs="仿宋_GB2312"/>
          <w:b w:val="0"/>
          <w:color w:val="000000"/>
          <w:kern w:val="2"/>
          <w:sz w:val="32"/>
          <w:szCs w:val="32"/>
          <w:lang w:bidi="ar-SA"/>
        </w:rPr>
      </w:pPr>
      <w:bookmarkStart w:id="132" w:name="_Toc21387"/>
      <w:bookmarkStart w:id="133" w:name="_Toc30420"/>
      <w:bookmarkStart w:id="134" w:name="_Toc13849"/>
      <w:r>
        <w:rPr>
          <w:rFonts w:hint="eastAsia" w:ascii="仿宋_GB2312" w:hAnsi="仿宋_GB2312" w:eastAsia="仿宋_GB2312" w:cs="仿宋_GB2312"/>
          <w:b w:val="0"/>
          <w:color w:val="000000"/>
          <w:kern w:val="2"/>
          <w:sz w:val="32"/>
          <w:szCs w:val="32"/>
          <w:lang w:bidi="ar-SA"/>
        </w:rPr>
        <w:t>十一、国有资本经营预算财政拨款收入支出决算表</w:t>
      </w:r>
      <w:bookmarkEnd w:id="132"/>
      <w:bookmarkEnd w:id="133"/>
      <w:bookmarkEnd w:id="134"/>
    </w:p>
    <w:p w14:paraId="78B8AA1E">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_GB2312" w:hAnsi="仿宋_GB2312" w:eastAsia="仿宋_GB2312" w:cs="仿宋_GB2312"/>
          <w:b w:val="0"/>
          <w:color w:val="000000"/>
          <w:kern w:val="2"/>
          <w:sz w:val="32"/>
          <w:szCs w:val="32"/>
          <w:lang w:bidi="ar-SA"/>
        </w:rPr>
      </w:pPr>
      <w:bookmarkStart w:id="135" w:name="_Toc13099"/>
      <w:bookmarkStart w:id="136" w:name="_Toc1140"/>
      <w:bookmarkStart w:id="137" w:name="_Toc26334"/>
      <w:r>
        <w:rPr>
          <w:rFonts w:hint="eastAsia" w:ascii="仿宋_GB2312" w:hAnsi="仿宋_GB2312" w:eastAsia="仿宋_GB2312" w:cs="仿宋_GB2312"/>
          <w:b w:val="0"/>
          <w:color w:val="000000"/>
          <w:kern w:val="2"/>
          <w:sz w:val="32"/>
          <w:szCs w:val="32"/>
          <w:lang w:bidi="ar-SA"/>
        </w:rPr>
        <w:t>十二、国有资本经营预算财政拨款支出决算表</w:t>
      </w:r>
      <w:bookmarkEnd w:id="135"/>
      <w:bookmarkEnd w:id="136"/>
      <w:bookmarkEnd w:id="137"/>
    </w:p>
    <w:p w14:paraId="5C7C9976">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_GB2312" w:hAnsi="仿宋_GB2312" w:eastAsia="仿宋_GB2312" w:cs="仿宋_GB2312"/>
          <w:b w:val="0"/>
          <w:color w:val="000000"/>
          <w:kern w:val="2"/>
          <w:sz w:val="32"/>
          <w:szCs w:val="32"/>
          <w:lang w:bidi="ar-SA"/>
        </w:rPr>
      </w:pPr>
      <w:bookmarkStart w:id="138" w:name="_Toc24957"/>
      <w:bookmarkStart w:id="139" w:name="_Toc32701"/>
      <w:bookmarkStart w:id="140" w:name="_Toc25065"/>
      <w:r>
        <w:rPr>
          <w:rFonts w:hint="eastAsia" w:ascii="仿宋_GB2312" w:hAnsi="仿宋_GB2312" w:eastAsia="仿宋_GB2312" w:cs="仿宋_GB2312"/>
          <w:b w:val="0"/>
          <w:color w:val="000000"/>
          <w:kern w:val="2"/>
          <w:sz w:val="32"/>
          <w:szCs w:val="32"/>
          <w:lang w:bidi="ar-SA"/>
        </w:rPr>
        <w:t>十三、财政拨款“三公”经费支出决算表</w:t>
      </w:r>
      <w:bookmarkEnd w:id="138"/>
      <w:bookmarkEnd w:id="139"/>
      <w:bookmarkEnd w:id="140"/>
    </w:p>
    <w:p w14:paraId="5A17B1E0"/>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仿宋_GB2312"/>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方正公文小标宋">
    <w:altName w:val="方正小标宋简体"/>
    <w:panose1 w:val="02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Lucida Sans">
    <w:panose1 w:val="020B0602030504020204"/>
    <w:charset w:val="01"/>
    <w:family w:val="auto"/>
    <w:pitch w:val="default"/>
    <w:sig w:usb0="00000003" w:usb1="00000000" w:usb2="00000000" w:usb3="00000000" w:csb0="2000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14:paraId="6D8ED435">
        <w:pPr>
          <w:pStyle w:val="11"/>
          <w:jc w:val="center"/>
        </w:pPr>
        <w:r>
          <w:fldChar w:fldCharType="begin"/>
        </w:r>
        <w:r>
          <w:instrText xml:space="preserve">PAGE   \* MERGEFORMAT</w:instrText>
        </w:r>
        <w:r>
          <w:fldChar w:fldCharType="separate"/>
        </w:r>
        <w:r>
          <w:rPr>
            <w:lang w:val="zh-CN"/>
          </w:rPr>
          <w:t>4</w:t>
        </w:r>
        <w:r>
          <w:fldChar w:fldCharType="end"/>
        </w:r>
      </w:p>
    </w:sdtContent>
  </w:sdt>
  <w:p w14:paraId="7547B9F4">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6E8473">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D533E5"/>
    <w:multiLevelType w:val="singleLevel"/>
    <w:tmpl w:val="E9D533E5"/>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useFELayout/>
    <w:doNotUseIndentAsNumberingTabStop/>
    <w:compatSetting w:name="compatibilityMode" w:uri="http://schemas.microsoft.com/office/word" w:val="12"/>
  </w:compat>
  <w:docVars>
    <w:docVar w:name="commondata" w:val="eyJoZGlkIjoiMzlkY2FlNmExNzFhNGJlNGE5OGJlODk5MTVmZWVhZjcifQ=="/>
  </w:docVars>
  <w:rsids>
    <w:rsidRoot w:val="00000000"/>
    <w:rsid w:val="010158F6"/>
    <w:rsid w:val="0ADB2CF4"/>
    <w:rsid w:val="0B470389"/>
    <w:rsid w:val="0BDB744F"/>
    <w:rsid w:val="0ED03E95"/>
    <w:rsid w:val="108A31F2"/>
    <w:rsid w:val="18113FCB"/>
    <w:rsid w:val="1A04602E"/>
    <w:rsid w:val="1AC45552"/>
    <w:rsid w:val="1BBC447B"/>
    <w:rsid w:val="1D757B3E"/>
    <w:rsid w:val="222A2431"/>
    <w:rsid w:val="24A723BA"/>
    <w:rsid w:val="255971B3"/>
    <w:rsid w:val="266C7358"/>
    <w:rsid w:val="27427F2B"/>
    <w:rsid w:val="29057462"/>
    <w:rsid w:val="2E1D6FFC"/>
    <w:rsid w:val="2ECD27D0"/>
    <w:rsid w:val="31394A62"/>
    <w:rsid w:val="32C739DA"/>
    <w:rsid w:val="3302506B"/>
    <w:rsid w:val="33D23C45"/>
    <w:rsid w:val="35847960"/>
    <w:rsid w:val="359D6D2B"/>
    <w:rsid w:val="39F7270B"/>
    <w:rsid w:val="3A2636DC"/>
    <w:rsid w:val="3C591848"/>
    <w:rsid w:val="3D9B2AFD"/>
    <w:rsid w:val="3DDA0A65"/>
    <w:rsid w:val="3EBF1D0A"/>
    <w:rsid w:val="3EEB3B8C"/>
    <w:rsid w:val="3F1B7851"/>
    <w:rsid w:val="406227C5"/>
    <w:rsid w:val="41A81EBB"/>
    <w:rsid w:val="43BF7BB1"/>
    <w:rsid w:val="44313CC3"/>
    <w:rsid w:val="45232CF2"/>
    <w:rsid w:val="47146A9D"/>
    <w:rsid w:val="4BA86CAE"/>
    <w:rsid w:val="4C266263"/>
    <w:rsid w:val="4C36087D"/>
    <w:rsid w:val="4D40640B"/>
    <w:rsid w:val="4FCFC848"/>
    <w:rsid w:val="50052316"/>
    <w:rsid w:val="50B067B2"/>
    <w:rsid w:val="51A4566D"/>
    <w:rsid w:val="52F61A46"/>
    <w:rsid w:val="53BE5749"/>
    <w:rsid w:val="56CE5980"/>
    <w:rsid w:val="58384833"/>
    <w:rsid w:val="58D44218"/>
    <w:rsid w:val="59BD048F"/>
    <w:rsid w:val="5C4E644E"/>
    <w:rsid w:val="5DA7EE7F"/>
    <w:rsid w:val="60512C55"/>
    <w:rsid w:val="61897F29"/>
    <w:rsid w:val="619568CD"/>
    <w:rsid w:val="63AD163B"/>
    <w:rsid w:val="642653D2"/>
    <w:rsid w:val="64A84B6A"/>
    <w:rsid w:val="659F7D1B"/>
    <w:rsid w:val="670A38BA"/>
    <w:rsid w:val="67642FCA"/>
    <w:rsid w:val="6A7B5D09"/>
    <w:rsid w:val="6E6D47E6"/>
    <w:rsid w:val="6E751F61"/>
    <w:rsid w:val="6EF91CD9"/>
    <w:rsid w:val="710C37CC"/>
    <w:rsid w:val="712C58BD"/>
    <w:rsid w:val="751C6D9C"/>
    <w:rsid w:val="76DF266D"/>
    <w:rsid w:val="7A4E230F"/>
    <w:rsid w:val="7BDC4A82"/>
    <w:rsid w:val="7C286D6B"/>
    <w:rsid w:val="7C9ED0AA"/>
    <w:rsid w:val="7DA71A0B"/>
    <w:rsid w:val="EEDF2548"/>
    <w:rsid w:val="EFF9617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4"/>
    <w:qFormat/>
    <w:uiPriority w:val="0"/>
    <w:pPr>
      <w:keepNext/>
      <w:keepLines/>
      <w:widowControl w:val="0"/>
      <w:spacing w:before="340" w:after="330" w:line="578" w:lineRule="auto"/>
      <w:outlineLvl w:val="0"/>
    </w:pPr>
    <w:rPr>
      <w:b/>
      <w:bCs/>
      <w:kern w:val="44"/>
      <w:sz w:val="44"/>
      <w:szCs w:val="44"/>
    </w:rPr>
  </w:style>
  <w:style w:type="paragraph" w:styleId="4">
    <w:name w:val="heading 2"/>
    <w:basedOn w:val="1"/>
    <w:next w:val="1"/>
    <w:qFormat/>
    <w:uiPriority w:val="0"/>
    <w:pPr>
      <w:keepNext/>
      <w:keepLines/>
      <w:widowControl w:val="0"/>
      <w:spacing w:before="260" w:after="260" w:line="415" w:lineRule="auto"/>
      <w:outlineLvl w:val="1"/>
    </w:pPr>
    <w:rPr>
      <w:rFonts w:ascii="Cambria" w:hAnsi="Cambria" w:eastAsia="宋体" w:cs="Times New Roman"/>
      <w:b/>
      <w:bCs/>
      <w:sz w:val="32"/>
      <w:szCs w:val="32"/>
    </w:rPr>
  </w:style>
  <w:style w:type="paragraph" w:styleId="5">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20">
    <w:name w:val="Default Paragraph Font"/>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680"/>
    </w:pPr>
  </w:style>
  <w:style w:type="paragraph" w:styleId="6">
    <w:name w:val="annotation text"/>
    <w:basedOn w:val="1"/>
    <w:qFormat/>
    <w:uiPriority w:val="0"/>
    <w:pPr>
      <w:jc w:val="left"/>
    </w:pPr>
  </w:style>
  <w:style w:type="paragraph" w:styleId="7">
    <w:name w:val="Body Text"/>
    <w:basedOn w:val="1"/>
    <w:qFormat/>
    <w:uiPriority w:val="0"/>
    <w:pPr>
      <w:spacing w:before="30" w:beforeLines="30"/>
    </w:pPr>
    <w:rPr>
      <w:rFonts w:ascii="仿宋_GB2312" w:eastAsia="仿宋_GB2312"/>
      <w:kern w:val="0"/>
      <w:sz w:val="30"/>
    </w:rPr>
  </w:style>
  <w:style w:type="paragraph" w:styleId="8">
    <w:name w:val="Body Text Indent"/>
    <w:basedOn w:val="1"/>
    <w:qFormat/>
    <w:uiPriority w:val="0"/>
    <w:pPr>
      <w:spacing w:after="120"/>
      <w:ind w:left="200" w:leftChars="200"/>
    </w:pPr>
    <w:rPr>
      <w:rFonts w:ascii="仿宋_GB2312" w:hAnsi="仿宋_GB2312"/>
      <w:szCs w:val="32"/>
    </w:rPr>
  </w:style>
  <w:style w:type="paragraph" w:styleId="9">
    <w:name w:val="toc 3"/>
    <w:basedOn w:val="1"/>
    <w:next w:val="1"/>
    <w:qFormat/>
    <w:uiPriority w:val="0"/>
    <w:pPr>
      <w:tabs>
        <w:tab w:val="right" w:leader="dot" w:pos="8296"/>
      </w:tabs>
      <w:ind w:left="400" w:leftChars="400"/>
    </w:pPr>
  </w:style>
  <w:style w:type="paragraph" w:styleId="10">
    <w:name w:val="Balloon Text"/>
    <w:basedOn w:val="1"/>
    <w:qFormat/>
    <w:uiPriority w:val="0"/>
    <w:rPr>
      <w:sz w:val="18"/>
      <w:szCs w:val="18"/>
    </w:rPr>
  </w:style>
  <w:style w:type="paragraph" w:styleId="11">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qFormat/>
    <w:uiPriority w:val="0"/>
    <w:pPr>
      <w:tabs>
        <w:tab w:val="right" w:leader="dot" w:pos="8296"/>
      </w:tabs>
      <w:spacing w:before="93"/>
      <w:jc w:val="center"/>
    </w:pPr>
    <w:rPr>
      <w:rFonts w:ascii="仿宋" w:eastAsia="仿宋"/>
      <w:sz w:val="28"/>
      <w:szCs w:val="28"/>
    </w:rPr>
  </w:style>
  <w:style w:type="paragraph" w:styleId="14">
    <w:name w:val="footnote text"/>
    <w:basedOn w:val="1"/>
    <w:next w:val="15"/>
    <w:qFormat/>
    <w:uiPriority w:val="0"/>
    <w:pPr>
      <w:snapToGrid w:val="0"/>
      <w:jc w:val="left"/>
    </w:pPr>
    <w:rPr>
      <w:sz w:val="18"/>
      <w:szCs w:val="18"/>
    </w:rPr>
  </w:style>
  <w:style w:type="paragraph" w:styleId="15">
    <w:name w:val="Body Text First Indent 2"/>
    <w:basedOn w:val="8"/>
    <w:qFormat/>
    <w:uiPriority w:val="0"/>
    <w:pPr>
      <w:ind w:firstLine="200" w:firstLineChars="200"/>
    </w:pPr>
  </w:style>
  <w:style w:type="paragraph" w:styleId="16">
    <w:name w:val="table of figures"/>
    <w:basedOn w:val="1"/>
    <w:next w:val="1"/>
    <w:qFormat/>
    <w:uiPriority w:val="0"/>
    <w:pPr>
      <w:ind w:left="400" w:leftChars="200" w:hanging="200" w:hangingChars="200"/>
    </w:pPr>
  </w:style>
  <w:style w:type="paragraph" w:styleId="17">
    <w:name w:val="toc 2"/>
    <w:basedOn w:val="1"/>
    <w:next w:val="1"/>
    <w:qFormat/>
    <w:uiPriority w:val="0"/>
    <w:pPr>
      <w:tabs>
        <w:tab w:val="right" w:leader="dot" w:pos="8296"/>
      </w:tabs>
      <w:ind w:left="200" w:leftChars="200"/>
    </w:pPr>
  </w:style>
  <w:style w:type="paragraph" w:styleId="18">
    <w:name w:val="Normal (Web)"/>
    <w:basedOn w:val="1"/>
    <w:qFormat/>
    <w:uiPriority w:val="0"/>
    <w:pPr>
      <w:spacing w:beforeAutospacing="1" w:afterAutospacing="1"/>
    </w:pPr>
    <w:rPr>
      <w:rFonts w:cs="Times New Roman"/>
      <w:sz w:val="24"/>
      <w:lang w:eastAsia="zh-CN" w:bidi="ar-SA"/>
    </w:rPr>
  </w:style>
  <w:style w:type="character" w:styleId="21">
    <w:name w:val="Strong"/>
    <w:basedOn w:val="20"/>
    <w:qFormat/>
    <w:uiPriority w:val="0"/>
    <w:rPr>
      <w:b/>
    </w:rPr>
  </w:style>
  <w:style w:type="character" w:styleId="22">
    <w:name w:val="Hyperlink"/>
    <w:basedOn w:val="20"/>
    <w:qFormat/>
    <w:uiPriority w:val="0"/>
    <w:rPr>
      <w:color w:val="0000FF"/>
      <w:u w:val="single"/>
    </w:rPr>
  </w:style>
  <w:style w:type="character" w:styleId="23">
    <w:name w:val="annotation reference"/>
    <w:basedOn w:val="20"/>
    <w:qFormat/>
    <w:uiPriority w:val="0"/>
    <w:rPr>
      <w:sz w:val="21"/>
      <w:szCs w:val="21"/>
    </w:rPr>
  </w:style>
  <w:style w:type="character" w:customStyle="1" w:styleId="24">
    <w:name w:val="heading 1 Char"/>
    <w:basedOn w:val="20"/>
    <w:link w:val="3"/>
    <w:qFormat/>
    <w:uiPriority w:val="0"/>
    <w:rPr>
      <w:rFonts w:ascii="Times New Roman" w:hAnsi="Times New Roman" w:eastAsia="宋体" w:cs="Times New Roman"/>
      <w:b/>
      <w:bCs/>
      <w:kern w:val="44"/>
      <w:sz w:val="44"/>
      <w:szCs w:val="44"/>
      <w:lang w:val="en-US" w:eastAsia="zh-CN" w:bidi="ar-SA"/>
    </w:rPr>
  </w:style>
  <w:style w:type="paragraph" w:customStyle="1" w:styleId="25">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character" w:customStyle="1" w:styleId="26">
    <w:name w:val="Header Char"/>
    <w:basedOn w:val="20"/>
    <w:qFormat/>
    <w:uiPriority w:val="0"/>
    <w:rPr>
      <w:rFonts w:ascii="Times New Roman" w:hAnsi="Times New Roman"/>
      <w:sz w:val="18"/>
      <w:szCs w:val="18"/>
    </w:rPr>
  </w:style>
  <w:style w:type="character" w:customStyle="1" w:styleId="27">
    <w:name w:val="Footer Char"/>
    <w:basedOn w:val="20"/>
    <w:qFormat/>
    <w:uiPriority w:val="0"/>
    <w:rPr>
      <w:rFonts w:ascii="Times New Roman" w:hAnsi="Times New Roman"/>
      <w:sz w:val="18"/>
      <w:szCs w:val="18"/>
    </w:rPr>
  </w:style>
  <w:style w:type="character" w:customStyle="1" w:styleId="28">
    <w:name w:val="Body Text Char"/>
    <w:basedOn w:val="20"/>
    <w:qFormat/>
    <w:uiPriority w:val="0"/>
    <w:rPr>
      <w:rFonts w:ascii="Times New Roman" w:hAnsi="Times New Roman"/>
      <w:szCs w:val="24"/>
    </w:rPr>
  </w:style>
  <w:style w:type="paragraph" w:styleId="29">
    <w:name w:val="List Paragraph"/>
    <w:basedOn w:val="1"/>
    <w:qFormat/>
    <w:uiPriority w:val="0"/>
    <w:pPr>
      <w:ind w:firstLine="200" w:firstLineChars="200"/>
    </w:pPr>
  </w:style>
  <w:style w:type="paragraph" w:customStyle="1" w:styleId="30">
    <w:name w:val="TOC 标题1"/>
    <w:basedOn w:val="3"/>
    <w:next w:val="1"/>
    <w:qFormat/>
    <w:uiPriority w:val="0"/>
    <w:pPr>
      <w:keepNext/>
      <w:keepLines/>
      <w:widowControl/>
      <w:spacing w:before="480" w:after="0" w:line="276" w:lineRule="auto"/>
      <w:jc w:val="left"/>
      <w:outlineLvl w:val="9"/>
    </w:pPr>
    <w:rPr>
      <w:rFonts w:ascii="Cambria" w:hAnsi="Cambria" w:eastAsia="宋体" w:cs="Times New Roman"/>
      <w:color w:val="366091"/>
      <w:kern w:val="0"/>
      <w:sz w:val="28"/>
      <w:szCs w:val="28"/>
    </w:rPr>
  </w:style>
  <w:style w:type="paragraph" w:customStyle="1" w:styleId="31">
    <w:name w:val="Normal363950e4"/>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2">
    <w:name w:val="Default Paragraph Font830522c6"/>
    <w:qFormat/>
    <w:uiPriority w:val="0"/>
  </w:style>
  <w:style w:type="paragraph" w:customStyle="1" w:styleId="33">
    <w:name w:val="Normal31da962d"/>
    <w:qFormat/>
    <w:uiPriority w:val="0"/>
    <w:pPr>
      <w:widowControl w:val="0"/>
      <w:jc w:val="both"/>
    </w:pPr>
    <w:rPr>
      <w:rFonts w:ascii="Times New Roman" w:hAnsi="Times New Roman" w:eastAsia="宋体" w:cs="Times New Roman"/>
      <w:kern w:val="2"/>
      <w:sz w:val="21"/>
      <w:szCs w:val="21"/>
      <w:lang w:val="en-US" w:eastAsia="zh-CN" w:bidi="ar-SA"/>
    </w:rPr>
  </w:style>
  <w:style w:type="character" w:customStyle="1" w:styleId="34">
    <w:name w:val="Default Paragraph Font5"/>
    <w:qFormat/>
    <w:uiPriority w:val="0"/>
  </w:style>
  <w:style w:type="paragraph" w:customStyle="1" w:styleId="35">
    <w:name w:val="footerce85b5ec"/>
    <w:basedOn w:val="33"/>
    <w:qFormat/>
    <w:uiPriority w:val="0"/>
    <w:pPr>
      <w:tabs>
        <w:tab w:val="center" w:pos="4153"/>
        <w:tab w:val="right" w:pos="8306"/>
      </w:tabs>
      <w:snapToGrid w:val="0"/>
      <w:jc w:val="left"/>
    </w:pPr>
    <w:rPr>
      <w:kern w:val="0"/>
      <w:sz w:val="18"/>
      <w:szCs w:val="20"/>
    </w:rPr>
  </w:style>
  <w:style w:type="paragraph" w:customStyle="1" w:styleId="36">
    <w:name w:val="headerf7e0821f"/>
    <w:basedOn w:val="33"/>
    <w:qFormat/>
    <w:uiPriority w:val="0"/>
    <w:pPr>
      <w:pBdr>
        <w:bottom w:val="single" w:color="auto" w:sz="6" w:space="1"/>
      </w:pBdr>
      <w:tabs>
        <w:tab w:val="center" w:pos="4153"/>
        <w:tab w:val="right" w:pos="8306"/>
      </w:tabs>
      <w:snapToGrid w:val="0"/>
      <w:jc w:val="center"/>
    </w:pPr>
    <w:rPr>
      <w:kern w:val="0"/>
      <w:sz w:val="18"/>
      <w:szCs w:val="20"/>
    </w:rPr>
  </w:style>
  <w:style w:type="paragraph" w:customStyle="1" w:styleId="37">
    <w:name w:val="四号正文"/>
    <w:basedOn w:val="1"/>
    <w:qFormat/>
    <w:uiPriority w:val="0"/>
    <w:pPr>
      <w:spacing w:line="360" w:lineRule="auto"/>
    </w:pPr>
    <w:rPr>
      <w:rFonts w:ascii="??" w:hAnsi="??" w:eastAsia="宋体"/>
      <w:color w:val="000000"/>
      <w:kern w:val="0"/>
      <w:sz w:val="28"/>
      <w:szCs w:val="21"/>
      <w:lang w:val="zh-CN"/>
    </w:rPr>
  </w:style>
  <w:style w:type="paragraph" w:customStyle="1" w:styleId="38">
    <w:name w:val="标题 5（有编号）（绿盟科技）"/>
    <w:next w:val="1"/>
    <w:qFormat/>
    <w:uiPriority w:val="0"/>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37232"/>
          <c:y val="0.0088963965"/>
          <c:w val="0.8623782"/>
          <c:h val="0.8260135"/>
        </c:manualLayout>
      </c:layout>
      <c:barChart>
        <c:barDir val="col"/>
        <c:grouping val="clustered"/>
        <c:varyColors val="0"/>
        <c:ser>
          <c:idx val="0"/>
          <c:order val="0"/>
          <c:tx>
            <c:strRef>
              <c:f>Sheet1!$B$1</c:f>
              <c:strCache>
                <c:ptCount val="1"/>
                <c:pt idx="0">
                  <c:v>金额</c:v>
                </c:pt>
              </c:strCache>
            </c:strRef>
          </c:tx>
          <c:spPr>
            <a:gradFill rotWithShape="1">
              <a:gsLst>
                <a:gs pos="0">
                  <a:srgbClr val="4F81BD">
                    <a:alpha val="100000"/>
                  </a:srgbClr>
                </a:gs>
                <a:gs pos="100000">
                  <a:srgbClr val="3D6CA4">
                    <a:alpha val="100000"/>
                  </a:srgbClr>
                </a:gs>
              </a:gsLst>
              <a:lin ang="5400000" scaled="1"/>
            </a:gradFill>
            <a:ln>
              <a:noFill/>
            </a:ln>
            <a:effectLst>
              <a:outerShdw dist="35921" dir="2700000" algn="br">
                <a:srgbClr val="000000"/>
              </a:outerShdw>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rgbClr val="FFFFFF"/>
                    </a:solidFill>
                    <a:latin typeface="Times New Roman" panose="02020603050405020304"/>
                    <a:ea typeface="宋体" panose="02010600030101010101" charset="-122"/>
                    <a:cs typeface="Lucida Sans" panose="020B0602030504020204"/>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Sheet1!$A$2:$A$5</c:f>
              <c:strCache>
                <c:ptCount val="4"/>
                <c:pt idx="0">
                  <c:v>2025年收入</c:v>
                </c:pt>
                <c:pt idx="1">
                  <c:v>2025年支出</c:v>
                </c:pt>
                <c:pt idx="2">
                  <c:v>2024年收入</c:v>
                </c:pt>
                <c:pt idx="3">
                  <c:v>2024年支出</c:v>
                </c:pt>
              </c:strCache>
            </c:strRef>
          </c:cat>
          <c:val>
            <c:numRef>
              <c:f>Sheet1!$B$2:$B$5</c:f>
              <c:numCache>
                <c:formatCode>General</c:formatCode>
                <c:ptCount val="4"/>
                <c:pt idx="0">
                  <c:v>1306.08</c:v>
                </c:pt>
                <c:pt idx="1">
                  <c:v>1306.08</c:v>
                </c:pt>
                <c:pt idx="2">
                  <c:v>1293.65</c:v>
                </c:pt>
                <c:pt idx="3">
                  <c:v>1293.65</c:v>
                </c:pt>
              </c:numCache>
            </c:numRef>
          </c:val>
        </c:ser>
        <c:dLbls>
          <c:showLegendKey val="0"/>
          <c:showVal val="1"/>
          <c:showCatName val="0"/>
          <c:showSerName val="0"/>
          <c:showPercent val="0"/>
          <c:showBubbleSize val="0"/>
        </c:dLbls>
        <c:gapWidth val="41"/>
        <c:axId val="0"/>
        <c:axId val="1"/>
      </c:barChart>
      <c:catAx>
        <c:axId val="0"/>
        <c:scaling>
          <c:orientation val="minMax"/>
        </c:scaling>
        <c:delete val="0"/>
        <c:axPos val="b"/>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panose="020B0602030504020204"/>
              </a:defRPr>
            </a:pPr>
          </a:p>
        </c:txPr>
        <c:crossAx val="1"/>
        <c:crosses val="autoZero"/>
        <c:auto val="1"/>
        <c:lblAlgn val="ctr"/>
        <c:lblOffset val="100"/>
        <c:noMultiLvlLbl val="0"/>
      </c:catAx>
      <c:valAx>
        <c:axId val="1"/>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panose="020B0602030504020204"/>
              </a:defRPr>
            </a:pPr>
          </a:p>
        </c:txPr>
        <c:crossAx val="0"/>
        <c:crossesAt val="1"/>
        <c:crossBetween val="between"/>
      </c:valAx>
      <c:spPr>
        <a:noFill/>
        <a:ln>
          <a:noFill/>
        </a:ln>
      </c:spPr>
    </c:plotArea>
    <c:plotVisOnly val="1"/>
    <c:dispBlanksAs val="gap"/>
    <c:showDLblsOverMax val="0"/>
    <c:extLst>
      <c:ext uri="{0b15fc19-7d7d-44ad-8c2d-2c3a37ce22c3}">
        <chartProps xmlns="https://web.wps.cn/et/2018/main" chartId="{e02f9575-ca59-4c5e-9337-19a34f48e993}"/>
      </c:ext>
    </c:extLst>
  </c:chart>
  <c:spPr>
    <a:gradFill rotWithShape="1">
      <a:gsLst>
        <a:gs pos="0">
          <a:srgbClr val="FFFFFF">
            <a:alpha val="100000"/>
          </a:srgbClr>
        </a:gs>
        <a:gs pos="68000">
          <a:srgbClr val="D9D9D9">
            <a:alpha val="100000"/>
          </a:srgbClr>
        </a:gs>
        <a:gs pos="100000">
          <a:srgbClr val="FFFFFF">
            <a:alpha val="100000"/>
          </a:srgbClr>
        </a:gs>
      </a:gsLst>
      <a:lin ang="5400000" scaled="1"/>
    </a:gra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panose="020B0602030504020204"/>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rgbClr val="404040"/>
                </a:solidFill>
                <a:latin typeface="Times New Roman" panose="02020603050405020304"/>
                <a:ea typeface="宋体" panose="02010600030101010101" charset="-122"/>
                <a:cs typeface="Lucida Sans" panose="020B0602030504020204"/>
              </a:defRPr>
            </a:pPr>
            <a:r>
              <a:rPr lang="zh-CN"/>
              <a:t>收入决算结构图</a:t>
            </a:r>
            <a:endParaRPr lang="zh-CN"/>
          </a:p>
        </c:rich>
      </c:tx>
      <c:layout/>
      <c:overlay val="0"/>
      <c:spPr>
        <a:noFill/>
        <a:ln>
          <a:noFill/>
        </a:ln>
      </c:spPr>
    </c:title>
    <c:autoTitleDeleted val="0"/>
    <c:plotArea>
      <c:layout/>
      <c:pieChart>
        <c:varyColors val="1"/>
        <c:ser>
          <c:idx val="1"/>
          <c:order val="0"/>
          <c:spPr>
            <a:ln>
              <a:noFill/>
            </a:ln>
          </c:spPr>
          <c:explosion val="0"/>
          <c:dPt>
            <c:idx val="0"/>
            <c:bubble3D val="0"/>
            <c:spPr>
              <a:solidFill>
                <a:srgbClr val="4572A8"/>
              </a:solidFill>
              <a:ln>
                <a:noFill/>
              </a:ln>
              <a:effectLst>
                <a:outerShdw dist="35921" dir="2700000" algn="br">
                  <a:srgbClr val="000000"/>
                </a:outerShdw>
              </a:effectLst>
            </c:spPr>
          </c:dPt>
          <c:dPt>
            <c:idx val="1"/>
            <c:bubble3D val="0"/>
            <c:spPr>
              <a:solidFill>
                <a:srgbClr val="AA4643"/>
              </a:solidFill>
              <a:ln>
                <a:noFill/>
              </a:ln>
              <a:effectLst>
                <a:outerShdw dist="35921" dir="2700000" algn="br">
                  <a:srgbClr val="000000"/>
                </a:outerShdw>
              </a:effectLst>
            </c:spPr>
          </c:dPt>
          <c:dPt>
            <c:idx val="2"/>
            <c:bubble3D val="0"/>
            <c:spPr>
              <a:solidFill>
                <a:srgbClr val="89A64E"/>
              </a:solidFill>
              <a:ln>
                <a:noFill/>
              </a:ln>
              <a:effectLst>
                <a:outerShdw dist="35921" dir="2700000" algn="br">
                  <a:srgbClr val="000000"/>
                </a:outerShdw>
              </a:effectLst>
            </c:spPr>
          </c:dPt>
          <c:dPt>
            <c:idx val="3"/>
            <c:bubble3D val="0"/>
            <c:spPr>
              <a:solidFill>
                <a:srgbClr val="715890"/>
              </a:solidFill>
              <a:ln>
                <a:noFill/>
              </a:ln>
              <a:effectLst>
                <a:outerShdw dist="35921" dir="2700000" algn="br">
                  <a:srgbClr val="000000"/>
                </a:outerShdw>
              </a:effectLst>
            </c:spPr>
          </c:dPt>
          <c:dPt>
            <c:idx val="4"/>
            <c:bubble3D val="0"/>
            <c:spPr>
              <a:solidFill>
                <a:srgbClr val="4299B0"/>
              </a:solidFill>
              <a:ln>
                <a:noFill/>
              </a:ln>
              <a:effectLst>
                <a:outerShdw dist="35921" dir="2700000" algn="br">
                  <a:srgbClr val="000000"/>
                </a:outerShdw>
              </a:effectLst>
            </c:spPr>
          </c:dPt>
          <c:dPt>
            <c:idx val="5"/>
            <c:bubble3D val="0"/>
            <c:spPr>
              <a:solidFill>
                <a:srgbClr val="DC853D"/>
              </a:solidFill>
              <a:ln>
                <a:noFill/>
              </a:ln>
              <a:effectLst>
                <a:outerShdw dist="35921" dir="2700000" algn="br">
                  <a:srgbClr val="000000"/>
                </a:outerShdw>
              </a:effectLst>
            </c:spPr>
          </c:dPt>
          <c:dPt>
            <c:idx val="6"/>
            <c:bubble3D val="0"/>
            <c:spPr>
              <a:solidFill>
                <a:srgbClr val="93AACF"/>
              </a:solidFill>
              <a:ln>
                <a:noFill/>
              </a:ln>
              <a:effectLst>
                <a:outerShdw dist="35921" dir="2700000" algn="br">
                  <a:srgbClr val="000000"/>
                </a:outerShdw>
              </a:effectLst>
            </c:spPr>
          </c:dPt>
          <c:dPt>
            <c:idx val="7"/>
            <c:bubble3D val="0"/>
            <c:spPr>
              <a:solidFill>
                <a:srgbClr val="D19493"/>
              </a:solidFill>
              <a:ln>
                <a:noFill/>
              </a:ln>
              <a:effectLst>
                <a:outerShdw dist="35921" dir="2700000" algn="br">
                  <a:srgbClr val="000000"/>
                </a:outerShdw>
              </a:effectLst>
            </c:spPr>
          </c:dPt>
          <c:dLbls>
            <c:numFmt formatCode="0%" sourceLinked="0"/>
            <c:spPr>
              <a:pattFill prst="pct75">
                <a:fgClr>
                  <a:srgbClr val="404040"/>
                </a:fgClr>
                <a:bgClr>
                  <a:srgbClr val="595959"/>
                </a:bgClr>
              </a:pattFill>
              <a:ln>
                <a:noFill/>
              </a:ln>
              <a:effectLst/>
            </c:spPr>
            <c:txPr>
              <a:bodyPr rot="0" spcFirstLastPara="0" vertOverflow="ellipsis" vert="horz" wrap="square" lIns="38100" tIns="19050" rIns="38100" bIns="19050" anchor="ctr" anchorCtr="1"/>
              <a:lstStyle/>
              <a:p>
                <a:pPr>
                  <a:defRPr lang="zh-CN" sz="1000" b="1" i="0" u="none" strike="noStrike" kern="1200" baseline="0">
                    <a:solidFill>
                      <a:srgbClr val="FFFFFF"/>
                    </a:solidFill>
                    <a:latin typeface="Times New Roman" panose="02020603050405020304"/>
                    <a:ea typeface="宋体" panose="02010600030101010101" charset="-122"/>
                    <a:cs typeface="Lucida Sans" panose="020B0602030504020204"/>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{"一般公共预算财政拨款收入","政府性基金预算财政拨款收入","国有资本经营预算财政拨款收入","上级补助收入","事业收入","经营收入","附属单位上缴收入","其他收入"}</c:f>
              <c:strCache>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Cache>
            </c:strRef>
          </c:cat>
          <c:val>
            <c:numRef>
              <c:f>{12537102.67,0,0,0,0,0,0,0}</c:f>
              <c:numCache>
                <c:formatCode>General</c:formatCode>
                <c:ptCount val="8"/>
                <c:pt idx="0">
                  <c:v>12537102.67</c:v>
                </c:pt>
                <c:pt idx="1">
                  <c:v>0</c:v>
                </c:pt>
                <c:pt idx="2">
                  <c:v>0</c:v>
                </c:pt>
                <c:pt idx="3">
                  <c:v>0</c:v>
                </c:pt>
                <c:pt idx="4">
                  <c:v>0</c:v>
                </c:pt>
                <c:pt idx="5">
                  <c:v>0</c:v>
                </c:pt>
                <c:pt idx="6">
                  <c:v>0</c:v>
                </c:pt>
                <c:pt idx="7">
                  <c:v>0</c:v>
                </c:pt>
              </c:numCache>
            </c:numRef>
          </c:val>
        </c:ser>
        <c:dLbls>
          <c:showLegendKey val="0"/>
          <c:showVal val="0"/>
          <c:showCatName val="0"/>
          <c:showSerName val="0"/>
          <c:showPercent val="1"/>
          <c:showBubbleSize val="0"/>
          <c:showLeaderLines val="1"/>
        </c:dLbls>
        <c:firstSliceAng val="0"/>
      </c:pieChart>
      <c:spPr>
        <a:noFill/>
        <a:ln>
          <a:noFill/>
        </a:ln>
      </c:spPr>
    </c:plotArea>
    <c:legend>
      <c:legendPos val="r"/>
      <c:layout/>
      <c:overlay val="0"/>
      <c:spPr>
        <a:solidFill>
          <a:srgbClr val="F2F2F2">
            <a:alpha val="39000"/>
          </a:srgbClr>
        </a:solidFill>
        <a:ln>
          <a:noFill/>
        </a:ln>
      </c:spPr>
      <c:txPr>
        <a:bodyPr rot="0" spcFirstLastPara="0" vertOverflow="ellipsis" vert="horz" wrap="square"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panose="020B0602030504020204"/>
            </a:defRPr>
          </a:pPr>
        </a:p>
      </c:txPr>
    </c:legend>
    <c:plotVisOnly val="1"/>
    <c:dispBlanksAs val="zero"/>
    <c:showDLblsOverMax val="0"/>
    <c:extLst>
      <c:ext uri="{0b15fc19-7d7d-44ad-8c2d-2c3a37ce22c3}">
        <chartProps xmlns="https://web.wps.cn/et/2018/main" chartId="{d8bce77d-e9f1-4b26-8303-725bc32eeed7}"/>
      </c:ext>
    </c:extLst>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cap="flat" cmpd="sng" algn="ctr">
      <a:solidFill>
        <a:srgbClr val="BFBFBF"/>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panose="020B0602030504020204"/>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rgbClr val="404040"/>
                </a:solidFill>
                <a:latin typeface="Times New Roman" panose="02020603050405020304"/>
                <a:ea typeface="宋体" panose="02010600030101010101" charset="-122"/>
                <a:cs typeface="Lucida Sans" panose="020B0602030504020204"/>
              </a:defRPr>
            </a:pPr>
            <a:r>
              <a:rPr lang="zh-CN"/>
              <a:t>支出决算结构图</a:t>
            </a:r>
            <a:endParaRPr lang="zh-CN"/>
          </a:p>
        </c:rich>
      </c:tx>
      <c:layout/>
      <c:overlay val="0"/>
      <c:spPr>
        <a:noFill/>
        <a:ln>
          <a:noFill/>
        </a:ln>
      </c:spPr>
    </c:title>
    <c:autoTitleDeleted val="0"/>
    <c:plotArea>
      <c:layout/>
      <c:pieChart>
        <c:varyColors val="1"/>
        <c:ser>
          <c:idx val="0"/>
          <c:order val="0"/>
          <c:tx>
            <c:strRef>
              <c:f>'Sheet1 (3)'!$B$1</c:f>
              <c:strCache>
                <c:ptCount val="1"/>
                <c:pt idx="0">
                  <c:v>支出决算结构图</c:v>
                </c:pt>
              </c:strCache>
            </c:strRef>
          </c:tx>
          <c:spPr>
            <a:ln>
              <a:noFill/>
            </a:ln>
          </c:spPr>
          <c:explosion val="0"/>
          <c:dPt>
            <c:idx val="0"/>
            <c:bubble3D val="0"/>
            <c:spPr>
              <a:solidFill>
                <a:srgbClr val="4F81BD"/>
              </a:solidFill>
              <a:ln>
                <a:noFill/>
              </a:ln>
              <a:effectLst>
                <a:outerShdw dist="35921" dir="2700000" algn="br">
                  <a:srgbClr val="000000"/>
                </a:outerShdw>
              </a:effectLst>
            </c:spPr>
          </c:dPt>
          <c:dPt>
            <c:idx val="1"/>
            <c:bubble3D val="0"/>
            <c:spPr>
              <a:solidFill>
                <a:srgbClr val="C0504D"/>
              </a:solidFill>
              <a:ln>
                <a:noFill/>
              </a:ln>
              <a:effectLst>
                <a:outerShdw dist="35921" dir="2700000" algn="br">
                  <a:srgbClr val="000000"/>
                </a:outerShdw>
              </a:effectLst>
            </c:spPr>
          </c:dPt>
          <c:dPt>
            <c:idx val="2"/>
            <c:bubble3D val="0"/>
            <c:spPr>
              <a:solidFill>
                <a:srgbClr val="9BBB59"/>
              </a:solidFill>
              <a:ln>
                <a:noFill/>
              </a:ln>
              <a:effectLst>
                <a:outerShdw dist="35921" dir="2700000" algn="br">
                  <a:srgbClr val="000000"/>
                </a:outerShdw>
              </a:effectLst>
            </c:spPr>
          </c:dPt>
          <c:dPt>
            <c:idx val="3"/>
            <c:bubble3D val="0"/>
            <c:spPr>
              <a:solidFill>
                <a:srgbClr val="8064A2"/>
              </a:solidFill>
              <a:ln>
                <a:noFill/>
              </a:ln>
              <a:effectLst>
                <a:outerShdw dist="35921" dir="2700000" algn="br">
                  <a:srgbClr val="000000"/>
                </a:outerShdw>
              </a:effectLst>
            </c:spPr>
          </c:dPt>
          <c:dPt>
            <c:idx val="4"/>
            <c:bubble3D val="0"/>
            <c:spPr>
              <a:solidFill>
                <a:srgbClr val="4BACC6"/>
              </a:solidFill>
              <a:ln>
                <a:noFill/>
              </a:ln>
              <a:effectLst>
                <a:outerShdw dist="35921" dir="2700000" algn="br">
                  <a:srgbClr val="000000"/>
                </a:outerShdw>
              </a:effectLst>
            </c:spPr>
          </c:dPt>
          <c:dLbls>
            <c:numFmt formatCode="0%" sourceLinked="0"/>
            <c:spPr>
              <a:pattFill prst="pct75">
                <a:fgClr>
                  <a:srgbClr val="404040"/>
                </a:fgClr>
                <a:bgClr>
                  <a:srgbClr val="595959"/>
                </a:bgClr>
              </a:pattFill>
              <a:ln>
                <a:noFill/>
              </a:ln>
              <a:effectLst/>
            </c:spPr>
            <c:txPr>
              <a:bodyPr rot="0" spcFirstLastPara="0" vertOverflow="ellipsis" vert="horz" wrap="square" lIns="38100" tIns="19050" rIns="38100" bIns="19050" anchor="ctr" anchorCtr="1"/>
              <a:lstStyle/>
              <a:p>
                <a:pPr>
                  <a:defRPr lang="zh-CN" sz="1000" b="1" i="0" u="none" strike="noStrike" kern="1200" baseline="0">
                    <a:solidFill>
                      <a:srgbClr val="FFFFFF"/>
                    </a:solidFill>
                    <a:latin typeface="Times New Roman" panose="02020603050405020304"/>
                    <a:ea typeface="宋体" panose="02010600030101010101" charset="-122"/>
                    <a:cs typeface="Lucida Sans" panose="020B0602030504020204"/>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 (3)'!$A$2:$A$6</c:f>
              <c:strCache>
                <c:ptCount val="5"/>
                <c:pt idx="0">
                  <c:v>基本支出</c:v>
                </c:pt>
                <c:pt idx="1">
                  <c:v>项目支出</c:v>
                </c:pt>
                <c:pt idx="2">
                  <c:v>上级上缴支出</c:v>
                </c:pt>
                <c:pt idx="3">
                  <c:v>经营支出</c:v>
                </c:pt>
                <c:pt idx="4">
                  <c:v>对附属单位补助支出</c:v>
                </c:pt>
              </c:strCache>
            </c:strRef>
          </c:cat>
          <c:val>
            <c:numRef>
              <c:f>'Sheet1 (3)'!$B$2:$B$6</c:f>
              <c:numCache>
                <c:formatCode>General</c:formatCode>
                <c:ptCount val="5"/>
                <c:pt idx="0">
                  <c:v>1085.65</c:v>
                </c:pt>
                <c:pt idx="1">
                  <c:v>208</c:v>
                </c:pt>
                <c:pt idx="2">
                  <c:v>0</c:v>
                </c:pt>
                <c:pt idx="3">
                  <c:v>0</c:v>
                </c:pt>
                <c:pt idx="4">
                  <c:v>0</c:v>
                </c:pt>
              </c:numCache>
            </c:numRef>
          </c:val>
        </c:ser>
        <c:dLbls>
          <c:showLegendKey val="0"/>
          <c:showVal val="0"/>
          <c:showCatName val="0"/>
          <c:showSerName val="0"/>
          <c:showPercent val="1"/>
          <c:showBubbleSize val="0"/>
          <c:showLeaderLines val="1"/>
        </c:dLbls>
        <c:firstSliceAng val="0"/>
      </c:pieChart>
      <c:spPr>
        <a:noFill/>
        <a:ln>
          <a:noFill/>
        </a:ln>
      </c:spPr>
    </c:plotArea>
    <c:legend>
      <c:legendPos val="r"/>
      <c:layout/>
      <c:overlay val="0"/>
      <c:spPr>
        <a:solidFill>
          <a:srgbClr val="F2F2F2">
            <a:alpha val="39000"/>
          </a:srgbClr>
        </a:solidFill>
        <a:ln>
          <a:noFill/>
        </a:ln>
      </c:spPr>
      <c:txPr>
        <a:bodyPr rot="0" spcFirstLastPara="0" vertOverflow="ellipsis" vert="horz" wrap="square"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panose="020B0602030504020204"/>
            </a:defRPr>
          </a:pPr>
        </a:p>
      </c:txPr>
    </c:legend>
    <c:plotVisOnly val="1"/>
    <c:dispBlanksAs val="gap"/>
    <c:showDLblsOverMax val="0"/>
    <c:extLst>
      <c:ext uri="{0b15fc19-7d7d-44ad-8c2d-2c3a37ce22c3}">
        <chartProps xmlns="https://web.wps.cn/et/2018/main" chartId="{b6461cf0-9bb7-43d4-a7ba-09b5cd5922aa}"/>
      </c:ext>
    </c:extLst>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cap="flat" cmpd="sng" algn="ctr">
      <a:solidFill>
        <a:srgbClr val="BFBFBF"/>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panose="020B0602030504020204"/>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10249402"/>
          <c:y val="0.01225991"/>
          <c:w val="0.8623782"/>
          <c:h val="0.8260135"/>
        </c:manualLayout>
      </c:layout>
      <c:barChart>
        <c:barDir val="col"/>
        <c:grouping val="clustered"/>
        <c:varyColors val="0"/>
        <c:ser>
          <c:idx val="0"/>
          <c:order val="0"/>
          <c:tx>
            <c:strRef>
              <c:f>'Sheet1 (4)'!$B$1</c:f>
              <c:strCache>
                <c:ptCount val="1"/>
                <c:pt idx="0">
                  <c:v>金额</c:v>
                </c:pt>
              </c:strCache>
            </c:strRef>
          </c:tx>
          <c:spPr>
            <a:solidFill>
              <a:srgbClr val="4F81B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panose="020B0602030504020204"/>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(4)'!$A$2:$A$5</c:f>
              <c:strCache>
                <c:ptCount val="4"/>
                <c:pt idx="0">
                  <c:v>2025年收入</c:v>
                </c:pt>
                <c:pt idx="1">
                  <c:v>2025年支出</c:v>
                </c:pt>
                <c:pt idx="2">
                  <c:v>2024年收入</c:v>
                </c:pt>
                <c:pt idx="3">
                  <c:v>2024年支出</c:v>
                </c:pt>
              </c:strCache>
            </c:strRef>
          </c:cat>
          <c:val>
            <c:numRef>
              <c:f>'Sheet1 (4)'!$B$2:$B$5</c:f>
              <c:numCache>
                <c:formatCode>General</c:formatCode>
                <c:ptCount val="4"/>
                <c:pt idx="0">
                  <c:v>1306.08</c:v>
                </c:pt>
                <c:pt idx="1">
                  <c:v>1306.08</c:v>
                </c:pt>
                <c:pt idx="2">
                  <c:v>1293.65</c:v>
                </c:pt>
                <c:pt idx="3">
                  <c:v>1293.65</c:v>
                </c:pt>
              </c:numCache>
            </c:numRef>
          </c:val>
        </c:ser>
        <c:dLbls>
          <c:showLegendKey val="0"/>
          <c:showVal val="1"/>
          <c:showCatName val="0"/>
          <c:showSerName val="0"/>
          <c:showPercent val="0"/>
          <c:showBubbleSize val="0"/>
        </c:dLbls>
        <c:gapWidth val="219"/>
        <c:overlap val="-27"/>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panose="020B0602030504020204"/>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panose="020B0602030504020204"/>
              </a:defRPr>
            </a:pPr>
          </a:p>
        </c:txPr>
        <c:crossAx val="0"/>
        <c:crossesAt val="1"/>
        <c:crossBetween val="between"/>
      </c:valAx>
      <c:spPr>
        <a:noFill/>
        <a:ln>
          <a:noFill/>
        </a:ln>
      </c:spPr>
    </c:plotArea>
    <c:plotVisOnly val="1"/>
    <c:dispBlanksAs val="gap"/>
    <c:showDLblsOverMax val="0"/>
    <c:extLst>
      <c:ext uri="{0b15fc19-7d7d-44ad-8c2d-2c3a37ce22c3}">
        <chartProps xmlns="https://web.wps.cn/et/2018/main" chartId="{251d3074-0f1b-4394-b078-29104de9af76}"/>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panose="020B0602030504020204"/>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404402"/>
          <c:y val="0.040242426"/>
          <c:w val="0.8623782"/>
          <c:h val="0.8260135"/>
        </c:manualLayout>
      </c:layout>
      <c:barChart>
        <c:barDir val="col"/>
        <c:grouping val="clustered"/>
        <c:varyColors val="0"/>
        <c:ser>
          <c:idx val="0"/>
          <c:order val="0"/>
          <c:tx>
            <c:strRef>
              <c:f>'Sheet1 (5)'!$B$1</c:f>
              <c:strCache>
                <c:ptCount val="1"/>
                <c:pt idx="0">
                  <c:v>金额</c:v>
                </c:pt>
              </c:strCache>
            </c:strRef>
          </c:tx>
          <c:spPr>
            <a:solidFill>
              <a:srgbClr val="4F81B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(5)'!$A$2:$A$3</c:f>
              <c:strCache>
                <c:ptCount val="2"/>
                <c:pt idx="0">
                  <c:v>2025年</c:v>
                </c:pt>
                <c:pt idx="1">
                  <c:v>2024年</c:v>
                </c:pt>
              </c:strCache>
            </c:strRef>
          </c:cat>
          <c:val>
            <c:numRef>
              <c:f>'Sheet1 (5)'!$B$2:$B$3</c:f>
              <c:numCache>
                <c:formatCode>General</c:formatCode>
                <c:ptCount val="2"/>
                <c:pt idx="0">
                  <c:v>1306.08</c:v>
                </c:pt>
                <c:pt idx="1">
                  <c:v>1293.65</c:v>
                </c:pt>
              </c:numCache>
            </c:numRef>
          </c:val>
        </c:ser>
        <c:dLbls>
          <c:showLegendKey val="0"/>
          <c:showVal val="1"/>
          <c:showCatName val="0"/>
          <c:showSerName val="0"/>
          <c:showPercent val="0"/>
          <c:showBubbleSize val="0"/>
        </c:dLbls>
        <c:gapWidth val="75"/>
        <c:axId val="0"/>
        <c:axId val="1"/>
      </c:barChart>
      <c:catAx>
        <c:axId val="0"/>
        <c:scaling>
          <c:orientation val="minMax"/>
        </c:scaling>
        <c:delete val="0"/>
        <c:axPos val="b"/>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panose="020B0602030504020204"/>
              </a:defRPr>
            </a:pPr>
          </a:p>
        </c:txPr>
        <c:crossAx val="1"/>
        <c:crosses val="autoZero"/>
        <c:auto val="1"/>
        <c:lblAlgn val="ctr"/>
        <c:lblOffset val="100"/>
        <c:noMultiLvlLbl val="0"/>
      </c:catAx>
      <c:valAx>
        <c:axId val="1"/>
        <c:scaling>
          <c:orientation val="minMax"/>
        </c:scaling>
        <c:delete val="0"/>
        <c:axPos val="l"/>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panose="020B0602030504020204"/>
              </a:defRPr>
            </a:pPr>
          </a:p>
        </c:txPr>
        <c:crossAx val="0"/>
        <c:crossesAt val="1"/>
        <c:crossBetween val="between"/>
      </c:valAx>
      <c:spPr>
        <a:solidFill>
          <a:srgbClr val="FFFFFF"/>
        </a:solidFill>
      </c:spPr>
    </c:plotArea>
    <c:plotVisOnly val="1"/>
    <c:dispBlanksAs val="gap"/>
    <c:showDLblsOverMax val="0"/>
    <c:extLst>
      <c:ext uri="{0b15fc19-7d7d-44ad-8c2d-2c3a37ce22c3}">
        <chartProps xmlns="https://web.wps.cn/et/2018/main" chartId="{b94cf037-67bd-48b9-8f59-f4bd80e56744}"/>
      </c:ext>
    </c:extLst>
  </c:chart>
  <c:txPr>
    <a:bodyPr/>
    <a:lstStyle/>
    <a:p>
      <a:pPr>
        <a:defRPr lang="zh-CN" sz="1000" b="0" i="0" u="none" strike="noStrike" baseline="0">
          <a:solidFill>
            <a:srgbClr val="000000"/>
          </a:solidFill>
          <a:latin typeface="Times New Roman" panose="02020603050405020304"/>
          <a:ea typeface="宋体" panose="02010600030101010101" charset="-122"/>
          <a:cs typeface="Lucida Sans" panose="020B0602030504020204"/>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 (6)'!$B$1</c:f>
              <c:strCache>
                <c:ptCount val="1"/>
                <c:pt idx="0">
                  <c:v>金额</c:v>
                </c:pt>
              </c:strCache>
            </c:strRef>
          </c:tx>
          <c:spPr>
            <a:ln>
              <a:noFill/>
            </a:ln>
          </c:spPr>
          <c:explosion val="0"/>
          <c:dPt>
            <c:idx val="0"/>
            <c:bubble3D val="0"/>
            <c:spPr>
              <a:solidFill>
                <a:srgbClr val="4F81BD"/>
              </a:solidFill>
            </c:spPr>
          </c:dPt>
          <c:dPt>
            <c:idx val="1"/>
            <c:bubble3D val="0"/>
            <c:spPr>
              <a:solidFill>
                <a:srgbClr val="C0504D"/>
              </a:solidFill>
            </c:spPr>
          </c:dPt>
          <c:dPt>
            <c:idx val="2"/>
            <c:bubble3D val="0"/>
            <c:spPr>
              <a:solidFill>
                <a:srgbClr val="9BBB59"/>
              </a:solidFill>
            </c:spPr>
          </c:dPt>
          <c:dPt>
            <c:idx val="3"/>
            <c:bubble3D val="0"/>
            <c:spPr>
              <a:solidFill>
                <a:srgbClr val="8064A2"/>
              </a:solidFill>
            </c:spPr>
          </c:dPt>
          <c:dLbls>
            <c:dLbl>
              <c:idx val="0"/>
              <c:delete val="1"/>
            </c:dLbl>
            <c:dLbl>
              <c:idx val="1"/>
              <c:delete val="1"/>
            </c:dLbl>
            <c:dLbl>
              <c:idx val="2"/>
              <c:delete val="1"/>
            </c:dLbl>
            <c:dLbl>
              <c:idx val="3"/>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panose="020B0602030504020204"/>
                  </a:defRPr>
                </a:pPr>
              </a:p>
            </c:txPr>
            <c:dLblPos val="bestFit"/>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(6)'!$A$2:$A$5</c:f>
              <c:strCache>
                <c:ptCount val="4"/>
                <c:pt idx="0">
                  <c:v>一般公共服务支出78.73%</c:v>
                </c:pt>
                <c:pt idx="1">
                  <c:v>社会保障和就业支出10.75%</c:v>
                </c:pt>
                <c:pt idx="2">
                  <c:v>卫生健康支出4.37%</c:v>
                </c:pt>
                <c:pt idx="3">
                  <c:v>住房保障支出6.15%</c:v>
                </c:pt>
              </c:strCache>
            </c:strRef>
          </c:cat>
          <c:val>
            <c:numRef>
              <c:f>'Sheet1 (6)'!$B$2:$B$5</c:f>
              <c:numCache>
                <c:formatCode>General</c:formatCode>
                <c:ptCount val="4"/>
                <c:pt idx="0">
                  <c:v>1028.28</c:v>
                </c:pt>
                <c:pt idx="1">
                  <c:v>140.43</c:v>
                </c:pt>
                <c:pt idx="2">
                  <c:v>57.09</c:v>
                </c:pt>
                <c:pt idx="3">
                  <c:v>80.28</c:v>
                </c:pt>
              </c:numCache>
            </c:numRef>
          </c:val>
        </c:ser>
        <c:ser>
          <c:idx val="1"/>
          <c:order val="1"/>
          <c:spPr>
            <a:ln>
              <a:noFill/>
            </a:ln>
          </c:spPr>
          <c:explosion val="0"/>
          <c:dPt>
            <c:idx val="0"/>
            <c:bubble3D val="0"/>
            <c:spPr>
              <a:ln>
                <a:noFill/>
              </a:ln>
            </c:spPr>
          </c:dPt>
          <c:dLbls>
            <c:numFmt formatCode="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panose="020B0602030504020204"/>
                  </a:defRPr>
                </a:pPr>
              </a:p>
            </c:txPr>
            <c:dLblPos val="bestFit"/>
            <c:showLegendKey val="0"/>
            <c:showVal val="0"/>
            <c:showCatName val="0"/>
            <c:showSerName val="0"/>
            <c:showPercent val="1"/>
            <c:showBubbleSize val="0"/>
            <c:showLeaderLines val="0"/>
            <c:extLst>
              <c:ext xmlns:c15="http://schemas.microsoft.com/office/drawing/2012/chart" uri="{CE6537A1-D6FC-4f65-9D91-7224C49458BB}">
                <c15:layout/>
                <c15:showLeaderLines val="0"/>
                <c15:leaderLines/>
              </c:ext>
            </c:extLst>
          </c:dLbls>
          <c:cat>
            <c:strRef>
              <c:f>'Sheet1 (6)'!$A$2:$A$5</c:f>
              <c:strCache>
                <c:ptCount val="4"/>
                <c:pt idx="0">
                  <c:v>一般公共服务支出78.73%</c:v>
                </c:pt>
                <c:pt idx="1">
                  <c:v>社会保障和就业支出10.75%</c:v>
                </c:pt>
                <c:pt idx="2">
                  <c:v>卫生健康支出4.37%</c:v>
                </c:pt>
                <c:pt idx="3">
                  <c:v>住房保障支出6.15%</c:v>
                </c:pt>
              </c:strCache>
            </c:strRef>
          </c:cat>
          <c:val>
            <c:numRef>
              <c:f>{1}</c:f>
              <c:numCache>
                <c:formatCode>General</c:formatCode>
                <c:ptCount val="1"/>
                <c:pt idx="0">
                  <c:v>1</c:v>
                </c:pt>
              </c:numCache>
            </c:numRef>
          </c:val>
        </c:ser>
        <c:dLbls>
          <c:showLegendKey val="0"/>
          <c:showVal val="0"/>
          <c:showCatName val="0"/>
          <c:showSerName val="0"/>
          <c:showPercent val="0"/>
          <c:showBubbleSize val="0"/>
          <c:showLeaderLines val="1"/>
        </c:dLbls>
        <c:firstSliceAng val="0"/>
      </c:pieChart>
      <c:spPr>
        <a:noFill/>
      </c:spPr>
    </c:plotArea>
    <c:legend>
      <c:legendPos val="r"/>
      <c:layout>
        <c:manualLayout>
          <c:xMode val="edge"/>
          <c:yMode val="edge"/>
          <c:x val="0.67723846"/>
          <c:y val="0.084125675"/>
          <c:w val="0.31807625"/>
          <c:h val="0.86161566"/>
        </c:manualLayout>
      </c:layout>
      <c:overlay val="0"/>
      <c:spPr>
        <a:noFill/>
        <a:ln>
          <a:noFill/>
        </a:ln>
      </c:spPr>
      <c:txPr>
        <a:bodyPr rot="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panose="020B0602030504020204"/>
            </a:defRPr>
          </a:pPr>
        </a:p>
      </c:txPr>
    </c:legend>
    <c:plotVisOnly val="1"/>
    <c:dispBlanksAs val="gap"/>
    <c:showDLblsOverMax val="0"/>
    <c:extLst>
      <c:ext uri="{0b15fc19-7d7d-44ad-8c2d-2c3a37ce22c3}">
        <chartProps xmlns="https://web.wps.cn/et/2018/main" chartId="{7f315c16-4214-41fb-8bb0-ef2cb3238680}"/>
      </c:ext>
    </c:extLst>
  </c:chart>
  <c:txPr>
    <a:bodyPr/>
    <a:lstStyle/>
    <a:p>
      <a:pPr>
        <a:defRPr lang="zh-CN" sz="1000" b="0" i="0" u="none" strike="noStrike" baseline="0">
          <a:solidFill>
            <a:srgbClr val="000000"/>
          </a:solidFill>
          <a:latin typeface="Times New Roman" panose="02020603050405020304"/>
          <a:ea typeface="宋体" panose="02010600030101010101" charset="-122"/>
          <a:cs typeface="Lucida Sans" panose="020B0602030504020204"/>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Times New Roman" panose="02020603050405020304"/>
                <a:ea typeface="宋体" panose="02010600030101010101" charset="-122"/>
                <a:cs typeface="Lucida Sans" panose="020B0602030504020204"/>
              </a:defRPr>
            </a:pPr>
            <a:r>
              <a:rPr lang="zh-CN"/>
              <a:t>三公经费</a:t>
            </a:r>
            <a:endParaRPr lang="zh-CN"/>
          </a:p>
        </c:rich>
      </c:tx>
      <c:layout/>
      <c:overlay val="0"/>
      <c:spPr>
        <a:noFill/>
        <a:ln>
          <a:noFill/>
        </a:ln>
      </c:spPr>
    </c:title>
    <c:autoTitleDeleted val="0"/>
    <c:plotArea>
      <c:layout/>
      <c:pieChart>
        <c:varyColors val="1"/>
        <c:ser>
          <c:idx val="0"/>
          <c:order val="0"/>
          <c:tx>
            <c:strRef>
              <c:f>'Sheet1 (7)'!$B$1</c:f>
              <c:strCache>
                <c:ptCount val="1"/>
                <c:pt idx="0">
                  <c:v>三公经费</c:v>
                </c:pt>
              </c:strCache>
            </c:strRef>
          </c:tx>
          <c:spPr>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Lbls>
            <c:dLbl>
              <c:idx val="0"/>
              <c:delete val="1"/>
            </c:dLbl>
            <c:dLbl>
              <c:idx val="1"/>
              <c:delete val="1"/>
            </c:dLbl>
            <c:dLbl>
              <c:idx val="2"/>
              <c:delete val="1"/>
            </c:dLbl>
            <c:dLbl>
              <c:idx val="3"/>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panose="020B0602030504020204"/>
                  </a:defRPr>
                </a:pPr>
              </a:p>
            </c:txPr>
            <c:dLblPos val="bestFit"/>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(7)'!$A$2:$A$5</c:f>
              <c:strCache>
                <c:ptCount val="4"/>
                <c:pt idx="0">
                  <c:v>公务接待费0.19%</c:v>
                </c:pt>
                <c:pt idx="1">
                  <c:v>公务用车购置费0%</c:v>
                </c:pt>
                <c:pt idx="2">
                  <c:v>公车运行维护费99.81%</c:v>
                </c:pt>
                <c:pt idx="3">
                  <c:v>因公出国（境）费0%</c:v>
                </c:pt>
              </c:strCache>
            </c:strRef>
          </c:cat>
          <c:val>
            <c:numRef>
              <c:f>'Sheet1 (7)'!$B$2:$B$5</c:f>
              <c:numCache>
                <c:formatCode>General</c:formatCode>
                <c:ptCount val="4"/>
                <c:pt idx="0">
                  <c:v>0.13</c:v>
                </c:pt>
                <c:pt idx="1">
                  <c:v>0</c:v>
                </c:pt>
                <c:pt idx="2">
                  <c:v>67.8</c:v>
                </c:pt>
                <c:pt idx="3">
                  <c:v>0</c:v>
                </c:pt>
              </c:numCache>
            </c:numRef>
          </c:val>
        </c:ser>
        <c:dLbls>
          <c:showLegendKey val="0"/>
          <c:showVal val="0"/>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panose="020B0602030504020204"/>
            </a:defRPr>
          </a:pPr>
        </a:p>
      </c:txPr>
    </c:legend>
    <c:plotVisOnly val="1"/>
    <c:dispBlanksAs val="gap"/>
    <c:showDLblsOverMax val="0"/>
    <c:extLst>
      <c:ext uri="{0b15fc19-7d7d-44ad-8c2d-2c3a37ce22c3}">
        <chartProps xmlns="https://web.wps.cn/et/2018/main" chartId="{d92135f5-920d-49ac-a5ea-d6fbfbe8c522}"/>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panose="020B0602030504020204"/>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Company>四川省财政厅</Company>
  <Pages>31</Pages>
  <Words>6095</Words>
  <Characters>6671</Characters>
  <Lines>896</Lines>
  <Paragraphs>443</Paragraphs>
  <TotalTime>7</TotalTime>
  <ScaleCrop>false</ScaleCrop>
  <LinksUpToDate>false</LinksUpToDate>
  <CharactersWithSpaces>6727</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2022-08-18T09:31:00Z</dcterms:created>
  <dc:creator>lgk</dc:creator>
  <cp:lastModifiedBy>蔻蔻</cp:lastModifiedBy>
  <cp:lastPrinted>2026-08-25T15:24:00Z</cp:lastPrinted>
  <dcterms:modified xsi:type="dcterms:W3CDTF">2026-08-25T08:22:02Z</dcterms:modified>
  <dc:title>四川省决算编制说明</dc:title>
  <cp:revision>303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B93CA6F4BEAD4F359769D1203595D585</vt:lpwstr>
  </property>
  <property fmtid="{D5CDD505-2E9C-101B-9397-08002B2CF9AE}" pid="4" name="KSOTemplateDocerSaveRecord">
    <vt:lpwstr>eyJoZGlkIjoiMDYxYjM2YWY4Y2Y3NmFlZWZjNjI1Y2UyZWJhNWZhMDUiLCJ1c2VySWQiOiI1OTk0MDM5NjkifQ==</vt:lpwstr>
  </property>
</Properties>
</file>