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A0B37C">
      <w:pPr>
        <w:rPr>
          <w:rFonts w:ascii="宋体" w:eastAsia="宋体"/>
          <w:b/>
          <w:sz w:val="72"/>
          <w:szCs w:val="72"/>
        </w:rPr>
      </w:pPr>
      <w:bookmarkStart w:id="0" w:name="_Toc15306267"/>
      <w:bookmarkStart w:id="1" w:name="_Toc15378441"/>
      <w:bookmarkStart w:id="2" w:name="_Toc15377193"/>
      <w:bookmarkStart w:id="3" w:name="_Toc15396475"/>
      <w:bookmarkStart w:id="4" w:name="_Toc15377425"/>
      <w:bookmarkStart w:id="5" w:name="_Toc15396597"/>
    </w:p>
    <w:p w14:paraId="375A2AE1">
      <w:pPr>
        <w:pStyle w:val="2"/>
        <w:ind w:firstLine="0"/>
      </w:pPr>
    </w:p>
    <w:bookmarkEnd w:id="0"/>
    <w:bookmarkEnd w:id="1"/>
    <w:bookmarkEnd w:id="2"/>
    <w:bookmarkEnd w:id="3"/>
    <w:bookmarkEnd w:id="4"/>
    <w:bookmarkEnd w:id="5"/>
    <w:p w14:paraId="21456DFD">
      <w:pPr>
        <w:pStyle w:val="7"/>
        <w:jc w:val="center"/>
        <w:rPr>
          <w:rFonts w:hint="eastAsia" w:ascii="方正小标宋简体" w:eastAsia="方正小标宋简体" w:cs="Times New Roman"/>
          <w:color w:val="auto"/>
          <w:kern w:val="2"/>
          <w:sz w:val="44"/>
          <w:szCs w:val="44"/>
          <w:highlight w:val="none"/>
          <w:lang w:val="en-US" w:eastAsia="zh-CN" w:bidi="ar-SA"/>
        </w:rPr>
      </w:pPr>
    </w:p>
    <w:p w14:paraId="676F21CB">
      <w:pPr>
        <w:pStyle w:val="7"/>
        <w:jc w:val="center"/>
        <w:rPr>
          <w:rFonts w:hint="eastAsia" w:ascii="方正小标宋简体" w:eastAsia="方正小标宋简体" w:cs="Times New Roman"/>
          <w:color w:val="auto"/>
          <w:kern w:val="2"/>
          <w:sz w:val="44"/>
          <w:szCs w:val="44"/>
          <w:highlight w:val="none"/>
          <w:lang w:val="en-US" w:eastAsia="zh-CN" w:bidi="ar-SA"/>
        </w:rPr>
      </w:pPr>
      <w:r>
        <w:rPr>
          <w:rFonts w:hint="eastAsia" w:ascii="方正小标宋简体" w:eastAsia="方正小标宋简体" w:cs="Times New Roman"/>
          <w:color w:val="auto"/>
          <w:kern w:val="2"/>
          <w:sz w:val="44"/>
          <w:szCs w:val="44"/>
          <w:highlight w:val="none"/>
          <w:lang w:val="en-US" w:eastAsia="zh-CN" w:bidi="ar-SA"/>
        </w:rPr>
        <w:t>2025年度</w:t>
      </w:r>
      <w:bookmarkStart w:id="6" w:name="_Toc15378442"/>
      <w:bookmarkStart w:id="7" w:name="_Toc15396598"/>
      <w:bookmarkStart w:id="8" w:name="_Toc15377194"/>
      <w:bookmarkStart w:id="9" w:name="_Toc15396476"/>
      <w:bookmarkStart w:id="10" w:name="_Toc15377426"/>
      <w:r>
        <w:rPr>
          <w:rFonts w:hint="eastAsia" w:ascii="方正小标宋简体" w:eastAsia="方正小标宋简体" w:cs="Times New Roman"/>
          <w:color w:val="auto"/>
          <w:kern w:val="2"/>
          <w:sz w:val="44"/>
          <w:szCs w:val="44"/>
          <w:highlight w:val="none"/>
          <w:lang w:val="en-US" w:eastAsia="zh-CN" w:bidi="ar-SA"/>
        </w:rPr>
        <w:t>四川省阿坝州茂县</w:t>
      </w:r>
      <w:bookmarkStart w:id="11" w:name="_Toc15306268"/>
      <w:r>
        <w:rPr>
          <w:rFonts w:hint="eastAsia" w:ascii="方正小标宋简体" w:eastAsia="方正小标宋简体" w:cs="Times New Roman"/>
          <w:color w:val="auto"/>
          <w:kern w:val="2"/>
          <w:sz w:val="44"/>
          <w:szCs w:val="44"/>
          <w:highlight w:val="none"/>
          <w:lang w:val="en-US" w:eastAsia="zh-CN" w:bidi="ar-SA"/>
        </w:rPr>
        <w:t>县委办公室</w:t>
      </w:r>
    </w:p>
    <w:p w14:paraId="36382326">
      <w:pPr>
        <w:pStyle w:val="7"/>
        <w:jc w:val="center"/>
        <w:rPr>
          <w:rFonts w:hint="eastAsia" w:ascii="方正小标宋简体" w:eastAsia="方正小标宋简体" w:cs="Times New Roman"/>
          <w:color w:val="auto"/>
          <w:kern w:val="2"/>
          <w:sz w:val="44"/>
          <w:szCs w:val="44"/>
          <w:highlight w:val="none"/>
          <w:lang w:val="en-US" w:eastAsia="zh-CN" w:bidi="ar-SA"/>
        </w:rPr>
      </w:pPr>
      <w:r>
        <w:rPr>
          <w:rFonts w:hint="eastAsia" w:ascii="方正小标宋简体" w:eastAsia="方正小标宋简体" w:cs="Times New Roman"/>
          <w:color w:val="auto"/>
          <w:kern w:val="2"/>
          <w:sz w:val="44"/>
          <w:szCs w:val="44"/>
          <w:highlight w:val="none"/>
          <w:lang w:val="en-US" w:eastAsia="zh-CN" w:bidi="ar-SA"/>
        </w:rPr>
        <w:t>（事业）单位决算</w:t>
      </w:r>
      <w:bookmarkEnd w:id="6"/>
      <w:bookmarkEnd w:id="7"/>
      <w:bookmarkEnd w:id="8"/>
      <w:bookmarkEnd w:id="9"/>
      <w:bookmarkEnd w:id="10"/>
      <w:bookmarkEnd w:id="11"/>
    </w:p>
    <w:p w14:paraId="15FF5FBC">
      <w:pPr>
        <w:pStyle w:val="2"/>
      </w:pPr>
    </w:p>
    <w:p w14:paraId="05F8D214">
      <w:pPr>
        <w:pStyle w:val="2"/>
      </w:pPr>
    </w:p>
    <w:p w14:paraId="3C870087">
      <w:pPr>
        <w:pStyle w:val="2"/>
      </w:pPr>
    </w:p>
    <w:p w14:paraId="53D1FFFC">
      <w:pPr>
        <w:pStyle w:val="2"/>
      </w:pPr>
    </w:p>
    <w:p w14:paraId="6A5977D8">
      <w:pPr>
        <w:pStyle w:val="2"/>
      </w:pPr>
    </w:p>
    <w:p w14:paraId="5EB63917">
      <w:pPr>
        <w:pStyle w:val="2"/>
      </w:pPr>
    </w:p>
    <w:p w14:paraId="58CDB3B5">
      <w:pPr>
        <w:pStyle w:val="2"/>
      </w:pPr>
    </w:p>
    <w:p w14:paraId="326F4B14">
      <w:pPr>
        <w:pStyle w:val="2"/>
      </w:pPr>
    </w:p>
    <w:p w14:paraId="1648D96C">
      <w:pPr>
        <w:pStyle w:val="2"/>
      </w:pPr>
    </w:p>
    <w:p w14:paraId="6F371F32">
      <w:pPr>
        <w:pStyle w:val="2"/>
        <w:tabs>
          <w:tab w:val="left" w:pos="3600"/>
        </w:tabs>
      </w:pPr>
      <w:r>
        <w:tab/>
      </w:r>
    </w:p>
    <w:p w14:paraId="3E78575F">
      <w:pPr>
        <w:pStyle w:val="2"/>
      </w:pPr>
    </w:p>
    <w:p w14:paraId="3C2B13BF">
      <w:pPr>
        <w:pStyle w:val="2"/>
      </w:pPr>
    </w:p>
    <w:p w14:paraId="3DCDA1ED">
      <w:pPr>
        <w:pStyle w:val="2"/>
      </w:pPr>
    </w:p>
    <w:p w14:paraId="0E5D42F2">
      <w:pPr>
        <w:pStyle w:val="2"/>
      </w:pPr>
    </w:p>
    <w:p w14:paraId="49C6CA80">
      <w:pPr>
        <w:pStyle w:val="2"/>
      </w:pPr>
    </w:p>
    <w:p w14:paraId="743C50B5">
      <w:pPr>
        <w:pStyle w:val="2"/>
      </w:pPr>
    </w:p>
    <w:p w14:paraId="2B2F2BE3">
      <w:pPr>
        <w:pStyle w:val="2"/>
      </w:pPr>
    </w:p>
    <w:p w14:paraId="57263E51">
      <w:pPr>
        <w:pStyle w:val="2"/>
      </w:pPr>
    </w:p>
    <w:p w14:paraId="173C7995">
      <w:pPr>
        <w:pStyle w:val="2"/>
      </w:pPr>
    </w:p>
    <w:p w14:paraId="6B948F70">
      <w:pPr>
        <w:autoSpaceDE w:val="0"/>
        <w:autoSpaceDN w:val="0"/>
        <w:adjustRightInd w:val="0"/>
        <w:ind w:left="420" w:leftChars="200"/>
        <w:jc w:val="left"/>
        <w:rPr>
          <w:rFonts w:ascii="宋体"/>
          <w:sz w:val="32"/>
          <w:szCs w:val="32"/>
        </w:rPr>
      </w:pPr>
    </w:p>
    <w:p w14:paraId="13E7E204">
      <w:pPr>
        <w:widowControl/>
        <w:jc w:val="center"/>
        <w:rPr>
          <w:rFonts w:ascii="黑体" w:eastAsia="黑体"/>
          <w:color w:val="auto"/>
          <w:sz w:val="48"/>
          <w:szCs w:val="48"/>
          <w:highlight w:val="none"/>
        </w:rPr>
      </w:pPr>
      <w:r>
        <w:rPr>
          <w:rFonts w:ascii="方正小标宋简体" w:eastAsia="方正小标宋简体"/>
          <w:color w:val="000000"/>
          <w:sz w:val="36"/>
          <w:szCs w:val="36"/>
        </w:rPr>
        <w:br w:type="page"/>
      </w:r>
      <w:bookmarkStart w:id="12" w:name="_Toc15377196"/>
      <w:r>
        <w:rPr>
          <w:rFonts w:hint="eastAsia" w:ascii="黑体" w:eastAsia="黑体"/>
          <w:color w:val="auto"/>
          <w:sz w:val="48"/>
          <w:szCs w:val="48"/>
          <w:highlight w:val="none"/>
        </w:rPr>
        <w:t>目录</w:t>
      </w:r>
    </w:p>
    <w:p w14:paraId="04B3CC73">
      <w:pPr>
        <w:widowControl/>
        <w:jc w:val="center"/>
        <w:rPr>
          <w:rFonts w:ascii="黑体" w:eastAsia="黑体" w:cs="Times New Roman"/>
          <w:color w:val="auto"/>
          <w:sz w:val="28"/>
          <w:szCs w:val="28"/>
          <w:highlight w:val="none"/>
        </w:rPr>
      </w:pPr>
    </w:p>
    <w:p w14:paraId="16393EBF">
      <w:pPr>
        <w:pStyle w:val="14"/>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公开时间：20</w:t>
      </w:r>
      <w:r>
        <w:rPr>
          <w:rFonts w:hint="eastAsia" w:ascii="仿宋_GB2312" w:hAnsi="仿宋_GB2312" w:eastAsia="仿宋_GB2312" w:cs="仿宋_GB2312"/>
          <w:color w:val="auto"/>
          <w:sz w:val="32"/>
          <w:szCs w:val="32"/>
          <w:highlight w:val="none"/>
          <w:lang w:val="en-US" w:eastAsia="zh-CN"/>
        </w:rPr>
        <w:t>25</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日</w:t>
      </w:r>
    </w:p>
    <w:p w14:paraId="35FC3D0B">
      <w:pPr>
        <w:rPr>
          <w:color w:val="auto"/>
          <w:highlight w:val="none"/>
        </w:rPr>
      </w:pPr>
    </w:p>
    <w:p w14:paraId="4C04652F">
      <w:pPr>
        <w:pStyle w:val="14"/>
        <w:tabs>
          <w:tab w:val="right" w:leader="dot" w:pos="8306"/>
          <w:tab w:val="clear" w:pos="8296"/>
        </w:tabs>
        <w:rPr>
          <w:rFonts w:hint="eastAsia" w:ascii="仿宋_GB2312" w:hAnsi="仿宋_GB2312" w:eastAsia="仿宋_GB2312" w:cs="仿宋_GB2312"/>
          <w:sz w:val="32"/>
          <w:szCs w:val="32"/>
        </w:rPr>
      </w:pPr>
      <w:r>
        <w:rPr>
          <w:caps w:val="0"/>
          <w:smallCaps/>
          <w:sz w:val="20"/>
          <w:szCs w:val="20"/>
        </w:rPr>
        <w:fldChar w:fldCharType="begin"/>
      </w:r>
      <w:r>
        <w:rPr>
          <w:caps w:val="0"/>
          <w:smallCaps/>
          <w:sz w:val="20"/>
          <w:szCs w:val="20"/>
        </w:rPr>
        <w:instrText xml:space="preserve"> TOC \o "1-2" \h \z \u </w:instrText>
      </w:r>
      <w:r>
        <w:rPr>
          <w:caps w:val="0"/>
          <w:smallCaps/>
          <w:sz w:val="20"/>
          <w:szCs w:val="20"/>
        </w:rPr>
        <w:fldChar w:fldCharType="separate"/>
      </w: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_Toc13480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bCs/>
          <w:sz w:val="32"/>
          <w:szCs w:val="32"/>
        </w:rPr>
        <w:t xml:space="preserve">第一部分 </w:t>
      </w:r>
      <w:r>
        <w:rPr>
          <w:rFonts w:hint="eastAsia" w:ascii="仿宋_GB2312" w:hAnsi="仿宋_GB2312" w:eastAsia="仿宋_GB2312" w:cs="仿宋_GB2312"/>
          <w:bCs/>
          <w:sz w:val="32"/>
          <w:szCs w:val="32"/>
          <w:lang w:val="en-US"/>
        </w:rPr>
        <w:t>单位</w:t>
      </w:r>
      <w:r>
        <w:rPr>
          <w:rFonts w:hint="eastAsia" w:ascii="仿宋_GB2312" w:hAnsi="仿宋_GB2312" w:eastAsia="仿宋_GB2312" w:cs="仿宋_GB2312"/>
          <w:bCs/>
          <w:sz w:val="32"/>
          <w:szCs w:val="32"/>
        </w:rPr>
        <w:t>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_Toc13480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4C590F7E">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_Toc2552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lang w:eastAsia="zh-CN"/>
        </w:rPr>
        <w:t>职责</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_Toc2552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4539B53D">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_Toc13327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机构设置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_Toc13327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3E638D71">
      <w:pPr>
        <w:pStyle w:val="14"/>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_Toc28017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bCs/>
          <w:sz w:val="32"/>
          <w:szCs w:val="32"/>
        </w:rPr>
        <w:t>第二部分 202</w:t>
      </w:r>
      <w:r>
        <w:rPr>
          <w:rFonts w:hint="eastAsia" w:ascii="仿宋_GB2312" w:hAnsi="仿宋_GB2312" w:eastAsia="仿宋_GB2312" w:cs="仿宋_GB2312"/>
          <w:bCs/>
          <w:sz w:val="32"/>
          <w:szCs w:val="32"/>
          <w:lang w:val="en-US"/>
        </w:rPr>
        <w:t>5</w:t>
      </w:r>
      <w:r>
        <w:rPr>
          <w:rFonts w:hint="eastAsia" w:ascii="仿宋_GB2312" w:hAnsi="仿宋_GB2312" w:eastAsia="仿宋_GB2312" w:cs="仿宋_GB2312"/>
          <w:bCs/>
          <w:sz w:val="32"/>
          <w:szCs w:val="32"/>
        </w:rPr>
        <w:t>年度</w:t>
      </w:r>
      <w:r>
        <w:rPr>
          <w:rFonts w:hint="eastAsia" w:ascii="仿宋_GB2312" w:hAnsi="仿宋_GB2312" w:eastAsia="仿宋_GB2312" w:cs="仿宋_GB2312"/>
          <w:bCs/>
          <w:sz w:val="32"/>
          <w:szCs w:val="32"/>
          <w:lang w:val="en-US"/>
        </w:rPr>
        <w:t>单位</w:t>
      </w:r>
      <w:r>
        <w:rPr>
          <w:rFonts w:hint="eastAsia" w:ascii="仿宋_GB2312" w:hAnsi="仿宋_GB2312" w:eastAsia="仿宋_GB2312" w:cs="仿宋_GB2312"/>
          <w:bCs/>
          <w:sz w:val="32"/>
          <w:szCs w:val="32"/>
        </w:rPr>
        <w:t>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_Toc28017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3E5067CC">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_Toc1349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sz w:val="32"/>
          <w:szCs w:val="32"/>
          <w:lang w:val="en-US" w:eastAsia="zh-CN"/>
        </w:rPr>
        <w:t>一、收入支出决算总体情况说明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_Toc1349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2D7F6FA3">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_Toc24946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sz w:val="32"/>
          <w:szCs w:val="32"/>
          <w:lang w:val="en-US" w:eastAsia="zh-CN"/>
        </w:rPr>
        <w:t>二、收入决算情况说明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_Toc24946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7FF02C24">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_Toc24607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sz w:val="32"/>
          <w:szCs w:val="32"/>
          <w:lang w:val="en-US" w:eastAsia="zh-CN"/>
        </w:rPr>
        <w:t>三、支出决算情况说明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_Toc24607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2002BE81">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_Toc28656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sz w:val="32"/>
          <w:szCs w:val="32"/>
          <w:lang w:val="en-US" w:eastAsia="zh-CN"/>
        </w:rPr>
        <w:t>四、财政拨款收入支出决算总体情况说明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_Toc28656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35185A08">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_Toc3235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sz w:val="32"/>
          <w:szCs w:val="32"/>
          <w:lang w:val="en-US" w:eastAsia="zh-CN"/>
        </w:rPr>
        <w:t>五、一般公共预算财政拨款支出决算情况说明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_Toc3235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27B14CE1">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_Toc17156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sz w:val="32"/>
          <w:szCs w:val="32"/>
          <w:lang w:val="en-US" w:eastAsia="zh-CN"/>
        </w:rPr>
        <w:t>六、一般公共预算财政拨款基本支出决算情况说明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_Toc17156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33620242">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_Toc26532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sz w:val="32"/>
          <w:szCs w:val="32"/>
          <w:lang w:val="en-US" w:eastAsia="zh-CN"/>
        </w:rPr>
        <w:t>七、“三公”经费财政拨款支出决算情况说明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_Toc26532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6E2CD061">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_Toc6889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sz w:val="32"/>
          <w:szCs w:val="32"/>
          <w:lang w:val="en-US" w:eastAsia="zh-CN"/>
        </w:rPr>
        <w:t>八、政府性基金预算支出决算情况说明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_Toc6889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149F3098">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_Toc29785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sz w:val="32"/>
          <w:szCs w:val="32"/>
          <w:lang w:val="en-US" w:eastAsia="zh-CN"/>
        </w:rPr>
        <w:t>九、国有资本经营预算支出决算情况说明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_Toc29785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6D419DED">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_Toc19007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sz w:val="32"/>
          <w:szCs w:val="32"/>
          <w:lang w:val="en-US" w:eastAsia="zh-CN"/>
        </w:rPr>
        <w:t>十、其他重要事项的情况说明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_Toc19007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4C60D3DC">
      <w:pPr>
        <w:pStyle w:val="14"/>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_Toc11804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bCs/>
          <w:sz w:val="32"/>
          <w:szCs w:val="32"/>
        </w:rPr>
        <w:t>第三部分 名词解释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_Toc11804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782BDAFF">
      <w:pPr>
        <w:pStyle w:val="14"/>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_Toc27974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bCs/>
          <w:sz w:val="32"/>
          <w:szCs w:val="32"/>
          <w:lang w:val="en-US" w:eastAsia="zh-CN"/>
        </w:rPr>
        <w:t xml:space="preserve">第四部分 </w:t>
      </w:r>
      <w:r>
        <w:rPr>
          <w:rFonts w:hint="eastAsia" w:ascii="仿宋_GB2312" w:hAnsi="仿宋_GB2312" w:eastAsia="仿宋_GB2312" w:cs="仿宋_GB2312"/>
          <w:bCs/>
          <w:sz w:val="32"/>
          <w:szCs w:val="32"/>
        </w:rPr>
        <w:t>附件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_Toc27974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72F8803F">
      <w:pPr>
        <w:pStyle w:val="14"/>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_Toc23864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bCs/>
          <w:sz w:val="32"/>
          <w:szCs w:val="32"/>
          <w:lang w:val="en-US" w:eastAsia="zh-CN"/>
        </w:rPr>
        <w:t>第五部分 附表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_Toc23864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1B461F3D">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_Toc31743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kern w:val="2"/>
          <w:sz w:val="32"/>
          <w:szCs w:val="32"/>
          <w:lang w:bidi="ar-SA"/>
        </w:rPr>
        <w:t>一、收入支出决算总表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_Toc31743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6CAFD40F">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_Toc12035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kern w:val="2"/>
          <w:sz w:val="32"/>
          <w:szCs w:val="32"/>
          <w:lang w:bidi="ar-SA"/>
        </w:rPr>
        <w:t>二、收入决算表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_Toc12035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2F965444">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_Toc5724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kern w:val="2"/>
          <w:sz w:val="32"/>
          <w:szCs w:val="32"/>
          <w:lang w:bidi="ar-SA"/>
        </w:rPr>
        <w:t>三、支出决算表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_Toc5724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06AFE527">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_Toc5073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kern w:val="2"/>
          <w:sz w:val="32"/>
          <w:szCs w:val="32"/>
          <w:lang w:bidi="ar-SA"/>
        </w:rPr>
        <w:t>四、财政拨款收入支出决算总表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_Toc5073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54160E12">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_Toc8932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kern w:val="2"/>
          <w:sz w:val="32"/>
          <w:szCs w:val="32"/>
          <w:lang w:bidi="ar-SA"/>
        </w:rPr>
        <w:t>五、财政拨款支出决算明细表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_Toc8932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32B99D7E">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_Toc14729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kern w:val="2"/>
          <w:sz w:val="32"/>
          <w:szCs w:val="32"/>
          <w:lang w:bidi="ar-SA"/>
        </w:rPr>
        <w:t>六、一般公共预算财政拨款支出决算表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_Toc14729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59FC430E">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_Toc23408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kern w:val="2"/>
          <w:sz w:val="32"/>
          <w:szCs w:val="32"/>
          <w:lang w:bidi="ar-SA"/>
        </w:rPr>
        <w:t>七、一般公共预算财政拨款支出决算明细表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_Toc23408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3B242778">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_Toc28645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kern w:val="2"/>
          <w:sz w:val="32"/>
          <w:szCs w:val="32"/>
          <w:lang w:bidi="ar-SA"/>
        </w:rPr>
        <w:t>八、一般公共预算财政拨款基本支出决算表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_Toc28645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159950C4">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_Toc247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kern w:val="2"/>
          <w:sz w:val="32"/>
          <w:szCs w:val="32"/>
          <w:lang w:bidi="ar-SA"/>
        </w:rPr>
        <w:t>九、一般公共预算财政拨款项目支出决算表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_Toc247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3C06E86F">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_Toc27552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kern w:val="2"/>
          <w:sz w:val="32"/>
          <w:szCs w:val="32"/>
          <w:lang w:bidi="ar-SA"/>
        </w:rPr>
        <w:t>十、政府性基金预算财政拨款收入支出决算表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_Toc27552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52A9B298">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_Toc30330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kern w:val="2"/>
          <w:sz w:val="32"/>
          <w:szCs w:val="32"/>
          <w:lang w:bidi="ar-SA"/>
        </w:rPr>
        <w:t>十一、国有资本经营预算财政拨款收入支出决算表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_Toc30330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7042896C">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_Toc18461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kern w:val="2"/>
          <w:sz w:val="32"/>
          <w:szCs w:val="32"/>
          <w:lang w:bidi="ar-SA"/>
        </w:rPr>
        <w:t>十二、国有资本经营预算财政拨款支出决算表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_Toc18461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11124ADD">
      <w:pPr>
        <w:pStyle w:val="17"/>
        <w:tabs>
          <w:tab w:val="right" w:leader="dot" w:pos="8306"/>
          <w:tab w:val="clear" w:pos="8296"/>
        </w:tabs>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_Toc17552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kern w:val="2"/>
          <w:sz w:val="32"/>
          <w:szCs w:val="32"/>
          <w:lang w:bidi="ar-SA"/>
        </w:rPr>
        <w:t>十三、财政拨款“三公”经费支出决算表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_Toc17552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06311805">
      <w:pPr>
        <w:pStyle w:val="2"/>
        <w:rPr>
          <w:caps w:val="0"/>
          <w:smallCaps/>
          <w:szCs w:val="20"/>
        </w:rPr>
      </w:pPr>
      <w:r>
        <w:rPr>
          <w:caps w:val="0"/>
          <w:smallCaps/>
          <w:szCs w:val="20"/>
        </w:rPr>
        <w:fldChar w:fldCharType="end"/>
      </w:r>
      <w:bookmarkStart w:id="13" w:name="_Toc111208495"/>
      <w:bookmarkStart w:id="14" w:name="_Toc23038"/>
      <w:bookmarkStart w:id="15" w:name="_Toc13480"/>
    </w:p>
    <w:p w14:paraId="77066ED8">
      <w:pPr>
        <w:pStyle w:val="2"/>
        <w:rPr>
          <w:caps w:val="0"/>
          <w:smallCaps/>
          <w:szCs w:val="20"/>
        </w:rPr>
      </w:pPr>
    </w:p>
    <w:p w14:paraId="44E19783">
      <w:pPr>
        <w:pStyle w:val="2"/>
        <w:rPr>
          <w:caps w:val="0"/>
          <w:smallCaps/>
          <w:szCs w:val="20"/>
        </w:rPr>
      </w:pPr>
    </w:p>
    <w:p w14:paraId="36B7A0E7">
      <w:pPr>
        <w:pStyle w:val="2"/>
        <w:rPr>
          <w:caps w:val="0"/>
          <w:smallCaps/>
          <w:szCs w:val="20"/>
        </w:rPr>
      </w:pPr>
    </w:p>
    <w:p w14:paraId="5634513C">
      <w:pPr>
        <w:pStyle w:val="2"/>
        <w:rPr>
          <w:caps w:val="0"/>
          <w:smallCaps/>
          <w:szCs w:val="20"/>
        </w:rPr>
      </w:pPr>
    </w:p>
    <w:p w14:paraId="5D5F5677">
      <w:pPr>
        <w:pStyle w:val="2"/>
        <w:rPr>
          <w:caps w:val="0"/>
          <w:smallCaps/>
          <w:szCs w:val="20"/>
        </w:rPr>
      </w:pPr>
    </w:p>
    <w:p w14:paraId="5436AD3B">
      <w:pPr>
        <w:pStyle w:val="2"/>
        <w:rPr>
          <w:caps w:val="0"/>
          <w:smallCaps/>
          <w:szCs w:val="20"/>
        </w:rPr>
      </w:pPr>
    </w:p>
    <w:p w14:paraId="790E29BB">
      <w:pPr>
        <w:pStyle w:val="2"/>
        <w:rPr>
          <w:caps w:val="0"/>
          <w:smallCaps/>
          <w:szCs w:val="20"/>
        </w:rPr>
      </w:pPr>
    </w:p>
    <w:p w14:paraId="551CE44D">
      <w:pPr>
        <w:pStyle w:val="2"/>
        <w:rPr>
          <w:caps w:val="0"/>
          <w:smallCaps/>
          <w:szCs w:val="20"/>
        </w:rPr>
      </w:pPr>
    </w:p>
    <w:p w14:paraId="69AE36A0">
      <w:pPr>
        <w:pStyle w:val="2"/>
        <w:rPr>
          <w:caps w:val="0"/>
          <w:smallCaps/>
          <w:szCs w:val="20"/>
        </w:rPr>
      </w:pPr>
    </w:p>
    <w:p w14:paraId="1642F6ED">
      <w:pPr>
        <w:pStyle w:val="2"/>
        <w:rPr>
          <w:caps w:val="0"/>
          <w:smallCaps/>
          <w:szCs w:val="20"/>
        </w:rPr>
      </w:pPr>
    </w:p>
    <w:p w14:paraId="6EE76C8D">
      <w:pPr>
        <w:pStyle w:val="2"/>
        <w:rPr>
          <w:caps w:val="0"/>
          <w:smallCaps/>
          <w:szCs w:val="20"/>
        </w:rPr>
      </w:pPr>
    </w:p>
    <w:p w14:paraId="663312A3">
      <w:pPr>
        <w:pStyle w:val="2"/>
        <w:rPr>
          <w:caps w:val="0"/>
          <w:smallCaps/>
          <w:szCs w:val="20"/>
        </w:rPr>
      </w:pPr>
    </w:p>
    <w:p w14:paraId="78781CD9">
      <w:pPr>
        <w:pStyle w:val="2"/>
        <w:rPr>
          <w:caps w:val="0"/>
          <w:smallCaps/>
          <w:szCs w:val="20"/>
        </w:rPr>
      </w:pPr>
    </w:p>
    <w:p w14:paraId="2910B7E8">
      <w:pPr>
        <w:pStyle w:val="2"/>
        <w:rPr>
          <w:caps w:val="0"/>
          <w:smallCaps/>
          <w:szCs w:val="20"/>
        </w:rPr>
      </w:pPr>
    </w:p>
    <w:p w14:paraId="7B1E8C23">
      <w:pPr>
        <w:pStyle w:val="2"/>
        <w:rPr>
          <w:caps w:val="0"/>
          <w:smallCaps/>
          <w:szCs w:val="20"/>
        </w:rPr>
      </w:pPr>
    </w:p>
    <w:p w14:paraId="7E00F7D1">
      <w:pPr>
        <w:pStyle w:val="2"/>
        <w:rPr>
          <w:caps w:val="0"/>
          <w:smallCaps/>
          <w:szCs w:val="20"/>
        </w:rPr>
      </w:pPr>
    </w:p>
    <w:p w14:paraId="485474FF">
      <w:pPr>
        <w:pStyle w:val="2"/>
        <w:rPr>
          <w:caps w:val="0"/>
          <w:smallCaps/>
          <w:szCs w:val="20"/>
        </w:rPr>
      </w:pPr>
    </w:p>
    <w:p w14:paraId="341A749F">
      <w:pPr>
        <w:pStyle w:val="2"/>
        <w:rPr>
          <w:caps w:val="0"/>
          <w:smallCaps/>
          <w:szCs w:val="20"/>
        </w:rPr>
      </w:pPr>
    </w:p>
    <w:p w14:paraId="465AAD6C">
      <w:pPr>
        <w:pStyle w:val="2"/>
        <w:ind w:firstLine="1098" w:firstLineChars="523"/>
        <w:rPr>
          <w:caps w:val="0"/>
          <w:smallCaps/>
          <w:szCs w:val="20"/>
        </w:rPr>
      </w:pPr>
    </w:p>
    <w:p w14:paraId="642FE56A">
      <w:pPr>
        <w:pStyle w:val="2"/>
        <w:ind w:firstLine="1098" w:firstLineChars="523"/>
        <w:rPr>
          <w:caps w:val="0"/>
          <w:smallCaps/>
          <w:szCs w:val="20"/>
        </w:rPr>
      </w:pPr>
    </w:p>
    <w:p w14:paraId="43F94D40">
      <w:pPr>
        <w:pStyle w:val="2"/>
        <w:ind w:firstLine="2310" w:firstLineChars="523"/>
        <w:rPr>
          <w:rStyle w:val="24"/>
          <w:rFonts w:hint="eastAsia" w:ascii="方正公文小标宋" w:hAnsi="方正公文小标宋" w:eastAsia="方正公文小标宋" w:cs="方正公文小标宋"/>
          <w:b/>
          <w:bCs/>
        </w:rPr>
      </w:pPr>
      <w:r>
        <w:rPr>
          <w:rStyle w:val="24"/>
          <w:rFonts w:hint="eastAsia" w:ascii="方正公文小标宋" w:hAnsi="方正公文小标宋" w:eastAsia="方正公文小标宋" w:cs="方正公文小标宋"/>
          <w:b/>
          <w:bCs/>
        </w:rPr>
        <w:t xml:space="preserve">第一部分 </w:t>
      </w:r>
      <w:r>
        <w:rPr>
          <w:rStyle w:val="24"/>
          <w:rFonts w:hint="eastAsia" w:ascii="方正公文小标宋" w:hAnsi="方正公文小标宋" w:eastAsia="方正公文小标宋" w:cs="方正公文小标宋"/>
          <w:b/>
          <w:bCs/>
          <w:lang w:val="en-US"/>
        </w:rPr>
        <w:t>单位</w:t>
      </w:r>
      <w:r>
        <w:rPr>
          <w:rStyle w:val="24"/>
          <w:rFonts w:hint="eastAsia" w:ascii="方正公文小标宋" w:hAnsi="方正公文小标宋" w:eastAsia="方正公文小标宋" w:cs="方正公文小标宋"/>
          <w:b/>
          <w:bCs/>
        </w:rPr>
        <w:t>概况</w:t>
      </w:r>
      <w:bookmarkEnd w:id="12"/>
      <w:bookmarkEnd w:id="13"/>
      <w:bookmarkEnd w:id="14"/>
      <w:bookmarkEnd w:id="15"/>
    </w:p>
    <w:p w14:paraId="40A319B4">
      <w:pPr>
        <w:pStyle w:val="4"/>
        <w:pageBreakBefore w:val="0"/>
        <w:kinsoku/>
        <w:wordWrap/>
        <w:overflowPunct/>
        <w:topLinePunct w:val="0"/>
        <w:autoSpaceDE/>
        <w:autoSpaceDN/>
        <w:bidi w:val="0"/>
        <w:spacing w:before="0" w:after="0" w:line="576" w:lineRule="exact"/>
        <w:ind w:firstLine="640" w:firstLineChars="200"/>
        <w:textAlignment w:val="auto"/>
        <w:rPr>
          <w:rFonts w:hint="eastAsia" w:ascii="黑体" w:eastAsia="黑体"/>
          <w:b w:val="0"/>
          <w:color w:val="000000"/>
        </w:rPr>
      </w:pPr>
      <w:bookmarkStart w:id="16" w:name="_Toc79163602"/>
      <w:bookmarkStart w:id="17" w:name="_Toc10216"/>
      <w:bookmarkStart w:id="18" w:name="_Toc15377197"/>
      <w:bookmarkStart w:id="19" w:name="_Toc15396600"/>
      <w:bookmarkStart w:id="20" w:name="_Toc25800"/>
      <w:bookmarkStart w:id="21" w:name="_Toc2552"/>
      <w:bookmarkStart w:id="22" w:name="_Toc15377204"/>
      <w:r>
        <w:rPr>
          <w:rFonts w:hint="eastAsia" w:ascii="黑体" w:eastAsia="黑体"/>
          <w:b w:val="0"/>
          <w:color w:val="000000"/>
        </w:rPr>
        <w:t>一、</w:t>
      </w:r>
      <w:bookmarkEnd w:id="16"/>
      <w:bookmarkEnd w:id="17"/>
      <w:bookmarkEnd w:id="18"/>
      <w:bookmarkEnd w:id="19"/>
      <w:bookmarkEnd w:id="20"/>
      <w:r>
        <w:rPr>
          <w:rFonts w:hint="eastAsia" w:ascii="黑体" w:eastAsia="黑体"/>
          <w:b w:val="0"/>
          <w:color w:val="000000"/>
          <w:lang w:val="en-US" w:eastAsia="zh-CN"/>
        </w:rPr>
        <w:t>单位</w:t>
      </w:r>
      <w:r>
        <w:rPr>
          <w:rFonts w:hint="eastAsia" w:ascii="黑体" w:eastAsia="黑体"/>
          <w:b w:val="0"/>
          <w:color w:val="000000"/>
          <w:lang w:eastAsia="zh-CN"/>
        </w:rPr>
        <w:t>职责</w:t>
      </w:r>
      <w:bookmarkEnd w:id="21"/>
      <w:bookmarkStart w:id="23" w:name="_Toc15377198"/>
      <w:bookmarkStart w:id="24" w:name="_Toc15378445"/>
    </w:p>
    <w:bookmarkEnd w:id="23"/>
    <w:bookmarkEnd w:id="24"/>
    <w:p w14:paraId="592D79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bookmarkStart w:id="25" w:name="_Toc31514"/>
      <w:bookmarkStart w:id="26" w:name="_Toc15377200"/>
      <w:r>
        <w:rPr>
          <w:rFonts w:hint="eastAsia" w:ascii="仿宋_GB2312" w:eastAsia="仿宋_GB2312" w:cs="仿宋_GB2312"/>
          <w:sz w:val="32"/>
          <w:szCs w:val="32"/>
        </w:rPr>
        <w:t>1.贯彻执行党的路线、方针、政策以及中央、省委、州委和县委的决议、决定和工作的部署，协助县委领导处理县委日常工作，协调镇和部门工作，沟通上下左右联系；</w:t>
      </w:r>
    </w:p>
    <w:p w14:paraId="6E97F5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2.负责县委日常文书的处理、县委领导同志公务活动的组织安排、县委各类会议的组织工作；</w:t>
      </w:r>
    </w:p>
    <w:p w14:paraId="6D8466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3.负责县委文件、文稿的起草、批办、审核和印发工作；</w:t>
      </w:r>
    </w:p>
    <w:p w14:paraId="38AA8E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４.围绕县委中心工作开展调查研究，及时准确地向县委领导和上级党委反映各方面的实际情况，并提供切实可行的建议；</w:t>
      </w:r>
    </w:p>
    <w:p w14:paraId="006DDD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5.及时收集、筛选、综合整理各类情况，全面准确地为县委领导、上级党委报送信息；</w:t>
      </w:r>
    </w:p>
    <w:p w14:paraId="54176A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6.围绕县委重大决策和工作部署，进行督促检查，做好领导重要批示件、新闻舆论批评和群众反映的突出问题的查办工作；</w:t>
      </w:r>
    </w:p>
    <w:p w14:paraId="4B94E9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7.负责全县党政密码通信、密码管理和密码保密及全县商用密码管理</w:t>
      </w:r>
      <w:r>
        <w:rPr>
          <w:rFonts w:hint="eastAsia" w:ascii="仿宋_GB2312" w:eastAsia="仿宋_GB2312" w:cs="仿宋_GB2312"/>
          <w:sz w:val="32"/>
          <w:szCs w:val="32"/>
          <w:lang w:val="en-US" w:eastAsia="zh-CN"/>
        </w:rPr>
        <w:t>和上级涉密文件传递</w:t>
      </w:r>
      <w:r>
        <w:rPr>
          <w:rFonts w:hint="eastAsia" w:ascii="仿宋_GB2312" w:eastAsia="仿宋_GB2312" w:cs="仿宋_GB2312"/>
          <w:sz w:val="32"/>
          <w:szCs w:val="32"/>
        </w:rPr>
        <w:t>工作；</w:t>
      </w:r>
    </w:p>
    <w:p w14:paraId="2B0889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8.主管全县保密工作，督促、检查全县及驻本县单位、部队和企事业单位对《保密法》及其配套法规的贯彻实施情况；</w:t>
      </w:r>
    </w:p>
    <w:p w14:paraId="3426D6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eastAsia="楷体" w:cs="楷体"/>
          <w:b/>
          <w:bCs w:val="0"/>
          <w:color w:val="000000"/>
          <w:sz w:val="32"/>
          <w:szCs w:val="32"/>
        </w:rPr>
      </w:pPr>
      <w:r>
        <w:rPr>
          <w:rFonts w:hint="eastAsia" w:ascii="仿宋_GB2312" w:eastAsia="仿宋_GB2312" w:cs="仿宋_GB2312"/>
          <w:sz w:val="32"/>
          <w:szCs w:val="32"/>
        </w:rPr>
        <w:t>9.承办县委领导和上级业务部门交办的其他工作。</w:t>
      </w:r>
    </w:p>
    <w:bookmarkEnd w:id="25"/>
    <w:p w14:paraId="3C86781B">
      <w:pPr>
        <w:pStyle w:val="4"/>
        <w:pageBreakBefore w:val="0"/>
        <w:numPr>
          <w:ilvl w:val="0"/>
          <w:numId w:val="0"/>
        </w:numPr>
        <w:kinsoku/>
        <w:wordWrap/>
        <w:overflowPunct/>
        <w:topLinePunct w:val="0"/>
        <w:autoSpaceDE/>
        <w:autoSpaceDN/>
        <w:bidi w:val="0"/>
        <w:spacing w:before="0" w:after="0" w:line="576" w:lineRule="exact"/>
        <w:ind w:firstLine="640" w:firstLineChars="200"/>
        <w:textAlignment w:val="auto"/>
        <w:rPr>
          <w:rFonts w:hint="eastAsia" w:ascii="黑体" w:eastAsia="黑体"/>
          <w:b w:val="0"/>
          <w:color w:val="000000"/>
        </w:rPr>
      </w:pPr>
      <w:bookmarkStart w:id="27" w:name="_Toc2743"/>
      <w:bookmarkStart w:id="28" w:name="_Toc111208497"/>
      <w:bookmarkStart w:id="29" w:name="_Toc13327"/>
      <w:r>
        <w:rPr>
          <w:rFonts w:hint="eastAsia" w:ascii="黑体" w:eastAsia="黑体"/>
          <w:b w:val="0"/>
          <w:color w:val="000000"/>
          <w:lang w:val="en-US" w:eastAsia="zh-CN"/>
        </w:rPr>
        <w:t>二、</w:t>
      </w:r>
      <w:r>
        <w:rPr>
          <w:rFonts w:hint="eastAsia" w:ascii="黑体" w:eastAsia="黑体"/>
          <w:b w:val="0"/>
          <w:color w:val="000000"/>
        </w:rPr>
        <w:t>机构设置</w:t>
      </w:r>
      <w:bookmarkEnd w:id="26"/>
      <w:bookmarkEnd w:id="27"/>
      <w:bookmarkEnd w:id="28"/>
      <w:bookmarkEnd w:id="29"/>
      <w:bookmarkStart w:id="30" w:name="_Toc4385"/>
      <w:bookmarkStart w:id="31" w:name="_Toc671"/>
      <w:bookmarkStart w:id="32" w:name="_Toc6325"/>
      <w:bookmarkStart w:id="33" w:name="_Toc17616"/>
      <w:bookmarkStart w:id="34" w:name="_Toc1153"/>
      <w:bookmarkStart w:id="35" w:name="_Toc4756"/>
      <w:bookmarkStart w:id="36" w:name="_Toc111208498"/>
    </w:p>
    <w:p w14:paraId="5CA8E577">
      <w:pPr>
        <w:pStyle w:val="4"/>
        <w:pageBreakBefore w:val="0"/>
        <w:numPr>
          <w:ilvl w:val="0"/>
          <w:numId w:val="0"/>
        </w:numPr>
        <w:kinsoku/>
        <w:wordWrap/>
        <w:overflowPunct/>
        <w:topLinePunct w:val="0"/>
        <w:autoSpaceDE/>
        <w:autoSpaceDN/>
        <w:bidi w:val="0"/>
        <w:spacing w:before="0" w:after="0" w:line="576" w:lineRule="exact"/>
        <w:ind w:firstLine="640" w:firstLineChars="200"/>
        <w:textAlignment w:val="auto"/>
        <w:rPr>
          <w:rFonts w:hint="eastAsia" w:ascii="黑体" w:eastAsia="黑体" w:cs="黑体"/>
        </w:rPr>
      </w:pPr>
      <w:bookmarkStart w:id="37" w:name="_Toc18015"/>
      <w:bookmarkStart w:id="38" w:name="_Toc28833"/>
      <w:bookmarkStart w:id="39" w:name="_Toc30441"/>
      <w:bookmarkStart w:id="40" w:name="_Toc17689"/>
      <w:bookmarkStart w:id="41" w:name="_Toc7863"/>
      <w:r>
        <w:rPr>
          <w:rFonts w:hint="eastAsia" w:ascii="仿宋_GB2312" w:hAnsi="仿宋_GB2312" w:eastAsia="仿宋_GB2312" w:cs="仿宋_GB2312"/>
          <w:b w:val="0"/>
          <w:bCs w:val="0"/>
        </w:rPr>
        <w:t>县委办下属二级单位0个，其中行政单位0个，参照公务员法管理的事业单位0个，其他事业单位0个。</w:t>
      </w:r>
      <w:bookmarkEnd w:id="30"/>
      <w:bookmarkEnd w:id="31"/>
      <w:bookmarkEnd w:id="32"/>
      <w:bookmarkEnd w:id="33"/>
      <w:bookmarkEnd w:id="34"/>
      <w:bookmarkEnd w:id="37"/>
      <w:bookmarkEnd w:id="38"/>
      <w:bookmarkEnd w:id="39"/>
      <w:bookmarkEnd w:id="40"/>
      <w:bookmarkEnd w:id="41"/>
    </w:p>
    <w:p w14:paraId="0AC6A957">
      <w:pPr>
        <w:pStyle w:val="3"/>
        <w:keepNext/>
        <w:keepLines/>
        <w:pageBreakBefore w:val="0"/>
        <w:widowControl w:val="0"/>
        <w:kinsoku/>
        <w:wordWrap/>
        <w:overflowPunct/>
        <w:topLinePunct w:val="0"/>
        <w:autoSpaceDE/>
        <w:autoSpaceDN/>
        <w:bidi w:val="0"/>
        <w:adjustRightInd/>
        <w:snapToGrid/>
        <w:spacing w:after="157" w:afterLines="50" w:line="579" w:lineRule="auto"/>
        <w:jc w:val="center"/>
        <w:textAlignment w:val="auto"/>
        <w:rPr>
          <w:rStyle w:val="24"/>
          <w:rFonts w:hint="eastAsia" w:ascii="方正公文小标宋" w:hAnsi="方正公文小标宋" w:eastAsia="方正公文小标宋" w:cs="方正公文小标宋"/>
          <w:b/>
          <w:bCs/>
        </w:rPr>
      </w:pPr>
      <w:bookmarkStart w:id="42" w:name="_Toc28017"/>
      <w:r>
        <w:rPr>
          <w:rStyle w:val="24"/>
          <w:rFonts w:hint="eastAsia" w:ascii="方正公文小标宋" w:hAnsi="方正公文小标宋" w:eastAsia="方正公文小标宋" w:cs="方正公文小标宋"/>
          <w:b/>
          <w:bCs/>
        </w:rPr>
        <w:t>第二部分 202</w:t>
      </w:r>
      <w:r>
        <w:rPr>
          <w:rStyle w:val="24"/>
          <w:rFonts w:hint="eastAsia" w:ascii="方正公文小标宋" w:hAnsi="方正公文小标宋" w:eastAsia="方正公文小标宋" w:cs="方正公文小标宋"/>
          <w:b/>
          <w:bCs/>
          <w:lang w:val="en-US"/>
        </w:rPr>
        <w:t>5</w:t>
      </w:r>
      <w:r>
        <w:rPr>
          <w:rStyle w:val="24"/>
          <w:rFonts w:hint="eastAsia" w:ascii="方正公文小标宋" w:hAnsi="方正公文小标宋" w:eastAsia="方正公文小标宋" w:cs="方正公文小标宋"/>
          <w:b/>
          <w:bCs/>
        </w:rPr>
        <w:t>年度</w:t>
      </w:r>
      <w:r>
        <w:rPr>
          <w:rStyle w:val="24"/>
          <w:rFonts w:hint="eastAsia" w:ascii="方正公文小标宋" w:hAnsi="方正公文小标宋" w:eastAsia="方正公文小标宋" w:cs="方正公文小标宋"/>
          <w:b/>
          <w:bCs/>
          <w:lang w:val="en-US"/>
        </w:rPr>
        <w:t>单位</w:t>
      </w:r>
      <w:r>
        <w:rPr>
          <w:rStyle w:val="24"/>
          <w:rFonts w:hint="eastAsia" w:ascii="方正公文小标宋" w:hAnsi="方正公文小标宋" w:eastAsia="方正公文小标宋" w:cs="方正公文小标宋"/>
          <w:b/>
          <w:bCs/>
        </w:rPr>
        <w:t>决算情况说明</w:t>
      </w:r>
      <w:bookmarkEnd w:id="22"/>
      <w:bookmarkEnd w:id="35"/>
      <w:bookmarkEnd w:id="36"/>
      <w:bookmarkEnd w:id="42"/>
    </w:p>
    <w:p w14:paraId="46295A15">
      <w:pPr>
        <w:pStyle w:val="4"/>
        <w:pageBreakBefore w:val="0"/>
        <w:numPr>
          <w:ilvl w:val="0"/>
          <w:numId w:val="0"/>
        </w:numPr>
        <w:kinsoku/>
        <w:wordWrap/>
        <w:overflowPunct/>
        <w:topLinePunct w:val="0"/>
        <w:autoSpaceDE/>
        <w:autoSpaceDN/>
        <w:bidi w:val="0"/>
        <w:spacing w:before="0" w:after="0" w:line="576" w:lineRule="exact"/>
        <w:ind w:firstLine="640" w:firstLineChars="200"/>
        <w:textAlignment w:val="auto"/>
        <w:rPr>
          <w:rFonts w:hint="eastAsia" w:ascii="黑体" w:eastAsia="黑体"/>
          <w:b w:val="0"/>
          <w:color w:val="000000"/>
          <w:lang w:val="en-US" w:eastAsia="zh-CN"/>
        </w:rPr>
      </w:pPr>
      <w:bookmarkStart w:id="43" w:name="_Toc15377205"/>
      <w:bookmarkStart w:id="44" w:name="_Toc1349"/>
      <w:bookmarkStart w:id="45" w:name="_Toc26705"/>
      <w:bookmarkStart w:id="46" w:name="_Toc111208499"/>
      <w:r>
        <w:rPr>
          <w:rFonts w:hint="eastAsia" w:ascii="黑体" w:eastAsia="黑体"/>
          <w:b w:val="0"/>
          <w:color w:val="000000"/>
          <w:lang w:val="en-US" w:eastAsia="zh-CN"/>
        </w:rPr>
        <w:t>一、收入支出决算总体情况说</w:t>
      </w:r>
      <w:bookmarkEnd w:id="43"/>
      <w:r>
        <w:rPr>
          <w:rFonts w:hint="eastAsia" w:ascii="黑体" w:eastAsia="黑体"/>
          <w:b w:val="0"/>
          <w:color w:val="000000"/>
          <w:lang w:val="en-US" w:eastAsia="zh-CN"/>
        </w:rPr>
        <w:t>明</w:t>
      </w:r>
      <w:bookmarkEnd w:id="44"/>
      <w:bookmarkEnd w:id="45"/>
      <w:bookmarkEnd w:id="46"/>
    </w:p>
    <w:p w14:paraId="6DE70EF5">
      <w:pPr>
        <w:spacing w:line="600" w:lineRule="exact"/>
        <w:ind w:firstLine="640" w:firstLineChars="200"/>
        <w:rPr>
          <w:rFonts w:hint="eastAsia" w:ascii="仿宋" w:eastAsia="仿宋"/>
          <w:color w:val="auto"/>
          <w:sz w:val="32"/>
          <w:szCs w:val="32"/>
          <w:highlight w:val="none"/>
          <w:lang w:eastAsia="zh-CN"/>
        </w:rPr>
      </w:pPr>
      <w:r>
        <w:rPr>
          <w:rFonts w:hint="eastAsia" w:ascii="仿宋" w:eastAsia="仿宋"/>
          <w:color w:val="auto"/>
          <w:sz w:val="32"/>
          <w:szCs w:val="32"/>
          <w:highlight w:val="none"/>
          <w:lang w:eastAsia="zh-CN"/>
        </w:rPr>
        <w:t>202</w:t>
      </w:r>
      <w:r>
        <w:rPr>
          <w:rFonts w:hint="eastAsia" w:ascii="仿宋" w:eastAsia="仿宋"/>
          <w:color w:val="auto"/>
          <w:sz w:val="32"/>
          <w:szCs w:val="32"/>
          <w:highlight w:val="none"/>
          <w:lang w:val="en-US" w:eastAsia="zh-CN"/>
        </w:rPr>
        <w:t>5</w:t>
      </w:r>
      <w:r>
        <w:rPr>
          <w:rFonts w:hint="eastAsia" w:ascii="仿宋" w:eastAsia="仿宋"/>
          <w:color w:val="auto"/>
          <w:sz w:val="32"/>
          <w:szCs w:val="32"/>
          <w:highlight w:val="none"/>
        </w:rPr>
        <w:t>年度收、支总计</w:t>
      </w:r>
      <w:r>
        <w:rPr>
          <w:rFonts w:hint="eastAsia" w:ascii="仿宋" w:eastAsia="仿宋"/>
          <w:color w:val="auto"/>
          <w:sz w:val="32"/>
          <w:szCs w:val="32"/>
          <w:highlight w:val="none"/>
          <w:lang w:eastAsia="zh-CN"/>
        </w:rPr>
        <w:t>均为</w:t>
      </w:r>
      <w:r>
        <w:rPr>
          <w:rFonts w:hint="eastAsia" w:ascii="仿宋" w:eastAsia="仿宋"/>
          <w:color w:val="auto"/>
          <w:sz w:val="32"/>
          <w:szCs w:val="32"/>
          <w:highlight w:val="none"/>
          <w:lang w:val="en-US" w:eastAsia="zh-CN"/>
        </w:rPr>
        <w:t>205.9</w:t>
      </w:r>
      <w:r>
        <w:rPr>
          <w:rFonts w:hint="eastAsia" w:ascii="仿宋" w:eastAsia="仿宋"/>
          <w:color w:val="auto"/>
          <w:sz w:val="32"/>
          <w:szCs w:val="32"/>
          <w:highlight w:val="none"/>
        </w:rPr>
        <w:t>万元。与</w:t>
      </w:r>
      <w:r>
        <w:rPr>
          <w:rFonts w:hint="eastAsia" w:ascii="仿宋" w:eastAsia="仿宋"/>
          <w:color w:val="auto"/>
          <w:sz w:val="32"/>
          <w:szCs w:val="32"/>
          <w:highlight w:val="none"/>
          <w:lang w:eastAsia="zh-CN"/>
        </w:rPr>
        <w:t>202</w:t>
      </w:r>
      <w:r>
        <w:rPr>
          <w:rFonts w:hint="eastAsia" w:ascii="仿宋" w:eastAsia="仿宋"/>
          <w:color w:val="auto"/>
          <w:sz w:val="32"/>
          <w:szCs w:val="32"/>
          <w:highlight w:val="none"/>
          <w:lang w:val="en-US" w:eastAsia="zh-CN"/>
        </w:rPr>
        <w:t>4</w:t>
      </w:r>
      <w:r>
        <w:rPr>
          <w:rFonts w:hint="eastAsia" w:ascii="仿宋" w:eastAsia="仿宋"/>
          <w:color w:val="auto"/>
          <w:sz w:val="32"/>
          <w:szCs w:val="32"/>
          <w:highlight w:val="none"/>
        </w:rPr>
        <w:t>年</w:t>
      </w:r>
      <w:r>
        <w:rPr>
          <w:rFonts w:hint="eastAsia" w:ascii="仿宋" w:eastAsia="仿宋"/>
          <w:color w:val="auto"/>
          <w:sz w:val="32"/>
          <w:szCs w:val="32"/>
          <w:highlight w:val="none"/>
          <w:lang w:eastAsia="zh-CN"/>
        </w:rPr>
        <w:t>度</w:t>
      </w:r>
      <w:r>
        <w:rPr>
          <w:rFonts w:hint="eastAsia" w:ascii="仿宋" w:eastAsia="仿宋"/>
          <w:color w:val="auto"/>
          <w:sz w:val="32"/>
          <w:szCs w:val="32"/>
          <w:highlight w:val="none"/>
        </w:rPr>
        <w:t>相比，收、支总计各</w:t>
      </w:r>
      <w:r>
        <w:rPr>
          <w:rFonts w:hint="eastAsia" w:ascii="仿宋" w:eastAsia="仿宋"/>
          <w:color w:val="auto"/>
          <w:sz w:val="32"/>
          <w:szCs w:val="32"/>
          <w:highlight w:val="none"/>
          <w:lang w:eastAsia="zh-CN"/>
        </w:rPr>
        <w:t>增加</w:t>
      </w:r>
      <w:r>
        <w:rPr>
          <w:rFonts w:hint="eastAsia" w:ascii="仿宋" w:eastAsia="仿宋"/>
          <w:color w:val="auto"/>
          <w:sz w:val="32"/>
          <w:szCs w:val="32"/>
          <w:highlight w:val="none"/>
          <w:lang w:val="en-US" w:eastAsia="zh-CN"/>
        </w:rPr>
        <w:t>32.84</w:t>
      </w:r>
      <w:r>
        <w:rPr>
          <w:rFonts w:hint="eastAsia" w:ascii="仿宋" w:eastAsia="仿宋"/>
          <w:color w:val="auto"/>
          <w:sz w:val="32"/>
          <w:szCs w:val="32"/>
          <w:highlight w:val="none"/>
        </w:rPr>
        <w:t>万元，</w:t>
      </w:r>
      <w:r>
        <w:rPr>
          <w:rFonts w:hint="eastAsia" w:ascii="仿宋" w:eastAsia="仿宋"/>
          <w:color w:val="auto"/>
          <w:sz w:val="32"/>
          <w:szCs w:val="32"/>
          <w:highlight w:val="none"/>
          <w:lang w:eastAsia="zh-CN"/>
        </w:rPr>
        <w:t>增</w:t>
      </w:r>
      <w:r>
        <w:rPr>
          <w:rFonts w:hint="eastAsia" w:ascii="仿宋" w:eastAsia="仿宋"/>
          <w:color w:val="auto"/>
          <w:sz w:val="32"/>
          <w:szCs w:val="32"/>
          <w:highlight w:val="none"/>
          <w:lang w:val="en-US" w:eastAsia="zh-CN"/>
        </w:rPr>
        <w:t>长19</w:t>
      </w:r>
      <w:r>
        <w:rPr>
          <w:rFonts w:ascii="仿宋" w:eastAsia="仿宋"/>
          <w:color w:val="auto"/>
          <w:sz w:val="32"/>
          <w:szCs w:val="32"/>
          <w:highlight w:val="none"/>
        </w:rPr>
        <w:t>%</w:t>
      </w:r>
      <w:r>
        <w:rPr>
          <w:rFonts w:hint="eastAsia" w:ascii="仿宋" w:eastAsia="仿宋"/>
          <w:color w:val="auto"/>
          <w:sz w:val="32"/>
          <w:szCs w:val="32"/>
          <w:highlight w:val="none"/>
        </w:rPr>
        <w:t>。主要变动原因是</w:t>
      </w:r>
      <w:r>
        <w:rPr>
          <w:rFonts w:hint="eastAsia" w:ascii="仿宋" w:eastAsia="仿宋"/>
          <w:color w:val="auto"/>
          <w:sz w:val="32"/>
          <w:szCs w:val="32"/>
          <w:highlight w:val="none"/>
          <w:lang w:eastAsia="zh-CN"/>
        </w:rPr>
        <w:t>：人员变动，经费开支增多。</w:t>
      </w:r>
    </w:p>
    <w:p w14:paraId="1DA48605">
      <w:pPr>
        <w:pStyle w:val="2"/>
        <w:rPr>
          <w:rFonts w:hint="eastAsia" w:ascii="仿宋_GB2312" w:eastAsia="仿宋_GB2312"/>
          <w:color w:val="000000"/>
          <w:sz w:val="32"/>
          <w:szCs w:val="32"/>
        </w:rPr>
      </w:pPr>
      <w:r>
        <w:rPr>
          <w:rFonts w:hint="eastAsia" w:ascii="仿宋_GB2312" w:eastAsia="仿宋_GB2312"/>
          <w:color w:val="000000"/>
          <w:sz w:val="32"/>
          <w:szCs w:val="32"/>
        </w:rPr>
        <w:drawing>
          <wp:anchor distT="0" distB="0" distL="114300" distR="114300" simplePos="0" relativeHeight="251659264" behindDoc="0" locked="0" layoutInCell="1" allowOverlap="1">
            <wp:simplePos x="0" y="0"/>
            <wp:positionH relativeFrom="column">
              <wp:posOffset>349250</wp:posOffset>
            </wp:positionH>
            <wp:positionV relativeFrom="paragraph">
              <wp:posOffset>277495</wp:posOffset>
            </wp:positionV>
            <wp:extent cx="4886325" cy="2819400"/>
            <wp:effectExtent l="0" t="0" r="21" b="43"/>
            <wp:wrapSquare wrapText="bothSides"/>
            <wp:docPr id="1"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73FB648B">
      <w:pPr>
        <w:pStyle w:val="2"/>
        <w:rPr>
          <w:rFonts w:hint="eastAsia" w:ascii="仿宋_GB2312" w:eastAsia="仿宋_GB2312"/>
          <w:color w:val="000000"/>
          <w:sz w:val="32"/>
          <w:szCs w:val="32"/>
        </w:rPr>
      </w:pPr>
    </w:p>
    <w:p w14:paraId="64800FF6">
      <w:pPr>
        <w:pStyle w:val="2"/>
        <w:rPr>
          <w:rFonts w:hint="eastAsia" w:ascii="仿宋_GB2312" w:eastAsia="仿宋_GB2312"/>
          <w:color w:val="000000"/>
          <w:sz w:val="32"/>
          <w:szCs w:val="32"/>
        </w:rPr>
      </w:pPr>
    </w:p>
    <w:p w14:paraId="4DB11DBC">
      <w:pPr>
        <w:pStyle w:val="2"/>
        <w:rPr>
          <w:rFonts w:hint="eastAsia" w:ascii="仿宋_GB2312" w:eastAsia="仿宋_GB2312"/>
          <w:color w:val="000000"/>
          <w:sz w:val="32"/>
          <w:szCs w:val="32"/>
        </w:rPr>
      </w:pPr>
    </w:p>
    <w:p w14:paraId="3A7FF3DA">
      <w:pPr>
        <w:pStyle w:val="2"/>
        <w:rPr>
          <w:rFonts w:hint="eastAsia" w:ascii="仿宋_GB2312" w:eastAsia="仿宋_GB2312"/>
          <w:color w:val="000000"/>
          <w:sz w:val="32"/>
          <w:szCs w:val="32"/>
        </w:rPr>
      </w:pPr>
    </w:p>
    <w:p w14:paraId="52E479C5">
      <w:pPr>
        <w:pStyle w:val="2"/>
        <w:rPr>
          <w:rFonts w:hint="eastAsia" w:ascii="仿宋_GB2312" w:eastAsia="仿宋_GB2312"/>
          <w:color w:val="000000"/>
          <w:sz w:val="32"/>
          <w:szCs w:val="32"/>
        </w:rPr>
      </w:pPr>
    </w:p>
    <w:p w14:paraId="16E6F594">
      <w:pPr>
        <w:pStyle w:val="4"/>
        <w:pageBreakBefore w:val="0"/>
        <w:numPr>
          <w:ilvl w:val="0"/>
          <w:numId w:val="0"/>
        </w:numPr>
        <w:kinsoku/>
        <w:wordWrap/>
        <w:overflowPunct/>
        <w:topLinePunct w:val="0"/>
        <w:autoSpaceDE/>
        <w:autoSpaceDN/>
        <w:bidi w:val="0"/>
        <w:spacing w:before="0" w:after="0" w:line="576" w:lineRule="exact"/>
        <w:ind w:firstLine="640" w:firstLineChars="200"/>
        <w:textAlignment w:val="auto"/>
        <w:rPr>
          <w:rFonts w:hint="eastAsia" w:ascii="黑体" w:eastAsia="黑体"/>
          <w:b w:val="0"/>
          <w:color w:val="000000"/>
          <w:lang w:val="en-US" w:eastAsia="zh-CN"/>
        </w:rPr>
      </w:pPr>
      <w:bookmarkStart w:id="47" w:name="_Toc111208500"/>
      <w:bookmarkStart w:id="48" w:name="_Toc15377206"/>
      <w:bookmarkStart w:id="49" w:name="_Toc25746"/>
      <w:bookmarkStart w:id="50" w:name="_Toc24946"/>
      <w:r>
        <w:rPr>
          <w:rFonts w:hint="eastAsia" w:ascii="黑体" w:eastAsia="黑体"/>
          <w:b w:val="0"/>
          <w:color w:val="000000"/>
          <w:lang w:val="en-US" w:eastAsia="zh-CN"/>
        </w:rPr>
        <w:t>二、收入决算情况说明</w:t>
      </w:r>
      <w:bookmarkEnd w:id="47"/>
      <w:bookmarkEnd w:id="48"/>
      <w:bookmarkEnd w:id="49"/>
      <w:bookmarkEnd w:id="50"/>
    </w:p>
    <w:p w14:paraId="5DF7A23E">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5</w:t>
      </w:r>
      <w:r>
        <w:rPr>
          <w:rFonts w:hint="eastAsia" w:ascii="仿宋_GB2312" w:eastAsia="仿宋_GB2312" w:cs="仿宋_GB2312"/>
          <w:color w:val="000000"/>
          <w:sz w:val="32"/>
          <w:szCs w:val="32"/>
        </w:rPr>
        <w:t>年本年收入合计</w:t>
      </w:r>
      <w:r>
        <w:rPr>
          <w:rFonts w:hint="eastAsia" w:ascii="仿宋" w:eastAsia="仿宋"/>
          <w:color w:val="auto"/>
          <w:sz w:val="32"/>
          <w:szCs w:val="32"/>
          <w:highlight w:val="none"/>
          <w:lang w:val="en-US" w:eastAsia="zh-CN"/>
        </w:rPr>
        <w:t>205.9</w:t>
      </w:r>
      <w:r>
        <w:rPr>
          <w:rFonts w:hint="eastAsia" w:ascii="仿宋_GB2312" w:eastAsia="仿宋_GB2312" w:cs="仿宋_GB2312"/>
          <w:color w:val="000000"/>
          <w:sz w:val="32"/>
          <w:szCs w:val="32"/>
        </w:rPr>
        <w:t>万元，其中：一般公共预算财政拨款收入</w:t>
      </w:r>
      <w:r>
        <w:rPr>
          <w:rFonts w:hint="eastAsia" w:ascii="仿宋" w:eastAsia="仿宋"/>
          <w:color w:val="auto"/>
          <w:sz w:val="32"/>
          <w:szCs w:val="32"/>
          <w:highlight w:val="none"/>
          <w:lang w:val="en-US" w:eastAsia="zh-CN"/>
        </w:rPr>
        <w:t>205.9</w:t>
      </w:r>
      <w:r>
        <w:rPr>
          <w:rFonts w:hint="eastAsia" w:ascii="仿宋_GB2312" w:eastAsia="仿宋_GB2312" w:cs="仿宋_GB2312"/>
          <w:color w:val="000000"/>
          <w:sz w:val="32"/>
          <w:szCs w:val="32"/>
        </w:rPr>
        <w:t>万元，占100%。</w:t>
      </w:r>
    </w:p>
    <w:p w14:paraId="4897A244">
      <w:pPr>
        <w:pStyle w:val="16"/>
        <w:jc w:val="center"/>
      </w:pPr>
      <w:r>
        <w:rPr>
          <w:rFonts w:hint="eastAsia" w:ascii="仿宋_GB2312" w:eastAsia="仿宋_GB2312"/>
          <w:color w:val="FF0000"/>
          <w:sz w:val="32"/>
          <w:szCs w:val="32"/>
        </w:rPr>
        <w:drawing>
          <wp:inline distT="0" distB="0" distL="114300" distR="114300">
            <wp:extent cx="4180840" cy="2286635"/>
            <wp:effectExtent l="4445" t="4445" r="5715" b="1397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246A2A9">
      <w:pPr>
        <w:pStyle w:val="4"/>
        <w:pageBreakBefore w:val="0"/>
        <w:numPr>
          <w:ilvl w:val="0"/>
          <w:numId w:val="0"/>
        </w:numPr>
        <w:kinsoku/>
        <w:wordWrap/>
        <w:overflowPunct/>
        <w:topLinePunct w:val="0"/>
        <w:autoSpaceDE/>
        <w:autoSpaceDN/>
        <w:bidi w:val="0"/>
        <w:spacing w:before="0" w:after="0" w:line="576" w:lineRule="exact"/>
        <w:ind w:firstLine="640" w:firstLineChars="200"/>
        <w:textAlignment w:val="auto"/>
        <w:rPr>
          <w:rFonts w:hint="eastAsia" w:ascii="黑体" w:eastAsia="黑体"/>
          <w:b w:val="0"/>
          <w:color w:val="000000"/>
          <w:lang w:val="en-US" w:eastAsia="zh-CN"/>
        </w:rPr>
      </w:pPr>
      <w:bookmarkStart w:id="51" w:name="_Toc24607"/>
      <w:bookmarkStart w:id="52" w:name="_Toc15377207"/>
      <w:bookmarkStart w:id="53" w:name="_Toc26388"/>
      <w:bookmarkStart w:id="54" w:name="_Toc111208501"/>
      <w:r>
        <w:rPr>
          <w:rFonts w:hint="eastAsia" w:ascii="黑体" w:eastAsia="黑体"/>
          <w:b w:val="0"/>
          <w:color w:val="000000"/>
          <w:lang w:val="en-US" w:eastAsia="zh-CN"/>
        </w:rPr>
        <w:t>三、支出决算情况说明</w:t>
      </w:r>
      <w:bookmarkEnd w:id="51"/>
      <w:bookmarkEnd w:id="52"/>
      <w:bookmarkEnd w:id="53"/>
      <w:bookmarkEnd w:id="54"/>
    </w:p>
    <w:p w14:paraId="6B04149D">
      <w:pPr>
        <w:pStyle w:val="2"/>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2025年本年支出合计</w:t>
      </w:r>
      <w:r>
        <w:rPr>
          <w:rFonts w:hint="eastAsia" w:ascii="仿宋" w:eastAsia="仿宋"/>
          <w:color w:val="auto"/>
          <w:sz w:val="32"/>
          <w:szCs w:val="32"/>
          <w:highlight w:val="none"/>
          <w:lang w:val="en-US" w:eastAsia="zh-CN"/>
        </w:rPr>
        <w:t>205.9</w:t>
      </w:r>
      <w:r>
        <w:rPr>
          <w:rFonts w:hint="eastAsia" w:ascii="仿宋_GB2312" w:eastAsia="仿宋_GB2312" w:cs="仿宋_GB2312"/>
          <w:color w:val="000000"/>
          <w:kern w:val="2"/>
          <w:sz w:val="32"/>
          <w:szCs w:val="32"/>
          <w:lang w:val="en-US" w:eastAsia="zh-CN" w:bidi="ar-SA"/>
        </w:rPr>
        <w:t>万元，其中：基本支出</w:t>
      </w:r>
      <w:r>
        <w:rPr>
          <w:rFonts w:hint="eastAsia" w:ascii="仿宋" w:eastAsia="仿宋"/>
          <w:color w:val="auto"/>
          <w:sz w:val="32"/>
          <w:szCs w:val="32"/>
          <w:highlight w:val="none"/>
          <w:lang w:val="en-US" w:eastAsia="zh-CN"/>
        </w:rPr>
        <w:t>205.9</w:t>
      </w:r>
      <w:r>
        <w:rPr>
          <w:rFonts w:hint="eastAsia" w:ascii="仿宋_GB2312" w:eastAsia="仿宋_GB2312" w:cs="仿宋_GB2312"/>
          <w:color w:val="000000"/>
          <w:kern w:val="2"/>
          <w:sz w:val="32"/>
          <w:szCs w:val="32"/>
          <w:lang w:val="en-US" w:eastAsia="zh-CN" w:bidi="ar-SA"/>
        </w:rPr>
        <w:t>万元，占100%。</w:t>
      </w:r>
      <w:r>
        <w:rPr>
          <w:rFonts w:hint="eastAsia" w:ascii="仿宋_GB2312" w:hAnsi="仿宋_GB2312" w:eastAsia="仿宋_GB2312" w:cs="仿宋_GB2312"/>
          <w:color w:val="000000"/>
          <w:sz w:val="32"/>
          <w:szCs w:val="32"/>
          <w:lang w:val="en-US" w:eastAsia="zh-CN"/>
        </w:rPr>
        <w:t xml:space="preserve">项目支出 </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sz w:val="32"/>
          <w:szCs w:val="32"/>
          <w:lang w:val="en-US" w:eastAsia="zh-CN"/>
        </w:rPr>
        <w:t>万元。</w:t>
      </w:r>
    </w:p>
    <w:p w14:paraId="1C02D1E7">
      <w:pPr>
        <w:jc w:val="center"/>
        <w:rPr>
          <w:rFonts w:hint="eastAsia" w:ascii="仿宋_GB2312" w:eastAsia="仿宋_GB2312"/>
          <w:color w:val="FF0000"/>
          <w:sz w:val="32"/>
          <w:szCs w:val="32"/>
          <w:lang w:eastAsia="zh-CN"/>
        </w:rPr>
      </w:pPr>
      <w:r>
        <w:rPr>
          <w:rFonts w:hint="eastAsia" w:ascii="仿宋_GB2312" w:eastAsia="仿宋_GB2312"/>
          <w:color w:val="FF0000"/>
          <w:sz w:val="32"/>
          <w:szCs w:val="32"/>
          <w:lang w:eastAsia="zh-CN"/>
        </w:rPr>
        <w:drawing>
          <wp:inline distT="0" distB="0" distL="114300" distR="114300">
            <wp:extent cx="3909060" cy="2581910"/>
            <wp:effectExtent l="4445" t="4445" r="10795" b="23495"/>
            <wp:docPr id="3"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CDF92E7">
      <w:pPr>
        <w:pStyle w:val="2"/>
      </w:pPr>
    </w:p>
    <w:p w14:paraId="6EC5C8E6">
      <w:pPr>
        <w:pStyle w:val="4"/>
        <w:pageBreakBefore w:val="0"/>
        <w:numPr>
          <w:ilvl w:val="0"/>
          <w:numId w:val="0"/>
        </w:numPr>
        <w:kinsoku/>
        <w:wordWrap/>
        <w:overflowPunct/>
        <w:topLinePunct w:val="0"/>
        <w:autoSpaceDE/>
        <w:autoSpaceDN/>
        <w:bidi w:val="0"/>
        <w:spacing w:before="0" w:after="0" w:line="576" w:lineRule="exact"/>
        <w:ind w:firstLine="640" w:firstLineChars="200"/>
        <w:textAlignment w:val="auto"/>
        <w:rPr>
          <w:rFonts w:hint="eastAsia" w:ascii="黑体" w:eastAsia="黑体"/>
          <w:b w:val="0"/>
          <w:color w:val="000000"/>
          <w:lang w:val="en-US" w:eastAsia="zh-CN"/>
        </w:rPr>
      </w:pPr>
      <w:bookmarkStart w:id="55" w:name="_Toc111208502"/>
      <w:bookmarkStart w:id="56" w:name="_Toc28656"/>
      <w:bookmarkStart w:id="57" w:name="_Toc27304"/>
      <w:bookmarkStart w:id="58" w:name="_Toc15377208"/>
      <w:r>
        <w:rPr>
          <w:rFonts w:hint="eastAsia" w:ascii="黑体" w:eastAsia="黑体"/>
          <w:b w:val="0"/>
          <w:color w:val="000000"/>
          <w:lang w:val="en-US" w:eastAsia="zh-CN"/>
        </w:rPr>
        <w:t>四、财政拨款收入支出决算总体情况说明</w:t>
      </w:r>
      <w:bookmarkEnd w:id="55"/>
      <w:bookmarkEnd w:id="56"/>
      <w:bookmarkEnd w:id="57"/>
      <w:bookmarkEnd w:id="58"/>
    </w:p>
    <w:p w14:paraId="60DDE274">
      <w:pPr>
        <w:spacing w:line="600" w:lineRule="exact"/>
        <w:ind w:firstLine="640" w:firstLineChars="200"/>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2025年财政拨款收、支总计</w:t>
      </w:r>
      <w:r>
        <w:rPr>
          <w:rFonts w:hint="eastAsia" w:ascii="仿宋" w:eastAsia="仿宋"/>
          <w:color w:val="auto"/>
          <w:sz w:val="32"/>
          <w:szCs w:val="32"/>
          <w:highlight w:val="none"/>
          <w:lang w:val="en-US" w:eastAsia="zh-CN"/>
        </w:rPr>
        <w:t>205.9</w:t>
      </w:r>
      <w:r>
        <w:rPr>
          <w:rFonts w:hint="eastAsia" w:ascii="仿宋_GB2312" w:eastAsia="仿宋_GB2312" w:cs="仿宋_GB2312"/>
          <w:color w:val="000000"/>
          <w:kern w:val="2"/>
          <w:sz w:val="32"/>
          <w:szCs w:val="32"/>
          <w:lang w:val="en-US" w:eastAsia="zh-CN" w:bidi="ar-SA"/>
        </w:rPr>
        <w:t>万元。与2024年相比，财政拨款收、支总计各</w:t>
      </w:r>
      <w:r>
        <w:rPr>
          <w:rFonts w:hint="eastAsia" w:ascii="仿宋" w:eastAsia="仿宋"/>
          <w:color w:val="auto"/>
          <w:sz w:val="32"/>
          <w:szCs w:val="32"/>
          <w:highlight w:val="none"/>
          <w:lang w:eastAsia="zh-CN"/>
        </w:rPr>
        <w:t>增加</w:t>
      </w:r>
      <w:r>
        <w:rPr>
          <w:rFonts w:hint="eastAsia" w:ascii="仿宋" w:eastAsia="仿宋"/>
          <w:color w:val="auto"/>
          <w:sz w:val="32"/>
          <w:szCs w:val="32"/>
          <w:highlight w:val="none"/>
          <w:lang w:val="en-US" w:eastAsia="zh-CN"/>
        </w:rPr>
        <w:t>32.84</w:t>
      </w:r>
      <w:r>
        <w:rPr>
          <w:rFonts w:hint="eastAsia" w:ascii="仿宋" w:eastAsia="仿宋"/>
          <w:color w:val="auto"/>
          <w:sz w:val="32"/>
          <w:szCs w:val="32"/>
          <w:highlight w:val="none"/>
        </w:rPr>
        <w:t>万元，</w:t>
      </w:r>
      <w:r>
        <w:rPr>
          <w:rFonts w:hint="eastAsia" w:ascii="仿宋" w:eastAsia="仿宋"/>
          <w:color w:val="auto"/>
          <w:sz w:val="32"/>
          <w:szCs w:val="32"/>
          <w:highlight w:val="none"/>
          <w:lang w:eastAsia="zh-CN"/>
        </w:rPr>
        <w:t>增</w:t>
      </w:r>
      <w:r>
        <w:rPr>
          <w:rFonts w:hint="eastAsia" w:ascii="仿宋" w:eastAsia="仿宋"/>
          <w:color w:val="auto"/>
          <w:sz w:val="32"/>
          <w:szCs w:val="32"/>
          <w:highlight w:val="none"/>
          <w:lang w:val="en-US" w:eastAsia="zh-CN"/>
        </w:rPr>
        <w:t>长19</w:t>
      </w:r>
      <w:r>
        <w:rPr>
          <w:rFonts w:ascii="仿宋" w:eastAsia="仿宋"/>
          <w:color w:val="auto"/>
          <w:sz w:val="32"/>
          <w:szCs w:val="32"/>
          <w:highlight w:val="none"/>
        </w:rPr>
        <w:t>%</w:t>
      </w:r>
      <w:r>
        <w:rPr>
          <w:rFonts w:hint="eastAsia" w:ascii="仿宋" w:eastAsia="仿宋"/>
          <w:color w:val="auto"/>
          <w:sz w:val="32"/>
          <w:szCs w:val="32"/>
          <w:highlight w:val="none"/>
        </w:rPr>
        <w:t>。主要变动原因是</w:t>
      </w:r>
      <w:r>
        <w:rPr>
          <w:rFonts w:hint="eastAsia" w:ascii="仿宋" w:eastAsia="仿宋"/>
          <w:color w:val="auto"/>
          <w:sz w:val="32"/>
          <w:szCs w:val="32"/>
          <w:highlight w:val="none"/>
          <w:lang w:eastAsia="zh-CN"/>
        </w:rPr>
        <w:t>：人员变动，经费开支增多。</w:t>
      </w:r>
    </w:p>
    <w:p w14:paraId="7EC4930E">
      <w:pPr>
        <w:pStyle w:val="2"/>
        <w:ind w:firstLine="1673" w:firstLineChars="523"/>
        <w:rPr>
          <w:rFonts w:hint="eastAsia" w:ascii="仿宋_GB2312" w:eastAsia="仿宋_GB2312" w:cs="仿宋_GB2312"/>
          <w:color w:val="000000"/>
          <w:kern w:val="2"/>
          <w:sz w:val="32"/>
          <w:szCs w:val="32"/>
          <w:lang w:val="en-US" w:eastAsia="zh-CN" w:bidi="ar-SA"/>
        </w:rPr>
      </w:pPr>
      <w:r>
        <w:rPr>
          <w:rFonts w:hint="eastAsia" w:ascii="仿宋_GB2312" w:eastAsia="仿宋_GB2312"/>
          <w:color w:val="000000"/>
          <w:sz w:val="32"/>
          <w:szCs w:val="32"/>
        </w:rPr>
        <w:drawing>
          <wp:anchor distT="0" distB="0" distL="114300" distR="114300" simplePos="0" relativeHeight="251659264" behindDoc="0" locked="0" layoutInCell="1" allowOverlap="1">
            <wp:simplePos x="0" y="0"/>
            <wp:positionH relativeFrom="column">
              <wp:posOffset>548640</wp:posOffset>
            </wp:positionH>
            <wp:positionV relativeFrom="paragraph">
              <wp:posOffset>219075</wp:posOffset>
            </wp:positionV>
            <wp:extent cx="4610735" cy="2696845"/>
            <wp:effectExtent l="0" t="0" r="39" b="22"/>
            <wp:wrapSquare wrapText="bothSides"/>
            <wp:docPr id="4"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6E953AA7">
      <w:pPr>
        <w:pStyle w:val="2"/>
        <w:jc w:val="left"/>
      </w:pPr>
    </w:p>
    <w:p w14:paraId="7C7E42C2">
      <w:pPr>
        <w:pStyle w:val="2"/>
        <w:jc w:val="left"/>
      </w:pPr>
    </w:p>
    <w:p w14:paraId="050465D8">
      <w:pPr>
        <w:pStyle w:val="2"/>
        <w:jc w:val="left"/>
      </w:pPr>
    </w:p>
    <w:p w14:paraId="506017DA">
      <w:pPr>
        <w:pStyle w:val="2"/>
        <w:jc w:val="left"/>
      </w:pPr>
    </w:p>
    <w:p w14:paraId="44515724">
      <w:pPr>
        <w:pStyle w:val="2"/>
        <w:jc w:val="left"/>
      </w:pPr>
    </w:p>
    <w:p w14:paraId="6479DB9B">
      <w:pPr>
        <w:pStyle w:val="2"/>
        <w:jc w:val="left"/>
      </w:pPr>
    </w:p>
    <w:p w14:paraId="39D96BDD">
      <w:pPr>
        <w:pStyle w:val="2"/>
        <w:jc w:val="left"/>
      </w:pPr>
    </w:p>
    <w:p w14:paraId="267C975E">
      <w:pPr>
        <w:pStyle w:val="4"/>
        <w:ind w:firstLine="640" w:firstLineChars="200"/>
        <w:rPr>
          <w:rFonts w:hint="eastAsia" w:ascii="黑体" w:eastAsia="黑体" w:cs="Times New Roman"/>
          <w:b w:val="0"/>
          <w:bCs/>
          <w:color w:val="000000"/>
        </w:rPr>
      </w:pPr>
      <w:bookmarkStart w:id="59" w:name="_Toc15377209"/>
      <w:bookmarkStart w:id="60" w:name="_Toc111208503"/>
      <w:bookmarkStart w:id="61" w:name="_Toc11217"/>
      <w:bookmarkStart w:id="62" w:name="_Toc15377211"/>
    </w:p>
    <w:p w14:paraId="685E75C1">
      <w:pPr>
        <w:pStyle w:val="4"/>
        <w:pageBreakBefore w:val="0"/>
        <w:numPr>
          <w:ilvl w:val="0"/>
          <w:numId w:val="0"/>
        </w:numPr>
        <w:kinsoku/>
        <w:wordWrap/>
        <w:overflowPunct/>
        <w:topLinePunct w:val="0"/>
        <w:autoSpaceDE/>
        <w:autoSpaceDN/>
        <w:bidi w:val="0"/>
        <w:spacing w:before="0" w:after="0" w:line="576" w:lineRule="exact"/>
        <w:ind w:firstLine="640" w:firstLineChars="200"/>
        <w:textAlignment w:val="auto"/>
        <w:rPr>
          <w:rFonts w:hint="eastAsia" w:ascii="黑体" w:eastAsia="黑体" w:cs="Times New Roman"/>
          <w:b w:val="0"/>
          <w:color w:val="000000"/>
          <w:lang w:val="en-US" w:eastAsia="zh-CN"/>
        </w:rPr>
      </w:pPr>
      <w:bookmarkStart w:id="63" w:name="_Toc3235"/>
      <w:r>
        <w:rPr>
          <w:rFonts w:hint="eastAsia" w:ascii="黑体" w:eastAsia="黑体" w:cs="Times New Roman"/>
          <w:b w:val="0"/>
          <w:color w:val="000000"/>
          <w:lang w:val="en-US" w:eastAsia="zh-CN"/>
        </w:rPr>
        <w:t>五、一般公共预算财政拨款支出决算情况说</w:t>
      </w:r>
      <w:bookmarkEnd w:id="59"/>
      <w:r>
        <w:rPr>
          <w:rFonts w:hint="eastAsia" w:ascii="黑体" w:eastAsia="黑体" w:cs="Times New Roman"/>
          <w:b w:val="0"/>
          <w:color w:val="000000"/>
          <w:lang w:val="en-US" w:eastAsia="zh-CN"/>
        </w:rPr>
        <w:t>明</w:t>
      </w:r>
      <w:bookmarkEnd w:id="60"/>
      <w:bookmarkEnd w:id="61"/>
      <w:bookmarkEnd w:id="63"/>
    </w:p>
    <w:p w14:paraId="5FA57B4F">
      <w:pPr>
        <w:spacing w:line="600" w:lineRule="exact"/>
        <w:ind w:firstLine="643" w:firstLineChars="200"/>
        <w:outlineLvl w:val="2"/>
        <w:rPr>
          <w:rFonts w:hint="eastAsia" w:ascii="楷体_GB2312" w:eastAsia="楷体_GB2312" w:cs="楷体_GB2312"/>
          <w:b/>
          <w:bCs w:val="0"/>
          <w:color w:val="000000"/>
          <w:sz w:val="32"/>
          <w:szCs w:val="32"/>
        </w:rPr>
      </w:pPr>
      <w:bookmarkStart w:id="64" w:name="_Toc15377210"/>
      <w:r>
        <w:rPr>
          <w:rFonts w:hint="eastAsia" w:ascii="楷体_GB2312" w:eastAsia="楷体_GB2312" w:cs="楷体_GB2312"/>
          <w:b/>
          <w:bCs w:val="0"/>
          <w:color w:val="000000"/>
          <w:sz w:val="32"/>
          <w:szCs w:val="32"/>
        </w:rPr>
        <w:t>（一）一般公共预算财政拨款支出决算总体情况</w:t>
      </w:r>
      <w:bookmarkEnd w:id="64"/>
    </w:p>
    <w:p w14:paraId="43E893EA">
      <w:pPr>
        <w:spacing w:line="600" w:lineRule="exact"/>
        <w:ind w:firstLine="640" w:firstLineChars="200"/>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2025年一般公共预算财政拨款支出205.9万元，占本年支出合计的100%。与2024相比，一般公共预算财政拨款</w:t>
      </w:r>
      <w:r>
        <w:rPr>
          <w:rFonts w:hint="eastAsia" w:ascii="仿宋" w:eastAsia="仿宋"/>
          <w:color w:val="auto"/>
          <w:sz w:val="32"/>
          <w:szCs w:val="32"/>
          <w:highlight w:val="none"/>
          <w:lang w:eastAsia="zh-CN"/>
        </w:rPr>
        <w:t>增加</w:t>
      </w:r>
      <w:r>
        <w:rPr>
          <w:rFonts w:hint="eastAsia" w:ascii="仿宋" w:eastAsia="仿宋"/>
          <w:color w:val="auto"/>
          <w:sz w:val="32"/>
          <w:szCs w:val="32"/>
          <w:highlight w:val="none"/>
          <w:lang w:val="en-US" w:eastAsia="zh-CN"/>
        </w:rPr>
        <w:t>32.84</w:t>
      </w:r>
      <w:r>
        <w:rPr>
          <w:rFonts w:hint="eastAsia" w:ascii="仿宋" w:eastAsia="仿宋"/>
          <w:color w:val="auto"/>
          <w:sz w:val="32"/>
          <w:szCs w:val="32"/>
          <w:highlight w:val="none"/>
        </w:rPr>
        <w:t>万元，</w:t>
      </w:r>
      <w:r>
        <w:rPr>
          <w:rFonts w:hint="eastAsia" w:ascii="仿宋" w:eastAsia="仿宋"/>
          <w:color w:val="auto"/>
          <w:sz w:val="32"/>
          <w:szCs w:val="32"/>
          <w:highlight w:val="none"/>
          <w:lang w:eastAsia="zh-CN"/>
        </w:rPr>
        <w:t>增</w:t>
      </w:r>
      <w:r>
        <w:rPr>
          <w:rFonts w:hint="eastAsia" w:ascii="仿宋" w:eastAsia="仿宋"/>
          <w:color w:val="auto"/>
          <w:sz w:val="32"/>
          <w:szCs w:val="32"/>
          <w:highlight w:val="none"/>
          <w:lang w:val="en-US" w:eastAsia="zh-CN"/>
        </w:rPr>
        <w:t>长19</w:t>
      </w:r>
      <w:r>
        <w:rPr>
          <w:rFonts w:ascii="仿宋" w:eastAsia="仿宋"/>
          <w:color w:val="auto"/>
          <w:sz w:val="32"/>
          <w:szCs w:val="32"/>
          <w:highlight w:val="none"/>
        </w:rPr>
        <w:t>%</w:t>
      </w:r>
      <w:r>
        <w:rPr>
          <w:rFonts w:hint="eastAsia" w:ascii="仿宋" w:eastAsia="仿宋"/>
          <w:color w:val="auto"/>
          <w:sz w:val="32"/>
          <w:szCs w:val="32"/>
          <w:highlight w:val="none"/>
        </w:rPr>
        <w:t>。主要变动原因是</w:t>
      </w:r>
      <w:r>
        <w:rPr>
          <w:rFonts w:hint="eastAsia" w:ascii="仿宋" w:eastAsia="仿宋"/>
          <w:color w:val="auto"/>
          <w:sz w:val="32"/>
          <w:szCs w:val="32"/>
          <w:highlight w:val="none"/>
          <w:lang w:eastAsia="zh-CN"/>
        </w:rPr>
        <w:t>：人员变动，经费开支增多。</w:t>
      </w:r>
    </w:p>
    <w:p w14:paraId="7F587320">
      <w:pPr>
        <w:pStyle w:val="2"/>
        <w:ind w:firstLine="0"/>
        <w:rPr>
          <w:rFonts w:ascii="仿宋_GB2312" w:eastAsia="仿宋_GB2312"/>
          <w:b/>
          <w:color w:val="000000"/>
          <w:sz w:val="32"/>
          <w:szCs w:val="32"/>
        </w:rPr>
      </w:pPr>
      <w:r>
        <w:rPr>
          <w:rFonts w:hint="eastAsia" w:ascii="仿宋_GB2312" w:eastAsia="仿宋_GB2312"/>
          <w:color w:val="000000"/>
          <w:sz w:val="32"/>
          <w:szCs w:val="32"/>
        </w:rPr>
        <w:drawing>
          <wp:anchor distT="0" distB="0" distL="114300" distR="114300" simplePos="0" relativeHeight="251659264" behindDoc="0" locked="0" layoutInCell="1" allowOverlap="1">
            <wp:simplePos x="0" y="0"/>
            <wp:positionH relativeFrom="column">
              <wp:posOffset>434340</wp:posOffset>
            </wp:positionH>
            <wp:positionV relativeFrom="paragraph">
              <wp:posOffset>60960</wp:posOffset>
            </wp:positionV>
            <wp:extent cx="5324475" cy="2619375"/>
            <wp:effectExtent l="0" t="0" r="15" b="39"/>
            <wp:wrapSquare wrapText="bothSides"/>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12DA143D">
      <w:pPr>
        <w:pStyle w:val="2"/>
        <w:ind w:firstLine="0"/>
        <w:rPr>
          <w:rFonts w:ascii="仿宋_GB2312" w:eastAsia="仿宋_GB2312"/>
          <w:b/>
          <w:color w:val="000000"/>
          <w:sz w:val="32"/>
          <w:szCs w:val="32"/>
        </w:rPr>
      </w:pPr>
    </w:p>
    <w:p w14:paraId="60B5477B">
      <w:pPr>
        <w:pStyle w:val="2"/>
        <w:ind w:firstLine="0"/>
        <w:rPr>
          <w:rFonts w:ascii="仿宋_GB2312" w:eastAsia="仿宋_GB2312"/>
          <w:b/>
          <w:color w:val="000000"/>
          <w:sz w:val="32"/>
          <w:szCs w:val="32"/>
        </w:rPr>
      </w:pPr>
    </w:p>
    <w:p w14:paraId="44FDD420">
      <w:pPr>
        <w:pStyle w:val="2"/>
        <w:ind w:firstLine="0"/>
        <w:rPr>
          <w:rFonts w:ascii="仿宋_GB2312" w:eastAsia="仿宋_GB2312"/>
          <w:b/>
          <w:color w:val="000000"/>
          <w:sz w:val="32"/>
          <w:szCs w:val="32"/>
        </w:rPr>
      </w:pPr>
    </w:p>
    <w:p w14:paraId="3DE893CA">
      <w:pPr>
        <w:pStyle w:val="2"/>
        <w:ind w:firstLine="0"/>
        <w:rPr>
          <w:rFonts w:ascii="仿宋_GB2312" w:eastAsia="仿宋_GB2312"/>
          <w:b/>
          <w:color w:val="000000"/>
          <w:sz w:val="32"/>
          <w:szCs w:val="32"/>
        </w:rPr>
      </w:pPr>
    </w:p>
    <w:p w14:paraId="18D790BD">
      <w:pPr>
        <w:pStyle w:val="2"/>
        <w:ind w:firstLine="0"/>
        <w:rPr>
          <w:rFonts w:ascii="仿宋_GB2312" w:eastAsia="仿宋_GB2312"/>
          <w:b/>
          <w:color w:val="000000"/>
          <w:sz w:val="32"/>
          <w:szCs w:val="32"/>
        </w:rPr>
      </w:pPr>
    </w:p>
    <w:p w14:paraId="5B5D280B">
      <w:pPr>
        <w:pStyle w:val="2"/>
        <w:ind w:firstLine="0"/>
        <w:rPr>
          <w:rFonts w:ascii="仿宋_GB2312" w:eastAsia="仿宋_GB2312"/>
          <w:b/>
          <w:color w:val="000000"/>
          <w:sz w:val="32"/>
          <w:szCs w:val="32"/>
        </w:rPr>
      </w:pPr>
    </w:p>
    <w:bookmarkEnd w:id="62"/>
    <w:p w14:paraId="3AEB0FC5">
      <w:pPr>
        <w:spacing w:line="600" w:lineRule="exact"/>
        <w:ind w:firstLine="643" w:firstLineChars="200"/>
        <w:outlineLvl w:val="2"/>
        <w:rPr>
          <w:rFonts w:hint="eastAsia" w:ascii="楷体_GB2312" w:eastAsia="楷体_GB2312" w:cs="楷体_GB2312"/>
          <w:b/>
          <w:bCs w:val="0"/>
          <w:color w:val="000000"/>
          <w:sz w:val="32"/>
          <w:szCs w:val="32"/>
        </w:rPr>
      </w:pPr>
    </w:p>
    <w:p w14:paraId="0BEC4283">
      <w:pPr>
        <w:spacing w:line="600" w:lineRule="exact"/>
        <w:ind w:firstLine="643" w:firstLineChars="200"/>
        <w:outlineLvl w:val="2"/>
        <w:rPr>
          <w:rFonts w:hint="eastAsia" w:ascii="楷体_GB2312" w:eastAsia="楷体_GB2312" w:cs="楷体_GB2312"/>
          <w:b/>
          <w:bCs w:val="0"/>
          <w:color w:val="000000"/>
          <w:sz w:val="32"/>
          <w:szCs w:val="32"/>
        </w:rPr>
      </w:pPr>
      <w:r>
        <w:rPr>
          <w:rFonts w:hint="eastAsia" w:ascii="楷体_GB2312" w:eastAsia="楷体_GB2312" w:cs="楷体_GB2312"/>
          <w:b/>
          <w:bCs w:val="0"/>
          <w:color w:val="000000"/>
          <w:sz w:val="32"/>
          <w:szCs w:val="32"/>
        </w:rPr>
        <w:t>（二）一般公共预算财政拨款支出决算结构情况</w:t>
      </w:r>
    </w:p>
    <w:p w14:paraId="42F6107F">
      <w:pPr>
        <w:spacing w:line="600" w:lineRule="exact"/>
        <w:ind w:firstLine="640" w:firstLineChars="200"/>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2025年一般公共预算财政拨款支出</w:t>
      </w:r>
      <w:r>
        <w:rPr>
          <w:rFonts w:hint="eastAsia" w:ascii="仿宋_GB2312" w:eastAsia="仿宋_GB2312" w:cs="仿宋_GB2312"/>
          <w:color w:val="000000"/>
          <w:sz w:val="32"/>
          <w:szCs w:val="32"/>
          <w:lang w:val="en-US" w:eastAsia="zh-CN"/>
        </w:rPr>
        <w:t>205.9</w:t>
      </w:r>
      <w:r>
        <w:rPr>
          <w:rFonts w:hint="eastAsia" w:ascii="仿宋_GB2312" w:eastAsia="仿宋_GB2312" w:cs="仿宋_GB2312"/>
          <w:color w:val="000000"/>
          <w:kern w:val="2"/>
          <w:sz w:val="32"/>
          <w:szCs w:val="32"/>
          <w:lang w:val="en-US" w:eastAsia="zh-CN" w:bidi="ar-SA"/>
        </w:rPr>
        <w:t>万元，主要用于以下方面:一般公共服务支出152.7万元，占74.2%；社会保障和就业支出26.86万元，占13%；卫生健康支出10.83万元，占5.3%；住房保障支出15.51万元，占7.5%。</w:t>
      </w:r>
    </w:p>
    <w:p w14:paraId="7801C06B">
      <w:pPr>
        <w:pStyle w:val="2"/>
      </w:pPr>
      <w:bookmarkStart w:id="65" w:name="_Toc15377212"/>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854075</wp:posOffset>
            </wp:positionH>
            <wp:positionV relativeFrom="paragraph">
              <wp:posOffset>147320</wp:posOffset>
            </wp:positionV>
            <wp:extent cx="4065905" cy="2190750"/>
            <wp:effectExtent l="0" t="0" r="30" b="34"/>
            <wp:wrapSquare wrapText="bothSides"/>
            <wp:docPr id="6"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2AFB1BB1">
      <w:pPr>
        <w:pStyle w:val="2"/>
      </w:pPr>
    </w:p>
    <w:p w14:paraId="4FFEE4DA">
      <w:pPr>
        <w:spacing w:line="600" w:lineRule="exact"/>
        <w:ind w:firstLine="643" w:firstLineChars="200"/>
        <w:outlineLvl w:val="2"/>
        <w:rPr>
          <w:rFonts w:hint="eastAsia" w:ascii="楷体_GB2312" w:eastAsia="楷体_GB2312" w:cs="楷体_GB2312"/>
          <w:b/>
          <w:bCs w:val="0"/>
          <w:color w:val="000000"/>
          <w:sz w:val="32"/>
          <w:szCs w:val="32"/>
        </w:rPr>
      </w:pPr>
    </w:p>
    <w:p w14:paraId="1182D822">
      <w:pPr>
        <w:spacing w:line="600" w:lineRule="exact"/>
        <w:ind w:firstLine="643" w:firstLineChars="200"/>
        <w:outlineLvl w:val="2"/>
        <w:rPr>
          <w:rFonts w:hint="eastAsia" w:ascii="楷体_GB2312" w:eastAsia="楷体_GB2312" w:cs="楷体_GB2312"/>
          <w:b/>
          <w:bCs w:val="0"/>
          <w:color w:val="000000"/>
          <w:sz w:val="32"/>
          <w:szCs w:val="32"/>
        </w:rPr>
      </w:pPr>
    </w:p>
    <w:p w14:paraId="4724F0C9">
      <w:pPr>
        <w:spacing w:line="600" w:lineRule="exact"/>
        <w:ind w:firstLine="643" w:firstLineChars="200"/>
        <w:outlineLvl w:val="2"/>
        <w:rPr>
          <w:rFonts w:hint="eastAsia" w:ascii="楷体_GB2312" w:eastAsia="楷体_GB2312" w:cs="楷体_GB2312"/>
          <w:b/>
          <w:bCs w:val="0"/>
          <w:color w:val="000000"/>
          <w:sz w:val="32"/>
          <w:szCs w:val="32"/>
        </w:rPr>
      </w:pPr>
    </w:p>
    <w:p w14:paraId="44DAC1A4">
      <w:pPr>
        <w:spacing w:line="600" w:lineRule="exact"/>
        <w:ind w:firstLine="643" w:firstLineChars="200"/>
        <w:outlineLvl w:val="2"/>
        <w:rPr>
          <w:rFonts w:hint="eastAsia" w:ascii="楷体_GB2312" w:eastAsia="楷体_GB2312" w:cs="楷体_GB2312"/>
          <w:b/>
          <w:bCs w:val="0"/>
          <w:color w:val="000000"/>
          <w:sz w:val="32"/>
          <w:szCs w:val="32"/>
        </w:rPr>
      </w:pPr>
    </w:p>
    <w:p w14:paraId="5AE9B2A7">
      <w:pPr>
        <w:spacing w:line="600" w:lineRule="exact"/>
        <w:ind w:firstLine="643" w:firstLineChars="200"/>
        <w:outlineLvl w:val="2"/>
        <w:rPr>
          <w:rFonts w:hint="eastAsia" w:ascii="楷体_GB2312" w:eastAsia="楷体_GB2312" w:cs="楷体_GB2312"/>
          <w:b/>
          <w:bCs w:val="0"/>
          <w:color w:val="000000"/>
          <w:sz w:val="32"/>
          <w:szCs w:val="32"/>
        </w:rPr>
      </w:pPr>
    </w:p>
    <w:p w14:paraId="13770D61">
      <w:pPr>
        <w:spacing w:line="600" w:lineRule="exact"/>
        <w:ind w:firstLine="643" w:firstLineChars="200"/>
        <w:outlineLvl w:val="2"/>
        <w:rPr>
          <w:rFonts w:hint="eastAsia" w:ascii="楷体_GB2312" w:eastAsia="楷体_GB2312" w:cs="楷体_GB2312"/>
          <w:b/>
          <w:bCs w:val="0"/>
          <w:color w:val="000000"/>
          <w:sz w:val="32"/>
          <w:szCs w:val="32"/>
        </w:rPr>
      </w:pPr>
    </w:p>
    <w:p w14:paraId="3BF5312E">
      <w:pPr>
        <w:spacing w:line="600" w:lineRule="exact"/>
        <w:ind w:firstLine="643" w:firstLineChars="200"/>
        <w:outlineLvl w:val="2"/>
        <w:rPr>
          <w:rFonts w:hint="eastAsia" w:ascii="楷体_GB2312" w:eastAsia="楷体_GB2312" w:cs="楷体_GB2312"/>
          <w:b/>
          <w:bCs w:val="0"/>
          <w:color w:val="000000"/>
          <w:sz w:val="32"/>
          <w:szCs w:val="32"/>
        </w:rPr>
      </w:pPr>
      <w:r>
        <w:rPr>
          <w:rFonts w:hint="eastAsia" w:ascii="楷体_GB2312" w:eastAsia="楷体_GB2312" w:cs="楷体_GB2312"/>
          <w:b/>
          <w:bCs w:val="0"/>
          <w:color w:val="000000"/>
          <w:sz w:val="32"/>
          <w:szCs w:val="32"/>
        </w:rPr>
        <w:t>（三）一般公共预算财政拨款支出决算具体情况</w:t>
      </w:r>
      <w:bookmarkEnd w:id="65"/>
    </w:p>
    <w:p w14:paraId="516CBE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bookmarkStart w:id="66" w:name="_Toc15378460"/>
      <w:bookmarkStart w:id="67" w:name="_Toc15377444"/>
      <w:bookmarkStart w:id="68" w:name="_Toc15377213"/>
      <w:r>
        <w:rPr>
          <w:rFonts w:hint="eastAsia" w:ascii="仿宋_GB2312" w:eastAsia="仿宋_GB2312" w:cs="仿宋_GB2312"/>
          <w:color w:val="000000"/>
          <w:kern w:val="2"/>
          <w:sz w:val="32"/>
          <w:szCs w:val="32"/>
          <w:lang w:val="en-US" w:eastAsia="zh-CN" w:bidi="ar-SA"/>
        </w:rPr>
        <w:t>2025年一般公共预算支出决算数为</w:t>
      </w:r>
      <w:r>
        <w:rPr>
          <w:rFonts w:hint="eastAsia" w:ascii="仿宋_GB2312" w:eastAsia="仿宋_GB2312" w:cs="仿宋_GB2312"/>
          <w:color w:val="000000"/>
          <w:sz w:val="32"/>
          <w:szCs w:val="32"/>
          <w:lang w:val="en-US" w:eastAsia="zh-CN"/>
        </w:rPr>
        <w:t>205.9</w:t>
      </w:r>
      <w:r>
        <w:rPr>
          <w:rFonts w:hint="eastAsia" w:ascii="仿宋_GB2312" w:eastAsia="仿宋_GB2312" w:cs="仿宋_GB2312"/>
          <w:color w:val="000000"/>
          <w:kern w:val="2"/>
          <w:sz w:val="32"/>
          <w:szCs w:val="32"/>
          <w:lang w:val="en-US" w:eastAsia="zh-CN" w:bidi="ar-SA"/>
        </w:rPr>
        <w:t>万元，完成预算100%。其中：</w:t>
      </w:r>
      <w:bookmarkEnd w:id="66"/>
      <w:bookmarkEnd w:id="67"/>
      <w:bookmarkEnd w:id="68"/>
    </w:p>
    <w:p w14:paraId="4810CF5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1.一般公共服务支出（类）党委办公厅（室）及相关机构事务（款）事业运行（项）支出决算</w:t>
      </w:r>
      <w:r>
        <w:rPr>
          <w:rFonts w:hint="eastAsia" w:ascii="仿宋_GB2312" w:eastAsia="仿宋_GB2312" w:cs="仿宋_GB2312"/>
          <w:color w:val="000000"/>
          <w:sz w:val="32"/>
          <w:szCs w:val="32"/>
          <w:lang w:val="en-US" w:eastAsia="zh-CN"/>
        </w:rPr>
        <w:t>152.7</w:t>
      </w:r>
      <w:r>
        <w:rPr>
          <w:rFonts w:hint="eastAsia" w:ascii="仿宋_GB2312" w:eastAsia="仿宋_GB2312" w:cs="仿宋_GB2312"/>
          <w:color w:val="000000"/>
          <w:kern w:val="2"/>
          <w:sz w:val="32"/>
          <w:szCs w:val="32"/>
          <w:lang w:val="en-US" w:eastAsia="zh-CN" w:bidi="ar-SA"/>
        </w:rPr>
        <w:t>万元，完成预算100%。</w:t>
      </w:r>
    </w:p>
    <w:p w14:paraId="2B646C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2.社会保障和就业支出（类）行政事业单位养老支出（款）机关事业单位基本养老保险缴费支出（项）支出决算17.91万元，完成预算100%，决算数与预算数持平。</w:t>
      </w:r>
    </w:p>
    <w:p w14:paraId="4E89A9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3.社会保障和就业支出（类）行政事业单位养老支出（款）机关事业单位职业年金缴费支出（项）支出决算8.95万元，完成预算100%，决算数与预算数持平。</w:t>
      </w:r>
    </w:p>
    <w:p w14:paraId="3B1143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4.卫生健康支出（类）行政事业单位医疗（款）事业单位医疗（项）支出决算10.83万元，完成预算100%，决算数与预算数持平。</w:t>
      </w:r>
    </w:p>
    <w:p w14:paraId="6017B8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5.住房保障支出（类）住房改革支出（款）住房公积金（项）支出决算15.51万元，完成预算100%，决算数与预算数持平。</w:t>
      </w:r>
    </w:p>
    <w:p w14:paraId="5CB58030">
      <w:pPr>
        <w:pStyle w:val="4"/>
        <w:pageBreakBefore w:val="0"/>
        <w:numPr>
          <w:ilvl w:val="0"/>
          <w:numId w:val="0"/>
        </w:numPr>
        <w:kinsoku/>
        <w:wordWrap/>
        <w:overflowPunct/>
        <w:topLinePunct w:val="0"/>
        <w:autoSpaceDE/>
        <w:autoSpaceDN/>
        <w:bidi w:val="0"/>
        <w:spacing w:before="0" w:after="0" w:line="576" w:lineRule="exact"/>
        <w:ind w:firstLine="640" w:firstLineChars="200"/>
        <w:textAlignment w:val="auto"/>
        <w:rPr>
          <w:rFonts w:hint="eastAsia" w:ascii="黑体" w:eastAsia="黑体" w:cs="Times New Roman"/>
          <w:b w:val="0"/>
          <w:color w:val="000000"/>
          <w:lang w:val="en-US" w:eastAsia="zh-CN"/>
        </w:rPr>
      </w:pPr>
      <w:bookmarkStart w:id="69" w:name="_Toc15377214"/>
      <w:bookmarkStart w:id="70" w:name="_Toc17156"/>
      <w:bookmarkStart w:id="71" w:name="_Toc32028"/>
      <w:bookmarkStart w:id="72" w:name="_Toc111208504"/>
      <w:r>
        <w:rPr>
          <w:rFonts w:hint="eastAsia" w:ascii="黑体" w:eastAsia="黑体" w:cs="Times New Roman"/>
          <w:b w:val="0"/>
          <w:color w:val="000000"/>
          <w:lang w:val="en-US" w:eastAsia="zh-CN"/>
        </w:rPr>
        <w:t>六、一般公共预算财政拨款基本支出决算情况说</w:t>
      </w:r>
      <w:bookmarkEnd w:id="69"/>
      <w:r>
        <w:rPr>
          <w:rFonts w:hint="eastAsia" w:ascii="黑体" w:eastAsia="黑体" w:cs="Times New Roman"/>
          <w:b w:val="0"/>
          <w:color w:val="000000"/>
          <w:lang w:val="en-US" w:eastAsia="zh-CN"/>
        </w:rPr>
        <w:t>明</w:t>
      </w:r>
      <w:bookmarkEnd w:id="70"/>
      <w:bookmarkEnd w:id="71"/>
      <w:bookmarkEnd w:id="72"/>
    </w:p>
    <w:p w14:paraId="71185F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2025年一般公共预算财政拨款基本支出205.9万元，其中：</w:t>
      </w:r>
    </w:p>
    <w:p w14:paraId="534639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人员经费195.18万元，主要包括：基本工资50.59万元、津贴补贴6.74万元、绩效工资82.17万元、机关事业单位基本养老保险缴费17.91万元、职业年金缴费8.95万元、职工基本医疗保险缴费10.83万元、其他社会保障缴费0.91万元、住房公积金15.51万元、医疗费1.55万元、奖励金0.01万元。</w:t>
      </w:r>
    </w:p>
    <w:p w14:paraId="6A28C4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公用经费10.73万元，主要包括：办公费6万元、差旅费3.1万元，其他商品和服务费1.52万元。</w:t>
      </w:r>
    </w:p>
    <w:p w14:paraId="0E688664">
      <w:pPr>
        <w:pStyle w:val="4"/>
        <w:pageBreakBefore w:val="0"/>
        <w:numPr>
          <w:ilvl w:val="0"/>
          <w:numId w:val="0"/>
        </w:numPr>
        <w:kinsoku/>
        <w:wordWrap/>
        <w:overflowPunct/>
        <w:topLinePunct w:val="0"/>
        <w:autoSpaceDE/>
        <w:autoSpaceDN/>
        <w:bidi w:val="0"/>
        <w:spacing w:before="0" w:after="0" w:line="576" w:lineRule="exact"/>
        <w:ind w:firstLine="640" w:firstLineChars="200"/>
        <w:textAlignment w:val="auto"/>
        <w:rPr>
          <w:rFonts w:hint="eastAsia" w:ascii="黑体" w:eastAsia="黑体" w:cs="Times New Roman"/>
          <w:b w:val="0"/>
          <w:color w:val="000000"/>
          <w:lang w:val="en-US" w:eastAsia="zh-CN"/>
        </w:rPr>
      </w:pPr>
      <w:bookmarkStart w:id="73" w:name="_Toc8600"/>
      <w:bookmarkStart w:id="74" w:name="_Toc111208505"/>
      <w:bookmarkStart w:id="75" w:name="_Toc26532"/>
      <w:bookmarkStart w:id="76" w:name="_Toc15377215"/>
      <w:r>
        <w:rPr>
          <w:rFonts w:hint="eastAsia" w:ascii="黑体" w:eastAsia="黑体" w:cs="Times New Roman"/>
          <w:b w:val="0"/>
          <w:color w:val="000000"/>
          <w:lang w:val="en-US" w:eastAsia="zh-CN"/>
        </w:rPr>
        <w:t>七、“三公”经费财政拨款支出决算情况说明</w:t>
      </w:r>
      <w:bookmarkEnd w:id="73"/>
      <w:bookmarkEnd w:id="74"/>
      <w:bookmarkEnd w:id="75"/>
      <w:bookmarkEnd w:id="76"/>
    </w:p>
    <w:p w14:paraId="67028A74">
      <w:pPr>
        <w:spacing w:line="600" w:lineRule="exact"/>
        <w:ind w:firstLine="643" w:firstLineChars="200"/>
        <w:outlineLvl w:val="2"/>
        <w:rPr>
          <w:rFonts w:ascii="仿宋" w:eastAsia="仿宋"/>
          <w:b/>
          <w:color w:val="000000"/>
          <w:sz w:val="32"/>
          <w:szCs w:val="32"/>
        </w:rPr>
      </w:pPr>
      <w:bookmarkStart w:id="77" w:name="_Toc15377216"/>
      <w:r>
        <w:rPr>
          <w:rFonts w:hint="eastAsia" w:ascii="楷体_GB2312" w:eastAsia="楷体_GB2312" w:cs="楷体_GB2312"/>
          <w:b/>
          <w:color w:val="000000"/>
          <w:sz w:val="32"/>
          <w:szCs w:val="32"/>
        </w:rPr>
        <w:t>（一）“三公”经费财政拨款支出决算总体情况说明</w:t>
      </w:r>
      <w:bookmarkEnd w:id="77"/>
    </w:p>
    <w:p w14:paraId="4D4CBA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2025年“三公”经费财政拨款支出决算为0万元，完成预算100%。</w:t>
      </w:r>
      <w:bookmarkStart w:id="78" w:name="_Toc15377217"/>
    </w:p>
    <w:p w14:paraId="44A0567D">
      <w:pPr>
        <w:spacing w:line="600" w:lineRule="exact"/>
        <w:ind w:firstLine="643" w:firstLineChars="200"/>
        <w:outlineLvl w:val="2"/>
        <w:rPr>
          <w:rFonts w:hint="eastAsia" w:ascii="楷体_GB2312" w:eastAsia="楷体_GB2312" w:cs="楷体_GB2312"/>
          <w:b/>
          <w:color w:val="000000"/>
          <w:sz w:val="32"/>
          <w:szCs w:val="32"/>
        </w:rPr>
      </w:pPr>
      <w:r>
        <w:rPr>
          <w:rFonts w:hint="eastAsia" w:ascii="楷体_GB2312" w:eastAsia="楷体_GB2312" w:cs="楷体_GB2312"/>
          <w:b/>
          <w:color w:val="000000"/>
          <w:sz w:val="32"/>
          <w:szCs w:val="32"/>
        </w:rPr>
        <w:t>（二）“三公”经费财政拨款支出决算具体情况说明</w:t>
      </w:r>
      <w:bookmarkEnd w:id="78"/>
    </w:p>
    <w:p w14:paraId="1CCA3B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 w:eastAsia="仿宋"/>
          <w:color w:val="000000"/>
          <w:sz w:val="32"/>
          <w:szCs w:val="32"/>
        </w:rPr>
        <w:t>2</w:t>
      </w:r>
      <w:r>
        <w:rPr>
          <w:rFonts w:hint="eastAsia" w:ascii="仿宋_GB2312" w:eastAsia="仿宋_GB2312" w:cs="仿宋_GB2312"/>
          <w:color w:val="000000"/>
          <w:kern w:val="2"/>
          <w:sz w:val="32"/>
          <w:szCs w:val="32"/>
          <w:lang w:val="en-US" w:eastAsia="zh-CN" w:bidi="ar-SA"/>
        </w:rPr>
        <w:t>025年“三公”经费财政拨款支出0万元，因公出国（境）费支出决算0万元、占0%；公务用车购置费0万元，占0%；公车运行维护费支出决算0万元，占0%；公务接待费支出决算0万元，占0%。具体情况如下：</w:t>
      </w:r>
    </w:p>
    <w:p w14:paraId="669D26AB">
      <w:pPr>
        <w:pStyle w:val="2"/>
        <w:rPr>
          <w:rFonts w:ascii="仿宋_GB2312" w:eastAsia="仿宋_GB2312"/>
          <w:color w:val="000000"/>
          <w:sz w:val="32"/>
          <w:szCs w:val="32"/>
        </w:rPr>
      </w:pPr>
      <w:r>
        <w:rPr>
          <w:rFonts w:hint="eastAsia" w:ascii="仿宋_GB2312" w:eastAsia="仿宋_GB2312"/>
          <w:color w:val="000000"/>
          <w:sz w:val="32"/>
          <w:szCs w:val="32"/>
          <w:lang w:eastAsia="zh-CN"/>
        </w:rPr>
        <w:drawing>
          <wp:inline distT="0" distB="0" distL="114300" distR="114300">
            <wp:extent cx="5079365" cy="3810000"/>
            <wp:effectExtent l="0" t="0" r="0" b="0"/>
            <wp:docPr id="7"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15EBBB7">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bookmarkStart w:id="79" w:name="_Toc9979"/>
      <w:bookmarkStart w:id="80" w:name="_Toc111208506"/>
      <w:bookmarkStart w:id="81" w:name="_Toc15377218"/>
      <w:r>
        <w:rPr>
          <w:rFonts w:hint="eastAsia" w:ascii="仿宋_GB2312" w:eastAsia="仿宋_GB2312" w:cs="仿宋_GB2312"/>
          <w:color w:val="000000"/>
          <w:kern w:val="2"/>
          <w:sz w:val="32"/>
          <w:szCs w:val="32"/>
          <w:lang w:val="en-US" w:eastAsia="zh-CN" w:bidi="ar-SA"/>
        </w:rPr>
        <w:t>1.因公出国（境）经费支出0万元。全年安排因公出国（境）团组0次，出国（境）0人。</w:t>
      </w:r>
    </w:p>
    <w:p w14:paraId="11E31D5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2.公务用车购置及运行维护费支出0万元。截至2025年12月底，单位共有公务用车0辆。</w:t>
      </w:r>
      <w:bookmarkStart w:id="158" w:name="_GoBack"/>
      <w:bookmarkEnd w:id="158"/>
    </w:p>
    <w:p w14:paraId="6FECC71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3.公务接待费支出0万元。</w:t>
      </w:r>
    </w:p>
    <w:p w14:paraId="79202C75">
      <w:pPr>
        <w:pStyle w:val="4"/>
        <w:pageBreakBefore w:val="0"/>
        <w:kinsoku/>
        <w:wordWrap/>
        <w:overflowPunct/>
        <w:topLinePunct w:val="0"/>
        <w:autoSpaceDE/>
        <w:autoSpaceDN/>
        <w:bidi w:val="0"/>
        <w:spacing w:before="0" w:after="0" w:line="576" w:lineRule="exact"/>
        <w:ind w:firstLine="640" w:firstLineChars="200"/>
        <w:textAlignment w:val="auto"/>
        <w:rPr>
          <w:rFonts w:hint="eastAsia" w:ascii="黑体" w:eastAsia="黑体" w:cs="Times New Roman"/>
          <w:b w:val="0"/>
          <w:color w:val="000000"/>
          <w:lang w:val="en-US" w:eastAsia="zh-CN"/>
        </w:rPr>
      </w:pPr>
      <w:bookmarkStart w:id="82" w:name="_Toc6889"/>
      <w:r>
        <w:rPr>
          <w:rFonts w:hint="eastAsia" w:ascii="黑体" w:eastAsia="黑体" w:cs="Times New Roman"/>
          <w:b w:val="0"/>
          <w:color w:val="000000"/>
          <w:lang w:val="en-US" w:eastAsia="zh-CN"/>
        </w:rPr>
        <w:t>八、政府性基金预算支出决算情况说明</w:t>
      </w:r>
      <w:bookmarkEnd w:id="79"/>
      <w:bookmarkEnd w:id="80"/>
      <w:bookmarkEnd w:id="81"/>
      <w:bookmarkEnd w:id="82"/>
    </w:p>
    <w:p w14:paraId="26ED71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2025年政府性基金预算拨款支出0万元。</w:t>
      </w:r>
      <w:bookmarkStart w:id="83" w:name="_Toc15377219"/>
    </w:p>
    <w:p w14:paraId="5C84C34B">
      <w:pPr>
        <w:pStyle w:val="4"/>
        <w:pageBreakBefore w:val="0"/>
        <w:kinsoku/>
        <w:wordWrap/>
        <w:overflowPunct/>
        <w:topLinePunct w:val="0"/>
        <w:autoSpaceDE/>
        <w:autoSpaceDN/>
        <w:bidi w:val="0"/>
        <w:spacing w:before="0" w:after="0" w:line="576" w:lineRule="exact"/>
        <w:ind w:firstLine="640" w:firstLineChars="200"/>
        <w:textAlignment w:val="auto"/>
        <w:rPr>
          <w:rFonts w:hint="eastAsia" w:ascii="黑体" w:eastAsia="黑体" w:cs="Times New Roman"/>
          <w:b w:val="0"/>
          <w:color w:val="000000"/>
          <w:lang w:val="en-US" w:eastAsia="zh-CN"/>
        </w:rPr>
      </w:pPr>
      <w:bookmarkStart w:id="84" w:name="_Toc111208507"/>
      <w:bookmarkStart w:id="85" w:name="_Toc29785"/>
      <w:bookmarkStart w:id="86" w:name="_Toc19072"/>
      <w:r>
        <w:rPr>
          <w:rFonts w:hint="eastAsia" w:ascii="黑体" w:eastAsia="黑体" w:cs="Times New Roman"/>
          <w:b w:val="0"/>
          <w:color w:val="000000"/>
          <w:lang w:val="en-US" w:eastAsia="zh-CN"/>
        </w:rPr>
        <w:t>九、国有资本经营预算支出决算情况说明</w:t>
      </w:r>
      <w:bookmarkEnd w:id="83"/>
      <w:bookmarkEnd w:id="84"/>
      <w:bookmarkEnd w:id="85"/>
      <w:bookmarkEnd w:id="86"/>
    </w:p>
    <w:p w14:paraId="182400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2025年国有资本经营预算拨款支出0万元。</w:t>
      </w:r>
    </w:p>
    <w:p w14:paraId="0668BEFD">
      <w:pPr>
        <w:pStyle w:val="4"/>
        <w:pageBreakBefore w:val="0"/>
        <w:kinsoku/>
        <w:wordWrap/>
        <w:overflowPunct/>
        <w:topLinePunct w:val="0"/>
        <w:autoSpaceDE/>
        <w:autoSpaceDN/>
        <w:bidi w:val="0"/>
        <w:spacing w:before="0" w:after="0" w:line="576" w:lineRule="exact"/>
        <w:ind w:firstLine="640" w:firstLineChars="200"/>
        <w:textAlignment w:val="auto"/>
        <w:rPr>
          <w:rFonts w:hint="eastAsia" w:ascii="黑体" w:eastAsia="黑体" w:cs="Times New Roman"/>
          <w:b w:val="0"/>
          <w:color w:val="000000"/>
          <w:lang w:val="en-US" w:eastAsia="zh-CN"/>
        </w:rPr>
      </w:pPr>
      <w:bookmarkStart w:id="87" w:name="_Toc15377221"/>
      <w:bookmarkStart w:id="88" w:name="_Toc19007"/>
      <w:bookmarkStart w:id="89" w:name="_Toc111208508"/>
      <w:bookmarkStart w:id="90" w:name="_Toc24656"/>
      <w:r>
        <w:rPr>
          <w:rFonts w:hint="eastAsia" w:ascii="黑体" w:eastAsia="黑体" w:cs="Times New Roman"/>
          <w:b w:val="0"/>
          <w:color w:val="000000"/>
          <w:lang w:val="en-US" w:eastAsia="zh-CN"/>
        </w:rPr>
        <w:t>十、其他重要事项的情况说明</w:t>
      </w:r>
      <w:bookmarkEnd w:id="87"/>
      <w:bookmarkEnd w:id="88"/>
      <w:bookmarkEnd w:id="89"/>
      <w:bookmarkEnd w:id="90"/>
    </w:p>
    <w:p w14:paraId="738C7789">
      <w:pPr>
        <w:spacing w:line="600" w:lineRule="exact"/>
        <w:ind w:firstLine="643" w:firstLineChars="200"/>
        <w:outlineLvl w:val="2"/>
        <w:rPr>
          <w:rFonts w:hint="eastAsia" w:ascii="楷体_GB2312" w:eastAsia="楷体_GB2312" w:cs="楷体_GB2312"/>
          <w:b/>
          <w:color w:val="000000"/>
          <w:sz w:val="32"/>
          <w:szCs w:val="32"/>
        </w:rPr>
      </w:pPr>
      <w:bookmarkStart w:id="91" w:name="_Toc15377222"/>
      <w:r>
        <w:rPr>
          <w:rFonts w:hint="eastAsia" w:ascii="楷体_GB2312" w:eastAsia="楷体_GB2312" w:cs="楷体_GB2312"/>
          <w:b/>
          <w:color w:val="000000"/>
          <w:sz w:val="32"/>
          <w:szCs w:val="32"/>
        </w:rPr>
        <w:t>（一）机关运行经费支出情况</w:t>
      </w:r>
      <w:bookmarkEnd w:id="91"/>
    </w:p>
    <w:p w14:paraId="4D7BD8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2025年，机关运行经费支出0万元</w:t>
      </w:r>
      <w:bookmarkStart w:id="92" w:name="_Toc15377223"/>
      <w:r>
        <w:rPr>
          <w:rFonts w:hint="eastAsia" w:ascii="仿宋_GB2312" w:eastAsia="仿宋_GB2312" w:cs="仿宋_GB2312"/>
          <w:color w:val="000000"/>
          <w:kern w:val="2"/>
          <w:sz w:val="32"/>
          <w:szCs w:val="32"/>
          <w:lang w:val="en-US" w:eastAsia="zh-CN" w:bidi="ar-SA"/>
        </w:rPr>
        <w:t>。</w:t>
      </w:r>
    </w:p>
    <w:p w14:paraId="772A5071">
      <w:pPr>
        <w:spacing w:line="600" w:lineRule="exact"/>
        <w:ind w:firstLine="643" w:firstLineChars="200"/>
        <w:outlineLvl w:val="2"/>
        <w:rPr>
          <w:rFonts w:hint="eastAsia" w:ascii="楷体_GB2312" w:eastAsia="楷体_GB2312" w:cs="楷体_GB2312"/>
          <w:b/>
          <w:color w:val="000000"/>
          <w:sz w:val="32"/>
          <w:szCs w:val="32"/>
        </w:rPr>
      </w:pPr>
      <w:r>
        <w:rPr>
          <w:rFonts w:hint="eastAsia" w:ascii="楷体_GB2312" w:eastAsia="楷体_GB2312" w:cs="楷体_GB2312"/>
          <w:b/>
          <w:color w:val="000000"/>
          <w:sz w:val="32"/>
          <w:szCs w:val="32"/>
        </w:rPr>
        <w:t>（二）政府采购支出情况</w:t>
      </w:r>
      <w:bookmarkEnd w:id="92"/>
    </w:p>
    <w:p w14:paraId="7B75B3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eastAsia="楷体_GB2312" w:cs="楷体_GB2312"/>
          <w:b/>
          <w:color w:val="000000"/>
          <w:sz w:val="32"/>
          <w:szCs w:val="32"/>
        </w:rPr>
      </w:pPr>
      <w:r>
        <w:rPr>
          <w:rFonts w:hint="eastAsia" w:ascii="仿宋_GB2312" w:eastAsia="仿宋_GB2312" w:cs="仿宋_GB2312"/>
          <w:color w:val="000000"/>
          <w:kern w:val="2"/>
          <w:sz w:val="32"/>
          <w:szCs w:val="32"/>
          <w:lang w:val="en-US" w:eastAsia="zh-CN" w:bidi="ar-SA"/>
        </w:rPr>
        <w:t>2025年，政府采购支出总额0万元。</w:t>
      </w:r>
      <w:bookmarkStart w:id="93" w:name="_Toc15377224"/>
    </w:p>
    <w:p w14:paraId="12E28E15">
      <w:pPr>
        <w:spacing w:line="600" w:lineRule="exact"/>
        <w:ind w:firstLine="643" w:firstLineChars="200"/>
        <w:outlineLvl w:val="2"/>
        <w:rPr>
          <w:rFonts w:hint="eastAsia" w:ascii="楷体_GB2312" w:eastAsia="楷体_GB2312" w:cs="楷体_GB2312"/>
          <w:b/>
          <w:color w:val="000000"/>
          <w:sz w:val="32"/>
          <w:szCs w:val="32"/>
        </w:rPr>
      </w:pPr>
      <w:r>
        <w:rPr>
          <w:rFonts w:hint="eastAsia" w:ascii="楷体_GB2312" w:eastAsia="楷体_GB2312" w:cs="楷体_GB2312"/>
          <w:b/>
          <w:color w:val="000000"/>
          <w:sz w:val="32"/>
          <w:szCs w:val="32"/>
        </w:rPr>
        <w:t>（三）国有资产占有使用情况</w:t>
      </w:r>
      <w:bookmarkEnd w:id="93"/>
    </w:p>
    <w:p w14:paraId="4EEA4A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截至2025年12月31日，共有车辆0辆，其中：主要领导干部用车0辆、机要通信用车0辆、应急保障用车0辆、其他用车0辆。单价50万元以上通用设备0台（套），单价100万元以上专用设备0台（套）。</w:t>
      </w:r>
      <w:r>
        <w:rPr>
          <w:rFonts w:hint="default" w:ascii="仿宋_GB2312" w:eastAsia="仿宋_GB2312" w:cs="仿宋_GB2312"/>
          <w:color w:val="000000"/>
          <w:kern w:val="2"/>
          <w:sz w:val="32"/>
          <w:szCs w:val="32"/>
          <w:lang w:eastAsia="zh-CN" w:bidi="ar-SA"/>
        </w:rPr>
        <w:t>与</w:t>
      </w:r>
      <w:r>
        <w:rPr>
          <w:rFonts w:hint="eastAsia" w:ascii="仿宋_GB2312" w:eastAsia="仿宋_GB2312" w:cs="仿宋_GB2312"/>
          <w:color w:val="000000"/>
          <w:kern w:val="2"/>
          <w:sz w:val="32"/>
          <w:szCs w:val="32"/>
          <w:lang w:val="en-US" w:eastAsia="zh-CN" w:bidi="ar-SA"/>
        </w:rPr>
        <w:t>2024年相比无变化。</w:t>
      </w:r>
    </w:p>
    <w:p w14:paraId="6CB54BD5">
      <w:pPr>
        <w:spacing w:line="600" w:lineRule="exact"/>
        <w:ind w:firstLine="643" w:firstLineChars="200"/>
        <w:outlineLvl w:val="2"/>
        <w:rPr>
          <w:rFonts w:hint="eastAsia" w:ascii="楷体_GB2312" w:eastAsia="楷体_GB2312" w:cs="楷体_GB2312"/>
          <w:b/>
          <w:color w:val="000000"/>
          <w:sz w:val="32"/>
          <w:szCs w:val="32"/>
        </w:rPr>
      </w:pPr>
      <w:r>
        <w:rPr>
          <w:rFonts w:hint="eastAsia" w:ascii="楷体_GB2312" w:eastAsia="楷体_GB2312" w:cs="楷体_GB2312"/>
          <w:b/>
          <w:color w:val="000000"/>
          <w:sz w:val="32"/>
          <w:szCs w:val="32"/>
        </w:rPr>
        <w:t>（四）预算绩效管理情况</w:t>
      </w:r>
    </w:p>
    <w:p w14:paraId="3B3B403A">
      <w:pPr>
        <w:spacing w:line="580" w:lineRule="exact"/>
        <w:ind w:firstLine="640" w:firstLineChars="200"/>
        <w:rPr>
          <w:rFonts w:hint="eastAsia" w:ascii="仿宋_GB2312" w:eastAsia="仿宋_GB2312" w:cs="仿宋_GB2312"/>
          <w:color w:val="auto"/>
          <w:sz w:val="32"/>
          <w:szCs w:val="32"/>
          <w:highlight w:val="none"/>
          <w:lang w:eastAsia="zh-CN"/>
        </w:rPr>
      </w:pPr>
      <w:r>
        <w:rPr>
          <w:rFonts w:hint="eastAsia" w:ascii="仿宋_GB2312" w:eastAsia="仿宋_GB2312" w:cs="仿宋_GB2312"/>
          <w:color w:val="auto"/>
          <w:sz w:val="32"/>
          <w:szCs w:val="32"/>
          <w:highlight w:val="none"/>
        </w:rPr>
        <w:t>根据预算绩效管理要求，本部门在</w:t>
      </w:r>
      <w:r>
        <w:rPr>
          <w:rFonts w:hint="eastAsia" w:ascii="仿宋_GB2312" w:eastAsia="仿宋_GB2312" w:cs="仿宋_GB2312"/>
          <w:color w:val="auto"/>
          <w:sz w:val="32"/>
          <w:szCs w:val="32"/>
          <w:highlight w:val="none"/>
          <w:lang w:val="en-US" w:eastAsia="zh-CN"/>
        </w:rPr>
        <w:t>2025年度</w:t>
      </w:r>
      <w:r>
        <w:rPr>
          <w:rFonts w:hint="eastAsia" w:ascii="仿宋_GB2312" w:eastAsia="仿宋_GB2312" w:cs="仿宋_GB2312"/>
          <w:color w:val="auto"/>
          <w:sz w:val="32"/>
          <w:szCs w:val="32"/>
          <w:highlight w:val="none"/>
        </w:rPr>
        <w:t>预算编制阶段，组织对</w:t>
      </w:r>
      <w:r>
        <w:rPr>
          <w:rFonts w:hint="eastAsia" w:ascii="仿宋_GB2312" w:eastAsia="仿宋_GB2312" w:cs="仿宋_GB2312"/>
          <w:color w:val="auto"/>
          <w:sz w:val="32"/>
          <w:szCs w:val="32"/>
          <w:highlight w:val="none"/>
          <w:lang w:val="en-US" w:eastAsia="zh-CN"/>
        </w:rPr>
        <w:t>0个</w:t>
      </w:r>
      <w:r>
        <w:rPr>
          <w:rFonts w:hint="eastAsia" w:ascii="仿宋_GB2312" w:eastAsia="仿宋_GB2312" w:cs="仿宋_GB2312"/>
          <w:color w:val="auto"/>
          <w:sz w:val="32"/>
          <w:szCs w:val="32"/>
          <w:highlight w:val="none"/>
        </w:rPr>
        <w:t>项目开展了预算事前绩效评估，对</w:t>
      </w:r>
      <w:r>
        <w:rPr>
          <w:rFonts w:hint="eastAsia" w:ascii="仿宋_GB2312" w:eastAsia="仿宋_GB2312" w:cs="仿宋_GB2312"/>
          <w:color w:val="auto"/>
          <w:sz w:val="32"/>
          <w:szCs w:val="32"/>
          <w:highlight w:val="none"/>
          <w:lang w:val="en-US" w:eastAsia="zh-CN"/>
        </w:rPr>
        <w:t>0</w:t>
      </w:r>
      <w:r>
        <w:rPr>
          <w:rFonts w:hint="eastAsia" w:ascii="仿宋_GB2312" w:eastAsia="仿宋_GB2312" w:cs="仿宋_GB2312"/>
          <w:color w:val="auto"/>
          <w:sz w:val="32"/>
          <w:szCs w:val="32"/>
          <w:highlight w:val="none"/>
        </w:rPr>
        <w:t>个项目编制了绩效目标，预算执行过程中，选取</w:t>
      </w:r>
      <w:r>
        <w:rPr>
          <w:rFonts w:hint="eastAsia" w:ascii="仿宋_GB2312" w:eastAsia="仿宋_GB2312" w:cs="仿宋_GB2312"/>
          <w:color w:val="auto"/>
          <w:sz w:val="32"/>
          <w:szCs w:val="32"/>
          <w:highlight w:val="none"/>
          <w:lang w:val="en-US" w:eastAsia="zh-CN"/>
        </w:rPr>
        <w:t>0</w:t>
      </w:r>
      <w:r>
        <w:rPr>
          <w:rFonts w:hint="eastAsia" w:ascii="仿宋_GB2312" w:eastAsia="仿宋_GB2312" w:cs="仿宋_GB2312"/>
          <w:color w:val="auto"/>
          <w:sz w:val="32"/>
          <w:szCs w:val="32"/>
          <w:highlight w:val="none"/>
        </w:rPr>
        <w:t>个项目开展绩效监控</w:t>
      </w:r>
      <w:r>
        <w:rPr>
          <w:rFonts w:hint="eastAsia" w:ascii="仿宋_GB2312" w:eastAsia="仿宋_GB2312" w:cs="仿宋_GB2312"/>
          <w:color w:val="auto"/>
          <w:sz w:val="32"/>
          <w:szCs w:val="32"/>
          <w:highlight w:val="none"/>
          <w:lang w:eastAsia="zh-CN"/>
        </w:rPr>
        <w:t>。</w:t>
      </w:r>
    </w:p>
    <w:p w14:paraId="07998722">
      <w:pPr>
        <w:pStyle w:val="3"/>
        <w:keepNext/>
        <w:keepLines/>
        <w:pageBreakBefore w:val="0"/>
        <w:widowControl w:val="0"/>
        <w:kinsoku/>
        <w:wordWrap/>
        <w:overflowPunct/>
        <w:topLinePunct w:val="0"/>
        <w:autoSpaceDE/>
        <w:autoSpaceDN/>
        <w:bidi w:val="0"/>
        <w:adjustRightInd/>
        <w:snapToGrid/>
        <w:spacing w:after="157" w:afterLines="50" w:line="579" w:lineRule="auto"/>
        <w:jc w:val="center"/>
        <w:textAlignment w:val="auto"/>
        <w:rPr>
          <w:rStyle w:val="24"/>
          <w:rFonts w:hint="eastAsia" w:ascii="方正公文小标宋" w:hAnsi="方正公文小标宋" w:eastAsia="方正公文小标宋" w:cs="方正公文小标宋"/>
          <w:b/>
          <w:bCs/>
        </w:rPr>
      </w:pPr>
      <w:bookmarkStart w:id="94" w:name="_Toc2930"/>
      <w:bookmarkStart w:id="95" w:name="_Toc11804"/>
      <w:r>
        <w:rPr>
          <w:rStyle w:val="24"/>
          <w:rFonts w:hint="eastAsia" w:ascii="方正公文小标宋" w:hAnsi="方正公文小标宋" w:eastAsia="方正公文小标宋" w:cs="方正公文小标宋"/>
          <w:b/>
          <w:bCs/>
        </w:rPr>
        <w:t>第三部分 名词解释</w:t>
      </w:r>
      <w:bookmarkEnd w:id="94"/>
      <w:bookmarkEnd w:id="95"/>
    </w:p>
    <w:p w14:paraId="3C4B0969">
      <w:pPr>
        <w:pageBreakBefore w:val="0"/>
        <w:kinsoku/>
        <w:wordWrap/>
        <w:overflowPunct/>
        <w:topLinePunct w:val="0"/>
        <w:bidi w:val="0"/>
        <w:spacing w:beforeAutospacing="0" w:afterAutospacing="0" w:line="576" w:lineRule="exact"/>
        <w:ind w:leftChars="0"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1.财政拨款收入：指单位从同级财政部门取得的财政预算资金。</w:t>
      </w:r>
    </w:p>
    <w:p w14:paraId="77A18F95">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2.事业收入：指事业单位开展专业业务活动及辅助活动取得的收入。</w:t>
      </w:r>
    </w:p>
    <w:p w14:paraId="24EEAFB6">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3.经营收入：指事业单位在专业业务活动及其辅助活动之外开展非独立核算经营活动取得的收入。</w:t>
      </w:r>
    </w:p>
    <w:p w14:paraId="60BEC1AA">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4.其他收入：指单位取得的除上述收入以外的各项收入。 </w:t>
      </w:r>
    </w:p>
    <w:p w14:paraId="76008C98">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5.使用非财政拨款结余：指事业单位使用以前年度积累的非财政拨款结余弥补当年收支差额的金额。 </w:t>
      </w:r>
    </w:p>
    <w:p w14:paraId="77A3B9D9">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6.年初结转和结余：指以前年度尚未完成、结转到本年按有关规定继续使用的资金。 </w:t>
      </w:r>
    </w:p>
    <w:p w14:paraId="45D2427A">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7.结余分配：指事业单位按照会计制度规定缴纳的所得税、提取的专用结余以及转入非财政拨款结余的金额等。</w:t>
      </w:r>
    </w:p>
    <w:p w14:paraId="70CDC08F">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8、年末结转和结余：指单位按有关规定结转到下年或以后年度继续使用的资金。</w:t>
      </w:r>
    </w:p>
    <w:p w14:paraId="55F09516">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9.科学技术（类）科技条件与服务（款）其他科技条件与服务（项）：指反映其他用于科技条件与服务方面的支出。</w:t>
      </w:r>
    </w:p>
    <w:p w14:paraId="67E7F6B5">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10.社会保障和就业（类）行政事业单位离退休（款）机关事业单位基本养老保险缴费支出（项）：指反映机关事业单位实施养老保险制度由单位缴纳的基本养老保险费支出。</w:t>
      </w:r>
    </w:p>
    <w:p w14:paraId="29324BBF">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11.社会保障和就业（类）行政事业单位离退休（款）机关事业单位职业年金缴费支出（项）：指反映机关事业单位实施养老保险制度由单位缴纳的职业年金支出。</w:t>
      </w:r>
    </w:p>
    <w:p w14:paraId="3DA37A29">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12.医疗卫生与计划生育（类）行政事业单位医疗（款）行政单位医疗（项）：指反映财政部门集中安排的行政单位基本医疗保险缴费经费。</w:t>
      </w:r>
    </w:p>
    <w:p w14:paraId="588B552A">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13.住房保障（类）住房改革（款）住房公积金（项）：指反映行政事业单位按人力资源和社会保障部、财政部规定的基本工资和津贴补贴以及规定比例为职工缴纳的住房公积金。</w:t>
      </w:r>
    </w:p>
    <w:p w14:paraId="0E19E072">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Cs/>
          <w:color w:val="000000"/>
          <w:sz w:val="32"/>
          <w:szCs w:val="32"/>
        </w:rPr>
        <w:t>14.</w:t>
      </w:r>
      <w:r>
        <w:rPr>
          <w:rFonts w:hint="eastAsia" w:ascii="仿宋_GB2312" w:hAnsi="仿宋_GB2312" w:eastAsia="仿宋_GB2312" w:cs="仿宋_GB2312"/>
          <w:color w:val="000000"/>
          <w:kern w:val="0"/>
          <w:sz w:val="32"/>
          <w:szCs w:val="32"/>
        </w:rPr>
        <w:t>住房保障（类）住房改革（款）购房补贴（项）：指反映行政事业单位按人力资源和社会保障部、财政部规定的基本工资和津贴补贴以及规定比例为职工支出的购房补贴。</w:t>
      </w:r>
    </w:p>
    <w:p w14:paraId="3139EC45">
      <w:pPr>
        <w:pageBreakBefore w:val="0"/>
        <w:kinsoku/>
        <w:wordWrap/>
        <w:overflowPunct/>
        <w:topLinePunct w:val="0"/>
        <w:bidi w:val="0"/>
        <w:spacing w:beforeAutospacing="0" w:afterAutospacing="0" w:line="576" w:lineRule="exact"/>
        <w:ind w:leftChars="0" w:firstLine="640"/>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Cs/>
          <w:color w:val="000000"/>
          <w:sz w:val="32"/>
          <w:szCs w:val="32"/>
        </w:rPr>
        <w:t>15.农林水支出</w:t>
      </w:r>
      <w:r>
        <w:rPr>
          <w:rFonts w:hint="eastAsia" w:ascii="仿宋_GB2312" w:hAnsi="仿宋_GB2312" w:eastAsia="仿宋_GB2312" w:cs="仿宋_GB2312"/>
          <w:color w:val="000000"/>
          <w:kern w:val="0"/>
          <w:sz w:val="32"/>
          <w:szCs w:val="32"/>
        </w:rPr>
        <w:t>（类）扶贫（款）社会发展（项）：指反映用于农村贫困地区中小学教育、文化、广播、电视、医疗、卫生等方面的项目支出。</w:t>
      </w:r>
    </w:p>
    <w:p w14:paraId="323E8F6D">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16.基本支出：指为保障机构正常运转、完成日常工作任务而发生的人员支出和公用支出。</w:t>
      </w:r>
    </w:p>
    <w:p w14:paraId="5271A06E">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17.项目支出：指在基本支出之外为完成特定行政任务和事业发展目标所发生的支出。 </w:t>
      </w:r>
    </w:p>
    <w:p w14:paraId="7EA47A87">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18.经营支出：指事业单位在专业业务活动及其辅助活动之外开展非独立核算经营活动发生的支出。</w:t>
      </w:r>
    </w:p>
    <w:p w14:paraId="27E7BB0D">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0987076">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C2445A7">
      <w:pPr>
        <w:keepNext w:val="0"/>
        <w:keepLines w:val="0"/>
        <w:pageBreakBefore w:val="0"/>
        <w:widowControl/>
        <w:kinsoku/>
        <w:wordWrap/>
        <w:overflowPunct/>
        <w:topLinePunct w:val="0"/>
        <w:autoSpaceDE/>
        <w:autoSpaceDN/>
        <w:bidi w:val="0"/>
        <w:adjustRightInd/>
        <w:snapToGrid/>
        <w:spacing w:line="560" w:lineRule="exact"/>
        <w:ind w:firstLine="883" w:firstLineChars="200"/>
        <w:jc w:val="left"/>
        <w:textAlignment w:val="auto"/>
        <w:rPr>
          <w:rStyle w:val="24"/>
          <w:rFonts w:hint="eastAsia" w:ascii="仿宋_GB2312" w:eastAsia="仿宋_GB2312" w:cs="仿宋_GB2312"/>
        </w:rPr>
      </w:pPr>
      <w:r>
        <w:rPr>
          <w:rStyle w:val="24"/>
          <w:rFonts w:hint="eastAsia" w:ascii="仿宋_GB2312" w:eastAsia="仿宋_GB2312" w:cs="仿宋_GB2312"/>
        </w:rPr>
        <w:br w:type="page"/>
      </w:r>
    </w:p>
    <w:p w14:paraId="081154E0">
      <w:pPr>
        <w:pStyle w:val="3"/>
        <w:keepNext/>
        <w:keepLines/>
        <w:pageBreakBefore w:val="0"/>
        <w:widowControl w:val="0"/>
        <w:kinsoku/>
        <w:wordWrap/>
        <w:overflowPunct/>
        <w:topLinePunct w:val="0"/>
        <w:autoSpaceDE/>
        <w:autoSpaceDN/>
        <w:bidi w:val="0"/>
        <w:adjustRightInd/>
        <w:snapToGrid/>
        <w:spacing w:after="157" w:afterLines="50" w:line="579" w:lineRule="auto"/>
        <w:jc w:val="center"/>
        <w:textAlignment w:val="auto"/>
        <w:rPr>
          <w:rStyle w:val="24"/>
          <w:rFonts w:hint="eastAsia" w:ascii="方正公文小标宋" w:hAnsi="方正公文小标宋" w:eastAsia="方正公文小标宋" w:cs="方正公文小标宋"/>
          <w:b/>
          <w:bCs/>
        </w:rPr>
      </w:pPr>
      <w:bookmarkStart w:id="96" w:name="_Toc15177"/>
      <w:bookmarkStart w:id="97" w:name="_Toc27974"/>
      <w:bookmarkStart w:id="98" w:name="_Toc13881"/>
      <w:bookmarkStart w:id="99" w:name="_Toc111208510"/>
      <w:bookmarkStart w:id="100" w:name="_Toc29502"/>
      <w:r>
        <w:rPr>
          <w:rStyle w:val="24"/>
          <w:rFonts w:hint="eastAsia" w:ascii="方正公文小标宋" w:hAnsi="方正公文小标宋" w:eastAsia="方正公文小标宋" w:cs="方正公文小标宋"/>
          <w:b/>
          <w:bCs/>
          <w:lang w:val="en-US" w:eastAsia="zh-CN"/>
        </w:rPr>
        <w:t xml:space="preserve">第四部分 </w:t>
      </w:r>
      <w:r>
        <w:rPr>
          <w:rStyle w:val="24"/>
          <w:rFonts w:hint="eastAsia" w:ascii="方正公文小标宋" w:hAnsi="方正公文小标宋" w:eastAsia="方正公文小标宋" w:cs="方正公文小标宋"/>
          <w:b/>
          <w:bCs/>
        </w:rPr>
        <w:t>附件</w:t>
      </w:r>
      <w:bookmarkEnd w:id="96"/>
      <w:bookmarkEnd w:id="97"/>
      <w:bookmarkEnd w:id="98"/>
      <w:bookmarkEnd w:id="99"/>
    </w:p>
    <w:p w14:paraId="1E0E3368">
      <w:pPr>
        <w:bidi w:val="0"/>
        <w:ind w:firstLine="640" w:firstLineChars="200"/>
        <w:rPr>
          <w:rFonts w:hint="eastAsia" w:ascii="仿宋_GB2312" w:hAnsi="Calibri" w:eastAsia="仿宋_GB2312" w:cs="仿宋"/>
          <w:color w:val="auto"/>
          <w:kern w:val="0"/>
          <w:szCs w:val="32"/>
          <w:highlight w:val="none"/>
          <w:lang w:val="en-US" w:eastAsia="zh-CN" w:bidi="ar-SA"/>
        </w:rPr>
      </w:pPr>
      <w:bookmarkStart w:id="101" w:name="_Toc1519"/>
      <w:bookmarkStart w:id="102" w:name="_Toc6833"/>
      <w:bookmarkStart w:id="103" w:name="_Toc9931"/>
      <w:r>
        <w:rPr>
          <w:rFonts w:hint="eastAsia" w:ascii="仿宋_GB2312" w:hAnsi="仿宋_GB2312" w:eastAsia="仿宋_GB2312" w:cs="仿宋_GB2312"/>
          <w:sz w:val="32"/>
          <w:szCs w:val="32"/>
          <w:lang w:val="en-US" w:eastAsia="zh-CN"/>
        </w:rPr>
        <w:t>单位预算项目支出绩效自评表（2025年度）</w:t>
      </w:r>
      <w:bookmarkEnd w:id="101"/>
      <w:bookmarkEnd w:id="102"/>
      <w:bookmarkEnd w:id="103"/>
      <w:r>
        <w:rPr>
          <w:rFonts w:hint="eastAsia" w:ascii="仿宋_GB2312" w:hAnsi="仿宋_GB2312" w:eastAsia="仿宋_GB2312" w:cs="仿宋_GB2312"/>
          <w:sz w:val="32"/>
          <w:szCs w:val="32"/>
          <w:lang w:val="en-US" w:eastAsia="zh-CN"/>
        </w:rPr>
        <w:t>，我单位2025年度无特定目标类部门预算项目。</w:t>
      </w:r>
    </w:p>
    <w:p w14:paraId="6264D138">
      <w:pPr>
        <w:pStyle w:val="3"/>
        <w:keepNext/>
        <w:keepLines/>
        <w:pageBreakBefore w:val="0"/>
        <w:widowControl w:val="0"/>
        <w:kinsoku/>
        <w:wordWrap/>
        <w:overflowPunct/>
        <w:topLinePunct w:val="0"/>
        <w:autoSpaceDE/>
        <w:autoSpaceDN/>
        <w:bidi w:val="0"/>
        <w:adjustRightInd/>
        <w:snapToGrid/>
        <w:spacing w:after="157" w:afterLines="50" w:line="579" w:lineRule="auto"/>
        <w:jc w:val="center"/>
        <w:textAlignment w:val="auto"/>
        <w:rPr>
          <w:rStyle w:val="24"/>
          <w:rFonts w:hint="eastAsia" w:ascii="方正公文小标宋" w:hAnsi="方正公文小标宋" w:eastAsia="方正公文小标宋" w:cs="方正公文小标宋"/>
          <w:b/>
          <w:bCs/>
          <w:lang w:val="en-US" w:eastAsia="zh-CN"/>
        </w:rPr>
      </w:pPr>
      <w:bookmarkStart w:id="104" w:name="_Toc13634"/>
      <w:bookmarkStart w:id="105" w:name="_Toc23864"/>
      <w:r>
        <w:rPr>
          <w:rStyle w:val="24"/>
          <w:rFonts w:hint="eastAsia" w:ascii="方正公文小标宋" w:hAnsi="方正公文小标宋" w:eastAsia="方正公文小标宋" w:cs="方正公文小标宋"/>
          <w:b/>
          <w:bCs/>
          <w:lang w:val="en-US" w:eastAsia="zh-CN"/>
        </w:rPr>
        <w:t>第五部分 附表</w:t>
      </w:r>
      <w:bookmarkEnd w:id="100"/>
      <w:bookmarkEnd w:id="104"/>
      <w:bookmarkEnd w:id="105"/>
    </w:p>
    <w:p w14:paraId="429201B4">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06" w:name="_Toc12986"/>
      <w:bookmarkStart w:id="107" w:name="_Toc17974"/>
      <w:bookmarkStart w:id="108" w:name="_Toc31743"/>
      <w:bookmarkStart w:id="109" w:name="_Toc26370"/>
      <w:r>
        <w:rPr>
          <w:rFonts w:hint="eastAsia" w:ascii="仿宋_GB2312" w:hAnsi="仿宋_GB2312" w:eastAsia="仿宋_GB2312" w:cs="仿宋_GB2312"/>
          <w:b w:val="0"/>
          <w:color w:val="000000"/>
          <w:kern w:val="2"/>
          <w:sz w:val="32"/>
          <w:szCs w:val="32"/>
          <w:lang w:bidi="ar-SA"/>
        </w:rPr>
        <w:t>一、收入支出决算总表</w:t>
      </w:r>
      <w:bookmarkEnd w:id="106"/>
      <w:bookmarkEnd w:id="107"/>
      <w:bookmarkEnd w:id="108"/>
      <w:bookmarkEnd w:id="109"/>
    </w:p>
    <w:p w14:paraId="16276A93">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10" w:name="_Toc12035"/>
      <w:bookmarkStart w:id="111" w:name="_Toc21996"/>
      <w:bookmarkStart w:id="112" w:name="_Toc13591"/>
      <w:bookmarkStart w:id="113" w:name="_Toc13062"/>
      <w:r>
        <w:rPr>
          <w:rFonts w:hint="eastAsia" w:ascii="仿宋_GB2312" w:hAnsi="仿宋_GB2312" w:eastAsia="仿宋_GB2312" w:cs="仿宋_GB2312"/>
          <w:b w:val="0"/>
          <w:color w:val="000000"/>
          <w:kern w:val="2"/>
          <w:sz w:val="32"/>
          <w:szCs w:val="32"/>
          <w:lang w:bidi="ar-SA"/>
        </w:rPr>
        <w:t>二、收入决算表</w:t>
      </w:r>
      <w:bookmarkEnd w:id="110"/>
      <w:bookmarkEnd w:id="111"/>
      <w:bookmarkEnd w:id="112"/>
      <w:bookmarkEnd w:id="113"/>
    </w:p>
    <w:p w14:paraId="19B53460">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14" w:name="_Toc29688"/>
      <w:bookmarkStart w:id="115" w:name="_Toc23368"/>
      <w:bookmarkStart w:id="116" w:name="_Toc16600"/>
      <w:bookmarkStart w:id="117" w:name="_Toc5724"/>
      <w:r>
        <w:rPr>
          <w:rFonts w:hint="eastAsia" w:ascii="仿宋_GB2312" w:hAnsi="仿宋_GB2312" w:eastAsia="仿宋_GB2312" w:cs="仿宋_GB2312"/>
          <w:b w:val="0"/>
          <w:color w:val="000000"/>
          <w:kern w:val="2"/>
          <w:sz w:val="32"/>
          <w:szCs w:val="32"/>
          <w:lang w:bidi="ar-SA"/>
        </w:rPr>
        <w:t>三、支出决算表</w:t>
      </w:r>
      <w:bookmarkEnd w:id="114"/>
      <w:bookmarkEnd w:id="115"/>
      <w:bookmarkEnd w:id="116"/>
      <w:bookmarkEnd w:id="117"/>
    </w:p>
    <w:p w14:paraId="76C2A4EF">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18" w:name="_Toc5964"/>
      <w:bookmarkStart w:id="119" w:name="_Toc5073"/>
      <w:bookmarkStart w:id="120" w:name="_Toc31023"/>
      <w:bookmarkStart w:id="121" w:name="_Toc26630"/>
      <w:r>
        <w:rPr>
          <w:rFonts w:hint="eastAsia" w:ascii="仿宋_GB2312" w:hAnsi="仿宋_GB2312" w:eastAsia="仿宋_GB2312" w:cs="仿宋_GB2312"/>
          <w:b w:val="0"/>
          <w:color w:val="000000"/>
          <w:kern w:val="2"/>
          <w:sz w:val="32"/>
          <w:szCs w:val="32"/>
          <w:lang w:bidi="ar-SA"/>
        </w:rPr>
        <w:t>四、财政拨款收入支出决算总表</w:t>
      </w:r>
      <w:bookmarkEnd w:id="118"/>
      <w:bookmarkEnd w:id="119"/>
      <w:bookmarkEnd w:id="120"/>
      <w:bookmarkEnd w:id="121"/>
    </w:p>
    <w:p w14:paraId="74EB4147">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22" w:name="_Toc19934"/>
      <w:bookmarkStart w:id="123" w:name="_Toc29494"/>
      <w:bookmarkStart w:id="124" w:name="_Toc8932"/>
      <w:bookmarkStart w:id="125" w:name="_Toc14273"/>
      <w:r>
        <w:rPr>
          <w:rFonts w:hint="eastAsia" w:ascii="仿宋_GB2312" w:hAnsi="仿宋_GB2312" w:eastAsia="仿宋_GB2312" w:cs="仿宋_GB2312"/>
          <w:b w:val="0"/>
          <w:color w:val="000000"/>
          <w:kern w:val="2"/>
          <w:sz w:val="32"/>
          <w:szCs w:val="32"/>
          <w:lang w:bidi="ar-SA"/>
        </w:rPr>
        <w:t>五、财政拨款支出决算明细表</w:t>
      </w:r>
      <w:bookmarkEnd w:id="122"/>
      <w:bookmarkEnd w:id="123"/>
      <w:bookmarkEnd w:id="124"/>
      <w:bookmarkEnd w:id="125"/>
    </w:p>
    <w:p w14:paraId="5BCD1AF3">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26" w:name="_Toc14729"/>
      <w:bookmarkStart w:id="127" w:name="_Toc16449"/>
      <w:bookmarkStart w:id="128" w:name="_Toc12507"/>
      <w:bookmarkStart w:id="129" w:name="_Toc6686"/>
      <w:r>
        <w:rPr>
          <w:rFonts w:hint="eastAsia" w:ascii="仿宋_GB2312" w:hAnsi="仿宋_GB2312" w:eastAsia="仿宋_GB2312" w:cs="仿宋_GB2312"/>
          <w:b w:val="0"/>
          <w:color w:val="000000"/>
          <w:kern w:val="2"/>
          <w:sz w:val="32"/>
          <w:szCs w:val="32"/>
          <w:lang w:bidi="ar-SA"/>
        </w:rPr>
        <w:t>六、一般公共预算财政拨款支出决算表</w:t>
      </w:r>
      <w:bookmarkEnd w:id="126"/>
      <w:bookmarkEnd w:id="127"/>
      <w:bookmarkEnd w:id="128"/>
      <w:bookmarkEnd w:id="129"/>
    </w:p>
    <w:p w14:paraId="1CBF2BDC">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30" w:name="_Toc3478"/>
      <w:bookmarkStart w:id="131" w:name="_Toc16368"/>
      <w:bookmarkStart w:id="132" w:name="_Toc19514"/>
      <w:bookmarkStart w:id="133" w:name="_Toc23408"/>
      <w:r>
        <w:rPr>
          <w:rFonts w:hint="eastAsia" w:ascii="仿宋_GB2312" w:hAnsi="仿宋_GB2312" w:eastAsia="仿宋_GB2312" w:cs="仿宋_GB2312"/>
          <w:b w:val="0"/>
          <w:color w:val="000000"/>
          <w:kern w:val="2"/>
          <w:sz w:val="32"/>
          <w:szCs w:val="32"/>
          <w:lang w:bidi="ar-SA"/>
        </w:rPr>
        <w:t>七、一般公共预算财政拨款支出决算明细表</w:t>
      </w:r>
      <w:bookmarkEnd w:id="130"/>
      <w:bookmarkEnd w:id="131"/>
      <w:bookmarkEnd w:id="132"/>
      <w:bookmarkEnd w:id="133"/>
    </w:p>
    <w:p w14:paraId="7E55C9E4">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34" w:name="_Toc6418"/>
      <w:bookmarkStart w:id="135" w:name="_Toc191"/>
      <w:bookmarkStart w:id="136" w:name="_Toc17352"/>
      <w:bookmarkStart w:id="137" w:name="_Toc28645"/>
      <w:r>
        <w:rPr>
          <w:rFonts w:hint="eastAsia" w:ascii="仿宋_GB2312" w:hAnsi="仿宋_GB2312" w:eastAsia="仿宋_GB2312" w:cs="仿宋_GB2312"/>
          <w:b w:val="0"/>
          <w:color w:val="000000"/>
          <w:kern w:val="2"/>
          <w:sz w:val="32"/>
          <w:szCs w:val="32"/>
          <w:lang w:bidi="ar-SA"/>
        </w:rPr>
        <w:t>八、一般公共预算财政拨款基本支出决算表</w:t>
      </w:r>
      <w:bookmarkEnd w:id="134"/>
      <w:bookmarkEnd w:id="135"/>
      <w:bookmarkEnd w:id="136"/>
      <w:bookmarkEnd w:id="137"/>
    </w:p>
    <w:p w14:paraId="5CFE85AC">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38" w:name="_Toc5204"/>
      <w:bookmarkStart w:id="139" w:name="_Toc7994"/>
      <w:bookmarkStart w:id="140" w:name="_Toc3726"/>
      <w:bookmarkStart w:id="141" w:name="_Toc247"/>
      <w:r>
        <w:rPr>
          <w:rFonts w:hint="eastAsia" w:ascii="仿宋_GB2312" w:hAnsi="仿宋_GB2312" w:eastAsia="仿宋_GB2312" w:cs="仿宋_GB2312"/>
          <w:b w:val="0"/>
          <w:color w:val="000000"/>
          <w:kern w:val="2"/>
          <w:sz w:val="32"/>
          <w:szCs w:val="32"/>
          <w:lang w:bidi="ar-SA"/>
        </w:rPr>
        <w:t>九、一般公共预算财政拨款项目支出决算表</w:t>
      </w:r>
      <w:bookmarkEnd w:id="138"/>
      <w:bookmarkEnd w:id="139"/>
      <w:bookmarkEnd w:id="140"/>
      <w:bookmarkEnd w:id="141"/>
    </w:p>
    <w:p w14:paraId="74212A2C">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42" w:name="_Toc20056"/>
      <w:bookmarkStart w:id="143" w:name="_Toc10765"/>
      <w:bookmarkStart w:id="144" w:name="_Toc27552"/>
      <w:bookmarkStart w:id="145" w:name="_Toc20756"/>
      <w:r>
        <w:rPr>
          <w:rFonts w:hint="eastAsia" w:ascii="仿宋_GB2312" w:hAnsi="仿宋_GB2312" w:eastAsia="仿宋_GB2312" w:cs="仿宋_GB2312"/>
          <w:b w:val="0"/>
          <w:color w:val="000000"/>
          <w:kern w:val="2"/>
          <w:sz w:val="32"/>
          <w:szCs w:val="32"/>
          <w:lang w:bidi="ar-SA"/>
        </w:rPr>
        <w:t>十、政府性基金预算财政拨款收入支出决算表</w:t>
      </w:r>
      <w:bookmarkEnd w:id="142"/>
      <w:bookmarkEnd w:id="143"/>
      <w:bookmarkEnd w:id="144"/>
      <w:bookmarkEnd w:id="145"/>
    </w:p>
    <w:p w14:paraId="47B6B5CE">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46" w:name="_Toc31709"/>
      <w:bookmarkStart w:id="147" w:name="_Toc13849"/>
      <w:bookmarkStart w:id="148" w:name="_Toc30330"/>
      <w:bookmarkStart w:id="149" w:name="_Toc21387"/>
      <w:r>
        <w:rPr>
          <w:rFonts w:hint="eastAsia" w:ascii="仿宋_GB2312" w:hAnsi="仿宋_GB2312" w:eastAsia="仿宋_GB2312" w:cs="仿宋_GB2312"/>
          <w:b w:val="0"/>
          <w:color w:val="000000"/>
          <w:kern w:val="2"/>
          <w:sz w:val="32"/>
          <w:szCs w:val="32"/>
          <w:lang w:bidi="ar-SA"/>
        </w:rPr>
        <w:t>十一、国有资本经营预算财政拨款收入支出决算表</w:t>
      </w:r>
      <w:bookmarkEnd w:id="146"/>
      <w:bookmarkEnd w:id="147"/>
      <w:bookmarkEnd w:id="148"/>
      <w:bookmarkEnd w:id="149"/>
    </w:p>
    <w:p w14:paraId="1ED858BC">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50" w:name="_Toc4354"/>
      <w:bookmarkStart w:id="151" w:name="_Toc13099"/>
      <w:bookmarkStart w:id="152" w:name="_Toc1140"/>
      <w:bookmarkStart w:id="153" w:name="_Toc18461"/>
      <w:r>
        <w:rPr>
          <w:rFonts w:hint="eastAsia" w:ascii="仿宋_GB2312" w:hAnsi="仿宋_GB2312" w:eastAsia="仿宋_GB2312" w:cs="仿宋_GB2312"/>
          <w:b w:val="0"/>
          <w:color w:val="000000"/>
          <w:kern w:val="2"/>
          <w:sz w:val="32"/>
          <w:szCs w:val="32"/>
          <w:lang w:bidi="ar-SA"/>
        </w:rPr>
        <w:t>十二、国有资本经营预算财政拨款支出决算表</w:t>
      </w:r>
      <w:bookmarkEnd w:id="150"/>
      <w:bookmarkEnd w:id="151"/>
      <w:bookmarkEnd w:id="152"/>
      <w:bookmarkEnd w:id="153"/>
    </w:p>
    <w:p w14:paraId="219855FF">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54" w:name="_Toc25065"/>
      <w:bookmarkStart w:id="155" w:name="_Toc17552"/>
      <w:bookmarkStart w:id="156" w:name="_Toc19849"/>
      <w:bookmarkStart w:id="157" w:name="_Toc24957"/>
      <w:r>
        <w:rPr>
          <w:rFonts w:hint="eastAsia" w:ascii="仿宋_GB2312" w:hAnsi="仿宋_GB2312" w:eastAsia="仿宋_GB2312" w:cs="仿宋_GB2312"/>
          <w:b w:val="0"/>
          <w:color w:val="000000"/>
          <w:kern w:val="2"/>
          <w:sz w:val="32"/>
          <w:szCs w:val="32"/>
          <w:lang w:bidi="ar-SA"/>
        </w:rPr>
        <w:t>十三、财政拨款“三公”经费支出决算表</w:t>
      </w:r>
      <w:bookmarkEnd w:id="154"/>
      <w:bookmarkEnd w:id="155"/>
      <w:bookmarkEnd w:id="156"/>
      <w:bookmarkEnd w:id="157"/>
    </w:p>
    <w:p w14:paraId="5C1106CC"/>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方正公文小标宋">
    <w:altName w:val="方正小标宋简体"/>
    <w:panose1 w:val="02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Lucida Sans">
    <w:panose1 w:val="020B0602030504020204"/>
    <w:charset w:val="01"/>
    <w:family w:val="auto"/>
    <w:pitch w:val="default"/>
    <w:sig w:usb0="00000003" w:usb1="00000000" w:usb2="00000000" w:usb3="00000000" w:csb0="2000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5E7AB153">
        <w:pPr>
          <w:pStyle w:val="12"/>
          <w:jc w:val="center"/>
        </w:pPr>
        <w:r>
          <w:fldChar w:fldCharType="begin"/>
        </w:r>
        <w:r>
          <w:instrText xml:space="preserve">PAGE   \* MERGEFORMAT</w:instrText>
        </w:r>
        <w:r>
          <w:fldChar w:fldCharType="separate"/>
        </w:r>
        <w:r>
          <w:rPr>
            <w:lang w:val="zh-CN"/>
          </w:rPr>
          <w:t>4</w:t>
        </w:r>
        <w:r>
          <w:fldChar w:fldCharType="end"/>
        </w:r>
      </w:p>
    </w:sdtContent>
  </w:sdt>
  <w:p w14:paraId="0DFB2782">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AA6F6">
    <w:pPr>
      <w:pStyle w:val="1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2"/>
  </w:compat>
  <w:docVars>
    <w:docVar w:name="commondata" w:val="eyJoZGlkIjoiYzcxZDM0MjZkNjI3OGVhNjQ0OTE3ZDU0YmUxOTQ0MjEifQ=="/>
  </w:docVars>
  <w:rsids>
    <w:rsidRoot w:val="00000000"/>
    <w:rsid w:val="03DD1F43"/>
    <w:rsid w:val="04341530"/>
    <w:rsid w:val="060E1BB7"/>
    <w:rsid w:val="06AD62E4"/>
    <w:rsid w:val="08332819"/>
    <w:rsid w:val="12702105"/>
    <w:rsid w:val="12C91954"/>
    <w:rsid w:val="13854144"/>
    <w:rsid w:val="166E0EC0"/>
    <w:rsid w:val="167C0C4A"/>
    <w:rsid w:val="176D64DA"/>
    <w:rsid w:val="1C4407BB"/>
    <w:rsid w:val="1C864021"/>
    <w:rsid w:val="1DE55F0B"/>
    <w:rsid w:val="21A84A3B"/>
    <w:rsid w:val="3065701A"/>
    <w:rsid w:val="324C6101"/>
    <w:rsid w:val="38070633"/>
    <w:rsid w:val="38C113C3"/>
    <w:rsid w:val="3BB6283D"/>
    <w:rsid w:val="41CE08E1"/>
    <w:rsid w:val="45D2647B"/>
    <w:rsid w:val="46FD7572"/>
    <w:rsid w:val="480908C5"/>
    <w:rsid w:val="48E81740"/>
    <w:rsid w:val="4EF34D3D"/>
    <w:rsid w:val="4F6E284D"/>
    <w:rsid w:val="4FB70C06"/>
    <w:rsid w:val="5289420F"/>
    <w:rsid w:val="54DE20EF"/>
    <w:rsid w:val="59C965FF"/>
    <w:rsid w:val="59CC3500"/>
    <w:rsid w:val="5C217E2B"/>
    <w:rsid w:val="6254757F"/>
    <w:rsid w:val="62886432"/>
    <w:rsid w:val="6632293D"/>
    <w:rsid w:val="6A8C1EEE"/>
    <w:rsid w:val="6AA14535"/>
    <w:rsid w:val="6AC25B71"/>
    <w:rsid w:val="71990467"/>
    <w:rsid w:val="72D00747"/>
    <w:rsid w:val="77DB079B"/>
    <w:rsid w:val="797632DB"/>
    <w:rsid w:val="7E342983"/>
    <w:rsid w:val="F73F7831"/>
    <w:rsid w:val="F7662739"/>
    <w:rsid w:val="FFFBC92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4"/>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0">
    <w:name w:val="Default Paragraph Font"/>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680"/>
    </w:pPr>
  </w:style>
  <w:style w:type="paragraph" w:styleId="6">
    <w:name w:val="annotation text"/>
    <w:basedOn w:val="1"/>
    <w:qFormat/>
    <w:uiPriority w:val="0"/>
    <w:pPr>
      <w:jc w:val="left"/>
    </w:pPr>
  </w:style>
  <w:style w:type="paragraph" w:styleId="7">
    <w:name w:val="Body Text"/>
    <w:basedOn w:val="1"/>
    <w:qFormat/>
    <w:uiPriority w:val="0"/>
    <w:pPr>
      <w:spacing w:before="30" w:beforeLines="30"/>
    </w:pPr>
    <w:rPr>
      <w:rFonts w:ascii="仿宋_GB2312" w:eastAsia="仿宋_GB2312"/>
      <w:kern w:val="0"/>
      <w:sz w:val="30"/>
    </w:rPr>
  </w:style>
  <w:style w:type="paragraph" w:styleId="8">
    <w:name w:val="Body Text Indent"/>
    <w:basedOn w:val="1"/>
    <w:next w:val="9"/>
    <w:qFormat/>
    <w:uiPriority w:val="0"/>
    <w:pPr>
      <w:spacing w:after="120"/>
      <w:ind w:left="200" w:leftChars="200"/>
    </w:pPr>
    <w:rPr>
      <w:rFonts w:ascii="仿宋_GB2312" w:hAnsi="仿宋_GB2312"/>
      <w:szCs w:val="32"/>
    </w:rPr>
  </w:style>
  <w:style w:type="paragraph" w:styleId="9">
    <w:name w:val="Body Text First Indent 2"/>
    <w:basedOn w:val="8"/>
    <w:qFormat/>
    <w:uiPriority w:val="0"/>
    <w:pPr>
      <w:ind w:firstLine="200" w:firstLineChars="200"/>
    </w:pPr>
  </w:style>
  <w:style w:type="paragraph" w:styleId="10">
    <w:name w:val="toc 3"/>
    <w:basedOn w:val="1"/>
    <w:next w:val="1"/>
    <w:qFormat/>
    <w:uiPriority w:val="0"/>
    <w:pPr>
      <w:tabs>
        <w:tab w:val="right" w:leader="dot" w:pos="8296"/>
      </w:tabs>
      <w:ind w:left="400" w:leftChars="400"/>
    </w:p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qFormat/>
    <w:uiPriority w:val="0"/>
    <w:pPr>
      <w:tabs>
        <w:tab w:val="right" w:leader="dot" w:pos="8296"/>
      </w:tabs>
      <w:spacing w:before="93"/>
      <w:jc w:val="center"/>
    </w:pPr>
    <w:rPr>
      <w:rFonts w:ascii="仿宋" w:eastAsia="仿宋"/>
      <w:sz w:val="28"/>
      <w:szCs w:val="28"/>
    </w:rPr>
  </w:style>
  <w:style w:type="paragraph" w:styleId="15">
    <w:name w:val="footnote text"/>
    <w:basedOn w:val="1"/>
    <w:next w:val="9"/>
    <w:qFormat/>
    <w:uiPriority w:val="0"/>
    <w:pPr>
      <w:snapToGrid w:val="0"/>
      <w:jc w:val="left"/>
    </w:pPr>
    <w:rPr>
      <w:sz w:val="18"/>
      <w:szCs w:val="18"/>
    </w:rPr>
  </w:style>
  <w:style w:type="paragraph" w:styleId="16">
    <w:name w:val="table of figures"/>
    <w:basedOn w:val="1"/>
    <w:next w:val="1"/>
    <w:qFormat/>
    <w:uiPriority w:val="0"/>
    <w:pPr>
      <w:ind w:left="400" w:leftChars="200" w:hanging="200" w:hangingChars="200"/>
    </w:pPr>
  </w:style>
  <w:style w:type="paragraph" w:styleId="17">
    <w:name w:val="toc 2"/>
    <w:basedOn w:val="1"/>
    <w:next w:val="1"/>
    <w:qFormat/>
    <w:uiPriority w:val="0"/>
    <w:pPr>
      <w:tabs>
        <w:tab w:val="right" w:leader="dot" w:pos="8296"/>
      </w:tabs>
      <w:ind w:left="200" w:leftChars="200"/>
    </w:pPr>
  </w:style>
  <w:style w:type="paragraph" w:styleId="18">
    <w:name w:val="Normal (Web)"/>
    <w:basedOn w:val="1"/>
    <w:qFormat/>
    <w:uiPriority w:val="0"/>
    <w:pPr>
      <w:spacing w:beforeAutospacing="1" w:afterAutospacing="1"/>
    </w:pPr>
    <w:rPr>
      <w:rFonts w:cs="Times New Roman"/>
      <w:sz w:val="24"/>
      <w:lang w:eastAsia="zh-CN" w:bidi="ar-SA"/>
    </w:rPr>
  </w:style>
  <w:style w:type="character" w:styleId="21">
    <w:name w:val="Strong"/>
    <w:basedOn w:val="20"/>
    <w:qFormat/>
    <w:uiPriority w:val="0"/>
    <w:rPr>
      <w:b/>
    </w:rPr>
  </w:style>
  <w:style w:type="character" w:styleId="22">
    <w:name w:val="Hyperlink"/>
    <w:basedOn w:val="20"/>
    <w:qFormat/>
    <w:uiPriority w:val="0"/>
    <w:rPr>
      <w:color w:val="0000FF"/>
      <w:u w:val="single"/>
    </w:rPr>
  </w:style>
  <w:style w:type="character" w:styleId="23">
    <w:name w:val="annotation reference"/>
    <w:basedOn w:val="20"/>
    <w:qFormat/>
    <w:uiPriority w:val="0"/>
    <w:rPr>
      <w:sz w:val="21"/>
      <w:szCs w:val="21"/>
    </w:rPr>
  </w:style>
  <w:style w:type="character" w:customStyle="1" w:styleId="24">
    <w:name w:val="heading 1 Char"/>
    <w:basedOn w:val="20"/>
    <w:link w:val="3"/>
    <w:qFormat/>
    <w:uiPriority w:val="0"/>
    <w:rPr>
      <w:rFonts w:ascii="Times New Roman" w:hAnsi="Times New Roman" w:eastAsia="宋体" w:cs="Times New Roman"/>
      <w:b/>
      <w:bCs/>
      <w:kern w:val="44"/>
      <w:sz w:val="44"/>
      <w:szCs w:val="44"/>
      <w:lang w:val="en-US" w:eastAsia="zh-CN" w:bidi="ar-SA"/>
    </w:rPr>
  </w:style>
  <w:style w:type="paragraph" w:customStyle="1" w:styleId="25">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26">
    <w:name w:val="Header Char"/>
    <w:basedOn w:val="20"/>
    <w:qFormat/>
    <w:uiPriority w:val="0"/>
    <w:rPr>
      <w:rFonts w:ascii="Times New Roman" w:hAnsi="Times New Roman"/>
      <w:sz w:val="18"/>
      <w:szCs w:val="18"/>
    </w:rPr>
  </w:style>
  <w:style w:type="character" w:customStyle="1" w:styleId="27">
    <w:name w:val="Footer Char"/>
    <w:basedOn w:val="20"/>
    <w:qFormat/>
    <w:uiPriority w:val="0"/>
    <w:rPr>
      <w:rFonts w:ascii="Times New Roman" w:hAnsi="Times New Roman"/>
      <w:sz w:val="18"/>
      <w:szCs w:val="18"/>
    </w:rPr>
  </w:style>
  <w:style w:type="character" w:customStyle="1" w:styleId="28">
    <w:name w:val="Body Text Char"/>
    <w:basedOn w:val="20"/>
    <w:qFormat/>
    <w:uiPriority w:val="0"/>
    <w:rPr>
      <w:rFonts w:ascii="Times New Roman" w:hAnsi="Times New Roman"/>
      <w:szCs w:val="24"/>
    </w:rPr>
  </w:style>
  <w:style w:type="paragraph" w:styleId="29">
    <w:name w:val="List Paragraph"/>
    <w:basedOn w:val="1"/>
    <w:qFormat/>
    <w:uiPriority w:val="0"/>
    <w:pPr>
      <w:ind w:firstLine="200" w:firstLineChars="200"/>
    </w:pPr>
  </w:style>
  <w:style w:type="paragraph" w:customStyle="1" w:styleId="30">
    <w:name w:val="TOC 标题1"/>
    <w:basedOn w:val="3"/>
    <w:next w:val="1"/>
    <w:qFormat/>
    <w:uiPriority w:val="0"/>
    <w:pPr>
      <w:keepNext/>
      <w:keepLines/>
      <w:widowControl/>
      <w:spacing w:before="480" w:after="0" w:line="276" w:lineRule="auto"/>
      <w:jc w:val="left"/>
      <w:outlineLvl w:val="9"/>
    </w:pPr>
    <w:rPr>
      <w:rFonts w:ascii="Cambria" w:hAnsi="Cambria" w:eastAsia="宋体" w:cs="Times New Roman"/>
      <w:color w:val="366091"/>
      <w:kern w:val="0"/>
      <w:sz w:val="28"/>
      <w:szCs w:val="28"/>
    </w:rPr>
  </w:style>
  <w:style w:type="paragraph" w:customStyle="1" w:styleId="31">
    <w:name w:val="Normal363950e4"/>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2">
    <w:name w:val="Default Paragraph Font830522c6"/>
    <w:qFormat/>
    <w:uiPriority w:val="0"/>
  </w:style>
  <w:style w:type="paragraph" w:customStyle="1" w:styleId="33">
    <w:name w:val="Normal31da962d"/>
    <w:qFormat/>
    <w:uiPriority w:val="0"/>
    <w:pPr>
      <w:widowControl w:val="0"/>
      <w:jc w:val="both"/>
    </w:pPr>
    <w:rPr>
      <w:rFonts w:ascii="Times New Roman" w:hAnsi="Times New Roman" w:eastAsia="宋体" w:cs="Times New Roman"/>
      <w:kern w:val="2"/>
      <w:sz w:val="21"/>
      <w:szCs w:val="21"/>
      <w:lang w:val="en-US" w:eastAsia="zh-CN" w:bidi="ar-SA"/>
    </w:rPr>
  </w:style>
  <w:style w:type="character" w:customStyle="1" w:styleId="34">
    <w:name w:val="Default Paragraph Font5"/>
    <w:qFormat/>
    <w:uiPriority w:val="0"/>
  </w:style>
  <w:style w:type="paragraph" w:customStyle="1" w:styleId="35">
    <w:name w:val="footerce85b5ec"/>
    <w:basedOn w:val="33"/>
    <w:qFormat/>
    <w:uiPriority w:val="0"/>
    <w:pPr>
      <w:tabs>
        <w:tab w:val="center" w:pos="4153"/>
        <w:tab w:val="right" w:pos="8306"/>
      </w:tabs>
      <w:snapToGrid w:val="0"/>
      <w:jc w:val="left"/>
    </w:pPr>
    <w:rPr>
      <w:kern w:val="0"/>
      <w:sz w:val="18"/>
      <w:szCs w:val="20"/>
    </w:rPr>
  </w:style>
  <w:style w:type="paragraph" w:customStyle="1" w:styleId="36">
    <w:name w:val="headerf7e0821f"/>
    <w:basedOn w:val="33"/>
    <w:qFormat/>
    <w:uiPriority w:val="0"/>
    <w:pPr>
      <w:pBdr>
        <w:bottom w:val="single" w:color="auto" w:sz="6" w:space="1"/>
      </w:pBdr>
      <w:tabs>
        <w:tab w:val="center" w:pos="4153"/>
        <w:tab w:val="right" w:pos="8306"/>
      </w:tabs>
      <w:snapToGrid w:val="0"/>
      <w:jc w:val="center"/>
    </w:pPr>
    <w:rPr>
      <w:kern w:val="0"/>
      <w:sz w:val="18"/>
      <w:szCs w:val="20"/>
    </w:rPr>
  </w:style>
  <w:style w:type="paragraph" w:customStyle="1" w:styleId="37">
    <w:name w:val="标题 5（有编号）（绿盟科技）"/>
    <w:next w:val="1"/>
    <w:qFormat/>
    <w:uiPriority w:val="0"/>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7232"/>
          <c:y val="0.0088963965"/>
          <c:w val="0.8623782"/>
          <c:h val="0.8260135"/>
        </c:manualLayout>
      </c:layout>
      <c:barChart>
        <c:barDir val="col"/>
        <c:grouping val="clustered"/>
        <c:varyColors val="0"/>
        <c:ser>
          <c:idx val="0"/>
          <c:order val="0"/>
          <c:tx>
            <c:strRef>
              <c:f>Sheet1!$B$1</c:f>
              <c:strCache>
                <c:ptCount val="1"/>
                <c:pt idx="0">
                  <c:v>金额</c:v>
                </c:pt>
              </c:strCache>
            </c:strRef>
          </c:tx>
          <c:spPr>
            <a:gradFill rotWithShape="1">
              <a:gsLst>
                <a:gs pos="0">
                  <a:srgbClr val="4F81BD">
                    <a:alpha val="100000"/>
                  </a:srgbClr>
                </a:gs>
                <a:gs pos="100000">
                  <a:srgbClr val="3D6CA4">
                    <a:alpha val="100000"/>
                  </a:srgbClr>
                </a:gs>
              </a:gsLst>
              <a:lin ang="5400000" scaled="1"/>
            </a:gradFill>
            <a:ln>
              <a:noFill/>
            </a:ln>
            <a:effectLst>
              <a:outerShdw dist="35921" dir="2700000" algn="br">
                <a:srgbClr val="000000"/>
              </a:outerShdw>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FFFFFF"/>
                    </a:solidFill>
                    <a:latin typeface="Times New Roman" panose="02020603050405020304"/>
                    <a:ea typeface="宋体" panose="02010600030101010101" charset="-122"/>
                    <a:cs typeface="Lucida Sans" panose="020B0602030504020204"/>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2024年收入</c:v>
                </c:pt>
                <c:pt idx="1">
                  <c:v>2024年支出</c:v>
                </c:pt>
                <c:pt idx="2">
                  <c:v>2025年收入</c:v>
                </c:pt>
                <c:pt idx="3">
                  <c:v>2025年支出</c:v>
                </c:pt>
              </c:strCache>
            </c:strRef>
          </c:cat>
          <c:val>
            <c:numRef>
              <c:f>Sheet1!$B$2:$B$5</c:f>
              <c:numCache>
                <c:formatCode>General</c:formatCode>
                <c:ptCount val="4"/>
                <c:pt idx="0">
                  <c:v>173.06</c:v>
                </c:pt>
                <c:pt idx="1">
                  <c:v>173.06</c:v>
                </c:pt>
                <c:pt idx="2">
                  <c:v>205.9</c:v>
                </c:pt>
                <c:pt idx="3">
                  <c:v>205.9</c:v>
                </c:pt>
              </c:numCache>
            </c:numRef>
          </c:val>
        </c:ser>
        <c:dLbls>
          <c:showLegendKey val="0"/>
          <c:showVal val="1"/>
          <c:showCatName val="0"/>
          <c:showSerName val="0"/>
          <c:showPercent val="0"/>
          <c:showBubbleSize val="0"/>
        </c:dLbls>
        <c:gapWidth val="41"/>
        <c:axId val="0"/>
        <c:axId val="1"/>
      </c:barChart>
      <c:catAx>
        <c:axId val="0"/>
        <c:scaling>
          <c:orientation val="minMax"/>
        </c:scaling>
        <c:delete val="0"/>
        <c:axPos val="b"/>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panose="020B0602030504020204"/>
              </a:defRPr>
            </a:pPr>
          </a:p>
        </c:txPr>
        <c:crossAx val="1"/>
        <c:crosses val="autoZero"/>
        <c:auto val="1"/>
        <c:lblAlgn val="ctr"/>
        <c:lblOffset val="100"/>
        <c:noMultiLvlLbl val="0"/>
      </c:catAx>
      <c:valAx>
        <c:axId val="1"/>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panose="020B0602030504020204"/>
              </a:defRPr>
            </a:pPr>
          </a:p>
        </c:txPr>
        <c:crossAx val="0"/>
        <c:crossesAt val="1"/>
        <c:crossBetween val="between"/>
      </c:valAx>
      <c:spPr>
        <a:noFill/>
        <a:ln>
          <a:noFill/>
        </a:ln>
      </c:spPr>
    </c:plotArea>
    <c:plotVisOnly val="1"/>
    <c:dispBlanksAs val="gap"/>
    <c:showDLblsOverMax val="0"/>
    <c:extLst>
      <c:ext uri="{0b15fc19-7d7d-44ad-8c2d-2c3a37ce22c3}">
        <chartProps xmlns="https://web.wps.cn/et/2018/main" chartId="{9cc5fc54-e81b-4d6f-9af9-043c90a8dd5a}"/>
      </c:ext>
    </c:extLst>
  </c:chart>
  <c:spPr>
    <a:gradFill rotWithShape="1">
      <a:gsLst>
        <a:gs pos="0">
          <a:srgbClr val="FFFFFF">
            <a:alpha val="100000"/>
          </a:srgbClr>
        </a:gs>
        <a:gs pos="68000">
          <a:srgbClr val="D9D9D9">
            <a:alpha val="100000"/>
          </a:srgbClr>
        </a:gs>
        <a:gs pos="100000">
          <a:srgbClr val="FFFFFF">
            <a:alpha val="100000"/>
          </a:srgbClr>
        </a:gs>
      </a:gsLst>
      <a:lin ang="5400000" scaled="1"/>
    </a:gra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404040"/>
                </a:solidFill>
                <a:latin typeface="Times New Roman" panose="02020603050405020304"/>
                <a:ea typeface="宋体" panose="02010600030101010101" charset="-122"/>
                <a:cs typeface="Lucida Sans" panose="020B0602030504020204"/>
              </a:defRPr>
            </a:pPr>
            <a:r>
              <a:rPr lang="zh-CN"/>
              <a:t>收入决算结构图</a:t>
            </a:r>
            <a:endParaRPr lang="zh-CN"/>
          </a:p>
        </c:rich>
      </c:tx>
      <c:layout/>
      <c:overlay val="0"/>
      <c:spPr>
        <a:noFill/>
        <a:ln>
          <a:noFill/>
        </a:ln>
      </c:spPr>
    </c:title>
    <c:autoTitleDeleted val="0"/>
    <c:plotArea>
      <c:layout/>
      <c:pieChart>
        <c:varyColors val="1"/>
        <c:ser>
          <c:idx val="1"/>
          <c:order val="0"/>
          <c:spPr>
            <a:ln>
              <a:noFill/>
            </a:ln>
          </c:spPr>
          <c:explosion val="0"/>
          <c:dPt>
            <c:idx val="0"/>
            <c:bubble3D val="0"/>
            <c:spPr>
              <a:solidFill>
                <a:srgbClr val="4572A8"/>
              </a:solidFill>
              <a:ln>
                <a:noFill/>
              </a:ln>
              <a:effectLst>
                <a:outerShdw dist="35921" dir="2700000" algn="br">
                  <a:srgbClr val="000000"/>
                </a:outerShdw>
              </a:effectLst>
            </c:spPr>
          </c:dPt>
          <c:dPt>
            <c:idx val="1"/>
            <c:bubble3D val="0"/>
            <c:spPr>
              <a:solidFill>
                <a:srgbClr val="AA4643"/>
              </a:solidFill>
              <a:ln>
                <a:noFill/>
              </a:ln>
              <a:effectLst>
                <a:outerShdw dist="35921" dir="2700000" algn="br">
                  <a:srgbClr val="000000"/>
                </a:outerShdw>
              </a:effectLst>
            </c:spPr>
          </c:dPt>
          <c:dPt>
            <c:idx val="2"/>
            <c:bubble3D val="0"/>
            <c:spPr>
              <a:solidFill>
                <a:srgbClr val="89A64E"/>
              </a:solidFill>
              <a:ln>
                <a:noFill/>
              </a:ln>
              <a:effectLst>
                <a:outerShdw dist="35921" dir="2700000" algn="br">
                  <a:srgbClr val="000000"/>
                </a:outerShdw>
              </a:effectLst>
            </c:spPr>
          </c:dPt>
          <c:dPt>
            <c:idx val="3"/>
            <c:bubble3D val="0"/>
            <c:spPr>
              <a:solidFill>
                <a:srgbClr val="715890"/>
              </a:solidFill>
              <a:ln>
                <a:noFill/>
              </a:ln>
              <a:effectLst>
                <a:outerShdw dist="35921" dir="2700000" algn="br">
                  <a:srgbClr val="000000"/>
                </a:outerShdw>
              </a:effectLst>
            </c:spPr>
          </c:dPt>
          <c:dPt>
            <c:idx val="4"/>
            <c:bubble3D val="0"/>
            <c:spPr>
              <a:solidFill>
                <a:srgbClr val="4299B0"/>
              </a:solidFill>
              <a:ln>
                <a:noFill/>
              </a:ln>
              <a:effectLst>
                <a:outerShdw dist="35921" dir="2700000" algn="br">
                  <a:srgbClr val="000000"/>
                </a:outerShdw>
              </a:effectLst>
            </c:spPr>
          </c:dPt>
          <c:dPt>
            <c:idx val="5"/>
            <c:bubble3D val="0"/>
            <c:spPr>
              <a:solidFill>
                <a:srgbClr val="DC853D"/>
              </a:solidFill>
              <a:ln>
                <a:noFill/>
              </a:ln>
              <a:effectLst>
                <a:outerShdw dist="35921" dir="2700000" algn="br">
                  <a:srgbClr val="000000"/>
                </a:outerShdw>
              </a:effectLst>
            </c:spPr>
          </c:dPt>
          <c:dPt>
            <c:idx val="6"/>
            <c:bubble3D val="0"/>
            <c:spPr>
              <a:solidFill>
                <a:srgbClr val="93AACF"/>
              </a:solidFill>
              <a:ln>
                <a:noFill/>
              </a:ln>
              <a:effectLst>
                <a:outerShdw dist="35921" dir="2700000" algn="br">
                  <a:srgbClr val="000000"/>
                </a:outerShdw>
              </a:effectLst>
            </c:spPr>
          </c:dPt>
          <c:dPt>
            <c:idx val="7"/>
            <c:bubble3D val="0"/>
            <c:spPr>
              <a:solidFill>
                <a:srgbClr val="D19493"/>
              </a:solidFill>
              <a:ln>
                <a:noFill/>
              </a:ln>
              <a:effectLst>
                <a:outerShdw dist="35921" dir="2700000" algn="br">
                  <a:srgbClr val="000000"/>
                </a:outerShdw>
              </a:effectLst>
            </c:spPr>
          </c:dPt>
          <c:dLbls>
            <c:numFmt formatCode="0%" sourceLinked="0"/>
            <c:spPr>
              <a:pattFill prst="pct75">
                <a:fgClr>
                  <a:srgbClr val="404040"/>
                </a:fgClr>
                <a:bgClr>
                  <a:srgbClr val="595959"/>
                </a:bgClr>
              </a:patt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FFFFFF"/>
                    </a:solidFill>
                    <a:latin typeface="Times New Roman" panose="02020603050405020304"/>
                    <a:ea typeface="宋体" panose="02010600030101010101" charset="-122"/>
                    <a:cs typeface="Lucida Sans" panose="020B0602030504020204"/>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{12537102.67,0,0,0,0,0,0,0}</c:f>
              <c:numCache>
                <c:formatCode>General</c:formatCode>
                <c:ptCount val="8"/>
                <c:pt idx="0">
                  <c:v>12537102.67</c:v>
                </c:pt>
                <c:pt idx="1">
                  <c:v>0</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manualLayout>
          <c:xMode val="edge"/>
          <c:yMode val="edge"/>
          <c:x val="0.652263942573164"/>
          <c:y val="0.138452380952381"/>
        </c:manualLayout>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panose="020B0602030504020204"/>
            </a:defRPr>
          </a:pPr>
        </a:p>
      </c:txPr>
    </c:legend>
    <c:plotVisOnly val="1"/>
    <c:dispBlanksAs val="zero"/>
    <c:showDLblsOverMax val="0"/>
    <c:extLst>
      <c:ext uri="{0b15fc19-7d7d-44ad-8c2d-2c3a37ce22c3}">
        <chartProps xmlns="https://web.wps.cn/et/2018/main" chartId="{5dbcf8ad-ffc9-418f-bc2e-6680e8301a70}"/>
      </c:ext>
    </c:extLst>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404040"/>
                </a:solidFill>
                <a:latin typeface="Times New Roman" panose="02020603050405020304"/>
                <a:ea typeface="宋体" panose="02010600030101010101" charset="-122"/>
                <a:cs typeface="Lucida Sans" panose="020B0602030504020204"/>
              </a:defRPr>
            </a:pPr>
            <a:r>
              <a:rPr lang="zh-CN"/>
              <a:t>支出决算结构图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ln>
              <a:noFill/>
            </a:ln>
          </c:spPr>
          <c:explosion val="0"/>
          <c:dPt>
            <c:idx val="0"/>
            <c:bubble3D val="0"/>
            <c:spPr>
              <a:solidFill>
                <a:srgbClr val="4F81BD"/>
              </a:solidFill>
              <a:ln>
                <a:noFill/>
              </a:ln>
              <a:effectLst>
                <a:outerShdw dist="35921" dir="2700000" algn="br">
                  <a:srgbClr val="000000"/>
                </a:outerShdw>
              </a:effectLst>
            </c:spPr>
          </c:dPt>
          <c:dPt>
            <c:idx val="1"/>
            <c:bubble3D val="0"/>
            <c:spPr>
              <a:solidFill>
                <a:srgbClr val="C0504D"/>
              </a:solidFill>
              <a:ln>
                <a:noFill/>
              </a:ln>
              <a:effectLst>
                <a:outerShdw dist="35921" dir="2700000" algn="br">
                  <a:srgbClr val="000000"/>
                </a:outerShdw>
              </a:effectLst>
            </c:spPr>
          </c:dPt>
          <c:dPt>
            <c:idx val="2"/>
            <c:bubble3D val="0"/>
            <c:spPr>
              <a:solidFill>
                <a:srgbClr val="9BBB59"/>
              </a:solidFill>
              <a:ln>
                <a:noFill/>
              </a:ln>
              <a:effectLst>
                <a:outerShdw dist="35921" dir="2700000" algn="br">
                  <a:srgbClr val="000000"/>
                </a:outerShdw>
              </a:effectLst>
            </c:spPr>
          </c:dPt>
          <c:dPt>
            <c:idx val="3"/>
            <c:bubble3D val="0"/>
            <c:spPr>
              <a:solidFill>
                <a:srgbClr val="8064A2"/>
              </a:solidFill>
              <a:ln>
                <a:noFill/>
              </a:ln>
              <a:effectLst>
                <a:outerShdw dist="35921" dir="2700000" algn="br">
                  <a:srgbClr val="000000"/>
                </a:outerShdw>
              </a:effectLst>
            </c:spPr>
          </c:dPt>
          <c:dPt>
            <c:idx val="4"/>
            <c:bubble3D val="0"/>
            <c:spPr>
              <a:solidFill>
                <a:srgbClr val="4BACC6"/>
              </a:solidFill>
              <a:ln>
                <a:noFill/>
              </a:ln>
              <a:effectLst>
                <a:outerShdw dist="35921" dir="2700000" algn="br">
                  <a:srgbClr val="000000"/>
                </a:outerShdw>
              </a:effectLst>
            </c:spPr>
          </c:dPt>
          <c:dLbls>
            <c:numFmt formatCode="0%" sourceLinked="0"/>
            <c:spPr>
              <a:pattFill prst="pct75">
                <a:fgClr>
                  <a:srgbClr val="404040"/>
                </a:fgClr>
                <a:bgClr>
                  <a:srgbClr val="595959"/>
                </a:bgClr>
              </a:patt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FFFFFF"/>
                    </a:solidFill>
                    <a:latin typeface="Times New Roman" panose="02020603050405020304"/>
                    <a:ea typeface="宋体" panose="02010600030101010101" charset="-122"/>
                    <a:cs typeface="Lucida Sans" panose="020B0602030504020204"/>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 (3)'!$A$2:$A$6</c:f>
              <c:strCache>
                <c:ptCount val="5"/>
                <c:pt idx="0">
                  <c:v>基本支出</c:v>
                </c:pt>
                <c:pt idx="1">
                  <c:v>项目支出</c:v>
                </c:pt>
                <c:pt idx="2">
                  <c:v>上级上缴支出</c:v>
                </c:pt>
                <c:pt idx="3">
                  <c:v>经营支出</c:v>
                </c:pt>
                <c:pt idx="4">
                  <c:v>对附属单位补助支出</c:v>
                </c:pt>
              </c:strCache>
            </c:strRef>
          </c:cat>
          <c:val>
            <c:numRef>
              <c:f>'Sheet1 (3)'!$B$2:$B$6</c:f>
              <c:numCache>
                <c:formatCode>General</c:formatCode>
                <c:ptCount val="5"/>
                <c:pt idx="0">
                  <c:v>168.7</c:v>
                </c:pt>
                <c:pt idx="1">
                  <c:v>0</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panose="020B0602030504020204"/>
            </a:defRPr>
          </a:pPr>
        </a:p>
      </c:txPr>
    </c:legend>
    <c:plotVisOnly val="1"/>
    <c:dispBlanksAs val="gap"/>
    <c:showDLblsOverMax val="0"/>
    <c:extLst>
      <c:ext uri="{0b15fc19-7d7d-44ad-8c2d-2c3a37ce22c3}">
        <chartProps xmlns="https://web.wps.cn/et/2018/main" chartId="{aa1ae707-859d-46ae-b3c5-3ff1f1697ae8}"/>
      </c:ext>
    </c:extLst>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10249402"/>
          <c:y val="0.01225991"/>
          <c:w val="0.8623782"/>
          <c:h val="0.8260135"/>
        </c:manualLayout>
      </c:layout>
      <c:barChart>
        <c:barDir val="col"/>
        <c:grouping val="clustered"/>
        <c:varyColors val="0"/>
        <c:ser>
          <c:idx val="0"/>
          <c:order val="0"/>
          <c:tx>
            <c:strRef>
              <c:f>'Sheet1 (4)'!$B$1</c:f>
              <c:strCache>
                <c:ptCount val="1"/>
                <c:pt idx="0">
                  <c:v>金额</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panose="020B0602030504020204"/>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(4)'!$A$2:$A$5</c:f>
              <c:strCache>
                <c:ptCount val="4"/>
                <c:pt idx="0">
                  <c:v>2025年收入</c:v>
                </c:pt>
                <c:pt idx="1">
                  <c:v>2025年支出</c:v>
                </c:pt>
                <c:pt idx="2">
                  <c:v>2024年收入</c:v>
                </c:pt>
                <c:pt idx="3">
                  <c:v>2024年支出</c:v>
                </c:pt>
              </c:strCache>
            </c:strRef>
          </c:cat>
          <c:val>
            <c:numRef>
              <c:f>'Sheet1 (4)'!$B$2:$B$5</c:f>
              <c:numCache>
                <c:formatCode>General</c:formatCode>
                <c:ptCount val="4"/>
                <c:pt idx="0">
                  <c:v>205.9</c:v>
                </c:pt>
                <c:pt idx="1">
                  <c:v>205.9</c:v>
                </c:pt>
                <c:pt idx="2">
                  <c:v>173.06</c:v>
                </c:pt>
                <c:pt idx="3">
                  <c:v>173.06</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panose="020B0602030504020204"/>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panose="020B0602030504020204"/>
              </a:defRPr>
            </a:pPr>
          </a:p>
        </c:txPr>
        <c:crossAx val="0"/>
        <c:crossesAt val="1"/>
        <c:crossBetween val="between"/>
      </c:valAx>
      <c:spPr>
        <a:noFill/>
        <a:ln>
          <a:noFill/>
        </a:ln>
      </c:spPr>
    </c:plotArea>
    <c:plotVisOnly val="1"/>
    <c:dispBlanksAs val="gap"/>
    <c:showDLblsOverMax val="0"/>
    <c:extLst>
      <c:ext uri="{0b15fc19-7d7d-44ad-8c2d-2c3a37ce22c3}">
        <chartProps xmlns="https://web.wps.cn/et/2018/main" chartId="{bb293cb8-0349-4186-b922-bb786537fbe0}"/>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404402"/>
          <c:y val="0.040242426"/>
          <c:w val="0.8623782"/>
          <c:h val="0.8260135"/>
        </c:manualLayout>
      </c:layout>
      <c:barChart>
        <c:barDir val="col"/>
        <c:grouping val="clustered"/>
        <c:varyColors val="0"/>
        <c:ser>
          <c:idx val="0"/>
          <c:order val="0"/>
          <c:tx>
            <c:strRef>
              <c:f>'Sheet1 (5)'!$B$1</c:f>
              <c:strCache>
                <c:ptCount val="1"/>
                <c:pt idx="0">
                  <c:v>金额</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(5)'!$A$2:$A$3</c:f>
              <c:strCache>
                <c:ptCount val="2"/>
                <c:pt idx="0">
                  <c:v>2025年</c:v>
                </c:pt>
                <c:pt idx="1">
                  <c:v>2024年</c:v>
                </c:pt>
              </c:strCache>
            </c:strRef>
          </c:cat>
          <c:val>
            <c:numRef>
              <c:f>'Sheet1 (5)'!$B$2:$B$3</c:f>
              <c:numCache>
                <c:formatCode>General</c:formatCode>
                <c:ptCount val="2"/>
                <c:pt idx="0">
                  <c:v>205.9</c:v>
                </c:pt>
                <c:pt idx="1">
                  <c:v>173.06</c:v>
                </c:pt>
              </c:numCache>
            </c:numRef>
          </c:val>
        </c:ser>
        <c:dLbls>
          <c:showLegendKey val="0"/>
          <c:showVal val="1"/>
          <c:showCatName val="0"/>
          <c:showSerName val="0"/>
          <c:showPercent val="0"/>
          <c:showBubbleSize val="0"/>
        </c:dLbls>
        <c:gapWidth val="75"/>
        <c:axId val="0"/>
        <c:axId val="1"/>
      </c:barChart>
      <c:catAx>
        <c:axId val="0"/>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crossAx val="1"/>
        <c:crosses val="autoZero"/>
        <c:auto val="1"/>
        <c:lblAlgn val="ctr"/>
        <c:lblOffset val="100"/>
        <c:noMultiLvlLbl val="0"/>
      </c:catAx>
      <c:valAx>
        <c:axId val="1"/>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crossAx val="0"/>
        <c:crossesAt val="1"/>
        <c:crossBetween val="between"/>
      </c:valAx>
      <c:spPr>
        <a:solidFill>
          <a:srgbClr val="FFFFFF"/>
        </a:solidFill>
      </c:spPr>
    </c:plotArea>
    <c:plotVisOnly val="1"/>
    <c:dispBlanksAs val="gap"/>
    <c:showDLblsOverMax val="0"/>
    <c:extLst>
      <c:ext uri="{0b15fc19-7d7d-44ad-8c2d-2c3a37ce22c3}">
        <chartProps xmlns="https://web.wps.cn/et/2018/main" chartId="{3d7b07a3-f622-47cf-85c5-c5dfdd68bcab}"/>
      </c:ext>
    </c:extLst>
  </c:chart>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(6)'!$B$1</c:f>
              <c:strCache>
                <c:ptCount val="1"/>
                <c:pt idx="0">
                  <c:v>金额</c:v>
                </c:pt>
              </c:strCache>
            </c:strRef>
          </c:tx>
          <c:spPr>
            <a:ln>
              <a:noFill/>
            </a:ln>
          </c:spPr>
          <c:explosion val="0"/>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Lbls>
            <c:dLbl>
              <c:idx val="0"/>
              <c:delete val="1"/>
            </c:dLbl>
            <c:dLbl>
              <c:idx val="1"/>
              <c:delete val="1"/>
            </c:dLbl>
            <c:dLbl>
              <c:idx val="2"/>
              <c:delete val="1"/>
            </c:dLbl>
            <c:dLbl>
              <c:idx val="3"/>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(6)'!$A$2:$A$5</c:f>
              <c:strCache>
                <c:ptCount val="4"/>
                <c:pt idx="0">
                  <c:v>一般公共服务支出74.16%</c:v>
                </c:pt>
                <c:pt idx="1">
                  <c:v>社会保障和就业支出13.05%</c:v>
                </c:pt>
                <c:pt idx="2">
                  <c:v>卫生健康支出5.26%</c:v>
                </c:pt>
                <c:pt idx="3">
                  <c:v>住房保障支出7.53%</c:v>
                </c:pt>
              </c:strCache>
            </c:strRef>
          </c:cat>
          <c:val>
            <c:numRef>
              <c:f>'Sheet1 (6)'!$B$2:$B$5</c:f>
              <c:numCache>
                <c:formatCode>General</c:formatCode>
                <c:ptCount val="4"/>
                <c:pt idx="0">
                  <c:v>152.7</c:v>
                </c:pt>
                <c:pt idx="1">
                  <c:v>26.86</c:v>
                </c:pt>
                <c:pt idx="2">
                  <c:v>10.83</c:v>
                </c:pt>
                <c:pt idx="3">
                  <c:v>15.51</c:v>
                </c:pt>
              </c:numCache>
            </c:numRef>
          </c:val>
        </c:ser>
        <c:ser>
          <c:idx val="1"/>
          <c:order val="1"/>
          <c:spPr>
            <a:ln>
              <a:noFill/>
            </a:ln>
          </c:spPr>
          <c:explosion val="0"/>
          <c:dPt>
            <c:idx val="0"/>
            <c:bubble3D val="0"/>
            <c:spPr>
              <a:ln>
                <a:noFill/>
              </a:ln>
            </c:spPr>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ext>
            </c:extLst>
          </c:dLbls>
          <c:cat>
            <c:strRef>
              <c:f>'Sheet1 (6)'!$A$2:$A$5</c:f>
              <c:strCache>
                <c:ptCount val="4"/>
                <c:pt idx="0">
                  <c:v>一般公共服务支出74.16%</c:v>
                </c:pt>
                <c:pt idx="1">
                  <c:v>社会保障和就业支出13.05%</c:v>
                </c:pt>
                <c:pt idx="2">
                  <c:v>卫生健康支出5.26%</c:v>
                </c:pt>
                <c:pt idx="3">
                  <c:v>住房保障支出7.53%</c:v>
                </c:pt>
              </c:strCache>
            </c:strRef>
          </c:cat>
          <c:val>
            <c:numRef>
              <c:f>{1}</c:f>
              <c:numCache>
                <c:formatCode>General</c:formatCode>
                <c:ptCount val="1"/>
                <c:pt idx="0">
                  <c:v>1</c:v>
                </c:pt>
              </c:numCache>
            </c:numRef>
          </c:val>
        </c:ser>
        <c:dLbls>
          <c:showLegendKey val="0"/>
          <c:showVal val="0"/>
          <c:showCatName val="0"/>
          <c:showSerName val="0"/>
          <c:showPercent val="0"/>
          <c:showBubbleSize val="0"/>
          <c:showLeaderLines val="1"/>
        </c:dLbls>
        <c:firstSliceAng val="0"/>
      </c:pieChart>
      <c:spPr>
        <a:noFill/>
      </c:spPr>
    </c:plotArea>
    <c:legend>
      <c:legendPos val="r"/>
      <c:layout>
        <c:manualLayout>
          <c:xMode val="edge"/>
          <c:yMode val="edge"/>
          <c:x val="0.67723846"/>
          <c:y val="0.084125675"/>
          <c:w val="0.31807625"/>
          <c:h val="0.86161566"/>
        </c:manualLayout>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legend>
    <c:plotVisOnly val="1"/>
    <c:dispBlanksAs val="gap"/>
    <c:showDLblsOverMax val="0"/>
    <c:extLst>
      <c:ext uri="{0b15fc19-7d7d-44ad-8c2d-2c3a37ce22c3}">
        <chartProps xmlns="https://web.wps.cn/et/2018/main" chartId="{489ce9ef-5f51-4dd8-ba3f-308033e6d8f9}"/>
      </c:ext>
    </c:extLst>
  </c:chart>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Lucida Sans" panose="020B0602030504020204"/>
              </a:defRPr>
            </a:pPr>
            <a:r>
              <a:rPr lang="zh-CN"/>
              <a:t>三公经费</a:t>
            </a:r>
            <a:endParaRPr lang="zh-CN"/>
          </a:p>
        </c:rich>
      </c:tx>
      <c:layout/>
      <c:overlay val="0"/>
      <c:spPr>
        <a:noFill/>
        <a:ln>
          <a:noFill/>
        </a:ln>
      </c:spPr>
    </c:title>
    <c:autoTitleDeleted val="0"/>
    <c:plotArea>
      <c:layout/>
      <c:pieChart>
        <c:varyColors val="1"/>
        <c:ser>
          <c:idx val="0"/>
          <c:order val="0"/>
          <c:tx>
            <c:strRef>
              <c:f>'Sheet1 (7)'!$B$1</c:f>
              <c:strCache>
                <c:ptCount val="1"/>
                <c:pt idx="0">
                  <c:v>三公经费</c:v>
                </c:pt>
              </c:strCache>
            </c:strRef>
          </c:tx>
          <c:spPr>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dLbl>
              <c:idx val="0"/>
              <c:delete val="1"/>
            </c:dLbl>
            <c:dLbl>
              <c:idx val="1"/>
              <c:delete val="1"/>
            </c:dLbl>
            <c:dLbl>
              <c:idx val="2"/>
              <c:delete val="1"/>
            </c:dLbl>
            <c:dLbl>
              <c:idx val="3"/>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(7)'!$A$2:$A$5</c:f>
              <c:strCache>
                <c:ptCount val="4"/>
                <c:pt idx="0">
                  <c:v>公务接待费</c:v>
                </c:pt>
                <c:pt idx="1">
                  <c:v>公务用车购置费</c:v>
                </c:pt>
                <c:pt idx="2">
                  <c:v>公车运行维护费</c:v>
                </c:pt>
                <c:pt idx="3">
                  <c:v>因公出国（境）费</c:v>
                </c:pt>
              </c:strCache>
            </c:strRef>
          </c:cat>
          <c:val>
            <c:numRef>
              <c:f>'Sheet1 (7)'!$B$2:$B$5</c:f>
              <c:numCache>
                <c:formatCode>General</c:formatCode>
                <c:ptCount val="4"/>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panose="020B0602030504020204"/>
            </a:defRPr>
          </a:pPr>
        </a:p>
      </c:txPr>
    </c:legend>
    <c:plotVisOnly val="1"/>
    <c:dispBlanksAs val="gap"/>
    <c:showDLblsOverMax val="0"/>
    <c:extLst>
      <c:ext uri="{0b15fc19-7d7d-44ad-8c2d-2c3a37ce22c3}">
        <chartProps xmlns="https://web.wps.cn/et/2018/main" chartId="{7c0f2021-8462-48a1-9e39-69c02d5be040}"/>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16</Pages>
  <Words>4060</Words>
  <Characters>4399</Characters>
  <Lines>529</Lines>
  <Paragraphs>298</Paragraphs>
  <TotalTime>8</TotalTime>
  <ScaleCrop>false</ScaleCrop>
  <LinksUpToDate>false</LinksUpToDate>
  <CharactersWithSpaces>4445</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2022-08-17T17:31:00Z</dcterms:created>
  <dc:creator>lgk</dc:creator>
  <cp:lastModifiedBy>蔻蔻</cp:lastModifiedBy>
  <cp:lastPrinted>2026-08-25T15:24:00Z</cp:lastPrinted>
  <dcterms:modified xsi:type="dcterms:W3CDTF">2026-08-25T08:25:43Z</dcterms:modified>
  <dc:title>四川省决算编制说明</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B93CA6F4BEAD4F359769D1203595D585</vt:lpwstr>
  </property>
  <property fmtid="{D5CDD505-2E9C-101B-9397-08002B2CF9AE}" pid="4" name="KSOTemplateDocerSaveRecord">
    <vt:lpwstr>eyJoZGlkIjoiMDYxYjM2YWY4Y2Y3NmFlZWZjNjI1Y2UyZWJhNWZhMDUiLCJ1c2VySWQiOiI1OTk0MDM5NjkifQ==</vt:lpwstr>
  </property>
</Properties>
</file>