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57068">
      <w:pPr>
        <w:rPr>
          <w:rFonts w:ascii="宋体" w:eastAsia="宋体"/>
          <w:b/>
          <w:sz w:val="72"/>
          <w:szCs w:val="72"/>
        </w:rPr>
      </w:pPr>
      <w:bookmarkStart w:id="0" w:name="_Toc15377193"/>
      <w:bookmarkStart w:id="1" w:name="_Toc15378441"/>
      <w:bookmarkStart w:id="2" w:name="_Toc15377425"/>
      <w:bookmarkStart w:id="3" w:name="_Toc15396597"/>
      <w:bookmarkStart w:id="4" w:name="_Toc15306267"/>
      <w:bookmarkStart w:id="5" w:name="_Toc15396475"/>
    </w:p>
    <w:p w14:paraId="31E8357A">
      <w:pPr>
        <w:pStyle w:val="2"/>
        <w:ind w:firstLine="0"/>
      </w:pPr>
    </w:p>
    <w:bookmarkEnd w:id="0"/>
    <w:bookmarkEnd w:id="1"/>
    <w:bookmarkEnd w:id="2"/>
    <w:bookmarkEnd w:id="3"/>
    <w:bookmarkEnd w:id="4"/>
    <w:bookmarkEnd w:id="5"/>
    <w:p w14:paraId="315DCDD0">
      <w:pPr>
        <w:pStyle w:val="7"/>
        <w:jc w:val="center"/>
        <w:rPr>
          <w:rFonts w:hint="eastAsia" w:ascii="方正小标宋简体" w:eastAsia="方正小标宋简体" w:cs="Times New Roman"/>
          <w:color w:val="auto"/>
          <w:kern w:val="2"/>
          <w:sz w:val="44"/>
          <w:szCs w:val="44"/>
          <w:highlight w:val="none"/>
          <w:lang w:val="en-US" w:eastAsia="zh-CN" w:bidi="ar-SA"/>
        </w:rPr>
      </w:pPr>
    </w:p>
    <w:p w14:paraId="3B659786">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2025年度</w:t>
      </w:r>
      <w:bookmarkStart w:id="6" w:name="_Toc15377426"/>
      <w:bookmarkStart w:id="7" w:name="_Toc15396476"/>
      <w:bookmarkStart w:id="8" w:name="_Toc15377194"/>
      <w:bookmarkStart w:id="9" w:name="_Toc15378442"/>
      <w:bookmarkStart w:id="10" w:name="_Toc15396598"/>
      <w:r>
        <w:rPr>
          <w:rFonts w:hint="eastAsia" w:ascii="方正小标宋简体" w:eastAsia="方正小标宋简体" w:cs="Times New Roman"/>
          <w:color w:val="auto"/>
          <w:kern w:val="2"/>
          <w:sz w:val="44"/>
          <w:szCs w:val="44"/>
          <w:highlight w:val="none"/>
          <w:lang w:val="en-US" w:eastAsia="zh-CN" w:bidi="ar-SA"/>
        </w:rPr>
        <w:t>四川省阿坝州茂县</w:t>
      </w:r>
      <w:bookmarkStart w:id="11" w:name="_Toc15306268"/>
      <w:r>
        <w:rPr>
          <w:rFonts w:hint="eastAsia" w:ascii="方正小标宋简体" w:eastAsia="方正小标宋简体" w:cs="Times New Roman"/>
          <w:color w:val="auto"/>
          <w:kern w:val="2"/>
          <w:sz w:val="44"/>
          <w:szCs w:val="44"/>
          <w:highlight w:val="none"/>
          <w:lang w:val="en-US" w:eastAsia="zh-CN" w:bidi="ar-SA"/>
        </w:rPr>
        <w:t>县委办公室</w:t>
      </w:r>
    </w:p>
    <w:p w14:paraId="7E443D32">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(本级）单位决算</w:t>
      </w:r>
      <w:bookmarkEnd w:id="6"/>
      <w:bookmarkEnd w:id="7"/>
      <w:bookmarkEnd w:id="8"/>
      <w:bookmarkEnd w:id="9"/>
      <w:bookmarkEnd w:id="10"/>
      <w:bookmarkEnd w:id="11"/>
    </w:p>
    <w:p w14:paraId="2A24C31E">
      <w:pPr>
        <w:pStyle w:val="2"/>
      </w:pPr>
    </w:p>
    <w:p w14:paraId="46C609A7">
      <w:pPr>
        <w:pStyle w:val="2"/>
      </w:pPr>
    </w:p>
    <w:p w14:paraId="63D45E06">
      <w:pPr>
        <w:pStyle w:val="2"/>
      </w:pPr>
    </w:p>
    <w:p w14:paraId="1319872C">
      <w:pPr>
        <w:pStyle w:val="2"/>
      </w:pPr>
    </w:p>
    <w:p w14:paraId="53604AE5">
      <w:pPr>
        <w:pStyle w:val="2"/>
      </w:pPr>
    </w:p>
    <w:p w14:paraId="60CEABDB">
      <w:pPr>
        <w:pStyle w:val="2"/>
      </w:pPr>
    </w:p>
    <w:p w14:paraId="6CB47BDE">
      <w:pPr>
        <w:pStyle w:val="2"/>
      </w:pPr>
    </w:p>
    <w:p w14:paraId="55B63FFB">
      <w:pPr>
        <w:pStyle w:val="2"/>
      </w:pPr>
    </w:p>
    <w:p w14:paraId="0656ABC7">
      <w:pPr>
        <w:pStyle w:val="2"/>
      </w:pPr>
    </w:p>
    <w:p w14:paraId="7E4031D9">
      <w:pPr>
        <w:pStyle w:val="2"/>
        <w:tabs>
          <w:tab w:val="left" w:pos="3600"/>
        </w:tabs>
      </w:pPr>
      <w:r>
        <w:tab/>
      </w:r>
    </w:p>
    <w:p w14:paraId="0B385703">
      <w:pPr>
        <w:pStyle w:val="2"/>
      </w:pPr>
    </w:p>
    <w:p w14:paraId="4BA62B25">
      <w:pPr>
        <w:pStyle w:val="2"/>
      </w:pPr>
    </w:p>
    <w:p w14:paraId="78BA6CFE">
      <w:pPr>
        <w:pStyle w:val="2"/>
      </w:pPr>
    </w:p>
    <w:p w14:paraId="19BE200F">
      <w:pPr>
        <w:pStyle w:val="2"/>
      </w:pPr>
    </w:p>
    <w:p w14:paraId="53ED043A">
      <w:pPr>
        <w:pStyle w:val="2"/>
      </w:pPr>
    </w:p>
    <w:p w14:paraId="26158A07">
      <w:pPr>
        <w:pStyle w:val="2"/>
      </w:pPr>
    </w:p>
    <w:p w14:paraId="7637DEE3">
      <w:pPr>
        <w:pStyle w:val="2"/>
      </w:pPr>
    </w:p>
    <w:p w14:paraId="2EB45C3B">
      <w:pPr>
        <w:pStyle w:val="2"/>
      </w:pPr>
    </w:p>
    <w:p w14:paraId="730F4936">
      <w:pPr>
        <w:pStyle w:val="2"/>
      </w:pPr>
    </w:p>
    <w:p w14:paraId="3CC41136">
      <w:pPr>
        <w:autoSpaceDE w:val="0"/>
        <w:autoSpaceDN w:val="0"/>
        <w:adjustRightInd w:val="0"/>
        <w:ind w:left="420" w:leftChars="200"/>
        <w:jc w:val="left"/>
        <w:rPr>
          <w:rFonts w:ascii="宋体"/>
          <w:sz w:val="32"/>
          <w:szCs w:val="32"/>
        </w:rPr>
      </w:pPr>
    </w:p>
    <w:p w14:paraId="0148E40E">
      <w:pPr>
        <w:widowControl/>
        <w:jc w:val="center"/>
        <w:rPr>
          <w:rFonts w:ascii="黑体" w:eastAsia="黑体"/>
          <w:color w:val="auto"/>
          <w:sz w:val="48"/>
          <w:szCs w:val="48"/>
          <w:highlight w:val="none"/>
        </w:rPr>
      </w:pPr>
      <w:r>
        <w:rPr>
          <w:rFonts w:ascii="方正小标宋简体" w:eastAsia="方正小标宋简体"/>
          <w:color w:val="000000"/>
          <w:sz w:val="36"/>
          <w:szCs w:val="36"/>
        </w:rPr>
        <w:br w:type="page"/>
      </w:r>
      <w:bookmarkStart w:id="12" w:name="_Toc15377196"/>
      <w:r>
        <w:rPr>
          <w:rFonts w:hint="eastAsia" w:ascii="黑体" w:eastAsia="黑体"/>
          <w:color w:val="auto"/>
          <w:sz w:val="48"/>
          <w:szCs w:val="48"/>
          <w:highlight w:val="none"/>
        </w:rPr>
        <w:t>目录</w:t>
      </w:r>
    </w:p>
    <w:p w14:paraId="31061F0C">
      <w:pPr>
        <w:widowControl/>
        <w:jc w:val="center"/>
        <w:rPr>
          <w:rFonts w:ascii="黑体" w:eastAsia="黑体" w:cs="Times New Roman"/>
          <w:color w:val="auto"/>
          <w:sz w:val="28"/>
          <w:szCs w:val="28"/>
          <w:highlight w:val="none"/>
        </w:rPr>
      </w:pPr>
    </w:p>
    <w:p w14:paraId="3B192888">
      <w:pPr>
        <w:pStyle w:val="14"/>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公开时间：20</w:t>
      </w:r>
      <w:r>
        <w:rPr>
          <w:rFonts w:hint="eastAsia" w:ascii="仿宋_GB2312" w:hAnsi="仿宋_GB2312" w:eastAsia="仿宋_GB2312" w:cs="仿宋_GB2312"/>
          <w:color w:val="auto"/>
          <w:sz w:val="32"/>
          <w:szCs w:val="32"/>
          <w:highlight w:val="none"/>
          <w:lang w:val="en-US" w:eastAsia="zh-CN"/>
        </w:rPr>
        <w:t>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日</w:t>
      </w:r>
    </w:p>
    <w:p w14:paraId="6625EDC0">
      <w:pPr>
        <w:rPr>
          <w:color w:val="auto"/>
          <w:highlight w:val="none"/>
        </w:rPr>
      </w:pPr>
    </w:p>
    <w:p w14:paraId="7DCDD551">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TOC \o "1-2" \h \z \u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_Toc16066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bCs/>
          <w:sz w:val="32"/>
          <w:szCs w:val="32"/>
          <w:lang w:val="en-US" w:eastAsia="zh-CN"/>
        </w:rPr>
        <w:t>第一部分 单位概况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_Toc16066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0DB41EB0">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_Toc22220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lang w:eastAsia="zh-CN"/>
        </w:rPr>
        <w:t>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_Toc22220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6EC307A5">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_Toc7850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_Toc7850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73F5D60">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_Toc21532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bCs/>
          <w:sz w:val="32"/>
          <w:szCs w:val="32"/>
          <w:lang w:val="en-US" w:eastAsia="zh-CN"/>
        </w:rPr>
        <w:t>第二部分 2025年度单位决算情况说明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_Toc21532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1D4CD72E">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_Toc26936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_Toc26936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26BAC3B8">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_Toc18491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_Toc18491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502F73C0">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_Toc25693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_Toc25693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6EF2E6D6">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_Toc26600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_Toc26600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697EC21D">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_Toc2849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577C3150">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_Toc22219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_Toc22219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0EFB7591">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_Toc9251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_Toc9251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1CEDBA8C">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_Toc12581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_Toc12581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4486FBA5">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_Toc29937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_Toc29937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263DE0BC">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_Toc19268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_Toc19268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4C260EE">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_Toc31894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bCs/>
          <w:sz w:val="32"/>
          <w:szCs w:val="32"/>
          <w:lang w:val="en-US" w:eastAsia="zh-CN"/>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_Toc31894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4C5F12B9">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_Toc16243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bCs/>
          <w:sz w:val="32"/>
          <w:szCs w:val="32"/>
          <w:lang w:val="en-US" w:eastAsia="zh-CN"/>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_Toc16243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5B077DE">
      <w:pPr>
        <w:pStyle w:val="14"/>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_Toc22349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bCs/>
          <w:sz w:val="32"/>
          <w:szCs w:val="32"/>
          <w:lang w:val="en-US" w:eastAsia="zh-CN"/>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_Toc22349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12445B9">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_Toc32664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_Toc32664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DB64AC8">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_Toc17312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_Toc17312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0DE0234E">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_Toc23427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_Toc23427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12D59DE4">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_Toc22487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_Toc22487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036CAF83">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_Toc1808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24E09A1E">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_Toc31797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_Toc31797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298983B7">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_Toc1541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_Toc1541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11BC0AAC">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_Toc6093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_Toc6093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718A9372">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_Toc21507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_Toc21507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7A2B81AB">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_Toc3367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十、政府性基金预算财政拨款收入支出决算表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_Toc3367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5349331C">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_Toc4375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十一、国有资本经营预算财政拨款收入支出决算表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_Toc4375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0AAEE0FB">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_Toc19745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十二、国有资本经营预算财政拨款支出决算表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_Toc19745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64E2037C">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_Toc32676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十三、财政拨款“三公”经费支出决算表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_Toc32676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0DEA03A1">
      <w:pPr>
        <w:pStyle w:val="2"/>
        <w:rPr>
          <w:rFonts w:hint="eastAsia" w:ascii="仿宋_GB2312" w:hAnsi="仿宋_GB2312" w:eastAsia="仿宋_GB2312" w:cs="仿宋_GB2312"/>
          <w:caps w:val="0"/>
          <w:smallCaps/>
          <w:sz w:val="32"/>
          <w:szCs w:val="32"/>
        </w:rPr>
      </w:pPr>
      <w:r>
        <w:rPr>
          <w:rFonts w:hint="eastAsia" w:ascii="仿宋_GB2312" w:hAnsi="仿宋_GB2312" w:eastAsia="仿宋_GB2312" w:cs="仿宋_GB2312"/>
          <w:caps w:val="0"/>
          <w:smallCaps/>
          <w:sz w:val="32"/>
          <w:szCs w:val="32"/>
        </w:rPr>
        <w:fldChar w:fldCharType="end"/>
      </w:r>
      <w:bookmarkStart w:id="13" w:name="_Toc111208495"/>
      <w:bookmarkStart w:id="14" w:name="_Toc23038"/>
      <w:bookmarkStart w:id="15" w:name="_Toc16066"/>
    </w:p>
    <w:p w14:paraId="29F23C9A">
      <w:pPr>
        <w:pStyle w:val="2"/>
        <w:rPr>
          <w:rFonts w:hint="eastAsia" w:ascii="仿宋_GB2312" w:hAnsi="仿宋_GB2312" w:eastAsia="仿宋_GB2312" w:cs="仿宋_GB2312"/>
          <w:caps w:val="0"/>
          <w:smallCaps/>
          <w:sz w:val="32"/>
          <w:szCs w:val="32"/>
        </w:rPr>
      </w:pPr>
    </w:p>
    <w:p w14:paraId="6CC169B7">
      <w:pPr>
        <w:pStyle w:val="2"/>
        <w:rPr>
          <w:rFonts w:hint="eastAsia" w:ascii="仿宋_GB2312" w:hAnsi="仿宋_GB2312" w:eastAsia="仿宋_GB2312" w:cs="仿宋_GB2312"/>
          <w:caps w:val="0"/>
          <w:smallCaps/>
          <w:sz w:val="32"/>
          <w:szCs w:val="32"/>
        </w:rPr>
      </w:pPr>
    </w:p>
    <w:p w14:paraId="2D9D18FE">
      <w:pPr>
        <w:pStyle w:val="2"/>
        <w:rPr>
          <w:rFonts w:hint="eastAsia" w:ascii="仿宋_GB2312" w:hAnsi="仿宋_GB2312" w:eastAsia="仿宋_GB2312" w:cs="仿宋_GB2312"/>
          <w:caps w:val="0"/>
          <w:smallCaps/>
          <w:sz w:val="32"/>
          <w:szCs w:val="32"/>
        </w:rPr>
      </w:pPr>
    </w:p>
    <w:p w14:paraId="3E9C2654">
      <w:pPr>
        <w:pStyle w:val="2"/>
        <w:rPr>
          <w:rFonts w:hint="eastAsia" w:ascii="仿宋_GB2312" w:hAnsi="仿宋_GB2312" w:eastAsia="仿宋_GB2312" w:cs="仿宋_GB2312"/>
          <w:caps w:val="0"/>
          <w:smallCaps/>
          <w:sz w:val="32"/>
          <w:szCs w:val="32"/>
        </w:rPr>
      </w:pPr>
    </w:p>
    <w:p w14:paraId="01FEECAB">
      <w:pPr>
        <w:pStyle w:val="2"/>
        <w:rPr>
          <w:rFonts w:hint="eastAsia" w:ascii="仿宋_GB2312" w:hAnsi="仿宋_GB2312" w:eastAsia="仿宋_GB2312" w:cs="仿宋_GB2312"/>
          <w:caps w:val="0"/>
          <w:smallCaps/>
          <w:sz w:val="32"/>
          <w:szCs w:val="32"/>
        </w:rPr>
      </w:pPr>
    </w:p>
    <w:p w14:paraId="19F23D3B">
      <w:pPr>
        <w:pStyle w:val="2"/>
        <w:rPr>
          <w:rFonts w:hint="eastAsia" w:ascii="仿宋_GB2312" w:hAnsi="仿宋_GB2312" w:eastAsia="仿宋_GB2312" w:cs="仿宋_GB2312"/>
          <w:caps w:val="0"/>
          <w:smallCaps/>
          <w:sz w:val="32"/>
          <w:szCs w:val="32"/>
        </w:rPr>
      </w:pPr>
    </w:p>
    <w:p w14:paraId="4E8EFA2F">
      <w:pPr>
        <w:pStyle w:val="2"/>
        <w:rPr>
          <w:rFonts w:hint="eastAsia" w:ascii="仿宋_GB2312" w:hAnsi="仿宋_GB2312" w:eastAsia="仿宋_GB2312" w:cs="仿宋_GB2312"/>
          <w:caps w:val="0"/>
          <w:smallCaps/>
          <w:sz w:val="32"/>
          <w:szCs w:val="32"/>
        </w:rPr>
      </w:pPr>
    </w:p>
    <w:p w14:paraId="6A33A1D2">
      <w:pPr>
        <w:pStyle w:val="2"/>
        <w:rPr>
          <w:rFonts w:hint="eastAsia" w:ascii="仿宋_GB2312" w:hAnsi="仿宋_GB2312" w:eastAsia="仿宋_GB2312" w:cs="仿宋_GB2312"/>
          <w:caps w:val="0"/>
          <w:smallCaps/>
          <w:sz w:val="32"/>
          <w:szCs w:val="32"/>
        </w:rPr>
      </w:pPr>
    </w:p>
    <w:p w14:paraId="4C44DDBE">
      <w:pPr>
        <w:pStyle w:val="2"/>
        <w:rPr>
          <w:rFonts w:hint="eastAsia" w:ascii="仿宋_GB2312" w:hAnsi="仿宋_GB2312" w:eastAsia="仿宋_GB2312" w:cs="仿宋_GB2312"/>
          <w:caps w:val="0"/>
          <w:smallCaps/>
          <w:sz w:val="32"/>
          <w:szCs w:val="32"/>
        </w:rPr>
      </w:pPr>
    </w:p>
    <w:p w14:paraId="41A15E07">
      <w:pPr>
        <w:pStyle w:val="2"/>
        <w:ind w:firstLine="2310" w:firstLineChars="523"/>
        <w:rPr>
          <w:rStyle w:val="24"/>
          <w:rFonts w:hint="eastAsia" w:ascii="方正公文小标宋" w:hAnsi="方正公文小标宋" w:eastAsia="方正公文小标宋" w:cs="方正公文小标宋"/>
          <w:b/>
          <w:bCs/>
          <w:lang w:val="en-US" w:eastAsia="zh-CN"/>
        </w:rPr>
      </w:pPr>
    </w:p>
    <w:p w14:paraId="3AB20B05">
      <w:pPr>
        <w:pStyle w:val="2"/>
        <w:ind w:firstLine="2310" w:firstLineChars="523"/>
        <w:rPr>
          <w:rStyle w:val="24"/>
          <w:rFonts w:hint="eastAsia" w:ascii="方正公文小标宋" w:hAnsi="方正公文小标宋" w:eastAsia="方正公文小标宋" w:cs="方正公文小标宋"/>
          <w:b/>
          <w:bCs/>
          <w:lang w:val="en-US" w:eastAsia="zh-CN"/>
        </w:rPr>
      </w:pPr>
      <w:r>
        <w:rPr>
          <w:rStyle w:val="24"/>
          <w:rFonts w:hint="eastAsia" w:ascii="方正公文小标宋" w:hAnsi="方正公文小标宋" w:eastAsia="方正公文小标宋" w:cs="方正公文小标宋"/>
          <w:b/>
          <w:bCs/>
          <w:lang w:val="en-US" w:eastAsia="zh-CN"/>
        </w:rPr>
        <w:t>第一部分 单位概况</w:t>
      </w:r>
      <w:bookmarkEnd w:id="12"/>
      <w:bookmarkEnd w:id="13"/>
      <w:bookmarkEnd w:id="14"/>
      <w:bookmarkEnd w:id="15"/>
    </w:p>
    <w:p w14:paraId="3BACCA0A">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rPr>
      </w:pPr>
      <w:bookmarkStart w:id="16" w:name="_Toc10216"/>
      <w:bookmarkStart w:id="17" w:name="_Toc25800"/>
      <w:bookmarkStart w:id="18" w:name="_Toc15377197"/>
      <w:bookmarkStart w:id="19" w:name="_Toc79163602"/>
      <w:bookmarkStart w:id="20" w:name="_Toc15396600"/>
      <w:bookmarkStart w:id="21" w:name="_Toc22220"/>
      <w:bookmarkStart w:id="22" w:name="_Toc15377204"/>
      <w:r>
        <w:rPr>
          <w:rFonts w:hint="eastAsia" w:ascii="黑体" w:eastAsia="黑体"/>
          <w:b w:val="0"/>
          <w:color w:val="000000"/>
        </w:rPr>
        <w:t>一、</w:t>
      </w:r>
      <w:bookmarkEnd w:id="16"/>
      <w:bookmarkEnd w:id="17"/>
      <w:bookmarkEnd w:id="18"/>
      <w:bookmarkEnd w:id="19"/>
      <w:bookmarkEnd w:id="20"/>
      <w:r>
        <w:rPr>
          <w:rFonts w:hint="eastAsia" w:ascii="黑体" w:eastAsia="黑体"/>
          <w:b w:val="0"/>
          <w:color w:val="000000"/>
          <w:lang w:val="en-US" w:eastAsia="zh-CN"/>
        </w:rPr>
        <w:t>单位</w:t>
      </w:r>
      <w:r>
        <w:rPr>
          <w:rFonts w:hint="eastAsia" w:ascii="黑体" w:eastAsia="黑体"/>
          <w:b w:val="0"/>
          <w:color w:val="000000"/>
          <w:lang w:eastAsia="zh-CN"/>
        </w:rPr>
        <w:t>职责</w:t>
      </w:r>
      <w:bookmarkEnd w:id="21"/>
      <w:bookmarkStart w:id="23" w:name="_Toc15378445"/>
      <w:bookmarkStart w:id="24" w:name="_Toc15377198"/>
    </w:p>
    <w:bookmarkEnd w:id="23"/>
    <w:bookmarkEnd w:id="24"/>
    <w:p w14:paraId="006BA4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bookmarkStart w:id="25" w:name="_Toc31514"/>
      <w:bookmarkStart w:id="26" w:name="_Toc15377200"/>
      <w:r>
        <w:rPr>
          <w:rFonts w:hint="eastAsia" w:ascii="仿宋_GB2312" w:eastAsia="仿宋_GB2312" w:cs="仿宋_GB2312"/>
          <w:sz w:val="32"/>
          <w:szCs w:val="32"/>
        </w:rPr>
        <w:t>1.贯彻执行党的路线、方针、政策以及中央、省委、州委和县委的决议、决定和工作的部署，协助县委领导处理县委日常工作，协调镇和部门工作，沟通上下左右联系；</w:t>
      </w:r>
    </w:p>
    <w:p w14:paraId="3EE40D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2.负责县委日常文书的处理、县委领导同志公务活动的组织安排、县委各类会议的组织工作；</w:t>
      </w:r>
    </w:p>
    <w:p w14:paraId="2BC25C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3.负责县委文件、文稿的起草、批办、审核和印发工作；</w:t>
      </w:r>
    </w:p>
    <w:p w14:paraId="560D88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４.围绕县委中心工作开展调查研究，及时准确地向县委领导和上级党委反映各方面的实际情况，并提供切实可行的建议；</w:t>
      </w:r>
    </w:p>
    <w:p w14:paraId="45B561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5.及时收集、筛选、综合整理各类情况，全面准确地为县委领导、上级党委报送信息；</w:t>
      </w:r>
    </w:p>
    <w:p w14:paraId="0A6BF9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6.围绕县委重大决策和工作部署，进行督促检查，做好领导重要批示件、新闻舆论批评和群众反映的突出问题的查办工作；</w:t>
      </w:r>
    </w:p>
    <w:p w14:paraId="2ECB67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7.负责全县党政密码通信、密码管理和密码保密及全县商用密码管理</w:t>
      </w:r>
      <w:r>
        <w:rPr>
          <w:rFonts w:hint="eastAsia" w:ascii="仿宋_GB2312" w:eastAsia="仿宋_GB2312" w:cs="仿宋_GB2312"/>
          <w:sz w:val="32"/>
          <w:szCs w:val="32"/>
          <w:lang w:val="en-US" w:eastAsia="zh-CN"/>
        </w:rPr>
        <w:t>和上级涉密文件传递</w:t>
      </w:r>
      <w:r>
        <w:rPr>
          <w:rFonts w:hint="eastAsia" w:ascii="仿宋_GB2312" w:eastAsia="仿宋_GB2312" w:cs="仿宋_GB2312"/>
          <w:sz w:val="32"/>
          <w:szCs w:val="32"/>
        </w:rPr>
        <w:t>工作；</w:t>
      </w:r>
    </w:p>
    <w:p w14:paraId="0B169D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8.主管全县保密工作，督促、检查全县及驻本县单位、部队和企事业单位对《保密法》及其配套法规的贯彻实施情况；</w:t>
      </w:r>
    </w:p>
    <w:p w14:paraId="3EBFCE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eastAsia="楷体" w:cs="楷体"/>
          <w:b/>
          <w:bCs w:val="0"/>
          <w:color w:val="000000"/>
          <w:sz w:val="32"/>
          <w:szCs w:val="32"/>
        </w:rPr>
      </w:pPr>
      <w:r>
        <w:rPr>
          <w:rFonts w:hint="eastAsia" w:ascii="仿宋_GB2312" w:eastAsia="仿宋_GB2312" w:cs="仿宋_GB2312"/>
          <w:sz w:val="32"/>
          <w:szCs w:val="32"/>
        </w:rPr>
        <w:t>9.承办县委领导和上级业务部门交办的其他工作。</w:t>
      </w:r>
    </w:p>
    <w:bookmarkEnd w:id="25"/>
    <w:p w14:paraId="3AE4A5B9">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rPr>
      </w:pPr>
      <w:bookmarkStart w:id="27" w:name="_Toc111208497"/>
      <w:bookmarkStart w:id="28" w:name="_Toc7850"/>
      <w:bookmarkStart w:id="29" w:name="_Toc2743"/>
      <w:r>
        <w:rPr>
          <w:rFonts w:hint="eastAsia" w:ascii="黑体" w:eastAsia="黑体"/>
          <w:b w:val="0"/>
          <w:color w:val="000000"/>
          <w:lang w:val="en-US" w:eastAsia="zh-CN"/>
        </w:rPr>
        <w:t>二、</w:t>
      </w:r>
      <w:r>
        <w:rPr>
          <w:rFonts w:hint="eastAsia" w:ascii="黑体" w:eastAsia="黑体"/>
          <w:b w:val="0"/>
          <w:color w:val="000000"/>
        </w:rPr>
        <w:t>机构设置</w:t>
      </w:r>
      <w:bookmarkEnd w:id="26"/>
      <w:bookmarkEnd w:id="27"/>
      <w:bookmarkEnd w:id="28"/>
      <w:bookmarkStart w:id="30" w:name="_Toc1153"/>
      <w:bookmarkStart w:id="31" w:name="_Toc19720"/>
      <w:bookmarkStart w:id="32" w:name="_Toc17616"/>
      <w:bookmarkStart w:id="33" w:name="_Toc6325"/>
      <w:bookmarkStart w:id="34" w:name="_Toc19939"/>
    </w:p>
    <w:p w14:paraId="13443B19">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仿宋" w:hAnsi="Times New Roman" w:eastAsia="仿宋" w:cs="Times New Roman"/>
          <w:b w:val="0"/>
          <w:bCs w:val="0"/>
          <w:color w:val="auto"/>
          <w:kern w:val="2"/>
          <w:sz w:val="32"/>
          <w:szCs w:val="32"/>
          <w:highlight w:val="none"/>
          <w:lang w:val="en-US" w:eastAsia="zh-CN" w:bidi="ar-SA"/>
        </w:rPr>
      </w:pPr>
      <w:bookmarkStart w:id="35" w:name="_Toc27643"/>
      <w:bookmarkStart w:id="36" w:name="_Toc2143"/>
      <w:bookmarkStart w:id="37" w:name="_Toc12641"/>
      <w:bookmarkStart w:id="38" w:name="_Toc14187"/>
      <w:bookmarkStart w:id="39" w:name="_Toc20691"/>
      <w:bookmarkStart w:id="40" w:name="_Toc3149"/>
      <w:bookmarkStart w:id="41" w:name="_Toc13368"/>
      <w:r>
        <w:rPr>
          <w:rFonts w:hint="eastAsia" w:ascii="仿宋" w:hAnsi="Times New Roman" w:eastAsia="仿宋" w:cs="Times New Roman"/>
          <w:b w:val="0"/>
          <w:bCs w:val="0"/>
          <w:color w:val="auto"/>
          <w:kern w:val="2"/>
          <w:sz w:val="32"/>
          <w:szCs w:val="32"/>
          <w:highlight w:val="none"/>
          <w:lang w:val="en-US" w:eastAsia="zh-CN" w:bidi="ar-SA"/>
        </w:rPr>
        <w:t>县委办下属二级单位0个，其中行政单位0个，参照公务员法管理的事业单位0个，其他事业单位0个。</w:t>
      </w:r>
      <w:bookmarkEnd w:id="29"/>
      <w:bookmarkEnd w:id="30"/>
      <w:bookmarkEnd w:id="31"/>
      <w:bookmarkEnd w:id="32"/>
      <w:bookmarkEnd w:id="33"/>
      <w:bookmarkEnd w:id="34"/>
      <w:bookmarkEnd w:id="35"/>
      <w:bookmarkEnd w:id="36"/>
      <w:bookmarkEnd w:id="37"/>
      <w:bookmarkEnd w:id="38"/>
      <w:bookmarkEnd w:id="39"/>
      <w:bookmarkEnd w:id="40"/>
      <w:bookmarkEnd w:id="41"/>
      <w:bookmarkStart w:id="42" w:name="_Toc4756"/>
      <w:bookmarkStart w:id="43" w:name="_Toc111208498"/>
    </w:p>
    <w:p w14:paraId="3A30C448">
      <w:pPr>
        <w:pStyle w:val="3"/>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lang w:val="en-US" w:eastAsia="zh-CN"/>
        </w:rPr>
      </w:pPr>
      <w:bookmarkStart w:id="44" w:name="_Toc21532"/>
      <w:r>
        <w:rPr>
          <w:rStyle w:val="24"/>
          <w:rFonts w:hint="eastAsia" w:ascii="方正公文小标宋" w:hAnsi="方正公文小标宋" w:eastAsia="方正公文小标宋" w:cs="方正公文小标宋"/>
          <w:b/>
          <w:bCs/>
          <w:lang w:val="en-US" w:eastAsia="zh-CN"/>
        </w:rPr>
        <w:t>第二部分 2025年度单位决算情况说明</w:t>
      </w:r>
      <w:bookmarkEnd w:id="22"/>
      <w:bookmarkEnd w:id="42"/>
      <w:bookmarkEnd w:id="43"/>
      <w:bookmarkEnd w:id="44"/>
    </w:p>
    <w:p w14:paraId="415C4DC0">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45" w:name="_Toc15377205"/>
      <w:bookmarkStart w:id="46" w:name="_Toc111208499"/>
      <w:bookmarkStart w:id="47" w:name="_Toc26705"/>
      <w:bookmarkStart w:id="48" w:name="_Toc26936"/>
      <w:r>
        <w:rPr>
          <w:rFonts w:hint="eastAsia" w:ascii="黑体" w:eastAsia="黑体"/>
          <w:b w:val="0"/>
          <w:color w:val="000000"/>
          <w:lang w:val="en-US" w:eastAsia="zh-CN"/>
        </w:rPr>
        <w:t>一、收入支出决算总体情况说</w:t>
      </w:r>
      <w:bookmarkEnd w:id="45"/>
      <w:r>
        <w:rPr>
          <w:rFonts w:hint="eastAsia" w:ascii="黑体" w:eastAsia="黑体"/>
          <w:b w:val="0"/>
          <w:color w:val="000000"/>
          <w:lang w:val="en-US" w:eastAsia="zh-CN"/>
        </w:rPr>
        <w:t>明</w:t>
      </w:r>
      <w:bookmarkEnd w:id="46"/>
      <w:bookmarkEnd w:id="47"/>
      <w:bookmarkEnd w:id="48"/>
    </w:p>
    <w:p w14:paraId="45625D4D">
      <w:pPr>
        <w:spacing w:line="600" w:lineRule="exact"/>
        <w:ind w:firstLine="640" w:firstLineChars="200"/>
        <w:rPr>
          <w:rFonts w:hint="eastAsia" w:ascii="仿宋" w:eastAsia="仿宋"/>
          <w:color w:val="auto"/>
          <w:sz w:val="32"/>
          <w:szCs w:val="32"/>
          <w:highlight w:val="none"/>
          <w:lang w:eastAsia="zh-CN"/>
        </w:rPr>
      </w:pPr>
      <w:r>
        <w:rPr>
          <w:rFonts w:hint="eastAsia" w:ascii="仿宋" w:eastAsia="仿宋"/>
          <w:color w:val="auto"/>
          <w:sz w:val="32"/>
          <w:szCs w:val="32"/>
          <w:highlight w:val="none"/>
          <w:lang w:eastAsia="zh-CN"/>
        </w:rPr>
        <w:t>202</w:t>
      </w:r>
      <w:r>
        <w:rPr>
          <w:rFonts w:hint="eastAsia" w:ascii="仿宋" w:eastAsia="仿宋"/>
          <w:color w:val="auto"/>
          <w:sz w:val="32"/>
          <w:szCs w:val="32"/>
          <w:highlight w:val="none"/>
          <w:lang w:val="en-US" w:eastAsia="zh-CN"/>
        </w:rPr>
        <w:t>5</w:t>
      </w:r>
      <w:r>
        <w:rPr>
          <w:rFonts w:hint="eastAsia" w:ascii="仿宋" w:eastAsia="仿宋"/>
          <w:color w:val="auto"/>
          <w:sz w:val="32"/>
          <w:szCs w:val="32"/>
          <w:highlight w:val="none"/>
        </w:rPr>
        <w:t>年度收、支总计</w:t>
      </w:r>
      <w:r>
        <w:rPr>
          <w:rFonts w:hint="eastAsia" w:ascii="仿宋" w:eastAsia="仿宋"/>
          <w:color w:val="auto"/>
          <w:sz w:val="32"/>
          <w:szCs w:val="32"/>
          <w:highlight w:val="none"/>
          <w:lang w:eastAsia="zh-CN"/>
        </w:rPr>
        <w:t>均为</w:t>
      </w:r>
      <w:r>
        <w:rPr>
          <w:rFonts w:hint="eastAsia" w:ascii="仿宋" w:eastAsia="仿宋"/>
          <w:color w:val="auto"/>
          <w:sz w:val="32"/>
          <w:szCs w:val="32"/>
          <w:highlight w:val="none"/>
          <w:lang w:val="en-US" w:eastAsia="zh-CN"/>
        </w:rPr>
        <w:t>1100.18</w:t>
      </w:r>
      <w:r>
        <w:rPr>
          <w:rFonts w:hint="eastAsia" w:ascii="仿宋" w:eastAsia="仿宋"/>
          <w:color w:val="auto"/>
          <w:sz w:val="32"/>
          <w:szCs w:val="32"/>
          <w:highlight w:val="none"/>
        </w:rPr>
        <w:t>万元。与</w:t>
      </w:r>
      <w:r>
        <w:rPr>
          <w:rFonts w:hint="eastAsia" w:ascii="仿宋" w:eastAsia="仿宋"/>
          <w:color w:val="auto"/>
          <w:sz w:val="32"/>
          <w:szCs w:val="32"/>
          <w:highlight w:val="none"/>
          <w:lang w:eastAsia="zh-CN"/>
        </w:rPr>
        <w:t>202</w:t>
      </w:r>
      <w:r>
        <w:rPr>
          <w:rFonts w:hint="eastAsia" w:ascii="仿宋" w:eastAsia="仿宋"/>
          <w:color w:val="auto"/>
          <w:sz w:val="32"/>
          <w:szCs w:val="32"/>
          <w:highlight w:val="none"/>
          <w:lang w:val="en-US" w:eastAsia="zh-CN"/>
        </w:rPr>
        <w:t>4</w:t>
      </w:r>
      <w:r>
        <w:rPr>
          <w:rFonts w:hint="eastAsia" w:ascii="仿宋" w:eastAsia="仿宋"/>
          <w:color w:val="auto"/>
          <w:sz w:val="32"/>
          <w:szCs w:val="32"/>
          <w:highlight w:val="none"/>
        </w:rPr>
        <w:t>年</w:t>
      </w:r>
      <w:r>
        <w:rPr>
          <w:rFonts w:hint="eastAsia" w:ascii="仿宋" w:eastAsia="仿宋"/>
          <w:color w:val="auto"/>
          <w:sz w:val="32"/>
          <w:szCs w:val="32"/>
          <w:highlight w:val="none"/>
          <w:lang w:eastAsia="zh-CN"/>
        </w:rPr>
        <w:t>度</w:t>
      </w:r>
      <w:r>
        <w:rPr>
          <w:rFonts w:hint="eastAsia" w:ascii="仿宋" w:eastAsia="仿宋"/>
          <w:color w:val="auto"/>
          <w:sz w:val="32"/>
          <w:szCs w:val="32"/>
          <w:highlight w:val="none"/>
        </w:rPr>
        <w:t>相比，收、支总计各</w:t>
      </w:r>
      <w:r>
        <w:rPr>
          <w:rFonts w:hint="eastAsia" w:ascii="仿宋" w:eastAsia="仿宋"/>
          <w:color w:val="auto"/>
          <w:sz w:val="32"/>
          <w:szCs w:val="32"/>
          <w:highlight w:val="none"/>
          <w:lang w:val="en-US" w:eastAsia="zh-CN"/>
        </w:rPr>
        <w:t>减少20.42</w:t>
      </w:r>
      <w:r>
        <w:rPr>
          <w:rFonts w:hint="eastAsia" w:ascii="仿宋" w:eastAsia="仿宋"/>
          <w:color w:val="auto"/>
          <w:sz w:val="32"/>
          <w:szCs w:val="32"/>
          <w:highlight w:val="none"/>
        </w:rPr>
        <w:t>万元，</w:t>
      </w:r>
      <w:r>
        <w:rPr>
          <w:rFonts w:hint="eastAsia" w:ascii="仿宋" w:eastAsia="仿宋"/>
          <w:color w:val="auto"/>
          <w:sz w:val="32"/>
          <w:szCs w:val="32"/>
          <w:highlight w:val="none"/>
          <w:lang w:val="en-US" w:eastAsia="zh-CN"/>
        </w:rPr>
        <w:t>下降1.8</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：人员变动，项目经费</w:t>
      </w:r>
      <w:r>
        <w:rPr>
          <w:rFonts w:hint="eastAsia" w:ascii="仿宋" w:eastAsia="仿宋"/>
          <w:color w:val="auto"/>
          <w:sz w:val="32"/>
          <w:szCs w:val="32"/>
          <w:highlight w:val="none"/>
          <w:lang w:val="en-US" w:eastAsia="zh-CN"/>
        </w:rPr>
        <w:t>减少</w:t>
      </w:r>
      <w:r>
        <w:rPr>
          <w:rFonts w:hint="eastAsia" w:ascii="仿宋" w:eastAsia="仿宋"/>
          <w:color w:val="auto"/>
          <w:sz w:val="32"/>
          <w:szCs w:val="32"/>
          <w:highlight w:val="none"/>
          <w:lang w:eastAsia="zh-CN"/>
        </w:rPr>
        <w:t>。</w:t>
      </w:r>
    </w:p>
    <w:p w14:paraId="78F9E2B6">
      <w:pPr>
        <w:pStyle w:val="2"/>
        <w:rPr>
          <w:rFonts w:hint="eastAsia" w:ascii="仿宋_GB2312" w:eastAsia="仿宋_GB2312"/>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349250</wp:posOffset>
            </wp:positionH>
            <wp:positionV relativeFrom="paragraph">
              <wp:posOffset>277495</wp:posOffset>
            </wp:positionV>
            <wp:extent cx="4886325" cy="2819400"/>
            <wp:effectExtent l="0" t="0" r="21" b="43"/>
            <wp:wrapSquare wrapText="bothSides"/>
            <wp:docPr id="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637C5879">
      <w:pPr>
        <w:pStyle w:val="2"/>
        <w:rPr>
          <w:rFonts w:hint="eastAsia" w:ascii="仿宋_GB2312" w:eastAsia="仿宋_GB2312"/>
          <w:color w:val="000000"/>
          <w:sz w:val="32"/>
          <w:szCs w:val="32"/>
        </w:rPr>
      </w:pPr>
    </w:p>
    <w:p w14:paraId="17087802">
      <w:pPr>
        <w:pStyle w:val="2"/>
        <w:rPr>
          <w:rFonts w:hint="eastAsia" w:ascii="仿宋_GB2312" w:eastAsia="仿宋_GB2312"/>
          <w:color w:val="000000"/>
          <w:sz w:val="32"/>
          <w:szCs w:val="32"/>
        </w:rPr>
      </w:pPr>
    </w:p>
    <w:p w14:paraId="2FE88892">
      <w:pPr>
        <w:pStyle w:val="2"/>
        <w:rPr>
          <w:rFonts w:hint="eastAsia" w:ascii="仿宋_GB2312" w:eastAsia="仿宋_GB2312"/>
          <w:color w:val="000000"/>
          <w:sz w:val="32"/>
          <w:szCs w:val="32"/>
        </w:rPr>
      </w:pPr>
    </w:p>
    <w:p w14:paraId="5D71CD88">
      <w:pPr>
        <w:pStyle w:val="2"/>
        <w:ind w:left="0" w:leftChars="0" w:firstLine="0" w:firstLineChars="0"/>
        <w:rPr>
          <w:rFonts w:hint="eastAsia" w:ascii="仿宋_GB2312" w:eastAsia="仿宋_GB2312"/>
          <w:color w:val="000000"/>
          <w:sz w:val="32"/>
          <w:szCs w:val="32"/>
        </w:rPr>
      </w:pPr>
    </w:p>
    <w:p w14:paraId="18D079B0">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49" w:name="_Toc18491"/>
      <w:bookmarkStart w:id="50" w:name="_Toc15377206"/>
      <w:bookmarkStart w:id="51" w:name="_Toc111208500"/>
      <w:bookmarkStart w:id="52" w:name="_Toc25746"/>
      <w:r>
        <w:rPr>
          <w:rFonts w:hint="eastAsia" w:ascii="黑体" w:eastAsia="黑体"/>
          <w:b w:val="0"/>
          <w:color w:val="000000"/>
          <w:lang w:val="en-US" w:eastAsia="zh-CN"/>
        </w:rPr>
        <w:t>二、收入决算情况说明</w:t>
      </w:r>
      <w:bookmarkEnd w:id="49"/>
      <w:bookmarkEnd w:id="50"/>
      <w:bookmarkEnd w:id="51"/>
      <w:bookmarkEnd w:id="52"/>
    </w:p>
    <w:p w14:paraId="15A6F8D0">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年本年收入合计</w:t>
      </w:r>
      <w:r>
        <w:rPr>
          <w:rFonts w:hint="eastAsia" w:ascii="仿宋" w:eastAsia="仿宋"/>
          <w:color w:val="auto"/>
          <w:sz w:val="32"/>
          <w:szCs w:val="32"/>
          <w:highlight w:val="none"/>
          <w:lang w:val="en-US" w:eastAsia="zh-CN"/>
        </w:rPr>
        <w:t>1100.18</w:t>
      </w:r>
      <w:r>
        <w:rPr>
          <w:rFonts w:hint="eastAsia" w:ascii="仿宋_GB2312" w:eastAsia="仿宋_GB2312" w:cs="仿宋_GB2312"/>
          <w:color w:val="000000"/>
          <w:sz w:val="32"/>
          <w:szCs w:val="32"/>
        </w:rPr>
        <w:t>万元，其中：一般公共预算财政拨款收入</w:t>
      </w:r>
      <w:r>
        <w:rPr>
          <w:rFonts w:hint="eastAsia" w:ascii="仿宋" w:eastAsia="仿宋"/>
          <w:color w:val="auto"/>
          <w:sz w:val="32"/>
          <w:szCs w:val="32"/>
          <w:highlight w:val="none"/>
          <w:lang w:val="en-US" w:eastAsia="zh-CN"/>
        </w:rPr>
        <w:t>1100.18</w:t>
      </w:r>
      <w:r>
        <w:rPr>
          <w:rFonts w:hint="eastAsia" w:ascii="仿宋_GB2312" w:eastAsia="仿宋_GB2312" w:cs="仿宋_GB2312"/>
          <w:color w:val="000000"/>
          <w:sz w:val="32"/>
          <w:szCs w:val="32"/>
        </w:rPr>
        <w:t>万元，占100%。</w:t>
      </w:r>
    </w:p>
    <w:p w14:paraId="3E591CCC">
      <w:pPr>
        <w:pStyle w:val="16"/>
        <w:jc w:val="center"/>
      </w:pPr>
      <w:r>
        <w:rPr>
          <w:rFonts w:hint="eastAsia" w:ascii="仿宋_GB2312" w:eastAsia="仿宋_GB2312"/>
          <w:color w:val="FF0000"/>
          <w:sz w:val="32"/>
          <w:szCs w:val="32"/>
        </w:rPr>
        <w:drawing>
          <wp:inline distT="0" distB="0" distL="114300" distR="114300">
            <wp:extent cx="4399915" cy="2457450"/>
            <wp:effectExtent l="4445" t="4445" r="15240"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6FF2CFF">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53" w:name="_Toc111208501"/>
      <w:bookmarkStart w:id="54" w:name="_Toc15377207"/>
      <w:bookmarkStart w:id="55" w:name="_Toc25693"/>
      <w:bookmarkStart w:id="56" w:name="_Toc26388"/>
      <w:r>
        <w:rPr>
          <w:rFonts w:hint="eastAsia" w:ascii="黑体" w:eastAsia="黑体"/>
          <w:b w:val="0"/>
          <w:color w:val="000000"/>
          <w:lang w:val="en-US" w:eastAsia="zh-CN"/>
        </w:rPr>
        <w:t>三、支出决算情况说明</w:t>
      </w:r>
      <w:bookmarkEnd w:id="53"/>
      <w:bookmarkEnd w:id="54"/>
      <w:bookmarkEnd w:id="55"/>
      <w:bookmarkEnd w:id="56"/>
    </w:p>
    <w:p w14:paraId="1FEE1AAF">
      <w:pPr>
        <w:pStyle w:val="2"/>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2025年本年支出合计</w:t>
      </w:r>
      <w:r>
        <w:rPr>
          <w:rFonts w:hint="eastAsia" w:ascii="仿宋" w:eastAsia="仿宋"/>
          <w:color w:val="auto"/>
          <w:sz w:val="32"/>
          <w:szCs w:val="32"/>
          <w:highlight w:val="none"/>
          <w:lang w:val="en-US" w:eastAsia="zh-CN"/>
        </w:rPr>
        <w:t>1100.18</w:t>
      </w:r>
      <w:r>
        <w:rPr>
          <w:rFonts w:hint="eastAsia" w:ascii="仿宋_GB2312" w:eastAsia="仿宋_GB2312" w:cs="仿宋_GB2312"/>
          <w:color w:val="000000"/>
          <w:kern w:val="2"/>
          <w:sz w:val="32"/>
          <w:szCs w:val="32"/>
          <w:lang w:val="en-US" w:eastAsia="zh-CN" w:bidi="ar-SA"/>
        </w:rPr>
        <w:t>万元，其中：基本支出898.29万元，占81.7%；项目支出201.89万元，占18.3%。</w:t>
      </w:r>
    </w:p>
    <w:p w14:paraId="3443202F">
      <w:pPr>
        <w:jc w:val="center"/>
      </w:pPr>
      <w:r>
        <w:rPr>
          <w:rFonts w:hint="eastAsia" w:ascii="仿宋_GB2312" w:eastAsia="仿宋_GB2312"/>
          <w:color w:val="FF0000"/>
          <w:sz w:val="32"/>
          <w:szCs w:val="32"/>
          <w:lang w:eastAsia="zh-CN"/>
        </w:rPr>
        <w:drawing>
          <wp:inline distT="0" distB="0" distL="114300" distR="114300">
            <wp:extent cx="4224020" cy="2410460"/>
            <wp:effectExtent l="5080" t="4445" r="19050" b="23495"/>
            <wp:docPr id="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9BD4E6F">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57" w:name="_Toc15377208"/>
      <w:bookmarkStart w:id="58" w:name="_Toc27304"/>
      <w:bookmarkStart w:id="59" w:name="_Toc26600"/>
      <w:bookmarkStart w:id="60" w:name="_Toc111208502"/>
      <w:r>
        <w:rPr>
          <w:rFonts w:hint="eastAsia" w:ascii="黑体" w:eastAsia="黑体"/>
          <w:b w:val="0"/>
          <w:color w:val="000000"/>
          <w:lang w:val="en-US" w:eastAsia="zh-CN"/>
        </w:rPr>
        <w:t>四、财政拨款收入支出决算总体情况说明</w:t>
      </w:r>
      <w:bookmarkEnd w:id="57"/>
      <w:bookmarkEnd w:id="58"/>
      <w:bookmarkEnd w:id="59"/>
      <w:bookmarkEnd w:id="60"/>
    </w:p>
    <w:p w14:paraId="34E61D1B">
      <w:pPr>
        <w:spacing w:line="600" w:lineRule="exact"/>
        <w:ind w:firstLine="640" w:firstLineChars="200"/>
        <w:rPr>
          <w:rFonts w:hint="eastAsia" w:ascii="仿宋" w:eastAsia="仿宋"/>
          <w:color w:val="auto"/>
          <w:sz w:val="32"/>
          <w:szCs w:val="32"/>
          <w:highlight w:val="none"/>
          <w:lang w:eastAsia="zh-CN"/>
        </w:rPr>
      </w:pPr>
      <w:r>
        <w:rPr>
          <w:rFonts w:hint="eastAsia" w:ascii="仿宋_GB2312" w:eastAsia="仿宋_GB2312" w:cs="仿宋_GB2312"/>
          <w:color w:val="000000"/>
          <w:kern w:val="2"/>
          <w:sz w:val="32"/>
          <w:szCs w:val="32"/>
          <w:lang w:val="en-US" w:eastAsia="zh-CN" w:bidi="ar-SA"/>
        </w:rPr>
        <w:t>2025年财政拨款收、支总计</w:t>
      </w:r>
      <w:r>
        <w:rPr>
          <w:rFonts w:hint="eastAsia" w:ascii="仿宋" w:eastAsia="仿宋"/>
          <w:color w:val="auto"/>
          <w:sz w:val="32"/>
          <w:szCs w:val="32"/>
          <w:highlight w:val="none"/>
          <w:lang w:val="en-US" w:eastAsia="zh-CN"/>
        </w:rPr>
        <w:t>1100.18</w:t>
      </w:r>
      <w:r>
        <w:rPr>
          <w:rFonts w:hint="eastAsia" w:ascii="仿宋_GB2312" w:eastAsia="仿宋_GB2312" w:cs="仿宋_GB2312"/>
          <w:color w:val="000000"/>
          <w:kern w:val="2"/>
          <w:sz w:val="32"/>
          <w:szCs w:val="32"/>
          <w:lang w:val="en-US" w:eastAsia="zh-CN" w:bidi="ar-SA"/>
        </w:rPr>
        <w:t>万元。与2024年相比，财政拨款收、支总计各</w:t>
      </w:r>
      <w:r>
        <w:rPr>
          <w:rFonts w:hint="eastAsia" w:ascii="仿宋" w:eastAsia="仿宋"/>
          <w:color w:val="auto"/>
          <w:sz w:val="32"/>
          <w:szCs w:val="32"/>
          <w:highlight w:val="none"/>
          <w:lang w:val="en-US" w:eastAsia="zh-CN"/>
        </w:rPr>
        <w:t>减少20.42</w:t>
      </w:r>
      <w:r>
        <w:rPr>
          <w:rFonts w:hint="eastAsia" w:ascii="仿宋" w:eastAsia="仿宋"/>
          <w:color w:val="auto"/>
          <w:sz w:val="32"/>
          <w:szCs w:val="32"/>
          <w:highlight w:val="none"/>
        </w:rPr>
        <w:t>万元，</w:t>
      </w:r>
      <w:r>
        <w:rPr>
          <w:rFonts w:hint="eastAsia" w:ascii="仿宋" w:eastAsia="仿宋"/>
          <w:color w:val="auto"/>
          <w:sz w:val="32"/>
          <w:szCs w:val="32"/>
          <w:highlight w:val="none"/>
          <w:lang w:val="en-US" w:eastAsia="zh-CN"/>
        </w:rPr>
        <w:t>下降1.8</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：人员变动，项目经费</w:t>
      </w:r>
      <w:r>
        <w:rPr>
          <w:rFonts w:hint="eastAsia" w:ascii="仿宋" w:eastAsia="仿宋"/>
          <w:color w:val="auto"/>
          <w:sz w:val="32"/>
          <w:szCs w:val="32"/>
          <w:highlight w:val="none"/>
          <w:lang w:val="en-US" w:eastAsia="zh-CN"/>
        </w:rPr>
        <w:t>减少</w:t>
      </w:r>
      <w:r>
        <w:rPr>
          <w:rFonts w:hint="eastAsia" w:ascii="仿宋" w:eastAsia="仿宋"/>
          <w:color w:val="auto"/>
          <w:sz w:val="32"/>
          <w:szCs w:val="32"/>
          <w:highlight w:val="none"/>
          <w:lang w:eastAsia="zh-CN"/>
        </w:rPr>
        <w:t>。</w:t>
      </w:r>
    </w:p>
    <w:p w14:paraId="7CF5F5AE">
      <w:pPr>
        <w:spacing w:line="600" w:lineRule="exact"/>
        <w:ind w:firstLine="640" w:firstLineChars="200"/>
        <w:rPr>
          <w:rFonts w:hint="eastAsia" w:ascii="仿宋_GB2312" w:eastAsia="仿宋_GB2312" w:cs="仿宋_GB2312"/>
          <w:color w:val="000000"/>
          <w:kern w:val="2"/>
          <w:sz w:val="32"/>
          <w:szCs w:val="32"/>
          <w:lang w:val="en-US" w:eastAsia="zh-CN" w:bidi="ar-SA"/>
        </w:rPr>
      </w:pPr>
    </w:p>
    <w:p w14:paraId="64E6D707">
      <w:pPr>
        <w:pStyle w:val="2"/>
        <w:ind w:firstLine="1673" w:firstLineChars="523"/>
        <w:rPr>
          <w:rFonts w:hint="eastAsia" w:ascii="仿宋_GB2312" w:eastAsia="仿宋_GB2312" w:cs="仿宋_GB2312"/>
          <w:color w:val="000000"/>
          <w:kern w:val="2"/>
          <w:sz w:val="32"/>
          <w:szCs w:val="32"/>
          <w:lang w:val="en-US" w:eastAsia="zh-CN" w:bidi="ar-SA"/>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548640</wp:posOffset>
            </wp:positionH>
            <wp:positionV relativeFrom="paragraph">
              <wp:posOffset>219075</wp:posOffset>
            </wp:positionV>
            <wp:extent cx="4610735" cy="2696845"/>
            <wp:effectExtent l="0" t="0" r="39" b="22"/>
            <wp:wrapSquare wrapText="bothSides"/>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7C66CCA3">
      <w:pPr>
        <w:pStyle w:val="2"/>
        <w:jc w:val="left"/>
      </w:pPr>
    </w:p>
    <w:p w14:paraId="1104CB89">
      <w:pPr>
        <w:pStyle w:val="2"/>
        <w:jc w:val="left"/>
      </w:pPr>
    </w:p>
    <w:p w14:paraId="23D08A4A">
      <w:pPr>
        <w:pStyle w:val="2"/>
        <w:jc w:val="left"/>
      </w:pPr>
    </w:p>
    <w:p w14:paraId="5D8B1903">
      <w:pPr>
        <w:pStyle w:val="2"/>
        <w:jc w:val="left"/>
      </w:pPr>
    </w:p>
    <w:p w14:paraId="018F393A">
      <w:pPr>
        <w:pStyle w:val="2"/>
        <w:jc w:val="left"/>
      </w:pPr>
    </w:p>
    <w:p w14:paraId="401B4775">
      <w:pPr>
        <w:pStyle w:val="2"/>
        <w:jc w:val="left"/>
      </w:pPr>
    </w:p>
    <w:p w14:paraId="37A63BA9">
      <w:pPr>
        <w:pStyle w:val="2"/>
        <w:jc w:val="left"/>
      </w:pPr>
    </w:p>
    <w:p w14:paraId="2F296759">
      <w:pPr>
        <w:pStyle w:val="4"/>
        <w:ind w:firstLine="640" w:firstLineChars="200"/>
        <w:rPr>
          <w:rFonts w:hint="eastAsia" w:ascii="黑体" w:eastAsia="黑体" w:cs="Times New Roman"/>
          <w:b w:val="0"/>
          <w:bCs/>
          <w:color w:val="000000"/>
        </w:rPr>
      </w:pPr>
      <w:bookmarkStart w:id="61" w:name="_Toc15377209"/>
      <w:bookmarkStart w:id="62" w:name="_Toc11217"/>
      <w:bookmarkStart w:id="63" w:name="_Toc111208503"/>
      <w:bookmarkStart w:id="64" w:name="_Toc15377211"/>
    </w:p>
    <w:p w14:paraId="3E74C2EE">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65" w:name="_Toc2849"/>
      <w:r>
        <w:rPr>
          <w:rFonts w:hint="eastAsia" w:ascii="黑体" w:eastAsia="黑体"/>
          <w:b w:val="0"/>
          <w:color w:val="000000"/>
          <w:lang w:val="en-US" w:eastAsia="zh-CN"/>
        </w:rPr>
        <w:t>五、一般公共预算财政拨款支出决算情况说</w:t>
      </w:r>
      <w:bookmarkEnd w:id="61"/>
      <w:r>
        <w:rPr>
          <w:rFonts w:hint="eastAsia" w:ascii="黑体" w:eastAsia="黑体"/>
          <w:b w:val="0"/>
          <w:color w:val="000000"/>
          <w:lang w:val="en-US" w:eastAsia="zh-CN"/>
        </w:rPr>
        <w:t>明</w:t>
      </w:r>
      <w:bookmarkEnd w:id="62"/>
      <w:bookmarkEnd w:id="63"/>
      <w:bookmarkEnd w:id="65"/>
    </w:p>
    <w:p w14:paraId="02203EC7">
      <w:pPr>
        <w:spacing w:line="600" w:lineRule="exact"/>
        <w:ind w:firstLine="643" w:firstLineChars="200"/>
        <w:outlineLvl w:val="2"/>
        <w:rPr>
          <w:rFonts w:hint="eastAsia" w:ascii="楷体_GB2312" w:eastAsia="楷体_GB2312" w:cs="楷体_GB2312"/>
          <w:b/>
          <w:bCs w:val="0"/>
          <w:color w:val="000000"/>
          <w:sz w:val="32"/>
          <w:szCs w:val="32"/>
        </w:rPr>
      </w:pPr>
      <w:bookmarkStart w:id="66" w:name="_Toc15377210"/>
      <w:r>
        <w:rPr>
          <w:rFonts w:hint="eastAsia" w:ascii="楷体_GB2312" w:eastAsia="楷体_GB2312" w:cs="楷体_GB2312"/>
          <w:b/>
          <w:bCs w:val="0"/>
          <w:color w:val="000000"/>
          <w:sz w:val="32"/>
          <w:szCs w:val="32"/>
        </w:rPr>
        <w:t>（一）一般公共预算财政拨款支出决算总体情况</w:t>
      </w:r>
      <w:bookmarkEnd w:id="66"/>
    </w:p>
    <w:p w14:paraId="126656B1">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2025年一般公共预算财政拨款支出</w:t>
      </w:r>
      <w:r>
        <w:rPr>
          <w:rFonts w:hint="eastAsia" w:ascii="仿宋_GB2312" w:eastAsia="仿宋_GB2312" w:cs="仿宋_GB2312"/>
          <w:color w:val="000000"/>
          <w:sz w:val="32"/>
          <w:szCs w:val="32"/>
          <w:lang w:val="en-US" w:eastAsia="zh-CN"/>
        </w:rPr>
        <w:t>1100.18</w:t>
      </w:r>
      <w:r>
        <w:rPr>
          <w:rFonts w:hint="eastAsia" w:ascii="仿宋_GB2312" w:eastAsia="仿宋_GB2312" w:cs="仿宋_GB2312"/>
          <w:color w:val="000000"/>
          <w:kern w:val="2"/>
          <w:sz w:val="32"/>
          <w:szCs w:val="32"/>
          <w:lang w:val="en-US" w:eastAsia="zh-CN" w:bidi="ar-SA"/>
        </w:rPr>
        <w:t>万元，占本年支出合计的100%。与2024年相比，一般公共预算财政拨款</w:t>
      </w:r>
      <w:r>
        <w:rPr>
          <w:rFonts w:hint="eastAsia" w:ascii="仿宋" w:eastAsia="仿宋"/>
          <w:color w:val="auto"/>
          <w:sz w:val="32"/>
          <w:szCs w:val="32"/>
          <w:highlight w:val="none"/>
          <w:lang w:val="en-US" w:eastAsia="zh-CN"/>
        </w:rPr>
        <w:t>减少20.42</w:t>
      </w:r>
      <w:r>
        <w:rPr>
          <w:rFonts w:hint="eastAsia" w:ascii="仿宋" w:eastAsia="仿宋"/>
          <w:color w:val="auto"/>
          <w:sz w:val="32"/>
          <w:szCs w:val="32"/>
          <w:highlight w:val="none"/>
        </w:rPr>
        <w:t>万元，</w:t>
      </w:r>
      <w:r>
        <w:rPr>
          <w:rFonts w:hint="eastAsia" w:ascii="仿宋" w:eastAsia="仿宋"/>
          <w:color w:val="auto"/>
          <w:sz w:val="32"/>
          <w:szCs w:val="32"/>
          <w:highlight w:val="none"/>
          <w:lang w:val="en-US" w:eastAsia="zh-CN"/>
        </w:rPr>
        <w:t>下降1.8</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：人员变动，项目经费</w:t>
      </w:r>
      <w:r>
        <w:rPr>
          <w:rFonts w:hint="eastAsia" w:ascii="仿宋" w:eastAsia="仿宋"/>
          <w:color w:val="auto"/>
          <w:sz w:val="32"/>
          <w:szCs w:val="32"/>
          <w:highlight w:val="none"/>
          <w:lang w:val="en-US" w:eastAsia="zh-CN"/>
        </w:rPr>
        <w:t>减少</w:t>
      </w:r>
      <w:r>
        <w:rPr>
          <w:rFonts w:hint="eastAsia" w:ascii="仿宋" w:eastAsia="仿宋"/>
          <w:color w:val="auto"/>
          <w:sz w:val="32"/>
          <w:szCs w:val="32"/>
          <w:highlight w:val="none"/>
          <w:lang w:eastAsia="zh-CN"/>
        </w:rPr>
        <w:t>。</w:t>
      </w:r>
    </w:p>
    <w:p w14:paraId="39A60AD8">
      <w:pPr>
        <w:pStyle w:val="2"/>
        <w:ind w:firstLine="0"/>
        <w:rPr>
          <w:rFonts w:ascii="仿宋_GB2312" w:eastAsia="仿宋_GB2312"/>
          <w:b/>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434340</wp:posOffset>
            </wp:positionH>
            <wp:positionV relativeFrom="paragraph">
              <wp:posOffset>60960</wp:posOffset>
            </wp:positionV>
            <wp:extent cx="5324475" cy="2619375"/>
            <wp:effectExtent l="0" t="0" r="15" b="39"/>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5FB00047">
      <w:pPr>
        <w:pStyle w:val="2"/>
        <w:ind w:firstLine="0"/>
        <w:rPr>
          <w:rFonts w:ascii="仿宋_GB2312" w:eastAsia="仿宋_GB2312"/>
          <w:b/>
          <w:color w:val="000000"/>
          <w:sz w:val="32"/>
          <w:szCs w:val="32"/>
        </w:rPr>
      </w:pPr>
    </w:p>
    <w:p w14:paraId="1DCA3B06">
      <w:pPr>
        <w:pStyle w:val="2"/>
        <w:ind w:firstLine="0"/>
        <w:rPr>
          <w:rFonts w:ascii="仿宋_GB2312" w:eastAsia="仿宋_GB2312"/>
          <w:b/>
          <w:color w:val="000000"/>
          <w:sz w:val="32"/>
          <w:szCs w:val="32"/>
        </w:rPr>
      </w:pPr>
    </w:p>
    <w:p w14:paraId="22C7A19F">
      <w:pPr>
        <w:pStyle w:val="2"/>
        <w:ind w:firstLine="0"/>
        <w:rPr>
          <w:rFonts w:ascii="仿宋_GB2312" w:eastAsia="仿宋_GB2312"/>
          <w:b/>
          <w:color w:val="000000"/>
          <w:sz w:val="32"/>
          <w:szCs w:val="32"/>
        </w:rPr>
      </w:pPr>
    </w:p>
    <w:p w14:paraId="6E1ABEDF">
      <w:pPr>
        <w:pStyle w:val="2"/>
        <w:ind w:firstLine="0"/>
        <w:rPr>
          <w:rFonts w:ascii="仿宋_GB2312" w:eastAsia="仿宋_GB2312"/>
          <w:b/>
          <w:color w:val="000000"/>
          <w:sz w:val="32"/>
          <w:szCs w:val="32"/>
        </w:rPr>
      </w:pPr>
    </w:p>
    <w:p w14:paraId="45DE1923">
      <w:pPr>
        <w:pStyle w:val="2"/>
        <w:ind w:firstLine="0"/>
        <w:rPr>
          <w:rFonts w:ascii="仿宋_GB2312" w:eastAsia="仿宋_GB2312"/>
          <w:b/>
          <w:color w:val="000000"/>
          <w:sz w:val="32"/>
          <w:szCs w:val="32"/>
        </w:rPr>
      </w:pPr>
    </w:p>
    <w:p w14:paraId="598CED68">
      <w:pPr>
        <w:pStyle w:val="2"/>
        <w:ind w:firstLine="0"/>
        <w:rPr>
          <w:rFonts w:ascii="仿宋_GB2312" w:eastAsia="仿宋_GB2312"/>
          <w:b/>
          <w:color w:val="000000"/>
          <w:sz w:val="32"/>
          <w:szCs w:val="32"/>
        </w:rPr>
      </w:pPr>
    </w:p>
    <w:bookmarkEnd w:id="64"/>
    <w:p w14:paraId="468599EA">
      <w:pPr>
        <w:spacing w:line="600" w:lineRule="exact"/>
        <w:ind w:firstLine="643" w:firstLineChars="200"/>
        <w:outlineLvl w:val="2"/>
        <w:rPr>
          <w:rFonts w:hint="eastAsia" w:ascii="楷体_GB2312" w:eastAsia="楷体_GB2312" w:cs="楷体_GB2312"/>
          <w:b/>
          <w:bCs w:val="0"/>
          <w:color w:val="000000"/>
          <w:sz w:val="32"/>
          <w:szCs w:val="32"/>
        </w:rPr>
      </w:pPr>
    </w:p>
    <w:p w14:paraId="3E7029CC">
      <w:pPr>
        <w:spacing w:line="600" w:lineRule="exact"/>
        <w:ind w:firstLine="643" w:firstLineChars="200"/>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（二）一般公共预算财政拨款支出决算结构情况</w:t>
      </w:r>
    </w:p>
    <w:p w14:paraId="5400EF51">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2025年一般公共预算财政拨款支出1100.18万元，主要用于以下几方面:一般公共服务支出875.59万元，占79.6%；社会保障和就业支出113.57万元，占10.3%；卫生健康支出46.25万元，占4.2%；住房保障支出64.77万元，占5.9%。</w:t>
      </w:r>
    </w:p>
    <w:p w14:paraId="58B91D39">
      <w:pPr>
        <w:pStyle w:val="2"/>
      </w:pPr>
      <w:bookmarkStart w:id="67" w:name="_Toc15377212"/>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854075</wp:posOffset>
            </wp:positionH>
            <wp:positionV relativeFrom="paragraph">
              <wp:posOffset>147320</wp:posOffset>
            </wp:positionV>
            <wp:extent cx="4065905" cy="2190750"/>
            <wp:effectExtent l="0" t="0" r="30" b="34"/>
            <wp:wrapSquare wrapText="bothSides"/>
            <wp:docPr id="6"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BE3DFB9">
      <w:pPr>
        <w:pStyle w:val="2"/>
      </w:pPr>
    </w:p>
    <w:p w14:paraId="4498BF45">
      <w:pPr>
        <w:spacing w:line="600" w:lineRule="exact"/>
        <w:ind w:firstLine="643" w:firstLineChars="200"/>
        <w:outlineLvl w:val="2"/>
        <w:rPr>
          <w:rFonts w:hint="eastAsia" w:ascii="楷体_GB2312" w:eastAsia="楷体_GB2312" w:cs="楷体_GB2312"/>
          <w:b/>
          <w:bCs w:val="0"/>
          <w:color w:val="000000"/>
          <w:sz w:val="32"/>
          <w:szCs w:val="32"/>
        </w:rPr>
      </w:pPr>
    </w:p>
    <w:p w14:paraId="49D1EB93">
      <w:pPr>
        <w:spacing w:line="600" w:lineRule="exact"/>
        <w:ind w:firstLine="643" w:firstLineChars="200"/>
        <w:outlineLvl w:val="2"/>
        <w:rPr>
          <w:rFonts w:hint="eastAsia" w:ascii="楷体_GB2312" w:eastAsia="楷体_GB2312" w:cs="楷体_GB2312"/>
          <w:b/>
          <w:bCs w:val="0"/>
          <w:color w:val="000000"/>
          <w:sz w:val="32"/>
          <w:szCs w:val="32"/>
        </w:rPr>
      </w:pPr>
    </w:p>
    <w:p w14:paraId="39EEE586">
      <w:pPr>
        <w:spacing w:line="600" w:lineRule="exact"/>
        <w:ind w:firstLine="643" w:firstLineChars="200"/>
        <w:outlineLvl w:val="2"/>
        <w:rPr>
          <w:rFonts w:hint="eastAsia" w:ascii="楷体_GB2312" w:eastAsia="楷体_GB2312" w:cs="楷体_GB2312"/>
          <w:b/>
          <w:bCs w:val="0"/>
          <w:color w:val="000000"/>
          <w:sz w:val="32"/>
          <w:szCs w:val="32"/>
        </w:rPr>
      </w:pPr>
    </w:p>
    <w:p w14:paraId="27354D88">
      <w:pPr>
        <w:spacing w:line="600" w:lineRule="exact"/>
        <w:ind w:firstLine="643" w:firstLineChars="200"/>
        <w:outlineLvl w:val="2"/>
        <w:rPr>
          <w:rFonts w:hint="eastAsia" w:ascii="楷体_GB2312" w:eastAsia="楷体_GB2312" w:cs="楷体_GB2312"/>
          <w:b/>
          <w:bCs w:val="0"/>
          <w:color w:val="000000"/>
          <w:sz w:val="32"/>
          <w:szCs w:val="32"/>
        </w:rPr>
      </w:pPr>
    </w:p>
    <w:p w14:paraId="36DA628D">
      <w:pPr>
        <w:spacing w:line="600" w:lineRule="exact"/>
        <w:outlineLvl w:val="2"/>
        <w:rPr>
          <w:rFonts w:hint="eastAsia" w:ascii="楷体_GB2312" w:eastAsia="楷体_GB2312" w:cs="楷体_GB2312"/>
          <w:b/>
          <w:bCs w:val="0"/>
          <w:color w:val="000000"/>
          <w:sz w:val="32"/>
          <w:szCs w:val="32"/>
          <w:highlight w:val="yellow"/>
        </w:rPr>
      </w:pPr>
    </w:p>
    <w:p w14:paraId="2362B785">
      <w:pPr>
        <w:pStyle w:val="4"/>
        <w:pageBreakBefore w:val="0"/>
        <w:numPr>
          <w:ilvl w:val="0"/>
          <w:numId w:val="0"/>
        </w:numPr>
        <w:kinsoku/>
        <w:wordWrap/>
        <w:overflowPunct/>
        <w:topLinePunct w:val="0"/>
        <w:autoSpaceDE/>
        <w:autoSpaceDN/>
        <w:bidi w:val="0"/>
        <w:spacing w:before="0" w:after="0" w:line="576" w:lineRule="exact"/>
        <w:ind w:firstLine="643" w:firstLineChars="200"/>
        <w:textAlignment w:val="auto"/>
        <w:rPr>
          <w:rFonts w:hint="eastAsia" w:ascii="楷体_GB2312" w:eastAsia="楷体_GB2312" w:cs="楷体_GB2312"/>
          <w:b/>
          <w:bCs w:val="0"/>
          <w:color w:val="000000"/>
          <w:sz w:val="32"/>
          <w:szCs w:val="32"/>
          <w:highlight w:val="none"/>
        </w:rPr>
      </w:pPr>
      <w:bookmarkStart w:id="68" w:name="_Toc14038"/>
      <w:bookmarkStart w:id="69" w:name="_Toc705"/>
      <w:bookmarkStart w:id="70" w:name="_Toc19927"/>
      <w:bookmarkStart w:id="71" w:name="_Toc22598"/>
      <w:bookmarkStart w:id="72" w:name="_Toc20418"/>
      <w:bookmarkStart w:id="73" w:name="_Toc5138"/>
      <w:bookmarkStart w:id="74" w:name="_Toc28761"/>
      <w:r>
        <w:rPr>
          <w:rFonts w:hint="eastAsia" w:ascii="楷体_GB2312" w:eastAsia="楷体_GB2312" w:cs="楷体_GB2312"/>
          <w:b/>
          <w:bCs w:val="0"/>
          <w:color w:val="000000"/>
          <w:sz w:val="32"/>
          <w:szCs w:val="32"/>
          <w:highlight w:val="none"/>
        </w:rPr>
        <w:t>（三）一般公共预算财政拨款支出决算具体情况</w:t>
      </w:r>
      <w:bookmarkEnd w:id="67"/>
      <w:bookmarkEnd w:id="68"/>
      <w:bookmarkEnd w:id="69"/>
      <w:bookmarkEnd w:id="70"/>
      <w:bookmarkEnd w:id="71"/>
      <w:bookmarkEnd w:id="72"/>
      <w:bookmarkEnd w:id="73"/>
      <w:bookmarkEnd w:id="74"/>
    </w:p>
    <w:p w14:paraId="2773B4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75" w:name="_Toc15378460"/>
      <w:bookmarkStart w:id="76" w:name="_Toc15377213"/>
      <w:bookmarkStart w:id="77" w:name="_Toc15377444"/>
      <w:r>
        <w:rPr>
          <w:rFonts w:hint="eastAsia" w:ascii="仿宋_GB2312" w:eastAsia="仿宋_GB2312" w:cs="仿宋_GB2312"/>
          <w:color w:val="000000"/>
          <w:kern w:val="2"/>
          <w:sz w:val="32"/>
          <w:szCs w:val="32"/>
          <w:lang w:val="en-US" w:eastAsia="zh-CN" w:bidi="ar-SA"/>
        </w:rPr>
        <w:t>2025年一般公共预算支出决算数为1100.18万元，完成预算100%。其中：</w:t>
      </w:r>
      <w:bookmarkEnd w:id="75"/>
      <w:bookmarkEnd w:id="76"/>
      <w:bookmarkEnd w:id="77"/>
    </w:p>
    <w:p w14:paraId="769C61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1.一般公共服务支出（类）党委办公厅（室）及相关机构事务（款）行政运行（项）支出决算673.7万元，完成预算100%，决算数与预算数持平。</w:t>
      </w:r>
    </w:p>
    <w:p w14:paraId="248223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2.一般公共服务支出（类）党委办公厅（室）及相关机构事务（款）一般行政事务管理（项）支出决算201.89万元，完成预算100%，决算数与预算数持平。</w:t>
      </w:r>
    </w:p>
    <w:p w14:paraId="0DA800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3.社会保障和就业支出（类）行政事业单位养老支出（款）机关事业单位基本养老保险缴费支出（项）支出决算75.71万元，完成预算100%，决算数与预算数持平。</w:t>
      </w:r>
    </w:p>
    <w:p w14:paraId="08C7E0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4.社会保障和就业支出（类）行政事业单位养老支出（款）机关事业单位职业年金缴费支出（项）支出决算37.86万元，完成预算100%，决算数与预算数持平。</w:t>
      </w:r>
    </w:p>
    <w:p w14:paraId="383720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5.卫生健康支出（类）行政事业单位医疗（款）行政单位医疗（项）支出决算46.25万元，完成预算100%，决算数与预算数持平。</w:t>
      </w:r>
    </w:p>
    <w:p w14:paraId="7BFCAA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6.住房保障支出（类）住房改革支出（款）住房公积金（项）支出决算62.57万元，完成预算100%，决算数与预算数持平。</w:t>
      </w:r>
    </w:p>
    <w:p w14:paraId="4DDA56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eastAsia="黑体" w:cs="Times New Roman"/>
          <w:bCs w:val="0"/>
          <w:color w:val="000000"/>
        </w:rPr>
      </w:pPr>
      <w:bookmarkStart w:id="78" w:name="_Toc15377214"/>
      <w:bookmarkStart w:id="79" w:name="_Toc32028"/>
      <w:bookmarkStart w:id="80" w:name="_Toc111208504"/>
      <w:r>
        <w:rPr>
          <w:rFonts w:hint="eastAsia" w:ascii="仿宋_GB2312" w:eastAsia="仿宋_GB2312" w:cs="仿宋_GB2312"/>
          <w:color w:val="000000"/>
          <w:kern w:val="2"/>
          <w:sz w:val="32"/>
          <w:szCs w:val="32"/>
          <w:lang w:val="en-US" w:eastAsia="zh-CN" w:bidi="ar-SA"/>
        </w:rPr>
        <w:t>7.住房保障支出（类）住房改革支出（款）购房补贴（项）支出决算2.2万元，完成预算100%，决算数与预算数持平。</w:t>
      </w:r>
    </w:p>
    <w:p w14:paraId="44AD19EE">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81" w:name="_Toc22219"/>
      <w:r>
        <w:rPr>
          <w:rFonts w:hint="eastAsia" w:ascii="黑体" w:eastAsia="黑体"/>
          <w:b w:val="0"/>
          <w:color w:val="000000"/>
          <w:lang w:val="en-US" w:eastAsia="zh-CN"/>
        </w:rPr>
        <w:t>六、一般公共预算财政拨款基本支出决算情况说</w:t>
      </w:r>
      <w:bookmarkEnd w:id="78"/>
      <w:r>
        <w:rPr>
          <w:rFonts w:hint="eastAsia" w:ascii="黑体" w:eastAsia="黑体"/>
          <w:b w:val="0"/>
          <w:color w:val="000000"/>
          <w:lang w:val="en-US" w:eastAsia="zh-CN"/>
        </w:rPr>
        <w:t>明</w:t>
      </w:r>
      <w:bookmarkEnd w:id="79"/>
      <w:bookmarkEnd w:id="80"/>
      <w:bookmarkEnd w:id="81"/>
    </w:p>
    <w:p w14:paraId="6880B6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2025年一般公共预算财政拨款基本支出898.29万元，其中：</w:t>
      </w:r>
    </w:p>
    <w:p w14:paraId="5212DE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人员经费818.96万元，主要包括：基本工资206.06万元、津贴补贴157.53万元、奖金199.45万元、机关事业单位基本养老保险缴费75.72万元、职业年金缴费37.86万元、职工基本医疗保险缴费46.25万元、其他社会保障缴费10.55万元、住房公积金62.57万元、医疗费8.17万元、生活补助14.76万元、奖励金0.04万元。</w:t>
      </w:r>
    </w:p>
    <w:p w14:paraId="155447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公用经费79.33万元，主要包括：办公费17万元、邮电费3.5万元、差旅费10万元、培训费0.7万元、公务接待费0.13万元、公务用车运行维护费48万元。</w:t>
      </w:r>
    </w:p>
    <w:p w14:paraId="1ABC57ED">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82" w:name="_Toc15377215"/>
      <w:bookmarkStart w:id="83" w:name="_Toc9475"/>
      <w:bookmarkStart w:id="84" w:name="_Toc8600"/>
      <w:bookmarkStart w:id="85" w:name="_Toc9251"/>
      <w:bookmarkStart w:id="86" w:name="_Toc7148"/>
      <w:bookmarkStart w:id="87" w:name="_Toc111208505"/>
      <w:bookmarkStart w:id="88" w:name="_Toc111208508"/>
      <w:bookmarkStart w:id="89" w:name="_Toc24656"/>
      <w:bookmarkStart w:id="90" w:name="_Toc15377221"/>
      <w:bookmarkStart w:id="91" w:name="_Toc2930"/>
      <w:r>
        <w:rPr>
          <w:rFonts w:hint="eastAsia" w:ascii="黑体" w:eastAsia="黑体"/>
          <w:b w:val="0"/>
          <w:color w:val="000000"/>
          <w:lang w:val="en-US" w:eastAsia="zh-CN"/>
        </w:rPr>
        <w:t>七、“三公”经费财政拨款支出决算情况说明</w:t>
      </w:r>
      <w:bookmarkEnd w:id="82"/>
      <w:bookmarkEnd w:id="83"/>
      <w:bookmarkEnd w:id="84"/>
      <w:bookmarkEnd w:id="85"/>
      <w:bookmarkEnd w:id="86"/>
      <w:bookmarkEnd w:id="87"/>
    </w:p>
    <w:p w14:paraId="0334444F">
      <w:pPr>
        <w:spacing w:line="600" w:lineRule="exact"/>
        <w:ind w:firstLine="643" w:firstLineChars="200"/>
        <w:outlineLvl w:val="2"/>
        <w:rPr>
          <w:rFonts w:ascii="仿宋" w:eastAsia="仿宋"/>
          <w:b/>
          <w:color w:val="000000"/>
          <w:sz w:val="32"/>
          <w:szCs w:val="32"/>
        </w:rPr>
      </w:pPr>
      <w:bookmarkStart w:id="92" w:name="_Toc15377216"/>
      <w:r>
        <w:rPr>
          <w:rFonts w:hint="eastAsia" w:ascii="楷体_GB2312" w:eastAsia="楷体_GB2312" w:cs="楷体_GB2312"/>
          <w:b/>
          <w:color w:val="000000"/>
          <w:sz w:val="32"/>
          <w:szCs w:val="32"/>
        </w:rPr>
        <w:t>（一）“三公”经费财政拨款支出决算总体情况说明</w:t>
      </w:r>
      <w:bookmarkEnd w:id="92"/>
    </w:p>
    <w:p w14:paraId="72297E70">
      <w:pPr>
        <w:spacing w:line="600" w:lineRule="exact"/>
        <w:ind w:firstLine="640" w:firstLineChars="200"/>
        <w:outlineLvl w:val="2"/>
        <w:rPr>
          <w:rFonts w:hint="eastAsia" w:ascii="仿宋_GB2312" w:eastAsia="仿宋_GB2312" w:cs="仿宋_GB2312"/>
          <w:color w:val="000000"/>
          <w:kern w:val="2"/>
          <w:sz w:val="32"/>
          <w:szCs w:val="32"/>
          <w:lang w:val="en-US" w:eastAsia="zh-CN" w:bidi="ar-SA"/>
        </w:rPr>
      </w:pPr>
      <w:bookmarkStart w:id="93" w:name="_Toc15377217"/>
      <w:r>
        <w:rPr>
          <w:rFonts w:hint="eastAsia" w:ascii="仿宋_GB2312" w:eastAsia="仿宋_GB2312" w:cs="仿宋_GB2312"/>
          <w:color w:val="000000"/>
          <w:kern w:val="2"/>
          <w:sz w:val="32"/>
          <w:szCs w:val="32"/>
          <w:lang w:val="en-US" w:eastAsia="zh-CN" w:bidi="ar-SA"/>
        </w:rPr>
        <w:t>2025年“三公”经费财政拨款支出决算为67.93万元，完成预算100%。较上年度减少4万元，下降5.6%，决算数与预算数持平。</w:t>
      </w:r>
    </w:p>
    <w:p w14:paraId="5F6B0A4B">
      <w:pPr>
        <w:spacing w:line="600" w:lineRule="exact"/>
        <w:ind w:firstLine="643"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（二）“三公”经费财政拨款支出决算具体情况说明</w:t>
      </w:r>
      <w:bookmarkEnd w:id="93"/>
    </w:p>
    <w:p w14:paraId="223DA7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2025年“三公”经费财政拨款支出67.93万元。公车运行维护费支出决算67.8万元，占99.8%；公务接待费支出决算0.13万元，占0%。具体情况如下：</w:t>
      </w:r>
    </w:p>
    <w:p w14:paraId="4A50DCA2">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ascii="仿宋_GB2312" w:eastAsia="仿宋_GB2312" w:cs="仿宋_GB2312"/>
          <w:color w:val="000000"/>
          <w:kern w:val="2"/>
          <w:sz w:val="32"/>
          <w:szCs w:val="32"/>
          <w:lang w:val="en-US" w:eastAsia="zh-CN" w:bidi="ar-SA"/>
        </w:rPr>
      </w:pPr>
    </w:p>
    <w:p w14:paraId="6921F6CA">
      <w:pPr>
        <w:pStyle w:val="2"/>
        <w:rPr>
          <w:rFonts w:ascii="仿宋_GB2312" w:eastAsia="仿宋_GB2312"/>
          <w:color w:val="000000"/>
          <w:sz w:val="32"/>
          <w:szCs w:val="32"/>
        </w:rPr>
      </w:pPr>
      <w:r>
        <w:rPr>
          <w:rFonts w:hint="eastAsia" w:ascii="仿宋_GB2312" w:eastAsia="仿宋_GB2312"/>
          <w:color w:val="000000"/>
          <w:sz w:val="32"/>
          <w:szCs w:val="32"/>
          <w:lang w:eastAsia="zh-CN"/>
        </w:rPr>
        <w:drawing>
          <wp:inline distT="0" distB="0" distL="114300" distR="114300">
            <wp:extent cx="4394200" cy="2715260"/>
            <wp:effectExtent l="4445" t="4445" r="20955" b="23495"/>
            <wp:docPr id="7"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3EB3A8">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94" w:name="_Toc15377218"/>
      <w:bookmarkStart w:id="95" w:name="_Toc9979"/>
      <w:bookmarkStart w:id="96" w:name="_Toc111208506"/>
      <w:r>
        <w:rPr>
          <w:rFonts w:hint="eastAsia" w:ascii="仿宋_GB2312" w:eastAsia="仿宋_GB2312" w:cs="仿宋_GB2312"/>
          <w:color w:val="000000"/>
          <w:kern w:val="2"/>
          <w:sz w:val="32"/>
          <w:szCs w:val="32"/>
          <w:lang w:val="en-US" w:eastAsia="zh-CN" w:bidi="ar-SA"/>
        </w:rPr>
        <w:t>1.因公出国（境）经费支出0万元。全年安排因公出国（境）团组0次，出国（境）0人。</w:t>
      </w:r>
    </w:p>
    <w:p w14:paraId="07EED6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2.公务用车购置费0万元,公务用车购置支出决算与2024年相比无变</w:t>
      </w:r>
      <w:bookmarkStart w:id="172" w:name="_GoBack"/>
      <w:bookmarkEnd w:id="172"/>
      <w:r>
        <w:rPr>
          <w:rFonts w:hint="eastAsia" w:ascii="仿宋_GB2312" w:eastAsia="仿宋_GB2312" w:cs="仿宋_GB2312"/>
          <w:color w:val="000000"/>
          <w:kern w:val="2"/>
          <w:sz w:val="32"/>
          <w:szCs w:val="32"/>
          <w:lang w:val="en-US" w:eastAsia="zh-CN" w:bidi="ar-SA"/>
        </w:rPr>
        <w:t xml:space="preserve">化。公车运行维护费67.8万元，完成预算100%，公车运行维护费与2024年决算相比减少3.78万元，下降5.3%。主要原因是：压缩公车运行维护费支出。 </w:t>
      </w:r>
    </w:p>
    <w:p w14:paraId="19CD45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截至2025年12月底，单位共有公务用车8辆，其中：轿车0辆、越野车8辆、载客汽车0辆。</w:t>
      </w:r>
    </w:p>
    <w:p w14:paraId="549277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公务用车运行维护费支出67.8万元（公务用车购置费0万元）。主要用于：单位公务用车日常维修维护。 </w:t>
      </w:r>
    </w:p>
    <w:p w14:paraId="20E572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3.公务接待费支出0.13万元，完成预算100%。公务接待费支出决算与2024年相比减少0.22万元，下降62.9%。主要原因是：2025年业务活动减少。 </w:t>
      </w:r>
    </w:p>
    <w:p w14:paraId="2F1A60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国内公务接待支出0.13万元。国内公务接待2批次，14人次（不包括陪同人员），共计支出0.13万元。</w:t>
      </w:r>
    </w:p>
    <w:bookmarkEnd w:id="94"/>
    <w:bookmarkEnd w:id="95"/>
    <w:bookmarkEnd w:id="96"/>
    <w:p w14:paraId="312EFD22">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97" w:name="_Toc11025"/>
      <w:bookmarkStart w:id="98" w:name="_Toc26674"/>
      <w:bookmarkStart w:id="99" w:name="_Toc12098"/>
      <w:bookmarkStart w:id="100" w:name="_Toc12581"/>
      <w:r>
        <w:rPr>
          <w:rFonts w:hint="eastAsia" w:ascii="黑体" w:eastAsia="黑体"/>
          <w:b w:val="0"/>
          <w:color w:val="000000"/>
          <w:lang w:val="en-US" w:eastAsia="zh-CN"/>
        </w:rPr>
        <w:t>八、政府性基金预算支出决算情况说明</w:t>
      </w:r>
      <w:bookmarkEnd w:id="97"/>
      <w:bookmarkEnd w:id="98"/>
      <w:bookmarkEnd w:id="99"/>
      <w:bookmarkEnd w:id="100"/>
    </w:p>
    <w:p w14:paraId="7DEC62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2025年政府性基金预算拨款支出0万元</w:t>
      </w:r>
      <w:bookmarkStart w:id="101" w:name="_Toc15377219"/>
      <w:r>
        <w:rPr>
          <w:rFonts w:hint="eastAsia" w:ascii="仿宋_GB2312" w:eastAsia="仿宋_GB2312" w:cs="仿宋_GB2312"/>
          <w:color w:val="000000"/>
          <w:kern w:val="2"/>
          <w:sz w:val="32"/>
          <w:szCs w:val="32"/>
          <w:lang w:val="en-US" w:eastAsia="zh-CN" w:bidi="ar-SA"/>
        </w:rPr>
        <w:t>。</w:t>
      </w:r>
    </w:p>
    <w:p w14:paraId="1B15F341">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102" w:name="_Toc5966"/>
      <w:bookmarkStart w:id="103" w:name="_Toc111208507"/>
      <w:bookmarkStart w:id="104" w:name="_Toc743"/>
      <w:bookmarkStart w:id="105" w:name="_Toc19133"/>
      <w:bookmarkStart w:id="106" w:name="_Toc19072"/>
      <w:bookmarkStart w:id="107" w:name="_Toc29937"/>
      <w:r>
        <w:rPr>
          <w:rFonts w:hint="eastAsia" w:ascii="黑体" w:eastAsia="黑体"/>
          <w:b w:val="0"/>
          <w:color w:val="000000"/>
          <w:lang w:val="en-US" w:eastAsia="zh-CN"/>
        </w:rPr>
        <w:t>九、国有资本经营预算支出决算情况说明</w:t>
      </w:r>
      <w:bookmarkEnd w:id="101"/>
      <w:bookmarkEnd w:id="102"/>
      <w:bookmarkEnd w:id="103"/>
      <w:bookmarkEnd w:id="104"/>
      <w:bookmarkEnd w:id="105"/>
      <w:bookmarkEnd w:id="106"/>
      <w:bookmarkEnd w:id="107"/>
    </w:p>
    <w:p w14:paraId="5DF5BB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2025年国有资本经营预算拨款支出0万元。</w:t>
      </w:r>
    </w:p>
    <w:p w14:paraId="55AB11B2">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108" w:name="_Toc19268"/>
      <w:bookmarkStart w:id="109" w:name="_Toc9572"/>
      <w:r>
        <w:rPr>
          <w:rFonts w:hint="eastAsia" w:ascii="黑体" w:eastAsia="黑体" w:cs="Times New Roman"/>
          <w:b w:val="0"/>
          <w:color w:val="000000"/>
          <w:lang w:val="en-US" w:eastAsia="zh-CN"/>
        </w:rPr>
        <w:t>十、其他重要事项的情况说明</w:t>
      </w:r>
      <w:bookmarkEnd w:id="88"/>
      <w:bookmarkEnd w:id="89"/>
      <w:bookmarkEnd w:id="90"/>
      <w:bookmarkEnd w:id="108"/>
      <w:bookmarkEnd w:id="109"/>
      <w:bookmarkStart w:id="110" w:name="_Toc15377222"/>
    </w:p>
    <w:p w14:paraId="0B34D63D">
      <w:pPr>
        <w:spacing w:line="600" w:lineRule="exact"/>
        <w:ind w:firstLine="643" w:firstLineChars="200"/>
        <w:outlineLvl w:val="2"/>
        <w:rPr>
          <w:rFonts w:hint="eastAsia" w:ascii="楷体_GB2312" w:eastAsia="楷体_GB2312" w:cs="楷体_GB2312"/>
          <w:b/>
          <w:color w:val="000000"/>
          <w:sz w:val="32"/>
          <w:szCs w:val="32"/>
          <w:lang w:val="en-US" w:eastAsia="zh-CN"/>
        </w:rPr>
      </w:pPr>
      <w:r>
        <w:rPr>
          <w:rFonts w:hint="eastAsia" w:ascii="楷体_GB2312" w:eastAsia="楷体_GB2312" w:cs="楷体_GB2312"/>
          <w:b/>
          <w:color w:val="000000"/>
          <w:sz w:val="32"/>
          <w:szCs w:val="32"/>
          <w:lang w:val="en-US" w:eastAsia="zh-CN"/>
        </w:rPr>
        <w:t>（一）机关运行经费支出情况</w:t>
      </w:r>
      <w:bookmarkEnd w:id="110"/>
    </w:p>
    <w:p w14:paraId="42C877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111" w:name="_Toc15377223"/>
      <w:r>
        <w:rPr>
          <w:rFonts w:hint="eastAsia" w:ascii="仿宋_GB2312" w:eastAsia="仿宋_GB2312" w:cs="仿宋_GB2312"/>
          <w:color w:val="000000"/>
          <w:kern w:val="2"/>
          <w:sz w:val="32"/>
          <w:szCs w:val="32"/>
          <w:lang w:val="en-US" w:eastAsia="zh-CN" w:bidi="ar-SA"/>
        </w:rPr>
        <w:t xml:space="preserve">2025年，机关运行经费支出79.33万元，与2024年相比减少23.48万元，下降22.8%。主要原因是：压缩经费开支，经费减少。 </w:t>
      </w:r>
    </w:p>
    <w:bookmarkEnd w:id="111"/>
    <w:p w14:paraId="28C8BE47">
      <w:pPr>
        <w:spacing w:line="600" w:lineRule="exact"/>
        <w:ind w:firstLine="643"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（二）政府采购支出情况</w:t>
      </w:r>
    </w:p>
    <w:p w14:paraId="3C4D47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2025年，政府采购支出总额0万元。</w:t>
      </w:r>
    </w:p>
    <w:p w14:paraId="2C1B3B50">
      <w:pPr>
        <w:spacing w:line="600" w:lineRule="exact"/>
        <w:ind w:firstLine="643" w:firstLineChars="200"/>
        <w:outlineLvl w:val="2"/>
        <w:rPr>
          <w:rFonts w:hint="eastAsia" w:ascii="楷体_GB2312" w:eastAsia="楷体_GB2312" w:cs="楷体_GB2312"/>
          <w:b/>
          <w:color w:val="000000"/>
          <w:sz w:val="32"/>
          <w:szCs w:val="32"/>
        </w:rPr>
      </w:pPr>
      <w:bookmarkStart w:id="112" w:name="_Toc15377224"/>
      <w:r>
        <w:rPr>
          <w:rFonts w:hint="eastAsia" w:ascii="楷体_GB2312" w:eastAsia="楷体_GB2312" w:cs="楷体_GB2312"/>
          <w:b/>
          <w:color w:val="000000"/>
          <w:sz w:val="32"/>
          <w:szCs w:val="32"/>
        </w:rPr>
        <w:t>（三）国有资产占有使用情况</w:t>
      </w:r>
      <w:bookmarkEnd w:id="112"/>
    </w:p>
    <w:p w14:paraId="0AFE40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截至2025年12月31日，共有车辆8辆，其中：主要领导干部用车0辆、机要通信用车1辆、应急保障用车7辆、其他用车0辆。单价50万元以上通用设备0台（套），单价100万元以上专用设备0台（套）。</w:t>
      </w:r>
      <w:r>
        <w:rPr>
          <w:rFonts w:hint="default" w:ascii="仿宋_GB2312" w:eastAsia="仿宋_GB2312" w:cs="仿宋_GB2312"/>
          <w:color w:val="000000"/>
          <w:kern w:val="2"/>
          <w:sz w:val="32"/>
          <w:szCs w:val="32"/>
          <w:lang w:eastAsia="zh-CN" w:bidi="ar-SA"/>
        </w:rPr>
        <w:t>与</w:t>
      </w:r>
      <w:r>
        <w:rPr>
          <w:rFonts w:hint="eastAsia" w:ascii="仿宋_GB2312" w:eastAsia="仿宋_GB2312" w:cs="仿宋_GB2312"/>
          <w:color w:val="000000"/>
          <w:kern w:val="2"/>
          <w:sz w:val="32"/>
          <w:szCs w:val="32"/>
          <w:lang w:val="en-US" w:eastAsia="zh-CN" w:bidi="ar-SA"/>
        </w:rPr>
        <w:t>2024年相比无变化。</w:t>
      </w:r>
    </w:p>
    <w:p w14:paraId="6C8FE699">
      <w:pPr>
        <w:spacing w:line="600" w:lineRule="exact"/>
        <w:ind w:firstLine="643" w:firstLineChars="200"/>
        <w:outlineLvl w:val="2"/>
        <w:rPr>
          <w:rFonts w:hint="eastAsia" w:ascii="楷体_GB2312" w:eastAsia="楷体_GB2312" w:cs="楷体_GB2312"/>
          <w:b/>
          <w:color w:val="000000"/>
          <w:sz w:val="32"/>
          <w:szCs w:val="32"/>
          <w:highlight w:val="none"/>
        </w:rPr>
      </w:pPr>
      <w:r>
        <w:rPr>
          <w:rFonts w:hint="eastAsia" w:ascii="楷体_GB2312" w:eastAsia="楷体_GB2312" w:cs="楷体_GB2312"/>
          <w:b/>
          <w:color w:val="000000"/>
          <w:sz w:val="32"/>
          <w:szCs w:val="32"/>
          <w:highlight w:val="none"/>
        </w:rPr>
        <w:t>（四）预算绩效管理情况</w:t>
      </w:r>
    </w:p>
    <w:p w14:paraId="7D0A1B89">
      <w:pPr>
        <w:spacing w:line="580" w:lineRule="exact"/>
        <w:ind w:firstLine="640" w:firstLineChars="200"/>
        <w:rPr>
          <w:rFonts w:hint="eastAsia" w:ascii="仿宋_GB2312" w:eastAsia="仿宋_GB2312" w:cs="仿宋_GB2312"/>
          <w:color w:val="auto"/>
          <w:sz w:val="32"/>
          <w:szCs w:val="32"/>
          <w:highlight w:val="none"/>
          <w:lang w:eastAsia="zh-CN"/>
        </w:rPr>
      </w:pPr>
      <w:r>
        <w:rPr>
          <w:rFonts w:hint="eastAsia" w:ascii="仿宋_GB2312" w:eastAsia="仿宋_GB2312" w:cs="仿宋_GB2312"/>
          <w:color w:val="auto"/>
          <w:sz w:val="32"/>
          <w:szCs w:val="32"/>
          <w:highlight w:val="none"/>
        </w:rPr>
        <w:t>根据预算绩效管理要求，本部门在</w:t>
      </w:r>
      <w:r>
        <w:rPr>
          <w:rFonts w:hint="eastAsia" w:ascii="仿宋_GB2312" w:eastAsia="仿宋_GB2312" w:cs="仿宋_GB2312"/>
          <w:color w:val="auto"/>
          <w:sz w:val="32"/>
          <w:szCs w:val="32"/>
          <w:highlight w:val="none"/>
          <w:lang w:val="en-US" w:eastAsia="zh-CN"/>
        </w:rPr>
        <w:t>2025年度</w:t>
      </w:r>
      <w:r>
        <w:rPr>
          <w:rFonts w:hint="eastAsia" w:ascii="仿宋_GB2312" w:eastAsia="仿宋_GB2312" w:cs="仿宋_GB2312"/>
          <w:color w:val="auto"/>
          <w:sz w:val="32"/>
          <w:szCs w:val="32"/>
          <w:highlight w:val="none"/>
        </w:rPr>
        <w:t>预算编制阶段，组织对</w:t>
      </w:r>
      <w:r>
        <w:rPr>
          <w:rFonts w:hint="eastAsia" w:ascii="仿宋_GB2312" w:eastAsia="仿宋_GB2312" w:cs="仿宋_GB2312"/>
          <w:color w:val="auto"/>
          <w:sz w:val="32"/>
          <w:szCs w:val="32"/>
          <w:highlight w:val="none"/>
          <w:lang w:eastAsia="zh-CN"/>
        </w:rPr>
        <w:t>设备维修维护、办公经费等</w:t>
      </w:r>
      <w:r>
        <w:rPr>
          <w:rFonts w:hint="eastAsia" w:ascii="仿宋_GB2312" w:eastAsia="仿宋_GB2312" w:cs="仿宋_GB2312"/>
          <w:color w:val="auto"/>
          <w:sz w:val="32"/>
          <w:szCs w:val="32"/>
          <w:highlight w:val="none"/>
          <w:lang w:val="en-US" w:eastAsia="zh-CN"/>
        </w:rPr>
        <w:t>3个</w:t>
      </w:r>
      <w:r>
        <w:rPr>
          <w:rFonts w:hint="eastAsia" w:ascii="仿宋_GB2312" w:eastAsia="仿宋_GB2312" w:cs="仿宋_GB2312"/>
          <w:color w:val="auto"/>
          <w:sz w:val="32"/>
          <w:szCs w:val="32"/>
          <w:highlight w:val="none"/>
        </w:rPr>
        <w:t>项目开展了预算事前绩效评估，对</w:t>
      </w:r>
      <w:r>
        <w:rPr>
          <w:rFonts w:hint="eastAsia" w:ascii="仿宋_GB2312" w:eastAsia="仿宋_GB2312" w:cs="仿宋_GB2312"/>
          <w:color w:val="auto"/>
          <w:sz w:val="32"/>
          <w:szCs w:val="32"/>
          <w:highlight w:val="none"/>
          <w:lang w:val="en-US" w:eastAsia="zh-CN"/>
        </w:rPr>
        <w:t>3</w:t>
      </w:r>
      <w:r>
        <w:rPr>
          <w:rFonts w:hint="eastAsia" w:ascii="仿宋_GB2312" w:eastAsia="仿宋_GB2312" w:cs="仿宋_GB2312"/>
          <w:color w:val="auto"/>
          <w:sz w:val="32"/>
          <w:szCs w:val="32"/>
          <w:highlight w:val="none"/>
        </w:rPr>
        <w:t>个项目编制了绩效目标，预算执行过程中，选取</w:t>
      </w:r>
      <w:r>
        <w:rPr>
          <w:rFonts w:hint="eastAsia" w:ascii="仿宋_GB2312" w:eastAsia="仿宋_GB2312" w:cs="仿宋_GB2312"/>
          <w:color w:val="auto"/>
          <w:sz w:val="32"/>
          <w:szCs w:val="32"/>
          <w:highlight w:val="none"/>
          <w:lang w:val="en-US" w:eastAsia="zh-CN"/>
        </w:rPr>
        <w:t>3</w:t>
      </w:r>
      <w:r>
        <w:rPr>
          <w:rFonts w:hint="eastAsia" w:ascii="仿宋_GB2312" w:eastAsia="仿宋_GB2312" w:cs="仿宋_GB2312"/>
          <w:color w:val="auto"/>
          <w:sz w:val="32"/>
          <w:szCs w:val="32"/>
          <w:highlight w:val="none"/>
        </w:rPr>
        <w:t>个项目开展绩效监控</w:t>
      </w:r>
      <w:r>
        <w:rPr>
          <w:rFonts w:hint="eastAsia" w:ascii="仿宋_GB2312" w:eastAsia="仿宋_GB2312" w:cs="仿宋_GB2312"/>
          <w:color w:val="auto"/>
          <w:sz w:val="32"/>
          <w:szCs w:val="32"/>
          <w:highlight w:val="none"/>
          <w:lang w:eastAsia="zh-CN"/>
        </w:rPr>
        <w:t>。</w:t>
      </w:r>
    </w:p>
    <w:p w14:paraId="59E26BCD">
      <w:pPr>
        <w:spacing w:line="58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eastAsia="仿宋_GB2312" w:cs="仿宋_GB2312"/>
          <w:color w:val="auto"/>
          <w:sz w:val="32"/>
          <w:szCs w:val="32"/>
          <w:highlight w:val="none"/>
          <w:lang w:eastAsia="zh-CN"/>
        </w:rPr>
        <w:t>组织</w:t>
      </w:r>
      <w:r>
        <w:rPr>
          <w:rFonts w:hint="eastAsia" w:ascii="仿宋_GB2312" w:eastAsia="仿宋_GB2312" w:cs="仿宋_GB2312"/>
          <w:color w:val="auto"/>
          <w:sz w:val="32"/>
          <w:szCs w:val="32"/>
          <w:highlight w:val="none"/>
        </w:rPr>
        <w:t>对</w:t>
      </w:r>
      <w:r>
        <w:rPr>
          <w:rFonts w:hint="eastAsia" w:ascii="仿宋_GB2312" w:eastAsia="仿宋_GB2312" w:cs="仿宋_GB2312"/>
          <w:color w:val="auto"/>
          <w:sz w:val="32"/>
          <w:szCs w:val="32"/>
          <w:highlight w:val="none"/>
          <w:lang w:val="en-US" w:eastAsia="zh-CN"/>
        </w:rPr>
        <w:t>2025年度一般公共预算、</w:t>
      </w:r>
      <w:r>
        <w:rPr>
          <w:rFonts w:hint="eastAsia" w:ascii="仿宋_GB2312" w:eastAsia="仿宋_GB2312" w:cs="仿宋_GB2312"/>
          <w:color w:val="auto"/>
          <w:sz w:val="32"/>
          <w:szCs w:val="32"/>
          <w:highlight w:val="none"/>
          <w:lang w:eastAsia="zh-CN"/>
        </w:rPr>
        <w:t>政府性基金预算、国有资本经营预算、社会保险基金预算以及资本资产、债券资金等</w:t>
      </w:r>
      <w:r>
        <w:rPr>
          <w:rFonts w:hint="eastAsia" w:ascii="仿宋_GB2312" w:eastAsia="仿宋_GB2312" w:cs="仿宋_GB2312"/>
          <w:color w:val="auto"/>
          <w:sz w:val="32"/>
          <w:szCs w:val="32"/>
          <w:highlight w:val="none"/>
          <w:lang w:val="en-US" w:eastAsia="zh-CN"/>
        </w:rPr>
        <w:t>全面开展绩效自评，形成中共茂县县委办公室</w:t>
      </w:r>
      <w:r>
        <w:rPr>
          <w:rFonts w:hint="eastAsia" w:ascii="仿宋_GB2312" w:eastAsia="仿宋_GB2312" w:cs="仿宋_GB2312"/>
          <w:color w:val="auto"/>
          <w:sz w:val="32"/>
          <w:szCs w:val="32"/>
          <w:highlight w:val="none"/>
          <w:lang w:eastAsia="zh-CN"/>
        </w:rPr>
        <w:t>部门整体（含部门预算项目）</w:t>
      </w:r>
      <w:r>
        <w:rPr>
          <w:rFonts w:hint="eastAsia" w:ascii="仿宋_GB2312" w:eastAsia="仿宋_GB2312" w:cs="仿宋_GB2312"/>
          <w:color w:val="auto"/>
          <w:sz w:val="32"/>
          <w:szCs w:val="32"/>
          <w:highlight w:val="none"/>
          <w:lang w:val="en-US" w:eastAsia="zh-CN"/>
        </w:rPr>
        <w:t>绩效自评报告</w:t>
      </w:r>
      <w:r>
        <w:rPr>
          <w:rFonts w:hint="eastAsia" w:ascii="仿宋_GB2312" w:eastAsia="仿宋_GB2312" w:cs="仿宋_GB2312"/>
          <w:color w:val="auto"/>
          <w:sz w:val="32"/>
          <w:szCs w:val="32"/>
          <w:highlight w:val="none"/>
          <w:lang w:eastAsia="zh-CN"/>
        </w:rPr>
        <w:t>、</w:t>
      </w:r>
      <w:r>
        <w:rPr>
          <w:rFonts w:hint="eastAsia" w:ascii="仿宋_GB2312" w:eastAsia="仿宋_GB2312" w:cs="仿宋_GB2312"/>
          <w:color w:val="auto"/>
          <w:sz w:val="32"/>
          <w:szCs w:val="32"/>
          <w:highlight w:val="none"/>
          <w:lang w:val="en-US" w:eastAsia="zh-CN"/>
        </w:rPr>
        <w:t>项目</w:t>
      </w:r>
      <w:r>
        <w:rPr>
          <w:rFonts w:hint="eastAsia" w:ascii="仿宋_GB2312" w:eastAsia="仿宋_GB2312" w:cs="仿宋_GB2312"/>
          <w:color w:val="auto"/>
          <w:sz w:val="32"/>
          <w:szCs w:val="32"/>
          <w:highlight w:val="none"/>
          <w:lang w:eastAsia="zh-CN"/>
        </w:rPr>
        <w:t>专项预算项目</w:t>
      </w:r>
      <w:r>
        <w:rPr>
          <w:rFonts w:hint="eastAsia" w:ascii="仿宋_GB2312" w:eastAsia="仿宋_GB2312" w:cs="仿宋_GB2312"/>
          <w:color w:val="auto"/>
          <w:sz w:val="32"/>
          <w:szCs w:val="32"/>
          <w:highlight w:val="none"/>
          <w:lang w:val="en-US" w:eastAsia="zh-CN"/>
        </w:rPr>
        <w:t>绩效自评报告，</w:t>
      </w:r>
      <w:r>
        <w:rPr>
          <w:rFonts w:hint="eastAsia" w:ascii="仿宋_GB2312" w:hAnsi="仿宋_GB2312" w:eastAsia="仿宋_GB2312" w:cs="仿宋_GB2312"/>
          <w:color w:val="000000"/>
          <w:sz w:val="32"/>
          <w:szCs w:val="32"/>
          <w:highlight w:val="none"/>
        </w:rPr>
        <w:t>绩效目标完成情况整体良好</w:t>
      </w:r>
      <w:r>
        <w:rPr>
          <w:rFonts w:hint="eastAsia" w:ascii="仿宋_GB2312" w:hAnsi="仿宋_GB2312" w:eastAsia="仿宋_GB2312" w:cs="仿宋_GB2312"/>
          <w:color w:val="000000"/>
          <w:sz w:val="32"/>
          <w:szCs w:val="32"/>
          <w:highlight w:val="none"/>
          <w:lang w:eastAsia="zh-CN"/>
        </w:rPr>
        <w:t>，自评良好</w:t>
      </w:r>
      <w:r>
        <w:rPr>
          <w:rFonts w:hint="eastAsia" w:ascii="仿宋_GB2312" w:hAnsi="仿宋_GB2312" w:eastAsia="仿宋_GB2312" w:cs="仿宋_GB2312"/>
          <w:color w:val="000000"/>
          <w:sz w:val="32"/>
          <w:szCs w:val="32"/>
          <w:highlight w:val="none"/>
        </w:rPr>
        <w:t>。</w:t>
      </w:r>
    </w:p>
    <w:p w14:paraId="622018F2">
      <w:pPr>
        <w:spacing w:line="580" w:lineRule="exact"/>
        <w:ind w:firstLine="640" w:firstLineChars="200"/>
        <w:rPr>
          <w:rFonts w:hint="eastAsia" w:ascii="仿宋_GB2312" w:hAnsi="仿宋_GB2312" w:eastAsia="仿宋_GB2312" w:cs="仿宋_GB2312"/>
          <w:color w:val="000000"/>
          <w:sz w:val="32"/>
          <w:szCs w:val="32"/>
          <w:highlight w:val="none"/>
        </w:rPr>
      </w:pPr>
    </w:p>
    <w:p w14:paraId="0F00A60A">
      <w:pPr>
        <w:spacing w:line="580" w:lineRule="exact"/>
        <w:ind w:firstLine="2209" w:firstLineChars="500"/>
        <w:rPr>
          <w:rStyle w:val="24"/>
          <w:rFonts w:hint="eastAsia" w:ascii="方正公文小标宋" w:hAnsi="方正公文小标宋" w:eastAsia="方正公文小标宋" w:cs="方正公文小标宋"/>
          <w:b/>
          <w:bCs/>
          <w:lang w:val="en-US" w:eastAsia="zh-CN"/>
        </w:rPr>
      </w:pPr>
      <w:bookmarkStart w:id="113" w:name="_Toc31894"/>
      <w:r>
        <w:rPr>
          <w:rStyle w:val="24"/>
          <w:rFonts w:hint="eastAsia" w:ascii="方正公文小标宋" w:hAnsi="方正公文小标宋" w:eastAsia="方正公文小标宋" w:cs="方正公文小标宋"/>
          <w:b/>
          <w:bCs/>
          <w:lang w:val="en-US" w:eastAsia="zh-CN"/>
        </w:rPr>
        <w:t>第三部分 名词解释</w:t>
      </w:r>
      <w:bookmarkEnd w:id="91"/>
    </w:p>
    <w:bookmarkEnd w:id="113"/>
    <w:p w14:paraId="0EB5A482">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14:paraId="2E6C0C6E">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14:paraId="1974E95A">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14:paraId="336B312E">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4.其他收入：指单位取得的除上述收入以外的各项收入。 </w:t>
      </w:r>
    </w:p>
    <w:p w14:paraId="3B244894">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5.使用非财政拨款结余：指事业单位使用以前年度积累的非财政拨款结余弥补当年收支差额的金额。 </w:t>
      </w:r>
    </w:p>
    <w:p w14:paraId="739400D3">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14:paraId="4D7276D7">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7.结余分配：指事业单位按照会计制度规定缴纳的所得税、提取的专用结余以及转入非财政拨款结余的金额等。</w:t>
      </w:r>
    </w:p>
    <w:p w14:paraId="2A029934">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14:paraId="6E03FB42">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9.科学技术（类）科技条件与服务（款）其他科技条件与服务（项）：指反映其他用于科技条件与服务方面的支出。</w:t>
      </w:r>
    </w:p>
    <w:p w14:paraId="35EC216B">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10.社会保障和就业（类）行政事业单位离退休（款）机关事业单位基本养老保险缴费支出（项）：指反映机关事业单位实施养老保险制度由单位缴纳的基本养老保险费支出。</w:t>
      </w:r>
    </w:p>
    <w:p w14:paraId="09ADEE39">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11.社会保障和就业（类）行政事业单位离退休（款）机关事业单位职业年金缴费支出（项）：指反映机关事业单位实施养老保险制度由单位缴纳的职业年金支出。</w:t>
      </w:r>
    </w:p>
    <w:p w14:paraId="2D33DD11">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12.医疗卫生与计划生育（类）行政事业单位医疗（款）行政单位医疗（项）：指反映财政部门集中安排的行政单位基本医疗保险缴费经费。</w:t>
      </w:r>
    </w:p>
    <w:p w14:paraId="64548D71">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13.住房保障（类）住房改革（款）住房公积金（项）：指反映行政事业单位按人力资源和社会保障部、财政部规定的基本工资和津贴补贴以及规定比例为职工缴纳的住房公积金。</w:t>
      </w:r>
    </w:p>
    <w:p w14:paraId="0F6CBFB0">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Cs/>
          <w:color w:val="000000"/>
          <w:sz w:val="32"/>
          <w:szCs w:val="32"/>
        </w:rPr>
        <w:t>14.</w:t>
      </w:r>
      <w:r>
        <w:rPr>
          <w:rFonts w:hint="eastAsia" w:ascii="仿宋_GB2312" w:hAnsi="仿宋_GB2312" w:eastAsia="仿宋_GB2312" w:cs="仿宋_GB2312"/>
          <w:color w:val="000000"/>
          <w:kern w:val="0"/>
          <w:sz w:val="32"/>
          <w:szCs w:val="32"/>
        </w:rPr>
        <w:t>住房保障（类）住房改革（款）购房补贴（项）：指反映行政事业单位按人力资源和社会保障部、财政部规定的基本工资和津贴补贴以及规定比例为职工支出的购房补贴。</w:t>
      </w:r>
    </w:p>
    <w:p w14:paraId="7C59E9F3">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Cs/>
          <w:color w:val="000000"/>
          <w:sz w:val="32"/>
          <w:szCs w:val="32"/>
        </w:rPr>
        <w:t>15.农林水支出</w:t>
      </w:r>
      <w:r>
        <w:rPr>
          <w:rFonts w:hint="eastAsia" w:ascii="仿宋_GB2312" w:hAnsi="仿宋_GB2312" w:eastAsia="仿宋_GB2312" w:cs="仿宋_GB2312"/>
          <w:color w:val="000000"/>
          <w:kern w:val="0"/>
          <w:sz w:val="32"/>
          <w:szCs w:val="32"/>
        </w:rPr>
        <w:t>（类）扶贫（款）社会发展（项）：指反映用于农村贫困地区中小学教育、文化、广播、电视、医疗、卫生等方面的项目支出。</w:t>
      </w:r>
    </w:p>
    <w:p w14:paraId="273B1EE3">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16.基本支出：指为保障机构正常运转、完成日常工作任务而发生的人员支出和公用支出。</w:t>
      </w:r>
    </w:p>
    <w:p w14:paraId="11F8A5B9">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17.项目支出：指在基本支出之外为完成特定行政任务和事业发展目标所发生的支出。 </w:t>
      </w:r>
    </w:p>
    <w:p w14:paraId="7BA6D368">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18.经营支出：指事业单位在专业业务活动及其辅助活动之外开展非独立核算经营活动发生的支出。</w:t>
      </w:r>
    </w:p>
    <w:p w14:paraId="4B212ACA">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44B4DF0">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Style w:val="24"/>
          <w:rFonts w:hint="eastAsia" w:ascii="仿宋_GB2312" w:eastAsia="仿宋_GB2312" w:cs="仿宋_GB2312"/>
        </w:rPr>
      </w:pPr>
      <w:r>
        <w:rPr>
          <w:rFonts w:hint="eastAsia" w:ascii="仿宋_GB2312" w:hAnsi="仿宋_GB2312" w:eastAsia="仿宋_GB2312" w:cs="仿宋_GB2312"/>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Style w:val="24"/>
          <w:rFonts w:hint="eastAsia" w:ascii="仿宋_GB2312" w:eastAsia="仿宋_GB2312" w:cs="仿宋_GB2312"/>
        </w:rPr>
        <w:br w:type="page"/>
      </w:r>
    </w:p>
    <w:p w14:paraId="0A3CF2E8">
      <w:pPr>
        <w:pStyle w:val="3"/>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lang w:val="en-US" w:eastAsia="zh-CN"/>
        </w:rPr>
      </w:pPr>
      <w:bookmarkStart w:id="114" w:name="_Toc111208510"/>
      <w:bookmarkStart w:id="115" w:name="_Toc15177"/>
      <w:bookmarkStart w:id="116" w:name="_Toc16243"/>
      <w:bookmarkStart w:id="117" w:name="_Toc29502"/>
      <w:r>
        <w:rPr>
          <w:rStyle w:val="24"/>
          <w:rFonts w:hint="eastAsia" w:ascii="方正公文小标宋" w:hAnsi="方正公文小标宋" w:eastAsia="方正公文小标宋" w:cs="方正公文小标宋"/>
          <w:b/>
          <w:bCs/>
          <w:lang w:val="en-US" w:eastAsia="zh-CN"/>
        </w:rPr>
        <w:t>第四部分 附件</w:t>
      </w:r>
      <w:bookmarkEnd w:id="114"/>
      <w:bookmarkEnd w:id="115"/>
      <w:bookmarkEnd w:id="116"/>
    </w:p>
    <w:p w14:paraId="0B903F80">
      <w:pPr>
        <w:widowControl/>
        <w:spacing w:line="600" w:lineRule="exact"/>
        <w:jc w:val="left"/>
        <w:textAlignment w:val="center"/>
        <w:rPr>
          <w:rFonts w:hint="eastAsia"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附表1</w:t>
      </w:r>
    </w:p>
    <w:p w14:paraId="7A582B42">
      <w:pPr>
        <w:widowControl/>
        <w:spacing w:line="600" w:lineRule="exact"/>
        <w:jc w:val="center"/>
        <w:textAlignment w:val="center"/>
        <w:rPr>
          <w:rFonts w:hint="eastAsia"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部门预算绩效自评打分表</w:t>
      </w:r>
    </w:p>
    <w:tbl>
      <w:tblPr>
        <w:tblStyle w:val="19"/>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14:paraId="647F0C9B">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C8ADA5">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23F694">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1FE609ED">
            <w:pPr>
              <w:widowControl/>
              <w:spacing w:line="240" w:lineRule="exact"/>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125A5686">
            <w:pPr>
              <w:widowControl/>
              <w:spacing w:line="240" w:lineRule="exact"/>
              <w:jc w:val="center"/>
              <w:textAlignment w:val="center"/>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备注</w:t>
            </w:r>
          </w:p>
        </w:tc>
      </w:tr>
      <w:tr w14:paraId="43A9219A">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3EF090E9">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6FDF">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734C">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C61CE">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指标</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79471">
            <w:pPr>
              <w:widowControl/>
              <w:spacing w:line="240" w:lineRule="exact"/>
              <w:jc w:val="center"/>
              <w:rPr>
                <w:rFonts w:hint="eastAsia" w:ascii="仿宋_GB2312" w:hAnsi="仿宋_GB2312" w:eastAsia="仿宋_GB2312" w:cs="仿宋_GB2312"/>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3CA5E18F">
            <w:pPr>
              <w:widowControl/>
              <w:spacing w:line="240" w:lineRule="exact"/>
              <w:jc w:val="center"/>
              <w:rPr>
                <w:rFonts w:hint="eastAsia" w:ascii="仿宋_GB2312" w:hAnsi="仿宋_GB2312" w:eastAsia="仿宋_GB2312" w:cs="仿宋_GB2312"/>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2F506ECB">
            <w:pPr>
              <w:widowControl/>
              <w:spacing w:line="240" w:lineRule="exact"/>
              <w:jc w:val="center"/>
              <w:rPr>
                <w:rFonts w:hint="eastAsia" w:ascii="仿宋_GB2312" w:hAnsi="仿宋_GB2312" w:eastAsia="仿宋_GB2312" w:cs="仿宋_GB2312"/>
                <w:color w:val="000000"/>
                <w:sz w:val="24"/>
              </w:rPr>
            </w:pPr>
          </w:p>
        </w:tc>
      </w:tr>
      <w:tr w14:paraId="00A73026">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964FE">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总体绩效</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2B0A3">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履职效能</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7AC6">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32EFA2F2">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B8FC">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FF6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33D1">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693E46E9">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1F1F2">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9FBDB">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预算管理</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87533">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7B44">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30500">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4864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E3C3">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39DC4932">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B26ED">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8BE1A">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509CA">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6621F">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AD4B4">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C90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FAC2">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3A257494">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F5C84">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34EDC">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FA0B8">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8383E">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FBBE">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ACCA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D2DC">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10836859">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5D0F3">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48BFB">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7D40">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FB49">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0308">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64D2">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B8B3">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5A6EF1D0">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B8168">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57A48">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69C5">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00930">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EF2A">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5A56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2EBD1">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7D634A77">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93F14">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5AFC5E">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财务管理</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E6392">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58F6B">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DAD65">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0BD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9B3E4">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6E3188C4">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D4A06">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2EBFE">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E9BB">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A134C">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DB085">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BF71">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64D4">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15A06D72">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1D0F2">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3681F">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91083">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5E8F3">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B4FD">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DF538">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35787">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0F237316">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E3D6F">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79B80F">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资产管理</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B61A">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7FBA">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0A2F">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FB9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2B62">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6B418324">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0A5D5">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8FF01">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B349">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76AAA">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ADCA1">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DF8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3C92A">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61F10007">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3B150">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总体绩效</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D24B5">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资产管理</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1C08">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12446">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72F8">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EC07">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C6D5">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02333BC5">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55F02">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001722">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采购管理</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1ADF9">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5006A">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692C7">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6117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032B">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139A0646">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893A2">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4378F">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EAD05">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6B017">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4F03">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D99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E24EF">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5A030F55">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F153F">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项目绩效</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61C0BB4A">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项目决策</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A1CC">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3ADB3">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E716E">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00F94">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8B766">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49D93E57">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C5571">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2AC70867">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1A05A">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3AC06">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B707">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CD3A">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C0046">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5CFC10C4">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8C5C6">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7F99D9DA">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AEF1">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9257">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7645">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447BF">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A5E5">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4E36B79E">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24476">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78207745">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项目执行</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E07F">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2E71">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79AB8">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BB9E">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D6438">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751E2BE6">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610C8">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45B4DCCE">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2715531E">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1BAAA">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D0828">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EEE0">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26CD">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2AAE524C">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56C04">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05C49250">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F6B2">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FD10">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44322">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ACEE6">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71543">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5567BA17">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B5255">
            <w:pPr>
              <w:widowControl/>
              <w:spacing w:line="240" w:lineRule="exact"/>
              <w:jc w:val="center"/>
              <w:rPr>
                <w:rFonts w:hint="eastAsia" w:ascii="仿宋_GB2312" w:hAnsi="仿宋_GB2312" w:eastAsia="仿宋_GB2312" w:cs="仿宋_GB2312"/>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52958B">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目标实现</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5F47">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EFB6">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08F1">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69D9">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B8E0">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70BE76AA">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EABAF">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86DF6">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C3F3F">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37A59">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75145">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621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81F28">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567D432D">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92B32">
            <w:pPr>
              <w:widowControl/>
              <w:spacing w:line="240" w:lineRule="exact"/>
              <w:jc w:val="center"/>
              <w:rPr>
                <w:rFonts w:hint="eastAsia" w:ascii="仿宋_GB2312" w:hAnsi="仿宋_GB2312" w:eastAsia="仿宋_GB2312" w:cs="仿宋_GB2312"/>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B988C">
            <w:pPr>
              <w:widowControl/>
              <w:spacing w:line="240" w:lineRule="exact"/>
              <w:jc w:val="center"/>
              <w:rPr>
                <w:rFonts w:hint="eastAsia" w:ascii="仿宋_GB2312" w:hAnsi="仿宋_GB2312" w:eastAsia="仿宋_GB2312" w:cs="仿宋_GB2312"/>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D0B08">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3DD8">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38B9">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08C2C">
            <w:pPr>
              <w:widowControl/>
              <w:spacing w:line="240" w:lineRule="exact"/>
              <w:jc w:val="left"/>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30353">
            <w:pPr>
              <w:widowControl/>
              <w:spacing w:line="240" w:lineRule="exact"/>
              <w:jc w:val="left"/>
              <w:textAlignment w:val="center"/>
              <w:rPr>
                <w:rFonts w:hint="eastAsia" w:ascii="仿宋_GB2312" w:hAnsi="仿宋_GB2312" w:eastAsia="仿宋_GB2312" w:cs="仿宋_GB2312"/>
                <w:color w:val="000000"/>
                <w:kern w:val="0"/>
                <w:sz w:val="24"/>
                <w:lang w:bidi="ar"/>
              </w:rPr>
            </w:pPr>
          </w:p>
        </w:tc>
      </w:tr>
      <w:tr w14:paraId="4B11D3EF">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50A9D">
            <w:pPr>
              <w:widowControl/>
              <w:spacing w:line="24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扣分项</w:t>
            </w:r>
            <w:r>
              <w:rPr>
                <w:rFonts w:hint="eastAsia" w:ascii="仿宋_GB2312" w:hAnsi="仿宋_GB2312" w:eastAsia="仿宋_GB2312" w:cs="仿宋_GB2312"/>
                <w:b/>
                <w:color w:val="000000"/>
                <w:kern w:val="0"/>
                <w:sz w:val="24"/>
                <w:lang w:bidi="ar"/>
              </w:rPr>
              <w:br w:type="textWrapping"/>
            </w:r>
            <w:r>
              <w:rPr>
                <w:rFonts w:hint="eastAsia" w:ascii="仿宋_GB2312" w:hAnsi="仿宋_GB2312" w:eastAsia="仿宋_GB2312" w:cs="仿宋_GB2312"/>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2AD4FB">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EF297">
            <w:pPr>
              <w:widowControl/>
              <w:spacing w:line="24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A8912">
            <w:pPr>
              <w:widowControl/>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4921">
            <w:pPr>
              <w:widowControl/>
              <w:spacing w:line="240" w:lineRule="exact"/>
              <w:jc w:val="left"/>
              <w:textAlignment w:val="center"/>
              <w:rPr>
                <w:rFonts w:hint="eastAsia" w:ascii="仿宋_GB2312" w:hAnsi="仿宋_GB2312" w:eastAsia="仿宋_GB2312" w:cs="仿宋_GB2312"/>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EAD84">
            <w:pPr>
              <w:widowControl/>
              <w:spacing w:line="240" w:lineRule="exact"/>
              <w:jc w:val="left"/>
              <w:textAlignment w:val="center"/>
              <w:rPr>
                <w:rFonts w:hint="eastAsia" w:ascii="仿宋_GB2312" w:hAnsi="仿宋_GB2312" w:eastAsia="仿宋_GB2312" w:cs="仿宋_GB2312"/>
                <w:color w:val="000000"/>
                <w:kern w:val="0"/>
                <w:sz w:val="24"/>
                <w:lang w:bidi="ar"/>
              </w:rPr>
            </w:pPr>
          </w:p>
        </w:tc>
      </w:tr>
    </w:tbl>
    <w:p w14:paraId="29B41822">
      <w:pPr>
        <w:pStyle w:val="37"/>
        <w:spacing w:line="20" w:lineRule="exact"/>
        <w:rPr>
          <w:rFonts w:hint="eastAsia" w:ascii="仿宋_GB2312" w:hAnsi="仿宋_GB2312" w:eastAsia="仿宋_GB2312" w:cs="仿宋_GB2312"/>
        </w:rPr>
      </w:pPr>
    </w:p>
    <w:p w14:paraId="33E1262D">
      <w:pPr>
        <w:rPr>
          <w:rFonts w:hint="eastAsia" w:ascii="仿宋_GB2312" w:hAnsi="仿宋_GB2312" w:eastAsia="仿宋_GB2312" w:cs="仿宋_GB2312"/>
        </w:rPr>
      </w:pPr>
      <w:r>
        <w:rPr>
          <w:rFonts w:hint="eastAsia" w:ascii="仿宋_GB2312" w:hAnsi="仿宋_GB2312" w:eastAsia="仿宋_GB2312" w:cs="仿宋_GB2312"/>
        </w:rPr>
        <w:br w:type="page"/>
      </w:r>
      <w:r>
        <w:rPr>
          <w:rFonts w:hint="eastAsia" w:ascii="黑体" w:hAnsi="黑体" w:eastAsia="黑体" w:cs="黑体"/>
          <w:color w:val="000000"/>
          <w:kern w:val="0"/>
          <w:sz w:val="32"/>
          <w:szCs w:val="32"/>
          <w:lang w:bidi="ar"/>
        </w:rPr>
        <w:t>附表2</w:t>
      </w:r>
    </w:p>
    <w:p w14:paraId="6AEA8E73">
      <w:pPr>
        <w:widowControl/>
        <w:spacing w:line="578" w:lineRule="exact"/>
        <w:jc w:val="center"/>
        <w:textAlignment w:val="center"/>
        <w:rPr>
          <w:rFonts w:eastAsia="方正小标宋简体"/>
          <w:color w:val="000000"/>
          <w:kern w:val="0"/>
          <w:sz w:val="44"/>
          <w:szCs w:val="44"/>
        </w:rPr>
      </w:pPr>
      <w:r>
        <w:rPr>
          <w:rFonts w:eastAsia="方正小标宋简体"/>
          <w:color w:val="000000"/>
          <w:kern w:val="0"/>
          <w:sz w:val="44"/>
          <w:szCs w:val="44"/>
        </w:rPr>
        <w:t>部门整体</w:t>
      </w:r>
      <w:r>
        <w:rPr>
          <w:rFonts w:hint="eastAsia" w:eastAsia="方正小标宋简体"/>
          <w:color w:val="000000"/>
          <w:kern w:val="0"/>
          <w:sz w:val="44"/>
          <w:szCs w:val="44"/>
        </w:rPr>
        <w:t>支出</w:t>
      </w:r>
      <w:r>
        <w:rPr>
          <w:rFonts w:eastAsia="方正小标宋简体"/>
          <w:color w:val="000000"/>
          <w:kern w:val="0"/>
          <w:sz w:val="44"/>
          <w:szCs w:val="44"/>
        </w:rPr>
        <w:t>绩效目标完成情况自评表</w:t>
      </w:r>
    </w:p>
    <w:tbl>
      <w:tblPr>
        <w:tblStyle w:val="19"/>
        <w:tblW w:w="9658" w:type="dxa"/>
        <w:jc w:val="center"/>
        <w:tblLayout w:type="fixed"/>
        <w:tblCellMar>
          <w:top w:w="0" w:type="dxa"/>
          <w:left w:w="108" w:type="dxa"/>
          <w:bottom w:w="0" w:type="dxa"/>
          <w:right w:w="108" w:type="dxa"/>
        </w:tblCellMar>
      </w:tblPr>
      <w:tblGrid>
        <w:gridCol w:w="331"/>
        <w:gridCol w:w="593"/>
        <w:gridCol w:w="803"/>
        <w:gridCol w:w="1246"/>
        <w:gridCol w:w="803"/>
        <w:gridCol w:w="777"/>
        <w:gridCol w:w="1018"/>
        <w:gridCol w:w="1045"/>
        <w:gridCol w:w="1111"/>
        <w:gridCol w:w="1931"/>
      </w:tblGrid>
      <w:tr w14:paraId="3B235595">
        <w:tblPrEx>
          <w:tblCellMar>
            <w:top w:w="0" w:type="dxa"/>
            <w:left w:w="108" w:type="dxa"/>
            <w:bottom w:w="0" w:type="dxa"/>
            <w:right w:w="108" w:type="dxa"/>
          </w:tblCellMar>
        </w:tblPrEx>
        <w:trPr>
          <w:trHeight w:val="465" w:hRule="atLeast"/>
          <w:jc w:val="center"/>
        </w:trPr>
        <w:tc>
          <w:tcPr>
            <w:tcW w:w="1727" w:type="dxa"/>
            <w:gridSpan w:val="3"/>
            <w:tcBorders>
              <w:top w:val="single" w:color="000000" w:sz="4" w:space="0"/>
              <w:left w:val="single" w:color="000000" w:sz="4" w:space="0"/>
              <w:bottom w:val="single" w:color="auto" w:sz="4" w:space="0"/>
              <w:right w:val="single" w:color="000000" w:sz="4" w:space="0"/>
            </w:tcBorders>
            <w:noWrap/>
            <w:vAlign w:val="center"/>
          </w:tcPr>
          <w:p w14:paraId="08C3E310">
            <w:pPr>
              <w:rPr>
                <w:rFonts w:ascii="宋体" w:hAnsi="宋体" w:eastAsia="宋体" w:cs="宋体"/>
                <w:color w:val="000000"/>
                <w:kern w:val="0"/>
                <w:sz w:val="24"/>
              </w:rPr>
            </w:pPr>
            <w:r>
              <w:rPr>
                <w:rFonts w:eastAsia="黑体"/>
                <w:sz w:val="24"/>
              </w:rPr>
              <w:br w:type="page"/>
            </w:r>
            <w:r>
              <w:rPr>
                <w:rFonts w:hint="eastAsia" w:ascii="宋体" w:hAnsi="宋体" w:eastAsia="宋体" w:cs="宋体"/>
                <w:color w:val="000000"/>
                <w:kern w:val="0"/>
                <w:sz w:val="24"/>
              </w:rPr>
              <w:t>部门名称</w:t>
            </w:r>
          </w:p>
        </w:tc>
        <w:tc>
          <w:tcPr>
            <w:tcW w:w="7931" w:type="dxa"/>
            <w:gridSpan w:val="7"/>
            <w:tcBorders>
              <w:top w:val="single" w:color="000000" w:sz="4" w:space="0"/>
              <w:left w:val="single" w:color="000000" w:sz="4" w:space="0"/>
              <w:bottom w:val="single" w:color="000000" w:sz="4" w:space="0"/>
              <w:right w:val="single" w:color="000000" w:sz="4" w:space="0"/>
            </w:tcBorders>
            <w:noWrap/>
            <w:vAlign w:val="center"/>
          </w:tcPr>
          <w:p w14:paraId="0336F9CF">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中共茂县县委办公室</w:t>
            </w:r>
          </w:p>
        </w:tc>
      </w:tr>
      <w:tr w14:paraId="7556D784">
        <w:tblPrEx>
          <w:tblCellMar>
            <w:top w:w="0" w:type="dxa"/>
            <w:left w:w="108" w:type="dxa"/>
            <w:bottom w:w="0" w:type="dxa"/>
            <w:right w:w="108" w:type="dxa"/>
          </w:tblCellMar>
        </w:tblPrEx>
        <w:trPr>
          <w:trHeight w:val="239" w:hRule="atLeast"/>
          <w:jc w:val="center"/>
        </w:trPr>
        <w:tc>
          <w:tcPr>
            <w:tcW w:w="1727" w:type="dxa"/>
            <w:gridSpan w:val="3"/>
            <w:tcBorders>
              <w:top w:val="single" w:color="auto" w:sz="4" w:space="0"/>
              <w:left w:val="single" w:color="auto" w:sz="4" w:space="0"/>
              <w:bottom w:val="single" w:color="auto" w:sz="4" w:space="0"/>
              <w:right w:val="single" w:color="auto" w:sz="4" w:space="0"/>
            </w:tcBorders>
            <w:noWrap/>
            <w:vAlign w:val="center"/>
          </w:tcPr>
          <w:p w14:paraId="558C35F1">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年度部门整体预算</w:t>
            </w:r>
          </w:p>
        </w:tc>
        <w:tc>
          <w:tcPr>
            <w:tcW w:w="2049" w:type="dxa"/>
            <w:gridSpan w:val="2"/>
            <w:tcBorders>
              <w:top w:val="single" w:color="000000" w:sz="4" w:space="0"/>
              <w:left w:val="single" w:color="auto" w:sz="4" w:space="0"/>
              <w:bottom w:val="single" w:color="000000" w:sz="4" w:space="0"/>
              <w:right w:val="single" w:color="auto" w:sz="4" w:space="0"/>
            </w:tcBorders>
            <w:noWrap/>
            <w:vAlign w:val="center"/>
          </w:tcPr>
          <w:p w14:paraId="13BD9700">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资金总额</w:t>
            </w:r>
          </w:p>
        </w:tc>
        <w:tc>
          <w:tcPr>
            <w:tcW w:w="1795" w:type="dxa"/>
            <w:gridSpan w:val="2"/>
            <w:tcBorders>
              <w:top w:val="single" w:color="auto" w:sz="4" w:space="0"/>
              <w:left w:val="single" w:color="auto" w:sz="4" w:space="0"/>
              <w:bottom w:val="single" w:color="auto" w:sz="4" w:space="0"/>
              <w:right w:val="single" w:color="auto" w:sz="4" w:space="0"/>
            </w:tcBorders>
            <w:noWrap/>
            <w:vAlign w:val="center"/>
          </w:tcPr>
          <w:p w14:paraId="67CBBAF0">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财政拨款</w:t>
            </w:r>
          </w:p>
        </w:tc>
        <w:tc>
          <w:tcPr>
            <w:tcW w:w="4087" w:type="dxa"/>
            <w:gridSpan w:val="3"/>
            <w:tcBorders>
              <w:top w:val="single" w:color="auto" w:sz="4" w:space="0"/>
              <w:left w:val="single" w:color="auto" w:sz="4" w:space="0"/>
              <w:bottom w:val="single" w:color="auto" w:sz="4" w:space="0"/>
              <w:right w:val="single" w:color="auto" w:sz="4" w:space="0"/>
            </w:tcBorders>
            <w:noWrap/>
            <w:vAlign w:val="center"/>
          </w:tcPr>
          <w:p w14:paraId="23AF4F96">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其他资金</w:t>
            </w:r>
          </w:p>
        </w:tc>
      </w:tr>
      <w:tr w14:paraId="492BF0C3">
        <w:tblPrEx>
          <w:tblCellMar>
            <w:top w:w="0" w:type="dxa"/>
            <w:left w:w="108" w:type="dxa"/>
            <w:bottom w:w="0" w:type="dxa"/>
            <w:right w:w="108" w:type="dxa"/>
          </w:tblCellMar>
        </w:tblPrEx>
        <w:trPr>
          <w:trHeight w:val="239" w:hRule="atLeast"/>
          <w:jc w:val="center"/>
        </w:trPr>
        <w:tc>
          <w:tcPr>
            <w:tcW w:w="1727" w:type="dxa"/>
            <w:gridSpan w:val="3"/>
            <w:tcBorders>
              <w:top w:val="single" w:color="auto" w:sz="4" w:space="0"/>
              <w:left w:val="single" w:color="auto" w:sz="4" w:space="0"/>
              <w:bottom w:val="single" w:color="auto" w:sz="4" w:space="0"/>
              <w:right w:val="single" w:color="auto" w:sz="4" w:space="0"/>
            </w:tcBorders>
            <w:noWrap/>
            <w:vAlign w:val="center"/>
          </w:tcPr>
          <w:p w14:paraId="5730029B">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收入预算</w:t>
            </w:r>
          </w:p>
        </w:tc>
        <w:tc>
          <w:tcPr>
            <w:tcW w:w="2049" w:type="dxa"/>
            <w:gridSpan w:val="2"/>
            <w:tcBorders>
              <w:top w:val="single" w:color="000000" w:sz="4" w:space="0"/>
              <w:left w:val="single" w:color="auto" w:sz="4" w:space="0"/>
              <w:bottom w:val="single" w:color="000000" w:sz="4" w:space="0"/>
              <w:right w:val="single" w:color="auto" w:sz="4" w:space="0"/>
            </w:tcBorders>
            <w:noWrap/>
            <w:vAlign w:val="center"/>
          </w:tcPr>
          <w:p w14:paraId="22EA364C">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974.13</w:t>
            </w:r>
          </w:p>
        </w:tc>
        <w:tc>
          <w:tcPr>
            <w:tcW w:w="1795" w:type="dxa"/>
            <w:gridSpan w:val="2"/>
            <w:tcBorders>
              <w:top w:val="single" w:color="auto" w:sz="4" w:space="0"/>
              <w:left w:val="single" w:color="auto" w:sz="4" w:space="0"/>
              <w:bottom w:val="single" w:color="auto" w:sz="4" w:space="0"/>
              <w:right w:val="single" w:color="auto" w:sz="4" w:space="0"/>
            </w:tcBorders>
            <w:noWrap/>
            <w:vAlign w:val="center"/>
          </w:tcPr>
          <w:p w14:paraId="79C59C2C">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974.13</w:t>
            </w:r>
          </w:p>
        </w:tc>
        <w:tc>
          <w:tcPr>
            <w:tcW w:w="4087" w:type="dxa"/>
            <w:gridSpan w:val="3"/>
            <w:tcBorders>
              <w:top w:val="single" w:color="auto" w:sz="4" w:space="0"/>
              <w:left w:val="single" w:color="auto" w:sz="4" w:space="0"/>
              <w:bottom w:val="single" w:color="auto" w:sz="4" w:space="0"/>
              <w:right w:val="single" w:color="auto" w:sz="4" w:space="0"/>
            </w:tcBorders>
            <w:noWrap/>
            <w:vAlign w:val="center"/>
          </w:tcPr>
          <w:p w14:paraId="630BF243">
            <w:pPr>
              <w:widowControl/>
              <w:spacing w:line="240" w:lineRule="exact"/>
              <w:jc w:val="center"/>
              <w:textAlignment w:val="center"/>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val="en-US" w:eastAsia="zh-CN"/>
              </w:rPr>
              <w:t>0</w:t>
            </w:r>
          </w:p>
        </w:tc>
      </w:tr>
      <w:tr w14:paraId="6BA04BDC">
        <w:tblPrEx>
          <w:tblCellMar>
            <w:top w:w="0" w:type="dxa"/>
            <w:left w:w="108" w:type="dxa"/>
            <w:bottom w:w="0" w:type="dxa"/>
            <w:right w:w="108" w:type="dxa"/>
          </w:tblCellMar>
        </w:tblPrEx>
        <w:trPr>
          <w:trHeight w:val="296" w:hRule="atLeast"/>
          <w:jc w:val="center"/>
        </w:trPr>
        <w:tc>
          <w:tcPr>
            <w:tcW w:w="1727" w:type="dxa"/>
            <w:gridSpan w:val="3"/>
            <w:tcBorders>
              <w:top w:val="single" w:color="auto" w:sz="4" w:space="0"/>
              <w:left w:val="single" w:color="auto" w:sz="4" w:space="0"/>
              <w:bottom w:val="single" w:color="auto" w:sz="4" w:space="0"/>
              <w:right w:val="single" w:color="auto" w:sz="4" w:space="0"/>
            </w:tcBorders>
            <w:noWrap/>
            <w:vAlign w:val="center"/>
          </w:tcPr>
          <w:p w14:paraId="73E47D52">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支出预算</w:t>
            </w:r>
          </w:p>
        </w:tc>
        <w:tc>
          <w:tcPr>
            <w:tcW w:w="2049" w:type="dxa"/>
            <w:gridSpan w:val="2"/>
            <w:tcBorders>
              <w:top w:val="single" w:color="000000" w:sz="4" w:space="0"/>
              <w:left w:val="single" w:color="auto" w:sz="4" w:space="0"/>
              <w:bottom w:val="single" w:color="000000" w:sz="4" w:space="0"/>
              <w:right w:val="single" w:color="000000" w:sz="4" w:space="0"/>
            </w:tcBorders>
            <w:noWrap/>
            <w:vAlign w:val="center"/>
          </w:tcPr>
          <w:p w14:paraId="2F9FACF6">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974.13</w:t>
            </w:r>
          </w:p>
        </w:tc>
        <w:tc>
          <w:tcPr>
            <w:tcW w:w="1795" w:type="dxa"/>
            <w:gridSpan w:val="2"/>
            <w:tcBorders>
              <w:top w:val="single" w:color="auto" w:sz="4" w:space="0"/>
              <w:left w:val="single" w:color="000000" w:sz="4" w:space="0"/>
              <w:bottom w:val="single" w:color="000000" w:sz="4" w:space="0"/>
              <w:right w:val="single" w:color="000000" w:sz="4" w:space="0"/>
            </w:tcBorders>
            <w:noWrap/>
            <w:vAlign w:val="center"/>
          </w:tcPr>
          <w:p w14:paraId="5D072415">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974.13</w:t>
            </w:r>
          </w:p>
        </w:tc>
        <w:tc>
          <w:tcPr>
            <w:tcW w:w="4087" w:type="dxa"/>
            <w:gridSpan w:val="3"/>
            <w:tcBorders>
              <w:top w:val="single" w:color="auto" w:sz="4" w:space="0"/>
              <w:left w:val="single" w:color="000000" w:sz="4" w:space="0"/>
              <w:bottom w:val="single" w:color="000000" w:sz="4" w:space="0"/>
              <w:right w:val="single" w:color="000000" w:sz="4" w:space="0"/>
            </w:tcBorders>
            <w:noWrap/>
            <w:vAlign w:val="center"/>
          </w:tcPr>
          <w:p w14:paraId="7E9E8847">
            <w:pPr>
              <w:widowControl/>
              <w:spacing w:line="240" w:lineRule="exact"/>
              <w:jc w:val="center"/>
              <w:textAlignment w:val="center"/>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val="en-US" w:eastAsia="zh-CN"/>
              </w:rPr>
              <w:t>0</w:t>
            </w:r>
          </w:p>
        </w:tc>
      </w:tr>
      <w:tr w14:paraId="15050828">
        <w:tblPrEx>
          <w:tblCellMar>
            <w:top w:w="0" w:type="dxa"/>
            <w:left w:w="108" w:type="dxa"/>
            <w:bottom w:w="0" w:type="dxa"/>
            <w:right w:w="108" w:type="dxa"/>
          </w:tblCellMar>
        </w:tblPrEx>
        <w:trPr>
          <w:trHeight w:val="296" w:hRule="atLeast"/>
          <w:jc w:val="center"/>
        </w:trPr>
        <w:tc>
          <w:tcPr>
            <w:tcW w:w="1727" w:type="dxa"/>
            <w:gridSpan w:val="3"/>
            <w:tcBorders>
              <w:top w:val="single" w:color="auto" w:sz="4" w:space="0"/>
              <w:left w:val="single" w:color="000000" w:sz="4" w:space="0"/>
              <w:bottom w:val="single" w:color="000000" w:sz="4" w:space="0"/>
              <w:right w:val="single" w:color="000000" w:sz="4" w:space="0"/>
            </w:tcBorders>
            <w:noWrap/>
            <w:vAlign w:val="center"/>
          </w:tcPr>
          <w:p w14:paraId="1FAB6DD6">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年度总体目标</w:t>
            </w:r>
          </w:p>
        </w:tc>
        <w:tc>
          <w:tcPr>
            <w:tcW w:w="7931" w:type="dxa"/>
            <w:gridSpan w:val="7"/>
            <w:tcBorders>
              <w:top w:val="single" w:color="000000" w:sz="4" w:space="0"/>
              <w:left w:val="single" w:color="000000" w:sz="4" w:space="0"/>
              <w:bottom w:val="single" w:color="000000" w:sz="4" w:space="0"/>
              <w:right w:val="single" w:color="000000" w:sz="4" w:space="0"/>
            </w:tcBorders>
            <w:noWrap/>
            <w:vAlign w:val="center"/>
          </w:tcPr>
          <w:p w14:paraId="17F95F5A">
            <w:pPr>
              <w:widowControl/>
              <w:spacing w:line="240" w:lineRule="exact"/>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1"/>
                <w:szCs w:val="11"/>
              </w:rPr>
              <w:t>1</w:t>
            </w:r>
            <w:r>
              <w:rPr>
                <w:rFonts w:hint="eastAsia" w:ascii="宋体" w:hAnsi="宋体" w:eastAsia="宋体" w:cs="宋体"/>
                <w:color w:val="000000"/>
                <w:kern w:val="0"/>
                <w:sz w:val="18"/>
                <w:szCs w:val="18"/>
              </w:rPr>
              <w:t>.用于保障职工的基本工资福利、保险、年金等</w:t>
            </w:r>
          </w:p>
          <w:p w14:paraId="2E7D15AE">
            <w:pPr>
              <w:widowControl/>
              <w:spacing w:line="240" w:lineRule="exact"/>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和单位的正常日常公用经费开支</w:t>
            </w:r>
          </w:p>
          <w:p w14:paraId="1C67B1D7">
            <w:pPr>
              <w:widowControl/>
              <w:spacing w:line="240" w:lineRule="exact"/>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保障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14:paraId="4A622BFE">
            <w:pPr>
              <w:widowControl/>
              <w:spacing w:line="240" w:lineRule="exact"/>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3.保障围绕中央、省委和州委重要决策以及县委总体工作部署，开展调研，并负责信息的收集、综合和报送工作。</w:t>
            </w:r>
          </w:p>
          <w:p w14:paraId="066DA341">
            <w:pPr>
              <w:widowControl/>
              <w:spacing w:line="240" w:lineRule="exact"/>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4.保障县委常委会议、书记办公会议、县党代会、县委全委会、县委工作会、全县领导干部会等会议的会务工作，负责县委领导参加重要公务活动的组织安排。</w:t>
            </w:r>
          </w:p>
          <w:p w14:paraId="740B8CA3">
            <w:pPr>
              <w:widowControl/>
              <w:spacing w:line="240" w:lineRule="exact"/>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5.保障县委重要工作部署贯彻落实的督促检查，负责县委指示、县委领导批示的转达和催办落实。</w:t>
            </w:r>
          </w:p>
          <w:p w14:paraId="3C069714">
            <w:pPr>
              <w:widowControl/>
              <w:spacing w:line="240" w:lineRule="exact"/>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6.保障县保密委员会及其办公室的日常工作。</w:t>
            </w:r>
          </w:p>
          <w:p w14:paraId="297969D4">
            <w:pPr>
              <w:widowControl/>
              <w:spacing w:line="240" w:lineRule="exact"/>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7.保障管理县委密码局工作。</w:t>
            </w:r>
          </w:p>
          <w:p w14:paraId="17DD0000">
            <w:pPr>
              <w:widowControl/>
              <w:spacing w:line="240" w:lineRule="exact"/>
              <w:jc w:val="left"/>
              <w:textAlignment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8.完成县委和县委领导交办的其他工作任务。</w:t>
            </w:r>
          </w:p>
          <w:p w14:paraId="26263DCB">
            <w:pPr>
              <w:widowControl/>
              <w:spacing w:line="240" w:lineRule="exact"/>
              <w:jc w:val="left"/>
              <w:textAlignment w:val="center"/>
              <w:rPr>
                <w:rFonts w:ascii="宋体" w:hAnsi="宋体" w:eastAsia="宋体" w:cs="宋体"/>
                <w:color w:val="000000"/>
                <w:kern w:val="0"/>
                <w:sz w:val="24"/>
              </w:rPr>
            </w:pPr>
            <w:r>
              <w:rPr>
                <w:rFonts w:hint="eastAsia" w:ascii="宋体" w:hAnsi="宋体" w:eastAsia="宋体" w:cs="宋体"/>
                <w:color w:val="000000"/>
                <w:kern w:val="0"/>
                <w:sz w:val="18"/>
                <w:szCs w:val="18"/>
              </w:rPr>
              <w:t>9.用于驻村工作队的乡镇和临岗补贴，保障工作队员生活，有利于驻村工作的落实和顺利开展。</w:t>
            </w:r>
          </w:p>
        </w:tc>
      </w:tr>
      <w:tr w14:paraId="59F0D2C9">
        <w:tblPrEx>
          <w:tblCellMar>
            <w:top w:w="0" w:type="dxa"/>
            <w:left w:w="108" w:type="dxa"/>
            <w:bottom w:w="0" w:type="dxa"/>
            <w:right w:w="108" w:type="dxa"/>
          </w:tblCellMar>
        </w:tblPrEx>
        <w:trPr>
          <w:trHeight w:val="296" w:hRule="atLeast"/>
          <w:jc w:val="center"/>
        </w:trPr>
        <w:tc>
          <w:tcPr>
            <w:tcW w:w="331" w:type="dxa"/>
            <w:vMerge w:val="restart"/>
            <w:tcBorders>
              <w:top w:val="single" w:color="000000" w:sz="4" w:space="0"/>
              <w:left w:val="single" w:color="000000" w:sz="4" w:space="0"/>
              <w:bottom w:val="single" w:color="000000" w:sz="4" w:space="0"/>
              <w:right w:val="single" w:color="000000" w:sz="4" w:space="0"/>
            </w:tcBorders>
            <w:noWrap/>
            <w:vAlign w:val="center"/>
          </w:tcPr>
          <w:p w14:paraId="0C6B0809">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管理效率</w:t>
            </w: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14:paraId="2573CB31">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一级指标</w:t>
            </w:r>
          </w:p>
        </w:tc>
        <w:tc>
          <w:tcPr>
            <w:tcW w:w="803" w:type="dxa"/>
            <w:vMerge w:val="restart"/>
            <w:tcBorders>
              <w:top w:val="single" w:color="000000" w:sz="4" w:space="0"/>
              <w:left w:val="single" w:color="000000" w:sz="4" w:space="0"/>
              <w:bottom w:val="single" w:color="000000" w:sz="4" w:space="0"/>
              <w:right w:val="single" w:color="000000" w:sz="4" w:space="0"/>
            </w:tcBorders>
            <w:noWrap/>
            <w:vAlign w:val="center"/>
          </w:tcPr>
          <w:p w14:paraId="2E6CC857">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二级指标</w:t>
            </w:r>
          </w:p>
        </w:tc>
        <w:tc>
          <w:tcPr>
            <w:tcW w:w="1246" w:type="dxa"/>
            <w:vMerge w:val="restart"/>
            <w:tcBorders>
              <w:top w:val="single" w:color="000000" w:sz="4" w:space="0"/>
              <w:left w:val="single" w:color="000000" w:sz="4" w:space="0"/>
              <w:bottom w:val="single" w:color="000000" w:sz="4" w:space="0"/>
              <w:right w:val="single" w:color="000000" w:sz="4" w:space="0"/>
            </w:tcBorders>
            <w:noWrap/>
            <w:vAlign w:val="center"/>
          </w:tcPr>
          <w:p w14:paraId="1CD866D9">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三级指标</w:t>
            </w:r>
          </w:p>
        </w:tc>
        <w:tc>
          <w:tcPr>
            <w:tcW w:w="803" w:type="dxa"/>
            <w:vMerge w:val="restart"/>
            <w:tcBorders>
              <w:top w:val="single" w:color="000000" w:sz="4" w:space="0"/>
              <w:left w:val="single" w:color="000000" w:sz="4" w:space="0"/>
              <w:bottom w:val="single" w:color="000000" w:sz="4" w:space="0"/>
              <w:right w:val="single" w:color="000000" w:sz="4" w:space="0"/>
            </w:tcBorders>
            <w:noWrap/>
            <w:vAlign w:val="center"/>
          </w:tcPr>
          <w:p w14:paraId="2A63D05F">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指标值</w:t>
            </w:r>
          </w:p>
        </w:tc>
        <w:tc>
          <w:tcPr>
            <w:tcW w:w="3951" w:type="dxa"/>
            <w:gridSpan w:val="4"/>
            <w:tcBorders>
              <w:top w:val="single" w:color="000000" w:sz="4" w:space="0"/>
              <w:left w:val="single" w:color="000000" w:sz="4" w:space="0"/>
              <w:bottom w:val="single" w:color="000000" w:sz="4" w:space="0"/>
              <w:right w:val="single" w:color="000000" w:sz="4" w:space="0"/>
            </w:tcBorders>
            <w:noWrap/>
            <w:vAlign w:val="center"/>
          </w:tcPr>
          <w:p w14:paraId="585A9DF4">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指标设置参考值</w:t>
            </w:r>
          </w:p>
        </w:tc>
        <w:tc>
          <w:tcPr>
            <w:tcW w:w="1931" w:type="dxa"/>
            <w:vMerge w:val="restart"/>
            <w:tcBorders>
              <w:top w:val="single" w:color="000000" w:sz="4" w:space="0"/>
              <w:left w:val="single" w:color="000000" w:sz="4" w:space="0"/>
              <w:right w:val="single" w:color="000000" w:sz="4" w:space="0"/>
            </w:tcBorders>
            <w:noWrap/>
            <w:vAlign w:val="center"/>
          </w:tcPr>
          <w:p w14:paraId="6B173535">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指标实际完成值</w:t>
            </w:r>
          </w:p>
        </w:tc>
      </w:tr>
      <w:tr w14:paraId="39543385">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3DD5A519">
            <w:pPr>
              <w:widowControl/>
              <w:spacing w:line="240" w:lineRule="exact"/>
              <w:jc w:val="center"/>
              <w:textAlignment w:val="center"/>
              <w:rPr>
                <w:rFonts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31332A8C">
            <w:pPr>
              <w:widowControl/>
              <w:spacing w:line="240" w:lineRule="exact"/>
              <w:jc w:val="center"/>
              <w:textAlignment w:val="center"/>
              <w:rPr>
                <w:rFonts w:ascii="宋体" w:hAnsi="宋体" w:eastAsia="宋体" w:cs="宋体"/>
                <w:color w:val="000000"/>
                <w:kern w:val="0"/>
                <w:sz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057DA8BD">
            <w:pPr>
              <w:widowControl/>
              <w:spacing w:line="240" w:lineRule="exact"/>
              <w:jc w:val="center"/>
              <w:textAlignment w:val="center"/>
              <w:rPr>
                <w:rFonts w:ascii="宋体" w:hAnsi="宋体" w:eastAsia="宋体" w:cs="宋体"/>
                <w:color w:val="000000"/>
                <w:kern w:val="0"/>
                <w:sz w:val="24"/>
              </w:rPr>
            </w:pPr>
          </w:p>
        </w:tc>
        <w:tc>
          <w:tcPr>
            <w:tcW w:w="1246" w:type="dxa"/>
            <w:vMerge w:val="continue"/>
            <w:tcBorders>
              <w:top w:val="single" w:color="000000" w:sz="4" w:space="0"/>
              <w:left w:val="single" w:color="000000" w:sz="4" w:space="0"/>
              <w:bottom w:val="single" w:color="000000" w:sz="4" w:space="0"/>
              <w:right w:val="single" w:color="000000" w:sz="4" w:space="0"/>
            </w:tcBorders>
            <w:noWrap/>
            <w:vAlign w:val="center"/>
          </w:tcPr>
          <w:p w14:paraId="3796F400">
            <w:pPr>
              <w:widowControl/>
              <w:spacing w:line="240" w:lineRule="exact"/>
              <w:jc w:val="center"/>
              <w:textAlignment w:val="center"/>
              <w:rPr>
                <w:rFonts w:ascii="宋体" w:hAnsi="宋体" w:eastAsia="宋体" w:cs="宋体"/>
                <w:color w:val="000000"/>
                <w:kern w:val="0"/>
                <w:sz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45DB123A">
            <w:pPr>
              <w:widowControl/>
              <w:spacing w:line="240" w:lineRule="exact"/>
              <w:jc w:val="center"/>
              <w:textAlignment w:val="center"/>
              <w:rPr>
                <w:rFonts w:ascii="宋体" w:hAnsi="宋体" w:eastAsia="宋体" w:cs="宋体"/>
                <w:color w:val="000000"/>
                <w:kern w:val="0"/>
                <w:sz w:val="24"/>
              </w:rPr>
            </w:pPr>
          </w:p>
        </w:tc>
        <w:tc>
          <w:tcPr>
            <w:tcW w:w="777" w:type="dxa"/>
            <w:tcBorders>
              <w:top w:val="single" w:color="000000" w:sz="4" w:space="0"/>
              <w:left w:val="single" w:color="000000" w:sz="4" w:space="0"/>
              <w:right w:val="single" w:color="000000" w:sz="4" w:space="0"/>
            </w:tcBorders>
            <w:noWrap/>
            <w:vAlign w:val="center"/>
          </w:tcPr>
          <w:p w14:paraId="69E2A6DF">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三年</w:t>
            </w:r>
          </w:p>
          <w:p w14:paraId="6A5CBA9D">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均值</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11D95B9E">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2023</w:t>
            </w:r>
            <w:r>
              <w:rPr>
                <w:rFonts w:ascii="宋体" w:hAnsi="宋体" w:eastAsia="宋体" w:cs="宋体"/>
                <w:color w:val="000000"/>
                <w:kern w:val="0"/>
                <w:sz w:val="24"/>
              </w:rPr>
              <w:t>年</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3D16608D">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2024</w:t>
            </w:r>
            <w:r>
              <w:rPr>
                <w:rFonts w:ascii="宋体" w:hAnsi="宋体" w:eastAsia="宋体" w:cs="宋体"/>
                <w:color w:val="000000"/>
                <w:kern w:val="0"/>
                <w:sz w:val="24"/>
              </w:rPr>
              <w:t>年</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6808C066">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2025</w:t>
            </w:r>
            <w:r>
              <w:rPr>
                <w:rFonts w:ascii="宋体" w:hAnsi="宋体" w:eastAsia="宋体" w:cs="宋体"/>
                <w:color w:val="000000"/>
                <w:kern w:val="0"/>
                <w:sz w:val="24"/>
              </w:rPr>
              <w:t>年</w:t>
            </w:r>
          </w:p>
        </w:tc>
        <w:tc>
          <w:tcPr>
            <w:tcW w:w="1931" w:type="dxa"/>
            <w:vMerge w:val="continue"/>
            <w:tcBorders>
              <w:left w:val="single" w:color="000000" w:sz="4" w:space="0"/>
              <w:right w:val="single" w:color="000000" w:sz="4" w:space="0"/>
            </w:tcBorders>
            <w:noWrap/>
            <w:vAlign w:val="center"/>
          </w:tcPr>
          <w:p w14:paraId="7B5F9A45">
            <w:pPr>
              <w:widowControl/>
              <w:spacing w:line="240" w:lineRule="exact"/>
              <w:jc w:val="center"/>
              <w:textAlignment w:val="center"/>
              <w:rPr>
                <w:rFonts w:ascii="宋体" w:hAnsi="宋体" w:eastAsia="宋体" w:cs="宋体"/>
                <w:color w:val="000000"/>
                <w:kern w:val="0"/>
                <w:sz w:val="24"/>
              </w:rPr>
            </w:pPr>
          </w:p>
        </w:tc>
      </w:tr>
      <w:tr w14:paraId="5983B000">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5E1D3D0D">
            <w:pPr>
              <w:widowControl/>
              <w:spacing w:line="240" w:lineRule="exact"/>
              <w:jc w:val="center"/>
              <w:textAlignment w:val="center"/>
              <w:rPr>
                <w:rFonts w:ascii="宋体" w:hAnsi="宋体" w:eastAsia="宋体" w:cs="宋体"/>
                <w:color w:val="000000"/>
                <w:kern w:val="0"/>
                <w:sz w:val="24"/>
              </w:rPr>
            </w:pP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14:paraId="765B95A3">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成本指标</w:t>
            </w:r>
          </w:p>
        </w:tc>
        <w:tc>
          <w:tcPr>
            <w:tcW w:w="803" w:type="dxa"/>
            <w:vMerge w:val="restart"/>
            <w:tcBorders>
              <w:top w:val="single" w:color="000000" w:sz="4" w:space="0"/>
              <w:left w:val="single" w:color="000000" w:sz="4" w:space="0"/>
              <w:bottom w:val="single" w:color="000000" w:sz="4" w:space="0"/>
              <w:right w:val="single" w:color="000000" w:sz="4" w:space="0"/>
            </w:tcBorders>
            <w:noWrap/>
            <w:vAlign w:val="center"/>
          </w:tcPr>
          <w:p w14:paraId="43AEF71E">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预算管理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6AF684E8">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财政拨款</w:t>
            </w:r>
            <w:r>
              <w:rPr>
                <w:rFonts w:ascii="宋体" w:hAnsi="宋体" w:eastAsia="宋体" w:cs="宋体"/>
                <w:color w:val="000000"/>
                <w:kern w:val="0"/>
                <w:sz w:val="24"/>
              </w:rPr>
              <w:t>预算编制偏离度</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EC0961A">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50.39</w:t>
            </w:r>
            <w:r>
              <w:rPr>
                <w:rFonts w:hint="eastAsia" w:ascii="宋体" w:hAnsi="宋体" w:eastAsia="宋体" w:cs="宋体"/>
                <w:color w:val="000000"/>
                <w:kern w:val="0"/>
                <w:sz w:val="24"/>
              </w:rPr>
              <w:t>%</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1DD5EA93">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50.39</w:t>
            </w:r>
            <w:r>
              <w:rPr>
                <w:rFonts w:ascii="宋体" w:hAnsi="宋体" w:eastAsia="宋体" w:cs="宋体"/>
                <w:color w:val="000000"/>
                <w:kern w:val="0"/>
                <w:sz w:val="24"/>
              </w:rPr>
              <w:t>%</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418B5187">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37%</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11A04EA4">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8%</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01DD06AA">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106.17%</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6E358DA2">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106.17%</w:t>
            </w:r>
          </w:p>
        </w:tc>
      </w:tr>
      <w:tr w14:paraId="4366AE9D">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6FC3A8C4">
            <w:pPr>
              <w:widowControl/>
              <w:spacing w:line="240" w:lineRule="exact"/>
              <w:jc w:val="center"/>
              <w:textAlignment w:val="center"/>
              <w:rPr>
                <w:rFonts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0F35E177">
            <w:pPr>
              <w:widowControl/>
              <w:spacing w:line="240" w:lineRule="exact"/>
              <w:jc w:val="center"/>
              <w:textAlignment w:val="center"/>
              <w:rPr>
                <w:rFonts w:ascii="宋体" w:hAnsi="宋体" w:eastAsia="宋体" w:cs="宋体"/>
                <w:color w:val="000000"/>
                <w:kern w:val="0"/>
                <w:sz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5F3DCE1B">
            <w:pPr>
              <w:widowControl/>
              <w:spacing w:line="240" w:lineRule="exact"/>
              <w:jc w:val="center"/>
              <w:textAlignment w:val="center"/>
              <w:rPr>
                <w:rFonts w:ascii="宋体" w:hAnsi="宋体" w:eastAsia="宋体" w:cs="宋体"/>
                <w:color w:val="000000"/>
                <w:kern w:val="0"/>
                <w:sz w:val="24"/>
              </w:rPr>
            </w:pP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06D8B615">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单位收入统筹度</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56CD2915">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34B340C2">
            <w:pPr>
              <w:widowControl/>
              <w:spacing w:line="240" w:lineRule="exact"/>
              <w:jc w:val="center"/>
              <w:textAlignment w:val="center"/>
              <w:rPr>
                <w:rFonts w:ascii="宋体" w:hAnsi="宋体" w:eastAsia="宋体" w:cs="宋体"/>
                <w:color w:val="000000"/>
                <w:kern w:val="0"/>
                <w:sz w:val="24"/>
              </w:rPr>
            </w:pP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2C20A346">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033A2A02">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0%</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716A32FF">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0%</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7DCCD836">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0%</w:t>
            </w:r>
          </w:p>
        </w:tc>
      </w:tr>
      <w:tr w14:paraId="62189988">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1C879211">
            <w:pPr>
              <w:widowControl/>
              <w:spacing w:line="240" w:lineRule="exact"/>
              <w:jc w:val="center"/>
              <w:textAlignment w:val="center"/>
              <w:rPr>
                <w:rFonts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6856009A">
            <w:pPr>
              <w:widowControl/>
              <w:spacing w:line="240" w:lineRule="exact"/>
              <w:jc w:val="center"/>
              <w:textAlignment w:val="center"/>
              <w:rPr>
                <w:rFonts w:ascii="宋体" w:hAnsi="宋体" w:eastAsia="宋体" w:cs="宋体"/>
                <w:color w:val="000000"/>
                <w:kern w:val="0"/>
                <w:sz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608D5949">
            <w:pPr>
              <w:widowControl/>
              <w:spacing w:line="240" w:lineRule="exact"/>
              <w:jc w:val="center"/>
              <w:textAlignment w:val="center"/>
              <w:rPr>
                <w:rFonts w:ascii="宋体" w:hAnsi="宋体" w:eastAsia="宋体" w:cs="宋体"/>
                <w:color w:val="000000"/>
                <w:kern w:val="0"/>
                <w:sz w:val="24"/>
              </w:rPr>
            </w:pP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7615C339">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预算年终结余</w:t>
            </w:r>
            <w:r>
              <w:rPr>
                <w:rFonts w:ascii="宋体" w:hAnsi="宋体" w:eastAsia="宋体" w:cs="宋体"/>
                <w:color w:val="000000"/>
                <w:kern w:val="0"/>
                <w:sz w:val="24"/>
              </w:rPr>
              <w:t>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4C6099B">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20.45</w:t>
            </w:r>
            <w:r>
              <w:rPr>
                <w:rFonts w:hint="eastAsia" w:ascii="宋体" w:hAnsi="宋体" w:eastAsia="宋体" w:cs="宋体"/>
                <w:color w:val="000000"/>
                <w:kern w:val="0"/>
                <w:sz w:val="24"/>
              </w:rPr>
              <w:t>%</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703F7332">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20.45</w:t>
            </w:r>
            <w:r>
              <w:rPr>
                <w:rFonts w:ascii="宋体" w:hAnsi="宋体" w:eastAsia="宋体" w:cs="宋体"/>
                <w:color w:val="000000"/>
                <w:kern w:val="0"/>
                <w:sz w:val="24"/>
              </w:rPr>
              <w:t>%</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27DB912C">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17%</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45B7D340">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2.8%</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7A182CE7">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41.55%</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72AF36D1">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41.55%</w:t>
            </w:r>
          </w:p>
        </w:tc>
      </w:tr>
      <w:tr w14:paraId="6BF1DCBE">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104C3F7A">
            <w:pPr>
              <w:widowControl/>
              <w:spacing w:line="240" w:lineRule="exact"/>
              <w:jc w:val="center"/>
              <w:textAlignment w:val="center"/>
              <w:rPr>
                <w:rFonts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2BED5555">
            <w:pPr>
              <w:widowControl/>
              <w:spacing w:line="240" w:lineRule="exact"/>
              <w:jc w:val="center"/>
              <w:textAlignment w:val="center"/>
              <w:rPr>
                <w:rFonts w:ascii="宋体" w:hAnsi="宋体" w:eastAsia="宋体" w:cs="宋体"/>
                <w:color w:val="000000"/>
                <w:kern w:val="0"/>
                <w:sz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3F7E1AB9">
            <w:pPr>
              <w:widowControl/>
              <w:spacing w:line="240" w:lineRule="exact"/>
              <w:jc w:val="center"/>
              <w:textAlignment w:val="center"/>
              <w:rPr>
                <w:rFonts w:ascii="宋体" w:hAnsi="宋体" w:eastAsia="宋体" w:cs="宋体"/>
                <w:color w:val="000000"/>
                <w:kern w:val="0"/>
                <w:sz w:val="24"/>
              </w:rPr>
            </w:pP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0DBD5D0F">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一般性支出</w:t>
            </w:r>
            <w:r>
              <w:rPr>
                <w:rFonts w:ascii="宋体" w:hAnsi="宋体" w:eastAsia="宋体" w:cs="宋体"/>
                <w:color w:val="000000"/>
                <w:kern w:val="0"/>
                <w:sz w:val="24"/>
              </w:rPr>
              <w:t>金额</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265F8DD">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86.1万元</w:t>
            </w:r>
          </w:p>
        </w:tc>
        <w:tc>
          <w:tcPr>
            <w:tcW w:w="3951" w:type="dxa"/>
            <w:gridSpan w:val="4"/>
            <w:tcBorders>
              <w:top w:val="single" w:color="000000" w:sz="4" w:space="0"/>
              <w:left w:val="single" w:color="000000" w:sz="4" w:space="0"/>
              <w:bottom w:val="single" w:color="000000" w:sz="4" w:space="0"/>
              <w:right w:val="single" w:color="000000" w:sz="4" w:space="0"/>
            </w:tcBorders>
            <w:noWrap/>
            <w:vAlign w:val="center"/>
          </w:tcPr>
          <w:p w14:paraId="65581233">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x</w:t>
            </w:r>
            <w:r>
              <w:rPr>
                <w:rFonts w:ascii="宋体" w:hAnsi="宋体" w:eastAsia="宋体" w:cs="宋体"/>
                <w:color w:val="000000"/>
                <w:kern w:val="0"/>
                <w:sz w:val="24"/>
              </w:rPr>
              <w:t>为上年一般性支出金额</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6C777BAB">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86.1万元</w:t>
            </w:r>
          </w:p>
        </w:tc>
      </w:tr>
      <w:tr w14:paraId="69C72AAE">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3C364C55">
            <w:pPr>
              <w:widowControl/>
              <w:spacing w:line="240" w:lineRule="exact"/>
              <w:jc w:val="center"/>
              <w:textAlignment w:val="center"/>
              <w:rPr>
                <w:rFonts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22618F9E">
            <w:pPr>
              <w:widowControl/>
              <w:spacing w:line="240" w:lineRule="exact"/>
              <w:jc w:val="center"/>
              <w:textAlignment w:val="center"/>
              <w:rPr>
                <w:rFonts w:ascii="宋体" w:hAnsi="宋体" w:eastAsia="宋体" w:cs="宋体"/>
                <w:color w:val="000000"/>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21F5916D">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财务管理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14907562">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财务管理规范</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7022DB1C">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优</w:t>
            </w:r>
          </w:p>
        </w:tc>
        <w:tc>
          <w:tcPr>
            <w:tcW w:w="3951" w:type="dxa"/>
            <w:gridSpan w:val="4"/>
            <w:tcBorders>
              <w:top w:val="single" w:color="000000" w:sz="4" w:space="0"/>
              <w:left w:val="single" w:color="000000" w:sz="4" w:space="0"/>
              <w:bottom w:val="single" w:color="000000" w:sz="4" w:space="0"/>
              <w:right w:val="single" w:color="000000" w:sz="4" w:space="0"/>
            </w:tcBorders>
            <w:noWrap/>
            <w:vAlign w:val="center"/>
          </w:tcPr>
          <w:p w14:paraId="7A0D0656">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x</w:t>
            </w:r>
            <w:r>
              <w:rPr>
                <w:rFonts w:ascii="宋体" w:hAnsi="宋体" w:eastAsia="宋体" w:cs="宋体"/>
                <w:color w:val="000000"/>
                <w:kern w:val="0"/>
                <w:sz w:val="24"/>
              </w:rPr>
              <w:t>为“优”“良”“中”或“差”</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3E88A3E6">
            <w:pPr>
              <w:widowControl/>
              <w:spacing w:line="240" w:lineRule="exact"/>
              <w:jc w:val="center"/>
              <w:textAlignment w:val="center"/>
              <w:rPr>
                <w:rFonts w:ascii="宋体" w:hAnsi="宋体" w:eastAsia="宋体" w:cs="宋体"/>
                <w:color w:val="000000"/>
                <w:kern w:val="0"/>
                <w:sz w:val="24"/>
              </w:rPr>
            </w:pPr>
            <w:r>
              <w:rPr>
                <w:rFonts w:ascii="宋体" w:hAnsi="宋体" w:eastAsia="宋体" w:cs="宋体"/>
                <w:color w:val="000000"/>
                <w:kern w:val="0"/>
                <w:sz w:val="24"/>
              </w:rPr>
              <w:t>优</w:t>
            </w:r>
          </w:p>
        </w:tc>
      </w:tr>
      <w:tr w14:paraId="6F1B8CDE">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3A083773">
            <w:pPr>
              <w:widowControl/>
              <w:spacing w:line="240" w:lineRule="exact"/>
              <w:jc w:val="center"/>
              <w:textAlignment w:val="center"/>
              <w:rPr>
                <w:rFonts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7857D69D">
            <w:pPr>
              <w:widowControl/>
              <w:spacing w:line="240" w:lineRule="exact"/>
              <w:jc w:val="center"/>
              <w:textAlignment w:val="center"/>
              <w:rPr>
                <w:rFonts w:ascii="宋体" w:hAnsi="宋体" w:eastAsia="宋体" w:cs="宋体"/>
                <w:color w:val="000000"/>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49542CEF">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资产管理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3F71E3F4">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资产配置预算偏离度</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2E416870">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0%</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66C57561">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0%</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7F772E29">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0%</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55C28AB0">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0%</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26FF1954">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D71B5">
            <w:pPr>
              <w:widowControl/>
              <w:spacing w:line="240" w:lineRule="exact"/>
              <w:jc w:val="center"/>
              <w:textAlignment w:val="center"/>
              <w:rPr>
                <w:rFonts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0%</w:t>
            </w:r>
          </w:p>
        </w:tc>
      </w:tr>
      <w:tr w14:paraId="1CD695BB">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3A551C0D">
            <w:pPr>
              <w:widowControl/>
              <w:spacing w:line="240" w:lineRule="exact"/>
              <w:jc w:val="center"/>
              <w:textAlignment w:val="center"/>
              <w:rPr>
                <w:rFonts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562C8A21">
            <w:pPr>
              <w:widowControl/>
              <w:spacing w:line="240" w:lineRule="exact"/>
              <w:jc w:val="center"/>
              <w:textAlignment w:val="center"/>
              <w:rPr>
                <w:rFonts w:ascii="宋体" w:hAnsi="宋体" w:eastAsia="宋体" w:cs="宋体"/>
                <w:color w:val="000000"/>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552659CD">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采购管理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4B15A681">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采购执行率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D22E143">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0%</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411B0334">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0%</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2ED790EA">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0%</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5581E76A">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0%</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42B3F764">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lang w:val="en-US" w:eastAsia="zh-CN"/>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78F7">
            <w:pPr>
              <w:widowControl/>
              <w:spacing w:line="240" w:lineRule="exact"/>
              <w:jc w:val="center"/>
              <w:textAlignment w:val="center"/>
              <w:rPr>
                <w:rFonts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lang w:val="en-US" w:eastAsia="zh-CN"/>
              </w:rPr>
              <w:t>0%</w:t>
            </w:r>
          </w:p>
        </w:tc>
      </w:tr>
      <w:tr w14:paraId="7D309138">
        <w:tblPrEx>
          <w:tblCellMar>
            <w:top w:w="0" w:type="dxa"/>
            <w:left w:w="108" w:type="dxa"/>
            <w:bottom w:w="0" w:type="dxa"/>
            <w:right w:w="108" w:type="dxa"/>
          </w:tblCellMar>
        </w:tblPrEx>
        <w:trPr>
          <w:trHeight w:val="468" w:hRule="atLeast"/>
          <w:jc w:val="center"/>
        </w:trPr>
        <w:tc>
          <w:tcPr>
            <w:tcW w:w="331" w:type="dxa"/>
            <w:vMerge w:val="restart"/>
            <w:tcBorders>
              <w:top w:val="single" w:color="000000" w:sz="4" w:space="0"/>
              <w:left w:val="single" w:color="000000" w:sz="4" w:space="0"/>
              <w:bottom w:val="single" w:color="000000" w:sz="4" w:space="0"/>
              <w:right w:val="single" w:color="000000" w:sz="4" w:space="0"/>
            </w:tcBorders>
            <w:noWrap/>
            <w:vAlign w:val="center"/>
          </w:tcPr>
          <w:p w14:paraId="397EB2AD">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履职效能</w:t>
            </w:r>
          </w:p>
        </w:tc>
        <w:tc>
          <w:tcPr>
            <w:tcW w:w="593" w:type="dxa"/>
            <w:tcBorders>
              <w:top w:val="single" w:color="000000" w:sz="4" w:space="0"/>
              <w:left w:val="single" w:color="000000" w:sz="4" w:space="0"/>
              <w:bottom w:val="single" w:color="000000" w:sz="4" w:space="0"/>
              <w:right w:val="single" w:color="000000" w:sz="4" w:space="0"/>
            </w:tcBorders>
            <w:noWrap/>
            <w:vAlign w:val="center"/>
          </w:tcPr>
          <w:p w14:paraId="19A2160D">
            <w:pPr>
              <w:widowControl/>
              <w:spacing w:line="240" w:lineRule="exact"/>
              <w:jc w:val="center"/>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一级指</w:t>
            </w:r>
          </w:p>
          <w:p w14:paraId="2079029E">
            <w:pPr>
              <w:widowControl/>
              <w:spacing w:line="240" w:lineRule="exact"/>
              <w:jc w:val="center"/>
              <w:textAlignment w:val="center"/>
              <w:rPr>
                <w:rFonts w:hint="eastAsia" w:ascii="宋体" w:hAnsi="宋体" w:eastAsia="宋体" w:cs="宋体"/>
                <w:color w:val="000000"/>
                <w:kern w:val="0"/>
                <w:sz w:val="24"/>
              </w:rPr>
            </w:pPr>
          </w:p>
          <w:p w14:paraId="7B7F5E37">
            <w:pPr>
              <w:widowControl/>
              <w:spacing w:line="240" w:lineRule="exact"/>
              <w:jc w:val="both"/>
              <w:textAlignment w:val="center"/>
            </w:pPr>
            <w:r>
              <w:rPr>
                <w:rFonts w:hint="eastAsia" w:ascii="宋体" w:hAnsi="宋体" w:eastAsia="宋体" w:cs="宋体"/>
                <w:color w:val="000000"/>
                <w:kern w:val="0"/>
                <w:sz w:val="24"/>
              </w:rPr>
              <w:t>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257F1A48">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二级指标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085D86BD">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三级指标</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7D730671">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指标值（包含数字及文字描述）</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4B94162E">
            <w:pPr>
              <w:widowControl/>
              <w:spacing w:line="240" w:lineRule="exact"/>
              <w:jc w:val="center"/>
              <w:textAlignment w:val="center"/>
              <w:rPr>
                <w:rFonts w:ascii="宋体" w:hAnsi="宋体" w:eastAsia="宋体" w:cs="宋体"/>
                <w:color w:val="000000"/>
                <w:kern w:val="0"/>
                <w:sz w:val="24"/>
              </w:rPr>
            </w:pPr>
          </w:p>
        </w:tc>
      </w:tr>
      <w:tr w14:paraId="51B7176D">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1AEF876F">
            <w:pPr>
              <w:widowControl/>
              <w:spacing w:line="240" w:lineRule="exact"/>
              <w:jc w:val="center"/>
              <w:textAlignment w:val="center"/>
              <w:rPr>
                <w:rFonts w:ascii="宋体" w:hAnsi="宋体" w:eastAsia="宋体" w:cs="宋体"/>
                <w:color w:val="000000"/>
                <w:kern w:val="0"/>
                <w:sz w:val="24"/>
              </w:rPr>
            </w:pP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14:paraId="5D98B954">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产出指标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533CE05">
            <w:pPr>
              <w:widowControl/>
              <w:spacing w:line="240" w:lineRule="exact"/>
              <w:jc w:val="center"/>
              <w:textAlignment w:val="center"/>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val="en-US" w:eastAsia="zh-CN"/>
              </w:rPr>
              <w:t>时效指标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39548DE7">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2025年完成资金支付</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4A4CA6A7">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2025年12月31日前支付完成</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3449E097">
            <w:pPr>
              <w:widowControl/>
              <w:spacing w:line="240" w:lineRule="exact"/>
              <w:jc w:val="center"/>
              <w:textAlignment w:val="center"/>
              <w:rPr>
                <w:rFonts w:ascii="宋体" w:hAnsi="宋体" w:eastAsia="宋体" w:cs="宋体"/>
                <w:color w:val="000000"/>
                <w:kern w:val="0"/>
                <w:sz w:val="24"/>
              </w:rPr>
            </w:pPr>
          </w:p>
        </w:tc>
      </w:tr>
      <w:tr w14:paraId="7B22B54E">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29D73C36">
            <w:pPr>
              <w:widowControl/>
              <w:spacing w:line="240" w:lineRule="exact"/>
              <w:jc w:val="center"/>
              <w:textAlignment w:val="center"/>
              <w:rPr>
                <w:rFonts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5B722666">
            <w:pPr>
              <w:widowControl/>
              <w:spacing w:line="240" w:lineRule="exact"/>
              <w:jc w:val="center"/>
              <w:textAlignment w:val="center"/>
              <w:rPr>
                <w:rFonts w:ascii="宋体" w:hAnsi="宋体" w:eastAsia="宋体" w:cs="宋体"/>
                <w:color w:val="000000"/>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C628E68">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数量指标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4EA755B0">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完成常委会议会务工作</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6731893E">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≥18次</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23F6B25C">
            <w:pPr>
              <w:widowControl/>
              <w:spacing w:line="240" w:lineRule="exact"/>
              <w:jc w:val="center"/>
              <w:textAlignment w:val="center"/>
              <w:rPr>
                <w:rFonts w:ascii="宋体" w:hAnsi="宋体" w:eastAsia="宋体" w:cs="宋体"/>
                <w:color w:val="000000"/>
                <w:kern w:val="0"/>
                <w:sz w:val="24"/>
              </w:rPr>
            </w:pPr>
          </w:p>
        </w:tc>
      </w:tr>
      <w:tr w14:paraId="259D83AC">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03A9BB66">
            <w:pPr>
              <w:widowControl/>
              <w:spacing w:line="240" w:lineRule="exact"/>
              <w:jc w:val="center"/>
              <w:textAlignment w:val="center"/>
              <w:rPr>
                <w:rFonts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6591CF08">
            <w:pPr>
              <w:widowControl/>
              <w:spacing w:line="240" w:lineRule="exact"/>
              <w:jc w:val="center"/>
              <w:textAlignment w:val="center"/>
              <w:rPr>
                <w:rFonts w:ascii="宋体" w:hAnsi="宋体" w:eastAsia="宋体" w:cs="宋体"/>
                <w:color w:val="000000"/>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4528162">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质量指标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47E779C5">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文件起草错漏率</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287E4506">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≤3%</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779E75FF">
            <w:pPr>
              <w:widowControl/>
              <w:spacing w:line="240" w:lineRule="exact"/>
              <w:jc w:val="center"/>
              <w:textAlignment w:val="center"/>
              <w:rPr>
                <w:rFonts w:ascii="宋体" w:hAnsi="宋体" w:eastAsia="宋体" w:cs="宋体"/>
                <w:color w:val="000000"/>
                <w:kern w:val="0"/>
                <w:sz w:val="24"/>
              </w:rPr>
            </w:pPr>
          </w:p>
        </w:tc>
      </w:tr>
      <w:tr w14:paraId="094E29F5">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312DDEAE">
            <w:pPr>
              <w:widowControl/>
              <w:spacing w:line="240" w:lineRule="exact"/>
              <w:jc w:val="center"/>
              <w:textAlignment w:val="center"/>
              <w:rPr>
                <w:rFonts w:ascii="宋体" w:hAnsi="宋体" w:eastAsia="宋体" w:cs="宋体"/>
                <w:color w:val="000000"/>
                <w:kern w:val="0"/>
                <w:sz w:val="24"/>
              </w:rPr>
            </w:pP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14:paraId="7B41A88D">
            <w:pPr>
              <w:widowControl/>
              <w:spacing w:line="240" w:lineRule="exact"/>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效益指标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BC55DC3">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可持续影响指标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626F78E7">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高质量完成各种工作</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6F431943">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持续推动</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2956F285">
            <w:pPr>
              <w:widowControl/>
              <w:spacing w:line="240" w:lineRule="exact"/>
              <w:jc w:val="center"/>
              <w:textAlignment w:val="center"/>
              <w:rPr>
                <w:rFonts w:ascii="宋体" w:hAnsi="宋体" w:eastAsia="宋体" w:cs="宋体"/>
                <w:color w:val="000000"/>
                <w:kern w:val="0"/>
                <w:sz w:val="24"/>
              </w:rPr>
            </w:pPr>
          </w:p>
        </w:tc>
      </w:tr>
      <w:tr w14:paraId="6FAEBADD">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0E094FF3">
            <w:pPr>
              <w:widowControl/>
              <w:spacing w:line="240" w:lineRule="exact"/>
              <w:jc w:val="center"/>
              <w:textAlignment w:val="center"/>
              <w:rPr>
                <w:rFonts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1B9B71A2">
            <w:pPr>
              <w:widowControl/>
              <w:spacing w:line="240" w:lineRule="exact"/>
              <w:jc w:val="center"/>
              <w:textAlignment w:val="center"/>
              <w:rPr>
                <w:rFonts w:ascii="宋体" w:hAnsi="宋体" w:eastAsia="宋体" w:cs="宋体"/>
                <w:color w:val="000000"/>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57CE8933">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社会效益指标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1B9693B7">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综合协调，督促贯彻落实</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2C72C158">
            <w:pPr>
              <w:widowControl/>
              <w:spacing w:line="240" w:lineRule="exact"/>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进一步提升服务保障</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1D609188">
            <w:pPr>
              <w:widowControl/>
              <w:spacing w:line="240" w:lineRule="exact"/>
              <w:jc w:val="center"/>
              <w:textAlignment w:val="center"/>
              <w:rPr>
                <w:rFonts w:ascii="宋体" w:hAnsi="宋体" w:eastAsia="宋体" w:cs="宋体"/>
                <w:color w:val="000000"/>
                <w:kern w:val="0"/>
                <w:sz w:val="24"/>
              </w:rPr>
            </w:pPr>
          </w:p>
        </w:tc>
      </w:tr>
      <w:tr w14:paraId="5F776C59">
        <w:tblPrEx>
          <w:tblCellMar>
            <w:top w:w="0" w:type="dxa"/>
            <w:left w:w="108" w:type="dxa"/>
            <w:bottom w:w="0" w:type="dxa"/>
            <w:right w:w="108" w:type="dxa"/>
          </w:tblCellMar>
        </w:tblPrEx>
        <w:trPr>
          <w:trHeight w:val="30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6D5C94F5">
            <w:pPr>
              <w:widowControl/>
              <w:spacing w:line="240" w:lineRule="exact"/>
              <w:jc w:val="center"/>
              <w:textAlignment w:val="center"/>
              <w:rPr>
                <w:rFonts w:ascii="宋体" w:hAnsi="宋体" w:eastAsia="宋体" w:cs="宋体"/>
                <w:color w:val="000000"/>
                <w:kern w:val="0"/>
                <w:sz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783B1B16">
            <w:pPr>
              <w:widowControl/>
              <w:spacing w:line="240" w:lineRule="exact"/>
              <w:jc w:val="center"/>
              <w:textAlignment w:val="center"/>
              <w:rPr>
                <w:rFonts w:ascii="宋体" w:hAnsi="宋体" w:eastAsia="宋体" w:cs="宋体"/>
                <w:color w:val="000000"/>
                <w:kern w:val="0"/>
                <w:sz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4FDA2D8">
            <w:pPr>
              <w:widowControl/>
              <w:spacing w:line="240" w:lineRule="exact"/>
              <w:jc w:val="center"/>
              <w:textAlignment w:val="center"/>
              <w:rPr>
                <w:rFonts w:ascii="宋体" w:hAnsi="宋体" w:eastAsia="宋体" w:cs="宋体"/>
                <w:color w:val="000000"/>
                <w:kern w:val="0"/>
                <w:sz w:val="24"/>
              </w:rPr>
            </w:pP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02C21739">
            <w:pPr>
              <w:widowControl/>
              <w:spacing w:line="240" w:lineRule="exact"/>
              <w:jc w:val="center"/>
              <w:textAlignment w:val="center"/>
              <w:rPr>
                <w:rFonts w:ascii="宋体" w:hAnsi="宋体" w:eastAsia="宋体" w:cs="宋体"/>
                <w:color w:val="000000"/>
                <w:kern w:val="0"/>
                <w:sz w:val="24"/>
              </w:rPr>
            </w:pP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380F9A27">
            <w:pPr>
              <w:widowControl/>
              <w:spacing w:line="240" w:lineRule="exact"/>
              <w:jc w:val="center"/>
              <w:textAlignment w:val="center"/>
              <w:rPr>
                <w:rFonts w:ascii="宋体" w:hAnsi="宋体" w:eastAsia="宋体" w:cs="宋体"/>
                <w:color w:val="000000"/>
                <w:kern w:val="0"/>
                <w:sz w:val="24"/>
              </w:rPr>
            </w:pP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1863B233">
            <w:pPr>
              <w:widowControl/>
              <w:spacing w:line="240" w:lineRule="exact"/>
              <w:jc w:val="center"/>
              <w:textAlignment w:val="center"/>
              <w:rPr>
                <w:rFonts w:ascii="宋体" w:hAnsi="宋体" w:eastAsia="宋体" w:cs="宋体"/>
                <w:color w:val="000000"/>
                <w:kern w:val="0"/>
                <w:sz w:val="24"/>
              </w:rPr>
            </w:pPr>
          </w:p>
        </w:tc>
      </w:tr>
    </w:tbl>
    <w:p w14:paraId="20E636B0">
      <w:pPr>
        <w:rPr>
          <w:rFonts w:eastAsia="黑体"/>
          <w:sz w:val="24"/>
        </w:rPr>
      </w:pPr>
    </w:p>
    <w:p w14:paraId="2C161FC7">
      <w:pPr>
        <w:widowControl/>
        <w:spacing w:line="240" w:lineRule="exact"/>
        <w:jc w:val="left"/>
        <w:textAlignment w:val="center"/>
        <w:rPr>
          <w:rFonts w:hint="eastAsia" w:ascii="仿宋_GB2312" w:hAnsi="仿宋_GB2312" w:eastAsia="仿宋_GB2312" w:cs="仿宋_GB2312"/>
          <w:sz w:val="24"/>
        </w:rPr>
      </w:pPr>
      <w:r>
        <w:rPr>
          <w:rFonts w:hint="eastAsia" w:ascii="仿宋_GB2312" w:hAnsi="仿宋_GB2312" w:eastAsia="仿宋_GB2312" w:cs="仿宋_GB2312"/>
          <w:color w:val="000000"/>
          <w:kern w:val="0"/>
          <w:sz w:val="24"/>
          <w:lang w:bidi="ar"/>
        </w:rPr>
        <w:br w:type="page"/>
      </w:r>
    </w:p>
    <w:p w14:paraId="1D417AD2">
      <w:pPr>
        <w:widowControl/>
        <w:spacing w:line="578" w:lineRule="exact"/>
        <w:jc w:val="center"/>
        <w:textAlignment w:val="center"/>
        <w:rPr>
          <w:rFonts w:eastAsia="方正小标宋简体"/>
          <w:color w:val="000000"/>
          <w:kern w:val="0"/>
          <w:sz w:val="44"/>
          <w:szCs w:val="44"/>
        </w:rPr>
      </w:pPr>
      <w:r>
        <w:rPr>
          <w:rFonts w:eastAsia="方正小标宋简体"/>
          <w:color w:val="000000"/>
          <w:kern w:val="0"/>
          <w:sz w:val="44"/>
          <w:szCs w:val="44"/>
        </w:rPr>
        <w:t>部门预算项目支出绩效评价表</w:t>
      </w:r>
    </w:p>
    <w:p w14:paraId="7E6EEE7D">
      <w:pPr>
        <w:widowControl/>
        <w:spacing w:line="578" w:lineRule="exact"/>
        <w:jc w:val="center"/>
        <w:textAlignment w:val="center"/>
        <w:rPr>
          <w:rFonts w:eastAsia="方正小标宋简体"/>
          <w:color w:val="000000"/>
          <w:kern w:val="0"/>
          <w:szCs w:val="32"/>
        </w:rPr>
      </w:pPr>
      <w:r>
        <w:rPr>
          <w:rFonts w:eastAsia="方正小标宋简体"/>
          <w:color w:val="000000"/>
          <w:kern w:val="0"/>
          <w:szCs w:val="32"/>
        </w:rPr>
        <w:t>（202</w:t>
      </w:r>
      <w:r>
        <w:rPr>
          <w:rFonts w:hint="eastAsia" w:eastAsia="方正小标宋简体"/>
          <w:color w:val="000000"/>
          <w:kern w:val="0"/>
          <w:szCs w:val="32"/>
        </w:rPr>
        <w:t>5</w:t>
      </w:r>
      <w:r>
        <w:rPr>
          <w:rFonts w:eastAsia="方正小标宋简体"/>
          <w:color w:val="000000"/>
          <w:kern w:val="0"/>
          <w:szCs w:val="32"/>
        </w:rPr>
        <w:t>年度）</w:t>
      </w:r>
    </w:p>
    <w:p w14:paraId="6DA52356">
      <w:pPr>
        <w:pStyle w:val="37"/>
        <w:spacing w:before="0" w:after="0" w:line="578" w:lineRule="exact"/>
        <w:ind w:firstLine="640" w:firstLineChars="200"/>
        <w:rPr>
          <w:rFonts w:ascii="Times New Roman" w:hAnsi="Times New Roman" w:eastAsia="仿宋_GB2312"/>
          <w:b w:val="0"/>
          <w:color w:val="000000"/>
          <w:kern w:val="0"/>
          <w:sz w:val="32"/>
          <w:szCs w:val="32"/>
          <w:shd w:val="clear" w:color="auto" w:fill="FFFFFF"/>
        </w:rPr>
      </w:pP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76"/>
        <w:gridCol w:w="909"/>
        <w:gridCol w:w="1204"/>
        <w:gridCol w:w="396"/>
        <w:gridCol w:w="849"/>
        <w:gridCol w:w="396"/>
        <w:gridCol w:w="846"/>
        <w:gridCol w:w="486"/>
        <w:gridCol w:w="397"/>
        <w:gridCol w:w="1387"/>
      </w:tblGrid>
      <w:tr w14:paraId="329A4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0F02F58">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31097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4507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6AEB6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51322325T000012920628-2025年设备维护</w:t>
            </w:r>
          </w:p>
        </w:tc>
      </w:tr>
      <w:tr w14:paraId="72074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2AE3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FA3D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中国共产党茂县委员会办公室</w:t>
            </w:r>
          </w:p>
        </w:tc>
        <w:tc>
          <w:tcPr>
            <w:tcW w:w="386" w:type="pct"/>
            <w:tcBorders>
              <w:top w:val="nil"/>
              <w:left w:val="nil"/>
              <w:bottom w:val="nil"/>
              <w:right w:val="nil"/>
            </w:tcBorders>
            <w:shd w:val="clear" w:color="auto" w:fill="auto"/>
            <w:vAlign w:val="center"/>
          </w:tcPr>
          <w:p w14:paraId="141F61B3">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FA13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中共茂县县委办公室（行政）</w:t>
            </w:r>
          </w:p>
        </w:tc>
      </w:tr>
      <w:tr w14:paraId="128AE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3B0F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969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D4E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9BA50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C026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C5D5E">
            <w:pP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536AE">
            <w:pPr>
              <w:rPr>
                <w:rFonts w:hint="eastAsia" w:ascii="宋体" w:hAnsi="宋体" w:eastAsia="宋体" w:cs="宋体"/>
                <w:i w:val="0"/>
                <w:iCs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A35988">
            <w:pPr>
              <w:rPr>
                <w:rFonts w:hint="eastAsia" w:ascii="宋体" w:hAnsi="宋体" w:eastAsia="宋体" w:cs="宋体"/>
                <w:i w:val="0"/>
                <w:iCs w:val="0"/>
                <w:color w:val="000000"/>
                <w:sz w:val="18"/>
                <w:szCs w:val="18"/>
                <w:u w:val="none"/>
              </w:rPr>
            </w:pP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F20BC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F0EA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B769E">
            <w:pP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58F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F29DBFB">
            <w:pPr>
              <w:rPr>
                <w:rFonts w:hint="eastAsia" w:ascii="宋体" w:hAnsi="宋体" w:eastAsia="宋体" w:cs="宋体"/>
                <w:i w:val="0"/>
                <w:iCs w:val="0"/>
                <w:color w:val="000000"/>
                <w:sz w:val="18"/>
                <w:szCs w:val="18"/>
                <w:u w:val="none"/>
              </w:rPr>
            </w:pPr>
          </w:p>
        </w:tc>
      </w:tr>
      <w:tr w14:paraId="4D7F5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100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0A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B4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92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B0E9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911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3C9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12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F0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97D5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6FACA">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16C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B82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C8D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87.35</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49D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87.35</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56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83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9D72B">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A8B9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E839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BB5A1">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E8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FB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83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87.35</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7DDD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87.35</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43D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D97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132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E8BE7">
            <w:pPr>
              <w:rPr>
                <w:rFonts w:hint="eastAsia" w:ascii="黑体" w:hAnsi="黑体" w:eastAsia="黑体" w:cs="黑体"/>
                <w:i/>
                <w:iCs/>
                <w:color w:val="000000"/>
                <w:sz w:val="18"/>
                <w:szCs w:val="18"/>
                <w:u w:val="none"/>
              </w:rPr>
            </w:pPr>
          </w:p>
        </w:tc>
      </w:tr>
      <w:tr w14:paraId="1E75D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97C3E">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A0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845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14C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FF36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C5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1F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37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5E43A">
            <w:pPr>
              <w:rPr>
                <w:rFonts w:hint="eastAsia" w:ascii="黑体" w:hAnsi="黑体" w:eastAsia="黑体" w:cs="黑体"/>
                <w:i/>
                <w:iCs/>
                <w:color w:val="000000"/>
                <w:sz w:val="18"/>
                <w:szCs w:val="18"/>
                <w:u w:val="none"/>
              </w:rPr>
            </w:pPr>
          </w:p>
        </w:tc>
      </w:tr>
      <w:tr w14:paraId="596D9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519E3">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5E4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D5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7D1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EF7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97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DD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B6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6AF3F">
            <w:pPr>
              <w:rPr>
                <w:rFonts w:hint="eastAsia" w:ascii="黑体" w:hAnsi="黑体" w:eastAsia="黑体" w:cs="黑体"/>
                <w:i/>
                <w:iCs/>
                <w:color w:val="000000"/>
                <w:sz w:val="18"/>
                <w:szCs w:val="18"/>
                <w:u w:val="none"/>
              </w:rPr>
            </w:pPr>
          </w:p>
        </w:tc>
      </w:tr>
      <w:tr w14:paraId="1AFC7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BBAB6">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8DF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237DA">
            <w:pPr>
              <w:jc w:val="center"/>
              <w:rPr>
                <w:rFonts w:hint="eastAsia" w:ascii="微软雅黑" w:hAnsi="微软雅黑" w:eastAsia="微软雅黑" w:cs="微软雅黑"/>
                <w:i/>
                <w:iCs/>
                <w:color w:val="000000"/>
                <w:sz w:val="16"/>
                <w:szCs w:val="16"/>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1A27F">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9BEBDE">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2981F">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227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35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7813C">
            <w:pPr>
              <w:rPr>
                <w:rFonts w:hint="eastAsia" w:ascii="黑体" w:hAnsi="黑体" w:eastAsia="黑体" w:cs="黑体"/>
                <w:i/>
                <w:iCs/>
                <w:color w:val="000000"/>
                <w:sz w:val="18"/>
                <w:szCs w:val="18"/>
                <w:u w:val="none"/>
              </w:rPr>
            </w:pPr>
          </w:p>
        </w:tc>
      </w:tr>
      <w:tr w14:paraId="57993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08EC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29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9C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ACB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3B4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AFF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FC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40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98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61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9EA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95A6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34E4D">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B3544">
            <w:pPr>
              <w:jc w:val="center"/>
              <w:rPr>
                <w:rFonts w:hint="eastAsia" w:ascii="宋体" w:hAnsi="宋体" w:eastAsia="宋体" w:cs="宋体"/>
                <w:i w:val="0"/>
                <w:iCs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01BF9">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FAAD2">
            <w:pPr>
              <w:jc w:val="center"/>
              <w:rPr>
                <w:rFonts w:hint="eastAsia" w:ascii="宋体" w:hAnsi="宋体" w:eastAsia="宋体" w:cs="宋体"/>
                <w:i w:val="0"/>
                <w:iCs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8CCE4">
            <w:pPr>
              <w:jc w:val="center"/>
              <w:rPr>
                <w:rFonts w:hint="eastAsia" w:ascii="宋体" w:hAnsi="宋体" w:eastAsia="宋体" w:cs="宋体"/>
                <w:i w:val="0"/>
                <w:iCs w:val="0"/>
                <w:color w:val="000000"/>
                <w:sz w:val="18"/>
                <w:szCs w:val="18"/>
                <w:u w:val="none"/>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3E160">
            <w:pPr>
              <w:jc w:val="center"/>
              <w:rPr>
                <w:rFonts w:hint="eastAsia" w:ascii="宋体" w:hAnsi="宋体" w:eastAsia="宋体" w:cs="宋体"/>
                <w:i w:val="0"/>
                <w:iCs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67865">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F3CDF">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2AE11">
            <w:pPr>
              <w:jc w:val="center"/>
              <w:rPr>
                <w:rFonts w:hint="eastAsia" w:ascii="宋体" w:hAnsi="宋体" w:eastAsia="宋体" w:cs="宋体"/>
                <w:i w:val="0"/>
                <w:iCs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1326A">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A81AA">
            <w:pPr>
              <w:jc w:val="center"/>
              <w:rPr>
                <w:rFonts w:hint="eastAsia" w:ascii="微软雅黑" w:hAnsi="微软雅黑" w:eastAsia="微软雅黑" w:cs="微软雅黑"/>
                <w:i/>
                <w:iCs/>
                <w:color w:val="000000"/>
                <w:sz w:val="16"/>
                <w:szCs w:val="16"/>
                <w:u w:val="none"/>
              </w:rPr>
            </w:pPr>
          </w:p>
        </w:tc>
      </w:tr>
      <w:tr w14:paraId="3B4D8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5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79D7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37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39AA6">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CA289">
            <w:pPr>
              <w:rPr>
                <w:rFonts w:hint="eastAsia" w:ascii="宋体" w:hAnsi="宋体" w:eastAsia="宋体" w:cs="宋体"/>
                <w:i w:val="0"/>
                <w:iCs w:val="0"/>
                <w:color w:val="000000"/>
                <w:sz w:val="18"/>
                <w:szCs w:val="18"/>
                <w:u w:val="none"/>
              </w:rPr>
            </w:pPr>
          </w:p>
        </w:tc>
      </w:tr>
      <w:tr w14:paraId="0C492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61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2BCE8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7EF4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EC5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F2716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57BE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85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F830A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7480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11EF6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891F9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5950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2" w:type="pct"/>
            <w:tcBorders>
              <w:top w:val="nil"/>
              <w:left w:val="nil"/>
              <w:bottom w:val="nil"/>
              <w:right w:val="nil"/>
            </w:tcBorders>
            <w:shd w:val="clear" w:color="auto" w:fill="auto"/>
            <w:vAlign w:val="center"/>
          </w:tcPr>
          <w:p w14:paraId="2E237448">
            <w:pPr>
              <w:rPr>
                <w:rFonts w:hint="eastAsia" w:ascii="宋体" w:hAnsi="宋体" w:eastAsia="宋体" w:cs="宋体"/>
                <w:i w:val="0"/>
                <w:iCs w:val="0"/>
                <w:color w:val="000000"/>
                <w:sz w:val="18"/>
                <w:szCs w:val="18"/>
                <w:u w:val="none"/>
              </w:rPr>
            </w:pPr>
          </w:p>
        </w:tc>
        <w:tc>
          <w:tcPr>
            <w:tcW w:w="727" w:type="pct"/>
            <w:tcBorders>
              <w:top w:val="nil"/>
              <w:left w:val="nil"/>
              <w:bottom w:val="nil"/>
              <w:right w:val="nil"/>
            </w:tcBorders>
            <w:shd w:val="clear" w:color="auto" w:fill="auto"/>
            <w:vAlign w:val="center"/>
          </w:tcPr>
          <w:p w14:paraId="153135BE">
            <w:pPr>
              <w:rPr>
                <w:rFonts w:hint="eastAsia" w:ascii="宋体" w:hAnsi="宋体" w:eastAsia="宋体" w:cs="宋体"/>
                <w:i w:val="0"/>
                <w:iCs w:val="0"/>
                <w:color w:val="000000"/>
                <w:sz w:val="18"/>
                <w:szCs w:val="18"/>
                <w:u w:val="none"/>
              </w:rPr>
            </w:pPr>
          </w:p>
        </w:tc>
        <w:tc>
          <w:tcPr>
            <w:tcW w:w="629" w:type="pct"/>
            <w:tcBorders>
              <w:top w:val="nil"/>
              <w:left w:val="nil"/>
              <w:bottom w:val="nil"/>
              <w:right w:val="nil"/>
            </w:tcBorders>
            <w:shd w:val="clear" w:color="auto" w:fill="auto"/>
            <w:vAlign w:val="center"/>
          </w:tcPr>
          <w:p w14:paraId="5C492CE7">
            <w:pPr>
              <w:rPr>
                <w:rFonts w:hint="eastAsia" w:ascii="宋体" w:hAnsi="宋体" w:eastAsia="宋体" w:cs="宋体"/>
                <w:i w:val="0"/>
                <w:iCs w:val="0"/>
                <w:color w:val="000000"/>
                <w:sz w:val="18"/>
                <w:szCs w:val="18"/>
                <w:u w:val="none"/>
              </w:rPr>
            </w:pPr>
          </w:p>
        </w:tc>
        <w:tc>
          <w:tcPr>
            <w:tcW w:w="802" w:type="pct"/>
            <w:tcBorders>
              <w:top w:val="nil"/>
              <w:left w:val="nil"/>
              <w:bottom w:val="nil"/>
              <w:right w:val="nil"/>
            </w:tcBorders>
            <w:shd w:val="clear" w:color="auto" w:fill="auto"/>
            <w:vAlign w:val="center"/>
          </w:tcPr>
          <w:p w14:paraId="52021D23">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083004A2">
            <w:pPr>
              <w:rPr>
                <w:rFonts w:hint="eastAsia" w:ascii="宋体" w:hAnsi="宋体" w:eastAsia="宋体" w:cs="宋体"/>
                <w:i w:val="0"/>
                <w:iCs w:val="0"/>
                <w:color w:val="000000"/>
                <w:sz w:val="18"/>
                <w:szCs w:val="18"/>
                <w:u w:val="none"/>
              </w:rPr>
            </w:pPr>
          </w:p>
        </w:tc>
        <w:tc>
          <w:tcPr>
            <w:tcW w:w="594" w:type="pct"/>
            <w:tcBorders>
              <w:top w:val="nil"/>
              <w:left w:val="nil"/>
              <w:bottom w:val="nil"/>
              <w:right w:val="nil"/>
            </w:tcBorders>
            <w:shd w:val="clear" w:color="auto" w:fill="auto"/>
            <w:vAlign w:val="center"/>
          </w:tcPr>
          <w:p w14:paraId="44527CFF">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5EB1F88E">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2CF6ECDE">
            <w:pPr>
              <w:rPr>
                <w:rFonts w:hint="eastAsia" w:ascii="宋体" w:hAnsi="宋体" w:eastAsia="宋体" w:cs="宋体"/>
                <w:i w:val="0"/>
                <w:iCs w:val="0"/>
                <w:color w:val="000000"/>
                <w:sz w:val="18"/>
                <w:szCs w:val="18"/>
                <w:u w:val="none"/>
              </w:rPr>
            </w:pPr>
          </w:p>
        </w:tc>
        <w:tc>
          <w:tcPr>
            <w:tcW w:w="178" w:type="pct"/>
            <w:tcBorders>
              <w:top w:val="nil"/>
              <w:left w:val="nil"/>
              <w:bottom w:val="nil"/>
              <w:right w:val="nil"/>
            </w:tcBorders>
            <w:shd w:val="clear" w:color="auto" w:fill="auto"/>
            <w:vAlign w:val="center"/>
          </w:tcPr>
          <w:p w14:paraId="0ACBEB0E">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7FBE2AFB">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48FDE8D9">
            <w:pPr>
              <w:rPr>
                <w:rFonts w:hint="eastAsia" w:ascii="宋体" w:hAnsi="宋体" w:eastAsia="宋体" w:cs="宋体"/>
                <w:i w:val="0"/>
                <w:iCs w:val="0"/>
                <w:color w:val="000000"/>
                <w:sz w:val="18"/>
                <w:szCs w:val="18"/>
                <w:u w:val="none"/>
              </w:rPr>
            </w:pPr>
          </w:p>
        </w:tc>
      </w:tr>
    </w:tbl>
    <w:p w14:paraId="467F91BC">
      <w:pPr>
        <w:pStyle w:val="37"/>
        <w:spacing w:before="0" w:after="0" w:line="578" w:lineRule="exact"/>
      </w:pPr>
    </w:p>
    <w:p w14:paraId="04677775"/>
    <w:p w14:paraId="6B18711C">
      <w:pPr>
        <w:pStyle w:val="2"/>
      </w:pPr>
    </w:p>
    <w:p w14:paraId="0B588598">
      <w:pPr>
        <w:pStyle w:val="2"/>
      </w:pPr>
    </w:p>
    <w:p w14:paraId="190B20A9">
      <w:pPr>
        <w:pStyle w:val="2"/>
      </w:pPr>
    </w:p>
    <w:p w14:paraId="10B4F889">
      <w:pPr>
        <w:pStyle w:val="2"/>
      </w:pP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76"/>
        <w:gridCol w:w="909"/>
        <w:gridCol w:w="1204"/>
        <w:gridCol w:w="396"/>
        <w:gridCol w:w="849"/>
        <w:gridCol w:w="396"/>
        <w:gridCol w:w="846"/>
        <w:gridCol w:w="486"/>
        <w:gridCol w:w="397"/>
        <w:gridCol w:w="1387"/>
      </w:tblGrid>
      <w:tr w14:paraId="2AFBB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1478FED">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0D00D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F7FE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B577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51322325T000013807049-2025年工作经费</w:t>
            </w:r>
          </w:p>
        </w:tc>
      </w:tr>
      <w:tr w14:paraId="54C78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305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1FF8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中国共产党茂县委员会办公室</w:t>
            </w:r>
          </w:p>
        </w:tc>
        <w:tc>
          <w:tcPr>
            <w:tcW w:w="386" w:type="pct"/>
            <w:tcBorders>
              <w:top w:val="nil"/>
              <w:left w:val="nil"/>
              <w:bottom w:val="nil"/>
              <w:right w:val="nil"/>
            </w:tcBorders>
            <w:shd w:val="clear" w:color="auto" w:fill="auto"/>
            <w:vAlign w:val="center"/>
          </w:tcPr>
          <w:p w14:paraId="2AA1AED7">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2CD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中共茂县县委办公室（行政）</w:t>
            </w:r>
          </w:p>
        </w:tc>
      </w:tr>
      <w:tr w14:paraId="6CDB1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66F0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76B6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28D2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6F047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C3B2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2CB1B">
            <w:pP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E4066">
            <w:pPr>
              <w:rPr>
                <w:rFonts w:hint="eastAsia" w:ascii="宋体" w:hAnsi="宋体" w:eastAsia="宋体" w:cs="宋体"/>
                <w:i w:val="0"/>
                <w:iCs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53FB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为认真落实省州工作要求，保障县委办正常运行，特申请经费197万元。</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5A857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284D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EDAE7">
            <w:pP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215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1DA2B32">
            <w:pPr>
              <w:rPr>
                <w:rFonts w:hint="eastAsia" w:ascii="宋体" w:hAnsi="宋体" w:eastAsia="宋体" w:cs="宋体"/>
                <w:i w:val="0"/>
                <w:iCs w:val="0"/>
                <w:color w:val="000000"/>
                <w:sz w:val="18"/>
                <w:szCs w:val="18"/>
                <w:u w:val="none"/>
              </w:rPr>
            </w:pPr>
          </w:p>
        </w:tc>
      </w:tr>
      <w:tr w14:paraId="6E433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4B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13B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00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288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226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33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AE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A2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D7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AADA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93914">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AB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E2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972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244.79</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ADD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244.79</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2D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B76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655B7">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6A13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3330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1E8F1">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870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F3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F01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244.79</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8B48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244.79</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59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8D6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1E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1A5CA">
            <w:pPr>
              <w:rPr>
                <w:rFonts w:hint="eastAsia" w:ascii="黑体" w:hAnsi="黑体" w:eastAsia="黑体" w:cs="黑体"/>
                <w:i/>
                <w:iCs/>
                <w:color w:val="000000"/>
                <w:sz w:val="18"/>
                <w:szCs w:val="18"/>
                <w:u w:val="none"/>
              </w:rPr>
            </w:pPr>
          </w:p>
        </w:tc>
      </w:tr>
      <w:tr w14:paraId="69784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D0A9E">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D16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21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3E8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2BB9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8D4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C5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55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1C082">
            <w:pPr>
              <w:rPr>
                <w:rFonts w:hint="eastAsia" w:ascii="黑体" w:hAnsi="黑体" w:eastAsia="黑体" w:cs="黑体"/>
                <w:i/>
                <w:iCs/>
                <w:color w:val="000000"/>
                <w:sz w:val="18"/>
                <w:szCs w:val="18"/>
                <w:u w:val="none"/>
              </w:rPr>
            </w:pPr>
          </w:p>
        </w:tc>
      </w:tr>
      <w:tr w14:paraId="51030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75EA4">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D7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DF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B0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6B2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3B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FF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F0B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9AFBC">
            <w:pPr>
              <w:rPr>
                <w:rFonts w:hint="eastAsia" w:ascii="黑体" w:hAnsi="黑体" w:eastAsia="黑体" w:cs="黑体"/>
                <w:i/>
                <w:iCs/>
                <w:color w:val="000000"/>
                <w:sz w:val="18"/>
                <w:szCs w:val="18"/>
                <w:u w:val="none"/>
              </w:rPr>
            </w:pPr>
          </w:p>
        </w:tc>
      </w:tr>
      <w:tr w14:paraId="3FFF5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7D74A">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6AB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EFA93">
            <w:pPr>
              <w:jc w:val="center"/>
              <w:rPr>
                <w:rFonts w:hint="eastAsia" w:ascii="微软雅黑" w:hAnsi="微软雅黑" w:eastAsia="微软雅黑" w:cs="微软雅黑"/>
                <w:i/>
                <w:iCs/>
                <w:color w:val="000000"/>
                <w:sz w:val="16"/>
                <w:szCs w:val="16"/>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2FC88">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69D643">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43554">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D59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C7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C8766">
            <w:pPr>
              <w:rPr>
                <w:rFonts w:hint="eastAsia" w:ascii="黑体" w:hAnsi="黑体" w:eastAsia="黑体" w:cs="黑体"/>
                <w:i/>
                <w:iCs/>
                <w:color w:val="000000"/>
                <w:sz w:val="18"/>
                <w:szCs w:val="18"/>
                <w:u w:val="none"/>
              </w:rPr>
            </w:pPr>
          </w:p>
        </w:tc>
      </w:tr>
      <w:tr w14:paraId="18122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71F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7A1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D6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01C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9B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27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EE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DEA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063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D11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376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057C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E97AA">
            <w:pPr>
              <w:jc w:val="center"/>
              <w:rPr>
                <w:rFonts w:hint="eastAsia" w:ascii="宋体" w:hAnsi="宋体" w:eastAsia="宋体" w:cs="宋体"/>
                <w:i w:val="0"/>
                <w:iCs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C36B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F6B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39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开展重点督查工作</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371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65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76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8C149">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42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ECE1E">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4382A">
            <w:pPr>
              <w:jc w:val="center"/>
              <w:rPr>
                <w:rFonts w:hint="eastAsia" w:ascii="微软雅黑" w:hAnsi="微软雅黑" w:eastAsia="微软雅黑" w:cs="微软雅黑"/>
                <w:i/>
                <w:iCs/>
                <w:color w:val="000000"/>
                <w:sz w:val="16"/>
                <w:szCs w:val="16"/>
                <w:u w:val="none"/>
              </w:rPr>
            </w:pPr>
          </w:p>
        </w:tc>
      </w:tr>
      <w:tr w14:paraId="5F3D9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0CCBE">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BCC8F">
            <w:pPr>
              <w:jc w:val="center"/>
              <w:rPr>
                <w:rFonts w:hint="eastAsia" w:ascii="宋体" w:hAnsi="宋体" w:eastAsia="宋体" w:cs="宋体"/>
                <w:i w:val="0"/>
                <w:iCs w:val="0"/>
                <w:color w:val="000000"/>
                <w:sz w:val="18"/>
                <w:szCs w:val="18"/>
                <w:u w:val="none"/>
              </w:rPr>
            </w:pPr>
          </w:p>
        </w:tc>
        <w:tc>
          <w:tcPr>
            <w:tcW w:w="6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95A31">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6E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完成常委会等会议工作</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CD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813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662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736EC">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4F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E1779">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BB24F">
            <w:pPr>
              <w:jc w:val="center"/>
              <w:rPr>
                <w:rFonts w:hint="eastAsia" w:ascii="微软雅黑" w:hAnsi="微软雅黑" w:eastAsia="微软雅黑" w:cs="微软雅黑"/>
                <w:i/>
                <w:iCs/>
                <w:color w:val="000000"/>
                <w:sz w:val="16"/>
                <w:szCs w:val="16"/>
                <w:u w:val="none"/>
              </w:rPr>
            </w:pPr>
          </w:p>
        </w:tc>
      </w:tr>
      <w:tr w14:paraId="762A8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1BE00">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AC1C0">
            <w:pPr>
              <w:jc w:val="center"/>
              <w:rPr>
                <w:rFonts w:hint="eastAsia" w:ascii="宋体" w:hAnsi="宋体" w:eastAsia="宋体" w:cs="宋体"/>
                <w:i w:val="0"/>
                <w:iCs w:val="0"/>
                <w:color w:val="000000"/>
                <w:sz w:val="18"/>
                <w:szCs w:val="18"/>
                <w:u w:val="none"/>
              </w:rPr>
            </w:pPr>
          </w:p>
        </w:tc>
        <w:tc>
          <w:tcPr>
            <w:tcW w:w="6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5B8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2D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按照省州工作要求，保质保量完成工作</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5F0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5A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7B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CAE2D">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68F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A919B">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D1AD5">
            <w:pPr>
              <w:jc w:val="center"/>
              <w:rPr>
                <w:rFonts w:hint="eastAsia" w:ascii="微软雅黑" w:hAnsi="微软雅黑" w:eastAsia="微软雅黑" w:cs="微软雅黑"/>
                <w:i/>
                <w:iCs/>
                <w:color w:val="000000"/>
                <w:sz w:val="16"/>
                <w:szCs w:val="16"/>
                <w:u w:val="none"/>
              </w:rPr>
            </w:pPr>
          </w:p>
        </w:tc>
      </w:tr>
      <w:tr w14:paraId="361EF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0A31D">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AC74C">
            <w:pPr>
              <w:jc w:val="center"/>
              <w:rPr>
                <w:rFonts w:hint="eastAsia" w:ascii="宋体" w:hAnsi="宋体" w:eastAsia="宋体" w:cs="宋体"/>
                <w:i w:val="0"/>
                <w:iCs w:val="0"/>
                <w:color w:val="000000"/>
                <w:sz w:val="18"/>
                <w:szCs w:val="18"/>
                <w:u w:val="none"/>
              </w:rPr>
            </w:pPr>
          </w:p>
        </w:tc>
        <w:tc>
          <w:tcPr>
            <w:tcW w:w="6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52FBB">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11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文件起草错误率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80E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DE0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5B5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47937">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2F2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FB1CC">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DDE56">
            <w:pPr>
              <w:jc w:val="center"/>
              <w:rPr>
                <w:rFonts w:hint="eastAsia" w:ascii="微软雅黑" w:hAnsi="微软雅黑" w:eastAsia="微软雅黑" w:cs="微软雅黑"/>
                <w:i/>
                <w:iCs/>
                <w:color w:val="000000"/>
                <w:sz w:val="16"/>
                <w:szCs w:val="16"/>
                <w:u w:val="none"/>
              </w:rPr>
            </w:pPr>
          </w:p>
        </w:tc>
      </w:tr>
      <w:tr w14:paraId="04C6C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508D7">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DB465">
            <w:pPr>
              <w:jc w:val="center"/>
              <w:rPr>
                <w:rFonts w:hint="eastAsia" w:ascii="宋体" w:hAnsi="宋体" w:eastAsia="宋体" w:cs="宋体"/>
                <w:i w:val="0"/>
                <w:iCs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D31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E11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2025年完成资金支付</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02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83D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F0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C355F">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45F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E67E7">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DAF0">
            <w:pPr>
              <w:jc w:val="center"/>
              <w:rPr>
                <w:rFonts w:hint="eastAsia" w:ascii="微软雅黑" w:hAnsi="微软雅黑" w:eastAsia="微软雅黑" w:cs="微软雅黑"/>
                <w:i/>
                <w:iCs/>
                <w:color w:val="000000"/>
                <w:sz w:val="16"/>
                <w:szCs w:val="16"/>
                <w:u w:val="none"/>
              </w:rPr>
            </w:pPr>
          </w:p>
        </w:tc>
      </w:tr>
      <w:tr w14:paraId="434F3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7CFA0">
            <w:pPr>
              <w:jc w:val="center"/>
              <w:rPr>
                <w:rFonts w:hint="eastAsia" w:ascii="宋体" w:hAnsi="宋体" w:eastAsia="宋体" w:cs="宋体"/>
                <w:i w:val="0"/>
                <w:iCs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E1A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EA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11E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综合协调，督促贯彻各项工作稳步落实</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15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A7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进一步提升服务保障</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EBF3E">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BFC7F">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BA8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59127">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B9775">
            <w:pPr>
              <w:jc w:val="center"/>
              <w:rPr>
                <w:rFonts w:hint="eastAsia" w:ascii="微软雅黑" w:hAnsi="微软雅黑" w:eastAsia="微软雅黑" w:cs="微软雅黑"/>
                <w:i/>
                <w:iCs/>
                <w:color w:val="000000"/>
                <w:sz w:val="16"/>
                <w:szCs w:val="16"/>
                <w:u w:val="none"/>
              </w:rPr>
            </w:pPr>
          </w:p>
        </w:tc>
      </w:tr>
      <w:tr w14:paraId="3F070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BB433">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A94C1">
            <w:pPr>
              <w:jc w:val="center"/>
              <w:rPr>
                <w:rFonts w:hint="eastAsia" w:ascii="宋体" w:hAnsi="宋体" w:eastAsia="宋体" w:cs="宋体"/>
                <w:i w:val="0"/>
                <w:iCs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F8D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DB4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高质量完成各项工作，推动全县工作发展进度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6FC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6DB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持续推动</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36C8A">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B377B">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FF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33971">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9DC37">
            <w:pPr>
              <w:jc w:val="center"/>
              <w:rPr>
                <w:rFonts w:hint="eastAsia" w:ascii="微软雅黑" w:hAnsi="微软雅黑" w:eastAsia="微软雅黑" w:cs="微软雅黑"/>
                <w:i/>
                <w:iCs/>
                <w:color w:val="000000"/>
                <w:sz w:val="16"/>
                <w:szCs w:val="16"/>
                <w:u w:val="none"/>
              </w:rPr>
            </w:pPr>
          </w:p>
        </w:tc>
      </w:tr>
      <w:tr w14:paraId="0C410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5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666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71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EAD8D">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46979">
            <w:pPr>
              <w:rPr>
                <w:rFonts w:hint="eastAsia" w:ascii="宋体" w:hAnsi="宋体" w:eastAsia="宋体" w:cs="宋体"/>
                <w:i w:val="0"/>
                <w:iCs w:val="0"/>
                <w:color w:val="000000"/>
                <w:sz w:val="18"/>
                <w:szCs w:val="18"/>
                <w:u w:val="none"/>
              </w:rPr>
            </w:pPr>
          </w:p>
        </w:tc>
      </w:tr>
      <w:tr w14:paraId="7BAFE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1E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43B4F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7FE0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840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853749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787A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EA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FA94C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B391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0ECEA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025A0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6D2EAEB5"/>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76"/>
        <w:gridCol w:w="909"/>
        <w:gridCol w:w="1204"/>
        <w:gridCol w:w="396"/>
        <w:gridCol w:w="849"/>
        <w:gridCol w:w="396"/>
        <w:gridCol w:w="846"/>
        <w:gridCol w:w="486"/>
        <w:gridCol w:w="397"/>
        <w:gridCol w:w="1387"/>
      </w:tblGrid>
      <w:tr w14:paraId="1C74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A681907">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2AB00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C77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AE2C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51322325T000013911275-25年设备维护（定）</w:t>
            </w:r>
          </w:p>
        </w:tc>
      </w:tr>
      <w:tr w14:paraId="2CBA0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14F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44CE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中国共产党茂县委员会办公室</w:t>
            </w:r>
          </w:p>
        </w:tc>
        <w:tc>
          <w:tcPr>
            <w:tcW w:w="386" w:type="pct"/>
            <w:tcBorders>
              <w:top w:val="nil"/>
              <w:left w:val="nil"/>
              <w:bottom w:val="nil"/>
              <w:right w:val="nil"/>
            </w:tcBorders>
            <w:shd w:val="clear" w:color="auto" w:fill="auto"/>
            <w:vAlign w:val="center"/>
          </w:tcPr>
          <w:p w14:paraId="1D3D39EE">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0F7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中共茂县县委办公室（行政）</w:t>
            </w:r>
          </w:p>
        </w:tc>
      </w:tr>
      <w:tr w14:paraId="14C0F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36B3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1811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A75D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85E5F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8E7A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F6621">
            <w:pP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FE551">
            <w:pPr>
              <w:rPr>
                <w:rFonts w:hint="eastAsia" w:ascii="宋体" w:hAnsi="宋体" w:eastAsia="宋体" w:cs="宋体"/>
                <w:i w:val="0"/>
                <w:iCs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62F9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保障全县电子政务内网安全稳定运行；2.保障电子政务内网机房温度稳定，减少设备故障，避免设备老化造成安全隐患；3.保持屏蔽机房性能确保上级党政机关政令畅通；4.消除非涉密计算机敏感信息确保国家秘密安全；5.提升涉密党政高清视频会议效能，保障党和国家秘密安全。</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E77FF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DFE4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DA698">
            <w:pP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DAF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B2624F">
            <w:pPr>
              <w:rPr>
                <w:rFonts w:hint="eastAsia" w:ascii="宋体" w:hAnsi="宋体" w:eastAsia="宋体" w:cs="宋体"/>
                <w:i w:val="0"/>
                <w:iCs w:val="0"/>
                <w:color w:val="000000"/>
                <w:sz w:val="18"/>
                <w:szCs w:val="18"/>
                <w:u w:val="none"/>
              </w:rPr>
            </w:pPr>
          </w:p>
        </w:tc>
      </w:tr>
      <w:tr w14:paraId="11F6C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05B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25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20E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0A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CAE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A8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0BD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554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2B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FDF0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D1BE9">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D72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6A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5F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39.75</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5CBD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39.75</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6D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8F4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27D3E">
            <w:pPr>
              <w:jc w:val="center"/>
              <w:rPr>
                <w:rFonts w:hint="eastAsia" w:ascii="宋体" w:hAnsi="宋体" w:eastAsia="宋体" w:cs="宋体"/>
                <w:i w:val="0"/>
                <w:iCs w:val="0"/>
                <w:color w:val="000000"/>
                <w:sz w:val="18"/>
                <w:szCs w:val="18"/>
                <w:u w:val="none"/>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71109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9A15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FFCAF">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BA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7B1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C6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39.75</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D40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39.75</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436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43F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5AB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B8619">
            <w:pPr>
              <w:rPr>
                <w:rFonts w:hint="eastAsia" w:ascii="黑体" w:hAnsi="黑体" w:eastAsia="黑体" w:cs="黑体"/>
                <w:i/>
                <w:iCs/>
                <w:color w:val="000000"/>
                <w:sz w:val="18"/>
                <w:szCs w:val="18"/>
                <w:u w:val="none"/>
              </w:rPr>
            </w:pPr>
          </w:p>
        </w:tc>
      </w:tr>
      <w:tr w14:paraId="7D89C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C051F">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5E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98B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93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76A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522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84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431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F0EE7">
            <w:pPr>
              <w:rPr>
                <w:rFonts w:hint="eastAsia" w:ascii="黑体" w:hAnsi="黑体" w:eastAsia="黑体" w:cs="黑体"/>
                <w:i/>
                <w:iCs/>
                <w:color w:val="000000"/>
                <w:sz w:val="18"/>
                <w:szCs w:val="18"/>
                <w:u w:val="none"/>
              </w:rPr>
            </w:pPr>
          </w:p>
        </w:tc>
      </w:tr>
      <w:tr w14:paraId="1D9A4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E23F2">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31A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99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63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2A3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D26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82B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4DD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85E91">
            <w:pPr>
              <w:rPr>
                <w:rFonts w:hint="eastAsia" w:ascii="黑体" w:hAnsi="黑体" w:eastAsia="黑体" w:cs="黑体"/>
                <w:i/>
                <w:iCs/>
                <w:color w:val="000000"/>
                <w:sz w:val="18"/>
                <w:szCs w:val="18"/>
                <w:u w:val="none"/>
              </w:rPr>
            </w:pPr>
          </w:p>
        </w:tc>
      </w:tr>
      <w:tr w14:paraId="7574B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A0D1A">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CD1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EC32F">
            <w:pPr>
              <w:jc w:val="center"/>
              <w:rPr>
                <w:rFonts w:hint="eastAsia" w:ascii="微软雅黑" w:hAnsi="微软雅黑" w:eastAsia="微软雅黑" w:cs="微软雅黑"/>
                <w:i/>
                <w:iCs/>
                <w:color w:val="000000"/>
                <w:sz w:val="16"/>
                <w:szCs w:val="16"/>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E87F7">
            <w:pPr>
              <w:jc w:val="center"/>
              <w:rPr>
                <w:rFonts w:hint="eastAsia" w:ascii="微软雅黑" w:hAnsi="微软雅黑" w:eastAsia="微软雅黑" w:cs="微软雅黑"/>
                <w:i/>
                <w:iCs/>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E0BBCD">
            <w:pPr>
              <w:jc w:val="center"/>
              <w:rPr>
                <w:rFonts w:hint="eastAsia" w:ascii="微软雅黑" w:hAnsi="微软雅黑" w:eastAsia="微软雅黑" w:cs="微软雅黑"/>
                <w:i/>
                <w:iCs/>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701EE">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7A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7E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04B23">
            <w:pPr>
              <w:rPr>
                <w:rFonts w:hint="eastAsia" w:ascii="黑体" w:hAnsi="黑体" w:eastAsia="黑体" w:cs="黑体"/>
                <w:i/>
                <w:iCs/>
                <w:color w:val="000000"/>
                <w:sz w:val="18"/>
                <w:szCs w:val="18"/>
                <w:u w:val="none"/>
              </w:rPr>
            </w:pPr>
          </w:p>
        </w:tc>
      </w:tr>
      <w:tr w14:paraId="02053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4A4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F43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44C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06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30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AF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461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917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B4A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66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5F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17EF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C27A4">
            <w:pPr>
              <w:jc w:val="center"/>
              <w:rPr>
                <w:rFonts w:hint="eastAsia" w:ascii="宋体" w:hAnsi="宋体" w:eastAsia="宋体" w:cs="宋体"/>
                <w:i w:val="0"/>
                <w:iCs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6CD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74A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147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购买清除工具</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FE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A4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8F1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301D4">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93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68818">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A6FDB">
            <w:pPr>
              <w:jc w:val="center"/>
              <w:rPr>
                <w:rFonts w:hint="eastAsia" w:ascii="微软雅黑" w:hAnsi="微软雅黑" w:eastAsia="微软雅黑" w:cs="微软雅黑"/>
                <w:i/>
                <w:iCs/>
                <w:color w:val="000000"/>
                <w:sz w:val="16"/>
                <w:szCs w:val="16"/>
                <w:u w:val="none"/>
              </w:rPr>
            </w:pPr>
          </w:p>
        </w:tc>
      </w:tr>
      <w:tr w14:paraId="12CF3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80034">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10025">
            <w:pPr>
              <w:jc w:val="center"/>
              <w:rPr>
                <w:rFonts w:hint="eastAsia" w:ascii="宋体" w:hAnsi="宋体" w:eastAsia="宋体" w:cs="宋体"/>
                <w:i w:val="0"/>
                <w:iCs w:val="0"/>
                <w:color w:val="000000"/>
                <w:sz w:val="18"/>
                <w:szCs w:val="18"/>
                <w:u w:val="none"/>
              </w:rPr>
            </w:pPr>
          </w:p>
        </w:tc>
        <w:tc>
          <w:tcPr>
            <w:tcW w:w="6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8DF97">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CED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机房维护次数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96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A71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5D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0FA59">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D3E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3777B">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FFEF2">
            <w:pPr>
              <w:jc w:val="center"/>
              <w:rPr>
                <w:rFonts w:hint="eastAsia" w:ascii="微软雅黑" w:hAnsi="微软雅黑" w:eastAsia="微软雅黑" w:cs="微软雅黑"/>
                <w:i/>
                <w:iCs/>
                <w:color w:val="000000"/>
                <w:sz w:val="16"/>
                <w:szCs w:val="16"/>
                <w:u w:val="none"/>
              </w:rPr>
            </w:pPr>
          </w:p>
        </w:tc>
      </w:tr>
      <w:tr w14:paraId="0F7AF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71B5D">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405BF">
            <w:pPr>
              <w:jc w:val="center"/>
              <w:rPr>
                <w:rFonts w:hint="eastAsia" w:ascii="宋体" w:hAnsi="宋体" w:eastAsia="宋体" w:cs="宋体"/>
                <w:i w:val="0"/>
                <w:iCs w:val="0"/>
                <w:color w:val="000000"/>
                <w:sz w:val="18"/>
                <w:szCs w:val="18"/>
                <w:u w:val="none"/>
              </w:rPr>
            </w:pPr>
          </w:p>
        </w:tc>
        <w:tc>
          <w:tcPr>
            <w:tcW w:w="6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A922A">
            <w:pPr>
              <w:jc w:val="center"/>
              <w:rPr>
                <w:rFonts w:hint="eastAsia" w:ascii="宋体" w:hAnsi="宋体" w:eastAsia="宋体" w:cs="宋体"/>
                <w:i w:val="0"/>
                <w:iCs w:val="0"/>
                <w:color w:val="000000"/>
                <w:sz w:val="18"/>
                <w:szCs w:val="18"/>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EDD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通过内网收发密件数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F1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B7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C5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件</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BCF10">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764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82561">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F9E4A">
            <w:pPr>
              <w:jc w:val="center"/>
              <w:rPr>
                <w:rFonts w:hint="eastAsia" w:ascii="微软雅黑" w:hAnsi="微软雅黑" w:eastAsia="微软雅黑" w:cs="微软雅黑"/>
                <w:i/>
                <w:iCs/>
                <w:color w:val="000000"/>
                <w:sz w:val="16"/>
                <w:szCs w:val="16"/>
                <w:u w:val="none"/>
              </w:rPr>
            </w:pPr>
          </w:p>
        </w:tc>
      </w:tr>
      <w:tr w14:paraId="00F91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AC87B">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2C8A8">
            <w:pPr>
              <w:jc w:val="center"/>
              <w:rPr>
                <w:rFonts w:hint="eastAsia" w:ascii="宋体" w:hAnsi="宋体" w:eastAsia="宋体" w:cs="宋体"/>
                <w:i w:val="0"/>
                <w:iCs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2D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64D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资金使用合规率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59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DA1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10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238C7">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9D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42929">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616CF">
            <w:pPr>
              <w:jc w:val="center"/>
              <w:rPr>
                <w:rFonts w:hint="eastAsia" w:ascii="微软雅黑" w:hAnsi="微软雅黑" w:eastAsia="微软雅黑" w:cs="微软雅黑"/>
                <w:i/>
                <w:iCs/>
                <w:color w:val="000000"/>
                <w:sz w:val="16"/>
                <w:szCs w:val="16"/>
                <w:u w:val="none"/>
              </w:rPr>
            </w:pPr>
          </w:p>
        </w:tc>
      </w:tr>
      <w:tr w14:paraId="2F262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5E145">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3AED2">
            <w:pPr>
              <w:jc w:val="center"/>
              <w:rPr>
                <w:rFonts w:hint="eastAsia" w:ascii="宋体" w:hAnsi="宋体" w:eastAsia="宋体" w:cs="宋体"/>
                <w:i w:val="0"/>
                <w:iCs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61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6E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资金支付时限</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DF8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3F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10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7582C">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59B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61A03">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98133">
            <w:pPr>
              <w:jc w:val="center"/>
              <w:rPr>
                <w:rFonts w:hint="eastAsia" w:ascii="微软雅黑" w:hAnsi="微软雅黑" w:eastAsia="微软雅黑" w:cs="微软雅黑"/>
                <w:i/>
                <w:iCs/>
                <w:color w:val="000000"/>
                <w:sz w:val="16"/>
                <w:szCs w:val="16"/>
                <w:u w:val="none"/>
              </w:rPr>
            </w:pPr>
          </w:p>
        </w:tc>
      </w:tr>
      <w:tr w14:paraId="756FF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45984">
            <w:pPr>
              <w:jc w:val="center"/>
              <w:rPr>
                <w:rFonts w:hint="eastAsia" w:ascii="宋体" w:hAnsi="宋体" w:eastAsia="宋体" w:cs="宋体"/>
                <w:i w:val="0"/>
                <w:iCs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DEF3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97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5C7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泄密次数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C2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AA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6A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3CD9E">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89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521E1">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989A3">
            <w:pPr>
              <w:jc w:val="center"/>
              <w:rPr>
                <w:rFonts w:hint="eastAsia" w:ascii="微软雅黑" w:hAnsi="微软雅黑" w:eastAsia="微软雅黑" w:cs="微软雅黑"/>
                <w:i/>
                <w:iCs/>
                <w:color w:val="000000"/>
                <w:sz w:val="16"/>
                <w:szCs w:val="16"/>
                <w:u w:val="none"/>
              </w:rPr>
            </w:pPr>
          </w:p>
        </w:tc>
      </w:tr>
      <w:tr w14:paraId="1B4E9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AB977">
            <w:pPr>
              <w:jc w:val="center"/>
              <w:rPr>
                <w:rFonts w:hint="eastAsia" w:ascii="宋体" w:hAnsi="宋体" w:eastAsia="宋体" w:cs="宋体"/>
                <w:i w:val="0"/>
                <w:iCs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E9C4A">
            <w:pPr>
              <w:jc w:val="center"/>
              <w:rPr>
                <w:rFonts w:hint="eastAsia" w:ascii="宋体" w:hAnsi="宋体" w:eastAsia="宋体" w:cs="宋体"/>
                <w:i w:val="0"/>
                <w:iCs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653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0FC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保持内网BM环境安全可靠持续发展</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B7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298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持续保持</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CECF8">
            <w:pPr>
              <w:jc w:val="center"/>
              <w:rPr>
                <w:rFonts w:hint="eastAsia" w:ascii="宋体" w:hAnsi="宋体" w:eastAsia="宋体" w:cs="宋体"/>
                <w:i w:val="0"/>
                <w:iCs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6BAD6">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070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D4038">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B9B60">
            <w:pPr>
              <w:jc w:val="center"/>
              <w:rPr>
                <w:rFonts w:hint="eastAsia" w:ascii="微软雅黑" w:hAnsi="微软雅黑" w:eastAsia="微软雅黑" w:cs="微软雅黑"/>
                <w:i/>
                <w:iCs/>
                <w:color w:val="000000"/>
                <w:sz w:val="16"/>
                <w:szCs w:val="16"/>
                <w:u w:val="none"/>
              </w:rPr>
            </w:pPr>
          </w:p>
        </w:tc>
      </w:tr>
      <w:tr w14:paraId="03D68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46234">
            <w:pPr>
              <w:jc w:val="center"/>
              <w:rPr>
                <w:rFonts w:hint="eastAsia" w:ascii="宋体" w:hAnsi="宋体" w:eastAsia="宋体" w:cs="宋体"/>
                <w:i w:val="0"/>
                <w:iCs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0EF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F3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8F1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通过维护，减少线路故障，提升使用满意度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63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3EA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03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93287">
            <w:pPr>
              <w:jc w:val="center"/>
              <w:rPr>
                <w:rFonts w:hint="eastAsia" w:ascii="微软雅黑" w:hAnsi="微软雅黑" w:eastAsia="微软雅黑" w:cs="微软雅黑"/>
                <w:i/>
                <w:iCs/>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A0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89D8D">
            <w:pPr>
              <w:jc w:val="cente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9A2F2">
            <w:pPr>
              <w:jc w:val="center"/>
              <w:rPr>
                <w:rFonts w:hint="eastAsia" w:ascii="微软雅黑" w:hAnsi="微软雅黑" w:eastAsia="微软雅黑" w:cs="微软雅黑"/>
                <w:i/>
                <w:iCs/>
                <w:color w:val="000000"/>
                <w:sz w:val="16"/>
                <w:szCs w:val="16"/>
                <w:u w:val="none"/>
              </w:rPr>
            </w:pPr>
          </w:p>
        </w:tc>
      </w:tr>
      <w:tr w14:paraId="7B87D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5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139F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3D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1AC28">
            <w:pPr>
              <w:rPr>
                <w:rFonts w:hint="eastAsia" w:ascii="宋体" w:hAnsi="宋体" w:eastAsia="宋体" w:cs="宋体"/>
                <w:i w:val="0"/>
                <w:iCs w:val="0"/>
                <w:color w:val="000000"/>
                <w:sz w:val="18"/>
                <w:szCs w:val="18"/>
                <w:u w:val="none"/>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5CDE6">
            <w:pPr>
              <w:rPr>
                <w:rFonts w:hint="eastAsia" w:ascii="宋体" w:hAnsi="宋体" w:eastAsia="宋体" w:cs="宋体"/>
                <w:i w:val="0"/>
                <w:iCs w:val="0"/>
                <w:color w:val="000000"/>
                <w:sz w:val="18"/>
                <w:szCs w:val="18"/>
                <w:u w:val="none"/>
              </w:rPr>
            </w:pPr>
          </w:p>
        </w:tc>
      </w:tr>
      <w:tr w14:paraId="5B8AB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2D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CAD3B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37CE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428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38DAA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6927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6C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9F98D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8E9A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43E7F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C8BD7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158FBB05">
      <w:pPr>
        <w:pStyle w:val="9"/>
        <w:ind w:left="0" w:leftChars="0" w:firstLine="0" w:firstLineChars="0"/>
        <w:rPr>
          <w:rFonts w:ascii="Times New Roman" w:hAnsi="Times New Roman" w:eastAsia="黑体"/>
          <w:sz w:val="24"/>
          <w:szCs w:val="24"/>
        </w:rPr>
      </w:pPr>
    </w:p>
    <w:p w14:paraId="50D79EE0">
      <w:pPr>
        <w:pStyle w:val="9"/>
        <w:ind w:left="0" w:leftChars="0" w:firstLine="0" w:firstLineChars="0"/>
        <w:rPr>
          <w:rFonts w:ascii="Times New Roman" w:hAnsi="Times New Roman" w:eastAsia="黑体"/>
          <w:sz w:val="24"/>
          <w:szCs w:val="24"/>
        </w:rPr>
      </w:pPr>
    </w:p>
    <w:p w14:paraId="248A5B2F">
      <w:pPr>
        <w:pStyle w:val="9"/>
        <w:ind w:left="0" w:leftChars="0" w:firstLine="0" w:firstLineChars="0"/>
        <w:rPr>
          <w:rFonts w:ascii="Times New Roman" w:hAnsi="Times New Roman" w:eastAsia="黑体"/>
          <w:sz w:val="24"/>
          <w:szCs w:val="24"/>
        </w:rPr>
      </w:pPr>
    </w:p>
    <w:p w14:paraId="37FEF977">
      <w:pPr>
        <w:pStyle w:val="9"/>
        <w:ind w:left="0" w:leftChars="0" w:firstLine="0" w:firstLineChars="0"/>
        <w:rPr>
          <w:rFonts w:ascii="Times New Roman" w:hAnsi="Times New Roman" w:eastAsia="黑体"/>
          <w:sz w:val="24"/>
          <w:szCs w:val="24"/>
        </w:rPr>
      </w:pPr>
    </w:p>
    <w:p w14:paraId="753CD8EE">
      <w:pPr>
        <w:pStyle w:val="3"/>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lang w:val="en-US" w:eastAsia="zh-CN"/>
        </w:rPr>
      </w:pPr>
      <w:bookmarkStart w:id="118" w:name="_Toc22349"/>
      <w:bookmarkStart w:id="119" w:name="_Toc13634"/>
      <w:r>
        <w:rPr>
          <w:rStyle w:val="24"/>
          <w:rFonts w:hint="eastAsia" w:ascii="方正公文小标宋" w:hAnsi="方正公文小标宋" w:eastAsia="方正公文小标宋" w:cs="方正公文小标宋"/>
          <w:b/>
          <w:bCs/>
          <w:lang w:val="en-US" w:eastAsia="zh-CN"/>
        </w:rPr>
        <w:t>第五部分 附表</w:t>
      </w:r>
      <w:bookmarkEnd w:id="117"/>
      <w:bookmarkEnd w:id="118"/>
      <w:bookmarkEnd w:id="119"/>
    </w:p>
    <w:p w14:paraId="2ADCE6E9">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0" w:name="_Toc26370"/>
      <w:bookmarkStart w:id="121" w:name="_Toc12986"/>
      <w:bookmarkStart w:id="122" w:name="_Toc32664"/>
      <w:bookmarkStart w:id="123" w:name="_Toc17974"/>
      <w:r>
        <w:rPr>
          <w:rFonts w:hint="eastAsia" w:ascii="仿宋_GB2312" w:hAnsi="仿宋_GB2312" w:eastAsia="仿宋_GB2312" w:cs="仿宋_GB2312"/>
          <w:b w:val="0"/>
          <w:color w:val="000000"/>
          <w:kern w:val="2"/>
          <w:sz w:val="32"/>
          <w:szCs w:val="32"/>
          <w:lang w:bidi="ar-SA"/>
        </w:rPr>
        <w:t>一、收入支出决算总表</w:t>
      </w:r>
      <w:bookmarkEnd w:id="120"/>
      <w:bookmarkEnd w:id="121"/>
      <w:bookmarkEnd w:id="122"/>
      <w:bookmarkEnd w:id="123"/>
    </w:p>
    <w:p w14:paraId="26E1E371">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4" w:name="_Toc13062"/>
      <w:bookmarkStart w:id="125" w:name="_Toc13591"/>
      <w:bookmarkStart w:id="126" w:name="_Toc17312"/>
      <w:bookmarkStart w:id="127" w:name="_Toc21996"/>
      <w:r>
        <w:rPr>
          <w:rFonts w:hint="eastAsia" w:ascii="仿宋_GB2312" w:hAnsi="仿宋_GB2312" w:eastAsia="仿宋_GB2312" w:cs="仿宋_GB2312"/>
          <w:b w:val="0"/>
          <w:color w:val="000000"/>
          <w:kern w:val="2"/>
          <w:sz w:val="32"/>
          <w:szCs w:val="32"/>
          <w:lang w:bidi="ar-SA"/>
        </w:rPr>
        <w:t>二、收入决算表</w:t>
      </w:r>
      <w:bookmarkEnd w:id="124"/>
      <w:bookmarkEnd w:id="125"/>
      <w:bookmarkEnd w:id="126"/>
      <w:bookmarkEnd w:id="127"/>
    </w:p>
    <w:p w14:paraId="72F50B9A">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8" w:name="_Toc29688"/>
      <w:bookmarkStart w:id="129" w:name="_Toc16600"/>
      <w:bookmarkStart w:id="130" w:name="_Toc23427"/>
      <w:bookmarkStart w:id="131" w:name="_Toc23368"/>
      <w:r>
        <w:rPr>
          <w:rFonts w:hint="eastAsia" w:ascii="仿宋_GB2312" w:hAnsi="仿宋_GB2312" w:eastAsia="仿宋_GB2312" w:cs="仿宋_GB2312"/>
          <w:b w:val="0"/>
          <w:color w:val="000000"/>
          <w:kern w:val="2"/>
          <w:sz w:val="32"/>
          <w:szCs w:val="32"/>
          <w:lang w:bidi="ar-SA"/>
        </w:rPr>
        <w:t>三、支出决算表</w:t>
      </w:r>
      <w:bookmarkEnd w:id="128"/>
      <w:bookmarkEnd w:id="129"/>
      <w:bookmarkEnd w:id="130"/>
      <w:bookmarkEnd w:id="131"/>
    </w:p>
    <w:p w14:paraId="1DF4423A">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32" w:name="_Toc31023"/>
      <w:bookmarkStart w:id="133" w:name="_Toc5964"/>
      <w:bookmarkStart w:id="134" w:name="_Toc22487"/>
      <w:bookmarkStart w:id="135" w:name="_Toc26630"/>
      <w:r>
        <w:rPr>
          <w:rFonts w:hint="eastAsia" w:ascii="仿宋_GB2312" w:hAnsi="仿宋_GB2312" w:eastAsia="仿宋_GB2312" w:cs="仿宋_GB2312"/>
          <w:b w:val="0"/>
          <w:color w:val="000000"/>
          <w:kern w:val="2"/>
          <w:sz w:val="32"/>
          <w:szCs w:val="32"/>
          <w:lang w:bidi="ar-SA"/>
        </w:rPr>
        <w:t>四、财政拨款收入支出决算总表</w:t>
      </w:r>
      <w:bookmarkEnd w:id="132"/>
      <w:bookmarkEnd w:id="133"/>
      <w:bookmarkEnd w:id="134"/>
      <w:bookmarkEnd w:id="135"/>
    </w:p>
    <w:p w14:paraId="4BFB117F">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36" w:name="_Toc29494"/>
      <w:bookmarkStart w:id="137" w:name="_Toc19934"/>
      <w:bookmarkStart w:id="138" w:name="_Toc1808"/>
      <w:bookmarkStart w:id="139" w:name="_Toc14273"/>
      <w:r>
        <w:rPr>
          <w:rFonts w:hint="eastAsia" w:ascii="仿宋_GB2312" w:hAnsi="仿宋_GB2312" w:eastAsia="仿宋_GB2312" w:cs="仿宋_GB2312"/>
          <w:b w:val="0"/>
          <w:color w:val="000000"/>
          <w:kern w:val="2"/>
          <w:sz w:val="32"/>
          <w:szCs w:val="32"/>
          <w:lang w:bidi="ar-SA"/>
        </w:rPr>
        <w:t>五、财政拨款支出决算明细表</w:t>
      </w:r>
      <w:bookmarkEnd w:id="136"/>
      <w:bookmarkEnd w:id="137"/>
      <w:bookmarkEnd w:id="138"/>
      <w:bookmarkEnd w:id="139"/>
    </w:p>
    <w:p w14:paraId="3B9C50E8">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40" w:name="_Toc12507"/>
      <w:bookmarkStart w:id="141" w:name="_Toc16449"/>
      <w:bookmarkStart w:id="142" w:name="_Toc6686"/>
      <w:bookmarkStart w:id="143" w:name="_Toc31797"/>
      <w:r>
        <w:rPr>
          <w:rFonts w:hint="eastAsia" w:ascii="仿宋_GB2312" w:hAnsi="仿宋_GB2312" w:eastAsia="仿宋_GB2312" w:cs="仿宋_GB2312"/>
          <w:b w:val="0"/>
          <w:color w:val="000000"/>
          <w:kern w:val="2"/>
          <w:sz w:val="32"/>
          <w:szCs w:val="32"/>
          <w:lang w:bidi="ar-SA"/>
        </w:rPr>
        <w:t>六、一般公共预算财政拨款支出决算表</w:t>
      </w:r>
      <w:bookmarkEnd w:id="140"/>
      <w:bookmarkEnd w:id="141"/>
      <w:bookmarkEnd w:id="142"/>
      <w:bookmarkEnd w:id="143"/>
    </w:p>
    <w:p w14:paraId="21DE40CD">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44" w:name="_Toc16368"/>
      <w:bookmarkStart w:id="145" w:name="_Toc19514"/>
      <w:bookmarkStart w:id="146" w:name="_Toc1541"/>
      <w:bookmarkStart w:id="147" w:name="_Toc3478"/>
      <w:r>
        <w:rPr>
          <w:rFonts w:hint="eastAsia" w:ascii="仿宋_GB2312" w:hAnsi="仿宋_GB2312" w:eastAsia="仿宋_GB2312" w:cs="仿宋_GB2312"/>
          <w:b w:val="0"/>
          <w:color w:val="000000"/>
          <w:kern w:val="2"/>
          <w:sz w:val="32"/>
          <w:szCs w:val="32"/>
          <w:lang w:bidi="ar-SA"/>
        </w:rPr>
        <w:t>七、一般公共预算财政拨款支出决算明细表</w:t>
      </w:r>
      <w:bookmarkEnd w:id="144"/>
      <w:bookmarkEnd w:id="145"/>
      <w:bookmarkEnd w:id="146"/>
      <w:bookmarkEnd w:id="147"/>
    </w:p>
    <w:p w14:paraId="4C3A6B61">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48" w:name="_Toc6418"/>
      <w:bookmarkStart w:id="149" w:name="_Toc191"/>
      <w:bookmarkStart w:id="150" w:name="_Toc6093"/>
      <w:bookmarkStart w:id="151" w:name="_Toc17352"/>
      <w:r>
        <w:rPr>
          <w:rFonts w:hint="eastAsia" w:ascii="仿宋_GB2312" w:hAnsi="仿宋_GB2312" w:eastAsia="仿宋_GB2312" w:cs="仿宋_GB2312"/>
          <w:b w:val="0"/>
          <w:color w:val="000000"/>
          <w:kern w:val="2"/>
          <w:sz w:val="32"/>
          <w:szCs w:val="32"/>
          <w:lang w:bidi="ar-SA"/>
        </w:rPr>
        <w:t>八、一般公共预算财政拨款基本支出决算表</w:t>
      </w:r>
      <w:bookmarkEnd w:id="148"/>
      <w:bookmarkEnd w:id="149"/>
      <w:bookmarkEnd w:id="150"/>
      <w:bookmarkEnd w:id="151"/>
    </w:p>
    <w:p w14:paraId="00E1DD1D">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52" w:name="_Toc3726"/>
      <w:bookmarkStart w:id="153" w:name="_Toc5204"/>
      <w:bookmarkStart w:id="154" w:name="_Toc21507"/>
      <w:bookmarkStart w:id="155" w:name="_Toc7994"/>
      <w:r>
        <w:rPr>
          <w:rFonts w:hint="eastAsia" w:ascii="仿宋_GB2312" w:hAnsi="仿宋_GB2312" w:eastAsia="仿宋_GB2312" w:cs="仿宋_GB2312"/>
          <w:b w:val="0"/>
          <w:color w:val="000000"/>
          <w:kern w:val="2"/>
          <w:sz w:val="32"/>
          <w:szCs w:val="32"/>
          <w:lang w:bidi="ar-SA"/>
        </w:rPr>
        <w:t>九、一般公共预算财政拨款项目支出决算表</w:t>
      </w:r>
      <w:bookmarkEnd w:id="152"/>
      <w:bookmarkEnd w:id="153"/>
      <w:bookmarkEnd w:id="154"/>
      <w:bookmarkEnd w:id="155"/>
    </w:p>
    <w:p w14:paraId="4DAF4722">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56" w:name="_Toc10765"/>
      <w:bookmarkStart w:id="157" w:name="_Toc20056"/>
      <w:bookmarkStart w:id="158" w:name="_Toc20756"/>
      <w:bookmarkStart w:id="159" w:name="_Toc3367"/>
      <w:r>
        <w:rPr>
          <w:rFonts w:hint="eastAsia" w:ascii="仿宋_GB2312" w:hAnsi="仿宋_GB2312" w:eastAsia="仿宋_GB2312" w:cs="仿宋_GB2312"/>
          <w:b w:val="0"/>
          <w:color w:val="000000"/>
          <w:kern w:val="2"/>
          <w:sz w:val="32"/>
          <w:szCs w:val="32"/>
          <w:lang w:bidi="ar-SA"/>
        </w:rPr>
        <w:t>十、政府性基金预算财政拨款收入支出决算表</w:t>
      </w:r>
      <w:bookmarkEnd w:id="156"/>
      <w:bookmarkEnd w:id="157"/>
      <w:bookmarkEnd w:id="158"/>
      <w:bookmarkEnd w:id="159"/>
    </w:p>
    <w:p w14:paraId="0221FFF8">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60" w:name="_Toc13849"/>
      <w:bookmarkStart w:id="161" w:name="_Toc31709"/>
      <w:bookmarkStart w:id="162" w:name="_Toc4375"/>
      <w:bookmarkStart w:id="163" w:name="_Toc21387"/>
      <w:r>
        <w:rPr>
          <w:rFonts w:hint="eastAsia" w:ascii="仿宋_GB2312" w:hAnsi="仿宋_GB2312" w:eastAsia="仿宋_GB2312" w:cs="仿宋_GB2312"/>
          <w:b w:val="0"/>
          <w:color w:val="000000"/>
          <w:kern w:val="2"/>
          <w:sz w:val="32"/>
          <w:szCs w:val="32"/>
          <w:lang w:bidi="ar-SA"/>
        </w:rPr>
        <w:t>十一、国有资本经营预算财政拨款收入支出决算表</w:t>
      </w:r>
      <w:bookmarkEnd w:id="160"/>
      <w:bookmarkEnd w:id="161"/>
      <w:bookmarkEnd w:id="162"/>
      <w:bookmarkEnd w:id="163"/>
    </w:p>
    <w:p w14:paraId="54E2B96B">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64" w:name="_Toc1140"/>
      <w:bookmarkStart w:id="165" w:name="_Toc4354"/>
      <w:bookmarkStart w:id="166" w:name="_Toc19745"/>
      <w:bookmarkStart w:id="167" w:name="_Toc13099"/>
      <w:r>
        <w:rPr>
          <w:rFonts w:hint="eastAsia" w:ascii="仿宋_GB2312" w:hAnsi="仿宋_GB2312" w:eastAsia="仿宋_GB2312" w:cs="仿宋_GB2312"/>
          <w:b w:val="0"/>
          <w:color w:val="000000"/>
          <w:kern w:val="2"/>
          <w:sz w:val="32"/>
          <w:szCs w:val="32"/>
          <w:lang w:bidi="ar-SA"/>
        </w:rPr>
        <w:t>十二、国有资本经营预算财政拨款支出决算表</w:t>
      </w:r>
      <w:bookmarkEnd w:id="164"/>
      <w:bookmarkEnd w:id="165"/>
      <w:bookmarkEnd w:id="166"/>
      <w:bookmarkEnd w:id="167"/>
    </w:p>
    <w:p w14:paraId="69247B89">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68" w:name="_Toc19849"/>
      <w:bookmarkStart w:id="169" w:name="_Toc24957"/>
      <w:bookmarkStart w:id="170" w:name="_Toc25065"/>
      <w:bookmarkStart w:id="171" w:name="_Toc32676"/>
      <w:r>
        <w:rPr>
          <w:rFonts w:hint="eastAsia" w:ascii="仿宋_GB2312" w:hAnsi="仿宋_GB2312" w:eastAsia="仿宋_GB2312" w:cs="仿宋_GB2312"/>
          <w:b w:val="0"/>
          <w:color w:val="000000"/>
          <w:kern w:val="2"/>
          <w:sz w:val="32"/>
          <w:szCs w:val="32"/>
          <w:lang w:bidi="ar-SA"/>
        </w:rPr>
        <w:t>十三、财政拨款“三公”经费支出决算表</w:t>
      </w:r>
      <w:bookmarkEnd w:id="168"/>
      <w:bookmarkEnd w:id="169"/>
      <w:bookmarkEnd w:id="170"/>
      <w:bookmarkEnd w:id="171"/>
    </w:p>
    <w:p w14:paraId="4DCBDF58"/>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公文小标宋">
    <w:altName w:val="方正小标宋简体"/>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Lucida Sans">
    <w:panose1 w:val="020B0602030504020204"/>
    <w:charset w:val="01"/>
    <w:family w:val="auto"/>
    <w:pitch w:val="default"/>
    <w:sig w:usb0="00000003" w:usb1="00000000" w:usb2="00000000" w:usb3="00000000" w:csb0="2000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4414713"/>
    </w:sdtPr>
    <w:sdtContent>
      <w:p w14:paraId="57B49A2E">
        <w:pPr>
          <w:pStyle w:val="12"/>
          <w:jc w:val="center"/>
        </w:pPr>
        <w:r>
          <w:fldChar w:fldCharType="begin"/>
        </w:r>
        <w:r>
          <w:instrText xml:space="preserve">PAGE   \* MERGEFORMAT</w:instrText>
        </w:r>
        <w:r>
          <w:fldChar w:fldCharType="separate"/>
        </w:r>
        <w:r>
          <w:rPr>
            <w:lang w:val="zh-CN"/>
          </w:rPr>
          <w:t>4</w:t>
        </w:r>
        <w:r>
          <w:fldChar w:fldCharType="end"/>
        </w:r>
      </w:p>
    </w:sdtContent>
  </w:sdt>
  <w:p w14:paraId="391214C5">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158F3">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MzlkY2FlNmExNzFhNGJlNGE5OGJlODk5MTVmZWVhZjcifQ=="/>
  </w:docVars>
  <w:rsids>
    <w:rsidRoot w:val="00000000"/>
    <w:rsid w:val="005C4610"/>
    <w:rsid w:val="0332625F"/>
    <w:rsid w:val="040C0819"/>
    <w:rsid w:val="04CC1D57"/>
    <w:rsid w:val="05687F3F"/>
    <w:rsid w:val="07EA7730"/>
    <w:rsid w:val="0DCD25AD"/>
    <w:rsid w:val="0DE94428"/>
    <w:rsid w:val="0E0407B3"/>
    <w:rsid w:val="0E26661C"/>
    <w:rsid w:val="12C03809"/>
    <w:rsid w:val="13767E00"/>
    <w:rsid w:val="145557D4"/>
    <w:rsid w:val="17743191"/>
    <w:rsid w:val="1C81466D"/>
    <w:rsid w:val="1D436C02"/>
    <w:rsid w:val="203B64EB"/>
    <w:rsid w:val="20DE5A3C"/>
    <w:rsid w:val="25C84CB1"/>
    <w:rsid w:val="2A0A2A5E"/>
    <w:rsid w:val="2C0A1FAF"/>
    <w:rsid w:val="2D265BF9"/>
    <w:rsid w:val="34337579"/>
    <w:rsid w:val="36370A15"/>
    <w:rsid w:val="36A54032"/>
    <w:rsid w:val="36D90503"/>
    <w:rsid w:val="377F4CE4"/>
    <w:rsid w:val="3ABB2076"/>
    <w:rsid w:val="3E023997"/>
    <w:rsid w:val="3FB6F6BC"/>
    <w:rsid w:val="450E7246"/>
    <w:rsid w:val="46607763"/>
    <w:rsid w:val="4A1171AC"/>
    <w:rsid w:val="4BBF1BD0"/>
    <w:rsid w:val="4CC1057D"/>
    <w:rsid w:val="4CD55C99"/>
    <w:rsid w:val="4DEF76DE"/>
    <w:rsid w:val="500B0F52"/>
    <w:rsid w:val="55F12998"/>
    <w:rsid w:val="56843FDA"/>
    <w:rsid w:val="57E24C8E"/>
    <w:rsid w:val="5B8D4F11"/>
    <w:rsid w:val="5DCA1C93"/>
    <w:rsid w:val="60EB23F6"/>
    <w:rsid w:val="62E179C1"/>
    <w:rsid w:val="637D7170"/>
    <w:rsid w:val="63E853DA"/>
    <w:rsid w:val="64D8544F"/>
    <w:rsid w:val="65B8426E"/>
    <w:rsid w:val="65BB4478"/>
    <w:rsid w:val="6A6D79F3"/>
    <w:rsid w:val="6EA27C91"/>
    <w:rsid w:val="6F2D1B33"/>
    <w:rsid w:val="702C664F"/>
    <w:rsid w:val="71B42DA0"/>
    <w:rsid w:val="71D92CBD"/>
    <w:rsid w:val="75483F2B"/>
    <w:rsid w:val="799D3C84"/>
    <w:rsid w:val="7BCD0B59"/>
    <w:rsid w:val="7C613B24"/>
    <w:rsid w:val="7E285D62"/>
    <w:rsid w:val="E387508D"/>
    <w:rsid w:val="FEF7C7BB"/>
    <w:rsid w:val="FF636029"/>
    <w:rsid w:val="FFBFD7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680"/>
    </w:pPr>
  </w:style>
  <w:style w:type="paragraph" w:styleId="6">
    <w:name w:val="annotation text"/>
    <w:basedOn w:val="1"/>
    <w:qFormat/>
    <w:uiPriority w:val="0"/>
    <w:pPr>
      <w:jc w:val="left"/>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hAnsi="仿宋_GB2312"/>
      <w:szCs w:val="32"/>
    </w:rPr>
  </w:style>
  <w:style w:type="paragraph" w:styleId="9">
    <w:name w:val="Body Text First Indent 2"/>
    <w:basedOn w:val="8"/>
    <w:qFormat/>
    <w:uiPriority w:val="0"/>
    <w:pPr>
      <w:ind w:firstLine="200" w:firstLineChars="200"/>
    </w:p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footnote text"/>
    <w:basedOn w:val="1"/>
    <w:next w:val="9"/>
    <w:qFormat/>
    <w:uiPriority w:val="0"/>
    <w:pPr>
      <w:snapToGrid w:val="0"/>
      <w:jc w:val="left"/>
    </w:pPr>
    <w:rPr>
      <w:sz w:val="18"/>
      <w:szCs w:val="18"/>
    </w:rPr>
  </w:style>
  <w:style w:type="paragraph" w:styleId="16">
    <w:name w:val="table of figures"/>
    <w:basedOn w:val="1"/>
    <w:next w:val="1"/>
    <w:qFormat/>
    <w:uiPriority w:val="0"/>
    <w:pPr>
      <w:ind w:left="400" w:leftChars="200" w:hanging="200" w:hangingChars="200"/>
    </w:pPr>
  </w:style>
  <w:style w:type="paragraph" w:styleId="17">
    <w:name w:val="toc 2"/>
    <w:basedOn w:val="1"/>
    <w:next w:val="1"/>
    <w:qFormat/>
    <w:uiPriority w:val="0"/>
    <w:pPr>
      <w:tabs>
        <w:tab w:val="right" w:leader="dot" w:pos="8296"/>
      </w:tabs>
      <w:ind w:left="200" w:leftChars="200"/>
    </w:pPr>
  </w:style>
  <w:style w:type="paragraph" w:styleId="18">
    <w:name w:val="Normal (Web)"/>
    <w:basedOn w:val="1"/>
    <w:qFormat/>
    <w:uiPriority w:val="0"/>
    <w:pPr>
      <w:spacing w:beforeAutospacing="1" w:afterAutospacing="1"/>
    </w:pPr>
    <w:rPr>
      <w:rFonts w:cs="Times New Roman"/>
      <w:sz w:val="24"/>
      <w:lang w:eastAsia="zh-CN" w:bidi="ar-SA"/>
    </w:r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character" w:customStyle="1" w:styleId="24">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6">
    <w:name w:val="Header Char"/>
    <w:basedOn w:val="20"/>
    <w:qFormat/>
    <w:uiPriority w:val="0"/>
    <w:rPr>
      <w:rFonts w:ascii="Times New Roman" w:hAnsi="Times New Roman"/>
      <w:sz w:val="18"/>
      <w:szCs w:val="18"/>
    </w:rPr>
  </w:style>
  <w:style w:type="character" w:customStyle="1" w:styleId="27">
    <w:name w:val="Footer Char"/>
    <w:basedOn w:val="20"/>
    <w:qFormat/>
    <w:uiPriority w:val="0"/>
    <w:rPr>
      <w:rFonts w:ascii="Times New Roman" w:hAnsi="Times New Roman"/>
      <w:sz w:val="18"/>
      <w:szCs w:val="18"/>
    </w:rPr>
  </w:style>
  <w:style w:type="character" w:customStyle="1" w:styleId="28">
    <w:name w:val="Body Text Char"/>
    <w:basedOn w:val="20"/>
    <w:qFormat/>
    <w:uiPriority w:val="0"/>
    <w:rPr>
      <w:rFonts w:ascii="Times New Roman" w:hAnsi="Times New Roman"/>
      <w:szCs w:val="24"/>
    </w:rPr>
  </w:style>
  <w:style w:type="paragraph" w:styleId="29">
    <w:name w:val="List Paragraph"/>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1">
    <w:name w:val="Normal363950e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
    <w:name w:val="Default Paragraph Font830522c6"/>
    <w:qFormat/>
    <w:uiPriority w:val="0"/>
  </w:style>
  <w:style w:type="paragraph" w:customStyle="1" w:styleId="33">
    <w:name w:val="Normal31da962d"/>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4">
    <w:name w:val="Default Paragraph Font5"/>
    <w:qFormat/>
    <w:uiPriority w:val="0"/>
  </w:style>
  <w:style w:type="paragraph" w:customStyle="1" w:styleId="35">
    <w:name w:val="footerce85b5ec"/>
    <w:basedOn w:val="33"/>
    <w:qFormat/>
    <w:uiPriority w:val="0"/>
    <w:pPr>
      <w:tabs>
        <w:tab w:val="center" w:pos="4153"/>
        <w:tab w:val="right" w:pos="8306"/>
      </w:tabs>
      <w:snapToGrid w:val="0"/>
      <w:jc w:val="left"/>
    </w:pPr>
    <w:rPr>
      <w:kern w:val="0"/>
      <w:sz w:val="18"/>
      <w:szCs w:val="20"/>
    </w:rPr>
  </w:style>
  <w:style w:type="paragraph" w:customStyle="1" w:styleId="36">
    <w:name w:val="headerf7e0821f"/>
    <w:basedOn w:val="33"/>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37">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232"/>
          <c:y val="0.0088963965"/>
          <c:w val="0.8623782"/>
          <c:h val="0.8260135"/>
        </c:manualLayout>
      </c:layout>
      <c:barChart>
        <c:barDir val="col"/>
        <c:grouping val="clustered"/>
        <c:varyColors val="0"/>
        <c:ser>
          <c:idx val="0"/>
          <c:order val="0"/>
          <c:tx>
            <c:strRef>
              <c:f>Sheet1!$B$1</c:f>
              <c:strCache>
                <c:ptCount val="1"/>
                <c:pt idx="0">
                  <c:v>金额</c:v>
                </c:pt>
              </c:strCache>
            </c:strRef>
          </c:tx>
          <c:spPr>
            <a:gradFill rotWithShape="1">
              <a:gsLst>
                <a:gs pos="0">
                  <a:srgbClr val="4F81BD">
                    <a:alpha val="100000"/>
                  </a:srgbClr>
                </a:gs>
                <a:gs pos="100000">
                  <a:srgbClr val="3D6CA4">
                    <a:alpha val="100000"/>
                  </a:srgbClr>
                </a:gs>
              </a:gsLst>
              <a:lin ang="5400000" scaled="1"/>
            </a:gradFill>
            <a:ln>
              <a:noFill/>
            </a:ln>
            <a:effectLst>
              <a:outerShdw dist="35921" dir="2700000" algn="br">
                <a:srgbClr val="000000"/>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2024年收入</c:v>
                </c:pt>
                <c:pt idx="1">
                  <c:v>2024年支出</c:v>
                </c:pt>
                <c:pt idx="2">
                  <c:v>2025年收入</c:v>
                </c:pt>
                <c:pt idx="3">
                  <c:v>2025年支出</c:v>
                </c:pt>
              </c:strCache>
            </c:strRef>
          </c:cat>
          <c:val>
            <c:numRef>
              <c:f>Sheet1!$B$2:$B$5</c:f>
              <c:numCache>
                <c:formatCode>General</c:formatCode>
                <c:ptCount val="4"/>
                <c:pt idx="0">
                  <c:v>1120.6</c:v>
                </c:pt>
                <c:pt idx="1">
                  <c:v>1120.6</c:v>
                </c:pt>
                <c:pt idx="2">
                  <c:v>1100.18</c:v>
                </c:pt>
                <c:pt idx="3">
                  <c:v>1100.18</c:v>
                </c:pt>
              </c:numCache>
            </c:numRef>
          </c:val>
        </c:ser>
        <c:dLbls>
          <c:showLegendKey val="0"/>
          <c:showVal val="1"/>
          <c:showCatName val="0"/>
          <c:showSerName val="0"/>
          <c:showPercent val="0"/>
          <c:showBubbleSize val="0"/>
        </c:dLbls>
        <c:gapWidth val="41"/>
        <c:axId val="0"/>
        <c:axId val="1"/>
      </c:barChart>
      <c:catAx>
        <c:axId val="0"/>
        <c:scaling>
          <c:orientation val="minMax"/>
        </c:scaling>
        <c:delete val="0"/>
        <c:axPos val="b"/>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0"/>
        <c:crossesAt val="1"/>
        <c:crossBetween val="between"/>
      </c:valAx>
      <c:spPr>
        <a:noFill/>
        <a:ln>
          <a:noFill/>
        </a:ln>
      </c:spPr>
    </c:plotArea>
    <c:plotVisOnly val="1"/>
    <c:dispBlanksAs val="gap"/>
    <c:showDLblsOverMax val="0"/>
    <c:extLst>
      <c:ext uri="{0b15fc19-7d7d-44ad-8c2d-2c3a37ce22c3}">
        <chartProps xmlns="https://web.wps.cn/et/2018/main" chartId="{206de357-15e3-40e1-a8da-e1802ec16535}"/>
      </c:ext>
    </c:extLst>
  </c:chart>
  <c:spPr>
    <a:gradFill rotWithShape="1">
      <a:gsLst>
        <a:gs pos="0">
          <a:srgbClr val="FFFFFF">
            <a:alpha val="100000"/>
          </a:srgbClr>
        </a:gs>
        <a:gs pos="68000">
          <a:srgbClr val="D9D9D9">
            <a:alpha val="100000"/>
          </a:srgbClr>
        </a:gs>
        <a:gs pos="100000">
          <a:srgbClr val="FFFFFF">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1"/>
          <c:order val="0"/>
          <c:spPr>
            <a:ln>
              <a:noFill/>
            </a:ln>
          </c:spPr>
          <c:explosion val="0"/>
          <c:dPt>
            <c:idx val="0"/>
            <c:bubble3D val="0"/>
            <c:spPr>
              <a:solidFill>
                <a:srgbClr val="4572A8"/>
              </a:solidFill>
              <a:ln>
                <a:noFill/>
              </a:ln>
              <a:effectLst>
                <a:outerShdw dist="35921" dir="2700000" algn="br">
                  <a:srgbClr val="000000"/>
                </a:outerShdw>
              </a:effectLst>
            </c:spPr>
          </c:dPt>
          <c:dPt>
            <c:idx val="1"/>
            <c:bubble3D val="0"/>
            <c:spPr>
              <a:solidFill>
                <a:srgbClr val="AA4643"/>
              </a:solidFill>
              <a:ln>
                <a:noFill/>
              </a:ln>
              <a:effectLst>
                <a:outerShdw dist="35921" dir="2700000" algn="br">
                  <a:srgbClr val="000000"/>
                </a:outerShdw>
              </a:effectLst>
            </c:spPr>
          </c:dPt>
          <c:dPt>
            <c:idx val="2"/>
            <c:bubble3D val="0"/>
            <c:spPr>
              <a:solidFill>
                <a:srgbClr val="89A64E"/>
              </a:solidFill>
              <a:ln>
                <a:noFill/>
              </a:ln>
              <a:effectLst>
                <a:outerShdw dist="35921" dir="2700000" algn="br">
                  <a:srgbClr val="000000"/>
                </a:outerShdw>
              </a:effectLst>
            </c:spPr>
          </c:dPt>
          <c:dPt>
            <c:idx val="3"/>
            <c:bubble3D val="0"/>
            <c:spPr>
              <a:solidFill>
                <a:srgbClr val="715890"/>
              </a:solidFill>
              <a:ln>
                <a:noFill/>
              </a:ln>
              <a:effectLst>
                <a:outerShdw dist="35921" dir="2700000" algn="br">
                  <a:srgbClr val="000000"/>
                </a:outerShdw>
              </a:effectLst>
            </c:spPr>
          </c:dPt>
          <c:dPt>
            <c:idx val="4"/>
            <c:bubble3D val="0"/>
            <c:spPr>
              <a:solidFill>
                <a:srgbClr val="4299B0"/>
              </a:solidFill>
              <a:ln>
                <a:noFill/>
              </a:ln>
              <a:effectLst>
                <a:outerShdw dist="35921" dir="2700000" algn="br">
                  <a:srgbClr val="000000"/>
                </a:outerShdw>
              </a:effectLst>
            </c:spPr>
          </c:dPt>
          <c:dPt>
            <c:idx val="5"/>
            <c:bubble3D val="0"/>
            <c:spPr>
              <a:solidFill>
                <a:srgbClr val="DC853D"/>
              </a:solidFill>
              <a:ln>
                <a:noFill/>
              </a:ln>
              <a:effectLst>
                <a:outerShdw dist="35921" dir="2700000" algn="br">
                  <a:srgbClr val="000000"/>
                </a:outerShdw>
              </a:effectLst>
            </c:spPr>
          </c:dPt>
          <c:dPt>
            <c:idx val="6"/>
            <c:bubble3D val="0"/>
            <c:spPr>
              <a:solidFill>
                <a:srgbClr val="93AACF"/>
              </a:solidFill>
              <a:ln>
                <a:noFill/>
              </a:ln>
              <a:effectLst>
                <a:outerShdw dist="35921" dir="2700000" algn="br">
                  <a:srgbClr val="000000"/>
                </a:outerShdw>
              </a:effectLst>
            </c:spPr>
          </c:dPt>
          <c:dPt>
            <c:idx val="7"/>
            <c:bubble3D val="0"/>
            <c:spPr>
              <a:solidFill>
                <a:srgbClr val="D19493"/>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panose="020B0602030504020204"/>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{12537102.67,0,0,0,0,0,0,0}</c:f>
              <c:numCache>
                <c:formatCode>General</c:formatCode>
                <c:ptCount val="8"/>
                <c:pt idx="0">
                  <c:v>12537102.67</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legend>
    <c:plotVisOnly val="1"/>
    <c:dispBlanksAs val="zero"/>
    <c:showDLblsOverMax val="0"/>
    <c:extLst>
      <c:ext uri="{0b15fc19-7d7d-44ad-8c2d-2c3a37ce22c3}">
        <chartProps xmlns="https://web.wps.cn/et/2018/main" chartId="{79078ab9-30c7-46c9-a689-bbdf5dad3afc}"/>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panose="020B0602030504020204"/>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(3)'!$A$2:$A$6</c:f>
              <c:strCache>
                <c:ptCount val="5"/>
                <c:pt idx="0">
                  <c:v>基本支出</c:v>
                </c:pt>
                <c:pt idx="1">
                  <c:v>项目支出</c:v>
                </c:pt>
                <c:pt idx="2">
                  <c:v>上级上缴支出</c:v>
                </c:pt>
                <c:pt idx="3">
                  <c:v>经营支出</c:v>
                </c:pt>
                <c:pt idx="4">
                  <c:v>对附属单位补助支出</c:v>
                </c:pt>
              </c:strCache>
            </c:strRef>
          </c:cat>
          <c:val>
            <c:numRef>
              <c:f>'Sheet1 (3)'!$B$2:$B$6</c:f>
              <c:numCache>
                <c:formatCode>General</c:formatCode>
                <c:ptCount val="5"/>
                <c:pt idx="0">
                  <c:v>912.6</c:v>
                </c:pt>
                <c:pt idx="1">
                  <c:v>208</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legend>
    <c:plotVisOnly val="1"/>
    <c:dispBlanksAs val="gap"/>
    <c:showDLblsOverMax val="0"/>
    <c:extLst>
      <c:ext uri="{0b15fc19-7d7d-44ad-8c2d-2c3a37ce22c3}">
        <chartProps xmlns="https://web.wps.cn/et/2018/main" chartId="{5a02298a-6749-4480-8917-801b499e3749}"/>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0249402"/>
          <c:y val="0.01225991"/>
          <c:w val="0.8623782"/>
          <c:h val="0.8260135"/>
        </c:manualLayout>
      </c:layout>
      <c:barChart>
        <c:barDir val="col"/>
        <c:grouping val="clustered"/>
        <c:varyColors val="0"/>
        <c:ser>
          <c:idx val="0"/>
          <c:order val="0"/>
          <c:tx>
            <c:strRef>
              <c:f>'Sheet1 (4)'!$B$1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(4)'!$A$2:$A$5</c:f>
              <c:strCache>
                <c:ptCount val="4"/>
                <c:pt idx="0">
                  <c:v>2025年收入</c:v>
                </c:pt>
                <c:pt idx="1">
                  <c:v>2025年支出</c:v>
                </c:pt>
                <c:pt idx="2">
                  <c:v>2024年收入</c:v>
                </c:pt>
                <c:pt idx="3">
                  <c:v>2024年支出</c:v>
                </c:pt>
              </c:strCache>
            </c:strRef>
          </c:cat>
          <c:val>
            <c:numRef>
              <c:f>'Sheet1 (4)'!$B$2:$B$5</c:f>
              <c:numCache>
                <c:formatCode>General</c:formatCode>
                <c:ptCount val="4"/>
                <c:pt idx="0">
                  <c:v>1100.18</c:v>
                </c:pt>
                <c:pt idx="1">
                  <c:v>1100.18</c:v>
                </c:pt>
                <c:pt idx="2">
                  <c:v>1120.6</c:v>
                </c:pt>
                <c:pt idx="3">
                  <c:v>1120.6</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0"/>
        <c:crossesAt val="1"/>
        <c:crossBetween val="between"/>
      </c:valAx>
      <c:spPr>
        <a:noFill/>
        <a:ln>
          <a:noFill/>
        </a:ln>
      </c:spPr>
    </c:plotArea>
    <c:plotVisOnly val="1"/>
    <c:dispBlanksAs val="gap"/>
    <c:showDLblsOverMax val="0"/>
    <c:extLst>
      <c:ext uri="{0b15fc19-7d7d-44ad-8c2d-2c3a37ce22c3}">
        <chartProps xmlns="https://web.wps.cn/et/2018/main" chartId="{76aa10f7-5afa-4136-ad2f-8aa3ae883cc1}"/>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04402"/>
          <c:y val="0.040242426"/>
          <c:w val="0.8623782"/>
          <c:h val="0.8260135"/>
        </c:manualLayout>
      </c:layout>
      <c:barChart>
        <c:barDir val="col"/>
        <c:grouping val="clustered"/>
        <c:varyColors val="0"/>
        <c:ser>
          <c:idx val="0"/>
          <c:order val="0"/>
          <c:tx>
            <c:strRef>
              <c:f>'Sheet1 (5)'!$B$1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2025年</c:v>
                </c:pt>
                <c:pt idx="1">
                  <c:v>2024年</c:v>
                </c:pt>
              </c:strCache>
            </c:strRef>
          </c:cat>
          <c:val>
            <c:numRef>
              <c:f>'Sheet1 (5)'!$B$2:$B$3</c:f>
              <c:numCache>
                <c:formatCode>General</c:formatCode>
                <c:ptCount val="2"/>
                <c:pt idx="0">
                  <c:v>1100.18</c:v>
                </c:pt>
                <c:pt idx="1">
                  <c:v>1120.6</c:v>
                </c:pt>
              </c:numCache>
            </c:numRef>
          </c:val>
        </c:ser>
        <c:dLbls>
          <c:showLegendKey val="0"/>
          <c:showVal val="1"/>
          <c:showCatName val="0"/>
          <c:showSerName val="0"/>
          <c:showPercent val="0"/>
          <c:showBubbleSize val="0"/>
        </c:dLbls>
        <c:gapWidth val="75"/>
        <c:axId val="0"/>
        <c:axId val="1"/>
      </c:barChart>
      <c:catAx>
        <c:axId val="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0"/>
        <c:crossesAt val="1"/>
        <c:crossBetween val="between"/>
      </c:valAx>
      <c:spPr>
        <a:solidFill>
          <a:srgbClr val="FFFFFF"/>
        </a:solidFill>
      </c:spPr>
    </c:plotArea>
    <c:plotVisOnly val="1"/>
    <c:dispBlanksAs val="gap"/>
    <c:showDLblsOverMax val="0"/>
    <c:extLst>
      <c:ext uri="{0b15fc19-7d7d-44ad-8c2d-2c3a37ce22c3}">
        <chartProps xmlns="https://web.wps.cn/et/2018/main" chartId="{ae8f3543-352a-4390-bc4f-5cdb13c44e6c}"/>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金额</c:v>
                </c:pt>
              </c:strCache>
            </c:strRef>
          </c:tx>
          <c:spPr>
            <a:ln>
              <a:noFill/>
            </a:ln>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一般公共服务支出79.59%</c:v>
                </c:pt>
                <c:pt idx="1">
                  <c:v>社会保障和就业支出10.32%</c:v>
                </c:pt>
                <c:pt idx="2">
                  <c:v>卫生健康支出4.20%</c:v>
                </c:pt>
                <c:pt idx="3">
                  <c:v>住房保障支出5.89%</c:v>
                </c:pt>
              </c:strCache>
            </c:strRef>
          </c:cat>
          <c:val>
            <c:numRef>
              <c:f>'Sheet1 (6)'!$B$2:$B$5</c:f>
              <c:numCache>
                <c:formatCode>General</c:formatCode>
                <c:ptCount val="4"/>
                <c:pt idx="0">
                  <c:v>875.59</c:v>
                </c:pt>
                <c:pt idx="1">
                  <c:v>113.57</c:v>
                </c:pt>
                <c:pt idx="2">
                  <c:v>46.25</c:v>
                </c:pt>
                <c:pt idx="3">
                  <c:v>64.77</c:v>
                </c:pt>
              </c:numCache>
            </c:numRef>
          </c:val>
        </c:ser>
        <c:ser>
          <c:idx val="1"/>
          <c:order val="1"/>
          <c:spPr>
            <a:ln>
              <a:noFill/>
            </a:ln>
          </c:spPr>
          <c:explosion val="0"/>
          <c:dPt>
            <c:idx val="0"/>
            <c:bubble3D val="0"/>
            <c:spPr>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一般公共服务支出79.59%</c:v>
                </c:pt>
                <c:pt idx="1">
                  <c:v>社会保障和就业支出10.32%</c:v>
                </c:pt>
                <c:pt idx="2">
                  <c:v>卫生健康支出4.20%</c:v>
                </c:pt>
                <c:pt idx="3">
                  <c:v>住房保障支出5.89%</c:v>
                </c:pt>
              </c:strCache>
            </c:strRef>
          </c:cat>
          <c:val>
            <c:numRef>
              <c:f>{1}</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c:spPr>
    </c:plotArea>
    <c:legend>
      <c:legendPos val="r"/>
      <c:layout>
        <c:manualLayout>
          <c:xMode val="edge"/>
          <c:yMode val="edge"/>
          <c:x val="0.67723846"/>
          <c:y val="0.084125675"/>
          <c:w val="0.31807625"/>
          <c:h val="0.86161566"/>
        </c:manualLayout>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legend>
    <c:plotVisOnly val="1"/>
    <c:dispBlanksAs val="gap"/>
    <c:showDLblsOverMax val="0"/>
    <c:extLst>
      <c:ext uri="{0b15fc19-7d7d-44ad-8c2d-2c3a37ce22c3}">
        <chartProps xmlns="https://web.wps.cn/et/2018/main" chartId="{c21326c5-c3cf-41d4-8f96-d323f827341e}"/>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panose="020B0602030504020204"/>
              </a:defRPr>
            </a:pPr>
            <a:r>
              <a:rPr lang="zh-CN"/>
              <a:t>三公经费</a:t>
            </a:r>
            <a:endParaRPr lang="zh-CN"/>
          </a:p>
        </c:rich>
      </c:tx>
      <c:layout/>
      <c:overlay val="0"/>
      <c:spPr>
        <a:noFill/>
        <a:ln>
          <a:noFill/>
        </a:ln>
      </c:spPr>
    </c:title>
    <c:autoTitleDeleted val="0"/>
    <c:plotArea>
      <c:layout/>
      <c:pieChart>
        <c:varyColors val="1"/>
        <c:ser>
          <c:idx val="0"/>
          <c:order val="0"/>
          <c:tx>
            <c:strRef>
              <c:f>'Sheet1 (7)'!$B$1</c:f>
              <c:strCache>
                <c:ptCount val="1"/>
                <c:pt idx="0">
                  <c:v>三公经费</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(7)'!$A$2:$A$5</c:f>
              <c:strCache>
                <c:ptCount val="4"/>
                <c:pt idx="0">
                  <c:v>公务接待费0.19%</c:v>
                </c:pt>
                <c:pt idx="1">
                  <c:v>公务用车购置费0%</c:v>
                </c:pt>
                <c:pt idx="2">
                  <c:v>公车运行维护费99.81%</c:v>
                </c:pt>
                <c:pt idx="3">
                  <c:v>因公出国（境）费0%</c:v>
                </c:pt>
              </c:strCache>
            </c:strRef>
          </c:cat>
          <c:val>
            <c:numRef>
              <c:f>'Sheet1 (7)'!$B$2:$B$5</c:f>
              <c:numCache>
                <c:formatCode>General</c:formatCode>
                <c:ptCount val="4"/>
                <c:pt idx="0">
                  <c:v>0.13</c:v>
                </c:pt>
                <c:pt idx="1">
                  <c:v>0</c:v>
                </c:pt>
                <c:pt idx="2">
                  <c:v>67.8</c:v>
                </c:pt>
                <c:pt idx="3">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
    <c:plotVisOnly val="1"/>
    <c:dispBlanksAs val="gap"/>
    <c:showDLblsOverMax val="0"/>
    <c:extLst>
      <c:ext uri="{0b15fc19-7d7d-44ad-8c2d-2c3a37ce22c3}">
        <chartProps xmlns="https://web.wps.cn/et/2018/main" chartId="{74a40281-5f03-4b47-bda2-c240029a5e47}"/>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23</Pages>
  <Words>8199</Words>
  <Characters>9196</Characters>
  <Lines>666</Lines>
  <Paragraphs>299</Paragraphs>
  <TotalTime>2</TotalTime>
  <ScaleCrop>false</ScaleCrop>
  <LinksUpToDate>false</LinksUpToDate>
  <CharactersWithSpaces>9248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2022-08-18T01:31:00Z</dcterms:created>
  <dc:creator>lgk</dc:creator>
  <cp:lastModifiedBy>蔻蔻</cp:lastModifiedBy>
  <cp:lastPrinted>2026-08-25T15:24:00Z</cp:lastPrinted>
  <dcterms:modified xsi:type="dcterms:W3CDTF">2026-08-25T08:23:40Z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B93CA6F4BEAD4F359769D1203595D585</vt:lpwstr>
  </property>
  <property fmtid="{D5CDD505-2E9C-101B-9397-08002B2CF9AE}" pid="4" name="KSOTemplateDocerSaveRecord">
    <vt:lpwstr>eyJoZGlkIjoiMDYxYjM2YWY4Y2Y3NmFlZWZjNjI1Y2UyZWJhNWZhMDUiLCJ1c2VySWQiOiI1OTk0MDM5NjkifQ==</vt:lpwstr>
  </property>
</Properties>
</file>