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黑体" w:eastAsia="黑体"/>
          <w:sz w:val="72"/>
          <w:szCs w:val="72"/>
        </w:rPr>
      </w:pPr>
      <w:bookmarkStart w:id="1" w:name="_Toc15377193"/>
      <w:bookmarkStart w:id="2" w:name="_Toc15396475"/>
      <w:bookmarkStart w:id="3" w:name="_Toc15377425"/>
      <w:bookmarkStart w:id="4" w:name="_Toc15396597"/>
      <w:bookmarkStart w:id="5" w:name="_Toc15378441"/>
      <w:r>
        <w:rPr>
          <w:rFonts w:hint="eastAsia" w:ascii="方正小标宋简体" w:eastAsia="方正小标宋简体"/>
          <w:sz w:val="72"/>
          <w:szCs w:val="72"/>
        </w:rPr>
        <w:t>2021年度</w:t>
      </w:r>
      <w:bookmarkEnd w:id="1"/>
      <w:bookmarkEnd w:id="2"/>
      <w:bookmarkEnd w:id="3"/>
      <w:bookmarkEnd w:id="4"/>
      <w:bookmarkEnd w:id="5"/>
    </w:p>
    <w:p>
      <w:pPr>
        <w:jc w:val="center"/>
        <w:rPr>
          <w:rFonts w:ascii="方正小标宋简体" w:eastAsia="方正小标宋简体"/>
          <w:sz w:val="72"/>
          <w:szCs w:val="72"/>
        </w:rPr>
      </w:pPr>
      <w:bookmarkStart w:id="6" w:name="_Toc15378442"/>
      <w:bookmarkStart w:id="7" w:name="_Toc15377426"/>
      <w:bookmarkStart w:id="8" w:name="_Toc15377194"/>
      <w:bookmarkStart w:id="9" w:name="_Toc15396598"/>
      <w:bookmarkStart w:id="10" w:name="_Toc15396476"/>
      <w:r>
        <w:rPr>
          <w:rFonts w:hint="eastAsia" w:ascii="方正小标宋简体" w:eastAsia="方正小标宋简体"/>
          <w:sz w:val="72"/>
          <w:szCs w:val="72"/>
        </w:rPr>
        <w:t>四川省</w:t>
      </w:r>
      <w:bookmarkEnd w:id="0"/>
      <w:bookmarkStart w:id="11" w:name="_Toc15306268"/>
      <w:r>
        <w:rPr>
          <w:rFonts w:hint="eastAsia" w:ascii="方正小标宋简体" w:eastAsia="方正小标宋简体"/>
          <w:sz w:val="72"/>
          <w:szCs w:val="72"/>
        </w:rPr>
        <w:t>茂县人大常委会办公室信息和预算联网中心</w:t>
      </w:r>
      <w:r>
        <w:rPr>
          <w:rFonts w:hint="eastAsia" w:ascii="方正小标宋简体" w:eastAsia="方正小标宋简体"/>
          <w:sz w:val="72"/>
          <w:szCs w:val="72"/>
          <w:lang w:eastAsia="zh-CN"/>
        </w:rPr>
        <w:t>单位</w:t>
      </w:r>
      <w:r>
        <w:rPr>
          <w:rFonts w:hint="eastAsia" w:ascii="方正小标宋简体" w:eastAsia="方正小标宋简体"/>
          <w:sz w:val="72"/>
          <w:szCs w:val="72"/>
        </w:rPr>
        <w:t>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320" w:firstLineChars="100"/>
        <w:jc w:val="left"/>
        <w:rPr>
          <w:rFonts w:ascii="宋体"/>
          <w:sz w:val="32"/>
          <w:szCs w:val="32"/>
        </w:rPr>
      </w:pPr>
      <w:r>
        <w:rPr>
          <w:rFonts w:hint="eastAsia" w:ascii="宋体" w:cs="仿宋_GB2312"/>
          <w:sz w:val="32"/>
          <w:szCs w:val="32"/>
        </w:rPr>
        <w:t>保密审查情况：</w:t>
      </w:r>
    </w:p>
    <w:p>
      <w:pPr>
        <w:autoSpaceDE w:val="0"/>
        <w:autoSpaceDN w:val="0"/>
        <w:adjustRightInd w:val="0"/>
        <w:ind w:firstLine="320" w:firstLineChars="100"/>
        <w:jc w:val="left"/>
        <w:rPr>
          <w:rFonts w:ascii="宋体"/>
          <w:sz w:val="32"/>
          <w:szCs w:val="32"/>
        </w:rPr>
      </w:pPr>
      <w:r>
        <w:rPr>
          <w:rFonts w:hint="eastAsia" w:ascii="宋体"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4"/>
        <w:jc w:val="center"/>
        <w:rPr>
          <w:b w:val="0"/>
          <w:bCs w:val="0"/>
          <w:sz w:val="24"/>
          <w:szCs w:val="24"/>
        </w:rPr>
      </w:pPr>
      <w:r>
        <w:rPr>
          <w:rFonts w:hint="eastAsia"/>
          <w:b w:val="0"/>
          <w:bCs w:val="0"/>
          <w:sz w:val="24"/>
          <w:szCs w:val="24"/>
        </w:rPr>
        <w:t>公开时间：202</w:t>
      </w:r>
      <w:r>
        <w:rPr>
          <w:b w:val="0"/>
          <w:bCs w:val="0"/>
          <w:sz w:val="24"/>
          <w:szCs w:val="24"/>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TOC \o \u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第一部分 部门概况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_Toc79163851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一、基本职能及主要工作</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_Toc79163852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（一）主要职能。</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_Toc79163853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（二）2021年重点工作完成情况。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rPr>
        <w:fldChar w:fldCharType="begin"/>
      </w:r>
      <w:r>
        <w:rPr>
          <w:rFonts w:hint="eastAsia" w:ascii="仿宋_GB2312" w:hAnsi="仿宋_GB2312" w:eastAsia="仿宋_GB2312" w:cs="仿宋_GB2312"/>
          <w:b w:val="0"/>
          <w:bCs w:val="0"/>
          <w:caps w:val="0"/>
          <w:sz w:val="28"/>
          <w:szCs w:val="28"/>
        </w:rPr>
        <w:instrText xml:space="preserve"> PAGEREF _Toc79163854 \h </w:instrText>
      </w:r>
      <w:r>
        <w:rPr>
          <w:rFonts w:hint="eastAsia" w:ascii="仿宋_GB2312" w:hAnsi="仿宋_GB2312" w:eastAsia="仿宋_GB2312" w:cs="仿宋_GB2312"/>
          <w:b w:val="0"/>
          <w:bCs w:val="0"/>
          <w:caps w:val="0"/>
          <w:sz w:val="28"/>
          <w:szCs w:val="28"/>
        </w:rPr>
        <w:fldChar w:fldCharType="separate"/>
      </w:r>
      <w:r>
        <w:rPr>
          <w:rFonts w:hint="eastAsia" w:ascii="仿宋_GB2312" w:hAnsi="仿宋_GB2312" w:eastAsia="仿宋_GB2312" w:cs="仿宋_GB2312"/>
          <w:b w:val="0"/>
          <w:bCs w:val="0"/>
          <w:caps w:val="0"/>
          <w:sz w:val="28"/>
          <w:szCs w:val="28"/>
        </w:rPr>
        <w:t>4</w:t>
      </w:r>
      <w:r>
        <w:rPr>
          <w:rFonts w:hint="eastAsia" w:ascii="仿宋_GB2312" w:hAnsi="仿宋_GB2312" w:eastAsia="仿宋_GB2312" w:cs="仿宋_GB2312"/>
          <w:b w:val="0"/>
          <w:bCs w:val="0"/>
          <w:caps w:val="0"/>
          <w:sz w:val="28"/>
          <w:szCs w:val="28"/>
        </w:rPr>
        <w:fldChar w:fldCharType="end"/>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二、机构设置</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4</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第二部分 2021年度部门决算情况说明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5</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5</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二、收入决算情况说明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5</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三、支出决算情况说明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四、财政拨款收入支出决算总体情况说明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五、一般公共预算财政拨款支出决算情况说明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（一）一般公共预算财政拨款支出决算总体情况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（二）一般公共预算财政拨款支出决算结构情况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eastAsia="zh-CN"/>
        </w:rPr>
      </w:pPr>
      <w:r>
        <w:rPr>
          <w:rFonts w:hint="eastAsia" w:ascii="仿宋_GB2312" w:hAnsi="仿宋_GB2312" w:eastAsia="仿宋_GB2312" w:cs="仿宋_GB2312"/>
          <w:b w:val="0"/>
          <w:bCs w:val="0"/>
          <w:caps w:val="0"/>
          <w:sz w:val="28"/>
          <w:szCs w:val="28"/>
        </w:rPr>
        <w:t>（三）一般公共预算财政拨款支出决算具体情况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6</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六、一般公共预算财政拨款基本支出决算情况说明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8</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七、“三公”经费财政拨款支出决算情况说明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八、政府性基金预算支出决算情况说明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九、 国有资本经营预算支出决算情况说明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十、其他重要事项的情况说明</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（一）机关运行经费支出情况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（二）政府采购支出情况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（三）国有资产占有使用情况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（四）预算绩效管理情况。</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9</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第三部分 名词解释</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11</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第四部分 附件</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14</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第五部分 附表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default" w:ascii="仿宋_GB2312" w:hAnsi="仿宋_GB2312" w:eastAsia="仿宋_GB2312" w:cs="仿宋_GB2312"/>
          <w:b w:val="0"/>
          <w:bCs w:val="0"/>
          <w:caps w:val="0"/>
          <w:sz w:val="28"/>
          <w:szCs w:val="28"/>
          <w:lang w:val="en-US" w:eastAsia="zh-CN"/>
        </w:rPr>
      </w:pPr>
      <w:r>
        <w:rPr>
          <w:rFonts w:hint="eastAsia" w:ascii="仿宋_GB2312" w:hAnsi="仿宋_GB2312" w:eastAsia="仿宋_GB2312" w:cs="仿宋_GB2312"/>
          <w:b w:val="0"/>
          <w:bCs w:val="0"/>
          <w:caps w:val="0"/>
          <w:sz w:val="28"/>
          <w:szCs w:val="28"/>
        </w:rPr>
        <w:t>一、收入支出决算总表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二、收入决算表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三、支出决算表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四、财政拨款收入支出决算总表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五、财政拨款支出决算明细表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六、一般公共预算财政拨款支出决算表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七、一般公共预算财政拨款支出决算明细表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八、一般公共预算财政拨款基本支出决算表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九、一般公共预算财政拨款项目支出决算表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十、一般公共预算财政拨款“三公”经费支出决算表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十一、政府性基金预算财政拨款收入支出决算表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十二、政府性基金预算财政拨款“三公”经费支出决算表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十三、国有资本经营预算财政拨款支出决算表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p>
    <w:p>
      <w:pPr>
        <w:pStyle w:val="14"/>
        <w:tabs>
          <w:tab w:val="right" w:leader="dot" w:pos="8296"/>
        </w:tabs>
        <w:adjustRightInd w:val="0"/>
        <w:snapToGrid w:val="0"/>
        <w:spacing w:before="0" w:after="0" w:line="440" w:lineRule="exact"/>
        <w:jc w:val="left"/>
        <w:rPr>
          <w:rFonts w:hint="eastAsia" w:ascii="仿宋_GB2312" w:hAnsi="仿宋_GB2312" w:eastAsia="仿宋_GB2312" w:cs="仿宋_GB2312"/>
          <w:b w:val="0"/>
          <w:bCs w:val="0"/>
          <w:caps w:val="0"/>
          <w:sz w:val="28"/>
          <w:szCs w:val="28"/>
        </w:rPr>
      </w:pPr>
      <w:r>
        <w:rPr>
          <w:rFonts w:hint="eastAsia" w:ascii="仿宋_GB2312" w:hAnsi="仿宋_GB2312" w:eastAsia="仿宋_GB2312" w:cs="仿宋_GB2312"/>
          <w:b w:val="0"/>
          <w:bCs w:val="0"/>
          <w:caps w:val="0"/>
          <w:sz w:val="28"/>
          <w:szCs w:val="28"/>
        </w:rPr>
        <w:t>十四、国有资本经营预算财政拨款支出决算表</w:t>
      </w:r>
      <w:r>
        <w:rPr>
          <w:rFonts w:hint="eastAsia" w:ascii="仿宋_GB2312" w:hAnsi="仿宋_GB2312" w:eastAsia="仿宋_GB2312" w:cs="仿宋_GB2312"/>
          <w:b w:val="0"/>
          <w:bCs w:val="0"/>
          <w:caps w:val="0"/>
          <w:sz w:val="28"/>
          <w:szCs w:val="28"/>
        </w:rPr>
        <w:tab/>
      </w:r>
      <w:r>
        <w:rPr>
          <w:rFonts w:hint="eastAsia" w:ascii="仿宋_GB2312" w:hAnsi="仿宋_GB2312" w:eastAsia="仿宋_GB2312" w:cs="仿宋_GB2312"/>
          <w:b w:val="0"/>
          <w:bCs w:val="0"/>
          <w:caps w:val="0"/>
          <w:sz w:val="28"/>
          <w:szCs w:val="28"/>
          <w:lang w:val="en-US" w:eastAsia="zh-CN"/>
        </w:rPr>
        <w:t>18</w:t>
      </w:r>
      <w:r>
        <w:rPr>
          <w:rFonts w:hint="eastAsia" w:ascii="仿宋_GB2312" w:hAnsi="仿宋_GB2312" w:eastAsia="仿宋_GB2312" w:cs="仿宋_GB2312"/>
          <w:b w:val="0"/>
          <w:bCs w:val="0"/>
          <w:caps w:val="0"/>
          <w:sz w:val="28"/>
          <w:szCs w:val="28"/>
        </w:rPr>
        <w:fldChar w:fldCharType="end"/>
      </w: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3"/>
        <w:jc w:val="center"/>
        <w:rPr>
          <w:rStyle w:val="23"/>
          <w:rFonts w:ascii="黑体" w:eastAsia="黑体"/>
          <w:b/>
          <w:bCs w:val="0"/>
        </w:rPr>
      </w:pPr>
      <w:bookmarkStart w:id="14" w:name="_Toc79163601"/>
      <w:bookmarkStart w:id="15" w:name="_Toc79163851"/>
      <w:r>
        <w:rPr>
          <w:rFonts w:hint="eastAsia" w:ascii="黑体" w:eastAsia="黑体"/>
          <w:b w:val="0"/>
        </w:rPr>
        <w:t>第一部分</w:t>
      </w:r>
      <w:r>
        <w:rPr>
          <w:rFonts w:ascii="黑体" w:eastAsia="黑体"/>
          <w:b w:val="0"/>
        </w:rPr>
        <w:t xml:space="preserve"> </w:t>
      </w:r>
      <w:r>
        <w:rPr>
          <w:rStyle w:val="23"/>
          <w:rFonts w:hint="eastAsia" w:asci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4"/>
          <w:rFonts w:ascii="仿宋" w:eastAsia="仿宋"/>
          <w:b w:val="0"/>
          <w:bCs w:val="0"/>
        </w:rPr>
      </w:pPr>
      <w:bookmarkStart w:id="16" w:name="_Toc79163602"/>
      <w:bookmarkStart w:id="17" w:name="_Toc15377197"/>
      <w:bookmarkStart w:id="18" w:name="_Toc79163852"/>
      <w:bookmarkStart w:id="19" w:name="_Toc15396600"/>
      <w:r>
        <w:rPr>
          <w:rFonts w:hint="eastAsia" w:ascii="黑体" w:eastAsia="黑体"/>
          <w:b w:val="0"/>
          <w:color w:val="000000"/>
        </w:rPr>
        <w:t>一、基</w:t>
      </w:r>
      <w:r>
        <w:rPr>
          <w:rStyle w:val="24"/>
          <w:rFonts w:hint="eastAsia" w:ascii="黑体" w:eastAsia="黑体"/>
          <w:b w:val="0"/>
          <w:bCs w:val="0"/>
        </w:rPr>
        <w:t>本职能及主要工作</w:t>
      </w:r>
      <w:bookmarkEnd w:id="16"/>
      <w:bookmarkEnd w:id="17"/>
      <w:bookmarkEnd w:id="18"/>
      <w:bookmarkEnd w:id="19"/>
    </w:p>
    <w:p>
      <w:pPr>
        <w:ind w:firstLine="642" w:firstLineChars="200"/>
        <w:rPr>
          <w:rFonts w:hint="eastAsia" w:ascii="仿宋_GB2312" w:eastAsia="仿宋_GB2312" w:hAnsiTheme="majorEastAsia"/>
          <w:sz w:val="32"/>
          <w:szCs w:val="32"/>
        </w:rPr>
      </w:pPr>
      <w:bookmarkStart w:id="20" w:name="_Toc15378446"/>
      <w:bookmarkStart w:id="21" w:name="_Toc15377199"/>
      <w:bookmarkStart w:id="22" w:name="_Toc79163854"/>
      <w:bookmarkStart w:id="23" w:name="_Toc79163604"/>
      <w:r>
        <w:rPr>
          <w:rFonts w:hint="eastAsia" w:ascii="楷体_GB2312" w:hAnsi="仿宋" w:eastAsia="楷体_GB2312"/>
          <w:b/>
          <w:bCs/>
          <w:color w:val="000000"/>
          <w:sz w:val="32"/>
          <w:szCs w:val="32"/>
        </w:rPr>
        <w:t>（一）主要职能</w:t>
      </w:r>
      <w:r>
        <w:rPr>
          <w:rFonts w:hint="eastAsia" w:ascii="仿宋" w:hAnsi="仿宋" w:eastAsia="仿宋"/>
          <w:bCs/>
          <w:color w:val="000000"/>
          <w:sz w:val="32"/>
          <w:szCs w:val="32"/>
        </w:rPr>
        <w:t>：</w:t>
      </w:r>
      <w:r>
        <w:rPr>
          <w:rFonts w:hint="eastAsia" w:ascii="仿宋_GB2312" w:eastAsia="仿宋_GB2312" w:hAnsiTheme="majorEastAsia"/>
          <w:sz w:val="32"/>
          <w:szCs w:val="32"/>
        </w:rPr>
        <w:t>负责县人大常委会机关信息网络和网站的建设、维护；收集、整理人大工作信息，宣传人大制度和民主法制建设；编写人大会议《公报》、大事记和领导的工作日志；组织编写人大年鉴和县人大志；负责县本级预算联网审查监督平台的日常管理、预算联网审查监督的事务性工作及行政辅助工作；完成县人大常委会办公室交办的其他任务。</w:t>
      </w:r>
    </w:p>
    <w:bookmarkEnd w:id="20"/>
    <w:bookmarkEnd w:id="21"/>
    <w:bookmarkEnd w:id="22"/>
    <w:bookmarkEnd w:id="23"/>
    <w:p>
      <w:pPr>
        <w:spacing w:line="600" w:lineRule="exact"/>
        <w:ind w:firstLine="642" w:firstLineChars="200"/>
        <w:outlineLvl w:val="1"/>
        <w:rPr>
          <w:rFonts w:ascii="楷体_GB2312" w:hAnsi="仿宋" w:eastAsia="楷体_GB2312"/>
          <w:b/>
          <w:bCs/>
          <w:color w:val="000000"/>
          <w:sz w:val="32"/>
          <w:szCs w:val="32"/>
        </w:rPr>
      </w:pPr>
      <w:r>
        <w:rPr>
          <w:rFonts w:hint="eastAsia" w:ascii="楷体_GB2312" w:hAnsi="仿宋" w:eastAsia="楷体_GB2312"/>
          <w:b/>
          <w:bCs/>
          <w:color w:val="000000"/>
          <w:sz w:val="32"/>
          <w:szCs w:val="32"/>
        </w:rPr>
        <w:t>（二）</w:t>
      </w:r>
      <w:r>
        <w:rPr>
          <w:rFonts w:ascii="楷体_GB2312" w:hAnsi="仿宋" w:eastAsia="楷体_GB2312"/>
          <w:b/>
          <w:bCs/>
          <w:color w:val="000000"/>
          <w:sz w:val="32"/>
          <w:szCs w:val="32"/>
        </w:rPr>
        <w:t>20</w:t>
      </w:r>
      <w:r>
        <w:rPr>
          <w:rFonts w:hint="eastAsia" w:ascii="楷体_GB2312" w:hAnsi="仿宋" w:eastAsia="楷体_GB2312"/>
          <w:b/>
          <w:bCs/>
          <w:color w:val="000000"/>
          <w:sz w:val="32"/>
          <w:szCs w:val="32"/>
          <w:lang w:val="en-US" w:eastAsia="zh-CN"/>
        </w:rPr>
        <w:t>21</w:t>
      </w:r>
      <w:r>
        <w:rPr>
          <w:rFonts w:hint="eastAsia" w:ascii="楷体_GB2312" w:hAnsi="仿宋" w:eastAsia="楷体_GB2312"/>
          <w:b/>
          <w:bCs/>
          <w:color w:val="000000"/>
          <w:sz w:val="32"/>
          <w:szCs w:val="32"/>
        </w:rPr>
        <w:t>年重点工作完成情况</w:t>
      </w:r>
    </w:p>
    <w:p>
      <w:pPr>
        <w:ind w:firstLine="640" w:firstLineChars="200"/>
        <w:rPr>
          <w:rFonts w:hint="eastAsia" w:ascii="仿宋_GB2312" w:eastAsia="仿宋_GB2312" w:hAnsiTheme="majorEastAsia"/>
          <w:sz w:val="32"/>
          <w:szCs w:val="32"/>
        </w:rPr>
      </w:pPr>
      <w:bookmarkStart w:id="24" w:name="_Toc79163855"/>
      <w:bookmarkStart w:id="25" w:name="_Toc15377200"/>
      <w:bookmarkStart w:id="26" w:name="_Toc15396601"/>
      <w:bookmarkStart w:id="27" w:name="_Toc79163605"/>
      <w:r>
        <w:rPr>
          <w:rFonts w:hint="eastAsia" w:ascii="仿宋_GB2312" w:eastAsia="仿宋_GB2312" w:hAnsiTheme="majorEastAsia"/>
          <w:sz w:val="32"/>
          <w:szCs w:val="32"/>
          <w:lang w:val="en-US" w:eastAsia="zh-CN"/>
        </w:rPr>
        <w:t>2021年完成了</w:t>
      </w:r>
      <w:r>
        <w:rPr>
          <w:rFonts w:hint="eastAsia" w:ascii="仿宋_GB2312" w:eastAsia="仿宋_GB2312" w:hAnsiTheme="majorEastAsia"/>
          <w:sz w:val="32"/>
          <w:szCs w:val="32"/>
        </w:rPr>
        <w:t>县人大常委会机关信息网络和网站的</w:t>
      </w:r>
      <w:r>
        <w:rPr>
          <w:rFonts w:hint="eastAsia" w:ascii="仿宋_GB2312" w:eastAsia="仿宋_GB2312" w:hAnsiTheme="majorEastAsia"/>
          <w:sz w:val="32"/>
          <w:szCs w:val="32"/>
          <w:lang w:eastAsia="zh-CN"/>
        </w:rPr>
        <w:t>日常</w:t>
      </w:r>
      <w:r>
        <w:rPr>
          <w:rFonts w:hint="eastAsia" w:ascii="仿宋_GB2312" w:eastAsia="仿宋_GB2312" w:hAnsiTheme="majorEastAsia"/>
          <w:sz w:val="32"/>
          <w:szCs w:val="32"/>
        </w:rPr>
        <w:t>维护；收集、整理人大工作信息，县本级预算联网审查监督平台的日常管理、预算联网审查监督的事务性工作及行政辅助工作；完成县人大常委会办公室交办的其他任务。</w:t>
      </w:r>
    </w:p>
    <w:p>
      <w:pPr>
        <w:spacing w:line="580" w:lineRule="exact"/>
        <w:ind w:firstLine="645"/>
        <w:rPr>
          <w:rStyle w:val="24"/>
          <w:rFonts w:hint="eastAsia" w:ascii="黑体" w:eastAsia="黑体"/>
          <w:b w:val="0"/>
          <w:bCs w:val="0"/>
        </w:rPr>
      </w:pPr>
      <w:r>
        <w:rPr>
          <w:rStyle w:val="24"/>
          <w:rFonts w:hint="eastAsia" w:ascii="黑体" w:eastAsia="黑体"/>
          <w:b w:val="0"/>
          <w:bCs w:val="0"/>
        </w:rPr>
        <w:t>二、机构设置</w:t>
      </w:r>
      <w:bookmarkEnd w:id="24"/>
      <w:bookmarkEnd w:id="25"/>
      <w:bookmarkEnd w:id="26"/>
      <w:bookmarkEnd w:id="27"/>
    </w:p>
    <w:p>
      <w:pPr>
        <w:pStyle w:val="7"/>
        <w:adjustRightInd w:val="0"/>
        <w:snapToGrid w:val="0"/>
        <w:spacing w:before="93" w:line="500" w:lineRule="exact"/>
        <w:ind w:firstLine="672" w:firstLineChars="210"/>
        <w:rPr>
          <w:color w:val="000000"/>
          <w:kern w:val="2"/>
          <w:sz w:val="32"/>
          <w:szCs w:val="32"/>
        </w:rPr>
      </w:pPr>
      <w:r>
        <w:rPr>
          <w:rFonts w:hint="eastAsia" w:ascii="仿宋_GB2312" w:eastAsia="仿宋_GB2312" w:hAnsiTheme="majorEastAsia"/>
          <w:sz w:val="32"/>
          <w:szCs w:val="32"/>
        </w:rPr>
        <w:t>茂县人大常委会办公室信息和预算联网中心</w:t>
      </w:r>
      <w:r>
        <w:rPr>
          <w:rFonts w:hint="eastAsia" w:hAnsiTheme="majorEastAsia"/>
          <w:sz w:val="32"/>
          <w:szCs w:val="32"/>
          <w:lang w:eastAsia="zh-CN"/>
        </w:rPr>
        <w:t>属于</w:t>
      </w:r>
      <w:r>
        <w:rPr>
          <w:rFonts w:hint="eastAsia"/>
          <w:color w:val="000000"/>
          <w:kern w:val="2"/>
          <w:sz w:val="32"/>
          <w:szCs w:val="32"/>
          <w:lang w:val="en-US" w:eastAsia="zh-CN"/>
        </w:rPr>
        <w:t>事业单位</w:t>
      </w:r>
      <w:r>
        <w:rPr>
          <w:rFonts w:hint="eastAsia"/>
          <w:color w:val="000000"/>
          <w:kern w:val="2"/>
          <w:sz w:val="32"/>
          <w:szCs w:val="32"/>
        </w:rPr>
        <w:t>。</w:t>
      </w:r>
    </w:p>
    <w:p>
      <w:pPr>
        <w:widowControl/>
        <w:jc w:val="left"/>
        <w:rPr>
          <w:rFonts w:hint="eastAsia" w:ascii="黑体" w:eastAsia="黑体"/>
          <w:b w:val="0"/>
          <w:color w:val="000000"/>
        </w:rPr>
      </w:pPr>
      <w:bookmarkStart w:id="28" w:name="_Toc15377204"/>
      <w:bookmarkStart w:id="29" w:name="_Toc79163609"/>
      <w:bookmarkStart w:id="30" w:name="_Toc79163859"/>
      <w:bookmarkStart w:id="31" w:name="_Toc15396602"/>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left"/>
        <w:rPr>
          <w:rFonts w:hint="eastAsia" w:ascii="黑体" w:eastAsia="黑体"/>
          <w:b w:val="0"/>
          <w:color w:val="000000"/>
        </w:rPr>
      </w:pPr>
    </w:p>
    <w:p>
      <w:pPr>
        <w:widowControl/>
        <w:jc w:val="center"/>
        <w:rPr>
          <w:rStyle w:val="23"/>
          <w:rFonts w:ascii="黑体" w:eastAsia="黑体"/>
          <w:b w:val="0"/>
          <w:bCs w:val="0"/>
        </w:rPr>
      </w:pPr>
      <w:r>
        <w:rPr>
          <w:rStyle w:val="23"/>
          <w:rFonts w:hint="eastAsia" w:ascii="黑体" w:eastAsia="黑体"/>
          <w:b w:val="0"/>
          <w:bCs w:val="0"/>
        </w:rPr>
        <w:t>第二部分 2021年度部门决算情况说明</w:t>
      </w:r>
      <w:bookmarkEnd w:id="28"/>
      <w:bookmarkEnd w:id="29"/>
      <w:bookmarkEnd w:id="30"/>
      <w:bookmarkEnd w:id="31"/>
    </w:p>
    <w:p/>
    <w:p>
      <w:pPr>
        <w:pStyle w:val="29"/>
        <w:numPr>
          <w:ilvl w:val="0"/>
          <w:numId w:val="1"/>
        </w:numPr>
        <w:spacing w:line="600" w:lineRule="exact"/>
        <w:ind w:firstLineChars="0"/>
        <w:outlineLvl w:val="1"/>
        <w:rPr>
          <w:rStyle w:val="24"/>
          <w:rFonts w:ascii="黑体" w:eastAsia="黑体"/>
          <w:b w:val="0"/>
        </w:rPr>
      </w:pPr>
      <w:bookmarkStart w:id="32" w:name="_Toc79163860"/>
      <w:bookmarkStart w:id="33" w:name="_Toc15377205"/>
      <w:bookmarkStart w:id="34" w:name="_Toc15396603"/>
      <w:bookmarkStart w:id="35" w:name="_Toc79163610"/>
      <w:r>
        <w:rPr>
          <w:rFonts w:hint="eastAsia" w:ascii="黑体" w:eastAsia="黑体"/>
          <w:color w:val="000000"/>
          <w:sz w:val="32"/>
          <w:szCs w:val="32"/>
        </w:rPr>
        <w:t>收</w:t>
      </w:r>
      <w:r>
        <w:rPr>
          <w:rStyle w:val="24"/>
          <w:rFonts w:hint="eastAsia" w:ascii="黑体" w:eastAsia="黑体"/>
          <w:b w:val="0"/>
        </w:rPr>
        <w:t>入支出决算总体情况说明</w:t>
      </w:r>
      <w:bookmarkEnd w:id="32"/>
      <w:bookmarkEnd w:id="33"/>
      <w:bookmarkEnd w:id="34"/>
      <w:bookmarkEnd w:id="35"/>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47.82</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年相比，收、支总计各</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7.4</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工资福利的增加。</w:t>
      </w:r>
    </w:p>
    <w:p>
      <w:pPr>
        <w:spacing w:line="600" w:lineRule="exact"/>
        <w:ind w:firstLine="640" w:firstLineChars="200"/>
        <w:jc w:val="left"/>
        <w:rPr>
          <w:rFonts w:ascii="仿宋_GB2312" w:eastAsia="仿宋_GB2312"/>
          <w:color w:val="000000"/>
          <w:sz w:val="32"/>
          <w:szCs w:val="32"/>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bookmarkStart w:id="36" w:name="_Toc79163611"/>
      <w:bookmarkStart w:id="37" w:name="_Toc15377206"/>
      <w:bookmarkStart w:id="38" w:name="_Toc15396604"/>
      <w:bookmarkStart w:id="39" w:name="_Toc79163861"/>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648970</wp:posOffset>
            </wp:positionH>
            <wp:positionV relativeFrom="paragraph">
              <wp:posOffset>106680</wp:posOffset>
            </wp:positionV>
            <wp:extent cx="3248025" cy="1876425"/>
            <wp:effectExtent l="4445" t="4445" r="5080" b="508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Fonts w:hint="eastAsia" w:ascii="黑体" w:eastAsia="黑体"/>
          <w:color w:val="000000"/>
          <w:sz w:val="32"/>
          <w:szCs w:val="32"/>
          <w:lang w:eastAsia="zh-CN"/>
        </w:rPr>
      </w:pPr>
    </w:p>
    <w:p>
      <w:pPr>
        <w:pStyle w:val="29"/>
        <w:numPr>
          <w:ilvl w:val="0"/>
          <w:numId w:val="0"/>
        </w:numPr>
        <w:spacing w:line="600" w:lineRule="exact"/>
        <w:ind w:firstLine="640" w:firstLineChars="200"/>
        <w:outlineLvl w:val="1"/>
        <w:rPr>
          <w:rStyle w:val="24"/>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4"/>
          <w:rFonts w:hint="eastAsia" w:ascii="黑体" w:eastAsia="黑体"/>
          <w:b w:val="0"/>
        </w:rPr>
        <w:t>入决算情况说明</w:t>
      </w:r>
      <w:bookmarkEnd w:id="36"/>
      <w:bookmarkEnd w:id="37"/>
      <w:bookmarkEnd w:id="38"/>
      <w:bookmarkEnd w:id="39"/>
    </w:p>
    <w:p>
      <w:pPr>
        <w:spacing w:line="600" w:lineRule="exact"/>
        <w:ind w:firstLine="640" w:firstLineChars="200"/>
        <w:rPr>
          <w:rFonts w:hint="eastAsia" w:ascii="仿宋_GB2312" w:eastAsia="仿宋"/>
          <w:color w:val="FF0000"/>
          <w:sz w:val="32"/>
          <w:szCs w:val="32"/>
          <w:lang w:eastAsia="zh-CN"/>
        </w:rPr>
      </w:pPr>
      <w:r>
        <w:rPr>
          <w:rFonts w:ascii="仿宋" w:eastAsia="仿宋"/>
          <w:color w:val="000000"/>
          <w:sz w:val="32"/>
          <w:szCs w:val="32"/>
        </w:rPr>
        <w:t>2021</w:t>
      </w:r>
      <w:r>
        <w:rPr>
          <w:rFonts w:hint="eastAsia" w:ascii="仿宋" w:eastAsia="仿宋"/>
          <w:color w:val="000000"/>
          <w:sz w:val="32"/>
          <w:szCs w:val="32"/>
        </w:rPr>
        <w:t>年本年收入合计</w:t>
      </w:r>
      <w:r>
        <w:rPr>
          <w:rFonts w:hint="eastAsia" w:ascii="仿宋" w:eastAsia="仿宋"/>
          <w:color w:val="000000"/>
          <w:sz w:val="32"/>
          <w:szCs w:val="32"/>
          <w:lang w:val="en-US" w:eastAsia="zh-CN"/>
        </w:rPr>
        <w:t>47.82</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47.82</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lang w:eastAsia="zh-CN"/>
        </w:rPr>
        <w:t>。</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142875</wp:posOffset>
            </wp:positionH>
            <wp:positionV relativeFrom="paragraph">
              <wp:posOffset>267970</wp:posOffset>
            </wp:positionV>
            <wp:extent cx="4400550" cy="2110105"/>
            <wp:effectExtent l="4445" t="4445" r="14605" b="1905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pPr>
    </w:p>
    <w:p/>
    <w:p>
      <w:pPr>
        <w:pStyle w:val="2"/>
      </w:pPr>
    </w:p>
    <w:p/>
    <w:p>
      <w:pPr>
        <w:pStyle w:val="2"/>
      </w:pPr>
    </w:p>
    <w:p/>
    <w:p>
      <w:pPr>
        <w:pStyle w:val="2"/>
      </w:pPr>
    </w:p>
    <w:p>
      <w:pPr>
        <w:pStyle w:val="29"/>
        <w:numPr>
          <w:ilvl w:val="0"/>
          <w:numId w:val="0"/>
        </w:numPr>
        <w:spacing w:line="600" w:lineRule="exact"/>
        <w:ind w:firstLine="640" w:firstLineChars="200"/>
        <w:outlineLvl w:val="1"/>
        <w:rPr>
          <w:rStyle w:val="24"/>
          <w:rFonts w:ascii="黑体" w:eastAsia="黑体"/>
          <w:b w:val="0"/>
        </w:rPr>
      </w:pPr>
      <w:bookmarkStart w:id="40" w:name="_Toc15377207"/>
      <w:bookmarkStart w:id="41" w:name="_Toc79163612"/>
      <w:bookmarkStart w:id="42" w:name="_Toc15396605"/>
      <w:bookmarkStart w:id="43" w:name="_Toc79163862"/>
      <w:r>
        <w:rPr>
          <w:rFonts w:hint="eastAsia" w:ascii="黑体" w:eastAsia="黑体"/>
          <w:color w:val="000000"/>
          <w:sz w:val="32"/>
          <w:szCs w:val="32"/>
          <w:lang w:eastAsia="zh-CN"/>
        </w:rPr>
        <w:t>三、</w:t>
      </w:r>
      <w:r>
        <w:rPr>
          <w:rFonts w:hint="eastAsia" w:ascii="黑体" w:eastAsia="黑体"/>
          <w:color w:val="000000"/>
          <w:sz w:val="32"/>
          <w:szCs w:val="32"/>
        </w:rPr>
        <w:t>支</w:t>
      </w:r>
      <w:r>
        <w:rPr>
          <w:rStyle w:val="24"/>
          <w:rFonts w:hint="eastAsia" w:ascii="黑体" w:eastAsia="黑体"/>
          <w:b w:val="0"/>
        </w:rPr>
        <w:t>出决算情况说明</w:t>
      </w:r>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hint="eastAsia" w:ascii="仿宋" w:eastAsia="仿宋"/>
          <w:color w:val="000000"/>
          <w:sz w:val="32"/>
          <w:szCs w:val="32"/>
          <w:lang w:val="en-US" w:eastAsia="zh-CN"/>
        </w:rPr>
        <w:t>47.82</w:t>
      </w:r>
      <w:r>
        <w:rPr>
          <w:rFonts w:hint="eastAsia" w:ascii="仿宋_GB2312" w:eastAsia="仿宋_GB2312"/>
          <w:sz w:val="32"/>
          <w:szCs w:val="32"/>
        </w:rPr>
        <w:t>万元，其中：基本支出</w:t>
      </w:r>
      <w:r>
        <w:rPr>
          <w:rFonts w:hint="eastAsia" w:ascii="仿宋" w:eastAsia="仿宋"/>
          <w:color w:val="000000"/>
          <w:sz w:val="32"/>
          <w:szCs w:val="32"/>
          <w:lang w:val="en-US" w:eastAsia="zh-CN"/>
        </w:rPr>
        <w:t>47.82</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default" w:ascii="仿宋" w:hAnsi="仿宋" w:eastAsia="仿宋"/>
          <w:color w:val="000000"/>
          <w:sz w:val="32"/>
          <w:szCs w:val="32"/>
          <w:lang w:val="en-US"/>
        </w:rPr>
        <w:drawing>
          <wp:anchor distT="0" distB="0" distL="114300" distR="114300" simplePos="0" relativeHeight="251661312" behindDoc="0" locked="0" layoutInCell="1" allowOverlap="1">
            <wp:simplePos x="0" y="0"/>
            <wp:positionH relativeFrom="column">
              <wp:posOffset>471805</wp:posOffset>
            </wp:positionH>
            <wp:positionV relativeFrom="paragraph">
              <wp:posOffset>74930</wp:posOffset>
            </wp:positionV>
            <wp:extent cx="4295775" cy="2025015"/>
            <wp:effectExtent l="4445" t="4445" r="5080" b="889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ind w:left="0" w:leftChars="0" w:firstLine="0" w:firstLineChars="0"/>
        <w:rPr>
          <w:rFonts w:ascii="仿宋_GB2312" w:eastAsia="仿宋_GB2312"/>
          <w:color w:val="FF0000"/>
          <w:sz w:val="32"/>
          <w:szCs w:val="32"/>
        </w:rPr>
      </w:pPr>
    </w:p>
    <w:p>
      <w:pPr>
        <w:rPr>
          <w:rFonts w:ascii="仿宋_GB2312" w:eastAsia="仿宋_GB2312"/>
          <w:color w:val="FF0000"/>
          <w:sz w:val="32"/>
          <w:szCs w:val="32"/>
        </w:rPr>
      </w:pPr>
    </w:p>
    <w:p>
      <w:pPr>
        <w:pStyle w:val="2"/>
        <w:rPr>
          <w:rFonts w:ascii="仿宋_GB2312" w:eastAsia="仿宋_GB2312"/>
          <w:color w:val="FF0000"/>
          <w:sz w:val="32"/>
          <w:szCs w:val="32"/>
        </w:rPr>
      </w:pPr>
    </w:p>
    <w:p>
      <w:pPr>
        <w:spacing w:line="600" w:lineRule="exact"/>
        <w:ind w:firstLine="640" w:firstLineChars="200"/>
        <w:outlineLvl w:val="1"/>
        <w:rPr>
          <w:rStyle w:val="24"/>
          <w:rFonts w:ascii="黑体" w:eastAsia="黑体"/>
          <w:b w:val="0"/>
        </w:rPr>
      </w:pPr>
      <w:bookmarkStart w:id="44" w:name="_Toc15396606"/>
      <w:bookmarkStart w:id="45" w:name="_Toc79163863"/>
      <w:bookmarkStart w:id="46" w:name="_Toc15377208"/>
      <w:bookmarkStart w:id="47" w:name="_Toc79163613"/>
      <w:r>
        <w:rPr>
          <w:rFonts w:hint="eastAsia" w:ascii="黑体" w:eastAsia="黑体"/>
          <w:color w:val="000000"/>
          <w:sz w:val="32"/>
          <w:szCs w:val="32"/>
        </w:rPr>
        <w:t>四、财</w:t>
      </w:r>
      <w:r>
        <w:rPr>
          <w:rStyle w:val="24"/>
          <w:rFonts w:hint="eastAsia" w:ascii="黑体" w:eastAsia="黑体"/>
          <w:b w:val="0"/>
        </w:rPr>
        <w:t>政拨款收入支出决算总体情况说明</w:t>
      </w:r>
      <w:bookmarkEnd w:id="44"/>
      <w:bookmarkEnd w:id="45"/>
      <w:bookmarkEnd w:id="46"/>
      <w:bookmarkEnd w:id="47"/>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年度收、支总计</w:t>
      </w:r>
      <w:r>
        <w:rPr>
          <w:rFonts w:hint="eastAsia" w:ascii="仿宋" w:eastAsia="仿宋"/>
          <w:color w:val="000000"/>
          <w:sz w:val="32"/>
          <w:szCs w:val="32"/>
          <w:lang w:val="en-US" w:eastAsia="zh-CN"/>
        </w:rPr>
        <w:t>47.82</w:t>
      </w:r>
      <w:r>
        <w:rPr>
          <w:rFonts w:hint="eastAsia" w:ascii="仿宋" w:eastAsia="仿宋"/>
          <w:color w:val="000000"/>
          <w:sz w:val="32"/>
          <w:szCs w:val="32"/>
        </w:rPr>
        <w:t>万元。与</w:t>
      </w:r>
      <w:r>
        <w:rPr>
          <w:rFonts w:ascii="仿宋" w:eastAsia="仿宋"/>
          <w:color w:val="000000"/>
          <w:sz w:val="32"/>
          <w:szCs w:val="32"/>
        </w:rPr>
        <w:t>2020</w:t>
      </w:r>
      <w:r>
        <w:rPr>
          <w:rFonts w:hint="eastAsia" w:ascii="仿宋" w:eastAsia="仿宋"/>
          <w:color w:val="000000"/>
          <w:sz w:val="32"/>
          <w:szCs w:val="32"/>
        </w:rPr>
        <w:t>年相比，</w:t>
      </w:r>
      <w:r>
        <w:rPr>
          <w:rFonts w:hint="eastAsia" w:ascii="仿宋" w:eastAsia="仿宋"/>
          <w:color w:val="000000"/>
          <w:sz w:val="32"/>
          <w:szCs w:val="32"/>
          <w:lang w:eastAsia="zh-CN"/>
        </w:rPr>
        <w:t>财政拨款</w:t>
      </w:r>
      <w:r>
        <w:rPr>
          <w:rFonts w:hint="eastAsia" w:ascii="仿宋" w:eastAsia="仿宋"/>
          <w:color w:val="000000"/>
          <w:sz w:val="32"/>
          <w:szCs w:val="32"/>
        </w:rPr>
        <w:t>收、支总计各</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7.4</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工资福利的增加。</w:t>
      </w:r>
    </w:p>
    <w:p>
      <w:pPr>
        <w:spacing w:line="600" w:lineRule="exact"/>
        <w:rPr>
          <w:rFonts w:ascii="仿宋" w:eastAsia="仿宋"/>
          <w:color w:val="000000"/>
          <w:sz w:val="32"/>
          <w:szCs w:val="32"/>
        </w:rPr>
      </w:pPr>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column">
              <wp:posOffset>749300</wp:posOffset>
            </wp:positionH>
            <wp:positionV relativeFrom="paragraph">
              <wp:posOffset>172085</wp:posOffset>
            </wp:positionV>
            <wp:extent cx="3248025" cy="1876425"/>
            <wp:effectExtent l="4445" t="4445" r="5080" b="508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仿宋" w:eastAsia="仿宋"/>
          <w:b/>
          <w:color w:val="00B050"/>
          <w:sz w:val="32"/>
          <w:szCs w:val="32"/>
        </w:rPr>
      </w:pPr>
    </w:p>
    <w:p>
      <w:pPr>
        <w:pStyle w:val="2"/>
        <w:rPr>
          <w:rFonts w:ascii="仿宋" w:eastAsia="仿宋"/>
          <w:b/>
          <w:color w:val="00B050"/>
          <w:sz w:val="32"/>
          <w:szCs w:val="32"/>
        </w:rPr>
      </w:pPr>
    </w:p>
    <w:p>
      <w:pPr>
        <w:rPr>
          <w:rFonts w:ascii="仿宋" w:eastAsia="仿宋"/>
          <w:b/>
          <w:color w:val="00B050"/>
          <w:sz w:val="32"/>
          <w:szCs w:val="32"/>
        </w:rPr>
      </w:pPr>
    </w:p>
    <w:p>
      <w:pPr>
        <w:pStyle w:val="2"/>
        <w:rPr>
          <w:rFonts w:ascii="仿宋" w:eastAsia="仿宋"/>
          <w:b/>
          <w:color w:val="00B050"/>
          <w:sz w:val="32"/>
          <w:szCs w:val="32"/>
        </w:rPr>
      </w:pPr>
    </w:p>
    <w:p>
      <w:pPr>
        <w:spacing w:line="600" w:lineRule="exact"/>
        <w:outlineLvl w:val="1"/>
        <w:rPr>
          <w:rFonts w:hint="eastAsia" w:ascii="黑体" w:eastAsia="黑体"/>
          <w:color w:val="000000"/>
          <w:sz w:val="32"/>
          <w:szCs w:val="32"/>
        </w:rPr>
      </w:pPr>
      <w:bookmarkStart w:id="48" w:name="_Toc15377209"/>
      <w:bookmarkStart w:id="49" w:name="_Toc79163614"/>
      <w:bookmarkStart w:id="50" w:name="_Toc15396607"/>
      <w:bookmarkStart w:id="51" w:name="_Toc79163864"/>
    </w:p>
    <w:p>
      <w:pPr>
        <w:spacing w:line="600" w:lineRule="exact"/>
        <w:ind w:firstLine="640" w:firstLineChars="200"/>
        <w:outlineLvl w:val="1"/>
        <w:rPr>
          <w:rStyle w:val="24"/>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4"/>
          <w:rFonts w:hint="eastAsia" w:asci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eastAsia="仿宋"/>
          <w:b/>
          <w:color w:val="000000"/>
          <w:sz w:val="32"/>
          <w:szCs w:val="32"/>
        </w:rPr>
      </w:pPr>
      <w:bookmarkStart w:id="52" w:name="_Toc79163865"/>
      <w:bookmarkStart w:id="53" w:name="_Toc79163615"/>
      <w:bookmarkStart w:id="54" w:name="_Toc15377210"/>
      <w:r>
        <w:rPr>
          <w:rFonts w:hint="eastAsia" w:ascii="仿宋" w:eastAsia="仿宋"/>
          <w:b/>
          <w:color w:val="000000"/>
          <w:sz w:val="32"/>
          <w:szCs w:val="32"/>
        </w:rPr>
        <w:t>（一）一般公共预算财政拨款支出决算总体情况</w:t>
      </w:r>
      <w:bookmarkEnd w:id="52"/>
      <w:bookmarkEnd w:id="53"/>
      <w:bookmarkEnd w:id="54"/>
    </w:p>
    <w:p>
      <w:pPr>
        <w:spacing w:line="600" w:lineRule="exact"/>
        <w:ind w:firstLine="640" w:firstLineChars="200"/>
        <w:rPr>
          <w:rFonts w:hint="eastAsia" w:ascii="仿宋" w:eastAsia="仿宋"/>
          <w:color w:val="000000"/>
          <w:sz w:val="32"/>
          <w:szCs w:val="32"/>
          <w:lang w:eastAsia="zh-CN"/>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47.82</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2020</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7.4</w:t>
      </w:r>
      <w:r>
        <w:rPr>
          <w:rFonts w:hint="eastAsia" w:ascii="仿宋" w:eastAsia="仿宋"/>
          <w:color w:val="000000"/>
          <w:sz w:val="32"/>
          <w:szCs w:val="32"/>
        </w:rPr>
        <w:t>万元，</w:t>
      </w:r>
      <w:r>
        <w:rPr>
          <w:rFonts w:hint="eastAsia" w:ascii="仿宋" w:eastAsia="仿宋"/>
          <w:color w:val="000000"/>
          <w:sz w:val="32"/>
          <w:szCs w:val="32"/>
          <w:lang w:eastAsia="zh-CN"/>
        </w:rPr>
        <w:t>增加</w:t>
      </w:r>
      <w:r>
        <w:rPr>
          <w:rFonts w:hint="eastAsia" w:ascii="仿宋" w:eastAsia="仿宋"/>
          <w:color w:val="000000"/>
          <w:sz w:val="32"/>
          <w:szCs w:val="32"/>
          <w:lang w:val="en-US" w:eastAsia="zh-CN"/>
        </w:rPr>
        <w:t>18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工资福利的增加。</w:t>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376555</wp:posOffset>
            </wp:positionH>
            <wp:positionV relativeFrom="paragraph">
              <wp:posOffset>99695</wp:posOffset>
            </wp:positionV>
            <wp:extent cx="4514850" cy="2714625"/>
            <wp:effectExtent l="4445" t="4445" r="14605" b="508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仿宋" w:eastAsia="仿宋"/>
          <w:color w:val="000000"/>
          <w:sz w:val="32"/>
          <w:szCs w:val="32"/>
          <w:lang w:eastAsia="zh-CN"/>
        </w:rPr>
      </w:pPr>
    </w:p>
    <w:p>
      <w:pPr>
        <w:rPr>
          <w:rFonts w:hint="eastAsia" w:ascii="仿宋" w:eastAsia="仿宋"/>
          <w:color w:val="000000"/>
          <w:sz w:val="32"/>
          <w:szCs w:val="32"/>
          <w:lang w:eastAsia="zh-CN"/>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outlineLvl w:val="1"/>
        <w:rPr>
          <w:rFonts w:ascii="仿宋" w:hAnsi="仿宋" w:eastAsia="仿宋"/>
          <w:color w:val="000000" w:themeColor="text1"/>
          <w:sz w:val="32"/>
          <w:szCs w:val="32"/>
          <w14:textFill>
            <w14:solidFill>
              <w14:schemeClr w14:val="tx1"/>
            </w14:solidFill>
          </w14:textFill>
        </w:rPr>
      </w:pPr>
    </w:p>
    <w:p>
      <w:pPr>
        <w:spacing w:line="600" w:lineRule="exact"/>
        <w:ind w:firstLine="642" w:firstLineChars="200"/>
        <w:outlineLvl w:val="2"/>
        <w:rPr>
          <w:rFonts w:ascii="仿宋" w:eastAsia="仿宋"/>
          <w:b/>
          <w:color w:val="000000"/>
          <w:sz w:val="32"/>
          <w:szCs w:val="32"/>
        </w:rPr>
      </w:pPr>
      <w:bookmarkStart w:id="55" w:name="_Toc79163616"/>
      <w:bookmarkStart w:id="56" w:name="_Toc79163866"/>
      <w:bookmarkStart w:id="57" w:name="_Toc15377211"/>
      <w:r>
        <w:rPr>
          <w:rFonts w:hint="eastAsia" w:ascii="仿宋" w:eastAsia="仿宋"/>
          <w:b/>
          <w:color w:val="000000"/>
          <w:sz w:val="32"/>
          <w:szCs w:val="32"/>
        </w:rPr>
        <w:t>（二）一般公共预算财政拨款支出决算结构情况</w:t>
      </w:r>
      <w:bookmarkEnd w:id="55"/>
      <w:bookmarkEnd w:id="56"/>
      <w:bookmarkEnd w:id="57"/>
    </w:p>
    <w:p>
      <w:pPr>
        <w:spacing w:line="600" w:lineRule="exact"/>
        <w:ind w:firstLine="640"/>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47.82</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hAnsi="仿宋" w:eastAsia="仿宋"/>
          <w:color w:val="000000"/>
          <w:sz w:val="32"/>
          <w:szCs w:val="32"/>
        </w:rPr>
        <w:t>一般公共服务（类）</w:t>
      </w:r>
      <w:r>
        <w:rPr>
          <w:rFonts w:hint="eastAsia" w:ascii="仿宋" w:eastAsia="仿宋"/>
          <w:color w:val="000000"/>
          <w:sz w:val="32"/>
          <w:szCs w:val="32"/>
        </w:rPr>
        <w:t>支出</w:t>
      </w:r>
      <w:r>
        <w:rPr>
          <w:rFonts w:hint="eastAsia" w:ascii="仿宋" w:eastAsia="仿宋"/>
          <w:color w:val="000000"/>
          <w:sz w:val="32"/>
          <w:szCs w:val="32"/>
          <w:lang w:val="en-US" w:eastAsia="zh-CN"/>
        </w:rPr>
        <w:t>36.98</w:t>
      </w:r>
      <w:r>
        <w:rPr>
          <w:rFonts w:hint="eastAsia" w:ascii="仿宋" w:eastAsia="仿宋"/>
          <w:color w:val="000000"/>
          <w:sz w:val="32"/>
          <w:szCs w:val="32"/>
        </w:rPr>
        <w:t>万元，占</w:t>
      </w:r>
      <w:r>
        <w:rPr>
          <w:rFonts w:hint="eastAsia" w:ascii="仿宋" w:eastAsia="仿宋"/>
          <w:color w:val="000000"/>
          <w:sz w:val="32"/>
          <w:szCs w:val="32"/>
          <w:lang w:val="en-US" w:eastAsia="zh-CN"/>
        </w:rPr>
        <w:t>77.32</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社会保障和就业（</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4.79</w:t>
      </w:r>
      <w:r>
        <w:rPr>
          <w:rFonts w:hint="eastAsia" w:ascii="仿宋" w:eastAsia="仿宋"/>
          <w:color w:val="000000"/>
          <w:sz w:val="32"/>
          <w:szCs w:val="32"/>
        </w:rPr>
        <w:t>万元，占</w:t>
      </w:r>
      <w:r>
        <w:rPr>
          <w:rFonts w:hint="eastAsia" w:ascii="仿宋" w:eastAsia="仿宋"/>
          <w:color w:val="000000"/>
          <w:sz w:val="32"/>
          <w:szCs w:val="32"/>
          <w:lang w:val="en-US" w:eastAsia="zh-CN"/>
        </w:rPr>
        <w:t>10.01</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卫生健康支出（</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2.38</w:t>
      </w:r>
      <w:r>
        <w:rPr>
          <w:rFonts w:hint="eastAsia" w:ascii="仿宋" w:eastAsia="仿宋"/>
          <w:color w:val="000000"/>
          <w:sz w:val="32"/>
          <w:szCs w:val="32"/>
        </w:rPr>
        <w:t>万元，占</w:t>
      </w:r>
      <w:r>
        <w:rPr>
          <w:rFonts w:hint="eastAsia" w:ascii="仿宋" w:eastAsia="仿宋"/>
          <w:color w:val="000000"/>
          <w:sz w:val="32"/>
          <w:szCs w:val="32"/>
          <w:lang w:val="en-US" w:eastAsia="zh-CN"/>
        </w:rPr>
        <w:t>4.98</w:t>
      </w:r>
      <w:r>
        <w:rPr>
          <w:rFonts w:ascii="仿宋" w:eastAsia="仿宋"/>
          <w:color w:val="000000"/>
          <w:sz w:val="32"/>
          <w:szCs w:val="32"/>
        </w:rPr>
        <w:t>%</w:t>
      </w:r>
      <w:r>
        <w:rPr>
          <w:rFonts w:hint="eastAsia" w:asci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住房保障（</w:t>
      </w:r>
      <w:r>
        <w:rPr>
          <w:rFonts w:hint="eastAsia" w:ascii="仿宋" w:hAnsi="仿宋" w:eastAsia="仿宋"/>
          <w:color w:val="000000"/>
          <w:sz w:val="32"/>
          <w:szCs w:val="32"/>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eastAsia="仿宋"/>
          <w:color w:val="000000"/>
          <w:sz w:val="32"/>
          <w:szCs w:val="32"/>
          <w:lang w:val="en-US" w:eastAsia="zh-CN"/>
        </w:rPr>
        <w:t>3.68</w:t>
      </w:r>
      <w:r>
        <w:rPr>
          <w:rFonts w:hint="eastAsia" w:ascii="仿宋" w:eastAsia="仿宋"/>
          <w:color w:val="000000"/>
          <w:sz w:val="32"/>
          <w:szCs w:val="32"/>
        </w:rPr>
        <w:t>万元，占</w:t>
      </w:r>
      <w:r>
        <w:rPr>
          <w:rFonts w:hint="eastAsia" w:ascii="仿宋" w:eastAsia="仿宋"/>
          <w:color w:val="000000"/>
          <w:sz w:val="32"/>
          <w:szCs w:val="32"/>
          <w:lang w:val="en-US" w:eastAsia="zh-CN"/>
        </w:rPr>
        <w:t>7.69</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rPr>
          <w:rFonts w:asci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558800</wp:posOffset>
            </wp:positionH>
            <wp:positionV relativeFrom="paragraph">
              <wp:posOffset>318135</wp:posOffset>
            </wp:positionV>
            <wp:extent cx="4476750" cy="2268220"/>
            <wp:effectExtent l="4445" t="4445" r="14605" b="1333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
      <w:pPr>
        <w:pStyle w:val="2"/>
      </w:pPr>
    </w:p>
    <w:p/>
    <w:p>
      <w:pPr>
        <w:pStyle w:val="2"/>
      </w:pPr>
    </w:p>
    <w:p/>
    <w:p>
      <w:pPr>
        <w:pStyle w:val="2"/>
      </w:pPr>
    </w:p>
    <w:p/>
    <w:p>
      <w:pPr>
        <w:spacing w:line="600" w:lineRule="exact"/>
        <w:ind w:firstLine="642" w:firstLineChars="200"/>
        <w:outlineLvl w:val="2"/>
        <w:rPr>
          <w:rFonts w:ascii="仿宋" w:eastAsia="仿宋"/>
          <w:b/>
          <w:color w:val="000000"/>
          <w:sz w:val="32"/>
          <w:szCs w:val="32"/>
        </w:rPr>
      </w:pPr>
      <w:bookmarkStart w:id="58" w:name="_Toc79163617"/>
      <w:bookmarkStart w:id="59" w:name="_Toc79163867"/>
      <w:bookmarkStart w:id="60" w:name="_Toc15377212"/>
      <w:r>
        <w:rPr>
          <w:rFonts w:hint="eastAsia" w:ascii="仿宋" w:eastAsia="仿宋"/>
          <w:b/>
          <w:color w:val="000000"/>
          <w:sz w:val="32"/>
          <w:szCs w:val="32"/>
        </w:rPr>
        <w:t>（三）一般公共预算财政拨款支出决算具体情况</w:t>
      </w:r>
      <w:bookmarkEnd w:id="58"/>
      <w:bookmarkEnd w:id="59"/>
      <w:bookmarkEnd w:id="60"/>
    </w:p>
    <w:p>
      <w:pPr>
        <w:numPr>
          <w:ilvl w:val="0"/>
          <w:numId w:val="2"/>
        </w:numPr>
        <w:spacing w:line="600" w:lineRule="exact"/>
        <w:ind w:firstLine="640" w:firstLineChars="200"/>
        <w:rPr>
          <w:rStyle w:val="21"/>
          <w:rFonts w:hint="eastAsia" w:ascii="仿宋" w:hAnsi="仿宋" w:eastAsia="仿宋"/>
          <w:b w:val="0"/>
          <w:bCs/>
          <w:color w:val="000000"/>
          <w:sz w:val="32"/>
          <w:szCs w:val="32"/>
        </w:rPr>
      </w:pPr>
      <w:bookmarkStart w:id="61" w:name="_Toc15377444"/>
      <w:bookmarkStart w:id="62" w:name="_Toc15378460"/>
      <w:bookmarkStart w:id="63" w:name="_Toc15377213"/>
      <w:r>
        <w:rPr>
          <w:rStyle w:val="21"/>
          <w:rFonts w:hint="eastAsia" w:ascii="仿宋" w:hAnsi="仿宋" w:eastAsia="仿宋"/>
          <w:b w:val="0"/>
          <w:bCs/>
          <w:color w:val="000000"/>
          <w:sz w:val="32"/>
          <w:szCs w:val="32"/>
        </w:rPr>
        <w:t>2021年一般公共预算支出决算数为</w:t>
      </w:r>
      <w:r>
        <w:rPr>
          <w:rStyle w:val="21"/>
          <w:rFonts w:hint="eastAsia" w:ascii="仿宋" w:hAnsi="仿宋" w:eastAsia="仿宋"/>
          <w:b w:val="0"/>
          <w:bCs/>
          <w:color w:val="000000"/>
          <w:sz w:val="32"/>
          <w:szCs w:val="32"/>
          <w:lang w:val="en-US" w:eastAsia="zh-CN"/>
        </w:rPr>
        <w:t>47.82</w:t>
      </w:r>
      <w:r>
        <w:rPr>
          <w:rFonts w:hint="eastAsia" w:ascii="仿宋" w:eastAsia="仿宋"/>
          <w:color w:val="000000"/>
          <w:sz w:val="32"/>
          <w:szCs w:val="32"/>
        </w:rPr>
        <w:t>万元</w:t>
      </w:r>
      <w:r>
        <w:rPr>
          <w:rStyle w:val="21"/>
          <w:rFonts w:hint="eastAsia" w:ascii="仿宋" w:hAnsi="仿宋" w:eastAsia="仿宋"/>
          <w:b w:val="0"/>
          <w:bCs/>
          <w:color w:val="000000"/>
          <w:sz w:val="32"/>
          <w:szCs w:val="32"/>
        </w:rPr>
        <w:t>，完成预算</w:t>
      </w:r>
      <w:r>
        <w:rPr>
          <w:rStyle w:val="21"/>
          <w:rFonts w:hint="eastAsia" w:ascii="仿宋" w:hAnsi="仿宋" w:eastAsia="仿宋"/>
          <w:b w:val="0"/>
          <w:bCs/>
          <w:color w:val="000000"/>
          <w:sz w:val="32"/>
          <w:szCs w:val="32"/>
          <w:lang w:val="en-US" w:eastAsia="zh-CN"/>
        </w:rPr>
        <w:t>100</w:t>
      </w:r>
      <w:r>
        <w:rPr>
          <w:rStyle w:val="21"/>
          <w:rFonts w:hint="eastAsia" w:ascii="仿宋" w:hAnsi="仿宋" w:eastAsia="仿宋"/>
          <w:b w:val="0"/>
          <w:bCs/>
          <w:color w:val="000000"/>
          <w:sz w:val="32"/>
          <w:szCs w:val="32"/>
        </w:rPr>
        <w:t>%。其中：</w:t>
      </w:r>
      <w:bookmarkEnd w:id="61"/>
      <w:bookmarkEnd w:id="62"/>
      <w:bookmarkEnd w:id="63"/>
    </w:p>
    <w:p>
      <w:pPr>
        <w:numPr>
          <w:ilvl w:val="0"/>
          <w:numId w:val="2"/>
        </w:numPr>
        <w:spacing w:line="600" w:lineRule="exact"/>
        <w:ind w:firstLine="640" w:firstLineChars="200"/>
        <w:rPr>
          <w:rFonts w:ascii="仿宋_GB2312" w:eastAsia="仿宋_GB2312"/>
          <w:color w:val="000000"/>
          <w:sz w:val="32"/>
          <w:szCs w:val="32"/>
        </w:rPr>
      </w:pPr>
      <w:r>
        <w:rPr>
          <w:rStyle w:val="21"/>
          <w:rFonts w:hint="eastAsia" w:ascii="仿宋" w:hAnsi="仿宋" w:eastAsia="仿宋"/>
          <w:b w:val="0"/>
          <w:bCs/>
          <w:color w:val="000000"/>
          <w:sz w:val="32"/>
          <w:szCs w:val="32"/>
        </w:rPr>
        <w:t>一般公共服务支出（</w:t>
      </w:r>
      <w:r>
        <w:rPr>
          <w:rFonts w:hint="eastAsia" w:ascii="仿宋" w:hAnsi="仿宋" w:eastAsia="仿宋"/>
          <w:color w:val="000000"/>
          <w:sz w:val="32"/>
          <w:szCs w:val="32"/>
        </w:rPr>
        <w:t>类</w:t>
      </w:r>
      <w:r>
        <w:rPr>
          <w:rStyle w:val="21"/>
          <w:rFonts w:hint="eastAsia" w:ascii="仿宋" w:hAnsi="仿宋" w:eastAsia="仿宋"/>
          <w:b w:val="0"/>
          <w:bCs/>
          <w:color w:val="000000"/>
          <w:sz w:val="32"/>
          <w:szCs w:val="32"/>
        </w:rPr>
        <w:t>）人大事务（款）</w:t>
      </w:r>
      <w:r>
        <w:rPr>
          <w:rStyle w:val="21"/>
          <w:rFonts w:hint="eastAsia" w:ascii="仿宋" w:hAnsi="仿宋" w:eastAsia="仿宋"/>
          <w:b w:val="0"/>
          <w:bCs/>
          <w:color w:val="000000"/>
          <w:sz w:val="32"/>
          <w:szCs w:val="32"/>
          <w:lang w:eastAsia="zh-CN"/>
        </w:rPr>
        <w:t>事业</w:t>
      </w:r>
      <w:r>
        <w:rPr>
          <w:rFonts w:hint="eastAsia" w:ascii="仿宋_GB2312" w:eastAsia="仿宋_GB2312"/>
          <w:color w:val="000000"/>
          <w:sz w:val="32"/>
          <w:szCs w:val="32"/>
        </w:rPr>
        <w:t>运行支出（项）</w:t>
      </w:r>
      <w:r>
        <w:rPr>
          <w:rFonts w:hint="eastAsia" w:ascii="仿宋_GB2312" w:eastAsia="仿宋_GB2312"/>
          <w:color w:val="000000"/>
          <w:sz w:val="32"/>
          <w:szCs w:val="32"/>
          <w:lang w:val="en-US" w:eastAsia="zh-CN"/>
        </w:rPr>
        <w:t>36.98</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）机关事业单位基本养老保险缴费支出（项）</w:t>
      </w:r>
      <w:r>
        <w:rPr>
          <w:rFonts w:hint="eastAsia" w:ascii="仿宋_GB2312" w:eastAsia="仿宋_GB2312"/>
          <w:color w:val="000000"/>
          <w:sz w:val="32"/>
          <w:szCs w:val="32"/>
          <w:lang w:val="en-US" w:eastAsia="zh-CN"/>
        </w:rPr>
        <w:t>3.19</w:t>
      </w:r>
      <w:r>
        <w:rPr>
          <w:rFonts w:hint="eastAsia" w:ascii="仿宋_GB2312" w:eastAsia="仿宋_GB2312"/>
          <w:color w:val="000000"/>
          <w:sz w:val="32"/>
          <w:szCs w:val="32"/>
        </w:rPr>
        <w:t>万元，完成预算的100%。</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）行政事业单位离退休（</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）机关事业单位职业年金缴费支出（项）</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万元，完成预算的100%。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.卫生健康支出（</w:t>
      </w:r>
      <w:r>
        <w:rPr>
          <w:rFonts w:hint="eastAsia" w:ascii="仿宋" w:hAnsi="仿宋" w:eastAsia="仿宋"/>
          <w:color w:val="000000"/>
          <w:sz w:val="32"/>
          <w:szCs w:val="32"/>
        </w:rPr>
        <w:t>类</w:t>
      </w:r>
      <w:r>
        <w:rPr>
          <w:rFonts w:hint="eastAsia" w:ascii="仿宋_GB2312" w:eastAsia="仿宋_GB2312"/>
          <w:color w:val="000000"/>
          <w:sz w:val="32"/>
          <w:szCs w:val="32"/>
        </w:rPr>
        <w:t>）行政事业单位医疗（</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单位医疗支出（项）</w:t>
      </w:r>
      <w:r>
        <w:rPr>
          <w:rFonts w:hint="eastAsia" w:ascii="仿宋_GB2312" w:eastAsia="仿宋_GB2312"/>
          <w:color w:val="000000"/>
          <w:sz w:val="32"/>
          <w:szCs w:val="32"/>
          <w:lang w:val="en-US" w:eastAsia="zh-CN"/>
        </w:rPr>
        <w:t>2.38</w:t>
      </w:r>
      <w:r>
        <w:rPr>
          <w:rFonts w:hint="eastAsia" w:ascii="仿宋_GB2312" w:eastAsia="仿宋_GB2312"/>
          <w:color w:val="000000"/>
          <w:sz w:val="32"/>
          <w:szCs w:val="32"/>
        </w:rPr>
        <w:t>万元，完成预算的100%。</w:t>
      </w:r>
    </w:p>
    <w:p>
      <w:pPr>
        <w:spacing w:line="600" w:lineRule="exact"/>
        <w:ind w:firstLine="640"/>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.住房保障支出（</w:t>
      </w:r>
      <w:r>
        <w:rPr>
          <w:rFonts w:hint="eastAsia" w:ascii="仿宋" w:hAnsi="仿宋" w:eastAsia="仿宋"/>
          <w:color w:val="000000"/>
          <w:sz w:val="32"/>
          <w:szCs w:val="32"/>
        </w:rPr>
        <w:t>类</w:t>
      </w:r>
      <w:r>
        <w:rPr>
          <w:rFonts w:hint="eastAsia" w:ascii="仿宋_GB2312" w:eastAsia="仿宋_GB2312"/>
          <w:color w:val="000000"/>
          <w:sz w:val="32"/>
          <w:szCs w:val="32"/>
        </w:rPr>
        <w:t>）住房改革支出（</w:t>
      </w:r>
      <w:r>
        <w:rPr>
          <w:rStyle w:val="21"/>
          <w:rFonts w:hint="eastAsia" w:ascii="仿宋" w:hAnsi="仿宋" w:eastAsia="仿宋"/>
          <w:b w:val="0"/>
          <w:bCs/>
          <w:color w:val="000000"/>
          <w:sz w:val="32"/>
          <w:szCs w:val="32"/>
        </w:rPr>
        <w:t>款</w:t>
      </w:r>
      <w:r>
        <w:rPr>
          <w:rFonts w:hint="eastAsia" w:ascii="仿宋_GB2312" w:eastAsia="仿宋_GB2312"/>
          <w:color w:val="000000"/>
          <w:sz w:val="32"/>
          <w:szCs w:val="32"/>
        </w:rPr>
        <w:t>）住房公积金支出（项）</w:t>
      </w:r>
      <w:r>
        <w:rPr>
          <w:rFonts w:hint="eastAsia" w:ascii="仿宋_GB2312" w:eastAsia="仿宋_GB2312"/>
          <w:color w:val="000000"/>
          <w:sz w:val="32"/>
          <w:szCs w:val="32"/>
          <w:lang w:val="en-US" w:eastAsia="zh-CN"/>
        </w:rPr>
        <w:t>3.68</w:t>
      </w:r>
      <w:r>
        <w:rPr>
          <w:rFonts w:hint="eastAsia" w:ascii="仿宋_GB2312" w:eastAsia="仿宋_GB2312"/>
          <w:color w:val="000000"/>
          <w:sz w:val="32"/>
          <w:szCs w:val="32"/>
        </w:rPr>
        <w:t>万元，完成预算的100%。</w:t>
      </w:r>
    </w:p>
    <w:p>
      <w:pPr>
        <w:tabs>
          <w:tab w:val="right" w:pos="8306"/>
        </w:tabs>
        <w:spacing w:line="600" w:lineRule="exact"/>
        <w:ind w:firstLine="640"/>
        <w:outlineLvl w:val="1"/>
        <w:rPr>
          <w:rStyle w:val="24"/>
        </w:rPr>
      </w:pPr>
      <w:bookmarkStart w:id="64" w:name="_Toc79163868"/>
      <w:bookmarkStart w:id="65" w:name="_Toc79163618"/>
      <w:bookmarkStart w:id="66" w:name="_Toc15396608"/>
      <w:bookmarkStart w:id="67" w:name="_Toc15377214"/>
      <w:r>
        <w:rPr>
          <w:rFonts w:hint="eastAsia" w:ascii="黑体" w:eastAsia="黑体"/>
          <w:color w:val="000000"/>
          <w:sz w:val="32"/>
          <w:szCs w:val="32"/>
        </w:rPr>
        <w:t>六</w:t>
      </w:r>
      <w:r>
        <w:rPr>
          <w:rFonts w:hint="eastAsia" w:ascii="黑体" w:eastAsia="黑体"/>
          <w:b/>
          <w:color w:val="000000"/>
          <w:sz w:val="32"/>
          <w:szCs w:val="32"/>
        </w:rPr>
        <w:t>、一</w:t>
      </w:r>
      <w:r>
        <w:rPr>
          <w:rStyle w:val="24"/>
          <w:rFonts w:hint="eastAsia" w:ascii="黑体" w:eastAsia="黑体"/>
          <w:b w:val="0"/>
        </w:rPr>
        <w:t>般公共预算财政拨款基本支出决算情况说明</w:t>
      </w:r>
      <w:bookmarkEnd w:id="64"/>
      <w:bookmarkEnd w:id="65"/>
      <w:bookmarkEnd w:id="66"/>
      <w:bookmarkEnd w:id="67"/>
      <w:r>
        <w:rPr>
          <w:rStyle w:val="24"/>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2021</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47.82</w:t>
      </w:r>
      <w:r>
        <w:rPr>
          <w:rFonts w:hint="eastAsia" w:asci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45.51</w:t>
      </w:r>
      <w:r>
        <w:rPr>
          <w:rFonts w:hint="eastAsia" w:ascii="仿宋" w:hAnsi="仿宋" w:eastAsia="仿宋"/>
          <w:color w:val="000000"/>
          <w:sz w:val="32"/>
          <w:szCs w:val="32"/>
        </w:rPr>
        <w:t>万元，主要包括：基本工资、津贴补贴、奖金、绩效工资、机关事业单位基本养老保险缴费、职业年金缴费、职工基本医疗保险、医疗费、其他社会保障缴费、生活补助、医疗费补助、奖励金、住房公积金等。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2.31</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p>
    <w:p>
      <w:pPr>
        <w:spacing w:line="600" w:lineRule="exact"/>
        <w:ind w:firstLine="640" w:firstLineChars="200"/>
        <w:outlineLvl w:val="1"/>
        <w:rPr>
          <w:rStyle w:val="24"/>
          <w:rFonts w:ascii="黑体" w:eastAsia="黑体"/>
          <w:b w:val="0"/>
        </w:rPr>
      </w:pPr>
      <w:bookmarkStart w:id="68" w:name="_Toc15396609"/>
      <w:bookmarkStart w:id="69" w:name="_Toc15377215"/>
      <w:bookmarkStart w:id="70" w:name="_Toc79163869"/>
      <w:bookmarkStart w:id="71" w:name="_Toc79163619"/>
      <w:r>
        <w:rPr>
          <w:rFonts w:hint="eastAsia" w:ascii="黑体" w:eastAsia="黑体"/>
          <w:color w:val="000000"/>
          <w:sz w:val="32"/>
          <w:szCs w:val="32"/>
        </w:rPr>
        <w:t>七、</w:t>
      </w:r>
      <w:r>
        <w:rPr>
          <w:rStyle w:val="24"/>
          <w:rFonts w:hint="eastAsia" w:ascii="黑体" w:eastAsia="黑体"/>
        </w:rPr>
        <w:t>“</w:t>
      </w:r>
      <w:r>
        <w:rPr>
          <w:rStyle w:val="24"/>
          <w:rFonts w:hint="eastAsia" w:ascii="黑体" w:eastAsia="黑体"/>
          <w:b w:val="0"/>
        </w:rPr>
        <w:t>三公”经费财政拨款支出决算情况说明</w:t>
      </w:r>
      <w:bookmarkEnd w:id="68"/>
      <w:bookmarkEnd w:id="69"/>
      <w:bookmarkEnd w:id="70"/>
      <w:bookmarkEnd w:id="71"/>
    </w:p>
    <w:p>
      <w:pPr>
        <w:spacing w:line="600" w:lineRule="exact"/>
        <w:ind w:firstLine="645"/>
        <w:rPr>
          <w:rFonts w:hint="default" w:ascii="仿宋" w:hAnsi="仿宋" w:eastAsia="仿宋_GB2312"/>
          <w:color w:val="000000"/>
          <w:sz w:val="32"/>
          <w:szCs w:val="32"/>
          <w:lang w:val="en-US" w:eastAsia="zh-CN"/>
        </w:rPr>
      </w:pPr>
      <w:bookmarkStart w:id="72" w:name="_Toc79163872"/>
      <w:bookmarkStart w:id="73" w:name="_Toc15396610"/>
      <w:bookmarkStart w:id="74" w:name="_Toc79163622"/>
      <w:bookmarkStart w:id="75" w:name="_Toc15377218"/>
      <w:r>
        <w:rPr>
          <w:rFonts w:hint="eastAsia" w:ascii="仿宋" w:hAnsi="仿宋" w:eastAsia="仿宋"/>
          <w:color w:val="000000"/>
          <w:sz w:val="32"/>
          <w:szCs w:val="32"/>
          <w:lang w:val="en-US" w:eastAsia="zh-CN"/>
        </w:rPr>
        <w:t>2021年</w:t>
      </w:r>
      <w:r>
        <w:rPr>
          <w:rFonts w:hint="eastAsia" w:ascii="仿宋_GB2312" w:eastAsia="仿宋_GB2312" w:hAnsiTheme="majorEastAsia"/>
          <w:sz w:val="32"/>
          <w:szCs w:val="32"/>
        </w:rPr>
        <w:t>茂县人大常委会办公室信息和预算联网中心</w:t>
      </w:r>
      <w:r>
        <w:rPr>
          <w:rFonts w:hint="eastAsia" w:ascii="仿宋_GB2312" w:eastAsia="仿宋_GB2312" w:hAnsiTheme="majorEastAsia"/>
          <w:sz w:val="32"/>
          <w:szCs w:val="32"/>
          <w:lang w:eastAsia="zh-CN"/>
        </w:rPr>
        <w:t>无“三公”经费支出。</w:t>
      </w:r>
    </w:p>
    <w:p>
      <w:pPr>
        <w:spacing w:line="600" w:lineRule="exact"/>
        <w:ind w:firstLine="640"/>
        <w:outlineLvl w:val="1"/>
        <w:rPr>
          <w:rStyle w:val="24"/>
          <w:rFonts w:ascii="黑体" w:eastAsia="黑体"/>
        </w:rPr>
      </w:pPr>
      <w:r>
        <w:rPr>
          <w:rFonts w:hint="eastAsia" w:ascii="黑体" w:eastAsia="黑体"/>
          <w:color w:val="000000"/>
          <w:sz w:val="32"/>
          <w:szCs w:val="32"/>
        </w:rPr>
        <w:t>八、</w:t>
      </w:r>
      <w:r>
        <w:rPr>
          <w:rStyle w:val="24"/>
          <w:rFonts w:hint="eastAsia" w:ascii="黑体" w:eastAsia="黑体"/>
          <w:b w:val="0"/>
        </w:rPr>
        <w:t>政府性基金预算支出决算情况说明</w:t>
      </w:r>
      <w:bookmarkEnd w:id="72"/>
      <w:bookmarkEnd w:id="73"/>
      <w:bookmarkEnd w:id="74"/>
      <w:bookmarkEnd w:id="75"/>
    </w:p>
    <w:p>
      <w:pPr>
        <w:spacing w:line="600" w:lineRule="exact"/>
        <w:ind w:firstLine="640"/>
        <w:rPr>
          <w:rFonts w:hint="eastAsia"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年无政府性基金预算拨款。</w:t>
      </w:r>
      <w:bookmarkStart w:id="76" w:name="_Toc79163623"/>
      <w:bookmarkStart w:id="77" w:name="_Toc79163873"/>
      <w:bookmarkStart w:id="78" w:name="_Toc15377219"/>
      <w:bookmarkStart w:id="79" w:name="_Toc15396611"/>
    </w:p>
    <w:p>
      <w:pPr>
        <w:spacing w:line="600" w:lineRule="exact"/>
        <w:ind w:firstLine="640"/>
        <w:rPr>
          <w:rStyle w:val="24"/>
          <w:rFonts w:ascii="黑体" w:eastAsia="黑体"/>
          <w:b w:val="0"/>
        </w:rPr>
      </w:pPr>
      <w:r>
        <w:rPr>
          <w:rStyle w:val="24"/>
          <w:rFonts w:hint="eastAsia" w:ascii="黑体" w:eastAsia="黑体"/>
          <w:b w:val="0"/>
          <w:lang w:eastAsia="zh-CN"/>
        </w:rPr>
        <w:t>九、</w:t>
      </w:r>
      <w:r>
        <w:rPr>
          <w:rStyle w:val="24"/>
          <w:rFonts w:hint="eastAsia" w:ascii="黑体" w:eastAsia="黑体"/>
          <w:b w:val="0"/>
        </w:rPr>
        <w:t>国有资本经营预算支出决算情况说明</w:t>
      </w:r>
      <w:bookmarkEnd w:id="76"/>
      <w:bookmarkEnd w:id="77"/>
      <w:bookmarkEnd w:id="78"/>
      <w:bookmarkEnd w:id="7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年无国有资本经营预算拨款。</w:t>
      </w:r>
    </w:p>
    <w:p>
      <w:pPr>
        <w:spacing w:line="600" w:lineRule="exact"/>
        <w:ind w:firstLine="640" w:firstLineChars="200"/>
        <w:outlineLvl w:val="1"/>
        <w:rPr>
          <w:rStyle w:val="24"/>
          <w:rFonts w:ascii="黑体" w:eastAsia="黑体"/>
        </w:rPr>
      </w:pPr>
      <w:bookmarkStart w:id="80" w:name="_Toc79163874"/>
      <w:bookmarkStart w:id="81" w:name="_Toc15396612"/>
      <w:bookmarkStart w:id="82" w:name="_Toc15377221"/>
      <w:bookmarkStart w:id="83" w:name="_Toc79163624"/>
      <w:r>
        <w:rPr>
          <w:rFonts w:hint="eastAsia" w:ascii="黑体" w:eastAsia="黑体"/>
          <w:color w:val="000000"/>
          <w:sz w:val="32"/>
          <w:szCs w:val="32"/>
        </w:rPr>
        <w:t>十</w:t>
      </w:r>
      <w:r>
        <w:rPr>
          <w:rStyle w:val="24"/>
          <w:rFonts w:hint="eastAsia" w:ascii="黑体" w:eastAsia="黑体"/>
        </w:rPr>
        <w:t>、</w:t>
      </w:r>
      <w:r>
        <w:rPr>
          <w:rStyle w:val="24"/>
          <w:rFonts w:hint="eastAsia" w:ascii="黑体" w:eastAsia="黑体"/>
          <w:b w:val="0"/>
        </w:rPr>
        <w:t>其他重要事项的情况说明</w:t>
      </w:r>
      <w:bookmarkEnd w:id="80"/>
      <w:bookmarkEnd w:id="81"/>
      <w:bookmarkEnd w:id="82"/>
      <w:bookmarkEnd w:id="83"/>
    </w:p>
    <w:p>
      <w:pPr>
        <w:spacing w:line="600" w:lineRule="exact"/>
        <w:ind w:firstLine="642" w:firstLineChars="200"/>
        <w:outlineLvl w:val="2"/>
        <w:rPr>
          <w:rFonts w:ascii="仿宋" w:eastAsia="仿宋"/>
          <w:color w:val="000000"/>
          <w:sz w:val="32"/>
          <w:szCs w:val="32"/>
        </w:rPr>
      </w:pPr>
      <w:bookmarkStart w:id="84" w:name="_Toc79163625"/>
      <w:bookmarkStart w:id="85" w:name="_Toc79163875"/>
      <w:bookmarkStart w:id="86" w:name="_Toc15377222"/>
      <w:r>
        <w:rPr>
          <w:rFonts w:hint="eastAsia" w:ascii="仿宋" w:eastAsia="仿宋"/>
          <w:b/>
          <w:color w:val="000000"/>
          <w:sz w:val="32"/>
          <w:szCs w:val="32"/>
        </w:rPr>
        <w:t>（一）机关运行经费支出情况</w:t>
      </w:r>
      <w:bookmarkEnd w:id="84"/>
      <w:bookmarkEnd w:id="85"/>
      <w:bookmarkEnd w:id="86"/>
    </w:p>
    <w:p>
      <w:pPr>
        <w:spacing w:line="600" w:lineRule="exact"/>
        <w:ind w:firstLine="640" w:firstLineChars="200"/>
        <w:rPr>
          <w:rFonts w:ascii="仿宋" w:eastAsia="仿宋"/>
          <w:b/>
          <w:color w:val="FF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无</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87" w:name="_Toc79163876"/>
      <w:bookmarkStart w:id="88" w:name="_Toc79163626"/>
      <w:bookmarkStart w:id="89" w:name="_Toc15377223"/>
      <w:r>
        <w:rPr>
          <w:rFonts w:hint="eastAsia" w:ascii="仿宋" w:eastAsia="仿宋"/>
          <w:b/>
          <w:color w:val="000000"/>
          <w:sz w:val="32"/>
          <w:szCs w:val="32"/>
        </w:rPr>
        <w:t>（二）政府采购支出情况</w:t>
      </w:r>
      <w:bookmarkEnd w:id="87"/>
      <w:bookmarkEnd w:id="88"/>
      <w:bookmarkEnd w:id="89"/>
    </w:p>
    <w:p>
      <w:pPr>
        <w:spacing w:line="600" w:lineRule="exact"/>
        <w:ind w:firstLine="640" w:firstLineChars="200"/>
        <w:rPr>
          <w:rFonts w:hint="eastAsia" w:ascii="仿宋" w:eastAsia="仿宋_GB2312"/>
          <w:b/>
          <w:color w:val="FF0000"/>
          <w:sz w:val="32"/>
          <w:szCs w:val="32"/>
          <w:lang w:eastAsia="zh-CN"/>
        </w:rPr>
      </w:pPr>
      <w:r>
        <w:rPr>
          <w:rFonts w:ascii="仿宋_GB2312" w:eastAsia="仿宋_GB2312"/>
          <w:color w:val="000000"/>
          <w:sz w:val="32"/>
          <w:szCs w:val="32"/>
        </w:rPr>
        <w:t>2021</w:t>
      </w:r>
      <w:r>
        <w:rPr>
          <w:rFonts w:hint="eastAsia" w:ascii="仿宋_GB2312" w:eastAsia="仿宋_GB2312"/>
          <w:color w:val="000000"/>
          <w:sz w:val="32"/>
          <w:szCs w:val="32"/>
        </w:rPr>
        <w:t>年无政府采购支出</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0" w:name="_Toc15377224"/>
      <w:bookmarkStart w:id="91" w:name="_Toc79163627"/>
      <w:bookmarkStart w:id="92" w:name="_Toc79163877"/>
      <w:r>
        <w:rPr>
          <w:rFonts w:hint="eastAsia" w:ascii="仿宋" w:eastAsia="仿宋"/>
          <w:b/>
          <w:color w:val="000000"/>
          <w:sz w:val="32"/>
          <w:szCs w:val="32"/>
        </w:rPr>
        <w:t>（三）国有资产占有使用情况</w:t>
      </w:r>
      <w:bookmarkEnd w:id="90"/>
      <w:bookmarkEnd w:id="91"/>
      <w:bookmarkEnd w:id="92"/>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日，单价50万元以上通用设备0台（套），单价100万元以上专用设备0台（套）。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93" w:name="_Toc79163878"/>
      <w:bookmarkStart w:id="94" w:name="_Toc79163628"/>
      <w:r>
        <w:rPr>
          <w:rFonts w:hint="eastAsia" w:ascii="仿宋" w:eastAsia="仿宋"/>
          <w:b/>
          <w:color w:val="000000"/>
          <w:sz w:val="32"/>
          <w:szCs w:val="32"/>
        </w:rPr>
        <w:t>（四）预算绩效管理情况。</w:t>
      </w:r>
      <w:bookmarkEnd w:id="93"/>
      <w:bookmarkEnd w:id="94"/>
    </w:p>
    <w:p>
      <w:pPr>
        <w:numPr>
          <w:ilvl w:val="0"/>
          <w:numId w:val="0"/>
        </w:num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1.项目绩效目标完成情况。</w:t>
      </w:r>
    </w:p>
    <w:p>
      <w:pPr>
        <w:numPr>
          <w:ilvl w:val="0"/>
          <w:numId w:val="0"/>
        </w:numPr>
        <w:spacing w:line="580" w:lineRule="exact"/>
        <w:ind w:firstLine="640" w:firstLineChars="200"/>
        <w:rPr>
          <w:rFonts w:hint="eastAsia" w:ascii="楷体_GB2312" w:eastAsia="楷体_GB2312" w:cs="楷体_GB2312"/>
          <w:sz w:val="32"/>
          <w:szCs w:val="32"/>
        </w:rPr>
      </w:pPr>
      <w:r>
        <w:rPr>
          <w:rFonts w:hint="eastAsia" w:ascii="仿宋_GB2312" w:eastAsia="仿宋_GB2312"/>
          <w:color w:val="000000"/>
          <w:sz w:val="32"/>
          <w:szCs w:val="32"/>
          <w:lang w:val="en-US" w:eastAsia="zh-CN"/>
        </w:rPr>
        <w:t>2021年无项目目标。</w:t>
      </w:r>
      <w:r>
        <w:rPr>
          <w:rFonts w:hint="eastAsia" w:ascii="仿宋_GB2312" w:eastAsia="仿宋_GB2312"/>
          <w:color w:val="000000"/>
          <w:sz w:val="32"/>
          <w:szCs w:val="32"/>
        </w:rPr>
        <w:br w:type="textWrapping"/>
      </w:r>
      <w:r>
        <w:rPr>
          <w:rFonts w:hint="eastAsia" w:ascii="仿宋_GB2312" w:hAnsi="仿宋_GB2312" w:eastAsia="仿宋_GB2312" w:cs="仿宋_GB2312"/>
          <w:sz w:val="32"/>
          <w:szCs w:val="32"/>
        </w:rPr>
        <w:t xml:space="preserve">    </w:t>
      </w: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部门绩效评价结果。</w:t>
      </w:r>
    </w:p>
    <w:p>
      <w:pPr>
        <w:widowControl/>
        <w:ind w:firstLine="640" w:firstLineChars="200"/>
        <w:jc w:val="left"/>
        <w:rPr>
          <w:rFonts w:ascii="仿宋_GB2312" w:eastAsia="仿宋_GB2312"/>
          <w:b/>
          <w:color w:val="000000"/>
          <w:sz w:val="32"/>
          <w:szCs w:val="32"/>
        </w:rPr>
      </w:pPr>
      <w:r>
        <w:rPr>
          <w:rFonts w:hint="eastAsia" w:ascii="仿宋_GB2312" w:hAnsi="仿宋_GB2312" w:eastAsia="仿宋_GB2312" w:cs="仿宋_GB2312"/>
          <w:sz w:val="32"/>
          <w:szCs w:val="32"/>
        </w:rPr>
        <w:t>按要求对</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sz w:val="32"/>
          <w:szCs w:val="32"/>
          <w:lang w:eastAsia="zh-CN"/>
        </w:rPr>
        <w:t>。</w:t>
      </w:r>
      <w:r>
        <w:rPr>
          <w:rFonts w:ascii="仿宋_GB2312" w:eastAsia="仿宋_GB2312"/>
          <w:b/>
          <w:color w:val="000000"/>
          <w:sz w:val="32"/>
          <w:szCs w:val="32"/>
        </w:rPr>
        <w:br w:type="page"/>
      </w:r>
    </w:p>
    <w:p>
      <w:pPr>
        <w:numPr>
          <w:ilvl w:val="0"/>
          <w:numId w:val="3"/>
        </w:numPr>
        <w:spacing w:line="600" w:lineRule="exact"/>
        <w:ind w:left="0" w:firstLine="660" w:firstLineChars="150"/>
        <w:jc w:val="center"/>
        <w:outlineLvl w:val="0"/>
        <w:rPr>
          <w:rStyle w:val="23"/>
          <w:rFonts w:ascii="黑体" w:eastAsia="黑体"/>
          <w:b w:val="0"/>
        </w:rPr>
      </w:pPr>
      <w:bookmarkStart w:id="95" w:name="_Toc79163879"/>
      <w:bookmarkStart w:id="96" w:name="_Toc79163629"/>
      <w:bookmarkStart w:id="97" w:name="_Toc15396613"/>
      <w:bookmarkStart w:id="98" w:name="_Toc15377225"/>
      <w:r>
        <w:rPr>
          <w:rFonts w:hint="eastAsia" w:ascii="黑体" w:eastAsia="黑体"/>
          <w:color w:val="000000"/>
          <w:sz w:val="44"/>
          <w:szCs w:val="44"/>
        </w:rPr>
        <w:t>名</w:t>
      </w:r>
      <w:r>
        <w:rPr>
          <w:rStyle w:val="23"/>
          <w:rFonts w:hint="eastAsia" w:ascii="黑体" w:eastAsia="黑体"/>
          <w:b w:val="0"/>
        </w:rPr>
        <w:t>词解释</w:t>
      </w:r>
      <w:bookmarkEnd w:id="95"/>
      <w:bookmarkEnd w:id="96"/>
      <w:bookmarkEnd w:id="97"/>
      <w:bookmarkEnd w:id="98"/>
    </w:p>
    <w:p>
      <w:pPr>
        <w:spacing w:line="600" w:lineRule="exact"/>
        <w:jc w:val="left"/>
        <w:rPr>
          <w:rFonts w:ascii="宋体"/>
          <w:b/>
          <w:color w:val="000000"/>
          <w:sz w:val="44"/>
          <w:szCs w:val="44"/>
        </w:rPr>
      </w:pPr>
    </w:p>
    <w:p>
      <w:pPr>
        <w:pStyle w:val="28"/>
        <w:spacing w:line="560" w:lineRule="exact"/>
        <w:ind w:left="640"/>
        <w:rPr>
          <w:rFonts w:ascii="仿宋_GB2312" w:eastAsia="仿宋_GB2312"/>
          <w:sz w:val="32"/>
          <w:szCs w:val="32"/>
        </w:rPr>
      </w:pPr>
      <w:bookmarkStart w:id="99" w:name="_Toc15377226"/>
      <w:r>
        <w:rPr>
          <w:rFonts w:hint="eastAsia" w:ascii="仿宋_GB2312" w:eastAsia="仿宋_GB2312"/>
          <w:sz w:val="32"/>
          <w:szCs w:val="32"/>
        </w:rPr>
        <w:t xml:space="preserve">1.财政拨款收入：指州级财政当年拨付的资金。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3"/>
          <w:rFonts w:hint="eastAsia" w:ascii="黑体" w:eastAsia="黑体"/>
          <w:b w:val="0"/>
        </w:rPr>
      </w:pPr>
      <w:r>
        <w:rPr>
          <w:rFonts w:ascii="宋体"/>
          <w:b/>
          <w:color w:val="000000"/>
          <w:sz w:val="44"/>
          <w:szCs w:val="44"/>
        </w:rPr>
        <w:br w:type="page"/>
      </w:r>
      <w:bookmarkStart w:id="100" w:name="_Toc79163630"/>
      <w:bookmarkStart w:id="101" w:name="_Toc15396614"/>
      <w:bookmarkStart w:id="102" w:name="_Toc79163880"/>
      <w:r>
        <w:rPr>
          <w:rFonts w:hint="eastAsia" w:ascii="黑体" w:eastAsia="黑体"/>
          <w:color w:val="000000"/>
          <w:sz w:val="44"/>
          <w:szCs w:val="44"/>
        </w:rPr>
        <w:t>第</w:t>
      </w:r>
      <w:r>
        <w:rPr>
          <w:rStyle w:val="23"/>
          <w:rFonts w:hint="eastAsia" w:ascii="黑体" w:eastAsia="黑体"/>
          <w:b w:val="0"/>
        </w:rPr>
        <w:t>四部分</w:t>
      </w:r>
      <w:r>
        <w:rPr>
          <w:rStyle w:val="23"/>
          <w:rFonts w:ascii="黑体" w:eastAsia="黑体"/>
          <w:b w:val="0"/>
        </w:rPr>
        <w:t xml:space="preserve"> </w:t>
      </w:r>
      <w:r>
        <w:rPr>
          <w:rStyle w:val="23"/>
          <w:rFonts w:hint="eastAsia" w:ascii="黑体" w:eastAsia="黑体"/>
          <w:b w:val="0"/>
        </w:rPr>
        <w:t>附件</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rPr>
        <w:t>茂县人大常委会办公室信息和预</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宋体"/>
          <w:sz w:val="44"/>
          <w:szCs w:val="44"/>
          <w:shd w:val="clear" w:color="auto" w:fill="FFFFFF"/>
        </w:rPr>
      </w:pPr>
      <w:r>
        <w:rPr>
          <w:rFonts w:hint="eastAsia" w:ascii="黑体" w:hAnsi="黑体" w:eastAsia="黑体" w:cs="宋体"/>
          <w:sz w:val="44"/>
          <w:szCs w:val="44"/>
          <w:shd w:val="clear" w:color="auto" w:fill="FFFFFF"/>
        </w:rPr>
        <w:t>算联网中心</w:t>
      </w:r>
      <w:r>
        <w:rPr>
          <w:rFonts w:hint="eastAsia" w:ascii="黑体" w:hAnsi="黑体" w:eastAsia="黑体" w:cs="宋体"/>
          <w:sz w:val="44"/>
          <w:szCs w:val="44"/>
          <w:shd w:val="clear" w:color="auto" w:fill="FFFFFF"/>
          <w:lang w:val="en-US" w:eastAsia="zh-CN"/>
        </w:rPr>
        <w:t>2021</w:t>
      </w:r>
      <w:r>
        <w:rPr>
          <w:rFonts w:hint="eastAsia" w:ascii="黑体" w:hAnsi="黑体" w:eastAsia="黑体" w:cs="宋体"/>
          <w:sz w:val="44"/>
          <w:szCs w:val="44"/>
          <w:shd w:val="clear" w:color="auto" w:fill="FFFFFF"/>
        </w:rPr>
        <w:t>年</w:t>
      </w:r>
      <w:r>
        <w:rPr>
          <w:rFonts w:hint="eastAsia" w:ascii="黑体" w:hAnsi="黑体" w:eastAsia="黑体" w:cs="宋体"/>
          <w:sz w:val="44"/>
          <w:szCs w:val="44"/>
          <w:shd w:val="clear" w:color="auto" w:fill="FFFFFF"/>
          <w:lang w:eastAsia="zh-CN"/>
        </w:rPr>
        <w:t>整体</w:t>
      </w:r>
      <w:r>
        <w:rPr>
          <w:rFonts w:hint="eastAsia" w:ascii="黑体" w:hAnsi="黑体" w:eastAsia="黑体" w:cs="宋体"/>
          <w:sz w:val="44"/>
          <w:szCs w:val="44"/>
          <w:shd w:val="clear" w:color="auto" w:fill="FFFFFF"/>
        </w:rPr>
        <w:t>支出绩效报告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一、单位概况</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（一）机构组成</w:t>
      </w:r>
    </w:p>
    <w:p>
      <w:pPr>
        <w:spacing w:line="500" w:lineRule="exact"/>
        <w:ind w:firstLine="320" w:firstLineChars="100"/>
        <w:rPr>
          <w:rFonts w:hint="eastAsia" w:ascii="仿宋_GB2312" w:eastAsia="仿宋_GB2312" w:hAnsiTheme="majorEastAsia"/>
          <w:sz w:val="32"/>
          <w:szCs w:val="32"/>
        </w:rPr>
      </w:pPr>
      <w:r>
        <w:rPr>
          <w:rFonts w:hint="eastAsia" w:ascii="仿宋_GB2312" w:eastAsia="仿宋_GB2312" w:hAnsiTheme="majorEastAsia"/>
          <w:sz w:val="32"/>
          <w:szCs w:val="32"/>
        </w:rPr>
        <w:t>茂县人大常委会办公室信息和预算联网中心管理岗位3个，均为九级岗位；专业技术岗位4个，分别为：1个九级岗位、1个十级岗位、2个十一级岗位。</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（二）机构职能</w:t>
      </w:r>
    </w:p>
    <w:p>
      <w:pPr>
        <w:ind w:firstLine="640" w:firstLineChars="200"/>
        <w:rPr>
          <w:rFonts w:hint="eastAsia" w:ascii="仿宋_GB2312" w:eastAsia="仿宋_GB2312" w:hAnsiTheme="majorEastAsia"/>
          <w:sz w:val="32"/>
          <w:szCs w:val="32"/>
        </w:rPr>
      </w:pPr>
      <w:r>
        <w:rPr>
          <w:rFonts w:hint="eastAsia" w:ascii="仿宋_GB2312" w:hAnsi="仿宋_GB2312" w:eastAsia="仿宋_GB2312" w:cs="仿宋_GB2312"/>
          <w:color w:val="000000"/>
          <w:kern w:val="2"/>
          <w:sz w:val="32"/>
          <w:szCs w:val="32"/>
          <w:lang w:val="en-US" w:eastAsia="zh-CN" w:bidi="ar"/>
        </w:rPr>
        <w:t xml:space="preserve"> </w:t>
      </w:r>
      <w:r>
        <w:rPr>
          <w:rFonts w:hint="eastAsia" w:ascii="仿宋_GB2312" w:eastAsia="仿宋_GB2312" w:hAnsiTheme="majorEastAsia"/>
          <w:sz w:val="32"/>
          <w:szCs w:val="32"/>
        </w:rPr>
        <w:t>负责县人大常委会机关信息网络和网站的建设、维护；收集、整理人大工作信息，宣传人大制度和民主法制建设；编写人大会议《公报》、大事记和领导的工作日志；组织编写人大年鉴和县人大志；负责县本级预算联网审查监督平台的日常管理、预算联网审查监督的事务性工作及行政辅助工作；完成县人大常委会办公室交办的其他任务。</w:t>
      </w:r>
    </w:p>
    <w:p>
      <w:pPr>
        <w:ind w:firstLine="642" w:firstLineChars="2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（三）人员概况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eastAsia="仿宋_GB2312" w:hAnsiTheme="majorEastAsia"/>
          <w:sz w:val="32"/>
          <w:szCs w:val="32"/>
        </w:rPr>
        <w:t>茂县人大常委会办公室信息和预算联网中心</w:t>
      </w:r>
      <w:r>
        <w:rPr>
          <w:rFonts w:hint="eastAsia" w:ascii="仿宋_GB2312" w:hAnsi="仿宋_GB2312" w:eastAsia="仿宋_GB2312" w:cs="仿宋_GB2312"/>
          <w:color w:val="000000"/>
          <w:kern w:val="2"/>
          <w:sz w:val="32"/>
          <w:szCs w:val="32"/>
          <w:lang w:val="en-US" w:eastAsia="zh-CN" w:bidi="ar"/>
        </w:rPr>
        <w:t>属事业单位。总编制4名，在职人员总数3人。</w:t>
      </w:r>
    </w:p>
    <w:p>
      <w:pPr>
        <w:spacing w:line="500" w:lineRule="exact"/>
        <w:rPr>
          <w:rFonts w:hint="eastAsia" w:ascii="楷体_GB2312" w:hAnsi="Calibri" w:eastAsia="楷体_GB2312" w:cs="仿宋"/>
          <w:b/>
          <w:color w:val="000000"/>
          <w:kern w:val="0"/>
          <w:sz w:val="32"/>
          <w:szCs w:val="32"/>
          <w:lang w:val="en-US" w:eastAsia="zh-CN"/>
        </w:rPr>
      </w:pPr>
      <w:r>
        <w:rPr>
          <w:rFonts w:hint="eastAsia" w:ascii="黑体" w:hAnsi="黑体" w:eastAsia="黑体" w:cs="仿宋"/>
          <w:color w:val="000000"/>
          <w:kern w:val="0"/>
          <w:sz w:val="32"/>
          <w:szCs w:val="32"/>
          <w:lang w:val="en-US" w:eastAsia="zh-CN"/>
        </w:rPr>
        <w:t>二、部门财政资金收支情况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（一）部门财政资金收入情况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2021年我单位总收入47.82万元，其中财政拨款收入47.82万元。</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（二）部门财政资金支出情况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2021年我单位总支出47.82万元，其中：一般公共服务支出36.98万元，社会保障和就业支出4.79万元，卫生健康支出支出2.38万元，住房保障支出3.68万元。</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三、部门整体预算绩效管理情况</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（一）部门预算管理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zh-CN" w:eastAsia="zh-CN" w:bidi="ar"/>
        </w:rPr>
        <w:t>按照国家预算法编制预算、决算。根据县财政局的部署要求和下达的各项经费指标，按新《</w:t>
      </w:r>
      <w:r>
        <w:rPr>
          <w:rFonts w:hint="eastAsia" w:ascii="仿宋_GB2312" w:hAnsi="仿宋_GB2312" w:eastAsia="仿宋_GB2312" w:cs="仿宋_GB2312"/>
          <w:color w:val="000000"/>
          <w:kern w:val="2"/>
          <w:sz w:val="32"/>
          <w:szCs w:val="32"/>
          <w:lang w:val="en-US" w:eastAsia="zh-CN" w:bidi="ar"/>
        </w:rPr>
        <w:t>预</w:t>
      </w:r>
      <w:r>
        <w:rPr>
          <w:rFonts w:hint="eastAsia" w:ascii="仿宋_GB2312" w:hAnsi="仿宋_GB2312" w:eastAsia="仿宋_GB2312" w:cs="仿宋_GB2312"/>
          <w:color w:val="000000"/>
          <w:kern w:val="2"/>
          <w:sz w:val="32"/>
          <w:szCs w:val="32"/>
          <w:lang w:val="zh-CN" w:eastAsia="zh-CN" w:bidi="ar"/>
        </w:rPr>
        <w:t>算法》规定，结合本单位的实际情况，合理编制预算。财政资金实行统一管理，统筹安排，预算编制做到合理安排各项资金，确保单位正常运转。</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（二）执行管理情况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按要求严格预算执行管理、节能降耗，严格执行“三公”经费预算。以建设节约型机关、服务型机关、学习型机关、安全型机关为重点。部门预决算及“三公”经费全面向社会公示工作有序推进。本单位是按照财政全年下达的预算指标来安排各项工作，预算执行情祝总体良好。</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（三）综合管理情况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bookmarkStart w:id="149" w:name="_GoBack"/>
      <w:bookmarkEnd w:id="149"/>
      <w:r>
        <w:rPr>
          <w:rFonts w:hint="eastAsia" w:ascii="仿宋_GB2312" w:hAnsi="仿宋_GB2312" w:eastAsia="仿宋_GB2312" w:cs="仿宋_GB2312"/>
          <w:color w:val="000000"/>
          <w:kern w:val="2"/>
          <w:sz w:val="32"/>
          <w:szCs w:val="32"/>
          <w:lang w:val="en-US" w:eastAsia="zh-CN" w:bidi="ar"/>
        </w:rPr>
        <w:t>严格执行“收支两条钱”管理规定，和其他有关法律、法规对经费收入管理的要求；严格按照《预算法》、《会计法》、《行政单位财务管理制度》以及有关法律、法规要求支出各项费用。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为进一步规范机关财务和加强财产管理工作，节约费用开支，提高资金使用效益，强化财务监督，严肃财经纪律，根据相关规定我单位制定机关财务管理制度、公务用车管理制度、公务接待管理制度、财务公开制度等，资产管理严格按照固定资产管理制度进行管理，培训费管理办法等制度，并严格按照《会计法》《会计档案管理办法》进行会计凭证、账簿登记和会计档案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采购办公用品时严格按照茂府办发【2013】64号文件精神，项目预算资金在限额标准以上的都通过填报《茂县政府采购计划申请表》向县财政申请，经审核批准后在组织实施。项目预算资金在限额标准以下的都通过填报《茂县政府采购备案表》经备案后在进行采购。</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（四）整体绩效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zh-CN" w:eastAsia="zh-CN" w:bidi="ar"/>
        </w:rPr>
        <w:t>我单位根据《茂县财政局关于开展</w:t>
      </w:r>
      <w:r>
        <w:rPr>
          <w:rFonts w:hint="eastAsia" w:ascii="仿宋_GB2312" w:hAnsi="仿宋_GB2312" w:eastAsia="仿宋_GB2312" w:cs="仿宋_GB2312"/>
          <w:color w:val="000000"/>
          <w:kern w:val="2"/>
          <w:sz w:val="32"/>
          <w:szCs w:val="32"/>
          <w:lang w:val="en-US" w:eastAsia="zh-CN" w:bidi="ar"/>
        </w:rPr>
        <w:t>2020年财政支出绩效评价工作的通知》为提高预算资金使用效益，强化支出责任，规范支出绩效评价行为，单位根据财政资金的实际使用情况开始了自评工作，我们将此项工作作为健全本单位制度机制、优化支出结构、资源配置的重要依据。绩效评价自查开展覆盖重点支出，将评价结果作为预算安排的重要依据，参照年度预算执行情况、“三年滚动规划”执行情况统筹支出需求，优化财政资金配置，不断强化绩效理念，推动我单位部门整体绩效管理水平不断提升。项目支出保障了重点工作的开展，绩效目标得到较好实现，绩效管理水平不断提高，绩效指标体系逐渐丰富和完善。</w:t>
      </w:r>
    </w:p>
    <w:p>
      <w:pPr>
        <w:spacing w:line="500" w:lineRule="exact"/>
        <w:rPr>
          <w:rFonts w:hint="eastAsia" w:ascii="黑体" w:hAnsi="黑体" w:eastAsia="黑体" w:cs="仿宋"/>
          <w:color w:val="000000"/>
          <w:kern w:val="0"/>
          <w:sz w:val="32"/>
          <w:szCs w:val="32"/>
          <w:lang w:val="en-US" w:eastAsia="zh-CN"/>
        </w:rPr>
      </w:pPr>
      <w:r>
        <w:rPr>
          <w:rFonts w:hint="eastAsia" w:ascii="黑体" w:hAnsi="黑体" w:eastAsia="黑体" w:cs="仿宋"/>
          <w:color w:val="000000"/>
          <w:kern w:val="0"/>
          <w:sz w:val="32"/>
          <w:szCs w:val="32"/>
          <w:lang w:val="en-US" w:eastAsia="zh-CN"/>
        </w:rPr>
        <w:t>四、评价结论及建议</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（一）评价结论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根据我单位整体支出情况的自查和自评，结论为：</w:t>
      </w:r>
      <w:r>
        <w:rPr>
          <w:rFonts w:hint="eastAsia" w:ascii="仿宋_GB2312" w:eastAsia="仿宋_GB2312" w:hAnsiTheme="majorEastAsia"/>
          <w:sz w:val="32"/>
          <w:szCs w:val="32"/>
        </w:rPr>
        <w:t>茂县人大常委会办公室信息和预算联网中心</w:t>
      </w:r>
      <w:r>
        <w:rPr>
          <w:rFonts w:hint="eastAsia" w:ascii="仿宋_GB2312" w:hAnsi="仿宋_GB2312" w:eastAsia="仿宋_GB2312" w:cs="仿宋_GB2312"/>
          <w:color w:val="000000"/>
          <w:kern w:val="2"/>
          <w:sz w:val="32"/>
          <w:szCs w:val="32"/>
          <w:lang w:val="en-US" w:eastAsia="zh-CN" w:bidi="ar"/>
        </w:rPr>
        <w:t>整体支出情况合法、合规，由于严格执行法律、政策、科学分配、有效使用、严密管理，有力地促进了我单位各项工作顺利完成和各项目标的实现，严格按照相关制度进行财务核算，做到资金专款专用，资金支付依据和开支标准合规合法。并按照规定编制决算，审核汇总后报财政部门审批。加强决算审核和分析，规范决算管理工作，保证决算数据的完整、真实、准确。自评得分</w:t>
      </w:r>
      <w:r>
        <w:rPr>
          <w:rFonts w:hint="eastAsia" w:ascii="仿宋_GB2312" w:hAnsi="仿宋_GB2312" w:cs="仿宋_GB2312"/>
          <w:color w:val="000000"/>
          <w:kern w:val="2"/>
          <w:sz w:val="32"/>
          <w:szCs w:val="32"/>
          <w:lang w:val="en-US" w:eastAsia="zh-CN" w:bidi="ar"/>
        </w:rPr>
        <w:t>90</w:t>
      </w:r>
      <w:r>
        <w:rPr>
          <w:rFonts w:hint="eastAsia" w:ascii="仿宋_GB2312" w:hAnsi="仿宋_GB2312" w:eastAsia="仿宋_GB2312" w:cs="仿宋_GB2312"/>
          <w:color w:val="000000"/>
          <w:kern w:val="2"/>
          <w:sz w:val="32"/>
          <w:szCs w:val="32"/>
          <w:lang w:val="en-US" w:eastAsia="zh-CN" w:bidi="ar"/>
        </w:rPr>
        <w:t>分。</w:t>
      </w:r>
    </w:p>
    <w:p>
      <w:pPr>
        <w:spacing w:line="500" w:lineRule="exact"/>
        <w:ind w:firstLine="321" w:firstLineChars="100"/>
        <w:rPr>
          <w:rFonts w:hint="eastAsia" w:ascii="楷体_GB2312" w:hAnsi="Calibri" w:eastAsia="楷体_GB2312" w:cs="仿宋"/>
          <w:b/>
          <w:color w:val="000000"/>
          <w:kern w:val="0"/>
          <w:sz w:val="32"/>
          <w:szCs w:val="32"/>
          <w:lang w:val="zh-CN" w:eastAsia="zh-CN"/>
        </w:rPr>
      </w:pPr>
      <w:r>
        <w:rPr>
          <w:rFonts w:hint="eastAsia" w:ascii="楷体_GB2312" w:hAnsi="Calibri" w:eastAsia="楷体_GB2312" w:cs="仿宋"/>
          <w:b/>
          <w:color w:val="000000"/>
          <w:kern w:val="0"/>
          <w:sz w:val="32"/>
          <w:szCs w:val="32"/>
          <w:lang w:val="zh-CN" w:eastAsia="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2、部分日常公用支出为完成支出进度没有严格按照年初预算下达经济科目支出，今后将严格按照下达指标经济类型支出。</w:t>
      </w:r>
    </w:p>
    <w:p>
      <w:pPr>
        <w:spacing w:line="500" w:lineRule="exact"/>
        <w:ind w:firstLine="321" w:firstLineChars="100"/>
        <w:rPr>
          <w:rFonts w:hint="eastAsia" w:ascii="楷体_GB2312" w:hAnsi="Calibri" w:eastAsia="楷体_GB2312" w:cs="仿宋"/>
          <w:b/>
          <w:color w:val="000000"/>
          <w:kern w:val="0"/>
          <w:sz w:val="32"/>
          <w:szCs w:val="32"/>
          <w:lang w:val="en-US" w:eastAsia="zh-CN"/>
        </w:rPr>
      </w:pPr>
      <w:r>
        <w:rPr>
          <w:rFonts w:hint="eastAsia" w:ascii="楷体_GB2312" w:hAnsi="Calibri" w:eastAsia="楷体_GB2312" w:cs="仿宋"/>
          <w:b/>
          <w:color w:val="000000"/>
          <w:kern w:val="0"/>
          <w:sz w:val="32"/>
          <w:szCs w:val="32"/>
          <w:lang w:val="en-US" w:eastAsia="zh-CN"/>
        </w:rPr>
        <w:t>(三）改进建议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2021年，根据我单位年初工作计划，按照中央和省、州的各项工作部署，积极履职，强化管理，完成年度工作目标。通过加强预算收支管理，不断建立健全内部管理制度，梳理内部管理流程，单位整体支出管理情况得到提升。</w:t>
      </w:r>
    </w:p>
    <w:p>
      <w:pPr>
        <w:spacing w:line="580" w:lineRule="exact"/>
        <w:ind w:firstLine="640" w:firstLineChars="200"/>
        <w:rPr>
          <w:rFonts w:ascii="仿宋_GB2312" w:eastAsia="仿宋_GB2312" w:cs="仿宋_GB2312"/>
          <w:sz w:val="32"/>
          <w:szCs w:val="32"/>
        </w:rPr>
      </w:pPr>
    </w:p>
    <w:p>
      <w:pPr>
        <w:spacing w:line="600" w:lineRule="exact"/>
        <w:jc w:val="center"/>
        <w:outlineLvl w:val="0"/>
        <w:rPr>
          <w:rFonts w:hint="eastAsia" w:ascii="方正小标宋简体" w:eastAsia="方正小标宋简体" w:cs="黑体"/>
          <w:sz w:val="44"/>
          <w:szCs w:val="44"/>
        </w:rPr>
      </w:pPr>
      <w:bookmarkStart w:id="103" w:name="_Toc79163634"/>
      <w:bookmarkStart w:id="104" w:name="_Toc79163884"/>
    </w:p>
    <w:bookmarkEnd w:id="103"/>
    <w:bookmarkEnd w:id="104"/>
    <w:p>
      <w:pPr>
        <w:widowControl/>
        <w:jc w:val="left"/>
        <w:rPr>
          <w:rStyle w:val="23"/>
          <w:rFonts w:ascii="黑体" w:eastAsia="黑体"/>
          <w:b w:val="0"/>
        </w:rPr>
      </w:pPr>
      <w:r>
        <w:rPr>
          <w:rStyle w:val="23"/>
          <w:rFonts w:ascii="黑体" w:eastAsia="黑体"/>
          <w:b w:val="0"/>
        </w:rPr>
        <w:br w:type="page"/>
      </w:r>
    </w:p>
    <w:p>
      <w:pPr>
        <w:spacing w:line="600" w:lineRule="exact"/>
        <w:jc w:val="center"/>
        <w:outlineLvl w:val="0"/>
        <w:rPr>
          <w:rStyle w:val="23"/>
          <w:rFonts w:ascii="黑体" w:eastAsia="黑体"/>
          <w:b w:val="0"/>
        </w:rPr>
      </w:pPr>
      <w:bookmarkStart w:id="105" w:name="_Toc15396618"/>
      <w:bookmarkStart w:id="106" w:name="_Toc79163885"/>
      <w:bookmarkStart w:id="107" w:name="_Toc79163635"/>
      <w:r>
        <w:rPr>
          <w:rFonts w:hint="eastAsia" w:ascii="黑体" w:eastAsia="黑体"/>
          <w:color w:val="000000"/>
          <w:sz w:val="44"/>
          <w:szCs w:val="44"/>
        </w:rPr>
        <w:t>第</w:t>
      </w:r>
      <w:r>
        <w:rPr>
          <w:rStyle w:val="23"/>
          <w:rFonts w:hint="eastAsia" w:ascii="黑体" w:eastAsia="黑体"/>
          <w:b w:val="0"/>
        </w:rPr>
        <w:t>五部分</w:t>
      </w:r>
      <w:r>
        <w:rPr>
          <w:rStyle w:val="23"/>
          <w:rFonts w:ascii="黑体" w:eastAsia="黑体"/>
          <w:b w:val="0"/>
        </w:rPr>
        <w:t xml:space="preserve"> </w:t>
      </w:r>
      <w:r>
        <w:rPr>
          <w:rStyle w:val="23"/>
          <w:rFonts w:hint="eastAsia" w:ascii="黑体" w:eastAsia="黑体"/>
          <w:b w:val="0"/>
        </w:rPr>
        <w:t>附表</w:t>
      </w:r>
      <w:bookmarkEnd w:id="99"/>
      <w:bookmarkEnd w:id="105"/>
      <w:bookmarkEnd w:id="106"/>
      <w:bookmarkEnd w:id="107"/>
    </w:p>
    <w:p>
      <w:pPr>
        <w:pStyle w:val="4"/>
        <w:rPr>
          <w:rFonts w:ascii="仿宋" w:eastAsia="仿宋"/>
          <w:color w:val="000000"/>
        </w:rPr>
      </w:pPr>
      <w:bookmarkStart w:id="108" w:name="_Toc79163636"/>
      <w:bookmarkStart w:id="109" w:name="_Toc79163886"/>
      <w:bookmarkStart w:id="110" w:name="_Toc15396619"/>
      <w:r>
        <w:rPr>
          <w:rFonts w:hint="eastAsia" w:ascii="仿宋" w:eastAsia="仿宋"/>
          <w:b w:val="0"/>
          <w:color w:val="000000"/>
        </w:rPr>
        <w:t>一、收</w:t>
      </w:r>
      <w:r>
        <w:rPr>
          <w:rStyle w:val="24"/>
          <w:rFonts w:hint="eastAsia" w:ascii="仿宋" w:eastAsia="仿宋"/>
          <w:b w:val="0"/>
          <w:bCs w:val="0"/>
        </w:rPr>
        <w:t>入支出决算总表</w:t>
      </w:r>
      <w:bookmarkEnd w:id="108"/>
      <w:bookmarkEnd w:id="109"/>
      <w:bookmarkEnd w:id="110"/>
    </w:p>
    <w:p>
      <w:pPr>
        <w:pStyle w:val="4"/>
        <w:rPr>
          <w:rFonts w:ascii="仿宋" w:eastAsia="仿宋"/>
          <w:color w:val="000000"/>
        </w:rPr>
      </w:pPr>
      <w:bookmarkStart w:id="111" w:name="_Toc15396620"/>
      <w:bookmarkStart w:id="112" w:name="_Toc79163887"/>
      <w:bookmarkStart w:id="113" w:name="_Toc79163637"/>
      <w:r>
        <w:rPr>
          <w:rFonts w:hint="eastAsia" w:ascii="仿宋" w:eastAsia="仿宋"/>
          <w:b w:val="0"/>
          <w:color w:val="000000"/>
        </w:rPr>
        <w:t>二、收</w:t>
      </w:r>
      <w:r>
        <w:rPr>
          <w:rStyle w:val="24"/>
          <w:rFonts w:hint="eastAsia" w:ascii="仿宋" w:eastAsia="仿宋"/>
          <w:b w:val="0"/>
          <w:bCs w:val="0"/>
        </w:rPr>
        <w:t>入决算表</w:t>
      </w:r>
      <w:bookmarkEnd w:id="111"/>
      <w:bookmarkEnd w:id="112"/>
      <w:bookmarkEnd w:id="113"/>
    </w:p>
    <w:p>
      <w:pPr>
        <w:pStyle w:val="4"/>
        <w:rPr>
          <w:rFonts w:ascii="仿宋" w:eastAsia="仿宋"/>
          <w:color w:val="000000"/>
        </w:rPr>
      </w:pPr>
      <w:bookmarkStart w:id="114" w:name="_Toc79163638"/>
      <w:bookmarkStart w:id="115" w:name="_Toc79163888"/>
      <w:bookmarkStart w:id="116" w:name="_Toc15396621"/>
      <w:r>
        <w:rPr>
          <w:rStyle w:val="24"/>
          <w:rFonts w:hint="eastAsia" w:ascii="仿宋" w:eastAsia="仿宋"/>
          <w:b w:val="0"/>
          <w:bCs w:val="0"/>
        </w:rPr>
        <w:t>三、</w:t>
      </w:r>
      <w:r>
        <w:rPr>
          <w:rFonts w:hint="eastAsia" w:ascii="仿宋" w:eastAsia="仿宋"/>
          <w:b w:val="0"/>
          <w:color w:val="000000"/>
        </w:rPr>
        <w:t>支</w:t>
      </w:r>
      <w:r>
        <w:rPr>
          <w:rStyle w:val="24"/>
          <w:rFonts w:hint="eastAsia" w:ascii="仿宋" w:eastAsia="仿宋"/>
          <w:b w:val="0"/>
          <w:bCs w:val="0"/>
        </w:rPr>
        <w:t>出决算表</w:t>
      </w:r>
      <w:bookmarkEnd w:id="114"/>
      <w:bookmarkEnd w:id="115"/>
      <w:bookmarkEnd w:id="116"/>
    </w:p>
    <w:p>
      <w:pPr>
        <w:pStyle w:val="4"/>
        <w:rPr>
          <w:rFonts w:ascii="仿宋" w:eastAsia="仿宋"/>
          <w:b w:val="0"/>
          <w:color w:val="000000"/>
        </w:rPr>
      </w:pPr>
      <w:bookmarkStart w:id="117" w:name="_Toc15396622"/>
      <w:bookmarkStart w:id="118" w:name="_Toc79163889"/>
      <w:bookmarkStart w:id="119" w:name="_Toc79163639"/>
      <w:r>
        <w:rPr>
          <w:rStyle w:val="24"/>
          <w:rFonts w:hint="eastAsia" w:ascii="仿宋" w:eastAsia="仿宋"/>
          <w:b w:val="0"/>
          <w:bCs w:val="0"/>
        </w:rPr>
        <w:t>四、</w:t>
      </w:r>
      <w:r>
        <w:rPr>
          <w:rFonts w:hint="eastAsia" w:ascii="仿宋" w:eastAsia="仿宋"/>
          <w:b w:val="0"/>
          <w:color w:val="000000"/>
        </w:rPr>
        <w:t>财</w:t>
      </w:r>
      <w:r>
        <w:rPr>
          <w:rStyle w:val="24"/>
          <w:rFonts w:hint="eastAsia" w:ascii="仿宋" w:eastAsia="仿宋"/>
          <w:b w:val="0"/>
          <w:bCs w:val="0"/>
        </w:rPr>
        <w:t>政拨款收入支出决算总表</w:t>
      </w:r>
      <w:bookmarkEnd w:id="117"/>
      <w:bookmarkEnd w:id="118"/>
      <w:bookmarkEnd w:id="119"/>
    </w:p>
    <w:p>
      <w:pPr>
        <w:pStyle w:val="4"/>
        <w:rPr>
          <w:rStyle w:val="24"/>
          <w:rFonts w:ascii="仿宋" w:eastAsia="仿宋"/>
          <w:b w:val="0"/>
          <w:bCs w:val="0"/>
        </w:rPr>
      </w:pPr>
      <w:bookmarkStart w:id="120" w:name="_Toc79163890"/>
      <w:bookmarkStart w:id="121" w:name="_Toc15396623"/>
      <w:bookmarkStart w:id="122" w:name="_Toc79163640"/>
      <w:r>
        <w:rPr>
          <w:rStyle w:val="24"/>
          <w:rFonts w:hint="eastAsia" w:ascii="仿宋" w:eastAsia="仿宋"/>
          <w:b w:val="0"/>
          <w:bCs w:val="0"/>
        </w:rPr>
        <w:t>五、</w:t>
      </w:r>
      <w:r>
        <w:rPr>
          <w:rFonts w:hint="eastAsia" w:ascii="仿宋" w:eastAsia="仿宋"/>
          <w:b w:val="0"/>
          <w:color w:val="000000"/>
        </w:rPr>
        <w:t>财</w:t>
      </w:r>
      <w:r>
        <w:rPr>
          <w:rStyle w:val="24"/>
          <w:rFonts w:hint="eastAsia" w:ascii="仿宋" w:eastAsia="仿宋"/>
          <w:b w:val="0"/>
          <w:bCs w:val="0"/>
        </w:rPr>
        <w:t>政拨款支出决算明细表</w:t>
      </w:r>
      <w:bookmarkEnd w:id="120"/>
      <w:bookmarkEnd w:id="121"/>
      <w:bookmarkEnd w:id="122"/>
      <w:bookmarkStart w:id="123" w:name="_Toc15396624"/>
    </w:p>
    <w:p>
      <w:pPr>
        <w:pStyle w:val="4"/>
        <w:rPr>
          <w:rFonts w:ascii="仿宋" w:eastAsia="仿宋"/>
          <w:color w:val="000000"/>
        </w:rPr>
      </w:pPr>
      <w:bookmarkStart w:id="124" w:name="_Toc79163891"/>
      <w:bookmarkStart w:id="125" w:name="_Toc79163641"/>
      <w:r>
        <w:rPr>
          <w:rStyle w:val="24"/>
          <w:rFonts w:hint="eastAsia" w:ascii="仿宋" w:eastAsia="仿宋"/>
          <w:b w:val="0"/>
          <w:bCs w:val="0"/>
        </w:rPr>
        <w:t>六、</w:t>
      </w:r>
      <w:r>
        <w:rPr>
          <w:rFonts w:hint="eastAsia" w:ascii="仿宋" w:eastAsia="仿宋"/>
          <w:b w:val="0"/>
          <w:color w:val="000000"/>
        </w:rPr>
        <w:t>一</w:t>
      </w:r>
      <w:r>
        <w:rPr>
          <w:rStyle w:val="24"/>
          <w:rFonts w:hint="eastAsia" w:ascii="仿宋" w:eastAsia="仿宋"/>
          <w:b w:val="0"/>
          <w:bCs w:val="0"/>
        </w:rPr>
        <w:t>般公共预算财政拨款支出决算表</w:t>
      </w:r>
      <w:bookmarkEnd w:id="123"/>
      <w:bookmarkEnd w:id="124"/>
      <w:bookmarkEnd w:id="125"/>
    </w:p>
    <w:p>
      <w:pPr>
        <w:pStyle w:val="4"/>
        <w:rPr>
          <w:rFonts w:ascii="仿宋" w:eastAsia="仿宋"/>
          <w:color w:val="000000"/>
        </w:rPr>
      </w:pPr>
      <w:bookmarkStart w:id="126" w:name="_Toc15396625"/>
      <w:bookmarkStart w:id="127" w:name="_Toc79163642"/>
      <w:bookmarkStart w:id="128" w:name="_Toc79163892"/>
      <w:r>
        <w:rPr>
          <w:rStyle w:val="24"/>
          <w:rFonts w:hint="eastAsia" w:ascii="仿宋" w:eastAsia="仿宋"/>
          <w:b w:val="0"/>
          <w:bCs w:val="0"/>
        </w:rPr>
        <w:t>七、</w:t>
      </w:r>
      <w:r>
        <w:rPr>
          <w:rFonts w:hint="eastAsia" w:ascii="仿宋" w:eastAsia="仿宋"/>
          <w:b w:val="0"/>
          <w:color w:val="000000"/>
        </w:rPr>
        <w:t>一</w:t>
      </w:r>
      <w:r>
        <w:rPr>
          <w:rStyle w:val="24"/>
          <w:rFonts w:hint="eastAsia" w:ascii="仿宋" w:eastAsia="仿宋"/>
          <w:b w:val="0"/>
          <w:bCs w:val="0"/>
        </w:rPr>
        <w:t>般公共预算财政拨款支出决算明细表</w:t>
      </w:r>
      <w:bookmarkEnd w:id="126"/>
      <w:bookmarkEnd w:id="127"/>
      <w:bookmarkEnd w:id="128"/>
    </w:p>
    <w:p>
      <w:pPr>
        <w:pStyle w:val="4"/>
        <w:rPr>
          <w:rFonts w:ascii="仿宋" w:eastAsia="仿宋"/>
          <w:color w:val="000000"/>
        </w:rPr>
      </w:pPr>
      <w:bookmarkStart w:id="129" w:name="_Toc79163893"/>
      <w:bookmarkStart w:id="130" w:name="_Toc79163643"/>
      <w:bookmarkStart w:id="131" w:name="_Toc15396626"/>
      <w:r>
        <w:rPr>
          <w:rStyle w:val="24"/>
          <w:rFonts w:hint="eastAsia" w:ascii="仿宋" w:eastAsia="仿宋"/>
          <w:b w:val="0"/>
          <w:bCs w:val="0"/>
        </w:rPr>
        <w:t>八、</w:t>
      </w:r>
      <w:r>
        <w:rPr>
          <w:rFonts w:hint="eastAsia" w:ascii="仿宋" w:eastAsia="仿宋"/>
          <w:b w:val="0"/>
          <w:color w:val="000000"/>
        </w:rPr>
        <w:t>一</w:t>
      </w:r>
      <w:r>
        <w:rPr>
          <w:rStyle w:val="24"/>
          <w:rFonts w:hint="eastAsia" w:ascii="仿宋" w:eastAsia="仿宋"/>
          <w:b w:val="0"/>
          <w:bCs w:val="0"/>
        </w:rPr>
        <w:t>般公共预算财政拨款基本支出决算表</w:t>
      </w:r>
      <w:bookmarkEnd w:id="129"/>
      <w:bookmarkEnd w:id="130"/>
      <w:bookmarkEnd w:id="131"/>
    </w:p>
    <w:p>
      <w:pPr>
        <w:pStyle w:val="4"/>
        <w:rPr>
          <w:rFonts w:ascii="仿宋" w:eastAsia="仿宋"/>
          <w:color w:val="000000"/>
        </w:rPr>
      </w:pPr>
      <w:bookmarkStart w:id="132" w:name="_Toc79163894"/>
      <w:bookmarkStart w:id="133" w:name="_Toc15396627"/>
      <w:bookmarkStart w:id="134" w:name="_Toc79163644"/>
      <w:r>
        <w:rPr>
          <w:rStyle w:val="24"/>
          <w:rFonts w:hint="eastAsia" w:ascii="仿宋" w:eastAsia="仿宋"/>
          <w:b w:val="0"/>
          <w:bCs w:val="0"/>
        </w:rPr>
        <w:t>九、</w:t>
      </w:r>
      <w:r>
        <w:rPr>
          <w:rFonts w:hint="eastAsia" w:ascii="仿宋" w:eastAsia="仿宋"/>
          <w:b w:val="0"/>
          <w:color w:val="000000"/>
        </w:rPr>
        <w:t>一</w:t>
      </w:r>
      <w:r>
        <w:rPr>
          <w:rStyle w:val="24"/>
          <w:rFonts w:hint="eastAsia" w:ascii="仿宋" w:eastAsia="仿宋"/>
          <w:b w:val="0"/>
          <w:bCs w:val="0"/>
        </w:rPr>
        <w:t>般公共预算财政拨款项目支出决算表</w:t>
      </w:r>
      <w:bookmarkEnd w:id="132"/>
      <w:bookmarkEnd w:id="133"/>
      <w:bookmarkEnd w:id="134"/>
    </w:p>
    <w:p>
      <w:pPr>
        <w:pStyle w:val="4"/>
        <w:rPr>
          <w:rFonts w:ascii="仿宋" w:eastAsia="仿宋"/>
          <w:color w:val="000000"/>
        </w:rPr>
      </w:pPr>
      <w:bookmarkStart w:id="135" w:name="_Toc79163895"/>
      <w:bookmarkStart w:id="136" w:name="_Toc79163645"/>
      <w:bookmarkStart w:id="137" w:name="_Toc15396628"/>
      <w:r>
        <w:rPr>
          <w:rStyle w:val="24"/>
          <w:rFonts w:hint="eastAsia" w:ascii="仿宋" w:eastAsia="仿宋"/>
          <w:b w:val="0"/>
          <w:bCs w:val="0"/>
        </w:rPr>
        <w:t>十、</w:t>
      </w:r>
      <w:r>
        <w:rPr>
          <w:rFonts w:hint="eastAsia" w:ascii="仿宋" w:eastAsia="仿宋"/>
          <w:b w:val="0"/>
          <w:color w:val="000000"/>
        </w:rPr>
        <w:t>一</w:t>
      </w:r>
      <w:r>
        <w:rPr>
          <w:rStyle w:val="24"/>
          <w:rFonts w:hint="eastAsia" w:ascii="仿宋" w:eastAsia="仿宋"/>
          <w:b w:val="0"/>
          <w:bCs w:val="0"/>
        </w:rPr>
        <w:t>般公共预算财政拨款“三公”经费支出决算表</w:t>
      </w:r>
      <w:bookmarkEnd w:id="135"/>
      <w:bookmarkEnd w:id="136"/>
      <w:bookmarkEnd w:id="137"/>
    </w:p>
    <w:p>
      <w:pPr>
        <w:pStyle w:val="4"/>
        <w:rPr>
          <w:rFonts w:ascii="仿宋" w:eastAsia="仿宋"/>
          <w:color w:val="000000"/>
        </w:rPr>
      </w:pPr>
      <w:bookmarkStart w:id="138" w:name="_Toc79163646"/>
      <w:bookmarkStart w:id="139" w:name="_Toc15396629"/>
      <w:bookmarkStart w:id="140" w:name="_Toc79163896"/>
      <w:r>
        <w:rPr>
          <w:rStyle w:val="24"/>
          <w:rFonts w:hint="eastAsia" w:ascii="仿宋" w:eastAsia="仿宋"/>
          <w:b w:val="0"/>
          <w:bCs w:val="0"/>
        </w:rPr>
        <w:t>十一、</w:t>
      </w:r>
      <w:r>
        <w:rPr>
          <w:rFonts w:hint="eastAsia" w:ascii="仿宋" w:eastAsia="仿宋"/>
          <w:b w:val="0"/>
          <w:color w:val="000000"/>
        </w:rPr>
        <w:t>政</w:t>
      </w:r>
      <w:r>
        <w:rPr>
          <w:rStyle w:val="24"/>
          <w:rFonts w:hint="eastAsia" w:ascii="仿宋" w:eastAsia="仿宋"/>
          <w:b w:val="0"/>
          <w:bCs w:val="0"/>
        </w:rPr>
        <w:t>府性基金预算财政拨款收入支出决算表</w:t>
      </w:r>
      <w:bookmarkEnd w:id="138"/>
      <w:bookmarkEnd w:id="139"/>
      <w:bookmarkEnd w:id="140"/>
    </w:p>
    <w:p>
      <w:pPr>
        <w:pStyle w:val="4"/>
        <w:rPr>
          <w:rFonts w:ascii="仿宋" w:eastAsia="仿宋"/>
          <w:color w:val="000000"/>
        </w:rPr>
      </w:pPr>
      <w:bookmarkStart w:id="141" w:name="_Toc79163647"/>
      <w:bookmarkStart w:id="142" w:name="_Toc15396630"/>
      <w:bookmarkStart w:id="143" w:name="_Toc79163897"/>
      <w:r>
        <w:rPr>
          <w:rStyle w:val="24"/>
          <w:rFonts w:hint="eastAsia" w:ascii="仿宋" w:eastAsia="仿宋"/>
          <w:b w:val="0"/>
          <w:bCs w:val="0"/>
        </w:rPr>
        <w:t>十二、</w:t>
      </w:r>
      <w:r>
        <w:rPr>
          <w:rFonts w:hint="eastAsia" w:ascii="仿宋" w:eastAsia="仿宋"/>
          <w:b w:val="0"/>
          <w:color w:val="000000"/>
        </w:rPr>
        <w:t>政</w:t>
      </w:r>
      <w:r>
        <w:rPr>
          <w:rStyle w:val="24"/>
          <w:rFonts w:hint="eastAsia" w:ascii="仿宋" w:eastAsia="仿宋"/>
          <w:b w:val="0"/>
          <w:bCs w:val="0"/>
        </w:rPr>
        <w:t>府性基金预算财政拨款“三公”经费支出决算表</w:t>
      </w:r>
      <w:bookmarkEnd w:id="141"/>
      <w:bookmarkEnd w:id="142"/>
      <w:bookmarkEnd w:id="143"/>
    </w:p>
    <w:p>
      <w:pPr>
        <w:pStyle w:val="4"/>
        <w:rPr>
          <w:rStyle w:val="24"/>
          <w:rFonts w:ascii="仿宋" w:eastAsia="仿宋"/>
          <w:b w:val="0"/>
          <w:bCs w:val="0"/>
        </w:rPr>
      </w:pPr>
      <w:bookmarkStart w:id="144" w:name="_Toc79163898"/>
      <w:bookmarkStart w:id="145" w:name="_Toc15396631"/>
      <w:bookmarkStart w:id="146" w:name="_Toc79163648"/>
      <w:r>
        <w:rPr>
          <w:rStyle w:val="24"/>
          <w:rFonts w:hint="eastAsia" w:ascii="仿宋" w:eastAsia="仿宋"/>
          <w:b w:val="0"/>
          <w:bCs w:val="0"/>
        </w:rPr>
        <w:t>十三、</w:t>
      </w:r>
      <w:r>
        <w:rPr>
          <w:rFonts w:hint="eastAsia" w:ascii="仿宋" w:eastAsia="仿宋"/>
          <w:b w:val="0"/>
          <w:color w:val="000000"/>
        </w:rPr>
        <w:t>国</w:t>
      </w:r>
      <w:r>
        <w:rPr>
          <w:rStyle w:val="24"/>
          <w:rFonts w:hint="eastAsia" w:ascii="仿宋" w:eastAsia="仿宋"/>
          <w:b w:val="0"/>
          <w:bCs w:val="0"/>
        </w:rPr>
        <w:t>有资本经营预算财政拨款支出决算表</w:t>
      </w:r>
      <w:bookmarkEnd w:id="144"/>
      <w:bookmarkEnd w:id="145"/>
      <w:bookmarkEnd w:id="146"/>
    </w:p>
    <w:p>
      <w:pPr>
        <w:pStyle w:val="4"/>
        <w:rPr>
          <w:rStyle w:val="24"/>
          <w:rFonts w:ascii="仿宋" w:eastAsia="仿宋"/>
          <w:b w:val="0"/>
          <w:bCs w:val="0"/>
        </w:rPr>
      </w:pPr>
      <w:bookmarkStart w:id="147" w:name="_Toc79163649"/>
      <w:bookmarkStart w:id="148" w:name="_Toc79163899"/>
      <w:r>
        <w:rPr>
          <w:rStyle w:val="24"/>
          <w:rFonts w:hint="eastAsia" w:ascii="仿宋" w:eastAsia="仿宋"/>
          <w:b w:val="0"/>
          <w:bCs w:val="0"/>
        </w:rPr>
        <w:t>十四、国有资本经营预算财政拨款支出决算表</w:t>
      </w:r>
      <w:bookmarkEnd w:id="147"/>
      <w:bookmarkEnd w:id="148"/>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仿宋"/>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0ECF09C"/>
    <w:multiLevelType w:val="singleLevel"/>
    <w:tmpl w:val="50ECF09C"/>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36074E4"/>
    <w:rsid w:val="04306F17"/>
    <w:rsid w:val="07EE19DE"/>
    <w:rsid w:val="080E2DA4"/>
    <w:rsid w:val="081F5F9B"/>
    <w:rsid w:val="0A00567E"/>
    <w:rsid w:val="0C525369"/>
    <w:rsid w:val="187E3CA2"/>
    <w:rsid w:val="1AF33F35"/>
    <w:rsid w:val="26551950"/>
    <w:rsid w:val="27214F6D"/>
    <w:rsid w:val="27B06AAE"/>
    <w:rsid w:val="29585D80"/>
    <w:rsid w:val="2A4F68D0"/>
    <w:rsid w:val="2D0E53BF"/>
    <w:rsid w:val="2FEC2768"/>
    <w:rsid w:val="316A15DF"/>
    <w:rsid w:val="32BB2C95"/>
    <w:rsid w:val="348A6ADA"/>
    <w:rsid w:val="378912FA"/>
    <w:rsid w:val="3A98788D"/>
    <w:rsid w:val="3CE206DA"/>
    <w:rsid w:val="3E545CD6"/>
    <w:rsid w:val="3E7B115D"/>
    <w:rsid w:val="43451DED"/>
    <w:rsid w:val="46AA674F"/>
    <w:rsid w:val="48841B7C"/>
    <w:rsid w:val="4B592C17"/>
    <w:rsid w:val="50DC06AD"/>
    <w:rsid w:val="545E4B35"/>
    <w:rsid w:val="55F7237F"/>
    <w:rsid w:val="56E66A42"/>
    <w:rsid w:val="59214860"/>
    <w:rsid w:val="5AFFDF8A"/>
    <w:rsid w:val="5FB1CFF5"/>
    <w:rsid w:val="5FCDE678"/>
    <w:rsid w:val="60347DEF"/>
    <w:rsid w:val="650172FA"/>
    <w:rsid w:val="65404E39"/>
    <w:rsid w:val="6A324049"/>
    <w:rsid w:val="6A6F9B6D"/>
    <w:rsid w:val="6DAB13B0"/>
    <w:rsid w:val="6F663C1D"/>
    <w:rsid w:val="707A3C0D"/>
    <w:rsid w:val="75FBA754"/>
    <w:rsid w:val="76350302"/>
    <w:rsid w:val="77AFDCD7"/>
    <w:rsid w:val="78E30014"/>
    <w:rsid w:val="79173E9F"/>
    <w:rsid w:val="9B7D36AF"/>
    <w:rsid w:val="B6A6E0F3"/>
    <w:rsid w:val="BDB7FF48"/>
    <w:rsid w:val="BFF73109"/>
    <w:rsid w:val="D3DF245F"/>
    <w:rsid w:val="DFEF2651"/>
    <w:rsid w:val="FFC75C4A"/>
    <w:rsid w:val="FFDF4C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4"/>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character" w:styleId="21">
    <w:name w:val="Strong"/>
    <w:basedOn w:val="20"/>
    <w:qFormat/>
    <w:uiPriority w:val="0"/>
    <w:rPr>
      <w:rFonts w:cs="Times New Roman"/>
      <w:b/>
    </w:rPr>
  </w:style>
  <w:style w:type="character" w:styleId="22">
    <w:name w:val="Hyperlink"/>
    <w:basedOn w:val="20"/>
    <w:qFormat/>
    <w:uiPriority w:val="0"/>
    <w:rPr>
      <w:rFonts w:cs="Times New Roman"/>
      <w:color w:val="0000FF"/>
      <w:u w:val="single"/>
    </w:rPr>
  </w:style>
  <w:style w:type="character" w:customStyle="1" w:styleId="23">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character" w:customStyle="1" w:styleId="24">
    <w:name w:val="heading 2 Char"/>
    <w:basedOn w:val="20"/>
    <w:link w:val="4"/>
    <w:qFormat/>
    <w:uiPriority w:val="0"/>
    <w:rPr>
      <w:rFonts w:ascii="Cambria" w:hAnsi="Cambria" w:eastAsia="宋体" w:cs="Times New Roman"/>
      <w:b/>
      <w:bCs/>
      <w:kern w:val="2"/>
      <w:sz w:val="32"/>
      <w:szCs w:val="32"/>
      <w:lang w:val="en-US" w:eastAsia="zh-CN" w:bidi="ar-SA"/>
    </w:rPr>
  </w:style>
  <w:style w:type="character" w:customStyle="1" w:styleId="25">
    <w:name w:val="Body Text Char"/>
    <w:basedOn w:val="20"/>
    <w:qFormat/>
    <w:uiPriority w:val="0"/>
    <w:rPr>
      <w:rFonts w:ascii="Times New Roman" w:hAnsi="Times New Roman" w:cs="Times New Roman"/>
      <w:sz w:val="24"/>
      <w:szCs w:val="24"/>
    </w:rPr>
  </w:style>
  <w:style w:type="character" w:customStyle="1" w:styleId="26">
    <w:name w:val="Footer Char"/>
    <w:basedOn w:val="20"/>
    <w:qFormat/>
    <w:uiPriority w:val="0"/>
    <w:rPr>
      <w:rFonts w:ascii="Times New Roman" w:hAnsi="Times New Roman" w:cs="Times New Roman"/>
      <w:sz w:val="18"/>
      <w:szCs w:val="18"/>
    </w:rPr>
  </w:style>
  <w:style w:type="character" w:customStyle="1" w:styleId="27">
    <w:name w:val="Header Char"/>
    <w:basedOn w:val="20"/>
    <w:qFormat/>
    <w:uiPriority w:val="0"/>
    <w:rPr>
      <w:rFonts w:ascii="Times New Roman" w:hAnsi="Times New Roman" w:cs="Times New Roman"/>
      <w:sz w:val="18"/>
      <w:szCs w:val="18"/>
    </w:rPr>
  </w:style>
  <w:style w:type="paragraph" w:customStyle="1" w:styleId="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9">
    <w:name w:val="列表段落1"/>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2">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47.82</c:v>
                </c:pt>
                <c:pt idx="1">
                  <c:v>40.42</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2021年</c:v>
                </c:pt>
              </c:strCache>
            </c:strRef>
          </c:cat>
          <c:val>
            <c:numRef>
              <c:f>Sheet1!$B$2</c:f>
              <c:numCache>
                <c:formatCode>General</c:formatCode>
                <c:ptCount val="1"/>
                <c:pt idx="0">
                  <c:v>47.82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4648928307465"/>
          <c:y val="0.00940733772342427"/>
        </c:manualLayout>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47.82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234604105572"/>
          <c:y val="0.278510998307953"/>
          <c:w val="0.833900293255132"/>
          <c:h val="0.622131979695432"/>
        </c:manualLayout>
      </c:layout>
      <c:barChart>
        <c:barDir val="col"/>
        <c:grouping val="stacked"/>
        <c:varyColors val="0"/>
        <c:ser>
          <c:idx val="0"/>
          <c:order val="0"/>
          <c:tx>
            <c:strRef>
              <c:f>Sheet1!$B$1</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Sheet1!$A$2:$A$4</c:f>
              <c:strCache>
                <c:ptCount val="3"/>
                <c:pt idx="0">
                  <c:v>2021年</c:v>
                </c:pt>
                <c:pt idx="1">
                  <c:v>2020年</c:v>
                </c:pt>
              </c:strCache>
            </c:strRef>
          </c:cat>
          <c:val>
            <c:numRef>
              <c:f>Sheet1!$B$2:$B$4</c:f>
              <c:numCache>
                <c:formatCode>General</c:formatCode>
                <c:ptCount val="3"/>
                <c:pt idx="0">
                  <c:v>47.82</c:v>
                </c:pt>
                <c:pt idx="1">
                  <c:v>40.42</c:v>
                </c:pt>
              </c:numCache>
            </c:numRef>
          </c:val>
        </c:ser>
        <c:dLbls>
          <c:showLegendKey val="0"/>
          <c:showVal val="1"/>
          <c:showCatName val="0"/>
          <c:showSerName val="0"/>
          <c:showPercent val="0"/>
          <c:showBubbleSize val="0"/>
        </c:dLbls>
        <c:gapWidth val="150"/>
        <c:overlap val="100"/>
        <c:axId val="42835968"/>
        <c:axId val="42838656"/>
      </c:barChart>
      <c:catAx>
        <c:axId val="4283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42838656"/>
        <c:crosses val="autoZero"/>
        <c:auto val="1"/>
        <c:lblAlgn val="ctr"/>
        <c:lblOffset val="100"/>
        <c:noMultiLvlLbl val="0"/>
      </c:catAx>
      <c:valAx>
        <c:axId val="428386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83596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40.42</c:v>
                </c:pt>
                <c:pt idx="1">
                  <c:v>47.82</c:v>
                </c:pt>
              </c:numCache>
            </c:numRef>
          </c:val>
        </c:ser>
        <c:dLbls>
          <c:showLegendKey val="0"/>
          <c:showVal val="1"/>
          <c:showCatName val="0"/>
          <c:showSerName val="0"/>
          <c:showPercent val="0"/>
          <c:showBubbleSize val="0"/>
        </c:dLbls>
        <c:gapWidth val="75"/>
        <c:axId val="141599104"/>
        <c:axId val="141601024"/>
      </c:barChart>
      <c:catAx>
        <c:axId val="14159910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601024"/>
        <c:crosses val="autoZero"/>
        <c:auto val="1"/>
        <c:lblAlgn val="ctr"/>
        <c:lblOffset val="100"/>
        <c:noMultiLvlLbl val="0"/>
      </c:catAx>
      <c:valAx>
        <c:axId val="14160102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59910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c:v>
                </c:pt>
                <c:pt idx="3">
                  <c:v>住房保障</c:v>
                </c:pt>
              </c:strCache>
            </c:strRef>
          </c:cat>
          <c:val>
            <c:numRef>
              <c:f>Sheet1!$B$2:$B$5</c:f>
              <c:numCache>
                <c:formatCode>General</c:formatCode>
                <c:ptCount val="4"/>
                <c:pt idx="0">
                  <c:v>36.98</c:v>
                </c:pt>
                <c:pt idx="1">
                  <c:v>4.79</c:v>
                </c:pt>
                <c:pt idx="2">
                  <c:v>2.38</c:v>
                </c:pt>
                <c:pt idx="3">
                  <c:v>3.68</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24</Pages>
  <Words>8035</Words>
  <Characters>8623</Characters>
  <Lines>596</Lines>
  <Paragraphs>286</Paragraphs>
  <TotalTime>1</TotalTime>
  <ScaleCrop>false</ScaleCrop>
  <LinksUpToDate>false</LinksUpToDate>
  <CharactersWithSpaces>8718</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2021-07-29T11:56:00Z</cp:lastPrinted>
  <dcterms:modified xsi:type="dcterms:W3CDTF">2025-04-10T14:54:41Z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24908BEDF1CB9CE6316BF76720DED86D</vt:lpwstr>
  </property>
</Properties>
</file>