
<file path=[Content_Types].xml><?xml version="1.0" encoding="utf-8"?>
<Types xmlns="http://schemas.openxmlformats.org/package/2006/content-types">
  <Default Extension="xml" ContentType="application/xml"/>
  <Default Extension="xlsx" ContentType="application/vnd.openxmlformats-officedocument.spreadsheetml.sheet"/>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ind w:left="0" w:right="0"/>
        <w:jc w:val="center"/>
        <w:rPr>
          <w:rFonts w:hint="eastAsia" w:ascii="方正小标宋简体" w:hAnsi="宋体" w:eastAsia="方正小标宋简体" w:cs="Times New Roman"/>
          <w:kern w:val="2"/>
          <w:sz w:val="44"/>
          <w:szCs w:val="44"/>
        </w:rPr>
      </w:pPr>
      <w:bookmarkStart w:id="14" w:name="_GoBack"/>
      <w:bookmarkEnd w:id="14"/>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p>
    <w:p>
      <w:pPr>
        <w:pStyle w:val="5"/>
        <w:widowControl/>
        <w:ind w:left="0" w:right="0"/>
        <w:jc w:val="center"/>
        <w:rPr>
          <w:rFonts w:hint="eastAsia" w:ascii="方正小标宋简体" w:hAnsi="方正小标宋简体" w:eastAsia="方正小标宋简体" w:cs="方正小标宋简体"/>
          <w:kern w:val="2"/>
          <w:sz w:val="48"/>
          <w:szCs w:val="48"/>
        </w:rPr>
      </w:pPr>
      <w:r>
        <w:rPr>
          <w:rFonts w:hint="eastAsia" w:ascii="方正小标宋简体" w:hAnsi="方正小标宋简体" w:eastAsia="方正小标宋简体" w:cs="方正小标宋简体"/>
          <w:kern w:val="2"/>
          <w:sz w:val="48"/>
          <w:szCs w:val="48"/>
        </w:rPr>
        <w:t>2023年度</w:t>
      </w:r>
    </w:p>
    <w:p>
      <w:pPr>
        <w:pStyle w:val="5"/>
        <w:widowControl/>
        <w:ind w:left="0" w:right="0"/>
        <w:jc w:val="center"/>
        <w:rPr>
          <w:rFonts w:hint="eastAsia" w:ascii="方正小标宋简体" w:hAnsi="方正小标宋简体" w:eastAsia="方正小标宋简体" w:cs="方正小标宋简体"/>
          <w:kern w:val="2"/>
          <w:sz w:val="48"/>
          <w:szCs w:val="48"/>
          <w:lang w:eastAsia="zh-CN"/>
        </w:rPr>
      </w:pPr>
      <w:r>
        <w:rPr>
          <w:rFonts w:hint="eastAsia" w:ascii="方正小标宋简体" w:hAnsi="方正小标宋简体" w:eastAsia="方正小标宋简体" w:cs="方正小标宋简体"/>
          <w:kern w:val="2"/>
          <w:sz w:val="48"/>
          <w:szCs w:val="48"/>
        </w:rPr>
        <w:t>四川省阿坝州茂县</w:t>
      </w:r>
      <w:r>
        <w:rPr>
          <w:rFonts w:hint="eastAsia" w:ascii="方正小标宋简体" w:hAnsi="方正小标宋简体" w:eastAsia="方正小标宋简体" w:cs="方正小标宋简体"/>
          <w:kern w:val="2"/>
          <w:sz w:val="48"/>
          <w:szCs w:val="48"/>
          <w:lang w:eastAsia="zh-CN"/>
        </w:rPr>
        <w:t>人大常委会办公室</w:t>
      </w:r>
    </w:p>
    <w:p>
      <w:pPr>
        <w:pStyle w:val="5"/>
        <w:widowControl/>
        <w:ind w:left="0" w:right="0"/>
        <w:jc w:val="center"/>
        <w:rPr>
          <w:rFonts w:hint="eastAsia" w:ascii="方正小标宋简体" w:hAnsi="宋体" w:eastAsia="方正小标宋简体" w:cs="Times New Roman"/>
          <w:kern w:val="2"/>
          <w:sz w:val="44"/>
          <w:szCs w:val="44"/>
        </w:rPr>
      </w:pPr>
      <w:r>
        <w:rPr>
          <w:rFonts w:hint="eastAsia" w:ascii="方正小标宋简体" w:hAnsi="方正小标宋简体" w:eastAsia="方正小标宋简体" w:cs="方正小标宋简体"/>
          <w:kern w:val="2"/>
          <w:sz w:val="48"/>
          <w:szCs w:val="48"/>
          <w:lang w:eastAsia="zh-CN"/>
        </w:rPr>
        <w:t>部门</w:t>
      </w:r>
      <w:r>
        <w:rPr>
          <w:rFonts w:hint="eastAsia" w:ascii="方正小标宋简体" w:hAnsi="方正小标宋简体" w:eastAsia="方正小标宋简体" w:cs="方正小标宋简体"/>
          <w:kern w:val="2"/>
          <w:sz w:val="48"/>
          <w:szCs w:val="48"/>
        </w:rPr>
        <w:t>决算</w:t>
      </w:r>
    </w:p>
    <w:p>
      <w:pPr>
        <w:pStyle w:val="5"/>
        <w:widowControl/>
        <w:ind w:left="0" w:right="0"/>
        <w:jc w:val="center"/>
        <w:rPr>
          <w:rFonts w:hint="eastAsia" w:ascii="黑体" w:hAnsi="宋体" w:eastAsia="黑体" w:cs="黑体"/>
          <w:kern w:val="2"/>
          <w:sz w:val="48"/>
          <w:szCs w:val="48"/>
          <w:lang w:val="en-US" w:eastAsia="zh-CN" w:bidi="ar"/>
        </w:rPr>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pPr>
    </w:p>
    <w:p>
      <w:pPr>
        <w:pStyle w:val="5"/>
        <w:widowControl/>
        <w:ind w:left="0" w:right="0"/>
        <w:jc w:val="center"/>
        <w:rPr>
          <w:rFonts w:hint="eastAsia" w:ascii="黑体" w:hAnsi="宋体" w:eastAsia="黑体" w:cs="Times New Roman"/>
          <w:kern w:val="2"/>
          <w:sz w:val="48"/>
          <w:szCs w:val="48"/>
        </w:rPr>
      </w:pPr>
      <w:r>
        <w:rPr>
          <w:rFonts w:hint="eastAsia" w:ascii="黑体" w:hAnsi="宋体" w:eastAsia="黑体" w:cs="黑体"/>
          <w:kern w:val="2"/>
          <w:sz w:val="48"/>
          <w:szCs w:val="48"/>
          <w:lang w:val="en-US" w:eastAsia="zh-CN" w:bidi="ar"/>
        </w:rPr>
        <w:t>目录</w:t>
      </w: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kern w:val="2"/>
          <w:sz w:val="28"/>
          <w:szCs w:val="28"/>
        </w:rPr>
      </w:pPr>
      <w:r>
        <w:rPr>
          <w:rFonts w:hint="eastAsia" w:ascii="黑体" w:hAnsi="宋体" w:eastAsia="黑体" w:cs="Times New Roman"/>
          <w:kern w:val="2"/>
          <w:sz w:val="28"/>
          <w:szCs w:val="28"/>
          <w:lang w:val="en-US" w:eastAsia="zh-CN" w:bidi="ar"/>
        </w:rPr>
        <w:t xml:space="preserve"> </w:t>
      </w:r>
    </w:p>
    <w:p>
      <w:pPr>
        <w:pStyle w:val="9"/>
        <w:widowControl/>
        <w:spacing w:after="0" w:afterAutospacing="1"/>
        <w:ind w:left="0" w:right="0"/>
        <w:rPr>
          <w:rFonts w:hint="eastAsia"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公开时间：2024年 月 日</w:t>
      </w:r>
    </w:p>
    <w:p>
      <w:pPr>
        <w:pStyle w:val="9"/>
        <w:widowControl/>
        <w:spacing w:after="0" w:afterAutospacing="1"/>
        <w:ind w:left="0" w:right="0"/>
        <w:jc w:val="both"/>
      </w:pPr>
      <w:r>
        <w:rPr>
          <w:rFonts w:hint="eastAsia" w:ascii="宋体" w:hAnsi="宋体" w:eastAsia="宋体" w:cs="宋体"/>
          <w:kern w:val="2"/>
          <w:sz w:val="24"/>
          <w:szCs w:val="24"/>
          <w:lang w:val="en-US" w:eastAsia="zh-CN" w:bidi="ar"/>
        </w:rPr>
        <w:t>第一部分 单位概况...................................................1</w:t>
      </w:r>
    </w:p>
    <w:p>
      <w:pPr>
        <w:pStyle w:val="9"/>
        <w:widowControl/>
        <w:numPr>
          <w:ilvl w:val="0"/>
          <w:numId w:val="0"/>
        </w:numPr>
        <w:spacing w:after="0" w:afterAutospacing="1"/>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一、主要职责....................................................1</w:t>
      </w:r>
    </w:p>
    <w:p>
      <w:pPr>
        <w:pStyle w:val="10"/>
        <w:widowControl/>
        <w:adjustRightInd w:val="0"/>
        <w:snapToGrid w:val="0"/>
        <w:spacing w:before="0" w:beforeAutospacing="1" w:after="0" w:afterAutospacing="1" w:line="440" w:lineRule="exact"/>
        <w:ind w:left="0" w:leftChars="0" w:right="0" w:firstLine="480" w:firstLineChars="200"/>
        <w:jc w:val="left"/>
        <w:rPr>
          <w:rFonts w:hint="eastAsia"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二、机构设置</w:t>
      </w:r>
      <w:r>
        <w:rPr>
          <w:rFonts w:hint="eastAsia" w:ascii="宋体" w:hAnsi="宋体" w:cs="宋体"/>
          <w:kern w:val="2"/>
          <w:sz w:val="24"/>
          <w:szCs w:val="24"/>
          <w:lang w:val="en-US" w:eastAsia="zh-CN" w:bidi="ar"/>
        </w:rPr>
        <w:t>....................................................1</w:t>
      </w:r>
    </w:p>
    <w:p>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cs="宋体"/>
          <w:kern w:val="2"/>
          <w:sz w:val="24"/>
          <w:szCs w:val="24"/>
          <w:lang w:val="en-US" w:eastAsia="zh-CN" w:bidi="ar"/>
        </w:rPr>
        <w:t xml:space="preserve">第二部分 </w:t>
      </w:r>
      <w:r>
        <w:rPr>
          <w:rFonts w:hint="eastAsia" w:ascii="宋体" w:hAnsi="宋体" w:eastAsia="宋体" w:cs="宋体"/>
          <w:kern w:val="2"/>
          <w:sz w:val="24"/>
          <w:szCs w:val="24"/>
          <w:lang w:val="en-US" w:eastAsia="zh-CN" w:bidi="ar"/>
        </w:rPr>
        <w:t>2023年度单位决算情况说明</w:t>
      </w:r>
      <w:r>
        <w:rPr>
          <w:rFonts w:hint="eastAsia" w:ascii="宋体" w:hAnsi="宋体" w:cs="宋体"/>
          <w:kern w:val="2"/>
          <w:sz w:val="24"/>
          <w:szCs w:val="24"/>
          <w:lang w:val="en-US" w:eastAsia="zh-CN" w:bidi="ar"/>
        </w:rPr>
        <w:t>..................................1</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一、收入支出决算总体情况说明</w:t>
      </w:r>
      <w:r>
        <w:rPr>
          <w:rFonts w:hint="eastAsia" w:ascii="宋体" w:hAnsi="宋体" w:cs="宋体"/>
          <w:kern w:val="2"/>
          <w:sz w:val="24"/>
          <w:szCs w:val="24"/>
          <w:lang w:val="en-US" w:eastAsia="zh-CN" w:bidi="ar"/>
        </w:rPr>
        <w:t>.....................................1</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二、收入决算情况说明</w:t>
      </w:r>
      <w:r>
        <w:rPr>
          <w:rFonts w:hint="eastAsia" w:ascii="宋体" w:hAnsi="宋体" w:cs="宋体"/>
          <w:kern w:val="2"/>
          <w:sz w:val="24"/>
          <w:szCs w:val="24"/>
          <w:lang w:val="en-US" w:eastAsia="zh-CN" w:bidi="ar"/>
        </w:rPr>
        <w:t>.............................................1</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三、支出决算情况说明</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四、财政拨款收入支出决算总体情况说明</w:t>
      </w:r>
      <w:r>
        <w:rPr>
          <w:rFonts w:hint="eastAsia" w:ascii="宋体" w:hAnsi="宋体" w:cs="宋体"/>
          <w:kern w:val="2"/>
          <w:sz w:val="24"/>
          <w:szCs w:val="24"/>
          <w:lang w:val="en-US" w:eastAsia="zh-CN" w:bidi="ar"/>
        </w:rPr>
        <w:t>.............................2</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五、一般公共预算财政拨款支出决算情况说明</w:t>
      </w:r>
      <w:r>
        <w:rPr>
          <w:rFonts w:hint="eastAsia" w:ascii="宋体" w:hAnsi="宋体" w:cs="宋体"/>
          <w:kern w:val="2"/>
          <w:sz w:val="24"/>
          <w:szCs w:val="24"/>
          <w:lang w:val="en-US" w:eastAsia="zh-CN" w:bidi="ar"/>
        </w:rPr>
        <w:t>.........................3</w:t>
      </w:r>
    </w:p>
    <w:p>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六、一般公共预算财政拨款基本支出决算情况说明</w:t>
      </w:r>
      <w:r>
        <w:rPr>
          <w:rFonts w:hint="eastAsia" w:ascii="宋体" w:hAnsi="宋体" w:cs="宋体"/>
          <w:kern w:val="2"/>
          <w:sz w:val="24"/>
          <w:szCs w:val="24"/>
          <w:lang w:val="en-US" w:eastAsia="zh-CN" w:bidi="ar"/>
        </w:rPr>
        <w:t>.....................5</w:t>
      </w:r>
    </w:p>
    <w:p>
      <w:pPr>
        <w:pStyle w:val="10"/>
        <w:widowControl/>
        <w:adjustRightInd w:val="0"/>
        <w:snapToGrid w:val="0"/>
        <w:spacing w:before="0" w:beforeAutospacing="1" w:after="0" w:afterAutospacing="1" w:line="440" w:lineRule="exact"/>
        <w:ind w:leftChars="200" w:right="0"/>
        <w:jc w:val="left"/>
        <w:rPr>
          <w:rFonts w:hint="default" w:ascii="宋体" w:hAnsi="宋体" w:cs="宋体"/>
          <w:kern w:val="2"/>
          <w:sz w:val="24"/>
          <w:szCs w:val="24"/>
          <w:lang w:val="en-US" w:eastAsia="zh-CN" w:bidi="ar"/>
        </w:rPr>
      </w:pPr>
      <w:r>
        <w:rPr>
          <w:rFonts w:hint="eastAsia" w:ascii="宋体" w:hAnsi="宋体" w:eastAsia="宋体" w:cs="宋体"/>
          <w:kern w:val="2"/>
          <w:sz w:val="24"/>
          <w:szCs w:val="24"/>
          <w:lang w:val="en-US" w:eastAsia="zh-CN" w:bidi="ar"/>
        </w:rPr>
        <w:t>七、财政拨款“三公”经费支出决算情况说明</w:t>
      </w:r>
      <w:r>
        <w:rPr>
          <w:rFonts w:hint="eastAsia" w:ascii="宋体" w:hAnsi="宋体" w:cs="宋体"/>
          <w:kern w:val="2"/>
          <w:sz w:val="24"/>
          <w:szCs w:val="24"/>
          <w:lang w:val="en-US" w:eastAsia="zh-CN" w:bidi="ar"/>
        </w:rPr>
        <w:t>.........................6</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八、政府性基金预算支出决算情况说明</w:t>
      </w:r>
      <w:r>
        <w:rPr>
          <w:rFonts w:hint="eastAsia" w:ascii="宋体" w:hAnsi="宋体" w:cs="宋体"/>
          <w:kern w:val="2"/>
          <w:sz w:val="24"/>
          <w:szCs w:val="24"/>
          <w:lang w:val="en-US" w:eastAsia="zh-CN" w:bidi="ar"/>
        </w:rPr>
        <w:t>...............................7</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九、国有资本经营预算支出决算情况说明</w:t>
      </w:r>
      <w:r>
        <w:rPr>
          <w:rFonts w:hint="eastAsia" w:ascii="宋体" w:hAnsi="宋体" w:cs="宋体"/>
          <w:kern w:val="2"/>
          <w:sz w:val="24"/>
          <w:szCs w:val="24"/>
          <w:lang w:val="en-US" w:eastAsia="zh-CN" w:bidi="ar"/>
        </w:rPr>
        <w:t>.............................8</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十、其他重要事项的情况说明</w:t>
      </w:r>
      <w:r>
        <w:rPr>
          <w:rFonts w:hint="eastAsia" w:ascii="宋体" w:hAnsi="宋体" w:cs="宋体"/>
          <w:kern w:val="2"/>
          <w:sz w:val="24"/>
          <w:szCs w:val="24"/>
          <w:lang w:val="en-US" w:eastAsia="zh-CN" w:bidi="ar"/>
        </w:rPr>
        <w:t>.......................................8</w:t>
      </w:r>
    </w:p>
    <w:p>
      <w:pPr>
        <w:pStyle w:val="10"/>
        <w:widowControl/>
        <w:adjustRightInd w:val="0"/>
        <w:snapToGrid w:val="0"/>
        <w:spacing w:before="0" w:beforeAutospacing="1" w:after="0" w:afterAutospacing="1" w:line="440" w:lineRule="exact"/>
        <w:ind w:left="0" w:leftChars="0" w:right="0" w:firstLine="0" w:firstLineChars="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第三部分 名词解释</w:t>
      </w:r>
      <w:r>
        <w:rPr>
          <w:rFonts w:hint="eastAsia" w:ascii="宋体" w:hAnsi="宋体" w:cs="宋体"/>
          <w:kern w:val="2"/>
          <w:sz w:val="24"/>
          <w:szCs w:val="24"/>
          <w:lang w:val="en-US" w:eastAsia="zh-CN" w:bidi="ar"/>
        </w:rPr>
        <w:t>...................................................9</w:t>
      </w:r>
    </w:p>
    <w:p>
      <w:pPr>
        <w:pStyle w:val="9"/>
        <w:widowControl/>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第四部分 附件......................................................12</w:t>
      </w:r>
    </w:p>
    <w:p>
      <w:pPr>
        <w:pStyle w:val="9"/>
        <w:widowControl/>
        <w:adjustRightInd w:val="0"/>
        <w:snapToGrid w:val="0"/>
        <w:spacing w:before="0" w:beforeAutospacing="0" w:after="0" w:afterAutospacing="1" w:line="440" w:lineRule="exact"/>
        <w:ind w:left="0" w:right="0"/>
        <w:jc w:val="left"/>
        <w:rPr>
          <w:rFonts w:hint="eastAsia" w:ascii="宋体" w:hAnsi="宋体" w:eastAsia="宋体" w:cs="宋体"/>
          <w:kern w:val="2"/>
          <w:sz w:val="24"/>
          <w:szCs w:val="24"/>
          <w:lang w:val="en-US" w:eastAsia="zh-CN" w:bidi="ar"/>
        </w:rPr>
        <w:sectPr>
          <w:headerReference r:id="rId5" w:type="default"/>
          <w:footerReference r:id="rId6" w:type="default"/>
          <w:pgSz w:w="11906" w:h="16838"/>
          <w:pgMar w:top="1440" w:right="1800" w:bottom="1440" w:left="1800" w:header="851" w:footer="992" w:gutter="0"/>
          <w:pgNumType w:fmt="decimal" w:start="1"/>
          <w:cols w:space="425" w:num="1"/>
          <w:docGrid w:type="lines" w:linePitch="312" w:charSpace="0"/>
        </w:sectPr>
      </w:pPr>
    </w:p>
    <w:p>
      <w:pPr>
        <w:pStyle w:val="9"/>
        <w:widowControl/>
        <w:numPr>
          <w:ilvl w:val="0"/>
          <w:numId w:val="1"/>
        </w:numPr>
        <w:adjustRightInd w:val="0"/>
        <w:snapToGrid w:val="0"/>
        <w:spacing w:before="0" w:beforeAutospacing="0" w:after="0" w:afterAutospacing="1" w:line="440" w:lineRule="exact"/>
        <w:ind w:left="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附表......................................................32</w:t>
      </w:r>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一、收入支出决算总表</w:t>
      </w:r>
    </w:p>
    <w:p>
      <w:pPr>
        <w:pStyle w:val="9"/>
        <w:widowControl/>
        <w:numPr>
          <w:ilvl w:val="0"/>
          <w:numId w:val="0"/>
        </w:numPr>
        <w:adjustRightInd w:val="0"/>
        <w:snapToGrid w:val="0"/>
        <w:spacing w:before="0" w:beforeAutospacing="0" w:after="0" w:afterAutospacing="1" w:line="440" w:lineRule="exact"/>
        <w:ind w:right="0" w:rightChars="0" w:firstLine="480" w:firstLineChars="20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二、收入决算表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三、支出决算表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四、财政拨款收入支出决算总表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五、财政拨款支出决算明细表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六、一般公共预算财政拨款支出决算表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七、一般公共预算财政拨款支出决算明细表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八、一般公共预算财政拨款基本支出决算明细表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九、一般公共预算财政拨款项目支出决算表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十、政府性基金预算财政拨款收入支出决算表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十一、国有资本经营预算财政拨款收入支出决算表</w:t>
      </w:r>
    </w:p>
    <w:p>
      <w:pPr>
        <w:pStyle w:val="10"/>
        <w:widowControl/>
        <w:adjustRightInd w:val="0"/>
        <w:snapToGrid w:val="0"/>
        <w:spacing w:before="0" w:beforeAutospacing="1" w:after="0" w:afterAutospacing="1" w:line="440" w:lineRule="exact"/>
        <w:ind w:leftChars="200" w:right="0"/>
        <w:jc w:val="left"/>
        <w:rPr>
          <w:rFonts w:hint="default" w:ascii="宋体" w:hAnsi="宋体" w:eastAsia="宋体" w:cs="宋体"/>
          <w:kern w:val="2"/>
          <w:sz w:val="24"/>
          <w:szCs w:val="24"/>
          <w:lang w:val="en-US" w:eastAsia="zh-CN" w:bidi="ar"/>
        </w:rPr>
      </w:pPr>
      <w:r>
        <w:rPr>
          <w:rFonts w:hint="eastAsia" w:ascii="宋体" w:hAnsi="宋体" w:eastAsia="宋体" w:cs="宋体"/>
          <w:kern w:val="2"/>
          <w:sz w:val="24"/>
          <w:szCs w:val="24"/>
          <w:lang w:val="en-US" w:eastAsia="zh-CN" w:bidi="ar"/>
        </w:rPr>
        <w:t>十二、国有资本经营预算财政拨款支出决算表</w:t>
      </w:r>
    </w:p>
    <w:p>
      <w:pPr>
        <w:pStyle w:val="10"/>
        <w:widowControl/>
        <w:adjustRightInd w:val="0"/>
        <w:snapToGrid w:val="0"/>
        <w:spacing w:before="0" w:beforeAutospacing="1" w:after="0" w:afterAutospacing="1" w:line="440" w:lineRule="exact"/>
        <w:ind w:leftChars="200" w:right="0"/>
        <w:jc w:val="left"/>
        <w:rPr>
          <w:rFonts w:hint="default" w:ascii="黑体" w:hAnsi="宋体" w:eastAsia="黑体" w:cs="黑体"/>
          <w:b w:val="0"/>
          <w:bCs/>
          <w:kern w:val="44"/>
          <w:sz w:val="44"/>
          <w:szCs w:val="44"/>
          <w:lang w:val="en-US" w:eastAsia="zh-CN"/>
        </w:rPr>
        <w:sectPr>
          <w:footerReference r:id="rId7" w:type="default"/>
          <w:pgSz w:w="11906" w:h="16838"/>
          <w:pgMar w:top="1440" w:right="1800" w:bottom="1440" w:left="1800" w:header="851" w:footer="992" w:gutter="0"/>
          <w:pgNumType w:fmt="decimal" w:start="1"/>
          <w:cols w:space="425" w:num="1"/>
          <w:docGrid w:type="lines" w:linePitch="312" w:charSpace="0"/>
        </w:sectPr>
      </w:pPr>
      <w:r>
        <w:rPr>
          <w:rFonts w:hint="eastAsia" w:ascii="宋体" w:hAnsi="宋体" w:eastAsia="宋体" w:cs="宋体"/>
          <w:kern w:val="2"/>
          <w:sz w:val="24"/>
          <w:szCs w:val="24"/>
          <w:lang w:val="en-US" w:eastAsia="zh-CN" w:bidi="ar"/>
        </w:rPr>
        <w:t>十三、财政拨款“三公”经费支出决算表</w:t>
      </w:r>
    </w:p>
    <w:p>
      <w:pPr>
        <w:pStyle w:val="3"/>
        <w:widowControl/>
        <w:jc w:val="center"/>
        <w:rPr>
          <w:rFonts w:hint="eastAsia" w:ascii="黑体" w:hAnsi="Calibri" w:eastAsia="黑体" w:cs="Times New Roman"/>
          <w:kern w:val="2"/>
          <w:sz w:val="32"/>
          <w:szCs w:val="32"/>
        </w:rPr>
      </w:pPr>
      <w:r>
        <w:rPr>
          <w:rFonts w:hint="eastAsia" w:ascii="黑体" w:hAnsi="宋体" w:eastAsia="黑体" w:cs="黑体"/>
          <w:b w:val="0"/>
          <w:bCs/>
          <w:kern w:val="44"/>
          <w:sz w:val="44"/>
          <w:szCs w:val="44"/>
        </w:rPr>
        <w:t>第一部分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单位</w:t>
      </w:r>
      <w:r>
        <w:rPr>
          <w:rStyle w:val="16"/>
          <w:rFonts w:hint="eastAsia" w:ascii="黑体" w:hAnsi="宋体" w:eastAsia="黑体" w:cs="黑体"/>
          <w:b w:val="0"/>
          <w:bCs w:val="0"/>
          <w:kern w:val="44"/>
          <w:sz w:val="44"/>
          <w:szCs w:val="44"/>
        </w:rPr>
        <w:t>概况</w:t>
      </w: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firstLine="640" w:firstLineChars="200"/>
        <w:textAlignment w:val="auto"/>
        <w:rPr>
          <w:rFonts w:hint="eastAsia"/>
        </w:rPr>
      </w:pPr>
      <w:r>
        <w:rPr>
          <w:rStyle w:val="18"/>
          <w:rFonts w:hint="eastAsia" w:ascii="黑体" w:hAnsi="宋体" w:eastAsia="黑体" w:cs="黑体"/>
          <w:b w:val="0"/>
          <w:bCs w:val="0"/>
          <w:sz w:val="32"/>
          <w:szCs w:val="32"/>
        </w:rPr>
        <w:t>主要职责</w:t>
      </w:r>
    </w:p>
    <w:p>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b w:val="0"/>
          <w:bCs w:val="0"/>
        </w:rPr>
      </w:pPr>
      <w:r>
        <w:rPr>
          <w:rFonts w:hint="eastAsia" w:eastAsia="仿宋_GB2312" w:cs="Times New Roman"/>
          <w:b w:val="0"/>
          <w:bCs w:val="0"/>
          <w:sz w:val="32"/>
          <w:szCs w:val="32"/>
          <w:lang w:val="en-US" w:eastAsia="zh-CN"/>
        </w:rPr>
        <w:t>茂县人大常委会的主要职责是</w:t>
      </w:r>
      <w:r>
        <w:rPr>
          <w:rFonts w:hint="eastAsia" w:eastAsia="仿宋_GB2312"/>
          <w:b w:val="0"/>
          <w:bCs w:val="0"/>
          <w:sz w:val="32"/>
          <w:szCs w:val="32"/>
          <w:lang w:val="en-US" w:eastAsia="zh-CN"/>
        </w:rPr>
        <w:t>法律监督、工作监督、任职任免、重大事项决定。</w:t>
      </w:r>
    </w:p>
    <w:p>
      <w:pPr>
        <w:pStyle w:val="4"/>
        <w:keepNext/>
        <w:keepLines/>
        <w:pageBreakBefore w:val="0"/>
        <w:widowControl/>
        <w:numPr>
          <w:ilvl w:val="0"/>
          <w:numId w:val="2"/>
        </w:numPr>
        <w:kinsoku/>
        <w:wordWrap/>
        <w:overflowPunct/>
        <w:topLinePunct w:val="0"/>
        <w:autoSpaceDE/>
        <w:autoSpaceDN/>
        <w:bidi w:val="0"/>
        <w:adjustRightInd/>
        <w:snapToGrid/>
        <w:spacing w:before="0" w:after="0" w:line="240" w:lineRule="auto"/>
        <w:ind w:left="0" w:leftChars="0" w:firstLine="640" w:firstLineChars="200"/>
        <w:textAlignment w:val="auto"/>
        <w:rPr>
          <w:rFonts w:hint="eastAsia" w:ascii="仿宋" w:hAnsi="Times New Roman" w:eastAsia="仿宋" w:cs="Times New Roman"/>
          <w:color w:val="000000"/>
          <w:sz w:val="32"/>
          <w:szCs w:val="32"/>
          <w:lang w:val="en-US" w:eastAsia="zh-CN"/>
        </w:rPr>
      </w:pPr>
      <w:r>
        <w:rPr>
          <w:rFonts w:hint="eastAsia" w:ascii="黑体" w:hAnsi="宋体" w:eastAsia="黑体" w:cs="黑体"/>
          <w:b w:val="0"/>
          <w:bCs/>
          <w:kern w:val="2"/>
          <w:sz w:val="32"/>
          <w:szCs w:val="32"/>
        </w:rPr>
        <w:t>机构设置</w:t>
      </w:r>
    </w:p>
    <w:p>
      <w:pPr>
        <w:pStyle w:val="4"/>
        <w:keepNext/>
        <w:keepLines/>
        <w:pageBreakBefore w:val="0"/>
        <w:widowControl/>
        <w:numPr>
          <w:ilvl w:val="0"/>
          <w:numId w:val="0"/>
        </w:numPr>
        <w:kinsoku/>
        <w:wordWrap/>
        <w:overflowPunct/>
        <w:topLinePunct w:val="0"/>
        <w:autoSpaceDE/>
        <w:autoSpaceDN/>
        <w:bidi w:val="0"/>
        <w:adjustRightInd/>
        <w:snapToGrid/>
        <w:spacing w:before="0" w:after="0" w:line="240" w:lineRule="auto"/>
        <w:ind w:leftChars="0" w:firstLine="640" w:firstLineChars="200"/>
        <w:textAlignment w:val="auto"/>
        <w:rPr>
          <w:rFonts w:hint="eastAsia"/>
          <w:lang w:val="en-US" w:eastAsia="zh-CN"/>
        </w:rPr>
      </w:pPr>
      <w:r>
        <w:rPr>
          <w:rFonts w:hint="eastAsia" w:eastAsia="仿宋_GB2312" w:cs="Times New Roman"/>
          <w:b w:val="0"/>
          <w:bCs w:val="0"/>
          <w:sz w:val="32"/>
          <w:szCs w:val="32"/>
          <w:lang w:val="en-US" w:eastAsia="zh-CN"/>
        </w:rPr>
        <w:t>茂县人大常委会属一级决算单位，其中行政单位1个,事业单位1个。</w:t>
      </w:r>
    </w:p>
    <w:p>
      <w:pPr>
        <w:numPr>
          <w:ilvl w:val="0"/>
          <w:numId w:val="0"/>
        </w:numPr>
        <w:ind w:leftChars="0"/>
        <w:rPr>
          <w:rFonts w:hint="eastAsia"/>
        </w:rPr>
      </w:pPr>
    </w:p>
    <w:p>
      <w:pPr>
        <w:keepNext w:val="0"/>
        <w:keepLines w:val="0"/>
        <w:widowControl/>
        <w:suppressLineNumbers w:val="0"/>
        <w:suppressAutoHyphens/>
        <w:spacing w:before="0" w:beforeAutospacing="0" w:after="0" w:afterAutospacing="0"/>
        <w:ind w:left="0" w:right="0"/>
        <w:jc w:val="center"/>
        <w:rPr>
          <w:rFonts w:hint="eastAsia" w:ascii="黑体" w:hAnsi="宋体" w:eastAsia="黑体" w:cs="Times New Roman"/>
          <w:b w:val="0"/>
          <w:bCs/>
          <w:kern w:val="44"/>
          <w:sz w:val="44"/>
          <w:szCs w:val="44"/>
        </w:rPr>
      </w:pPr>
      <w:r>
        <w:rPr>
          <w:rFonts w:hint="eastAsia" w:ascii="黑体" w:hAnsi="宋体" w:eastAsia="黑体" w:cs="黑体"/>
          <w:b w:val="0"/>
          <w:bCs/>
          <w:kern w:val="44"/>
          <w:sz w:val="44"/>
          <w:szCs w:val="44"/>
        </w:rPr>
        <w:t>第二部分</w:t>
      </w:r>
      <w:r>
        <w:rPr>
          <w:rFonts w:hint="eastAsia" w:ascii="黑体" w:hAnsi="宋体" w:eastAsia="黑体" w:cs="Times New Roman"/>
          <w:b w:val="0"/>
          <w:bCs/>
          <w:kern w:val="44"/>
          <w:sz w:val="44"/>
          <w:szCs w:val="44"/>
        </w:rPr>
        <w:t xml:space="preserve"> </w:t>
      </w:r>
      <w:r>
        <w:rPr>
          <w:rFonts w:hint="eastAsia" w:ascii="黑体" w:hAnsi="宋体" w:eastAsia="黑体" w:cs="黑体"/>
          <w:b w:val="0"/>
          <w:bCs/>
          <w:kern w:val="44"/>
          <w:sz w:val="44"/>
          <w:szCs w:val="44"/>
        </w:rPr>
        <w:t>2023年度</w:t>
      </w:r>
      <w:r>
        <w:rPr>
          <w:rStyle w:val="16"/>
          <w:rFonts w:hint="eastAsia" w:ascii="黑体" w:hAnsi="宋体" w:eastAsia="黑体" w:cs="黑体"/>
          <w:b w:val="0"/>
          <w:bCs/>
          <w:kern w:val="44"/>
          <w:sz w:val="44"/>
          <w:szCs w:val="44"/>
        </w:rPr>
        <w:t>单位决算情况说明</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r>
        <w:rPr>
          <w:rFonts w:hint="default" w:ascii="Calibri" w:hAnsi="Calibri" w:eastAsia="宋体" w:cs="Times New Roman"/>
          <w:kern w:val="2"/>
          <w:sz w:val="21"/>
          <w:szCs w:val="21"/>
          <w:lang w:val="en-US" w:eastAsia="zh-CN" w:bidi="ar"/>
        </w:rPr>
        <w:t xml:space="preserve"> </w:t>
      </w:r>
    </w:p>
    <w:p>
      <w:pPr>
        <w:pStyle w:val="19"/>
        <w:keepNext w:val="0"/>
        <w:keepLines w:val="0"/>
        <w:pageBreakBefore w:val="0"/>
        <w:widowControl/>
        <w:kinsoku/>
        <w:wordWrap/>
        <w:overflowPunct/>
        <w:topLinePunct w:val="0"/>
        <w:bidi w:val="0"/>
        <w:snapToGrid/>
        <w:spacing w:beforeAutospacing="0" w:line="600" w:lineRule="exact"/>
        <w:ind w:left="0" w:leftChars="0" w:firstLine="640" w:firstLineChars="200"/>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rPr>
        <w:t>一、收</w:t>
      </w:r>
      <w:r>
        <w:rPr>
          <w:rStyle w:val="18"/>
          <w:rFonts w:hint="eastAsia" w:ascii="黑体" w:hAnsi="宋体" w:eastAsia="黑体" w:cs="黑体"/>
          <w:b w:val="0"/>
          <w:bCs/>
          <w:sz w:val="32"/>
          <w:szCs w:val="32"/>
        </w:rPr>
        <w:t>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2023年度收、支总计均为</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万元。与2022年度相比，收、支总计各增加</w:t>
      </w:r>
      <w:r>
        <w:rPr>
          <w:rFonts w:hint="eastAsia" w:ascii="仿宋" w:hAnsi="仿宋" w:eastAsia="仿宋" w:cs="Times New Roman"/>
          <w:kern w:val="2"/>
          <w:sz w:val="32"/>
          <w:szCs w:val="32"/>
          <w:lang w:val="en-US" w:eastAsia="zh-CN" w:bidi="ar"/>
        </w:rPr>
        <w:t>187.58</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22.46%</w:t>
      </w:r>
      <w:r>
        <w:rPr>
          <w:rFonts w:hint="eastAsia" w:ascii="仿宋" w:hAnsi="仿宋" w:eastAsia="仿宋" w:cs="仿宋"/>
          <w:kern w:val="2"/>
          <w:sz w:val="32"/>
          <w:szCs w:val="32"/>
          <w:lang w:val="en-US" w:eastAsia="zh-CN" w:bidi="ar"/>
        </w:rPr>
        <w:t>。主要变动原因是2023年购置两辆公务用车及工资福利的增加。</w:t>
      </w:r>
    </w:p>
    <w:p>
      <w:pPr>
        <w:pStyle w:val="2"/>
        <w:rPr>
          <w:rFonts w:hint="eastAsia" w:ascii="仿宋" w:hAnsi="仿宋" w:eastAsia="仿宋" w:cs="仿宋"/>
          <w:kern w:val="2"/>
          <w:sz w:val="32"/>
          <w:szCs w:val="32"/>
          <w:lang w:val="en-US" w:eastAsia="zh-CN" w:bidi="ar"/>
        </w:rPr>
      </w:pPr>
      <w:r>
        <w:rPr>
          <w:rFonts w:hint="eastAsia" w:ascii="仿宋" w:hAnsi="Times New Roman" w:eastAsia="仿宋" w:cs="Times New Roman"/>
          <w:color w:val="000000"/>
          <w:sz w:val="32"/>
          <w:szCs w:val="32"/>
          <w:lang w:eastAsia="zh-CN"/>
        </w:rPr>
        <w:object>
          <v:shape id="_x0000_i1025" o:spt="75" type="#_x0000_t75" style="height:191.7pt;width:341.9pt;" o:ole="t" filled="f" o:preferrelative="t" stroked="f" coordsize="21600,21600">
            <v:path/>
            <v:fill on="f" focussize="0,0"/>
            <v:stroke on="f"/>
            <v:imagedata r:id="rId11" o:title=""/>
            <o:lock v:ext="edit" aspectratio="t"/>
            <w10:wrap type="none"/>
            <w10:anchorlock/>
          </v:shape>
          <o:OLEObject Type="Embed" ProgID="Excel.Chart.8" ShapeID="_x0000_i1025" DrawAspect="Content" ObjectID="_1468075725" r:id="rId10">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left"/>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二、收</w:t>
      </w:r>
      <w:r>
        <w:rPr>
          <w:rStyle w:val="18"/>
          <w:rFonts w:hint="eastAsia" w:ascii="黑体" w:hAnsi="宋体" w:eastAsia="黑体" w:cs="黑体"/>
          <w:b w:val="0"/>
          <w:bCs/>
          <w:sz w:val="32"/>
          <w:szCs w:val="32"/>
        </w:rPr>
        <w:t>入决算情况说明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2023年度本年收入合计</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万元，其中：一般公共预算财政拨款收入</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r>
        <w:rPr>
          <w:rFonts w:hint="eastAsia" w:ascii="仿宋" w:hAnsi="Times New Roman" w:eastAsia="仿宋" w:cs="Times New Roman"/>
          <w:color w:val="000000"/>
          <w:sz w:val="32"/>
          <w:szCs w:val="32"/>
          <w:lang w:val="en-US" w:eastAsia="zh-CN"/>
        </w:rPr>
        <w:pict>
          <v:shape id="_x0000_s1026" o:spid="_x0000_s1026" o:spt="75" type="#_x0000_t75" style="position:absolute;left:0pt;margin-left:40pt;margin-top:-158.6pt;height:182.6pt;width:256.95pt;mso-wrap-distance-bottom:0pt;mso-wrap-distance-left:9pt;mso-wrap-distance-right:9pt;mso-wrap-distance-top:0pt;z-index:251659264;mso-width-relative:page;mso-height-relative:page;" o:ole="t" filled="f" o:preferrelative="t" stroked="f" coordsize="21600,21600">
            <v:path/>
            <v:fill on="f" focussize="0,0"/>
            <v:stroke on="f"/>
            <v:imagedata r:id="rId13" o:title=""/>
            <o:lock v:ext="edit" aspectratio="t"/>
            <w10:wrap type="square"/>
          </v:shape>
          <o:OLEObject Type="Embed" ProgID="Excel.Chart.8" ShapeID="_x0000_s1026" DrawAspect="Content" ObjectID="_1468075726" r:id="rId12">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rPr>
        <w:t>三、支</w:t>
      </w:r>
      <w:r>
        <w:rPr>
          <w:rStyle w:val="18"/>
          <w:rFonts w:hint="eastAsia" w:ascii="黑体" w:hAnsi="宋体" w:eastAsia="黑体" w:cs="黑体"/>
          <w:b w:val="0"/>
          <w:bCs/>
          <w:sz w:val="32"/>
          <w:szCs w:val="32"/>
        </w:rPr>
        <w:t>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仿宋" w:hAnsi="仿宋" w:eastAsia="仿宋" w:cs="Times New Roman"/>
          <w:kern w:val="2"/>
          <w:sz w:val="32"/>
          <w:szCs w:val="32"/>
          <w:shd w:val="clear" w:fill="7F7F7F"/>
        </w:rPr>
      </w:pPr>
      <w:r>
        <w:rPr>
          <w:rFonts w:hint="eastAsia" w:ascii="仿宋" w:hAnsi="仿宋" w:eastAsia="仿宋" w:cs="仿宋"/>
          <w:kern w:val="2"/>
          <w:sz w:val="32"/>
          <w:szCs w:val="32"/>
          <w:lang w:val="en-US" w:eastAsia="zh-CN" w:bidi="ar"/>
        </w:rPr>
        <w:t>2023年度本年支出合计</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万元，其中：基本支出</w:t>
      </w:r>
      <w:r>
        <w:rPr>
          <w:rFonts w:hint="eastAsia" w:ascii="仿宋" w:hAnsi="仿宋" w:eastAsia="仿宋" w:cs="Times New Roman"/>
          <w:kern w:val="2"/>
          <w:sz w:val="32"/>
          <w:szCs w:val="32"/>
          <w:lang w:val="en-US" w:eastAsia="zh-CN" w:bidi="ar"/>
        </w:rPr>
        <w:t>993.78</w:t>
      </w:r>
      <w:r>
        <w:rPr>
          <w:rFonts w:hint="eastAsia" w:ascii="仿宋" w:hAnsi="仿宋" w:eastAsia="仿宋" w:cs="仿宋"/>
          <w:kern w:val="2"/>
          <w:sz w:val="32"/>
          <w:szCs w:val="32"/>
          <w:lang w:val="en-US" w:eastAsia="zh-CN" w:bidi="ar"/>
        </w:rPr>
        <w:t>万元，占97.17</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；项目支出</w:t>
      </w:r>
      <w:r>
        <w:rPr>
          <w:rFonts w:hint="eastAsia" w:ascii="仿宋" w:hAnsi="仿宋" w:eastAsia="仿宋" w:cs="Times New Roman"/>
          <w:kern w:val="2"/>
          <w:sz w:val="32"/>
          <w:szCs w:val="32"/>
          <w:lang w:val="en-US" w:eastAsia="zh-CN" w:bidi="ar"/>
        </w:rPr>
        <w:t>28.96</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2.83%</w:t>
      </w:r>
      <w:r>
        <w:rPr>
          <w:rFonts w:hint="eastAsia" w:ascii="仿宋" w:hAnsi="仿宋" w:eastAsia="仿宋" w:cs="仿宋"/>
          <w:kern w:val="2"/>
          <w:sz w:val="32"/>
          <w:szCs w:val="32"/>
          <w:lang w:val="en-US" w:eastAsia="zh-CN" w:bidi="ar"/>
        </w:rPr>
        <w:t>。</w:t>
      </w:r>
    </w:p>
    <w:p>
      <w:pPr>
        <w:pStyle w:val="2"/>
        <w:ind w:left="1058" w:leftChars="504" w:firstLine="0" w:firstLineChars="0"/>
        <w:rPr>
          <w:rFonts w:hint="eastAsia" w:ascii="仿宋" w:hAnsi="仿宋" w:eastAsia="仿宋" w:cs="Times New Roman"/>
          <w:kern w:val="2"/>
          <w:sz w:val="32"/>
          <w:szCs w:val="32"/>
          <w:shd w:val="clear" w:fill="7F7F7F"/>
        </w:rPr>
      </w:pPr>
      <w:r>
        <w:rPr>
          <w:rFonts w:hint="eastAsia" w:ascii="仿宋" w:hAnsi="Times New Roman" w:eastAsia="仿宋" w:cs="Times New Roman"/>
          <w:color w:val="000000"/>
          <w:sz w:val="32"/>
          <w:szCs w:val="32"/>
          <w:lang w:val="en-US" w:eastAsia="zh-CN"/>
        </w:rPr>
        <w:object>
          <v:shape id="_x0000_i1026" o:spt="75" type="#_x0000_t75" style="height:200.35pt;width:241.05pt;" o:ole="t" filled="f" o:preferrelative="t" stroked="f" coordsize="21600,21600">
            <v:path/>
            <v:fill on="f" focussize="0,0"/>
            <v:stroke on="f"/>
            <v:imagedata r:id="rId15" o:title=""/>
            <o:lock v:ext="edit" aspectratio="t"/>
            <w10:wrap type="none"/>
            <w10:anchorlock/>
          </v:shape>
          <o:OLEObject Type="Embed" ProgID="Excel.Chart.8" ShapeID="_x0000_i1026" DrawAspect="Content" ObjectID="_1468075727" r:id="rId14">
            <o:LockedField>false</o:LockedField>
          </o:OLEObject>
        </w:obje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0" w:firstLineChars="200"/>
        <w:jc w:val="both"/>
        <w:textAlignment w:val="auto"/>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四、财</w:t>
      </w:r>
      <w:r>
        <w:rPr>
          <w:rStyle w:val="18"/>
          <w:rFonts w:hint="eastAsia" w:ascii="黑体" w:hAnsi="宋体" w:eastAsia="黑体" w:cs="黑体"/>
          <w:b w:val="0"/>
          <w:bCs/>
          <w:kern w:val="2"/>
          <w:sz w:val="32"/>
          <w:szCs w:val="32"/>
          <w:lang w:val="en-US" w:eastAsia="zh-CN" w:bidi="ar"/>
        </w:rPr>
        <w:t>政拨款收入支出决算总体情况说明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2023年度财政拨款收、支总计均为</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万元。与2022年度相比，财政拨款收、支总计各增加</w:t>
      </w:r>
      <w:r>
        <w:rPr>
          <w:rFonts w:hint="eastAsia" w:ascii="仿宋" w:hAnsi="仿宋" w:eastAsia="仿宋" w:cs="Times New Roman"/>
          <w:kern w:val="2"/>
          <w:sz w:val="32"/>
          <w:szCs w:val="32"/>
          <w:lang w:val="en-US" w:eastAsia="zh-CN" w:bidi="ar"/>
        </w:rPr>
        <w:t>187.58</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22.46%</w:t>
      </w:r>
      <w:r>
        <w:rPr>
          <w:rFonts w:hint="eastAsia" w:ascii="仿宋" w:hAnsi="仿宋" w:eastAsia="仿宋" w:cs="仿宋"/>
          <w:kern w:val="2"/>
          <w:sz w:val="32"/>
          <w:szCs w:val="32"/>
          <w:lang w:val="en-US" w:eastAsia="zh-CN" w:bidi="ar"/>
        </w:rPr>
        <w:t>。主要变动原因是2023年购置两辆公务用车及工资福利的增加。</w:t>
      </w:r>
    </w:p>
    <w:p>
      <w:pPr>
        <w:pStyle w:val="2"/>
        <w:rPr>
          <w:rFonts w:hint="eastAsia" w:ascii="仿宋" w:hAnsi="Times New Roman" w:eastAsia="仿宋" w:cs="Times New Roman"/>
          <w:color w:val="000000"/>
          <w:sz w:val="32"/>
          <w:szCs w:val="32"/>
          <w:lang w:eastAsia="zh-CN"/>
        </w:rPr>
      </w:pPr>
      <w:r>
        <w:rPr>
          <w:rFonts w:hint="eastAsia" w:ascii="仿宋" w:hAnsi="Times New Roman" w:eastAsia="仿宋" w:cs="Times New Roman"/>
          <w:color w:val="000000"/>
          <w:sz w:val="32"/>
          <w:szCs w:val="32"/>
          <w:lang w:eastAsia="zh-CN"/>
        </w:rPr>
        <w:object>
          <v:shape id="_x0000_i1027" o:spt="75" type="#_x0000_t75" style="height:181.2pt;width:328.75pt;" o:ole="t" filled="f" o:preferrelative="t" stroked="f" coordsize="21600,21600">
            <v:path/>
            <v:fill on="f" focussize="0,0"/>
            <v:stroke on="f"/>
            <v:imagedata r:id="rId17" o:title=""/>
            <o:lock v:ext="edit" aspectratio="t"/>
            <w10:wrap type="none"/>
            <w10:anchorlock/>
          </v:shape>
          <o:OLEObject Type="Embed" ProgID="Excel.Chart.8" ShapeID="_x0000_i1027" DrawAspect="Content" ObjectID="_1468075728" r:id="rId16">
            <o:LockedField>false</o:LockedField>
          </o:OLEObject>
        </w:object>
      </w:r>
    </w:p>
    <w:p>
      <w:pPr>
        <w:pStyle w:val="2"/>
        <w:ind w:left="1059" w:leftChars="352" w:hanging="320" w:hangingChars="100"/>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五、</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（一）一般公共预算财政拨款支出决算总体情况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万元，占本年支出合计的</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。与2022年度相比，一般公共预算财政拨款支出增加</w:t>
      </w:r>
      <w:r>
        <w:rPr>
          <w:rFonts w:hint="eastAsia" w:ascii="仿宋" w:hAnsi="仿宋" w:eastAsia="仿宋" w:cs="Times New Roman"/>
          <w:kern w:val="2"/>
          <w:sz w:val="32"/>
          <w:szCs w:val="32"/>
          <w:lang w:val="en-US" w:eastAsia="zh-CN" w:bidi="ar"/>
        </w:rPr>
        <w:t>187.58</w:t>
      </w:r>
      <w:r>
        <w:rPr>
          <w:rFonts w:hint="eastAsia" w:ascii="仿宋" w:hAnsi="仿宋" w:eastAsia="仿宋" w:cs="仿宋"/>
          <w:kern w:val="2"/>
          <w:sz w:val="32"/>
          <w:szCs w:val="32"/>
          <w:lang w:val="en-US" w:eastAsia="zh-CN" w:bidi="ar"/>
        </w:rPr>
        <w:t>万元，增长</w:t>
      </w:r>
      <w:r>
        <w:rPr>
          <w:rFonts w:hint="eastAsia" w:ascii="仿宋" w:hAnsi="仿宋" w:eastAsia="仿宋" w:cs="Times New Roman"/>
          <w:kern w:val="2"/>
          <w:sz w:val="32"/>
          <w:szCs w:val="32"/>
          <w:lang w:val="en-US" w:eastAsia="zh-CN" w:bidi="ar"/>
        </w:rPr>
        <w:t>22.46%</w:t>
      </w:r>
      <w:r>
        <w:rPr>
          <w:rFonts w:hint="eastAsia" w:ascii="仿宋" w:hAnsi="仿宋" w:eastAsia="仿宋" w:cs="仿宋"/>
          <w:kern w:val="2"/>
          <w:sz w:val="32"/>
          <w:szCs w:val="32"/>
          <w:lang w:val="en-US" w:eastAsia="zh-CN" w:bidi="ar"/>
        </w:rPr>
        <w:t>。主要变动原因是2023年购置两辆公务用车及工资福利的增加。</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color w:val="000000"/>
          <w:sz w:val="32"/>
          <w:szCs w:val="32"/>
          <w:lang w:eastAsia="zh-CN"/>
        </w:rPr>
        <w:pict>
          <v:shape id="_x0000_s1027" o:spid="_x0000_s1027" o:spt="75" type="#_x0000_t75" style="position:absolute;left:0pt;margin-left:64.25pt;margin-top:19.8pt;height:181.2pt;width:286pt;mso-wrap-distance-bottom:0pt;mso-wrap-distance-left:9pt;mso-wrap-distance-right:9pt;mso-wrap-distance-top:0pt;z-index:251660288;mso-width-relative:page;mso-height-relative:page;" o:ole="t" filled="f" o:preferrelative="t" stroked="f" coordsize="21600,21600">
            <v:path/>
            <v:fill on="f" focussize="0,0"/>
            <v:stroke on="f"/>
            <v:imagedata r:id="rId19" o:title=""/>
            <o:lock v:ext="edit" aspectratio="t"/>
            <w10:wrap type="square"/>
          </v:shape>
          <o:OLEObject Type="Embed" ProgID="Excel.Chart.8" ShapeID="_x0000_s1027" DrawAspect="Content" ObjectID="_1468075729" r:id="rId18">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default" w:ascii="仿宋" w:hAnsi="仿宋" w:eastAsia="仿宋" w:cs="Times New Roman"/>
          <w:kern w:val="2"/>
          <w:sz w:val="32"/>
          <w:szCs w:val="32"/>
          <w:lang w:val="en-US" w:eastAsia="zh-CN" w:bidi="ar"/>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Times New Roman"/>
          <w:kern w:val="2"/>
          <w:sz w:val="32"/>
          <w:szCs w:val="32"/>
        </w:rPr>
      </w:pPr>
      <w:r>
        <w:rPr>
          <w:rFonts w:hint="eastAsia" w:ascii="仿宋" w:hAnsi="仿宋" w:eastAsia="仿宋" w:cs="Times New Roman"/>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outlineLvl w:val="2"/>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（二）一般公共预算财政拨款支出决算结构情况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2023年度一般公共预算财政拨款支出</w:t>
      </w:r>
      <w:r>
        <w:rPr>
          <w:rFonts w:hint="eastAsia" w:ascii="仿宋" w:hAnsi="仿宋" w:eastAsia="仿宋" w:cs="Times New Roman"/>
          <w:kern w:val="2"/>
          <w:sz w:val="32"/>
          <w:szCs w:val="32"/>
          <w:lang w:val="en-US" w:eastAsia="zh-CN" w:bidi="ar"/>
        </w:rPr>
        <w:t>1022.74</w:t>
      </w:r>
      <w:r>
        <w:rPr>
          <w:rFonts w:hint="eastAsia" w:ascii="仿宋" w:hAnsi="仿宋" w:eastAsia="仿宋" w:cs="仿宋"/>
          <w:kern w:val="2"/>
          <w:sz w:val="32"/>
          <w:szCs w:val="32"/>
          <w:lang w:val="en-US" w:eastAsia="zh-CN" w:bidi="ar"/>
        </w:rPr>
        <w:t>万元，主要用于以下方面</w:t>
      </w:r>
      <w:r>
        <w:rPr>
          <w:rFonts w:hint="eastAsia" w:ascii="仿宋" w:hAnsi="仿宋" w:eastAsia="仿宋" w:cs="Times New Roman"/>
          <w:kern w:val="2"/>
          <w:sz w:val="32"/>
          <w:szCs w:val="32"/>
          <w:lang w:val="en-US" w:eastAsia="zh-CN" w:bidi="ar"/>
        </w:rPr>
        <w:t>:</w:t>
      </w:r>
      <w:r>
        <w:rPr>
          <w:rFonts w:hint="eastAsia" w:ascii="仿宋" w:hAnsi="仿宋" w:eastAsia="仿宋" w:cs="仿宋"/>
          <w:b/>
          <w:bCs w:val="0"/>
          <w:kern w:val="2"/>
          <w:sz w:val="32"/>
          <w:szCs w:val="32"/>
          <w:lang w:val="en-US" w:eastAsia="zh-CN" w:bidi="ar"/>
        </w:rPr>
        <w:t>一般公共服务</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803.95</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78.61%</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文化旅游体育与传媒支出</w:t>
      </w:r>
      <w:r>
        <w:rPr>
          <w:rFonts w:hint="eastAsia" w:ascii="仿宋" w:hAnsi="仿宋" w:eastAsia="仿宋" w:cs="Times New Roman"/>
          <w:kern w:val="2"/>
          <w:sz w:val="32"/>
          <w:szCs w:val="32"/>
          <w:lang w:val="en-US" w:eastAsia="zh-CN" w:bidi="ar"/>
        </w:rPr>
        <w:t>7.50万元，占0.73%</w:t>
      </w:r>
      <w:r>
        <w:rPr>
          <w:rFonts w:hint="eastAsia" w:ascii="仿宋" w:hAnsi="仿宋" w:eastAsia="仿宋" w:cs="仿宋"/>
          <w:kern w:val="2"/>
          <w:sz w:val="32"/>
          <w:szCs w:val="32"/>
          <w:lang w:val="en-US" w:eastAsia="zh-CN" w:bidi="ar"/>
        </w:rPr>
        <w:t>；</w:t>
      </w:r>
      <w:r>
        <w:rPr>
          <w:rFonts w:hint="eastAsia" w:ascii="仿宋" w:hAnsi="仿宋" w:eastAsia="仿宋" w:cs="仿宋"/>
          <w:b/>
          <w:bCs w:val="0"/>
          <w:kern w:val="2"/>
          <w:sz w:val="32"/>
          <w:szCs w:val="32"/>
          <w:lang w:val="en-US" w:eastAsia="zh-CN" w:bidi="ar"/>
        </w:rPr>
        <w:t>社会保障和就业</w:t>
      </w:r>
      <w:r>
        <w:rPr>
          <w:rFonts w:hint="eastAsia" w:ascii="仿宋" w:hAnsi="仿宋" w:eastAsia="仿宋" w:cs="仿宋"/>
          <w:b/>
          <w:bCs/>
          <w:kern w:val="2"/>
          <w:sz w:val="32"/>
          <w:szCs w:val="32"/>
          <w:lang w:val="en-US" w:eastAsia="zh-CN" w:bidi="ar"/>
        </w:rPr>
        <w:t>支出</w:t>
      </w:r>
      <w:r>
        <w:rPr>
          <w:rFonts w:hint="eastAsia" w:ascii="仿宋" w:hAnsi="仿宋" w:eastAsia="仿宋" w:cs="Times New Roman"/>
          <w:kern w:val="2"/>
          <w:sz w:val="32"/>
          <w:szCs w:val="32"/>
          <w:lang w:val="en-US" w:eastAsia="zh-CN" w:bidi="ar"/>
        </w:rPr>
        <w:t>106.63</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10.43%</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卫生健康支出</w:t>
      </w:r>
      <w:r>
        <w:rPr>
          <w:rFonts w:hint="eastAsia" w:ascii="仿宋" w:hAnsi="仿宋" w:eastAsia="仿宋" w:cs="Times New Roman"/>
          <w:kern w:val="2"/>
          <w:sz w:val="32"/>
          <w:szCs w:val="32"/>
          <w:lang w:val="en-US" w:eastAsia="zh-CN" w:bidi="ar"/>
        </w:rPr>
        <w:t>49.09</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4.8%</w:t>
      </w:r>
      <w:r>
        <w:rPr>
          <w:rFonts w:hint="eastAsia" w:ascii="仿宋" w:hAnsi="仿宋" w:eastAsia="仿宋" w:cs="仿宋"/>
          <w:kern w:val="2"/>
          <w:sz w:val="32"/>
          <w:szCs w:val="32"/>
          <w:lang w:val="en-US" w:eastAsia="zh-CN" w:bidi="ar"/>
        </w:rPr>
        <w:t>；</w:t>
      </w:r>
      <w:r>
        <w:rPr>
          <w:rFonts w:hint="eastAsia" w:ascii="仿宋" w:hAnsi="仿宋" w:eastAsia="仿宋" w:cs="仿宋"/>
          <w:b/>
          <w:bCs/>
          <w:kern w:val="2"/>
          <w:sz w:val="32"/>
          <w:szCs w:val="32"/>
          <w:lang w:val="en-US" w:eastAsia="zh-CN" w:bidi="ar"/>
        </w:rPr>
        <w:t>住房保障支出</w:t>
      </w:r>
      <w:r>
        <w:rPr>
          <w:rFonts w:hint="eastAsia" w:ascii="仿宋" w:hAnsi="仿宋" w:eastAsia="仿宋" w:cs="Times New Roman"/>
          <w:kern w:val="2"/>
          <w:sz w:val="32"/>
          <w:szCs w:val="32"/>
          <w:lang w:val="en-US" w:eastAsia="zh-CN" w:bidi="ar"/>
        </w:rPr>
        <w:t>55.57</w:t>
      </w:r>
      <w:r>
        <w:rPr>
          <w:rFonts w:hint="eastAsia" w:ascii="仿宋" w:hAnsi="仿宋" w:eastAsia="仿宋" w:cs="仿宋"/>
          <w:kern w:val="2"/>
          <w:sz w:val="32"/>
          <w:szCs w:val="32"/>
          <w:lang w:val="en-US" w:eastAsia="zh-CN" w:bidi="ar"/>
        </w:rPr>
        <w:t>万元，占5.43</w:t>
      </w:r>
      <w:r>
        <w:rPr>
          <w:rFonts w:hint="eastAsia" w:ascii="仿宋" w:hAnsi="仿宋" w:eastAsia="仿宋" w:cs="Times New Roman"/>
          <w:kern w:val="2"/>
          <w:sz w:val="32"/>
          <w:szCs w:val="32"/>
          <w:lang w:val="en-US" w:eastAsia="zh-CN" w:bidi="ar"/>
        </w:rPr>
        <w:t>%</w:t>
      </w:r>
      <w:r>
        <w:rPr>
          <w:rFonts w:hint="eastAsia" w:ascii="仿宋" w:hAnsi="仿宋" w:eastAsia="仿宋" w:cs="仿宋"/>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 w:hAnsi="仿宋" w:eastAsia="仿宋" w:cs="Times New Roman"/>
          <w:kern w:val="2"/>
          <w:sz w:val="32"/>
          <w:szCs w:val="32"/>
          <w:lang w:val="en-US" w:eastAsia="zh-CN" w:bidi="ar"/>
        </w:rPr>
      </w:pPr>
      <w:r>
        <w:rPr>
          <w:rFonts w:hint="eastAsia" w:ascii="仿宋" w:hAnsi="Times New Roman" w:eastAsia="仿宋" w:cs="Times New Roman"/>
          <w:b/>
          <w:color w:val="000000"/>
          <w:sz w:val="32"/>
          <w:szCs w:val="32"/>
          <w:lang w:eastAsia="zh-CN"/>
        </w:rPr>
        <w:pict>
          <v:shape id="Object 6" o:spid="_x0000_s1028" o:spt="75" type="#_x0000_t75" style="position:absolute;left:0pt;margin-left:30.95pt;margin-top:10.9pt;height:197.4pt;width:327.85pt;mso-wrap-distance-bottom:0pt;mso-wrap-distance-left:9pt;mso-wrap-distance-right:9pt;mso-wrap-distance-top:0pt;z-index:251661312;mso-width-relative:page;mso-height-relative:page;" o:ole="t" filled="f" o:preferrelative="t" stroked="f" coordsize="21600,21600">
            <v:path/>
            <v:fill on="f" focussize="0,0"/>
            <v:stroke on="f"/>
            <v:imagedata r:id="rId21" o:title=""/>
            <o:lock v:ext="edit" aspectratio="t"/>
            <w10:wrap type="square"/>
          </v:shape>
          <o:OLEObject Type="Embed" ProgID="Excel.Chart.8" ShapeID="Object 6" DrawAspect="Content" ObjectID="_1468075730" r:id="rId20">
            <o:LockedField>false</o:LockedField>
          </o:OLEObject>
        </w:pic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jc w:val="both"/>
        <w:textAlignment w:val="auto"/>
        <w:rPr>
          <w:rFonts w:hint="eastAsia" w:ascii="仿宋" w:hAnsi="仿宋" w:eastAsia="仿宋" w:cs="仿宋"/>
          <w:b/>
          <w:bCs w:val="0"/>
          <w:kern w:val="2"/>
          <w:sz w:val="32"/>
          <w:szCs w:val="32"/>
          <w:lang w:val="en-US" w:eastAsia="zh-CN" w:bidi="ar"/>
        </w:rPr>
      </w:pP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2" w:firstLineChars="200"/>
        <w:jc w:val="both"/>
        <w:textAlignment w:val="auto"/>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（三）一般公共预算财政拨款支出决算具体情况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2023年度一般公共预算支出决算数为</w:t>
      </w:r>
      <w:r>
        <w:rPr>
          <w:rFonts w:hint="eastAsia" w:ascii="仿宋" w:hAnsi="仿宋" w:eastAsia="仿宋" w:cs="Times New Roman"/>
          <w:b/>
          <w:bCs w:val="0"/>
          <w:kern w:val="2"/>
          <w:sz w:val="32"/>
          <w:szCs w:val="32"/>
          <w:lang w:val="en-US" w:eastAsia="zh-CN" w:bidi="ar"/>
        </w:rPr>
        <w:t>1022.74万元</w:t>
      </w:r>
      <w:r>
        <w:rPr>
          <w:rFonts w:hint="eastAsia" w:ascii="仿宋" w:hAnsi="仿宋" w:eastAsia="仿宋" w:cs="仿宋"/>
          <w:kern w:val="2"/>
          <w:sz w:val="32"/>
          <w:szCs w:val="32"/>
          <w:lang w:val="en-US" w:eastAsia="zh-CN" w:bidi="ar"/>
        </w:rPr>
        <w:t>，</w:t>
      </w:r>
      <w:r>
        <w:rPr>
          <w:rStyle w:val="17"/>
          <w:rFonts w:hint="eastAsia" w:ascii="仿宋" w:hAnsi="仿宋" w:eastAsia="仿宋" w:cs="仿宋"/>
          <w:b/>
          <w:bCs/>
          <w:kern w:val="2"/>
          <w:sz w:val="32"/>
          <w:szCs w:val="32"/>
          <w:lang w:val="en-US" w:eastAsia="zh-CN" w:bidi="ar"/>
        </w:rPr>
        <w:t>完成预算</w:t>
      </w:r>
      <w:r>
        <w:rPr>
          <w:rStyle w:val="17"/>
          <w:rFonts w:hint="eastAsia" w:ascii="仿宋" w:hAnsi="仿宋" w:eastAsia="仿宋" w:cs="Times New Roman"/>
          <w:b/>
          <w:bCs/>
          <w:kern w:val="2"/>
          <w:sz w:val="32"/>
          <w:szCs w:val="32"/>
          <w:lang w:val="en-US" w:eastAsia="zh-CN" w:bidi="ar"/>
        </w:rPr>
        <w:t>100%</w:t>
      </w:r>
      <w:r>
        <w:rPr>
          <w:rStyle w:val="17"/>
          <w:rFonts w:hint="eastAsia" w:ascii="仿宋" w:hAnsi="仿宋" w:eastAsia="仿宋" w:cs="仿宋"/>
          <w:b/>
          <w:bCs/>
          <w:kern w:val="2"/>
          <w:sz w:val="32"/>
          <w:szCs w:val="32"/>
          <w:lang w:val="en-US" w:eastAsia="zh-CN" w:bidi="ar"/>
        </w:rPr>
        <w:t>。其中：</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仿宋"/>
          <w:b/>
          <w:bCs/>
          <w:kern w:val="2"/>
          <w:sz w:val="32"/>
          <w:szCs w:val="32"/>
          <w:lang w:val="en-US" w:eastAsia="zh-CN" w:bidi="ar"/>
        </w:rPr>
        <w:t>1.一般公共服务（201）</w:t>
      </w:r>
      <w:r>
        <w:rPr>
          <w:rStyle w:val="17"/>
          <w:rFonts w:hint="eastAsia" w:ascii="仿宋" w:hAnsi="仿宋" w:eastAsia="仿宋" w:cs="Times New Roman"/>
          <w:b/>
          <w:bCs/>
          <w:kern w:val="2"/>
          <w:sz w:val="32"/>
          <w:szCs w:val="32"/>
          <w:lang w:val="en-US" w:eastAsia="zh-CN" w:bidi="ar"/>
        </w:rPr>
        <w:t>人大事务</w:t>
      </w:r>
      <w:r>
        <w:rPr>
          <w:rStyle w:val="17"/>
          <w:rFonts w:hint="eastAsia" w:ascii="仿宋" w:hAnsi="仿宋" w:eastAsia="仿宋" w:cs="仿宋"/>
          <w:b/>
          <w:bCs/>
          <w:kern w:val="2"/>
          <w:sz w:val="32"/>
          <w:szCs w:val="32"/>
          <w:lang w:val="en-US" w:eastAsia="zh-CN" w:bidi="ar"/>
        </w:rPr>
        <w:t>（20101）</w:t>
      </w:r>
      <w:r>
        <w:rPr>
          <w:rStyle w:val="17"/>
          <w:rFonts w:hint="eastAsia" w:ascii="仿宋" w:hAnsi="仿宋" w:eastAsia="仿宋" w:cs="Times New Roman"/>
          <w:b/>
          <w:bCs/>
          <w:kern w:val="2"/>
          <w:sz w:val="32"/>
          <w:szCs w:val="32"/>
          <w:lang w:val="en-US" w:eastAsia="zh-CN" w:bidi="ar"/>
        </w:rPr>
        <w:t>行政运行</w:t>
      </w:r>
      <w:r>
        <w:rPr>
          <w:rStyle w:val="17"/>
          <w:rFonts w:hint="eastAsia" w:ascii="仿宋" w:hAnsi="仿宋" w:eastAsia="仿宋" w:cs="仿宋"/>
          <w:b/>
          <w:bCs/>
          <w:kern w:val="2"/>
          <w:sz w:val="32"/>
          <w:szCs w:val="32"/>
          <w:lang w:val="en-US" w:eastAsia="zh-CN" w:bidi="ar"/>
        </w:rPr>
        <w:t>（2010101）</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支出决算为671.38万元，完成预算100%。</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Style w:val="17"/>
          <w:rFonts w:hint="eastAsia" w:ascii="仿宋" w:hAnsi="仿宋" w:eastAsia="仿宋" w:cs="仿宋"/>
          <w:b w:val="0"/>
          <w:bCs/>
          <w:kern w:val="2"/>
          <w:sz w:val="32"/>
          <w:szCs w:val="32"/>
          <w:lang w:val="en-US" w:eastAsia="zh-CN" w:bidi="ar"/>
        </w:rPr>
      </w:pPr>
      <w:r>
        <w:rPr>
          <w:rStyle w:val="17"/>
          <w:rFonts w:hint="eastAsia" w:ascii="仿宋" w:hAnsi="仿宋" w:eastAsia="仿宋" w:cs="仿宋"/>
          <w:b/>
          <w:bCs/>
          <w:kern w:val="2"/>
          <w:sz w:val="32"/>
          <w:szCs w:val="32"/>
          <w:lang w:val="en-US" w:eastAsia="zh-CN" w:bidi="ar"/>
        </w:rPr>
        <w:t>2.一般公共服务（201）</w:t>
      </w:r>
      <w:r>
        <w:rPr>
          <w:rStyle w:val="17"/>
          <w:rFonts w:hint="eastAsia" w:ascii="仿宋" w:hAnsi="仿宋" w:eastAsia="仿宋" w:cs="Times New Roman"/>
          <w:b/>
          <w:bCs/>
          <w:kern w:val="2"/>
          <w:sz w:val="32"/>
          <w:szCs w:val="32"/>
          <w:lang w:val="en-US" w:eastAsia="zh-CN" w:bidi="ar"/>
        </w:rPr>
        <w:t>人大事务</w:t>
      </w:r>
      <w:r>
        <w:rPr>
          <w:rStyle w:val="17"/>
          <w:rFonts w:hint="eastAsia" w:ascii="仿宋" w:hAnsi="仿宋" w:eastAsia="仿宋" w:cs="仿宋"/>
          <w:b/>
          <w:bCs/>
          <w:kern w:val="2"/>
          <w:sz w:val="32"/>
          <w:szCs w:val="32"/>
          <w:lang w:val="en-US" w:eastAsia="zh-CN" w:bidi="ar"/>
        </w:rPr>
        <w:t>（20101）</w:t>
      </w:r>
      <w:r>
        <w:rPr>
          <w:rStyle w:val="17"/>
          <w:rFonts w:hint="eastAsia" w:ascii="仿宋" w:hAnsi="仿宋" w:eastAsia="仿宋" w:cs="Times New Roman"/>
          <w:b/>
          <w:bCs/>
          <w:kern w:val="2"/>
          <w:sz w:val="32"/>
          <w:szCs w:val="32"/>
          <w:lang w:val="en-US" w:eastAsia="zh-CN" w:bidi="ar"/>
        </w:rPr>
        <w:t>人大会议</w:t>
      </w:r>
      <w:r>
        <w:rPr>
          <w:rStyle w:val="17"/>
          <w:rFonts w:hint="eastAsia" w:ascii="仿宋" w:hAnsi="仿宋" w:eastAsia="仿宋" w:cs="仿宋"/>
          <w:b/>
          <w:bCs/>
          <w:kern w:val="2"/>
          <w:sz w:val="32"/>
          <w:szCs w:val="32"/>
          <w:lang w:val="en-US" w:eastAsia="zh-CN" w:bidi="ar"/>
        </w:rPr>
        <w:t>（2010104）</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支出决算为46.50万元，完成预算100%。</w:t>
      </w:r>
    </w:p>
    <w:p>
      <w:pPr>
        <w:keepNext w:val="0"/>
        <w:keepLines w:val="0"/>
        <w:pageBreakBefore w:val="0"/>
        <w:widowControl w:val="0"/>
        <w:numPr>
          <w:ilvl w:val="0"/>
          <w:numId w:val="0"/>
        </w:numPr>
        <w:suppressLineNumbers w:val="0"/>
        <w:suppressAutoHyphens/>
        <w:kinsoku/>
        <w:wordWrap/>
        <w:overflowPunct/>
        <w:topLinePunct w:val="0"/>
        <w:bidi w:val="0"/>
        <w:snapToGrid/>
        <w:spacing w:before="0" w:beforeAutospacing="0" w:after="0" w:afterAutospacing="0" w:line="600" w:lineRule="exact"/>
        <w:ind w:right="0" w:rightChars="0" w:firstLine="642" w:firstLineChars="200"/>
        <w:jc w:val="both"/>
        <w:textAlignment w:val="auto"/>
        <w:rPr>
          <w:rFonts w:hint="eastAsia" w:ascii="仿宋_GB2312" w:eastAsia="仿宋_GB2312" w:hAnsiTheme="minorHAnsi" w:cstheme="minorBidi"/>
          <w:color w:val="000000"/>
          <w:kern w:val="2"/>
          <w:sz w:val="32"/>
          <w:szCs w:val="32"/>
          <w:lang w:val="en-US" w:eastAsia="zh-CN" w:bidi="ar-SA"/>
        </w:rPr>
      </w:pPr>
      <w:r>
        <w:rPr>
          <w:rStyle w:val="17"/>
          <w:rFonts w:hint="eastAsia" w:ascii="仿宋" w:hAnsi="仿宋" w:eastAsia="仿宋" w:cs="仿宋"/>
          <w:b/>
          <w:bCs/>
          <w:kern w:val="2"/>
          <w:sz w:val="32"/>
          <w:szCs w:val="32"/>
          <w:lang w:val="en-US" w:eastAsia="zh-CN" w:bidi="ar"/>
        </w:rPr>
        <w:t>3.一般公共服务（201）</w:t>
      </w:r>
      <w:r>
        <w:rPr>
          <w:rStyle w:val="17"/>
          <w:rFonts w:hint="eastAsia" w:ascii="仿宋" w:hAnsi="仿宋" w:eastAsia="仿宋" w:cs="Times New Roman"/>
          <w:b/>
          <w:bCs/>
          <w:kern w:val="2"/>
          <w:sz w:val="32"/>
          <w:szCs w:val="32"/>
          <w:lang w:val="en-US" w:eastAsia="zh-CN" w:bidi="ar"/>
        </w:rPr>
        <w:t>人大事务</w:t>
      </w:r>
      <w:r>
        <w:rPr>
          <w:rStyle w:val="17"/>
          <w:rFonts w:hint="eastAsia" w:ascii="仿宋" w:hAnsi="仿宋" w:eastAsia="仿宋" w:cs="仿宋"/>
          <w:b/>
          <w:bCs/>
          <w:kern w:val="2"/>
          <w:sz w:val="32"/>
          <w:szCs w:val="32"/>
          <w:lang w:val="en-US" w:eastAsia="zh-CN" w:bidi="ar"/>
        </w:rPr>
        <w:t>（20101）</w:t>
      </w:r>
      <w:r>
        <w:rPr>
          <w:rStyle w:val="17"/>
          <w:rFonts w:hint="eastAsia" w:ascii="仿宋" w:hAnsi="仿宋" w:eastAsia="仿宋" w:cs="Times New Roman"/>
          <w:b/>
          <w:bCs/>
          <w:kern w:val="2"/>
          <w:sz w:val="32"/>
          <w:szCs w:val="32"/>
          <w:lang w:val="en-US" w:eastAsia="zh-CN" w:bidi="ar"/>
        </w:rPr>
        <w:t>代表工作</w:t>
      </w:r>
      <w:r>
        <w:rPr>
          <w:rStyle w:val="17"/>
          <w:rFonts w:hint="eastAsia" w:ascii="仿宋" w:hAnsi="仿宋" w:eastAsia="仿宋" w:cs="仿宋"/>
          <w:b/>
          <w:bCs/>
          <w:kern w:val="2"/>
          <w:sz w:val="32"/>
          <w:szCs w:val="32"/>
          <w:lang w:val="en-US" w:eastAsia="zh-CN" w:bidi="ar"/>
        </w:rPr>
        <w:t>（2010108）</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支出决算为21.46万元，完成预算100%。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right="0" w:firstLine="642" w:firstLineChars="200"/>
        <w:jc w:val="both"/>
        <w:textAlignment w:val="auto"/>
        <w:rPr>
          <w:rFonts w:hint="eastAsia" w:ascii="仿宋" w:hAnsi="仿宋" w:eastAsia="仿宋" w:cs="Times New Roman"/>
          <w:b/>
          <w:bCs w:val="0"/>
          <w:kern w:val="2"/>
          <w:sz w:val="32"/>
          <w:szCs w:val="32"/>
        </w:rPr>
      </w:pPr>
      <w:r>
        <w:rPr>
          <w:rStyle w:val="17"/>
          <w:rFonts w:hint="eastAsia" w:ascii="仿宋" w:hAnsi="仿宋" w:eastAsia="仿宋" w:cs="Times New Roman"/>
          <w:b/>
          <w:bCs/>
          <w:kern w:val="2"/>
          <w:sz w:val="32"/>
          <w:szCs w:val="32"/>
          <w:lang w:val="en-US" w:eastAsia="zh-CN" w:bidi="ar"/>
        </w:rPr>
        <w:t>4.</w:t>
      </w:r>
      <w:r>
        <w:rPr>
          <w:rStyle w:val="17"/>
          <w:rFonts w:hint="eastAsia" w:ascii="仿宋" w:hAnsi="仿宋" w:eastAsia="仿宋" w:cs="仿宋"/>
          <w:b/>
          <w:bCs/>
          <w:kern w:val="2"/>
          <w:sz w:val="32"/>
          <w:szCs w:val="32"/>
          <w:lang w:val="en-US" w:eastAsia="zh-CN" w:bidi="ar"/>
        </w:rPr>
        <w:t>文化旅游体育与传媒（207）</w:t>
      </w:r>
      <w:r>
        <w:rPr>
          <w:rStyle w:val="17"/>
          <w:rFonts w:hint="eastAsia" w:ascii="仿宋" w:hAnsi="仿宋" w:eastAsia="仿宋" w:cs="Times New Roman"/>
          <w:b/>
          <w:bCs/>
          <w:kern w:val="2"/>
          <w:sz w:val="32"/>
          <w:szCs w:val="32"/>
          <w:lang w:val="en-US" w:eastAsia="zh-CN" w:bidi="ar"/>
        </w:rPr>
        <w:t>其他文化旅游体育与传媒支出</w:t>
      </w:r>
      <w:r>
        <w:rPr>
          <w:rStyle w:val="17"/>
          <w:rFonts w:hint="eastAsia" w:ascii="仿宋" w:hAnsi="仿宋" w:eastAsia="仿宋" w:cs="仿宋"/>
          <w:b/>
          <w:bCs/>
          <w:kern w:val="2"/>
          <w:sz w:val="32"/>
          <w:szCs w:val="32"/>
          <w:lang w:val="en-US" w:eastAsia="zh-CN" w:bidi="ar"/>
        </w:rPr>
        <w:t>（20799）</w:t>
      </w:r>
      <w:r>
        <w:rPr>
          <w:rStyle w:val="17"/>
          <w:rFonts w:hint="eastAsia" w:ascii="仿宋" w:hAnsi="仿宋" w:eastAsia="仿宋" w:cs="Times New Roman"/>
          <w:b/>
          <w:bCs/>
          <w:kern w:val="2"/>
          <w:sz w:val="32"/>
          <w:szCs w:val="32"/>
          <w:lang w:val="en-US" w:eastAsia="zh-CN" w:bidi="ar"/>
        </w:rPr>
        <w:t>其他文化旅游体育与传媒支出</w:t>
      </w:r>
      <w:r>
        <w:rPr>
          <w:rStyle w:val="17"/>
          <w:rFonts w:hint="eastAsia" w:ascii="仿宋" w:hAnsi="仿宋" w:eastAsia="仿宋" w:cs="仿宋"/>
          <w:b/>
          <w:bCs/>
          <w:kern w:val="2"/>
          <w:sz w:val="32"/>
          <w:szCs w:val="32"/>
          <w:lang w:val="en-US" w:eastAsia="zh-CN" w:bidi="ar"/>
        </w:rPr>
        <w:t>（2079999）</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支出决算为7.50万元，完成预算100%。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eastAsia="仿宋_GB2312" w:hAnsiTheme="minorHAnsi" w:cstheme="minorBidi"/>
          <w:color w:val="000000"/>
          <w:kern w:val="2"/>
          <w:sz w:val="32"/>
          <w:szCs w:val="32"/>
          <w:lang w:val="en-US" w:eastAsia="zh-CN" w:bidi="ar-SA"/>
        </w:rPr>
      </w:pPr>
      <w:r>
        <w:rPr>
          <w:rStyle w:val="17"/>
          <w:rFonts w:hint="eastAsia" w:ascii="仿宋" w:hAnsi="仿宋" w:eastAsia="仿宋" w:cs="Times New Roman"/>
          <w:b/>
          <w:bCs/>
          <w:kern w:val="2"/>
          <w:sz w:val="32"/>
          <w:szCs w:val="32"/>
          <w:lang w:val="en-US" w:eastAsia="zh-CN" w:bidi="ar"/>
        </w:rPr>
        <w:t>5.</w:t>
      </w:r>
      <w:r>
        <w:rPr>
          <w:rStyle w:val="17"/>
          <w:rFonts w:hint="eastAsia" w:ascii="仿宋" w:hAnsi="仿宋" w:eastAsia="仿宋" w:cs="仿宋"/>
          <w:b/>
          <w:bCs/>
          <w:kern w:val="2"/>
          <w:sz w:val="32"/>
          <w:szCs w:val="32"/>
          <w:lang w:val="en-US" w:eastAsia="zh-CN" w:bidi="ar"/>
        </w:rPr>
        <w:t>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（20805）</w:t>
      </w:r>
      <w:r>
        <w:rPr>
          <w:rStyle w:val="17"/>
          <w:rFonts w:hint="eastAsia" w:ascii="仿宋" w:hAnsi="仿宋" w:eastAsia="仿宋" w:cs="Times New Roman"/>
          <w:b/>
          <w:bCs/>
          <w:kern w:val="2"/>
          <w:sz w:val="32"/>
          <w:szCs w:val="32"/>
          <w:lang w:val="en-US" w:eastAsia="zh-CN" w:bidi="ar"/>
        </w:rPr>
        <w:t>机关事业单位基本养老保险缴费支出</w:t>
      </w:r>
      <w:r>
        <w:rPr>
          <w:rStyle w:val="17"/>
          <w:rFonts w:hint="eastAsia" w:ascii="仿宋" w:hAnsi="仿宋" w:eastAsia="仿宋" w:cs="仿宋"/>
          <w:b/>
          <w:bCs/>
          <w:kern w:val="2"/>
          <w:sz w:val="32"/>
          <w:szCs w:val="32"/>
          <w:lang w:val="en-US" w:eastAsia="zh-CN" w:bidi="ar"/>
        </w:rPr>
        <w:t>（2080505）</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支出决算为71.0</w:t>
      </w:r>
      <w:r>
        <w:rPr>
          <w:rFonts w:hint="eastAsia" w:ascii="仿宋_GB2312" w:eastAsia="仿宋_GB2312" w:cstheme="minorBidi"/>
          <w:color w:val="000000"/>
          <w:kern w:val="2"/>
          <w:sz w:val="32"/>
          <w:szCs w:val="32"/>
          <w:lang w:val="en-US" w:eastAsia="zh-CN" w:bidi="ar-SA"/>
        </w:rPr>
        <w:t>9</w:t>
      </w:r>
      <w:r>
        <w:rPr>
          <w:rFonts w:hint="eastAsia" w:ascii="仿宋_GB2312" w:eastAsia="仿宋_GB2312" w:hAnsiTheme="minorHAnsi" w:cstheme="minorBidi"/>
          <w:color w:val="000000"/>
          <w:kern w:val="2"/>
          <w:sz w:val="32"/>
          <w:szCs w:val="32"/>
          <w:lang w:val="en-US" w:eastAsia="zh-CN" w:bidi="ar-SA"/>
        </w:rPr>
        <w:t>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eastAsia="仿宋_GB2312" w:hAnsiTheme="minorHAnsi" w:cstheme="minorBidi"/>
          <w:color w:val="000000"/>
          <w:kern w:val="2"/>
          <w:sz w:val="32"/>
          <w:szCs w:val="32"/>
          <w:lang w:val="en-US" w:eastAsia="zh-CN" w:bidi="ar-SA"/>
        </w:rPr>
      </w:pPr>
      <w:r>
        <w:rPr>
          <w:rStyle w:val="17"/>
          <w:rFonts w:hint="eastAsia" w:ascii="仿宋" w:hAnsi="仿宋" w:eastAsia="仿宋" w:cs="仿宋"/>
          <w:b/>
          <w:bCs/>
          <w:kern w:val="2"/>
          <w:sz w:val="32"/>
          <w:szCs w:val="32"/>
          <w:lang w:val="en-US" w:eastAsia="zh-CN" w:bidi="ar"/>
        </w:rPr>
        <w:t>6.社会保障和就业（208）</w:t>
      </w:r>
      <w:r>
        <w:rPr>
          <w:rStyle w:val="17"/>
          <w:rFonts w:hint="eastAsia" w:ascii="仿宋" w:hAnsi="仿宋" w:eastAsia="仿宋" w:cs="Times New Roman"/>
          <w:b/>
          <w:bCs/>
          <w:kern w:val="2"/>
          <w:sz w:val="32"/>
          <w:szCs w:val="32"/>
          <w:lang w:val="en-US" w:eastAsia="zh-CN" w:bidi="ar"/>
        </w:rPr>
        <w:t>行政事业单位养老支出</w:t>
      </w:r>
      <w:r>
        <w:rPr>
          <w:rStyle w:val="17"/>
          <w:rFonts w:hint="eastAsia" w:ascii="仿宋" w:hAnsi="仿宋" w:eastAsia="仿宋" w:cs="仿宋"/>
          <w:b/>
          <w:bCs/>
          <w:kern w:val="2"/>
          <w:sz w:val="32"/>
          <w:szCs w:val="32"/>
          <w:lang w:val="en-US" w:eastAsia="zh-CN" w:bidi="ar"/>
        </w:rPr>
        <w:t>（20805）</w:t>
      </w:r>
      <w:r>
        <w:rPr>
          <w:rStyle w:val="17"/>
          <w:rFonts w:hint="eastAsia" w:ascii="仿宋" w:hAnsi="仿宋" w:eastAsia="仿宋" w:cs="Times New Roman"/>
          <w:b/>
          <w:bCs/>
          <w:kern w:val="2"/>
          <w:sz w:val="32"/>
          <w:szCs w:val="32"/>
          <w:lang w:val="en-US" w:eastAsia="zh-CN" w:bidi="ar"/>
        </w:rPr>
        <w:t>机关事业单位职业年金缴费支出</w:t>
      </w:r>
      <w:r>
        <w:rPr>
          <w:rStyle w:val="17"/>
          <w:rFonts w:hint="eastAsia" w:ascii="仿宋" w:hAnsi="仿宋" w:eastAsia="仿宋" w:cs="仿宋"/>
          <w:b/>
          <w:bCs/>
          <w:kern w:val="2"/>
          <w:sz w:val="32"/>
          <w:szCs w:val="32"/>
          <w:lang w:val="en-US" w:eastAsia="zh-CN" w:bidi="ar"/>
        </w:rPr>
        <w:t>（2080506）</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支出决算为35.54万元，完成预算100%。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rPr>
      </w:pPr>
      <w:r>
        <w:rPr>
          <w:rStyle w:val="17"/>
          <w:rFonts w:hint="eastAsia" w:ascii="仿宋" w:hAnsi="仿宋" w:eastAsia="仿宋" w:cs="Times New Roman"/>
          <w:b/>
          <w:bCs/>
          <w:kern w:val="2"/>
          <w:sz w:val="32"/>
          <w:szCs w:val="32"/>
          <w:lang w:val="en-US" w:eastAsia="zh-CN" w:bidi="ar"/>
        </w:rPr>
        <w:t>7.</w:t>
      </w:r>
      <w:r>
        <w:rPr>
          <w:rFonts w:hint="eastAsia" w:ascii="仿宋" w:hAnsi="仿宋" w:eastAsia="仿宋" w:cs="仿宋"/>
          <w:b/>
          <w:bCs/>
          <w:kern w:val="2"/>
          <w:sz w:val="32"/>
          <w:szCs w:val="32"/>
          <w:lang w:val="en-US" w:eastAsia="zh-CN" w:bidi="ar"/>
        </w:rPr>
        <w:t>卫生健康</w:t>
      </w:r>
      <w:r>
        <w:rPr>
          <w:rStyle w:val="17"/>
          <w:rFonts w:hint="eastAsia" w:ascii="仿宋" w:hAnsi="仿宋" w:eastAsia="仿宋" w:cs="仿宋"/>
          <w:b/>
          <w:bCs/>
          <w:kern w:val="2"/>
          <w:sz w:val="32"/>
          <w:szCs w:val="32"/>
          <w:lang w:val="en-US" w:eastAsia="zh-CN" w:bidi="ar"/>
        </w:rPr>
        <w:t>（210）</w:t>
      </w:r>
      <w:r>
        <w:rPr>
          <w:rStyle w:val="17"/>
          <w:rFonts w:hint="eastAsia" w:ascii="仿宋" w:hAnsi="仿宋" w:eastAsia="仿宋" w:cs="Times New Roman"/>
          <w:b/>
          <w:bCs/>
          <w:kern w:val="2"/>
          <w:sz w:val="32"/>
          <w:szCs w:val="32"/>
          <w:lang w:val="en-US" w:eastAsia="zh-CN" w:bidi="ar"/>
        </w:rPr>
        <w:t>行政事业单位医疗</w:t>
      </w:r>
      <w:r>
        <w:rPr>
          <w:rStyle w:val="17"/>
          <w:rFonts w:hint="eastAsia" w:ascii="仿宋" w:hAnsi="仿宋" w:eastAsia="仿宋" w:cs="仿宋"/>
          <w:b/>
          <w:bCs/>
          <w:kern w:val="2"/>
          <w:sz w:val="32"/>
          <w:szCs w:val="32"/>
          <w:lang w:val="en-US" w:eastAsia="zh-CN" w:bidi="ar"/>
        </w:rPr>
        <w:t>（21011）</w:t>
      </w:r>
      <w:r>
        <w:rPr>
          <w:rStyle w:val="17"/>
          <w:rFonts w:hint="eastAsia" w:ascii="仿宋" w:hAnsi="仿宋" w:eastAsia="仿宋" w:cs="Times New Roman"/>
          <w:b/>
          <w:bCs/>
          <w:kern w:val="2"/>
          <w:sz w:val="32"/>
          <w:szCs w:val="32"/>
          <w:lang w:val="en-US" w:eastAsia="zh-CN" w:bidi="ar"/>
        </w:rPr>
        <w:t>行政单位医疗</w:t>
      </w:r>
      <w:r>
        <w:rPr>
          <w:rStyle w:val="17"/>
          <w:rFonts w:hint="eastAsia" w:ascii="仿宋" w:hAnsi="仿宋" w:eastAsia="仿宋" w:cs="仿宋"/>
          <w:b/>
          <w:bCs/>
          <w:kern w:val="2"/>
          <w:sz w:val="32"/>
          <w:szCs w:val="32"/>
          <w:lang w:val="en-US" w:eastAsia="zh-CN" w:bidi="ar"/>
        </w:rPr>
        <w:t>（2101101）</w:t>
      </w:r>
      <w:r>
        <w:rPr>
          <w:rStyle w:val="17"/>
          <w:rFonts w:hint="eastAsia" w:ascii="仿宋" w:hAnsi="仿宋" w:eastAsia="仿宋" w:cs="Times New Roman"/>
          <w:b/>
          <w:bCs/>
          <w:kern w:val="2"/>
          <w:sz w:val="32"/>
          <w:szCs w:val="32"/>
          <w:lang w:val="en-US" w:eastAsia="zh-CN" w:bidi="ar"/>
        </w:rPr>
        <w:t>:</w:t>
      </w:r>
      <w:r>
        <w:rPr>
          <w:rFonts w:hint="eastAsia" w:ascii="仿宋_GB2312" w:eastAsia="仿宋_GB2312"/>
          <w:color w:val="000000"/>
          <w:sz w:val="32"/>
          <w:szCs w:val="32"/>
          <w:lang w:val="en-US" w:eastAsia="zh-CN"/>
        </w:rPr>
        <w:t>支出决算为43.52万元，完成预算100%。</w:t>
      </w:r>
    </w:p>
    <w:p>
      <w:pPr>
        <w:spacing w:line="600" w:lineRule="exact"/>
        <w:ind w:firstLine="642" w:firstLineChars="200"/>
        <w:rPr>
          <w:rFonts w:hint="eastAsia" w:ascii="仿宋_GB2312" w:eastAsia="仿宋_GB2312"/>
          <w:color w:val="000000"/>
          <w:sz w:val="32"/>
          <w:szCs w:val="32"/>
        </w:rPr>
      </w:pPr>
      <w:r>
        <w:rPr>
          <w:rFonts w:hint="eastAsia" w:ascii="仿宋" w:hAnsi="仿宋" w:eastAsia="仿宋" w:cs="仿宋"/>
          <w:b/>
          <w:bCs/>
          <w:kern w:val="2"/>
          <w:sz w:val="32"/>
          <w:szCs w:val="32"/>
          <w:lang w:val="en-US" w:eastAsia="zh-CN" w:bidi="ar"/>
        </w:rPr>
        <w:t>8.住房保障支出（221）住房改革支出（22102）住房公积金（2210201）：</w:t>
      </w:r>
      <w:r>
        <w:rPr>
          <w:rFonts w:hint="eastAsia" w:ascii="仿宋_GB2312" w:eastAsia="仿宋_GB2312"/>
          <w:color w:val="000000"/>
          <w:sz w:val="32"/>
          <w:szCs w:val="32"/>
          <w:lang w:val="en-US" w:eastAsia="zh-CN"/>
        </w:rPr>
        <w:t>支出决算为53.14万元，完成预算的100%。</w:t>
      </w:r>
    </w:p>
    <w:p>
      <w:pPr>
        <w:spacing w:line="600" w:lineRule="exact"/>
        <w:ind w:firstLine="640"/>
        <w:rPr>
          <w:rFonts w:hint="eastAsia" w:ascii="仿宋" w:hAnsi="仿宋" w:eastAsia="仿宋" w:cs="Times New Roman"/>
          <w:b/>
          <w:bCs w:val="0"/>
          <w:kern w:val="2"/>
          <w:sz w:val="32"/>
          <w:szCs w:val="32"/>
          <w:lang w:val="en-US" w:eastAsia="zh-CN" w:bidi="ar"/>
        </w:rPr>
      </w:pPr>
      <w:r>
        <w:rPr>
          <w:rFonts w:hint="eastAsia" w:ascii="仿宋" w:hAnsi="仿宋" w:eastAsia="仿宋" w:cs="仿宋"/>
          <w:b/>
          <w:bCs/>
          <w:kern w:val="2"/>
          <w:sz w:val="32"/>
          <w:szCs w:val="32"/>
          <w:lang w:val="en-US" w:eastAsia="zh-CN" w:bidi="ar"/>
        </w:rPr>
        <w:t>9.住房保障支出（221）住房改革支出（22102）购房补贴（2210203）</w:t>
      </w:r>
      <w:r>
        <w:rPr>
          <w:rStyle w:val="17"/>
          <w:rFonts w:hint="eastAsia" w:ascii="仿宋" w:hAnsi="仿宋" w:eastAsia="仿宋" w:cs="Times New Roman"/>
          <w:b/>
          <w:bCs/>
          <w:kern w:val="2"/>
          <w:sz w:val="32"/>
          <w:szCs w:val="32"/>
          <w:lang w:val="en-US" w:eastAsia="zh-CN" w:bidi="ar"/>
        </w:rPr>
        <w:t>:</w:t>
      </w:r>
      <w:r>
        <w:rPr>
          <w:rFonts w:hint="eastAsia" w:ascii="仿宋_GB2312" w:eastAsia="仿宋_GB2312"/>
          <w:color w:val="000000"/>
          <w:sz w:val="32"/>
          <w:szCs w:val="32"/>
          <w:lang w:val="en-US" w:eastAsia="zh-CN"/>
        </w:rPr>
        <w:t>支出决算为2.43万元，完成预算的100%</w:t>
      </w:r>
      <w:r>
        <w:rPr>
          <w:rFonts w:hint="eastAsia" w:ascii="仿宋_GB2312" w:eastAsia="仿宋_GB2312"/>
          <w:color w:val="000000"/>
          <w:sz w:val="32"/>
          <w:szCs w:val="32"/>
        </w:rPr>
        <w:t>。</w:t>
      </w:r>
      <w:r>
        <w:rPr>
          <w:rFonts w:hint="eastAsia" w:ascii="仿宋" w:hAnsi="仿宋" w:eastAsia="仿宋" w:cs="Times New Roman"/>
          <w:b/>
          <w:bCs w:val="0"/>
          <w:kern w:val="2"/>
          <w:sz w:val="32"/>
          <w:szCs w:val="32"/>
          <w:lang w:val="en-US" w:eastAsia="zh-CN" w:bidi="ar"/>
        </w:rPr>
        <w:t xml:space="preserve"> </w:t>
      </w:r>
    </w:p>
    <w:p>
      <w:pPr>
        <w:pStyle w:val="2"/>
        <w:ind w:left="0" w:leftChars="0" w:firstLine="640" w:firstLineChars="200"/>
        <w:rPr>
          <w:rFonts w:hint="eastAsia" w:ascii="仿宋_GB2312" w:eastAsia="仿宋_GB2312" w:hAnsiTheme="minorHAnsi" w:cstheme="minorBidi"/>
          <w:color w:val="000000"/>
          <w:kern w:val="2"/>
          <w:sz w:val="32"/>
          <w:szCs w:val="32"/>
          <w:lang w:val="en-US" w:eastAsia="zh-CN" w:bidi="ar-SA"/>
        </w:rPr>
      </w:pPr>
      <w:r>
        <w:rPr>
          <w:rFonts w:hint="eastAsia"/>
          <w:lang w:val="en-US" w:eastAsia="zh-CN"/>
        </w:rPr>
        <w:t>10.</w:t>
      </w:r>
      <w:r>
        <w:rPr>
          <w:rStyle w:val="17"/>
          <w:rFonts w:hint="eastAsia" w:ascii="仿宋" w:hAnsi="仿宋" w:eastAsia="仿宋" w:cs="仿宋"/>
          <w:b/>
          <w:bCs/>
          <w:kern w:val="2"/>
          <w:sz w:val="32"/>
          <w:szCs w:val="32"/>
          <w:lang w:val="en-US" w:eastAsia="zh-CN" w:bidi="ar"/>
        </w:rPr>
        <w:t>一般公共服务（201）</w:t>
      </w:r>
      <w:r>
        <w:rPr>
          <w:rStyle w:val="17"/>
          <w:rFonts w:hint="eastAsia" w:ascii="仿宋" w:hAnsi="仿宋" w:eastAsia="仿宋" w:cs="Times New Roman"/>
          <w:b/>
          <w:bCs/>
          <w:kern w:val="2"/>
          <w:sz w:val="32"/>
          <w:szCs w:val="32"/>
          <w:lang w:val="en-US" w:eastAsia="zh-CN" w:bidi="ar"/>
        </w:rPr>
        <w:t>人大事务</w:t>
      </w:r>
      <w:r>
        <w:rPr>
          <w:rStyle w:val="17"/>
          <w:rFonts w:hint="eastAsia" w:ascii="仿宋" w:hAnsi="仿宋" w:eastAsia="仿宋" w:cs="仿宋"/>
          <w:b/>
          <w:bCs/>
          <w:kern w:val="2"/>
          <w:sz w:val="32"/>
          <w:szCs w:val="32"/>
          <w:lang w:val="en-US" w:eastAsia="zh-CN" w:bidi="ar"/>
        </w:rPr>
        <w:t>（20101）</w:t>
      </w:r>
      <w:r>
        <w:rPr>
          <w:rStyle w:val="17"/>
          <w:rFonts w:hint="eastAsia" w:ascii="仿宋" w:hAnsi="仿宋" w:eastAsia="仿宋" w:cs="Times New Roman"/>
          <w:b/>
          <w:bCs/>
          <w:kern w:val="2"/>
          <w:sz w:val="32"/>
          <w:szCs w:val="32"/>
          <w:lang w:val="en-US" w:eastAsia="zh-CN" w:bidi="ar"/>
        </w:rPr>
        <w:t>事业运</w:t>
      </w:r>
      <w:r>
        <w:rPr>
          <w:rStyle w:val="17"/>
          <w:rFonts w:hint="eastAsia" w:ascii="仿宋" w:hAnsi="仿宋" w:eastAsia="仿宋" w:cs="仿宋"/>
          <w:b/>
          <w:bCs/>
          <w:kern w:val="2"/>
          <w:sz w:val="32"/>
          <w:szCs w:val="32"/>
          <w:lang w:val="en-US" w:eastAsia="zh-CN" w:bidi="ar"/>
        </w:rPr>
        <w:t>（2010150）</w:t>
      </w:r>
      <w:r>
        <w:rPr>
          <w:rStyle w:val="17"/>
          <w:rFonts w:hint="eastAsia" w:ascii="仿宋" w:hAnsi="仿宋" w:eastAsia="仿宋" w:cs="Times New Roman"/>
          <w:b/>
          <w:bCs/>
          <w:kern w:val="2"/>
          <w:sz w:val="32"/>
          <w:szCs w:val="32"/>
          <w:lang w:val="en-US" w:eastAsia="zh-CN" w:bidi="ar"/>
        </w:rPr>
        <w:t>:</w:t>
      </w:r>
      <w:r>
        <w:rPr>
          <w:rStyle w:val="17"/>
          <w:rFonts w:hint="eastAsia" w:ascii="仿宋" w:hAnsi="仿宋" w:eastAsia="仿宋" w:cs="Times New Roman"/>
          <w:b w:val="0"/>
          <w:bCs/>
          <w:kern w:val="2"/>
          <w:sz w:val="32"/>
          <w:szCs w:val="32"/>
          <w:lang w:val="en-US" w:eastAsia="zh-CN" w:bidi="ar"/>
        </w:rPr>
        <w:t xml:space="preserve"> </w:t>
      </w:r>
      <w:r>
        <w:rPr>
          <w:rFonts w:hint="eastAsia" w:ascii="仿宋_GB2312" w:eastAsia="仿宋_GB2312" w:hAnsiTheme="minorHAnsi" w:cstheme="minorBidi"/>
          <w:color w:val="000000"/>
          <w:kern w:val="2"/>
          <w:sz w:val="32"/>
          <w:szCs w:val="32"/>
          <w:lang w:val="en-US" w:eastAsia="zh-CN" w:bidi="ar-SA"/>
        </w:rPr>
        <w:t>支出决算为64.61万元，完成预算100%。</w:t>
      </w:r>
    </w:p>
    <w:p>
      <w:pPr>
        <w:pStyle w:val="2"/>
        <w:ind w:left="0" w:leftChars="0" w:firstLine="640" w:firstLineChars="200"/>
        <w:rPr>
          <w:rFonts w:hint="eastAsia" w:ascii="仿宋_GB2312" w:eastAsia="仿宋_GB2312" w:hAnsiTheme="minorHAnsi" w:cstheme="minorBidi"/>
          <w:color w:val="000000"/>
          <w:kern w:val="2"/>
          <w:sz w:val="32"/>
          <w:szCs w:val="32"/>
          <w:lang w:val="en-US" w:eastAsia="zh-CN" w:bidi="ar-SA"/>
        </w:rPr>
      </w:pPr>
      <w:r>
        <w:rPr>
          <w:rFonts w:hint="eastAsia"/>
          <w:lang w:val="en-US" w:eastAsia="zh-CN"/>
        </w:rPr>
        <w:t>11.</w:t>
      </w:r>
      <w:r>
        <w:rPr>
          <w:rFonts w:hint="eastAsia" w:ascii="仿宋" w:hAnsi="仿宋" w:eastAsia="仿宋" w:cs="仿宋"/>
          <w:b/>
          <w:bCs/>
          <w:kern w:val="2"/>
          <w:sz w:val="32"/>
          <w:szCs w:val="32"/>
          <w:lang w:val="en-US" w:eastAsia="zh-CN" w:bidi="ar"/>
        </w:rPr>
        <w:t>卫生健康</w:t>
      </w:r>
      <w:r>
        <w:rPr>
          <w:rStyle w:val="17"/>
          <w:rFonts w:hint="eastAsia" w:ascii="仿宋" w:hAnsi="仿宋" w:eastAsia="仿宋" w:cs="仿宋"/>
          <w:b/>
          <w:bCs/>
          <w:kern w:val="2"/>
          <w:sz w:val="32"/>
          <w:szCs w:val="32"/>
          <w:lang w:val="en-US" w:eastAsia="zh-CN" w:bidi="ar"/>
        </w:rPr>
        <w:t>（210）</w:t>
      </w:r>
      <w:r>
        <w:rPr>
          <w:rStyle w:val="17"/>
          <w:rFonts w:hint="eastAsia" w:ascii="仿宋" w:hAnsi="仿宋" w:eastAsia="仿宋" w:cs="Times New Roman"/>
          <w:b/>
          <w:bCs/>
          <w:kern w:val="2"/>
          <w:sz w:val="32"/>
          <w:szCs w:val="32"/>
          <w:lang w:val="en-US" w:eastAsia="zh-CN" w:bidi="ar"/>
        </w:rPr>
        <w:t>行政事业单位医疗</w:t>
      </w:r>
      <w:r>
        <w:rPr>
          <w:rStyle w:val="17"/>
          <w:rFonts w:hint="eastAsia" w:ascii="仿宋" w:hAnsi="仿宋" w:eastAsia="仿宋" w:cs="仿宋"/>
          <w:b/>
          <w:bCs/>
          <w:kern w:val="2"/>
          <w:sz w:val="32"/>
          <w:szCs w:val="32"/>
          <w:lang w:val="en-US" w:eastAsia="zh-CN" w:bidi="ar"/>
        </w:rPr>
        <w:t>（21011）</w:t>
      </w:r>
      <w:r>
        <w:rPr>
          <w:rStyle w:val="17"/>
          <w:rFonts w:hint="eastAsia" w:ascii="仿宋" w:hAnsi="仿宋" w:eastAsia="仿宋" w:cs="Times New Roman"/>
          <w:b/>
          <w:bCs/>
          <w:kern w:val="2"/>
          <w:sz w:val="32"/>
          <w:szCs w:val="32"/>
          <w:lang w:val="en-US" w:eastAsia="zh-CN" w:bidi="ar"/>
        </w:rPr>
        <w:t>事业单位医疗</w:t>
      </w:r>
      <w:r>
        <w:rPr>
          <w:rStyle w:val="17"/>
          <w:rFonts w:hint="eastAsia" w:ascii="仿宋" w:hAnsi="仿宋" w:eastAsia="仿宋" w:cs="仿宋"/>
          <w:b/>
          <w:bCs/>
          <w:kern w:val="2"/>
          <w:sz w:val="32"/>
          <w:szCs w:val="32"/>
          <w:lang w:val="en-US" w:eastAsia="zh-CN" w:bidi="ar"/>
        </w:rPr>
        <w:t>（2101102）</w:t>
      </w:r>
      <w:r>
        <w:rPr>
          <w:rStyle w:val="17"/>
          <w:rFonts w:hint="eastAsia" w:ascii="仿宋" w:hAnsi="仿宋" w:eastAsia="仿宋" w:cs="Times New Roman"/>
          <w:b/>
          <w:bCs/>
          <w:kern w:val="2"/>
          <w:sz w:val="32"/>
          <w:szCs w:val="32"/>
          <w:lang w:val="en-US" w:eastAsia="zh-CN" w:bidi="ar"/>
        </w:rPr>
        <w:t>:</w:t>
      </w:r>
      <w:r>
        <w:rPr>
          <w:rFonts w:hint="eastAsia" w:ascii="仿宋_GB2312" w:eastAsia="仿宋_GB2312" w:hAnsiTheme="minorHAnsi" w:cstheme="minorBidi"/>
          <w:color w:val="000000"/>
          <w:kern w:val="2"/>
          <w:sz w:val="32"/>
          <w:szCs w:val="32"/>
          <w:lang w:val="en-US" w:eastAsia="zh-CN" w:bidi="ar-SA"/>
        </w:rPr>
        <w:t>支出决算为</w:t>
      </w:r>
      <w:r>
        <w:rPr>
          <w:rFonts w:hint="eastAsia" w:ascii="仿宋_GB2312" w:eastAsia="仿宋_GB2312" w:cstheme="minorBidi"/>
          <w:color w:val="000000"/>
          <w:kern w:val="2"/>
          <w:sz w:val="32"/>
          <w:szCs w:val="32"/>
          <w:lang w:val="en-US" w:eastAsia="zh-CN" w:bidi="ar-SA"/>
        </w:rPr>
        <w:t>5.57</w:t>
      </w:r>
      <w:r>
        <w:rPr>
          <w:rFonts w:hint="eastAsia" w:ascii="仿宋_GB2312" w:eastAsia="仿宋_GB2312" w:hAnsiTheme="minorHAnsi" w:cstheme="minorBidi"/>
          <w:color w:val="000000"/>
          <w:kern w:val="2"/>
          <w:sz w:val="32"/>
          <w:szCs w:val="32"/>
          <w:lang w:val="en-US" w:eastAsia="zh-CN" w:bidi="ar-SA"/>
        </w:rPr>
        <w:t>万元，完成预算100%。</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default" w:ascii="Cambria" w:hAnsi="Cambria" w:eastAsia="宋体" w:cs="Times New Roman"/>
          <w:b/>
          <w:bCs/>
          <w:sz w:val="32"/>
          <w:szCs w:val="32"/>
        </w:rPr>
      </w:pPr>
      <w:r>
        <w:rPr>
          <w:rFonts w:hint="eastAsia" w:ascii="黑体" w:hAnsi="宋体" w:eastAsia="黑体" w:cs="黑体"/>
          <w:kern w:val="2"/>
          <w:sz w:val="32"/>
          <w:szCs w:val="32"/>
          <w:lang w:val="en-US" w:eastAsia="zh-CN" w:bidi="ar"/>
        </w:rPr>
        <w:t>六</w:t>
      </w:r>
      <w:r>
        <w:rPr>
          <w:rFonts w:hint="eastAsia" w:ascii="黑体" w:hAnsi="宋体" w:eastAsia="黑体" w:cs="黑体"/>
          <w:b/>
          <w:bCs w:val="0"/>
          <w:kern w:val="2"/>
          <w:sz w:val="32"/>
          <w:szCs w:val="32"/>
          <w:lang w:val="en-US" w:eastAsia="zh-CN" w:bidi="ar"/>
        </w:rPr>
        <w:t>、一</w:t>
      </w:r>
      <w:r>
        <w:rPr>
          <w:rStyle w:val="18"/>
          <w:rFonts w:hint="eastAsia" w:ascii="黑体" w:hAnsi="宋体" w:eastAsia="黑体" w:cs="黑体"/>
          <w:b w:val="0"/>
          <w:bCs/>
          <w:kern w:val="2"/>
          <w:sz w:val="32"/>
          <w:szCs w:val="32"/>
          <w:lang w:val="en-US" w:eastAsia="zh-CN" w:bidi="ar"/>
        </w:rPr>
        <w:t>般公共预算财政拨款基本支出决算情况说明</w:t>
      </w:r>
      <w:r>
        <w:rPr>
          <w:rStyle w:val="18"/>
          <w:rFonts w:hint="eastAsia" w:ascii="黑体" w:hAnsi="宋体" w:eastAsia="黑体" w:cs="Times New Roman"/>
          <w:b w:val="0"/>
          <w:bCs/>
          <w:kern w:val="2"/>
          <w:sz w:val="32"/>
          <w:szCs w:val="32"/>
          <w:lang w:val="en-US" w:eastAsia="zh-CN" w:bidi="ar"/>
        </w:rPr>
        <w:tab/>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2023年度一般公共预算财政拨款基本支出</w:t>
      </w:r>
      <w:r>
        <w:rPr>
          <w:rFonts w:hint="eastAsia" w:ascii="仿宋" w:hAnsi="仿宋" w:eastAsia="仿宋" w:cs="Times New Roman"/>
          <w:kern w:val="2"/>
          <w:sz w:val="32"/>
          <w:szCs w:val="32"/>
          <w:lang w:val="en-US" w:eastAsia="zh-CN" w:bidi="ar"/>
        </w:rPr>
        <w:t>993.77</w:t>
      </w:r>
      <w:r>
        <w:rPr>
          <w:rFonts w:hint="eastAsia" w:ascii="仿宋" w:hAnsi="仿宋" w:eastAsia="仿宋" w:cs="仿宋"/>
          <w:kern w:val="2"/>
          <w:sz w:val="32"/>
          <w:szCs w:val="32"/>
          <w:lang w:val="en-US" w:eastAsia="zh-CN" w:bidi="ar"/>
        </w:rPr>
        <w:t>万元，其中：</w:t>
      </w:r>
    </w:p>
    <w:p>
      <w:pPr>
        <w:spacing w:line="600" w:lineRule="exact"/>
        <w:ind w:firstLine="645"/>
        <w:rPr>
          <w:rFonts w:hint="eastAsia" w:ascii="仿宋" w:hAnsi="仿宋" w:eastAsia="仿宋" w:cs="Times New Roman"/>
          <w:b/>
          <w:bCs w:val="0"/>
          <w:kern w:val="2"/>
          <w:sz w:val="32"/>
          <w:szCs w:val="32"/>
        </w:rPr>
      </w:pPr>
      <w:r>
        <w:rPr>
          <w:rFonts w:hint="eastAsia" w:ascii="仿宋" w:hAnsi="仿宋" w:eastAsia="仿宋" w:cs="仿宋"/>
          <w:kern w:val="2"/>
          <w:sz w:val="32"/>
          <w:szCs w:val="32"/>
          <w:lang w:val="en-US" w:eastAsia="zh-CN" w:bidi="ar"/>
        </w:rPr>
        <w:t>人员经费</w:t>
      </w:r>
      <w:r>
        <w:rPr>
          <w:rFonts w:hint="eastAsia" w:ascii="仿宋" w:hAnsi="仿宋" w:eastAsia="仿宋" w:cs="Times New Roman"/>
          <w:kern w:val="2"/>
          <w:sz w:val="32"/>
          <w:szCs w:val="32"/>
          <w:lang w:val="en-US" w:eastAsia="zh-CN" w:bidi="ar"/>
        </w:rPr>
        <w:t>773.15</w:t>
      </w:r>
      <w:r>
        <w:rPr>
          <w:rFonts w:hint="eastAsia" w:ascii="仿宋" w:hAnsi="仿宋" w:eastAsia="仿宋" w:cs="仿宋"/>
          <w:kern w:val="2"/>
          <w:sz w:val="32"/>
          <w:szCs w:val="32"/>
          <w:lang w:val="en-US" w:eastAsia="zh-CN" w:bidi="ar"/>
        </w:rPr>
        <w:t>万元，</w:t>
      </w:r>
      <w:r>
        <w:rPr>
          <w:rFonts w:hint="eastAsia" w:ascii="仿宋" w:hAnsi="仿宋" w:eastAsia="仿宋"/>
          <w:color w:val="000000"/>
          <w:sz w:val="32"/>
          <w:szCs w:val="32"/>
        </w:rPr>
        <w:t>主要包括：基本工资、津贴补贴、奖金、绩效工资、机关事业单位基本养老保险缴费、职业年金缴费、职工基本医疗保险、医疗费、其他社会保障缴费、生活补助、医疗费补助、奖励金、住房公积金等。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220.62</w:t>
      </w:r>
      <w:r>
        <w:rPr>
          <w:rFonts w:hint="eastAsia" w:ascii="仿宋" w:hAnsi="仿宋" w:eastAsia="仿宋"/>
          <w:color w:val="000000"/>
          <w:sz w:val="32"/>
          <w:szCs w:val="32"/>
        </w:rPr>
        <w:t>万元，主要包括：办公费、邮电费、差旅费</w:t>
      </w:r>
      <w:r>
        <w:rPr>
          <w:rFonts w:hint="eastAsia" w:ascii="仿宋" w:hAnsi="仿宋" w:eastAsia="仿宋"/>
          <w:color w:val="000000"/>
          <w:sz w:val="32"/>
          <w:szCs w:val="32"/>
          <w:lang w:eastAsia="zh-CN"/>
        </w:rPr>
        <w:t>、会议费</w:t>
      </w:r>
      <w:r>
        <w:rPr>
          <w:rFonts w:hint="eastAsia" w:ascii="仿宋" w:hAnsi="仿宋" w:eastAsia="仿宋"/>
          <w:color w:val="000000"/>
          <w:sz w:val="32"/>
          <w:szCs w:val="32"/>
        </w:rPr>
        <w:t>、培训费、公务接待费、公务用车运行维护费等</w:t>
      </w:r>
      <w:r>
        <w:rPr>
          <w:rFonts w:hint="eastAsia" w:ascii="仿宋" w:hAnsi="仿宋" w:eastAsia="仿宋"/>
          <w:color w:val="000000"/>
          <w:sz w:val="32"/>
          <w:szCs w:val="32"/>
          <w:lang w:eastAsia="zh-CN"/>
        </w:rPr>
        <w:t>。</w:t>
      </w:r>
      <w:r>
        <w:rPr>
          <w:rFonts w:hint="eastAsia" w:ascii="仿宋" w:hAnsi="仿宋" w:eastAsia="仿宋" w:cs="Times New Roman"/>
          <w:b/>
          <w:bCs w:val="0"/>
          <w:kern w:val="2"/>
          <w:sz w:val="32"/>
          <w:szCs w:val="32"/>
          <w:lang w:val="en-US" w:eastAsia="zh-CN" w:bidi="ar"/>
        </w:rPr>
        <w:t xml:space="preserve">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Fonts w:hint="eastAsia" w:ascii="黑体" w:hAnsi="宋体" w:eastAsia="黑体" w:cs="黑体"/>
          <w:kern w:val="2"/>
          <w:sz w:val="32"/>
          <w:szCs w:val="32"/>
          <w:lang w:val="en-US" w:eastAsia="zh-CN" w:bidi="ar"/>
        </w:rPr>
        <w:t>七、</w:t>
      </w:r>
      <w:r>
        <w:rPr>
          <w:rStyle w:val="18"/>
          <w:rFonts w:hint="eastAsia" w:ascii="黑体" w:hAnsi="宋体" w:eastAsia="黑体" w:cs="黑体"/>
          <w:b w:val="0"/>
          <w:bCs/>
          <w:kern w:val="2"/>
          <w:sz w:val="32"/>
          <w:szCs w:val="32"/>
          <w:lang w:val="en-US" w:eastAsia="zh-CN" w:bidi="ar"/>
        </w:rPr>
        <w:t>财政拨款</w:t>
      </w:r>
      <w:r>
        <w:rPr>
          <w:rStyle w:val="18"/>
          <w:rFonts w:hint="eastAsia" w:ascii="黑体" w:hAnsi="宋体" w:eastAsia="黑体" w:cs="黑体"/>
          <w:b/>
          <w:bCs/>
          <w:kern w:val="2"/>
          <w:sz w:val="32"/>
          <w:szCs w:val="32"/>
          <w:lang w:val="en-US" w:eastAsia="zh-CN" w:bidi="ar"/>
        </w:rPr>
        <w:t>“</w:t>
      </w:r>
      <w:r>
        <w:rPr>
          <w:rStyle w:val="18"/>
          <w:rFonts w:hint="eastAsia" w:ascii="黑体" w:hAnsi="宋体" w:eastAsia="黑体" w:cs="黑体"/>
          <w:b w:val="0"/>
          <w:bCs/>
          <w:kern w:val="2"/>
          <w:sz w:val="32"/>
          <w:szCs w:val="32"/>
          <w:lang w:val="en-US" w:eastAsia="zh-CN" w:bidi="ar"/>
        </w:rPr>
        <w:t>三公”经费支出决算情况说明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（一）“三公”经费财政拨款支出决算总体情况说明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kern w:val="2"/>
          <w:sz w:val="32"/>
          <w:szCs w:val="32"/>
        </w:rPr>
      </w:pPr>
      <w:r>
        <w:rPr>
          <w:rFonts w:hint="eastAsia" w:ascii="仿宋" w:hAnsi="仿宋" w:eastAsia="仿宋" w:cs="仿宋"/>
          <w:kern w:val="2"/>
          <w:sz w:val="32"/>
          <w:szCs w:val="32"/>
          <w:lang w:val="en-US" w:eastAsia="zh-CN" w:bidi="ar"/>
        </w:rPr>
        <w:t>2023年度“三公”经费财政拨款支出决算为</w:t>
      </w:r>
      <w:r>
        <w:rPr>
          <w:rFonts w:hint="eastAsia" w:ascii="仿宋" w:hAnsi="仿宋" w:eastAsia="仿宋" w:cs="Times New Roman"/>
          <w:kern w:val="2"/>
          <w:sz w:val="32"/>
          <w:szCs w:val="32"/>
          <w:lang w:val="en-US" w:eastAsia="zh-CN" w:bidi="ar"/>
        </w:rPr>
        <w:t>155.71</w:t>
      </w:r>
      <w:r>
        <w:rPr>
          <w:rFonts w:hint="eastAsia" w:ascii="仿宋" w:hAnsi="仿宋" w:eastAsia="仿宋" w:cs="仿宋"/>
          <w:kern w:val="2"/>
          <w:sz w:val="32"/>
          <w:szCs w:val="32"/>
          <w:lang w:val="en-US" w:eastAsia="zh-CN" w:bidi="ar"/>
        </w:rPr>
        <w:t>万元，完成预算</w:t>
      </w:r>
      <w:r>
        <w:rPr>
          <w:rFonts w:hint="eastAsia" w:ascii="仿宋" w:hAnsi="仿宋" w:eastAsia="仿宋" w:cs="Times New Roman"/>
          <w:kern w:val="2"/>
          <w:sz w:val="32"/>
          <w:szCs w:val="32"/>
          <w:lang w:val="en-US" w:eastAsia="zh-CN" w:bidi="ar"/>
        </w:rPr>
        <w:t>100%</w:t>
      </w:r>
      <w:r>
        <w:rPr>
          <w:rFonts w:hint="eastAsia" w:ascii="仿宋" w:hAnsi="仿宋" w:eastAsia="仿宋" w:cs="仿宋"/>
          <w:kern w:val="2"/>
          <w:sz w:val="32"/>
          <w:szCs w:val="32"/>
          <w:lang w:val="en-US" w:eastAsia="zh-CN" w:bidi="ar"/>
        </w:rPr>
        <w:t>，较上年度增加112.38万元，增长259.36%。主要原因是2023年购置两辆公务用车。决算数与预算数持平。</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（二）“三公”经费财政拨款支出决算具体情况说明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仿宋"/>
          <w:kern w:val="2"/>
          <w:sz w:val="32"/>
          <w:szCs w:val="32"/>
          <w:lang w:val="en-US" w:eastAsia="zh-CN" w:bidi="ar"/>
        </w:rPr>
      </w:pPr>
      <w:r>
        <w:rPr>
          <w:rFonts w:hint="eastAsia" w:ascii="仿宋" w:hAnsi="仿宋" w:eastAsia="仿宋" w:cs="仿宋"/>
          <w:kern w:val="2"/>
          <w:sz w:val="32"/>
          <w:szCs w:val="32"/>
          <w:lang w:val="en-US" w:eastAsia="zh-CN" w:bidi="ar"/>
        </w:rPr>
        <w:t>2023年度“三公”经费财政拨款支出决算中，因公出国（境）费支出决算</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0%</w:t>
      </w:r>
      <w:r>
        <w:rPr>
          <w:rFonts w:hint="eastAsia" w:ascii="仿宋" w:hAnsi="仿宋" w:eastAsia="仿宋" w:cs="仿宋"/>
          <w:kern w:val="2"/>
          <w:sz w:val="32"/>
          <w:szCs w:val="32"/>
          <w:lang w:val="en-US" w:eastAsia="zh-CN" w:bidi="ar"/>
        </w:rPr>
        <w:t>；公务用车购置费支出决算119.94万元，占</w:t>
      </w:r>
      <w:r>
        <w:rPr>
          <w:rFonts w:hint="eastAsia" w:ascii="仿宋" w:hAnsi="仿宋" w:eastAsia="仿宋" w:cs="Times New Roman"/>
          <w:kern w:val="2"/>
          <w:sz w:val="32"/>
          <w:szCs w:val="32"/>
          <w:lang w:val="en-US" w:eastAsia="zh-CN" w:bidi="ar"/>
        </w:rPr>
        <w:t>77.03%</w:t>
      </w:r>
      <w:r>
        <w:rPr>
          <w:rFonts w:hint="eastAsia" w:ascii="仿宋" w:hAnsi="仿宋" w:eastAsia="仿宋" w:cs="仿宋"/>
          <w:kern w:val="2"/>
          <w:sz w:val="32"/>
          <w:szCs w:val="32"/>
          <w:lang w:val="en-US" w:eastAsia="zh-CN" w:bidi="ar"/>
        </w:rPr>
        <w:t>；公务用车运行维护费支出决算</w:t>
      </w:r>
      <w:r>
        <w:rPr>
          <w:rFonts w:hint="eastAsia" w:ascii="仿宋" w:hAnsi="仿宋" w:eastAsia="仿宋" w:cs="Times New Roman"/>
          <w:kern w:val="2"/>
          <w:sz w:val="32"/>
          <w:szCs w:val="32"/>
          <w:lang w:val="en-US" w:eastAsia="zh-CN" w:bidi="ar"/>
        </w:rPr>
        <w:t>31.14</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20%</w:t>
      </w:r>
      <w:r>
        <w:rPr>
          <w:rFonts w:hint="eastAsia" w:ascii="仿宋" w:hAnsi="仿宋" w:eastAsia="仿宋" w:cs="仿宋"/>
          <w:kern w:val="2"/>
          <w:sz w:val="32"/>
          <w:szCs w:val="32"/>
          <w:lang w:val="en-US" w:eastAsia="zh-CN" w:bidi="ar"/>
        </w:rPr>
        <w:t>；公务接待费支出决算</w:t>
      </w:r>
      <w:r>
        <w:rPr>
          <w:rFonts w:hint="eastAsia" w:ascii="仿宋" w:hAnsi="仿宋" w:eastAsia="仿宋" w:cs="Times New Roman"/>
          <w:kern w:val="2"/>
          <w:sz w:val="32"/>
          <w:szCs w:val="32"/>
          <w:lang w:val="en-US" w:eastAsia="zh-CN" w:bidi="ar"/>
        </w:rPr>
        <w:t>4.63</w:t>
      </w:r>
      <w:r>
        <w:rPr>
          <w:rFonts w:hint="eastAsia" w:ascii="仿宋" w:hAnsi="仿宋" w:eastAsia="仿宋" w:cs="仿宋"/>
          <w:kern w:val="2"/>
          <w:sz w:val="32"/>
          <w:szCs w:val="32"/>
          <w:lang w:val="en-US" w:eastAsia="zh-CN" w:bidi="ar"/>
        </w:rPr>
        <w:t>万元，占</w:t>
      </w:r>
      <w:r>
        <w:rPr>
          <w:rFonts w:hint="eastAsia" w:ascii="仿宋" w:hAnsi="仿宋" w:eastAsia="仿宋" w:cs="Times New Roman"/>
          <w:kern w:val="2"/>
          <w:sz w:val="32"/>
          <w:szCs w:val="32"/>
          <w:lang w:val="en-US" w:eastAsia="zh-CN" w:bidi="ar"/>
        </w:rPr>
        <w:t>2.97%</w:t>
      </w:r>
      <w:r>
        <w:rPr>
          <w:rFonts w:hint="eastAsia" w:ascii="仿宋" w:hAnsi="仿宋" w:eastAsia="仿宋" w:cs="仿宋"/>
          <w:kern w:val="2"/>
          <w:sz w:val="32"/>
          <w:szCs w:val="32"/>
          <w:lang w:val="en-US" w:eastAsia="zh-CN" w:bidi="ar"/>
        </w:rPr>
        <w:t>。具体情况如下：</w:t>
      </w:r>
    </w:p>
    <w:p>
      <w:pPr>
        <w:pStyle w:val="2"/>
        <w:rPr>
          <w:rFonts w:hint="eastAsia"/>
          <w:lang w:val="en-US" w:eastAsia="zh-CN"/>
        </w:rPr>
      </w:pPr>
      <w:r>
        <w:rPr>
          <w:rFonts w:hint="eastAsia" w:ascii="仿宋" w:hAnsi="仿宋" w:eastAsia="仿宋" w:cs="仿宋"/>
          <w:kern w:val="2"/>
          <w:sz w:val="32"/>
          <w:szCs w:val="32"/>
          <w:lang w:val="en-US" w:eastAsia="zh-CN" w:bidi="ar"/>
        </w:rPr>
        <w:t xml:space="preserve">      </w:t>
      </w:r>
      <w:r>
        <w:rPr>
          <w:rFonts w:hint="eastAsia" w:ascii="仿宋" w:hAnsi="仿宋" w:eastAsia="仿宋" w:cs="仿宋"/>
          <w:kern w:val="2"/>
          <w:sz w:val="32"/>
          <w:szCs w:val="32"/>
          <w:lang w:val="en-US" w:eastAsia="zh-CN" w:bidi="ar"/>
        </w:rPr>
        <w:drawing>
          <wp:inline distT="0" distB="0" distL="114300" distR="114300">
            <wp:extent cx="3309620" cy="2572385"/>
            <wp:effectExtent l="4445" t="4445" r="19685" b="1397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default" w:ascii="仿宋_GB2312" w:hAnsi="Calibri" w:eastAsia="仿宋_GB2312" w:cs="Times New Roman"/>
          <w:kern w:val="2"/>
          <w:sz w:val="32"/>
          <w:szCs w:val="32"/>
          <w:lang w:val="en-US"/>
        </w:rPr>
      </w:pPr>
      <w:r>
        <w:rPr>
          <w:rFonts w:hint="eastAsia" w:ascii="仿宋_GB2312" w:hAnsi="Calibri" w:eastAsia="仿宋_GB2312" w:cs="Times New Roman"/>
          <w:b/>
          <w:bCs w:val="0"/>
          <w:kern w:val="2"/>
          <w:sz w:val="32"/>
          <w:szCs w:val="32"/>
          <w:lang w:val="en-US" w:eastAsia="zh-CN" w:bidi="ar"/>
        </w:rPr>
        <w:t>1.</w:t>
      </w:r>
      <w:r>
        <w:rPr>
          <w:rFonts w:hint="eastAsia" w:ascii="仿宋_GB2312" w:hAnsi="Calibri" w:eastAsia="仿宋_GB2312" w:cs="仿宋_GB2312"/>
          <w:b/>
          <w:bCs w:val="0"/>
          <w:kern w:val="2"/>
          <w:sz w:val="32"/>
          <w:szCs w:val="32"/>
          <w:lang w:val="en-US" w:eastAsia="zh-CN" w:bidi="ar"/>
        </w:rPr>
        <w:t>因公出国（境）经费支出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Times New Roman"/>
          <w:b/>
          <w:bCs w:val="0"/>
          <w:kern w:val="2"/>
          <w:sz w:val="32"/>
          <w:szCs w:val="32"/>
          <w:lang w:val="en-US" w:eastAsia="zh-CN" w:bidi="ar"/>
        </w:rPr>
        <w:t>2.</w:t>
      </w:r>
      <w:r>
        <w:rPr>
          <w:rFonts w:hint="eastAsia" w:ascii="仿宋_GB2312" w:hAnsi="Calibri" w:eastAsia="仿宋_GB2312" w:cs="仿宋_GB2312"/>
          <w:b/>
          <w:bCs w:val="0"/>
          <w:kern w:val="2"/>
          <w:sz w:val="32"/>
          <w:szCs w:val="32"/>
          <w:lang w:val="en-US" w:eastAsia="zh-CN" w:bidi="ar"/>
        </w:rPr>
        <w:t>公务用车购置及运行维护费支出</w:t>
      </w:r>
      <w:r>
        <w:rPr>
          <w:rFonts w:hint="eastAsia" w:ascii="仿宋_GB2312" w:hAnsi="Calibri" w:eastAsia="仿宋_GB2312" w:cs="Times New Roman"/>
          <w:kern w:val="2"/>
          <w:sz w:val="32"/>
          <w:szCs w:val="32"/>
          <w:lang w:val="en-US" w:eastAsia="zh-CN" w:bidi="ar"/>
        </w:rPr>
        <w:t>151.08</w:t>
      </w:r>
      <w:r>
        <w:rPr>
          <w:rFonts w:hint="eastAsia" w:ascii="仿宋_GB2312" w:hAnsi="Calibri" w:eastAsia="仿宋_GB2312" w:cs="仿宋_GB2312"/>
          <w:kern w:val="2"/>
          <w:sz w:val="32"/>
          <w:szCs w:val="32"/>
          <w:lang w:val="en-US" w:eastAsia="zh-CN" w:bidi="ar"/>
        </w:rPr>
        <w:t>万元,</w:t>
      </w:r>
      <w:r>
        <w:rPr>
          <w:rStyle w:val="17"/>
          <w:rFonts w:hint="eastAsia" w:ascii="仿宋" w:hAnsi="仿宋" w:eastAsia="仿宋" w:cs="仿宋"/>
          <w:b w:val="0"/>
          <w:bCs/>
          <w:kern w:val="2"/>
          <w:sz w:val="32"/>
          <w:szCs w:val="32"/>
          <w:lang w:val="en-US" w:eastAsia="zh-CN" w:bidi="ar"/>
        </w:rPr>
        <w:t>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公务用车购置及运行维护费支出决算比2022年度增加</w:t>
      </w:r>
      <w:r>
        <w:rPr>
          <w:rFonts w:hint="eastAsia" w:ascii="仿宋_GB2312" w:hAnsi="Calibri" w:eastAsia="仿宋_GB2312" w:cs="Times New Roman"/>
          <w:kern w:val="2"/>
          <w:sz w:val="32"/>
          <w:szCs w:val="32"/>
          <w:lang w:val="en-US" w:eastAsia="zh-CN" w:bidi="ar"/>
        </w:rPr>
        <w:t>113.36</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300.53%</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b/>
          <w:bCs w:val="0"/>
          <w:kern w:val="2"/>
          <w:sz w:val="32"/>
          <w:szCs w:val="32"/>
        </w:rPr>
      </w:pPr>
      <w:r>
        <w:rPr>
          <w:rFonts w:hint="eastAsia" w:ascii="仿宋_GB2312" w:hAnsi="Calibri" w:eastAsia="仿宋_GB2312" w:cs="仿宋_GB2312"/>
          <w:kern w:val="2"/>
          <w:sz w:val="32"/>
          <w:szCs w:val="32"/>
          <w:lang w:val="en-US" w:eastAsia="zh-CN" w:bidi="ar"/>
        </w:rPr>
        <w:t>其中：</w:t>
      </w:r>
      <w:r>
        <w:rPr>
          <w:rFonts w:hint="eastAsia" w:ascii="仿宋_GB2312" w:hAnsi="Calibri" w:eastAsia="仿宋_GB2312" w:cs="仿宋_GB2312"/>
          <w:b/>
          <w:bCs w:val="0"/>
          <w:kern w:val="2"/>
          <w:sz w:val="32"/>
          <w:szCs w:val="32"/>
          <w:lang w:val="en-US" w:eastAsia="zh-CN" w:bidi="ar"/>
        </w:rPr>
        <w:t>公务用车购置支出</w:t>
      </w:r>
      <w:r>
        <w:rPr>
          <w:rFonts w:hint="eastAsia" w:ascii="仿宋_GB2312" w:hAnsi="Calibri" w:eastAsia="仿宋_GB2312" w:cs="Times New Roman"/>
          <w:kern w:val="2"/>
          <w:sz w:val="32"/>
          <w:szCs w:val="32"/>
          <w:lang w:val="en-US" w:eastAsia="zh-CN" w:bidi="ar"/>
        </w:rPr>
        <w:t>119.94</w:t>
      </w:r>
      <w:r>
        <w:rPr>
          <w:rFonts w:hint="eastAsia" w:ascii="仿宋_GB2312" w:hAnsi="Calibri" w:eastAsia="仿宋_GB2312" w:cs="仿宋_GB2312"/>
          <w:kern w:val="2"/>
          <w:sz w:val="32"/>
          <w:szCs w:val="32"/>
          <w:lang w:val="en-US" w:eastAsia="zh-CN" w:bidi="ar"/>
        </w:rPr>
        <w:t>万元。全年按规定更新购置公务用车</w:t>
      </w:r>
      <w:r>
        <w:rPr>
          <w:rFonts w:hint="eastAsia" w:ascii="仿宋_GB2312" w:hAnsi="Calibri"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辆，其中：越野车</w:t>
      </w:r>
      <w:r>
        <w:rPr>
          <w:rFonts w:hint="eastAsia" w:ascii="仿宋_GB2312" w:hAnsi="Calibri" w:eastAsia="仿宋_GB2312" w:cs="Times New Roman"/>
          <w:kern w:val="2"/>
          <w:sz w:val="32"/>
          <w:szCs w:val="32"/>
          <w:lang w:val="en-US" w:eastAsia="zh-CN" w:bidi="ar"/>
        </w:rPr>
        <w:t>2</w:t>
      </w:r>
      <w:r>
        <w:rPr>
          <w:rFonts w:hint="eastAsia" w:ascii="仿宋_GB2312" w:hAnsi="Calibri" w:eastAsia="仿宋_GB2312" w:cs="仿宋_GB2312"/>
          <w:kern w:val="2"/>
          <w:sz w:val="32"/>
          <w:szCs w:val="32"/>
          <w:lang w:val="en-US" w:eastAsia="zh-CN" w:bidi="ar"/>
        </w:rPr>
        <w:t>辆、金额</w:t>
      </w:r>
      <w:r>
        <w:rPr>
          <w:rFonts w:hint="eastAsia" w:ascii="仿宋_GB2312" w:hAnsi="Calibri" w:eastAsia="仿宋_GB2312" w:cs="Times New Roman"/>
          <w:kern w:val="2"/>
          <w:sz w:val="32"/>
          <w:szCs w:val="32"/>
          <w:lang w:val="en-US" w:eastAsia="zh-CN" w:bidi="ar"/>
        </w:rPr>
        <w:t>119.94</w:t>
      </w:r>
      <w:r>
        <w:rPr>
          <w:rFonts w:hint="eastAsia" w:ascii="仿宋_GB2312" w:hAnsi="Calibri" w:eastAsia="仿宋_GB2312" w:cs="仿宋_GB2312"/>
          <w:kern w:val="2"/>
          <w:sz w:val="32"/>
          <w:szCs w:val="32"/>
          <w:lang w:val="en-US" w:eastAsia="zh-CN" w:bidi="ar"/>
        </w:rPr>
        <w:t>万元，主要用于人大机关日常工作。截至2023年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月31日，单位共有公务用车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辆，其中：轿车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辆、越野车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辆、载客汽车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w:t>
      </w:r>
    </w:p>
    <w:p>
      <w:pPr>
        <w:pageBreakBefore w:val="0"/>
        <w:kinsoku/>
        <w:wordWrap/>
        <w:overflowPunct/>
        <w:topLinePunct w:val="0"/>
        <w:bidi w:val="0"/>
        <w:spacing w:line="576" w:lineRule="exact"/>
        <w:ind w:firstLine="640"/>
        <w:textAlignment w:val="auto"/>
        <w:rPr>
          <w:rFonts w:ascii="仿宋" w:hAnsi="Times New Roman" w:eastAsia="仿宋" w:cs="Times New Roman"/>
          <w:color w:val="000000"/>
          <w:sz w:val="32"/>
          <w:szCs w:val="32"/>
        </w:rPr>
      </w:pPr>
      <w:r>
        <w:rPr>
          <w:rFonts w:hint="eastAsia" w:ascii="仿宋_GB2312" w:hAnsi="Calibri" w:eastAsia="仿宋_GB2312" w:cs="仿宋_GB2312"/>
          <w:b/>
          <w:bCs w:val="0"/>
          <w:kern w:val="2"/>
          <w:sz w:val="32"/>
          <w:szCs w:val="32"/>
          <w:lang w:val="en-US" w:eastAsia="zh-CN" w:bidi="ar"/>
        </w:rPr>
        <w:t>公务用车运行维护费支出</w:t>
      </w:r>
      <w:r>
        <w:rPr>
          <w:rFonts w:hint="eastAsia" w:ascii="仿宋_GB2312" w:hAnsi="Calibri" w:eastAsia="仿宋_GB2312" w:cs="Times New Roman"/>
          <w:kern w:val="2"/>
          <w:sz w:val="32"/>
          <w:szCs w:val="32"/>
          <w:lang w:val="en-US" w:eastAsia="zh-CN" w:bidi="ar"/>
        </w:rPr>
        <w:t>31.14</w:t>
      </w:r>
      <w:r>
        <w:rPr>
          <w:rFonts w:hint="eastAsia" w:ascii="仿宋_GB2312" w:hAnsi="Calibri" w:eastAsia="仿宋_GB2312" w:cs="仿宋_GB2312"/>
          <w:kern w:val="2"/>
          <w:sz w:val="32"/>
          <w:szCs w:val="32"/>
          <w:lang w:val="en-US" w:eastAsia="zh-CN" w:bidi="ar"/>
        </w:rPr>
        <w:t>万元。</w:t>
      </w:r>
      <w:r>
        <w:rPr>
          <w:rFonts w:hint="eastAsia" w:ascii="仿宋" w:hAnsi="Times New Roman" w:eastAsia="仿宋" w:cs="Times New Roman"/>
          <w:color w:val="000000"/>
          <w:sz w:val="32"/>
          <w:szCs w:val="32"/>
        </w:rPr>
        <w:t>主要用于</w:t>
      </w:r>
      <w:r>
        <w:rPr>
          <w:rFonts w:hint="eastAsia" w:ascii="仿宋" w:hAnsi="Times New Roman" w:eastAsia="仿宋" w:cs="Times New Roman"/>
          <w:color w:val="000000"/>
          <w:sz w:val="32"/>
          <w:szCs w:val="32"/>
          <w:lang w:eastAsia="zh-CN"/>
        </w:rPr>
        <w:t>人大常委会工作、调研、会议</w:t>
      </w:r>
      <w:r>
        <w:rPr>
          <w:rFonts w:hint="eastAsia" w:ascii="仿宋" w:hAnsi="Times New Roman" w:eastAsia="仿宋" w:cs="Times New Roman"/>
          <w:color w:val="000000"/>
          <w:sz w:val="32"/>
          <w:szCs w:val="32"/>
        </w:rPr>
        <w:t>等所需的公务用车燃料费、维修费、过路过桥费、保险费等支出。</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Times New Roman"/>
          <w:b/>
          <w:bCs w:val="0"/>
          <w:kern w:val="2"/>
          <w:sz w:val="32"/>
          <w:szCs w:val="32"/>
          <w:lang w:val="en-US" w:eastAsia="zh-CN" w:bidi="ar"/>
        </w:rPr>
        <w:t>3.</w:t>
      </w:r>
      <w:r>
        <w:rPr>
          <w:rFonts w:hint="eastAsia" w:ascii="仿宋_GB2312" w:hAnsi="Calibri" w:eastAsia="仿宋_GB2312" w:cs="仿宋_GB2312"/>
          <w:b/>
          <w:bCs w:val="0"/>
          <w:kern w:val="2"/>
          <w:sz w:val="32"/>
          <w:szCs w:val="32"/>
          <w:lang w:val="en-US" w:eastAsia="zh-CN" w:bidi="ar"/>
        </w:rPr>
        <w:t>公务接待费支出</w:t>
      </w:r>
      <w:r>
        <w:rPr>
          <w:rFonts w:hint="eastAsia" w:ascii="仿宋_GB2312" w:hAnsi="Calibri" w:eastAsia="仿宋_GB2312"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w:t>
      </w:r>
      <w:r>
        <w:rPr>
          <w:rStyle w:val="17"/>
          <w:rFonts w:hint="eastAsia" w:ascii="仿宋" w:hAnsi="仿宋" w:eastAsia="仿宋" w:cs="仿宋"/>
          <w:b w:val="0"/>
          <w:bCs/>
          <w:kern w:val="2"/>
          <w:sz w:val="32"/>
          <w:szCs w:val="32"/>
          <w:lang w:val="en-US" w:eastAsia="zh-CN" w:bidi="ar"/>
        </w:rPr>
        <w:t>完成预算</w:t>
      </w:r>
      <w:r>
        <w:rPr>
          <w:rStyle w:val="17"/>
          <w:rFonts w:hint="eastAsia" w:ascii="仿宋" w:hAnsi="仿宋" w:eastAsia="仿宋" w:cs="Times New Roman"/>
          <w:b w:val="0"/>
          <w:bCs/>
          <w:kern w:val="2"/>
          <w:sz w:val="32"/>
          <w:szCs w:val="32"/>
          <w:lang w:val="en-US" w:eastAsia="zh-CN" w:bidi="ar"/>
        </w:rPr>
        <w:t>100%</w:t>
      </w:r>
      <w:r>
        <w:rPr>
          <w:rStyle w:val="17"/>
          <w:rFonts w:hint="eastAsia" w:ascii="仿宋" w:hAnsi="仿宋" w:eastAsia="仿宋" w:cs="仿宋"/>
          <w:b w:val="0"/>
          <w:bCs/>
          <w:kern w:val="2"/>
          <w:sz w:val="32"/>
          <w:szCs w:val="32"/>
          <w:lang w:val="en-US" w:eastAsia="zh-CN" w:bidi="ar"/>
        </w:rPr>
        <w:t>。</w:t>
      </w:r>
      <w:r>
        <w:rPr>
          <w:rFonts w:hint="eastAsia" w:ascii="仿宋_GB2312" w:hAnsi="Calibri" w:eastAsia="仿宋_GB2312" w:cs="仿宋_GB2312"/>
          <w:kern w:val="2"/>
          <w:sz w:val="32"/>
          <w:szCs w:val="32"/>
          <w:lang w:val="en-US" w:eastAsia="zh-CN" w:bidi="ar"/>
        </w:rPr>
        <w:t>公务接待费支出决算比2022年度减少</w:t>
      </w:r>
      <w:r>
        <w:rPr>
          <w:rFonts w:hint="eastAsia" w:ascii="仿宋_GB2312" w:hAnsi="Calibri" w:eastAsia="仿宋_GB2312" w:cs="Times New Roman"/>
          <w:kern w:val="2"/>
          <w:sz w:val="32"/>
          <w:szCs w:val="32"/>
          <w:lang w:val="en-US" w:eastAsia="zh-CN" w:bidi="ar"/>
        </w:rPr>
        <w:t>0.98</w:t>
      </w:r>
      <w:r>
        <w:rPr>
          <w:rFonts w:hint="eastAsia" w:ascii="仿宋_GB2312" w:hAnsi="Calibri" w:eastAsia="仿宋_GB2312" w:cs="仿宋_GB2312"/>
          <w:kern w:val="2"/>
          <w:sz w:val="32"/>
          <w:szCs w:val="32"/>
          <w:lang w:val="en-US" w:eastAsia="zh-CN" w:bidi="ar"/>
        </w:rPr>
        <w:t>万元，下降</w:t>
      </w:r>
      <w:r>
        <w:rPr>
          <w:rFonts w:hint="eastAsia" w:ascii="仿宋_GB2312" w:hAnsi="Calibri" w:eastAsia="仿宋_GB2312" w:cs="Times New Roman"/>
          <w:kern w:val="2"/>
          <w:sz w:val="32"/>
          <w:szCs w:val="32"/>
          <w:lang w:val="en-US" w:eastAsia="zh-CN" w:bidi="ar"/>
        </w:rPr>
        <w:t>17.46%</w:t>
      </w:r>
      <w:r>
        <w:rPr>
          <w:rFonts w:hint="eastAsia" w:ascii="仿宋_GB2312" w:hAnsi="Calibri" w:eastAsia="仿宋_GB2312" w:cs="仿宋_GB2312"/>
          <w:kern w:val="2"/>
          <w:sz w:val="32"/>
          <w:szCs w:val="32"/>
          <w:lang w:val="en-US" w:eastAsia="zh-CN" w:bidi="ar"/>
        </w:rPr>
        <w:t>。主要原因是</w:t>
      </w:r>
      <w:r>
        <w:rPr>
          <w:rFonts w:hint="eastAsia" w:ascii="仿宋_GB2312" w:eastAsia="仿宋_GB2312"/>
          <w:color w:val="000000"/>
          <w:sz w:val="32"/>
          <w:szCs w:val="32"/>
        </w:rPr>
        <w:t>会议和接待次数的</w:t>
      </w:r>
      <w:r>
        <w:rPr>
          <w:rFonts w:hint="eastAsia" w:ascii="仿宋_GB2312" w:eastAsia="仿宋_GB2312"/>
          <w:color w:val="000000"/>
          <w:sz w:val="32"/>
          <w:szCs w:val="32"/>
          <w:lang w:eastAsia="zh-CN"/>
        </w:rPr>
        <w:t>减少</w:t>
      </w:r>
      <w:r>
        <w:rPr>
          <w:rFonts w:hint="eastAsia" w:ascii="仿宋_GB2312" w:hAnsi="Calibri" w:eastAsia="仿宋_GB2312" w:cs="仿宋_GB2312"/>
          <w:kern w:val="2"/>
          <w:sz w:val="32"/>
          <w:szCs w:val="32"/>
          <w:lang w:val="en-US" w:eastAsia="zh-CN" w:bidi="ar"/>
        </w:rPr>
        <w:t>。其中：</w:t>
      </w:r>
    </w:p>
    <w:p>
      <w:pPr>
        <w:pageBreakBefore w:val="0"/>
        <w:numPr>
          <w:ilvl w:val="0"/>
          <w:numId w:val="0"/>
        </w:numPr>
        <w:kinsoku/>
        <w:wordWrap/>
        <w:overflowPunct/>
        <w:topLinePunct w:val="0"/>
        <w:bidi w:val="0"/>
        <w:spacing w:line="576" w:lineRule="exact"/>
        <w:ind w:firstLine="642" w:firstLineChars="200"/>
        <w:textAlignment w:val="auto"/>
        <w:rPr>
          <w:rFonts w:hint="eastAsia" w:ascii="仿宋_GB2312" w:hAnsi="Calibri" w:eastAsia="仿宋_GB2312" w:cs="Times New Roman"/>
          <w:kern w:val="2"/>
          <w:sz w:val="32"/>
          <w:szCs w:val="32"/>
        </w:rPr>
      </w:pPr>
      <w:r>
        <w:rPr>
          <w:rFonts w:hint="eastAsia" w:ascii="仿宋" w:hAnsi="仿宋" w:eastAsia="仿宋" w:cs="仿宋"/>
          <w:b/>
          <w:bCs w:val="0"/>
          <w:kern w:val="2"/>
          <w:sz w:val="32"/>
          <w:szCs w:val="32"/>
          <w:lang w:val="en-US" w:eastAsia="zh-CN" w:bidi="ar"/>
        </w:rPr>
        <w:t>国内公务接待支出</w:t>
      </w:r>
      <w:r>
        <w:rPr>
          <w:rFonts w:hint="eastAsia" w:ascii="仿宋" w:hAnsi="仿宋" w:eastAsia="仿宋"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w:t>
      </w:r>
      <w:r>
        <w:rPr>
          <w:rFonts w:hint="eastAsia" w:ascii="仿宋_GB2312" w:eastAsia="仿宋_GB2312"/>
          <w:color w:val="000000"/>
          <w:sz w:val="32"/>
          <w:szCs w:val="32"/>
        </w:rPr>
        <w:t>主要用于</w:t>
      </w:r>
      <w:r>
        <w:rPr>
          <w:rFonts w:hint="eastAsia" w:ascii="仿宋_GB2312" w:eastAsia="仿宋_GB2312"/>
          <w:color w:val="000000"/>
          <w:sz w:val="32"/>
          <w:szCs w:val="32"/>
          <w:lang w:eastAsia="zh-CN"/>
        </w:rPr>
        <w:t>人大常委会工作、调研、会议等</w:t>
      </w:r>
      <w:r>
        <w:rPr>
          <w:rFonts w:hint="eastAsia" w:ascii="仿宋_GB2312" w:eastAsia="仿宋_GB2312"/>
          <w:color w:val="000000"/>
          <w:sz w:val="32"/>
          <w:szCs w:val="32"/>
        </w:rPr>
        <w:t>开支的交通费、住宿费、用餐费等</w:t>
      </w:r>
      <w:r>
        <w:rPr>
          <w:rFonts w:hint="eastAsia" w:ascii="仿宋_GB2312" w:hAnsi="Calibri" w:eastAsia="仿宋_GB2312" w:cs="仿宋_GB2312"/>
          <w:kern w:val="2"/>
          <w:sz w:val="32"/>
          <w:szCs w:val="32"/>
          <w:lang w:val="en-US" w:eastAsia="zh-CN" w:bidi="ar"/>
        </w:rPr>
        <w:t>。国内公务接待</w:t>
      </w:r>
      <w:r>
        <w:rPr>
          <w:rFonts w:hint="eastAsia" w:ascii="仿宋_GB2312" w:hAnsi="Calibri" w:eastAsia="仿宋_GB2312" w:cs="Times New Roman"/>
          <w:kern w:val="2"/>
          <w:sz w:val="32"/>
          <w:szCs w:val="32"/>
          <w:lang w:val="en-US" w:eastAsia="zh-CN" w:bidi="ar"/>
        </w:rPr>
        <w:t>26</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273</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4.63</w:t>
      </w:r>
      <w:r>
        <w:rPr>
          <w:rFonts w:hint="eastAsia" w:ascii="仿宋_GB2312" w:hAnsi="Calibri" w:eastAsia="仿宋_GB2312" w:cs="仿宋_GB2312"/>
          <w:kern w:val="2"/>
          <w:sz w:val="32"/>
          <w:szCs w:val="32"/>
          <w:lang w:val="en-US" w:eastAsia="zh-CN" w:bidi="ar"/>
        </w:rPr>
        <w:t>万元，具体内容包括：</w:t>
      </w:r>
      <w:r>
        <w:rPr>
          <w:rFonts w:hint="eastAsia" w:ascii="仿宋_GB2312" w:eastAsia="仿宋_GB2312"/>
          <w:color w:val="000000"/>
          <w:sz w:val="32"/>
          <w:szCs w:val="32"/>
        </w:rPr>
        <w:t>接待省内、外和州内的考察、调研人员。</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rPr>
          <w:rFonts w:hint="eastAsia" w:ascii="黑体" w:hAnsi="Calibri" w:eastAsia="黑体" w:cs="Times New Roman"/>
          <w:kern w:val="2"/>
          <w:sz w:val="32"/>
          <w:szCs w:val="32"/>
        </w:rPr>
      </w:pPr>
      <w:r>
        <w:rPr>
          <w:rFonts w:hint="eastAsia" w:ascii="仿宋" w:hAnsi="仿宋" w:eastAsia="仿宋" w:cs="仿宋"/>
          <w:b/>
          <w:bCs w:val="0"/>
          <w:kern w:val="2"/>
          <w:sz w:val="32"/>
          <w:szCs w:val="32"/>
          <w:lang w:val="en-US" w:eastAsia="zh-CN" w:bidi="ar"/>
        </w:rPr>
        <w:t>外事接待支出</w:t>
      </w:r>
      <w:r>
        <w:rPr>
          <w:rFonts w:hint="eastAsia" w:ascii="仿宋" w:hAnsi="仿宋" w:eastAsia="仿宋"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万元，外事接待</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批次，</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人次（不包括陪同人员），共计支出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bCs/>
          <w:sz w:val="32"/>
          <w:szCs w:val="32"/>
        </w:rPr>
      </w:pPr>
      <w:r>
        <w:rPr>
          <w:rFonts w:hint="eastAsia" w:ascii="黑体" w:hAnsi="宋体" w:eastAsia="黑体" w:cs="黑体"/>
          <w:kern w:val="2"/>
          <w:sz w:val="32"/>
          <w:szCs w:val="32"/>
          <w:lang w:val="en-US" w:eastAsia="zh-CN" w:bidi="ar"/>
        </w:rPr>
        <w:t>八、</w:t>
      </w:r>
      <w:r>
        <w:rPr>
          <w:rStyle w:val="18"/>
          <w:rFonts w:hint="eastAsia" w:ascii="黑体" w:hAnsi="宋体" w:eastAsia="黑体" w:cs="黑体"/>
          <w:b w:val="0"/>
          <w:bCs/>
          <w:kern w:val="2"/>
          <w:sz w:val="32"/>
          <w:szCs w:val="32"/>
          <w:lang w:val="en-US" w:eastAsia="zh-CN" w:bidi="ar"/>
        </w:rPr>
        <w:t>政府性基金预算支出决算情况说明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2023年度政府性基金预算财政拨款支出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九、国有资本经营预算支出决算情况说明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方正小标宋简体" w:hAnsi="方正小标宋简体" w:eastAsia="方正小标宋简体" w:cs="方正小标宋简体"/>
          <w:kern w:val="2"/>
          <w:sz w:val="44"/>
          <w:szCs w:val="44"/>
        </w:rPr>
      </w:pPr>
      <w:r>
        <w:rPr>
          <w:rFonts w:hint="eastAsia" w:ascii="仿宋_GB2312" w:hAnsi="Calibri" w:eastAsia="仿宋_GB2312" w:cs="仿宋_GB2312"/>
          <w:kern w:val="2"/>
          <w:sz w:val="32"/>
          <w:szCs w:val="32"/>
          <w:lang w:val="en-US" w:eastAsia="zh-CN" w:bidi="ar"/>
        </w:rPr>
        <w:t>2023年度国有资本经营预算财政拨款支出</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万元。</w:t>
      </w:r>
      <w:r>
        <w:rPr>
          <w:rFonts w:hint="eastAsia" w:ascii="方正小标宋简体" w:hAnsi="方正小标宋简体" w:eastAsia="方正小标宋简体" w:cs="方正小标宋简体"/>
          <w:kern w:val="2"/>
          <w:sz w:val="44"/>
          <w:szCs w:val="44"/>
          <w:lang w:val="en-US" w:eastAsia="zh-CN" w:bidi="ar"/>
        </w:rPr>
        <w:t xml:space="preserve"> </w:t>
      </w:r>
    </w:p>
    <w:p>
      <w:pPr>
        <w:keepNext w:val="0"/>
        <w:keepLines w:val="0"/>
        <w:pageBreakBefore w:val="0"/>
        <w:widowControl w:val="0"/>
        <w:suppressLineNumbers w:val="0"/>
        <w:suppressAutoHyphens/>
        <w:kinsoku/>
        <w:wordWrap/>
        <w:overflowPunct/>
        <w:topLinePunct w:val="0"/>
        <w:autoSpaceDE w:val="0"/>
        <w:autoSpaceDN/>
        <w:bidi w:val="0"/>
        <w:snapToGrid/>
        <w:spacing w:before="0" w:beforeAutospacing="0" w:after="0" w:afterAutospacing="0" w:line="600" w:lineRule="exact"/>
        <w:ind w:left="0" w:right="0" w:firstLine="640" w:firstLineChars="200"/>
        <w:jc w:val="both"/>
        <w:textAlignment w:val="auto"/>
        <w:outlineLvl w:val="1"/>
        <w:rPr>
          <w:rFonts w:hint="eastAsia" w:ascii="黑体" w:hAnsi="宋体" w:eastAsia="黑体" w:cs="Times New Roman"/>
          <w:b w:val="0"/>
          <w:bCs/>
          <w:sz w:val="32"/>
          <w:szCs w:val="32"/>
        </w:rPr>
      </w:pPr>
      <w:r>
        <w:rPr>
          <w:rStyle w:val="18"/>
          <w:rFonts w:hint="eastAsia" w:ascii="黑体" w:hAnsi="宋体" w:eastAsia="黑体" w:cs="黑体"/>
          <w:b w:val="0"/>
          <w:bCs/>
          <w:kern w:val="2"/>
          <w:sz w:val="32"/>
          <w:szCs w:val="32"/>
          <w:lang w:val="en-US" w:eastAsia="zh-CN" w:bidi="ar"/>
        </w:rPr>
        <w:t>十、其他重要事项的情况说明</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2" w:firstLineChars="200"/>
        <w:jc w:val="both"/>
        <w:textAlignment w:val="auto"/>
        <w:outlineLvl w:val="2"/>
        <w:rPr>
          <w:rFonts w:hint="eastAsia" w:ascii="仿宋" w:hAnsi="仿宋" w:eastAsia="仿宋" w:cs="Times New Roman"/>
          <w:kern w:val="2"/>
          <w:sz w:val="32"/>
          <w:szCs w:val="32"/>
        </w:rPr>
      </w:pPr>
      <w:r>
        <w:rPr>
          <w:rFonts w:hint="eastAsia" w:ascii="仿宋" w:hAnsi="仿宋" w:eastAsia="仿宋" w:cs="仿宋"/>
          <w:b/>
          <w:bCs w:val="0"/>
          <w:kern w:val="2"/>
          <w:sz w:val="32"/>
          <w:szCs w:val="32"/>
          <w:lang w:val="en-US" w:eastAsia="zh-CN" w:bidi="ar"/>
        </w:rPr>
        <w:t>（一）机关运行经费支出情况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机关运行经费支出</w:t>
      </w:r>
      <w:r>
        <w:rPr>
          <w:rFonts w:hint="eastAsia" w:ascii="仿宋_GB2312" w:hAnsi="Calibri" w:eastAsia="仿宋_GB2312" w:cs="Times New Roman"/>
          <w:kern w:val="2"/>
          <w:sz w:val="32"/>
          <w:szCs w:val="32"/>
          <w:lang w:val="en-US" w:eastAsia="zh-CN" w:bidi="ar"/>
        </w:rPr>
        <w:t>220.37</w:t>
      </w:r>
      <w:r>
        <w:rPr>
          <w:rFonts w:hint="eastAsia" w:ascii="仿宋_GB2312" w:hAnsi="Calibri" w:eastAsia="仿宋_GB2312" w:cs="仿宋_GB2312"/>
          <w:kern w:val="2"/>
          <w:sz w:val="32"/>
          <w:szCs w:val="32"/>
          <w:lang w:val="en-US" w:eastAsia="zh-CN" w:bidi="ar"/>
        </w:rPr>
        <w:t>万元，比2022年度增加</w:t>
      </w:r>
      <w:r>
        <w:rPr>
          <w:rFonts w:hint="eastAsia" w:ascii="仿宋_GB2312" w:hAnsi="Calibri" w:eastAsia="仿宋_GB2312" w:cs="Times New Roman"/>
          <w:kern w:val="2"/>
          <w:sz w:val="32"/>
          <w:szCs w:val="32"/>
          <w:lang w:val="en-US" w:eastAsia="zh-CN" w:bidi="ar"/>
        </w:rPr>
        <w:t>157.62</w:t>
      </w:r>
      <w:r>
        <w:rPr>
          <w:rFonts w:hint="eastAsia" w:ascii="仿宋_GB2312" w:hAnsi="Calibri" w:eastAsia="仿宋_GB2312" w:cs="仿宋_GB2312"/>
          <w:kern w:val="2"/>
          <w:sz w:val="32"/>
          <w:szCs w:val="32"/>
          <w:lang w:val="en-US" w:eastAsia="zh-CN" w:bidi="ar"/>
        </w:rPr>
        <w:t>万元，增长</w:t>
      </w:r>
      <w:r>
        <w:rPr>
          <w:rFonts w:hint="eastAsia" w:ascii="仿宋_GB2312" w:hAnsi="Calibri" w:eastAsia="仿宋_GB2312" w:cs="Times New Roman"/>
          <w:kern w:val="2"/>
          <w:sz w:val="32"/>
          <w:szCs w:val="32"/>
          <w:lang w:val="en-US" w:eastAsia="zh-CN" w:bidi="ar"/>
        </w:rPr>
        <w:t>251.19%</w:t>
      </w:r>
      <w:r>
        <w:rPr>
          <w:rFonts w:hint="eastAsia" w:ascii="仿宋_GB2312" w:hAnsi="Calibri" w:eastAsia="仿宋_GB2312" w:cs="仿宋_GB2312"/>
          <w:kern w:val="2"/>
          <w:sz w:val="32"/>
          <w:szCs w:val="32"/>
          <w:lang w:val="en-US" w:eastAsia="zh-CN" w:bidi="ar"/>
        </w:rPr>
        <w:t>。主要原因是</w:t>
      </w:r>
      <w:r>
        <w:rPr>
          <w:rFonts w:hint="eastAsia" w:ascii="仿宋" w:hAnsi="仿宋" w:eastAsia="仿宋" w:cs="仿宋"/>
          <w:kern w:val="2"/>
          <w:sz w:val="32"/>
          <w:szCs w:val="32"/>
          <w:lang w:val="en-US" w:eastAsia="zh-CN" w:bidi="ar"/>
        </w:rPr>
        <w:t>2023年购置两辆公务用车</w:t>
      </w:r>
      <w:r>
        <w:rPr>
          <w:rFonts w:hint="eastAsia" w:ascii="仿宋_GB2312" w:hAnsi="Calibri" w:eastAsia="仿宋_GB2312" w:cs="仿宋_GB2312"/>
          <w:kern w:val="2"/>
          <w:sz w:val="32"/>
          <w:szCs w:val="32"/>
          <w:lang w:val="en-US" w:eastAsia="zh-CN" w:bidi="ar"/>
        </w:rPr>
        <w:t>。</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（二）政府采购支出情况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 w:hAnsi="仿宋" w:eastAsia="仿宋" w:cs="Times New Roman"/>
          <w:b/>
          <w:bCs w:val="0"/>
          <w:kern w:val="2"/>
          <w:sz w:val="32"/>
          <w:szCs w:val="32"/>
        </w:rPr>
      </w:pPr>
      <w:r>
        <w:rPr>
          <w:rFonts w:hint="eastAsia" w:ascii="仿宋_GB2312" w:hAnsi="Calibri" w:eastAsia="仿宋_GB2312" w:cs="仿宋_GB2312"/>
          <w:kern w:val="2"/>
          <w:sz w:val="32"/>
          <w:szCs w:val="32"/>
          <w:lang w:val="en-US" w:eastAsia="zh-CN" w:bidi="ar"/>
        </w:rPr>
        <w:t>2023年度</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办公室无</w:t>
      </w:r>
      <w:r>
        <w:rPr>
          <w:rFonts w:hint="eastAsia" w:ascii="仿宋_GB2312" w:hAnsi="Calibri" w:eastAsia="仿宋_GB2312" w:cs="仿宋_GB2312"/>
          <w:kern w:val="2"/>
          <w:sz w:val="32"/>
          <w:szCs w:val="32"/>
          <w:lang w:val="en-US" w:eastAsia="zh-CN" w:bidi="ar"/>
        </w:rPr>
        <w:t>政府采购支出。</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（三）国有资产占有使用情况</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0" w:firstLineChars="200"/>
        <w:jc w:val="left"/>
        <w:textAlignment w:val="auto"/>
        <w:rPr>
          <w:rFonts w:hint="eastAsia" w:ascii="仿宋_GB2312" w:hAnsi="Calibri" w:eastAsia="仿宋_GB2312" w:cs="Times New Roman"/>
          <w:kern w:val="2"/>
          <w:sz w:val="32"/>
          <w:szCs w:val="32"/>
        </w:rPr>
      </w:pPr>
      <w:r>
        <w:rPr>
          <w:rFonts w:hint="eastAsia" w:ascii="仿宋_GB2312" w:hAnsi="Calibri" w:eastAsia="仿宋_GB2312" w:cs="仿宋_GB2312"/>
          <w:kern w:val="2"/>
          <w:sz w:val="32"/>
          <w:szCs w:val="32"/>
          <w:lang w:val="en-US" w:eastAsia="zh-CN" w:bidi="ar"/>
        </w:rPr>
        <w:t>截至2023年</w:t>
      </w:r>
      <w:r>
        <w:rPr>
          <w:rFonts w:hint="eastAsia" w:ascii="仿宋_GB2312" w:hAnsi="Calibri" w:eastAsia="仿宋_GB2312" w:cs="Times New Roman"/>
          <w:kern w:val="2"/>
          <w:sz w:val="32"/>
          <w:szCs w:val="32"/>
          <w:lang w:val="en-US" w:eastAsia="zh-CN" w:bidi="ar"/>
        </w:rPr>
        <w:t>12</w:t>
      </w:r>
      <w:r>
        <w:rPr>
          <w:rFonts w:hint="eastAsia" w:ascii="仿宋_GB2312" w:hAnsi="Calibri" w:eastAsia="仿宋_GB2312" w:cs="仿宋_GB2312"/>
          <w:kern w:val="2"/>
          <w:sz w:val="32"/>
          <w:szCs w:val="32"/>
          <w:lang w:val="en-US" w:eastAsia="zh-CN" w:bidi="ar"/>
        </w:rPr>
        <w:t>月</w:t>
      </w:r>
      <w:r>
        <w:rPr>
          <w:rFonts w:hint="eastAsia" w:ascii="仿宋_GB2312" w:hAnsi="Calibri" w:eastAsia="仿宋_GB2312" w:cs="Times New Roman"/>
          <w:kern w:val="2"/>
          <w:sz w:val="32"/>
          <w:szCs w:val="32"/>
          <w:lang w:val="en-US" w:eastAsia="zh-CN" w:bidi="ar"/>
        </w:rPr>
        <w:t>31</w:t>
      </w:r>
      <w:r>
        <w:rPr>
          <w:rFonts w:hint="eastAsia" w:ascii="仿宋_GB2312" w:hAnsi="Calibri" w:eastAsia="仿宋_GB2312" w:cs="仿宋_GB2312"/>
          <w:kern w:val="2"/>
          <w:sz w:val="32"/>
          <w:szCs w:val="32"/>
          <w:lang w:val="en-US" w:eastAsia="zh-CN" w:bidi="ar"/>
        </w:rPr>
        <w:t>日，</w:t>
      </w:r>
      <w:r>
        <w:rPr>
          <w:rFonts w:hint="eastAsia" w:ascii="仿宋_GB2312" w:eastAsia="仿宋_GB2312"/>
          <w:color w:val="000000"/>
          <w:sz w:val="32"/>
          <w:szCs w:val="32"/>
        </w:rPr>
        <w:t>茂县人大常委会</w:t>
      </w:r>
      <w:r>
        <w:rPr>
          <w:rFonts w:hint="eastAsia" w:ascii="仿宋_GB2312" w:eastAsia="仿宋_GB2312"/>
          <w:color w:val="000000"/>
          <w:sz w:val="32"/>
          <w:szCs w:val="32"/>
          <w:lang w:eastAsia="zh-CN"/>
        </w:rPr>
        <w:t>办公室</w:t>
      </w:r>
      <w:r>
        <w:rPr>
          <w:rFonts w:hint="eastAsia" w:ascii="仿宋_GB2312" w:hAnsi="Calibri" w:eastAsia="仿宋_GB2312" w:cs="仿宋_GB2312"/>
          <w:kern w:val="2"/>
          <w:sz w:val="32"/>
          <w:szCs w:val="32"/>
          <w:lang w:val="en-US" w:eastAsia="zh-CN" w:bidi="ar"/>
        </w:rPr>
        <w:t>共有车辆</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辆，其中：主要领导干部用车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辆、机要通信用车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辆、应急保障用车</w:t>
      </w:r>
      <w:r>
        <w:rPr>
          <w:rFonts w:hint="eastAsia" w:ascii="仿宋_GB2312" w:hAnsi="Calibri" w:eastAsia="仿宋_GB2312" w:cs="Times New Roman"/>
          <w:kern w:val="2"/>
          <w:sz w:val="32"/>
          <w:szCs w:val="32"/>
          <w:lang w:val="en-US" w:eastAsia="zh-CN" w:bidi="ar"/>
        </w:rPr>
        <w:t>6</w:t>
      </w:r>
      <w:r>
        <w:rPr>
          <w:rFonts w:hint="eastAsia" w:ascii="仿宋_GB2312" w:hAnsi="Calibri" w:eastAsia="仿宋_GB2312" w:cs="仿宋_GB2312"/>
          <w:kern w:val="2"/>
          <w:sz w:val="32"/>
          <w:szCs w:val="32"/>
          <w:lang w:val="en-US" w:eastAsia="zh-CN" w:bidi="ar"/>
        </w:rPr>
        <w:t>辆、其他用车</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辆。单价</w:t>
      </w:r>
      <w:r>
        <w:rPr>
          <w:rFonts w:hint="eastAsia" w:ascii="仿宋_GB2312" w:hAnsi="Calibri" w:eastAsia="仿宋_GB2312" w:cs="Times New Roman"/>
          <w:kern w:val="2"/>
          <w:sz w:val="32"/>
          <w:szCs w:val="32"/>
          <w:lang w:val="en-US" w:eastAsia="zh-CN" w:bidi="ar"/>
        </w:rPr>
        <w:t>50</w:t>
      </w:r>
      <w:r>
        <w:rPr>
          <w:rFonts w:hint="eastAsia" w:ascii="仿宋_GB2312" w:hAnsi="Calibri" w:eastAsia="仿宋_GB2312" w:cs="仿宋_GB2312"/>
          <w:kern w:val="2"/>
          <w:sz w:val="32"/>
          <w:szCs w:val="32"/>
          <w:lang w:val="en-US" w:eastAsia="zh-CN" w:bidi="ar"/>
        </w:rPr>
        <w:t>万元以上通用设备</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台（套），单价</w:t>
      </w:r>
      <w:r>
        <w:rPr>
          <w:rFonts w:hint="eastAsia" w:ascii="仿宋_GB2312" w:hAnsi="Calibri" w:eastAsia="仿宋_GB2312" w:cs="Times New Roman"/>
          <w:kern w:val="2"/>
          <w:sz w:val="32"/>
          <w:szCs w:val="32"/>
          <w:lang w:val="en-US" w:eastAsia="zh-CN" w:bidi="ar"/>
        </w:rPr>
        <w:t>100</w:t>
      </w:r>
      <w:r>
        <w:rPr>
          <w:rFonts w:hint="eastAsia" w:ascii="仿宋_GB2312" w:hAnsi="Calibri" w:eastAsia="仿宋_GB2312" w:cs="仿宋_GB2312"/>
          <w:kern w:val="2"/>
          <w:sz w:val="32"/>
          <w:szCs w:val="32"/>
          <w:lang w:val="en-US" w:eastAsia="zh-CN" w:bidi="ar"/>
        </w:rPr>
        <w:t>万元以上专用设备（不含车辆）</w:t>
      </w:r>
      <w:r>
        <w:rPr>
          <w:rFonts w:hint="eastAsia" w:ascii="仿宋_GB2312" w:hAnsi="Calibri" w:eastAsia="仿宋_GB2312" w:cs="Times New Roman"/>
          <w:kern w:val="2"/>
          <w:sz w:val="32"/>
          <w:szCs w:val="32"/>
          <w:lang w:val="en-US" w:eastAsia="zh-CN" w:bidi="ar"/>
        </w:rPr>
        <w:t>0</w:t>
      </w:r>
      <w:r>
        <w:rPr>
          <w:rFonts w:hint="eastAsia" w:ascii="仿宋_GB2312" w:hAnsi="Calibri" w:eastAsia="仿宋_GB2312" w:cs="仿宋_GB2312"/>
          <w:kern w:val="2"/>
          <w:sz w:val="32"/>
          <w:szCs w:val="32"/>
          <w:lang w:val="en-US" w:eastAsia="zh-CN" w:bidi="ar"/>
        </w:rPr>
        <w:t>台（套）。</w:t>
      </w:r>
    </w:p>
    <w:p>
      <w:pPr>
        <w:keepNext w:val="0"/>
        <w:keepLines w:val="0"/>
        <w:pageBreakBefore w:val="0"/>
        <w:widowControl w:val="0"/>
        <w:suppressLineNumbers w:val="0"/>
        <w:suppressAutoHyphens/>
        <w:kinsoku/>
        <w:wordWrap/>
        <w:overflowPunct/>
        <w:topLinePunct w:val="0"/>
        <w:autoSpaceDE w:val="0"/>
        <w:autoSpaceDN w:val="0"/>
        <w:bidi w:val="0"/>
        <w:adjustRightInd w:val="0"/>
        <w:snapToGrid/>
        <w:spacing w:before="0" w:beforeAutospacing="0" w:after="0" w:afterAutospacing="0" w:line="600" w:lineRule="exact"/>
        <w:ind w:left="0" w:right="0" w:firstLine="642" w:firstLineChars="200"/>
        <w:jc w:val="left"/>
        <w:textAlignment w:val="auto"/>
        <w:outlineLvl w:val="2"/>
        <w:rPr>
          <w:rFonts w:hint="eastAsia" w:ascii="仿宋" w:hAnsi="仿宋" w:eastAsia="仿宋" w:cs="Times New Roman"/>
          <w:b/>
          <w:bCs w:val="0"/>
          <w:kern w:val="2"/>
          <w:sz w:val="32"/>
          <w:szCs w:val="32"/>
        </w:rPr>
      </w:pPr>
      <w:r>
        <w:rPr>
          <w:rFonts w:hint="eastAsia" w:ascii="仿宋" w:hAnsi="仿宋" w:eastAsia="仿宋" w:cs="仿宋"/>
          <w:b/>
          <w:bCs w:val="0"/>
          <w:kern w:val="2"/>
          <w:sz w:val="32"/>
          <w:szCs w:val="32"/>
          <w:lang w:val="en-US" w:eastAsia="zh-CN" w:bidi="ar"/>
        </w:rPr>
        <w:t>（四）预算绩效管理情况</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根据预算绩效管理要求，本单位在2023年度预算编制阶段，组织对2023年代表活动经费、2022年度阿坝州社会科学事业专项资金等2个项目开展了预算事前绩效评估，对2个项目编制了绩效目标，预算执行过程中，选取2个项目开展绩效监控，组织对2个项目开展绩效自评，绩效自评表详见第四部分附件。</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640" w:firstLineChars="200"/>
        <w:jc w:val="both"/>
        <w:textAlignment w:val="auto"/>
        <w:rPr>
          <w:rFonts w:hint="eastAsia" w:ascii="仿宋_GB2312" w:hAnsi="Times New Roman" w:eastAsia="仿宋_GB2312" w:cs="Times New Roman"/>
          <w:kern w:val="2"/>
          <w:sz w:val="32"/>
          <w:szCs w:val="32"/>
        </w:rPr>
      </w:pPr>
      <w:r>
        <w:rPr>
          <w:rFonts w:hint="eastAsia" w:ascii="仿宋_GB2312" w:hAnsi="Times New Roman" w:eastAsia="仿宋_GB2312" w:cs="Times New Roman"/>
          <w:kern w:val="2"/>
          <w:sz w:val="32"/>
          <w:szCs w:val="32"/>
          <w:lang w:val="en-US" w:eastAsia="zh-CN" w:bidi="ar"/>
        </w:rPr>
        <w:br w:type="page"/>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0" w:firstLineChars="200"/>
        <w:jc w:val="center"/>
        <w:textAlignment w:val="auto"/>
        <w:outlineLvl w:val="0"/>
        <w:rPr>
          <w:rFonts w:hint="eastAsia" w:ascii="黑体" w:hAnsi="宋体" w:eastAsia="黑体" w:cs="Times New Roman"/>
          <w:b w:val="0"/>
          <w:bCs/>
          <w:kern w:val="44"/>
          <w:sz w:val="44"/>
          <w:szCs w:val="44"/>
        </w:rPr>
      </w:pPr>
      <w:r>
        <w:rPr>
          <w:rFonts w:hint="eastAsia" w:ascii="黑体" w:hAnsi="宋体" w:eastAsia="黑体" w:cs="黑体"/>
          <w:kern w:val="2"/>
          <w:sz w:val="44"/>
          <w:szCs w:val="44"/>
          <w:lang w:val="en-US" w:eastAsia="zh-CN" w:bidi="ar"/>
        </w:rPr>
        <w:t>第三部分</w:t>
      </w:r>
      <w:r>
        <w:rPr>
          <w:rFonts w:hint="eastAsia" w:ascii="黑体" w:hAnsi="宋体" w:eastAsia="黑体" w:cs="Times New Roman"/>
          <w:kern w:val="2"/>
          <w:sz w:val="44"/>
          <w:szCs w:val="44"/>
          <w:lang w:val="en-US" w:eastAsia="zh-CN" w:bidi="ar"/>
        </w:rPr>
        <w:t xml:space="preserve">  </w:t>
      </w:r>
      <w:r>
        <w:rPr>
          <w:rFonts w:hint="eastAsia" w:ascii="黑体" w:hAnsi="宋体" w:eastAsia="黑体" w:cs="黑体"/>
          <w:kern w:val="2"/>
          <w:sz w:val="44"/>
          <w:szCs w:val="44"/>
          <w:lang w:val="en-US" w:eastAsia="zh-CN" w:bidi="ar"/>
        </w:rPr>
        <w:t>名</w:t>
      </w:r>
      <w:r>
        <w:rPr>
          <w:rStyle w:val="16"/>
          <w:rFonts w:hint="eastAsia" w:ascii="黑体" w:hAnsi="宋体" w:eastAsia="黑体" w:cs="黑体"/>
          <w:b w:val="0"/>
          <w:bCs/>
          <w:kern w:val="44"/>
          <w:sz w:val="44"/>
          <w:szCs w:val="44"/>
          <w:lang w:val="en-US" w:eastAsia="zh-CN" w:bidi="ar"/>
        </w:rPr>
        <w:t>词解释</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left"/>
        <w:textAlignment w:val="auto"/>
        <w:rPr>
          <w:rFonts w:hint="eastAsia" w:ascii="宋体" w:hAnsi="Calibri" w:eastAsia="宋体" w:cs="Times New Roman"/>
          <w:b/>
          <w:bCs w:val="0"/>
          <w:kern w:val="2"/>
          <w:sz w:val="44"/>
          <w:szCs w:val="44"/>
        </w:rPr>
      </w:pPr>
      <w:r>
        <w:rPr>
          <w:rFonts w:hint="eastAsia" w:ascii="宋体" w:hAnsi="Calibri" w:eastAsia="宋体" w:cs="Times New Roman"/>
          <w:b/>
          <w:bCs w:val="0"/>
          <w:kern w:val="2"/>
          <w:sz w:val="44"/>
          <w:szCs w:val="44"/>
          <w:lang w:val="en-US" w:eastAsia="zh-CN" w:bidi="ar"/>
        </w:rPr>
        <w:t xml:space="preserve"> </w:t>
      </w:r>
    </w:p>
    <w:p>
      <w:pPr>
        <w:pStyle w:val="20"/>
        <w:spacing w:line="560" w:lineRule="exact"/>
        <w:ind w:left="640"/>
        <w:rPr>
          <w:rFonts w:ascii="仿宋_GB2312" w:eastAsia="仿宋_GB2312"/>
          <w:sz w:val="32"/>
          <w:szCs w:val="32"/>
        </w:rPr>
      </w:pPr>
      <w:r>
        <w:rPr>
          <w:rFonts w:hint="eastAsia" w:ascii="仿宋_GB2312" w:eastAsia="仿宋_GB2312"/>
          <w:sz w:val="32"/>
          <w:szCs w:val="32"/>
        </w:rPr>
        <w:t xml:space="preserve">1.财政拨款收入：指州级财政当年拨付的资金。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7.一般公共服务（类）人大事务（款）行政运行（项）：指人大机关用于保障机构正常运行、开展日常工作的基本支出。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8.一般公共服务（类）人大事务（款）一般行政管理事务（项）：指人大机关开展综合业务等工作的支出。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9.一般公共服务（类）人大事务（款）人大会议（项）：指人大机关所有会议经费的支出。</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10.一般公共服务（类）人大事务（款）代表工作（项）：指人大机关用于保障代表活动开展的各项支出。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w:t>
      </w:r>
      <w:r>
        <w:rPr>
          <w:rFonts w:hint="eastAsia"/>
        </w:rPr>
        <w:t xml:space="preserve"> </w:t>
      </w:r>
      <w:r>
        <w:rPr>
          <w:rFonts w:hint="eastAsia" w:ascii="仿宋_GB2312" w:eastAsia="仿宋_GB2312"/>
          <w:color w:val="000000"/>
          <w:sz w:val="32"/>
          <w:szCs w:val="32"/>
        </w:rPr>
        <w:t>社会保障和就业（类）行政事业单位离退休（款）机关事业单位基本养老保险缴费支出（项）：指部门实施养老保险制度由单位缴纳的养老保险费的支出。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12.社会保障和就业（类）行政事业单位离退休（款）机关事业单位职业年金缴费支出（项）：指部门实施养老保险制度由单位缴纳的职业年金的支出。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13.</w:t>
      </w:r>
      <w:r>
        <w:rPr>
          <w:rFonts w:hint="eastAsia"/>
        </w:rPr>
        <w:t xml:space="preserve"> </w:t>
      </w:r>
      <w:r>
        <w:rPr>
          <w:rFonts w:hint="eastAsia" w:ascii="仿宋_GB2312" w:eastAsia="仿宋_GB2312"/>
          <w:sz w:val="32"/>
          <w:szCs w:val="32"/>
        </w:rPr>
        <w:t>卫生健康（类）行政事业单位医疗（款）行政单位医疗（项）：指人大机关用于缴纳单位基本医疗保险支出。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14.卫生健康（类）行政事业单位医疗（款）事业单位医疗（项）：指事业单位用于缴纳单位基本医疗保险支出。</w:t>
      </w:r>
    </w:p>
    <w:p>
      <w:pPr>
        <w:spacing w:line="580" w:lineRule="exact"/>
        <w:ind w:firstLine="640" w:firstLineChars="200"/>
        <w:rPr>
          <w:rFonts w:ascii="仿宋_GB2312" w:eastAsia="仿宋_GB2312"/>
          <w:sz w:val="32"/>
          <w:szCs w:val="32"/>
        </w:rPr>
      </w:pPr>
      <w:r>
        <w:rPr>
          <w:rFonts w:hint="eastAsia" w:ascii="仿宋_GB2312" w:eastAsia="仿宋_GB2312"/>
          <w:sz w:val="32"/>
          <w:szCs w:val="32"/>
        </w:rPr>
        <w:t>15.</w:t>
      </w:r>
      <w:r>
        <w:rPr>
          <w:rFonts w:hint="eastAsia"/>
        </w:rPr>
        <w:t xml:space="preserve"> </w:t>
      </w:r>
      <w:r>
        <w:rPr>
          <w:rFonts w:hint="eastAsia" w:ascii="仿宋_GB2312" w:eastAsia="仿宋_GB2312"/>
          <w:sz w:val="32"/>
          <w:szCs w:val="32"/>
        </w:rPr>
        <w:t>住房保障（类）住房改革支出（款）住房公积金（项）：指按照《住房公积金管理条例》的规定，由单位及其在职职工缴存的长期住房储金。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16.结余分配：指事业单位按规定提取的职工福利基金、事业基金和缴纳的所得税，以及建设单位按规定应交回的基本建设竣工项目结余资金。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17.年末结转和结余：指本年度或以前年度预算安排、因客观条件发生变化无法按原计划实施，需延迟到以后年度按有关规定继续使用的资金。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18.基本支出：指为保障机构正常运转、完成日常工作任务而发生的人员支出和公用支出。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19.项目支出：指在基本支出之外为完成特定行政任务和事业发展目标所发生的支出。 </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20.经营支出：指事业单位在专业业务活动及其辅助活动之外开展非独立核算经营活动发生的支出。</w:t>
      </w:r>
    </w:p>
    <w:p>
      <w:pPr>
        <w:pStyle w:val="20"/>
        <w:spacing w:line="560" w:lineRule="exact"/>
        <w:ind w:firstLine="640" w:firstLineChars="200"/>
        <w:rPr>
          <w:rFonts w:ascii="仿宋_GB2312" w:eastAsia="仿宋_GB2312"/>
          <w:sz w:val="32"/>
          <w:szCs w:val="32"/>
        </w:rPr>
      </w:pPr>
      <w:r>
        <w:rPr>
          <w:rFonts w:hint="eastAsia" w:ascii="仿宋_GB2312" w:eastAsia="仿宋_GB2312"/>
          <w:sz w:val="32"/>
          <w:szCs w:val="32"/>
        </w:rPr>
        <w:t>21.“三公”经费：纳入州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0"/>
        <w:spacing w:line="560" w:lineRule="exact"/>
        <w:ind w:firstLine="640" w:firstLineChars="200"/>
      </w:pPr>
      <w:r>
        <w:rPr>
          <w:rFonts w:hint="eastAsia" w:ascii="仿宋_GB2312" w:eastAsia="仿宋_GB2312"/>
          <w:sz w:val="32"/>
          <w:szCs w:val="32"/>
        </w:rPr>
        <w:t>22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t> </w:t>
      </w:r>
    </w:p>
    <w:p>
      <w:pPr>
        <w:keepNext w:val="0"/>
        <w:keepLines w:val="0"/>
        <w:pageBreakBefore w:val="0"/>
        <w:widowControl w:val="0"/>
        <w:suppressLineNumbers w:val="0"/>
        <w:suppressAutoHyphens/>
        <w:kinsoku/>
        <w:wordWrap/>
        <w:overflowPunct/>
        <w:topLinePunct w:val="0"/>
        <w:bidi w:val="0"/>
        <w:snapToGrid/>
        <w:spacing w:before="0" w:beforeAutospacing="0" w:after="0" w:afterAutospacing="0" w:line="600" w:lineRule="exact"/>
        <w:ind w:left="0" w:right="0" w:firstLine="883" w:firstLineChars="200"/>
        <w:jc w:val="center"/>
        <w:textAlignment w:val="auto"/>
        <w:outlineLvl w:val="0"/>
        <w:rPr>
          <w:rStyle w:val="16"/>
          <w:rFonts w:hint="eastAsia" w:ascii="黑体" w:hAnsi="宋体" w:eastAsia="黑体" w:cs="黑体"/>
          <w:b w:val="0"/>
          <w:bCs/>
          <w:kern w:val="44"/>
          <w:sz w:val="44"/>
          <w:szCs w:val="44"/>
          <w:lang w:val="en-US" w:eastAsia="zh-CN" w:bidi="ar"/>
        </w:rPr>
      </w:pPr>
      <w:r>
        <w:rPr>
          <w:rFonts w:hint="eastAsia" w:ascii="宋体" w:hAnsi="Calibri" w:eastAsia="宋体" w:cs="Times New Roman"/>
          <w:b/>
          <w:bCs w:val="0"/>
          <w:kern w:val="2"/>
          <w:sz w:val="44"/>
          <w:szCs w:val="44"/>
          <w:lang w:val="en-US" w:eastAsia="zh-CN" w:bidi="ar"/>
        </w:rPr>
        <w:br w:type="page"/>
      </w:r>
      <w:r>
        <w:rPr>
          <w:rFonts w:hint="eastAsia" w:ascii="黑体" w:hAnsi="宋体" w:eastAsia="黑体" w:cs="黑体"/>
          <w:kern w:val="2"/>
          <w:sz w:val="44"/>
          <w:szCs w:val="44"/>
          <w:lang w:val="en-US" w:eastAsia="zh-CN" w:bidi="ar"/>
        </w:rPr>
        <w:t>第</w:t>
      </w:r>
      <w:r>
        <w:rPr>
          <w:rStyle w:val="16"/>
          <w:rFonts w:hint="eastAsia" w:ascii="黑体" w:hAnsi="宋体" w:eastAsia="黑体" w:cs="黑体"/>
          <w:b w:val="0"/>
          <w:bCs/>
          <w:kern w:val="44"/>
          <w:sz w:val="44"/>
          <w:szCs w:val="44"/>
          <w:lang w:val="en-US" w:eastAsia="zh-CN" w:bidi="ar"/>
        </w:rPr>
        <w:t>四部分</w:t>
      </w:r>
      <w:r>
        <w:rPr>
          <w:rStyle w:val="16"/>
          <w:rFonts w:hint="eastAsia" w:ascii="黑体" w:hAnsi="宋体" w:eastAsia="黑体" w:cs="Times New Roman"/>
          <w:b w:val="0"/>
          <w:bCs/>
          <w:kern w:val="44"/>
          <w:sz w:val="44"/>
          <w:szCs w:val="44"/>
          <w:lang w:val="en-US" w:eastAsia="zh-CN" w:bidi="ar"/>
        </w:rPr>
        <w:t xml:space="preserve"> </w:t>
      </w:r>
      <w:r>
        <w:rPr>
          <w:rStyle w:val="16"/>
          <w:rFonts w:hint="eastAsia" w:ascii="黑体" w:hAnsi="宋体" w:eastAsia="黑体" w:cs="黑体"/>
          <w:b w:val="0"/>
          <w:bCs/>
          <w:kern w:val="44"/>
          <w:sz w:val="44"/>
          <w:szCs w:val="44"/>
          <w:lang w:val="en-US" w:eastAsia="zh-CN" w:bidi="ar"/>
        </w:rPr>
        <w:t>附件</w:t>
      </w:r>
    </w:p>
    <w:p>
      <w:pPr>
        <w:widowControl/>
        <w:spacing w:line="578" w:lineRule="exact"/>
        <w:contextualSpacing/>
        <w:jc w:val="center"/>
        <w:rPr>
          <w:rFonts w:hint="eastAsia" w:eastAsia="方正小标宋简体"/>
          <w:bCs/>
          <w:sz w:val="44"/>
          <w:szCs w:val="44"/>
          <w:shd w:val="clear" w:color="auto" w:fill="FFFFFF"/>
          <w:lang w:eastAsia="zh-CN"/>
        </w:rPr>
      </w:pPr>
    </w:p>
    <w:p>
      <w:pPr>
        <w:widowControl/>
        <w:spacing w:line="578" w:lineRule="exact"/>
        <w:contextualSpacing/>
        <w:jc w:val="center"/>
        <w:rPr>
          <w:rFonts w:hint="eastAsia" w:eastAsia="方正小标宋简体"/>
          <w:bCs/>
          <w:sz w:val="44"/>
          <w:szCs w:val="44"/>
          <w:shd w:val="clear" w:color="auto" w:fill="FFFFFF"/>
          <w:lang w:eastAsia="zh-CN"/>
        </w:rPr>
      </w:pPr>
      <w:r>
        <w:rPr>
          <w:rFonts w:hint="eastAsia" w:eastAsia="方正小标宋简体"/>
          <w:bCs/>
          <w:sz w:val="44"/>
          <w:szCs w:val="44"/>
          <w:shd w:val="clear" w:color="auto" w:fill="FFFFFF"/>
          <w:lang w:eastAsia="zh-CN"/>
        </w:rPr>
        <w:t>茂县人大常委会办公室</w:t>
      </w:r>
    </w:p>
    <w:p>
      <w:pPr>
        <w:widowControl/>
        <w:spacing w:line="578" w:lineRule="exact"/>
        <w:contextualSpacing/>
        <w:jc w:val="center"/>
        <w:rPr>
          <w:rFonts w:eastAsia="方正小标宋简体"/>
          <w:bCs/>
          <w:sz w:val="44"/>
          <w:szCs w:val="44"/>
          <w:shd w:val="clear" w:color="auto" w:fill="FFFFFF"/>
        </w:rPr>
      </w:pPr>
      <w:r>
        <w:rPr>
          <w:rFonts w:eastAsia="方正小标宋简体"/>
          <w:bCs/>
          <w:sz w:val="44"/>
          <w:szCs w:val="44"/>
          <w:shd w:val="clear" w:color="auto" w:fill="FFFFFF"/>
        </w:rPr>
        <w:t>预算绩效</w:t>
      </w:r>
      <w:r>
        <w:rPr>
          <w:rFonts w:hint="eastAsia" w:eastAsia="方正小标宋简体"/>
          <w:bCs/>
          <w:sz w:val="44"/>
          <w:szCs w:val="44"/>
          <w:shd w:val="clear" w:color="auto" w:fill="FFFFFF"/>
        </w:rPr>
        <w:t>评价</w:t>
      </w:r>
      <w:r>
        <w:rPr>
          <w:rFonts w:eastAsia="方正小标宋简体"/>
          <w:bCs/>
          <w:sz w:val="44"/>
          <w:szCs w:val="44"/>
          <w:shd w:val="clear" w:color="auto" w:fill="FFFFFF"/>
        </w:rPr>
        <w:t>报告</w:t>
      </w:r>
    </w:p>
    <w:p>
      <w:pPr>
        <w:widowControl/>
        <w:adjustRightInd w:val="0"/>
        <w:snapToGrid w:val="0"/>
        <w:spacing w:line="578" w:lineRule="exact"/>
        <w:ind w:firstLine="480" w:firstLineChars="200"/>
        <w:contextualSpacing/>
        <w:jc w:val="left"/>
        <w:rPr>
          <w:rFonts w:eastAsia="黑体"/>
          <w:color w:val="000000"/>
          <w:kern w:val="0"/>
          <w:sz w:val="24"/>
          <w:szCs w:val="32"/>
          <w:shd w:val="clear" w:color="auto" w:fill="FFFFFF"/>
        </w:rPr>
      </w:pPr>
    </w:p>
    <w:p>
      <w:pPr>
        <w:widowControl/>
        <w:adjustRightInd w:val="0"/>
        <w:snapToGrid w:val="0"/>
        <w:spacing w:line="578" w:lineRule="exact"/>
        <w:contextualSpacing/>
        <w:jc w:val="left"/>
        <w:rPr>
          <w:sz w:val="32"/>
          <w:szCs w:val="32"/>
        </w:rPr>
      </w:pPr>
      <w:r>
        <w:rPr>
          <w:rFonts w:hint="eastAsia" w:eastAsia="黑体"/>
          <w:color w:val="000000"/>
          <w:kern w:val="0"/>
          <w:sz w:val="32"/>
          <w:szCs w:val="32"/>
          <w:shd w:val="clear" w:color="auto" w:fill="FFFFFF"/>
          <w:lang w:val="zh-CN"/>
        </w:rPr>
        <w:t>一、</w:t>
      </w:r>
      <w:r>
        <w:rPr>
          <w:rFonts w:eastAsia="黑体"/>
          <w:color w:val="000000"/>
          <w:kern w:val="0"/>
          <w:sz w:val="32"/>
          <w:szCs w:val="32"/>
          <w:shd w:val="clear" w:color="auto" w:fill="FFFFFF"/>
          <w:lang w:val="zh-CN"/>
        </w:rPr>
        <w:t>部门基本情况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（一）机构组成。</w:t>
      </w:r>
      <w:bookmarkStart w:id="0" w:name="OLE_LINK1"/>
      <w:r>
        <w:rPr>
          <w:rFonts w:hint="eastAsia" w:ascii="仿宋_GB2312" w:hAnsi="仿宋_GB2312" w:eastAsia="仿宋_GB2312" w:cs="仿宋_GB2312"/>
          <w:color w:val="000000"/>
          <w:kern w:val="2"/>
          <w:sz w:val="32"/>
          <w:szCs w:val="32"/>
          <w:lang w:val="en-US" w:eastAsia="zh-CN" w:bidi="ar"/>
        </w:rPr>
        <w:t>根据宪法和法律规定的主要职能，结合我县经济、社会发展状况，从依法治县和人大工作实际出发，县人大机关设科级综合办事机构1个，工作机构1个，科级专门委员会4个，股级事业机构1个。即设立常委会办公室、人事代表工作委员会和法监司和民宗外事委员会、财政经济预算委员会、教科文卫和社建委员会、农业农村和城环资委员会；人大常委会办公室信息和预算联网中心。</w:t>
      </w:r>
    </w:p>
    <w:bookmarkEnd w:id="0"/>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（二）机构职能。</w:t>
      </w:r>
      <w:bookmarkStart w:id="1" w:name="OLE_LINK2"/>
      <w:r>
        <w:rPr>
          <w:rFonts w:hint="eastAsia" w:ascii="仿宋_GB2312" w:hAnsi="仿宋_GB2312" w:eastAsia="仿宋_GB2312" w:cs="仿宋_GB2312"/>
          <w:color w:val="000000"/>
          <w:kern w:val="2"/>
          <w:sz w:val="32"/>
          <w:szCs w:val="32"/>
          <w:lang w:val="en-US" w:eastAsia="zh-CN" w:bidi="ar"/>
        </w:rPr>
        <w:t>茂县人大常委会是茂县人民代表大会的常设机构。根据《宪法》、《地方组织法》及其他有关法律、法规的规定，县人大常委会的主要职能是：（一）保证宪法、法律和上级人民代表大会及其常委会的决议、决定在本行政区域内的遵守和执行。（二）领导或主持茂县人民代表的选举；领导和指导全县乡镇人民代表大会代表的选举。（三）召集茂县人民代表大会会议。（四）讨论、决定全县政治、经济和社会发展重大事项。（五）根据县人民政府的建议，决定对全县国民经济和社会发展计划、财政预算的部分变更。（六）监督县人民政府、县监察委员会、县人民法院、县人民检察院工作，联系本级人大代表，受理人民群众对“一府一委两院”和国家机关工作人员的申诉和意见。（七）撤销乡镇人民代表大会及其主席团的不适当的决议；撤销县人民政府不适当的决定和命令。（八）依照法律规定的范围和程序决定县级国家机关工作人员职务的任免或撤销。（九）在县人民代表大会闭会期间，补选上一级人民代表大会出缺的代表以及罢免个别代表。</w:t>
      </w:r>
    </w:p>
    <w:bookmarkEnd w:id="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b/>
          <w:bCs w:val="0"/>
          <w:kern w:val="2"/>
          <w:sz w:val="32"/>
          <w:szCs w:val="32"/>
          <w:lang w:val="zh-CN" w:eastAsia="zh-CN" w:bidi="ar"/>
        </w:rPr>
        <w:t>（三）人员概况。</w:t>
      </w:r>
      <w:r>
        <w:rPr>
          <w:rFonts w:hint="eastAsia" w:ascii="仿宋_GB2312" w:hAnsi="仿宋_GB2312" w:eastAsia="仿宋_GB2312" w:cs="仿宋_GB2312"/>
          <w:color w:val="000000"/>
          <w:kern w:val="2"/>
          <w:sz w:val="32"/>
          <w:szCs w:val="32"/>
          <w:lang w:val="en-US" w:eastAsia="zh-CN" w:bidi="ar"/>
        </w:rPr>
        <w:t>截至2023年末，</w:t>
      </w:r>
      <w:bookmarkStart w:id="2" w:name="OLE_LINK3"/>
      <w:r>
        <w:rPr>
          <w:rFonts w:hint="eastAsia" w:ascii="仿宋_GB2312" w:hAnsi="仿宋_GB2312" w:eastAsia="仿宋_GB2312" w:cs="仿宋_GB2312"/>
          <w:color w:val="000000"/>
          <w:kern w:val="2"/>
          <w:sz w:val="32"/>
          <w:szCs w:val="32"/>
          <w:lang w:val="en-US" w:eastAsia="zh-CN" w:bidi="ar"/>
        </w:rPr>
        <w:t>茂县人大常委会办公室属一级预算单位，其中行政单位1个，其他事业单位1个。总编制33名，其中：行政编制21名，行政工勤5名，事业编制7名。在职人员总数34人，其中：行政人员21人，行政工勤6人，事业人员7人；退休人员34人，遗属5人。</w:t>
      </w:r>
    </w:p>
    <w:bookmarkEnd w:id="2"/>
    <w:p>
      <w:pPr>
        <w:widowControl/>
        <w:adjustRightInd w:val="0"/>
        <w:snapToGrid w:val="0"/>
        <w:spacing w:line="578" w:lineRule="exact"/>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pPr>
        <w:widowControl/>
        <w:adjustRightInd w:val="0"/>
        <w:snapToGrid w:val="0"/>
        <w:spacing w:line="578" w:lineRule="exact"/>
        <w:ind w:firstLine="642" w:firstLineChars="200"/>
        <w:contextualSpacing/>
        <w:jc w:val="left"/>
        <w:rPr>
          <w:rFonts w:eastAsia="楷体_GB2312"/>
          <w:b/>
          <w:bCs/>
          <w:color w:val="000000"/>
          <w:kern w:val="0"/>
          <w:szCs w:val="32"/>
          <w:shd w:val="clear" w:color="auto" w:fill="FFFFFF"/>
        </w:rPr>
      </w:pPr>
      <w:r>
        <w:rPr>
          <w:rFonts w:hint="eastAsia" w:ascii="仿宋_GB2312" w:hAnsi="仿宋_GB2312" w:eastAsia="仿宋_GB2312" w:cs="仿宋_GB2312"/>
          <w:b/>
          <w:bCs w:val="0"/>
          <w:kern w:val="2"/>
          <w:sz w:val="32"/>
          <w:szCs w:val="32"/>
          <w:lang w:val="zh-CN" w:eastAsia="zh-CN" w:bidi="ar"/>
        </w:rPr>
        <w:t>（一）收入情况。</w:t>
      </w:r>
      <w:bookmarkStart w:id="3" w:name="OLE_LINK4"/>
      <w:r>
        <w:rPr>
          <w:rFonts w:hint="eastAsia" w:ascii="仿宋_GB2312" w:hAnsi="仿宋_GB2312" w:eastAsia="仿宋_GB2312" w:cs="仿宋_GB2312"/>
          <w:color w:val="000000"/>
          <w:kern w:val="2"/>
          <w:sz w:val="32"/>
          <w:szCs w:val="32"/>
          <w:lang w:val="en-US" w:eastAsia="zh-CN" w:bidi="ar"/>
        </w:rPr>
        <w:t>茂县人大常委会办公室</w:t>
      </w:r>
      <w:bookmarkEnd w:id="3"/>
      <w:r>
        <w:rPr>
          <w:rFonts w:hint="eastAsia" w:ascii="仿宋_GB2312" w:hAnsi="仿宋_GB2312" w:eastAsia="仿宋_GB2312" w:cs="仿宋_GB2312"/>
          <w:color w:val="000000"/>
          <w:kern w:val="2"/>
          <w:sz w:val="32"/>
          <w:szCs w:val="32"/>
          <w:lang w:val="en-US" w:eastAsia="zh-CN" w:bidi="ar"/>
        </w:rPr>
        <w:t>2023年年初预算收入1022.74万元，决算收入1022.74万元。</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（二）支出情况。</w:t>
      </w:r>
      <w:r>
        <w:rPr>
          <w:rFonts w:hint="eastAsia" w:ascii="仿宋_GB2312" w:hAnsi="仿宋_GB2312" w:eastAsia="仿宋_GB2312" w:cs="仿宋_GB2312"/>
          <w:color w:val="000000"/>
          <w:kern w:val="2"/>
          <w:sz w:val="32"/>
          <w:szCs w:val="32"/>
          <w:lang w:val="en-US" w:eastAsia="zh-CN" w:bidi="ar"/>
        </w:rPr>
        <w:t>茂县人大常委会办公室2023年年初预算支出1022.74万元，决算支出1022.74万元,</w:t>
      </w:r>
      <w:bookmarkStart w:id="4" w:name="OLE_LINK5"/>
      <w:r>
        <w:rPr>
          <w:rFonts w:hint="eastAsia" w:ascii="仿宋_GB2312" w:hAnsi="仿宋_GB2312" w:eastAsia="仿宋_GB2312" w:cs="仿宋_GB2312"/>
          <w:color w:val="000000"/>
          <w:kern w:val="2"/>
          <w:sz w:val="32"/>
          <w:szCs w:val="32"/>
          <w:lang w:val="en-US" w:eastAsia="zh-CN" w:bidi="ar"/>
        </w:rPr>
        <w:t>其中：基本支出993.78万元，项目支出28.96万元。</w:t>
      </w:r>
    </w:p>
    <w:bookmarkEnd w:id="4"/>
    <w:p>
      <w:pPr>
        <w:widowControl/>
        <w:adjustRightInd w:val="0"/>
        <w:snapToGrid w:val="0"/>
        <w:spacing w:line="578" w:lineRule="exact"/>
        <w:ind w:firstLine="642"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（三）结余分配和结转结余情况。</w:t>
      </w:r>
      <w:r>
        <w:rPr>
          <w:rFonts w:hint="eastAsia" w:ascii="仿宋_GB2312" w:hAnsi="仿宋_GB2312" w:eastAsia="仿宋_GB2312" w:cs="仿宋_GB2312"/>
          <w:color w:val="000000"/>
          <w:kern w:val="2"/>
          <w:sz w:val="32"/>
          <w:szCs w:val="32"/>
          <w:lang w:val="en-US" w:eastAsia="zh-CN" w:bidi="ar"/>
        </w:rPr>
        <w:t>茂县人大常委会办公室2023年无结转结余。</w:t>
      </w:r>
    </w:p>
    <w:p>
      <w:pPr>
        <w:widowControl/>
        <w:adjustRightInd w:val="0"/>
        <w:snapToGrid w:val="0"/>
        <w:spacing w:line="578" w:lineRule="exact"/>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bCs w:val="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（一）部门预算总体绩效分析。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en-US" w:eastAsia="zh-CN" w:bidi="ar"/>
        </w:rPr>
      </w:pPr>
      <w:bookmarkStart w:id="5" w:name="OLE_LINK6"/>
      <w:r>
        <w:rPr>
          <w:rFonts w:hint="eastAsia" w:ascii="仿宋_GB2312" w:hAnsi="仿宋_GB2312" w:eastAsia="仿宋_GB2312" w:cs="仿宋_GB2312"/>
          <w:color w:val="000000"/>
          <w:kern w:val="2"/>
          <w:sz w:val="32"/>
          <w:szCs w:val="32"/>
          <w:lang w:val="zh-CN" w:eastAsia="zh-CN" w:bidi="ar"/>
        </w:rPr>
        <w:t>1.履职效能。</w:t>
      </w:r>
      <w:r>
        <w:rPr>
          <w:rFonts w:hint="eastAsia" w:ascii="仿宋_GB2312" w:hAnsi="仿宋_GB2312" w:eastAsia="仿宋_GB2312" w:cs="仿宋_GB2312"/>
          <w:color w:val="000000"/>
          <w:kern w:val="2"/>
          <w:sz w:val="32"/>
          <w:szCs w:val="32"/>
          <w:lang w:val="en-US" w:eastAsia="zh-CN" w:bidi="ar"/>
        </w:rPr>
        <w:t>贯彻执行国家法律法规，监督一府一委两院工作开展，支持和服务代表依法履职，任免国家工作人员，贯彻执行县委重大决策部署。组织各级代表依法开展各项活动，保障人大机关工作运行，做好人大机关工作人员、人大代表权利工作。</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2.预算管理。</w:t>
      </w:r>
      <w:r>
        <w:rPr>
          <w:rFonts w:hint="eastAsia" w:ascii="仿宋_GB2312" w:hAnsi="仿宋_GB2312" w:eastAsia="仿宋_GB2312" w:cs="仿宋_GB2312"/>
          <w:color w:val="000000"/>
          <w:kern w:val="2"/>
          <w:sz w:val="32"/>
          <w:szCs w:val="32"/>
          <w:lang w:val="en-US" w:eastAsia="zh-CN" w:bidi="ar"/>
        </w:rPr>
        <w:t>根据《预算法》等法律法规的规定</w:t>
      </w:r>
      <w:r>
        <w:rPr>
          <w:rFonts w:hint="eastAsia" w:ascii="仿宋_GB2312" w:hAnsi="仿宋_GB2312" w:eastAsia="仿宋_GB2312" w:cs="仿宋_GB2312"/>
          <w:color w:val="000000"/>
          <w:kern w:val="2"/>
          <w:sz w:val="32"/>
          <w:szCs w:val="32"/>
          <w:lang w:val="zh-CN" w:eastAsia="zh-CN" w:bidi="ar"/>
        </w:rPr>
        <w:t>和本单位工作实际情况，严格按要求编制年初部门预算，确保年初预算编制的科学性和准确性。单位严控“三公”经费、会议、培训、差旅、办节办展、办公设备购置、信息网络及软件购置更新、课题经费等8项一般性支出。</w:t>
      </w:r>
      <w:r>
        <w:rPr>
          <w:rFonts w:hint="eastAsia" w:ascii="仿宋_GB2312" w:hAnsi="仿宋_GB2312" w:eastAsia="仿宋_GB2312" w:cs="仿宋_GB2312"/>
          <w:color w:val="000000"/>
          <w:kern w:val="2"/>
          <w:sz w:val="32"/>
          <w:szCs w:val="32"/>
          <w:lang w:val="en-US" w:eastAsia="zh-CN" w:bidi="ar"/>
        </w:rPr>
        <w:t>2023年1月-6月预算执行占57.66%，1月-10月预算执行占82.25%</w:t>
      </w:r>
      <w:r>
        <w:rPr>
          <w:rFonts w:hint="eastAsia" w:ascii="仿宋_GB2312" w:hAnsi="仿宋_GB2312" w:eastAsia="仿宋_GB2312" w:cs="仿宋_GB2312"/>
          <w:color w:val="000000"/>
          <w:kern w:val="2"/>
          <w:sz w:val="32"/>
          <w:szCs w:val="32"/>
          <w:lang w:val="zh-CN" w:eastAsia="zh-CN" w:bidi="ar"/>
        </w:rPr>
        <w:t>。</w:t>
      </w:r>
      <w:r>
        <w:rPr>
          <w:rFonts w:hint="eastAsia" w:ascii="仿宋_GB2312" w:hAnsi="仿宋_GB2312" w:eastAsia="仿宋_GB2312" w:cs="仿宋_GB2312"/>
          <w:color w:val="000000"/>
          <w:kern w:val="2"/>
          <w:sz w:val="32"/>
          <w:szCs w:val="32"/>
          <w:lang w:val="en-US" w:eastAsia="zh-CN" w:bidi="ar"/>
        </w:rPr>
        <w:t>2023</w:t>
      </w:r>
      <w:r>
        <w:rPr>
          <w:rFonts w:hint="eastAsia" w:ascii="仿宋_GB2312" w:hAnsi="仿宋_GB2312" w:eastAsia="仿宋_GB2312" w:cs="仿宋_GB2312"/>
          <w:color w:val="000000"/>
          <w:kern w:val="2"/>
          <w:sz w:val="32"/>
          <w:szCs w:val="32"/>
          <w:lang w:val="zh-CN" w:eastAsia="zh-CN" w:bidi="ar"/>
        </w:rPr>
        <w:t>年终单位无预算结余。</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en-US" w:eastAsia="zh-CN" w:bidi="ar"/>
        </w:rPr>
        <w:t>3.</w:t>
      </w:r>
      <w:r>
        <w:rPr>
          <w:rFonts w:hint="eastAsia" w:ascii="仿宋_GB2312" w:hAnsi="仿宋_GB2312" w:eastAsia="仿宋_GB2312" w:cs="仿宋_GB2312"/>
          <w:color w:val="000000"/>
          <w:kern w:val="2"/>
          <w:sz w:val="32"/>
          <w:szCs w:val="32"/>
          <w:lang w:val="zh-CN" w:eastAsia="zh-CN" w:bidi="ar"/>
        </w:rPr>
        <w:t>财务管理。根据《会计法》及财务工作有关规定，结合单位实际，制订了《茂县人大常委会办公室财务管理制度》，合理设置财务工作岗位，明确职责权限，严格实行不相容岗位分离，严格按照相关财务管理制度规定使用各项资金。</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en-US" w:eastAsia="zh-CN" w:bidi="ar"/>
        </w:rPr>
        <w:t>4.</w:t>
      </w:r>
      <w:r>
        <w:rPr>
          <w:rFonts w:hint="eastAsia" w:ascii="仿宋_GB2312" w:hAnsi="仿宋_GB2312" w:eastAsia="仿宋_GB2312" w:cs="仿宋_GB2312"/>
          <w:color w:val="000000"/>
          <w:kern w:val="2"/>
          <w:sz w:val="32"/>
          <w:szCs w:val="32"/>
          <w:lang w:val="zh-CN" w:eastAsia="zh-CN" w:bidi="ar"/>
        </w:rPr>
        <w:t>资产管理。人均资产无变化，科学合理分配使用资产，办公家具超最低使用年限资产利用率</w:t>
      </w:r>
      <w:r>
        <w:rPr>
          <w:rFonts w:hint="eastAsia" w:ascii="仿宋_GB2312" w:hAnsi="仿宋_GB2312" w:eastAsia="仿宋_GB2312" w:cs="仿宋_GB2312"/>
          <w:color w:val="000000"/>
          <w:kern w:val="2"/>
          <w:sz w:val="32"/>
          <w:szCs w:val="32"/>
          <w:lang w:val="en-US" w:eastAsia="zh-CN" w:bidi="ar"/>
        </w:rPr>
        <w:t>44.06%，办公设备超最低使用年限资产利用率48.91%。</w:t>
      </w:r>
      <w:r>
        <w:rPr>
          <w:rFonts w:hint="eastAsia" w:ascii="仿宋_GB2312" w:hAnsi="仿宋_GB2312" w:eastAsia="仿宋_GB2312" w:cs="仿宋_GB2312"/>
          <w:color w:val="000000"/>
          <w:kern w:val="2"/>
          <w:sz w:val="32"/>
          <w:szCs w:val="32"/>
          <w:lang w:val="zh-CN" w:eastAsia="zh-CN" w:bidi="ar"/>
        </w:rPr>
        <w:t>两年均无闲置资产。</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5.</w:t>
      </w:r>
      <w:r>
        <w:rPr>
          <w:rFonts w:hint="eastAsia" w:ascii="仿宋_GB2312" w:hAnsi="仿宋_GB2312" w:eastAsia="仿宋_GB2312" w:cs="仿宋_GB2312"/>
          <w:color w:val="000000"/>
          <w:kern w:val="2"/>
          <w:sz w:val="32"/>
          <w:szCs w:val="32"/>
          <w:lang w:val="zh-CN" w:eastAsia="zh-CN" w:bidi="ar"/>
        </w:rPr>
        <w:t>采购管理。</w:t>
      </w:r>
      <w:r>
        <w:rPr>
          <w:rFonts w:hint="eastAsia" w:ascii="仿宋_GB2312" w:hAnsi="仿宋_GB2312" w:eastAsia="仿宋_GB2312" w:cs="仿宋_GB2312"/>
          <w:color w:val="000000"/>
          <w:kern w:val="2"/>
          <w:sz w:val="32"/>
          <w:szCs w:val="32"/>
          <w:lang w:val="en-US" w:eastAsia="zh-CN" w:bidi="ar"/>
        </w:rPr>
        <w:t>2023年购置公务用车2辆，资金支付比例</w:t>
      </w:r>
      <w:r>
        <w:rPr>
          <w:rFonts w:hint="eastAsia" w:ascii="仿宋_GB2312" w:hAnsi="仿宋_GB2312" w:eastAsia="仿宋_GB2312" w:cs="仿宋_GB2312"/>
          <w:color w:val="000000"/>
          <w:kern w:val="2"/>
          <w:sz w:val="32"/>
          <w:szCs w:val="32"/>
          <w:lang w:val="zh-CN" w:eastAsia="zh-CN" w:bidi="ar"/>
        </w:rPr>
        <w:t>率</w:t>
      </w:r>
      <w:r>
        <w:rPr>
          <w:rFonts w:hint="eastAsia" w:ascii="仿宋_GB2312" w:hAnsi="仿宋_GB2312" w:eastAsia="仿宋_GB2312" w:cs="仿宋_GB2312"/>
          <w:color w:val="000000"/>
          <w:kern w:val="2"/>
          <w:sz w:val="32"/>
          <w:szCs w:val="32"/>
          <w:lang w:val="en-US" w:eastAsia="zh-CN" w:bidi="ar"/>
        </w:rPr>
        <w:t>100%。</w:t>
      </w:r>
      <w:bookmarkEnd w:id="5"/>
    </w:p>
    <w:p>
      <w:pPr>
        <w:widowControl/>
        <w:adjustRightInd w:val="0"/>
        <w:snapToGrid w:val="0"/>
        <w:spacing w:line="578" w:lineRule="exact"/>
        <w:ind w:firstLine="642" w:firstLineChars="200"/>
        <w:contextualSpacing/>
        <w:jc w:val="left"/>
        <w:rPr>
          <w:rFonts w:hint="eastAsia" w:ascii="仿宋_GB2312" w:hAnsi="仿宋_GB2312" w:eastAsia="仿宋_GB2312" w:cs="仿宋_GB2312"/>
          <w:b/>
          <w:bCs w:val="0"/>
          <w:kern w:val="2"/>
          <w:sz w:val="32"/>
          <w:szCs w:val="32"/>
          <w:lang w:val="zh-CN" w:eastAsia="zh-CN" w:bidi="ar"/>
        </w:rPr>
      </w:pPr>
      <w:r>
        <w:rPr>
          <w:rFonts w:hint="eastAsia" w:ascii="仿宋_GB2312" w:hAnsi="仿宋_GB2312" w:eastAsia="仿宋_GB2312" w:cs="仿宋_GB2312"/>
          <w:b/>
          <w:bCs w:val="0"/>
          <w:kern w:val="2"/>
          <w:sz w:val="32"/>
          <w:szCs w:val="32"/>
          <w:lang w:val="zh-CN" w:eastAsia="zh-CN" w:bidi="ar"/>
        </w:rPr>
        <w:t>（二）部门预算项目绩效分析</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en-US" w:eastAsia="zh-CN" w:bidi="ar"/>
        </w:rPr>
        <w:t>常年项目绩效分析。</w:t>
      </w:r>
      <w:r>
        <w:rPr>
          <w:rFonts w:hint="eastAsia" w:ascii="仿宋_GB2312" w:hAnsi="仿宋_GB2312" w:eastAsia="仿宋_GB2312" w:cs="仿宋_GB2312"/>
          <w:color w:val="000000"/>
          <w:kern w:val="2"/>
          <w:sz w:val="32"/>
          <w:szCs w:val="32"/>
          <w:lang w:val="zh-CN" w:eastAsia="zh-CN" w:bidi="ar"/>
        </w:rPr>
        <w:t>该类项目总数</w:t>
      </w:r>
      <w:r>
        <w:rPr>
          <w:rFonts w:hint="eastAsia" w:ascii="仿宋_GB2312" w:hAnsi="仿宋_GB2312" w:eastAsia="仿宋_GB2312" w:cs="仿宋_GB2312"/>
          <w:color w:val="000000"/>
          <w:kern w:val="2"/>
          <w:sz w:val="32"/>
          <w:szCs w:val="32"/>
          <w:lang w:val="en-US" w:eastAsia="zh-CN" w:bidi="ar"/>
        </w:rPr>
        <w:t>1</w:t>
      </w:r>
      <w:r>
        <w:rPr>
          <w:rFonts w:hint="eastAsia" w:ascii="仿宋_GB2312" w:hAnsi="仿宋_GB2312" w:eastAsia="仿宋_GB2312" w:cs="仿宋_GB2312"/>
          <w:color w:val="000000"/>
          <w:kern w:val="2"/>
          <w:sz w:val="32"/>
          <w:szCs w:val="32"/>
          <w:lang w:val="zh-CN" w:eastAsia="zh-CN" w:bidi="ar"/>
        </w:rPr>
        <w:t>个，涉及预算总金额</w:t>
      </w:r>
      <w:r>
        <w:rPr>
          <w:rFonts w:hint="eastAsia" w:ascii="仿宋_GB2312" w:hAnsi="仿宋_GB2312" w:eastAsia="仿宋_GB2312" w:cs="仿宋_GB2312"/>
          <w:color w:val="000000"/>
          <w:kern w:val="2"/>
          <w:sz w:val="32"/>
          <w:szCs w:val="32"/>
          <w:lang w:val="en-US" w:eastAsia="zh-CN" w:bidi="ar"/>
        </w:rPr>
        <w:t>21.46</w:t>
      </w:r>
      <w:r>
        <w:rPr>
          <w:rFonts w:hint="eastAsia" w:ascii="仿宋_GB2312" w:hAnsi="仿宋_GB2312" w:eastAsia="仿宋_GB2312" w:cs="仿宋_GB2312"/>
          <w:color w:val="000000"/>
          <w:kern w:val="2"/>
          <w:sz w:val="32"/>
          <w:szCs w:val="32"/>
          <w:lang w:val="zh-CN" w:eastAsia="zh-CN" w:bidi="ar"/>
        </w:rPr>
        <w:t>万元，1—1</w:t>
      </w:r>
      <w:r>
        <w:rPr>
          <w:rFonts w:hint="eastAsia" w:ascii="仿宋_GB2312" w:hAnsi="仿宋_GB2312" w:eastAsia="仿宋_GB2312" w:cs="仿宋_GB2312"/>
          <w:color w:val="000000"/>
          <w:kern w:val="2"/>
          <w:sz w:val="32"/>
          <w:szCs w:val="32"/>
          <w:lang w:val="en-US" w:eastAsia="zh-CN" w:bidi="ar"/>
        </w:rPr>
        <w:t>2</w:t>
      </w:r>
      <w:r>
        <w:rPr>
          <w:rFonts w:hint="eastAsia" w:ascii="仿宋_GB2312" w:hAnsi="仿宋_GB2312" w:eastAsia="仿宋_GB2312" w:cs="仿宋_GB2312"/>
          <w:color w:val="000000"/>
          <w:kern w:val="2"/>
          <w:sz w:val="32"/>
          <w:szCs w:val="32"/>
          <w:lang w:val="zh-CN" w:eastAsia="zh-CN" w:bidi="ar"/>
        </w:rPr>
        <w:t>月预算执行总体进度为</w:t>
      </w:r>
      <w:r>
        <w:rPr>
          <w:rFonts w:hint="eastAsia" w:ascii="仿宋_GB2312" w:hAnsi="仿宋_GB2312" w:eastAsia="仿宋_GB2312" w:cs="仿宋_GB2312"/>
          <w:color w:val="000000"/>
          <w:kern w:val="2"/>
          <w:sz w:val="32"/>
          <w:szCs w:val="32"/>
          <w:lang w:val="en-US" w:eastAsia="zh-CN" w:bidi="ar"/>
        </w:rPr>
        <w:t>100</w:t>
      </w:r>
      <w:r>
        <w:rPr>
          <w:rFonts w:hint="eastAsia" w:ascii="仿宋_GB2312" w:hAnsi="仿宋_GB2312" w:eastAsia="仿宋_GB2312" w:cs="仿宋_GB2312"/>
          <w:color w:val="000000"/>
          <w:kern w:val="2"/>
          <w:sz w:val="32"/>
          <w:szCs w:val="32"/>
          <w:lang w:val="zh-CN" w:eastAsia="zh-CN" w:bidi="ar"/>
        </w:rPr>
        <w:t>%，其中：预算结余率大于</w:t>
      </w:r>
      <w:r>
        <w:rPr>
          <w:rFonts w:hint="eastAsia" w:ascii="仿宋_GB2312" w:hAnsi="仿宋_GB2312" w:eastAsia="仿宋_GB2312" w:cs="仿宋_GB2312"/>
          <w:color w:val="000000"/>
          <w:kern w:val="2"/>
          <w:sz w:val="32"/>
          <w:szCs w:val="32"/>
          <w:lang w:val="en-US" w:eastAsia="zh-CN" w:bidi="ar"/>
        </w:rPr>
        <w:t>10%</w:t>
      </w:r>
      <w:r>
        <w:rPr>
          <w:rFonts w:hint="eastAsia" w:ascii="仿宋_GB2312" w:hAnsi="仿宋_GB2312" w:eastAsia="仿宋_GB2312" w:cs="仿宋_GB2312"/>
          <w:color w:val="000000"/>
          <w:kern w:val="2"/>
          <w:sz w:val="32"/>
          <w:szCs w:val="32"/>
          <w:lang w:val="zh-CN" w:eastAsia="zh-CN" w:bidi="ar"/>
        </w:rPr>
        <w:t>的项目共计</w:t>
      </w:r>
      <w:r>
        <w:rPr>
          <w:rFonts w:hint="eastAsia" w:ascii="仿宋_GB2312" w:hAnsi="仿宋_GB2312" w:eastAsia="仿宋_GB2312" w:cs="仿宋_GB2312"/>
          <w:color w:val="000000"/>
          <w:kern w:val="2"/>
          <w:sz w:val="32"/>
          <w:szCs w:val="32"/>
          <w:lang w:val="en-US" w:eastAsia="zh-CN" w:bidi="ar"/>
        </w:rPr>
        <w:t>0</w:t>
      </w:r>
      <w:r>
        <w:rPr>
          <w:rFonts w:hint="eastAsia" w:ascii="仿宋_GB2312" w:hAnsi="仿宋_GB2312" w:eastAsia="仿宋_GB2312" w:cs="仿宋_GB2312"/>
          <w:color w:val="000000"/>
          <w:kern w:val="2"/>
          <w:sz w:val="32"/>
          <w:szCs w:val="32"/>
          <w:lang w:val="zh-CN" w:eastAsia="zh-CN" w:bidi="ar"/>
        </w:rPr>
        <w:t>个。</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en-US" w:eastAsia="zh-CN" w:bidi="ar"/>
        </w:rPr>
        <w:t>阶段（一次性）项目绩效分析。</w:t>
      </w:r>
      <w:r>
        <w:rPr>
          <w:rFonts w:hint="eastAsia" w:ascii="仿宋_GB2312" w:hAnsi="仿宋_GB2312" w:eastAsia="仿宋_GB2312" w:cs="仿宋_GB2312"/>
          <w:color w:val="000000"/>
          <w:kern w:val="2"/>
          <w:sz w:val="32"/>
          <w:szCs w:val="32"/>
          <w:lang w:val="zh-CN" w:eastAsia="zh-CN" w:bidi="ar"/>
        </w:rPr>
        <w:t>该类项目总数</w:t>
      </w:r>
      <w:r>
        <w:rPr>
          <w:rFonts w:hint="eastAsia" w:ascii="仿宋_GB2312" w:hAnsi="仿宋_GB2312" w:eastAsia="仿宋_GB2312" w:cs="仿宋_GB2312"/>
          <w:color w:val="000000"/>
          <w:kern w:val="2"/>
          <w:sz w:val="32"/>
          <w:szCs w:val="32"/>
          <w:lang w:val="en-US" w:eastAsia="zh-CN" w:bidi="ar"/>
        </w:rPr>
        <w:t>8</w:t>
      </w:r>
      <w:r>
        <w:rPr>
          <w:rFonts w:hint="eastAsia" w:ascii="仿宋_GB2312" w:hAnsi="仿宋_GB2312" w:eastAsia="仿宋_GB2312" w:cs="仿宋_GB2312"/>
          <w:color w:val="000000"/>
          <w:kern w:val="2"/>
          <w:sz w:val="32"/>
          <w:szCs w:val="32"/>
          <w:lang w:val="zh-CN" w:eastAsia="zh-CN" w:bidi="ar"/>
        </w:rPr>
        <w:t>个，涉及预算总金额</w:t>
      </w:r>
      <w:r>
        <w:rPr>
          <w:rFonts w:hint="eastAsia" w:ascii="仿宋_GB2312" w:hAnsi="仿宋_GB2312" w:eastAsia="仿宋_GB2312" w:cs="仿宋_GB2312"/>
          <w:color w:val="000000"/>
          <w:kern w:val="2"/>
          <w:sz w:val="32"/>
          <w:szCs w:val="32"/>
          <w:lang w:val="en-US" w:eastAsia="zh-CN" w:bidi="ar"/>
        </w:rPr>
        <w:t>216.27</w:t>
      </w:r>
      <w:r>
        <w:rPr>
          <w:rFonts w:hint="eastAsia" w:ascii="仿宋_GB2312" w:hAnsi="仿宋_GB2312" w:eastAsia="仿宋_GB2312" w:cs="仿宋_GB2312"/>
          <w:color w:val="000000"/>
          <w:kern w:val="2"/>
          <w:sz w:val="32"/>
          <w:szCs w:val="32"/>
          <w:lang w:val="zh-CN" w:eastAsia="zh-CN" w:bidi="ar"/>
        </w:rPr>
        <w:t>万元，1—1</w:t>
      </w:r>
      <w:r>
        <w:rPr>
          <w:rFonts w:hint="eastAsia" w:ascii="仿宋_GB2312" w:hAnsi="仿宋_GB2312" w:eastAsia="仿宋_GB2312" w:cs="仿宋_GB2312"/>
          <w:color w:val="000000"/>
          <w:kern w:val="2"/>
          <w:sz w:val="32"/>
          <w:szCs w:val="32"/>
          <w:lang w:val="en-US" w:eastAsia="zh-CN" w:bidi="ar"/>
        </w:rPr>
        <w:t>2</w:t>
      </w:r>
      <w:r>
        <w:rPr>
          <w:rFonts w:hint="eastAsia" w:ascii="仿宋_GB2312" w:hAnsi="仿宋_GB2312" w:eastAsia="仿宋_GB2312" w:cs="仿宋_GB2312"/>
          <w:color w:val="000000"/>
          <w:kern w:val="2"/>
          <w:sz w:val="32"/>
          <w:szCs w:val="32"/>
          <w:lang w:val="zh-CN" w:eastAsia="zh-CN" w:bidi="ar"/>
        </w:rPr>
        <w:t>月预算执行总体进度为</w:t>
      </w:r>
      <w:r>
        <w:rPr>
          <w:rFonts w:hint="eastAsia" w:ascii="仿宋_GB2312" w:hAnsi="仿宋_GB2312" w:eastAsia="仿宋_GB2312" w:cs="仿宋_GB2312"/>
          <w:color w:val="000000"/>
          <w:kern w:val="2"/>
          <w:sz w:val="32"/>
          <w:szCs w:val="32"/>
          <w:lang w:val="en-US" w:eastAsia="zh-CN" w:bidi="ar"/>
        </w:rPr>
        <w:t>100</w:t>
      </w:r>
      <w:r>
        <w:rPr>
          <w:rFonts w:hint="eastAsia" w:ascii="仿宋_GB2312" w:hAnsi="仿宋_GB2312" w:eastAsia="仿宋_GB2312" w:cs="仿宋_GB2312"/>
          <w:color w:val="000000"/>
          <w:kern w:val="2"/>
          <w:sz w:val="32"/>
          <w:szCs w:val="32"/>
          <w:lang w:val="zh-CN" w:eastAsia="zh-CN" w:bidi="ar"/>
        </w:rPr>
        <w:t>%，其中：预算结余率大于</w:t>
      </w:r>
      <w:r>
        <w:rPr>
          <w:rFonts w:hint="eastAsia" w:ascii="仿宋_GB2312" w:hAnsi="仿宋_GB2312" w:eastAsia="仿宋_GB2312" w:cs="仿宋_GB2312"/>
          <w:color w:val="000000"/>
          <w:kern w:val="2"/>
          <w:sz w:val="32"/>
          <w:szCs w:val="32"/>
          <w:lang w:val="en-US" w:eastAsia="zh-CN" w:bidi="ar"/>
        </w:rPr>
        <w:t>10%</w:t>
      </w:r>
      <w:r>
        <w:rPr>
          <w:rFonts w:hint="eastAsia" w:ascii="仿宋_GB2312" w:hAnsi="仿宋_GB2312" w:eastAsia="仿宋_GB2312" w:cs="仿宋_GB2312"/>
          <w:color w:val="000000"/>
          <w:kern w:val="2"/>
          <w:sz w:val="32"/>
          <w:szCs w:val="32"/>
          <w:lang w:val="zh-CN" w:eastAsia="zh-CN" w:bidi="ar"/>
        </w:rPr>
        <w:t>的项目共计</w:t>
      </w:r>
      <w:r>
        <w:rPr>
          <w:rFonts w:hint="eastAsia" w:ascii="仿宋_GB2312" w:hAnsi="仿宋_GB2312" w:eastAsia="仿宋_GB2312" w:cs="仿宋_GB2312"/>
          <w:color w:val="000000"/>
          <w:kern w:val="2"/>
          <w:sz w:val="32"/>
          <w:szCs w:val="32"/>
          <w:lang w:val="en-US" w:eastAsia="zh-CN" w:bidi="ar"/>
        </w:rPr>
        <w:t>0</w:t>
      </w:r>
      <w:r>
        <w:rPr>
          <w:rFonts w:hint="eastAsia" w:ascii="仿宋_GB2312" w:hAnsi="仿宋_GB2312" w:eastAsia="仿宋_GB2312" w:cs="仿宋_GB2312"/>
          <w:color w:val="000000"/>
          <w:kern w:val="2"/>
          <w:sz w:val="32"/>
          <w:szCs w:val="32"/>
          <w:lang w:val="zh-CN" w:eastAsia="zh-CN" w:bidi="ar"/>
        </w:rPr>
        <w:t>个。</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en-US" w:eastAsia="zh-CN" w:bidi="ar"/>
        </w:rPr>
        <w:t>1.</w:t>
      </w:r>
      <w:r>
        <w:rPr>
          <w:rFonts w:hint="eastAsia" w:ascii="仿宋_GB2312" w:hAnsi="仿宋_GB2312" w:eastAsia="仿宋_GB2312" w:cs="仿宋_GB2312"/>
          <w:color w:val="000000"/>
          <w:kern w:val="2"/>
          <w:sz w:val="32"/>
          <w:szCs w:val="32"/>
          <w:lang w:val="zh-CN" w:eastAsia="zh-CN" w:bidi="ar"/>
        </w:rPr>
        <w:t>项目决策。</w:t>
      </w:r>
      <w:bookmarkStart w:id="6" w:name="OLE_LINK7"/>
      <w:r>
        <w:rPr>
          <w:rFonts w:hint="eastAsia" w:ascii="仿宋_GB2312" w:hAnsi="仿宋_GB2312" w:eastAsia="仿宋_GB2312" w:cs="仿宋_GB2312"/>
          <w:color w:val="000000"/>
          <w:kern w:val="2"/>
          <w:sz w:val="32"/>
          <w:szCs w:val="32"/>
          <w:lang w:val="en-US" w:eastAsia="zh-CN" w:bidi="ar"/>
        </w:rPr>
        <w:t>根据《宪法》《地方组织法》《选举法》《代表法》相关规定和工作安排，围绕县委中心大局，依法行使监督权、决定权、任免权。安排完成人大机关及全县各级代表工作。预算项目设立按规定履行评估论证、申报程序。项目绩效目标与计划期内的任务量、预算安排的资金量相匹配，绩效目标设置科学合理、规范完整，在规定时间完成了项目入库。</w:t>
      </w:r>
    </w:p>
    <w:bookmarkEnd w:id="6"/>
    <w:p>
      <w:pPr>
        <w:widowControl/>
        <w:adjustRightInd w:val="0"/>
        <w:snapToGrid w:val="0"/>
        <w:spacing w:line="578" w:lineRule="exact"/>
        <w:ind w:firstLine="640" w:firstLineChars="200"/>
        <w:contextualSpacing/>
        <w:jc w:val="left"/>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2.项目执行</w:t>
      </w:r>
      <w:r>
        <w:rPr>
          <w:rFonts w:hint="eastAsia" w:ascii="仿宋_GB2312" w:hAnsi="仿宋_GB2312" w:eastAsia="仿宋_GB2312" w:cs="仿宋_GB2312"/>
          <w:color w:val="000000"/>
          <w:kern w:val="2"/>
          <w:sz w:val="32"/>
          <w:szCs w:val="32"/>
          <w:lang w:val="zh-CN" w:eastAsia="zh-CN" w:bidi="ar"/>
        </w:rPr>
        <w:t>。</w:t>
      </w:r>
      <w:bookmarkStart w:id="7" w:name="OLE_LINK8"/>
      <w:r>
        <w:rPr>
          <w:rFonts w:hint="eastAsia" w:ascii="仿宋_GB2312" w:hAnsi="仿宋_GB2312" w:eastAsia="仿宋_GB2312" w:cs="仿宋_GB2312"/>
          <w:color w:val="000000"/>
          <w:kern w:val="2"/>
          <w:sz w:val="32"/>
          <w:szCs w:val="32"/>
          <w:lang w:val="en-US" w:eastAsia="zh-CN" w:bidi="ar"/>
        </w:rPr>
        <w:t>代表活动经费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21.46万元，州级代表履职经费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13.62万元，第十六届人代会第二次会议经费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46.5万元，学习考察经费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27.65万元，公务用车购车经费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119.94万元，第十三届人代会第二次会议无固定工资收入代表费用</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0.81万元，伙食团经费</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0.25万元，2022年度阿坝州社会科学事业专项资金</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7.5万元。</w:t>
      </w:r>
      <w:r>
        <w:rPr>
          <w:rFonts w:hint="eastAsia" w:ascii="仿宋_GB2312" w:hAnsi="仿宋_GB2312" w:eastAsia="仿宋_GB2312" w:cs="仿宋_GB2312"/>
          <w:color w:val="000000"/>
          <w:kern w:val="2"/>
          <w:sz w:val="32"/>
          <w:szCs w:val="32"/>
          <w:lang w:val="zh-CN" w:eastAsia="zh-CN" w:bidi="ar"/>
        </w:rPr>
        <w:t>围绕项目资金安排，项目实际列支内容与绩效目标设置方向相符，严格按照相关规定执行资金支付，各项目顺利完成。</w:t>
      </w:r>
    </w:p>
    <w:bookmarkEnd w:id="7"/>
    <w:p>
      <w:pPr>
        <w:widowControl/>
        <w:adjustRightInd w:val="0"/>
        <w:snapToGrid w:val="0"/>
        <w:spacing w:line="578" w:lineRule="exact"/>
        <w:ind w:firstLine="640" w:firstLineChars="200"/>
        <w:contextualSpacing/>
        <w:jc w:val="left"/>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en-US" w:eastAsia="zh-CN" w:bidi="ar"/>
        </w:rPr>
        <w:t>3.</w:t>
      </w:r>
      <w:r>
        <w:rPr>
          <w:rFonts w:hint="eastAsia" w:ascii="仿宋_GB2312" w:hAnsi="仿宋_GB2312" w:eastAsia="仿宋_GB2312" w:cs="仿宋_GB2312"/>
          <w:color w:val="000000"/>
          <w:kern w:val="2"/>
          <w:sz w:val="32"/>
          <w:szCs w:val="32"/>
          <w:lang w:val="zh-CN" w:eastAsia="zh-CN" w:bidi="ar"/>
        </w:rPr>
        <w:t>目标实现。</w:t>
      </w:r>
      <w:bookmarkStart w:id="8" w:name="OLE_LINK9"/>
      <w:r>
        <w:rPr>
          <w:rFonts w:hint="eastAsia" w:ascii="仿宋_GB2312" w:hAnsi="仿宋_GB2312" w:eastAsia="仿宋_GB2312" w:cs="仿宋_GB2312"/>
          <w:color w:val="000000"/>
          <w:kern w:val="2"/>
          <w:sz w:val="32"/>
          <w:szCs w:val="32"/>
          <w:lang w:val="zh-CN" w:eastAsia="zh-CN" w:bidi="ar"/>
        </w:rPr>
        <w:t>按照进度有效使用项目资金，完成预期指标值。保障了全县及各镇代表工作的开展，完成代表履职，提高代表履职能力，确保县人大机关正常运转</w:t>
      </w:r>
      <w:r>
        <w:rPr>
          <w:rFonts w:hint="eastAsia" w:ascii="仿宋_GB2312" w:hAnsi="仿宋_GB2312" w:eastAsia="仿宋_GB2312" w:cs="仿宋_GB2312"/>
          <w:color w:val="000000"/>
          <w:kern w:val="2"/>
          <w:sz w:val="32"/>
          <w:szCs w:val="32"/>
          <w:lang w:val="en-US" w:eastAsia="zh-CN" w:bidi="ar"/>
        </w:rPr>
        <w:t>。</w:t>
      </w:r>
    </w:p>
    <w:bookmarkEnd w:id="8"/>
    <w:p>
      <w:pPr>
        <w:widowControl/>
        <w:adjustRightInd w:val="0"/>
        <w:snapToGrid w:val="0"/>
        <w:spacing w:line="578" w:lineRule="exact"/>
        <w:ind w:firstLine="640" w:firstLineChars="200"/>
        <w:contextualSpacing/>
        <w:jc w:val="left"/>
        <w:rPr>
          <w:rFonts w:hint="default" w:ascii="仿宋_GB2312" w:hAnsi="仿宋_GB2312" w:eastAsia="仿宋_GB2312" w:cs="仿宋_GB2312"/>
          <w:color w:val="000000"/>
          <w:kern w:val="2"/>
          <w:sz w:val="32"/>
          <w:szCs w:val="32"/>
          <w:lang w:val="en-US" w:eastAsia="zh-CN" w:bidi="ar"/>
        </w:rPr>
      </w:pPr>
      <w:r>
        <w:rPr>
          <w:rFonts w:hint="eastAsia" w:ascii="仿宋_GB2312" w:hAnsi="仿宋_GB2312" w:eastAsia="仿宋_GB2312" w:cs="仿宋_GB2312"/>
          <w:color w:val="000000"/>
          <w:kern w:val="2"/>
          <w:sz w:val="32"/>
          <w:szCs w:val="32"/>
          <w:lang w:val="zh-CN" w:eastAsia="zh-CN" w:bidi="ar"/>
        </w:rPr>
        <w:t>（三）重点领域绩效分析。</w:t>
      </w:r>
      <w:r>
        <w:rPr>
          <w:rFonts w:hint="eastAsia" w:ascii="仿宋_GB2312" w:hAnsi="仿宋_GB2312" w:eastAsia="仿宋_GB2312" w:cs="仿宋_GB2312"/>
          <w:color w:val="000000"/>
          <w:kern w:val="2"/>
          <w:sz w:val="32"/>
          <w:szCs w:val="32"/>
          <w:lang w:val="en-US" w:eastAsia="zh-CN" w:bidi="ar"/>
        </w:rPr>
        <w:t>我单位2023年度购置公务用车2辆，</w:t>
      </w:r>
      <w:r>
        <w:rPr>
          <w:rFonts w:hint="eastAsia" w:ascii="仿宋_GB2312" w:hAnsi="仿宋_GB2312" w:eastAsia="仿宋_GB2312" w:cs="仿宋_GB2312"/>
          <w:color w:val="000000"/>
          <w:kern w:val="2"/>
          <w:sz w:val="32"/>
          <w:szCs w:val="32"/>
          <w:lang w:val="zh-CN" w:eastAsia="zh-CN" w:bidi="ar"/>
        </w:rPr>
        <w:t>涉及预算金额：</w:t>
      </w:r>
      <w:r>
        <w:rPr>
          <w:rFonts w:hint="eastAsia" w:ascii="仿宋_GB2312" w:hAnsi="仿宋_GB2312" w:eastAsia="仿宋_GB2312" w:cs="仿宋_GB2312"/>
          <w:color w:val="000000"/>
          <w:kern w:val="2"/>
          <w:sz w:val="32"/>
          <w:szCs w:val="32"/>
          <w:lang w:val="en-US" w:eastAsia="zh-CN" w:bidi="ar"/>
        </w:rPr>
        <w:t>119.94万元，执行总进度为100%，确保了人大各项工作的顺利开展。</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（四）绩效结果应用情况。</w:t>
      </w:r>
      <w:bookmarkStart w:id="9" w:name="OLE_LINK10"/>
      <w:r>
        <w:rPr>
          <w:rFonts w:hint="eastAsia" w:ascii="仿宋_GB2312" w:hAnsi="仿宋_GB2312" w:eastAsia="仿宋_GB2312" w:cs="仿宋_GB2312"/>
          <w:color w:val="000000"/>
          <w:kern w:val="2"/>
          <w:sz w:val="32"/>
          <w:szCs w:val="32"/>
          <w:lang w:val="zh-CN" w:eastAsia="zh-CN" w:bidi="ar"/>
        </w:rPr>
        <w:t>加强绩效自评结果应用，高度重视自评发现的问题，认真整改，通过不断完善现有政策、调整优化重点支持方向、严格预算绩效管理的全流程规范执行等手段逐步提升绩效自评工作质量。建立绩效自评结果与年度预算安排和政策调整挂钩机制，将绩效自评结果作为申请及分配预算资金、调整完善政策和改进管理的重要依据，强化绩效评价结果对预算安排的刚性约束，激发预算绩效管理的内生动力。严格按照预算绩效管理和信息公开相关工作要求，逐步推进绩效目标、评价结果等信息公开，明确工作程序，规范工作要求，做好宣传引导，主动接受社会监督。</w:t>
      </w:r>
    </w:p>
    <w:bookmarkEnd w:id="9"/>
    <w:p>
      <w:pPr>
        <w:widowControl/>
        <w:adjustRightInd w:val="0"/>
        <w:snapToGrid w:val="0"/>
        <w:spacing w:line="578" w:lineRule="exact"/>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（一）评价结论</w:t>
      </w:r>
      <w:bookmarkStart w:id="10" w:name="OLE_LINK11"/>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lang w:val="zh-CN"/>
        </w:rPr>
      </w:pPr>
      <w:r>
        <w:rPr>
          <w:rFonts w:hint="eastAsia" w:ascii="仿宋_GB2312" w:hAnsi="仿宋_GB2312" w:eastAsia="仿宋_GB2312" w:cs="仿宋_GB2312"/>
          <w:color w:val="000000"/>
          <w:kern w:val="2"/>
          <w:sz w:val="32"/>
          <w:szCs w:val="32"/>
          <w:lang w:val="en-US" w:eastAsia="zh-CN" w:bidi="ar"/>
        </w:rPr>
        <w:t>根据我单位整体支出情况的自查和自评，结论为：茂县人大常委会办公室整体支出情况合法、合规，由于严格执行法律、政策、科学分配、有效使用、严密管理，有力地促进了我单位各项工作顺利完成和各项目标的实现，建立了茂县人大常委会办公室财务管理制度、公务接待制度、车辆管理制度、财务公开制度等。严格按照相关制度进行财务核算，做到资金专款专用，资金支付依据和开支标准合规合法。并按照规定编制决算，审核汇总后报财政部门审批。加强决算审核和分析，规范决算管理工作，保证决算数据的完整、真实、准确。</w:t>
      </w:r>
    </w:p>
    <w:bookmarkEnd w:id="10"/>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（二）存在问题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2"/>
          <w:sz w:val="32"/>
          <w:szCs w:val="32"/>
          <w:lang w:val="en-US" w:eastAsia="zh-CN" w:bidi="ar"/>
        </w:rPr>
      </w:pPr>
      <w:bookmarkStart w:id="11" w:name="OLE_LINK12"/>
      <w:r>
        <w:rPr>
          <w:rFonts w:hint="eastAsia" w:ascii="仿宋_GB2312" w:hAnsi="仿宋_GB2312" w:eastAsia="仿宋_GB2312" w:cs="仿宋_GB2312"/>
          <w:color w:val="000000"/>
          <w:kern w:val="2"/>
          <w:sz w:val="32"/>
          <w:szCs w:val="32"/>
          <w:lang w:val="en-US" w:eastAsia="zh-CN" w:bidi="ar"/>
        </w:rPr>
        <w:t>1、编制单位预算，应当综合考虑年度工作计划和相应支出需求，做到准确无误。</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lang w:val="zh-CN"/>
        </w:rPr>
      </w:pPr>
      <w:r>
        <w:rPr>
          <w:rFonts w:hint="eastAsia" w:ascii="仿宋_GB2312" w:hAnsi="仿宋_GB2312" w:eastAsia="仿宋_GB2312" w:cs="仿宋_GB2312"/>
          <w:color w:val="000000"/>
          <w:kern w:val="2"/>
          <w:sz w:val="32"/>
          <w:szCs w:val="32"/>
          <w:lang w:val="en-US" w:eastAsia="zh-CN" w:bidi="ar"/>
        </w:rPr>
        <w:t>2、部分日常公用支出为完成支出进度没有严格按照年初预算下达经济科目支出，今后将严格按照下达指标经济类型支出。</w:t>
      </w:r>
    </w:p>
    <w:bookmarkEnd w:id="11"/>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2" w:firstLineChars="200"/>
        <w:jc w:val="both"/>
        <w:textAlignment w:val="auto"/>
        <w:rPr>
          <w:rFonts w:hint="eastAsia" w:ascii="仿宋_GB2312" w:hAnsi="仿宋_GB2312" w:eastAsia="仿宋_GB2312" w:cs="仿宋_GB2312"/>
          <w:b/>
          <w:bCs/>
          <w:color w:val="000000"/>
          <w:kern w:val="0"/>
          <w:sz w:val="32"/>
          <w:szCs w:val="32"/>
          <w:shd w:val="clear" w:color="auto" w:fill="FFFFFF"/>
          <w:lang w:val="zh-CN"/>
        </w:rPr>
      </w:pPr>
      <w:r>
        <w:rPr>
          <w:rFonts w:hint="eastAsia" w:ascii="仿宋_GB2312" w:hAnsi="仿宋_GB2312" w:eastAsia="仿宋_GB2312" w:cs="仿宋_GB2312"/>
          <w:b/>
          <w:bCs/>
          <w:color w:val="000000"/>
          <w:kern w:val="0"/>
          <w:sz w:val="32"/>
          <w:szCs w:val="32"/>
          <w:shd w:val="clear" w:color="auto" w:fill="FFFFFF"/>
          <w:lang w:val="zh-CN"/>
        </w:rPr>
        <w:t>（三）改进建议</w:t>
      </w:r>
      <w:bookmarkStart w:id="12" w:name="OLE_LINK13"/>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根据我单位年初工作计划，按照中央和省、州的各项工作部署，统筹做好依法开展法律监督和工作监督、依法对重大事项作出决议和决定、依法任命国家机关工作人员、加强代表履职平台建设、强化常委会机关制度建设。积极履职，强化管理，较好的完成了年度工作目标。通过加强预算收支管理，不断建立健全内部管理制度，梳理内部管理流程，单位整体支出管理情况得到提升。</w:t>
      </w:r>
    </w:p>
    <w:bookmarkEnd w:id="12"/>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color w:val="000000"/>
          <w:kern w:val="2"/>
          <w:sz w:val="32"/>
          <w:szCs w:val="32"/>
          <w:lang w:val="zh-CN" w:eastAsia="zh-CN" w:bidi="ar"/>
        </w:rPr>
      </w:pPr>
    </w:p>
    <w:p>
      <w:pPr>
        <w:spacing w:line="578" w:lineRule="exact"/>
        <w:contextualSpacing/>
        <w:rPr>
          <w:rFonts w:eastAsia="黑体"/>
          <w:szCs w:val="32"/>
        </w:rPr>
      </w:pPr>
    </w:p>
    <w:p>
      <w:pPr>
        <w:spacing w:line="578" w:lineRule="exact"/>
        <w:ind w:firstLine="640" w:firstLineChars="200"/>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color w:val="000000"/>
          <w:kern w:val="2"/>
          <w:sz w:val="32"/>
          <w:szCs w:val="32"/>
          <w:lang w:val="zh-CN" w:eastAsia="zh-CN" w:bidi="ar"/>
        </w:rPr>
        <w:t>附表：部门整体支出绩效目标完成情况自评表</w:t>
      </w:r>
    </w:p>
    <w:p>
      <w:pPr>
        <w:pStyle w:val="2"/>
      </w:pPr>
    </w:p>
    <w:tbl>
      <w:tblPr>
        <w:tblStyle w:val="12"/>
        <w:tblW w:w="10560" w:type="dxa"/>
        <w:jc w:val="center"/>
        <w:tblLayout w:type="fixed"/>
        <w:tblCellMar>
          <w:top w:w="15" w:type="dxa"/>
          <w:left w:w="15" w:type="dxa"/>
          <w:bottom w:w="15" w:type="dxa"/>
          <w:right w:w="15" w:type="dxa"/>
        </w:tblCellMar>
      </w:tblPr>
      <w:tblGrid>
        <w:gridCol w:w="1308"/>
        <w:gridCol w:w="1347"/>
        <w:gridCol w:w="1273"/>
        <w:gridCol w:w="1100"/>
        <w:gridCol w:w="1145"/>
        <w:gridCol w:w="1289"/>
        <w:gridCol w:w="1058"/>
        <w:gridCol w:w="926"/>
        <w:gridCol w:w="1114"/>
      </w:tblGrid>
      <w:tr>
        <w:tblPrEx>
          <w:tblCellMar>
            <w:top w:w="15" w:type="dxa"/>
            <w:left w:w="15" w:type="dxa"/>
            <w:bottom w:w="15" w:type="dxa"/>
            <w:right w:w="15" w:type="dxa"/>
          </w:tblCellMar>
        </w:tblPrEx>
        <w:trPr>
          <w:trHeight w:val="762" w:hRule="exact"/>
          <w:jc w:val="center"/>
        </w:trPr>
        <w:tc>
          <w:tcPr>
            <w:tcW w:w="10560" w:type="dxa"/>
            <w:gridSpan w:val="9"/>
            <w:shd w:val="clear" w:color="auto" w:fill="auto"/>
            <w:vAlign w:val="center"/>
          </w:tcPr>
          <w:p>
            <w:pPr>
              <w:widowControl/>
              <w:spacing w:line="600" w:lineRule="exact"/>
              <w:jc w:val="center"/>
              <w:textAlignment w:val="center"/>
              <w:rPr>
                <w:rFonts w:eastAsia="黑体"/>
                <w:color w:val="000000"/>
                <w:sz w:val="28"/>
                <w:szCs w:val="28"/>
              </w:rPr>
            </w:pPr>
            <w:r>
              <w:rPr>
                <w:rFonts w:eastAsia="方正小标宋简体"/>
                <w:color w:val="000000"/>
                <w:kern w:val="0"/>
                <w:sz w:val="44"/>
                <w:szCs w:val="44"/>
                <w:lang w:bidi="ar"/>
              </w:rPr>
              <w:t>部门整体支出绩效目标完成情况自评表</w:t>
            </w:r>
          </w:p>
        </w:tc>
      </w:tr>
      <w:tr>
        <w:tblPrEx>
          <w:tblCellMar>
            <w:top w:w="15" w:type="dxa"/>
            <w:left w:w="15" w:type="dxa"/>
            <w:bottom w:w="15" w:type="dxa"/>
            <w:right w:w="15" w:type="dxa"/>
          </w:tblCellMar>
        </w:tblPrEx>
        <w:trPr>
          <w:trHeight w:val="23" w:hRule="atLeast"/>
          <w:jc w:val="center"/>
        </w:trPr>
        <w:tc>
          <w:tcPr>
            <w:tcW w:w="10560" w:type="dxa"/>
            <w:gridSpan w:val="9"/>
            <w:shd w:val="clear" w:color="auto" w:fill="auto"/>
            <w:vAlign w:val="center"/>
          </w:tcPr>
          <w:p>
            <w:pPr>
              <w:widowControl/>
              <w:spacing w:line="300" w:lineRule="exact"/>
              <w:jc w:val="center"/>
              <w:textAlignment w:val="center"/>
              <w:rPr>
                <w:rFonts w:eastAsia="宋体"/>
                <w:color w:val="000000"/>
                <w:sz w:val="28"/>
                <w:szCs w:val="28"/>
              </w:rPr>
            </w:pPr>
            <w:r>
              <w:rPr>
                <w:rFonts w:eastAsia="宋体"/>
                <w:color w:val="000000"/>
                <w:kern w:val="0"/>
                <w:sz w:val="28"/>
                <w:szCs w:val="28"/>
                <w:lang w:bidi="ar"/>
              </w:rPr>
              <w:t>（2023年度）</w:t>
            </w:r>
          </w:p>
        </w:tc>
      </w:tr>
      <w:tr>
        <w:tblPrEx>
          <w:tblCellMar>
            <w:top w:w="15" w:type="dxa"/>
            <w:left w:w="15" w:type="dxa"/>
            <w:bottom w:w="15" w:type="dxa"/>
            <w:right w:w="15" w:type="dxa"/>
          </w:tblCellMar>
        </w:tblPrEx>
        <w:trPr>
          <w:trHeight w:val="23" w:hRule="atLeast"/>
          <w:jc w:val="center"/>
        </w:trPr>
        <w:tc>
          <w:tcPr>
            <w:tcW w:w="10560" w:type="dxa"/>
            <w:gridSpan w:val="9"/>
            <w:tcBorders>
              <w:bottom w:val="single" w:color="000000" w:sz="4" w:space="0"/>
            </w:tcBorders>
            <w:shd w:val="clear" w:color="auto" w:fill="auto"/>
            <w:vAlign w:val="center"/>
          </w:tcPr>
          <w:p>
            <w:pPr>
              <w:widowControl/>
              <w:spacing w:line="300" w:lineRule="exact"/>
              <w:jc w:val="right"/>
              <w:textAlignment w:val="center"/>
              <w:rPr>
                <w:rFonts w:eastAsia="宋体"/>
                <w:color w:val="000000"/>
                <w:sz w:val="21"/>
                <w:szCs w:val="21"/>
              </w:rPr>
            </w:pPr>
            <w:r>
              <w:rPr>
                <w:rFonts w:eastAsia="宋体"/>
                <w:color w:val="000000"/>
                <w:kern w:val="0"/>
                <w:sz w:val="21"/>
                <w:szCs w:val="21"/>
                <w:lang w:bidi="ar"/>
              </w:rPr>
              <w:t>单位：万元</w:t>
            </w:r>
          </w:p>
        </w:tc>
      </w:tr>
      <w:tr>
        <w:tblPrEx>
          <w:tblCellMar>
            <w:top w:w="15" w:type="dxa"/>
            <w:left w:w="15" w:type="dxa"/>
            <w:bottom w:w="15" w:type="dxa"/>
            <w:right w:w="15" w:type="dxa"/>
          </w:tblCellMar>
        </w:tblPrEx>
        <w:trPr>
          <w:trHeight w:val="23" w:hRule="atLeast"/>
          <w:jc w:val="center"/>
        </w:trPr>
        <w:tc>
          <w:tcPr>
            <w:tcW w:w="392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部门名称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茂县人民代表大会常务委员会</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年度部门整体支出预算</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资金总额</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财政拨款</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其他资金</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755.63</w:t>
            </w:r>
          </w:p>
        </w:tc>
        <w:tc>
          <w:tcPr>
            <w:tcW w:w="22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755.63</w:t>
            </w:r>
          </w:p>
        </w:tc>
        <w:tc>
          <w:tcPr>
            <w:tcW w:w="438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hint="eastAsia" w:eastAsia="宋体"/>
                <w:color w:val="000000"/>
                <w:sz w:val="24"/>
                <w:lang w:eastAsia="zh-CN"/>
              </w:rPr>
            </w:pPr>
          </w:p>
        </w:tc>
      </w:tr>
      <w:tr>
        <w:tblPrEx>
          <w:tblCellMar>
            <w:top w:w="15" w:type="dxa"/>
            <w:left w:w="15" w:type="dxa"/>
            <w:bottom w:w="15" w:type="dxa"/>
            <w:right w:w="15" w:type="dxa"/>
          </w:tblCellMar>
        </w:tblPrEx>
        <w:trPr>
          <w:trHeight w:val="23" w:hRule="atLeast"/>
          <w:jc w:val="center"/>
        </w:trPr>
        <w:tc>
          <w:tcPr>
            <w:tcW w:w="130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年度总体</w:t>
            </w:r>
          </w:p>
          <w:p>
            <w:pPr>
              <w:widowControl/>
              <w:spacing w:line="300" w:lineRule="exact"/>
              <w:jc w:val="center"/>
              <w:textAlignment w:val="center"/>
              <w:rPr>
                <w:rFonts w:eastAsia="宋体"/>
                <w:color w:val="000000"/>
                <w:sz w:val="24"/>
              </w:rPr>
            </w:pPr>
            <w:r>
              <w:rPr>
                <w:rFonts w:eastAsia="宋体"/>
                <w:color w:val="000000"/>
                <w:kern w:val="0"/>
                <w:sz w:val="24"/>
                <w:lang w:bidi="ar"/>
              </w:rPr>
              <w:t>目标</w:t>
            </w:r>
          </w:p>
        </w:tc>
        <w:tc>
          <w:tcPr>
            <w:tcW w:w="925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kern w:val="0"/>
                <w:sz w:val="24"/>
                <w:lang w:bidi="ar"/>
              </w:rPr>
            </w:pPr>
            <w:r>
              <w:rPr>
                <w:rFonts w:hint="eastAsia" w:eastAsia="宋体"/>
                <w:color w:val="000000"/>
                <w:kern w:val="0"/>
                <w:sz w:val="24"/>
                <w:lang w:bidi="ar"/>
              </w:rPr>
              <w:t>根据我单位法律监督、工作监督、任职任免、重大事项决定的主要职责职能，围绕县委中心大局，依法行使监督权、决定权、任免权，推进人民代表大会制度理论和实践创新。通过人民代表大会制度保证党的路线方针政策和县委决策部署在人大工作中得到全面贯彻、充分体现和有效执行。抓好政府组成部门主要负责人履职评议工作，进一步加强对国家工作人员的监督，增强国家工作人员人大意识、法律意识和责任意识，督促其依法办事，正确行使人民赋予的权力。</w:t>
            </w:r>
          </w:p>
          <w:p>
            <w:pPr>
              <w:widowControl/>
              <w:spacing w:line="300" w:lineRule="exact"/>
              <w:jc w:val="left"/>
              <w:textAlignment w:val="center"/>
              <w:rPr>
                <w:rFonts w:eastAsia="宋体"/>
                <w:color w:val="000000"/>
                <w:sz w:val="24"/>
              </w:rPr>
            </w:pPr>
            <w:r>
              <w:rPr>
                <w:rFonts w:hint="eastAsia" w:eastAsia="宋体"/>
                <w:color w:val="000000"/>
                <w:kern w:val="0"/>
                <w:sz w:val="24"/>
                <w:lang w:bidi="ar"/>
              </w:rPr>
              <w:t>加强对换届选举的组织指导。严格政治纪律，严格依法办事，确保县、镇换届选举工作顺利进行。通过组织调研、视察、接访、走访、代表联络站活动、回原选区述职评议等形式，增强代表活动的针对性和实效性。抓好代表履职积分量化管理，推动代表活动常态化、制度化。加强对人大代表建议、批评、意见办理工作的监督，督促相关承办单位认真办理代表建议、批评和意见，全面提高代表建议办理效率和质量，为茂县改革发展稳定凝聚全县人民的智慧和力量。</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年度主要</w:t>
            </w:r>
          </w:p>
          <w:p>
            <w:pPr>
              <w:widowControl/>
              <w:spacing w:line="300" w:lineRule="exact"/>
              <w:jc w:val="center"/>
              <w:textAlignment w:val="center"/>
              <w:rPr>
                <w:rFonts w:eastAsia="宋体"/>
                <w:color w:val="000000"/>
                <w:sz w:val="24"/>
              </w:rPr>
            </w:pPr>
            <w:r>
              <w:rPr>
                <w:rFonts w:eastAsia="宋体"/>
                <w:color w:val="000000"/>
                <w:kern w:val="0"/>
                <w:sz w:val="24"/>
                <w:lang w:bidi="ar"/>
              </w:rPr>
              <w:t>任务</w:t>
            </w: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任务名称</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主要内容</w:t>
            </w:r>
          </w:p>
        </w:tc>
      </w:tr>
      <w:tr>
        <w:tblPrEx>
          <w:tblCellMar>
            <w:top w:w="15" w:type="dxa"/>
            <w:left w:w="15" w:type="dxa"/>
            <w:bottom w:w="15" w:type="dxa"/>
            <w:right w:w="15" w:type="dxa"/>
          </w:tblCellMar>
        </w:tblPrEx>
        <w:trPr>
          <w:trHeight w:val="23" w:hRule="atLeast"/>
          <w:jc w:val="center"/>
        </w:trPr>
        <w:tc>
          <w:tcPr>
            <w:tcW w:w="1308" w:type="dxa"/>
            <w:vMerge w:val="continue"/>
            <w:tcBorders>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hint="eastAsia" w:eastAsia="宋体"/>
                <w:color w:val="000000"/>
                <w:kern w:val="0"/>
                <w:sz w:val="24"/>
                <w:lang w:bidi="ar"/>
              </w:rPr>
              <w:t>商品和服务支出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hint="eastAsia" w:eastAsia="宋体"/>
                <w:color w:val="000000"/>
                <w:kern w:val="0"/>
                <w:sz w:val="24"/>
                <w:lang w:bidi="ar"/>
              </w:rPr>
              <w:t>公用经费主要包括：办公费、邮电费、差旅费、公务接待费、公务用车运行维护费、会议费、培训费。</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总体目标任务</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根据我单位法律监督、工作监督、任职任免、重大事项决定的主要职责职能，围绕县委中心大局，依法行使监督权、决定权、任免权.</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26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工作福利支出</w:t>
            </w:r>
          </w:p>
        </w:tc>
        <w:tc>
          <w:tcPr>
            <w:tcW w:w="663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人员经费主要包括：基本工资、津贴补贴、奖金、其他社会保障缴费、绩效工资、机关事业单位基本养老保险缴费、职业年金缴费、奖励金、住房公积金。</w:t>
            </w:r>
          </w:p>
        </w:tc>
      </w:tr>
      <w:tr>
        <w:tblPrEx>
          <w:tblCellMar>
            <w:top w:w="15" w:type="dxa"/>
            <w:left w:w="15" w:type="dxa"/>
            <w:bottom w:w="15" w:type="dxa"/>
            <w:right w:w="15" w:type="dxa"/>
          </w:tblCellMar>
        </w:tblPrEx>
        <w:trPr>
          <w:trHeight w:val="23" w:hRule="atLeast"/>
          <w:jc w:val="center"/>
        </w:trPr>
        <w:tc>
          <w:tcPr>
            <w:tcW w:w="130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年度绩效</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一级指标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二级指标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三级指标</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绩效指标</w:t>
            </w:r>
          </w:p>
          <w:p>
            <w:pPr>
              <w:widowControl/>
              <w:spacing w:line="300" w:lineRule="exact"/>
              <w:jc w:val="center"/>
              <w:textAlignment w:val="center"/>
              <w:rPr>
                <w:rFonts w:eastAsia="宋体"/>
                <w:color w:val="000000"/>
                <w:sz w:val="24"/>
              </w:rPr>
            </w:pPr>
            <w:r>
              <w:rPr>
                <w:rFonts w:eastAsia="宋体"/>
                <w:color w:val="000000"/>
                <w:kern w:val="0"/>
                <w:sz w:val="24"/>
                <w:lang w:bidi="ar"/>
              </w:rPr>
              <w:t>性质</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绩效指标值</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绩效度量单位</w:t>
            </w:r>
          </w:p>
        </w:tc>
        <w:tc>
          <w:tcPr>
            <w:tcW w:w="926" w:type="dxa"/>
            <w:tcBorders>
              <w:top w:val="single" w:color="000000" w:sz="4" w:space="0"/>
              <w:left w:val="single" w:color="000000" w:sz="4" w:space="0"/>
              <w:bottom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权重</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实际完成</w:t>
            </w:r>
          </w:p>
          <w:p>
            <w:pPr>
              <w:widowControl/>
              <w:spacing w:line="300" w:lineRule="exact"/>
              <w:jc w:val="center"/>
              <w:textAlignment w:val="center"/>
              <w:rPr>
                <w:rFonts w:eastAsia="宋体"/>
                <w:color w:val="000000"/>
                <w:sz w:val="24"/>
              </w:rPr>
            </w:pPr>
            <w:r>
              <w:rPr>
                <w:rFonts w:eastAsia="宋体"/>
                <w:color w:val="000000"/>
                <w:kern w:val="0"/>
                <w:sz w:val="24"/>
                <w:lang w:bidi="ar"/>
              </w:rPr>
              <w:t>指标值</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产出指标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数量指标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人大机关全年相关经费</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eastAsia" w:eastAsia="宋体"/>
                <w:color w:val="000000"/>
                <w:sz w:val="24"/>
                <w:lang w:eastAsia="zh-CN"/>
              </w:rPr>
            </w:pPr>
            <w:r>
              <w:rPr>
                <w:rFonts w:hint="eastAsia" w:eastAsia="宋体"/>
                <w:color w:val="000000"/>
                <w:kern w:val="0"/>
                <w:sz w:val="24"/>
                <w:lang w:val="en-US" w:eastAsia="zh-CN" w:bidi="ar"/>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bidi="ar"/>
              </w:rPr>
              <w:t>755</w:t>
            </w:r>
            <w:r>
              <w:rPr>
                <w:rFonts w:hint="eastAsia" w:eastAsia="宋体"/>
                <w:color w:val="000000"/>
                <w:kern w:val="0"/>
                <w:sz w:val="24"/>
                <w:lang w:val="en-US" w:eastAsia="zh-CN" w:bidi="ar"/>
              </w:rPr>
              <w:t>.</w:t>
            </w:r>
            <w:r>
              <w:rPr>
                <w:rFonts w:hint="eastAsia" w:eastAsia="宋体"/>
                <w:color w:val="000000"/>
                <w:kern w:val="0"/>
                <w:sz w:val="24"/>
                <w:lang w:bidi="ar"/>
              </w:rPr>
              <w:t>63</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eastAsia="zh-CN" w:bidi="ar"/>
              </w:rPr>
              <w:t>万</w:t>
            </w:r>
            <w:r>
              <w:rPr>
                <w:rFonts w:hint="eastAsia" w:eastAsia="宋体"/>
                <w:color w:val="000000"/>
                <w:kern w:val="0"/>
                <w:sz w:val="24"/>
                <w:lang w:bidi="ar"/>
              </w:rPr>
              <w:t>元</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eastAsia="宋体"/>
                <w:color w:val="000000"/>
                <w:sz w:val="24"/>
              </w:rPr>
            </w:pPr>
            <w:r>
              <w:rPr>
                <w:rFonts w:hint="eastAsia" w:eastAsia="宋体"/>
                <w:color w:val="000000"/>
                <w:kern w:val="0"/>
                <w:sz w:val="24"/>
                <w:lang w:val="en-US" w:eastAsia="zh-CN" w:bidi="ar"/>
              </w:rPr>
              <w:t>20</w:t>
            </w:r>
            <w:r>
              <w:rPr>
                <w:rFonts w:eastAsia="宋体"/>
                <w:color w:val="000000"/>
                <w:kern w:val="0"/>
                <w:sz w:val="24"/>
                <w:lang w:bidi="ar"/>
              </w:rPr>
              <w:t>%</w:t>
            </w:r>
          </w:p>
        </w:tc>
        <w:tc>
          <w:tcPr>
            <w:tcW w:w="1114" w:type="dxa"/>
            <w:tcBorders>
              <w:left w:val="single" w:color="000000" w:sz="4" w:space="0"/>
              <w:bottom w:val="single" w:color="000000" w:sz="4" w:space="0"/>
              <w:right w:val="single" w:color="000000" w:sz="4" w:space="0"/>
            </w:tcBorders>
            <w:shd w:val="clear" w:color="auto" w:fill="auto"/>
            <w:vAlign w:val="center"/>
          </w:tcPr>
          <w:p>
            <w:pPr>
              <w:widowControl/>
              <w:spacing w:line="300" w:lineRule="exact"/>
              <w:jc w:val="left"/>
              <w:textAlignment w:val="center"/>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质量指标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确保人大机关日常运转及发挥好人大代表的履职作用。</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时效指标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按时完成目标任务</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1</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年</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效益指标</w:t>
            </w:r>
          </w:p>
        </w:tc>
        <w:tc>
          <w:tcPr>
            <w:tcW w:w="1273" w:type="dxa"/>
            <w:tcBorders>
              <w:top w:val="single" w:color="000000" w:sz="4" w:space="0"/>
              <w:left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kern w:val="0"/>
                <w:sz w:val="24"/>
                <w:lang w:bidi="ar"/>
              </w:rPr>
            </w:pPr>
            <w:r>
              <w:rPr>
                <w:rFonts w:eastAsia="宋体"/>
                <w:color w:val="000000"/>
                <w:kern w:val="0"/>
                <w:sz w:val="24"/>
                <w:lang w:bidi="ar"/>
              </w:rPr>
              <w:t>社会效益</w:t>
            </w:r>
          </w:p>
          <w:p>
            <w:pPr>
              <w:widowControl/>
              <w:spacing w:line="300" w:lineRule="exact"/>
              <w:jc w:val="center"/>
              <w:textAlignment w:val="center"/>
              <w:rPr>
                <w:rFonts w:eastAsia="宋体"/>
                <w:color w:val="000000"/>
                <w:sz w:val="24"/>
              </w:rPr>
            </w:pPr>
            <w:r>
              <w:rPr>
                <w:rFonts w:eastAsia="宋体"/>
                <w:color w:val="000000"/>
                <w:kern w:val="0"/>
                <w:sz w:val="24"/>
                <w:lang w:bidi="ar"/>
              </w:rPr>
              <w:t>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rPr>
              <w:t>确保全县及各镇代表工作经费的支出</w:t>
            </w:r>
            <w:r>
              <w:rPr>
                <w:rFonts w:hint="eastAsia" w:eastAsia="宋体"/>
                <w:color w:val="000000"/>
                <w:sz w:val="24"/>
                <w:lang w:eastAsia="zh-CN"/>
              </w:rPr>
              <w:t>，提高工作经验，更好的监督“一府一委两院”工作，让全县人民了解政府工作开展情况。</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20%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hint="eastAsia" w:eastAsia="宋体"/>
                <w:color w:val="000000"/>
                <w:kern w:val="0"/>
                <w:sz w:val="24"/>
                <w:lang w:bidi="ar"/>
              </w:rPr>
              <w:t>经济效益指标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代表议案促进经济高质量增长</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lang w:eastAsia="zh-CN"/>
              </w:rPr>
              <w:t>定性</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好</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r>
        <w:tblPrEx>
          <w:tblCellMar>
            <w:top w:w="15" w:type="dxa"/>
            <w:left w:w="15" w:type="dxa"/>
            <w:bottom w:w="15" w:type="dxa"/>
            <w:right w:w="15" w:type="dxa"/>
          </w:tblCellMar>
        </w:tblPrEx>
        <w:trPr>
          <w:trHeight w:val="23" w:hRule="atLeast"/>
          <w:jc w:val="center"/>
        </w:trPr>
        <w:tc>
          <w:tcPr>
            <w:tcW w:w="130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rPr>
                <w:rFonts w:eastAsia="宋体"/>
                <w:color w:val="000000"/>
                <w:sz w:val="24"/>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273"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center"/>
              <w:textAlignment w:val="center"/>
              <w:rPr>
                <w:rFonts w:eastAsia="宋体"/>
                <w:color w:val="000000"/>
                <w:sz w:val="24"/>
              </w:rPr>
            </w:pPr>
            <w:r>
              <w:rPr>
                <w:rFonts w:eastAsia="宋体"/>
                <w:color w:val="000000"/>
                <w:kern w:val="0"/>
                <w:sz w:val="24"/>
                <w:lang w:bidi="ar"/>
              </w:rPr>
              <w:t>满意度指标</w:t>
            </w:r>
          </w:p>
        </w:tc>
        <w:tc>
          <w:tcPr>
            <w:tcW w:w="110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eastAsia="zh-CN"/>
              </w:rPr>
            </w:pPr>
            <w:r>
              <w:rPr>
                <w:rFonts w:hint="eastAsia" w:eastAsia="宋体"/>
                <w:color w:val="000000"/>
                <w:sz w:val="24"/>
                <w:lang w:eastAsia="zh-CN"/>
              </w:rPr>
              <w:t>代表</w:t>
            </w:r>
            <w:r>
              <w:rPr>
                <w:rFonts w:eastAsia="宋体"/>
                <w:color w:val="000000"/>
                <w:kern w:val="0"/>
                <w:sz w:val="24"/>
                <w:lang w:bidi="ar"/>
              </w:rPr>
              <w:t>满意度</w:t>
            </w:r>
          </w:p>
        </w:tc>
        <w:tc>
          <w:tcPr>
            <w:tcW w:w="1145"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eastAsia="宋体"/>
                <w:color w:val="000000"/>
                <w:sz w:val="24"/>
              </w:rPr>
            </w:pPr>
            <w:r>
              <w:rPr>
                <w:rFonts w:hint="eastAsia" w:eastAsia="宋体"/>
                <w:color w:val="000000"/>
                <w:sz w:val="24"/>
              </w:rPr>
              <w:t>≥</w:t>
            </w:r>
          </w:p>
        </w:tc>
        <w:tc>
          <w:tcPr>
            <w:tcW w:w="1289"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99</w:t>
            </w: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eastAsia" w:eastAsia="宋体"/>
                <w:color w:val="000000"/>
                <w:sz w:val="24"/>
                <w:lang w:val="en-US" w:eastAsia="zh-CN"/>
              </w:rPr>
            </w:pPr>
            <w:r>
              <w:rPr>
                <w:rFonts w:hint="eastAsia" w:eastAsia="宋体"/>
                <w:color w:val="000000"/>
                <w:sz w:val="24"/>
                <w:lang w:val="en-US" w:eastAsia="zh-CN"/>
              </w:rPr>
              <w:t>%</w:t>
            </w:r>
          </w:p>
        </w:tc>
        <w:tc>
          <w:tcPr>
            <w:tcW w:w="92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00" w:lineRule="exact"/>
              <w:jc w:val="left"/>
              <w:rPr>
                <w:rFonts w:hint="default" w:eastAsia="宋体"/>
                <w:color w:val="000000"/>
                <w:sz w:val="24"/>
                <w:lang w:val="en-US" w:eastAsia="zh-CN"/>
              </w:rPr>
            </w:pPr>
            <w:r>
              <w:rPr>
                <w:rFonts w:hint="eastAsia" w:eastAsia="宋体"/>
                <w:color w:val="000000"/>
                <w:sz w:val="24"/>
                <w:lang w:val="en-US" w:eastAsia="zh-CN"/>
              </w:rPr>
              <w:t>100%</w:t>
            </w:r>
          </w:p>
        </w:tc>
      </w:tr>
    </w:tbl>
    <w:p>
      <w:pPr>
        <w:pStyle w:val="11"/>
        <w:ind w:left="0" w:leftChars="0" w:firstLine="0" w:firstLineChars="0"/>
        <w:rPr>
          <w:rFonts w:ascii="Times New Roman" w:eastAsia="黑体"/>
          <w:sz w:val="24"/>
          <w:szCs w:val="24"/>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2"/>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spacing w:line="560" w:lineRule="exact"/>
        <w:ind w:firstLine="642" w:firstLineChars="200"/>
        <w:rPr>
          <w:rFonts w:hint="eastAsia" w:ascii="仿宋_GB2312" w:hAnsi="仿宋_GB2312" w:eastAsia="仿宋_GB2312" w:cs="仿宋_GB2312"/>
          <w:color w:val="000000"/>
          <w:kern w:val="2"/>
          <w:sz w:val="32"/>
          <w:szCs w:val="32"/>
          <w:lang w:val="zh-CN" w:eastAsia="zh-CN" w:bidi="ar"/>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color w:val="000000"/>
          <w:kern w:val="2"/>
          <w:sz w:val="32"/>
          <w:szCs w:val="32"/>
          <w:lang w:val="zh-CN" w:eastAsia="zh-CN" w:bidi="ar"/>
        </w:rPr>
        <w:t>2022年度阿坝州社会科学事业专项资金项目：麻风村纪事（专著），成员：袁志平、叶志福，项目编号：ABKT2022094（一般项目）。经专家评审，州社科联党组批准，予以结项。结项等次：合格，根据州社科资金项目资助经费的使用和管理严格按照相关财经制度和《阿坝州社会科学事业专项资金管理办法（试行）》（阿州财教〔2016〕58号）执行，202</w:t>
      </w:r>
      <w:r>
        <w:rPr>
          <w:rFonts w:hint="eastAsia" w:ascii="仿宋_GB2312" w:hAnsi="仿宋_GB2312" w:eastAsia="仿宋_GB2312" w:cs="仿宋_GB2312"/>
          <w:color w:val="000000"/>
          <w:kern w:val="2"/>
          <w:sz w:val="32"/>
          <w:szCs w:val="32"/>
          <w:lang w:val="en-US" w:eastAsia="zh-CN" w:bidi="ar"/>
        </w:rPr>
        <w:t>3</w:t>
      </w:r>
      <w:r>
        <w:rPr>
          <w:rFonts w:hint="eastAsia" w:ascii="仿宋_GB2312" w:hAnsi="仿宋_GB2312" w:eastAsia="仿宋_GB2312" w:cs="仿宋_GB2312"/>
          <w:color w:val="000000"/>
          <w:kern w:val="2"/>
          <w:sz w:val="32"/>
          <w:szCs w:val="32"/>
          <w:lang w:val="zh-CN" w:eastAsia="zh-CN" w:bidi="ar"/>
        </w:rPr>
        <w:t>年预算安排</w:t>
      </w:r>
      <w:r>
        <w:rPr>
          <w:rFonts w:hint="eastAsia" w:ascii="仿宋_GB2312" w:hAnsi="仿宋_GB2312" w:eastAsia="仿宋_GB2312" w:cs="仿宋_GB2312"/>
          <w:color w:val="000000"/>
          <w:kern w:val="2"/>
          <w:sz w:val="32"/>
          <w:szCs w:val="32"/>
          <w:lang w:val="en-US" w:eastAsia="zh-CN" w:bidi="ar"/>
        </w:rPr>
        <w:t>7.5</w:t>
      </w:r>
      <w:r>
        <w:rPr>
          <w:rFonts w:hint="eastAsia" w:ascii="仿宋_GB2312" w:hAnsi="仿宋_GB2312" w:eastAsia="仿宋_GB2312" w:cs="仿宋_GB2312"/>
          <w:color w:val="000000"/>
          <w:kern w:val="2"/>
          <w:sz w:val="32"/>
          <w:szCs w:val="32"/>
          <w:lang w:val="zh-CN" w:eastAsia="zh-CN" w:bidi="ar"/>
        </w:rPr>
        <w:t>万元。</w:t>
      </w:r>
    </w:p>
    <w:p>
      <w:pPr>
        <w:spacing w:line="560"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kern w:val="2"/>
          <w:sz w:val="32"/>
          <w:szCs w:val="32"/>
          <w:lang w:eastAsia="zh-CN"/>
        </w:rPr>
        <w:t>根据</w:t>
      </w:r>
      <w:r>
        <w:rPr>
          <w:rFonts w:hint="eastAsia" w:ascii="仿宋_GB2312" w:hAnsi="仿宋_GB2312" w:eastAsia="仿宋_GB2312" w:cs="仿宋_GB2312"/>
          <w:kern w:val="2"/>
          <w:sz w:val="32"/>
          <w:szCs w:val="32"/>
        </w:rPr>
        <w:t>州社科资金项目资助经费的使用和管理</w:t>
      </w:r>
      <w:r>
        <w:rPr>
          <w:rFonts w:hint="eastAsia" w:ascii="仿宋_GB2312" w:hAnsi="仿宋_GB2312" w:eastAsia="仿宋_GB2312" w:cs="仿宋_GB2312"/>
          <w:kern w:val="2"/>
          <w:sz w:val="32"/>
          <w:szCs w:val="32"/>
          <w:lang w:val="en-US" w:eastAsia="zh-CN"/>
        </w:rPr>
        <w:t>,</w:t>
      </w:r>
      <w:r>
        <w:rPr>
          <w:rFonts w:hint="eastAsia" w:ascii="仿宋_GB2312" w:hAnsi="仿宋_GB2312" w:eastAsia="仿宋_GB2312" w:cs="仿宋_GB2312"/>
          <w:kern w:val="2"/>
          <w:sz w:val="32"/>
          <w:szCs w:val="32"/>
        </w:rPr>
        <w:t>严格按照相关财经制度和《阿坝州社会科学事业专项资金管理办法（试行）》（阿州财教〔2016〕58号）</w:t>
      </w:r>
      <w:r>
        <w:rPr>
          <w:rFonts w:hint="eastAsia" w:ascii="仿宋_GB2312" w:hAnsi="仿宋_GB2312" w:eastAsia="仿宋_GB2312" w:cs="仿宋_GB2312"/>
          <w:kern w:val="2"/>
          <w:sz w:val="32"/>
          <w:szCs w:val="32"/>
          <w:lang w:eastAsia="zh-CN"/>
        </w:rPr>
        <w:t>文件，</w:t>
      </w:r>
      <w:r>
        <w:rPr>
          <w:rFonts w:hint="eastAsia" w:ascii="仿宋_GB2312" w:hAnsi="仿宋_GB2312" w:eastAsia="仿宋_GB2312" w:cs="仿宋_GB2312"/>
          <w:kern w:val="2"/>
          <w:sz w:val="32"/>
          <w:szCs w:val="32"/>
        </w:rPr>
        <w:t>具有现实需求，有明显的经济、社会、环境或可持续性效益等必要性</w:t>
      </w:r>
      <w:r>
        <w:rPr>
          <w:rFonts w:hint="eastAsia" w:ascii="仿宋_GB2312" w:hAnsi="仿宋_GB2312" w:eastAsia="仿宋_GB2312" w:cs="仿宋_GB2312"/>
          <w:kern w:val="2"/>
          <w:sz w:val="32"/>
          <w:szCs w:val="32"/>
          <w:lang w:eastAsia="zh-CN"/>
        </w:rPr>
        <w:t>。</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kern w:val="0"/>
          <w:sz w:val="32"/>
          <w:szCs w:val="32"/>
          <w:shd w:val="clear" w:color="auto" w:fill="FFFFFF"/>
          <w:lang w:val="zh-CN"/>
        </w:rPr>
        <w:t>项目预算安排资金</w:t>
      </w:r>
      <w:r>
        <w:rPr>
          <w:rFonts w:hint="eastAsia" w:ascii="仿宋_GB2312" w:hAnsi="仿宋_GB2312" w:eastAsia="仿宋_GB2312" w:cs="仿宋_GB2312"/>
          <w:kern w:val="0"/>
          <w:sz w:val="32"/>
          <w:szCs w:val="32"/>
          <w:shd w:val="clear" w:color="auto" w:fill="FFFFFF"/>
          <w:lang w:val="en-US" w:eastAsia="zh-CN"/>
        </w:rPr>
        <w:t>7.5万元</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color w:val="auto"/>
          <w:kern w:val="2"/>
          <w:sz w:val="32"/>
          <w:szCs w:val="32"/>
          <w:lang w:val="zh-CN" w:eastAsia="zh-CN" w:bidi="ar-SA"/>
        </w:rPr>
        <w:t>严格按照项目预算批复和财政下达的资金，及时足额</w:t>
      </w:r>
      <w:r>
        <w:rPr>
          <w:rFonts w:hint="default" w:ascii="仿宋_GB2312" w:hAnsi="仿宋_GB2312" w:eastAsia="仿宋_GB2312" w:cs="仿宋_GB2312"/>
          <w:color w:val="auto"/>
          <w:kern w:val="2"/>
          <w:sz w:val="32"/>
          <w:szCs w:val="32"/>
          <w:lang w:eastAsia="zh-CN" w:bidi="ar-SA"/>
        </w:rPr>
        <w:t>拨付</w:t>
      </w:r>
      <w:r>
        <w:rPr>
          <w:rFonts w:hint="eastAsia" w:ascii="仿宋_GB2312" w:hAnsi="仿宋_GB2312" w:eastAsia="仿宋_GB2312" w:cs="仿宋_GB2312"/>
          <w:color w:val="auto"/>
          <w:kern w:val="2"/>
          <w:sz w:val="32"/>
          <w:szCs w:val="32"/>
          <w:lang w:val="zh-CN" w:eastAsia="zh-CN" w:bidi="ar-SA"/>
        </w:rPr>
        <w:t>，做到专款专用、专项核算。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lang w:val="zh-CN"/>
        </w:rPr>
        <w:t>根据</w:t>
      </w:r>
      <w:r>
        <w:rPr>
          <w:rFonts w:hint="eastAsia" w:ascii="仿宋_GB2312" w:hAnsi="仿宋_GB2312" w:eastAsia="仿宋_GB2312" w:cs="仿宋_GB2312"/>
          <w:kern w:val="2"/>
          <w:sz w:val="32"/>
          <w:szCs w:val="32"/>
        </w:rPr>
        <w:t>《阿坝州社会科学事业专项资金管理办法（试行）》（阿州财教〔2016〕58号）</w:t>
      </w:r>
      <w:r>
        <w:rPr>
          <w:rFonts w:hint="eastAsia" w:ascii="仿宋_GB2312" w:hAnsi="仿宋_GB2312" w:eastAsia="仿宋_GB2312" w:cs="仿宋_GB2312"/>
          <w:sz w:val="32"/>
          <w:szCs w:val="32"/>
          <w:lang w:val="zh-CN"/>
        </w:rPr>
        <w:t>文件精神，</w:t>
      </w:r>
      <w:r>
        <w:rPr>
          <w:rFonts w:hint="eastAsia" w:ascii="仿宋_GB2312" w:hAnsi="仿宋_GB2312" w:eastAsia="仿宋_GB2312" w:cs="仿宋_GB2312"/>
          <w:kern w:val="2"/>
          <w:sz w:val="32"/>
          <w:szCs w:val="32"/>
        </w:rPr>
        <w:t>阿坝州社会科学事业专项资金项目</w:t>
      </w:r>
      <w:r>
        <w:rPr>
          <w:rFonts w:hint="eastAsia" w:ascii="仿宋_GB2312" w:hAnsi="仿宋_GB2312" w:eastAsia="仿宋_GB2312" w:cs="仿宋_GB2312"/>
          <w:sz w:val="32"/>
          <w:szCs w:val="32"/>
          <w:lang w:val="zh-CN"/>
        </w:rPr>
        <w:t>主要用于资助为科学决策提供参考、促进经济社会发展的重大应用对策项目，以及社科类社会组织、其他单位的理论界和实际工作部门共同关注的热点难点问题的研究项目。</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sz w:val="32"/>
          <w:szCs w:val="32"/>
          <w:lang w:val="zh-CN" w:eastAsia="zh-CN"/>
        </w:rPr>
        <w:t>使</w:t>
      </w:r>
      <w:r>
        <w:rPr>
          <w:rFonts w:hint="eastAsia" w:ascii="仿宋_GB2312" w:hAnsi="仿宋_GB2312" w:eastAsia="仿宋_GB2312" w:cs="仿宋_GB2312"/>
          <w:kern w:val="2"/>
          <w:sz w:val="32"/>
          <w:szCs w:val="32"/>
        </w:rPr>
        <w:t>社会科学事业</w:t>
      </w:r>
      <w:r>
        <w:rPr>
          <w:rFonts w:hint="eastAsia" w:ascii="仿宋_GB2312" w:hAnsi="仿宋_GB2312" w:eastAsia="仿宋_GB2312" w:cs="仿宋_GB2312"/>
          <w:sz w:val="32"/>
          <w:szCs w:val="32"/>
          <w:lang w:eastAsia="zh-CN"/>
        </w:rPr>
        <w:t>在学术研究、人才培养、社会服务等方面取得了显著成效。资助了一批有重要影响力的研究项目，推动了相关领域的发展;通过培训和交流活动，提高了学会成员的素质和能力,积极开展公益活动，提高了社会对社会科学研究的认知度。</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sz w:val="32"/>
          <w:szCs w:val="32"/>
          <w:lang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adjustRightInd w:val="0"/>
        <w:snapToGrid w:val="0"/>
        <w:spacing w:line="578"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sz w:val="32"/>
          <w:szCs w:val="32"/>
          <w:lang w:val="zh-CN"/>
        </w:rPr>
        <w:t>无</w:t>
      </w:r>
    </w:p>
    <w:p>
      <w:pPr>
        <w:spacing w:line="560"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kern w:val="2"/>
          <w:sz w:val="32"/>
          <w:szCs w:val="32"/>
        </w:rPr>
        <w:t>按照项目支出绩效评价指标体系，自评小组针对申报内容、实施情况、资金兑现、财务管理、社会效益等做出自我评价，认真听取领导建议意见，做好自评工作。</w:t>
      </w:r>
    </w:p>
    <w:p>
      <w:pPr>
        <w:spacing w:line="578"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kern w:val="2"/>
          <w:sz w:val="32"/>
          <w:szCs w:val="32"/>
        </w:rPr>
        <w:t>项目采取自评方式，成立项目自评小组，结合评价内容，做到有计划，有安排，扎实开展本次自评工作。</w:t>
      </w: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kern w:val="2"/>
          <w:sz w:val="32"/>
          <w:szCs w:val="32"/>
          <w:lang w:eastAsia="zh-CN"/>
        </w:rPr>
        <w:t>根据</w:t>
      </w:r>
      <w:r>
        <w:rPr>
          <w:rFonts w:hint="eastAsia" w:ascii="仿宋_GB2312" w:hAnsi="仿宋_GB2312" w:eastAsia="仿宋_GB2312" w:cs="仿宋_GB2312"/>
          <w:kern w:val="2"/>
          <w:sz w:val="32"/>
          <w:szCs w:val="32"/>
        </w:rPr>
        <w:t>州社科资金项目资助经费的使用和管理严格按照相关财经制度和《阿坝州社会科学事业专项资金管理办法（试行）》（阿州财教〔2016〕58号）执行</w:t>
      </w:r>
      <w:r>
        <w:rPr>
          <w:rFonts w:hint="eastAsia" w:ascii="仿宋_GB2312" w:hAnsi="仿宋_GB2312" w:eastAsia="仿宋_GB2312" w:cs="仿宋_GB2312"/>
          <w:kern w:val="2"/>
          <w:sz w:val="32"/>
          <w:szCs w:val="32"/>
          <w:lang w:eastAsia="zh-CN"/>
        </w:rPr>
        <w:t>，</w:t>
      </w:r>
      <w:r>
        <w:rPr>
          <w:rFonts w:hint="eastAsia" w:ascii="仿宋_GB2312" w:hAnsi="仿宋_GB2312" w:eastAsia="仿宋_GB2312" w:cs="仿宋_GB2312"/>
          <w:kern w:val="0"/>
          <w:sz w:val="32"/>
          <w:szCs w:val="32"/>
          <w:shd w:val="clear" w:color="auto" w:fill="FFFFFF"/>
          <w:lang w:val="zh-CN" w:eastAsia="zh-CN"/>
        </w:rPr>
        <w:t>为</w:t>
      </w:r>
      <w:r>
        <w:rPr>
          <w:rFonts w:hint="eastAsia" w:ascii="仿宋_GB2312" w:hAnsi="仿宋_GB2312" w:eastAsia="仿宋_GB2312" w:cs="仿宋_GB2312"/>
          <w:kern w:val="2"/>
          <w:sz w:val="32"/>
          <w:szCs w:val="32"/>
        </w:rPr>
        <w:t>社会科学事业</w:t>
      </w:r>
      <w:r>
        <w:rPr>
          <w:rFonts w:hint="eastAsia" w:ascii="仿宋_GB2312" w:hAnsi="仿宋_GB2312" w:eastAsia="仿宋_GB2312" w:cs="仿宋_GB2312"/>
          <w:kern w:val="0"/>
          <w:sz w:val="32"/>
          <w:szCs w:val="32"/>
          <w:shd w:val="clear" w:color="auto" w:fill="FFFFFF"/>
          <w:lang w:val="zh-CN"/>
        </w:rPr>
        <w:t>提供资金保障，设立此项目。项目设立、调整延续等方面符合资金管理基本规范和决策程序要求。项目规划论证符合省州要求，项目绩效目标设置科学合理。</w:t>
      </w:r>
    </w:p>
    <w:p>
      <w:pPr>
        <w:numPr>
          <w:ilvl w:val="0"/>
          <w:numId w:val="0"/>
        </w:numPr>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项目管理。</w:t>
      </w:r>
      <w:r>
        <w:rPr>
          <w:rFonts w:hint="eastAsia" w:ascii="仿宋_GB2312" w:hAnsi="仿宋_GB2312" w:eastAsia="仿宋_GB2312" w:cs="仿宋_GB2312"/>
          <w:kern w:val="0"/>
          <w:sz w:val="32"/>
          <w:szCs w:val="32"/>
          <w:shd w:val="clear" w:color="auto" w:fill="FFFFFF"/>
          <w:lang w:val="zh-CN" w:eastAsia="zh-CN"/>
        </w:rPr>
        <w:t>按照</w:t>
      </w:r>
      <w:r>
        <w:rPr>
          <w:rFonts w:hint="eastAsia" w:ascii="仿宋_GB2312" w:hAnsi="仿宋_GB2312" w:eastAsia="仿宋_GB2312" w:cs="仿宋_GB2312"/>
          <w:kern w:val="2"/>
          <w:sz w:val="32"/>
          <w:szCs w:val="32"/>
        </w:rPr>
        <w:t>《阿坝州社会科学事业专项资金管理办法（试行）》（阿州财教〔2016〕58号）</w:t>
      </w:r>
      <w:r>
        <w:rPr>
          <w:rFonts w:hint="eastAsia" w:ascii="仿宋_GB2312" w:hAnsi="仿宋_GB2312" w:eastAsia="仿宋_GB2312" w:cs="仿宋_GB2312"/>
          <w:kern w:val="0"/>
          <w:sz w:val="32"/>
          <w:szCs w:val="32"/>
          <w:shd w:val="clear" w:color="auto" w:fill="FFFFFF"/>
          <w:lang w:val="zh-CN"/>
        </w:rPr>
        <w:t>内容合理安排资金，提高资金使用效益，‌以推动哲学社会科学繁荣发展。项目按要求全面完成绩效目标。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color w:val="000000"/>
          <w:sz w:val="32"/>
          <w:szCs w:val="32"/>
          <w:lang w:val="zh-CN" w:eastAsia="zh-CN"/>
        </w:rPr>
        <w:t>依据</w:t>
      </w:r>
      <w:r>
        <w:rPr>
          <w:rFonts w:hint="eastAsia" w:ascii="仿宋_GB2312" w:hAnsi="仿宋_GB2312" w:eastAsia="仿宋_GB2312" w:cs="仿宋_GB2312"/>
          <w:kern w:val="2"/>
          <w:sz w:val="32"/>
          <w:szCs w:val="32"/>
        </w:rPr>
        <w:t>《阿坝州社会科学事业专项资金管理办法（试行）》（阿州财教〔2016〕58号）</w:t>
      </w:r>
      <w:r>
        <w:rPr>
          <w:rFonts w:hint="eastAsia" w:ascii="仿宋_GB2312" w:hAnsi="仿宋_GB2312" w:eastAsia="仿宋_GB2312" w:cs="仿宋_GB2312"/>
          <w:color w:val="000000"/>
          <w:sz w:val="32"/>
          <w:szCs w:val="32"/>
          <w:lang w:val="zh-CN" w:eastAsia="zh-CN"/>
        </w:rPr>
        <w:t>文件精神，预算该项目</w:t>
      </w:r>
      <w:r>
        <w:rPr>
          <w:rFonts w:hint="eastAsia" w:ascii="仿宋_GB2312" w:hAnsi="仿宋_GB2312" w:eastAsia="仿宋_GB2312" w:cs="仿宋_GB2312"/>
          <w:kern w:val="2"/>
          <w:sz w:val="32"/>
          <w:szCs w:val="32"/>
          <w:lang w:val="zh-CN" w:eastAsia="zh-CN"/>
        </w:rPr>
        <w:t>资金共计为</w:t>
      </w:r>
      <w:r>
        <w:rPr>
          <w:rFonts w:hint="eastAsia" w:ascii="仿宋_GB2312" w:hAnsi="仿宋_GB2312" w:eastAsia="仿宋_GB2312" w:cs="仿宋_GB2312"/>
          <w:kern w:val="2"/>
          <w:sz w:val="32"/>
          <w:szCs w:val="32"/>
          <w:lang w:val="en-US" w:eastAsia="zh-CN"/>
        </w:rPr>
        <w:t>7.5</w:t>
      </w:r>
      <w:r>
        <w:rPr>
          <w:rFonts w:hint="eastAsia" w:ascii="仿宋_GB2312" w:hAnsi="仿宋_GB2312" w:eastAsia="仿宋_GB2312" w:cs="仿宋_GB2312"/>
          <w:kern w:val="2"/>
          <w:sz w:val="32"/>
          <w:szCs w:val="32"/>
          <w:lang w:val="zh-CN" w:eastAsia="zh-CN"/>
        </w:rPr>
        <w:t>万元。按照有关财务制度进行管理，确保专款专用，严格管理。</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项目结果。</w:t>
      </w:r>
      <w:r>
        <w:rPr>
          <w:rFonts w:hint="eastAsia" w:ascii="仿宋_GB2312" w:hAnsi="仿宋_GB2312" w:eastAsia="仿宋_GB2312" w:cs="仿宋_GB2312"/>
          <w:color w:val="auto"/>
          <w:kern w:val="2"/>
          <w:sz w:val="32"/>
          <w:szCs w:val="32"/>
          <w:lang w:val="zh-CN" w:eastAsia="zh-CN" w:bidi="ar-SA"/>
        </w:rPr>
        <w:t>严格按照项目资金管理办法，</w:t>
      </w:r>
      <w:r>
        <w:rPr>
          <w:rFonts w:hint="eastAsia" w:ascii="仿宋_GB2312" w:hAnsi="仿宋_GB2312" w:eastAsia="仿宋_GB2312" w:cs="仿宋_GB2312"/>
          <w:sz w:val="32"/>
          <w:szCs w:val="32"/>
          <w:lang w:val="zh-CN"/>
        </w:rPr>
        <w:t>资金实际支出</w:t>
      </w:r>
      <w:r>
        <w:rPr>
          <w:rFonts w:hint="eastAsia" w:ascii="仿宋_GB2312" w:hAnsi="仿宋_GB2312" w:eastAsia="仿宋_GB2312" w:cs="仿宋_GB2312"/>
          <w:kern w:val="2"/>
          <w:sz w:val="32"/>
          <w:szCs w:val="32"/>
          <w:lang w:val="en-US" w:eastAsia="zh-CN"/>
        </w:rPr>
        <w:t>7.5</w:t>
      </w:r>
      <w:r>
        <w:rPr>
          <w:rFonts w:hint="eastAsia" w:ascii="仿宋_GB2312" w:hAnsi="仿宋_GB2312" w:eastAsia="仿宋_GB2312" w:cs="仿宋_GB2312"/>
          <w:kern w:val="2"/>
          <w:sz w:val="32"/>
          <w:szCs w:val="32"/>
          <w:lang w:val="zh-CN" w:eastAsia="zh-CN"/>
        </w:rPr>
        <w:t>万元。</w:t>
      </w:r>
      <w:r>
        <w:rPr>
          <w:rFonts w:hint="eastAsia" w:ascii="仿宋_GB2312" w:hAnsi="仿宋_GB2312" w:eastAsia="仿宋_GB2312" w:cs="仿宋_GB2312"/>
          <w:sz w:val="32"/>
          <w:szCs w:val="32"/>
          <w:lang w:val="zh-CN"/>
        </w:rPr>
        <w:t>资金支付依据合规合法，资金支付与预算相符。</w:t>
      </w:r>
    </w:p>
    <w:p>
      <w:pPr>
        <w:spacing w:line="578"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1.产业发展。</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3.基础设施。</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r>
        <w:rPr>
          <w:rFonts w:hint="eastAsia" w:ascii="仿宋_GB2312" w:hAnsi="仿宋_GB2312" w:eastAsia="仿宋_GB2312" w:cs="仿宋_GB2312"/>
          <w:color w:val="auto"/>
          <w:kern w:val="2"/>
          <w:sz w:val="32"/>
          <w:szCs w:val="32"/>
          <w:lang w:val="zh-CN" w:eastAsia="zh-CN" w:bidi="ar-SA"/>
        </w:rPr>
        <w:t>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kern w:val="0"/>
          <w:sz w:val="32"/>
          <w:szCs w:val="32"/>
          <w:shd w:val="clear" w:color="auto" w:fill="FFFFFF"/>
          <w:lang w:val="zh-CN"/>
        </w:rPr>
        <w:t>绩效分析。</w:t>
      </w:r>
      <w:r>
        <w:rPr>
          <w:rFonts w:hint="eastAsia" w:ascii="仿宋_GB2312" w:hAnsi="仿宋_GB2312" w:eastAsia="仿宋_GB2312" w:cs="仿宋_GB2312"/>
          <w:sz w:val="32"/>
          <w:szCs w:val="32"/>
          <w:lang w:val="zh-CN"/>
        </w:rPr>
        <w:t>无</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zh-CN"/>
        </w:rPr>
        <w:t>加强项目管理，按照项目方案完成工作，达到项目目标，各项指标均达到年度要求，完成率较好，在项目管理上执行多种举措督促监管，做到了项目建设规范有序，项目运行效果明显。</w:t>
      </w:r>
      <w:r>
        <w:rPr>
          <w:rFonts w:hint="eastAsia" w:ascii="仿宋_GB2312" w:hAnsi="仿宋_GB2312" w:eastAsia="仿宋_GB2312" w:cs="仿宋_GB2312"/>
          <w:color w:val="auto"/>
          <w:kern w:val="2"/>
          <w:sz w:val="32"/>
          <w:szCs w:val="32"/>
          <w:lang w:val="zh-CN" w:eastAsia="zh-CN" w:bidi="ar-SA"/>
        </w:rPr>
        <w:t>申请项目指标总计</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color w:val="auto"/>
          <w:kern w:val="2"/>
          <w:sz w:val="32"/>
          <w:szCs w:val="32"/>
          <w:lang w:val="zh-CN" w:eastAsia="zh-CN" w:bidi="ar-SA"/>
        </w:rPr>
        <w:t>万元，到位</w:t>
      </w:r>
      <w:r>
        <w:rPr>
          <w:rFonts w:hint="eastAsia" w:ascii="仿宋_GB2312" w:hAnsi="仿宋_GB2312" w:eastAsia="仿宋_GB2312" w:cs="仿宋_GB2312"/>
          <w:sz w:val="32"/>
          <w:szCs w:val="32"/>
          <w:lang w:val="en-US" w:eastAsia="zh-CN"/>
        </w:rPr>
        <w:t>7.5</w:t>
      </w:r>
      <w:r>
        <w:rPr>
          <w:rFonts w:hint="eastAsia" w:ascii="仿宋_GB2312" w:hAnsi="仿宋_GB2312" w:eastAsia="仿宋_GB2312" w:cs="仿宋_GB2312"/>
          <w:color w:val="auto"/>
          <w:kern w:val="2"/>
          <w:sz w:val="32"/>
          <w:szCs w:val="32"/>
          <w:lang w:val="zh-CN" w:eastAsia="zh-CN" w:bidi="ar-SA"/>
        </w:rPr>
        <w:t>万元，使用率100%，现已全部顺利完成，在项目管理上严格按照项目预算批复，项目批复后严格按专项资金有关规定执行。在项目完成上严格按照申报计划和批复要求进行实施，目标任务已完成。</w:t>
      </w:r>
    </w:p>
    <w:p>
      <w:pPr>
        <w:pStyle w:val="5"/>
        <w:tabs>
          <w:tab w:val="left" w:pos="2160"/>
        </w:tabs>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五、存在主要问题</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0"/>
          <w:sz w:val="32"/>
          <w:szCs w:val="32"/>
          <w:lang w:eastAsia="zh-CN"/>
        </w:rPr>
        <w:t>无</w:t>
      </w:r>
    </w:p>
    <w:p>
      <w:pPr>
        <w:pStyle w:val="5"/>
        <w:tabs>
          <w:tab w:val="left" w:pos="2160"/>
        </w:tabs>
        <w:spacing w:line="600" w:lineRule="exact"/>
        <w:ind w:firstLine="640" w:firstLineChars="200"/>
        <w:rPr>
          <w:rFonts w:hint="eastAsia" w:ascii="仿宋_GB2312" w:hAnsi="仿宋_GB2312" w:eastAsia="仿宋_GB2312" w:cs="仿宋_GB2312"/>
          <w:position w:val="0"/>
          <w:sz w:val="32"/>
          <w:szCs w:val="32"/>
          <w:lang w:val="zh-CN" w:eastAsia="zh-CN"/>
        </w:rPr>
      </w:pPr>
      <w:r>
        <w:rPr>
          <w:rFonts w:hint="eastAsia" w:ascii="黑体" w:hAnsi="黑体" w:eastAsia="黑体" w:cs="黑体"/>
          <w:kern w:val="2"/>
          <w:sz w:val="32"/>
          <w:szCs w:val="32"/>
          <w:lang w:val="zh-CN" w:eastAsia="zh-CN" w:bidi="ar-SA"/>
        </w:rPr>
        <w:t>六、改进建议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0"/>
          <w:sz w:val="32"/>
          <w:szCs w:val="32"/>
          <w:lang w:eastAsia="zh-CN"/>
        </w:rPr>
        <w:t>无</w:t>
      </w:r>
    </w:p>
    <w:p>
      <w:pPr>
        <w:tabs>
          <w:tab w:val="left" w:pos="1911"/>
        </w:tabs>
        <w:jc w:val="left"/>
        <w:rPr>
          <w:rFonts w:hint="eastAsia" w:ascii="仿宋_GB2312" w:hAnsi="仿宋_GB2312" w:eastAsia="仿宋_GB2312" w:cs="仿宋_GB2312"/>
          <w:kern w:val="0"/>
          <w:sz w:val="32"/>
          <w:szCs w:val="32"/>
          <w:lang w:val="en" w:eastAsia="zh-CN"/>
        </w:rPr>
      </w:pPr>
      <w:r>
        <w:rPr>
          <w:rFonts w:hint="eastAsia" w:ascii="仿宋_GB2312" w:hAnsi="仿宋_GB2312" w:eastAsia="仿宋_GB2312" w:cs="仿宋_GB2312"/>
          <w:kern w:val="0"/>
          <w:sz w:val="32"/>
          <w:szCs w:val="32"/>
          <w:shd w:val="clear" w:color="auto" w:fill="FFFFFF"/>
          <w:lang w:val="zh-CN"/>
        </w:rPr>
        <w:t xml:space="preserve"> </w:t>
      </w:r>
      <w:r>
        <w:rPr>
          <w:rFonts w:hint="eastAsia" w:ascii="仿宋_GB2312" w:hAnsi="仿宋_GB2312" w:eastAsia="仿宋_GB2312" w:cs="仿宋_GB2312"/>
          <w:kern w:val="0"/>
          <w:sz w:val="32"/>
          <w:szCs w:val="32"/>
        </w:rPr>
        <w:t xml:space="preserve">   </w:t>
      </w:r>
      <w:bookmarkStart w:id="13" w:name="_Hlk110546638"/>
    </w:p>
    <w:bookmarkEnd w:id="13"/>
    <w:p>
      <w:pPr>
        <w:snapToGrid w:val="0"/>
        <w:spacing w:line="578" w:lineRule="exact"/>
        <w:ind w:firstLine="640" w:firstLineChars="200"/>
        <w:rPr>
          <w:rFonts w:hint="eastAsia" w:ascii="仿宋_GB2312" w:hAnsi="仿宋_GB2312" w:eastAsia="仿宋_GB2312" w:cs="仿宋_GB2312"/>
          <w:color w:val="000000"/>
          <w:kern w:val="0"/>
          <w:sz w:val="32"/>
          <w:szCs w:val="32"/>
          <w:shd w:val="clear" w:color="auto" w:fill="FFFFFF"/>
          <w:lang w:val="zh-CN"/>
        </w:rPr>
      </w:pPr>
    </w:p>
    <w:p>
      <w:pPr>
        <w:pStyle w:val="21"/>
        <w:rPr>
          <w:rFonts w:hint="eastAsia" w:ascii="仿宋_GB2312" w:hAnsi="仿宋_GB2312" w:eastAsia="仿宋_GB2312" w:cs="仿宋_GB2312"/>
          <w:color w:val="000000"/>
          <w:kern w:val="0"/>
          <w:sz w:val="32"/>
          <w:szCs w:val="32"/>
          <w:shd w:val="clear" w:color="auto" w:fill="FFFFFF"/>
          <w:lang w:val="zh-CN"/>
        </w:rPr>
      </w:pPr>
    </w:p>
    <w:p>
      <w:pPr>
        <w:rPr>
          <w:rFonts w:hint="eastAsia" w:ascii="仿宋_GB2312" w:hAnsi="仿宋_GB2312" w:eastAsia="仿宋_GB2312" w:cs="仿宋_GB2312"/>
          <w:color w:val="000000"/>
          <w:kern w:val="0"/>
          <w:sz w:val="32"/>
          <w:szCs w:val="32"/>
          <w:shd w:val="clear" w:color="auto" w:fill="FFFFFF"/>
          <w:lang w:val="zh-CN"/>
        </w:rPr>
      </w:pPr>
    </w:p>
    <w:p>
      <w:pPr>
        <w:pStyle w:val="21"/>
        <w:rPr>
          <w:rFonts w:hint="eastAsia" w:ascii="仿宋_GB2312" w:hAnsi="仿宋_GB2312" w:eastAsia="仿宋_GB2312" w:cs="仿宋_GB2312"/>
          <w:color w:val="000000"/>
          <w:kern w:val="0"/>
          <w:sz w:val="32"/>
          <w:szCs w:val="32"/>
          <w:shd w:val="clear" w:color="auto" w:fill="FFFFFF"/>
          <w:lang w:val="zh-CN"/>
        </w:rPr>
      </w:pPr>
    </w:p>
    <w:p>
      <w:pPr>
        <w:rPr>
          <w:rFonts w:hint="eastAsia" w:ascii="仿宋_GB2312" w:hAnsi="仿宋_GB2312" w:eastAsia="仿宋_GB2312" w:cs="仿宋_GB2312"/>
          <w:color w:val="000000"/>
          <w:kern w:val="0"/>
          <w:sz w:val="32"/>
          <w:szCs w:val="32"/>
          <w:shd w:val="clear" w:color="auto" w:fill="FFFFFF"/>
          <w:lang w:val="zh-CN"/>
        </w:rPr>
      </w:pPr>
    </w:p>
    <w:p>
      <w:pPr>
        <w:pStyle w:val="21"/>
        <w:rPr>
          <w:rFonts w:hint="eastAsia" w:ascii="仿宋_GB2312" w:hAnsi="仿宋_GB2312" w:eastAsia="仿宋_GB2312" w:cs="仿宋_GB2312"/>
          <w:color w:val="000000"/>
          <w:kern w:val="0"/>
          <w:sz w:val="32"/>
          <w:szCs w:val="32"/>
          <w:shd w:val="clear" w:color="auto" w:fill="FFFFFF"/>
          <w:lang w:val="zh-CN"/>
        </w:rPr>
      </w:pPr>
    </w:p>
    <w:p>
      <w:pPr>
        <w:rPr>
          <w:rFonts w:hint="eastAsia" w:ascii="仿宋_GB2312" w:hAnsi="仿宋_GB2312" w:eastAsia="仿宋_GB2312" w:cs="仿宋_GB2312"/>
          <w:color w:val="000000"/>
          <w:kern w:val="0"/>
          <w:sz w:val="32"/>
          <w:szCs w:val="32"/>
          <w:shd w:val="clear" w:color="auto" w:fill="FFFFFF"/>
          <w:lang w:val="zh-CN"/>
        </w:rPr>
      </w:pPr>
    </w:p>
    <w:tbl>
      <w:tblPr>
        <w:tblStyle w:val="12"/>
        <w:tblpPr w:leftFromText="180" w:rightFromText="180" w:vertAnchor="text" w:horzAnchor="page" w:tblpX="1005" w:tblpY="754"/>
        <w:tblOverlap w:val="never"/>
        <w:tblW w:w="10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8"/>
        <w:gridCol w:w="1492"/>
        <w:gridCol w:w="1284"/>
        <w:gridCol w:w="1360"/>
        <w:gridCol w:w="524"/>
        <w:gridCol w:w="584"/>
        <w:gridCol w:w="1015"/>
        <w:gridCol w:w="900"/>
        <w:gridCol w:w="510"/>
        <w:gridCol w:w="486"/>
        <w:gridCol w:w="14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51322324T000010252710-2022年度阿坝州社会科学事业专项资金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21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w:t>
            </w:r>
          </w:p>
        </w:tc>
        <w:tc>
          <w:tcPr>
            <w:tcW w:w="90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7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9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6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2022年度阿坝州社会科学事业专项资金</w:t>
            </w:r>
          </w:p>
        </w:tc>
        <w:tc>
          <w:tcPr>
            <w:tcW w:w="3373"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州社科资金项目资助经费的使用和管理严格按照相关财经制度和《阿坝州社会科学事业专项资金管理办法（试行）》（阿州财教〔2016〕58号）执行，2023年预算安排7.5万元。严格按照项目预算批复和财政下达的资金，及时足额</w:t>
            </w:r>
            <w:r>
              <w:rPr>
                <w:rFonts w:hint="default" w:ascii="宋体" w:hAnsi="宋体" w:eastAsia="宋体" w:cs="宋体"/>
                <w:i w:val="0"/>
                <w:iCs w:val="0"/>
                <w:color w:val="000000"/>
                <w:kern w:val="0"/>
                <w:sz w:val="18"/>
                <w:szCs w:val="18"/>
                <w:u w:val="none"/>
                <w:lang w:eastAsia="zh-CN" w:bidi="ar"/>
              </w:rPr>
              <w:t>拨付</w:t>
            </w:r>
            <w:r>
              <w:rPr>
                <w:rFonts w:hint="eastAsia" w:ascii="宋体" w:hAnsi="宋体" w:eastAsia="宋体" w:cs="宋体"/>
                <w:i w:val="0"/>
                <w:iCs w:val="0"/>
                <w:color w:val="000000"/>
                <w:kern w:val="0"/>
                <w:sz w:val="18"/>
                <w:szCs w:val="18"/>
                <w:u w:val="none"/>
                <w:lang w:val="en-US" w:eastAsia="zh-CN" w:bidi="ar"/>
              </w:rPr>
              <w:t>，做到专款专用、专项核算。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4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据《阿坝州社会科学事业专项资金管理办法（试行）》（阿州财教〔2016〕58号）文件精神，阿坝州社会科学事业专项资金项目主要用于资助为科学决策提供参考、促进经济社会发展的重大应用对策项目，以及社科类社会组织、其他单位的理论界和实际工作部门共同关注的热点难点问题的研究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7.50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212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按时完成专项资金的支出</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推动社会科学事业，纪实历史</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0" w:hRule="atLeast"/>
        </w:trPr>
        <w:tc>
          <w:tcPr>
            <w:tcW w:w="6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2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3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w:t>
            </w:r>
          </w:p>
        </w:tc>
        <w:tc>
          <w:tcPr>
            <w:tcW w:w="5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0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78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7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7.5万元，到位7.5万元，使用率100%，现已全部顺利完成，在项目管理上严格按照项目预算批复，项目批复后严格按专项资金有关规定执行。在项目完成上严格按照申报计划和批复要求进行实施，目标任务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34" w:hRule="atLeast"/>
        </w:trPr>
        <w:tc>
          <w:tcPr>
            <w:tcW w:w="6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963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34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97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pPr>
        <w:snapToGrid w:val="0"/>
        <w:spacing w:line="578" w:lineRule="exact"/>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rPr>
          <w:rFonts w:hint="eastAsia" w:ascii="仿宋_GB2312" w:hAnsi="仿宋_GB2312" w:eastAsia="仿宋_GB2312" w:cs="仿宋_GB2312"/>
          <w:color w:val="000000"/>
          <w:kern w:val="0"/>
          <w:sz w:val="32"/>
          <w:szCs w:val="32"/>
          <w:shd w:val="clear" w:color="auto" w:fill="FFFFFF"/>
          <w:lang w:val="zh-CN"/>
        </w:rPr>
      </w:pPr>
    </w:p>
    <w:p>
      <w:pPr>
        <w:snapToGrid w:val="0"/>
        <w:spacing w:line="578" w:lineRule="exact"/>
        <w:rPr>
          <w:rFonts w:hint="eastAsia" w:ascii="仿宋_GB2312" w:hAnsi="仿宋_GB2312" w:eastAsia="仿宋_GB2312" w:cs="仿宋_GB2312"/>
          <w:color w:val="000000"/>
          <w:kern w:val="0"/>
          <w:sz w:val="32"/>
          <w:szCs w:val="32"/>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widowControl/>
        <w:adjustRightInd w:val="0"/>
        <w:snapToGrid w:val="0"/>
        <w:spacing w:line="578" w:lineRule="exact"/>
        <w:contextualSpacing/>
        <w:jc w:val="left"/>
        <w:rPr>
          <w:rFonts w:hint="eastAsia" w:ascii="黑体" w:hAnsi="黑体" w:eastAsia="黑体" w:cs="黑体"/>
          <w:kern w:val="0"/>
          <w:shd w:val="clear" w:color="auto" w:fill="FFFFFF"/>
          <w:lang w:val="zh-CN"/>
        </w:rPr>
      </w:pPr>
    </w:p>
    <w:p>
      <w:pPr>
        <w:pStyle w:val="21"/>
        <w:rPr>
          <w:rFonts w:hint="eastAsia" w:ascii="黑体" w:hAnsi="黑体" w:eastAsia="黑体" w:cs="黑体"/>
          <w:kern w:val="0"/>
          <w:shd w:val="clear" w:color="auto" w:fill="FFFFFF"/>
          <w:lang w:val="zh-CN"/>
        </w:rPr>
      </w:pPr>
    </w:p>
    <w:p>
      <w:pPr>
        <w:rPr>
          <w:rFonts w:hint="eastAsia" w:ascii="黑体" w:hAnsi="黑体" w:eastAsia="黑体" w:cs="黑体"/>
          <w:kern w:val="0"/>
          <w:shd w:val="clear" w:color="auto" w:fill="FFFFFF"/>
          <w:lang w:val="zh-CN"/>
        </w:rPr>
      </w:pPr>
    </w:p>
    <w:p>
      <w:pPr>
        <w:pStyle w:val="21"/>
        <w:rPr>
          <w:rFonts w:hint="eastAsia" w:ascii="黑体" w:hAnsi="黑体" w:eastAsia="黑体" w:cs="黑体"/>
          <w:kern w:val="0"/>
          <w:shd w:val="clear" w:color="auto" w:fill="FFFFFF"/>
          <w:lang w:val="zh-CN"/>
        </w:rPr>
      </w:pPr>
    </w:p>
    <w:p>
      <w:pPr>
        <w:rPr>
          <w:rFonts w:hint="eastAsia" w:ascii="黑体" w:hAnsi="黑体" w:eastAsia="黑体" w:cs="黑体"/>
          <w:kern w:val="0"/>
          <w:shd w:val="clear" w:color="auto" w:fill="FFFFFF"/>
          <w:lang w:val="zh-CN"/>
        </w:rPr>
      </w:pPr>
    </w:p>
    <w:p>
      <w:pPr>
        <w:pStyle w:val="21"/>
        <w:rPr>
          <w:rFonts w:hint="eastAsia" w:ascii="黑体" w:hAnsi="黑体" w:eastAsia="黑体" w:cs="黑体"/>
          <w:kern w:val="0"/>
          <w:shd w:val="clear" w:color="auto" w:fill="FFFFFF"/>
          <w:lang w:val="zh-CN"/>
        </w:rPr>
      </w:pPr>
    </w:p>
    <w:p>
      <w:pPr>
        <w:rPr>
          <w:rFonts w:hint="eastAsia" w:ascii="黑体" w:hAnsi="黑体" w:eastAsia="黑体" w:cs="黑体"/>
          <w:kern w:val="0"/>
          <w:shd w:val="clear" w:color="auto" w:fill="FFFFFF"/>
          <w:lang w:val="zh-CN"/>
        </w:rPr>
      </w:pPr>
    </w:p>
    <w:p>
      <w:pPr>
        <w:pStyle w:val="21"/>
        <w:rPr>
          <w:rFonts w:hint="eastAsia" w:ascii="黑体" w:hAnsi="黑体" w:eastAsia="黑体" w:cs="黑体"/>
          <w:kern w:val="0"/>
          <w:shd w:val="clear" w:color="auto" w:fill="FFFFFF"/>
          <w:lang w:val="zh-CN"/>
        </w:rPr>
      </w:pPr>
    </w:p>
    <w:p>
      <w:pPr>
        <w:rPr>
          <w:rFonts w:hint="eastAsia" w:ascii="黑体" w:hAnsi="黑体" w:eastAsia="黑体" w:cs="黑体"/>
          <w:kern w:val="0"/>
          <w:shd w:val="clear" w:color="auto" w:fill="FFFFFF"/>
          <w:lang w:val="zh-CN"/>
        </w:rPr>
      </w:pPr>
    </w:p>
    <w:p>
      <w:pPr>
        <w:pStyle w:val="21"/>
        <w:rPr>
          <w:rFonts w:hint="eastAsia"/>
          <w:lang w:val="zh-CN"/>
        </w:rPr>
      </w:pPr>
    </w:p>
    <w:p>
      <w:pPr>
        <w:pStyle w:val="2"/>
        <w:rPr>
          <w:rFonts w:hint="eastAsia"/>
        </w:rPr>
      </w:pPr>
    </w:p>
    <w:p>
      <w:pPr>
        <w:rPr>
          <w:rFonts w:hint="eastAsia"/>
        </w:rPr>
      </w:pPr>
    </w:p>
    <w:p>
      <w:pPr>
        <w:pStyle w:val="22"/>
        <w:spacing w:line="578" w:lineRule="exact"/>
        <w:jc w:val="center"/>
        <w:rPr>
          <w:rFonts w:hint="eastAsia" w:ascii="方正小标宋简体" w:hAnsi="方正小标宋简体" w:eastAsia="方正小标宋简体" w:cs="方正小标宋简体"/>
          <w:color w:val="auto"/>
          <w:kern w:val="2"/>
          <w:sz w:val="44"/>
          <w:szCs w:val="44"/>
          <w:lang w:val="en-US" w:eastAsia="zh-CN"/>
        </w:rPr>
      </w:pPr>
      <w:r>
        <w:rPr>
          <w:rFonts w:hint="eastAsia" w:ascii="方正小标宋简体" w:hAnsi="方正小标宋简体" w:eastAsia="方正小标宋简体" w:cs="方正小标宋简体"/>
          <w:color w:val="auto"/>
          <w:kern w:val="2"/>
          <w:sz w:val="44"/>
          <w:szCs w:val="44"/>
          <w:lang w:val="en-US" w:eastAsia="zh-CN"/>
        </w:rPr>
        <w:t>茂县人大常委会办公室</w:t>
      </w:r>
    </w:p>
    <w:p>
      <w:pPr>
        <w:pStyle w:val="22"/>
        <w:spacing w:line="578" w:lineRule="exact"/>
        <w:jc w:val="center"/>
        <w:rPr>
          <w:rFonts w:ascii="方正小标宋简体" w:hAnsi="方正小标宋简体" w:eastAsia="方正小标宋简体" w:cs="方正小标宋简体"/>
          <w:color w:val="auto"/>
          <w:kern w:val="2"/>
          <w:sz w:val="44"/>
          <w:szCs w:val="44"/>
          <w:lang w:val="en-US"/>
        </w:rPr>
      </w:pPr>
      <w:r>
        <w:rPr>
          <w:rFonts w:hint="eastAsia" w:ascii="方正小标宋简体" w:hAnsi="方正小标宋简体" w:eastAsia="方正小标宋简体" w:cs="方正小标宋简体"/>
          <w:color w:val="auto"/>
          <w:kern w:val="2"/>
          <w:sz w:val="44"/>
          <w:szCs w:val="44"/>
          <w:lang w:val="en-US"/>
        </w:rPr>
        <w:t>专项预算项目绩效评价报告</w:t>
      </w:r>
    </w:p>
    <w:p>
      <w:pPr>
        <w:pStyle w:val="22"/>
        <w:spacing w:line="578" w:lineRule="exact"/>
        <w:ind w:firstLine="640"/>
        <w:jc w:val="center"/>
        <w:rPr>
          <w:rFonts w:ascii="宋体" w:hAnsi="宋体"/>
          <w:color w:val="auto"/>
          <w:kern w:val="2"/>
          <w:sz w:val="32"/>
          <w:szCs w:val="32"/>
        </w:rPr>
      </w:pP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一、</w:t>
      </w:r>
      <w:r>
        <w:rPr>
          <w:rFonts w:hint="eastAsia" w:ascii="黑体" w:hAnsi="黑体" w:eastAsia="黑体" w:cs="黑体"/>
          <w:sz w:val="32"/>
          <w:szCs w:val="32"/>
          <w:lang w:val="zh-CN"/>
        </w:rPr>
        <w:t>项目概况</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sz w:val="32"/>
          <w:szCs w:val="32"/>
          <w:lang w:val="zh-CN"/>
        </w:rPr>
        <w:t>（一）设立背景及基本情况。</w:t>
      </w:r>
      <w:r>
        <w:rPr>
          <w:rFonts w:hint="eastAsia" w:ascii="仿宋_GB2312" w:hAnsi="仿宋_GB2312" w:eastAsia="仿宋_GB2312" w:cs="仿宋_GB2312"/>
          <w:kern w:val="2"/>
          <w:sz w:val="32"/>
          <w:szCs w:val="32"/>
        </w:rPr>
        <w:t>县级以上各级人大代表根据本级人大常委会统</w:t>
      </w:r>
      <w:r>
        <w:rPr>
          <w:rFonts w:hint="eastAsia" w:ascii="仿宋_GB2312" w:hAnsi="仿宋_GB2312" w:eastAsia="仿宋_GB2312" w:cs="仿宋_GB2312"/>
          <w:kern w:val="2"/>
          <w:sz w:val="32"/>
          <w:szCs w:val="32"/>
          <w:lang w:eastAsia="zh-CN"/>
        </w:rPr>
        <w:t>筹</w:t>
      </w:r>
      <w:r>
        <w:rPr>
          <w:rFonts w:hint="eastAsia" w:ascii="仿宋_GB2312" w:hAnsi="仿宋_GB2312" w:eastAsia="仿宋_GB2312" w:cs="仿宋_GB2312"/>
          <w:kern w:val="2"/>
          <w:sz w:val="32"/>
          <w:szCs w:val="32"/>
        </w:rPr>
        <w:t>安排，对本级或有关单位的工作进行视察。县级</w:t>
      </w:r>
      <w:r>
        <w:rPr>
          <w:rFonts w:hint="eastAsia" w:ascii="仿宋_GB2312" w:hAnsi="仿宋_GB2312" w:eastAsia="仿宋_GB2312" w:cs="仿宋_GB2312"/>
          <w:kern w:val="2"/>
          <w:sz w:val="32"/>
          <w:szCs w:val="32"/>
          <w:lang w:eastAsia="zh-CN"/>
        </w:rPr>
        <w:t>辖区范围内的</w:t>
      </w:r>
      <w:r>
        <w:rPr>
          <w:rFonts w:hint="eastAsia" w:ascii="仿宋_GB2312" w:hAnsi="仿宋_GB2312" w:eastAsia="仿宋_GB2312" w:cs="仿宋_GB2312"/>
          <w:kern w:val="2"/>
          <w:sz w:val="32"/>
          <w:szCs w:val="32"/>
        </w:rPr>
        <w:t>各级人大代表根据安排，围绕有关重大问</w:t>
      </w:r>
      <w:r>
        <w:rPr>
          <w:rFonts w:hint="eastAsia" w:ascii="仿宋_GB2312" w:hAnsi="仿宋_GB2312" w:eastAsia="仿宋_GB2312" w:cs="仿宋_GB2312"/>
          <w:kern w:val="2"/>
          <w:sz w:val="32"/>
          <w:szCs w:val="32"/>
          <w:lang w:eastAsia="zh-CN"/>
        </w:rPr>
        <w:t>题</w:t>
      </w:r>
      <w:r>
        <w:rPr>
          <w:rFonts w:hint="eastAsia" w:ascii="仿宋_GB2312" w:hAnsi="仿宋_GB2312" w:eastAsia="仿宋_GB2312" w:cs="仿宋_GB2312"/>
          <w:kern w:val="2"/>
          <w:sz w:val="32"/>
          <w:szCs w:val="32"/>
        </w:rPr>
        <w:t>开展专</w:t>
      </w:r>
      <w:r>
        <w:rPr>
          <w:rFonts w:hint="eastAsia" w:ascii="仿宋_GB2312" w:hAnsi="仿宋_GB2312" w:eastAsia="仿宋_GB2312" w:cs="仿宋_GB2312"/>
          <w:kern w:val="2"/>
          <w:sz w:val="32"/>
          <w:szCs w:val="32"/>
          <w:lang w:eastAsia="zh-CN"/>
        </w:rPr>
        <w:t>项</w:t>
      </w:r>
      <w:r>
        <w:rPr>
          <w:rFonts w:hint="eastAsia" w:ascii="仿宋_GB2312" w:hAnsi="仿宋_GB2312" w:eastAsia="仿宋_GB2312" w:cs="仿宋_GB2312"/>
          <w:kern w:val="2"/>
          <w:sz w:val="32"/>
          <w:szCs w:val="32"/>
        </w:rPr>
        <w:t>调研。</w:t>
      </w:r>
      <w:r>
        <w:rPr>
          <w:rFonts w:hint="eastAsia" w:ascii="仿宋_GB2312" w:hAnsi="仿宋_GB2312" w:eastAsia="仿宋_GB2312" w:cs="仿宋_GB2312"/>
          <w:kern w:val="2"/>
          <w:sz w:val="32"/>
          <w:szCs w:val="32"/>
          <w:lang w:val="zh-CN" w:eastAsia="zh-CN"/>
        </w:rPr>
        <w:t>统一视察、持证视察、专题调研、列席常委会会议和专门委员会会议、参加常委会组织的执法检查和其他活动、列席原选举单位的代表大会会议或者应邀列席其常委会会议、联系原选区选民或者原选举单位等。</w:t>
      </w:r>
      <w:r>
        <w:rPr>
          <w:rFonts w:hint="eastAsia" w:ascii="仿宋_GB2312" w:hAnsi="仿宋_GB2312" w:eastAsia="仿宋_GB2312" w:cs="仿宋_GB2312"/>
          <w:color w:val="000000"/>
          <w:sz w:val="32"/>
          <w:szCs w:val="32"/>
          <w:lang w:val="zh-CN" w:eastAsia="zh-CN"/>
        </w:rPr>
        <w:t>依据阿委发【2016】1号文件精神，为代表履职提供资金保障，该项目</w:t>
      </w:r>
      <w:r>
        <w:rPr>
          <w:rFonts w:hint="eastAsia" w:ascii="仿宋_GB2312" w:hAnsi="仿宋_GB2312" w:eastAsia="仿宋_GB2312" w:cs="仿宋_GB2312"/>
          <w:kern w:val="2"/>
          <w:sz w:val="32"/>
          <w:szCs w:val="32"/>
          <w:lang w:val="zh-CN" w:eastAsia="zh-CN"/>
        </w:rPr>
        <w:t>资金共计为</w:t>
      </w:r>
      <w:r>
        <w:rPr>
          <w:rFonts w:hint="eastAsia" w:ascii="仿宋_GB2312" w:hAnsi="仿宋_GB2312" w:eastAsia="仿宋_GB2312" w:cs="仿宋_GB2312"/>
          <w:kern w:val="2"/>
          <w:sz w:val="32"/>
          <w:szCs w:val="32"/>
          <w:lang w:val="en-US" w:eastAsia="zh-CN"/>
        </w:rPr>
        <w:t>21.46</w:t>
      </w:r>
      <w:r>
        <w:rPr>
          <w:rFonts w:hint="eastAsia" w:ascii="仿宋_GB2312" w:hAnsi="仿宋_GB2312" w:eastAsia="仿宋_GB2312" w:cs="仿宋_GB2312"/>
          <w:kern w:val="2"/>
          <w:sz w:val="32"/>
          <w:szCs w:val="32"/>
          <w:lang w:val="zh-CN" w:eastAsia="zh-CN"/>
        </w:rPr>
        <w:t>万元。</w:t>
      </w:r>
    </w:p>
    <w:p>
      <w:pPr>
        <w:adjustRightInd w:val="0"/>
        <w:snapToGrid w:val="0"/>
        <w:spacing w:line="578" w:lineRule="exact"/>
        <w:ind w:firstLine="642" w:firstLineChars="200"/>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实施目的及支持方向。</w:t>
      </w:r>
      <w:r>
        <w:rPr>
          <w:rFonts w:hint="eastAsia" w:ascii="仿宋_GB2312" w:hAnsi="仿宋_GB2312" w:eastAsia="仿宋_GB2312" w:cs="仿宋_GB2312"/>
          <w:color w:val="000000"/>
          <w:sz w:val="32"/>
          <w:szCs w:val="32"/>
          <w:lang w:val="en-US" w:eastAsia="zh-CN"/>
        </w:rPr>
        <w:t>人大</w:t>
      </w:r>
      <w:r>
        <w:rPr>
          <w:rFonts w:hint="eastAsia" w:ascii="仿宋_GB2312" w:hAnsi="仿宋_GB2312" w:eastAsia="仿宋_GB2312" w:cs="仿宋_GB2312"/>
          <w:color w:val="000000"/>
          <w:sz w:val="32"/>
          <w:szCs w:val="32"/>
          <w:lang w:val="zh-CN" w:eastAsia="zh-CN"/>
        </w:rPr>
        <w:t>代表工作</w:t>
      </w:r>
      <w:r>
        <w:rPr>
          <w:rFonts w:hint="eastAsia" w:ascii="仿宋_GB2312" w:hAnsi="仿宋_GB2312" w:eastAsia="仿宋_GB2312" w:cs="仿宋_GB2312"/>
          <w:color w:val="000000"/>
          <w:sz w:val="32"/>
          <w:szCs w:val="32"/>
          <w:lang w:val="zh-CN"/>
        </w:rPr>
        <w:t>主要内容是</w:t>
      </w:r>
      <w:r>
        <w:rPr>
          <w:rFonts w:hint="eastAsia" w:ascii="仿宋_GB2312" w:hAnsi="仿宋_GB2312" w:eastAsia="仿宋_GB2312" w:cs="仿宋_GB2312"/>
          <w:kern w:val="2"/>
          <w:sz w:val="32"/>
          <w:szCs w:val="32"/>
        </w:rPr>
        <w:t>代表参加人大</w:t>
      </w:r>
      <w:r>
        <w:rPr>
          <w:rFonts w:hint="eastAsia" w:ascii="仿宋_GB2312" w:hAnsi="仿宋_GB2312" w:eastAsia="仿宋_GB2312" w:cs="仿宋_GB2312"/>
          <w:kern w:val="2"/>
          <w:sz w:val="32"/>
          <w:szCs w:val="32"/>
          <w:lang w:eastAsia="zh-CN"/>
        </w:rPr>
        <w:t>及其常委会</w:t>
      </w:r>
      <w:r>
        <w:rPr>
          <w:rFonts w:hint="eastAsia" w:ascii="仿宋_GB2312" w:hAnsi="仿宋_GB2312" w:eastAsia="仿宋_GB2312" w:cs="仿宋_GB2312"/>
          <w:kern w:val="2"/>
          <w:sz w:val="32"/>
          <w:szCs w:val="32"/>
        </w:rPr>
        <w:t>的各种会议，</w:t>
      </w:r>
      <w:r>
        <w:rPr>
          <w:rFonts w:hint="eastAsia" w:ascii="仿宋_GB2312" w:hAnsi="仿宋_GB2312" w:eastAsia="仿宋_GB2312" w:cs="仿宋_GB2312"/>
          <w:kern w:val="2"/>
          <w:sz w:val="32"/>
          <w:szCs w:val="32"/>
          <w:lang w:eastAsia="zh-CN"/>
        </w:rPr>
        <w:t>参加审议各项议案、报告和其他议题，发表意见。根据《中华人民共和国全国人民代表大会和地方各级人民代表大会代表法》、《中华人民共和国地方各级人民代表大会和地方各级人民政府组织法》有关规定，参照《茂县行政事业单位差旅费管理办法》及《茂县党政机关国内公务接待管理实施细则》的相关要求，结合实际制定了相关办法</w:t>
      </w:r>
      <w:r>
        <w:rPr>
          <w:rFonts w:hint="eastAsia" w:ascii="仿宋_GB2312" w:hAnsi="仿宋_GB2312" w:eastAsia="仿宋_GB2312" w:cs="仿宋_GB2312"/>
          <w:kern w:val="0"/>
          <w:sz w:val="32"/>
          <w:szCs w:val="32"/>
          <w:shd w:val="clear" w:color="auto" w:fill="FFFFFF"/>
          <w:lang w:val="zh-CN"/>
        </w:rPr>
        <w:t>，进一步规范了茂县人大</w:t>
      </w:r>
      <w:r>
        <w:rPr>
          <w:rFonts w:hint="eastAsia" w:ascii="仿宋_GB2312" w:hAnsi="仿宋_GB2312" w:eastAsia="仿宋_GB2312" w:cs="仿宋_GB2312"/>
          <w:kern w:val="0"/>
          <w:sz w:val="32"/>
          <w:szCs w:val="32"/>
          <w:shd w:val="clear" w:color="auto" w:fill="FFFFFF"/>
          <w:lang w:val="zh-CN" w:eastAsia="zh-CN"/>
        </w:rPr>
        <w:t>代表</w:t>
      </w:r>
      <w:r>
        <w:rPr>
          <w:rFonts w:hint="eastAsia" w:ascii="仿宋_GB2312" w:hAnsi="仿宋_GB2312" w:eastAsia="仿宋_GB2312" w:cs="仿宋_GB2312"/>
          <w:kern w:val="0"/>
          <w:sz w:val="32"/>
          <w:szCs w:val="32"/>
          <w:shd w:val="clear" w:color="auto" w:fill="FFFFFF"/>
          <w:lang w:val="zh-CN"/>
        </w:rPr>
        <w:t>工作经费的管理和使用，切实保障人大</w:t>
      </w:r>
      <w:r>
        <w:rPr>
          <w:rFonts w:hint="eastAsia" w:ascii="仿宋_GB2312" w:hAnsi="仿宋_GB2312" w:eastAsia="仿宋_GB2312" w:cs="仿宋_GB2312"/>
          <w:kern w:val="0"/>
          <w:sz w:val="32"/>
          <w:szCs w:val="32"/>
          <w:shd w:val="clear" w:color="auto" w:fill="FFFFFF"/>
          <w:lang w:val="zh-CN" w:eastAsia="zh-CN"/>
        </w:rPr>
        <w:t>代表</w:t>
      </w:r>
      <w:r>
        <w:rPr>
          <w:rFonts w:hint="eastAsia" w:ascii="仿宋_GB2312" w:hAnsi="仿宋_GB2312" w:eastAsia="仿宋_GB2312" w:cs="仿宋_GB2312"/>
          <w:kern w:val="0"/>
          <w:sz w:val="32"/>
          <w:szCs w:val="32"/>
          <w:shd w:val="clear" w:color="auto" w:fill="FFFFFF"/>
          <w:lang w:val="zh-CN"/>
        </w:rPr>
        <w:t>工作的正常运转，提高了代表依法履职的主动性与积极性。</w:t>
      </w:r>
    </w:p>
    <w:p>
      <w:pPr>
        <w:widowControl/>
        <w:adjustRightInd w:val="0"/>
        <w:snapToGrid w:val="0"/>
        <w:spacing w:line="578" w:lineRule="exact"/>
        <w:ind w:firstLine="642"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预算安排及分配管理</w:t>
      </w:r>
      <w:r>
        <w:rPr>
          <w:rFonts w:hint="eastAsia" w:ascii="仿宋_GB2312" w:hAnsi="仿宋_GB2312" w:eastAsia="仿宋_GB2312" w:cs="仿宋_GB2312"/>
          <w:b/>
          <w:sz w:val="32"/>
          <w:szCs w:val="32"/>
          <w:lang w:val="zh-CN"/>
        </w:rPr>
        <w:t>。</w:t>
      </w:r>
      <w:r>
        <w:rPr>
          <w:rFonts w:hint="eastAsia" w:ascii="仿宋_GB2312" w:hAnsi="仿宋_GB2312" w:eastAsia="仿宋_GB2312" w:cs="仿宋_GB2312"/>
          <w:kern w:val="0"/>
          <w:sz w:val="32"/>
          <w:szCs w:val="32"/>
          <w:shd w:val="clear" w:color="auto" w:fill="FFFFFF"/>
          <w:lang w:val="zh-CN"/>
        </w:rPr>
        <w:t>项目预算安排资金</w:t>
      </w:r>
      <w:r>
        <w:rPr>
          <w:rFonts w:hint="eastAsia" w:ascii="仿宋_GB2312" w:hAnsi="仿宋_GB2312" w:eastAsia="仿宋_GB2312" w:cs="仿宋_GB2312"/>
          <w:kern w:val="0"/>
          <w:sz w:val="32"/>
          <w:szCs w:val="32"/>
          <w:shd w:val="clear" w:color="auto" w:fill="FFFFFF"/>
          <w:lang w:val="en-US" w:eastAsia="zh-CN"/>
        </w:rPr>
        <w:t>21.46万元</w:t>
      </w:r>
      <w:r>
        <w:rPr>
          <w:rFonts w:hint="eastAsia" w:ascii="仿宋_GB2312" w:hAnsi="仿宋_GB2312" w:eastAsia="仿宋_GB2312" w:cs="仿宋_GB2312"/>
          <w:kern w:val="0"/>
          <w:sz w:val="32"/>
          <w:szCs w:val="32"/>
          <w:shd w:val="clear" w:color="auto" w:fill="FFFFFF"/>
          <w:lang w:val="zh-CN"/>
        </w:rPr>
        <w:t>，</w:t>
      </w:r>
      <w:r>
        <w:rPr>
          <w:rFonts w:hint="eastAsia" w:ascii="仿宋_GB2312" w:hAnsi="仿宋_GB2312" w:eastAsia="仿宋_GB2312" w:cs="仿宋_GB2312"/>
          <w:color w:val="auto"/>
          <w:kern w:val="2"/>
          <w:sz w:val="32"/>
          <w:szCs w:val="32"/>
          <w:lang w:val="zh-CN" w:eastAsia="zh-CN" w:bidi="ar-SA"/>
        </w:rPr>
        <w:t>严格按照项目预算批复和财政下达的资金，及时足额</w:t>
      </w:r>
      <w:r>
        <w:rPr>
          <w:rFonts w:hint="default" w:ascii="仿宋_GB2312" w:hAnsi="仿宋_GB2312" w:eastAsia="仿宋_GB2312" w:cs="仿宋_GB2312"/>
          <w:color w:val="auto"/>
          <w:kern w:val="2"/>
          <w:sz w:val="32"/>
          <w:szCs w:val="32"/>
          <w:lang w:eastAsia="zh-CN" w:bidi="ar-SA"/>
        </w:rPr>
        <w:t>拨付</w:t>
      </w:r>
      <w:r>
        <w:rPr>
          <w:rFonts w:hint="eastAsia" w:ascii="仿宋_GB2312" w:hAnsi="仿宋_GB2312" w:eastAsia="仿宋_GB2312" w:cs="仿宋_GB2312"/>
          <w:color w:val="auto"/>
          <w:kern w:val="2"/>
          <w:sz w:val="32"/>
          <w:szCs w:val="32"/>
          <w:lang w:val="zh-CN" w:eastAsia="zh-CN" w:bidi="ar-SA"/>
        </w:rPr>
        <w:t>，做到专款专用、专项核算。</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（四）项目绩效目标设置。</w:t>
      </w:r>
      <w:r>
        <w:rPr>
          <w:rFonts w:hint="eastAsia" w:ascii="仿宋_GB2312" w:hAnsi="仿宋_GB2312" w:eastAsia="仿宋_GB2312" w:cs="仿宋_GB2312"/>
          <w:sz w:val="32"/>
          <w:szCs w:val="32"/>
          <w:lang w:val="zh-CN"/>
        </w:rPr>
        <w:t>为确保县、镇两级人大相关工作的顺利推进，增强基层人大代表履职的积极性与主动性，使工作能够正常运转的必要保障，每年按照进度有效使用，让它达到了最有效的使用效果。</w:t>
      </w:r>
    </w:p>
    <w:p>
      <w:pPr>
        <w:adjustRightInd w:val="0"/>
        <w:snapToGrid w:val="0"/>
        <w:spacing w:line="578"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二、评价实施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（一）评价目的。</w:t>
      </w:r>
      <w:r>
        <w:rPr>
          <w:rFonts w:hint="eastAsia" w:ascii="仿宋_GB2312" w:hAnsi="仿宋_GB2312" w:eastAsia="仿宋_GB2312" w:cs="仿宋_GB2312"/>
          <w:sz w:val="32"/>
          <w:szCs w:val="32"/>
          <w:lang w:val="zh-CN"/>
        </w:rPr>
        <w:t>确保县、镇两级人大相关工作的顺利推进，增强基层人大代表履职的积极性与主动性，发挥好人大代表的作用，进一步监督县、镇人民政府各项工作的开展，保证国家权力体现人民的意志。</w:t>
      </w:r>
    </w:p>
    <w:p>
      <w:pPr>
        <w:adjustRightInd w:val="0"/>
        <w:snapToGrid w:val="0"/>
        <w:spacing w:line="578" w:lineRule="exact"/>
        <w:ind w:firstLine="642"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（二）预设问题及评价重点。</w:t>
      </w:r>
      <w:r>
        <w:rPr>
          <w:rFonts w:hint="eastAsia" w:ascii="仿宋_GB2312" w:hAnsi="仿宋_GB2312" w:eastAsia="仿宋_GB2312" w:cs="仿宋_GB2312"/>
          <w:sz w:val="32"/>
          <w:szCs w:val="32"/>
          <w:lang w:eastAsia="zh-CN"/>
        </w:rPr>
        <w:t>项目资金使用、拨付符合国家财经法规、财务管理制度及有关专项资金管理制度办法规定和审批程序，不存在超范围、超标准、超进度使用专项资金，不存在资金损失浪费、长期沉淀、截留、挤占、挪用、虚列支出等情况，项目实施遵守相关法律法规。</w:t>
      </w:r>
    </w:p>
    <w:p>
      <w:pPr>
        <w:adjustRightInd w:val="0"/>
        <w:snapToGrid w:val="0"/>
        <w:spacing w:line="578"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（三）评价选点。</w:t>
      </w:r>
      <w:r>
        <w:rPr>
          <w:rFonts w:hint="eastAsia" w:ascii="仿宋_GB2312" w:hAnsi="仿宋_GB2312" w:eastAsia="仿宋_GB2312" w:cs="仿宋_GB2312"/>
          <w:sz w:val="32"/>
          <w:szCs w:val="32"/>
          <w:lang w:val="zh-CN"/>
        </w:rPr>
        <w:t>无</w:t>
      </w:r>
    </w:p>
    <w:p>
      <w:pPr>
        <w:spacing w:line="560" w:lineRule="exact"/>
        <w:ind w:firstLine="642" w:firstLineChars="200"/>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sz w:val="32"/>
          <w:szCs w:val="32"/>
          <w:lang w:val="zh-CN"/>
        </w:rPr>
        <w:t>（四）评价方法。</w:t>
      </w:r>
      <w:r>
        <w:rPr>
          <w:rFonts w:hint="eastAsia" w:ascii="仿宋_GB2312" w:hAnsi="仿宋_GB2312" w:eastAsia="仿宋_GB2312" w:cs="仿宋_GB2312"/>
          <w:kern w:val="2"/>
          <w:sz w:val="32"/>
          <w:szCs w:val="32"/>
        </w:rPr>
        <w:t>按照项目支出绩效评价指标体系，自评小组针对申报内容、实施情况、资金兑现、财务管理、社会效益等做出自我评价，认真听取领导建议意见，做好自评工作。</w:t>
      </w:r>
    </w:p>
    <w:p>
      <w:pPr>
        <w:spacing w:line="578" w:lineRule="exact"/>
        <w:ind w:firstLine="640"/>
        <w:rPr>
          <w:rFonts w:hint="eastAsia" w:ascii="仿宋_GB2312" w:hAnsi="仿宋_GB2312" w:eastAsia="仿宋_GB2312" w:cs="仿宋_GB2312"/>
          <w:sz w:val="32"/>
          <w:szCs w:val="32"/>
        </w:rPr>
      </w:pPr>
    </w:p>
    <w:p>
      <w:pPr>
        <w:spacing w:line="578"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
          <w:sz w:val="32"/>
          <w:szCs w:val="32"/>
          <w:lang w:val="zh-CN"/>
        </w:rPr>
        <w:t>（五）评价组织。</w:t>
      </w:r>
      <w:r>
        <w:rPr>
          <w:rFonts w:hint="eastAsia" w:ascii="仿宋_GB2312" w:hAnsi="仿宋_GB2312" w:eastAsia="仿宋_GB2312" w:cs="仿宋_GB2312"/>
          <w:kern w:val="2"/>
          <w:sz w:val="32"/>
          <w:szCs w:val="32"/>
        </w:rPr>
        <w:t>项目采取自评方式，成立项目自评小组，结合评价内容，做到有计划，有安排，扎实开展本次自评工作。</w:t>
      </w:r>
    </w:p>
    <w:p>
      <w:pPr>
        <w:adjustRightInd w:val="0"/>
        <w:snapToGrid w:val="0"/>
        <w:spacing w:line="578" w:lineRule="exact"/>
        <w:ind w:firstLine="640" w:firstLineChars="200"/>
        <w:rPr>
          <w:rFonts w:hint="eastAsia" w:ascii="黑体" w:hAnsi="黑体" w:eastAsia="黑体" w:cs="黑体"/>
          <w:sz w:val="32"/>
          <w:szCs w:val="32"/>
          <w:lang w:val="zh-CN"/>
        </w:rPr>
      </w:pPr>
      <w:r>
        <w:rPr>
          <w:rFonts w:hint="eastAsia" w:ascii="黑体" w:hAnsi="黑体" w:eastAsia="黑体" w:cs="黑体"/>
          <w:sz w:val="32"/>
          <w:szCs w:val="32"/>
        </w:rPr>
        <w:t>三、绩效分析</w:t>
      </w:r>
      <w:r>
        <w:rPr>
          <w:rFonts w:hint="eastAsia" w:ascii="黑体" w:hAnsi="黑体" w:eastAsia="黑体" w:cs="黑体"/>
          <w:sz w:val="32"/>
          <w:szCs w:val="32"/>
          <w:lang w:val="zh-CN"/>
        </w:rPr>
        <w:tab/>
      </w:r>
    </w:p>
    <w:p>
      <w:pPr>
        <w:spacing w:line="578" w:lineRule="exact"/>
        <w:ind w:firstLine="64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zh-CN"/>
        </w:rPr>
        <w:t>（一）</w:t>
      </w:r>
      <w:r>
        <w:rPr>
          <w:rFonts w:hint="eastAsia" w:ascii="仿宋_GB2312" w:hAnsi="仿宋_GB2312" w:eastAsia="仿宋_GB2312" w:cs="仿宋_GB2312"/>
          <w:b/>
          <w:sz w:val="32"/>
          <w:szCs w:val="32"/>
        </w:rPr>
        <w:t>通用指标</w:t>
      </w:r>
      <w:r>
        <w:rPr>
          <w:rFonts w:hint="eastAsia" w:ascii="仿宋_GB2312" w:hAnsi="仿宋_GB2312" w:eastAsia="仿宋_GB2312" w:cs="仿宋_GB2312"/>
          <w:b/>
          <w:bCs/>
          <w:color w:val="000000"/>
          <w:kern w:val="0"/>
          <w:sz w:val="32"/>
          <w:szCs w:val="32"/>
          <w:shd w:val="clear" w:color="auto" w:fill="FFFFFF"/>
          <w:lang w:val="zh-CN"/>
        </w:rPr>
        <w:t>绩效分析。</w:t>
      </w:r>
    </w:p>
    <w:p>
      <w:pPr>
        <w:adjustRightInd w:val="0"/>
        <w:snapToGrid w:val="0"/>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1.项目决策。</w:t>
      </w:r>
      <w:r>
        <w:rPr>
          <w:rFonts w:hint="eastAsia" w:ascii="仿宋_GB2312" w:hAnsi="仿宋_GB2312" w:eastAsia="仿宋_GB2312" w:cs="仿宋_GB2312"/>
          <w:kern w:val="2"/>
          <w:sz w:val="32"/>
          <w:szCs w:val="32"/>
          <w:lang w:eastAsia="zh-CN"/>
        </w:rPr>
        <w:t>根据《中华人民共和国全国人民代表大会和地方各级人民代表大会代表法》、《中华人民共和国地方各级人民代表大会和地方各级人民政府组织法》有关规定，</w:t>
      </w:r>
      <w:r>
        <w:rPr>
          <w:rFonts w:hint="eastAsia" w:ascii="仿宋_GB2312" w:hAnsi="仿宋_GB2312" w:eastAsia="仿宋_GB2312" w:cs="仿宋_GB2312"/>
          <w:kern w:val="0"/>
          <w:sz w:val="32"/>
          <w:szCs w:val="32"/>
          <w:shd w:val="clear" w:color="auto" w:fill="FFFFFF"/>
          <w:lang w:val="zh-CN" w:eastAsia="zh-CN"/>
        </w:rPr>
        <w:t>为</w:t>
      </w:r>
      <w:r>
        <w:rPr>
          <w:rFonts w:hint="eastAsia" w:ascii="仿宋_GB2312" w:hAnsi="仿宋_GB2312" w:eastAsia="仿宋_GB2312" w:cs="仿宋_GB2312"/>
          <w:kern w:val="0"/>
          <w:sz w:val="32"/>
          <w:szCs w:val="32"/>
          <w:shd w:val="clear" w:color="auto" w:fill="FFFFFF"/>
          <w:lang w:val="zh-CN"/>
        </w:rPr>
        <w:t>代表依法履职提供资金保障，设立此项目。项目设立、调整延续等方面符合资金管理基本规范和决策程序要求。项目规划论证符合省州要求，项目绩效目标设置科学合理。</w:t>
      </w:r>
    </w:p>
    <w:p>
      <w:pPr>
        <w:numPr>
          <w:ilvl w:val="0"/>
          <w:numId w:val="0"/>
        </w:numPr>
        <w:spacing w:line="578" w:lineRule="exact"/>
        <w:ind w:firstLine="640" w:firstLineChars="200"/>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项目管理。</w:t>
      </w:r>
      <w:r>
        <w:rPr>
          <w:rFonts w:hint="eastAsia" w:ascii="仿宋_GB2312" w:hAnsi="仿宋_GB2312" w:eastAsia="仿宋_GB2312" w:cs="仿宋_GB2312"/>
          <w:kern w:val="0"/>
          <w:sz w:val="32"/>
          <w:szCs w:val="32"/>
          <w:shd w:val="clear" w:color="auto" w:fill="FFFFFF"/>
          <w:lang w:val="zh-CN" w:eastAsia="zh-CN"/>
        </w:rPr>
        <w:t>按照代表</w:t>
      </w:r>
      <w:r>
        <w:rPr>
          <w:rFonts w:hint="eastAsia" w:ascii="仿宋_GB2312" w:hAnsi="仿宋_GB2312" w:eastAsia="仿宋_GB2312" w:cs="仿宋_GB2312"/>
          <w:kern w:val="0"/>
          <w:sz w:val="32"/>
          <w:szCs w:val="32"/>
          <w:shd w:val="clear" w:color="auto" w:fill="FFFFFF"/>
          <w:lang w:val="zh-CN"/>
        </w:rPr>
        <w:t>每年参加四次代表小组活动、代表集中培训、代表联系群众、代表视察等活动内容合理安排资金。项目按要求全面完成绩效目标。</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sz w:val="32"/>
          <w:szCs w:val="32"/>
        </w:rPr>
        <w:t>3.项目实施。</w:t>
      </w:r>
      <w:r>
        <w:rPr>
          <w:rFonts w:hint="eastAsia" w:ascii="仿宋_GB2312" w:hAnsi="仿宋_GB2312" w:eastAsia="仿宋_GB2312" w:cs="仿宋_GB2312"/>
          <w:color w:val="000000"/>
          <w:sz w:val="32"/>
          <w:szCs w:val="32"/>
          <w:lang w:val="zh-CN" w:eastAsia="zh-CN"/>
        </w:rPr>
        <w:t>依据阿委发【2016】1号文件精神，预算该项目</w:t>
      </w:r>
      <w:r>
        <w:rPr>
          <w:rFonts w:hint="eastAsia" w:ascii="仿宋_GB2312" w:hAnsi="仿宋_GB2312" w:eastAsia="仿宋_GB2312" w:cs="仿宋_GB2312"/>
          <w:kern w:val="2"/>
          <w:sz w:val="32"/>
          <w:szCs w:val="32"/>
          <w:lang w:val="zh-CN" w:eastAsia="zh-CN"/>
        </w:rPr>
        <w:t>资金共计为</w:t>
      </w:r>
      <w:r>
        <w:rPr>
          <w:rFonts w:hint="eastAsia" w:ascii="仿宋_GB2312" w:hAnsi="仿宋_GB2312" w:eastAsia="仿宋_GB2312" w:cs="仿宋_GB2312"/>
          <w:kern w:val="2"/>
          <w:sz w:val="32"/>
          <w:szCs w:val="32"/>
          <w:lang w:val="en-US" w:eastAsia="zh-CN"/>
        </w:rPr>
        <w:t>21.46</w:t>
      </w:r>
      <w:r>
        <w:rPr>
          <w:rFonts w:hint="eastAsia" w:ascii="仿宋_GB2312" w:hAnsi="仿宋_GB2312" w:eastAsia="仿宋_GB2312" w:cs="仿宋_GB2312"/>
          <w:kern w:val="2"/>
          <w:sz w:val="32"/>
          <w:szCs w:val="32"/>
          <w:lang w:val="zh-CN" w:eastAsia="zh-CN"/>
        </w:rPr>
        <w:t>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项目结果。</w:t>
      </w:r>
      <w:r>
        <w:rPr>
          <w:rFonts w:hint="eastAsia" w:ascii="仿宋_GB2312" w:hAnsi="仿宋_GB2312" w:eastAsia="仿宋_GB2312" w:cs="仿宋_GB2312"/>
          <w:color w:val="auto"/>
          <w:kern w:val="2"/>
          <w:sz w:val="32"/>
          <w:szCs w:val="32"/>
          <w:lang w:val="zh-CN" w:eastAsia="zh-CN" w:bidi="ar-SA"/>
        </w:rPr>
        <w:t>严格按照项目资金管理办法，</w:t>
      </w:r>
      <w:r>
        <w:rPr>
          <w:rFonts w:hint="eastAsia" w:ascii="仿宋_GB2312" w:hAnsi="仿宋_GB2312" w:eastAsia="仿宋_GB2312" w:cs="仿宋_GB2312"/>
          <w:sz w:val="32"/>
          <w:szCs w:val="32"/>
          <w:lang w:val="zh-CN"/>
        </w:rPr>
        <w:t>资金实际支出</w:t>
      </w:r>
      <w:r>
        <w:rPr>
          <w:rFonts w:hint="eastAsia" w:ascii="仿宋_GB2312" w:hAnsi="仿宋_GB2312" w:eastAsia="仿宋_GB2312" w:cs="仿宋_GB2312"/>
          <w:kern w:val="2"/>
          <w:sz w:val="32"/>
          <w:szCs w:val="32"/>
          <w:lang w:val="en-US" w:eastAsia="zh-CN"/>
        </w:rPr>
        <w:t>21.46</w:t>
      </w:r>
      <w:r>
        <w:rPr>
          <w:rFonts w:hint="eastAsia" w:ascii="仿宋_GB2312" w:hAnsi="仿宋_GB2312" w:eastAsia="仿宋_GB2312" w:cs="仿宋_GB2312"/>
          <w:kern w:val="2"/>
          <w:sz w:val="32"/>
          <w:szCs w:val="32"/>
          <w:lang w:val="zh-CN" w:eastAsia="zh-CN"/>
        </w:rPr>
        <w:t>万元。</w:t>
      </w:r>
      <w:r>
        <w:rPr>
          <w:rFonts w:hint="eastAsia" w:ascii="仿宋_GB2312" w:hAnsi="仿宋_GB2312" w:eastAsia="仿宋_GB2312" w:cs="仿宋_GB2312"/>
          <w:sz w:val="32"/>
          <w:szCs w:val="32"/>
          <w:lang w:val="zh-CN"/>
        </w:rPr>
        <w:t>资金支付依据合规合法，资金支付与预算相符。</w:t>
      </w:r>
    </w:p>
    <w:p>
      <w:pPr>
        <w:spacing w:line="578" w:lineRule="exact"/>
        <w:ind w:firstLine="642"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b/>
          <w:sz w:val="32"/>
          <w:szCs w:val="32"/>
          <w:lang w:val="zh-CN"/>
        </w:rPr>
        <w:t>（二）</w:t>
      </w:r>
      <w:r>
        <w:rPr>
          <w:rFonts w:hint="eastAsia" w:ascii="仿宋_GB2312" w:hAnsi="仿宋_GB2312" w:eastAsia="仿宋_GB2312" w:cs="仿宋_GB2312"/>
          <w:b/>
          <w:sz w:val="32"/>
          <w:szCs w:val="32"/>
        </w:rPr>
        <w:t>专用指标</w:t>
      </w:r>
      <w:r>
        <w:rPr>
          <w:rFonts w:hint="eastAsia" w:ascii="仿宋_GB2312" w:hAnsi="仿宋_GB2312" w:eastAsia="仿宋_GB2312" w:cs="仿宋_GB2312"/>
          <w:b/>
          <w:bCs/>
          <w:color w:val="000000"/>
          <w:kern w:val="0"/>
          <w:sz w:val="32"/>
          <w:szCs w:val="32"/>
          <w:shd w:val="clear" w:color="auto" w:fill="FFFFFF"/>
          <w:lang w:val="zh-CN"/>
        </w:rPr>
        <w:t>绩效分析。</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1.产业发展。</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zh-CN"/>
        </w:rPr>
        <w:t>民生保障。</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3.基础设施。</w:t>
      </w:r>
      <w:r>
        <w:rPr>
          <w:rFonts w:hint="eastAsia" w:ascii="仿宋_GB2312" w:hAnsi="仿宋_GB2312" w:eastAsia="仿宋_GB2312" w:cs="仿宋_GB2312"/>
          <w:sz w:val="32"/>
          <w:szCs w:val="32"/>
          <w:lang w:eastAsia="zh-CN"/>
        </w:rPr>
        <w:t>我单位不涉及。</w:t>
      </w:r>
    </w:p>
    <w:p>
      <w:pPr>
        <w:spacing w:line="578" w:lineRule="exact"/>
        <w:ind w:firstLine="640" w:firstLineChars="200"/>
        <w:rPr>
          <w:rFonts w:hint="eastAsia" w:ascii="仿宋_GB2312" w:hAnsi="仿宋_GB2312" w:eastAsia="仿宋_GB2312" w:cs="仿宋_GB2312"/>
          <w:color w:val="auto"/>
          <w:kern w:val="2"/>
          <w:sz w:val="32"/>
          <w:szCs w:val="32"/>
          <w:lang w:val="zh-CN" w:eastAsia="zh-CN" w:bidi="ar-SA"/>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val="zh-CN"/>
        </w:rPr>
        <w:t>行政运转。</w:t>
      </w:r>
      <w:r>
        <w:rPr>
          <w:rFonts w:hint="eastAsia" w:ascii="仿宋_GB2312" w:hAnsi="仿宋_GB2312" w:eastAsia="仿宋_GB2312" w:cs="仿宋_GB2312"/>
          <w:color w:val="auto"/>
          <w:kern w:val="2"/>
          <w:sz w:val="32"/>
          <w:szCs w:val="32"/>
          <w:lang w:val="zh-CN" w:eastAsia="zh-CN" w:bidi="ar-SA"/>
        </w:rPr>
        <w:t>严格按照项目预算批复和财政下达的资金，做到专款专用、专项核算。充分发挥专项资金的使用效益，做好财务信息公开，自觉接受监察、审计、财政以及社会监督。无虚报、冒领、挤占、挪用、变更使用财政专项资金等行为。资金分配标准符合专项资金管理要求。</w:t>
      </w:r>
    </w:p>
    <w:p>
      <w:pPr>
        <w:spacing w:line="578" w:lineRule="exact"/>
        <w:ind w:firstLine="64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zh-CN"/>
        </w:rPr>
        <w:t>（三）</w:t>
      </w:r>
      <w:r>
        <w:rPr>
          <w:rFonts w:hint="eastAsia" w:ascii="仿宋_GB2312" w:hAnsi="仿宋_GB2312" w:eastAsia="仿宋_GB2312" w:cs="仿宋_GB2312"/>
          <w:b/>
          <w:sz w:val="32"/>
          <w:szCs w:val="32"/>
        </w:rPr>
        <w:t>个性指标</w:t>
      </w:r>
      <w:r>
        <w:rPr>
          <w:rFonts w:hint="eastAsia" w:ascii="仿宋_GB2312" w:hAnsi="仿宋_GB2312" w:eastAsia="仿宋_GB2312" w:cs="仿宋_GB2312"/>
          <w:b/>
          <w:bCs/>
          <w:color w:val="000000"/>
          <w:kern w:val="0"/>
          <w:sz w:val="32"/>
          <w:szCs w:val="32"/>
          <w:shd w:val="clear" w:color="auto" w:fill="FFFFFF"/>
          <w:lang w:val="zh-CN"/>
        </w:rPr>
        <w:t>绩效分析。</w:t>
      </w:r>
      <w:r>
        <w:rPr>
          <w:rFonts w:hint="eastAsia" w:ascii="仿宋_GB2312" w:hAnsi="仿宋_GB2312" w:eastAsia="仿宋_GB2312" w:cs="仿宋_GB2312"/>
          <w:sz w:val="32"/>
          <w:szCs w:val="32"/>
          <w:lang w:val="zh-CN"/>
        </w:rPr>
        <w:t>无</w:t>
      </w:r>
    </w:p>
    <w:p>
      <w:pPr>
        <w:adjustRightInd w:val="0"/>
        <w:snapToGrid w:val="0"/>
        <w:spacing w:line="578"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lang w:eastAsia="zh-CN"/>
        </w:rPr>
        <w:t>四、评价结论</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sz w:val="32"/>
          <w:szCs w:val="32"/>
          <w:lang w:val="zh-CN"/>
        </w:rPr>
        <w:t>加强项目管理，按照项目方案完成工作，达到项目目标，各项指标均达到年度要求，完成率较好，在项目管理上执行多种举措督促监管，做到了项目建设规范有序，项目运行效果明显。</w:t>
      </w:r>
      <w:r>
        <w:rPr>
          <w:rFonts w:hint="eastAsia" w:ascii="仿宋_GB2312" w:hAnsi="仿宋_GB2312" w:eastAsia="仿宋_GB2312" w:cs="仿宋_GB2312"/>
          <w:color w:val="auto"/>
          <w:kern w:val="2"/>
          <w:sz w:val="32"/>
          <w:szCs w:val="32"/>
          <w:lang w:val="zh-CN" w:eastAsia="zh-CN" w:bidi="ar-SA"/>
        </w:rPr>
        <w:t>申请项目指标总计</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color w:val="auto"/>
          <w:kern w:val="2"/>
          <w:sz w:val="32"/>
          <w:szCs w:val="32"/>
          <w:lang w:val="zh-CN" w:eastAsia="zh-CN" w:bidi="ar-SA"/>
        </w:rPr>
        <w:t>万元，到位</w:t>
      </w:r>
      <w:r>
        <w:rPr>
          <w:rFonts w:hint="eastAsia" w:ascii="仿宋_GB2312" w:hAnsi="仿宋_GB2312" w:eastAsia="仿宋_GB2312" w:cs="仿宋_GB2312"/>
          <w:sz w:val="32"/>
          <w:szCs w:val="32"/>
          <w:lang w:val="en-US" w:eastAsia="zh-CN"/>
        </w:rPr>
        <w:t>21.46</w:t>
      </w:r>
      <w:r>
        <w:rPr>
          <w:rFonts w:hint="eastAsia" w:ascii="仿宋_GB2312" w:hAnsi="仿宋_GB2312" w:eastAsia="仿宋_GB2312" w:cs="仿宋_GB2312"/>
          <w:color w:val="auto"/>
          <w:kern w:val="2"/>
          <w:sz w:val="32"/>
          <w:szCs w:val="32"/>
          <w:lang w:val="zh-CN" w:eastAsia="zh-CN" w:bidi="ar-SA"/>
        </w:rPr>
        <w:t>万元，使用率100%，现已全部顺利完成，在项目管理上严格按照项目预算批复，项目批复后严格按专项资金有关规定执行。在项目完成上严格按照申报计划和上级批复要求进行实施，目标任务已完成。</w:t>
      </w:r>
    </w:p>
    <w:p>
      <w:pPr>
        <w:pStyle w:val="5"/>
        <w:tabs>
          <w:tab w:val="left" w:pos="2160"/>
        </w:tabs>
        <w:spacing w:line="600" w:lineRule="exact"/>
        <w:ind w:firstLine="640" w:firstLineChars="200"/>
        <w:rPr>
          <w:rFonts w:hint="eastAsia" w:ascii="仿宋_GB2312" w:hAnsi="仿宋_GB2312" w:eastAsia="仿宋_GB2312" w:cs="仿宋_GB2312"/>
          <w:sz w:val="32"/>
          <w:szCs w:val="32"/>
          <w:lang w:eastAsia="zh-CN"/>
        </w:rPr>
      </w:pPr>
      <w:r>
        <w:rPr>
          <w:rFonts w:hint="eastAsia" w:ascii="黑体" w:hAnsi="黑体" w:eastAsia="黑体" w:cs="黑体"/>
          <w:kern w:val="2"/>
          <w:sz w:val="32"/>
          <w:szCs w:val="32"/>
          <w:lang w:val="en-US" w:eastAsia="zh-CN" w:bidi="ar-SA"/>
        </w:rPr>
        <w:t xml:space="preserve">五、存在主要问题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0"/>
          <w:sz w:val="32"/>
          <w:szCs w:val="32"/>
          <w:lang w:eastAsia="zh-CN"/>
        </w:rPr>
        <w:t>无</w:t>
      </w:r>
    </w:p>
    <w:p>
      <w:pPr>
        <w:pStyle w:val="5"/>
        <w:tabs>
          <w:tab w:val="left" w:pos="2160"/>
        </w:tabs>
        <w:spacing w:line="600" w:lineRule="exact"/>
        <w:ind w:firstLine="640" w:firstLineChars="200"/>
        <w:rPr>
          <w:rFonts w:hint="eastAsia" w:ascii="仿宋_GB2312" w:hAnsi="仿宋_GB2312" w:eastAsia="仿宋_GB2312" w:cs="仿宋_GB2312"/>
          <w:position w:val="0"/>
          <w:sz w:val="32"/>
          <w:szCs w:val="32"/>
          <w:lang w:val="zh-CN" w:eastAsia="zh-CN"/>
        </w:rPr>
      </w:pPr>
      <w:r>
        <w:rPr>
          <w:rFonts w:hint="eastAsia" w:ascii="黑体" w:hAnsi="黑体" w:eastAsia="黑体" w:cs="黑体"/>
          <w:kern w:val="2"/>
          <w:sz w:val="32"/>
          <w:szCs w:val="32"/>
          <w:lang w:val="zh-CN" w:eastAsia="zh-CN" w:bidi="ar-SA"/>
        </w:rPr>
        <w:t>六、改进建议</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position w:val="0"/>
          <w:sz w:val="32"/>
          <w:szCs w:val="32"/>
          <w:lang w:eastAsia="zh-CN"/>
        </w:rPr>
        <w:t>无</w:t>
      </w:r>
    </w:p>
    <w:p>
      <w:pPr>
        <w:pStyle w:val="21"/>
        <w:rPr>
          <w:rFonts w:hint="eastAsia"/>
        </w:rPr>
      </w:pPr>
    </w:p>
    <w:p>
      <w:pPr>
        <w:rPr>
          <w:rFonts w:hint="eastAsia"/>
        </w:rPr>
      </w:pPr>
    </w:p>
    <w:tbl>
      <w:tblPr>
        <w:tblStyle w:val="12"/>
        <w:tblpPr w:leftFromText="180" w:rightFromText="180" w:vertAnchor="text" w:horzAnchor="page" w:tblpX="1106" w:tblpY="439"/>
        <w:tblOverlap w:val="never"/>
        <w:tblW w:w="1032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1488"/>
        <w:gridCol w:w="1282"/>
        <w:gridCol w:w="1356"/>
        <w:gridCol w:w="525"/>
        <w:gridCol w:w="583"/>
        <w:gridCol w:w="1017"/>
        <w:gridCol w:w="899"/>
        <w:gridCol w:w="510"/>
        <w:gridCol w:w="486"/>
        <w:gridCol w:w="1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032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1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51322323T000007904189-2023年代表活动经费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1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w:t>
            </w:r>
          </w:p>
        </w:tc>
        <w:tc>
          <w:tcPr>
            <w:tcW w:w="899"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 （盖章）</w:t>
            </w:r>
          </w:p>
        </w:tc>
        <w:tc>
          <w:tcPr>
            <w:tcW w:w="248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茂县人民代表大会常务委员会办公室（行政）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项目基本情况</w:t>
            </w: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1.项目年度目标完成情况</w:t>
            </w: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项目年度目标</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476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保障全县及各镇代表工作的开展</w:t>
            </w:r>
          </w:p>
        </w:tc>
        <w:tc>
          <w:tcPr>
            <w:tcW w:w="338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严格按照项目资金管理办法，资金实际支出21.46万元。资金支付依据合规合法，资金支付与预算相符。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2.项目实施内容及过程概述</w:t>
            </w:r>
          </w:p>
        </w:tc>
        <w:tc>
          <w:tcPr>
            <w:tcW w:w="814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依据阿委发【2016】1号文件精神，预算该项目资金共计为21.46万元。按照有关财务制度进行管理，确保专款专用，严格管理。根据实际情况，合理确定和调整代表开展集中视察、专题调研等活动的经费标准，保证闭会期间代表活动的顺利开展，从而调动代表履职的积极性，充分发挥代表的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预算执行情况（10分）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年度预算数（万元）</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调整后预算数</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预算执行数</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总额</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4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财政追减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其中：财政资金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49.92</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21.46</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财政专户管理资金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其他资金</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212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14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绩效指标（90分）</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指标性质</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指标值</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度量单位</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得分</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安排完成全县、镇各级代表工作</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确保全县及各镇代表工作的开展</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2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3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确保全县及各镇代表工作经费的支出</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95</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元/人·次</w:t>
            </w:r>
          </w:p>
        </w:tc>
        <w:tc>
          <w:tcPr>
            <w:tcW w:w="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iCs/>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783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48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评价结论</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强项目管理，按照项目方案完成工作，达到项目目标，各项指标均达到年度要求，完成率较好，在项目管理上执行多种举措督促监管，做到了项目建设规范有序，项目运行效果明显。申请项目指标总计21.46万元，到位21.46万元，使用率100%，现已全部顺利完成，在项目管理上严格按照项目预算批复，项目批复后严格按专项资金有关规定执行。在项目完成上严格按照申报计划和上级批复要求进行实施，目标任务已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存在问题</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改进措施</w:t>
            </w:r>
          </w:p>
        </w:tc>
        <w:tc>
          <w:tcPr>
            <w:tcW w:w="9631"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5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项目负责人：</w:t>
            </w:r>
          </w:p>
        </w:tc>
        <w:tc>
          <w:tcPr>
            <w:tcW w:w="498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w:t>
            </w:r>
          </w:p>
        </w:tc>
      </w:tr>
    </w:tbl>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rPr>
          <w:rFonts w:hint="eastAsia" w:ascii="仿宋_GB2312" w:hAnsi="Calibri" w:eastAsia="仿宋_GB2312" w:cs="仿宋"/>
          <w:kern w:val="0"/>
          <w:sz w:val="32"/>
          <w:szCs w:val="32"/>
        </w:rPr>
      </w:pPr>
    </w:p>
    <w:p>
      <w:pPr>
        <w:pStyle w:val="5"/>
        <w:widowControl/>
        <w:ind w:left="0" w:right="0"/>
        <w:rPr>
          <w:rFonts w:hint="eastAsia" w:ascii="仿宋_GB2312" w:hAnsi="Calibri" w:eastAsia="仿宋_GB2312" w:cs="仿宋"/>
          <w:kern w:val="0"/>
          <w:sz w:val="32"/>
          <w:szCs w:val="32"/>
        </w:rPr>
      </w:pPr>
    </w:p>
    <w:p>
      <w:pPr>
        <w:pStyle w:val="5"/>
        <w:widowControl/>
        <w:ind w:left="0" w:right="0"/>
        <w:rPr>
          <w:rFonts w:hint="eastAsia" w:ascii="仿宋_GB2312" w:hAnsi="Calibri" w:eastAsia="仿宋_GB2312" w:cs="仿宋"/>
          <w:kern w:val="0"/>
          <w:sz w:val="32"/>
          <w:szCs w:val="32"/>
        </w:rPr>
      </w:pPr>
    </w:p>
    <w:p>
      <w:pPr>
        <w:pStyle w:val="5"/>
        <w:widowControl/>
        <w:ind w:left="0" w:right="0"/>
        <w:rPr>
          <w:rFonts w:hint="eastAsia" w:ascii="仿宋_GB2312" w:hAnsi="Calibri" w:eastAsia="仿宋_GB2312" w:cs="仿宋"/>
          <w:kern w:val="0"/>
          <w:sz w:val="32"/>
          <w:szCs w:val="32"/>
        </w:rPr>
      </w:pPr>
    </w:p>
    <w:p>
      <w:pPr>
        <w:pStyle w:val="5"/>
        <w:widowControl/>
        <w:ind w:left="0" w:right="0"/>
        <w:rPr>
          <w:rFonts w:hint="eastAsia" w:ascii="仿宋_GB2312" w:hAnsi="Calibri" w:eastAsia="仿宋_GB2312" w:cs="仿宋"/>
          <w:kern w:val="0"/>
          <w:sz w:val="32"/>
          <w:szCs w:val="32"/>
        </w:rPr>
      </w:pPr>
    </w:p>
    <w:p>
      <w:pPr>
        <w:pStyle w:val="5"/>
        <w:widowControl/>
        <w:ind w:left="0" w:right="0"/>
        <w:rPr>
          <w:rFonts w:hint="eastAsia" w:ascii="仿宋_GB2312" w:hAnsi="Calibri" w:eastAsia="仿宋_GB2312" w:cs="仿宋"/>
          <w:kern w:val="0"/>
          <w:sz w:val="32"/>
          <w:szCs w:val="32"/>
        </w:rPr>
      </w:pPr>
      <w:r>
        <w:rPr>
          <w:rFonts w:hint="eastAsia" w:ascii="仿宋_GB2312" w:hAnsi="Calibri" w:eastAsia="仿宋_GB2312" w:cs="仿宋"/>
          <w:kern w:val="0"/>
          <w:sz w:val="32"/>
          <w:szCs w:val="32"/>
        </w:rPr>
        <w:t xml:space="preserve"> </w:t>
      </w:r>
    </w:p>
    <w:p>
      <w:pPr>
        <w:pStyle w:val="5"/>
        <w:widowControl/>
        <w:ind w:left="0" w:right="0"/>
        <w:jc w:val="center"/>
        <w:rPr>
          <w:rFonts w:hint="eastAsia" w:ascii="仿宋" w:hAnsi="仿宋" w:eastAsia="仿宋" w:cs="Times New Roman"/>
          <w:b w:val="0"/>
          <w:kern w:val="2"/>
          <w:sz w:val="21"/>
          <w:szCs w:val="21"/>
        </w:rPr>
      </w:pPr>
      <w:r>
        <w:rPr>
          <w:rFonts w:hint="eastAsia" w:ascii="黑体" w:hAnsi="宋体" w:eastAsia="黑体" w:cs="黑体"/>
          <w:kern w:val="2"/>
          <w:sz w:val="44"/>
          <w:szCs w:val="44"/>
          <w:lang w:val="en-US" w:eastAsia="zh-CN" w:bidi="ar"/>
        </w:rPr>
        <w:t>第</w:t>
      </w:r>
      <w:r>
        <w:rPr>
          <w:rStyle w:val="16"/>
          <w:rFonts w:hint="eastAsia" w:ascii="黑体" w:hAnsi="宋体" w:eastAsia="黑体" w:cs="黑体"/>
          <w:b w:val="0"/>
          <w:bCs/>
          <w:kern w:val="44"/>
          <w:sz w:val="44"/>
          <w:szCs w:val="44"/>
          <w:lang w:val="en-US" w:eastAsia="zh-CN" w:bidi="ar"/>
        </w:rPr>
        <w:t>五部分</w:t>
      </w:r>
      <w:r>
        <w:rPr>
          <w:rStyle w:val="16"/>
          <w:rFonts w:hint="eastAsia" w:ascii="黑体" w:hAnsi="宋体" w:eastAsia="黑体" w:cs="Times New Roman"/>
          <w:b w:val="0"/>
          <w:bCs/>
          <w:kern w:val="44"/>
          <w:sz w:val="44"/>
          <w:szCs w:val="44"/>
          <w:lang w:val="en-US" w:eastAsia="zh-CN" w:bidi="ar"/>
        </w:rPr>
        <w:t xml:space="preserve"> </w:t>
      </w:r>
      <w:r>
        <w:rPr>
          <w:rStyle w:val="16"/>
          <w:rFonts w:hint="eastAsia" w:ascii="黑体" w:hAnsi="宋体" w:eastAsia="黑体" w:cs="黑体"/>
          <w:b w:val="0"/>
          <w:bCs/>
          <w:kern w:val="44"/>
          <w:sz w:val="44"/>
          <w:szCs w:val="44"/>
          <w:lang w:val="en-US" w:eastAsia="zh-CN" w:bidi="ar"/>
        </w:rPr>
        <w:t>附表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一、收</w:t>
      </w:r>
      <w:r>
        <w:rPr>
          <w:rStyle w:val="18"/>
          <w:rFonts w:hint="eastAsia" w:ascii="仿宋" w:hAnsi="仿宋" w:eastAsia="仿宋" w:cs="仿宋"/>
          <w:b w:val="0"/>
          <w:bCs w:val="0"/>
          <w:sz w:val="32"/>
          <w:szCs w:val="32"/>
        </w:rPr>
        <w:t>入支出决算总表</w:t>
      </w:r>
    </w:p>
    <w:p>
      <w:pPr>
        <w:pStyle w:val="4"/>
        <w:widowControl/>
        <w:rPr>
          <w:rFonts w:hint="eastAsia" w:ascii="仿宋" w:hAnsi="仿宋" w:eastAsia="仿宋" w:cs="Times New Roman"/>
          <w:b/>
          <w:bCs/>
          <w:kern w:val="2"/>
          <w:sz w:val="32"/>
          <w:szCs w:val="32"/>
        </w:rPr>
      </w:pPr>
      <w:r>
        <w:rPr>
          <w:rFonts w:hint="eastAsia" w:ascii="仿宋" w:hAnsi="仿宋" w:eastAsia="仿宋" w:cs="仿宋"/>
          <w:b w:val="0"/>
          <w:bCs/>
          <w:kern w:val="2"/>
          <w:sz w:val="32"/>
          <w:szCs w:val="32"/>
        </w:rPr>
        <w:t>二、收</w:t>
      </w:r>
      <w:r>
        <w:rPr>
          <w:rStyle w:val="18"/>
          <w:rFonts w:hint="eastAsia" w:ascii="仿宋" w:hAnsi="仿宋" w:eastAsia="仿宋" w:cs="仿宋"/>
          <w:b w:val="0"/>
          <w:bCs w:val="0"/>
          <w:sz w:val="32"/>
          <w:szCs w:val="32"/>
        </w:rPr>
        <w:t>入决算表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三、</w:t>
      </w:r>
      <w:r>
        <w:rPr>
          <w:rFonts w:hint="eastAsia" w:ascii="仿宋" w:hAnsi="仿宋" w:eastAsia="仿宋" w:cs="仿宋"/>
          <w:b w:val="0"/>
          <w:bCs/>
          <w:kern w:val="2"/>
          <w:sz w:val="32"/>
          <w:szCs w:val="32"/>
        </w:rPr>
        <w:t>支</w:t>
      </w:r>
      <w:r>
        <w:rPr>
          <w:rStyle w:val="18"/>
          <w:rFonts w:hint="eastAsia" w:ascii="仿宋" w:hAnsi="仿宋" w:eastAsia="仿宋" w:cs="仿宋"/>
          <w:b w:val="0"/>
          <w:bCs w:val="0"/>
          <w:sz w:val="32"/>
          <w:szCs w:val="32"/>
        </w:rPr>
        <w:t>出决算表</w:t>
      </w:r>
    </w:p>
    <w:p>
      <w:pPr>
        <w:pStyle w:val="4"/>
        <w:widowControl/>
        <w:rPr>
          <w:rFonts w:hint="eastAsia" w:ascii="仿宋" w:hAnsi="仿宋" w:eastAsia="仿宋" w:cs="Times New Roman"/>
          <w:b w:val="0"/>
          <w:bCs/>
          <w:kern w:val="2"/>
          <w:sz w:val="32"/>
          <w:szCs w:val="32"/>
        </w:rPr>
      </w:pPr>
      <w:r>
        <w:rPr>
          <w:rStyle w:val="18"/>
          <w:rFonts w:hint="eastAsia" w:ascii="仿宋" w:hAnsi="仿宋" w:eastAsia="仿宋" w:cs="仿宋"/>
          <w:b w:val="0"/>
          <w:bCs w:val="0"/>
          <w:sz w:val="32"/>
          <w:szCs w:val="32"/>
        </w:rPr>
        <w:t>四、</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政拨款收入支出决算总表</w:t>
      </w:r>
    </w:p>
    <w:p>
      <w:pPr>
        <w:pStyle w:val="4"/>
        <w:widowControl/>
        <w:rPr>
          <w:rFonts w:hint="eastAsia" w:ascii="仿宋" w:hAnsi="仿宋" w:eastAsia="仿宋" w:cs="Times New Roman"/>
          <w:b w:val="0"/>
          <w:bCs w:val="0"/>
          <w:sz w:val="32"/>
          <w:szCs w:val="32"/>
        </w:rPr>
      </w:pPr>
      <w:r>
        <w:rPr>
          <w:rStyle w:val="18"/>
          <w:rFonts w:hint="eastAsia" w:ascii="仿宋" w:hAnsi="仿宋" w:eastAsia="仿宋" w:cs="仿宋"/>
          <w:b w:val="0"/>
          <w:bCs w:val="0"/>
          <w:sz w:val="32"/>
          <w:szCs w:val="32"/>
        </w:rPr>
        <w:t>五、</w:t>
      </w:r>
      <w:r>
        <w:rPr>
          <w:rFonts w:hint="eastAsia" w:ascii="仿宋" w:hAnsi="仿宋" w:eastAsia="仿宋" w:cs="仿宋"/>
          <w:b w:val="0"/>
          <w:bCs/>
          <w:kern w:val="2"/>
          <w:sz w:val="32"/>
          <w:szCs w:val="32"/>
        </w:rPr>
        <w:t>财</w:t>
      </w:r>
      <w:r>
        <w:rPr>
          <w:rStyle w:val="18"/>
          <w:rFonts w:hint="eastAsia" w:ascii="仿宋" w:hAnsi="仿宋" w:eastAsia="仿宋" w:cs="仿宋"/>
          <w:b w:val="0"/>
          <w:bCs w:val="0"/>
          <w:sz w:val="32"/>
          <w:szCs w:val="32"/>
        </w:rPr>
        <w:t>政拨款支出决算明细表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六、</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七、</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般公共预算财政拨款支出决算明细表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八、</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般公共预算财政拨款基本支出决算表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九、</w:t>
      </w:r>
      <w:r>
        <w:rPr>
          <w:rFonts w:hint="eastAsia" w:ascii="仿宋" w:hAnsi="仿宋" w:eastAsia="仿宋" w:cs="仿宋"/>
          <w:b w:val="0"/>
          <w:bCs/>
          <w:kern w:val="2"/>
          <w:sz w:val="32"/>
          <w:szCs w:val="32"/>
        </w:rPr>
        <w:t>一</w:t>
      </w:r>
      <w:r>
        <w:rPr>
          <w:rStyle w:val="18"/>
          <w:rFonts w:hint="eastAsia" w:ascii="仿宋" w:hAnsi="仿宋" w:eastAsia="仿宋" w:cs="仿宋"/>
          <w:b w:val="0"/>
          <w:bCs w:val="0"/>
          <w:sz w:val="32"/>
          <w:szCs w:val="32"/>
        </w:rPr>
        <w:t>般公共预算财政拨款项目支出决算表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w:t>
      </w:r>
      <w:r>
        <w:rPr>
          <w:rFonts w:hint="eastAsia" w:ascii="仿宋" w:hAnsi="仿宋" w:eastAsia="仿宋" w:cs="仿宋"/>
          <w:b w:val="0"/>
          <w:bCs/>
          <w:kern w:val="2"/>
          <w:sz w:val="32"/>
          <w:szCs w:val="32"/>
        </w:rPr>
        <w:t>政</w:t>
      </w:r>
      <w:r>
        <w:rPr>
          <w:rStyle w:val="18"/>
          <w:rFonts w:hint="eastAsia" w:ascii="仿宋" w:hAnsi="仿宋" w:eastAsia="仿宋" w:cs="仿宋"/>
          <w:b w:val="0"/>
          <w:bCs w:val="0"/>
          <w:sz w:val="32"/>
          <w:szCs w:val="32"/>
        </w:rPr>
        <w:t>府性基金预算财政拨款收入支出决算表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十一、</w:t>
      </w:r>
      <w:r>
        <w:rPr>
          <w:rFonts w:hint="eastAsia" w:ascii="仿宋" w:hAnsi="仿宋" w:eastAsia="仿宋" w:cs="仿宋"/>
          <w:b w:val="0"/>
          <w:bCs/>
          <w:kern w:val="2"/>
          <w:sz w:val="32"/>
          <w:szCs w:val="32"/>
        </w:rPr>
        <w:t>国</w:t>
      </w:r>
      <w:r>
        <w:rPr>
          <w:rStyle w:val="18"/>
          <w:rFonts w:hint="eastAsia" w:ascii="仿宋" w:hAnsi="仿宋" w:eastAsia="仿宋" w:cs="仿宋"/>
          <w:b w:val="0"/>
          <w:bCs w:val="0"/>
          <w:sz w:val="32"/>
          <w:szCs w:val="32"/>
        </w:rPr>
        <w:t>有资本经营预算财政拨款收入支出决算表</w:t>
      </w:r>
    </w:p>
    <w:p>
      <w:pPr>
        <w:pStyle w:val="4"/>
        <w:widowControl/>
        <w:rPr>
          <w:rFonts w:hint="eastAsia" w:ascii="仿宋" w:hAnsi="仿宋" w:eastAsia="仿宋" w:cs="Times New Roman"/>
          <w:b/>
          <w:bCs/>
          <w:kern w:val="2"/>
          <w:sz w:val="32"/>
          <w:szCs w:val="32"/>
        </w:rPr>
      </w:pPr>
      <w:r>
        <w:rPr>
          <w:rStyle w:val="18"/>
          <w:rFonts w:hint="eastAsia" w:ascii="仿宋" w:hAnsi="仿宋" w:eastAsia="仿宋" w:cs="仿宋"/>
          <w:b w:val="0"/>
          <w:bCs w:val="0"/>
          <w:sz w:val="32"/>
          <w:szCs w:val="32"/>
        </w:rPr>
        <w:t>十二、国有资本经营预算财政拨款支出决算表</w:t>
      </w:r>
    </w:p>
    <w:p>
      <w:pPr>
        <w:pStyle w:val="4"/>
        <w:widowControl/>
        <w:rPr>
          <w:rFonts w:hint="eastAsia" w:ascii="Cambria" w:hAnsi="Cambria" w:eastAsia="仿宋" w:cs="Times New Roman"/>
          <w:b/>
          <w:bCs/>
          <w:kern w:val="2"/>
          <w:sz w:val="32"/>
          <w:szCs w:val="32"/>
        </w:rPr>
      </w:pPr>
      <w:r>
        <w:rPr>
          <w:rStyle w:val="18"/>
          <w:rFonts w:hint="eastAsia" w:ascii="仿宋" w:hAnsi="仿宋" w:eastAsia="仿宋" w:cs="仿宋"/>
          <w:b w:val="0"/>
          <w:bCs w:val="0"/>
          <w:sz w:val="32"/>
          <w:szCs w:val="32"/>
        </w:rPr>
        <w:t>十三、财政拨款“三公”经费支出决算表</w:t>
      </w:r>
    </w:p>
    <w:p>
      <w:pPr>
        <w:keepNext w:val="0"/>
        <w:keepLines w:val="0"/>
        <w:widowControl w:val="0"/>
        <w:suppressLineNumbers w:val="0"/>
        <w:suppressAutoHyphens/>
        <w:spacing w:before="0" w:beforeAutospacing="0" w:after="0" w:afterAutospacing="0"/>
        <w:ind w:left="0" w:right="0"/>
        <w:jc w:val="both"/>
        <w:rPr>
          <w:rFonts w:hint="default" w:ascii="Calibri" w:hAnsi="Calibri" w:eastAsia="宋体" w:cs="Times New Roman"/>
          <w:kern w:val="2"/>
          <w:sz w:val="21"/>
          <w:szCs w:val="21"/>
        </w:rPr>
      </w:pPr>
    </w:p>
    <w:p/>
    <w:sectPr>
      <w:footerReference r:id="rId8"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Noto Sans Syriac Eastern"/>
    <w:panose1 w:val="02040503050406030204"/>
    <w:charset w:val="00"/>
    <w:family w:val="auto"/>
    <w:pitch w:val="default"/>
    <w:sig w:usb0="00000000" w:usb1="00000000"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仿宋_GB2312"/>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Syriac Eastern">
    <w:panose1 w:val="02040503050306020203"/>
    <w:charset w:val="86"/>
    <w:family w:val="auto"/>
    <w:pitch w:val="default"/>
    <w:sig w:usb0="00000000" w:usb1="00000000" w:usb2="00000080" w:usb3="00000000" w:csb0="203E0161" w:csb1="D7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i4dkMgIAAGEEAAAOAAAAZHJz&#10;L2Uyb0RvYy54bWytVM2O0zAQviPxDpbvNGkRu1X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PWLh2QyAgAAYQQAAA4AAAAAAAAAAQAgAAAA&#10;NQEAAGRycy9lMm9Eb2MueG1sUEsFBgAAAAAGAAYAWQEAANkFA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5182EB"/>
    <w:multiLevelType w:val="multilevel"/>
    <w:tmpl w:val="CF5182EB"/>
    <w:lvl w:ilvl="0" w:tentative="0">
      <w:start w:val="1"/>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4E795579"/>
    <w:multiLevelType w:val="singleLevel"/>
    <w:tmpl w:val="4E795579"/>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U1ZGEwNTAwNThhMTdmM2FhY2FlMzkwNDNiZWM0NGIifQ=="/>
    <w:docVar w:name="KSO_WPS_MARK_KEY" w:val="24d0312c-7052-40e3-aaec-667171814512"/>
  </w:docVars>
  <w:rsids>
    <w:rsidRoot w:val="00000000"/>
    <w:rsid w:val="01DD1314"/>
    <w:rsid w:val="02DC765F"/>
    <w:rsid w:val="03B35AE9"/>
    <w:rsid w:val="04665056"/>
    <w:rsid w:val="09AE1F88"/>
    <w:rsid w:val="0A977596"/>
    <w:rsid w:val="0BE42B3A"/>
    <w:rsid w:val="0DDD0AFB"/>
    <w:rsid w:val="0EE5348C"/>
    <w:rsid w:val="106A7434"/>
    <w:rsid w:val="107140AD"/>
    <w:rsid w:val="10B9412D"/>
    <w:rsid w:val="10FB1AA8"/>
    <w:rsid w:val="147847D5"/>
    <w:rsid w:val="14DF145A"/>
    <w:rsid w:val="18465320"/>
    <w:rsid w:val="185652D7"/>
    <w:rsid w:val="1A876E66"/>
    <w:rsid w:val="1BCB2807"/>
    <w:rsid w:val="1BFB38E4"/>
    <w:rsid w:val="1E182BC2"/>
    <w:rsid w:val="1F736BA3"/>
    <w:rsid w:val="255517FA"/>
    <w:rsid w:val="25B56DD4"/>
    <w:rsid w:val="26322643"/>
    <w:rsid w:val="26757452"/>
    <w:rsid w:val="27197093"/>
    <w:rsid w:val="29CC7380"/>
    <w:rsid w:val="29EB2AFB"/>
    <w:rsid w:val="2B93710B"/>
    <w:rsid w:val="2C8052CD"/>
    <w:rsid w:val="2DD37B2E"/>
    <w:rsid w:val="31424138"/>
    <w:rsid w:val="380A6ED3"/>
    <w:rsid w:val="3A282B8F"/>
    <w:rsid w:val="3AF54D8A"/>
    <w:rsid w:val="3D6C1E8E"/>
    <w:rsid w:val="3E47640C"/>
    <w:rsid w:val="3E477ACF"/>
    <w:rsid w:val="3F3861FA"/>
    <w:rsid w:val="414A4154"/>
    <w:rsid w:val="44502853"/>
    <w:rsid w:val="483427C0"/>
    <w:rsid w:val="48363B55"/>
    <w:rsid w:val="487503AE"/>
    <w:rsid w:val="4C0146CD"/>
    <w:rsid w:val="4DDA66D5"/>
    <w:rsid w:val="4ED14148"/>
    <w:rsid w:val="50F530E7"/>
    <w:rsid w:val="547A48F8"/>
    <w:rsid w:val="582E2D75"/>
    <w:rsid w:val="5AB95D12"/>
    <w:rsid w:val="5B9C3B0C"/>
    <w:rsid w:val="5C5F5DB2"/>
    <w:rsid w:val="5D131446"/>
    <w:rsid w:val="5EA33DE2"/>
    <w:rsid w:val="5F2F09B6"/>
    <w:rsid w:val="60233110"/>
    <w:rsid w:val="6131633F"/>
    <w:rsid w:val="66AE2C56"/>
    <w:rsid w:val="673C3788"/>
    <w:rsid w:val="68196DEA"/>
    <w:rsid w:val="686C24B6"/>
    <w:rsid w:val="6A5B6E7D"/>
    <w:rsid w:val="6E6F337E"/>
    <w:rsid w:val="6F19157B"/>
    <w:rsid w:val="719A1C34"/>
    <w:rsid w:val="720F7F50"/>
    <w:rsid w:val="73683E42"/>
    <w:rsid w:val="741C5E0B"/>
    <w:rsid w:val="74BD6F2E"/>
    <w:rsid w:val="7521645C"/>
    <w:rsid w:val="770E4313"/>
    <w:rsid w:val="7B9D456B"/>
    <w:rsid w:val="7BE1538B"/>
    <w:rsid w:val="7D07775C"/>
    <w:rsid w:val="7F2E0A10"/>
    <w:rsid w:val="FAFDEC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widowControl w:val="0"/>
      <w:suppressLineNumbers w:val="0"/>
      <w:suppressAutoHyphens/>
      <w:spacing w:before="340" w:beforeAutospacing="0" w:after="330" w:afterAutospacing="0" w:line="576" w:lineRule="auto"/>
      <w:jc w:val="both"/>
      <w:outlineLvl w:val="0"/>
    </w:pPr>
    <w:rPr>
      <w:rFonts w:hint="default" w:ascii="Calibri" w:hAnsi="Calibri" w:eastAsia="宋体" w:cs="Times New Roman"/>
      <w:b/>
      <w:bCs/>
      <w:kern w:val="44"/>
      <w:sz w:val="44"/>
      <w:szCs w:val="44"/>
      <w:lang w:val="en-US" w:eastAsia="zh-CN" w:bidi="ar"/>
    </w:rPr>
  </w:style>
  <w:style w:type="paragraph" w:styleId="4">
    <w:name w:val="heading 2"/>
    <w:basedOn w:val="1"/>
    <w:next w:val="1"/>
    <w:semiHidden/>
    <w:unhideWhenUsed/>
    <w:qFormat/>
    <w:uiPriority w:val="0"/>
    <w:pPr>
      <w:keepNext/>
      <w:keepLines/>
      <w:widowControl w:val="0"/>
      <w:suppressLineNumbers w:val="0"/>
      <w:suppressAutoHyphens/>
      <w:spacing w:before="260" w:beforeAutospacing="0" w:after="260" w:afterAutospacing="0" w:line="415" w:lineRule="auto"/>
      <w:jc w:val="both"/>
      <w:outlineLvl w:val="1"/>
    </w:pPr>
    <w:rPr>
      <w:rFonts w:hint="default" w:ascii="Cambria" w:hAnsi="Cambria" w:eastAsia="宋体" w:cs="Times New Roman"/>
      <w:b/>
      <w:bCs/>
      <w:kern w:val="2"/>
      <w:sz w:val="32"/>
      <w:szCs w:val="32"/>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table of figures"/>
    <w:basedOn w:val="1"/>
    <w:next w:val="1"/>
    <w:unhideWhenUsed/>
    <w:qFormat/>
    <w:uiPriority w:val="0"/>
    <w:pPr>
      <w:ind w:left="200" w:leftChars="200" w:hanging="200" w:hangingChars="200"/>
    </w:pPr>
    <w:rPr>
      <w:rFonts w:hint="eastAsia"/>
      <w:sz w:val="32"/>
      <w:szCs w:val="21"/>
    </w:rPr>
  </w:style>
  <w:style w:type="paragraph" w:styleId="5">
    <w:name w:val="Body Text"/>
    <w:basedOn w:val="1"/>
    <w:qFormat/>
    <w:uiPriority w:val="0"/>
    <w:pPr>
      <w:keepNext w:val="0"/>
      <w:keepLines w:val="0"/>
      <w:widowControl w:val="0"/>
      <w:suppressLineNumbers w:val="0"/>
      <w:suppressAutoHyphens/>
      <w:spacing w:before="0" w:beforeAutospacing="0" w:after="140" w:afterAutospacing="0" w:line="273" w:lineRule="auto"/>
      <w:jc w:val="both"/>
    </w:pPr>
    <w:rPr>
      <w:rFonts w:hint="default" w:ascii="Calibri" w:hAnsi="Calibri" w:eastAsia="宋体" w:cs="Times New Roman"/>
      <w:kern w:val="2"/>
      <w:sz w:val="21"/>
      <w:szCs w:val="21"/>
      <w:lang w:val="en-US" w:eastAsia="zh-CN" w:bidi="ar"/>
    </w:rPr>
  </w:style>
  <w:style w:type="paragraph" w:styleId="6">
    <w:name w:val="Body Text Indent"/>
    <w:basedOn w:val="1"/>
    <w:qFormat/>
    <w:uiPriority w:val="0"/>
    <w:pPr>
      <w:spacing w:after="120"/>
      <w:ind w:left="200" w:leftChars="200"/>
    </w:pPr>
    <w:rPr>
      <w:rFonts w:ascii="仿宋_GB231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toc 1"/>
    <w:basedOn w:val="1"/>
    <w:next w:val="1"/>
    <w:qFormat/>
    <w:uiPriority w:val="0"/>
    <w:pPr>
      <w:keepNext w:val="0"/>
      <w:keepLines w:val="0"/>
      <w:widowControl w:val="0"/>
      <w:suppressLineNumbers w:val="0"/>
      <w:suppressAutoHyphens/>
      <w:spacing w:before="93" w:beforeAutospacing="0"/>
      <w:jc w:val="center"/>
    </w:pPr>
    <w:rPr>
      <w:rFonts w:hint="eastAsia" w:ascii="仿宋" w:hAnsi="仿宋" w:eastAsia="仿宋" w:cs="Times New Roman"/>
      <w:kern w:val="2"/>
      <w:sz w:val="28"/>
      <w:szCs w:val="28"/>
      <w:lang w:val="en-US" w:eastAsia="zh-CN" w:bidi="ar"/>
    </w:rPr>
  </w:style>
  <w:style w:type="paragraph" w:styleId="10">
    <w:name w:val="toc 2"/>
    <w:basedOn w:val="1"/>
    <w:next w:val="1"/>
    <w:qFormat/>
    <w:uiPriority w:val="0"/>
    <w:pPr>
      <w:keepNext w:val="0"/>
      <w:keepLines w:val="0"/>
      <w:widowControl w:val="0"/>
      <w:suppressLineNumbers w:val="0"/>
      <w:suppressAutoHyphens/>
      <w:ind w:left="420" w:leftChars="200"/>
      <w:jc w:val="both"/>
    </w:pPr>
    <w:rPr>
      <w:rFonts w:hint="default" w:ascii="Calibri" w:hAnsi="Calibri" w:eastAsia="宋体" w:cs="Times New Roman"/>
      <w:kern w:val="2"/>
      <w:sz w:val="21"/>
      <w:szCs w:val="21"/>
      <w:lang w:val="en-US" w:eastAsia="zh-CN" w:bidi="ar"/>
    </w:rPr>
  </w:style>
  <w:style w:type="paragraph" w:styleId="11">
    <w:name w:val="Body Text First Indent 2"/>
    <w:basedOn w:val="6"/>
    <w:qFormat/>
    <w:uiPriority w:val="0"/>
    <w:pPr>
      <w:keepNext w:val="0"/>
      <w:keepLines w:val="0"/>
      <w:widowControl w:val="0"/>
      <w:suppressLineNumbers w:val="0"/>
      <w:suppressAutoHyphens/>
      <w:spacing w:after="120" w:afterAutospacing="0"/>
      <w:ind w:leftChars="200" w:firstLine="420" w:firstLineChars="200"/>
      <w:jc w:val="both"/>
    </w:pPr>
    <w:rPr>
      <w:rFonts w:hint="eastAsia" w:ascii="仿宋_GB2312" w:hAnsi="Calibri" w:eastAsia="宋体" w:cs="Times New Roman"/>
      <w:kern w:val="2"/>
      <w:sz w:val="21"/>
      <w:szCs w:val="21"/>
      <w:lang w:val="en-US" w:eastAsia="zh-CN" w:bidi="ar"/>
    </w:rPr>
  </w:style>
  <w:style w:type="character" w:styleId="14">
    <w:name w:val="Strong"/>
    <w:basedOn w:val="13"/>
    <w:qFormat/>
    <w:uiPriority w:val="0"/>
    <w:rPr>
      <w:b/>
    </w:rPr>
  </w:style>
  <w:style w:type="character" w:customStyle="1" w:styleId="15">
    <w:name w:val="10"/>
    <w:basedOn w:val="13"/>
    <w:qFormat/>
    <w:uiPriority w:val="0"/>
    <w:rPr>
      <w:rFonts w:hint="default" w:ascii="Times New Roman" w:hAnsi="Times New Roman" w:cs="Times New Roman"/>
    </w:rPr>
  </w:style>
  <w:style w:type="character" w:customStyle="1" w:styleId="16">
    <w:name w:val="16"/>
    <w:basedOn w:val="13"/>
    <w:qFormat/>
    <w:uiPriority w:val="0"/>
    <w:rPr>
      <w:rFonts w:hint="default" w:ascii="Times New Roman" w:hAnsi="Times New Roman" w:cs="Times New Roman"/>
      <w:b/>
      <w:bCs/>
      <w:kern w:val="44"/>
      <w:sz w:val="44"/>
      <w:szCs w:val="44"/>
    </w:rPr>
  </w:style>
  <w:style w:type="character" w:customStyle="1" w:styleId="17">
    <w:name w:val="15"/>
    <w:basedOn w:val="13"/>
    <w:qFormat/>
    <w:uiPriority w:val="0"/>
    <w:rPr>
      <w:rFonts w:hint="default" w:ascii="Times New Roman" w:hAnsi="Times New Roman" w:cs="Times New Roman"/>
      <w:b/>
    </w:rPr>
  </w:style>
  <w:style w:type="character" w:customStyle="1" w:styleId="18">
    <w:name w:val="17"/>
    <w:basedOn w:val="13"/>
    <w:qFormat/>
    <w:uiPriority w:val="0"/>
    <w:rPr>
      <w:rFonts w:hint="default" w:ascii="Cambria" w:hAnsi="Cambria" w:eastAsia="宋体" w:cs="Times New Roman"/>
      <w:b/>
      <w:bCs/>
      <w:sz w:val="32"/>
      <w:szCs w:val="32"/>
    </w:rPr>
  </w:style>
  <w:style w:type="paragraph" w:customStyle="1" w:styleId="19">
    <w:name w:val="List Paragraph"/>
    <w:basedOn w:val="1"/>
    <w:qFormat/>
    <w:uiPriority w:val="0"/>
    <w:pPr>
      <w:keepNext w:val="0"/>
      <w:keepLines w:val="0"/>
      <w:widowControl w:val="0"/>
      <w:suppressLineNumbers w:val="0"/>
      <w:suppressAutoHyphens/>
      <w:spacing w:before="0" w:beforeAutospacing="0" w:after="0" w:afterAutospacing="0"/>
      <w:ind w:left="0" w:right="0" w:firstLine="420" w:firstLineChars="200"/>
      <w:jc w:val="both"/>
    </w:pPr>
    <w:rPr>
      <w:rFonts w:hint="default" w:ascii="Calibri" w:hAnsi="Calibri" w:eastAsia="宋体" w:cs="Times New Roman"/>
      <w:kern w:val="2"/>
      <w:sz w:val="21"/>
      <w:szCs w:val="21"/>
      <w:lang w:val="en-US" w:eastAsia="zh-CN" w:bidi="ar"/>
    </w:rPr>
  </w:style>
  <w:style w:type="paragraph" w:customStyle="1" w:styleId="20">
    <w:name w:val="Default"/>
    <w:basedOn w:val="1"/>
    <w:qFormat/>
    <w:uiPriority w:val="0"/>
    <w:pPr>
      <w:keepNext w:val="0"/>
      <w:keepLines w:val="0"/>
      <w:widowControl w:val="0"/>
      <w:suppressLineNumbers w:val="0"/>
      <w:suppressAutoHyphens w:val="0"/>
      <w:autoSpaceDE w:val="0"/>
      <w:autoSpaceDN w:val="0"/>
      <w:adjustRightInd w:val="0"/>
      <w:spacing w:before="0" w:beforeAutospacing="0" w:after="0" w:afterAutospacing="0"/>
      <w:ind w:left="0" w:right="0"/>
      <w:jc w:val="left"/>
    </w:pPr>
    <w:rPr>
      <w:rFonts w:hint="eastAsia" w:ascii="仿宋" w:hAnsi="Calibri" w:eastAsia="仿宋" w:cs="仿宋"/>
      <w:color w:val="000000"/>
      <w:kern w:val="0"/>
      <w:sz w:val="24"/>
      <w:szCs w:val="24"/>
      <w:lang w:val="en-US" w:eastAsia="zh-CN" w:bidi="ar"/>
    </w:rPr>
  </w:style>
  <w:style w:type="paragraph" w:customStyle="1" w:styleId="21">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customStyle="1" w:styleId="22">
    <w:name w:val="四号正文"/>
    <w:basedOn w:val="1"/>
    <w:qFormat/>
    <w:uiPriority w:val="0"/>
    <w:pPr>
      <w:spacing w:line="360" w:lineRule="auto"/>
    </w:pPr>
    <w:rPr>
      <w:rFonts w:ascii="??" w:hAnsi="??" w:eastAsia="宋体"/>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chart" Target="charts/chart1.xml"/><Relationship Id="rId21" Type="http://schemas.openxmlformats.org/officeDocument/2006/relationships/image" Target="media/image6.emf"/><Relationship Id="rId20" Type="http://schemas.openxmlformats.org/officeDocument/2006/relationships/oleObject" Target="embeddings/oleObject6.bin"/><Relationship Id="rId2" Type="http://schemas.openxmlformats.org/officeDocument/2006/relationships/settings" Target="settings.xml"/><Relationship Id="rId19" Type="http://schemas.openxmlformats.org/officeDocument/2006/relationships/image" Target="media/image5.emf"/><Relationship Id="rId18" Type="http://schemas.openxmlformats.org/officeDocument/2006/relationships/oleObject" Target="embeddings/oleObject5.bin"/><Relationship Id="rId17" Type="http://schemas.openxmlformats.org/officeDocument/2006/relationships/image" Target="media/image4.emf"/><Relationship Id="rId16" Type="http://schemas.openxmlformats.org/officeDocument/2006/relationships/oleObject" Target="embeddings/oleObject4.bin"/><Relationship Id="rId15" Type="http://schemas.openxmlformats.org/officeDocument/2006/relationships/image" Target="media/image3.emf"/><Relationship Id="rId14" Type="http://schemas.openxmlformats.org/officeDocument/2006/relationships/oleObject" Target="embeddings/oleObject3.bin"/><Relationship Id="rId13" Type="http://schemas.openxmlformats.org/officeDocument/2006/relationships/image" Target="media/image2.emf"/><Relationship Id="rId12" Type="http://schemas.openxmlformats.org/officeDocument/2006/relationships/oleObject" Target="embeddings/oleObject2.bin"/><Relationship Id="rId11" Type="http://schemas.openxmlformats.org/officeDocument/2006/relationships/image" Target="media/image1.emf"/><Relationship Id="rId10" Type="http://schemas.openxmlformats.org/officeDocument/2006/relationships/oleObject" Target="embeddings/oleObject1.bin"/><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42613534374439"/>
          <c:y val="0.00649350649350649"/>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0"/>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Sheet1!$A$2:$A$5</c:f>
              <c:strCache>
                <c:ptCount val="4"/>
                <c:pt idx="0">
                  <c:v>公出国（境）费支出</c:v>
                </c:pt>
                <c:pt idx="1">
                  <c:v>公务用车购置费支出</c:v>
                </c:pt>
                <c:pt idx="2">
                  <c:v>公务用车运行维护费支出</c:v>
                </c:pt>
                <c:pt idx="3">
                  <c:v>公务接待费支出</c:v>
                </c:pt>
              </c:strCache>
            </c:strRef>
          </c:cat>
          <c:val>
            <c:numRef>
              <c:f>Sheet1!$B$2:$B$5</c:f>
              <c:numCache>
                <c:formatCode>General</c:formatCode>
                <c:ptCount val="4"/>
                <c:pt idx="0">
                  <c:v>0</c:v>
                </c:pt>
                <c:pt idx="1">
                  <c:v>119.94</c:v>
                </c:pt>
                <c:pt idx="2">
                  <c:v>31.14</c:v>
                </c:pt>
                <c:pt idx="3">
                  <c:v>4.63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5089</Words>
  <Characters>6552</Characters>
  <Lines>0</Lines>
  <Paragraphs>0</Paragraphs>
  <TotalTime>1</TotalTime>
  <ScaleCrop>false</ScaleCrop>
  <LinksUpToDate>false</LinksUpToDate>
  <CharactersWithSpaces>6599</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Administrator</dc:creator>
  <cp:lastModifiedBy>user</cp:lastModifiedBy>
  <cp:lastPrinted>2024-09-08T09:14:00Z</cp:lastPrinted>
  <dcterms:modified xsi:type="dcterms:W3CDTF">2026-05-09T17:28:48Z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D4A39BB81AD24DD694D5EAEE214133A3_12</vt:lpwstr>
  </property>
  <property fmtid="{D5CDD505-2E9C-101B-9397-08002B2CF9AE}" pid="4" name="KSOTemplateDocerSaveRecord">
    <vt:lpwstr>eyJoZGlkIjoiMTYxN2VkMWMyMGU1NDMwNDBiODJhYTA0ZWZhZDQ1ZjMiLCJ1c2VySWQiOiI4OTg1NzQ0OTcifQ==</vt:lpwstr>
  </property>
</Properties>
</file>