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132" w:name="_GoBack"/>
      <w:bookmarkEnd w:id="132"/>
      <w:bookmarkStart w:id="0" w:name="_Toc15377193"/>
      <w:bookmarkStart w:id="1" w:name="_Toc15396597"/>
      <w:bookmarkStart w:id="2" w:name="_Toc15378441"/>
      <w:bookmarkStart w:id="3" w:name="_Toc15396475"/>
      <w:bookmarkStart w:id="4" w:name="_Toc15377425"/>
      <w:bookmarkStart w:id="5" w:name="_Toc15306267"/>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2021年度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96476"/>
      <w:bookmarkStart w:id="7" w:name="_Toc15306268"/>
      <w:bookmarkStart w:id="8" w:name="_Toc15396598"/>
      <w:bookmarkStart w:id="9" w:name="_Toc15378442"/>
      <w:bookmarkStart w:id="10" w:name="_Toc15377426"/>
      <w:bookmarkStart w:id="11" w:name="_Toc15377194"/>
      <w:r>
        <w:rPr>
          <w:rFonts w:asciiTheme="minorEastAsia" w:hAnsiTheme="minorEastAsia" w:eastAsiaTheme="minorEastAsia"/>
          <w:b/>
          <w:sz w:val="72"/>
          <w:szCs w:val="72"/>
        </w:rPr>
        <w:t>阿坝州茂县人民防空办公室</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2"/>
        <w:rPr>
          <w:rFonts w:asciiTheme="minorHAnsi" w:hAnsiTheme="minorHAnsi" w:eastAsiaTheme="minorEastAsia" w:cstheme="minorBidi"/>
          <w:sz w:val="21"/>
          <w:szCs w:val="22"/>
        </w:rPr>
      </w:pPr>
      <w:r>
        <w:rPr>
          <w:smallCaps/>
          <w:sz w:val="20"/>
          <w:szCs w:val="20"/>
        </w:rPr>
        <w:fldChar w:fldCharType="begin"/>
      </w:r>
      <w:r>
        <w:rPr>
          <w:smallCaps/>
          <w:sz w:val="20"/>
          <w:szCs w:val="20"/>
        </w:rPr>
        <w:instrText xml:space="preserve"> TOC \o "1-2" \h \z \u </w:instrText>
      </w:r>
      <w:r>
        <w:rPr>
          <w:smallCaps/>
          <w:sz w:val="20"/>
          <w:szCs w:val="20"/>
        </w:rPr>
        <w:fldChar w:fldCharType="separate"/>
      </w:r>
      <w:r>
        <w:fldChar w:fldCharType="begin"/>
      </w:r>
      <w:r>
        <w:instrText xml:space="preserve"> HYPERLINK \l "_Toc113981009" </w:instrText>
      </w:r>
      <w:r>
        <w:fldChar w:fldCharType="separate"/>
      </w:r>
      <w:r>
        <w:rPr>
          <w:rStyle w:val="18"/>
          <w:rFonts w:ascii="黑体" w:hAnsi="黑体" w:eastAsia="黑体" w:cs="黑体"/>
        </w:rPr>
        <w:t>第一部分 部门概况</w:t>
      </w:r>
      <w:r>
        <w:tab/>
      </w:r>
      <w:r>
        <w:fldChar w:fldCharType="begin"/>
      </w:r>
      <w:r>
        <w:instrText xml:space="preserve"> PAGEREF _Toc113981009 \h </w:instrText>
      </w:r>
      <w:r>
        <w:fldChar w:fldCharType="separate"/>
      </w:r>
      <w:r>
        <w:t>3</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"_Toc113981010" </w:instrText>
      </w:r>
      <w:r>
        <w:fldChar w:fldCharType="separate"/>
      </w:r>
      <w:r>
        <w:rPr>
          <w:rStyle w:val="18"/>
          <w:rFonts w:ascii="黑体" w:eastAsia="黑体"/>
        </w:rPr>
        <w:t>一、基本职能及主要工作</w:t>
      </w:r>
      <w:r>
        <w:tab/>
      </w:r>
      <w:r>
        <w:fldChar w:fldCharType="begin"/>
      </w:r>
      <w:r>
        <w:instrText xml:space="preserve"> PAGEREF _Toc113981010 \h </w:instrText>
      </w:r>
      <w:r>
        <w:fldChar w:fldCharType="separate"/>
      </w:r>
      <w:r>
        <w:t>3</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"_Toc113981011" </w:instrText>
      </w:r>
      <w:r>
        <w:fldChar w:fldCharType="separate"/>
      </w:r>
      <w:r>
        <w:rPr>
          <w:rStyle w:val="18"/>
          <w:rFonts w:ascii="黑体" w:eastAsia="黑体"/>
        </w:rPr>
        <w:t>二、机构设置</w:t>
      </w:r>
      <w:r>
        <w:tab/>
      </w:r>
      <w:r>
        <w:fldChar w:fldCharType="begin"/>
      </w:r>
      <w:r>
        <w:instrText xml:space="preserve"> PAGEREF _Toc113981011 \h </w:instrText>
      </w:r>
      <w:r>
        <w:fldChar w:fldCharType="separate"/>
      </w:r>
      <w:r>
        <w:t>7</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"_Toc113981012" </w:instrText>
      </w:r>
      <w:r>
        <w:fldChar w:fldCharType="separate"/>
      </w:r>
      <w:r>
        <w:rPr>
          <w:rStyle w:val="18"/>
          <w:rFonts w:hint="eastAsia" w:ascii="黑体" w:hAnsi="黑体" w:eastAsia="黑体" w:cs="黑体"/>
        </w:rPr>
        <w:t>第二部分</w:t>
      </w:r>
      <w:r>
        <w:rPr>
          <w:rStyle w:val="18"/>
          <w:rFonts w:ascii="黑体" w:hAnsi="黑体" w:eastAsia="黑体" w:cs="黑体"/>
        </w:rPr>
        <w:t xml:space="preserve"> 2021年度部门决算情况说明</w:t>
      </w:r>
      <w:r>
        <w:tab/>
      </w:r>
      <w:r>
        <w:fldChar w:fldCharType="begin"/>
      </w:r>
      <w:r>
        <w:instrText xml:space="preserve"> PAGEREF _Toc113981012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"_Toc113981013" </w:instrText>
      </w:r>
      <w:r>
        <w:fldChar w:fldCharType="separate"/>
      </w:r>
      <w:r>
        <w:rPr>
          <w:rStyle w:val="18"/>
          <w:rFonts w:ascii="黑体" w:eastAsia="黑体"/>
        </w:rPr>
        <w:t>一、收入支出决算总体情况说明</w:t>
      </w:r>
      <w:r>
        <w:tab/>
      </w:r>
      <w:r>
        <w:fldChar w:fldCharType="begin"/>
      </w:r>
      <w:r>
        <w:instrText xml:space="preserve"> PAGEREF _Toc113981013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"_Toc113981014" </w:instrText>
      </w:r>
      <w:r>
        <w:fldChar w:fldCharType="separate"/>
      </w:r>
      <w:r>
        <w:rPr>
          <w:rStyle w:val="18"/>
          <w:rFonts w:ascii="黑体" w:eastAsia="黑体"/>
        </w:rPr>
        <w:t>二、收入决算情况说明</w:t>
      </w:r>
      <w:r>
        <w:tab/>
      </w:r>
      <w:r>
        <w:fldChar w:fldCharType="begin"/>
      </w:r>
      <w:r>
        <w:instrText xml:space="preserve"> PAGEREF _Toc113981014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"_Toc113981015" </w:instrText>
      </w:r>
      <w:r>
        <w:fldChar w:fldCharType="separate"/>
      </w:r>
      <w:r>
        <w:rPr>
          <w:rStyle w:val="18"/>
          <w:rFonts w:ascii="黑体" w:eastAsia="黑体"/>
        </w:rPr>
        <w:t>三、支出决算情况说明</w:t>
      </w:r>
      <w:r>
        <w:tab/>
      </w:r>
      <w:r>
        <w:fldChar w:fldCharType="begin"/>
      </w:r>
      <w:r>
        <w:instrText xml:space="preserve"> PAGEREF _Toc113981015 \h </w:instrText>
      </w:r>
      <w:r>
        <w:fldChar w:fldCharType="separate"/>
      </w:r>
      <w:r>
        <w:t>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"_Toc113981016" </w:instrText>
      </w:r>
      <w:r>
        <w:fldChar w:fldCharType="separate"/>
      </w:r>
      <w:r>
        <w:rPr>
          <w:rStyle w:val="18"/>
          <w:rFonts w:ascii="黑体" w:eastAsia="黑体"/>
        </w:rPr>
        <w:t>四、财政拨款收入支出决算总体情况说明</w:t>
      </w:r>
      <w:r>
        <w:tab/>
      </w:r>
      <w:r>
        <w:fldChar w:fldCharType="begin"/>
      </w:r>
      <w:r>
        <w:instrText xml:space="preserve"> PAGEREF _Toc113981016 \h </w:instrText>
      </w:r>
      <w:r>
        <w:fldChar w:fldCharType="separate"/>
      </w:r>
      <w:r>
        <w:t>10</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"_Toc113981017" </w:instrText>
      </w:r>
      <w:r>
        <w:fldChar w:fldCharType="separate"/>
      </w:r>
      <w:r>
        <w:rPr>
          <w:rStyle w:val="18"/>
          <w:rFonts w:ascii="黑体" w:eastAsia="黑体"/>
        </w:rPr>
        <w:t>五、一般公共预算财政拨款支出决算情况说明</w:t>
      </w:r>
      <w:r>
        <w:tab/>
      </w:r>
      <w:r>
        <w:fldChar w:fldCharType="begin"/>
      </w:r>
      <w:r>
        <w:instrText xml:space="preserve"> PAGEREF _Toc113981017 \h </w:instrText>
      </w:r>
      <w:r>
        <w:fldChar w:fldCharType="separate"/>
      </w:r>
      <w:r>
        <w:t>11</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"_Toc113981018" </w:instrText>
      </w:r>
      <w:r>
        <w:fldChar w:fldCharType="separate"/>
      </w:r>
      <w:r>
        <w:rPr>
          <w:rStyle w:val="18"/>
          <w:rFonts w:ascii="黑体" w:eastAsia="黑体"/>
        </w:rPr>
        <w:t>六、一般公共预算财政拨款基本支出决算情况说明</w:t>
      </w:r>
      <w:r>
        <w:tab/>
      </w:r>
      <w:r>
        <w:fldChar w:fldCharType="begin"/>
      </w:r>
      <w:r>
        <w:instrText xml:space="preserve"> PAGEREF _Toc113981018 \h </w:instrText>
      </w:r>
      <w:r>
        <w:fldChar w:fldCharType="separate"/>
      </w:r>
      <w:r>
        <w:t>14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"_Toc113981019" </w:instrText>
      </w:r>
      <w:r>
        <w:fldChar w:fldCharType="separate"/>
      </w:r>
      <w:r>
        <w:rPr>
          <w:rStyle w:val="18"/>
          <w:rFonts w:ascii="黑体" w:eastAsia="黑体"/>
        </w:rPr>
        <w:t>七、“三公”经费财政拨款支出决算情况说明</w:t>
      </w:r>
      <w:r>
        <w:tab/>
      </w:r>
      <w:r>
        <w:fldChar w:fldCharType="begin"/>
      </w:r>
      <w:r>
        <w:instrText xml:space="preserve"> PAGEREF _Toc113981019 \h </w:instrText>
      </w:r>
      <w:r>
        <w:fldChar w:fldCharType="separate"/>
      </w:r>
      <w:r>
        <w:t>14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"_Toc113981020" </w:instrText>
      </w:r>
      <w:r>
        <w:fldChar w:fldCharType="separate"/>
      </w:r>
      <w:r>
        <w:rPr>
          <w:rStyle w:val="18"/>
          <w:rFonts w:ascii="黑体" w:eastAsia="黑体"/>
        </w:rPr>
        <w:t>八、政府性基金预算支出决算情况说明</w:t>
      </w:r>
      <w:r>
        <w:tab/>
      </w:r>
      <w:r>
        <w:fldChar w:fldCharType="begin"/>
      </w:r>
      <w:r>
        <w:instrText xml:space="preserve"> PAGEREF _Toc113981020 \h </w:instrText>
      </w:r>
      <w:r>
        <w:fldChar w:fldCharType="separate"/>
      </w:r>
      <w:r>
        <w:t>16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"_Toc113981021" </w:instrText>
      </w:r>
      <w:r>
        <w:fldChar w:fldCharType="separate"/>
      </w:r>
      <w:r>
        <w:rPr>
          <w:rStyle w:val="18"/>
          <w:rFonts w:ascii="黑体" w:eastAsia="黑体"/>
        </w:rPr>
        <w:t>九、国有资本经营预算支出决算情况说明</w:t>
      </w:r>
      <w:r>
        <w:tab/>
      </w:r>
      <w:r>
        <w:fldChar w:fldCharType="begin"/>
      </w:r>
      <w:r>
        <w:instrText xml:space="preserve"> PAGEREF _Toc113981021 \h </w:instrText>
      </w:r>
      <w:r>
        <w:fldChar w:fldCharType="separate"/>
      </w:r>
      <w:r>
        <w:t>16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"_Toc113981022" </w:instrText>
      </w:r>
      <w:r>
        <w:fldChar w:fldCharType="separate"/>
      </w:r>
      <w:r>
        <w:rPr>
          <w:rStyle w:val="18"/>
          <w:rFonts w:ascii="黑体" w:eastAsia="黑体"/>
        </w:rPr>
        <w:t>十、其他重要事项的情况说明</w:t>
      </w:r>
      <w:r>
        <w:tab/>
      </w:r>
      <w:r>
        <w:fldChar w:fldCharType="begin"/>
      </w:r>
      <w:r>
        <w:instrText xml:space="preserve"> PAGEREF _Toc113981022 \h </w:instrText>
      </w:r>
      <w:r>
        <w:fldChar w:fldCharType="separate"/>
      </w:r>
      <w:r>
        <w:t>16</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"_Toc113981023" </w:instrText>
      </w:r>
      <w:r>
        <w:fldChar w:fldCharType="separate"/>
      </w:r>
      <w:r>
        <w:rPr>
          <w:rStyle w:val="18"/>
          <w:rFonts w:ascii="黑体" w:hAnsi="黑体" w:eastAsia="黑体" w:cs="黑体"/>
        </w:rPr>
        <w:t>第三部分 名词解释</w:t>
      </w:r>
      <w:r>
        <w:tab/>
      </w:r>
      <w:r>
        <w:fldChar w:fldCharType="begin"/>
      </w:r>
      <w:r>
        <w:instrText xml:space="preserve"> PAGEREF _Toc113981023 \h </w:instrText>
      </w:r>
      <w:r>
        <w:fldChar w:fldCharType="separate"/>
      </w:r>
      <w:r>
        <w:t>18</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"_Toc113981024" </w:instrText>
      </w:r>
      <w:r>
        <w:fldChar w:fldCharType="separate"/>
      </w:r>
      <w:r>
        <w:rPr>
          <w:rStyle w:val="18"/>
          <w:rFonts w:ascii="黑体" w:hAnsi="黑体" w:eastAsia="黑体" w:cs="黑体"/>
        </w:rPr>
        <w:t>第四部分 附件</w:t>
      </w:r>
      <w:r>
        <w:tab/>
      </w:r>
      <w:r>
        <w:fldChar w:fldCharType="begin"/>
      </w:r>
      <w:r>
        <w:instrText xml:space="preserve"> PAGEREF _Toc113981024 \h </w:instrText>
      </w:r>
      <w:r>
        <w:fldChar w:fldCharType="separate"/>
      </w:r>
      <w:r>
        <w:t>21</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"_Toc113981025" </w:instrText>
      </w:r>
      <w:r>
        <w:fldChar w:fldCharType="separate"/>
      </w:r>
      <w:r>
        <w:rPr>
          <w:rStyle w:val="18"/>
          <w:rFonts w:ascii="黑体" w:hAnsi="黑体" w:eastAsia="黑体" w:cs="黑体"/>
        </w:rPr>
        <w:t>第五部分 附表</w:t>
      </w:r>
      <w:r>
        <w:tab/>
      </w:r>
      <w:r>
        <w:fldChar w:fldCharType="begin"/>
      </w:r>
      <w:r>
        <w:instrText xml:space="preserve"> PAGEREF _Toc113981025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"_Toc113981026" </w:instrText>
      </w:r>
      <w:r>
        <w:fldChar w:fldCharType="separate"/>
      </w:r>
      <w:r>
        <w:rPr>
          <w:rStyle w:val="18"/>
          <w:rFonts w:ascii="黑体" w:eastAsia="黑体"/>
        </w:rPr>
        <w:t>一、收入支出决算总表</w:t>
      </w:r>
      <w:r>
        <w:tab/>
      </w:r>
      <w:r>
        <w:fldChar w:fldCharType="begin"/>
      </w:r>
      <w:r>
        <w:instrText xml:space="preserve"> PAGEREF _Toc113981026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"_Toc113981027" </w:instrText>
      </w:r>
      <w:r>
        <w:fldChar w:fldCharType="separate"/>
      </w:r>
      <w:r>
        <w:rPr>
          <w:rStyle w:val="18"/>
          <w:rFonts w:ascii="黑体" w:eastAsia="黑体"/>
        </w:rPr>
        <w:t>二、收入决算表</w:t>
      </w:r>
      <w:r>
        <w:tab/>
      </w:r>
      <w:r>
        <w:fldChar w:fldCharType="begin"/>
      </w:r>
      <w:r>
        <w:instrText xml:space="preserve"> PAGEREF _Toc113981027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"_Toc113981028" </w:instrText>
      </w:r>
      <w:r>
        <w:fldChar w:fldCharType="separate"/>
      </w:r>
      <w:r>
        <w:rPr>
          <w:rStyle w:val="18"/>
          <w:rFonts w:ascii="黑体" w:eastAsia="黑体"/>
        </w:rPr>
        <w:t>三、支出决算表</w:t>
      </w:r>
      <w:r>
        <w:tab/>
      </w:r>
      <w:r>
        <w:fldChar w:fldCharType="begin"/>
      </w:r>
      <w:r>
        <w:instrText xml:space="preserve"> PAGEREF _Toc113981028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"_Toc113981029" </w:instrText>
      </w:r>
      <w:r>
        <w:fldChar w:fldCharType="separate"/>
      </w:r>
      <w:r>
        <w:rPr>
          <w:rStyle w:val="18"/>
          <w:rFonts w:ascii="黑体" w:eastAsia="黑体"/>
        </w:rPr>
        <w:t>四、财政拨款收入支出决算总表</w:t>
      </w:r>
      <w:r>
        <w:tab/>
      </w:r>
      <w:r>
        <w:fldChar w:fldCharType="begin"/>
      </w:r>
      <w:r>
        <w:instrText xml:space="preserve"> PAGEREF _Toc113981029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"_Toc113981030" </w:instrText>
      </w:r>
      <w:r>
        <w:fldChar w:fldCharType="separate"/>
      </w:r>
      <w:r>
        <w:rPr>
          <w:rStyle w:val="18"/>
          <w:rFonts w:ascii="黑体" w:eastAsia="黑体"/>
        </w:rPr>
        <w:t>五、财政拨款支出决算明细表</w:t>
      </w:r>
      <w:r>
        <w:tab/>
      </w:r>
      <w:r>
        <w:fldChar w:fldCharType="begin"/>
      </w:r>
      <w:r>
        <w:instrText xml:space="preserve"> PAGEREF _Toc113981030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"_Toc113981031" </w:instrText>
      </w:r>
      <w:r>
        <w:fldChar w:fldCharType="separate"/>
      </w:r>
      <w:r>
        <w:rPr>
          <w:rStyle w:val="18"/>
          <w:rFonts w:ascii="黑体" w:eastAsia="黑体"/>
        </w:rPr>
        <w:t>六、一般公共预算财政拨款支出决算表</w:t>
      </w:r>
      <w:r>
        <w:tab/>
      </w:r>
      <w:r>
        <w:fldChar w:fldCharType="begin"/>
      </w:r>
      <w:r>
        <w:instrText xml:space="preserve"> PAGEREF _Toc113981031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"_Toc113981032" </w:instrText>
      </w:r>
      <w:r>
        <w:fldChar w:fldCharType="separate"/>
      </w:r>
      <w:r>
        <w:rPr>
          <w:rStyle w:val="18"/>
          <w:rFonts w:ascii="黑体" w:eastAsia="黑体"/>
        </w:rPr>
        <w:t>七、一般公共预算财政拨款支出决算明细表</w:t>
      </w:r>
      <w:r>
        <w:tab/>
      </w:r>
      <w:r>
        <w:fldChar w:fldCharType="begin"/>
      </w:r>
      <w:r>
        <w:instrText xml:space="preserve"> PAGEREF _Toc113981032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"_Toc113981033" </w:instrText>
      </w:r>
      <w:r>
        <w:fldChar w:fldCharType="separate"/>
      </w:r>
      <w:r>
        <w:rPr>
          <w:rStyle w:val="18"/>
          <w:rFonts w:ascii="黑体" w:eastAsia="黑体"/>
        </w:rPr>
        <w:t>八、一般公共预算财政拨款基本支出决算表</w:t>
      </w:r>
      <w:r>
        <w:tab/>
      </w:r>
      <w:r>
        <w:fldChar w:fldCharType="begin"/>
      </w:r>
      <w:r>
        <w:instrText xml:space="preserve"> PAGEREF _Toc113981033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"_Toc113981034" </w:instrText>
      </w:r>
      <w:r>
        <w:fldChar w:fldCharType="separate"/>
      </w:r>
      <w:r>
        <w:rPr>
          <w:rStyle w:val="18"/>
          <w:rFonts w:ascii="黑体" w:eastAsia="黑体"/>
        </w:rPr>
        <w:t>九、一般公共预算财政拨款项目支出决算表</w:t>
      </w:r>
      <w:r>
        <w:tab/>
      </w:r>
      <w:r>
        <w:fldChar w:fldCharType="begin"/>
      </w:r>
      <w:r>
        <w:instrText xml:space="preserve"> PAGEREF _Toc113981034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"_Toc113981035" </w:instrText>
      </w:r>
      <w:r>
        <w:fldChar w:fldCharType="separate"/>
      </w:r>
      <w:r>
        <w:rPr>
          <w:rStyle w:val="18"/>
          <w:rFonts w:ascii="黑体" w:eastAsia="黑体"/>
        </w:rPr>
        <w:t>十、一般公共预算财政拨款“三公”经费支出决算表</w:t>
      </w:r>
      <w:r>
        <w:tab/>
      </w:r>
      <w:r>
        <w:fldChar w:fldCharType="begin"/>
      </w:r>
      <w:r>
        <w:instrText xml:space="preserve"> PAGEREF _Toc113981035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"_Toc113981036" </w:instrText>
      </w:r>
      <w:r>
        <w:fldChar w:fldCharType="separate"/>
      </w:r>
      <w:r>
        <w:rPr>
          <w:rStyle w:val="18"/>
          <w:rFonts w:ascii="黑体" w:eastAsia="黑体"/>
        </w:rPr>
        <w:t>十一、政府性基金预算财政拨款收入支出决算表</w:t>
      </w:r>
      <w:r>
        <w:tab/>
      </w:r>
      <w:r>
        <w:fldChar w:fldCharType="begin"/>
      </w:r>
      <w:r>
        <w:instrText xml:space="preserve"> PAGEREF _Toc113981036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"_Toc113981037" </w:instrText>
      </w:r>
      <w:r>
        <w:fldChar w:fldCharType="separate"/>
      </w:r>
      <w:r>
        <w:rPr>
          <w:rStyle w:val="18"/>
          <w:rFonts w:ascii="黑体" w:eastAsia="黑体"/>
        </w:rPr>
        <w:t>十二、政府性基金预算财政拨款“三公”经费支出决算表</w:t>
      </w:r>
      <w:r>
        <w:tab/>
      </w:r>
      <w:r>
        <w:fldChar w:fldCharType="begin"/>
      </w:r>
      <w:r>
        <w:instrText xml:space="preserve"> PAGEREF _Toc113981037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"_Toc113981038" </w:instrText>
      </w:r>
      <w:r>
        <w:fldChar w:fldCharType="separate"/>
      </w:r>
      <w:r>
        <w:rPr>
          <w:rStyle w:val="18"/>
          <w:rFonts w:ascii="黑体" w:eastAsia="黑体"/>
        </w:rPr>
        <w:t>十三、国有资本经营预算财政拨款收入支出决算表</w:t>
      </w:r>
      <w:r>
        <w:tab/>
      </w:r>
      <w:r>
        <w:fldChar w:fldCharType="begin"/>
      </w:r>
      <w:r>
        <w:instrText xml:space="preserve"> PAGEREF _Toc113981038 \h </w:instrText>
      </w:r>
      <w:r>
        <w:fldChar w:fldCharType="separate"/>
      </w:r>
      <w:r>
        <w:t>26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"_Toc113981039" </w:instrText>
      </w:r>
      <w:r>
        <w:fldChar w:fldCharType="separate"/>
      </w:r>
      <w:r>
        <w:rPr>
          <w:rStyle w:val="18"/>
          <w:rFonts w:ascii="黑体" w:eastAsia="黑体"/>
        </w:rPr>
        <w:t>十四、国有资本经营预算财政拨款支出决算表</w:t>
      </w:r>
      <w:r>
        <w:tab/>
      </w:r>
      <w:r>
        <w:fldChar w:fldCharType="begin"/>
      </w:r>
      <w:r>
        <w:instrText xml:space="preserve"> PAGEREF _Toc113981039 \h </w:instrText>
      </w:r>
      <w:r>
        <w:fldChar w:fldCharType="separate"/>
      </w:r>
      <w:r>
        <w:t>26</w:t>
      </w:r>
      <w:r>
        <w:fldChar w:fldCharType="end"/>
      </w:r>
      <w:r>
        <w:fldChar w:fldCharType="end"/>
      </w:r>
    </w:p>
    <w:p>
      <w:pPr>
        <w:pStyle w:val="2"/>
      </w:pPr>
      <w:r>
        <w:rPr>
          <w:smallCaps/>
          <w:szCs w:val="20"/>
        </w:rPr>
        <w:fldChar w:fldCharType="end"/>
      </w:r>
    </w:p>
    <w:p>
      <w:pPr>
        <w:pStyle w:val="3"/>
        <w:jc w:val="center"/>
        <w:rPr>
          <w:rFonts w:ascii="黑体" w:hAnsi="黑体" w:eastAsia="黑体" w:cs="黑体"/>
          <w:b w:val="0"/>
          <w:bCs w:val="0"/>
        </w:rPr>
      </w:pPr>
      <w:bookmarkStart w:id="13" w:name="_Toc111208495"/>
      <w:bookmarkStart w:id="14" w:name="_Toc113981009"/>
      <w:r>
        <w:rPr>
          <w:rFonts w:hint="eastAsia" w:ascii="黑体" w:hAnsi="黑体" w:eastAsia="黑体" w:cs="黑体"/>
        </w:rPr>
        <w:t xml:space="preserve">第一部分 </w:t>
      </w:r>
      <w:r>
        <w:rPr>
          <w:rStyle w:val="28"/>
          <w:rFonts w:hint="eastAsia" w:ascii="黑体" w:hAnsi="黑体" w:eastAsia="黑体" w:cs="黑体"/>
          <w:b/>
          <w:bCs w:val="0"/>
        </w:rPr>
        <w:t>部门概况</w:t>
      </w:r>
      <w:bookmarkEnd w:id="12"/>
      <w:bookmarkEnd w:id="13"/>
      <w:bookmarkEnd w:id="14"/>
    </w:p>
    <w:p>
      <w:pPr>
        <w:pStyle w:val="4"/>
        <w:ind w:firstLine="642" w:firstLineChars="200"/>
        <w:rPr>
          <w:rFonts w:ascii="黑体" w:eastAsia="黑体" w:cs="Times New Roman"/>
          <w:bCs w:val="0"/>
          <w:color w:val="000000"/>
        </w:rPr>
      </w:pPr>
      <w:bookmarkStart w:id="15" w:name="_Toc111208496"/>
      <w:bookmarkStart w:id="16" w:name="_Toc15377197"/>
      <w:bookmarkStart w:id="17" w:name="_Toc113981010"/>
      <w:r>
        <w:rPr>
          <w:rFonts w:hint="eastAsia" w:ascii="黑体" w:eastAsia="黑体" w:cs="Times New Roman"/>
          <w:bCs w:val="0"/>
          <w:color w:val="000000"/>
        </w:rPr>
        <w:t>一、基本职能及主要工作</w:t>
      </w:r>
      <w:bookmarkEnd w:id="15"/>
      <w:bookmarkEnd w:id="16"/>
      <w:bookmarkEnd w:id="17"/>
      <w:bookmarkStart w:id="18" w:name="_Toc15378445"/>
      <w:bookmarkStart w:id="19" w:name="_Toc15377198"/>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（一）主要职能</w:t>
      </w:r>
      <w:bookmarkEnd w:id="18"/>
      <w:bookmarkEnd w:id="19"/>
    </w:p>
    <w:p>
      <w:pPr>
        <w:autoSpaceDN w:val="0"/>
        <w:spacing w:line="288" w:lineRule="auto"/>
        <w:ind w:firstLine="640" w:firstLineChars="200"/>
        <w:rPr>
          <w:rFonts w:hint="eastAsia" w:ascii="仿宋_GB2312" w:hAnsi="宋体" w:eastAsia="仿宋_GB2312"/>
          <w:sz w:val="32"/>
          <w:szCs w:val="32"/>
        </w:rPr>
      </w:pPr>
      <w:bookmarkStart w:id="20" w:name="_Toc15378446"/>
      <w:bookmarkStart w:id="21" w:name="_Toc15377199"/>
      <w:r>
        <w:rPr>
          <w:rFonts w:hint="eastAsia" w:ascii="仿宋_GB2312" w:hAnsi="宋体" w:eastAsia="仿宋_GB2312"/>
          <w:sz w:val="32"/>
          <w:szCs w:val="32"/>
          <w:lang w:val="en-US" w:eastAsia="zh-CN"/>
        </w:rPr>
        <w:t>1.</w:t>
      </w:r>
      <w:r>
        <w:rPr>
          <w:rFonts w:hint="eastAsia" w:ascii="仿宋_GB2312" w:hAnsi="宋体" w:eastAsia="仿宋_GB2312"/>
          <w:sz w:val="32"/>
          <w:szCs w:val="32"/>
        </w:rPr>
        <w:t>贯彻执行人民防空工作的方针、政策；拟定与国家法律法规相配套的与本县人防工作相适应的规范性文件，经批准后组织实施 。</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 xml:space="preserve">根据本县国民经济和社会发展计划以及国防建设需要，编制本县人民防空事业发展规划和年度计划，经批准后组织实。   </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制定和实施人民防空建设与城市建设相结合的规划，对城市重要经济目标防护措施的落实进行监督检查。</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开展人民防空组织指挥工作，组织制定、修改落实本县《城市防空袭方案》和各种保障计划；组织指导有关部门和单位组建训练各种人防专业队伍并适时实施演练。</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负责制定本县人民防空通信、警报建设规划，组织人民防空通信、警报网的建设和管理；协调有关部门保障人民防空通信和警报建设。</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制定本县人民防空工程建设并按照国家要求的防护等级、标准、建设程序修建人民防空指挥工程、公用的人员掩蔽工程和疏散干道工程。负责本县结合民用建筑防空地下室建设项目的图纸审定、建设指导、竣工验收和人防易地建设费收取工作。</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对公共人民防空工程实施加固、改造和维护管理，对单位人民防空工作维护管理实施监督检查。制定并实施本县人民防空整体平战结合发展规划，努力提高人防建设的战各、社会、经济效益。</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8.</w:t>
      </w:r>
      <w:r>
        <w:rPr>
          <w:rFonts w:hint="eastAsia" w:ascii="仿宋_GB2312" w:hAnsi="宋体" w:eastAsia="仿宋_GB2312"/>
          <w:sz w:val="32"/>
          <w:szCs w:val="32"/>
        </w:rPr>
        <w:t>依法落实国家有关人防建设的政策规定；依法保护人民防空的设备设施；依法禁止和查处违反人民防空法律法规的行为。</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9.</w:t>
      </w:r>
      <w:r>
        <w:rPr>
          <w:rFonts w:hint="eastAsia" w:ascii="仿宋_GB2312" w:hAnsi="宋体" w:eastAsia="仿宋_GB2312"/>
          <w:sz w:val="32"/>
          <w:szCs w:val="32"/>
        </w:rPr>
        <w:t>组织开展人民防空宣传教育，制定本县人民防空教育计划，会同有关部门组织人民防空教育计划的实施，普及人民防空基本知识，提高人民防空基本技能；组织人民防空理论和科学研究。</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10.</w:t>
      </w:r>
      <w:r>
        <w:rPr>
          <w:rFonts w:hint="eastAsia" w:ascii="仿宋_GB2312" w:hAnsi="宋体" w:eastAsia="仿宋_GB2312"/>
          <w:sz w:val="32"/>
          <w:szCs w:val="32"/>
        </w:rPr>
        <w:t>负责人民防空经费、物资、资产的计划、安排和管理。</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11.</w:t>
      </w:r>
      <w:r>
        <w:rPr>
          <w:rFonts w:hint="eastAsia" w:ascii="仿宋_GB2312" w:hAnsi="宋体" w:eastAsia="仿宋_GB2312"/>
          <w:sz w:val="32"/>
          <w:szCs w:val="32"/>
        </w:rPr>
        <w:t>战时负责发放空袭警服和组织实施灯火管制，组织指挥人民防空疏散和掩蔽，配合要地防空和城市保卫作战，协助有关部门做好生活供应和其它保障工作，组织消除空袭后果，协助有关部门恢复正常的生产和生活秩序。</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mallCaps/>
          <w:color w:val="000000"/>
          <w:sz w:val="32"/>
          <w:szCs w:val="32"/>
        </w:rPr>
      </w:pPr>
      <w:r>
        <w:rPr>
          <w:rFonts w:hint="eastAsia" w:ascii="仿宋_GB2312" w:hAnsi="宋体" w:eastAsia="仿宋_GB2312"/>
          <w:sz w:val="32"/>
          <w:szCs w:val="32"/>
          <w:lang w:val="en-US" w:eastAsia="zh-CN"/>
        </w:rPr>
        <w:t>12.</w:t>
      </w:r>
      <w:r>
        <w:rPr>
          <w:rFonts w:hint="eastAsia" w:ascii="仿宋_GB2312" w:hAnsi="宋体" w:eastAsia="仿宋_GB2312"/>
          <w:sz w:val="32"/>
          <w:szCs w:val="32"/>
        </w:rPr>
        <w:t>承办县委、县政府、县国防动员委员会和上级人防部门交办的其它事项。</w:t>
      </w:r>
      <w:r>
        <w:rPr>
          <w:rFonts w:hint="eastAsia" w:ascii="仿宋_GB2312" w:hAnsi="宋体" w:eastAsia="仿宋_GB2312"/>
          <w:smallCaps/>
          <w:color w:val="000000"/>
          <w:sz w:val="32"/>
          <w:szCs w:val="32"/>
        </w:rPr>
        <w:t>　　</w:t>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w:t>
      </w:r>
      <w:r>
        <w:rPr>
          <w:rFonts w:ascii="仿宋" w:hAnsi="仿宋" w:eastAsia="仿宋"/>
          <w:b/>
          <w:color w:val="000000"/>
          <w:sz w:val="32"/>
          <w:szCs w:val="32"/>
        </w:rPr>
        <w:t>2021</w:t>
      </w:r>
      <w:r>
        <w:rPr>
          <w:rFonts w:hint="eastAsia" w:ascii="仿宋" w:hAnsi="仿宋" w:eastAsia="仿宋"/>
          <w:b/>
          <w:color w:val="000000"/>
          <w:sz w:val="32"/>
          <w:szCs w:val="32"/>
        </w:rPr>
        <w:t>重点工作完成情况</w:t>
      </w:r>
      <w:bookmarkEnd w:id="20"/>
      <w:bookmarkEnd w:id="21"/>
      <w:bookmarkStart w:id="22" w:name="_Toc15377200"/>
    </w:p>
    <w:p>
      <w:pPr>
        <w:rPr>
          <w:rFonts w:hint="eastAsia" w:ascii="仿宋" w:hAnsi="仿宋" w:eastAsia="仿宋"/>
          <w:color w:val="000000"/>
          <w:sz w:val="32"/>
          <w:szCs w:val="32"/>
          <w:lang w:eastAsia="zh-CN"/>
        </w:rPr>
      </w:pPr>
    </w:p>
    <w:p>
      <w:pPr>
        <w:rPr>
          <w:rFonts w:ascii="仿宋" w:hAnsi="仿宋" w:eastAsia="仿宋"/>
          <w:color w:val="000000"/>
          <w:sz w:val="32"/>
          <w:szCs w:val="32"/>
        </w:rPr>
      </w:pPr>
      <w:r>
        <w:rPr>
          <w:rFonts w:ascii="仿宋" w:hAnsi="仿宋" w:eastAsia="仿宋"/>
          <w:color w:val="000000"/>
          <w:sz w:val="32"/>
          <w:szCs w:val="32"/>
        </w:rPr>
        <w:tab/>
      </w:r>
      <w:r>
        <w:rPr>
          <w:rFonts w:ascii="仿宋" w:hAnsi="仿宋" w:eastAsia="仿宋"/>
          <w:color w:val="000000"/>
          <w:sz w:val="32"/>
          <w:szCs w:val="32"/>
        </w:rPr>
        <w:t>一年来，在县委县政府领导下，在省、州人防部门的帮助和指导下，我办以“长期准备、重点建设、平战结合”的人防工作方针为指导，认真学习贯彻执行《人民防空法》，以适应新时代要求为目标，从加强人防工作队伍依法行政意识和提高工作能力入手，强化人防人员主动意识、安全生产意识，突出建设重点，以人防系统治理为抓手，推进人防各项工作依法依规有序展开。
一、主要工作开展情况
</w:t>
      </w:r>
    </w:p>
    <w:p>
      <w:pPr>
        <w:ind w:firstLine="642" w:firstLineChars="200"/>
        <w:rPr>
          <w:rFonts w:ascii="仿宋" w:hAnsi="仿宋" w:eastAsia="仿宋"/>
          <w:color w:val="000000"/>
          <w:sz w:val="32"/>
          <w:szCs w:val="32"/>
        </w:rPr>
      </w:pPr>
      <w:r>
        <w:rPr>
          <w:rFonts w:ascii="仿宋" w:hAnsi="仿宋" w:eastAsia="仿宋"/>
          <w:b/>
          <w:bCs/>
          <w:color w:val="000000"/>
          <w:sz w:val="32"/>
          <w:szCs w:val="32"/>
        </w:rPr>
        <w:t>人防系统治理方面。</w:t>
      </w:r>
      <w:r>
        <w:rPr>
          <w:rFonts w:ascii="仿宋" w:hAnsi="仿宋" w:eastAsia="仿宋"/>
          <w:color w:val="000000"/>
          <w:sz w:val="32"/>
          <w:szCs w:val="32"/>
        </w:rPr>
        <w:t>根据州深化人防行业系统治理领导小组提出的问题和意见，结合我县人防系统实际，积极开展深入治理工作。一是认真对存在漏征、欠缴防空地下室易地建设费问题的项目情况进行再次核查和梳理，深入查找问题原因，积极依规依法落实追缴工作。目前仅一个项目应补缴款项暂未到账，该项目所涉款项现已纳入茂县人民法院拍卖清算款项。二是已结合前期人防审批中存在的不足，进一步规范、优化了人防审批流程，并积极推进网上办件。同时，按上级部门要求和相关文件规定，县人防办已对相关制度进行完善。三是现经县政府主要领导、县政府办公室主要领导批示，县政府办拟对办公室人员分工进行调整，以确保人防具体工作有专人抓落实。
</w:t>
      </w:r>
    </w:p>
    <w:p>
      <w:pPr>
        <w:ind w:firstLine="642" w:firstLineChars="200"/>
        <w:rPr>
          <w:rFonts w:ascii="仿宋" w:hAnsi="仿宋" w:eastAsia="仿宋"/>
          <w:color w:val="000000"/>
          <w:sz w:val="32"/>
          <w:szCs w:val="32"/>
        </w:rPr>
      </w:pPr>
      <w:r>
        <w:rPr>
          <w:rFonts w:ascii="仿宋" w:hAnsi="仿宋" w:eastAsia="仿宋"/>
          <w:b/>
          <w:bCs/>
          <w:color w:val="000000"/>
          <w:sz w:val="32"/>
          <w:szCs w:val="32"/>
        </w:rPr>
        <w:t>指挥通信建设方面。</w:t>
      </w:r>
      <w:r>
        <w:rPr>
          <w:rFonts w:ascii="仿宋" w:hAnsi="仿宋" w:eastAsia="仿宋"/>
          <w:color w:val="000000"/>
          <w:sz w:val="32"/>
          <w:szCs w:val="32"/>
        </w:rPr>
        <w:t>明确管理责任，按时定期进行人防设施设备维护、检修，继续做好人防电台、人防警报器的维护与管理，延长设施设备的使用寿命，提升检查使用频次，确保电台畅通和全城区人防警报点能随时正常同步使用。同时积极做好了茂县人防小型机动指挥所（人防通讯指挥车）的管理和维护工作。
</w:t>
      </w:r>
    </w:p>
    <w:p>
      <w:pPr>
        <w:ind w:firstLine="642" w:firstLineChars="200"/>
        <w:rPr>
          <w:rFonts w:hint="eastAsia" w:ascii="仿宋" w:hAnsi="仿宋" w:eastAsia="仿宋"/>
          <w:color w:val="000000"/>
          <w:sz w:val="32"/>
          <w:szCs w:val="32"/>
          <w:lang w:val="en-US" w:eastAsia="zh-CN"/>
        </w:rPr>
      </w:pPr>
      <w:r>
        <w:rPr>
          <w:rFonts w:ascii="仿宋" w:hAnsi="仿宋" w:eastAsia="仿宋"/>
          <w:b/>
          <w:bCs/>
          <w:color w:val="000000"/>
          <w:sz w:val="32"/>
          <w:szCs w:val="32"/>
        </w:rPr>
        <w:t>人防工程建设方面。</w:t>
      </w:r>
      <w:r>
        <w:rPr>
          <w:rFonts w:ascii="仿宋" w:hAnsi="仿宋" w:eastAsia="仿宋"/>
          <w:color w:val="000000"/>
          <w:sz w:val="32"/>
          <w:szCs w:val="32"/>
        </w:rPr>
        <w:t>严格规范人防工程建设的资料归档、评审和报批等工作，并落实专人管好档案资料。坚持依法依规办事，人防易地建设坚持“应建必建，应收尽收”的原则，促进人防“结建”工作规范化。2021年，县人防办依法依规办理易地建设审批项目4处，依法征收易地建设费147171.85元。同时，我办主动与县住建局、县自然资源局、县财政局联系对接，积极磋商科学化、合理化使用收取的人防易地建设费，拟结合城市建设实际需要有效兼顾人防工程建设需求。</w:t>
      </w:r>
      <w:r>
        <w:rPr>
          <w:rFonts w:hint="eastAsia" w:ascii="仿宋" w:hAnsi="仿宋" w:eastAsia="仿宋"/>
          <w:color w:val="000000"/>
          <w:sz w:val="32"/>
          <w:szCs w:val="32"/>
          <w:lang w:val="en-US" w:eastAsia="zh-CN"/>
        </w:rPr>
        <w:t xml:space="preserve">         </w:t>
      </w:r>
    </w:p>
    <w:p>
      <w:pPr>
        <w:ind w:firstLine="642" w:firstLineChars="200"/>
        <w:rPr>
          <w:rFonts w:hint="eastAsia" w:ascii="仿宋" w:hAnsi="仿宋" w:eastAsia="仿宋"/>
          <w:color w:val="000000"/>
          <w:sz w:val="32"/>
          <w:szCs w:val="32"/>
          <w:lang w:val="en-US" w:eastAsia="zh-CN"/>
        </w:rPr>
      </w:pPr>
      <w:r>
        <w:rPr>
          <w:rFonts w:ascii="仿宋" w:hAnsi="仿宋" w:eastAsia="仿宋"/>
          <w:b/>
          <w:bCs/>
          <w:color w:val="000000"/>
          <w:sz w:val="32"/>
          <w:szCs w:val="32"/>
        </w:rPr>
        <w:t>人员队伍建设方面。</w:t>
      </w:r>
      <w:r>
        <w:rPr>
          <w:rFonts w:ascii="仿宋" w:hAnsi="仿宋" w:eastAsia="仿宋"/>
          <w:color w:val="000000"/>
          <w:sz w:val="32"/>
          <w:szCs w:val="32"/>
        </w:rPr>
        <w:t>充分利用茂县人防小型指挥所，主动开展人防应急训练，以练促学，积极培养人防应急指挥系统操作方面的技术人才，强化、提升人防人员机动指挥通讯设备操作技能。今年，我办组织开展人防应急训练3次，并配合自贡人防开展了长距离人防应急拉练，有效锻炼了队伍。</w:t>
      </w:r>
      <w:r>
        <w:rPr>
          <w:rFonts w:hint="eastAsia" w:ascii="仿宋" w:hAnsi="仿宋" w:eastAsia="仿宋"/>
          <w:color w:val="000000"/>
          <w:sz w:val="32"/>
          <w:szCs w:val="32"/>
          <w:lang w:val="en-US" w:eastAsia="zh-CN"/>
        </w:rPr>
        <w:t xml:space="preserve">                                  </w:t>
      </w:r>
    </w:p>
    <w:p>
      <w:pPr>
        <w:ind w:firstLine="642" w:firstLineChars="200"/>
        <w:rPr>
          <w:rFonts w:ascii="仿宋" w:hAnsi="仿宋" w:eastAsia="仿宋"/>
          <w:color w:val="000000"/>
          <w:sz w:val="32"/>
          <w:szCs w:val="32"/>
        </w:rPr>
      </w:pPr>
      <w:r>
        <w:rPr>
          <w:rFonts w:ascii="仿宋" w:hAnsi="仿宋" w:eastAsia="仿宋"/>
          <w:b/>
          <w:bCs/>
          <w:color w:val="000000"/>
          <w:sz w:val="32"/>
          <w:szCs w:val="32"/>
        </w:rPr>
        <w:t>网上政务能力提升方面。</w:t>
      </w:r>
      <w:r>
        <w:rPr>
          <w:rFonts w:ascii="仿宋" w:hAnsi="仿宋" w:eastAsia="仿宋"/>
          <w:color w:val="000000"/>
          <w:sz w:val="32"/>
          <w:szCs w:val="32"/>
        </w:rPr>
        <w:t>加快推进“一网通办”“最多跑一次”改革，结合工作实际，落实专人负责相关工作，认真抓好落实，补短板抓整改，全面提升人防办政务服务“联、通、办”能力。截止目前，我办网上受理率100%，材料减免率56%，即办率90%。
（六）人防制度建设方面。为进一步规范人防各项工作，根据工作实际，先后制定了《茂县人民防空办公室内部审批制度》《茂县人民防空办公室集体研究制度》《茂县人民防空办公室项目核对制度》《茂县人民防空办公室易地建设费对账制度》《茂县人民防空办公室工程建设审批制度》和《茂县人民防空地下室配建标准》，并结合新要求梳理细化了人防审批流程，结合审批流程分析梳理了可能存在的廉政风险点。</w:t>
      </w:r>
    </w:p>
    <w:p>
      <w:pPr>
        <w:pStyle w:val="4"/>
        <w:ind w:firstLine="642" w:firstLineChars="200"/>
        <w:rPr>
          <w:rFonts w:hint="eastAsia" w:ascii="黑体" w:eastAsia="黑体" w:cs="Times New Roman"/>
          <w:bCs w:val="0"/>
          <w:color w:val="000000"/>
        </w:rPr>
      </w:pPr>
      <w:bookmarkStart w:id="23" w:name="_Toc113981011"/>
      <w:bookmarkStart w:id="24" w:name="_Toc111208497"/>
      <w:r>
        <w:rPr>
          <w:rFonts w:hint="eastAsia" w:ascii="黑体" w:eastAsia="黑体" w:cs="Times New Roman"/>
          <w:bCs w:val="0"/>
          <w:color w:val="000000"/>
        </w:rPr>
        <w:t>二、机构设置</w:t>
      </w:r>
      <w:bookmarkEnd w:id="22"/>
      <w:bookmarkEnd w:id="23"/>
      <w:bookmarkEnd w:id="24"/>
    </w:p>
    <w:p>
      <w:pPr>
        <w:pStyle w:val="4"/>
        <w:ind w:firstLine="642" w:firstLineChars="200"/>
        <w:rPr>
          <w:rFonts w:ascii="仿宋" w:hAnsi="仿宋" w:eastAsia="仿宋"/>
          <w:b w:val="0"/>
          <w:bCs w:val="0"/>
          <w:color w:val="000000"/>
          <w:sz w:val="32"/>
          <w:szCs w:val="32"/>
        </w:rPr>
      </w:pPr>
      <w:r>
        <w:rPr>
          <w:rFonts w:ascii="仿宋" w:hAnsi="仿宋" w:eastAsia="仿宋"/>
          <w:color w:val="000000"/>
          <w:sz w:val="32"/>
          <w:szCs w:val="32"/>
        </w:rPr>
        <w:tab/>
      </w:r>
      <w:r>
        <w:rPr>
          <w:rFonts w:ascii="仿宋" w:hAnsi="仿宋" w:eastAsia="仿宋"/>
          <w:b w:val="0"/>
          <w:bCs w:val="0"/>
          <w:color w:val="000000"/>
          <w:sz w:val="32"/>
          <w:szCs w:val="32"/>
        </w:rPr>
        <w:t>茂县人民防空公室其他事业单位1个。
纳入茂县人民防空办公室2021年度部门决算编制范围的预算单位：
1.茂县人民防空办公室（本级）
</w:t>
      </w:r>
    </w:p>
    <w:p>
      <w:pPr>
        <w:widowControl/>
        <w:jc w:val="left"/>
        <w:rPr>
          <w:rFonts w:ascii="仿宋_GB2312" w:hAnsi="黑体" w:eastAsia="仿宋_GB2312"/>
          <w:b/>
          <w:bCs/>
          <w:color w:val="000000"/>
          <w:kern w:val="44"/>
          <w:sz w:val="44"/>
          <w:szCs w:val="44"/>
        </w:rPr>
      </w:pPr>
      <w:bookmarkStart w:id="25" w:name="_Toc15377204"/>
      <w:r>
        <w:rPr>
          <w:rFonts w:ascii="仿宋_GB2312" w:hAnsi="黑体" w:eastAsia="仿宋_GB2312"/>
          <w:color w:val="000000"/>
        </w:rPr>
        <w:br w:type="page"/>
      </w:r>
    </w:p>
    <w:p>
      <w:pPr>
        <w:pStyle w:val="3"/>
        <w:jc w:val="center"/>
        <w:rPr>
          <w:rFonts w:ascii="黑体" w:hAnsi="黑体" w:eastAsia="黑体" w:cs="黑体"/>
        </w:rPr>
      </w:pPr>
      <w:bookmarkStart w:id="26" w:name="_Toc111208498"/>
      <w:bookmarkStart w:id="27" w:name="_Toc113981012"/>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2021年度部门决算情况说明</w:t>
      </w:r>
      <w:bookmarkEnd w:id="25"/>
      <w:bookmarkEnd w:id="26"/>
      <w:bookmarkEnd w:id="27"/>
    </w:p>
    <w:p>
      <w:pPr>
        <w:pStyle w:val="4"/>
        <w:ind w:firstLine="642" w:firstLineChars="200"/>
        <w:rPr>
          <w:rFonts w:ascii="黑体" w:eastAsia="黑体" w:cs="Times New Roman"/>
          <w:bCs w:val="0"/>
          <w:color w:val="000000"/>
        </w:rPr>
      </w:pPr>
      <w:bookmarkStart w:id="28" w:name="_Toc15377205"/>
      <w:bookmarkStart w:id="29" w:name="_Toc111208499"/>
      <w:bookmarkStart w:id="30" w:name="_Toc113981013"/>
      <w:r>
        <w:rPr>
          <w:rFonts w:hint="eastAsia" w:ascii="黑体" w:eastAsia="黑体" w:cs="Times New Roman"/>
          <w:bCs w:val="0"/>
          <w:color w:val="000000"/>
        </w:rPr>
        <w:t>一、收入支出决算总体情况说</w:t>
      </w:r>
      <w:bookmarkEnd w:id="28"/>
      <w:r>
        <w:rPr>
          <w:rFonts w:hint="eastAsia" w:ascii="黑体" w:eastAsia="黑体" w:cs="Times New Roman"/>
          <w:bCs w:val="0"/>
          <w:color w:val="000000"/>
        </w:rPr>
        <w:t>明</w:t>
      </w:r>
      <w:bookmarkEnd w:id="29"/>
      <w:bookmarkEnd w:id="30"/>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2021</w:t>
      </w:r>
      <w:r>
        <w:rPr>
          <w:rFonts w:hint="eastAsia" w:ascii="仿宋" w:hAnsi="仿宋" w:eastAsia="仿宋"/>
          <w:color w:val="000000"/>
          <w:sz w:val="32"/>
          <w:szCs w:val="32"/>
        </w:rPr>
        <w:t>年度收、支总计</w:t>
      </w:r>
      <w:r>
        <w:rPr>
          <w:rFonts w:ascii="仿宋" w:hAnsi="仿宋" w:eastAsia="仿宋"/>
          <w:color w:val="000000"/>
          <w:sz w:val="32"/>
          <w:szCs w:val="32"/>
        </w:rPr>
        <w:t>154.83</w:t>
      </w:r>
      <w:r>
        <w:rPr>
          <w:rFonts w:hint="eastAsia" w:ascii="仿宋" w:hAnsi="仿宋" w:eastAsia="仿宋"/>
          <w:color w:val="000000"/>
          <w:sz w:val="32"/>
          <w:szCs w:val="32"/>
        </w:rPr>
        <w:t>万元。与</w:t>
      </w:r>
      <w:r>
        <w:rPr>
          <w:rFonts w:ascii="仿宋" w:hAnsi="仿宋" w:eastAsia="仿宋"/>
          <w:color w:val="000000"/>
          <w:sz w:val="32"/>
          <w:szCs w:val="32"/>
        </w:rPr>
        <w:t>2020</w:t>
      </w:r>
      <w:r>
        <w:rPr>
          <w:rFonts w:hint="eastAsia" w:ascii="仿宋" w:hAnsi="仿宋" w:eastAsia="仿宋"/>
          <w:color w:val="000000"/>
          <w:sz w:val="32"/>
          <w:szCs w:val="32"/>
        </w:rPr>
        <w:t>年相比，收、支总计各</w:t>
      </w:r>
      <w:r>
        <w:rPr>
          <w:rFonts w:ascii="仿宋" w:hAnsi="仿宋" w:eastAsia="仿宋"/>
          <w:color w:val="000000"/>
          <w:sz w:val="32"/>
          <w:szCs w:val="32"/>
        </w:rPr>
        <w:t>增加7.74</w:t>
      </w:r>
      <w:r>
        <w:rPr>
          <w:rFonts w:hint="eastAsia" w:ascii="仿宋" w:hAnsi="仿宋" w:eastAsia="仿宋"/>
          <w:color w:val="000000"/>
          <w:sz w:val="32"/>
          <w:szCs w:val="32"/>
        </w:rPr>
        <w:t>万元，</w:t>
      </w:r>
      <w:r>
        <w:rPr>
          <w:rFonts w:ascii="仿宋" w:hAnsi="仿宋" w:eastAsia="仿宋"/>
          <w:color w:val="000000"/>
          <w:sz w:val="32"/>
          <w:szCs w:val="32"/>
        </w:rPr>
        <w:t>增加5.27</w:t>
      </w:r>
      <w:r>
        <w:rPr>
          <w:rFonts w:hint="eastAsia" w:ascii="仿宋" w:hAnsi="仿宋" w:eastAsia="仿宋"/>
          <w:color w:val="000000"/>
          <w:sz w:val="32"/>
          <w:szCs w:val="32"/>
        </w:rPr>
        <w:t xml:space="preserve"> %。 </w:t>
      </w:r>
    </w:p>
    <w:p>
      <w:pPr>
        <w:spacing w:line="600" w:lineRule="exact"/>
        <w:ind w:firstLine="640" w:firstLineChars="200"/>
        <w:rPr>
          <w:rFonts w:ascii="仿宋_GB2312" w:hAnsi="仿宋" w:eastAsia="仿宋_GB2312"/>
          <w:color w:val="000000" w:themeColor="text1"/>
          <w:sz w:val="28"/>
          <w:szCs w:val="28"/>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2" w:firstLineChars="200"/>
        <w:rPr>
          <w:rFonts w:ascii="黑体" w:eastAsia="黑体" w:cs="Times New Roman"/>
          <w:bCs w:val="0"/>
          <w:color w:val="000000"/>
        </w:rPr>
      </w:pPr>
      <w:bookmarkStart w:id="31" w:name="_Toc15377206"/>
      <w:bookmarkStart w:id="32" w:name="_Toc113981014"/>
      <w:bookmarkStart w:id="33" w:name="_Toc111208500"/>
      <w:r>
        <w:rPr>
          <w:rFonts w:hint="eastAsia" w:ascii="黑体" w:eastAsia="黑体" w:cs="Times New Roman"/>
          <w:bCs w:val="0"/>
          <w:color w:val="000000"/>
        </w:rPr>
        <w:t>二、收入决算情况说明</w:t>
      </w:r>
      <w:bookmarkEnd w:id="31"/>
      <w:bookmarkEnd w:id="32"/>
      <w:bookmarkEnd w:id="33"/>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2021年本年收入合计154.83万元，其中：一般公共预算财政拨款收入154.83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2" w:firstLineChars="200"/>
        <w:rPr>
          <w:rFonts w:ascii="黑体" w:eastAsia="黑体" w:cs="Times New Roman"/>
          <w:bCs w:val="0"/>
          <w:color w:val="000000"/>
        </w:rPr>
      </w:pPr>
      <w:bookmarkStart w:id="34" w:name="_Toc15377207"/>
      <w:bookmarkStart w:id="35" w:name="_Toc111208501"/>
      <w:bookmarkStart w:id="36" w:name="_Toc113981015"/>
      <w:r>
        <w:rPr>
          <w:rFonts w:hint="eastAsia" w:ascii="黑体" w:eastAsia="黑体" w:cs="Times New Roman"/>
          <w:bCs w:val="0"/>
          <w:color w:val="000000"/>
        </w:rPr>
        <w:t>三、支出决算情况说明</w:t>
      </w:r>
      <w:bookmarkEnd w:id="34"/>
      <w:bookmarkEnd w:id="35"/>
      <w:bookmarkEnd w:id="36"/>
    </w:p>
    <w:p>
      <w:pPr>
        <w:pStyle w:val="2"/>
        <w:rPr>
          <w:rFonts w:ascii="仿宋" w:hAnsi="仿宋" w:eastAsia="仿宋"/>
          <w:color w:val="000000"/>
          <w:sz w:val="32"/>
          <w:szCs w:val="32"/>
        </w:rPr>
      </w:pPr>
      <w:r>
        <w:rPr>
          <w:rFonts w:hint="eastAsia" w:ascii="仿宋" w:hAnsi="仿宋" w:eastAsia="仿宋"/>
          <w:color w:val="000000"/>
          <w:sz w:val="32"/>
          <w:szCs w:val="32"/>
        </w:rPr>
        <w:t>2021</w:t>
      </w:r>
      <w:r>
        <w:rPr>
          <w:rFonts w:ascii="仿宋" w:hAnsi="仿宋" w:eastAsia="仿宋"/>
          <w:color w:val="000000"/>
          <w:sz w:val="32"/>
          <w:szCs w:val="32"/>
        </w:rPr>
        <w:t>年本年支出合计</w:t>
      </w:r>
      <w:r>
        <w:rPr>
          <w:rFonts w:hint="eastAsia" w:ascii="仿宋" w:hAnsi="仿宋" w:eastAsia="仿宋"/>
          <w:color w:val="000000"/>
          <w:sz w:val="32"/>
          <w:szCs w:val="32"/>
        </w:rPr>
        <w:t>154.83</w:t>
      </w:r>
      <w:r>
        <w:rPr>
          <w:rFonts w:ascii="仿宋" w:hAnsi="仿宋" w:eastAsia="仿宋"/>
          <w:color w:val="000000"/>
          <w:sz w:val="32"/>
          <w:szCs w:val="32"/>
        </w:rPr>
        <w:t>万元，其中：基本支出</w:t>
      </w:r>
      <w:r>
        <w:rPr>
          <w:rFonts w:hint="eastAsia" w:ascii="仿宋" w:hAnsi="仿宋" w:eastAsia="仿宋"/>
          <w:color w:val="000000"/>
          <w:sz w:val="32"/>
          <w:szCs w:val="32"/>
        </w:rPr>
        <w:t>154.83</w:t>
      </w:r>
      <w:r>
        <w:rPr>
          <w:rFonts w:ascii="仿宋" w:hAnsi="仿宋" w:eastAsia="仿宋"/>
          <w:color w:val="000000"/>
          <w:sz w:val="32"/>
          <w:szCs w:val="32"/>
        </w:rPr>
        <w:t>万元，占</w:t>
      </w:r>
      <w:r>
        <w:rPr>
          <w:rFonts w:hint="eastAsia" w:ascii="仿宋" w:hAnsi="仿宋" w:eastAsia="仿宋"/>
          <w:color w:val="000000"/>
          <w:sz w:val="32"/>
          <w:szCs w:val="32"/>
        </w:rPr>
        <w:t>100.00</w:t>
      </w:r>
      <w:r>
        <w:rPr>
          <w:rFonts w:ascii="仿宋" w:hAnsi="仿宋" w:eastAsia="仿宋"/>
          <w:color w:val="000000"/>
          <w:sz w:val="32"/>
          <w:szCs w:val="32"/>
        </w:rPr>
        <w:t>%；项目支出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2" w:firstLineChars="200"/>
        <w:rPr>
          <w:rFonts w:ascii="黑体" w:eastAsia="黑体" w:cs="Times New Roman"/>
          <w:bCs w:val="0"/>
          <w:color w:val="000000"/>
        </w:rPr>
      </w:pPr>
      <w:bookmarkStart w:id="37" w:name="_Toc113981016"/>
      <w:bookmarkStart w:id="38" w:name="_Toc15377208"/>
      <w:bookmarkStart w:id="39" w:name="_Toc111208502"/>
      <w:r>
        <w:rPr>
          <w:rFonts w:hint="eastAsia" w:ascii="黑体" w:eastAsia="黑体" w:cs="Times New Roman"/>
          <w:bCs w:val="0"/>
          <w:color w:val="000000"/>
        </w:rPr>
        <w:t>四、财政拨款收入支出决算总体情况说明</w:t>
      </w:r>
      <w:bookmarkEnd w:id="37"/>
      <w:bookmarkEnd w:id="38"/>
      <w:bookmarkEnd w:id="39"/>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2021年财政拨款收、支总计154.83万元。与2020年相比，财政拨款收、支总计各增加7.74万元，增加5.27 %。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2" w:firstLineChars="200"/>
        <w:rPr>
          <w:rFonts w:ascii="黑体" w:eastAsia="黑体" w:cs="Times New Roman"/>
          <w:bCs w:val="0"/>
          <w:color w:val="000000"/>
        </w:rPr>
      </w:pPr>
      <w:bookmarkStart w:id="40" w:name="_Toc15377209"/>
      <w:bookmarkStart w:id="41" w:name="_Toc113981017"/>
      <w:bookmarkStart w:id="42" w:name="_Toc111208503"/>
      <w:r>
        <w:rPr>
          <w:rFonts w:hint="eastAsia" w:ascii="黑体" w:eastAsia="黑体" w:cs="Times New Roman"/>
          <w:bCs w:val="0"/>
          <w:color w:val="000000"/>
        </w:rPr>
        <w:t>五、一般公共预算财政拨款支出决算情况说</w:t>
      </w:r>
      <w:bookmarkEnd w:id="40"/>
      <w:r>
        <w:rPr>
          <w:rFonts w:hint="eastAsia" w:ascii="黑体" w:eastAsia="黑体" w:cs="Times New Roman"/>
          <w:bCs w:val="0"/>
          <w:color w:val="000000"/>
        </w:rPr>
        <w:t>明</w:t>
      </w:r>
      <w:bookmarkEnd w:id="41"/>
      <w:bookmarkEnd w:id="42"/>
    </w:p>
    <w:p>
      <w:pPr>
        <w:spacing w:line="600" w:lineRule="exact"/>
        <w:ind w:firstLine="642" w:firstLineChars="200"/>
        <w:outlineLvl w:val="2"/>
        <w:rPr>
          <w:rFonts w:ascii="仿宋" w:hAnsi="仿宋" w:eastAsia="仿宋"/>
          <w:b/>
          <w:color w:val="000000"/>
          <w:sz w:val="32"/>
          <w:szCs w:val="32"/>
        </w:rPr>
      </w:pPr>
      <w:bookmarkStart w:id="43" w:name="_Toc15377210"/>
      <w:r>
        <w:rPr>
          <w:rFonts w:hint="eastAsia" w:ascii="仿宋" w:hAnsi="仿宋" w:eastAsia="仿宋"/>
          <w:b/>
          <w:color w:val="000000"/>
          <w:sz w:val="32"/>
          <w:szCs w:val="32"/>
        </w:rPr>
        <w:t>（一）一般公共预算财政拨款支出决算总体情况</w:t>
      </w:r>
      <w:bookmarkEnd w:id="43"/>
    </w:p>
    <w:p>
      <w:pPr>
        <w:spacing w:line="600" w:lineRule="exact"/>
        <w:ind w:firstLine="640" w:firstLineChars="200"/>
        <w:rPr>
          <w:rFonts w:ascii="仿宋_GB2312" w:hAnsi="仿宋" w:eastAsia="仿宋_GB2312"/>
          <w:color w:val="000000"/>
          <w:sz w:val="32"/>
          <w:szCs w:val="32"/>
        </w:rPr>
      </w:pPr>
      <w:bookmarkStart w:id="44" w:name="_Toc15377211"/>
      <w:r>
        <w:rPr>
          <w:rFonts w:hint="eastAsia" w:ascii="仿宋" w:hAnsi="仿宋" w:eastAsia="仿宋"/>
          <w:color w:val="000000"/>
          <w:sz w:val="32"/>
          <w:szCs w:val="32"/>
        </w:rPr>
        <w:t xml:space="preserve">2021年一般公共预算财政拨款支出154.83万元，占本年支出合计的100.00%。与2020相比，一般公共预算财政拨款增加7.74万元，增加5.27 %。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hAnsi="仿宋" w:eastAsia="仿宋_GB2312"/>
          <w:b/>
          <w:color w:val="000000"/>
          <w:sz w:val="32"/>
          <w:szCs w:val="32"/>
        </w:rPr>
      </w:pP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4"/>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sz w:val="32"/>
          <w:szCs w:val="32"/>
        </w:rPr>
        <w:t>2021年一般公共预算财政拨款支出154.83万元，主要用于以下方面:一般公共服务支出122.76万元，占79.29%；社会保障和就业支出14.43万元，占9.32%；卫生健康支出6.90万元，占4.46%；住房保障支出10.75万元，占6.93%。</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5" w:name="_Toc15377212"/>
    </w:p>
    <w:p>
      <w:pPr>
        <w:pStyle w:val="2"/>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5"/>
    </w:p>
    <w:p>
      <w:pPr>
        <w:spacing w:line="600" w:lineRule="exact"/>
        <w:ind w:firstLine="640"/>
        <w:rPr>
          <w:rFonts w:ascii="仿宋" w:hAnsi="仿宋" w:eastAsia="仿宋"/>
          <w:color w:val="000000"/>
          <w:sz w:val="32"/>
          <w:szCs w:val="32"/>
        </w:rPr>
      </w:pPr>
      <w:bookmarkStart w:id="46" w:name="_Toc15378460"/>
      <w:bookmarkStart w:id="47" w:name="_Toc15377213"/>
      <w:bookmarkStart w:id="48" w:name="_Toc15377444"/>
      <w:r>
        <w:rPr>
          <w:rFonts w:hint="eastAsia" w:ascii="仿宋" w:hAnsi="仿宋" w:eastAsia="仿宋"/>
          <w:color w:val="000000"/>
          <w:sz w:val="32"/>
          <w:szCs w:val="32"/>
        </w:rPr>
        <w:t>2021年一般公共预算支出决算数为154.83万</w:t>
      </w:r>
      <w:r>
        <w:rPr>
          <w:rFonts w:hint="eastAsia" w:ascii="仿宋" w:hAnsi="仿宋" w:eastAsia="仿宋"/>
          <w:color w:val="000000"/>
          <w:sz w:val="32"/>
          <w:szCs w:val="32"/>
          <w:lang w:eastAsia="zh-CN"/>
        </w:rPr>
        <w:t>元</w:t>
      </w:r>
      <w:r>
        <w:rPr>
          <w:rFonts w:hint="eastAsia" w:ascii="仿宋" w:hAnsi="仿宋" w:eastAsia="仿宋"/>
          <w:color w:val="000000"/>
          <w:sz w:val="32"/>
          <w:szCs w:val="32"/>
        </w:rPr>
        <w:t>，完成预算100%。其中：</w:t>
      </w:r>
      <w:bookmarkEnd w:id="46"/>
      <w:bookmarkEnd w:id="47"/>
      <w:bookmarkEnd w:id="48"/>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1.一般公共服务支出（201）政府办公厅（室）及相关机构事务（20103）事业运行（2010350）支出决算122.76万元，完成预算100%。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2.社会保障和就业支出（208）行政事业单位养老支出（20805）机关事业单位基本养老保险缴费支出（2080505）支出决算9.33万元，完成预算100%。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3.社会保障和就业支出（208）行政事业单位养老支出（20805）机关事业单位职业年金缴费支出（2080506）支出决算5.09万元，完成预算100%。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4.卫生健康支出（210）行政事业单位医疗（21011）事业单位医疗（2101102）支出决算6.90万元，完成预算100%。</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5.住房保障支出（221）住房改革支出（22102）住房公积金（2210201）支出决算10.75万元，完成预算100%。</w:t>
      </w:r>
    </w:p>
    <w:p>
      <w:pPr>
        <w:pStyle w:val="4"/>
        <w:ind w:firstLine="642" w:firstLineChars="200"/>
        <w:rPr>
          <w:rFonts w:ascii="黑体" w:eastAsia="黑体" w:cs="Times New Roman"/>
          <w:b w:val="0"/>
          <w:color w:val="000000"/>
        </w:rPr>
      </w:pPr>
      <w:bookmarkStart w:id="49" w:name="_Toc15377214"/>
      <w:bookmarkStart w:id="50" w:name="_Toc111208504"/>
      <w:bookmarkStart w:id="51" w:name="_Toc113981018"/>
      <w:r>
        <w:rPr>
          <w:rFonts w:hint="eastAsia" w:ascii="黑体" w:eastAsia="黑体" w:cs="Times New Roman"/>
          <w:bCs w:val="0"/>
          <w:color w:val="000000"/>
        </w:rPr>
        <w:t>六、一般公共预算财政拨款基本支出决算情况说</w:t>
      </w:r>
      <w:bookmarkEnd w:id="49"/>
      <w:r>
        <w:rPr>
          <w:rFonts w:hint="eastAsia" w:ascii="黑体" w:eastAsia="黑体" w:cs="Times New Roman"/>
          <w:bCs w:val="0"/>
          <w:color w:val="000000"/>
        </w:rPr>
        <w:t>明</w:t>
      </w:r>
      <w:bookmarkEnd w:id="50"/>
      <w:bookmarkEnd w:id="51"/>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2021年一般公共预算财政拨款基本支出154.83万元，其中：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145.62万元，主要包括：基本工资29.70万元、津贴补贴4.80万元、绩效工资77.71万元、机关事业单位基本养老保险缴费9.33万元、职业年金缴费5.09万元、职工基本医疗保险缴费6.90万元、其他社会保障缴费0.71万元、住房公积金10.75万元、医疗费0.64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公用经费9.21万元，主要包括：办公费1.88万元、差旅费7.34万元。</w:t>
      </w:r>
    </w:p>
    <w:p>
      <w:pPr>
        <w:pStyle w:val="4"/>
        <w:ind w:firstLine="642" w:firstLineChars="200"/>
        <w:rPr>
          <w:rFonts w:ascii="黑体" w:eastAsia="黑体" w:cs="Times New Roman"/>
          <w:bCs w:val="0"/>
          <w:color w:val="000000"/>
        </w:rPr>
      </w:pPr>
      <w:bookmarkStart w:id="52" w:name="_Toc15377215"/>
      <w:bookmarkStart w:id="53" w:name="_Toc111208505"/>
      <w:bookmarkStart w:id="54" w:name="_Toc113981019"/>
      <w:r>
        <w:rPr>
          <w:rFonts w:hint="eastAsia" w:ascii="黑体" w:eastAsia="黑体" w:cs="Times New Roman"/>
          <w:bCs w:val="0"/>
          <w:color w:val="000000"/>
        </w:rPr>
        <w:t>七、“三公”经费财政拨款支出决算情况说明</w:t>
      </w:r>
      <w:bookmarkEnd w:id="52"/>
      <w:bookmarkEnd w:id="53"/>
      <w:bookmarkEnd w:id="54"/>
    </w:p>
    <w:p>
      <w:pPr>
        <w:spacing w:line="600" w:lineRule="exact"/>
        <w:ind w:firstLine="642" w:firstLineChars="200"/>
        <w:outlineLvl w:val="2"/>
        <w:rPr>
          <w:rFonts w:ascii="仿宋" w:hAnsi="仿宋" w:eastAsia="仿宋"/>
          <w:b/>
          <w:color w:val="000000"/>
          <w:sz w:val="32"/>
          <w:szCs w:val="32"/>
        </w:rPr>
      </w:pPr>
      <w:bookmarkStart w:id="55" w:name="_Toc15377216"/>
      <w:r>
        <w:rPr>
          <w:rFonts w:hint="eastAsia" w:ascii="仿宋" w:hAnsi="仿宋" w:eastAsia="仿宋"/>
          <w:b/>
          <w:color w:val="000000"/>
          <w:sz w:val="32"/>
          <w:szCs w:val="32"/>
        </w:rPr>
        <w:t>（一）“三公”经费财政拨款支出决算总体情况说明</w:t>
      </w:r>
      <w:bookmarkEnd w:id="5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2021年“三公”经费财政拨款支出决算为0.00万元，完成预算0.00%。</w:t>
      </w:r>
      <w:bookmarkStart w:id="56" w:name="_Toc15377217"/>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2021年“三公”经费财政拨款支出0.00万，因公出国（境）费支出决算0.00万元，占0.00%；公务用车购置及运行维护费支出决算0.00万元，占0.00%；公务接待费支出决算0.00万元，占0.00%。具体情况如下：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1.因公出国（境）经费支出0.00万元,完成预算100%。全年安排因公出国（境）团组0次，出国（境）0人。因公出国（境）支出决算比2020年增加0.00万元，增加100.00 %。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2.公务用车购置及运行维护费支出0.00万元,完成预算0.00%。公务用车购置及运行维护费支出决算比2020年增加0.00万元，增加0%。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月底，单位共有公务用车0辆，其中：轿车0辆、越野车0辆、载客汽车0辆。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公务用车运行维护费支出0.00万元。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3.公务接待费支出0.00万元，完成预算0.00%。公务接待费支出决算比2020年增加0.00万元，增加0.00</w:t>
      </w:r>
      <w:r>
        <w:rPr>
          <w:rFonts w:ascii="仿宋" w:hAnsi="仿宋" w:eastAsia="仿宋"/>
          <w:color w:val="000000"/>
          <w:sz w:val="32"/>
          <w:szCs w:val="32"/>
        </w:rPr>
        <w:t>%</w:t>
      </w:r>
      <w:r>
        <w:rPr>
          <w:rFonts w:hint="eastAsia" w:ascii="仿宋" w:hAnsi="仿宋" w:eastAsia="仿宋"/>
          <w:color w:val="000000"/>
          <w:sz w:val="32"/>
          <w:szCs w:val="32"/>
        </w:rPr>
        <w:t>。</w:t>
      </w:r>
      <w:bookmarkStart w:id="57"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国内公务接待支出0.00万元。国内公务接待0批次，0人次（不包括陪同人员），共计支出0.00万元。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外事接待支出0.00万元，外事接待0批次，0人，共计支出0.00万元。</w:t>
      </w:r>
    </w:p>
    <w:p>
      <w:pPr>
        <w:pStyle w:val="4"/>
        <w:ind w:firstLine="642" w:firstLineChars="200"/>
        <w:rPr>
          <w:rFonts w:ascii="黑体" w:eastAsia="黑体" w:cs="Times New Roman"/>
          <w:bCs w:val="0"/>
          <w:color w:val="000000"/>
        </w:rPr>
      </w:pPr>
      <w:bookmarkStart w:id="58" w:name="_Toc113981020"/>
      <w:bookmarkStart w:id="59" w:name="_Toc111208506"/>
      <w:r>
        <w:rPr>
          <w:rFonts w:hint="eastAsia" w:ascii="黑体" w:eastAsia="黑体" w:cs="Times New Roman"/>
          <w:bCs w:val="0"/>
          <w:color w:val="000000"/>
        </w:rPr>
        <w:t>八、政府性基金预算支出决算情况说明</w:t>
      </w:r>
      <w:bookmarkEnd w:id="57"/>
      <w:bookmarkEnd w:id="58"/>
      <w:bookmarkEnd w:id="59"/>
    </w:p>
    <w:p>
      <w:pPr>
        <w:spacing w:line="600" w:lineRule="exact"/>
        <w:ind w:firstLine="640"/>
        <w:rPr>
          <w:rFonts w:ascii="仿宋" w:hAnsi="仿宋" w:eastAsia="仿宋"/>
        </w:rPr>
      </w:pPr>
      <w:r>
        <w:rPr>
          <w:rFonts w:hint="eastAsia" w:ascii="仿宋" w:hAnsi="仿宋" w:eastAsia="仿宋"/>
          <w:color w:val="000000"/>
          <w:sz w:val="32"/>
          <w:szCs w:val="32"/>
        </w:rPr>
        <w:t>2021年政府性基金预算拨款支出0.00万元。</w:t>
      </w:r>
      <w:bookmarkStart w:id="60" w:name="_Toc15377219"/>
    </w:p>
    <w:p>
      <w:pPr>
        <w:pStyle w:val="4"/>
        <w:ind w:firstLine="642" w:firstLineChars="200"/>
        <w:rPr>
          <w:rFonts w:ascii="黑体" w:eastAsia="黑体" w:cs="Times New Roman"/>
          <w:bCs w:val="0"/>
          <w:color w:val="000000"/>
        </w:rPr>
      </w:pPr>
      <w:bookmarkStart w:id="61" w:name="_Toc113981021"/>
      <w:bookmarkStart w:id="62" w:name="_Toc111208507"/>
      <w:r>
        <w:rPr>
          <w:rFonts w:hint="eastAsia" w:ascii="黑体" w:eastAsia="黑体" w:cs="Times New Roman"/>
          <w:bCs w:val="0"/>
          <w:color w:val="000000"/>
        </w:rPr>
        <w:t>九、国有资本经营预算支出决算情况说明</w:t>
      </w:r>
      <w:bookmarkEnd w:id="60"/>
      <w:bookmarkEnd w:id="61"/>
      <w:bookmarkEnd w:id="62"/>
    </w:p>
    <w:p>
      <w:pPr>
        <w:spacing w:line="600" w:lineRule="exact"/>
        <w:ind w:firstLine="640"/>
        <w:rPr>
          <w:rFonts w:ascii="仿宋" w:hAnsi="仿宋" w:eastAsia="仿宋"/>
        </w:rPr>
      </w:pPr>
      <w:r>
        <w:rPr>
          <w:rFonts w:hint="eastAsia" w:ascii="仿宋" w:hAnsi="仿宋" w:eastAsia="仿宋"/>
          <w:color w:val="000000"/>
          <w:sz w:val="32"/>
          <w:szCs w:val="32"/>
        </w:rPr>
        <w:t>2021年国有资本经营预算拨款支出0.00万元。</w:t>
      </w:r>
    </w:p>
    <w:p>
      <w:pPr>
        <w:pStyle w:val="4"/>
        <w:ind w:firstLine="642" w:firstLineChars="200"/>
        <w:rPr>
          <w:rFonts w:ascii="黑体" w:eastAsia="黑体" w:cs="Times New Roman"/>
          <w:bCs w:val="0"/>
          <w:color w:val="000000"/>
        </w:rPr>
      </w:pPr>
      <w:bookmarkStart w:id="63" w:name="_Toc113981022"/>
      <w:bookmarkStart w:id="64" w:name="_Toc111208508"/>
      <w:bookmarkStart w:id="65" w:name="_Toc15377221"/>
      <w:r>
        <w:rPr>
          <w:rFonts w:hint="eastAsia" w:ascii="黑体" w:eastAsia="黑体" w:cs="Times New Roman"/>
          <w:bCs w:val="0"/>
          <w:color w:val="000000"/>
        </w:rPr>
        <w:t>十、其他重要事项的情况说明</w:t>
      </w:r>
      <w:bookmarkEnd w:id="63"/>
      <w:bookmarkEnd w:id="64"/>
      <w:bookmarkEnd w:id="65"/>
    </w:p>
    <w:p>
      <w:pPr>
        <w:spacing w:line="600" w:lineRule="exact"/>
        <w:ind w:firstLine="642" w:firstLineChars="200"/>
        <w:outlineLvl w:val="2"/>
        <w:rPr>
          <w:rFonts w:ascii="仿宋" w:hAnsi="仿宋" w:eastAsia="仿宋"/>
          <w:b/>
          <w:color w:val="000000"/>
          <w:sz w:val="32"/>
          <w:szCs w:val="32"/>
        </w:rPr>
      </w:pPr>
      <w:bookmarkStart w:id="66" w:name="_Toc15377222"/>
      <w:r>
        <w:rPr>
          <w:rFonts w:hint="eastAsia" w:ascii="仿宋" w:hAnsi="仿宋" w:eastAsia="仿宋"/>
          <w:b/>
          <w:color w:val="000000"/>
          <w:sz w:val="32"/>
          <w:szCs w:val="32"/>
        </w:rPr>
        <w:t>（一）机关运行经费支出情况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2021年，机关运行经费支出0.00万元，比2020年增加0.00万元，增加0 %。 </w:t>
      </w:r>
    </w:p>
    <w:p>
      <w:pPr>
        <w:spacing w:line="600" w:lineRule="exact"/>
        <w:ind w:firstLine="642" w:firstLineChars="200"/>
        <w:outlineLvl w:val="2"/>
        <w:rPr>
          <w:rFonts w:ascii="仿宋" w:hAnsi="仿宋" w:eastAsia="仿宋"/>
          <w:b/>
          <w:color w:val="000000"/>
          <w:sz w:val="32"/>
          <w:szCs w:val="32"/>
        </w:rPr>
      </w:pPr>
      <w:bookmarkStart w:id="67" w:name="_Toc15377223"/>
      <w:r>
        <w:rPr>
          <w:rFonts w:hint="eastAsia" w:ascii="仿宋" w:hAnsi="仿宋" w:eastAsia="仿宋"/>
          <w:b/>
          <w:color w:val="000000"/>
          <w:sz w:val="32"/>
          <w:szCs w:val="32"/>
        </w:rPr>
        <w:t>（二）政府采购支出情况</w:t>
      </w:r>
      <w:bookmarkEnd w:id="67"/>
      <w:r>
        <w:rPr>
          <w:rFonts w:hint="eastAsia" w:ascii="仿宋" w:hAnsi="仿宋" w:eastAsia="仿宋"/>
          <w:b/>
          <w:color w:val="000000"/>
          <w:sz w:val="32"/>
          <w:szCs w:val="32"/>
        </w:rPr>
        <w:t>(机构运行信息表)</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2021年，政府采购支出总额0.00万元，其中：政府采购货物支出0.00万元、政府采购工程支出0.00万元、政府采购服务支出0.00万元。授予中小企业合同金额0.00万元，其中：授予小微企业合同金额0.00万元，占总合同的0.00%。</w:t>
      </w:r>
    </w:p>
    <w:p>
      <w:pPr>
        <w:spacing w:line="600" w:lineRule="exact"/>
        <w:ind w:firstLine="642" w:firstLineChars="200"/>
        <w:outlineLvl w:val="2"/>
        <w:rPr>
          <w:rFonts w:ascii="仿宋" w:hAnsi="仿宋" w:eastAsia="仿宋"/>
          <w:b/>
          <w:color w:val="000000"/>
          <w:sz w:val="32"/>
          <w:szCs w:val="32"/>
        </w:rPr>
      </w:pPr>
      <w:bookmarkStart w:id="68" w:name="_Toc15377224"/>
      <w:r>
        <w:rPr>
          <w:rFonts w:hint="eastAsia" w:ascii="仿宋" w:hAnsi="仿宋" w:eastAsia="仿宋"/>
          <w:b/>
          <w:color w:val="000000"/>
          <w:sz w:val="32"/>
          <w:szCs w:val="32"/>
        </w:rPr>
        <w:t>（三）国有资产占有使用情况</w:t>
      </w:r>
      <w:bookmarkEnd w:id="68"/>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截至2021年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日，共有车辆0辆，其中：主要领导干部用车0辆、机要通信用车0辆、应急保障用车0辆、其他用车0辆。单价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33"/>
        <w:spacing w:line="576" w:lineRule="exact"/>
        <w:ind w:firstLine="640" w:firstLineChars="200"/>
        <w:rPr>
          <w:rFonts w:hint="eastAsia" w:ascii="仿宋_GB2312" w:hAnsi="仿宋_GB2312" w:eastAsia="仿宋_GB2312" w:cs="仿宋_GB2312"/>
          <w:sz w:val="32"/>
          <w:szCs w:val="32"/>
        </w:rPr>
      </w:pPr>
      <w:r>
        <w:rPr>
          <w:rFonts w:hint="eastAsia" w:ascii="仿宋_GB2312" w:eastAsia="仿宋_GB2312" w:cs="仿宋_GB2312"/>
          <w:color w:val="000000"/>
          <w:sz w:val="32"/>
          <w:szCs w:val="32"/>
        </w:rPr>
        <w:t>我办根据预算绩效管理要求，根据年初工作规划和重点性工作，积极</w:t>
      </w:r>
      <w:r>
        <w:rPr>
          <w:rFonts w:hint="eastAsia" w:ascii="仿宋_GB2312" w:hAnsi="仿宋_GB2312" w:eastAsia="仿宋_GB2312" w:cs="仿宋_GB2312"/>
          <w:sz w:val="32"/>
          <w:szCs w:val="32"/>
        </w:rPr>
        <w:t>履职，强化管理，通过加强预算收支管理，不断建立健全内部管理制度，梳理内部管理流程，较好的完成了年度工作目标。</w:t>
      </w:r>
    </w:p>
    <w:p>
      <w:pPr>
        <w:pStyle w:val="33"/>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我办按要求对</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年部门整体支出开展绩效自评，从评价情况来看，</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年我办部门整体支出绩效评价自查自评结果良好，全年基本支出保证了部门的正常运行和日常工作的正常开展，绩效目标得到较好实现，绩效管理水平不断提高，绩效指标体系逐渐丰富和完善。</w:t>
      </w:r>
    </w:p>
    <w:p>
      <w:pPr>
        <w:pStyle w:val="33"/>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hAnsi="黑体" w:eastAsia="黑体" w:cs="黑体"/>
        </w:rPr>
      </w:pPr>
      <w:bookmarkStart w:id="69" w:name="_Toc111208509"/>
      <w:bookmarkStart w:id="70" w:name="_Toc15377225"/>
      <w:bookmarkStart w:id="71" w:name="_Toc113981023"/>
      <w:r>
        <w:rPr>
          <w:rFonts w:hint="eastAsia" w:ascii="黑体" w:hAnsi="黑体" w:eastAsia="黑体" w:cs="黑体"/>
        </w:rPr>
        <w:t>第三部分 名词解释</w:t>
      </w:r>
      <w:bookmarkEnd w:id="69"/>
      <w:bookmarkEnd w:id="70"/>
      <w:bookmarkEnd w:id="71"/>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9.一般公共服务支出（201）政府办公厅（室）及相关机构事务（20103）事业运行（2010350）：反映事业单位的基本支出，不包括行政单位（包括实行公务员管理的事业单位）后勤服务中心、医务室等附属事业单位。</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10.社会保障和就业支出（208）行政事业单位养老支出（20805）机关事业单位基本养老保险缴费支出（2080505）：反映机关事业单位实施养老保险制度由单位缴纳的基本养老保险费支出。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11.社会保障和就业支出（208）行政事业单位养老支出（20805）机关事业单位职业年金缴费支出（2080506）：反映机关事业单位实施养老保险制度由单位实际缴纳的职业年金支出。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12.卫生健康支出（210）行政事业单位医疗（21011）事业单位医疗（2101102）：反映财政部门安排的事业单位基本医疗保险缴费经费，未参加医疗保险的事业单位的公费医疗经费，按国家规定享受离休人员待遇的医疗经费。</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13.住房保障支出（221）住房改革支出（22102）住房公积金（2210201）：反映行政事业单位按人力资源和社会保障部、财政部规定的基本工资和津贴补贴以及规定比例为职工缴纳的住房公积金。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14.基本支出：指为保障机构正常运转、完成日常工作任务而发生的人员支出和公用支出。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15.经营支出：指事业单位在专业业务活动及其辅助活动之外开展非独立核算经营活动发生的支出。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18.财政应返还额度：为行政事业单位会计核算科目，用于核算实行国库集中支付的行政事业单位应收财政返还的资金额度。</w:t>
      </w:r>
    </w:p>
    <w:p>
      <w:pPr>
        <w:widowControl/>
        <w:jc w:val="left"/>
        <w:rPr>
          <w:rStyle w:val="28"/>
          <w:rFonts w:ascii="黑体" w:hAnsi="黑体" w:eastAsia="黑体"/>
        </w:rPr>
      </w:pPr>
      <w:r>
        <w:rPr>
          <w:rStyle w:val="28"/>
          <w:rFonts w:ascii="黑体" w:hAnsi="黑体" w:eastAsia="黑体"/>
        </w:rPr>
        <w:br w:type="page"/>
      </w:r>
    </w:p>
    <w:p>
      <w:pPr>
        <w:pStyle w:val="3"/>
        <w:jc w:val="center"/>
        <w:rPr>
          <w:rFonts w:ascii="黑体" w:hAnsi="黑体" w:eastAsia="黑体" w:cs="黑体"/>
        </w:rPr>
      </w:pPr>
      <w:bookmarkStart w:id="72" w:name="_Toc111208510"/>
      <w:bookmarkStart w:id="73" w:name="_Toc113981024"/>
      <w:r>
        <w:rPr>
          <w:rFonts w:hint="eastAsia" w:ascii="黑体" w:hAnsi="黑体" w:eastAsia="黑体" w:cs="黑体"/>
        </w:rPr>
        <w:t>第四部分 附件</w:t>
      </w:r>
      <w:bookmarkEnd w:id="72"/>
      <w:bookmarkEnd w:id="73"/>
    </w:p>
    <w:p>
      <w:pPr>
        <w:pStyle w:val="36"/>
        <w:keepNext w:val="0"/>
        <w:keepLines w:val="0"/>
        <w:pageBreakBefore w:val="0"/>
        <w:widowControl w:val="0"/>
        <w:kinsoku/>
        <w:wordWrap/>
        <w:overflowPunct w:val="0"/>
        <w:topLinePunct w:val="0"/>
        <w:autoSpaceDE w:val="0"/>
        <w:autoSpaceDN w:val="0"/>
        <w:bidi w:val="0"/>
        <w:spacing w:line="576" w:lineRule="exact"/>
        <w:contextualSpacing/>
        <w:jc w:val="center"/>
        <w:textAlignment w:val="auto"/>
        <w:rPr>
          <w:rFonts w:hint="eastAsia" w:ascii="方正小标宋简体" w:eastAsia="方正小标宋简体"/>
          <w:sz w:val="44"/>
          <w:szCs w:val="44"/>
          <w:shd w:val="clear" w:color="auto" w:fill="FFFFFF"/>
          <w:lang w:eastAsia="zh-CN"/>
        </w:rPr>
      </w:pPr>
      <w:r>
        <w:rPr>
          <w:rFonts w:hint="eastAsia" w:ascii="方正小标宋简体" w:eastAsia="方正小标宋简体"/>
          <w:sz w:val="44"/>
          <w:szCs w:val="44"/>
          <w:shd w:val="clear" w:color="auto" w:fill="FFFFFF"/>
          <w:lang w:eastAsia="zh-CN"/>
        </w:rPr>
        <w:t>茂县人民防空办公室</w:t>
      </w:r>
    </w:p>
    <w:p>
      <w:pPr>
        <w:pStyle w:val="36"/>
        <w:keepNext w:val="0"/>
        <w:keepLines w:val="0"/>
        <w:pageBreakBefore w:val="0"/>
        <w:widowControl w:val="0"/>
        <w:kinsoku/>
        <w:wordWrap/>
        <w:overflowPunct w:val="0"/>
        <w:topLinePunct w:val="0"/>
        <w:autoSpaceDE w:val="0"/>
        <w:autoSpaceDN w:val="0"/>
        <w:bidi w:val="0"/>
        <w:spacing w:line="576" w:lineRule="exact"/>
        <w:contextualSpacing/>
        <w:jc w:val="center"/>
        <w:textAlignment w:val="auto"/>
        <w:rPr>
          <w:rFonts w:hint="eastAsia"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rPr>
        <w:t>202</w:t>
      </w:r>
      <w:r>
        <w:rPr>
          <w:rFonts w:hint="eastAsia" w:ascii="方正小标宋简体" w:eastAsia="方正小标宋简体"/>
          <w:sz w:val="44"/>
          <w:szCs w:val="44"/>
          <w:shd w:val="clear" w:color="auto" w:fill="FFFFFF"/>
          <w:lang w:val="en-US" w:eastAsia="zh-CN"/>
        </w:rPr>
        <w:t>1</w:t>
      </w:r>
      <w:r>
        <w:rPr>
          <w:rFonts w:hint="eastAsia" w:ascii="方正小标宋简体" w:eastAsia="方正小标宋简体"/>
          <w:sz w:val="44"/>
          <w:szCs w:val="44"/>
          <w:shd w:val="clear" w:color="auto" w:fill="FFFFFF"/>
        </w:rPr>
        <w:t>年部门整体支出绩效评价报告</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480" w:firstLineChars="200"/>
        <w:contextualSpacing/>
        <w:jc w:val="left"/>
        <w:textAlignment w:val="auto"/>
        <w:rPr>
          <w:rFonts w:ascii="黑体" w:eastAsia="黑体" w:cs="宋体"/>
          <w:color w:val="000000"/>
          <w:kern w:val="0"/>
          <w:sz w:val="24"/>
          <w:szCs w:val="32"/>
          <w:shd w:val="clear" w:color="auto" w:fill="FFFFFF"/>
        </w:rPr>
      </w:pP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黑体" w:eastAsia="黑体" w:cs="宋体"/>
          <w:color w:val="000000"/>
          <w:kern w:val="0"/>
          <w:szCs w:val="32"/>
          <w:shd w:val="clear" w:color="auto" w:fill="FFFFFF"/>
          <w:lang w:val="zh-CN"/>
        </w:rPr>
      </w:pPr>
      <w:r>
        <w:rPr>
          <w:rFonts w:hint="eastAsia" w:ascii="黑体" w:eastAsia="黑体" w:cs="宋体"/>
          <w:color w:val="000000"/>
          <w:kern w:val="0"/>
          <w:szCs w:val="32"/>
          <w:shd w:val="clear" w:color="auto" w:fill="FFFFFF"/>
        </w:rPr>
        <w:t>一、</w:t>
      </w:r>
      <w:r>
        <w:rPr>
          <w:rFonts w:hint="eastAsia" w:ascii="黑体" w:eastAsia="黑体" w:cs="宋体"/>
          <w:color w:val="000000"/>
          <w:kern w:val="0"/>
          <w:szCs w:val="32"/>
          <w:shd w:val="clear" w:color="auto" w:fill="FFFFFF"/>
          <w:lang w:val="zh-CN"/>
        </w:rPr>
        <w:t>单位概况</w:t>
      </w:r>
    </w:p>
    <w:p>
      <w:pPr>
        <w:pStyle w:val="36"/>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楷体_GB2312" w:eastAsia="楷体_GB2312" w:cs="仿宋"/>
          <w:szCs w:val="32"/>
          <w:shd w:val="clear" w:color="auto" w:fill="auto"/>
          <w:lang w:val="zh-CN"/>
        </w:rPr>
      </w:pPr>
      <w:r>
        <w:rPr>
          <w:rFonts w:hint="eastAsia" w:ascii="楷体_GB2312" w:eastAsia="楷体_GB2312" w:cs="仿宋"/>
          <w:szCs w:val="32"/>
          <w:shd w:val="clear" w:color="auto" w:fill="auto"/>
          <w:lang w:val="zh-CN"/>
        </w:rPr>
        <w:t>（一）机构组成</w:t>
      </w:r>
    </w:p>
    <w:p>
      <w:pPr>
        <w:pStyle w:val="36"/>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lang w:val="zh-CN"/>
        </w:rPr>
      </w:pPr>
      <w:r>
        <w:rPr>
          <w:rFonts w:hint="eastAsia" w:ascii="仿宋_GB2312" w:cs="仿宋"/>
          <w:szCs w:val="32"/>
          <w:shd w:val="clear" w:color="auto" w:fill="auto"/>
          <w:lang w:eastAsia="zh-CN"/>
        </w:rPr>
        <w:t>茂县人民防空办公室</w:t>
      </w:r>
      <w:r>
        <w:rPr>
          <w:rFonts w:hint="eastAsia" w:ascii="仿宋_GB2312" w:cs="仿宋"/>
          <w:szCs w:val="32"/>
          <w:shd w:val="clear" w:color="auto" w:fill="auto"/>
        </w:rPr>
        <w:t>内设机构有：</w:t>
      </w:r>
      <w:r>
        <w:rPr>
          <w:rFonts w:hint="eastAsia" w:ascii="仿宋_GB2312" w:cs="仿宋"/>
          <w:szCs w:val="32"/>
          <w:shd w:val="clear" w:color="auto" w:fill="auto"/>
          <w:lang w:eastAsia="zh-CN"/>
        </w:rPr>
        <w:t>综合办公室、</w:t>
      </w:r>
      <w:r>
        <w:rPr>
          <w:rFonts w:hint="eastAsia" w:ascii="仿宋_GB2312" w:cs="仿宋"/>
          <w:szCs w:val="32"/>
          <w:shd w:val="clear" w:color="auto" w:fill="auto"/>
        </w:rPr>
        <w:t>信息</w:t>
      </w:r>
      <w:r>
        <w:rPr>
          <w:rFonts w:ascii="仿宋_GB2312" w:cs="仿宋"/>
          <w:szCs w:val="32"/>
          <w:shd w:val="clear" w:color="auto" w:fill="auto"/>
        </w:rPr>
        <w:t>公开</w:t>
      </w:r>
      <w:r>
        <w:rPr>
          <w:rFonts w:hint="eastAsia" w:ascii="仿宋_GB2312" w:cs="仿宋"/>
          <w:szCs w:val="32"/>
          <w:shd w:val="clear" w:color="auto" w:fill="auto"/>
        </w:rPr>
        <w:t>工作</w:t>
      </w:r>
      <w:r>
        <w:rPr>
          <w:rFonts w:ascii="仿宋_GB2312" w:cs="仿宋"/>
          <w:szCs w:val="32"/>
          <w:shd w:val="clear" w:color="auto" w:fill="auto"/>
        </w:rPr>
        <w:t>中心、机关后勤保障服务中心</w:t>
      </w:r>
      <w:r>
        <w:rPr>
          <w:rFonts w:hint="eastAsia" w:ascii="仿宋_GB2312" w:cs="仿宋"/>
          <w:szCs w:val="32"/>
          <w:shd w:val="clear" w:color="auto" w:fill="auto"/>
        </w:rPr>
        <w:t>。</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（二）机构职能</w:t>
      </w:r>
    </w:p>
    <w:p>
      <w:pP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贯彻执行人民防空工作的方针、政策；拟定与国家法律法规相配套的与本县人防工作相适应的规范性文件，经批准后组织实施 。</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 xml:space="preserve">根据本县国民经济和社会发展计划以及国防建设需要，编制本县人民防空事业发展规划和年度计划，经批准后组织实。   </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制定和实施人民防空建设与城市建设相结合的规划，对城市重要经济目标防护措施的落实进行监督检查。</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开展人民防空组织指挥工作，组织制定、修改落实本县《城市防空袭方案》和各种保障计划；组织指导有关部门和单位组建训练各种人防专业队伍并适时实施演练。</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负责制定本县人民防空通信、警报建设规划，组织人民防空通信、警报网的建设和管理；协调有关部门保障人民防空通信和警报建设。</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制定本县人民防空工程建设并按照国家要求的防护等级、标准、建设程序修建人民防空指挥工程、公用的人员掩蔽工程和疏散干道工程。负责本县结合民用建筑防空地下室建设项目的图纸审定、建设指导、竣工验收和人防易地建设费收取工作。</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对公共人民防空工程实施加固、改造和维护管理，对单位人民防空工作维护管理实施监督检查。制定并实施本县人民防空整体平战结合发展规划，努力提高人防建设的战各、社会、经济效益。</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8.</w:t>
      </w:r>
      <w:r>
        <w:rPr>
          <w:rFonts w:hint="eastAsia" w:ascii="仿宋_GB2312" w:hAnsi="宋体" w:eastAsia="仿宋_GB2312"/>
          <w:sz w:val="32"/>
          <w:szCs w:val="32"/>
        </w:rPr>
        <w:t>依法落实国家有关人防建设的政策规定；依法保护人民防空的设备设施；依法禁止和查处违反人民防空法律法规的行为。</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9.</w:t>
      </w:r>
      <w:r>
        <w:rPr>
          <w:rFonts w:hint="eastAsia" w:ascii="仿宋_GB2312" w:hAnsi="宋体" w:eastAsia="仿宋_GB2312"/>
          <w:sz w:val="32"/>
          <w:szCs w:val="32"/>
        </w:rPr>
        <w:t>组织开展人民防空宣传教育，制定本县人民防空教育计划，会同有关部门组织人民防空教育计划的实施，普及人民防空基本知识，提高人民防空基本技能；组织人民防空理论和科学研究。</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10.</w:t>
      </w:r>
      <w:r>
        <w:rPr>
          <w:rFonts w:hint="eastAsia" w:ascii="仿宋_GB2312" w:hAnsi="宋体" w:eastAsia="仿宋_GB2312"/>
          <w:sz w:val="32"/>
          <w:szCs w:val="32"/>
        </w:rPr>
        <w:t>负责人民防空经费、物资、资产的计划、安排和管理。</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11.</w:t>
      </w:r>
      <w:r>
        <w:rPr>
          <w:rFonts w:hint="eastAsia" w:ascii="仿宋_GB2312" w:hAnsi="宋体" w:eastAsia="仿宋_GB2312"/>
          <w:sz w:val="32"/>
          <w:szCs w:val="32"/>
        </w:rPr>
        <w:t>战时负责发放空袭警服和组织实施灯火管制，组织指挥人民防空疏散和掩蔽，配合要地防空和城市保卫作战，协助有关部门做好生活供应和其它保障工作，组织消除空袭后果，协助有关部门恢复正常的生产和生活秩序。</w:t>
      </w:r>
    </w:p>
    <w:p>
      <w:pPr>
        <w:pBdr>
          <w:top w:val="none" w:color="000000" w:sz="0" w:space="0"/>
          <w:left w:val="none" w:color="000000" w:sz="0" w:space="0"/>
          <w:bottom w:val="none" w:color="000000" w:sz="0" w:space="0"/>
          <w:right w:val="none" w:color="000000" w:sz="0" w:space="0"/>
        </w:pBdr>
        <w:autoSpaceDN w:val="0"/>
        <w:spacing w:line="288" w:lineRule="auto"/>
        <w:ind w:firstLine="640" w:firstLineChars="200"/>
        <w:rPr>
          <w:rFonts w:hint="eastAsia" w:ascii="仿宋_GB2312" w:hAnsi="宋体" w:eastAsia="仿宋_GB2312"/>
          <w:smallCaps/>
          <w:color w:val="000000"/>
          <w:sz w:val="32"/>
          <w:szCs w:val="32"/>
        </w:rPr>
      </w:pPr>
      <w:r>
        <w:rPr>
          <w:rFonts w:hint="eastAsia" w:ascii="仿宋_GB2312" w:hAnsi="宋体" w:eastAsia="仿宋_GB2312"/>
          <w:sz w:val="32"/>
          <w:szCs w:val="32"/>
          <w:lang w:val="en-US" w:eastAsia="zh-CN"/>
        </w:rPr>
        <w:t>12.</w:t>
      </w:r>
      <w:r>
        <w:rPr>
          <w:rFonts w:hint="eastAsia" w:ascii="仿宋_GB2312" w:hAnsi="宋体" w:eastAsia="仿宋_GB2312"/>
          <w:sz w:val="32"/>
          <w:szCs w:val="32"/>
        </w:rPr>
        <w:t>承办县委、县政府、县国防动员委员会和上级人防部门交办的其它事项。</w:t>
      </w:r>
      <w:r>
        <w:rPr>
          <w:rFonts w:hint="eastAsia" w:ascii="仿宋_GB2312" w:hAnsi="宋体" w:eastAsia="仿宋_GB2312"/>
          <w:smallCaps/>
          <w:color w:val="000000"/>
          <w:sz w:val="32"/>
          <w:szCs w:val="32"/>
        </w:rPr>
        <w:t>　　</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（三）人员概况</w:t>
      </w:r>
    </w:p>
    <w:p>
      <w:pPr>
        <w:pStyle w:val="36"/>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2021年</w:t>
      </w:r>
      <w:r>
        <w:rPr>
          <w:rFonts w:hint="eastAsia" w:ascii="仿宋_GB2312" w:eastAsia="仿宋_GB2312"/>
          <w:sz w:val="32"/>
          <w:szCs w:val="32"/>
        </w:rPr>
        <w:t>年末实有在职人数</w:t>
      </w:r>
      <w:r>
        <w:rPr>
          <w:rFonts w:hint="eastAsia" w:ascii="仿宋_GB2312"/>
          <w:sz w:val="32"/>
          <w:szCs w:val="32"/>
          <w:lang w:val="en-US" w:eastAsia="zh-CN"/>
        </w:rPr>
        <w:t>9</w:t>
      </w:r>
      <w:r>
        <w:rPr>
          <w:rFonts w:hint="eastAsia" w:ascii="仿宋_GB2312" w:eastAsia="仿宋_GB2312"/>
          <w:sz w:val="32"/>
          <w:szCs w:val="32"/>
        </w:rPr>
        <w:t>人，事业在职9人。年末实有退休人员</w:t>
      </w:r>
      <w:r>
        <w:rPr>
          <w:rFonts w:hint="eastAsia" w:ascii="仿宋_GB2312"/>
          <w:sz w:val="32"/>
          <w:szCs w:val="32"/>
          <w:lang w:val="en-US" w:eastAsia="zh-CN"/>
        </w:rPr>
        <w:t>0人</w:t>
      </w:r>
      <w:r>
        <w:rPr>
          <w:rFonts w:hint="eastAsia" w:ascii="仿宋_GB2312" w:eastAsia="仿宋_GB2312"/>
          <w:sz w:val="32"/>
          <w:szCs w:val="32"/>
        </w:rPr>
        <w:t>。</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二、部门财政资金收支情况</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（一）部门财政资金收入情况</w:t>
      </w:r>
    </w:p>
    <w:p>
      <w:pPr>
        <w:pStyle w:val="36"/>
        <w:keepNext w:val="0"/>
        <w:keepLines w:val="0"/>
        <w:pageBreakBefore w:val="0"/>
        <w:widowControl w:val="0"/>
        <w:kinsoku/>
        <w:wordWrap/>
        <w:overflowPunct w:val="0"/>
        <w:topLinePunct w:val="0"/>
        <w:autoSpaceDE w:val="0"/>
        <w:autoSpaceDN w:val="0"/>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2021年收入合计</w:t>
      </w:r>
      <w:r>
        <w:rPr>
          <w:rFonts w:hint="eastAsia" w:ascii="仿宋_GB2312"/>
          <w:sz w:val="32"/>
          <w:szCs w:val="32"/>
          <w:lang w:val="en-US" w:eastAsia="zh-CN"/>
        </w:rPr>
        <w:t>154.83</w:t>
      </w:r>
      <w:r>
        <w:rPr>
          <w:rFonts w:hint="eastAsia" w:ascii="仿宋_GB2312" w:eastAsia="仿宋_GB2312"/>
          <w:sz w:val="32"/>
          <w:szCs w:val="32"/>
        </w:rPr>
        <w:t>万元，其中财政拨款收入</w:t>
      </w:r>
      <w:r>
        <w:rPr>
          <w:rFonts w:hint="eastAsia" w:ascii="仿宋_GB2312"/>
          <w:sz w:val="32"/>
          <w:szCs w:val="32"/>
          <w:lang w:val="en-US" w:eastAsia="zh-CN"/>
        </w:rPr>
        <w:t>154.83</w:t>
      </w:r>
      <w:r>
        <w:rPr>
          <w:rFonts w:hint="eastAsia" w:ascii="仿宋_GB2312" w:eastAsia="仿宋_GB2312"/>
          <w:sz w:val="32"/>
          <w:szCs w:val="32"/>
        </w:rPr>
        <w:t>万元，占总收入100%。与2020年相比</w:t>
      </w:r>
      <w:r>
        <w:rPr>
          <w:rFonts w:hint="eastAsia" w:ascii="仿宋_GB2312"/>
          <w:sz w:val="32"/>
          <w:szCs w:val="32"/>
          <w:lang w:eastAsia="zh-CN"/>
        </w:rPr>
        <w:t>增加</w:t>
      </w:r>
      <w:r>
        <w:rPr>
          <w:rFonts w:hint="eastAsia" w:ascii="仿宋_GB2312"/>
          <w:sz w:val="32"/>
          <w:szCs w:val="32"/>
          <w:lang w:val="en-US" w:eastAsia="zh-CN"/>
        </w:rPr>
        <w:t>7.74</w:t>
      </w:r>
      <w:r>
        <w:rPr>
          <w:rFonts w:hint="eastAsia" w:ascii="仿宋_GB2312" w:eastAsia="仿宋_GB2312"/>
          <w:sz w:val="32"/>
          <w:szCs w:val="32"/>
        </w:rPr>
        <w:t>万元，</w:t>
      </w:r>
      <w:r>
        <w:rPr>
          <w:rFonts w:hint="eastAsia" w:ascii="仿宋_GB2312"/>
          <w:sz w:val="32"/>
          <w:szCs w:val="32"/>
          <w:lang w:eastAsia="zh-CN"/>
        </w:rPr>
        <w:t>增加</w:t>
      </w:r>
      <w:r>
        <w:rPr>
          <w:rFonts w:hint="eastAsia" w:ascii="仿宋_GB2312"/>
          <w:sz w:val="32"/>
          <w:szCs w:val="32"/>
          <w:lang w:val="en-US" w:eastAsia="zh-CN"/>
        </w:rPr>
        <w:t>5.27</w:t>
      </w:r>
      <w:r>
        <w:rPr>
          <w:rFonts w:hint="eastAsia" w:ascii="仿宋_GB2312" w:eastAsia="仿宋_GB2312"/>
          <w:sz w:val="32"/>
          <w:szCs w:val="32"/>
        </w:rPr>
        <w:t>%,变动主要原因为：</w:t>
      </w:r>
      <w:r>
        <w:rPr>
          <w:rFonts w:hint="eastAsia" w:ascii="仿宋_GB2312"/>
          <w:sz w:val="32"/>
          <w:szCs w:val="32"/>
          <w:lang w:eastAsia="zh-CN"/>
        </w:rPr>
        <w:t>正常晋升等原因人员工资增加</w:t>
      </w:r>
      <w:r>
        <w:rPr>
          <w:rFonts w:hint="eastAsia" w:ascii="仿宋_GB2312" w:eastAsia="仿宋_GB2312"/>
          <w:sz w:val="32"/>
          <w:szCs w:val="32"/>
        </w:rPr>
        <w:t>。</w:t>
      </w:r>
    </w:p>
    <w:p>
      <w:pPr>
        <w:pStyle w:val="36"/>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76" w:lineRule="exact"/>
        <w:ind w:left="0"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部门财政资金支出情况</w:t>
      </w:r>
    </w:p>
    <w:p>
      <w:pPr>
        <w:pStyle w:val="36"/>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eastAsia="仿宋_GB2312" w:cs="宋体"/>
          <w:color w:val="000000"/>
          <w:kern w:val="0"/>
          <w:szCs w:val="32"/>
          <w:shd w:val="clear" w:color="auto" w:fill="FFFFFF"/>
          <w:lang w:val="en-US" w:eastAsia="zh-CN"/>
        </w:rPr>
      </w:pPr>
      <w:r>
        <w:rPr>
          <w:rFonts w:hint="eastAsia" w:ascii="仿宋_GB2312" w:eastAsia="仿宋_GB2312"/>
          <w:sz w:val="32"/>
          <w:szCs w:val="32"/>
        </w:rPr>
        <w:t>2021年支出合计</w:t>
      </w:r>
      <w:r>
        <w:rPr>
          <w:rFonts w:hint="eastAsia" w:ascii="仿宋_GB2312"/>
          <w:sz w:val="32"/>
          <w:szCs w:val="32"/>
          <w:lang w:val="en-US" w:eastAsia="zh-CN"/>
        </w:rPr>
        <w:t>154.83</w:t>
      </w:r>
      <w:r>
        <w:rPr>
          <w:rFonts w:hint="eastAsia" w:ascii="仿宋_GB2312" w:eastAsia="仿宋_GB2312"/>
          <w:sz w:val="32"/>
          <w:szCs w:val="32"/>
        </w:rPr>
        <w:t>万元，其中基本支出</w:t>
      </w:r>
      <w:r>
        <w:rPr>
          <w:rFonts w:hint="eastAsia" w:ascii="仿宋_GB2312"/>
          <w:sz w:val="32"/>
          <w:szCs w:val="32"/>
          <w:lang w:val="en-US" w:eastAsia="zh-CN"/>
        </w:rPr>
        <w:t>154.83</w:t>
      </w:r>
      <w:r>
        <w:rPr>
          <w:rFonts w:hint="eastAsia" w:ascii="仿宋_GB2312" w:eastAsia="仿宋_GB2312"/>
          <w:sz w:val="32"/>
          <w:szCs w:val="32"/>
        </w:rPr>
        <w:t>万元，占总支出</w:t>
      </w:r>
      <w:r>
        <w:rPr>
          <w:rFonts w:hint="eastAsia" w:ascii="仿宋_GB2312"/>
          <w:sz w:val="32"/>
          <w:szCs w:val="32"/>
          <w:lang w:val="en-US" w:eastAsia="zh-CN"/>
        </w:rPr>
        <w:t>100</w:t>
      </w:r>
      <w:r>
        <w:rPr>
          <w:rFonts w:hint="eastAsia" w:ascii="仿宋_GB2312" w:eastAsia="仿宋_GB2312"/>
          <w:sz w:val="32"/>
          <w:szCs w:val="32"/>
        </w:rPr>
        <w:t>%；项目支出</w:t>
      </w:r>
      <w:r>
        <w:rPr>
          <w:rFonts w:hint="eastAsia" w:ascii="仿宋_GB2312"/>
          <w:sz w:val="32"/>
          <w:szCs w:val="32"/>
          <w:lang w:val="en-US" w:eastAsia="zh-CN"/>
        </w:rPr>
        <w:t>0</w:t>
      </w:r>
      <w:r>
        <w:rPr>
          <w:rFonts w:hint="eastAsia" w:ascii="仿宋_GB2312" w:eastAsia="仿宋_GB2312"/>
          <w:sz w:val="32"/>
          <w:szCs w:val="32"/>
        </w:rPr>
        <w:t>万元。与2020年相比</w:t>
      </w:r>
      <w:r>
        <w:rPr>
          <w:rFonts w:hint="eastAsia" w:ascii="仿宋_GB2312"/>
          <w:sz w:val="32"/>
          <w:szCs w:val="32"/>
          <w:lang w:eastAsia="zh-CN"/>
        </w:rPr>
        <w:t>增加</w:t>
      </w:r>
      <w:r>
        <w:rPr>
          <w:rFonts w:hint="eastAsia" w:ascii="仿宋_GB2312"/>
          <w:sz w:val="32"/>
          <w:szCs w:val="32"/>
          <w:lang w:val="en-US" w:eastAsia="zh-CN"/>
        </w:rPr>
        <w:t>7.74</w:t>
      </w:r>
      <w:r>
        <w:rPr>
          <w:rFonts w:hint="eastAsia" w:ascii="仿宋_GB2312" w:eastAsia="仿宋_GB2312"/>
          <w:sz w:val="32"/>
          <w:szCs w:val="32"/>
        </w:rPr>
        <w:t>万元，</w:t>
      </w:r>
      <w:r>
        <w:rPr>
          <w:rFonts w:hint="eastAsia" w:ascii="仿宋_GB2312"/>
          <w:sz w:val="32"/>
          <w:szCs w:val="32"/>
          <w:lang w:eastAsia="zh-CN"/>
        </w:rPr>
        <w:t>增加</w:t>
      </w:r>
      <w:r>
        <w:rPr>
          <w:rFonts w:hint="eastAsia" w:ascii="仿宋_GB2312"/>
          <w:sz w:val="32"/>
          <w:szCs w:val="32"/>
          <w:lang w:val="en-US" w:eastAsia="zh-CN"/>
        </w:rPr>
        <w:t>5.27</w:t>
      </w:r>
      <w:r>
        <w:rPr>
          <w:rFonts w:hint="eastAsia" w:ascii="仿宋_GB2312" w:eastAsia="仿宋_GB2312"/>
          <w:sz w:val="32"/>
          <w:szCs w:val="32"/>
        </w:rPr>
        <w:t>%,变动主要原因为：</w:t>
      </w:r>
      <w:r>
        <w:rPr>
          <w:rFonts w:hint="eastAsia" w:ascii="仿宋_GB2312"/>
          <w:sz w:val="32"/>
          <w:szCs w:val="32"/>
          <w:lang w:eastAsia="zh-CN"/>
        </w:rPr>
        <w:t>正常晋升等原因人员工资增加</w:t>
      </w:r>
      <w:r>
        <w:rPr>
          <w:rFonts w:hint="eastAsia" w:ascii="仿宋_GB2312" w:eastAsia="仿宋_GB2312"/>
          <w:sz w:val="32"/>
          <w:szCs w:val="32"/>
        </w:rPr>
        <w:t>。</w:t>
      </w:r>
    </w:p>
    <w:p>
      <w:pPr>
        <w:pStyle w:val="36"/>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576" w:lineRule="exact"/>
        <w:ind w:left="0" w:firstLine="640" w:firstLineChars="200"/>
        <w:contextualSpacing/>
        <w:jc w:val="left"/>
        <w:textAlignment w:val="auto"/>
        <w:rPr>
          <w:rFonts w:hint="eastAsia"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部门整体预算绩效管理情况</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（一）部门预算项目绩效管理</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仿宋_GB2312" w:cs="宋体"/>
          <w:color w:val="000000"/>
          <w:kern w:val="0"/>
          <w:szCs w:val="32"/>
          <w:shd w:val="clear" w:color="auto" w:fill="FFFFFF"/>
          <w:lang w:val="zh-CN"/>
        </w:rPr>
      </w:pPr>
      <w:r>
        <w:rPr>
          <w:rFonts w:hint="eastAsia" w:ascii="仿宋_GB2312" w:eastAsia="仿宋_GB2312" w:cs="仿宋_GB2312"/>
          <w:sz w:val="32"/>
          <w:szCs w:val="32"/>
        </w:rPr>
        <w:t>我办严格按照县级部门预算编制通知和有关要求，按时完成20</w:t>
      </w:r>
      <w:r>
        <w:rPr>
          <w:rFonts w:ascii="仿宋_GB2312" w:eastAsia="仿宋_GB2312" w:cs="仿宋_GB2312"/>
          <w:sz w:val="32"/>
          <w:szCs w:val="32"/>
        </w:rPr>
        <w:t>2</w:t>
      </w:r>
      <w:r>
        <w:rPr>
          <w:rFonts w:hint="eastAsia" w:ascii="仿宋_GB2312" w:cs="仿宋_GB2312"/>
          <w:sz w:val="32"/>
          <w:szCs w:val="32"/>
          <w:lang w:val="en-US" w:eastAsia="zh-CN"/>
        </w:rPr>
        <w:t>1</w:t>
      </w:r>
      <w:r>
        <w:rPr>
          <w:rFonts w:hint="eastAsia" w:ascii="仿宋_GB2312" w:eastAsia="仿宋_GB2312" w:cs="仿宋_GB2312"/>
          <w:sz w:val="32"/>
          <w:szCs w:val="32"/>
        </w:rPr>
        <w:t>年预</w:t>
      </w:r>
      <w:r>
        <w:rPr>
          <w:rFonts w:ascii="仿宋_GB2312" w:eastAsia="仿宋_GB2312" w:cs="仿宋_GB2312"/>
          <w:sz w:val="32"/>
          <w:szCs w:val="32"/>
        </w:rPr>
        <w:t>决</w:t>
      </w:r>
      <w:r>
        <w:rPr>
          <w:rFonts w:hint="eastAsia" w:ascii="仿宋_GB2312" w:eastAsia="仿宋_GB2312" w:cs="仿宋_GB2312"/>
          <w:sz w:val="32"/>
          <w:szCs w:val="32"/>
        </w:rPr>
        <w:t>算</w:t>
      </w:r>
      <w:r>
        <w:rPr>
          <w:rFonts w:ascii="仿宋_GB2312" w:eastAsia="仿宋_GB2312" w:cs="仿宋_GB2312"/>
          <w:sz w:val="32"/>
          <w:szCs w:val="32"/>
        </w:rPr>
        <w:t>、202</w:t>
      </w:r>
      <w:r>
        <w:rPr>
          <w:rFonts w:hint="eastAsia" w:ascii="仿宋_GB2312" w:cs="仿宋_GB2312"/>
          <w:sz w:val="32"/>
          <w:szCs w:val="32"/>
          <w:lang w:val="en-US" w:eastAsia="zh-CN"/>
        </w:rPr>
        <w:t>2</w:t>
      </w:r>
      <w:r>
        <w:rPr>
          <w:rFonts w:ascii="仿宋_GB2312" w:eastAsia="仿宋_GB2312" w:cs="仿宋_GB2312"/>
          <w:sz w:val="32"/>
          <w:szCs w:val="32"/>
        </w:rPr>
        <w:t>年预算</w:t>
      </w:r>
      <w:r>
        <w:rPr>
          <w:rFonts w:hint="eastAsia" w:ascii="仿宋_GB2312" w:eastAsia="仿宋_GB2312" w:cs="仿宋_GB2312"/>
          <w:sz w:val="32"/>
          <w:szCs w:val="32"/>
        </w:rPr>
        <w:t>编制工作，</w:t>
      </w:r>
      <w:r>
        <w:rPr>
          <w:rFonts w:hint="eastAsia" w:ascii="仿宋_GB2312" w:eastAsia="仿宋_GB2312"/>
          <w:sz w:val="32"/>
          <w:szCs w:val="32"/>
        </w:rPr>
        <w:t>根据我办职能职责，结合中长期规划和年度工作计划，明确了年度主要工作任务及年度内履职所要达到的效果，在预算编制中进一步夯实预算编制基础，及时更新相关基础数据，严格控制“三公”经费、会议费和培训费预算，预算编制做到了及时、完整、准确、合理、高效</w:t>
      </w:r>
      <w:r>
        <w:rPr>
          <w:rFonts w:hint="eastAsia" w:ascii="仿宋_GB2312"/>
          <w:sz w:val="32"/>
          <w:szCs w:val="32"/>
          <w:lang w:eastAsia="zh-CN"/>
        </w:rPr>
        <w:t>。未出现资金分配使用</w:t>
      </w:r>
      <w:r>
        <w:rPr>
          <w:rFonts w:hint="eastAsia" w:ascii="仿宋_GB2312" w:cs="宋体"/>
          <w:color w:val="000000"/>
          <w:kern w:val="0"/>
          <w:szCs w:val="32"/>
          <w:shd w:val="clear" w:color="auto" w:fill="FFFFFF"/>
          <w:lang w:val="zh-CN"/>
        </w:rPr>
        <w:t>等违规记录情况。</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（二）结果应用情况</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720"/>
        <w:jc w:val="left"/>
        <w:textAlignment w:val="auto"/>
        <w:rPr>
          <w:rFonts w:hint="eastAsia" w:ascii="仿宋_GB2312" w:cs="宋体"/>
          <w:color w:val="000000"/>
          <w:kern w:val="0"/>
          <w:szCs w:val="32"/>
          <w:shd w:val="clear" w:color="auto" w:fill="FFFFFF"/>
          <w:lang w:val="zh-CN" w:eastAsia="zh-CN" w:bidi="ar-SA"/>
        </w:rPr>
      </w:pPr>
      <w:r>
        <w:rPr>
          <w:rFonts w:hint="eastAsia" w:ascii="仿宋_GB2312" w:cs="宋体"/>
          <w:color w:val="000000"/>
          <w:kern w:val="0"/>
          <w:szCs w:val="32"/>
          <w:shd w:val="clear" w:color="auto" w:fill="FFFFFF"/>
          <w:lang w:val="zh-CN" w:eastAsia="zh-CN" w:bidi="ar-SA"/>
        </w:rPr>
        <w:t>1、部门支出绩效</w:t>
      </w:r>
    </w:p>
    <w:p>
      <w:pPr>
        <w:pStyle w:val="36"/>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hint="eastAsia" w:ascii="仿宋_GB2312" w:cs="Arial"/>
          <w:color w:val="333333"/>
          <w:kern w:val="0"/>
          <w:szCs w:val="32"/>
          <w:lang w:bidi="ar-SA"/>
        </w:rPr>
      </w:pPr>
      <w:r>
        <w:rPr>
          <w:rFonts w:hint="eastAsia" w:ascii="仿宋_GB2312" w:cs="Arial"/>
          <w:szCs w:val="32"/>
          <w:lang w:bidi="ar-SA"/>
        </w:rPr>
        <w:t>财政拨款安排支</w:t>
      </w:r>
      <w:r>
        <w:rPr>
          <w:rFonts w:hint="eastAsia" w:ascii="仿宋_GB2312" w:cs="Arial"/>
          <w:color w:val="333333"/>
          <w:kern w:val="0"/>
          <w:szCs w:val="32"/>
          <w:lang w:bidi="ar-SA"/>
        </w:rPr>
        <w:t>出用于保障单位正常运转的日常支出，包括基本工资、津贴补贴等人员经费以及办公费、</w:t>
      </w:r>
      <w:r>
        <w:rPr>
          <w:rFonts w:hint="eastAsia" w:ascii="仿宋_GB2312" w:cs="Arial"/>
          <w:color w:val="333333"/>
          <w:kern w:val="0"/>
          <w:szCs w:val="32"/>
          <w:lang w:eastAsia="zh-CN" w:bidi="ar-SA"/>
        </w:rPr>
        <w:t>差旅费</w:t>
      </w:r>
      <w:r>
        <w:rPr>
          <w:rFonts w:hint="eastAsia" w:ascii="仿宋_GB2312" w:cs="Arial"/>
          <w:color w:val="333333"/>
          <w:kern w:val="0"/>
          <w:szCs w:val="32"/>
          <w:lang w:bidi="ar-SA"/>
        </w:rPr>
        <w:t>等日常公用经费。</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720"/>
        <w:jc w:val="left"/>
        <w:textAlignment w:val="auto"/>
        <w:rPr>
          <w:rFonts w:hint="eastAsia" w:ascii="仿宋_GB2312" w:cs="宋体"/>
          <w:color w:val="000000"/>
          <w:kern w:val="0"/>
          <w:szCs w:val="32"/>
          <w:shd w:val="clear" w:color="auto" w:fill="FFFFFF"/>
          <w:lang w:val="zh-CN" w:eastAsia="zh-CN" w:bidi="ar-SA"/>
        </w:rPr>
      </w:pPr>
      <w:r>
        <w:rPr>
          <w:rFonts w:hint="eastAsia" w:ascii="仿宋_GB2312" w:cs="宋体"/>
          <w:color w:val="000000"/>
          <w:kern w:val="0"/>
          <w:szCs w:val="32"/>
          <w:shd w:val="clear" w:color="auto" w:fill="FFFFFF"/>
          <w:lang w:val="zh-CN" w:eastAsia="zh-CN" w:bidi="ar-SA"/>
        </w:rPr>
        <w:t>2、机关节能降耗</w:t>
      </w:r>
    </w:p>
    <w:p>
      <w:pPr>
        <w:pStyle w:val="36"/>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ascii="仿宋_GB2312" w:cs="宋体"/>
          <w:color w:val="000000"/>
          <w:kern w:val="0"/>
          <w:szCs w:val="32"/>
          <w:shd w:val="clear" w:color="auto" w:fill="FFFFFF"/>
          <w:lang w:val="zh-CN"/>
        </w:rPr>
      </w:pPr>
      <w:r>
        <w:rPr>
          <w:rFonts w:hint="eastAsia" w:ascii="仿宋_GB2312" w:cs="Arial"/>
          <w:color w:val="333333"/>
          <w:kern w:val="0"/>
          <w:szCs w:val="32"/>
          <w:lang w:bidi="ar-SA"/>
        </w:rPr>
        <w:t>我办认真贯彻落实中央和省委省政府相关规定，厉行节约，严格控制因公出国（境）费用、会议费、车辆购置及运行费用和公务接待经费。</w:t>
      </w:r>
    </w:p>
    <w:p>
      <w:pPr>
        <w:pStyle w:val="36"/>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76" w:lineRule="exact"/>
        <w:ind w:left="0"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自评质量</w:t>
      </w:r>
    </w:p>
    <w:p>
      <w:pPr>
        <w:pStyle w:val="36"/>
        <w:keepNext w:val="0"/>
        <w:keepLines w:val="0"/>
        <w:pageBreakBefore w:val="0"/>
        <w:widowControl w:val="0"/>
        <w:kinsoku/>
        <w:wordWrap/>
        <w:overflowPunct w:val="0"/>
        <w:topLinePunct w:val="0"/>
        <w:autoSpaceDE w:val="0"/>
        <w:autoSpaceDN w:val="0"/>
        <w:bidi w:val="0"/>
        <w:spacing w:line="576" w:lineRule="exact"/>
        <w:ind w:firstLine="320" w:firstLineChars="100"/>
        <w:textAlignment w:val="auto"/>
        <w:rPr>
          <w:rFonts w:hint="eastAsia" w:ascii="仿宋_GB2312" w:eastAsia="仿宋_GB2312"/>
          <w:b/>
          <w:color w:val="FF0000"/>
          <w:sz w:val="32"/>
          <w:szCs w:val="32"/>
          <w:highlight w:val="none"/>
        </w:rPr>
      </w:pPr>
      <w:r>
        <w:rPr>
          <w:rFonts w:hint="eastAsia" w:ascii="仿宋_GB2312" w:cs="宋体"/>
          <w:color w:val="000000"/>
          <w:kern w:val="0"/>
          <w:szCs w:val="32"/>
          <w:highlight w:val="none"/>
          <w:shd w:val="clear" w:color="auto" w:fill="FFFFFF"/>
        </w:rPr>
        <w:t xml:space="preserve">  </w:t>
      </w:r>
      <w:r>
        <w:rPr>
          <w:rFonts w:ascii="仿宋_GB2312" w:eastAsia="仿宋_GB2312" w:cs="仿宋_GB2312"/>
          <w:sz w:val="32"/>
          <w:szCs w:val="32"/>
          <w:highlight w:val="none"/>
        </w:rPr>
        <w:t>我办</w:t>
      </w:r>
      <w:r>
        <w:rPr>
          <w:rFonts w:hint="eastAsia" w:ascii="仿宋_GB2312" w:eastAsia="仿宋_GB2312" w:cs="仿宋_GB2312"/>
          <w:sz w:val="32"/>
          <w:szCs w:val="32"/>
          <w:highlight w:val="none"/>
        </w:rPr>
        <w:t>按要求</w:t>
      </w:r>
      <w:r>
        <w:rPr>
          <w:rFonts w:hint="eastAsia" w:ascii="仿宋_GB2312" w:cs="仿宋_GB2312"/>
          <w:sz w:val="32"/>
          <w:szCs w:val="32"/>
          <w:highlight w:val="none"/>
          <w:lang w:eastAsia="zh-CN"/>
        </w:rPr>
        <w:t>强化绩效管理理念，秉承客观公正、实事求是原则</w:t>
      </w:r>
      <w:r>
        <w:rPr>
          <w:rFonts w:hint="eastAsia" w:ascii="仿宋_GB2312" w:eastAsia="仿宋_GB2312" w:cs="仿宋_GB2312"/>
          <w:sz w:val="32"/>
          <w:szCs w:val="32"/>
          <w:highlight w:val="none"/>
        </w:rPr>
        <w:t>对20</w:t>
      </w:r>
      <w:r>
        <w:rPr>
          <w:rFonts w:ascii="仿宋_GB2312" w:eastAsia="仿宋_GB2312" w:cs="仿宋_GB2312"/>
          <w:sz w:val="32"/>
          <w:szCs w:val="32"/>
          <w:highlight w:val="none"/>
        </w:rPr>
        <w:t>2</w:t>
      </w:r>
      <w:r>
        <w:rPr>
          <w:rFonts w:hint="eastAsia" w:ascii="仿宋_GB2312" w:cs="仿宋_GB2312"/>
          <w:sz w:val="32"/>
          <w:szCs w:val="32"/>
          <w:highlight w:val="none"/>
          <w:lang w:val="en-US" w:eastAsia="zh-CN"/>
        </w:rPr>
        <w:t>1</w:t>
      </w:r>
      <w:r>
        <w:rPr>
          <w:rFonts w:hint="eastAsia" w:ascii="仿宋_GB2312" w:eastAsia="仿宋_GB2312" w:cs="仿宋_GB2312"/>
          <w:sz w:val="32"/>
          <w:szCs w:val="32"/>
          <w:highlight w:val="none"/>
        </w:rPr>
        <w:t>年</w:t>
      </w:r>
      <w:r>
        <w:rPr>
          <w:rFonts w:hint="eastAsia" w:ascii="仿宋_GB2312" w:cs="仿宋_GB2312"/>
          <w:sz w:val="32"/>
          <w:szCs w:val="32"/>
          <w:highlight w:val="none"/>
          <w:lang w:eastAsia="zh-CN"/>
        </w:rPr>
        <w:t>度</w:t>
      </w:r>
      <w:r>
        <w:rPr>
          <w:rFonts w:hint="eastAsia" w:ascii="仿宋_GB2312" w:eastAsia="仿宋_GB2312" w:cs="仿宋_GB2312"/>
          <w:sz w:val="32"/>
          <w:szCs w:val="32"/>
          <w:highlight w:val="none"/>
        </w:rPr>
        <w:t>整体支出开展绩效自评。</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四、评价结论及建议</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en-US" w:eastAsia="zh-CN"/>
        </w:rPr>
      </w:pPr>
      <w:r>
        <w:rPr>
          <w:rFonts w:hint="eastAsia" w:ascii="楷体_GB2312" w:eastAsia="楷体_GB2312" w:cs="楷体_GB2312"/>
          <w:color w:val="000000"/>
          <w:kern w:val="0"/>
          <w:szCs w:val="32"/>
          <w:shd w:val="clear" w:color="auto" w:fill="FFFFFF"/>
          <w:lang w:val="zh-CN"/>
        </w:rPr>
        <w:t>（一）评价结论</w:t>
      </w:r>
    </w:p>
    <w:p>
      <w:pPr>
        <w:pStyle w:val="36"/>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hint="eastAsia" w:ascii="仿宋_GB2312" w:eastAsia="仿宋_GB2312"/>
          <w:b/>
          <w:color w:val="FF0000"/>
          <w:sz w:val="32"/>
          <w:szCs w:val="32"/>
        </w:rPr>
      </w:pPr>
      <w:r>
        <w:rPr>
          <w:rFonts w:ascii="仿宋_GB2312" w:eastAsia="仿宋_GB2312" w:cs="仿宋_GB2312"/>
          <w:sz w:val="32"/>
          <w:szCs w:val="32"/>
        </w:rPr>
        <w:t>我办</w:t>
      </w:r>
      <w:r>
        <w:rPr>
          <w:rFonts w:hint="eastAsia" w:ascii="仿宋_GB2312" w:eastAsia="仿宋_GB2312" w:cs="仿宋_GB2312"/>
          <w:sz w:val="32"/>
          <w:szCs w:val="32"/>
        </w:rPr>
        <w:t>按要求对</w:t>
      </w:r>
      <w:r>
        <w:rPr>
          <w:rFonts w:hint="eastAsia" w:ascii="仿宋_GB2312" w:eastAsia="仿宋_GB2312" w:cs="仿宋_GB2312"/>
          <w:sz w:val="32"/>
          <w:szCs w:val="32"/>
          <w:highlight w:val="none"/>
        </w:rPr>
        <w:t>20</w:t>
      </w:r>
      <w:r>
        <w:rPr>
          <w:rFonts w:ascii="仿宋_GB2312" w:eastAsia="仿宋_GB2312" w:cs="仿宋_GB2312"/>
          <w:sz w:val="32"/>
          <w:szCs w:val="32"/>
          <w:highlight w:val="none"/>
        </w:rPr>
        <w:t>2</w:t>
      </w:r>
      <w:r>
        <w:rPr>
          <w:rFonts w:hint="eastAsia" w:ascii="仿宋_GB2312" w:cs="仿宋_GB2312"/>
          <w:sz w:val="32"/>
          <w:szCs w:val="32"/>
          <w:highlight w:val="none"/>
          <w:lang w:val="en-US" w:eastAsia="zh-CN"/>
        </w:rPr>
        <w:t>1</w:t>
      </w:r>
      <w:r>
        <w:rPr>
          <w:rFonts w:hint="eastAsia" w:ascii="仿宋_GB2312" w:eastAsia="仿宋_GB2312" w:cs="仿宋_GB2312"/>
          <w:sz w:val="32"/>
          <w:szCs w:val="32"/>
          <w:highlight w:val="none"/>
        </w:rPr>
        <w:t>年</w:t>
      </w:r>
      <w:r>
        <w:rPr>
          <w:rFonts w:hint="eastAsia" w:ascii="仿宋_GB2312" w:cs="仿宋_GB2312"/>
          <w:sz w:val="32"/>
          <w:szCs w:val="32"/>
          <w:highlight w:val="none"/>
          <w:lang w:eastAsia="zh-CN"/>
        </w:rPr>
        <w:t>度</w:t>
      </w:r>
      <w:r>
        <w:rPr>
          <w:rFonts w:hint="eastAsia" w:ascii="仿宋_GB2312" w:eastAsia="仿宋_GB2312" w:cs="仿宋_GB2312"/>
          <w:sz w:val="32"/>
          <w:szCs w:val="32"/>
          <w:highlight w:val="none"/>
        </w:rPr>
        <w:t>整体支出开展绩效自评</w:t>
      </w:r>
      <w:r>
        <w:rPr>
          <w:rFonts w:hint="eastAsia" w:ascii="仿宋_GB2312" w:eastAsia="仿宋_GB2312" w:cs="仿宋_GB2312"/>
          <w:sz w:val="32"/>
          <w:szCs w:val="32"/>
        </w:rPr>
        <w:t>，从评价情况来看从评价情况来看</w:t>
      </w:r>
      <w:r>
        <w:rPr>
          <w:rFonts w:hint="eastAsia" w:ascii="仿宋_GB2312" w:eastAsia="仿宋_GB2312" w:cs="仿宋"/>
          <w:sz w:val="32"/>
          <w:szCs w:val="32"/>
        </w:rPr>
        <w:t>我</w:t>
      </w:r>
      <w:r>
        <w:rPr>
          <w:rFonts w:ascii="仿宋_GB2312" w:eastAsia="仿宋_GB2312" w:cs="仿宋"/>
          <w:sz w:val="32"/>
          <w:szCs w:val="32"/>
        </w:rPr>
        <w:t>办</w:t>
      </w:r>
      <w:r>
        <w:rPr>
          <w:rFonts w:hint="eastAsia" w:ascii="仿宋_GB2312" w:eastAsia="仿宋_GB2312" w:cs="仿宋"/>
          <w:sz w:val="32"/>
          <w:szCs w:val="32"/>
        </w:rPr>
        <w:t>部门整体支出绩效评价自查自评结果良好，基本支出保证了部门的正常运行和日常工作的正常开展，绩效指标体系逐渐丰富和完善。按照规定向社会公开年度单位部门</w:t>
      </w:r>
      <w:r>
        <w:rPr>
          <w:rFonts w:ascii="仿宋_GB2312" w:eastAsia="仿宋_GB2312" w:cs="仿宋"/>
          <w:sz w:val="32"/>
          <w:szCs w:val="32"/>
        </w:rPr>
        <w:t>预决算</w:t>
      </w:r>
      <w:r>
        <w:rPr>
          <w:rFonts w:hint="eastAsia" w:ascii="仿宋_GB2312" w:eastAsia="仿宋_GB2312" w:cs="仿宋"/>
          <w:sz w:val="32"/>
          <w:szCs w:val="32"/>
        </w:rPr>
        <w:t>及三公经费的使用情况</w:t>
      </w:r>
      <w:r>
        <w:rPr>
          <w:rFonts w:hint="eastAsia" w:ascii="仿宋_GB2312" w:eastAsia="仿宋_GB2312" w:cs="仿宋_GB2312"/>
          <w:sz w:val="32"/>
          <w:szCs w:val="32"/>
        </w:rPr>
        <w:t>。</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（二）存在问题</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仿宋_GB2312" w:cs="宋体"/>
          <w:color w:val="000000"/>
          <w:kern w:val="0"/>
          <w:szCs w:val="32"/>
          <w:shd w:val="clear" w:color="auto" w:fill="FFFFFF"/>
          <w:lang w:val="zh-CN"/>
        </w:rPr>
      </w:pPr>
      <w:r>
        <w:rPr>
          <w:rFonts w:hint="eastAsia" w:ascii="仿宋_GB2312" w:eastAsia="仿宋_GB2312" w:cs="宋体"/>
          <w:kern w:val="0"/>
          <w:sz w:val="32"/>
          <w:szCs w:val="32"/>
        </w:rPr>
        <w:t>一</w:t>
      </w:r>
      <w:r>
        <w:rPr>
          <w:rFonts w:hint="eastAsia" w:ascii="仿宋_GB2312" w:eastAsia="仿宋_GB2312" w:cs="宋体"/>
          <w:kern w:val="0"/>
          <w:sz w:val="32"/>
          <w:szCs w:val="32"/>
          <w:lang w:val="zh-CN"/>
        </w:rPr>
        <w:t>是单位对部门支出绩效评价工作的认识理解不够，年初预设的绩效指标</w:t>
      </w:r>
      <w:r>
        <w:rPr>
          <w:rFonts w:ascii="仿宋_GB2312" w:eastAsia="仿宋_GB2312" w:cs="宋体"/>
          <w:kern w:val="0"/>
          <w:sz w:val="32"/>
          <w:szCs w:val="32"/>
          <w:lang w:val="zh-CN"/>
        </w:rPr>
        <w:t>粗糙</w:t>
      </w:r>
      <w:r>
        <w:rPr>
          <w:rFonts w:hint="eastAsia" w:ascii="仿宋_GB2312" w:eastAsia="仿宋_GB2312" w:cs="宋体"/>
          <w:kern w:val="0"/>
          <w:sz w:val="32"/>
          <w:szCs w:val="32"/>
          <w:lang w:val="zh-CN"/>
        </w:rPr>
        <w:t>，二是</w:t>
      </w:r>
      <w:r>
        <w:rPr>
          <w:rFonts w:ascii="仿宋_GB2312" w:eastAsia="仿宋_GB2312" w:cs="宋体"/>
          <w:kern w:val="0"/>
          <w:sz w:val="32"/>
          <w:szCs w:val="32"/>
          <w:lang w:val="zh-CN"/>
        </w:rPr>
        <w:t>部分项目支出绩效指标无法用</w:t>
      </w:r>
      <w:r>
        <w:rPr>
          <w:rFonts w:hint="eastAsia" w:ascii="仿宋_GB2312" w:eastAsia="仿宋_GB2312" w:cs="宋体"/>
          <w:kern w:val="0"/>
          <w:sz w:val="32"/>
          <w:szCs w:val="32"/>
          <w:lang w:val="zh-CN"/>
        </w:rPr>
        <w:t>量化指标来进行考评。</w:t>
      </w:r>
    </w:p>
    <w:p>
      <w:pPr>
        <w:pStyle w:val="36"/>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楷体_GB2312" w:eastAsia="楷体_GB2312" w:cs="仿宋"/>
          <w:szCs w:val="32"/>
          <w:shd w:val="clear" w:color="auto" w:fill="auto"/>
          <w:lang w:val="zh-CN"/>
        </w:rPr>
      </w:pPr>
      <w:r>
        <w:rPr>
          <w:rFonts w:hint="eastAsia" w:ascii="楷体_GB2312" w:eastAsia="楷体_GB2312" w:cs="仿宋"/>
          <w:szCs w:val="32"/>
          <w:shd w:val="clear" w:color="auto" w:fill="auto"/>
          <w:lang w:val="zh-CN"/>
        </w:rPr>
        <w:t>（三）改进建议</w:t>
      </w:r>
    </w:p>
    <w:p>
      <w:pPr>
        <w:pStyle w:val="36"/>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针对存在的问题，我们将进一步科学设定绩效目标，加强预算执行管理。遵循先有预算、后有支出的原则，加强新《预算法》、《行政单位会计制度》等学习培训，规范部门预算收支核算</w:t>
      </w:r>
      <w:r>
        <w:rPr>
          <w:rFonts w:ascii="仿宋_GB2312" w:eastAsia="仿宋_GB2312" w:cs="仿宋_GB2312"/>
          <w:sz w:val="32"/>
          <w:szCs w:val="32"/>
        </w:rPr>
        <w:t>，</w:t>
      </w:r>
      <w:r>
        <w:rPr>
          <w:rFonts w:hint="eastAsia" w:ascii="仿宋_GB2312" w:eastAsia="仿宋_GB2312" w:cs="仿宋_GB2312"/>
          <w:sz w:val="32"/>
          <w:szCs w:val="32"/>
        </w:rPr>
        <w:t>加强财务管理和内部控制监督制度。</w:t>
      </w:r>
    </w:p>
    <w:p>
      <w:pPr>
        <w:pStyle w:val="36"/>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ascii="仿宋_GB2312" w:cs="仿宋_GB2312"/>
        </w:rPr>
      </w:pPr>
      <w:r>
        <w:rPr>
          <w:rFonts w:hint="eastAsia" w:ascii="仿宋_GB2312" w:eastAsia="仿宋_GB2312" w:cs="仿宋_GB2312"/>
          <w:sz w:val="32"/>
          <w:szCs w:val="32"/>
        </w:rPr>
        <w:t>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contextualSpacing/>
        <w:jc w:val="left"/>
        <w:textAlignment w:val="auto"/>
        <w:rPr>
          <w:rFonts w:ascii="仿宋_GB2312" w:cs="宋体"/>
          <w:color w:val="000000"/>
          <w:kern w:val="0"/>
          <w:szCs w:val="32"/>
          <w:shd w:val="clear" w:color="auto" w:fill="FFFFFF"/>
        </w:rPr>
      </w:pP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contextualSpacing/>
        <w:jc w:val="left"/>
        <w:textAlignment w:val="auto"/>
        <w:rPr>
          <w:rFonts w:ascii="仿宋_GB2312" w:cs="宋体"/>
          <w:color w:val="000000"/>
          <w:kern w:val="0"/>
          <w:szCs w:val="32"/>
          <w:shd w:val="clear" w:color="auto" w:fill="FFFFFF"/>
        </w:rPr>
      </w:pP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contextualSpacing/>
        <w:jc w:val="left"/>
        <w:textAlignment w:val="auto"/>
        <w:rPr>
          <w:rFonts w:hint="eastAsia" w:ascii="仿宋_GB2312" w:cs="宋体"/>
          <w:color w:val="000000"/>
          <w:kern w:val="0"/>
          <w:szCs w:val="32"/>
          <w:shd w:val="clear" w:color="auto" w:fill="FFFFFF"/>
          <w:lang w:val="en-US" w:eastAsia="zh-CN"/>
        </w:rPr>
      </w:pPr>
      <w:r>
        <w:rPr>
          <w:rFonts w:hint="eastAsia" w:ascii="仿宋_GB2312" w:cs="宋体"/>
          <w:color w:val="000000"/>
          <w:kern w:val="0"/>
          <w:szCs w:val="32"/>
          <w:shd w:val="clear" w:color="auto" w:fill="FFFFFF"/>
          <w:lang w:val="en-US" w:eastAsia="zh-CN"/>
        </w:rPr>
        <w:t xml:space="preserve">                               茂县人民防空办公室</w:t>
      </w:r>
    </w:p>
    <w:p>
      <w:pPr>
        <w:pStyle w:val="36"/>
        <w:keepNext w:val="0"/>
        <w:keepLines w:val="0"/>
        <w:pageBreakBefore w:val="0"/>
        <w:widowControl w:val="0"/>
        <w:kinsoku/>
        <w:wordWrap/>
        <w:overflowPunct w:val="0"/>
        <w:topLinePunct w:val="0"/>
        <w:autoSpaceDE w:val="0"/>
        <w:autoSpaceDN w:val="0"/>
        <w:bidi w:val="0"/>
        <w:adjustRightInd w:val="0"/>
        <w:snapToGrid w:val="0"/>
        <w:spacing w:line="576" w:lineRule="exact"/>
        <w:contextualSpacing/>
        <w:jc w:val="left"/>
        <w:textAlignment w:val="auto"/>
        <w:rPr>
          <w:rFonts w:ascii="仿宋_GB2312" w:cs="宋体"/>
          <w:color w:val="000000"/>
          <w:kern w:val="0"/>
          <w:szCs w:val="32"/>
          <w:shd w:val="clear" w:color="auto" w:fill="FFFFFF"/>
          <w:lang w:val="en-US" w:eastAsia="zh-CN"/>
        </w:rPr>
      </w:pPr>
      <w:r>
        <w:rPr>
          <w:rFonts w:hint="eastAsia" w:ascii="仿宋_GB2312" w:cs="宋体"/>
          <w:color w:val="000000"/>
          <w:kern w:val="0"/>
          <w:szCs w:val="32"/>
          <w:shd w:val="clear" w:color="auto" w:fill="FFFFFF"/>
          <w:lang w:val="en-US" w:eastAsia="zh-CN"/>
        </w:rPr>
        <w:t xml:space="preserve">                                 2022年8月5日</w:t>
      </w:r>
    </w:p>
    <w:p>
      <w:pPr>
        <w:pStyle w:val="3"/>
        <w:jc w:val="center"/>
        <w:rPr>
          <w:rFonts w:ascii="黑体" w:hAnsi="黑体" w:eastAsia="黑体" w:cs="黑体"/>
        </w:rPr>
      </w:pPr>
      <w:bookmarkStart w:id="74" w:name="_Toc111208512"/>
      <w:bookmarkStart w:id="75" w:name="_Toc79163635"/>
      <w:bookmarkStart w:id="76" w:name="_Toc79163885"/>
      <w:bookmarkStart w:id="77" w:name="_Toc113981025"/>
      <w:r>
        <w:rPr>
          <w:rFonts w:hint="eastAsia" w:ascii="黑体" w:hAnsi="黑体" w:eastAsia="黑体" w:cs="黑体"/>
        </w:rPr>
        <w:t>第五部分 附表</w:t>
      </w:r>
      <w:bookmarkEnd w:id="74"/>
      <w:bookmarkEnd w:id="75"/>
      <w:bookmarkEnd w:id="76"/>
      <w:bookmarkEnd w:id="77"/>
    </w:p>
    <w:p>
      <w:pPr>
        <w:pStyle w:val="4"/>
        <w:ind w:firstLine="642" w:firstLineChars="200"/>
        <w:rPr>
          <w:rFonts w:ascii="黑体" w:eastAsia="黑体" w:cs="Times New Roman"/>
          <w:bCs w:val="0"/>
          <w:color w:val="000000"/>
        </w:rPr>
      </w:pPr>
      <w:bookmarkStart w:id="78" w:name="_Toc111208513"/>
      <w:bookmarkStart w:id="79" w:name="_Toc79163636"/>
      <w:bookmarkStart w:id="80" w:name="_Toc113981026"/>
      <w:bookmarkStart w:id="81" w:name="_Toc79163886"/>
      <w:r>
        <w:rPr>
          <w:rFonts w:hint="eastAsia" w:ascii="黑体" w:eastAsia="黑体" w:cs="Times New Roman"/>
          <w:bCs w:val="0"/>
          <w:color w:val="000000"/>
        </w:rPr>
        <w:t>一、收入支出决算总表</w:t>
      </w:r>
      <w:bookmarkEnd w:id="78"/>
      <w:bookmarkEnd w:id="79"/>
      <w:bookmarkEnd w:id="80"/>
      <w:bookmarkEnd w:id="81"/>
    </w:p>
    <w:p>
      <w:pPr>
        <w:pStyle w:val="4"/>
        <w:ind w:firstLine="642" w:firstLineChars="200"/>
        <w:rPr>
          <w:rFonts w:ascii="黑体" w:eastAsia="黑体" w:cs="Times New Roman"/>
          <w:bCs w:val="0"/>
          <w:color w:val="000000"/>
        </w:rPr>
      </w:pPr>
      <w:bookmarkStart w:id="82" w:name="_Toc79163637"/>
      <w:bookmarkStart w:id="83" w:name="_Toc113981027"/>
      <w:bookmarkStart w:id="84" w:name="_Toc111208514"/>
      <w:bookmarkStart w:id="85" w:name="_Toc79163887"/>
      <w:r>
        <w:rPr>
          <w:rFonts w:hint="eastAsia" w:ascii="黑体" w:eastAsia="黑体" w:cs="Times New Roman"/>
          <w:bCs w:val="0"/>
          <w:color w:val="000000"/>
        </w:rPr>
        <w:t>二、收入决算表</w:t>
      </w:r>
      <w:bookmarkEnd w:id="82"/>
      <w:bookmarkEnd w:id="83"/>
      <w:bookmarkEnd w:id="84"/>
      <w:bookmarkEnd w:id="85"/>
    </w:p>
    <w:p>
      <w:pPr>
        <w:pStyle w:val="4"/>
        <w:ind w:firstLine="642" w:firstLineChars="200"/>
        <w:rPr>
          <w:rFonts w:ascii="黑体" w:eastAsia="黑体" w:cs="Times New Roman"/>
          <w:b w:val="0"/>
          <w:color w:val="000000"/>
        </w:rPr>
      </w:pPr>
      <w:bookmarkStart w:id="86" w:name="_Toc113981028"/>
      <w:bookmarkStart w:id="87" w:name="_Toc111208515"/>
      <w:bookmarkStart w:id="88" w:name="_Toc79163888"/>
      <w:bookmarkStart w:id="89" w:name="_Toc79163638"/>
      <w:r>
        <w:rPr>
          <w:rFonts w:hint="eastAsia" w:ascii="黑体" w:eastAsia="黑体" w:cs="Times New Roman"/>
          <w:bCs w:val="0"/>
          <w:color w:val="000000"/>
        </w:rPr>
        <w:t>三、支出决算表</w:t>
      </w:r>
      <w:bookmarkEnd w:id="86"/>
      <w:bookmarkEnd w:id="87"/>
      <w:bookmarkEnd w:id="88"/>
      <w:bookmarkEnd w:id="89"/>
    </w:p>
    <w:p>
      <w:pPr>
        <w:pStyle w:val="4"/>
        <w:ind w:firstLine="642" w:firstLineChars="200"/>
        <w:rPr>
          <w:rFonts w:ascii="黑体" w:eastAsia="黑体" w:cs="Times New Roman"/>
          <w:bCs w:val="0"/>
          <w:color w:val="000000"/>
        </w:rPr>
      </w:pPr>
      <w:bookmarkStart w:id="90" w:name="_Toc111208516"/>
      <w:bookmarkStart w:id="91" w:name="_Toc79163639"/>
      <w:bookmarkStart w:id="92" w:name="_Toc79163889"/>
      <w:bookmarkStart w:id="93" w:name="_Toc113981029"/>
      <w:r>
        <w:rPr>
          <w:rFonts w:hint="eastAsia" w:ascii="黑体" w:eastAsia="黑体" w:cs="Times New Roman"/>
          <w:bCs w:val="0"/>
          <w:color w:val="000000"/>
        </w:rPr>
        <w:t>四、财政拨款收入支出决算总表</w:t>
      </w:r>
      <w:bookmarkEnd w:id="90"/>
      <w:bookmarkEnd w:id="91"/>
      <w:bookmarkEnd w:id="92"/>
      <w:bookmarkEnd w:id="93"/>
    </w:p>
    <w:p>
      <w:pPr>
        <w:pStyle w:val="4"/>
        <w:ind w:firstLine="642" w:firstLineChars="200"/>
        <w:rPr>
          <w:rFonts w:ascii="黑体" w:eastAsia="黑体" w:cs="Times New Roman"/>
          <w:bCs w:val="0"/>
          <w:color w:val="000000"/>
        </w:rPr>
      </w:pPr>
      <w:bookmarkStart w:id="94" w:name="_Toc79163890"/>
      <w:bookmarkStart w:id="95" w:name="_Toc113981030"/>
      <w:bookmarkStart w:id="96" w:name="_Toc111208517"/>
      <w:bookmarkStart w:id="97" w:name="_Toc79163640"/>
      <w:r>
        <w:rPr>
          <w:rFonts w:hint="eastAsia" w:ascii="黑体" w:eastAsia="黑体" w:cs="Times New Roman"/>
          <w:bCs w:val="0"/>
          <w:color w:val="000000"/>
        </w:rPr>
        <w:t>五、财政拨款支出决算明细表</w:t>
      </w:r>
      <w:bookmarkEnd w:id="94"/>
      <w:bookmarkEnd w:id="95"/>
      <w:bookmarkEnd w:id="96"/>
      <w:bookmarkEnd w:id="97"/>
    </w:p>
    <w:p>
      <w:pPr>
        <w:pStyle w:val="4"/>
        <w:ind w:firstLine="642" w:firstLineChars="200"/>
        <w:rPr>
          <w:rFonts w:ascii="黑体" w:eastAsia="黑体" w:cs="Times New Roman"/>
          <w:bCs w:val="0"/>
          <w:color w:val="000000"/>
        </w:rPr>
      </w:pPr>
      <w:bookmarkStart w:id="98" w:name="_Toc79163641"/>
      <w:bookmarkStart w:id="99" w:name="_Toc111208518"/>
      <w:bookmarkStart w:id="100" w:name="_Toc113981031"/>
      <w:bookmarkStart w:id="101" w:name="_Toc79163891"/>
      <w:r>
        <w:rPr>
          <w:rFonts w:hint="eastAsia" w:ascii="黑体" w:eastAsia="黑体" w:cs="Times New Roman"/>
          <w:bCs w:val="0"/>
          <w:color w:val="000000"/>
        </w:rPr>
        <w:t>六、一般公共预算财政拨款支出决算表</w:t>
      </w:r>
      <w:bookmarkEnd w:id="98"/>
      <w:bookmarkEnd w:id="99"/>
      <w:bookmarkEnd w:id="100"/>
      <w:bookmarkEnd w:id="101"/>
    </w:p>
    <w:p>
      <w:pPr>
        <w:pStyle w:val="4"/>
        <w:ind w:firstLine="642" w:firstLineChars="200"/>
        <w:rPr>
          <w:rFonts w:ascii="黑体" w:eastAsia="黑体" w:cs="Times New Roman"/>
          <w:bCs w:val="0"/>
          <w:color w:val="000000"/>
        </w:rPr>
      </w:pPr>
      <w:bookmarkStart w:id="102" w:name="_Toc113981032"/>
      <w:bookmarkStart w:id="103" w:name="_Toc79163892"/>
      <w:bookmarkStart w:id="104" w:name="_Toc111208519"/>
      <w:bookmarkStart w:id="105" w:name="_Toc79163642"/>
      <w:r>
        <w:rPr>
          <w:rFonts w:hint="eastAsia" w:ascii="黑体" w:eastAsia="黑体" w:cs="Times New Roman"/>
          <w:bCs w:val="0"/>
          <w:color w:val="000000"/>
        </w:rPr>
        <w:t>七、一般公共预算财政拨款支出决算明细表</w:t>
      </w:r>
      <w:bookmarkEnd w:id="102"/>
      <w:bookmarkEnd w:id="103"/>
      <w:bookmarkEnd w:id="104"/>
      <w:bookmarkEnd w:id="105"/>
    </w:p>
    <w:p>
      <w:pPr>
        <w:pStyle w:val="4"/>
        <w:ind w:firstLine="642" w:firstLineChars="200"/>
        <w:rPr>
          <w:rFonts w:ascii="黑体" w:eastAsia="黑体" w:cs="Times New Roman"/>
          <w:bCs w:val="0"/>
          <w:color w:val="000000"/>
        </w:rPr>
      </w:pPr>
      <w:bookmarkStart w:id="106" w:name="_Toc79163643"/>
      <w:bookmarkStart w:id="107" w:name="_Toc79163893"/>
      <w:bookmarkStart w:id="108" w:name="_Toc113981033"/>
      <w:bookmarkStart w:id="109" w:name="_Toc111208520"/>
      <w:r>
        <w:rPr>
          <w:rFonts w:hint="eastAsia" w:ascii="黑体" w:eastAsia="黑体" w:cs="Times New Roman"/>
          <w:bCs w:val="0"/>
          <w:color w:val="000000"/>
        </w:rPr>
        <w:t>八、一般公共预算财政拨款基本支出决算表</w:t>
      </w:r>
      <w:bookmarkEnd w:id="106"/>
      <w:bookmarkEnd w:id="107"/>
      <w:bookmarkEnd w:id="108"/>
      <w:bookmarkEnd w:id="109"/>
    </w:p>
    <w:p>
      <w:pPr>
        <w:pStyle w:val="4"/>
        <w:ind w:firstLine="642" w:firstLineChars="200"/>
        <w:rPr>
          <w:rFonts w:ascii="黑体" w:eastAsia="黑体" w:cs="Times New Roman"/>
          <w:bCs w:val="0"/>
          <w:color w:val="000000"/>
        </w:rPr>
      </w:pPr>
      <w:bookmarkStart w:id="110" w:name="_Toc79163894"/>
      <w:bookmarkStart w:id="111" w:name="_Toc111208521"/>
      <w:bookmarkStart w:id="112" w:name="_Toc79163644"/>
      <w:bookmarkStart w:id="113" w:name="_Toc113981034"/>
      <w:r>
        <w:rPr>
          <w:rFonts w:hint="eastAsia" w:ascii="黑体" w:eastAsia="黑体" w:cs="Times New Roman"/>
          <w:bCs w:val="0"/>
          <w:color w:val="000000"/>
        </w:rPr>
        <w:t>九、一般公共预算财政拨款项目支出决算表</w:t>
      </w:r>
      <w:bookmarkEnd w:id="110"/>
      <w:bookmarkEnd w:id="111"/>
      <w:bookmarkEnd w:id="112"/>
      <w:bookmarkEnd w:id="113"/>
    </w:p>
    <w:p>
      <w:pPr>
        <w:pStyle w:val="4"/>
        <w:ind w:firstLine="642" w:firstLineChars="200"/>
        <w:rPr>
          <w:rFonts w:ascii="黑体" w:eastAsia="黑体" w:cs="Times New Roman"/>
          <w:bCs w:val="0"/>
          <w:color w:val="000000"/>
        </w:rPr>
      </w:pPr>
      <w:bookmarkStart w:id="114" w:name="_Toc79163645"/>
      <w:bookmarkStart w:id="115" w:name="_Toc113981035"/>
      <w:bookmarkStart w:id="116" w:name="_Toc111208522"/>
      <w:bookmarkStart w:id="117" w:name="_Toc79163895"/>
      <w:r>
        <w:rPr>
          <w:rFonts w:hint="eastAsia" w:ascii="黑体" w:eastAsia="黑体" w:cs="Times New Roman"/>
          <w:bCs w:val="0"/>
          <w:color w:val="000000"/>
        </w:rPr>
        <w:t>十、一般公共预算财政拨款“三公”经费支出决算表</w:t>
      </w:r>
      <w:bookmarkEnd w:id="114"/>
      <w:bookmarkEnd w:id="115"/>
      <w:bookmarkEnd w:id="116"/>
      <w:bookmarkEnd w:id="117"/>
    </w:p>
    <w:p>
      <w:pPr>
        <w:pStyle w:val="4"/>
        <w:ind w:firstLine="642" w:firstLineChars="200"/>
        <w:rPr>
          <w:rFonts w:ascii="黑体" w:eastAsia="黑体" w:cs="Times New Roman"/>
          <w:bCs w:val="0"/>
          <w:color w:val="000000"/>
        </w:rPr>
      </w:pPr>
      <w:bookmarkStart w:id="118" w:name="_Toc111208523"/>
      <w:bookmarkStart w:id="119" w:name="_Toc79163646"/>
      <w:bookmarkStart w:id="120" w:name="_Toc79163896"/>
      <w:bookmarkStart w:id="121" w:name="_Toc113981036"/>
      <w:r>
        <w:rPr>
          <w:rFonts w:hint="eastAsia" w:ascii="黑体" w:eastAsia="黑体" w:cs="Times New Roman"/>
          <w:bCs w:val="0"/>
          <w:color w:val="000000"/>
        </w:rPr>
        <w:t>十一、政府性基金预算财政拨款收入支出决算表</w:t>
      </w:r>
      <w:bookmarkEnd w:id="118"/>
      <w:bookmarkEnd w:id="119"/>
      <w:bookmarkEnd w:id="120"/>
      <w:bookmarkEnd w:id="121"/>
    </w:p>
    <w:p>
      <w:pPr>
        <w:pStyle w:val="4"/>
        <w:ind w:firstLine="642" w:firstLineChars="200"/>
        <w:rPr>
          <w:rFonts w:ascii="黑体" w:eastAsia="黑体" w:cs="Times New Roman"/>
          <w:bCs w:val="0"/>
          <w:color w:val="000000"/>
        </w:rPr>
      </w:pPr>
      <w:bookmarkStart w:id="122" w:name="_Toc111208524"/>
      <w:bookmarkStart w:id="123" w:name="_Toc79163647"/>
      <w:bookmarkStart w:id="124" w:name="_Toc79163897"/>
      <w:bookmarkStart w:id="125" w:name="_Toc113981037"/>
      <w:r>
        <w:rPr>
          <w:rFonts w:hint="eastAsia" w:ascii="黑体" w:eastAsia="黑体" w:cs="Times New Roman"/>
          <w:bCs w:val="0"/>
          <w:color w:val="000000"/>
        </w:rPr>
        <w:t>十二、政府性基金预算财政拨款“三公”经费支出决算表</w:t>
      </w:r>
      <w:bookmarkEnd w:id="122"/>
      <w:bookmarkEnd w:id="123"/>
      <w:bookmarkEnd w:id="124"/>
      <w:bookmarkEnd w:id="125"/>
    </w:p>
    <w:p>
      <w:pPr>
        <w:pStyle w:val="4"/>
        <w:ind w:firstLine="642" w:firstLineChars="200"/>
        <w:rPr>
          <w:rFonts w:ascii="黑体" w:eastAsia="黑体" w:cs="Times New Roman"/>
          <w:bCs w:val="0"/>
          <w:color w:val="000000"/>
        </w:rPr>
      </w:pPr>
      <w:bookmarkStart w:id="126" w:name="_Toc79163898"/>
      <w:bookmarkStart w:id="127" w:name="_Toc79163648"/>
      <w:bookmarkStart w:id="128" w:name="_Toc113981038"/>
      <w:bookmarkStart w:id="129" w:name="_Toc111208525"/>
      <w:r>
        <w:rPr>
          <w:rFonts w:hint="eastAsia" w:ascii="黑体" w:eastAsia="黑体" w:cs="Times New Roman"/>
          <w:bCs w:val="0"/>
          <w:color w:val="000000"/>
        </w:rPr>
        <w:t>十三、</w:t>
      </w:r>
      <w:bookmarkEnd w:id="126"/>
      <w:bookmarkEnd w:id="127"/>
      <w:r>
        <w:rPr>
          <w:rFonts w:hint="eastAsia" w:ascii="黑体" w:eastAsia="黑体" w:cs="Times New Roman"/>
          <w:bCs w:val="0"/>
          <w:color w:val="000000"/>
        </w:rPr>
        <w:t>国有资本经营预算财政拨款收入支出决算表</w:t>
      </w:r>
      <w:bookmarkEnd w:id="128"/>
      <w:bookmarkEnd w:id="129"/>
    </w:p>
    <w:p>
      <w:pPr>
        <w:pStyle w:val="4"/>
        <w:ind w:firstLine="642" w:firstLineChars="200"/>
        <w:rPr>
          <w:rFonts w:ascii="黑体" w:eastAsia="黑体" w:cs="Times New Roman"/>
          <w:b w:val="0"/>
          <w:color w:val="000000"/>
        </w:rPr>
      </w:pPr>
      <w:bookmarkStart w:id="130" w:name="_Toc111208526"/>
      <w:bookmarkStart w:id="131" w:name="_Toc113981039"/>
      <w:r>
        <w:rPr>
          <w:rFonts w:hint="eastAsia" w:ascii="黑体" w:eastAsia="黑体" w:cs="Times New Roman"/>
          <w:bCs w:val="0"/>
          <w:color w:val="000000"/>
        </w:rPr>
        <w:t>十四、国有资本经营预算财政拨款支出决算表</w:t>
      </w:r>
      <w:bookmarkEnd w:id="130"/>
      <w:bookmarkEnd w:id="13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3"/>
      <w:numFmt w:val="chineseCounting"/>
      <w:suff w:val="nothing"/>
      <w:lvlText w:val="%1、"/>
      <w:lvlJc w:val="left"/>
      <w:pPr>
        <w:tabs>
          <w:tab w:val="left" w:pos="0"/>
        </w:tabs>
        <w:ind w:left="0" w:firstLine="0"/>
      </w:pPr>
      <w:rPr>
        <w:rFonts w:hint="eastAsia"/>
      </w:rPr>
    </w:lvl>
  </w:abstractNum>
  <w:abstractNum w:abstractNumId="1">
    <w:nsid w:val="0053208E"/>
    <w:multiLevelType w:val="singleLevel"/>
    <w:tmpl w:val="0053208E"/>
    <w:lvl w:ilvl="0" w:tentative="0">
      <w:start w:val="2"/>
      <w:numFmt w:val="chineseCounting"/>
      <w:suff w:val="nothing"/>
      <w:lvlText w:val="（%1）"/>
      <w:lvlJc w:val="left"/>
      <w:pPr>
        <w:tabs>
          <w:tab w:val="left" w:pos="0"/>
        </w:tabs>
        <w:ind w:left="0" w:firstLine="0"/>
      </w:pPr>
      <w:rPr>
        <w:rFonts w:hint="eastAsia" w:ascii="楷体_GB2312" w:hAnsi="楷体_GB2312" w:eastAsia="楷体_GB2312" w:cs="楷体_GB2312"/>
      </w:rPr>
    </w:lvl>
  </w:abstractNum>
  <w:abstractNum w:abstractNumId="2">
    <w:nsid w:val="59ADCABA"/>
    <w:multiLevelType w:val="singleLevel"/>
    <w:tmpl w:val="59ADCABA"/>
    <w:lvl w:ilvl="0" w:tentative="0">
      <w:start w:val="3"/>
      <w:numFmt w:val="chineseCounting"/>
      <w:suff w:val="nothing"/>
      <w:lvlText w:val="（%1）"/>
      <w:lvlJc w:val="left"/>
      <w:pPr>
        <w:tabs>
          <w:tab w:val="left" w:pos="0"/>
        </w:tabs>
        <w:ind w:left="0" w:firstLine="0"/>
      </w:pPr>
      <w:rPr>
        <w:rFonts w:hint="eastAsia" w:ascii="楷体_GB2312" w:hAnsi="楷体_GB2312" w:eastAsia="楷体_GB2312" w:cs="楷体_GB231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ZjlhN2U1NTdlODA1N2ExZTVjMGE2NDFmYWZhOWMifQ=="/>
  </w:docVars>
  <w:rsids>
    <w:rsidRoot w:val="00F1361C"/>
    <w:rsid w:val="000000BC"/>
    <w:rsid w:val="00000665"/>
    <w:rsid w:val="00000B38"/>
    <w:rsid w:val="000015A2"/>
    <w:rsid w:val="00003E5B"/>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213E"/>
    <w:rsid w:val="001544D9"/>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5CF3"/>
    <w:rsid w:val="001A63BB"/>
    <w:rsid w:val="001B1840"/>
    <w:rsid w:val="001B1FA9"/>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496"/>
    <w:rsid w:val="00283D63"/>
    <w:rsid w:val="002856F9"/>
    <w:rsid w:val="002866CA"/>
    <w:rsid w:val="00286C21"/>
    <w:rsid w:val="002875BF"/>
    <w:rsid w:val="0029076F"/>
    <w:rsid w:val="0029094E"/>
    <w:rsid w:val="00291DC2"/>
    <w:rsid w:val="00292626"/>
    <w:rsid w:val="00292E6B"/>
    <w:rsid w:val="00295495"/>
    <w:rsid w:val="002A0D55"/>
    <w:rsid w:val="002A0E88"/>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5025"/>
    <w:rsid w:val="00386455"/>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2FDA"/>
    <w:rsid w:val="00513ED7"/>
    <w:rsid w:val="0051467D"/>
    <w:rsid w:val="00520DA0"/>
    <w:rsid w:val="005225FC"/>
    <w:rsid w:val="00524AC4"/>
    <w:rsid w:val="0052729E"/>
    <w:rsid w:val="0052733D"/>
    <w:rsid w:val="00530E19"/>
    <w:rsid w:val="00530F71"/>
    <w:rsid w:val="005322EB"/>
    <w:rsid w:val="0053459C"/>
    <w:rsid w:val="00550726"/>
    <w:rsid w:val="0055106D"/>
    <w:rsid w:val="005559A4"/>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2830"/>
    <w:rsid w:val="006256DB"/>
    <w:rsid w:val="00630AEF"/>
    <w:rsid w:val="006325F8"/>
    <w:rsid w:val="00633AE4"/>
    <w:rsid w:val="006348B1"/>
    <w:rsid w:val="00634C9A"/>
    <w:rsid w:val="00635FC7"/>
    <w:rsid w:val="00636040"/>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471C"/>
    <w:rsid w:val="006B533E"/>
    <w:rsid w:val="006C1937"/>
    <w:rsid w:val="006C397F"/>
    <w:rsid w:val="006C6427"/>
    <w:rsid w:val="006C76DB"/>
    <w:rsid w:val="006D1F0B"/>
    <w:rsid w:val="006D42C6"/>
    <w:rsid w:val="006E0081"/>
    <w:rsid w:val="006E3700"/>
    <w:rsid w:val="006E6C66"/>
    <w:rsid w:val="006F020C"/>
    <w:rsid w:val="006F3DF7"/>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182A"/>
    <w:rsid w:val="00763BC1"/>
    <w:rsid w:val="0076499D"/>
    <w:rsid w:val="007656DB"/>
    <w:rsid w:val="007676D8"/>
    <w:rsid w:val="00767A7D"/>
    <w:rsid w:val="00767B7E"/>
    <w:rsid w:val="00767BE6"/>
    <w:rsid w:val="00775A39"/>
    <w:rsid w:val="00776900"/>
    <w:rsid w:val="007770C3"/>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A58"/>
    <w:rsid w:val="008918AA"/>
    <w:rsid w:val="008918C9"/>
    <w:rsid w:val="008939CD"/>
    <w:rsid w:val="00893E7C"/>
    <w:rsid w:val="00895862"/>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AED"/>
    <w:rsid w:val="00BA22CD"/>
    <w:rsid w:val="00BA3028"/>
    <w:rsid w:val="00BA3356"/>
    <w:rsid w:val="00BA49E7"/>
    <w:rsid w:val="00BA5298"/>
    <w:rsid w:val="00BB1990"/>
    <w:rsid w:val="00BB2D7E"/>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955"/>
    <w:rsid w:val="00C77D1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8058B"/>
    <w:rsid w:val="00D811F1"/>
    <w:rsid w:val="00D81CF0"/>
    <w:rsid w:val="00D86259"/>
    <w:rsid w:val="00D9128F"/>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19737C"/>
    <w:rsid w:val="0B06795D"/>
    <w:rsid w:val="0B7218AA"/>
    <w:rsid w:val="0B99373B"/>
    <w:rsid w:val="0BA37CB5"/>
    <w:rsid w:val="0D0429D6"/>
    <w:rsid w:val="0D093B48"/>
    <w:rsid w:val="0D322E51"/>
    <w:rsid w:val="0D6C338E"/>
    <w:rsid w:val="0DB37F58"/>
    <w:rsid w:val="0F5E6610"/>
    <w:rsid w:val="10C055FF"/>
    <w:rsid w:val="11D56DF6"/>
    <w:rsid w:val="11ED6591"/>
    <w:rsid w:val="13367661"/>
    <w:rsid w:val="16BB723D"/>
    <w:rsid w:val="17BC7656"/>
    <w:rsid w:val="17EA348C"/>
    <w:rsid w:val="1840212F"/>
    <w:rsid w:val="19943114"/>
    <w:rsid w:val="1AB026BC"/>
    <w:rsid w:val="1ABB32B6"/>
    <w:rsid w:val="1BF70747"/>
    <w:rsid w:val="1C06153F"/>
    <w:rsid w:val="1C986C96"/>
    <w:rsid w:val="1D7371C3"/>
    <w:rsid w:val="1DDC2BB3"/>
    <w:rsid w:val="1E34479D"/>
    <w:rsid w:val="1EF81F78"/>
    <w:rsid w:val="1F620905"/>
    <w:rsid w:val="201A6AB0"/>
    <w:rsid w:val="203B66A0"/>
    <w:rsid w:val="211A679A"/>
    <w:rsid w:val="23902475"/>
    <w:rsid w:val="240371BF"/>
    <w:rsid w:val="2435534E"/>
    <w:rsid w:val="24534F10"/>
    <w:rsid w:val="24DF6C66"/>
    <w:rsid w:val="253D03DB"/>
    <w:rsid w:val="25A20B86"/>
    <w:rsid w:val="25B1070F"/>
    <w:rsid w:val="25DD571A"/>
    <w:rsid w:val="265C1D1F"/>
    <w:rsid w:val="26A23021"/>
    <w:rsid w:val="26BB36DB"/>
    <w:rsid w:val="271C5A93"/>
    <w:rsid w:val="276F1834"/>
    <w:rsid w:val="27B459F9"/>
    <w:rsid w:val="27C51E91"/>
    <w:rsid w:val="28513369"/>
    <w:rsid w:val="28845C06"/>
    <w:rsid w:val="28BF6D42"/>
    <w:rsid w:val="29FD04D3"/>
    <w:rsid w:val="2CAE1BBE"/>
    <w:rsid w:val="2CCF04B2"/>
    <w:rsid w:val="2E4C04E0"/>
    <w:rsid w:val="2F803D16"/>
    <w:rsid w:val="31810DA9"/>
    <w:rsid w:val="31903F88"/>
    <w:rsid w:val="319F7F4E"/>
    <w:rsid w:val="329448A6"/>
    <w:rsid w:val="32F45598"/>
    <w:rsid w:val="35244754"/>
    <w:rsid w:val="364D41F6"/>
    <w:rsid w:val="36FD0156"/>
    <w:rsid w:val="38F8371D"/>
    <w:rsid w:val="39226F5F"/>
    <w:rsid w:val="39902098"/>
    <w:rsid w:val="3A3A0F35"/>
    <w:rsid w:val="3A4E1148"/>
    <w:rsid w:val="3C8D2F9D"/>
    <w:rsid w:val="3CE0510E"/>
    <w:rsid w:val="3D1E4B3E"/>
    <w:rsid w:val="3E03620E"/>
    <w:rsid w:val="3E343C22"/>
    <w:rsid w:val="3F512FA9"/>
    <w:rsid w:val="3FAC4683"/>
    <w:rsid w:val="3FEA5DFB"/>
    <w:rsid w:val="401C35B7"/>
    <w:rsid w:val="4119235A"/>
    <w:rsid w:val="41677310"/>
    <w:rsid w:val="422C2C46"/>
    <w:rsid w:val="4251506E"/>
    <w:rsid w:val="43684120"/>
    <w:rsid w:val="444F07DA"/>
    <w:rsid w:val="44601E28"/>
    <w:rsid w:val="45505C04"/>
    <w:rsid w:val="475E72DC"/>
    <w:rsid w:val="47F514AF"/>
    <w:rsid w:val="4839282C"/>
    <w:rsid w:val="48FD75BD"/>
    <w:rsid w:val="4A745623"/>
    <w:rsid w:val="4C7B17DA"/>
    <w:rsid w:val="4D135D42"/>
    <w:rsid w:val="4D846266"/>
    <w:rsid w:val="4D8D78A2"/>
    <w:rsid w:val="4DF123A8"/>
    <w:rsid w:val="4E832A53"/>
    <w:rsid w:val="4F6F7A34"/>
    <w:rsid w:val="4FD74194"/>
    <w:rsid w:val="4FDA49F5"/>
    <w:rsid w:val="50AE413E"/>
    <w:rsid w:val="51C33452"/>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30D013F"/>
    <w:rsid w:val="63347FC4"/>
    <w:rsid w:val="63604CB9"/>
    <w:rsid w:val="64A36D0B"/>
    <w:rsid w:val="64C656C1"/>
    <w:rsid w:val="65DF63C9"/>
    <w:rsid w:val="662A7F2C"/>
    <w:rsid w:val="68DA2DB6"/>
    <w:rsid w:val="69725134"/>
    <w:rsid w:val="6B4666B6"/>
    <w:rsid w:val="6CC85DA9"/>
    <w:rsid w:val="6D8F2D6B"/>
    <w:rsid w:val="6DC31436"/>
    <w:rsid w:val="6ECB49CF"/>
    <w:rsid w:val="6ECB5A2B"/>
    <w:rsid w:val="70202A42"/>
    <w:rsid w:val="72227D09"/>
    <w:rsid w:val="72E476B5"/>
    <w:rsid w:val="73BE3A62"/>
    <w:rsid w:val="746C7E4B"/>
    <w:rsid w:val="750E6C6B"/>
    <w:rsid w:val="755E374E"/>
    <w:rsid w:val="76377F56"/>
    <w:rsid w:val="764B35A7"/>
    <w:rsid w:val="78A4106B"/>
    <w:rsid w:val="79975481"/>
    <w:rsid w:val="7A1B4027"/>
    <w:rsid w:val="7A965738"/>
    <w:rsid w:val="7ABC1C9C"/>
    <w:rsid w:val="7B022DCE"/>
    <w:rsid w:val="7B272834"/>
    <w:rsid w:val="7B8F71DF"/>
    <w:rsid w:val="7CB2612E"/>
    <w:rsid w:val="7CC25607"/>
    <w:rsid w:val="7DE859ED"/>
    <w:rsid w:val="7E4C610E"/>
    <w:rsid w:val="FDEBAF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Normaledbb6d4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Default Paragraph Font01aef05c"/>
    <w:semiHidden/>
    <w:qFormat/>
    <w:uiPriority w:val="0"/>
  </w:style>
  <w:style w:type="table" w:customStyle="1" w:styleId="35">
    <w:name w:val="Normal Table08907a31"/>
    <w:semiHidden/>
    <w:qFormat/>
    <w:uiPriority w:val="0"/>
    <w:tblPr>
      <w:tblCellMar>
        <w:top w:w="0" w:type="dxa"/>
        <w:left w:w="108" w:type="dxa"/>
        <w:bottom w:w="0" w:type="dxa"/>
        <w:right w:w="108" w:type="dxa"/>
      </w:tblCellMar>
    </w:tblPr>
  </w:style>
  <w:style w:type="paragraph" w:customStyle="1" w:styleId="36">
    <w:name w:val="Normal43ce2d69"/>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37">
    <w:name w:val="Default Paragraph Font7"/>
    <w:qFormat/>
    <w:uiPriority w:val="0"/>
  </w:style>
  <w:style w:type="table" w:customStyle="1" w:styleId="38">
    <w:name w:val="Normal Table6"/>
    <w:semiHidden/>
    <w:qFormat/>
    <w:uiPriority w:val="0"/>
    <w:tblPr>
      <w:tblCellMar>
        <w:top w:w="0" w:type="dxa"/>
        <w:left w:w="108" w:type="dxa"/>
        <w:bottom w:w="0" w:type="dxa"/>
        <w:right w:w="108" w:type="dxa"/>
      </w:tblCellMar>
    </w:tblPr>
  </w:style>
  <w:style w:type="paragraph" w:customStyle="1" w:styleId="39">
    <w:name w:val="Document Map1bff9def"/>
    <w:basedOn w:val="36"/>
    <w:qFormat/>
    <w:uiPriority w:val="0"/>
    <w:rPr>
      <w:rFonts w:ascii="宋体" w:eastAsia="宋体"/>
      <w:sz w:val="18"/>
      <w:szCs w:val="18"/>
    </w:rPr>
  </w:style>
  <w:style w:type="paragraph" w:customStyle="1" w:styleId="40">
    <w:name w:val="Balloon Text1c346f7b"/>
    <w:basedOn w:val="36"/>
    <w:qFormat/>
    <w:uiPriority w:val="0"/>
    <w:rPr>
      <w:sz w:val="18"/>
      <w:szCs w:val="18"/>
    </w:rPr>
  </w:style>
  <w:style w:type="paragraph" w:customStyle="1" w:styleId="41">
    <w:name w:val="footer4"/>
    <w:basedOn w:val="36"/>
    <w:qFormat/>
    <w:uiPriority w:val="0"/>
    <w:pPr>
      <w:tabs>
        <w:tab w:val="center" w:pos="4153"/>
        <w:tab w:val="right" w:pos="8306"/>
      </w:tabs>
      <w:snapToGrid w:val="0"/>
      <w:jc w:val="left"/>
    </w:pPr>
    <w:rPr>
      <w:rFonts w:eastAsia="宋体"/>
      <w:sz w:val="18"/>
      <w:szCs w:val="18"/>
    </w:rPr>
  </w:style>
  <w:style w:type="paragraph" w:customStyle="1" w:styleId="42">
    <w:name w:val="header5"/>
    <w:basedOn w:val="36"/>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43">
    <w:name w:val="page number8"/>
    <w:basedOn w:val="37"/>
    <w:qFormat/>
    <w:uiPriority w:val="0"/>
  </w:style>
  <w:style w:type="paragraph" w:customStyle="1" w:styleId="44">
    <w:name w:val="四号正文9"/>
    <w:basedOn w:val="36"/>
    <w:qFormat/>
    <w:uiPriority w:val="0"/>
    <w:pPr>
      <w:spacing w:line="360" w:lineRule="auto"/>
    </w:pPr>
    <w:rPr>
      <w:rFonts w:ascii="??" w:hAnsi="??" w:eastAsia="宋体" w:cs="宋体"/>
      <w:color w:val="000000"/>
      <w:kern w:val="0"/>
      <w:sz w:val="28"/>
      <w:szCs w:val="21"/>
    </w:rPr>
  </w:style>
  <w:style w:type="paragraph" w:customStyle="1" w:styleId="45">
    <w:name w:val="a9c23994a"/>
    <w:basedOn w:val="36"/>
    <w:qFormat/>
    <w:uiPriority w:val="0"/>
    <w:pPr>
      <w:widowControl/>
      <w:spacing w:before="100" w:beforeAutospacing="1" w:after="100" w:afterAutospacing="1"/>
      <w:jc w:val="left"/>
    </w:pPr>
    <w:rPr>
      <w:rFonts w:ascii="宋体" w:eastAsia="宋体" w:cs="宋体"/>
      <w:kern w:val="0"/>
      <w:sz w:val="24"/>
    </w:rPr>
  </w:style>
  <w:style w:type="character" w:customStyle="1" w:styleId="46">
    <w:name w:val="font3111"/>
    <w:basedOn w:val="37"/>
    <w:qFormat/>
    <w:uiPriority w:val="0"/>
    <w:rPr>
      <w:rFonts w:asci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{147.08,154.83}</c:f>
              <c:numCache>
                <c:formatCode>General</c:formatCode>
                <c:ptCount val="2"/>
                <c:pt idx="0">
                  <c:v>147.08</c:v>
                </c:pt>
                <c:pt idx="1">
                  <c:v>154.83</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{147.08,154.83}</c:f>
              <c:numCache>
                <c:formatCode>General</c:formatCode>
                <c:ptCount val="2"/>
                <c:pt idx="0">
                  <c:v>147.08</c:v>
                </c:pt>
                <c:pt idx="1">
                  <c:v>154.83</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{1548286.88,0,0,0,0,0,0,0}</c:f>
              <c:numCache>
                <c:formatCode>General</c:formatCode>
                <c:ptCount val="8"/>
                <c:pt idx="0">
                  <c:v>1548286.88</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{1548286.88,0,0,0,0}</c:f>
              <c:numCache>
                <c:formatCode>General</c:formatCode>
                <c:ptCount val="5"/>
                <c:pt idx="0">
                  <c:v>1548286.88</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{147.08,154.83}</c:f>
              <c:numCache>
                <c:formatCode>General</c:formatCode>
                <c:ptCount val="2"/>
                <c:pt idx="0">
                  <c:v>147.08</c:v>
                </c:pt>
                <c:pt idx="1">
                  <c:v>154.83</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{147.08,154.83}</c:f>
              <c:numCache>
                <c:formatCode>General</c:formatCode>
                <c:ptCount val="2"/>
                <c:pt idx="0">
                  <c:v>147.08</c:v>
                </c:pt>
                <c:pt idx="1">
                  <c:v>154.83</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2020</c:f>
              <c:strCache>
                <c:ptCount val="1"/>
                <c:pt idx="0">
                  <c:v>2020</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{147.08}</c:f>
              <c:numCache>
                <c:formatCode>General</c:formatCode>
                <c:ptCount val="1"/>
                <c:pt idx="0">
                  <c:v>147.08</c:v>
                </c:pt>
              </c:numCache>
            </c:numRef>
          </c:val>
        </c:ser>
        <c:ser>
          <c:idx val="2"/>
          <c:order val="1"/>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{154.83}</c:f>
              <c:numCache>
                <c:formatCode>General</c:formatCode>
                <c:ptCount val="1"/>
                <c:pt idx="0">
                  <c:v>154.83</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{"一般公共服务支出","社会保障和就业支出","卫生健康支出","住房保障支出"}</c:f>
              <c:strCache>
                <c:ptCount val="4"/>
                <c:pt idx="0">
                  <c:v>一般公共服务支出</c:v>
                </c:pt>
                <c:pt idx="1">
                  <c:v>社会保障和就业支出</c:v>
                </c:pt>
                <c:pt idx="2">
                  <c:v>卫生健康支出</c:v>
                </c:pt>
                <c:pt idx="3">
                  <c:v>住房保障支出</c:v>
                </c:pt>
              </c:strCache>
            </c:strRef>
          </c:cat>
          <c:val>
            <c:numRef>
              <c:f>{122.76,14.43,6.9,10.75}</c:f>
              <c:numCache>
                <c:formatCode>General</c:formatCode>
                <c:ptCount val="4"/>
                <c:pt idx="0">
                  <c:v>122.76</c:v>
                </c:pt>
                <c:pt idx="1">
                  <c:v>14.43</c:v>
                </c:pt>
                <c:pt idx="2">
                  <c:v>6.9</c:v>
                </c:pt>
                <c:pt idx="3">
                  <c:v>10.75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8367</Words>
  <Characters>9172</Characters>
  <Lines>51</Lines>
  <Paragraphs>14</Paragraphs>
  <TotalTime>4</TotalTime>
  <ScaleCrop>false</ScaleCrop>
  <LinksUpToDate>false</LinksUpToDate>
  <CharactersWithSpaces>9361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2022-08-17T09:31:00Z</dcterms:created>
  <dc:creator>lgk</dc:creator>
  <cp:lastModifiedBy>user</cp:lastModifiedBy>
  <cp:lastPrinted>2022-09-26T10:47:00Z</cp:lastPrinted>
  <dcterms:modified xsi:type="dcterms:W3CDTF">2026-04-21T11:06:17Z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B93CA6F4BEAD4F359769D1203595D585</vt:lpwstr>
  </property>
</Properties>
</file>