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cs="Times New Roman"/>
          <w:b/>
          <w:sz w:val="72"/>
          <w:szCs w:val="72"/>
        </w:rPr>
      </w:pPr>
      <w:bookmarkStart w:id="0" w:name="_Toc15396597"/>
      <w:bookmarkStart w:id="1" w:name="_Toc15377193"/>
      <w:bookmarkStart w:id="2" w:name="_Toc15396475"/>
      <w:bookmarkStart w:id="3" w:name="_Toc15377425"/>
      <w:bookmarkStart w:id="4" w:name="_Toc15378441"/>
      <w:bookmarkStart w:id="5" w:name="_Toc15306267"/>
    </w:p>
    <w:p>
      <w:pPr>
        <w:jc w:val="center"/>
        <w:rPr>
          <w:rFonts w:hint="eastAsia" w:ascii="方正小标宋简体" w:eastAsia="方正小标宋简体" w:cs="Times New Roman"/>
          <w:b/>
          <w:sz w:val="72"/>
          <w:szCs w:val="72"/>
        </w:rPr>
      </w:pPr>
      <w:bookmarkStart w:id="132" w:name="_GoBack"/>
      <w:r>
        <w:rPr>
          <w:rFonts w:hint="eastAsia" w:ascii="方正小标宋简体" w:eastAsia="方正小标宋简体" w:cs="Times New Roman"/>
          <w:b/>
          <w:sz w:val="72"/>
          <w:szCs w:val="72"/>
        </w:rPr>
        <w:t>2021年度</w:t>
      </w:r>
      <w:bookmarkEnd w:id="0"/>
      <w:bookmarkEnd w:id="1"/>
      <w:bookmarkEnd w:id="2"/>
      <w:bookmarkEnd w:id="3"/>
      <w:bookmarkEnd w:id="4"/>
    </w:p>
    <w:bookmarkEnd w:id="5"/>
    <w:p>
      <w:pPr>
        <w:jc w:val="center"/>
        <w:rPr>
          <w:rFonts w:hint="eastAsia" w:ascii="宋体" w:eastAsia="宋体" w:cs="Times New Roman"/>
          <w:b/>
          <w:sz w:val="72"/>
          <w:szCs w:val="72"/>
        </w:rPr>
      </w:pPr>
      <w:bookmarkStart w:id="6" w:name="_Toc15377426"/>
      <w:bookmarkStart w:id="7" w:name="_Toc15377194"/>
      <w:bookmarkStart w:id="8" w:name="_Toc15396598"/>
      <w:bookmarkStart w:id="9" w:name="_Toc15396476"/>
      <w:bookmarkStart w:id="10" w:name="_Toc15378442"/>
      <w:bookmarkStart w:id="11" w:name="_Toc15306268"/>
      <w:r>
        <w:rPr>
          <w:rFonts w:hint="eastAsia" w:ascii="方正小标宋简体" w:eastAsia="方正小标宋简体" w:cs="Times New Roman"/>
          <w:b/>
          <w:sz w:val="72"/>
          <w:szCs w:val="72"/>
        </w:rPr>
        <w:t>阿坝州茂县人民政府办公室部门决算</w:t>
      </w:r>
      <w:bookmarkEnd w:id="6"/>
      <w:bookmarkEnd w:id="7"/>
      <w:bookmarkEnd w:id="8"/>
      <w:bookmarkEnd w:id="9"/>
      <w:bookmarkEnd w:id="10"/>
      <w:bookmarkEnd w:id="11"/>
      <w:r>
        <w:rPr>
          <w:rFonts w:hint="eastAsia" w:ascii="方正小标宋简体" w:eastAsia="方正小标宋简体" w:cs="Times New Roman"/>
          <w:b/>
          <w:sz w:val="72"/>
          <w:szCs w:val="72"/>
        </w:rPr>
        <w:t>编制说明</w:t>
      </w:r>
    </w:p>
    <w:bookmarkEnd w:id="132"/>
    <w:p>
      <w:pPr>
        <w:jc w:val="center"/>
        <w:rPr>
          <w:rFonts w:hint="eastAsia" w:ascii="宋体" w:eastAsia="宋体" w:cs="Times New Roman"/>
          <w:b/>
          <w:sz w:val="72"/>
          <w:szCs w:val="72"/>
        </w:rPr>
      </w:pPr>
    </w:p>
    <w:p>
      <w:pPr>
        <w:pStyle w:val="2"/>
        <w:pageBreakBefore w:val="0"/>
        <w:widowControl w:val="0"/>
        <w:kinsoku/>
        <w:wordWrap/>
        <w:topLinePunct w:val="0"/>
        <w:bidi w:val="0"/>
        <w:spacing w:line="576" w:lineRule="exact"/>
        <w:textAlignment w:val="auto"/>
        <w:rPr>
          <w:sz w:val="72"/>
          <w:szCs w:val="72"/>
        </w:rPr>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ageBreakBefore w:val="0"/>
        <w:widowControl w:val="0"/>
        <w:kinsoku/>
        <w:wordWrap/>
        <w:topLinePunct w:val="0"/>
        <w:autoSpaceDE w:val="0"/>
        <w:autoSpaceDN w:val="0"/>
        <w:bidi w:val="0"/>
        <w:adjustRightInd w:val="0"/>
        <w:spacing w:line="576" w:lineRule="exact"/>
        <w:ind w:left="420" w:left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保密审查情况：已审查，内容审定</w:t>
      </w:r>
    </w:p>
    <w:p>
      <w:pPr>
        <w:pageBreakBefore w:val="0"/>
        <w:widowControl w:val="0"/>
        <w:kinsoku/>
        <w:wordWrap/>
        <w:topLinePunct w:val="0"/>
        <w:autoSpaceDE w:val="0"/>
        <w:autoSpaceDN w:val="0"/>
        <w:bidi w:val="0"/>
        <w:adjustRightInd w:val="0"/>
        <w:spacing w:line="576" w:lineRule="exact"/>
        <w:ind w:left="420" w:left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部门主要负责人审签情况：已审签，同意对外公开</w:t>
      </w:r>
    </w:p>
    <w:p>
      <w:pPr>
        <w:pageBreakBefore w:val="0"/>
        <w:widowControl/>
        <w:kinsoku/>
        <w:wordWrap/>
        <w:topLinePunct w:val="0"/>
        <w:bidi w:val="0"/>
        <w:spacing w:line="576" w:lineRule="exact"/>
        <w:jc w:val="center"/>
        <w:textAlignment w:val="auto"/>
        <w:rPr>
          <w:rFonts w:ascii="黑体" w:eastAsia="黑体"/>
          <w:color w:val="000000"/>
          <w:sz w:val="48"/>
          <w:szCs w:val="48"/>
        </w:rPr>
      </w:pPr>
      <w:r>
        <w:rPr>
          <w:rFonts w:hint="eastAsia" w:ascii="仿宋_GB2312" w:eastAsia="仿宋_GB2312" w:cs="仿宋_GB2312"/>
          <w:color w:val="000000"/>
          <w:sz w:val="32"/>
          <w:szCs w:val="32"/>
        </w:rPr>
        <w:br w:type="page"/>
      </w:r>
      <w:r>
        <w:rPr>
          <w:rFonts w:hint="eastAsia" w:ascii="黑体" w:eastAsia="黑体"/>
          <w:color w:val="000000"/>
          <w:sz w:val="48"/>
          <w:szCs w:val="48"/>
        </w:rPr>
        <w:t>目录</w:t>
      </w:r>
      <w:bookmarkStart w:id="12" w:name="_Toc15377196"/>
    </w:p>
    <w:p>
      <w:pPr>
        <w:pStyle w:val="13"/>
        <w:pageBreakBefore w:val="0"/>
        <w:widowControl w:val="0"/>
        <w:kinsoku/>
        <w:wordWrap/>
        <w:topLinePunct w:val="0"/>
        <w:bidi w:val="0"/>
        <w:spacing w:line="576" w:lineRule="exact"/>
        <w:textAlignment w:val="auto"/>
        <w:rPr>
          <w:rFonts w:ascii="Calibri" w:hAnsi="Calibri" w:eastAsia="宋体" w:cs="Arial"/>
          <w:sz w:val="21"/>
          <w:szCs w:val="22"/>
        </w:rPr>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fldChar w:fldCharType="begin"/>
      </w:r>
      <w:r>
        <w:instrText xml:space="preserve"> HYPERLINK \l "_Toc113981009" </w:instrText>
      </w:r>
      <w:r>
        <w:fldChar w:fldCharType="separate"/>
      </w:r>
      <w:r>
        <w:rPr>
          <w:rFonts w:asci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"_Toc113981010" </w:instrText>
      </w:r>
      <w:r>
        <w:fldChar w:fldCharType="separate"/>
      </w:r>
      <w:r>
        <w:rPr>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"_Toc113981011" </w:instrText>
      </w:r>
      <w:r>
        <w:fldChar w:fldCharType="separate"/>
      </w:r>
      <w:r>
        <w:rPr>
          <w:rFonts w:ascii="黑体" w:eastAsia="黑体"/>
        </w:rPr>
        <w:t>二、机构设置</w:t>
      </w:r>
      <w:r>
        <w:tab/>
      </w:r>
      <w:r>
        <w:fldChar w:fldCharType="begin"/>
      </w:r>
      <w:r>
        <w:instrText xml:space="preserve"> PAGEREF _Toc113981011 \h </w:instrText>
      </w:r>
      <w:r>
        <w:fldChar w:fldCharType="separate"/>
      </w:r>
      <w:r>
        <w:t>12</w:t>
      </w:r>
      <w:r>
        <w:fldChar w:fldCharType="end"/>
      </w:r>
      <w:r>
        <w:fldChar w:fldCharType="end"/>
      </w:r>
    </w:p>
    <w:p>
      <w:pPr>
        <w:pStyle w:val="13"/>
        <w:pageBreakBefore w:val="0"/>
        <w:widowControl w:val="0"/>
        <w:kinsoku/>
        <w:wordWrap/>
        <w:topLinePunct w:val="0"/>
        <w:bidi w:val="0"/>
        <w:spacing w:line="576" w:lineRule="exact"/>
        <w:textAlignment w:val="auto"/>
        <w:rPr>
          <w:rFonts w:ascii="Calibri" w:hAnsi="Calibri" w:eastAsia="宋体" w:cs="Arial"/>
          <w:sz w:val="21"/>
          <w:szCs w:val="22"/>
        </w:rPr>
      </w:pPr>
      <w:r>
        <w:fldChar w:fldCharType="begin"/>
      </w:r>
      <w:r>
        <w:instrText xml:space="preserve"> HYPERLINK \l "_Toc113981012" </w:instrText>
      </w:r>
      <w:r>
        <w:fldChar w:fldCharType="separate"/>
      </w:r>
      <w:r>
        <w:rPr>
          <w:rFonts w:hint="eastAsia" w:ascii="黑体" w:eastAsia="黑体" w:cs="黑体"/>
        </w:rPr>
        <w:t>第二部分</w:t>
      </w:r>
      <w:r>
        <w:rPr>
          <w:rFonts w:ascii="黑体" w:eastAsia="黑体" w:cs="黑体"/>
        </w:rPr>
        <w:t xml:space="preserve"> 2021年度部门决算情况说明</w:t>
      </w:r>
      <w:r>
        <w:tab/>
      </w:r>
      <w:r>
        <w:fldChar w:fldCharType="begin"/>
      </w:r>
      <w:r>
        <w:instrText xml:space="preserve"> PAGEREF _Toc113981012 \h </w:instrText>
      </w:r>
      <w:r>
        <w:fldChar w:fldCharType="separate"/>
      </w:r>
      <w:r>
        <w:t>13</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"_Toc113981013" </w:instrText>
      </w:r>
      <w:r>
        <w:fldChar w:fldCharType="separate"/>
      </w:r>
      <w:r>
        <w:rPr>
          <w:rFonts w:ascii="黑体" w:eastAsia="黑体"/>
        </w:rPr>
        <w:t>一、收入支出决算总体情况说明</w:t>
      </w:r>
      <w:r>
        <w:tab/>
      </w:r>
      <w:r>
        <w:fldChar w:fldCharType="begin"/>
      </w:r>
      <w:r>
        <w:instrText xml:space="preserve"> PAGEREF _Toc113981013 \h </w:instrText>
      </w:r>
      <w:r>
        <w:fldChar w:fldCharType="separate"/>
      </w:r>
      <w:r>
        <w:t>13</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"_Toc113981014" </w:instrText>
      </w:r>
      <w:r>
        <w:fldChar w:fldCharType="separate"/>
      </w:r>
      <w:r>
        <w:rPr>
          <w:rFonts w:ascii="黑体" w:eastAsia="黑体"/>
        </w:rPr>
        <w:t>二、收入决算情况说明</w:t>
      </w:r>
      <w:r>
        <w:tab/>
      </w:r>
      <w:r>
        <w:fldChar w:fldCharType="begin"/>
      </w:r>
      <w:r>
        <w:instrText xml:space="preserve"> PAGEREF _Toc113981014 \h </w:instrText>
      </w:r>
      <w:r>
        <w:fldChar w:fldCharType="separate"/>
      </w:r>
      <w:r>
        <w:t>13</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"_Toc113981015" </w:instrText>
      </w:r>
      <w:r>
        <w:fldChar w:fldCharType="separate"/>
      </w:r>
      <w:r>
        <w:rPr>
          <w:rFonts w:ascii="黑体" w:eastAsia="黑体"/>
        </w:rPr>
        <w:t>三、支出决算情况说明</w:t>
      </w:r>
      <w:r>
        <w:tab/>
      </w:r>
      <w:r>
        <w:fldChar w:fldCharType="begin"/>
      </w:r>
      <w:r>
        <w:instrText xml:space="preserve"> PAGEREF _Toc113981015 \h </w:instrText>
      </w:r>
      <w:r>
        <w:fldChar w:fldCharType="separate"/>
      </w:r>
      <w:r>
        <w:t>14</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"_Toc113981016" </w:instrText>
      </w:r>
      <w:r>
        <w:fldChar w:fldCharType="separate"/>
      </w:r>
      <w:r>
        <w:rPr>
          <w:rFonts w:ascii="黑体" w:eastAsia="黑体"/>
        </w:rPr>
        <w:t>四、财政拨款收入支出决算总体情况说明</w:t>
      </w:r>
      <w:r>
        <w:tab/>
      </w:r>
      <w:r>
        <w:fldChar w:fldCharType="begin"/>
      </w:r>
      <w:r>
        <w:instrText xml:space="preserve"> PAGEREF _Toc113981016 \h </w:instrText>
      </w:r>
      <w:r>
        <w:fldChar w:fldCharType="separate"/>
      </w:r>
      <w:r>
        <w:t>15</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"_Toc113981017" </w:instrText>
      </w:r>
      <w:r>
        <w:fldChar w:fldCharType="separate"/>
      </w:r>
      <w:r>
        <w:rPr>
          <w:rFonts w:ascii="黑体" w:eastAsia="黑体"/>
        </w:rPr>
        <w:t>五、一般公共预算财政拨款支出决算情况说明</w:t>
      </w:r>
      <w:r>
        <w:tab/>
      </w:r>
      <w:r>
        <w:fldChar w:fldCharType="begin"/>
      </w:r>
      <w:r>
        <w:instrText xml:space="preserve"> PAGEREF _Toc113981017 \h </w:instrText>
      </w:r>
      <w:r>
        <w:fldChar w:fldCharType="separate"/>
      </w:r>
      <w:r>
        <w:t>15</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"_Toc113981018" </w:instrText>
      </w:r>
      <w:r>
        <w:fldChar w:fldCharType="separate"/>
      </w:r>
      <w:r>
        <w:rPr>
          <w:rFonts w:ascii="黑体" w:eastAsia="黑体"/>
        </w:rPr>
        <w:t>六、一般公共预算财政拨款基本支出决算情况说明</w:t>
      </w:r>
      <w:r>
        <w:tab/>
      </w:r>
      <w:r>
        <w:fldChar w:fldCharType="begin"/>
      </w:r>
      <w:r>
        <w:instrText xml:space="preserve"> PAGEREF _Toc113981018 \h </w:instrText>
      </w:r>
      <w:r>
        <w:fldChar w:fldCharType="separate"/>
      </w:r>
      <w:r>
        <w:t>18</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"_Toc113981019" </w:instrText>
      </w:r>
      <w:r>
        <w:fldChar w:fldCharType="separate"/>
      </w:r>
      <w:r>
        <w:rPr>
          <w:rFonts w:ascii="黑体" w:eastAsia="黑体"/>
        </w:rPr>
        <w:t>七、“三公”经费财政拨款支出决算情况说明</w:t>
      </w:r>
      <w:r>
        <w:tab/>
      </w:r>
      <w:r>
        <w:fldChar w:fldCharType="begin"/>
      </w:r>
      <w:r>
        <w:instrText xml:space="preserve"> PAGEREF _Toc113981019 \h </w:instrText>
      </w:r>
      <w:r>
        <w:fldChar w:fldCharType="separate"/>
      </w:r>
      <w:r>
        <w:t>18</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"_Toc113981020" </w:instrText>
      </w:r>
      <w:r>
        <w:fldChar w:fldCharType="separate"/>
      </w:r>
      <w:r>
        <w:rPr>
          <w:rFonts w:ascii="黑体" w:eastAsia="黑体"/>
        </w:rPr>
        <w:t>八、政府性基金预算支出决算情况说明</w:t>
      </w:r>
      <w:r>
        <w:tab/>
      </w:r>
      <w:r>
        <w:fldChar w:fldCharType="begin"/>
      </w:r>
      <w:r>
        <w:instrText xml:space="preserve"> PAGEREF _Toc113981020 \h </w:instrText>
      </w:r>
      <w:r>
        <w:fldChar w:fldCharType="separate"/>
      </w:r>
      <w:r>
        <w:t>20</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"_Toc113981021" </w:instrText>
      </w:r>
      <w:r>
        <w:fldChar w:fldCharType="separate"/>
      </w:r>
      <w:r>
        <w:rPr>
          <w:rFonts w:ascii="黑体" w:eastAsia="黑体"/>
        </w:rPr>
        <w:t>九、国有资本经营预算支出决算情况说明</w:t>
      </w:r>
      <w:r>
        <w:tab/>
      </w:r>
      <w:r>
        <w:fldChar w:fldCharType="begin"/>
      </w:r>
      <w:r>
        <w:instrText xml:space="preserve"> PAGEREF _Toc113981021 \h </w:instrText>
      </w:r>
      <w:r>
        <w:fldChar w:fldCharType="separate"/>
      </w:r>
      <w:r>
        <w:t>20</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"_Toc113981022" </w:instrText>
      </w:r>
      <w:r>
        <w:fldChar w:fldCharType="separate"/>
      </w:r>
      <w:r>
        <w:rPr>
          <w:rFonts w:ascii="黑体" w:eastAsia="黑体"/>
        </w:rPr>
        <w:t>十、其他重要事项的情况说明</w:t>
      </w:r>
      <w:r>
        <w:tab/>
      </w:r>
      <w:r>
        <w:fldChar w:fldCharType="begin"/>
      </w:r>
      <w:r>
        <w:instrText xml:space="preserve"> PAGEREF _Toc113981022 \h </w:instrText>
      </w:r>
      <w:r>
        <w:fldChar w:fldCharType="separate"/>
      </w:r>
      <w:r>
        <w:t>20</w:t>
      </w:r>
      <w:r>
        <w:fldChar w:fldCharType="end"/>
      </w:r>
      <w:r>
        <w:fldChar w:fldCharType="end"/>
      </w:r>
    </w:p>
    <w:p>
      <w:pPr>
        <w:pStyle w:val="13"/>
        <w:pageBreakBefore w:val="0"/>
        <w:widowControl w:val="0"/>
        <w:kinsoku/>
        <w:wordWrap/>
        <w:topLinePunct w:val="0"/>
        <w:bidi w:val="0"/>
        <w:spacing w:line="576" w:lineRule="exact"/>
        <w:textAlignment w:val="auto"/>
        <w:rPr>
          <w:rFonts w:ascii="Calibri" w:hAnsi="Calibri" w:eastAsia="宋体" w:cs="Arial"/>
          <w:sz w:val="21"/>
          <w:szCs w:val="22"/>
        </w:rPr>
      </w:pPr>
      <w:r>
        <w:fldChar w:fldCharType="begin"/>
      </w:r>
      <w:r>
        <w:instrText xml:space="preserve"> HYPERLINK \l "_Toc113981023" </w:instrText>
      </w:r>
      <w:r>
        <w:fldChar w:fldCharType="separate"/>
      </w:r>
      <w:r>
        <w:rPr>
          <w:rFonts w:ascii="黑体" w:eastAsia="黑体" w:cs="黑体"/>
        </w:rPr>
        <w:t>第三部分 名词解释</w:t>
      </w:r>
      <w:r>
        <w:tab/>
      </w:r>
      <w:r>
        <w:fldChar w:fldCharType="begin"/>
      </w:r>
      <w:r>
        <w:instrText xml:space="preserve"> PAGEREF _Toc113981023 \h </w:instrText>
      </w:r>
      <w:r>
        <w:fldChar w:fldCharType="separate"/>
      </w:r>
      <w:r>
        <w:t>22</w:t>
      </w:r>
      <w:r>
        <w:fldChar w:fldCharType="end"/>
      </w:r>
      <w:r>
        <w:fldChar w:fldCharType="end"/>
      </w:r>
    </w:p>
    <w:p>
      <w:pPr>
        <w:pStyle w:val="13"/>
        <w:pageBreakBefore w:val="0"/>
        <w:widowControl w:val="0"/>
        <w:kinsoku/>
        <w:wordWrap/>
        <w:topLinePunct w:val="0"/>
        <w:bidi w:val="0"/>
        <w:spacing w:line="576" w:lineRule="exact"/>
        <w:textAlignment w:val="auto"/>
        <w:rPr>
          <w:rFonts w:ascii="Calibri" w:hAnsi="Calibri" w:eastAsia="宋体" w:cs="Arial"/>
          <w:sz w:val="21"/>
          <w:szCs w:val="22"/>
        </w:rPr>
      </w:pPr>
      <w:r>
        <w:fldChar w:fldCharType="begin"/>
      </w:r>
      <w:r>
        <w:instrText xml:space="preserve"> HYPERLINK \l "_Toc113981024" </w:instrText>
      </w:r>
      <w:r>
        <w:fldChar w:fldCharType="separate"/>
      </w:r>
      <w:r>
        <w:rPr>
          <w:rFonts w:ascii="黑体" w:eastAsia="黑体" w:cs="黑体"/>
        </w:rPr>
        <w:t>第四部分 附件</w:t>
      </w:r>
      <w:r>
        <w:tab/>
      </w:r>
      <w:r>
        <w:fldChar w:fldCharType="begin"/>
      </w:r>
      <w:r>
        <w:instrText xml:space="preserve"> PAGEREF _Toc113981024 \h </w:instrText>
      </w:r>
      <w:r>
        <w:fldChar w:fldCharType="separate"/>
      </w:r>
      <w:r>
        <w:t>26</w:t>
      </w:r>
      <w:r>
        <w:fldChar w:fldCharType="end"/>
      </w:r>
      <w:r>
        <w:fldChar w:fldCharType="end"/>
      </w:r>
    </w:p>
    <w:p>
      <w:pPr>
        <w:pStyle w:val="13"/>
        <w:pageBreakBefore w:val="0"/>
        <w:widowControl w:val="0"/>
        <w:kinsoku/>
        <w:wordWrap/>
        <w:topLinePunct w:val="0"/>
        <w:bidi w:val="0"/>
        <w:spacing w:line="576" w:lineRule="exact"/>
        <w:textAlignment w:val="auto"/>
        <w:rPr>
          <w:rFonts w:ascii="Calibri" w:hAnsi="Calibri" w:eastAsia="宋体" w:cs="Arial"/>
          <w:sz w:val="21"/>
          <w:szCs w:val="22"/>
        </w:rPr>
      </w:pPr>
      <w:r>
        <w:fldChar w:fldCharType="begin"/>
      </w:r>
      <w:r>
        <w:instrText xml:space="preserve"> HYPERLINK \l "_Toc113981025" </w:instrText>
      </w:r>
      <w:r>
        <w:fldChar w:fldCharType="separate"/>
      </w:r>
      <w:r>
        <w:rPr>
          <w:rFonts w:ascii="黑体" w:eastAsia="黑体" w:cs="黑体"/>
        </w:rPr>
        <w:t>第五部分 附表</w:t>
      </w:r>
      <w:r>
        <w:tab/>
      </w:r>
      <w:r>
        <w:fldChar w:fldCharType="begin"/>
      </w:r>
      <w:r>
        <w:instrText xml:space="preserve"> PAGEREF _Toc113981025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"_Toc113981026" </w:instrText>
      </w:r>
      <w:r>
        <w:fldChar w:fldCharType="separate"/>
      </w:r>
      <w:r>
        <w:rPr>
          <w:rFonts w:ascii="黑体" w:eastAsia="黑体"/>
        </w:rPr>
        <w:t>一、收入支出决算总表</w:t>
      </w:r>
      <w:r>
        <w:tab/>
      </w:r>
      <w:r>
        <w:fldChar w:fldCharType="begin"/>
      </w:r>
      <w:r>
        <w:instrText xml:space="preserve"> PAGEREF _Toc113981026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"_Toc113981027" </w:instrText>
      </w:r>
      <w:r>
        <w:fldChar w:fldCharType="separate"/>
      </w:r>
      <w:r>
        <w:rPr>
          <w:rFonts w:ascii="黑体" w:eastAsia="黑体"/>
        </w:rPr>
        <w:t>二、收入决算表</w:t>
      </w:r>
      <w:r>
        <w:tab/>
      </w:r>
      <w:r>
        <w:fldChar w:fldCharType="begin"/>
      </w:r>
      <w:r>
        <w:instrText xml:space="preserve"> PAGEREF _Toc113981027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"_Toc113981028" </w:instrText>
      </w:r>
      <w:r>
        <w:fldChar w:fldCharType="separate"/>
      </w:r>
      <w:r>
        <w:rPr>
          <w:rFonts w:ascii="黑体" w:eastAsia="黑体"/>
        </w:rPr>
        <w:t>三、支出决算表</w:t>
      </w:r>
      <w:r>
        <w:tab/>
      </w:r>
      <w:r>
        <w:fldChar w:fldCharType="begin"/>
      </w:r>
      <w:r>
        <w:instrText xml:space="preserve"> PAGEREF _Toc113981028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"_Toc113981029" </w:instrText>
      </w:r>
      <w:r>
        <w:fldChar w:fldCharType="separate"/>
      </w:r>
      <w:r>
        <w:rPr>
          <w:rFonts w:ascii="黑体" w:eastAsia="黑体"/>
        </w:rPr>
        <w:t>四、财政拨款收入支出决算总表</w:t>
      </w:r>
      <w:r>
        <w:tab/>
      </w:r>
      <w:r>
        <w:fldChar w:fldCharType="begin"/>
      </w:r>
      <w:r>
        <w:instrText xml:space="preserve"> PAGEREF _Toc113981029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"_Toc113981030" </w:instrText>
      </w:r>
      <w:r>
        <w:fldChar w:fldCharType="separate"/>
      </w:r>
      <w:r>
        <w:rPr>
          <w:rFonts w:ascii="黑体" w:eastAsia="黑体"/>
        </w:rPr>
        <w:t>五、财政拨款支出决算明细表</w:t>
      </w:r>
      <w:r>
        <w:tab/>
      </w:r>
      <w:r>
        <w:fldChar w:fldCharType="begin"/>
      </w:r>
      <w:r>
        <w:instrText xml:space="preserve"> PAGEREF _Toc113981030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"_Toc113981031" </w:instrText>
      </w:r>
      <w:r>
        <w:fldChar w:fldCharType="separate"/>
      </w:r>
      <w:r>
        <w:rPr>
          <w:rFonts w:ascii="黑体" w:eastAsia="黑体"/>
        </w:rPr>
        <w:t>六、一般公共预算财政拨款支出决算表</w:t>
      </w:r>
      <w:r>
        <w:tab/>
      </w:r>
      <w:r>
        <w:fldChar w:fldCharType="begin"/>
      </w:r>
      <w:r>
        <w:instrText xml:space="preserve"> PAGEREF _Toc113981031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"_Toc113981032" </w:instrText>
      </w:r>
      <w:r>
        <w:fldChar w:fldCharType="separate"/>
      </w:r>
      <w:r>
        <w:rPr>
          <w:rFonts w:ascii="黑体" w:eastAsia="黑体"/>
        </w:rPr>
        <w:t>七、一般公共预算财政拨款支出决算明细表</w:t>
      </w:r>
      <w:r>
        <w:tab/>
      </w:r>
      <w:r>
        <w:fldChar w:fldCharType="begin"/>
      </w:r>
      <w:r>
        <w:instrText xml:space="preserve"> PAGEREF _Toc113981032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"_Toc113981033" </w:instrText>
      </w:r>
      <w:r>
        <w:fldChar w:fldCharType="separate"/>
      </w:r>
      <w:r>
        <w:rPr>
          <w:rFonts w:ascii="黑体" w:eastAsia="黑体"/>
        </w:rPr>
        <w:t>八、一般公共预算财政拨款基本支出决算表</w:t>
      </w:r>
      <w:r>
        <w:tab/>
      </w:r>
      <w:r>
        <w:fldChar w:fldCharType="begin"/>
      </w:r>
      <w:r>
        <w:instrText xml:space="preserve"> PAGEREF _Toc113981033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"_Toc113981034" </w:instrText>
      </w:r>
      <w:r>
        <w:fldChar w:fldCharType="separate"/>
      </w:r>
      <w:r>
        <w:rPr>
          <w:rFonts w:ascii="黑体" w:eastAsia="黑体"/>
        </w:rPr>
        <w:t>九、一般公共预算财政拨款项目支出决算表</w:t>
      </w:r>
      <w:r>
        <w:tab/>
      </w:r>
      <w:r>
        <w:fldChar w:fldCharType="begin"/>
      </w:r>
      <w:r>
        <w:instrText xml:space="preserve"> PAGEREF _Toc113981034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"_Toc113981035" </w:instrText>
      </w:r>
      <w:r>
        <w:fldChar w:fldCharType="separate"/>
      </w:r>
      <w:r>
        <w:rPr>
          <w:rFonts w:ascii="黑体" w:eastAsia="黑体"/>
        </w:rPr>
        <w:t>十、一般公共预算财政拨款“三公”经费支出决算表</w:t>
      </w:r>
      <w:r>
        <w:tab/>
      </w:r>
      <w:r>
        <w:fldChar w:fldCharType="begin"/>
      </w:r>
      <w:r>
        <w:instrText xml:space="preserve"> PAGEREF _Toc113981035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"_Toc113981036" </w:instrText>
      </w:r>
      <w:r>
        <w:fldChar w:fldCharType="separate"/>
      </w:r>
      <w:r>
        <w:rPr>
          <w:rFonts w:ascii="黑体" w:eastAsia="黑体"/>
        </w:rPr>
        <w:t>十一、政府性基金预算财政拨款收入支出决算表</w:t>
      </w:r>
      <w:r>
        <w:tab/>
      </w:r>
      <w:r>
        <w:fldChar w:fldCharType="begin"/>
      </w:r>
      <w:r>
        <w:instrText xml:space="preserve"> PAGEREF _Toc113981036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"_Toc113981037" </w:instrText>
      </w:r>
      <w:r>
        <w:fldChar w:fldCharType="separate"/>
      </w:r>
      <w:r>
        <w:rPr>
          <w:rFonts w:ascii="黑体" w:eastAsia="黑体"/>
        </w:rPr>
        <w:t>十二、政府性基金预算财政拨款“三公”经费支出决算表</w:t>
      </w:r>
      <w:r>
        <w:tab/>
      </w:r>
      <w:r>
        <w:fldChar w:fldCharType="begin"/>
      </w:r>
      <w:r>
        <w:instrText xml:space="preserve"> PAGEREF _Toc113981037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"_Toc113981038" </w:instrText>
      </w:r>
      <w:r>
        <w:fldChar w:fldCharType="separate"/>
      </w:r>
      <w:r>
        <w:rPr>
          <w:rFonts w:ascii="黑体" w:eastAsia="黑体"/>
        </w:rPr>
        <w:t>十三、国有资本经营预算财政拨款收入支出决算表</w:t>
      </w:r>
      <w:r>
        <w:tab/>
      </w:r>
      <w:r>
        <w:fldChar w:fldCharType="begin"/>
      </w:r>
      <w:r>
        <w:instrText xml:space="preserve"> PAGEREF _Toc113981038 \h </w:instrText>
      </w:r>
      <w:r>
        <w:fldChar w:fldCharType="separate"/>
      </w:r>
      <w:r>
        <w:t>31</w:t>
      </w:r>
      <w:r>
        <w:fldChar w:fldCharType="end"/>
      </w:r>
      <w:r>
        <w:fldChar w:fldCharType="end"/>
      </w:r>
    </w:p>
    <w:p>
      <w:pPr>
        <w:pStyle w:val="15"/>
        <w:pageBreakBefore w:val="0"/>
        <w:widowControl w:val="0"/>
        <w:kinsoku/>
        <w:wordWrap/>
        <w:topLinePunct w:val="0"/>
        <w:bidi w:val="0"/>
        <w:spacing w:line="576" w:lineRule="exact"/>
        <w:textAlignment w:val="auto"/>
        <w:rPr>
          <w:rFonts w:ascii="Calibri" w:hAnsi="Calibri" w:eastAsia="宋体" w:cs="Arial"/>
          <w:szCs w:val="22"/>
        </w:rPr>
      </w:pPr>
      <w:r>
        <w:fldChar w:fldCharType="begin"/>
      </w:r>
      <w:r>
        <w:instrText xml:space="preserve"> HYPERLINK \l "_Toc113981039" </w:instrText>
      </w:r>
      <w:r>
        <w:fldChar w:fldCharType="separate"/>
      </w:r>
      <w:r>
        <w:rPr>
          <w:rFonts w:ascii="黑体" w:eastAsia="黑体"/>
        </w:rPr>
        <w:t>十四、国有资本经营预算财政拨款支出决算表</w:t>
      </w:r>
      <w:r>
        <w:tab/>
      </w:r>
      <w:r>
        <w:fldChar w:fldCharType="begin"/>
      </w:r>
      <w:r>
        <w:instrText xml:space="preserve"> PAGEREF _Toc113981039 \h </w:instrText>
      </w:r>
      <w:r>
        <w:fldChar w:fldCharType="separate"/>
      </w:r>
      <w:r>
        <w:t>31</w:t>
      </w:r>
      <w:r>
        <w:fldChar w:fldCharType="end"/>
      </w:r>
      <w:r>
        <w:fldChar w:fldCharType="end"/>
      </w:r>
    </w:p>
    <w:p>
      <w:pPr>
        <w:pStyle w:val="2"/>
        <w:pageBreakBefore w:val="0"/>
        <w:widowControl w:val="0"/>
        <w:kinsoku/>
        <w:wordWrap/>
        <w:topLinePunct w:val="0"/>
        <w:bidi w:val="0"/>
        <w:spacing w:line="576" w:lineRule="exact"/>
        <w:textAlignment w:val="auto"/>
      </w:pPr>
      <w:r>
        <w:rPr>
          <w:caps w:val="0"/>
          <w:smallCaps/>
          <w:szCs w:val="20"/>
        </w:rPr>
        <w:fldChar w:fldCharType="end"/>
      </w:r>
    </w:p>
    <w:p>
      <w:pPr>
        <w:pStyle w:val="3"/>
        <w:keepNext/>
        <w:keepLines/>
        <w:pageBreakBefore w:val="0"/>
        <w:widowControl w:val="0"/>
        <w:kinsoku/>
        <w:wordWrap/>
        <w:topLinePunct w:val="0"/>
        <w:bidi w:val="0"/>
        <w:spacing w:line="576" w:lineRule="exact"/>
        <w:jc w:val="center"/>
        <w:textAlignment w:val="auto"/>
        <w:rPr>
          <w:rFonts w:ascii="黑体" w:eastAsia="黑体" w:cs="黑体"/>
          <w:b w:val="0"/>
          <w:bCs w:val="0"/>
        </w:rPr>
      </w:pPr>
      <w:bookmarkStart w:id="13" w:name="_Toc111208495"/>
      <w:bookmarkStart w:id="14" w:name="_Toc113981009"/>
      <w:r>
        <w:rPr>
          <w:rFonts w:hint="eastAsia" w:ascii="黑体" w:eastAsia="黑体" w:cs="黑体"/>
        </w:rPr>
        <w:t xml:space="preserve">第一部分 </w:t>
      </w:r>
      <w:r>
        <w:rPr>
          <w:rStyle w:val="21"/>
          <w:rFonts w:hint="eastAsia" w:ascii="黑体" w:eastAsia="黑体" w:cs="黑体"/>
          <w:b/>
          <w:bCs w:val="0"/>
        </w:rPr>
        <w:t>部门概况</w:t>
      </w:r>
      <w:bookmarkEnd w:id="12"/>
      <w:bookmarkEnd w:id="13"/>
      <w:bookmarkEnd w:id="14"/>
    </w:p>
    <w:p>
      <w:pPr>
        <w:pStyle w:val="4"/>
        <w:keepNext/>
        <w:keepLines/>
        <w:pageBreakBefore w:val="0"/>
        <w:widowControl w:val="0"/>
        <w:kinsoku/>
        <w:wordWrap/>
        <w:topLinePunct w:val="0"/>
        <w:bidi w:val="0"/>
        <w:spacing w:line="576" w:lineRule="exact"/>
        <w:ind w:left="319" w:leftChars="152" w:firstLine="321" w:firstLineChars="100"/>
        <w:textAlignment w:val="auto"/>
        <w:rPr>
          <w:rFonts w:hint="eastAsia" w:ascii="黑体" w:eastAsia="黑体" w:cs="Times New Roman"/>
          <w:bCs w:val="0"/>
          <w:color w:val="000000"/>
          <w:lang w:eastAsia="zh-CN"/>
        </w:rPr>
      </w:pPr>
      <w:bookmarkStart w:id="15" w:name="_Toc113981010"/>
      <w:bookmarkStart w:id="16" w:name="_Toc111208496"/>
      <w:bookmarkStart w:id="17" w:name="_Toc15377197"/>
      <w:r>
        <w:rPr>
          <w:rFonts w:hint="eastAsia" w:ascii="黑体" w:eastAsia="黑体" w:cs="Times New Roman"/>
          <w:bCs w:val="0"/>
          <w:color w:val="000000"/>
        </w:rPr>
        <w:t>一、基本职能及主要工作</w:t>
      </w:r>
      <w:bookmarkEnd w:id="15"/>
      <w:bookmarkEnd w:id="16"/>
      <w:bookmarkEnd w:id="17"/>
      <w:bookmarkStart w:id="18" w:name="_Toc79163853"/>
      <w:bookmarkStart w:id="19" w:name="_Toc79163603"/>
    </w:p>
    <w:p>
      <w:pPr>
        <w:pageBreakBefore w:val="0"/>
        <w:widowControl w:val="0"/>
        <w:kinsoku/>
        <w:wordWrap/>
        <w:topLinePunct w:val="0"/>
        <w:bidi w:val="0"/>
        <w:spacing w:line="576" w:lineRule="exact"/>
        <w:ind w:firstLine="321" w:firstLineChars="100"/>
        <w:textAlignment w:val="auto"/>
        <w:rPr>
          <w:rFonts w:hint="eastAsia" w:ascii="仿宋" w:eastAsia="仿宋"/>
          <w:b/>
          <w:color w:val="000000"/>
          <w:sz w:val="32"/>
          <w:szCs w:val="32"/>
        </w:rPr>
      </w:pPr>
      <w:r>
        <w:rPr>
          <w:rFonts w:hint="eastAsia" w:ascii="仿宋" w:eastAsia="仿宋"/>
          <w:b/>
          <w:color w:val="000000"/>
          <w:sz w:val="32"/>
          <w:szCs w:val="32"/>
        </w:rPr>
        <w:t>（一）主要职能</w:t>
      </w:r>
      <w:bookmarkEnd w:id="18"/>
      <w:bookmarkEnd w:id="19"/>
    </w:p>
    <w:p>
      <w:pPr>
        <w:spacing w:line="600" w:lineRule="exact"/>
        <w:ind w:firstLine="640" w:firstLineChars="200"/>
        <w:outlineLvl w:val="2"/>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1.协助县政府领导同志组织起草或审核以县政府、县政府办公室名义发布的公文。办理州政府、州政府办公室及州政府各部门发送县政府的文电。指导全县行政机关公文处理工作。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2.研究县政府部门和各乡镇人民政府请示县政府的事项，提出审核意见，报县政府领导同志审批。</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3.负责县政府会议的筹备工作，协助县政府领导同志组织实施会议决定事项。</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4.督促检查县政府各部门和各乡镇人民政府对县政府公文、会议决定事项及县政府领导有关指示的执行情况并跟踪调研，及时向县政府领导报告。</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5.组织办理涉及县政府工作的人大代表议案、批评、建议和政协委员提案、建议案工作。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6.负责县政府值班工作，指导各乡镇人民政府和县政府部门值班工作，及时报告重要情况。协助县政府领导组织处理由县政府直接处理的突发事件和重大事故。</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7.指导、监督全县政府信息公开工作和机关行政效能建设工作，指导、监督全县政府系统电子政务工作和政府网站建设。</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8.围绕县政府中心工作和县政府领导同志的指示，组织专题调查研究，及时反映情况，提出意见和建议。</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9.负责县政府人民防空和民防工作，指导全县人民防空和民防工作。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10.贯彻执行国家外事和港澳政策，研究拟定本县外事和港澳工作规章制度、发展规划，办理本县涉外事务和港澳事务。</w:t>
      </w:r>
    </w:p>
    <w:p>
      <w:pPr>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11.负责全县公务用车、办公用房及公共机构节能减排工作。</w:t>
      </w:r>
    </w:p>
    <w:p>
      <w:pPr>
        <w:pageBreakBefore w:val="0"/>
        <w:widowControl w:val="0"/>
        <w:kinsoku/>
        <w:wordWrap/>
        <w:topLinePunct w:val="0"/>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rPr>
        <w:t>12.完成县委、县政府交办的其他事项</w:t>
      </w:r>
      <w:r>
        <w:rPr>
          <w:rFonts w:hint="eastAsia" w:ascii="仿宋_GB2312" w:eastAsia="仿宋_GB2312"/>
          <w:sz w:val="32"/>
          <w:szCs w:val="32"/>
        </w:rPr>
        <w:t>。</w:t>
      </w:r>
      <w:bookmarkStart w:id="20" w:name="_Toc15378446"/>
      <w:bookmarkStart w:id="21" w:name="_Toc15377199"/>
    </w:p>
    <w:p>
      <w:pPr>
        <w:pageBreakBefore w:val="0"/>
        <w:widowControl w:val="0"/>
        <w:kinsoku/>
        <w:wordWrap/>
        <w:topLinePunct w:val="0"/>
        <w:bidi w:val="0"/>
        <w:spacing w:line="576" w:lineRule="exact"/>
        <w:ind w:firstLine="321" w:firstLineChars="100"/>
        <w:textAlignment w:val="auto"/>
        <w:rPr>
          <w:rFonts w:hint="eastAsia" w:ascii="仿宋" w:eastAsia="仿宋"/>
          <w:b/>
          <w:color w:val="000000"/>
          <w:sz w:val="32"/>
          <w:szCs w:val="32"/>
          <w:lang w:eastAsia="zh-CN"/>
        </w:rPr>
      </w:pPr>
      <w:r>
        <w:rPr>
          <w:rFonts w:hint="eastAsia" w:ascii="仿宋" w:eastAsia="仿宋"/>
          <w:b/>
          <w:color w:val="000000"/>
          <w:sz w:val="32"/>
          <w:szCs w:val="32"/>
        </w:rPr>
        <w:t>（二）</w:t>
      </w:r>
      <w:r>
        <w:rPr>
          <w:rFonts w:ascii="仿宋" w:eastAsia="仿宋"/>
          <w:b/>
          <w:color w:val="000000"/>
          <w:sz w:val="32"/>
          <w:szCs w:val="32"/>
        </w:rPr>
        <w:t>2021</w:t>
      </w:r>
      <w:r>
        <w:rPr>
          <w:rFonts w:hint="eastAsia" w:ascii="仿宋" w:eastAsia="仿宋"/>
          <w:b/>
          <w:color w:val="000000"/>
          <w:sz w:val="32"/>
          <w:szCs w:val="32"/>
        </w:rPr>
        <w:t>重点工作完成情况</w:t>
      </w:r>
      <w:bookmarkEnd w:id="20"/>
      <w:bookmarkEnd w:id="21"/>
      <w:bookmarkStart w:id="22" w:name="_Toc15377200"/>
    </w:p>
    <w:p>
      <w:pPr>
        <w:pageBreakBefore w:val="0"/>
        <w:widowControl w:val="0"/>
        <w:kinsoku/>
        <w:wordWrap/>
        <w:topLinePunct w:val="0"/>
        <w:bidi w:val="0"/>
        <w:spacing w:line="576" w:lineRule="exact"/>
        <w:ind w:firstLine="320" w:firstLineChars="100"/>
        <w:textAlignment w:val="auto"/>
        <w:rPr>
          <w:rFonts w:hint="eastAsia" w:ascii="仿宋_GB2312" w:eastAsia="仿宋_GB2312"/>
          <w:sz w:val="32"/>
          <w:szCs w:val="32"/>
        </w:rPr>
      </w:pPr>
      <w:r>
        <w:rPr>
          <w:rFonts w:ascii="仿宋" w:eastAsia="仿宋"/>
          <w:color w:val="000000"/>
          <w:sz w:val="32"/>
          <w:szCs w:val="32"/>
        </w:rPr>
        <w:tab/>
      </w:r>
      <w:r>
        <w:rPr>
          <w:rFonts w:hint="eastAsia" w:ascii="仿宋" w:eastAsia="仿宋"/>
          <w:color w:val="000000"/>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年，在</w:t>
      </w:r>
      <w:r>
        <w:rPr>
          <w:rFonts w:hint="eastAsia" w:ascii="仿宋_GB2312" w:eastAsia="仿宋_GB2312" w:cs="宋体"/>
          <w:sz w:val="32"/>
          <w:szCs w:val="32"/>
          <w:lang w:bidi="ar-SA"/>
        </w:rPr>
        <w:t>县委</w:t>
      </w:r>
      <w:r>
        <w:rPr>
          <w:rFonts w:hint="eastAsia" w:ascii="仿宋_GB2312" w:eastAsia="仿宋_GB2312"/>
          <w:sz w:val="32"/>
          <w:szCs w:val="32"/>
        </w:rPr>
        <w:t>、县人民政府的坚强领导下，县人民政府办公室紧紧围绕全县中心工作，充分发挥办公室服务领导、服务基层、服务群众</w:t>
      </w:r>
      <w:r>
        <w:rPr>
          <w:rFonts w:hint="eastAsia" w:ascii="仿宋_GB2312" w:eastAsia="仿宋_GB2312"/>
          <w:sz w:val="32"/>
          <w:szCs w:val="32"/>
          <w:lang w:eastAsia="zh-CN"/>
        </w:rPr>
        <w:t>等</w:t>
      </w:r>
      <w:r>
        <w:rPr>
          <w:rFonts w:hint="eastAsia" w:ascii="仿宋_GB2312" w:eastAsia="仿宋_GB2312"/>
          <w:sz w:val="32"/>
          <w:szCs w:val="32"/>
        </w:rPr>
        <w:t>职能，注重发挥参谋助手的作用，狠抓机关作风建设，不断完善工作制度和程序，圆满的完成了各项工作任务。现将全年工作情况总结如下。</w:t>
      </w:r>
    </w:p>
    <w:p>
      <w:pPr>
        <w:pageBreakBefore w:val="0"/>
        <w:widowControl w:val="0"/>
        <w:kinsoku/>
        <w:wordWrap/>
        <w:topLinePunct w:val="0"/>
        <w:bidi w:val="0"/>
        <w:adjustRightInd w:val="0"/>
        <w:snapToGrid w:val="0"/>
        <w:spacing w:line="576" w:lineRule="exact"/>
        <w:ind w:firstLine="640" w:firstLineChars="200"/>
        <w:textAlignment w:val="auto"/>
        <w:rPr>
          <w:rFonts w:hint="eastAsia" w:ascii="黑体" w:eastAsia="黑体"/>
          <w:sz w:val="32"/>
          <w:szCs w:val="32"/>
        </w:rPr>
      </w:pPr>
      <w:r>
        <w:rPr>
          <w:rFonts w:hint="eastAsia" w:ascii="黑体" w:eastAsia="黑体"/>
          <w:sz w:val="32"/>
          <w:szCs w:val="32"/>
        </w:rPr>
        <w:t>1.加强队伍建设，着力提升机关形象</w:t>
      </w:r>
    </w:p>
    <w:p>
      <w:pPr>
        <w:pageBreakBefore w:val="0"/>
        <w:widowControl w:val="0"/>
        <w:kinsoku/>
        <w:wordWrap/>
        <w:topLinePunct w:val="0"/>
        <w:bidi w:val="0"/>
        <w:adjustRightInd w:val="0"/>
        <w:snapToGrid w:val="0"/>
        <w:spacing w:line="576" w:lineRule="exact"/>
        <w:ind w:firstLine="640" w:firstLineChars="200"/>
        <w:textAlignment w:val="auto"/>
        <w:rPr>
          <w:rFonts w:hint="eastAsia" w:ascii="黑体" w:eastAsia="黑体"/>
          <w:sz w:val="32"/>
          <w:szCs w:val="32"/>
        </w:rPr>
      </w:pPr>
      <w:r>
        <w:rPr>
          <w:rFonts w:hint="eastAsia" w:ascii="仿宋_GB2312" w:eastAsia="仿宋_GB2312"/>
          <w:color w:val="000000"/>
          <w:sz w:val="32"/>
          <w:szCs w:val="32"/>
          <w:shd w:val="clear" w:color="auto" w:fill="FFFFFF"/>
        </w:rPr>
        <w:t>一年来，</w:t>
      </w:r>
      <w:r>
        <w:rPr>
          <w:rFonts w:hint="eastAsia" w:ascii="仿宋_GB2312" w:eastAsia="仿宋_GB2312"/>
          <w:sz w:val="32"/>
          <w:szCs w:val="32"/>
        </w:rPr>
        <w:t>县政府办坚决贯彻习近平新时代</w:t>
      </w:r>
      <w:r>
        <w:rPr>
          <w:rFonts w:hint="eastAsia" w:ascii="仿宋_GB2312" w:eastAsia="仿宋_GB2312"/>
          <w:sz w:val="32"/>
          <w:szCs w:val="32"/>
          <w:lang w:eastAsia="zh-CN"/>
        </w:rPr>
        <w:t>中国</w:t>
      </w:r>
      <w:r>
        <w:rPr>
          <w:rFonts w:hint="eastAsia" w:ascii="仿宋_GB2312" w:eastAsia="仿宋_GB2312"/>
          <w:sz w:val="32"/>
          <w:szCs w:val="32"/>
        </w:rPr>
        <w:t>特色社会主义思想，切实加强班子建设，提高政治站位，打造政治过硬、团结和谐、工作务实、清正廉明的干部队伍。</w:t>
      </w:r>
    </w:p>
    <w:p>
      <w:pPr>
        <w:keepNext w:val="0"/>
        <w:keepLines w:val="0"/>
        <w:pageBreakBefore w:val="0"/>
        <w:widowControl w:val="0"/>
        <w:kinsoku/>
        <w:wordWrap/>
        <w:overflowPunct/>
        <w:topLinePunct w:val="0"/>
        <w:autoSpaceDE/>
        <w:autoSpaceDN/>
        <w:bidi w:val="0"/>
        <w:spacing w:before="0" w:after="0" w:line="576" w:lineRule="exact"/>
        <w:ind w:right="0" w:firstLine="642" w:firstLineChars="200"/>
        <w:textAlignment w:val="auto"/>
        <w:outlineLvl w:val="9"/>
        <w:rPr>
          <w:rFonts w:hint="eastAsia" w:ascii="楷体_GB2312" w:eastAsia="楷体_GB2312"/>
          <w:b/>
          <w:bCs/>
          <w:sz w:val="32"/>
          <w:szCs w:val="32"/>
        </w:rPr>
      </w:pPr>
      <w:r>
        <w:rPr>
          <w:rFonts w:hint="eastAsia" w:ascii="楷体_GB2312" w:eastAsia="楷体_GB2312"/>
          <w:b/>
          <w:sz w:val="32"/>
          <w:szCs w:val="32"/>
        </w:rPr>
        <w:t>抓学习强素质</w:t>
      </w:r>
      <w:r>
        <w:rPr>
          <w:rFonts w:hint="eastAsia" w:ascii="楷体_GB2312" w:eastAsia="楷体_GB2312"/>
          <w:b/>
          <w:bCs/>
          <w:sz w:val="32"/>
          <w:szCs w:val="32"/>
        </w:rPr>
        <w:t>。</w:t>
      </w:r>
      <w:r>
        <w:rPr>
          <w:rFonts w:hint="eastAsia" w:ascii="仿宋_GB2312" w:eastAsia="仿宋_GB2312"/>
          <w:sz w:val="32"/>
          <w:szCs w:val="32"/>
        </w:rPr>
        <w:t>一是踏踏实实开展个人自学。坚持线上线下学习相结合，为党员发放自学书籍4本，指导督促党员利用“学习强国”等平台开展个人自学，提升学习时效。利用办公室微信工作群、QQ群定期推送中国共产党简史解读、先进人物典型等文章，已推送学习篇目</w:t>
      </w:r>
      <w:r>
        <w:rPr>
          <w:rFonts w:hint="eastAsia" w:ascii="仿宋_GB2312" w:eastAsia="仿宋_GB2312"/>
          <w:sz w:val="32"/>
          <w:szCs w:val="32"/>
          <w:lang w:val="en-US" w:eastAsia="zh-CN"/>
        </w:rPr>
        <w:t>50</w:t>
      </w:r>
      <w:r>
        <w:rPr>
          <w:rFonts w:hint="eastAsia" w:ascii="仿宋_GB2312" w:eastAsia="仿宋_GB2312"/>
          <w:sz w:val="32"/>
          <w:szCs w:val="32"/>
        </w:rPr>
        <w:t>篇。注重压力传导，支部将党员个人自学情况纳入年度民主评议党员的重要内容。二是认认真真开展专题学习。</w:t>
      </w:r>
      <w:r>
        <w:rPr>
          <w:rFonts w:hint="eastAsia" w:ascii="仿宋_GB2312" w:eastAsia="仿宋_GB2312"/>
          <w:sz w:val="32"/>
          <w:szCs w:val="32"/>
          <w:lang w:eastAsia="zh-CN"/>
        </w:rPr>
        <w:t>今年共计</w:t>
      </w:r>
      <w:r>
        <w:rPr>
          <w:rFonts w:hint="eastAsia" w:ascii="仿宋_GB2312" w:eastAsia="仿宋_GB2312"/>
          <w:sz w:val="32"/>
          <w:szCs w:val="32"/>
        </w:rPr>
        <w:t>开展主题党日活动</w:t>
      </w:r>
      <w:r>
        <w:rPr>
          <w:rFonts w:hint="eastAsia" w:ascii="仿宋_GB2312" w:eastAsia="仿宋_GB2312"/>
          <w:sz w:val="32"/>
          <w:szCs w:val="32"/>
          <w:lang w:val="en-US" w:eastAsia="zh-CN"/>
        </w:rPr>
        <w:t>12</w:t>
      </w:r>
      <w:r>
        <w:rPr>
          <w:rFonts w:hint="eastAsia" w:ascii="仿宋_GB2312" w:eastAsia="仿宋_GB2312"/>
          <w:sz w:val="32"/>
          <w:szCs w:val="32"/>
        </w:rPr>
        <w:t>次，组织党员</w:t>
      </w:r>
      <w:r>
        <w:rPr>
          <w:rFonts w:hint="eastAsia" w:ascii="仿宋_GB2312" w:eastAsia="仿宋_GB2312"/>
          <w:sz w:val="32"/>
          <w:szCs w:val="32"/>
          <w:lang w:val="en-US" w:eastAsia="zh-CN"/>
        </w:rPr>
        <w:t>1000</w:t>
      </w:r>
      <w:r>
        <w:rPr>
          <w:rFonts w:hint="eastAsia" w:ascii="仿宋_GB2312" w:eastAsia="仿宋_GB2312"/>
          <w:sz w:val="32"/>
          <w:szCs w:val="32"/>
        </w:rPr>
        <w:t>余人次开展党史集中学习</w:t>
      </w:r>
      <w:r>
        <w:rPr>
          <w:rFonts w:hint="eastAsia" w:ascii="仿宋_GB2312" w:eastAsia="仿宋_GB2312"/>
          <w:sz w:val="32"/>
          <w:szCs w:val="32"/>
          <w:lang w:val="en-US" w:eastAsia="zh-CN"/>
        </w:rPr>
        <w:t>31</w:t>
      </w:r>
      <w:r>
        <w:rPr>
          <w:rFonts w:hint="eastAsia" w:ascii="仿宋_GB2312" w:eastAsia="仿宋_GB2312"/>
          <w:sz w:val="32"/>
          <w:szCs w:val="32"/>
        </w:rPr>
        <w:t>次，组织学习了党的十九届四中</w:t>
      </w:r>
      <w:r>
        <w:rPr>
          <w:rFonts w:hint="eastAsia" w:ascii="仿宋_GB2312" w:eastAsia="仿宋_GB2312"/>
          <w:sz w:val="32"/>
          <w:szCs w:val="32"/>
          <w:lang w:eastAsia="zh-CN"/>
        </w:rPr>
        <w:t>、五中、六中</w:t>
      </w:r>
      <w:r>
        <w:rPr>
          <w:rFonts w:hint="eastAsia" w:ascii="仿宋_GB2312" w:eastAsia="仿宋_GB2312"/>
          <w:sz w:val="32"/>
          <w:szCs w:val="32"/>
        </w:rPr>
        <w:t>全会</w:t>
      </w:r>
      <w:r>
        <w:rPr>
          <w:rFonts w:hint="eastAsia" w:ascii="仿宋_GB2312" w:eastAsia="仿宋_GB2312"/>
          <w:sz w:val="32"/>
          <w:szCs w:val="32"/>
          <w:lang w:eastAsia="zh-CN"/>
        </w:rPr>
        <w:t>及</w:t>
      </w:r>
      <w:r>
        <w:rPr>
          <w:rFonts w:hint="eastAsia" w:ascii="仿宋_GB2312" w:eastAsia="仿宋_GB2312"/>
          <w:sz w:val="32"/>
          <w:szCs w:val="32"/>
        </w:rPr>
        <w:t>习近平总书记在福建、广西考察期间重要讲话精神、省委十一届八次全会、州委十一届十次全会、县委十二届十一次全会精神</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中国共产党章程</w:t>
      </w:r>
      <w:r>
        <w:rPr>
          <w:rFonts w:hint="eastAsia" w:ascii="仿宋_GB2312" w:eastAsia="仿宋_GB2312"/>
          <w:sz w:val="32"/>
          <w:szCs w:val="32"/>
        </w:rPr>
        <w:t>》《中国共产党简史》《论中国共产党历史》《民法典》《习近平新时代中国特色社会主义思想学习问答》《正确认识改革开放前和改革开放后两个历史时期》《十八大以来党和国家事业取得哪些历史性、根本性变革和成就》</w:t>
      </w:r>
      <w:r>
        <w:rPr>
          <w:rFonts w:hint="eastAsia" w:ascii="仿宋_GB2312" w:eastAsia="仿宋_GB2312" w:cs="仿宋_GB2312"/>
          <w:sz w:val="32"/>
          <w:szCs w:val="32"/>
          <w:lang w:eastAsia="zh-CN" w:bidi="ar-SA"/>
        </w:rPr>
        <w:t>等</w:t>
      </w:r>
      <w:r>
        <w:rPr>
          <w:rFonts w:hint="eastAsia" w:ascii="仿宋_GB2312" w:eastAsia="仿宋_GB2312"/>
          <w:sz w:val="32"/>
          <w:szCs w:val="32"/>
          <w:lang w:eastAsia="zh-CN"/>
        </w:rPr>
        <w:t>内容。</w:t>
      </w:r>
      <w:r>
        <w:rPr>
          <w:rFonts w:hint="eastAsia" w:ascii="仿宋_GB2312" w:eastAsia="仿宋_GB2312"/>
          <w:sz w:val="32"/>
          <w:szCs w:val="32"/>
        </w:rPr>
        <w:t>组织</w:t>
      </w:r>
      <w:r>
        <w:rPr>
          <w:rFonts w:hint="eastAsia" w:ascii="仿宋_GB2312" w:eastAsia="仿宋_GB2312"/>
          <w:sz w:val="32"/>
          <w:szCs w:val="32"/>
          <w:lang w:eastAsia="zh-CN"/>
        </w:rPr>
        <w:t>全体</w:t>
      </w:r>
      <w:r>
        <w:rPr>
          <w:rFonts w:hint="eastAsia" w:ascii="仿宋_GB2312" w:eastAsia="仿宋_GB2312"/>
          <w:sz w:val="32"/>
          <w:szCs w:val="32"/>
        </w:rPr>
        <w:t>党员</w:t>
      </w:r>
      <w:r>
        <w:rPr>
          <w:rFonts w:hint="eastAsia" w:ascii="仿宋_GB2312" w:eastAsia="仿宋_GB2312"/>
          <w:sz w:val="32"/>
          <w:szCs w:val="32"/>
          <w:lang w:eastAsia="zh-CN"/>
        </w:rPr>
        <w:t>干部</w:t>
      </w:r>
      <w:r>
        <w:rPr>
          <w:rFonts w:hint="eastAsia" w:ascii="仿宋_GB2312" w:eastAsia="仿宋_GB2312"/>
          <w:sz w:val="32"/>
          <w:szCs w:val="32"/>
        </w:rPr>
        <w:t>观看主题片《榜样5》，电影《党的女儿尹灵芝》《山歌》，茂县本土教育片《放羊娃的长征》《土门战役》等。认真开展“</w:t>
      </w:r>
      <w:r>
        <w:rPr>
          <w:rFonts w:hint="eastAsia" w:ascii="仿宋_GB2312" w:eastAsia="仿宋_GB2312" w:cs="方正小标宋简体"/>
          <w:color w:val="000000"/>
          <w:kern w:val="0"/>
          <w:sz w:val="32"/>
          <w:szCs w:val="32"/>
          <w:lang w:val="en-US" w:eastAsia="zh-CN" w:bidi="ar-SA"/>
        </w:rPr>
        <w:t>新民主主义革命时期历史</w:t>
      </w:r>
      <w:r>
        <w:rPr>
          <w:rFonts w:hint="eastAsia" w:ascii="仿宋_GB2312" w:eastAsia="仿宋_GB2312"/>
          <w:sz w:val="32"/>
          <w:szCs w:val="32"/>
        </w:rPr>
        <w:t>”“</w:t>
      </w:r>
      <w:r>
        <w:rPr>
          <w:rFonts w:hint="eastAsia" w:ascii="仿宋_GB2312" w:eastAsia="仿宋_GB2312" w:cs="方正小标宋简体"/>
          <w:color w:val="000000"/>
          <w:kern w:val="0"/>
          <w:sz w:val="32"/>
          <w:szCs w:val="32"/>
          <w:lang w:val="en-US" w:eastAsia="zh-CN" w:bidi="ar-SA"/>
        </w:rPr>
        <w:t>社会主义革命和建设时期历史”</w:t>
      </w:r>
      <w:r>
        <w:rPr>
          <w:rFonts w:hint="eastAsia" w:ascii="仿宋_GB2312" w:eastAsia="仿宋_GB2312"/>
          <w:sz w:val="32"/>
          <w:szCs w:val="32"/>
        </w:rPr>
        <w:t>“</w:t>
      </w:r>
      <w:r>
        <w:rPr>
          <w:rFonts w:hint="eastAsia" w:ascii="仿宋_GB2312" w:eastAsia="仿宋_GB2312" w:cs="方正小标宋简体"/>
          <w:color w:val="000000"/>
          <w:kern w:val="0"/>
          <w:sz w:val="32"/>
          <w:szCs w:val="32"/>
          <w:lang w:val="en-US" w:eastAsia="zh-CN" w:bidi="ar-SA"/>
        </w:rPr>
        <w:t>改革开放新时期历史</w:t>
      </w:r>
      <w:r>
        <w:rPr>
          <w:rFonts w:hint="eastAsia" w:ascii="仿宋_GB2312" w:eastAsia="仿宋_GB2312"/>
          <w:sz w:val="32"/>
          <w:szCs w:val="32"/>
        </w:rPr>
        <w:t>”“</w:t>
      </w:r>
      <w:r>
        <w:rPr>
          <w:rFonts w:hint="eastAsia" w:ascii="仿宋_GB2312" w:eastAsia="仿宋_GB2312" w:cs="方正小标宋简体"/>
          <w:color w:val="000000"/>
          <w:kern w:val="0"/>
          <w:sz w:val="32"/>
          <w:szCs w:val="32"/>
          <w:lang w:val="en-US" w:eastAsia="zh-CN" w:bidi="ar-SA"/>
        </w:rPr>
        <w:t>党的十八大以来历史</w:t>
      </w:r>
      <w:r>
        <w:rPr>
          <w:rFonts w:hint="eastAsia" w:ascii="仿宋_GB2312" w:eastAsia="仿宋_GB2312"/>
          <w:sz w:val="32"/>
          <w:szCs w:val="32"/>
        </w:rPr>
        <w:t>”的专题学习研讨</w:t>
      </w:r>
      <w:r>
        <w:rPr>
          <w:rFonts w:hint="eastAsia" w:ascii="仿宋_GB2312" w:eastAsia="仿宋_GB2312"/>
          <w:sz w:val="32"/>
          <w:szCs w:val="32"/>
          <w:lang w:eastAsia="zh-CN"/>
        </w:rPr>
        <w:t>等</w:t>
      </w:r>
      <w:r>
        <w:rPr>
          <w:rFonts w:hint="eastAsia" w:ascii="仿宋_GB2312" w:eastAsia="仿宋_GB2312"/>
          <w:sz w:val="32"/>
          <w:szCs w:val="32"/>
        </w:rPr>
        <w:t>。三是扎扎实实开展党课学习</w:t>
      </w:r>
      <w:r>
        <w:rPr>
          <w:rFonts w:hint="eastAsia" w:ascii="仿宋_GB2312" w:eastAsia="仿宋_GB2312"/>
          <w:sz w:val="32"/>
          <w:szCs w:val="32"/>
          <w:lang w:eastAsia="zh-CN"/>
        </w:rPr>
        <w:t>及主题活动</w:t>
      </w:r>
      <w:r>
        <w:rPr>
          <w:rFonts w:hint="eastAsia" w:ascii="仿宋_GB2312" w:eastAsia="仿宋_GB2312"/>
          <w:sz w:val="32"/>
          <w:szCs w:val="32"/>
        </w:rPr>
        <w:t>。党支部主要负责人带头讲专题党课，支部副书记到“两联一进”联系村（凤仪镇禹乡村）讲党课，以党课学习深化党史教育，严肃党纪、提升党性。同时</w:t>
      </w:r>
      <w:r>
        <w:rPr>
          <w:rFonts w:hint="eastAsia" w:ascii="仿宋_GB2312" w:eastAsia="仿宋_GB2312" w:cs="仿宋_GB2312"/>
          <w:sz w:val="32"/>
          <w:szCs w:val="32"/>
          <w:lang w:bidi="ar-SA"/>
        </w:rPr>
        <w:t>加强活动信息报送，及时发现亮点、总结成效。</w:t>
      </w:r>
      <w:r>
        <w:rPr>
          <w:rFonts w:hint="eastAsia" w:ascii="仿宋_GB2312" w:eastAsia="仿宋_GB2312"/>
          <w:kern w:val="0"/>
          <w:sz w:val="32"/>
          <w:szCs w:val="32"/>
        </w:rPr>
        <w:t>截至目前，已报送党史学习教育简报</w:t>
      </w:r>
      <w:r>
        <w:rPr>
          <w:rFonts w:hint="eastAsia" w:ascii="仿宋_GB2312" w:eastAsia="仿宋_GB2312"/>
          <w:kern w:val="0"/>
          <w:sz w:val="32"/>
          <w:szCs w:val="32"/>
          <w:lang w:val="en-US" w:eastAsia="zh-CN"/>
        </w:rPr>
        <w:t>54</w:t>
      </w:r>
      <w:r>
        <w:rPr>
          <w:rFonts w:hint="eastAsia" w:ascii="仿宋_GB2312" w:eastAsia="仿宋_GB2312"/>
          <w:kern w:val="0"/>
          <w:sz w:val="32"/>
          <w:szCs w:val="32"/>
        </w:rPr>
        <w:t>篇。</w:t>
      </w:r>
      <w:r>
        <w:rPr>
          <w:rFonts w:hint="eastAsia" w:ascii="仿宋_GB2312" w:eastAsia="仿宋_GB2312"/>
          <w:sz w:val="32"/>
          <w:szCs w:val="32"/>
        </w:rPr>
        <w:t>组织党员干部职工参加茂县庆祝中国共产党成立100周年“唱支羌歌给党听”比赛，获得优秀奖。</w:t>
      </w:r>
    </w:p>
    <w:p>
      <w:pPr>
        <w:pageBreakBefore w:val="0"/>
        <w:widowControl w:val="0"/>
        <w:kinsoku/>
        <w:wordWrap/>
        <w:topLinePunct w:val="0"/>
        <w:bidi w:val="0"/>
        <w:adjustRightInd w:val="0"/>
        <w:snapToGrid w:val="0"/>
        <w:spacing w:line="576" w:lineRule="exact"/>
        <w:ind w:firstLine="642" w:firstLineChars="200"/>
        <w:textAlignment w:val="auto"/>
        <w:rPr>
          <w:rFonts w:hint="eastAsia" w:ascii="仿宋_GB2312" w:eastAsia="仿宋_GB2312" w:cs="仿宋_GB2312"/>
          <w:sz w:val="32"/>
          <w:szCs w:val="32"/>
          <w:shd w:val="clear" w:color="auto" w:fill="FFFFFF"/>
          <w:lang w:bidi="ar-SA"/>
        </w:rPr>
      </w:pPr>
      <w:r>
        <w:rPr>
          <w:rFonts w:hint="eastAsia" w:ascii="楷体_GB2312" w:eastAsia="楷体_GB2312"/>
          <w:b/>
          <w:sz w:val="32"/>
          <w:szCs w:val="32"/>
        </w:rPr>
        <w:t>抓党建凝合力。</w:t>
      </w:r>
      <w:r>
        <w:rPr>
          <w:rFonts w:hint="eastAsia" w:ascii="仿宋_GB2312" w:eastAsia="仿宋_GB2312" w:cs="仿宋_GB2312"/>
          <w:sz w:val="32"/>
          <w:szCs w:val="32"/>
          <w:lang w:bidi="ar-SA"/>
        </w:rPr>
        <w:t>成立党建工作领导小组，召开专题会议研究部署党建工作，制定党建工作计划。按照党建工作“一岗双责”的要求，将党建工作任务细化分解落实到支部和相关股室，确保党建工作有人管、有人抓。</w:t>
      </w:r>
      <w:r>
        <w:rPr>
          <w:rFonts w:hint="eastAsia" w:ascii="仿宋_GB2312" w:eastAsia="仿宋_GB2312" w:cs="仿宋_GB2312"/>
          <w:sz w:val="32"/>
          <w:szCs w:val="32"/>
          <w:shd w:val="clear" w:color="auto" w:fill="FFFFFF"/>
          <w:lang w:bidi="ar-SA"/>
        </w:rPr>
        <w:t>认真召开</w:t>
      </w:r>
      <w:r>
        <w:rPr>
          <w:rFonts w:hint="eastAsia" w:ascii="仿宋_GB2312" w:eastAsia="仿宋_GB2312" w:cs="仿宋_GB2312"/>
          <w:sz w:val="32"/>
          <w:szCs w:val="32"/>
          <w:shd w:val="clear" w:color="auto" w:fill="FFFFFF"/>
          <w:lang w:eastAsia="zh-CN" w:bidi="ar-SA"/>
        </w:rPr>
        <w:t>上半年</w:t>
      </w:r>
      <w:r>
        <w:rPr>
          <w:rFonts w:hint="eastAsia" w:ascii="仿宋_GB2312" w:eastAsia="仿宋_GB2312" w:cs="仿宋_GB2312"/>
          <w:sz w:val="32"/>
          <w:szCs w:val="32"/>
          <w:shd w:val="clear" w:color="auto" w:fill="FFFFFF"/>
          <w:lang w:bidi="ar-SA"/>
        </w:rPr>
        <w:t>科级班子民主生活会、党支部组织生活会，开展批评与自批评，认真查找问题，及时进行整改，进一步提高党员干部的思想意识，凝聚了党员干部工作合力。支部书记经常与支部委员之间进行交流、谈心，增进信任，进一步增强了支部的战斗堡垒作用。</w:t>
      </w:r>
    </w:p>
    <w:p>
      <w:pPr>
        <w:pageBreakBefore w:val="0"/>
        <w:widowControl w:val="0"/>
        <w:kinsoku/>
        <w:wordWrap/>
        <w:topLinePunct w:val="0"/>
        <w:bidi w:val="0"/>
        <w:adjustRightInd w:val="0"/>
        <w:snapToGrid w:val="0"/>
        <w:spacing w:line="576" w:lineRule="exact"/>
        <w:ind w:firstLine="642" w:firstLineChars="200"/>
        <w:textAlignment w:val="auto"/>
        <w:rPr>
          <w:rFonts w:hint="eastAsia" w:ascii="楷体_GB2312" w:eastAsia="楷体_GB2312"/>
          <w:b/>
          <w:sz w:val="32"/>
          <w:szCs w:val="32"/>
        </w:rPr>
      </w:pPr>
      <w:r>
        <w:rPr>
          <w:rFonts w:hint="eastAsia" w:ascii="楷体_GB2312" w:eastAsia="楷体_GB2312"/>
          <w:b/>
          <w:sz w:val="32"/>
          <w:szCs w:val="32"/>
        </w:rPr>
        <w:t>抓意识营氛围。</w:t>
      </w:r>
      <w:r>
        <w:rPr>
          <w:rFonts w:hint="eastAsia" w:ascii="仿宋_GB2312" w:eastAsia="仿宋_GB2312"/>
          <w:sz w:val="32"/>
          <w:szCs w:val="32"/>
        </w:rPr>
        <w:t>按照守土有责、守土负责、守土尽责的要求，牢牢把握意识形态工作主动权，全面落实意识形态工作责任制，坚持将意识形态工作与业务工作同部署、同落实，把意识形态工作纳入党建工作，纳入领导班子成员民主生活会和述职报告的重要内容，建立健全意识形态工作研判机制，坚持意识形态工作原则，坚持“四同”机制，全力打好意识形态工作主动战。强化</w:t>
      </w:r>
      <w:r>
        <w:rPr>
          <w:rFonts w:hint="eastAsia" w:ascii="仿宋_GB2312" w:eastAsia="仿宋_GB2312"/>
          <w:spacing w:val="8"/>
          <w:sz w:val="32"/>
          <w:szCs w:val="32"/>
          <w:shd w:val="clear" w:color="auto" w:fill="FFFFFF"/>
        </w:rPr>
        <w:t>党管宣传工作，着力加强宣传思想阵地建设与管理，引导全体干部职工充分利用“学习强国”APP，加强政治理论、法律法规及上级政策学习，切实提升干部职工的思想政治素质；充分利用县政府门户网站，加强脱贫攻坚、生态环境保护、民族团结进步、惠农惠民政策等宣传，</w:t>
      </w:r>
      <w:r>
        <w:rPr>
          <w:rFonts w:hint="eastAsia" w:ascii="仿宋_GB2312" w:eastAsia="仿宋_GB2312"/>
          <w:sz w:val="32"/>
          <w:szCs w:val="32"/>
        </w:rPr>
        <w:t>传播凝聚正能量。</w:t>
      </w:r>
    </w:p>
    <w:p>
      <w:pPr>
        <w:pageBreakBefore w:val="0"/>
        <w:widowControl w:val="0"/>
        <w:kinsoku/>
        <w:wordWrap/>
        <w:topLinePunct w:val="0"/>
        <w:bidi w:val="0"/>
        <w:adjustRightInd w:val="0"/>
        <w:snapToGrid w:val="0"/>
        <w:spacing w:line="576" w:lineRule="exact"/>
        <w:ind w:firstLine="640" w:firstLineChars="200"/>
        <w:textAlignment w:val="auto"/>
        <w:rPr>
          <w:rFonts w:hint="eastAsia" w:ascii="黑体" w:eastAsia="黑体"/>
          <w:sz w:val="32"/>
          <w:szCs w:val="32"/>
        </w:rPr>
      </w:pPr>
      <w:r>
        <w:rPr>
          <w:rFonts w:hint="eastAsia" w:ascii="黑体" w:eastAsia="黑体"/>
          <w:spacing w:val="0"/>
          <w:sz w:val="32"/>
          <w:szCs w:val="32"/>
        </w:rPr>
        <w:t>2.坚持</w:t>
      </w:r>
      <w:r>
        <w:rPr>
          <w:rFonts w:hint="eastAsia" w:ascii="黑体" w:eastAsia="黑体"/>
          <w:spacing w:val="0"/>
          <w:sz w:val="32"/>
          <w:szCs w:val="32"/>
          <w:lang w:eastAsia="zh-CN"/>
        </w:rPr>
        <w:t>求真务实</w:t>
      </w:r>
      <w:r>
        <w:rPr>
          <w:rFonts w:hint="eastAsia" w:ascii="黑体" w:eastAsia="黑体"/>
          <w:sz w:val="32"/>
          <w:szCs w:val="32"/>
        </w:rPr>
        <w:t>，推动各项工作运转</w:t>
      </w:r>
    </w:p>
    <w:p>
      <w:pPr>
        <w:pageBreakBefore w:val="0"/>
        <w:widowControl w:val="0"/>
        <w:kinsoku/>
        <w:wordWrap/>
        <w:topLinePunct w:val="0"/>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一年来，坚持以政务运行为主体，强化服务保障能力，精心办文，周密办会，悉心调研，统筹协调，全力确保各项工作运转。</w:t>
      </w:r>
    </w:p>
    <w:p>
      <w:pPr>
        <w:pStyle w:val="40"/>
        <w:pageBreakBefore w:val="0"/>
        <w:widowControl w:val="0"/>
        <w:kinsoku/>
        <w:wordWrap/>
        <w:topLinePunct w:val="0"/>
        <w:autoSpaceDN w:val="0"/>
        <w:bidi w:val="0"/>
        <w:spacing w:line="576" w:lineRule="exact"/>
        <w:ind w:firstLine="627"/>
        <w:textAlignment w:val="auto"/>
        <w:rPr>
          <w:rFonts w:hint="eastAsia" w:ascii="仿宋_GB2312" w:eastAsia="仿宋_GB2312"/>
          <w:sz w:val="32"/>
          <w:szCs w:val="32"/>
        </w:rPr>
      </w:pPr>
      <w:r>
        <w:rPr>
          <w:rFonts w:hint="eastAsia" w:ascii="楷体_GB2312" w:eastAsia="楷体_GB2312" w:cs="楷体_GB2312"/>
          <w:b/>
          <w:sz w:val="32"/>
          <w:szCs w:val="32"/>
          <w:lang w:bidi="ar-SA"/>
        </w:rPr>
        <w:t>高质量</w:t>
      </w:r>
      <w:r>
        <w:rPr>
          <w:rFonts w:hint="eastAsia" w:ascii="楷体_GB2312" w:eastAsia="楷体_GB2312" w:cs="楷体_GB2312"/>
          <w:b/>
          <w:sz w:val="32"/>
          <w:szCs w:val="32"/>
          <w:lang w:eastAsia="zh-CN" w:bidi="ar-SA"/>
        </w:rPr>
        <w:t>严要求</w:t>
      </w:r>
      <w:r>
        <w:rPr>
          <w:rFonts w:hint="eastAsia" w:ascii="楷体_GB2312" w:eastAsia="楷体_GB2312" w:cs="楷体_GB2312"/>
          <w:b/>
          <w:sz w:val="32"/>
          <w:szCs w:val="32"/>
          <w:lang w:bidi="ar-SA"/>
        </w:rPr>
        <w:t>做好办文办会。</w:t>
      </w:r>
      <w:r>
        <w:rPr>
          <w:rFonts w:hint="eastAsia" w:ascii="仿宋_GB2312" w:eastAsia="仿宋_GB2312"/>
          <w:sz w:val="32"/>
          <w:szCs w:val="32"/>
        </w:rPr>
        <w:t>坚持把服务大局、当好参谋作为政府办公室的重要职责，在文稿起草、办文办会等重点工作上，坚持高标准、高质量，并强化保密意识，严格规范管理档案资料，努力提升政务服务水平。全年来，县政府办公室协助县政府领导完成</w:t>
      </w:r>
      <w:r>
        <w:rPr>
          <w:rFonts w:hint="eastAsia" w:ascii="仿宋_GB2312" w:eastAsia="仿宋_GB2312"/>
          <w:sz w:val="32"/>
          <w:szCs w:val="32"/>
          <w:lang w:val="en-US" w:eastAsia="zh-CN"/>
        </w:rPr>
        <w:t>20余</w:t>
      </w:r>
      <w:r>
        <w:rPr>
          <w:rFonts w:hint="eastAsia" w:ascii="仿宋_GB2312" w:eastAsia="仿宋_GB2312"/>
          <w:sz w:val="32"/>
          <w:szCs w:val="32"/>
        </w:rPr>
        <w:t>篇调研报告，承接起草县政府领导讲话材料</w:t>
      </w:r>
      <w:r>
        <w:rPr>
          <w:rFonts w:hint="eastAsia" w:ascii="仿宋_GB2312" w:eastAsia="仿宋_GB2312"/>
          <w:sz w:val="32"/>
          <w:szCs w:val="32"/>
          <w:lang w:val="en-US" w:eastAsia="zh-CN"/>
        </w:rPr>
        <w:t>、</w:t>
      </w:r>
      <w:r>
        <w:rPr>
          <w:rFonts w:hint="eastAsia" w:ascii="仿宋_GB2312" w:eastAsia="仿宋_GB2312"/>
          <w:sz w:val="32"/>
          <w:szCs w:val="32"/>
        </w:rPr>
        <w:t>汇报材料</w:t>
      </w:r>
      <w:r>
        <w:rPr>
          <w:rFonts w:hint="eastAsia" w:ascii="仿宋_GB2312" w:eastAsia="仿宋_GB2312"/>
          <w:sz w:val="32"/>
          <w:szCs w:val="32"/>
          <w:lang w:val="en-US" w:eastAsia="zh-CN"/>
        </w:rPr>
        <w:t>200</w:t>
      </w:r>
      <w:r>
        <w:rPr>
          <w:rFonts w:hint="eastAsia" w:ascii="仿宋_GB2312" w:eastAsia="仿宋_GB2312"/>
          <w:sz w:val="32"/>
          <w:szCs w:val="32"/>
        </w:rPr>
        <w:t>余稿；承办了县政府全体会议</w:t>
      </w:r>
      <w:r>
        <w:rPr>
          <w:rFonts w:hint="eastAsia" w:ascii="仿宋_GB2312" w:eastAsia="仿宋_GB2312"/>
          <w:sz w:val="32"/>
          <w:szCs w:val="32"/>
          <w:lang w:val="en-US" w:eastAsia="zh-CN"/>
        </w:rPr>
        <w:t>2</w:t>
      </w:r>
      <w:r>
        <w:rPr>
          <w:rFonts w:hint="eastAsia" w:ascii="仿宋_GB2312" w:eastAsia="仿宋_GB2312"/>
          <w:sz w:val="32"/>
          <w:szCs w:val="32"/>
        </w:rPr>
        <w:t>次、常务会议</w:t>
      </w:r>
      <w:r>
        <w:rPr>
          <w:rFonts w:hint="eastAsia" w:ascii="仿宋_GB2312" w:eastAsia="仿宋_GB2312"/>
          <w:sz w:val="32"/>
          <w:szCs w:val="32"/>
          <w:lang w:val="en-US" w:eastAsia="zh-CN"/>
        </w:rPr>
        <w:t>20</w:t>
      </w:r>
      <w:r>
        <w:rPr>
          <w:rFonts w:hint="eastAsia" w:ascii="仿宋_GB2312" w:eastAsia="仿宋_GB2312"/>
          <w:sz w:val="32"/>
          <w:szCs w:val="32"/>
        </w:rPr>
        <w:t>次、各类专题会议</w:t>
      </w:r>
      <w:r>
        <w:rPr>
          <w:rFonts w:hint="eastAsia" w:ascii="仿宋_GB2312" w:eastAsia="仿宋_GB2312"/>
          <w:sz w:val="32"/>
          <w:szCs w:val="32"/>
          <w:lang w:val="en-US" w:eastAsia="zh-CN"/>
        </w:rPr>
        <w:t>100</w:t>
      </w:r>
      <w:r>
        <w:rPr>
          <w:rFonts w:hint="eastAsia" w:ascii="仿宋_GB2312" w:eastAsia="仿宋_GB2312"/>
          <w:sz w:val="32"/>
          <w:szCs w:val="32"/>
        </w:rPr>
        <w:t>余次。</w:t>
      </w:r>
    </w:p>
    <w:p>
      <w:pPr>
        <w:pageBreakBefore w:val="0"/>
        <w:widowControl w:val="0"/>
        <w:kinsoku/>
        <w:wordWrap/>
        <w:topLinePunct w:val="0"/>
        <w:bidi w:val="0"/>
        <w:spacing w:line="576" w:lineRule="exact"/>
        <w:ind w:left="0" w:firstLine="642" w:firstLineChars="200"/>
        <w:textAlignment w:val="auto"/>
        <w:rPr>
          <w:rFonts w:hint="eastAsia" w:ascii="楷体_GB2312" w:eastAsia="楷体_GB2312" w:cs="宋体"/>
          <w:b/>
          <w:sz w:val="32"/>
          <w:szCs w:val="32"/>
          <w:lang w:bidi="ar-SA"/>
        </w:rPr>
      </w:pPr>
      <w:r>
        <w:rPr>
          <w:rFonts w:hint="eastAsia" w:ascii="楷体_GB2312" w:eastAsia="楷体_GB2312"/>
          <w:b/>
          <w:bCs/>
          <w:sz w:val="32"/>
          <w:szCs w:val="32"/>
        </w:rPr>
        <w:t>做好新冠肺炎疫情防控工作。</w:t>
      </w:r>
      <w:r>
        <w:rPr>
          <w:rFonts w:hint="eastAsia" w:ascii="仿宋_GB2312" w:eastAsia="仿宋_GB2312"/>
          <w:sz w:val="32"/>
          <w:szCs w:val="32"/>
        </w:rPr>
        <w:t>一是配合抓好疫情防控指挥部外事组工作。按照“外防输入、内防反弹”的要求，加强茂县籍身处境外人员摸排并建立台账，加强与公安、卫健等部门的沟通联系，准确掌握具有茂县户籍且身处境外人员的行踪，对自境外回县人员严格落实集中留观措施。二是主动抓好机关内部疫情防控工作。切实加强干部职工家庭湖北返（来）县人员摸排和全面掌握</w:t>
      </w:r>
      <w:r>
        <w:rPr>
          <w:rFonts w:hint="eastAsia" w:ascii="仿宋_GB2312" w:eastAsia="仿宋_GB2312" w:cs="仿宋_GB2312"/>
          <w:sz w:val="32"/>
          <w:szCs w:val="32"/>
          <w:lang w:bidi="ar-SA"/>
        </w:rPr>
        <w:t>春节后干部职工返岗轨迹</w:t>
      </w:r>
      <w:r>
        <w:rPr>
          <w:rFonts w:hint="eastAsia" w:ascii="仿宋_GB2312" w:eastAsia="仿宋_GB2312"/>
          <w:sz w:val="32"/>
          <w:szCs w:val="32"/>
        </w:rPr>
        <w:t>，要求不准聚集、聚会、聚餐，落实群防群控措施。</w:t>
      </w:r>
    </w:p>
    <w:p>
      <w:pPr>
        <w:pageBreakBefore w:val="0"/>
        <w:widowControl w:val="0"/>
        <w:kinsoku/>
        <w:wordWrap/>
        <w:topLinePunct w:val="0"/>
        <w:bidi w:val="0"/>
        <w:spacing w:line="576" w:lineRule="exact"/>
        <w:ind w:firstLine="481" w:firstLineChars="150"/>
        <w:textAlignment w:val="auto"/>
        <w:rPr>
          <w:rFonts w:hint="eastAsia" w:ascii="仿宋_GB2312" w:eastAsia="仿宋_GB2312" w:cs="仿宋_GB2312"/>
          <w:sz w:val="32"/>
          <w:szCs w:val="32"/>
          <w:lang w:val="en-US" w:eastAsia="zh-CN" w:bidi="ar-SA"/>
        </w:rPr>
      </w:pPr>
      <w:r>
        <w:rPr>
          <w:rFonts w:hint="eastAsia" w:ascii="楷体_GB2312" w:eastAsia="楷体_GB2312"/>
          <w:b/>
          <w:bCs/>
          <w:sz w:val="32"/>
          <w:szCs w:val="32"/>
        </w:rPr>
        <w:t>扎实开展“我为群众办实事”。</w:t>
      </w:r>
      <w:r>
        <w:rPr>
          <w:rFonts w:hint="eastAsia" w:ascii="仿宋_GB2312" w:eastAsia="仿宋_GB2312"/>
          <w:b/>
          <w:bCs/>
          <w:sz w:val="32"/>
          <w:szCs w:val="32"/>
        </w:rPr>
        <w:t>一是</w:t>
      </w:r>
      <w:r>
        <w:rPr>
          <w:rFonts w:hint="eastAsia" w:ascii="仿宋_GB2312" w:eastAsia="仿宋_GB2312"/>
          <w:sz w:val="32"/>
          <w:szCs w:val="32"/>
        </w:rPr>
        <w:t>结合“两联一进”工作，深入开展群众走访工作，广泛收集群众意见建议。召开</w:t>
      </w:r>
      <w:r>
        <w:rPr>
          <w:rFonts w:hint="eastAsia" w:ascii="仿宋_GB2312" w:eastAsia="仿宋_GB2312"/>
          <w:color w:val="000000"/>
          <w:spacing w:val="0"/>
          <w:sz w:val="32"/>
          <w:szCs w:val="32"/>
        </w:rPr>
        <w:t>党风廉政建设社会满意度评价专题会</w:t>
      </w:r>
      <w:r>
        <w:rPr>
          <w:rFonts w:hint="eastAsia" w:ascii="仿宋_GB2312" w:eastAsia="仿宋_GB2312"/>
          <w:color w:val="000000"/>
          <w:spacing w:val="0"/>
          <w:sz w:val="32"/>
          <w:szCs w:val="32"/>
          <w:lang w:val="en-US" w:eastAsia="zh-CN"/>
        </w:rPr>
        <w:t>1</w:t>
      </w:r>
      <w:r>
        <w:rPr>
          <w:rFonts w:hint="eastAsia" w:ascii="仿宋_GB2312" w:eastAsia="仿宋_GB2312"/>
          <w:color w:val="000000"/>
          <w:spacing w:val="0"/>
          <w:sz w:val="32"/>
          <w:szCs w:val="32"/>
        </w:rPr>
        <w:t>次，组织干部职工开展2021年社会满意评价知识宣传民意调查，</w:t>
      </w:r>
      <w:r>
        <w:rPr>
          <w:rFonts w:hint="eastAsia" w:ascii="仿宋_GB2312" w:eastAsia="仿宋_GB2312"/>
          <w:sz w:val="32"/>
          <w:szCs w:val="32"/>
        </w:rPr>
        <w:t>完成县委、县纪委监委安排的社会满意度调查宣传宣讲和民意调查216户，“联户联情”走访联系户</w:t>
      </w:r>
      <w:r>
        <w:rPr>
          <w:rFonts w:hint="eastAsia" w:ascii="仿宋_GB2312" w:eastAsia="仿宋_GB2312"/>
          <w:sz w:val="32"/>
          <w:szCs w:val="32"/>
          <w:lang w:val="en-US" w:eastAsia="zh-CN"/>
        </w:rPr>
        <w:t>1200余</w:t>
      </w:r>
      <w:r>
        <w:rPr>
          <w:rFonts w:hint="eastAsia" w:ascii="仿宋_GB2312" w:eastAsia="仿宋_GB2312"/>
          <w:sz w:val="32"/>
          <w:szCs w:val="32"/>
        </w:rPr>
        <w:t>户次，收集群众诉求</w:t>
      </w:r>
      <w:r>
        <w:rPr>
          <w:rFonts w:hint="eastAsia" w:ascii="仿宋_GB2312" w:eastAsia="仿宋_GB2312"/>
          <w:sz w:val="32"/>
          <w:szCs w:val="32"/>
          <w:lang w:val="en-US" w:eastAsia="zh-CN"/>
        </w:rPr>
        <w:t>23</w:t>
      </w:r>
      <w:r>
        <w:rPr>
          <w:rFonts w:hint="eastAsia" w:ascii="仿宋_GB2312" w:eastAsia="仿宋_GB2312"/>
          <w:sz w:val="32"/>
          <w:szCs w:val="32"/>
        </w:rPr>
        <w:t>件，已全部协调解决。</w:t>
      </w:r>
      <w:r>
        <w:rPr>
          <w:rFonts w:hint="eastAsia" w:ascii="仿宋_GB2312" w:eastAsia="仿宋_GB2312"/>
          <w:b/>
          <w:bCs/>
          <w:sz w:val="32"/>
          <w:szCs w:val="32"/>
        </w:rPr>
        <w:t>二是</w:t>
      </w:r>
      <w:r>
        <w:rPr>
          <w:rFonts w:hint="eastAsia" w:ascii="仿宋_GB2312" w:eastAsia="仿宋_GB2312"/>
          <w:sz w:val="32"/>
          <w:szCs w:val="32"/>
        </w:rPr>
        <w:t>“七一”开展退伍军人慰问活动，走访慰问</w:t>
      </w:r>
      <w:r>
        <w:rPr>
          <w:rFonts w:hint="eastAsia" w:ascii="仿宋_GB2312" w:eastAsia="仿宋_GB2312"/>
          <w:sz w:val="32"/>
          <w:szCs w:val="32"/>
          <w:lang w:val="en-US" w:eastAsia="zh-CN"/>
        </w:rPr>
        <w:t>16</w:t>
      </w:r>
      <w:r>
        <w:rPr>
          <w:rFonts w:hint="eastAsia" w:ascii="仿宋_GB2312" w:eastAsia="仿宋_GB2312"/>
          <w:sz w:val="32"/>
          <w:szCs w:val="32"/>
        </w:rPr>
        <w:t>人。</w:t>
      </w:r>
      <w:r>
        <w:rPr>
          <w:rFonts w:hint="eastAsia" w:ascii="仿宋_GB2312" w:eastAsia="仿宋_GB2312"/>
          <w:b/>
          <w:bCs/>
          <w:sz w:val="32"/>
          <w:szCs w:val="32"/>
        </w:rPr>
        <w:t>三是</w:t>
      </w:r>
      <w:r>
        <w:rPr>
          <w:rFonts w:hint="eastAsia" w:ascii="仿宋_GB2312" w:eastAsia="仿宋_GB2312"/>
          <w:sz w:val="32"/>
          <w:szCs w:val="32"/>
        </w:rPr>
        <w:t>组织支部党员定期开展县城内街道环境卫生整治活动，倡导开展爱国卫生宣传。</w:t>
      </w:r>
    </w:p>
    <w:p>
      <w:pPr>
        <w:pageBreakBefore w:val="0"/>
        <w:widowControl w:val="0"/>
        <w:kinsoku/>
        <w:wordWrap/>
        <w:topLinePunct w:val="0"/>
        <w:bidi w:val="0"/>
        <w:spacing w:line="576" w:lineRule="exact"/>
        <w:ind w:left="0" w:firstLine="481" w:firstLineChars="150"/>
        <w:textAlignment w:val="auto"/>
        <w:rPr>
          <w:rFonts w:hint="eastAsia" w:ascii="楷体_GB2312" w:eastAsia="楷体_GB2312"/>
          <w:b/>
          <w:bCs/>
          <w:sz w:val="32"/>
          <w:szCs w:val="32"/>
        </w:rPr>
      </w:pPr>
      <w:r>
        <w:rPr>
          <w:rFonts w:hint="eastAsia" w:ascii="楷体_GB2312" w:eastAsia="楷体_GB2312"/>
          <w:b/>
          <w:bCs/>
          <w:sz w:val="32"/>
          <w:szCs w:val="32"/>
        </w:rPr>
        <w:t>坚持</w:t>
      </w:r>
      <w:r>
        <w:rPr>
          <w:rFonts w:hint="eastAsia" w:ascii="楷体_GB2312" w:eastAsia="楷体_GB2312" w:cs="仿宋_GB2312"/>
          <w:b/>
          <w:bCs/>
          <w:sz w:val="32"/>
          <w:szCs w:val="32"/>
          <w:lang w:bidi="ar-SA"/>
        </w:rPr>
        <w:t>重大事项</w:t>
      </w:r>
      <w:r>
        <w:rPr>
          <w:rFonts w:hint="eastAsia" w:ascii="楷体_GB2312" w:eastAsia="楷体_GB2312"/>
          <w:b/>
          <w:bCs/>
          <w:sz w:val="32"/>
          <w:szCs w:val="32"/>
        </w:rPr>
        <w:t>集体决策。</w:t>
      </w:r>
      <w:r>
        <w:rPr>
          <w:rFonts w:hint="eastAsia" w:ascii="仿宋_GB2312" w:eastAsia="仿宋_GB2312"/>
          <w:sz w:val="32"/>
          <w:szCs w:val="32"/>
        </w:rPr>
        <w:t>召开202</w:t>
      </w:r>
      <w:r>
        <w:rPr>
          <w:rFonts w:hint="eastAsia" w:ascii="仿宋_GB2312" w:eastAsia="仿宋_GB2312"/>
          <w:sz w:val="32"/>
          <w:szCs w:val="32"/>
          <w:lang w:val="en-US" w:eastAsia="zh-CN"/>
        </w:rPr>
        <w:t>1</w:t>
      </w:r>
      <w:r>
        <w:rPr>
          <w:rFonts w:hint="eastAsia" w:ascii="仿宋_GB2312" w:eastAsia="仿宋_GB2312"/>
          <w:sz w:val="32"/>
          <w:szCs w:val="32"/>
        </w:rPr>
        <w:t>年茂县人民政府办公室主任(扩大)会议</w:t>
      </w:r>
      <w:r>
        <w:rPr>
          <w:rFonts w:hint="eastAsia" w:ascii="仿宋_GB2312" w:eastAsia="仿宋_GB2312"/>
          <w:sz w:val="32"/>
          <w:szCs w:val="32"/>
          <w:lang w:val="en-US" w:eastAsia="zh-CN"/>
        </w:rPr>
        <w:t>9</w:t>
      </w:r>
      <w:r>
        <w:rPr>
          <w:rFonts w:hint="eastAsia" w:ascii="仿宋_GB2312" w:eastAsia="仿宋_GB2312"/>
          <w:sz w:val="32"/>
          <w:szCs w:val="32"/>
        </w:rPr>
        <w:t>次，集体研究大额资金支付、推荐拟任科级领导干部人选、</w:t>
      </w:r>
      <w:r>
        <w:rPr>
          <w:rFonts w:hint="eastAsia" w:ascii="仿宋_GB2312" w:eastAsia="仿宋_GB2312" w:cs="宋体"/>
          <w:sz w:val="32"/>
          <w:szCs w:val="32"/>
          <w:lang w:bidi="ar-SA"/>
        </w:rPr>
        <w:t>2020年度目标绩效奖分配等事宜</w:t>
      </w:r>
      <w:r>
        <w:rPr>
          <w:rFonts w:hint="eastAsia" w:ascii="仿宋_GB2312" w:eastAsia="仿宋_GB2312"/>
          <w:sz w:val="32"/>
          <w:szCs w:val="32"/>
          <w:lang w:eastAsia="zh-CN"/>
        </w:rPr>
        <w:t>。</w:t>
      </w:r>
      <w:r>
        <w:rPr>
          <w:rFonts w:hint="eastAsia" w:ascii="仿宋_GB2312" w:eastAsia="仿宋_GB2312"/>
          <w:sz w:val="32"/>
          <w:szCs w:val="32"/>
        </w:rPr>
        <w:t>集体决定向组织推荐</w:t>
      </w:r>
      <w:r>
        <w:rPr>
          <w:rFonts w:hint="eastAsia" w:ascii="仿宋_GB2312" w:eastAsia="仿宋_GB2312"/>
          <w:sz w:val="32"/>
          <w:szCs w:val="32"/>
          <w:lang w:val="en-US" w:eastAsia="zh-CN"/>
        </w:rPr>
        <w:t>1</w:t>
      </w:r>
      <w:r>
        <w:rPr>
          <w:rFonts w:hint="eastAsia" w:ascii="仿宋_GB2312" w:eastAsia="仿宋_GB2312"/>
          <w:sz w:val="32"/>
          <w:szCs w:val="32"/>
        </w:rPr>
        <w:t>人</w:t>
      </w:r>
      <w:r>
        <w:rPr>
          <w:rFonts w:ascii="Times New Roman" w:hAnsi="Times New Roman" w:eastAsia="仿宋_GB2312" w:cs="Times New Roman"/>
          <w:sz w:val="32"/>
          <w:szCs w:val="32"/>
          <w:lang w:val="en-US" w:eastAsia="zh-CN" w:bidi="ar-SA"/>
        </w:rPr>
        <w:t>拟任</w:t>
      </w:r>
      <w:r>
        <w:rPr>
          <w:rFonts w:hint="eastAsia" w:eastAsia="仿宋_GB2312" w:cs="Times New Roman"/>
          <w:sz w:val="32"/>
          <w:szCs w:val="32"/>
          <w:lang w:val="en-US" w:eastAsia="zh-CN" w:bidi="ar-SA"/>
        </w:rPr>
        <w:t>正</w:t>
      </w:r>
      <w:r>
        <w:rPr>
          <w:rFonts w:hint="eastAsia" w:ascii="仿宋_GB2312" w:eastAsia="仿宋_GB2312"/>
          <w:sz w:val="32"/>
          <w:szCs w:val="32"/>
        </w:rPr>
        <w:t>科级领导职务</w:t>
      </w:r>
      <w:r>
        <w:rPr>
          <w:rFonts w:hint="eastAsia" w:ascii="仿宋_GB2312" w:eastAsia="仿宋_GB2312"/>
          <w:sz w:val="32"/>
          <w:szCs w:val="32"/>
          <w:lang w:eastAsia="zh-CN"/>
        </w:rPr>
        <w:t>、</w:t>
      </w:r>
      <w:r>
        <w:rPr>
          <w:rFonts w:hint="eastAsia" w:ascii="仿宋_GB2312" w:eastAsia="仿宋_GB2312"/>
          <w:sz w:val="32"/>
          <w:szCs w:val="32"/>
          <w:lang w:val="en-US" w:eastAsia="zh-CN"/>
        </w:rPr>
        <w:t>2人拟任副科级领导职务</w:t>
      </w:r>
      <w:r>
        <w:rPr>
          <w:rFonts w:hint="eastAsia" w:ascii="仿宋_GB2312" w:eastAsia="仿宋_GB2312"/>
          <w:sz w:val="32"/>
          <w:szCs w:val="32"/>
        </w:rPr>
        <w:t>，集体决定对</w:t>
      </w:r>
      <w:r>
        <w:rPr>
          <w:rFonts w:hint="eastAsia" w:ascii="仿宋_GB2312" w:eastAsia="仿宋_GB2312"/>
          <w:sz w:val="32"/>
          <w:szCs w:val="32"/>
          <w:lang w:val="en-US" w:eastAsia="zh-CN"/>
        </w:rPr>
        <w:t>6</w:t>
      </w:r>
      <w:r>
        <w:rPr>
          <w:rFonts w:hint="eastAsia" w:ascii="仿宋_GB2312" w:eastAsia="仿宋_GB2312"/>
          <w:sz w:val="32"/>
          <w:szCs w:val="32"/>
        </w:rPr>
        <w:t>名优秀工作人员进行嘉奖</w:t>
      </w:r>
      <w:r>
        <w:rPr>
          <w:rFonts w:hint="eastAsia" w:ascii="仿宋_GB2312" w:eastAsia="仿宋_GB2312" w:cs="Arial"/>
          <w:color w:val="333333"/>
          <w:sz w:val="32"/>
          <w:szCs w:val="32"/>
          <w:shd w:val="clear" w:color="auto" w:fill="FFFFFF"/>
          <w:lang w:bidi="ar-SA"/>
        </w:rPr>
        <w:t>。</w:t>
      </w:r>
    </w:p>
    <w:p>
      <w:pPr>
        <w:pageBreakBefore w:val="0"/>
        <w:widowControl w:val="0"/>
        <w:kinsoku/>
        <w:wordWrap/>
        <w:topLinePunct w:val="0"/>
        <w:bidi w:val="0"/>
        <w:spacing w:line="576" w:lineRule="exact"/>
        <w:ind w:firstLine="481" w:firstLineChars="150"/>
        <w:textAlignment w:val="auto"/>
        <w:rPr>
          <w:rFonts w:hint="eastAsia" w:ascii="仿宋_GB2312" w:eastAsia="仿宋_GB2312" w:cs="仿宋_GB2312"/>
          <w:sz w:val="32"/>
          <w:szCs w:val="32"/>
          <w:lang w:val="en-US" w:eastAsia="zh-CN" w:bidi="ar-SA"/>
        </w:rPr>
      </w:pPr>
      <w:r>
        <w:rPr>
          <w:rFonts w:hint="eastAsia" w:ascii="楷体_GB2312" w:eastAsia="楷体_GB2312"/>
          <w:b/>
          <w:bCs/>
          <w:sz w:val="32"/>
          <w:szCs w:val="32"/>
        </w:rPr>
        <w:t>加强公务用车管理。</w:t>
      </w:r>
      <w:r>
        <w:rPr>
          <w:rFonts w:hint="eastAsia" w:ascii="仿宋_GB2312" w:eastAsia="仿宋_GB2312"/>
          <w:sz w:val="32"/>
          <w:szCs w:val="32"/>
        </w:rPr>
        <w:t>根据实际情况，调整全县一般公务用车编制，划转公务用车1辆，批准报废车辆23辆，审查同意更新一般公务用车5辆、救护车1辆。</w:t>
      </w:r>
    </w:p>
    <w:p>
      <w:pPr>
        <w:pageBreakBefore w:val="0"/>
        <w:widowControl w:val="0"/>
        <w:kinsoku/>
        <w:wordWrap/>
        <w:topLinePunct w:val="0"/>
        <w:bidi w:val="0"/>
        <w:spacing w:line="576" w:lineRule="exact"/>
        <w:ind w:firstLine="642" w:firstLineChars="200"/>
        <w:textAlignment w:val="auto"/>
        <w:rPr>
          <w:rFonts w:hint="eastAsia" w:ascii="仿宋_GB2312" w:eastAsia="仿宋_GB2312"/>
          <w:sz w:val="32"/>
          <w:szCs w:val="32"/>
        </w:rPr>
      </w:pPr>
      <w:r>
        <w:rPr>
          <w:rFonts w:hint="eastAsia" w:ascii="楷体_GB2312" w:eastAsia="楷体_GB2312"/>
          <w:b/>
          <w:bCs/>
          <w:sz w:val="32"/>
          <w:szCs w:val="32"/>
          <w:lang w:eastAsia="zh-CN"/>
        </w:rPr>
        <w:t>推进人防工作规范化</w:t>
      </w:r>
      <w:r>
        <w:rPr>
          <w:rFonts w:hint="eastAsia" w:ascii="楷体_GB2312" w:eastAsia="楷体_GB2312"/>
          <w:b/>
          <w:bCs/>
          <w:sz w:val="32"/>
          <w:szCs w:val="32"/>
        </w:rPr>
        <w:t>。</w:t>
      </w:r>
      <w:r>
        <w:rPr>
          <w:rFonts w:hint="eastAsia" w:ascii="仿宋_GB2312" w:eastAsia="仿宋_GB2312"/>
          <w:sz w:val="32"/>
          <w:szCs w:val="32"/>
        </w:rPr>
        <w:t>进一步规范、优化人防审批流程，积极推进网上办件，并完善“内部审批”“集体研究”“项目核对”等制度。坚持依法依规审批，促进人防“结建”工作规范化，2021年，依法依规办理易地建设审批项目4处，依法完成征收易地建设费。组织开展人防应急训练3次，并配合自贡人防开展长距离人防应急拉练。加快推进“一网通办”“最多跑一次”改革，全面提升人防办政务服务“联、通、办”能力。目前，我办网上受理率100%，材料减免率56%，即办率90%。</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eastAsia="仿宋_GB2312"/>
          <w:sz w:val="32"/>
          <w:szCs w:val="32"/>
          <w:lang w:val="en-US" w:eastAsia="zh-CN"/>
        </w:rPr>
      </w:pPr>
      <w:r>
        <w:rPr>
          <w:rFonts w:hint="eastAsia" w:ascii="楷体_GB2312" w:eastAsia="楷体_GB2312"/>
          <w:b/>
          <w:sz w:val="32"/>
          <w:szCs w:val="32"/>
          <w:lang w:eastAsia="zh-CN"/>
        </w:rPr>
        <w:t>着力提升议案提案办理工作</w:t>
      </w:r>
      <w:r>
        <w:rPr>
          <w:rFonts w:hint="eastAsia" w:ascii="楷体_GB2312" w:eastAsia="楷体_GB2312"/>
          <w:b/>
          <w:sz w:val="32"/>
          <w:szCs w:val="32"/>
        </w:rPr>
        <w:t>。</w:t>
      </w:r>
      <w:r>
        <w:rPr>
          <w:rFonts w:hint="eastAsia" w:ascii="仿宋_GB2312" w:eastAsia="仿宋_GB2312"/>
          <w:sz w:val="32"/>
          <w:szCs w:val="32"/>
        </w:rPr>
        <w:t>认真牵头办理县人大代表建议意见，县十五届人大四</w:t>
      </w:r>
      <w:r>
        <w:rPr>
          <w:rFonts w:hint="eastAsia" w:ascii="仿宋_GB2312" w:eastAsia="仿宋_GB2312"/>
          <w:sz w:val="32"/>
          <w:szCs w:val="32"/>
          <w:lang w:eastAsia="zh-CN"/>
        </w:rPr>
        <w:t>五</w:t>
      </w:r>
      <w:r>
        <w:rPr>
          <w:rFonts w:hint="eastAsia" w:ascii="仿宋_GB2312" w:eastAsia="仿宋_GB2312"/>
          <w:sz w:val="32"/>
          <w:szCs w:val="32"/>
        </w:rPr>
        <w:t>次会议后，对县人大常委会转交县人民政府的</w:t>
      </w:r>
      <w:r>
        <w:rPr>
          <w:rFonts w:hint="eastAsia" w:ascii="仿宋_GB2312" w:eastAsia="仿宋_GB2312"/>
          <w:sz w:val="32"/>
          <w:szCs w:val="32"/>
          <w:lang w:val="en-US" w:eastAsia="zh-CN"/>
        </w:rPr>
        <w:t>26</w:t>
      </w:r>
      <w:r>
        <w:rPr>
          <w:rFonts w:hint="eastAsia" w:ascii="仿宋_GB2312" w:eastAsia="仿宋_GB2312"/>
          <w:sz w:val="32"/>
          <w:szCs w:val="32"/>
        </w:rPr>
        <w:t>件建议，及时确定牵头和承办单位，及时交办。</w:t>
      </w:r>
      <w:r>
        <w:rPr>
          <w:rFonts w:hint="eastAsia" w:ascii="仿宋_GB2312" w:eastAsia="仿宋_GB2312"/>
          <w:sz w:val="32"/>
          <w:szCs w:val="32"/>
          <w:highlight w:val="none"/>
        </w:rPr>
        <w:t>截至2021年10月底,</w:t>
      </w:r>
      <w:r>
        <w:rPr>
          <w:rFonts w:hint="eastAsia" w:ascii="仿宋_GB2312" w:eastAsia="仿宋_GB2312"/>
          <w:sz w:val="32"/>
          <w:szCs w:val="32"/>
          <w:highlight w:val="none"/>
          <w:lang w:val="en-US" w:eastAsia="zh-CN"/>
        </w:rPr>
        <w:t>30件</w:t>
      </w:r>
      <w:r>
        <w:rPr>
          <w:rFonts w:hint="eastAsia" w:ascii="仿宋_GB2312" w:eastAsia="仿宋_GB2312"/>
          <w:sz w:val="32"/>
          <w:szCs w:val="32"/>
          <w:lang w:eastAsia="zh-CN"/>
        </w:rPr>
        <w:t>县</w:t>
      </w:r>
      <w:r>
        <w:rPr>
          <w:rFonts w:hint="eastAsia" w:ascii="仿宋_GB2312" w:eastAsia="仿宋_GB2312"/>
          <w:sz w:val="32"/>
          <w:szCs w:val="32"/>
        </w:rPr>
        <w:t>人大</w:t>
      </w:r>
      <w:r>
        <w:rPr>
          <w:rFonts w:hint="eastAsia" w:ascii="仿宋_GB2312" w:eastAsia="仿宋_GB2312"/>
          <w:sz w:val="32"/>
          <w:szCs w:val="32"/>
          <w:lang w:eastAsia="zh-CN"/>
        </w:rPr>
        <w:t>代表</w:t>
      </w:r>
      <w:r>
        <w:rPr>
          <w:rFonts w:hint="eastAsia" w:ascii="仿宋_GB2312" w:eastAsia="仿宋_GB2312"/>
          <w:sz w:val="32"/>
          <w:szCs w:val="32"/>
        </w:rPr>
        <w:t>建议已全部</w:t>
      </w:r>
      <w:r>
        <w:rPr>
          <w:rFonts w:hint="eastAsia" w:ascii="仿宋_GB2312" w:eastAsia="仿宋_GB2312"/>
          <w:sz w:val="32"/>
          <w:szCs w:val="32"/>
          <w:lang w:eastAsia="zh-CN"/>
        </w:rPr>
        <w:t>答复</w:t>
      </w:r>
      <w:r>
        <w:rPr>
          <w:rFonts w:hint="eastAsia" w:ascii="仿宋_GB2312" w:eastAsia="仿宋_GB2312"/>
          <w:sz w:val="32"/>
          <w:szCs w:val="32"/>
        </w:rPr>
        <w:t>，答复率100%；</w:t>
      </w:r>
      <w:r>
        <w:rPr>
          <w:rFonts w:hint="eastAsia" w:ascii="仿宋_GB2312" w:eastAsia="仿宋_GB2312" w:cs="Times New Roman"/>
          <w:kern w:val="2"/>
          <w:sz w:val="32"/>
          <w:szCs w:val="32"/>
          <w:lang w:eastAsia="zh-CN" w:bidi="ar-SA"/>
        </w:rPr>
        <w:t>26</w:t>
      </w:r>
      <w:r>
        <w:rPr>
          <w:rFonts w:hint="eastAsia" w:ascii="仿宋_GB2312" w:eastAsia="仿宋_GB2312" w:cs="Times New Roman"/>
          <w:kern w:val="2"/>
          <w:sz w:val="32"/>
          <w:szCs w:val="32"/>
          <w:lang w:val="en-US" w:eastAsia="zh-CN" w:bidi="ar-SA"/>
        </w:rPr>
        <w:t>件建议已全部或部分解决的</w:t>
      </w:r>
      <w:r>
        <w:rPr>
          <w:rFonts w:hint="eastAsia" w:ascii="仿宋_GB2312" w:eastAsia="仿宋_GB2312" w:cs="Times New Roman"/>
          <w:color w:val="000000"/>
          <w:kern w:val="2"/>
          <w:sz w:val="32"/>
          <w:szCs w:val="32"/>
          <w:lang w:eastAsia="zh-CN" w:bidi="ar-SA"/>
        </w:rPr>
        <w:t>12</w:t>
      </w:r>
      <w:r>
        <w:rPr>
          <w:rFonts w:hint="eastAsia" w:ascii="仿宋_GB2312" w:eastAsia="仿宋_GB2312" w:cs="Times New Roman"/>
          <w:color w:val="000000"/>
          <w:kern w:val="2"/>
          <w:sz w:val="32"/>
          <w:szCs w:val="32"/>
          <w:lang w:val="en-US" w:eastAsia="zh-CN" w:bidi="ar-SA"/>
        </w:rPr>
        <w:t>件</w:t>
      </w:r>
      <w:r>
        <w:rPr>
          <w:rFonts w:hint="eastAsia" w:ascii="仿宋_GB2312" w:eastAsia="仿宋_GB2312" w:cs="Times New Roman"/>
          <w:color w:val="000000"/>
          <w:kern w:val="2"/>
          <w:sz w:val="32"/>
          <w:szCs w:val="32"/>
          <w:lang w:eastAsia="zh-CN" w:bidi="ar-SA"/>
        </w:rPr>
        <w:t>、</w:t>
      </w:r>
      <w:r>
        <w:rPr>
          <w:rFonts w:hint="eastAsia" w:ascii="仿宋_GB2312" w:eastAsia="仿宋_GB2312" w:cs="Times New Roman"/>
          <w:color w:val="000000"/>
          <w:kern w:val="2"/>
          <w:sz w:val="32"/>
          <w:szCs w:val="32"/>
          <w:lang w:val="en-US" w:eastAsia="zh-CN" w:bidi="ar-SA"/>
        </w:rPr>
        <w:t>占</w:t>
      </w:r>
      <w:r>
        <w:rPr>
          <w:rFonts w:hint="eastAsia" w:ascii="仿宋_GB2312" w:eastAsia="仿宋_GB2312" w:cs="Times New Roman"/>
          <w:color w:val="000000"/>
          <w:kern w:val="2"/>
          <w:sz w:val="32"/>
          <w:szCs w:val="32"/>
          <w:lang w:eastAsia="zh-CN" w:bidi="ar-SA"/>
        </w:rPr>
        <w:t>46</w:t>
      </w:r>
      <w:r>
        <w:rPr>
          <w:rFonts w:hint="eastAsia" w:ascii="仿宋_GB2312" w:eastAsia="仿宋_GB2312" w:cs="Times New Roman"/>
          <w:color w:val="000000"/>
          <w:kern w:val="2"/>
          <w:sz w:val="32"/>
          <w:szCs w:val="32"/>
          <w:lang w:val="en-US" w:eastAsia="zh-CN" w:bidi="ar-SA"/>
        </w:rPr>
        <w:t>%；</w:t>
      </w:r>
      <w:r>
        <w:rPr>
          <w:rFonts w:hint="eastAsia" w:ascii="仿宋_GB2312" w:eastAsia="仿宋_GB2312" w:cs="Times New Roman"/>
          <w:kern w:val="2"/>
          <w:sz w:val="32"/>
          <w:szCs w:val="32"/>
          <w:lang w:val="en-US" w:eastAsia="zh-CN" w:bidi="ar-SA"/>
        </w:rPr>
        <w:t>正在解决的</w:t>
      </w:r>
      <w:r>
        <w:rPr>
          <w:rFonts w:hint="eastAsia" w:ascii="仿宋_GB2312" w:eastAsia="仿宋_GB2312" w:cs="Times New Roman"/>
          <w:kern w:val="2"/>
          <w:sz w:val="32"/>
          <w:szCs w:val="32"/>
          <w:lang w:eastAsia="zh-CN" w:bidi="ar-SA"/>
        </w:rPr>
        <w:t>1</w:t>
      </w:r>
      <w:r>
        <w:rPr>
          <w:rFonts w:hint="eastAsia" w:ascii="仿宋_GB2312" w:eastAsia="仿宋_GB2312" w:cs="Times New Roman"/>
          <w:kern w:val="2"/>
          <w:sz w:val="32"/>
          <w:szCs w:val="32"/>
          <w:lang w:val="en-US" w:eastAsia="zh-CN" w:bidi="ar-SA"/>
        </w:rPr>
        <w:t>件</w:t>
      </w:r>
      <w:r>
        <w:rPr>
          <w:rFonts w:hint="eastAsia" w:ascii="仿宋_GB2312" w:eastAsia="仿宋_GB2312" w:cs="Times New Roman"/>
          <w:kern w:val="2"/>
          <w:sz w:val="32"/>
          <w:szCs w:val="32"/>
          <w:lang w:eastAsia="zh-CN" w:bidi="ar-SA"/>
        </w:rPr>
        <w:t>、</w:t>
      </w:r>
      <w:r>
        <w:rPr>
          <w:rFonts w:hint="eastAsia" w:ascii="仿宋_GB2312" w:eastAsia="仿宋_GB2312" w:cs="Times New Roman"/>
          <w:kern w:val="2"/>
          <w:sz w:val="32"/>
          <w:szCs w:val="32"/>
          <w:lang w:val="en-US" w:eastAsia="zh-CN" w:bidi="ar-SA"/>
        </w:rPr>
        <w:t>占</w:t>
      </w:r>
      <w:r>
        <w:rPr>
          <w:rFonts w:hint="eastAsia" w:ascii="仿宋_GB2312" w:eastAsia="仿宋_GB2312" w:cs="Times New Roman"/>
          <w:kern w:val="2"/>
          <w:sz w:val="32"/>
          <w:szCs w:val="32"/>
          <w:lang w:eastAsia="zh-CN" w:bidi="ar-SA"/>
        </w:rPr>
        <w:t>4</w:t>
      </w:r>
      <w:r>
        <w:rPr>
          <w:rFonts w:hint="eastAsia" w:ascii="仿宋_GB2312" w:eastAsia="仿宋_GB2312" w:cs="Times New Roman"/>
          <w:kern w:val="2"/>
          <w:sz w:val="32"/>
          <w:szCs w:val="32"/>
          <w:lang w:val="en-US" w:eastAsia="zh-CN" w:bidi="ar-SA"/>
        </w:rPr>
        <w:t>%；由于政策、资金等原因暂时不能解决的</w:t>
      </w:r>
      <w:r>
        <w:rPr>
          <w:rFonts w:hint="eastAsia" w:ascii="仿宋_GB2312" w:eastAsia="仿宋_GB2312" w:cs="Times New Roman"/>
          <w:kern w:val="2"/>
          <w:sz w:val="32"/>
          <w:szCs w:val="32"/>
          <w:lang w:eastAsia="zh-CN" w:bidi="ar-SA"/>
        </w:rPr>
        <w:t>13</w:t>
      </w:r>
      <w:r>
        <w:rPr>
          <w:rFonts w:hint="eastAsia" w:ascii="仿宋_GB2312" w:eastAsia="仿宋_GB2312" w:cs="Times New Roman"/>
          <w:kern w:val="2"/>
          <w:sz w:val="32"/>
          <w:szCs w:val="32"/>
          <w:lang w:val="en-US" w:eastAsia="zh-CN" w:bidi="ar-SA"/>
        </w:rPr>
        <w:t>件</w:t>
      </w:r>
      <w:r>
        <w:rPr>
          <w:rFonts w:hint="eastAsia" w:ascii="仿宋_GB2312" w:eastAsia="仿宋_GB2312" w:cs="Times New Roman"/>
          <w:kern w:val="2"/>
          <w:sz w:val="32"/>
          <w:szCs w:val="32"/>
          <w:lang w:eastAsia="zh-CN" w:bidi="ar-SA"/>
        </w:rPr>
        <w:t>、</w:t>
      </w:r>
      <w:r>
        <w:rPr>
          <w:rFonts w:hint="eastAsia" w:ascii="仿宋_GB2312" w:eastAsia="仿宋_GB2312" w:cs="Times New Roman"/>
          <w:kern w:val="2"/>
          <w:sz w:val="32"/>
          <w:szCs w:val="32"/>
          <w:lang w:val="en-US" w:eastAsia="zh-CN" w:bidi="ar-SA"/>
        </w:rPr>
        <w:t>占</w:t>
      </w:r>
      <w:r>
        <w:rPr>
          <w:rFonts w:hint="eastAsia" w:ascii="仿宋_GB2312" w:eastAsia="仿宋_GB2312" w:cs="Times New Roman"/>
          <w:kern w:val="2"/>
          <w:sz w:val="32"/>
          <w:szCs w:val="32"/>
          <w:lang w:eastAsia="zh-CN" w:bidi="ar-SA"/>
        </w:rPr>
        <w:t>50</w:t>
      </w:r>
      <w:r>
        <w:rPr>
          <w:rFonts w:hint="eastAsia" w:ascii="仿宋_GB2312" w:eastAsia="仿宋_GB2312" w:cs="Times New Roman"/>
          <w:kern w:val="2"/>
          <w:sz w:val="32"/>
          <w:szCs w:val="32"/>
          <w:lang w:val="en-US" w:eastAsia="zh-CN" w:bidi="ar-SA"/>
        </w:rPr>
        <w:t>%。</w:t>
      </w:r>
      <w:r>
        <w:rPr>
          <w:rFonts w:hint="eastAsia" w:ascii="仿宋_GB2312" w:eastAsia="仿宋_GB2312"/>
          <w:sz w:val="32"/>
          <w:szCs w:val="32"/>
        </w:rPr>
        <w:t>在十五届茂县人大常委会第</w:t>
      </w:r>
      <w:r>
        <w:rPr>
          <w:rFonts w:hint="eastAsia" w:ascii="仿宋_GB2312" w:eastAsia="仿宋_GB2312"/>
          <w:sz w:val="32"/>
          <w:szCs w:val="32"/>
          <w:lang w:val="en-US" w:eastAsia="zh-CN"/>
        </w:rPr>
        <w:t>38</w:t>
      </w:r>
      <w:r>
        <w:rPr>
          <w:rFonts w:hint="eastAsia" w:ascii="仿宋_GB2312" w:eastAsia="仿宋_GB2312"/>
          <w:sz w:val="32"/>
          <w:szCs w:val="32"/>
        </w:rPr>
        <w:t>次会议上审议了《茂县人民政府关于茂县第十五届人民代表大会第</w:t>
      </w:r>
      <w:r>
        <w:rPr>
          <w:rFonts w:hint="eastAsia" w:ascii="仿宋_GB2312" w:eastAsia="仿宋_GB2312"/>
          <w:sz w:val="32"/>
          <w:szCs w:val="32"/>
          <w:lang w:eastAsia="zh-CN"/>
        </w:rPr>
        <w:t>五</w:t>
      </w:r>
      <w:r>
        <w:rPr>
          <w:rFonts w:hint="eastAsia" w:ascii="仿宋_GB2312" w:eastAsia="仿宋_GB2312"/>
          <w:sz w:val="32"/>
          <w:szCs w:val="32"/>
        </w:rPr>
        <w:t>次会议代表议案、建议、批评和意见办理情况的报告》，表决结果为满意。</w:t>
      </w:r>
      <w:r>
        <w:rPr>
          <w:rFonts w:hint="eastAsia" w:ascii="仿宋_GB2312" w:eastAsia="仿宋_GB2312"/>
          <w:sz w:val="32"/>
          <w:szCs w:val="32"/>
          <w:lang w:eastAsia="zh-CN"/>
        </w:rPr>
        <w:t>同时，</w:t>
      </w:r>
      <w:r>
        <w:rPr>
          <w:rFonts w:hint="eastAsia" w:ascii="仿宋_GB2312" w:eastAsia="仿宋_GB2312"/>
          <w:sz w:val="32"/>
          <w:szCs w:val="32"/>
        </w:rPr>
        <w:t>认真落实县人大常委会交办的工作，协助县政府向县人大常委会报告</w:t>
      </w:r>
      <w:r>
        <w:rPr>
          <w:rFonts w:hint="eastAsia" w:ascii="仿宋_GB2312" w:eastAsia="仿宋_GB2312"/>
          <w:color w:val="000000"/>
          <w:sz w:val="32"/>
          <w:szCs w:val="32"/>
        </w:rPr>
        <w:t>财政涉农资金项目统筹整合、</w:t>
      </w:r>
      <w:r>
        <w:rPr>
          <w:rFonts w:hint="eastAsia" w:ascii="仿宋_GB2312" w:eastAsia="仿宋_GB2312"/>
          <w:sz w:val="32"/>
          <w:szCs w:val="32"/>
        </w:rPr>
        <w:t>康养产业、乡村旅游等工作，</w:t>
      </w:r>
      <w:r>
        <w:rPr>
          <w:rFonts w:hint="eastAsia" w:ascii="仿宋_GB2312" w:eastAsia="仿宋_GB2312" w:cs="Helvetica"/>
          <w:color w:val="000000"/>
          <w:kern w:val="0"/>
          <w:sz w:val="32"/>
          <w:szCs w:val="32"/>
          <w:lang w:bidi="ar-SA"/>
        </w:rPr>
        <w:t>提请县人大常委会审议</w:t>
      </w:r>
      <w:r>
        <w:rPr>
          <w:rFonts w:hint="eastAsia" w:ascii="仿宋_GB2312" w:eastAsia="仿宋_GB2312" w:cs="Helvetica"/>
          <w:color w:val="000000"/>
          <w:kern w:val="0"/>
          <w:sz w:val="32"/>
          <w:szCs w:val="32"/>
          <w:lang w:val="en-US" w:eastAsia="zh-CN" w:bidi="ar-SA"/>
        </w:rPr>
        <w:t>《县人民政府关于茂县2021年财政预算调整（草案）的议案》《茂县2021年度统筹整合财政涉农资金实施方案》</w:t>
      </w:r>
      <w:r>
        <w:rPr>
          <w:rFonts w:hint="eastAsia" w:ascii="仿宋_GB2312" w:eastAsia="仿宋_GB2312"/>
          <w:sz w:val="32"/>
          <w:szCs w:val="32"/>
        </w:rPr>
        <w:t>《茂县巩固拓展脱贫攻坚成果同乡村振兴有效衔接的实施方案（送审稿）》等议案</w:t>
      </w:r>
      <w:r>
        <w:rPr>
          <w:rFonts w:hint="eastAsia" w:ascii="仿宋_GB2312" w:eastAsia="仿宋_GB2312" w:cs="Helvetica"/>
          <w:color w:val="000000"/>
          <w:kern w:val="0"/>
          <w:sz w:val="32"/>
          <w:szCs w:val="32"/>
          <w:lang w:bidi="ar-SA"/>
        </w:rPr>
        <w:t>。</w:t>
      </w:r>
      <w:r>
        <w:rPr>
          <w:rFonts w:hint="eastAsia" w:ascii="仿宋_GB2312" w:eastAsia="仿宋_GB2312"/>
          <w:sz w:val="32"/>
          <w:szCs w:val="32"/>
          <w:lang w:val="en-US" w:eastAsia="zh-CN"/>
        </w:rPr>
        <w:t>认真抓好县政协委员提案建议，政协第十五届茂县委员会常务委员会第25次会议后，承办县政协委员会转交县人民政府的提案44件、建议7件。截止10月底，所承办的51件县政协委员提案建议已全部办结，办结率100%，其中已经办理落实37件，占总数的72.54%；短期内无法解决，列入后期规划积极争取解决的12件，占总数的21.56%；因政策等因素不能解决的3件，占总数的5.88%。委员对51件提案及建议办复结果均表示满意，满意率100%。</w:t>
      </w:r>
    </w:p>
    <w:p>
      <w:pPr>
        <w:pageBreakBefore w:val="0"/>
        <w:widowControl w:val="0"/>
        <w:kinsoku/>
        <w:wordWrap/>
        <w:topLinePunct w:val="0"/>
        <w:bidi w:val="0"/>
        <w:spacing w:line="576" w:lineRule="exact"/>
        <w:ind w:firstLine="642" w:firstLineChars="200"/>
        <w:textAlignment w:val="auto"/>
        <w:rPr>
          <w:rFonts w:hint="eastAsia" w:ascii="仿宋_GB2312" w:eastAsia="仿宋_GB2312" w:cs="楷体_GB2312"/>
          <w:sz w:val="32"/>
          <w:szCs w:val="32"/>
          <w:lang w:bidi="ar-SA"/>
        </w:rPr>
      </w:pPr>
      <w:r>
        <w:rPr>
          <w:rFonts w:hint="eastAsia" w:ascii="楷体_GB2312" w:eastAsia="楷体_GB2312" w:cs="楷体_GB2312"/>
          <w:b/>
          <w:bCs/>
          <w:color w:val="000000"/>
          <w:sz w:val="32"/>
          <w:szCs w:val="32"/>
          <w:lang w:eastAsia="zh-CN" w:bidi="ar-SA"/>
        </w:rPr>
        <w:t>纵深推进</w:t>
      </w:r>
      <w:r>
        <w:rPr>
          <w:rFonts w:hint="eastAsia" w:ascii="楷体_GB2312" w:eastAsia="楷体_GB2312" w:cs="楷体_GB2312"/>
          <w:b/>
          <w:bCs/>
          <w:sz w:val="32"/>
          <w:szCs w:val="32"/>
          <w:lang w:bidi="ar-SA"/>
        </w:rPr>
        <w:t>政府信息公开工作。</w:t>
      </w:r>
      <w:r>
        <w:rPr>
          <w:rFonts w:hint="eastAsia" w:ascii="仿宋_GB2312" w:eastAsia="仿宋_GB2312" w:cs="楷体_GB2312"/>
          <w:sz w:val="32"/>
          <w:szCs w:val="32"/>
          <w:lang w:bidi="ar-SA"/>
        </w:rPr>
        <w:t>严格遵循“谁制作、谁审查、谁负责”原则和“谁公开谁审查、事前审查、全面审查和依法审查”原则，围绕群众关心、社会关注的热点，依法依规公开政府信息，主动回应社会关切，完善公开载体，推动转变政府职能、创新政府管理，提升政府公信力。截至目前，已在茂县人民政府门户网站公开各类信息</w:t>
      </w:r>
      <w:r>
        <w:rPr>
          <w:rFonts w:hint="eastAsia" w:ascii="仿宋_GB2312" w:eastAsia="仿宋_GB2312" w:cs="楷体_GB2312"/>
          <w:sz w:val="32"/>
          <w:szCs w:val="32"/>
          <w:lang w:val="en-US" w:eastAsia="zh-CN" w:bidi="ar-SA"/>
        </w:rPr>
        <w:t>1200</w:t>
      </w:r>
      <w:r>
        <w:rPr>
          <w:rFonts w:hint="eastAsia" w:ascii="仿宋_GB2312" w:eastAsia="仿宋_GB2312" w:cs="楷体_GB2312"/>
          <w:sz w:val="32"/>
          <w:szCs w:val="32"/>
          <w:lang w:bidi="ar-SA"/>
        </w:rPr>
        <w:t>余条，开设</w:t>
      </w:r>
      <w:r>
        <w:rPr>
          <w:rFonts w:hint="eastAsia" w:ascii="仿宋_GB2312" w:eastAsia="仿宋_GB2312"/>
          <w:sz w:val="32"/>
          <w:szCs w:val="32"/>
        </w:rPr>
        <w:t>试点领域基层政务公开标准目录编制</w:t>
      </w:r>
      <w:r>
        <w:rPr>
          <w:rFonts w:hint="eastAsia" w:ascii="仿宋_GB2312" w:eastAsia="仿宋_GB2312" w:cs="楷体_GB2312"/>
          <w:sz w:val="32"/>
          <w:szCs w:val="32"/>
          <w:lang w:bidi="ar-SA"/>
        </w:rPr>
        <w:t>、民族团结进步创建、森林草原防灭火等专题专栏</w:t>
      </w:r>
      <w:r>
        <w:rPr>
          <w:rFonts w:hint="eastAsia" w:ascii="仿宋_GB2312" w:eastAsia="仿宋_GB2312" w:cs="楷体_GB2312"/>
          <w:sz w:val="32"/>
          <w:szCs w:val="32"/>
          <w:lang w:val="en-US" w:eastAsia="zh-CN" w:bidi="ar-SA"/>
        </w:rPr>
        <w:t>5</w:t>
      </w:r>
      <w:r>
        <w:rPr>
          <w:rFonts w:hint="eastAsia" w:ascii="仿宋_GB2312" w:eastAsia="仿宋_GB2312" w:cs="楷体_GB2312"/>
          <w:sz w:val="32"/>
          <w:szCs w:val="32"/>
          <w:lang w:bidi="ar-SA"/>
        </w:rPr>
        <w:t>个；</w:t>
      </w:r>
      <w:r>
        <w:rPr>
          <w:rFonts w:hint="eastAsia" w:ascii="仿宋_GB2312" w:eastAsia="仿宋_GB2312"/>
          <w:sz w:val="32"/>
          <w:szCs w:val="32"/>
        </w:rPr>
        <w:t>围绕社会关注的难点、重点工作，开展“网上调查”3期、“民意征集”14期、“在线访谈”3 期</w:t>
      </w:r>
      <w:r>
        <w:rPr>
          <w:rFonts w:hint="eastAsia" w:ascii="仿宋_GB2312" w:eastAsia="仿宋_GB2312" w:cs="楷体_GB2312"/>
          <w:sz w:val="32"/>
          <w:szCs w:val="32"/>
          <w:lang w:bidi="ar-SA"/>
        </w:rPr>
        <w:t>。在阿坝州政府信息公开目录系统公开各类信息</w:t>
      </w:r>
      <w:r>
        <w:rPr>
          <w:rFonts w:hint="eastAsia" w:ascii="仿宋_GB2312" w:eastAsia="仿宋_GB2312" w:cs="楷体_GB2312"/>
          <w:sz w:val="32"/>
          <w:szCs w:val="32"/>
          <w:lang w:val="en-US" w:eastAsia="zh-CN" w:bidi="ar-SA"/>
        </w:rPr>
        <w:t>8900</w:t>
      </w:r>
      <w:r>
        <w:rPr>
          <w:rFonts w:hint="eastAsia" w:ascii="仿宋_GB2312" w:eastAsia="仿宋_GB2312" w:cs="楷体_GB2312"/>
          <w:sz w:val="32"/>
          <w:szCs w:val="32"/>
          <w:lang w:bidi="ar-SA"/>
        </w:rPr>
        <w:t>余条。</w:t>
      </w:r>
      <w:r>
        <w:rPr>
          <w:rFonts w:hint="eastAsia" w:ascii="仿宋_GB2312" w:eastAsia="仿宋_GB2312" w:cs="楷体_GB2312"/>
          <w:sz w:val="32"/>
          <w:szCs w:val="32"/>
          <w:lang w:eastAsia="zh-CN" w:bidi="ar-SA"/>
        </w:rPr>
        <w:t>同时，与县委宣传部一道</w:t>
      </w:r>
      <w:r>
        <w:rPr>
          <w:rFonts w:hint="eastAsia" w:ascii="仿宋_GB2312" w:eastAsia="仿宋_GB2312"/>
          <w:sz w:val="32"/>
          <w:szCs w:val="32"/>
        </w:rPr>
        <w:t>强化政务新媒体备案和监管工作，督促各政务新媒体运维单位健全政务新媒体管理制度，要求各单位按要求做好政务微博、微信公众号的内容保障、安全防护和日常监管。目前，全县有政务微信11个、政务微博12个，其中政务微信有9个正常运行，另3个正由州政府办公室统一安排注销。</w:t>
      </w:r>
    </w:p>
    <w:p>
      <w:pPr>
        <w:pageBreakBefore w:val="0"/>
        <w:widowControl w:val="0"/>
        <w:kinsoku/>
        <w:wordWrap/>
        <w:topLinePunct w:val="0"/>
        <w:bidi w:val="0"/>
        <w:spacing w:line="576" w:lineRule="exact"/>
        <w:ind w:firstLine="629" w:firstLineChars="196"/>
        <w:textAlignment w:val="auto"/>
        <w:rPr>
          <w:rFonts w:hint="eastAsia" w:ascii="楷体_GB2312" w:eastAsia="楷体_GB2312"/>
          <w:b/>
          <w:bCs/>
          <w:sz w:val="32"/>
          <w:szCs w:val="32"/>
        </w:rPr>
      </w:pPr>
      <w:r>
        <w:rPr>
          <w:rFonts w:hint="eastAsia" w:ascii="楷体_GB2312" w:eastAsia="楷体_GB2312"/>
          <w:b/>
          <w:sz w:val="32"/>
          <w:szCs w:val="32"/>
        </w:rPr>
        <w:t>协调抓好生态文明建设。</w:t>
      </w:r>
      <w:r>
        <w:rPr>
          <w:rFonts w:hint="eastAsia" w:ascii="仿宋_GB2312" w:eastAsia="仿宋_GB2312"/>
          <w:sz w:val="32"/>
          <w:szCs w:val="32"/>
        </w:rPr>
        <w:t>认真学习贯彻习近平总书记关于</w:t>
      </w:r>
      <w:r>
        <w:rPr>
          <w:rFonts w:hint="eastAsia" w:ascii="仿宋_GB2312" w:eastAsia="仿宋_GB2312"/>
          <w:sz w:val="32"/>
          <w:szCs w:val="32"/>
          <w:lang w:eastAsia="zh-CN"/>
        </w:rPr>
        <w:t>森林草原防灭火工作的主要指示批示精神，认真学习</w:t>
      </w:r>
      <w:r>
        <w:rPr>
          <w:rFonts w:hint="eastAsia" w:ascii="仿宋_GB2312" w:eastAsia="仿宋_GB2312"/>
          <w:sz w:val="32"/>
          <w:szCs w:val="32"/>
        </w:rPr>
        <w:t>中央省委州委</w:t>
      </w:r>
      <w:r>
        <w:rPr>
          <w:rFonts w:hint="eastAsia" w:ascii="仿宋_GB2312" w:eastAsia="仿宋_GB2312"/>
          <w:sz w:val="32"/>
          <w:szCs w:val="32"/>
          <w:lang w:eastAsia="zh-CN"/>
        </w:rPr>
        <w:t>关于森林草原防灭火专项整治的各项决策部署。主动参与</w:t>
      </w:r>
      <w:r>
        <w:rPr>
          <w:rFonts w:hint="eastAsia" w:ascii="仿宋_GB2312" w:eastAsia="仿宋_GB2312" w:cs="仿宋_GB2312"/>
          <w:sz w:val="32"/>
          <w:szCs w:val="32"/>
          <w:lang w:eastAsia="zh-CN" w:bidi="ar-SA"/>
        </w:rPr>
        <w:t>州委督查暗访反馈的小水电清理、砂石场管理、矿山管理、环境卫生整治等问题的整改。协调各</w:t>
      </w:r>
      <w:r>
        <w:rPr>
          <w:rFonts w:hint="eastAsia" w:ascii="仿宋_GB2312" w:eastAsia="仿宋_GB2312" w:cs="仿宋_GB2312"/>
          <w:sz w:val="32"/>
          <w:szCs w:val="32"/>
          <w:lang w:bidi="ar-SA"/>
        </w:rPr>
        <w:t>河长</w:t>
      </w:r>
      <w:r>
        <w:rPr>
          <w:rFonts w:hint="eastAsia" w:ascii="仿宋_GB2312" w:eastAsia="仿宋_GB2312" w:cs="仿宋_GB2312"/>
          <w:sz w:val="32"/>
          <w:szCs w:val="32"/>
          <w:lang w:eastAsia="zh-CN" w:bidi="ar-SA"/>
        </w:rPr>
        <w:t>开展巡河工作，及时处理发现的问题</w:t>
      </w:r>
      <w:r>
        <w:rPr>
          <w:rFonts w:hint="eastAsia" w:ascii="仿宋_GB2312" w:eastAsia="仿宋_GB2312" w:cs="仿宋_GB2312"/>
          <w:sz w:val="32"/>
          <w:szCs w:val="32"/>
          <w:lang w:bidi="ar-SA"/>
        </w:rPr>
        <w:t>，积极协调督促环保、水务、林草、自然资源、交通等部门抓好生态环境保护工作，积极协调督促各镇、各部门及时整改各类问题。</w:t>
      </w:r>
    </w:p>
    <w:p>
      <w:pPr>
        <w:pageBreakBefore w:val="0"/>
        <w:widowControl w:val="0"/>
        <w:kinsoku/>
        <w:wordWrap/>
        <w:topLinePunct w:val="0"/>
        <w:bidi w:val="0"/>
        <w:spacing w:line="576" w:lineRule="exact"/>
        <w:ind w:firstLine="640" w:firstLineChars="200"/>
        <w:textAlignment w:val="auto"/>
        <w:rPr>
          <w:rFonts w:hint="eastAsia" w:ascii="黑体" w:eastAsia="黑体"/>
          <w:sz w:val="32"/>
          <w:szCs w:val="32"/>
        </w:rPr>
      </w:pPr>
      <w:r>
        <w:rPr>
          <w:rFonts w:hint="eastAsia" w:ascii="黑体" w:eastAsia="黑体"/>
          <w:sz w:val="32"/>
          <w:szCs w:val="32"/>
        </w:rPr>
        <w:t>3.坚持严以制度，切实推进廉政建设</w:t>
      </w:r>
    </w:p>
    <w:p>
      <w:pPr>
        <w:pageBreakBefore w:val="0"/>
        <w:widowControl w:val="0"/>
        <w:kinsoku/>
        <w:wordWrap/>
        <w:topLinePunct w:val="0"/>
        <w:bidi w:val="0"/>
        <w:spacing w:line="576" w:lineRule="exact"/>
        <w:ind w:firstLine="640" w:firstLineChars="200"/>
        <w:textAlignment w:val="auto"/>
        <w:rPr>
          <w:rFonts w:hint="eastAsia" w:ascii="楷体_GB2312" w:eastAsia="楷体_GB2312"/>
          <w:b/>
          <w:bCs/>
          <w:kern w:val="2"/>
          <w:sz w:val="32"/>
          <w:szCs w:val="32"/>
        </w:rPr>
      </w:pPr>
      <w:r>
        <w:rPr>
          <w:rFonts w:hint="eastAsia" w:ascii="仿宋_GB2312" w:eastAsia="仿宋_GB2312"/>
          <w:sz w:val="32"/>
          <w:szCs w:val="32"/>
        </w:rPr>
        <w:t>将党建工作、党风廉政建设工作和业务工作同安排同部署，共同推进、相互促进。</w:t>
      </w:r>
      <w:r>
        <w:rPr>
          <w:rFonts w:hint="eastAsia" w:ascii="仿宋_GB2312" w:eastAsia="仿宋_GB2312" w:cs="仿宋_GB2312"/>
          <w:color w:val="000000"/>
          <w:sz w:val="32"/>
          <w:szCs w:val="32"/>
          <w:lang w:bidi="ar-SA"/>
        </w:rPr>
        <w:t>办公室主任与班子成员、</w:t>
      </w:r>
      <w:r>
        <w:rPr>
          <w:rFonts w:hint="eastAsia" w:ascii="仿宋_GB2312" w:eastAsia="仿宋_GB2312"/>
          <w:sz w:val="32"/>
          <w:szCs w:val="32"/>
          <w:shd w:val="clear" w:color="auto" w:fill="FFFFFF"/>
        </w:rPr>
        <w:t>班子成员和分管股室负责人</w:t>
      </w:r>
      <w:r>
        <w:rPr>
          <w:rFonts w:hint="eastAsia" w:ascii="仿宋_GB2312" w:eastAsia="仿宋_GB2312"/>
          <w:sz w:val="32"/>
          <w:szCs w:val="32"/>
        </w:rPr>
        <w:t>签订党风廉政建设责任书,按照“一岗双责”的要求抓好分管领域的党风廉政建设工作。召开专题会议研究部署党风廉政建设工作4次，对年度、季度党风廉政建设工作目标任务、意识形态工作、工作纪律作风、</w:t>
      </w:r>
      <w:r>
        <w:rPr>
          <w:rFonts w:hint="eastAsia" w:ascii="仿宋_GB2312" w:eastAsia="仿宋_GB2312"/>
          <w:sz w:val="32"/>
          <w:szCs w:val="32"/>
          <w:lang w:eastAsia="zh-CN"/>
        </w:rPr>
        <w:t>保障</w:t>
      </w:r>
      <w:r>
        <w:rPr>
          <w:rFonts w:hint="eastAsia" w:ascii="仿宋_GB2312" w:eastAsia="仿宋_GB2312"/>
          <w:sz w:val="32"/>
          <w:szCs w:val="32"/>
        </w:rPr>
        <w:t>公务用车管理、“两联一进”群众工作全覆盖、档案管理、保密、信息、人防等工作进行了安排部署。二是严肃换届纪律。召开领导班子严肃换届纪律专题谈心谈话会、换届政策法规和纪律要求专题学习会，认真学习“十严禁”“四必须”，增强干部职工换届纪律意识，确保思想不乱、工作不断。三是加强内部管理。按照干部职工定岗定责工作要求，研究制定《2021年班子成员及工作人员工作分工》，明确职责和任务，切实做到“有岗有责、有位有为”。严格执行干部职工请销假程序、制度，增强干部职工纪律意识。主动接受监督，积极邀请县纪委派驻县政府办纪检组（第三纪检组）参加县政府办公室主任会议、党支部会议。</w:t>
      </w:r>
      <w:r>
        <w:rPr>
          <w:rFonts w:hint="eastAsia" w:ascii="仿宋_GB2312" w:eastAsia="仿宋_GB2312"/>
          <w:color w:val="000000"/>
          <w:sz w:val="32"/>
          <w:szCs w:val="32"/>
        </w:rPr>
        <w:t>持续开展正风肃纪</w:t>
      </w:r>
      <w:r>
        <w:rPr>
          <w:rFonts w:hint="eastAsia" w:ascii="仿宋_GB2312" w:eastAsia="仿宋_GB2312"/>
          <w:sz w:val="32"/>
          <w:szCs w:val="32"/>
        </w:rPr>
        <w:t>，班子成员均带头主动接访、主动服务群众，让群众合理合法诉求得以顺利解决，提高了政府公信力。</w:t>
      </w:r>
    </w:p>
    <w:p>
      <w:pPr>
        <w:pageBreakBefore w:val="0"/>
        <w:widowControl w:val="0"/>
        <w:kinsoku/>
        <w:wordWrap/>
        <w:topLinePunct w:val="0"/>
        <w:bidi w:val="0"/>
        <w:spacing w:line="576" w:lineRule="exact"/>
        <w:ind w:firstLine="640" w:firstLineChars="200"/>
        <w:textAlignment w:val="auto"/>
        <w:outlineLvl w:val="2"/>
        <w:rPr>
          <w:rFonts w:ascii="仿宋" w:eastAsia="仿宋"/>
          <w:color w:val="000000"/>
          <w:sz w:val="32"/>
          <w:szCs w:val="32"/>
        </w:rPr>
      </w:pP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23" w:name="_Toc111208497"/>
      <w:bookmarkStart w:id="24" w:name="_Toc113981011"/>
      <w:r>
        <w:rPr>
          <w:rFonts w:hint="eastAsia" w:ascii="黑体" w:eastAsia="黑体" w:cs="Times New Roman"/>
          <w:bCs w:val="0"/>
          <w:color w:val="000000"/>
        </w:rPr>
        <w:t>二、机构设置</w:t>
      </w:r>
      <w:bookmarkEnd w:id="22"/>
      <w:bookmarkEnd w:id="23"/>
      <w:bookmarkEnd w:id="24"/>
    </w:p>
    <w:p>
      <w:pPr>
        <w:pageBreakBefore w:val="0"/>
        <w:widowControl w:val="0"/>
        <w:kinsoku/>
        <w:wordWrap/>
        <w:topLinePunct w:val="0"/>
        <w:bidi w:val="0"/>
        <w:spacing w:line="576" w:lineRule="exact"/>
        <w:textAlignment w:val="auto"/>
        <w:rPr>
          <w:rFonts w:hint="eastAsia" w:ascii="仿宋" w:eastAsia="仿宋"/>
          <w:color w:val="000000"/>
          <w:sz w:val="32"/>
          <w:szCs w:val="32"/>
          <w:lang w:eastAsia="zh-CN"/>
        </w:rPr>
      </w:pPr>
    </w:p>
    <w:p>
      <w:pPr>
        <w:pageBreakBefore w:val="0"/>
        <w:widowControl w:val="0"/>
        <w:kinsoku/>
        <w:wordWrap/>
        <w:topLinePunct w:val="0"/>
        <w:bidi w:val="0"/>
        <w:spacing w:line="576" w:lineRule="exact"/>
        <w:textAlignment w:val="auto"/>
        <w:rPr>
          <w:rFonts w:ascii="仿宋" w:eastAsia="仿宋"/>
          <w:color w:val="000000"/>
          <w:sz w:val="32"/>
          <w:szCs w:val="32"/>
        </w:rPr>
      </w:pPr>
      <w:r>
        <w:rPr>
          <w:rFonts w:ascii="仿宋" w:eastAsia="仿宋"/>
          <w:color w:val="000000"/>
          <w:sz w:val="32"/>
          <w:szCs w:val="32"/>
        </w:rPr>
        <w:tab/>
      </w:r>
      <w:r>
        <w:rPr>
          <w:rFonts w:ascii="仿宋" w:eastAsia="仿宋"/>
          <w:color w:val="000000"/>
          <w:sz w:val="32"/>
          <w:szCs w:val="32"/>
        </w:rPr>
        <w:t>茂县人民政府办公室下属二级单位2个，其中行政单位1个，参照公务员法管理的事业单位0个，其他事业单位1个。</w:t>
      </w:r>
      <w:r>
        <w:rPr>
          <w:rFonts w:ascii="仿宋" w:eastAsia="仿宋"/>
          <w:color w:val="000000"/>
          <w:sz w:val="32"/>
          <w:szCs w:val="32"/>
        </w:rPr>
        <w:cr/>
      </w:r>
      <w:r>
        <w:rPr>
          <w:rFonts w:ascii="仿宋" w:eastAsia="仿宋"/>
          <w:color w:val="000000"/>
          <w:sz w:val="32"/>
          <w:szCs w:val="32"/>
        </w:rPr>
        <w:t>纳入茂县人民政府办公室2020年度部门决算编制范围的二级预算单位包括：</w:t>
      </w:r>
      <w:r>
        <w:rPr>
          <w:rFonts w:ascii="仿宋" w:eastAsia="仿宋"/>
          <w:color w:val="000000"/>
          <w:sz w:val="32"/>
          <w:szCs w:val="32"/>
        </w:rPr>
        <w:cr/>
      </w:r>
      <w:r>
        <w:rPr>
          <w:rFonts w:ascii="仿宋" w:eastAsia="仿宋"/>
          <w:color w:val="000000"/>
          <w:sz w:val="32"/>
          <w:szCs w:val="32"/>
        </w:rPr>
        <w:t>1.茂县人民政府办公室（本级）</w:t>
      </w:r>
      <w:r>
        <w:rPr>
          <w:rFonts w:ascii="仿宋" w:eastAsia="仿宋"/>
          <w:color w:val="000000"/>
          <w:sz w:val="32"/>
          <w:szCs w:val="32"/>
        </w:rPr>
        <w:cr/>
      </w:r>
      <w:r>
        <w:rPr>
          <w:rFonts w:ascii="仿宋" w:eastAsia="仿宋"/>
          <w:color w:val="000000"/>
          <w:sz w:val="32"/>
          <w:szCs w:val="32"/>
        </w:rPr>
        <w:t>2.茂县人民防空办公室</w:t>
      </w:r>
    </w:p>
    <w:p>
      <w:pPr>
        <w:pageBreakBefore w:val="0"/>
        <w:widowControl/>
        <w:kinsoku/>
        <w:wordWrap/>
        <w:topLinePunct w:val="0"/>
        <w:bidi w:val="0"/>
        <w:spacing w:line="576" w:lineRule="exact"/>
        <w:jc w:val="left"/>
        <w:textAlignment w:val="auto"/>
        <w:rPr>
          <w:rFonts w:ascii="仿宋_GB2312" w:eastAsia="仿宋_GB2312"/>
          <w:b/>
          <w:bCs/>
          <w:color w:val="000000"/>
          <w:kern w:val="44"/>
          <w:sz w:val="44"/>
          <w:szCs w:val="44"/>
        </w:rPr>
      </w:pPr>
      <w:bookmarkStart w:id="25" w:name="_Toc15377204"/>
      <w:r>
        <w:rPr>
          <w:rFonts w:ascii="仿宋_GB2312" w:eastAsia="仿宋_GB2312"/>
          <w:color w:val="000000"/>
        </w:rPr>
        <w:br w:type="page"/>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26" w:name="_Toc111208498"/>
      <w:bookmarkStart w:id="27" w:name="_Toc113981012"/>
      <w:r>
        <w:rPr>
          <w:rFonts w:hint="eastAsia" w:ascii="黑体" w:eastAsia="黑体" w:cs="黑体"/>
        </w:rPr>
        <w:t>第二部分</w:t>
      </w:r>
      <w:r>
        <w:rPr>
          <w:rFonts w:ascii="黑体" w:eastAsia="黑体" w:cs="黑体"/>
        </w:rPr>
        <w:t xml:space="preserve"> </w:t>
      </w:r>
      <w:r>
        <w:rPr>
          <w:rFonts w:hint="eastAsia" w:ascii="黑体" w:eastAsia="黑体" w:cs="黑体"/>
        </w:rPr>
        <w:t>2021年度部门决算情况说明</w:t>
      </w:r>
      <w:bookmarkEnd w:id="25"/>
      <w:bookmarkEnd w:id="26"/>
      <w:bookmarkEnd w:id="27"/>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28" w:name="_Toc15377205"/>
      <w:bookmarkStart w:id="29" w:name="_Toc111208499"/>
      <w:bookmarkStart w:id="30" w:name="_Toc113981013"/>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pageBreakBefore w:val="0"/>
        <w:widowControl w:val="0"/>
        <w:kinsoku/>
        <w:wordWrap/>
        <w:topLinePunct w:val="0"/>
        <w:bidi w:val="0"/>
        <w:spacing w:line="576" w:lineRule="exact"/>
        <w:ind w:firstLine="640" w:firstLineChars="200"/>
        <w:textAlignment w:val="auto"/>
        <w:rPr>
          <w:rFonts w:ascii="仿宋_GB2312" w:eastAsia="仿宋_GB2312"/>
          <w:color w:val="00B0F0"/>
          <w:sz w:val="32"/>
          <w:szCs w:val="32"/>
        </w:rPr>
      </w:pPr>
      <w:r>
        <w:rPr>
          <w:rFonts w:ascii="仿宋" w:eastAsia="仿宋"/>
          <w:color w:val="000000"/>
          <w:sz w:val="32"/>
          <w:szCs w:val="32"/>
        </w:rPr>
        <w:t>2021</w:t>
      </w:r>
      <w:r>
        <w:rPr>
          <w:rFonts w:hint="eastAsia" w:ascii="仿宋" w:eastAsia="仿宋"/>
          <w:color w:val="000000"/>
          <w:sz w:val="32"/>
          <w:szCs w:val="32"/>
        </w:rPr>
        <w:t>年度收、支总计</w:t>
      </w:r>
      <w:r>
        <w:rPr>
          <w:rFonts w:ascii="仿宋" w:eastAsia="仿宋"/>
          <w:color w:val="000000"/>
          <w:sz w:val="32"/>
          <w:szCs w:val="32"/>
        </w:rPr>
        <w:t>1221.44</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w:t>
      </w:r>
      <w:r>
        <w:rPr>
          <w:rFonts w:ascii="仿宋" w:eastAsia="仿宋"/>
          <w:color w:val="000000"/>
          <w:sz w:val="32"/>
          <w:szCs w:val="32"/>
        </w:rPr>
        <w:t>减少51.52</w:t>
      </w:r>
      <w:r>
        <w:rPr>
          <w:rFonts w:hint="eastAsia" w:ascii="仿宋" w:eastAsia="仿宋"/>
          <w:color w:val="000000"/>
          <w:sz w:val="32"/>
          <w:szCs w:val="32"/>
        </w:rPr>
        <w:t>万元，</w:t>
      </w:r>
      <w:r>
        <w:rPr>
          <w:rFonts w:ascii="仿宋" w:eastAsia="仿宋"/>
          <w:color w:val="000000"/>
          <w:sz w:val="32"/>
          <w:szCs w:val="32"/>
        </w:rPr>
        <w:t>减少4.05</w:t>
      </w:r>
      <w:r>
        <w:rPr>
          <w:rFonts w:hint="eastAsia" w:ascii="仿宋" w:eastAsia="仿宋"/>
          <w:color w:val="000000"/>
          <w:sz w:val="32"/>
          <w:szCs w:val="32"/>
        </w:rPr>
        <w:t xml:space="preserve"> %。 </w:t>
      </w:r>
    </w:p>
    <w:p>
      <w:pPr>
        <w:pageBreakBefore w:val="0"/>
        <w:widowControl w:val="0"/>
        <w:kinsoku/>
        <w:wordWrap/>
        <w:topLinePunct w:val="0"/>
        <w:bidi w:val="0"/>
        <w:spacing w:line="576" w:lineRule="exact"/>
        <w:ind w:firstLine="640" w:firstLineChars="200"/>
        <w:textAlignment w:val="auto"/>
        <w:rPr>
          <w:rFonts w:hint="eastAsia" w:ascii="仿宋" w:eastAsia="仿宋"/>
          <w:color w:val="000000"/>
          <w:sz w:val="32"/>
          <w:szCs w:val="32"/>
        </w:rPr>
      </w:pPr>
      <w:r>
        <w:rPr>
          <w:rFonts w:hint="eastAsia" w:ascii="仿宋" w:eastAsia="仿宋"/>
          <w:color w:val="000000"/>
          <w:sz w:val="32"/>
          <w:szCs w:val="32"/>
        </w:rPr>
        <w:t>（图1：收、支决算总计变动情况图）</w:t>
      </w:r>
    </w:p>
    <w:p>
      <w:pPr>
        <w:pStyle w:val="2"/>
      </w:pPr>
      <w:r>
        <w:drawing>
          <wp:anchor distT="0" distB="0" distL="114300" distR="114300" simplePos="0" relativeHeight="251659264" behindDoc="1" locked="0" layoutInCell="1" allowOverlap="1">
            <wp:simplePos x="0" y="0"/>
            <wp:positionH relativeFrom="column">
              <wp:posOffset>203835</wp:posOffset>
            </wp:positionH>
            <wp:positionV relativeFrom="paragraph">
              <wp:posOffset>446405</wp:posOffset>
            </wp:positionV>
            <wp:extent cx="4900295" cy="2004060"/>
            <wp:effectExtent l="9525" t="9525" r="24130" b="24765"/>
            <wp:wrapTight wrapText="bothSides">
              <wp:wrapPolygon>
                <wp:start x="-42" y="-103"/>
                <wp:lineTo x="-42" y="21456"/>
                <wp:lineTo x="21538" y="21456"/>
                <wp:lineTo x="21538" y="-103"/>
                <wp:lineTo x="-42" y="-103"/>
              </wp:wrapPolygon>
            </wp:wrapTight>
            <wp:docPr id="1" name="图表 1"/>
            <wp:cNvGraphicFramePr/>
            <a:graphic xmlns:a="http://schemas.openxmlformats.org/drawingml/2006/main">
              <a:graphicData uri="http://schemas.openxmlformats.org/drawingml/2006/picture">
                <pic:pic xmlns:pic="http://schemas.openxmlformats.org/drawingml/2006/picture">
                  <pic:nvPicPr>
                    <pic:cNvPr id="1" name="图表 1"/>
                    <pic:cNvPicPr/>
                  </pic:nvPicPr>
                  <pic:blipFill>
                    <a:blip r:embed="rId6"/>
                    <a:stretch>
                      <a:fillRect/>
                    </a:stretch>
                  </pic:blipFill>
                  <pic:spPr>
                    <a:xfrm>
                      <a:off x="0" y="0"/>
                      <a:ext cx="4900295" cy="2004060"/>
                    </a:xfrm>
                    <a:prstGeom prst="rect">
                      <a:avLst/>
                    </a:prstGeom>
                    <a:ln w="9525" cap="flat" cmpd="sng">
                      <a:solidFill>
                        <a:srgbClr val="000000"/>
                      </a:solidFill>
                      <a:prstDash val="solid"/>
                      <a:miter/>
                    </a:ln>
                  </pic:spPr>
                </pic:pic>
              </a:graphicData>
            </a:graphic>
          </wp:anchor>
        </w:drawing>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31" w:name="_Toc15377206"/>
      <w:bookmarkStart w:id="32" w:name="_Toc113981014"/>
      <w:bookmarkStart w:id="33" w:name="_Toc111208500"/>
      <w:r>
        <w:rPr>
          <w:rFonts w:hint="eastAsia" w:ascii="黑体" w:eastAsia="黑体" w:cs="Times New Roman"/>
          <w:bCs w:val="0"/>
          <w:color w:val="000000"/>
        </w:rPr>
        <w:t>二、收入决算情况说明</w:t>
      </w:r>
      <w:bookmarkEnd w:id="31"/>
      <w:bookmarkEnd w:id="32"/>
      <w:bookmarkEnd w:id="33"/>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2021年本年收入合计1221.44万元，其中：一般公共预算财政拨款收入1221.44万元，占100.00%；政府性基金预算财政拨款收入0.00万元，占0.00%；国有资本经营预算财政拨款收入0.00万元，占0.00%；上级补助收入0.00万元，占0.00%；事业收入0.00万元，占</w:t>
      </w:r>
      <w:r>
        <w:rPr>
          <w:rFonts w:hint="eastAsia" w:ascii="仿宋" w:eastAsia="仿宋"/>
          <w:color w:val="000000"/>
          <w:sz w:val="32"/>
          <w:szCs w:val="32"/>
          <w:lang w:val="en-US" w:eastAsia="zh-CN"/>
        </w:rPr>
        <w:t>0.00</w:t>
      </w:r>
      <w:r>
        <w:rPr>
          <w:rFonts w:hint="eastAsia" w:ascii="仿宋" w:eastAsia="仿宋"/>
          <w:color w:val="000000"/>
          <w:sz w:val="32"/>
          <w:szCs w:val="32"/>
        </w:rPr>
        <w:t>%；经营收入0.00万元，占0.00%；附属单位上缴收入0.00万元，占0.00%；其他收入0.00万元，占0.00%。</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（图2：收入决算结构图）</w:t>
      </w:r>
    </w:p>
    <w:p>
      <w:pPr>
        <w:pStyle w:val="14"/>
        <w:pageBreakBefore w:val="0"/>
        <w:widowControl w:val="0"/>
        <w:kinsoku/>
        <w:wordWrap/>
        <w:topLinePunct w:val="0"/>
        <w:bidi w:val="0"/>
        <w:spacing w:line="576" w:lineRule="exact"/>
        <w:jc w:val="center"/>
        <w:textAlignment w:val="auto"/>
      </w:pPr>
      <w:r>
        <w:rPr>
          <w:rFonts w:hint="eastAsia" w:ascii="仿宋_GB2312" w:eastAsia="仿宋_GB2312"/>
          <w:color w:val="FF0000"/>
          <w:sz w:val="32"/>
          <w:szCs w:val="32"/>
        </w:rPr>
        <w:drawing>
          <wp:anchor distT="0" distB="0" distL="114300" distR="114300" simplePos="0" relativeHeight="251660288" behindDoc="1" locked="0" layoutInCell="1" allowOverlap="1">
            <wp:simplePos x="0" y="0"/>
            <wp:positionH relativeFrom="column">
              <wp:posOffset>266700</wp:posOffset>
            </wp:positionH>
            <wp:positionV relativeFrom="paragraph">
              <wp:posOffset>-3107690</wp:posOffset>
            </wp:positionV>
            <wp:extent cx="5332730" cy="3400425"/>
            <wp:effectExtent l="0" t="0" r="0" b="0"/>
            <wp:wrapTight wrapText="bothSides">
              <wp:wrapPolygon>
                <wp:start x="-39" y="-61"/>
                <wp:lineTo x="-39" y="21600"/>
                <wp:lineTo x="21567" y="21600"/>
                <wp:lineTo x="21567" y="-61"/>
                <wp:lineTo x="-39" y="-61"/>
              </wp:wrapPolygon>
            </wp:wrapTight>
            <wp:docPr id="4" name="图表 2"/>
            <wp:cNvGraphicFramePr/>
            <a:graphic xmlns:a="http://schemas.openxmlformats.org/drawingml/2006/main">
              <a:graphicData uri="http://schemas.openxmlformats.org/drawingml/2006/picture">
                <pic:pic xmlns:pic="http://schemas.openxmlformats.org/drawingml/2006/picture">
                  <pic:nvPicPr>
                    <pic:cNvPr id="4" name="图表 2"/>
                    <pic:cNvPicPr/>
                  </pic:nvPicPr>
                  <pic:blipFill>
                    <a:blip r:embed="rId7"/>
                    <a:stretch>
                      <a:fillRect/>
                    </a:stretch>
                  </pic:blipFill>
                  <pic:spPr>
                    <a:xfrm>
                      <a:off x="0" y="0"/>
                      <a:ext cx="5332730" cy="3400425"/>
                    </a:xfrm>
                    <a:prstGeom prst="rect">
                      <a:avLst/>
                    </a:prstGeom>
                    <a:ln w="9525" cap="flat" cmpd="sng">
                      <a:solidFill>
                        <a:srgbClr val="000000"/>
                      </a:solidFill>
                      <a:prstDash val="solid"/>
                      <a:miter/>
                    </a:ln>
                  </pic:spPr>
                </pic:pic>
              </a:graphicData>
            </a:graphic>
          </wp:anchor>
        </w:drawing>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34" w:name="_Toc111208501"/>
      <w:bookmarkStart w:id="35" w:name="_Toc113981015"/>
      <w:bookmarkStart w:id="36" w:name="_Toc15377207"/>
      <w:r>
        <w:rPr>
          <w:rFonts w:hint="eastAsia" w:ascii="黑体" w:eastAsia="黑体" w:cs="Times New Roman"/>
          <w:bCs w:val="0"/>
          <w:color w:val="000000"/>
        </w:rPr>
        <w:t>三、支出决算情况说明</w:t>
      </w:r>
      <w:bookmarkEnd w:id="34"/>
      <w:bookmarkEnd w:id="35"/>
      <w:bookmarkEnd w:id="36"/>
    </w:p>
    <w:p>
      <w:pPr>
        <w:pStyle w:val="2"/>
        <w:pageBreakBefore w:val="0"/>
        <w:widowControl w:val="0"/>
        <w:kinsoku/>
        <w:wordWrap/>
        <w:topLinePunct w:val="0"/>
        <w:bidi w:val="0"/>
        <w:spacing w:line="576" w:lineRule="exact"/>
        <w:textAlignment w:val="auto"/>
        <w:rPr>
          <w:rFonts w:ascii="仿宋" w:eastAsia="仿宋"/>
          <w:color w:val="000000"/>
          <w:sz w:val="32"/>
          <w:szCs w:val="32"/>
        </w:rPr>
      </w:pPr>
      <w:r>
        <w:rPr>
          <w:rFonts w:hint="eastAsia" w:ascii="仿宋" w:eastAsia="仿宋"/>
          <w:color w:val="000000"/>
          <w:sz w:val="32"/>
          <w:szCs w:val="32"/>
        </w:rPr>
        <w:t>2021</w:t>
      </w:r>
      <w:r>
        <w:rPr>
          <w:rFonts w:ascii="仿宋" w:eastAsia="仿宋"/>
          <w:color w:val="000000"/>
          <w:sz w:val="32"/>
          <w:szCs w:val="32"/>
        </w:rPr>
        <w:t>年本年支出合计</w:t>
      </w:r>
      <w:r>
        <w:rPr>
          <w:rFonts w:hint="eastAsia" w:ascii="仿宋" w:eastAsia="仿宋"/>
          <w:color w:val="000000"/>
          <w:sz w:val="32"/>
          <w:szCs w:val="32"/>
        </w:rPr>
        <w:t>1221.44</w:t>
      </w:r>
      <w:r>
        <w:rPr>
          <w:rFonts w:ascii="仿宋" w:eastAsia="仿宋"/>
          <w:color w:val="000000"/>
          <w:sz w:val="32"/>
          <w:szCs w:val="32"/>
        </w:rPr>
        <w:t>万元，其中：基本支出</w:t>
      </w:r>
      <w:r>
        <w:rPr>
          <w:rFonts w:hint="eastAsia" w:ascii="仿宋" w:eastAsia="仿宋"/>
          <w:color w:val="000000"/>
          <w:sz w:val="32"/>
          <w:szCs w:val="32"/>
        </w:rPr>
        <w:t>1092.56</w:t>
      </w:r>
      <w:r>
        <w:rPr>
          <w:rFonts w:ascii="仿宋" w:eastAsia="仿宋"/>
          <w:color w:val="000000"/>
          <w:sz w:val="32"/>
          <w:szCs w:val="32"/>
        </w:rPr>
        <w:t>万元，占</w:t>
      </w:r>
      <w:r>
        <w:rPr>
          <w:rFonts w:hint="eastAsia" w:ascii="仿宋" w:eastAsia="仿宋"/>
          <w:color w:val="000000"/>
          <w:sz w:val="32"/>
          <w:szCs w:val="32"/>
        </w:rPr>
        <w:t>89.45</w:t>
      </w:r>
      <w:r>
        <w:rPr>
          <w:rFonts w:ascii="仿宋" w:eastAsia="仿宋"/>
          <w:color w:val="000000"/>
          <w:sz w:val="32"/>
          <w:szCs w:val="32"/>
        </w:rPr>
        <w:t>%；项目支出</w:t>
      </w:r>
      <w:r>
        <w:rPr>
          <w:rFonts w:hint="eastAsia" w:ascii="仿宋" w:eastAsia="仿宋"/>
          <w:color w:val="000000"/>
          <w:sz w:val="32"/>
          <w:szCs w:val="32"/>
        </w:rPr>
        <w:t>128.88</w:t>
      </w:r>
      <w:r>
        <w:rPr>
          <w:rFonts w:ascii="仿宋" w:eastAsia="仿宋"/>
          <w:color w:val="000000"/>
          <w:sz w:val="32"/>
          <w:szCs w:val="32"/>
        </w:rPr>
        <w:t>万元，占</w:t>
      </w:r>
      <w:r>
        <w:rPr>
          <w:rFonts w:hint="eastAsia" w:ascii="仿宋" w:eastAsia="仿宋"/>
          <w:color w:val="000000"/>
          <w:sz w:val="32"/>
          <w:szCs w:val="32"/>
        </w:rPr>
        <w:t>10.55</w:t>
      </w:r>
      <w:r>
        <w:rPr>
          <w:rFonts w:ascii="仿宋" w:eastAsia="仿宋"/>
          <w:color w:val="000000"/>
          <w:sz w:val="32"/>
          <w:szCs w:val="32"/>
        </w:rPr>
        <w:t>%；上缴上级支出</w:t>
      </w:r>
      <w:r>
        <w:rPr>
          <w:rFonts w:hint="eastAsia" w:ascii="仿宋" w:eastAsia="仿宋"/>
          <w:color w:val="000000"/>
          <w:sz w:val="32"/>
          <w:szCs w:val="32"/>
        </w:rPr>
        <w:t>0.00</w:t>
      </w:r>
      <w:r>
        <w:rPr>
          <w:rFonts w:ascii="仿宋" w:eastAsia="仿宋"/>
          <w:color w:val="000000"/>
          <w:sz w:val="32"/>
          <w:szCs w:val="32"/>
        </w:rPr>
        <w:t>万元，占</w:t>
      </w:r>
      <w:r>
        <w:rPr>
          <w:rFonts w:hint="eastAsia" w:ascii="仿宋" w:eastAsia="仿宋"/>
          <w:color w:val="000000"/>
          <w:sz w:val="32"/>
          <w:szCs w:val="32"/>
        </w:rPr>
        <w:t>0.00</w:t>
      </w:r>
      <w:r>
        <w:rPr>
          <w:rFonts w:ascii="仿宋" w:eastAsia="仿宋"/>
          <w:color w:val="000000"/>
          <w:sz w:val="32"/>
          <w:szCs w:val="32"/>
        </w:rPr>
        <w:t>%；经营支出</w:t>
      </w:r>
      <w:r>
        <w:rPr>
          <w:rFonts w:hint="eastAsia" w:ascii="仿宋" w:eastAsia="仿宋"/>
          <w:color w:val="000000"/>
          <w:sz w:val="32"/>
          <w:szCs w:val="32"/>
        </w:rPr>
        <w:t>0.00</w:t>
      </w:r>
      <w:r>
        <w:rPr>
          <w:rFonts w:ascii="仿宋" w:eastAsia="仿宋"/>
          <w:color w:val="000000"/>
          <w:sz w:val="32"/>
          <w:szCs w:val="32"/>
        </w:rPr>
        <w:t>万元，占</w:t>
      </w:r>
      <w:r>
        <w:rPr>
          <w:rFonts w:hint="eastAsia" w:ascii="仿宋" w:eastAsia="仿宋"/>
          <w:color w:val="000000"/>
          <w:sz w:val="32"/>
          <w:szCs w:val="32"/>
        </w:rPr>
        <w:t>0.00</w:t>
      </w:r>
      <w:r>
        <w:rPr>
          <w:rFonts w:ascii="仿宋" w:eastAsia="仿宋"/>
          <w:color w:val="000000"/>
          <w:sz w:val="32"/>
          <w:szCs w:val="32"/>
        </w:rPr>
        <w:t>%；对附属单位补助支出</w:t>
      </w:r>
      <w:r>
        <w:rPr>
          <w:rFonts w:hint="eastAsia" w:ascii="仿宋" w:eastAsia="仿宋"/>
          <w:color w:val="000000"/>
          <w:sz w:val="32"/>
          <w:szCs w:val="32"/>
        </w:rPr>
        <w:t>0.00</w:t>
      </w:r>
      <w:r>
        <w:rPr>
          <w:rFonts w:ascii="仿宋" w:eastAsia="仿宋"/>
          <w:color w:val="000000"/>
          <w:sz w:val="32"/>
          <w:szCs w:val="32"/>
        </w:rPr>
        <w:t>万元，占</w:t>
      </w:r>
      <w:r>
        <w:rPr>
          <w:rFonts w:hint="eastAsia" w:ascii="仿宋" w:eastAsia="仿宋"/>
          <w:color w:val="000000"/>
          <w:sz w:val="32"/>
          <w:szCs w:val="32"/>
        </w:rPr>
        <w:t>0.00</w:t>
      </w:r>
      <w:r>
        <w:rPr>
          <w:rFonts w:ascii="仿宋" w:eastAsia="仿宋"/>
          <w:color w:val="000000"/>
          <w:sz w:val="32"/>
          <w:szCs w:val="32"/>
        </w:rPr>
        <w:t>%。</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（图3：支出决算结构图）</w:t>
      </w:r>
    </w:p>
    <w:p>
      <w:pPr>
        <w:pageBreakBefore w:val="0"/>
        <w:widowControl w:val="0"/>
        <w:kinsoku/>
        <w:wordWrap/>
        <w:topLinePunct w:val="0"/>
        <w:bidi w:val="0"/>
        <w:spacing w:line="576" w:lineRule="exact"/>
        <w:jc w:val="center"/>
        <w:textAlignment w:val="auto"/>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1312" behindDoc="1" locked="0" layoutInCell="1" allowOverlap="1">
            <wp:simplePos x="0" y="0"/>
            <wp:positionH relativeFrom="column">
              <wp:posOffset>338455</wp:posOffset>
            </wp:positionH>
            <wp:positionV relativeFrom="paragraph">
              <wp:posOffset>134620</wp:posOffset>
            </wp:positionV>
            <wp:extent cx="4711065" cy="3228975"/>
            <wp:effectExtent l="9525" t="9525" r="22860" b="19050"/>
            <wp:wrapTight wrapText="bothSides">
              <wp:wrapPolygon>
                <wp:start x="-44" y="-64"/>
                <wp:lineTo x="-44" y="21600"/>
                <wp:lineTo x="21530" y="21600"/>
                <wp:lineTo x="21530" y="-64"/>
                <wp:lineTo x="-44" y="-64"/>
              </wp:wrapPolygon>
            </wp:wrapTight>
            <wp:docPr id="7" name="图表 3"/>
            <wp:cNvGraphicFramePr/>
            <a:graphic xmlns:a="http://schemas.openxmlformats.org/drawingml/2006/main">
              <a:graphicData uri="http://schemas.openxmlformats.org/drawingml/2006/picture">
                <pic:pic xmlns:pic="http://schemas.openxmlformats.org/drawingml/2006/picture">
                  <pic:nvPicPr>
                    <pic:cNvPr id="7" name="图表 3"/>
                    <pic:cNvPicPr/>
                  </pic:nvPicPr>
                  <pic:blipFill>
                    <a:blip r:embed="rId8"/>
                    <a:stretch>
                      <a:fillRect/>
                    </a:stretch>
                  </pic:blipFill>
                  <pic:spPr>
                    <a:xfrm>
                      <a:off x="0" y="0"/>
                      <a:ext cx="4711065" cy="3228975"/>
                    </a:xfrm>
                    <a:prstGeom prst="rect">
                      <a:avLst/>
                    </a:prstGeom>
                    <a:ln w="9525" cap="flat" cmpd="sng">
                      <a:solidFill>
                        <a:srgbClr val="000000"/>
                      </a:solidFill>
                      <a:prstDash val="solid"/>
                      <a:miter/>
                    </a:ln>
                  </pic:spPr>
                </pic:pic>
              </a:graphicData>
            </a:graphic>
          </wp:anchor>
        </w:drawing>
      </w:r>
    </w:p>
    <w:p>
      <w:pPr>
        <w:pStyle w:val="2"/>
        <w:pageBreakBefore w:val="0"/>
        <w:widowControl w:val="0"/>
        <w:kinsoku/>
        <w:wordWrap/>
        <w:topLinePunct w:val="0"/>
        <w:bidi w:val="0"/>
        <w:spacing w:line="576" w:lineRule="exact"/>
        <w:textAlignment w:val="auto"/>
      </w:pP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37" w:name="_Toc15377208"/>
      <w:bookmarkStart w:id="38" w:name="_Toc113981016"/>
      <w:bookmarkStart w:id="39" w:name="_Toc111208502"/>
      <w:r>
        <w:rPr>
          <w:rFonts w:hint="eastAsia" w:ascii="黑体" w:eastAsia="黑体" w:cs="Times New Roman"/>
          <w:bCs w:val="0"/>
          <w:color w:val="000000"/>
        </w:rPr>
        <w:t>四、财政拨款收入支出决算总体情况说明</w:t>
      </w:r>
      <w:bookmarkEnd w:id="37"/>
      <w:bookmarkEnd w:id="38"/>
      <w:bookmarkEnd w:id="39"/>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 xml:space="preserve">2021年财政拨款收、支总计1221.44万元。与2020年相比，财政拨款收、支总计各减少51.52万元，减少4.05 %。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（图4：财政拨款收、支决算总计变动情况）</w:t>
      </w:r>
    </w:p>
    <w:p>
      <w:pPr>
        <w:pStyle w:val="2"/>
        <w:pageBreakBefore w:val="0"/>
        <w:widowControl w:val="0"/>
        <w:kinsoku/>
        <w:wordWrap/>
        <w:topLinePunct w:val="0"/>
        <w:bidi w:val="0"/>
        <w:spacing w:line="576" w:lineRule="exact"/>
        <w:ind w:firstLine="0"/>
        <w:textAlignment w:val="auto"/>
      </w:pPr>
    </w:p>
    <w:p>
      <w:pPr>
        <w:pStyle w:val="2"/>
        <w:pageBreakBefore w:val="0"/>
        <w:widowControl w:val="0"/>
        <w:kinsoku/>
        <w:wordWrap/>
        <w:topLinePunct w:val="0"/>
        <w:bidi w:val="0"/>
        <w:spacing w:line="576" w:lineRule="exact"/>
        <w:jc w:val="left"/>
        <w:textAlignment w:val="auto"/>
      </w:pPr>
      <w:r>
        <w:rPr>
          <w:rFonts w:hint="eastAsia" w:ascii="仿宋_GB2312" w:eastAsia="仿宋_GB2312"/>
          <w:color w:val="000000"/>
          <w:sz w:val="32"/>
          <w:szCs w:val="32"/>
        </w:rPr>
        <w:drawing>
          <wp:anchor distT="0" distB="0" distL="0" distR="0" simplePos="0" relativeHeight="251662336" behindDoc="1" locked="0" layoutInCell="1" allowOverlap="1">
            <wp:simplePos x="0" y="0"/>
            <wp:positionH relativeFrom="column">
              <wp:posOffset>452755</wp:posOffset>
            </wp:positionH>
            <wp:positionV relativeFrom="paragraph">
              <wp:posOffset>38735</wp:posOffset>
            </wp:positionV>
            <wp:extent cx="4981575" cy="3171825"/>
            <wp:effectExtent l="0" t="0" r="0" b="0"/>
            <wp:wrapTight wrapText="bothSides">
              <wp:wrapPolygon>
                <wp:start x="-41" y="-65"/>
                <wp:lineTo x="-41" y="21600"/>
                <wp:lineTo x="21600" y="21600"/>
                <wp:lineTo x="21600" y="-65"/>
                <wp:lineTo x="-41" y="-65"/>
              </wp:wrapPolygon>
            </wp:wrapTight>
            <wp:docPr id="10" name="图表 12"/>
            <wp:cNvGraphicFramePr/>
            <a:graphic xmlns:a="http://schemas.openxmlformats.org/drawingml/2006/main">
              <a:graphicData uri="http://schemas.openxmlformats.org/drawingml/2006/picture">
                <pic:pic xmlns:pic="http://schemas.openxmlformats.org/drawingml/2006/picture">
                  <pic:nvPicPr>
                    <pic:cNvPr id="10" name="图表 12"/>
                    <pic:cNvPicPr/>
                  </pic:nvPicPr>
                  <pic:blipFill>
                    <a:blip r:embed="rId9"/>
                    <a:stretch>
                      <a:fillRect/>
                    </a:stretch>
                  </pic:blipFill>
                  <pic:spPr>
                    <a:xfrm>
                      <a:off x="0" y="0"/>
                      <a:ext cx="4981575" cy="3171825"/>
                    </a:xfrm>
                    <a:prstGeom prst="rect">
                      <a:avLst/>
                    </a:prstGeom>
                    <a:ln w="9525" cap="flat" cmpd="sng">
                      <a:solidFill>
                        <a:srgbClr val="000000"/>
                      </a:solidFill>
                      <a:prstDash val="solid"/>
                      <a:miter/>
                    </a:ln>
                  </pic:spPr>
                </pic:pic>
              </a:graphicData>
            </a:graphic>
          </wp:anchor>
        </w:drawing>
      </w:r>
    </w:p>
    <w:p>
      <w:pPr>
        <w:pStyle w:val="2"/>
        <w:pageBreakBefore w:val="0"/>
        <w:widowControl w:val="0"/>
        <w:kinsoku/>
        <w:wordWrap/>
        <w:topLinePunct w:val="0"/>
        <w:bidi w:val="0"/>
        <w:spacing w:line="576" w:lineRule="exact"/>
        <w:jc w:val="center"/>
        <w:textAlignment w:val="auto"/>
      </w:pP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40" w:name="_Toc15377209"/>
      <w:bookmarkStart w:id="41" w:name="_Toc113981017"/>
      <w:bookmarkStart w:id="42" w:name="_Toc111208503"/>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43" w:name="_Toc15377210"/>
      <w:r>
        <w:rPr>
          <w:rFonts w:hint="eastAsia" w:ascii="仿宋" w:eastAsia="仿宋"/>
          <w:b/>
          <w:color w:val="000000"/>
          <w:sz w:val="32"/>
          <w:szCs w:val="32"/>
        </w:rPr>
        <w:t>（一）一般公共预算财政拨款支出决算总体情况</w:t>
      </w:r>
      <w:bookmarkEnd w:id="43"/>
    </w:p>
    <w:p>
      <w:pPr>
        <w:pageBreakBefore w:val="0"/>
        <w:widowControl w:val="0"/>
        <w:kinsoku/>
        <w:wordWrap/>
        <w:topLinePunct w:val="0"/>
        <w:bidi w:val="0"/>
        <w:spacing w:line="576" w:lineRule="exact"/>
        <w:ind w:firstLine="640" w:firstLineChars="200"/>
        <w:textAlignment w:val="auto"/>
        <w:rPr>
          <w:rFonts w:ascii="仿宋_GB2312" w:eastAsia="仿宋_GB2312"/>
          <w:color w:val="000000"/>
          <w:sz w:val="32"/>
          <w:szCs w:val="32"/>
        </w:rPr>
      </w:pPr>
      <w:bookmarkStart w:id="44" w:name="_Toc15377211"/>
      <w:r>
        <w:rPr>
          <w:rFonts w:hint="eastAsia" w:ascii="仿宋" w:eastAsia="仿宋"/>
          <w:color w:val="000000"/>
          <w:sz w:val="32"/>
          <w:szCs w:val="32"/>
        </w:rPr>
        <w:t xml:space="preserve">2021年一般公共预算财政拨款支出1221.44万元，占本年支出合计的100.00%。与2020相比，一般公共预算财政拨款减少51.52万元，减少4.05 %。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（图5：一般公共预算财政拨款支出决算变动情况）</w:t>
      </w:r>
    </w:p>
    <w:p>
      <w:pPr>
        <w:pStyle w:val="2"/>
        <w:pageBreakBefore w:val="0"/>
        <w:widowControl w:val="0"/>
        <w:kinsoku/>
        <w:wordWrap/>
        <w:topLinePunct w:val="0"/>
        <w:bidi w:val="0"/>
        <w:spacing w:line="576" w:lineRule="exact"/>
        <w:ind w:firstLine="0"/>
        <w:textAlignment w:val="auto"/>
        <w:rPr>
          <w:rFonts w:ascii="仿宋_GB2312" w:eastAsia="仿宋_GB2312"/>
          <w:b/>
          <w:color w:val="000000"/>
          <w:sz w:val="32"/>
          <w:szCs w:val="32"/>
        </w:rPr>
      </w:pPr>
    </w:p>
    <w:p>
      <w:pPr>
        <w:pStyle w:val="2"/>
        <w:pageBreakBefore w:val="0"/>
        <w:widowControl w:val="0"/>
        <w:kinsoku/>
        <w:wordWrap/>
        <w:topLinePunct w:val="0"/>
        <w:bidi w:val="0"/>
        <w:spacing w:line="576" w:lineRule="exact"/>
        <w:ind w:firstLine="0"/>
        <w:textAlignment w:val="auto"/>
        <w:rPr>
          <w:rFonts w:ascii="仿宋_GB2312" w:eastAsia="仿宋_GB2312"/>
          <w:b/>
          <w:color w:val="000000"/>
          <w:sz w:val="32"/>
          <w:szCs w:val="32"/>
        </w:rPr>
      </w:pPr>
      <w:r>
        <w:rPr>
          <w:rFonts w:hint="eastAsia" w:ascii="仿宋_GB2312" w:eastAsia="仿宋_GB2312"/>
          <w:b/>
          <w:color w:val="000000"/>
          <w:sz w:val="32"/>
          <w:szCs w:val="32"/>
        </w:rPr>
        <w:drawing>
          <wp:anchor distT="0" distB="0" distL="0" distR="0" simplePos="0" relativeHeight="251663360" behindDoc="1" locked="0" layoutInCell="1" allowOverlap="1">
            <wp:simplePos x="0" y="0"/>
            <wp:positionH relativeFrom="column">
              <wp:posOffset>582295</wp:posOffset>
            </wp:positionH>
            <wp:positionV relativeFrom="paragraph">
              <wp:posOffset>-8825865</wp:posOffset>
            </wp:positionV>
            <wp:extent cx="3952875" cy="2850515"/>
            <wp:effectExtent l="9525" t="9525" r="19050" b="16510"/>
            <wp:wrapTight wrapText="bothSides">
              <wp:wrapPolygon>
                <wp:start x="-52" y="-72"/>
                <wp:lineTo x="-52" y="21581"/>
                <wp:lineTo x="21600" y="21581"/>
                <wp:lineTo x="21600" y="-72"/>
                <wp:lineTo x="-52" y="-72"/>
              </wp:wrapPolygon>
            </wp:wrapTight>
            <wp:docPr id="13" name="图表 4"/>
            <wp:cNvGraphicFramePr/>
            <a:graphic xmlns:a="http://schemas.openxmlformats.org/drawingml/2006/main">
              <a:graphicData uri="http://schemas.openxmlformats.org/drawingml/2006/picture">
                <pic:pic xmlns:pic="http://schemas.openxmlformats.org/drawingml/2006/picture">
                  <pic:nvPicPr>
                    <pic:cNvPr id="13" name="图表 4"/>
                    <pic:cNvPicPr/>
                  </pic:nvPicPr>
                  <pic:blipFill>
                    <a:blip r:embed="rId10"/>
                    <a:stretch>
                      <a:fillRect/>
                    </a:stretch>
                  </pic:blipFill>
                  <pic:spPr>
                    <a:xfrm>
                      <a:off x="0" y="0"/>
                      <a:ext cx="3952875" cy="2850515"/>
                    </a:xfrm>
                    <a:prstGeom prst="rect">
                      <a:avLst/>
                    </a:prstGeom>
                    <a:ln w="9525" cap="flat" cmpd="sng">
                      <a:solidFill>
                        <a:srgbClr val="000000"/>
                      </a:solidFill>
                      <a:prstDash val="solid"/>
                      <a:miter/>
                    </a:ln>
                  </pic:spPr>
                </pic:pic>
              </a:graphicData>
            </a:graphic>
          </wp:anchor>
        </w:drawing>
      </w:r>
    </w:p>
    <w:p>
      <w:pPr>
        <w:pStyle w:val="2"/>
        <w:pageBreakBefore w:val="0"/>
        <w:widowControl w:val="0"/>
        <w:kinsoku/>
        <w:wordWrap/>
        <w:topLinePunct w:val="0"/>
        <w:bidi w:val="0"/>
        <w:spacing w:line="576" w:lineRule="exact"/>
        <w:ind w:firstLine="0"/>
        <w:textAlignment w:val="auto"/>
        <w:rPr>
          <w:rFonts w:ascii="仿宋_GB2312" w:eastAsia="仿宋_GB2312"/>
          <w:b/>
          <w:color w:val="000000"/>
          <w:sz w:val="32"/>
          <w:szCs w:val="32"/>
        </w:rPr>
      </w:pP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44"/>
      <w:r>
        <w:rPr>
          <w:rFonts w:hint="eastAsia" w:ascii="仿宋" w:eastAsia="仿宋"/>
          <w:b/>
          <w:color w:val="000000"/>
          <w:sz w:val="32"/>
          <w:szCs w:val="32"/>
        </w:rPr>
        <w:t>（一般公共预算收支表）</w:t>
      </w:r>
    </w:p>
    <w:p>
      <w:pPr>
        <w:pageBreakBefore w:val="0"/>
        <w:widowControl w:val="0"/>
        <w:kinsoku/>
        <w:wordWrap/>
        <w:topLinePunct w:val="0"/>
        <w:bidi w:val="0"/>
        <w:spacing w:line="576" w:lineRule="exact"/>
        <w:ind w:firstLine="640" w:firstLineChars="200"/>
        <w:textAlignment w:val="auto"/>
        <w:rPr>
          <w:rFonts w:ascii="仿宋_GB2312" w:eastAsia="仿宋_GB2312"/>
          <w:color w:val="000000"/>
          <w:sz w:val="32"/>
          <w:szCs w:val="32"/>
        </w:rPr>
      </w:pPr>
      <w:r>
        <w:rPr>
          <w:rFonts w:hint="eastAsia" w:ascii="仿宋" w:eastAsia="仿宋"/>
          <w:color w:val="000000"/>
          <w:sz w:val="32"/>
          <w:szCs w:val="32"/>
        </w:rPr>
        <w:t>2021年一般公共预算财政拨款支出1221.44万元，主要用于以下方面:一般公共服务支出1031.73万元，占84.47%；社会保障和就业支出85.63万元，占7.01%；卫生健康支出41.62万元，占3.41%；农林水支出0.36万元，占0.03%；住房保障支出62.10万元，占5.08%。</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（图6：一般公共预算财政拨款支出决算结构）</w:t>
      </w:r>
      <w:bookmarkStart w:id="45" w:name="_Toc15377212"/>
    </w:p>
    <w:p>
      <w:pPr>
        <w:pStyle w:val="2"/>
        <w:pageBreakBefore w:val="0"/>
        <w:widowControl w:val="0"/>
        <w:kinsoku/>
        <w:wordWrap/>
        <w:topLinePunct w:val="0"/>
        <w:bidi w:val="0"/>
        <w:spacing w:line="576" w:lineRule="exact"/>
        <w:textAlignment w:val="auto"/>
      </w:pPr>
      <w:r>
        <w:drawing>
          <wp:anchor distT="0" distB="0" distL="0" distR="0" simplePos="0" relativeHeight="251664384" behindDoc="1" locked="0" layoutInCell="1" allowOverlap="1">
            <wp:simplePos x="0" y="0"/>
            <wp:positionH relativeFrom="column">
              <wp:posOffset>719455</wp:posOffset>
            </wp:positionH>
            <wp:positionV relativeFrom="paragraph">
              <wp:posOffset>332105</wp:posOffset>
            </wp:positionV>
            <wp:extent cx="3899535" cy="2642870"/>
            <wp:effectExtent l="9525" t="9525" r="15240" b="14605"/>
            <wp:wrapTight wrapText="bothSides">
              <wp:wrapPolygon>
                <wp:start x="-53" y="-78"/>
                <wp:lineTo x="-53" y="21564"/>
                <wp:lineTo x="21579" y="21564"/>
                <wp:lineTo x="21579" y="-78"/>
                <wp:lineTo x="-53" y="-78"/>
              </wp:wrapPolygon>
            </wp:wrapTight>
            <wp:docPr id="16" name="图表 1"/>
            <wp:cNvGraphicFramePr/>
            <a:graphic xmlns:a="http://schemas.openxmlformats.org/drawingml/2006/main">
              <a:graphicData uri="http://schemas.openxmlformats.org/drawingml/2006/picture">
                <pic:pic xmlns:pic="http://schemas.openxmlformats.org/drawingml/2006/picture">
                  <pic:nvPicPr>
                    <pic:cNvPr id="16" name="图表 1"/>
                    <pic:cNvPicPr/>
                  </pic:nvPicPr>
                  <pic:blipFill>
                    <a:blip r:embed="rId11"/>
                    <a:stretch>
                      <a:fillRect/>
                    </a:stretch>
                  </pic:blipFill>
                  <pic:spPr>
                    <a:xfrm>
                      <a:off x="0" y="0"/>
                      <a:ext cx="3899535" cy="2642870"/>
                    </a:xfrm>
                    <a:prstGeom prst="rect">
                      <a:avLst/>
                    </a:prstGeom>
                    <a:ln w="9525" cap="flat" cmpd="sng">
                      <a:solidFill>
                        <a:srgbClr val="000000"/>
                      </a:solidFill>
                      <a:prstDash val="solid"/>
                      <a:miter/>
                    </a:ln>
                  </pic:spPr>
                </pic:pic>
              </a:graphicData>
            </a:graphic>
          </wp:anchor>
        </w:drawing>
      </w: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45"/>
    </w:p>
    <w:p>
      <w:pPr>
        <w:pageBreakBefore w:val="0"/>
        <w:widowControl w:val="0"/>
        <w:kinsoku/>
        <w:wordWrap/>
        <w:topLinePunct w:val="0"/>
        <w:bidi w:val="0"/>
        <w:spacing w:line="576" w:lineRule="exact"/>
        <w:ind w:firstLine="640"/>
        <w:textAlignment w:val="auto"/>
        <w:rPr>
          <w:rFonts w:ascii="仿宋" w:eastAsia="仿宋"/>
          <w:color w:val="000000"/>
          <w:sz w:val="32"/>
          <w:szCs w:val="32"/>
        </w:rPr>
      </w:pPr>
      <w:bookmarkStart w:id="46" w:name="_Toc15377444"/>
      <w:bookmarkStart w:id="47" w:name="_Toc15377213"/>
      <w:bookmarkStart w:id="48" w:name="_Toc15378460"/>
      <w:r>
        <w:rPr>
          <w:rFonts w:hint="eastAsia" w:ascii="仿宋" w:eastAsia="仿宋"/>
          <w:color w:val="000000"/>
          <w:sz w:val="32"/>
          <w:szCs w:val="32"/>
        </w:rPr>
        <w:t>2021年一般公共预算支出决算数为1221.44万</w:t>
      </w:r>
      <w:r>
        <w:rPr>
          <w:rFonts w:hint="eastAsia" w:ascii="仿宋" w:eastAsia="仿宋"/>
          <w:color w:val="000000"/>
          <w:sz w:val="32"/>
          <w:szCs w:val="32"/>
          <w:lang w:eastAsia="zh-CN"/>
        </w:rPr>
        <w:t>元</w:t>
      </w:r>
      <w:r>
        <w:rPr>
          <w:rFonts w:hint="eastAsia" w:ascii="仿宋" w:eastAsia="仿宋"/>
          <w:color w:val="000000"/>
          <w:sz w:val="32"/>
          <w:szCs w:val="32"/>
        </w:rPr>
        <w:t>，完成预算100%。其中：</w:t>
      </w:r>
      <w:bookmarkEnd w:id="46"/>
      <w:bookmarkEnd w:id="47"/>
      <w:bookmarkEnd w:id="48"/>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1.一般公共服务支出（201）政府办公厅（室）及相关机构事务（20103）行政运行（2010301）支出决算780.45万元，完成预算100%。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2.一般公共服务支出（201）政府办公厅（室）及相关机构事务（20103）事业运行（2010350）支出决算122.76万元，完成预算100%。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3.一般公共服务支出（201）政府办公厅（室）及相关机构事务（20103）其他政府办公厅（室）及相关机构事务支出（2010399）支出决算128.52万元，完成预算100%。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4.社会保障和就业支出（208）行政事业单位养老支出（20805）机关事业单位基本养老保险缴费支出（2080505）支出决算57.08万元，完成预算100%。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5.社会保障和就业支出（208）行政事业单位养老支出（20805）机关事业单位职业年金缴费支出（2080506）支出决算28.54万元，完成预算100%。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6.卫生健康支出（210）行政事业单位医疗（21011）行政单位医疗（2101101）支出决算34.72万元，完成预算100%。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7.卫生健康支出（210）行政事业单位医疗（21011）事业单位医疗（2101102）支出决算6.90万元，完成预算100%。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8.农林水支出（213）扶贫（21305）其他扶贫支出（2130599）支出决算0.36万元，完成预算100%。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9.住房保障支出（221）住房改革支出（22102）住房公积金（2210201）支出决算61.09万元，完成预算100%。</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10.住房保障支出（221）住房改革支出（22102）购房补贴（2210203）支出决算1.02万元，完成预算100%。</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 w:val="0"/>
          <w:color w:val="000000"/>
        </w:rPr>
      </w:pPr>
      <w:bookmarkStart w:id="49" w:name="_Toc15377214"/>
      <w:bookmarkStart w:id="50" w:name="_Toc111208504"/>
      <w:bookmarkStart w:id="51" w:name="_Toc113981018"/>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2021年一般公共预算财政拨款基本支出1092.56万元，其中：</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人员经费893.57万元，主要包括：基本工资174.99万元、津贴补贴146.59万元、奖金264.35万元、绩效工资77.71万元、机关事业单位基本养老保险缴费57.08万元、职业年金缴费28.54万元、职工基本医疗保险缴费41.62万元、其他社会保障缴费2.58万元、住房公积金61.09万元、医疗费4.67万元、生活补助33.80万元、医疗费补助0.52万元、奖励金0.03万元。</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公用经费198.99万元，主要包括：办公费5.55万元、邮电费3.69万元、差旅费17.28万元、维修（护）费2.61万元、租赁费2.72万元、公务接待费1.66万元、劳务费3.83万元、公务用车运行维护费110.27万元。</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52" w:name="_Toc113981019"/>
      <w:bookmarkStart w:id="53" w:name="_Toc15377215"/>
      <w:bookmarkStart w:id="54" w:name="_Toc111208505"/>
      <w:r>
        <w:rPr>
          <w:rFonts w:hint="eastAsia" w:ascii="黑体" w:eastAsia="黑体" w:cs="Times New Roman"/>
          <w:bCs w:val="0"/>
          <w:color w:val="000000"/>
        </w:rPr>
        <w:t>七、“三公”经费财政拨款支出决算情况说明</w:t>
      </w:r>
      <w:bookmarkEnd w:id="52"/>
      <w:bookmarkEnd w:id="53"/>
      <w:bookmarkEnd w:id="54"/>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55" w:name="_Toc15377216"/>
      <w:r>
        <w:rPr>
          <w:rFonts w:hint="eastAsia" w:ascii="仿宋" w:eastAsia="仿宋"/>
          <w:b/>
          <w:color w:val="000000"/>
          <w:sz w:val="32"/>
          <w:szCs w:val="32"/>
        </w:rPr>
        <w:t>（一）“三公”经费财政拨款支出决算总体情况说明</w:t>
      </w:r>
      <w:bookmarkEnd w:id="55"/>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2021年“三公”经费财政拨款支出决算为242.31万元，完成预算100.00%。</w:t>
      </w:r>
      <w:bookmarkStart w:id="56" w:name="_Toc15377217"/>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r>
        <w:rPr>
          <w:rFonts w:hint="eastAsia" w:ascii="仿宋" w:eastAsia="仿宋"/>
          <w:b/>
          <w:color w:val="000000"/>
          <w:sz w:val="32"/>
          <w:szCs w:val="32"/>
        </w:rPr>
        <w:t>（二）“三公”经费财政拨款支出决算具体情况说明</w:t>
      </w:r>
      <w:bookmarkEnd w:id="56"/>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2021年“三公”经费财政拨款支出242.31万</w:t>
      </w:r>
      <w:r>
        <w:rPr>
          <w:rFonts w:hint="eastAsia" w:ascii="仿宋" w:eastAsia="仿宋"/>
          <w:color w:val="000000"/>
          <w:sz w:val="32"/>
          <w:szCs w:val="32"/>
          <w:lang w:eastAsia="zh-CN"/>
        </w:rPr>
        <w:t>元</w:t>
      </w:r>
      <w:r>
        <w:rPr>
          <w:rFonts w:hint="eastAsia" w:ascii="仿宋" w:eastAsia="仿宋"/>
          <w:color w:val="000000"/>
          <w:sz w:val="32"/>
          <w:szCs w:val="32"/>
        </w:rPr>
        <w:t>，因公出国（境）费支出决算0.00万元，占0.00%；公务用车购置及运行维护费支出决算240.65万元，占99.31%；公务接待费支出决算1.66万元，占0.69%。具体情况如下：</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（图7：“三公”经费财政拨款支出结构）</w:t>
      </w:r>
    </w:p>
    <w:p>
      <w:pPr>
        <w:pStyle w:val="2"/>
        <w:pageBreakBefore w:val="0"/>
        <w:widowControl w:val="0"/>
        <w:kinsoku/>
        <w:wordWrap/>
        <w:topLinePunct w:val="0"/>
        <w:bidi w:val="0"/>
        <w:spacing w:line="576" w:lineRule="exact"/>
        <w:textAlignment w:val="auto"/>
        <w:rPr>
          <w:rFonts w:ascii="仿宋_GB2312" w:eastAsia="仿宋_GB2312"/>
          <w:color w:val="000000"/>
          <w:sz w:val="32"/>
          <w:szCs w:val="32"/>
        </w:rPr>
      </w:pPr>
      <w:r>
        <w:drawing>
          <wp:anchor distT="0" distB="0" distL="0" distR="0" simplePos="0" relativeHeight="251665408" behindDoc="1" locked="0" layoutInCell="1" allowOverlap="1">
            <wp:simplePos x="0" y="0"/>
            <wp:positionH relativeFrom="column">
              <wp:posOffset>516890</wp:posOffset>
            </wp:positionH>
            <wp:positionV relativeFrom="paragraph">
              <wp:posOffset>116205</wp:posOffset>
            </wp:positionV>
            <wp:extent cx="4333240" cy="2886075"/>
            <wp:effectExtent l="0" t="0" r="0" b="0"/>
            <wp:wrapTight wrapText="bothSides">
              <wp:wrapPolygon>
                <wp:start x="-47" y="-71"/>
                <wp:lineTo x="-47" y="21600"/>
                <wp:lineTo x="21508" y="21600"/>
                <wp:lineTo x="21508" y="-71"/>
                <wp:lineTo x="-47" y="-71"/>
              </wp:wrapPolygon>
            </wp:wrapTight>
            <wp:docPr id="19" name="图表 6"/>
            <wp:cNvGraphicFramePr/>
            <a:graphic xmlns:a="http://schemas.openxmlformats.org/drawingml/2006/main">
              <a:graphicData uri="http://schemas.openxmlformats.org/drawingml/2006/picture">
                <pic:pic xmlns:pic="http://schemas.openxmlformats.org/drawingml/2006/picture">
                  <pic:nvPicPr>
                    <pic:cNvPr id="19" name="图表 6"/>
                    <pic:cNvPicPr/>
                  </pic:nvPicPr>
                  <pic:blipFill>
                    <a:blip r:embed="rId12"/>
                    <a:stretch>
                      <a:fillRect/>
                    </a:stretch>
                  </pic:blipFill>
                  <pic:spPr>
                    <a:xfrm>
                      <a:off x="0" y="0"/>
                      <a:ext cx="4333240" cy="2886075"/>
                    </a:xfrm>
                    <a:prstGeom prst="rect">
                      <a:avLst/>
                    </a:prstGeom>
                    <a:ln w="9525" cap="flat" cmpd="sng">
                      <a:solidFill>
                        <a:srgbClr val="000000"/>
                      </a:solidFill>
                      <a:prstDash val="solid"/>
                      <a:miter/>
                    </a:ln>
                  </pic:spPr>
                </pic:pic>
              </a:graphicData>
            </a:graphic>
          </wp:anchor>
        </w:drawing>
      </w:r>
    </w:p>
    <w:p>
      <w:pPr>
        <w:pStyle w:val="2"/>
        <w:pageBreakBefore w:val="0"/>
        <w:widowControl w:val="0"/>
        <w:kinsoku/>
        <w:wordWrap/>
        <w:topLinePunct w:val="0"/>
        <w:bidi w:val="0"/>
        <w:spacing w:line="576" w:lineRule="exact"/>
        <w:textAlignment w:val="auto"/>
        <w:rPr>
          <w:rFonts w:ascii="仿宋_GB2312" w:eastAsia="仿宋_GB2312"/>
          <w:color w:val="000000"/>
          <w:sz w:val="32"/>
          <w:szCs w:val="32"/>
        </w:rPr>
      </w:pP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 xml:space="preserve">1.因公出国（境）经费支出0.00万元,完成预算100%。全年安排因公出国（境）团组0次，出国（境）0人。因公出国（境）支出决算比2020年增加0.00万元，增加100.00 %。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 xml:space="preserve">2.公务用车购置及运行维护费支出240.65万元,完成预算100.00%。公务用车购置及运行维护费支出决算比2020年增加81.27万元，增加50.99%。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其中：公务用车购置支出51.18万元。全年按规定更新购置公务用车1辆，其中：轿车0辆、金额0.00万元，越野车848787辆、金额0.00万元，载客汽车0辆、金额0.00万元。截至</w:t>
      </w:r>
      <w:r>
        <w:rPr>
          <w:rFonts w:ascii="仿宋" w:eastAsia="仿宋"/>
          <w:color w:val="000000"/>
          <w:sz w:val="32"/>
          <w:szCs w:val="32"/>
        </w:rPr>
        <w:t>20</w:t>
      </w:r>
      <w:r>
        <w:rPr>
          <w:rFonts w:hint="eastAsia" w:ascii="仿宋" w:eastAsia="仿宋"/>
          <w:color w:val="000000"/>
          <w:sz w:val="32"/>
          <w:szCs w:val="32"/>
        </w:rPr>
        <w:t>21年</w:t>
      </w:r>
      <w:r>
        <w:rPr>
          <w:rFonts w:ascii="仿宋" w:eastAsia="仿宋"/>
          <w:color w:val="000000"/>
          <w:sz w:val="32"/>
          <w:szCs w:val="32"/>
        </w:rPr>
        <w:t>12</w:t>
      </w:r>
      <w:r>
        <w:rPr>
          <w:rFonts w:hint="eastAsia" w:ascii="仿宋" w:eastAsia="仿宋"/>
          <w:color w:val="000000"/>
          <w:sz w:val="32"/>
          <w:szCs w:val="32"/>
        </w:rPr>
        <w:t>月底，单位共有公务用车14辆，其中：轿车1辆、越野车13辆、载客汽车0辆。</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 xml:space="preserve">公务用车运行维护费支出189.47万元。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3.公务接待费支出1.66万元，完成预算100.00%。公务接待费支出决算比2020年减少9.74万元，减少586.26</w:t>
      </w:r>
      <w:r>
        <w:rPr>
          <w:rFonts w:ascii="仿宋" w:eastAsia="仿宋"/>
          <w:color w:val="000000"/>
          <w:sz w:val="32"/>
          <w:szCs w:val="32"/>
        </w:rPr>
        <w:t>%</w:t>
      </w:r>
      <w:r>
        <w:rPr>
          <w:rFonts w:hint="eastAsia" w:ascii="仿宋" w:eastAsia="仿宋"/>
          <w:color w:val="000000"/>
          <w:sz w:val="32"/>
          <w:szCs w:val="32"/>
        </w:rPr>
        <w:t>。</w:t>
      </w:r>
      <w:bookmarkStart w:id="57" w:name="_Toc15377218"/>
      <w:r>
        <w:rPr>
          <w:rFonts w:hint="eastAsia"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国内公务接待支出1.66万元。国内公务接待16批次，135人次（不包括陪同人员），共计支出1.66万元。</w:t>
      </w:r>
    </w:p>
    <w:p>
      <w:pPr>
        <w:pStyle w:val="2"/>
        <w:pageBreakBefore w:val="0"/>
        <w:widowControl w:val="0"/>
        <w:kinsoku/>
        <w:wordWrap/>
        <w:topLinePunct w:val="0"/>
        <w:bidi w:val="0"/>
        <w:spacing w:line="576" w:lineRule="exact"/>
        <w:textAlignment w:val="auto"/>
        <w:rPr>
          <w:rFonts w:ascii="仿宋" w:eastAsia="仿宋"/>
          <w:color w:val="000000"/>
          <w:sz w:val="32"/>
          <w:szCs w:val="32"/>
        </w:rPr>
      </w:pPr>
      <w:r>
        <w:rPr>
          <w:rFonts w:hint="eastAsia" w:ascii="仿宋" w:eastAsia="仿宋"/>
          <w:color w:val="000000"/>
          <w:sz w:val="32"/>
          <w:szCs w:val="32"/>
        </w:rPr>
        <w:t>外事接待支出0.00万元，外事接待0批次，0人，共计支出0.00万元。</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58" w:name="_Toc113981020"/>
      <w:bookmarkStart w:id="59" w:name="_Toc111208506"/>
      <w:r>
        <w:rPr>
          <w:rFonts w:hint="eastAsia" w:ascii="黑体" w:eastAsia="黑体" w:cs="Times New Roman"/>
          <w:bCs w:val="0"/>
          <w:color w:val="000000"/>
        </w:rPr>
        <w:t>八、政府性基金预算支出决算情况说明</w:t>
      </w:r>
      <w:bookmarkEnd w:id="57"/>
      <w:bookmarkEnd w:id="58"/>
      <w:bookmarkEnd w:id="59"/>
    </w:p>
    <w:p>
      <w:pPr>
        <w:pageBreakBefore w:val="0"/>
        <w:widowControl w:val="0"/>
        <w:kinsoku/>
        <w:wordWrap/>
        <w:topLinePunct w:val="0"/>
        <w:bidi w:val="0"/>
        <w:spacing w:line="576" w:lineRule="exact"/>
        <w:ind w:firstLine="640"/>
        <w:textAlignment w:val="auto"/>
        <w:rPr>
          <w:rFonts w:ascii="仿宋" w:eastAsia="仿宋"/>
        </w:rPr>
      </w:pPr>
      <w:r>
        <w:rPr>
          <w:rFonts w:hint="eastAsia" w:ascii="仿宋" w:eastAsia="仿宋"/>
          <w:color w:val="000000"/>
          <w:sz w:val="32"/>
          <w:szCs w:val="32"/>
        </w:rPr>
        <w:t>2021年政府性基金预算拨款支出0.00万元。</w:t>
      </w:r>
      <w:bookmarkStart w:id="60" w:name="_Toc1537721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61" w:name="_Toc111208507"/>
      <w:bookmarkStart w:id="62" w:name="_Toc113981021"/>
      <w:r>
        <w:rPr>
          <w:rFonts w:hint="eastAsia" w:ascii="黑体" w:eastAsia="黑体" w:cs="Times New Roman"/>
          <w:bCs w:val="0"/>
          <w:color w:val="000000"/>
        </w:rPr>
        <w:t>九、国有资本经营预算支出决算情况说明</w:t>
      </w:r>
      <w:bookmarkEnd w:id="60"/>
      <w:bookmarkEnd w:id="61"/>
      <w:bookmarkEnd w:id="62"/>
    </w:p>
    <w:p>
      <w:pPr>
        <w:pageBreakBefore w:val="0"/>
        <w:widowControl w:val="0"/>
        <w:kinsoku/>
        <w:wordWrap/>
        <w:topLinePunct w:val="0"/>
        <w:bidi w:val="0"/>
        <w:spacing w:line="576" w:lineRule="exact"/>
        <w:ind w:firstLine="640"/>
        <w:textAlignment w:val="auto"/>
        <w:rPr>
          <w:rFonts w:ascii="仿宋" w:eastAsia="仿宋"/>
        </w:rPr>
      </w:pPr>
      <w:r>
        <w:rPr>
          <w:rFonts w:hint="eastAsia" w:ascii="仿宋" w:eastAsia="仿宋"/>
          <w:color w:val="000000"/>
          <w:sz w:val="32"/>
          <w:szCs w:val="32"/>
        </w:rPr>
        <w:t>2021年国有资本经营预算拨款支出0.00万元。</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63" w:name="_Toc111208508"/>
      <w:bookmarkStart w:id="64" w:name="_Toc113981022"/>
      <w:bookmarkStart w:id="65" w:name="_Toc15377221"/>
      <w:r>
        <w:rPr>
          <w:rFonts w:hint="eastAsia" w:ascii="黑体" w:eastAsia="黑体" w:cs="Times New Roman"/>
          <w:bCs w:val="0"/>
          <w:color w:val="000000"/>
        </w:rPr>
        <w:t>十、其他重要事项的情况说明</w:t>
      </w:r>
      <w:bookmarkEnd w:id="63"/>
      <w:bookmarkEnd w:id="64"/>
      <w:bookmarkEnd w:id="65"/>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66" w:name="_Toc15377222"/>
      <w:r>
        <w:rPr>
          <w:rFonts w:hint="eastAsia" w:ascii="仿宋" w:eastAsia="仿宋"/>
          <w:b/>
          <w:color w:val="000000"/>
          <w:sz w:val="32"/>
          <w:szCs w:val="32"/>
        </w:rPr>
        <w:t>（一）机关运行经费支出情况</w:t>
      </w:r>
      <w:bookmarkEnd w:id="66"/>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 xml:space="preserve">2021年，机关运行经费支出189.78万元，比2020年减少140.78万元，减少42.59 %。 </w:t>
      </w: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67" w:name="_Toc15377223"/>
      <w:r>
        <w:rPr>
          <w:rFonts w:hint="eastAsia" w:ascii="仿宋" w:eastAsia="仿宋"/>
          <w:b/>
          <w:color w:val="000000"/>
          <w:sz w:val="32"/>
          <w:szCs w:val="32"/>
        </w:rPr>
        <w:t>（二）政府采购支出情况</w:t>
      </w:r>
      <w:bookmarkEnd w:id="67"/>
      <w:r>
        <w:rPr>
          <w:rFonts w:hint="eastAsia" w:ascii="仿宋" w:eastAsia="仿宋"/>
          <w:b/>
          <w:color w:val="000000"/>
          <w:sz w:val="32"/>
          <w:szCs w:val="32"/>
        </w:rPr>
        <w:t>(机构运行信息表)</w:t>
      </w:r>
    </w:p>
    <w:p>
      <w:pPr>
        <w:pageBreakBefore w:val="0"/>
        <w:widowControl w:val="0"/>
        <w:kinsoku/>
        <w:wordWrap/>
        <w:topLinePunct w:val="0"/>
        <w:bidi w:val="0"/>
        <w:spacing w:line="576" w:lineRule="exact"/>
        <w:ind w:firstLine="640"/>
        <w:textAlignment w:val="auto"/>
        <w:rPr>
          <w:rFonts w:ascii="仿宋_GB2312" w:eastAsia="仿宋_GB2312"/>
          <w:color w:val="000000"/>
          <w:sz w:val="32"/>
          <w:szCs w:val="32"/>
        </w:rPr>
      </w:pPr>
      <w:r>
        <w:rPr>
          <w:rFonts w:hint="eastAsia" w:ascii="仿宋" w:eastAsia="仿宋"/>
          <w:color w:val="000000"/>
          <w:sz w:val="32"/>
          <w:szCs w:val="32"/>
        </w:rPr>
        <w:t>2021年，政府采购支出总额63.37万元，其中：政府采购货物支出63.37万元、政府采购工程支出0.00万元、政府采购服务支出0.00万元。授予中小企业合同金额63.37万元，其中：授予小微企业合同金额63.37万元，占总合同的100.00%。</w:t>
      </w: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68" w:name="_Toc15377224"/>
      <w:r>
        <w:rPr>
          <w:rFonts w:hint="eastAsia" w:ascii="仿宋" w:eastAsia="仿宋"/>
          <w:b/>
          <w:color w:val="000000"/>
          <w:sz w:val="32"/>
          <w:szCs w:val="32"/>
        </w:rPr>
        <w:t>（三）国有资产占有使用情况</w:t>
      </w:r>
      <w:bookmarkEnd w:id="68"/>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截至2021年</w:t>
      </w:r>
      <w:r>
        <w:rPr>
          <w:rFonts w:ascii="仿宋" w:eastAsia="仿宋"/>
          <w:color w:val="000000"/>
          <w:sz w:val="32"/>
          <w:szCs w:val="32"/>
        </w:rPr>
        <w:t>12</w:t>
      </w:r>
      <w:r>
        <w:rPr>
          <w:rFonts w:hint="eastAsia" w:ascii="仿宋" w:eastAsia="仿宋"/>
          <w:color w:val="000000"/>
          <w:sz w:val="32"/>
          <w:szCs w:val="32"/>
        </w:rPr>
        <w:t>月</w:t>
      </w:r>
      <w:r>
        <w:rPr>
          <w:rFonts w:ascii="仿宋" w:eastAsia="仿宋"/>
          <w:color w:val="000000"/>
          <w:sz w:val="32"/>
          <w:szCs w:val="32"/>
        </w:rPr>
        <w:t>31</w:t>
      </w:r>
      <w:r>
        <w:rPr>
          <w:rFonts w:hint="eastAsia" w:ascii="仿宋" w:eastAsia="仿宋"/>
          <w:color w:val="000000"/>
          <w:sz w:val="32"/>
          <w:szCs w:val="32"/>
        </w:rPr>
        <w:t>日，共有车辆14辆，其中：主要领导干部用车0辆、机要通信用车0辆、应急保障用车14辆、其他用车0辆。单价</w:t>
      </w:r>
      <w:r>
        <w:rPr>
          <w:rFonts w:ascii="仿宋" w:eastAsia="仿宋"/>
          <w:color w:val="000000"/>
          <w:sz w:val="32"/>
          <w:szCs w:val="32"/>
        </w:rPr>
        <w:t>50</w:t>
      </w:r>
      <w:r>
        <w:rPr>
          <w:rFonts w:hint="eastAsia" w:ascii="仿宋" w:eastAsia="仿宋"/>
          <w:color w:val="000000"/>
          <w:sz w:val="32"/>
          <w:szCs w:val="32"/>
        </w:rPr>
        <w:t>万元以上通用设备0台（套），单价</w:t>
      </w:r>
      <w:r>
        <w:rPr>
          <w:rFonts w:ascii="仿宋" w:eastAsia="仿宋"/>
          <w:color w:val="000000"/>
          <w:sz w:val="32"/>
          <w:szCs w:val="32"/>
        </w:rPr>
        <w:t>100</w:t>
      </w:r>
      <w:r>
        <w:rPr>
          <w:rFonts w:hint="eastAsia" w:ascii="仿宋" w:eastAsia="仿宋"/>
          <w:color w:val="000000"/>
          <w:sz w:val="32"/>
          <w:szCs w:val="32"/>
        </w:rPr>
        <w:t>万元以上专用设备0台（套）。</w:t>
      </w: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r>
        <w:rPr>
          <w:rFonts w:hint="eastAsia" w:ascii="仿宋" w:eastAsia="仿宋"/>
          <w:b/>
          <w:color w:val="000000"/>
          <w:sz w:val="32"/>
          <w:szCs w:val="32"/>
        </w:rPr>
        <w:t>（四）预算绩效管理情况</w:t>
      </w:r>
    </w:p>
    <w:p>
      <w:pPr>
        <w:pStyle w:val="28"/>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我办根据预算绩效管理要求，根据年初工作规划和重点性工作，积极</w:t>
      </w:r>
      <w:r>
        <w:rPr>
          <w:rFonts w:hint="eastAsia" w:ascii="仿宋_GB2312" w:eastAsia="仿宋_GB2312" w:cs="仿宋_GB2312"/>
          <w:sz w:val="32"/>
          <w:szCs w:val="32"/>
        </w:rPr>
        <w:t>履职，强化管理，通过加强预算收支管理，不断建立健全内部管理制度，梳理内部管理流程，较好的完成了年度工作目标。</w:t>
      </w:r>
    </w:p>
    <w:p>
      <w:pPr>
        <w:pStyle w:val="28"/>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kern w:val="0"/>
          <w:sz w:val="32"/>
          <w:szCs w:val="32"/>
        </w:rPr>
        <w:t>我办按要求对</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lang w:val="en-US" w:eastAsia="zh-CN"/>
        </w:rPr>
        <w:t>21</w:t>
      </w:r>
      <w:r>
        <w:rPr>
          <w:rFonts w:hint="eastAsia" w:ascii="仿宋_GB2312" w:eastAsia="仿宋_GB2312" w:cs="仿宋_GB2312"/>
          <w:color w:val="000000"/>
          <w:kern w:val="0"/>
          <w:sz w:val="32"/>
          <w:szCs w:val="32"/>
        </w:rPr>
        <w:t>年部门整体支出开展绩效自评，从评价情况来看，</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lang w:val="en-US" w:eastAsia="zh-CN"/>
        </w:rPr>
        <w:t>21</w:t>
      </w:r>
      <w:r>
        <w:rPr>
          <w:rFonts w:hint="eastAsia" w:ascii="仿宋_GB2312" w:eastAsia="仿宋_GB2312" w:cs="仿宋_GB2312"/>
          <w:color w:val="000000"/>
          <w:kern w:val="0"/>
          <w:sz w:val="32"/>
          <w:szCs w:val="32"/>
        </w:rPr>
        <w:t>年我办部门整体支出绩效评价自查自评结果良好，全年基本支出保证了部门的正常运行和日常工作的正常开展，绩效目标得到较好实现，绩效管理水平不断提高，绩效指标体系逐渐丰富和完善。</w:t>
      </w:r>
    </w:p>
    <w:p>
      <w:pPr>
        <w:pStyle w:val="28"/>
        <w:pageBreakBefore w:val="0"/>
        <w:widowControl w:val="0"/>
        <w:kinsoku/>
        <w:wordWrap/>
        <w:topLinePunct w:val="0"/>
        <w:bidi w:val="0"/>
        <w:spacing w:line="576" w:lineRule="exact"/>
        <w:textAlignment w:val="auto"/>
      </w:pPr>
    </w:p>
    <w:p>
      <w:pPr>
        <w:pageBreakBefore w:val="0"/>
        <w:widowControl/>
        <w:kinsoku/>
        <w:wordWrap/>
        <w:topLinePunct w:val="0"/>
        <w:bidi w:val="0"/>
        <w:spacing w:line="576" w:lineRule="exact"/>
        <w:jc w:val="left"/>
        <w:textAlignment w:val="auto"/>
        <w:rPr>
          <w:rFonts w:ascii="仿宋_GB2312" w:eastAsia="仿宋_GB2312"/>
          <w:b/>
          <w:color w:val="000000"/>
          <w:sz w:val="32"/>
          <w:szCs w:val="32"/>
        </w:rPr>
      </w:pPr>
      <w:r>
        <w:rPr>
          <w:rFonts w:ascii="仿宋_GB2312" w:eastAsia="仿宋_GB2312"/>
          <w:b/>
          <w:color w:val="000000"/>
          <w:sz w:val="32"/>
          <w:szCs w:val="32"/>
        </w:rPr>
        <w:br w:type="page"/>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69" w:name="_Toc111208509"/>
      <w:bookmarkStart w:id="70" w:name="_Toc15377225"/>
      <w:bookmarkStart w:id="71" w:name="_Toc113981023"/>
      <w:r>
        <w:rPr>
          <w:rFonts w:hint="eastAsia" w:ascii="黑体" w:eastAsia="黑体" w:cs="黑体"/>
        </w:rPr>
        <w:t>第三部分 名词解释</w:t>
      </w:r>
      <w:bookmarkEnd w:id="69"/>
      <w:bookmarkEnd w:id="70"/>
      <w:bookmarkEnd w:id="71"/>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财政拨款收入：指单位从同级财政部门取得的财政预算资金。</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事业收入：指事业单位开展专业业务活动及辅助活动取得的收入。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3.</w:t>
      </w:r>
      <w:r>
        <w:rPr>
          <w:rFonts w:hint="eastAsia" w:ascii="仿宋" w:eastAsia="仿宋"/>
          <w:color w:val="000000"/>
          <w:sz w:val="32"/>
          <w:szCs w:val="32"/>
        </w:rPr>
        <w:t>经营收入：指事业单位在专业业务活动及其辅助活动之外开展非独立核算经营活动取得的收入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4.</w:t>
      </w:r>
      <w:r>
        <w:rPr>
          <w:rFonts w:hint="eastAsia" w:ascii="仿宋" w:eastAsia="仿宋"/>
          <w:color w:val="000000"/>
          <w:sz w:val="32"/>
          <w:szCs w:val="32"/>
        </w:rPr>
        <w:t>其他收入：指单位取得的除上述收入以外的各项收入。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5.</w:t>
      </w:r>
      <w:r>
        <w:rPr>
          <w:rFonts w:hint="eastAsia" w:asci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6.</w:t>
      </w:r>
      <w:r>
        <w:rPr>
          <w:rFonts w:hint="eastAsia" w:ascii="仿宋" w:eastAsia="仿宋"/>
          <w:color w:val="000000"/>
          <w:sz w:val="32"/>
          <w:szCs w:val="32"/>
        </w:rPr>
        <w:t>年初结转和结余：指以前年度尚未完成、结转到本年按有关规定继续使用的资金。</w:t>
      </w:r>
      <w:r>
        <w:rPr>
          <w:rFonts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7.</w:t>
      </w:r>
      <w:r>
        <w:rPr>
          <w:rFonts w:hint="eastAsia" w:ascii="仿宋" w:eastAsia="仿宋"/>
          <w:color w:val="000000"/>
          <w:sz w:val="32"/>
          <w:szCs w:val="32"/>
        </w:rPr>
        <w:t>结余分配：指事业单位按照事业单位会计制度的规定从非财政补助结余中分配的事业基金和职工福利基金等。</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8</w:t>
      </w:r>
      <w:r>
        <w:rPr>
          <w:rFonts w:hint="eastAsia" w:ascii="仿宋" w:eastAsia="仿宋"/>
          <w:color w:val="000000"/>
          <w:sz w:val="32"/>
          <w:szCs w:val="32"/>
        </w:rPr>
        <w:t>.年末结转和结余：指单位按有关规定结转到下年或以后年度继续使用的资金。</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9.一般公共服务支出（201）政府办公厅（室）及相关机构事务（20103）行政运行（2010301）：反映行政单位（包括实行公务员管理的事业单位）的基本支出。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10.一般公共服务支出（201）政府办公厅（室）及相关机构事务（20103）事业运行（2010350）：反映事业单位的基本支出，不包括行政单位（包括实行公务员管理的事业单位）后勤服务中心、医务室等附属事业单位。</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11.一般公共服务支出（201）政府办公厅（室）及相关机构事务（20103）其他政府办公厅（室）及相关机构事务支出（2010399）：反映除上述项目以外的其他政府办公厅（室）及相关机构事务支岀。</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12.社会保障和就业支出（208）行政事业单位养老支出（20805）机关事业单位基本养老保险缴费支出（2080505）：反映机关事业单位实施养老保险制度由单位缴纳的基本养老保险费支出。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13.社会保障和就业支出（208）行政事业单位养老支出（20805）机关事业单位职业年金缴费支出（2080506）：反映机关事业单位实施养老保险制度由单位实际缴纳的职业年金支出。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14.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16.农林水支出（213）扶贫（21305）其他扶贫支出（2130599）：反映除上述项目以外其他用于扶贫方面的支出。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17.住房保障支出（221）住房改革支出（22102）住房公积金（2210201）：反映行政事业单位按人力资源和社会保障部、财政部规定的基本工资和津贴补贴以及规定比例为职工缴纳的住房公积金。</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18.住房保障支出（221）住房改革支出（22102）购房补贴（2210203）：反映按房改政策规定，行政事业单位向符合条件职工（含离退休人员）、军队（含武警）向转役复员离退休人员发放的用于购买住房的补贴。</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19.基本支出：指为保障机构正常运转、完成日常工作任务而发生的人员支出和公用支出。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 xml:space="preserve">25.项目支出：指在基本支出之外为完成特定行政任务和事业发展目标所发生的支出。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20.经营支出：指事业单位在专业业务活动及其辅助活动之外开展非独立核算经营活动发生的支出。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val="0"/>
        <w:kinsoku/>
        <w:wordWrap/>
        <w:topLinePunct w:val="0"/>
        <w:bidi w:val="0"/>
        <w:spacing w:line="576" w:lineRule="exact"/>
        <w:ind w:firstLine="640"/>
        <w:textAlignment w:val="auto"/>
        <w:rPr>
          <w:rFonts w:ascii="仿宋_GB2312" w:eastAsia="仿宋_GB2312" w:cs="黑体"/>
          <w:sz w:val="32"/>
          <w:szCs w:val="32"/>
        </w:rPr>
      </w:pPr>
      <w:r>
        <w:rPr>
          <w:rFonts w:hint="eastAsia" w:ascii="仿宋" w:eastAsia="仿宋"/>
          <w:color w:val="000000"/>
          <w:sz w:val="32"/>
          <w:szCs w:val="32"/>
        </w:rPr>
        <w:t>23.财政应返还额度：为行政事业单位会计核算科目，用于核算实行国库集中支付的行政事业单位应收财政返还的资金额度。</w:t>
      </w:r>
    </w:p>
    <w:p>
      <w:pPr>
        <w:pageBreakBefore w:val="0"/>
        <w:widowControl/>
        <w:kinsoku/>
        <w:wordWrap/>
        <w:topLinePunct w:val="0"/>
        <w:bidi w:val="0"/>
        <w:spacing w:line="576" w:lineRule="exact"/>
        <w:jc w:val="left"/>
        <w:textAlignment w:val="auto"/>
        <w:rPr>
          <w:rStyle w:val="21"/>
          <w:rFonts w:ascii="黑体" w:eastAsia="黑体"/>
        </w:rPr>
      </w:pPr>
      <w:r>
        <w:rPr>
          <w:rStyle w:val="21"/>
          <w:rFonts w:ascii="黑体" w:eastAsia="黑体"/>
        </w:rPr>
        <w:br w:type="page"/>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72" w:name="_Toc111208510"/>
      <w:bookmarkStart w:id="73" w:name="_Toc113981024"/>
      <w:r>
        <w:rPr>
          <w:rFonts w:hint="eastAsia" w:ascii="黑体" w:eastAsia="黑体" w:cs="黑体"/>
        </w:rPr>
        <w:t>第四部分 附件</w:t>
      </w:r>
      <w:bookmarkEnd w:id="72"/>
      <w:bookmarkEnd w:id="73"/>
    </w:p>
    <w:p>
      <w:pPr>
        <w:pStyle w:val="30"/>
        <w:keepNext w:val="0"/>
        <w:keepLines w:val="0"/>
        <w:pageBreakBefore w:val="0"/>
        <w:widowControl w:val="0"/>
        <w:kinsoku/>
        <w:wordWrap/>
        <w:overflowPunct w:val="0"/>
        <w:topLinePunct w:val="0"/>
        <w:autoSpaceDE w:val="0"/>
        <w:autoSpaceDN w:val="0"/>
        <w:bidi w:val="0"/>
        <w:spacing w:line="576" w:lineRule="exact"/>
        <w:contextualSpacing/>
        <w:jc w:val="center"/>
        <w:textAlignment w:val="auto"/>
        <w:rPr>
          <w:rFonts w:hint="eastAsia" w:ascii="方正小标宋简体" w:eastAsia="方正小标宋简体"/>
          <w:sz w:val="44"/>
          <w:szCs w:val="44"/>
          <w:shd w:val="clear" w:color="auto" w:fill="FFFFFF"/>
          <w:lang w:eastAsia="zh-CN"/>
        </w:rPr>
      </w:pPr>
      <w:r>
        <w:rPr>
          <w:rFonts w:hint="eastAsia" w:ascii="方正小标宋简体" w:eastAsia="方正小标宋简体"/>
          <w:sz w:val="44"/>
          <w:szCs w:val="44"/>
          <w:shd w:val="clear" w:color="auto" w:fill="FFFFFF"/>
          <w:lang w:eastAsia="zh-CN"/>
        </w:rPr>
        <w:t>茂县人民政府办公室</w:t>
      </w:r>
    </w:p>
    <w:p>
      <w:pPr>
        <w:pStyle w:val="30"/>
        <w:keepNext w:val="0"/>
        <w:keepLines w:val="0"/>
        <w:pageBreakBefore w:val="0"/>
        <w:widowControl w:val="0"/>
        <w:kinsoku/>
        <w:wordWrap/>
        <w:overflowPunct w:val="0"/>
        <w:topLinePunct w:val="0"/>
        <w:autoSpaceDE w:val="0"/>
        <w:autoSpaceDN w:val="0"/>
        <w:bidi w:val="0"/>
        <w:spacing w:line="576" w:lineRule="exact"/>
        <w:contextualSpacing/>
        <w:jc w:val="center"/>
        <w:textAlignment w:val="auto"/>
        <w:rPr>
          <w:rFonts w:hint="eastAsia"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202</w:t>
      </w:r>
      <w:r>
        <w:rPr>
          <w:rFonts w:hint="eastAsia" w:ascii="方正小标宋简体" w:eastAsia="方正小标宋简体"/>
          <w:sz w:val="44"/>
          <w:szCs w:val="44"/>
          <w:shd w:val="clear" w:color="auto" w:fill="FFFFFF"/>
          <w:lang w:val="en-US" w:eastAsia="zh-CN"/>
        </w:rPr>
        <w:t>1</w:t>
      </w:r>
      <w:r>
        <w:rPr>
          <w:rFonts w:hint="eastAsia" w:ascii="方正小标宋简体" w:eastAsia="方正小标宋简体"/>
          <w:sz w:val="44"/>
          <w:szCs w:val="44"/>
          <w:shd w:val="clear" w:color="auto" w:fill="FFFFFF"/>
        </w:rPr>
        <w:t>年部门整体支出绩效评价报告</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480" w:firstLineChars="200"/>
        <w:contextualSpacing/>
        <w:jc w:val="left"/>
        <w:textAlignment w:val="auto"/>
        <w:rPr>
          <w:rFonts w:ascii="黑体" w:eastAsia="黑体" w:cs="宋体"/>
          <w:color w:val="000000"/>
          <w:kern w:val="0"/>
          <w:sz w:val="24"/>
          <w:szCs w:val="32"/>
          <w:shd w:val="clear" w:color="auto" w:fill="FFFFFF"/>
        </w:rPr>
      </w:pP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lang w:val="zh-CN"/>
        </w:rPr>
      </w:pPr>
      <w:r>
        <w:rPr>
          <w:rFonts w:hint="eastAsia" w:ascii="黑体" w:eastAsia="黑体" w:cs="宋体"/>
          <w:color w:val="000000"/>
          <w:kern w:val="0"/>
          <w:szCs w:val="32"/>
          <w:shd w:val="clear" w:color="auto" w:fill="FFFFFF"/>
        </w:rPr>
        <w:t>一、</w:t>
      </w:r>
      <w:r>
        <w:rPr>
          <w:rFonts w:hint="eastAsia" w:ascii="黑体" w:eastAsia="黑体" w:cs="宋体"/>
          <w:color w:val="000000"/>
          <w:kern w:val="0"/>
          <w:szCs w:val="32"/>
          <w:shd w:val="clear" w:color="auto" w:fill="FFFFFF"/>
          <w:lang w:val="zh-CN"/>
        </w:rPr>
        <w:t>单位概况</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楷体_GB2312" w:eastAsia="楷体_GB2312" w:cs="仿宋"/>
          <w:szCs w:val="32"/>
          <w:shd w:val="clear" w:color="auto" w:fill="auto"/>
          <w:lang w:val="zh-CN"/>
        </w:rPr>
      </w:pPr>
      <w:r>
        <w:rPr>
          <w:rFonts w:hint="eastAsia" w:ascii="楷体_GB2312" w:eastAsia="楷体_GB2312" w:cs="仿宋"/>
          <w:szCs w:val="32"/>
          <w:shd w:val="clear" w:color="auto" w:fill="auto"/>
          <w:lang w:val="zh-CN"/>
        </w:rPr>
        <w:t>（一）机构组成</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lang w:val="zh-CN"/>
        </w:rPr>
      </w:pPr>
      <w:r>
        <w:rPr>
          <w:rFonts w:hint="eastAsia" w:ascii="仿宋_GB2312" w:cs="仿宋"/>
          <w:szCs w:val="32"/>
          <w:shd w:val="clear" w:color="auto" w:fill="auto"/>
        </w:rPr>
        <w:t>茂县</w:t>
      </w:r>
      <w:r>
        <w:rPr>
          <w:rFonts w:ascii="仿宋_GB2312" w:cs="仿宋"/>
          <w:szCs w:val="32"/>
          <w:shd w:val="clear" w:color="auto" w:fill="auto"/>
        </w:rPr>
        <w:t>人民政府办公室</w:t>
      </w:r>
      <w:r>
        <w:rPr>
          <w:rFonts w:hint="eastAsia" w:ascii="仿宋_GB2312" w:cs="仿宋"/>
          <w:szCs w:val="32"/>
          <w:shd w:val="clear" w:color="auto" w:fill="auto"/>
        </w:rPr>
        <w:t>内设机构有：秘书股、综合股、机关事务管理股</w:t>
      </w:r>
      <w:r>
        <w:rPr>
          <w:rFonts w:ascii="仿宋_GB2312" w:cs="仿宋"/>
          <w:szCs w:val="32"/>
          <w:shd w:val="clear" w:color="auto" w:fill="auto"/>
        </w:rPr>
        <w:t>，下设事业机构：茂县人民防空办公室、茂县人民政府</w:t>
      </w:r>
      <w:r>
        <w:rPr>
          <w:rFonts w:hint="eastAsia" w:ascii="仿宋_GB2312" w:cs="仿宋"/>
          <w:szCs w:val="32"/>
          <w:shd w:val="clear" w:color="auto" w:fill="auto"/>
        </w:rPr>
        <w:t>信息</w:t>
      </w:r>
      <w:r>
        <w:rPr>
          <w:rFonts w:ascii="仿宋_GB2312" w:cs="仿宋"/>
          <w:szCs w:val="32"/>
          <w:shd w:val="clear" w:color="auto" w:fill="auto"/>
        </w:rPr>
        <w:t>公开</w:t>
      </w:r>
      <w:r>
        <w:rPr>
          <w:rFonts w:hint="eastAsia" w:ascii="仿宋_GB2312" w:cs="仿宋"/>
          <w:szCs w:val="32"/>
          <w:shd w:val="clear" w:color="auto" w:fill="auto"/>
        </w:rPr>
        <w:t>工作</w:t>
      </w:r>
      <w:r>
        <w:rPr>
          <w:rFonts w:ascii="仿宋_GB2312" w:cs="仿宋"/>
          <w:szCs w:val="32"/>
          <w:shd w:val="clear" w:color="auto" w:fill="auto"/>
        </w:rPr>
        <w:t>中心、县机关后勤保障服务中心</w:t>
      </w:r>
      <w:r>
        <w:rPr>
          <w:rFonts w:hint="eastAsia" w:ascii="仿宋_GB2312" w:cs="仿宋"/>
          <w:szCs w:val="32"/>
          <w:shd w:val="clear" w:color="auto" w:fill="auto"/>
        </w:rPr>
        <w:t>。</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（二）机构职能</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1.协助县政府领导同志组织起草或审核以县政府、县政府办公室名义发布的公文。办理州政府、州政府办公室及各州局发送县政府的文电。指导全县行政机关公文处理工作。</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2.研究县政府部门和各乡镇人民政府请示县政府的事项，提出审核意见，报县政府领导同志审批。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3.负责县政府会议的准备工作，协助县政府领导同志组织实施会议决定事项。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4.督促检查县政府各部门和各乡镇人民政府对县政府公文、会议决定事项及县政府领导有关指示的执行情况并跟踪调研，及时向县政府领导报告。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5.办理人大、政协交办县政府的有关议案、提案；协助县政府领导组织处理由县政府直接处理的突发事件和重大事故。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6.组织贯彻执行国家外事、台侨政策，研究拟定本县外事、台侨工作规章制度、发展规划，办理本县涉外事务和处理日常台侨工作。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7.负责县政府值班工作，指导各乡镇人民政府和县政府部门值班工作，及时报告重要情况。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cs="仿宋"/>
          <w:szCs w:val="32"/>
          <w:shd w:val="clear" w:color="auto" w:fill="auto"/>
        </w:rPr>
      </w:pPr>
      <w:r>
        <w:rPr>
          <w:rFonts w:hint="eastAsia" w:ascii="仿宋_GB2312" w:cs="仿宋"/>
          <w:szCs w:val="32"/>
          <w:shd w:val="clear" w:color="auto" w:fill="auto"/>
        </w:rPr>
        <w:t>8.指导、监督全县政府信息公开工作和机关行政效能建设工作，指导、监督全县政府系统电子政务工作和政府网站建设。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 9.组织办理涉及县政府工作的人大代表议案、批评、建议和政协委员提案、建议案工作。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10.指导全县应急管理工作，协助县政府领导同志做好需由县政府组织处理的突发事件的应急处置工作。 　　 </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rPr>
      </w:pPr>
      <w:r>
        <w:rPr>
          <w:rFonts w:hint="eastAsia" w:ascii="仿宋_GB2312" w:cs="仿宋"/>
          <w:szCs w:val="32"/>
          <w:shd w:val="clear" w:color="auto" w:fill="auto"/>
        </w:rPr>
        <w:t>11.围绕县政府中心工作和县政府领导同志的指示，组织专题调查研究，及时反映情况，提出政策性建议。</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cs="仿宋"/>
          <w:szCs w:val="32"/>
          <w:shd w:val="clear" w:color="auto" w:fill="auto"/>
          <w:lang w:val="zh-CN"/>
        </w:rPr>
      </w:pPr>
      <w:r>
        <w:rPr>
          <w:rFonts w:hint="eastAsia" w:ascii="仿宋_GB2312" w:cs="仿宋"/>
          <w:szCs w:val="32"/>
          <w:shd w:val="clear" w:color="auto" w:fill="auto"/>
        </w:rPr>
        <w:t>12.负责县政府人民防空和民防工作，指导全县人民防空和民防工作。</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（三）人员概况</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2021年</w:t>
      </w:r>
      <w:r>
        <w:rPr>
          <w:rFonts w:hint="eastAsia" w:ascii="仿宋_GB2312" w:eastAsia="仿宋_GB2312"/>
          <w:sz w:val="32"/>
          <w:szCs w:val="32"/>
        </w:rPr>
        <w:t>年末实有在职人数</w:t>
      </w:r>
      <w:r>
        <w:rPr>
          <w:rFonts w:hint="eastAsia" w:ascii="仿宋_GB2312"/>
          <w:sz w:val="32"/>
          <w:szCs w:val="32"/>
          <w:lang w:val="en-US" w:eastAsia="zh-CN"/>
        </w:rPr>
        <w:t>44</w:t>
      </w:r>
      <w:r>
        <w:rPr>
          <w:rFonts w:hint="eastAsia" w:ascii="仿宋_GB2312" w:eastAsia="仿宋_GB2312"/>
          <w:sz w:val="32"/>
          <w:szCs w:val="32"/>
        </w:rPr>
        <w:t>人，行政在职</w:t>
      </w:r>
      <w:r>
        <w:rPr>
          <w:rFonts w:hint="eastAsia" w:ascii="仿宋_GB2312"/>
          <w:sz w:val="32"/>
          <w:szCs w:val="32"/>
          <w:lang w:val="en-US" w:eastAsia="zh-CN"/>
        </w:rPr>
        <w:t>35</w:t>
      </w:r>
      <w:r>
        <w:rPr>
          <w:rFonts w:hint="eastAsia" w:ascii="仿宋_GB2312" w:eastAsia="仿宋_GB2312"/>
          <w:sz w:val="32"/>
          <w:szCs w:val="32"/>
        </w:rPr>
        <w:t>人（公务员17人，行政工勤</w:t>
      </w:r>
      <w:r>
        <w:rPr>
          <w:rFonts w:hint="eastAsia" w:ascii="仿宋_GB2312"/>
          <w:sz w:val="32"/>
          <w:szCs w:val="32"/>
          <w:lang w:val="en-US" w:eastAsia="zh-CN"/>
        </w:rPr>
        <w:t>18</w:t>
      </w:r>
      <w:r>
        <w:rPr>
          <w:rFonts w:hint="eastAsia" w:ascii="仿宋_GB2312" w:eastAsia="仿宋_GB2312"/>
          <w:sz w:val="32"/>
          <w:szCs w:val="32"/>
        </w:rPr>
        <w:t>人），事业在职9人。年末实有退休人员19人，领取财政补贴退休人员2人。年末财政供养遗属人员5人。</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二、部门财政资金收支情况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（一）部门财政资金收入情况</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2021年收入合计1221.44万元，其中财政拨款收入1221.44万元，占总收入100%。与2020年相比减少32.91万元，减少2.62%,变动主要原因为：机构职能划转，专项支出减少。</w:t>
      </w:r>
    </w:p>
    <w:p>
      <w:pPr>
        <w:pStyle w:val="30"/>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部门财政资金支出情况</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ascii="仿宋_GB2312" w:eastAsia="仿宋_GB2312" w:cs="宋体"/>
          <w:color w:val="000000"/>
          <w:kern w:val="0"/>
          <w:szCs w:val="32"/>
          <w:shd w:val="clear" w:color="auto" w:fill="FFFFFF"/>
          <w:lang w:val="en-US" w:eastAsia="zh-CN"/>
        </w:rPr>
      </w:pPr>
      <w:r>
        <w:rPr>
          <w:rFonts w:hint="eastAsia" w:ascii="仿宋_GB2312" w:eastAsia="仿宋_GB2312"/>
          <w:sz w:val="32"/>
          <w:szCs w:val="32"/>
        </w:rPr>
        <w:t>2021年支出合计1221.44万元，其中基本支出1092.56万元，占总支出89.45%；项目支出128.88万元，占总支出10.55%。与2020年相比减少51.52万元，减少4.05%，变动主要原因为：机构职能划转，专项支出减少。</w:t>
      </w:r>
    </w:p>
    <w:p>
      <w:pPr>
        <w:pStyle w:val="30"/>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部门整体预算绩效管理情况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（一）部门预算项目绩效管理</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仿宋_GB2312" w:cs="宋体"/>
          <w:color w:val="000000"/>
          <w:kern w:val="0"/>
          <w:szCs w:val="32"/>
          <w:shd w:val="clear" w:color="auto" w:fill="FFFFFF"/>
          <w:lang w:val="zh-CN"/>
        </w:rPr>
      </w:pPr>
      <w:r>
        <w:rPr>
          <w:rFonts w:hint="eastAsia" w:ascii="仿宋_GB2312" w:eastAsia="仿宋_GB2312" w:cs="仿宋_GB2312"/>
          <w:sz w:val="32"/>
          <w:szCs w:val="32"/>
        </w:rPr>
        <w:t>我办严格按照县级部门预算编制通知和有关要求，按时完成20</w:t>
      </w:r>
      <w:r>
        <w:rPr>
          <w:rFonts w:ascii="仿宋_GB2312" w:eastAsia="仿宋_GB2312" w:cs="仿宋_GB2312"/>
          <w:sz w:val="32"/>
          <w:szCs w:val="32"/>
        </w:rPr>
        <w:t>2</w:t>
      </w:r>
      <w:r>
        <w:rPr>
          <w:rFonts w:hint="eastAsia" w:ascii="仿宋_GB2312" w:cs="仿宋_GB2312"/>
          <w:sz w:val="32"/>
          <w:szCs w:val="32"/>
          <w:lang w:val="en-US" w:eastAsia="zh-CN"/>
        </w:rPr>
        <w:t>1</w:t>
      </w:r>
      <w:r>
        <w:rPr>
          <w:rFonts w:hint="eastAsia" w:ascii="仿宋_GB2312" w:eastAsia="仿宋_GB2312" w:cs="仿宋_GB2312"/>
          <w:sz w:val="32"/>
          <w:szCs w:val="32"/>
        </w:rPr>
        <w:t>年预</w:t>
      </w:r>
      <w:r>
        <w:rPr>
          <w:rFonts w:ascii="仿宋_GB2312" w:eastAsia="仿宋_GB2312" w:cs="仿宋_GB2312"/>
          <w:sz w:val="32"/>
          <w:szCs w:val="32"/>
        </w:rPr>
        <w:t>决</w:t>
      </w:r>
      <w:r>
        <w:rPr>
          <w:rFonts w:hint="eastAsia" w:ascii="仿宋_GB2312" w:eastAsia="仿宋_GB2312" w:cs="仿宋_GB2312"/>
          <w:sz w:val="32"/>
          <w:szCs w:val="32"/>
        </w:rPr>
        <w:t>算</w:t>
      </w:r>
      <w:r>
        <w:rPr>
          <w:rFonts w:ascii="仿宋_GB2312" w:eastAsia="仿宋_GB2312" w:cs="仿宋_GB2312"/>
          <w:sz w:val="32"/>
          <w:szCs w:val="32"/>
        </w:rPr>
        <w:t>、202</w:t>
      </w:r>
      <w:r>
        <w:rPr>
          <w:rFonts w:hint="eastAsia" w:ascii="仿宋_GB2312" w:cs="仿宋_GB2312"/>
          <w:sz w:val="32"/>
          <w:szCs w:val="32"/>
          <w:lang w:val="en-US" w:eastAsia="zh-CN"/>
        </w:rPr>
        <w:t>2</w:t>
      </w:r>
      <w:r>
        <w:rPr>
          <w:rFonts w:ascii="仿宋_GB2312" w:eastAsia="仿宋_GB2312" w:cs="仿宋_GB2312"/>
          <w:sz w:val="32"/>
          <w:szCs w:val="32"/>
        </w:rPr>
        <w:t>年预算</w:t>
      </w:r>
      <w:r>
        <w:rPr>
          <w:rFonts w:hint="eastAsia" w:ascii="仿宋_GB2312" w:eastAsia="仿宋_GB2312" w:cs="仿宋_GB2312"/>
          <w:sz w:val="32"/>
          <w:szCs w:val="32"/>
        </w:rPr>
        <w:t>编制工作，</w:t>
      </w:r>
      <w:r>
        <w:rPr>
          <w:rFonts w:hint="eastAsia" w:ascii="仿宋_GB2312" w:eastAsia="仿宋_GB2312"/>
          <w:sz w:val="32"/>
          <w:szCs w:val="32"/>
        </w:rPr>
        <w:t>根据我办职能职责，结合中长期规划和年度工作计划，明确了年度主要工作任务及年度内履职所要达到的效果，在预算编制中进一步夯实预算编制基础，及时更新相关基础数据，严格控制“三公”经费、会议费和培训费预算，预算编制做到了及时、完整、准确、合理、高效</w:t>
      </w:r>
      <w:r>
        <w:rPr>
          <w:rFonts w:hint="eastAsia" w:ascii="仿宋_GB2312"/>
          <w:sz w:val="32"/>
          <w:szCs w:val="32"/>
          <w:lang w:eastAsia="zh-CN"/>
        </w:rPr>
        <w:t>。未出现资金分配使用</w:t>
      </w:r>
      <w:r>
        <w:rPr>
          <w:rFonts w:hint="eastAsia" w:ascii="仿宋_GB2312" w:cs="宋体"/>
          <w:color w:val="000000"/>
          <w:kern w:val="0"/>
          <w:szCs w:val="32"/>
          <w:shd w:val="clear" w:color="auto" w:fill="FFFFFF"/>
          <w:lang w:val="zh-CN"/>
        </w:rPr>
        <w:t>等违规记录情况。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（二）结果应用情况</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cs="宋体"/>
          <w:color w:val="000000"/>
          <w:kern w:val="0"/>
          <w:szCs w:val="32"/>
          <w:shd w:val="clear" w:color="auto" w:fill="FFFFFF"/>
          <w:lang w:val="zh-CN" w:eastAsia="zh-CN" w:bidi="ar-SA"/>
        </w:rPr>
      </w:pPr>
      <w:r>
        <w:rPr>
          <w:rFonts w:hint="eastAsia" w:ascii="仿宋_GB2312" w:cs="宋体"/>
          <w:color w:val="000000"/>
          <w:kern w:val="0"/>
          <w:szCs w:val="32"/>
          <w:shd w:val="clear" w:color="auto" w:fill="FFFFFF"/>
          <w:lang w:val="zh-CN" w:eastAsia="zh-CN" w:bidi="ar-SA"/>
        </w:rPr>
        <w:t>1、部门支出绩效</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cs="Arial"/>
          <w:color w:val="333333"/>
          <w:kern w:val="0"/>
          <w:szCs w:val="32"/>
          <w:lang w:bidi="ar-SA"/>
        </w:rPr>
      </w:pPr>
      <w:r>
        <w:rPr>
          <w:rFonts w:hint="eastAsia" w:ascii="仿宋_GB2312" w:cs="Arial"/>
          <w:szCs w:val="32"/>
          <w:lang w:bidi="ar-SA"/>
        </w:rPr>
        <w:t>财政拨款安排支</w:t>
      </w:r>
      <w:r>
        <w:rPr>
          <w:rFonts w:hint="eastAsia" w:ascii="仿宋_GB2312" w:cs="Arial"/>
          <w:color w:val="333333"/>
          <w:kern w:val="0"/>
          <w:szCs w:val="32"/>
          <w:lang w:bidi="ar-SA"/>
        </w:rPr>
        <w:t>出用于保障单位正常运转的日常支出，包括基本工资、津贴补贴等人员经费以及办公费、印刷费、水电费、办公设备购置等日常公用经费。</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cs="宋体"/>
          <w:color w:val="000000"/>
          <w:kern w:val="0"/>
          <w:szCs w:val="32"/>
          <w:shd w:val="clear" w:color="auto" w:fill="FFFFFF"/>
          <w:lang w:val="zh-CN" w:eastAsia="zh-CN" w:bidi="ar-SA"/>
        </w:rPr>
      </w:pPr>
      <w:r>
        <w:rPr>
          <w:rFonts w:hint="eastAsia" w:ascii="仿宋_GB2312" w:cs="宋体"/>
          <w:color w:val="000000"/>
          <w:kern w:val="0"/>
          <w:szCs w:val="32"/>
          <w:shd w:val="clear" w:color="auto" w:fill="FFFFFF"/>
          <w:lang w:val="zh-CN" w:eastAsia="zh-CN" w:bidi="ar-SA"/>
        </w:rPr>
        <w:t>2、机关节能降耗</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Arial"/>
          <w:color w:val="333333"/>
          <w:kern w:val="0"/>
          <w:szCs w:val="32"/>
          <w:lang w:bidi="ar-SA"/>
        </w:rPr>
      </w:pPr>
      <w:r>
        <w:rPr>
          <w:rFonts w:hint="eastAsia" w:ascii="仿宋_GB2312" w:cs="Arial"/>
          <w:color w:val="333333"/>
          <w:kern w:val="0"/>
          <w:szCs w:val="32"/>
          <w:lang w:bidi="ar-SA"/>
        </w:rPr>
        <w:t>我办认真贯彻落实中央和省委省政府相关规定，厉行节约，严格控制因公出国（境）费用、会议费、车辆购置及运行费用和公务接待经费。</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宋体"/>
          <w:color w:val="000000"/>
          <w:kern w:val="0"/>
          <w:szCs w:val="32"/>
          <w:shd w:val="clear" w:color="auto" w:fill="FFFFFF"/>
          <w:lang w:val="zh-CN"/>
        </w:rPr>
      </w:pPr>
      <w:r>
        <w:rPr>
          <w:rFonts w:hint="eastAsia"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242.31</w:t>
      </w:r>
      <w:r>
        <w:rPr>
          <w:rFonts w:hint="eastAsia" w:ascii="仿宋" w:eastAsia="仿宋"/>
          <w:color w:val="000000"/>
          <w:sz w:val="32"/>
          <w:szCs w:val="32"/>
        </w:rPr>
        <w:t>万元，完成预算100%，决算数与预算数持平</w:t>
      </w:r>
      <w:r>
        <w:rPr>
          <w:rFonts w:ascii="仿宋" w:eastAsia="仿宋"/>
          <w:color w:val="000000"/>
          <w:sz w:val="32"/>
          <w:szCs w:val="32"/>
        </w:rPr>
        <w:t>。</w:t>
      </w:r>
      <w:r>
        <w:rPr>
          <w:rFonts w:hint="eastAsia"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年“三公”经费财政拨款支出决算中，因公出国（境）费支出决算0万元；公务用车购置及运行维护费支出决算</w:t>
      </w:r>
      <w:r>
        <w:rPr>
          <w:rFonts w:hint="eastAsia" w:ascii="仿宋" w:eastAsia="仿宋"/>
          <w:color w:val="000000"/>
          <w:sz w:val="32"/>
          <w:szCs w:val="32"/>
          <w:lang w:val="en-US" w:eastAsia="zh-CN"/>
        </w:rPr>
        <w:t>240.65</w:t>
      </w:r>
      <w:r>
        <w:rPr>
          <w:rFonts w:hint="eastAsia" w:ascii="仿宋" w:eastAsia="仿宋"/>
          <w:color w:val="000000"/>
          <w:sz w:val="32"/>
          <w:szCs w:val="32"/>
        </w:rPr>
        <w:t>万元，占</w:t>
      </w:r>
      <w:r>
        <w:rPr>
          <w:rFonts w:hint="eastAsia" w:ascii="仿宋" w:eastAsia="仿宋"/>
          <w:color w:val="000000"/>
          <w:sz w:val="32"/>
          <w:szCs w:val="32"/>
          <w:lang w:val="en-US" w:eastAsia="zh-CN"/>
        </w:rPr>
        <w:t>99.31</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1.66</w:t>
      </w:r>
      <w:r>
        <w:rPr>
          <w:rFonts w:hint="eastAsia" w:ascii="仿宋" w:eastAsia="仿宋"/>
          <w:color w:val="000000"/>
          <w:sz w:val="32"/>
          <w:szCs w:val="32"/>
        </w:rPr>
        <w:t>万元，占</w:t>
      </w:r>
      <w:r>
        <w:rPr>
          <w:rFonts w:hint="eastAsia" w:ascii="仿宋" w:eastAsia="仿宋"/>
          <w:color w:val="000000"/>
          <w:sz w:val="32"/>
          <w:szCs w:val="32"/>
          <w:lang w:val="en-US" w:eastAsia="zh-CN"/>
        </w:rPr>
        <w:t>0.69</w:t>
      </w:r>
      <w:r>
        <w:rPr>
          <w:rFonts w:hint="eastAsia" w:ascii="仿宋" w:eastAsia="仿宋"/>
          <w:color w:val="000000"/>
          <w:sz w:val="32"/>
          <w:szCs w:val="32"/>
        </w:rPr>
        <w:t>%。</w:t>
      </w:r>
    </w:p>
    <w:p>
      <w:pPr>
        <w:pStyle w:val="30"/>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76" w:lineRule="exact"/>
        <w:ind w:left="0"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自评质量</w:t>
      </w:r>
    </w:p>
    <w:p>
      <w:pPr>
        <w:pStyle w:val="30"/>
        <w:keepNext w:val="0"/>
        <w:keepLines w:val="0"/>
        <w:pageBreakBefore w:val="0"/>
        <w:widowControl w:val="0"/>
        <w:kinsoku/>
        <w:wordWrap/>
        <w:overflowPunct w:val="0"/>
        <w:topLinePunct w:val="0"/>
        <w:autoSpaceDE w:val="0"/>
        <w:autoSpaceDN w:val="0"/>
        <w:bidi w:val="0"/>
        <w:spacing w:line="576" w:lineRule="exact"/>
        <w:ind w:firstLine="320" w:firstLineChars="100"/>
        <w:textAlignment w:val="auto"/>
        <w:rPr>
          <w:rFonts w:hint="eastAsia" w:ascii="仿宋_GB2312" w:eastAsia="仿宋_GB2312"/>
          <w:b/>
          <w:color w:val="FF0000"/>
          <w:sz w:val="32"/>
          <w:szCs w:val="32"/>
          <w:highlight w:val="none"/>
        </w:rPr>
      </w:pPr>
      <w:r>
        <w:rPr>
          <w:rFonts w:hint="eastAsia" w:ascii="仿宋_GB2312" w:cs="宋体"/>
          <w:color w:val="000000"/>
          <w:kern w:val="0"/>
          <w:szCs w:val="32"/>
          <w:highlight w:val="none"/>
          <w:shd w:val="clear" w:color="auto" w:fill="FFFFFF"/>
        </w:rPr>
        <w:t xml:space="preserve">  </w:t>
      </w:r>
      <w:r>
        <w:rPr>
          <w:rFonts w:ascii="仿宋_GB2312" w:eastAsia="仿宋_GB2312" w:cs="仿宋_GB2312"/>
          <w:sz w:val="32"/>
          <w:szCs w:val="32"/>
          <w:highlight w:val="none"/>
        </w:rPr>
        <w:t>我办</w:t>
      </w:r>
      <w:r>
        <w:rPr>
          <w:rFonts w:hint="eastAsia" w:ascii="仿宋_GB2312" w:eastAsia="仿宋_GB2312" w:cs="仿宋_GB2312"/>
          <w:sz w:val="32"/>
          <w:szCs w:val="32"/>
          <w:highlight w:val="none"/>
        </w:rPr>
        <w:t>按要求</w:t>
      </w:r>
      <w:r>
        <w:rPr>
          <w:rFonts w:hint="eastAsia" w:ascii="仿宋_GB2312" w:cs="仿宋_GB2312"/>
          <w:sz w:val="32"/>
          <w:szCs w:val="32"/>
          <w:highlight w:val="none"/>
          <w:lang w:eastAsia="zh-CN"/>
        </w:rPr>
        <w:t>强化绩效管理理念，秉承客观公正、实事求是原则</w:t>
      </w:r>
      <w:r>
        <w:rPr>
          <w:rFonts w:hint="eastAsia" w:ascii="仿宋_GB2312" w:eastAsia="仿宋_GB2312" w:cs="仿宋_GB2312"/>
          <w:sz w:val="32"/>
          <w:szCs w:val="32"/>
          <w:highlight w:val="none"/>
        </w:rPr>
        <w:t>对20</w:t>
      </w:r>
      <w:r>
        <w:rPr>
          <w:rFonts w:ascii="仿宋_GB2312" w:eastAsia="仿宋_GB2312" w:cs="仿宋_GB2312"/>
          <w:sz w:val="32"/>
          <w:szCs w:val="32"/>
          <w:highlight w:val="none"/>
        </w:rPr>
        <w:t>2</w:t>
      </w:r>
      <w:r>
        <w:rPr>
          <w:rFonts w:hint="eastAsia" w:ascii="仿宋_GB2312" w:cs="仿宋_GB2312"/>
          <w:sz w:val="32"/>
          <w:szCs w:val="32"/>
          <w:highlight w:val="none"/>
          <w:lang w:val="en-US" w:eastAsia="zh-CN"/>
        </w:rPr>
        <w:t>1</w:t>
      </w:r>
      <w:r>
        <w:rPr>
          <w:rFonts w:hint="eastAsia" w:ascii="仿宋_GB2312" w:eastAsia="仿宋_GB2312" w:cs="仿宋_GB2312"/>
          <w:sz w:val="32"/>
          <w:szCs w:val="32"/>
          <w:highlight w:val="none"/>
        </w:rPr>
        <w:t>年</w:t>
      </w:r>
      <w:r>
        <w:rPr>
          <w:rFonts w:hint="eastAsia" w:ascii="仿宋_GB2312" w:cs="仿宋_GB2312"/>
          <w:sz w:val="32"/>
          <w:szCs w:val="32"/>
          <w:highlight w:val="none"/>
          <w:lang w:eastAsia="zh-CN"/>
        </w:rPr>
        <w:t>度</w:t>
      </w:r>
      <w:r>
        <w:rPr>
          <w:rFonts w:hint="eastAsia" w:ascii="仿宋_GB2312" w:eastAsia="仿宋_GB2312" w:cs="仿宋_GB2312"/>
          <w:sz w:val="32"/>
          <w:szCs w:val="32"/>
          <w:highlight w:val="none"/>
        </w:rPr>
        <w:t>整体支出开展绩效自评。</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四、评价结论及建议</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en-US" w:eastAsia="zh-CN"/>
        </w:rPr>
      </w:pPr>
      <w:r>
        <w:rPr>
          <w:rFonts w:hint="eastAsia" w:ascii="楷体_GB2312" w:eastAsia="楷体_GB2312" w:cs="楷体_GB2312"/>
          <w:color w:val="000000"/>
          <w:kern w:val="0"/>
          <w:szCs w:val="32"/>
          <w:shd w:val="clear" w:color="auto" w:fill="FFFFFF"/>
          <w:lang w:val="zh-CN"/>
        </w:rPr>
        <w:t>（一）评价结论</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cs="仿宋"/>
          <w:sz w:val="32"/>
          <w:szCs w:val="32"/>
        </w:rPr>
      </w:pPr>
      <w:r>
        <w:rPr>
          <w:rFonts w:ascii="仿宋_GB2312" w:eastAsia="仿宋_GB2312" w:cs="仿宋_GB2312"/>
          <w:sz w:val="32"/>
          <w:szCs w:val="32"/>
        </w:rPr>
        <w:t>我办</w:t>
      </w:r>
      <w:r>
        <w:rPr>
          <w:rFonts w:hint="eastAsia" w:ascii="仿宋_GB2312" w:eastAsia="仿宋_GB2312" w:cs="仿宋_GB2312"/>
          <w:sz w:val="32"/>
          <w:szCs w:val="32"/>
        </w:rPr>
        <w:t>按要求对</w:t>
      </w:r>
      <w:r>
        <w:rPr>
          <w:rFonts w:hint="eastAsia" w:ascii="仿宋_GB2312" w:eastAsia="仿宋_GB2312" w:cs="仿宋_GB2312"/>
          <w:sz w:val="32"/>
          <w:szCs w:val="32"/>
          <w:highlight w:val="none"/>
        </w:rPr>
        <w:t>20</w:t>
      </w:r>
      <w:r>
        <w:rPr>
          <w:rFonts w:ascii="仿宋_GB2312" w:eastAsia="仿宋_GB2312" w:cs="仿宋_GB2312"/>
          <w:sz w:val="32"/>
          <w:szCs w:val="32"/>
          <w:highlight w:val="none"/>
        </w:rPr>
        <w:t>2</w:t>
      </w:r>
      <w:r>
        <w:rPr>
          <w:rFonts w:hint="eastAsia" w:ascii="仿宋_GB2312" w:cs="仿宋_GB2312"/>
          <w:sz w:val="32"/>
          <w:szCs w:val="32"/>
          <w:highlight w:val="none"/>
          <w:lang w:val="en-US" w:eastAsia="zh-CN"/>
        </w:rPr>
        <w:t>1</w:t>
      </w:r>
      <w:r>
        <w:rPr>
          <w:rFonts w:hint="eastAsia" w:ascii="仿宋_GB2312" w:eastAsia="仿宋_GB2312" w:cs="仿宋_GB2312"/>
          <w:sz w:val="32"/>
          <w:szCs w:val="32"/>
          <w:highlight w:val="none"/>
        </w:rPr>
        <w:t>年</w:t>
      </w:r>
      <w:r>
        <w:rPr>
          <w:rFonts w:hint="eastAsia" w:ascii="仿宋_GB2312" w:cs="仿宋_GB2312"/>
          <w:sz w:val="32"/>
          <w:szCs w:val="32"/>
          <w:highlight w:val="none"/>
          <w:lang w:eastAsia="zh-CN"/>
        </w:rPr>
        <w:t>度</w:t>
      </w:r>
      <w:r>
        <w:rPr>
          <w:rFonts w:hint="eastAsia" w:ascii="仿宋_GB2312" w:eastAsia="仿宋_GB2312" w:cs="仿宋_GB2312"/>
          <w:sz w:val="32"/>
          <w:szCs w:val="32"/>
          <w:highlight w:val="none"/>
        </w:rPr>
        <w:t>整体支出开展绩效自评</w:t>
      </w:r>
      <w:r>
        <w:rPr>
          <w:rFonts w:hint="eastAsia" w:ascii="仿宋_GB2312" w:eastAsia="仿宋_GB2312" w:cs="仿宋_GB2312"/>
          <w:sz w:val="32"/>
          <w:szCs w:val="32"/>
        </w:rPr>
        <w:t>，从评价情况来看从评价情况来看</w:t>
      </w:r>
      <w:r>
        <w:rPr>
          <w:rFonts w:hint="eastAsia" w:ascii="仿宋_GB2312" w:eastAsia="仿宋_GB2312" w:cs="仿宋"/>
          <w:sz w:val="32"/>
          <w:szCs w:val="32"/>
        </w:rPr>
        <w:t>我</w:t>
      </w:r>
      <w:r>
        <w:rPr>
          <w:rFonts w:ascii="仿宋_GB2312" w:eastAsia="仿宋_GB2312" w:cs="仿宋"/>
          <w:sz w:val="32"/>
          <w:szCs w:val="32"/>
        </w:rPr>
        <w:t>办</w:t>
      </w:r>
      <w:r>
        <w:rPr>
          <w:rFonts w:hint="eastAsia" w:ascii="仿宋_GB2312" w:eastAsia="仿宋_GB2312" w:cs="仿宋"/>
          <w:sz w:val="32"/>
          <w:szCs w:val="32"/>
        </w:rPr>
        <w:t>部门整体支出绩效评价自查自评结果良好，基本支出</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b/>
          <w:color w:val="FF0000"/>
          <w:sz w:val="32"/>
          <w:szCs w:val="32"/>
        </w:rPr>
      </w:pPr>
      <w:r>
        <w:rPr>
          <w:rFonts w:hint="eastAsia" w:ascii="仿宋_GB2312" w:eastAsia="仿宋_GB2312" w:cs="仿宋"/>
          <w:sz w:val="32"/>
          <w:szCs w:val="32"/>
        </w:rPr>
        <w:t>保证了部门的正常运行和日常工作的正常开展，绩效指标体系逐渐丰富和完善。按照规定向社会公开年度单位部门</w:t>
      </w:r>
      <w:r>
        <w:rPr>
          <w:rFonts w:ascii="仿宋_GB2312" w:eastAsia="仿宋_GB2312" w:cs="仿宋"/>
          <w:sz w:val="32"/>
          <w:szCs w:val="32"/>
        </w:rPr>
        <w:t>预决算</w:t>
      </w:r>
      <w:r>
        <w:rPr>
          <w:rFonts w:hint="eastAsia" w:ascii="仿宋_GB2312" w:eastAsia="仿宋_GB2312" w:cs="仿宋"/>
          <w:sz w:val="32"/>
          <w:szCs w:val="32"/>
        </w:rPr>
        <w:t>及三公经费的使用情况</w:t>
      </w:r>
      <w:r>
        <w:rPr>
          <w:rFonts w:hint="eastAsia" w:ascii="仿宋_GB2312" w:eastAsia="仿宋_GB2312" w:cs="仿宋_GB2312"/>
          <w:sz w:val="32"/>
          <w:szCs w:val="32"/>
        </w:rPr>
        <w:t>。</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hint="eastAsia" w:ascii="楷体_GB2312" w:eastAsia="楷体_GB2312" w:cs="楷体_GB2312"/>
          <w:color w:val="000000"/>
          <w:kern w:val="0"/>
          <w:szCs w:val="32"/>
          <w:shd w:val="clear" w:color="auto" w:fill="FFFFFF"/>
          <w:lang w:val="zh-CN"/>
        </w:rPr>
      </w:pPr>
      <w:r>
        <w:rPr>
          <w:rFonts w:hint="eastAsia" w:ascii="楷体_GB2312" w:eastAsia="楷体_GB2312" w:cs="楷体_GB2312"/>
          <w:color w:val="000000"/>
          <w:kern w:val="0"/>
          <w:szCs w:val="32"/>
          <w:shd w:val="clear" w:color="auto" w:fill="FFFFFF"/>
          <w:lang w:val="zh-CN"/>
        </w:rPr>
        <w:t>（二）存在问题</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仿宋_GB2312" w:cs="宋体"/>
          <w:color w:val="000000"/>
          <w:kern w:val="0"/>
          <w:szCs w:val="32"/>
          <w:shd w:val="clear" w:color="auto" w:fill="FFFFFF"/>
          <w:lang w:val="zh-CN"/>
        </w:rPr>
      </w:pPr>
      <w:r>
        <w:rPr>
          <w:rFonts w:hint="eastAsia" w:ascii="仿宋_GB2312" w:eastAsia="仿宋_GB2312" w:cs="宋体"/>
          <w:kern w:val="0"/>
          <w:sz w:val="32"/>
          <w:szCs w:val="32"/>
        </w:rPr>
        <w:t>一</w:t>
      </w:r>
      <w:r>
        <w:rPr>
          <w:rFonts w:hint="eastAsia" w:ascii="仿宋_GB2312" w:eastAsia="仿宋_GB2312" w:cs="宋体"/>
          <w:kern w:val="0"/>
          <w:sz w:val="32"/>
          <w:szCs w:val="32"/>
          <w:lang w:val="zh-CN"/>
        </w:rPr>
        <w:t>是单位对部门支出绩效评价工作的认识理解不够，年初预设的绩效指标</w:t>
      </w:r>
      <w:r>
        <w:rPr>
          <w:rFonts w:ascii="仿宋_GB2312" w:eastAsia="仿宋_GB2312" w:cs="宋体"/>
          <w:kern w:val="0"/>
          <w:sz w:val="32"/>
          <w:szCs w:val="32"/>
          <w:lang w:val="zh-CN"/>
        </w:rPr>
        <w:t>粗糙</w:t>
      </w:r>
      <w:r>
        <w:rPr>
          <w:rFonts w:hint="eastAsia" w:ascii="仿宋_GB2312" w:eastAsia="仿宋_GB2312" w:cs="宋体"/>
          <w:kern w:val="0"/>
          <w:sz w:val="32"/>
          <w:szCs w:val="32"/>
          <w:lang w:val="zh-CN"/>
        </w:rPr>
        <w:t>，二是</w:t>
      </w:r>
      <w:r>
        <w:rPr>
          <w:rFonts w:ascii="仿宋_GB2312" w:eastAsia="仿宋_GB2312" w:cs="宋体"/>
          <w:kern w:val="0"/>
          <w:sz w:val="32"/>
          <w:szCs w:val="32"/>
          <w:lang w:val="zh-CN"/>
        </w:rPr>
        <w:t>部分项目支出绩效指标无法用</w:t>
      </w:r>
      <w:r>
        <w:rPr>
          <w:rFonts w:hint="eastAsia" w:ascii="仿宋_GB2312" w:eastAsia="仿宋_GB2312" w:cs="宋体"/>
          <w:kern w:val="0"/>
          <w:sz w:val="32"/>
          <w:szCs w:val="32"/>
          <w:lang w:val="zh-CN"/>
        </w:rPr>
        <w:t>量化指标来进行考评。</w:t>
      </w:r>
    </w:p>
    <w:p>
      <w:pPr>
        <w:pStyle w:val="30"/>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楷体_GB2312" w:eastAsia="楷体_GB2312" w:cs="仿宋"/>
          <w:szCs w:val="32"/>
          <w:shd w:val="clear" w:color="auto" w:fill="auto"/>
          <w:lang w:val="zh-CN"/>
        </w:rPr>
      </w:pPr>
      <w:r>
        <w:rPr>
          <w:rFonts w:hint="eastAsia" w:ascii="楷体_GB2312" w:eastAsia="楷体_GB2312" w:cs="仿宋"/>
          <w:szCs w:val="32"/>
          <w:shd w:val="clear" w:color="auto" w:fill="auto"/>
          <w:lang w:val="zh-CN"/>
        </w:rPr>
        <w:t>（三）改进建议</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针对存在的问题，我们将进一步科学设定绩效目标，加强预算执行管理。遵循先有预算、后有支出的原则，加强新《预算法》、《行政单位会计制度》等学习培训，规范部门预算收支核算</w:t>
      </w:r>
      <w:r>
        <w:rPr>
          <w:rFonts w:ascii="仿宋_GB2312" w:eastAsia="仿宋_GB2312" w:cs="仿宋_GB2312"/>
          <w:sz w:val="32"/>
          <w:szCs w:val="32"/>
        </w:rPr>
        <w:t>，</w:t>
      </w:r>
      <w:r>
        <w:rPr>
          <w:rFonts w:hint="eastAsia" w:ascii="仿宋_GB2312" w:eastAsia="仿宋_GB2312" w:cs="仿宋_GB2312"/>
          <w:sz w:val="32"/>
          <w:szCs w:val="32"/>
        </w:rPr>
        <w:t>加强财务管理和内部控制监督制度。</w:t>
      </w:r>
    </w:p>
    <w:p>
      <w:pPr>
        <w:pStyle w:val="30"/>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cs="仿宋_GB2312"/>
        </w:rPr>
      </w:pPr>
      <w:r>
        <w:rPr>
          <w:rFonts w:hint="eastAsia" w:ascii="仿宋_GB2312" w:eastAsia="仿宋_GB2312" w:cs="仿宋_GB2312"/>
          <w:sz w:val="32"/>
          <w:szCs w:val="32"/>
        </w:rPr>
        <w:t>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rPr>
      </w:pP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rPr>
      </w:pP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hint="eastAsia" w:ascii="仿宋_GB2312" w:cs="宋体"/>
          <w:color w:val="000000"/>
          <w:kern w:val="0"/>
          <w:szCs w:val="32"/>
          <w:shd w:val="clear" w:color="auto" w:fill="FFFFFF"/>
          <w:lang w:val="en-US" w:eastAsia="zh-CN"/>
        </w:rPr>
      </w:pPr>
      <w:r>
        <w:rPr>
          <w:rFonts w:hint="eastAsia" w:ascii="仿宋_GB2312" w:cs="宋体"/>
          <w:color w:val="000000"/>
          <w:kern w:val="0"/>
          <w:szCs w:val="32"/>
          <w:shd w:val="clear" w:color="auto" w:fill="FFFFFF"/>
          <w:lang w:val="en-US" w:eastAsia="zh-CN"/>
        </w:rPr>
        <w:t xml:space="preserve">                               茂县人民政府办公室</w:t>
      </w:r>
    </w:p>
    <w:p>
      <w:pPr>
        <w:pStyle w:val="30"/>
        <w:keepNext w:val="0"/>
        <w:keepLines w:val="0"/>
        <w:pageBreakBefore w:val="0"/>
        <w:widowControl w:val="0"/>
        <w:kinsoku/>
        <w:wordWrap/>
        <w:overflowPunct w:val="0"/>
        <w:topLinePunct w:val="0"/>
        <w:autoSpaceDE w:val="0"/>
        <w:autoSpaceDN w:val="0"/>
        <w:bidi w:val="0"/>
        <w:adjustRightInd w:val="0"/>
        <w:snapToGrid w:val="0"/>
        <w:spacing w:line="576" w:lineRule="exact"/>
        <w:contextualSpacing/>
        <w:jc w:val="left"/>
        <w:textAlignment w:val="auto"/>
        <w:rPr>
          <w:rFonts w:ascii="仿宋_GB2312" w:cs="宋体"/>
          <w:color w:val="000000"/>
          <w:kern w:val="0"/>
          <w:szCs w:val="32"/>
          <w:shd w:val="clear" w:color="auto" w:fill="FFFFFF"/>
          <w:lang w:val="en-US" w:eastAsia="zh-CN"/>
        </w:rPr>
      </w:pPr>
      <w:r>
        <w:rPr>
          <w:rFonts w:hint="eastAsia" w:ascii="仿宋_GB2312" w:cs="宋体"/>
          <w:color w:val="000000"/>
          <w:kern w:val="0"/>
          <w:szCs w:val="32"/>
          <w:shd w:val="clear" w:color="auto" w:fill="FFFFFF"/>
          <w:lang w:val="en-US" w:eastAsia="zh-CN"/>
        </w:rPr>
        <w:t xml:space="preserve">                                 2022年8月5日</w:t>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74" w:name="_Toc79163635"/>
      <w:bookmarkStart w:id="75" w:name="_Toc79163885"/>
      <w:bookmarkStart w:id="76" w:name="_Toc113981025"/>
      <w:bookmarkStart w:id="77" w:name="_Toc111208512"/>
      <w:r>
        <w:rPr>
          <w:rFonts w:hint="eastAsia" w:ascii="黑体" w:eastAsia="黑体" w:cs="黑体"/>
        </w:rPr>
        <w:t>第五部分 附表</w:t>
      </w:r>
      <w:bookmarkEnd w:id="74"/>
      <w:bookmarkEnd w:id="75"/>
      <w:bookmarkEnd w:id="76"/>
      <w:bookmarkEnd w:id="77"/>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78" w:name="_Toc111208513"/>
      <w:bookmarkStart w:id="79" w:name="_Toc113981026"/>
      <w:bookmarkStart w:id="80" w:name="_Toc79163886"/>
      <w:bookmarkStart w:id="81" w:name="_Toc79163636"/>
      <w:r>
        <w:rPr>
          <w:rFonts w:hint="eastAsia" w:ascii="黑体" w:eastAsia="黑体" w:cs="Times New Roman"/>
          <w:bCs w:val="0"/>
          <w:color w:val="000000"/>
        </w:rPr>
        <w:t>一、收入支出决算总表</w:t>
      </w:r>
      <w:bookmarkEnd w:id="78"/>
      <w:bookmarkEnd w:id="79"/>
      <w:bookmarkEnd w:id="80"/>
      <w:bookmarkEnd w:id="81"/>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82" w:name="_Toc113981027"/>
      <w:bookmarkStart w:id="83" w:name="_Toc79163637"/>
      <w:bookmarkStart w:id="84" w:name="_Toc111208514"/>
      <w:bookmarkStart w:id="85" w:name="_Toc79163887"/>
      <w:r>
        <w:rPr>
          <w:rFonts w:hint="eastAsia" w:ascii="黑体" w:eastAsia="黑体" w:cs="Times New Roman"/>
          <w:bCs w:val="0"/>
          <w:color w:val="000000"/>
        </w:rPr>
        <w:t>二、收入决算表</w:t>
      </w:r>
      <w:bookmarkEnd w:id="82"/>
      <w:bookmarkEnd w:id="83"/>
      <w:bookmarkEnd w:id="84"/>
      <w:bookmarkEnd w:id="85"/>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 w:val="0"/>
          <w:color w:val="000000"/>
        </w:rPr>
      </w:pPr>
      <w:bookmarkStart w:id="86" w:name="_Toc79163638"/>
      <w:bookmarkStart w:id="87" w:name="_Toc79163888"/>
      <w:bookmarkStart w:id="88" w:name="_Toc111208515"/>
      <w:bookmarkStart w:id="89" w:name="_Toc113981028"/>
      <w:r>
        <w:rPr>
          <w:rFonts w:hint="eastAsia" w:ascii="黑体" w:eastAsia="黑体" w:cs="Times New Roman"/>
          <w:bCs w:val="0"/>
          <w:color w:val="000000"/>
        </w:rPr>
        <w:t>三、支出决算表</w:t>
      </w:r>
      <w:bookmarkEnd w:id="86"/>
      <w:bookmarkEnd w:id="87"/>
      <w:bookmarkEnd w:id="88"/>
      <w:bookmarkEnd w:id="8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90" w:name="_Toc111208516"/>
      <w:bookmarkStart w:id="91" w:name="_Toc79163639"/>
      <w:bookmarkStart w:id="92" w:name="_Toc113981029"/>
      <w:bookmarkStart w:id="93" w:name="_Toc79163889"/>
      <w:r>
        <w:rPr>
          <w:rFonts w:hint="eastAsia" w:ascii="黑体" w:eastAsia="黑体" w:cs="Times New Roman"/>
          <w:bCs w:val="0"/>
          <w:color w:val="000000"/>
        </w:rPr>
        <w:t>四、财政拨款收入支出决算总表</w:t>
      </w:r>
      <w:bookmarkEnd w:id="90"/>
      <w:bookmarkEnd w:id="91"/>
      <w:bookmarkEnd w:id="92"/>
      <w:bookmarkEnd w:id="93"/>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94" w:name="_Toc79163640"/>
      <w:bookmarkStart w:id="95" w:name="_Toc113981030"/>
      <w:bookmarkStart w:id="96" w:name="_Toc111208517"/>
      <w:bookmarkStart w:id="97" w:name="_Toc79163890"/>
      <w:r>
        <w:rPr>
          <w:rFonts w:hint="eastAsia" w:ascii="黑体" w:eastAsia="黑体" w:cs="Times New Roman"/>
          <w:bCs w:val="0"/>
          <w:color w:val="000000"/>
        </w:rPr>
        <w:t>五、财政拨款支出决算明细表</w:t>
      </w:r>
      <w:bookmarkEnd w:id="94"/>
      <w:bookmarkEnd w:id="95"/>
      <w:bookmarkEnd w:id="96"/>
      <w:bookmarkEnd w:id="97"/>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98" w:name="_Toc79163641"/>
      <w:bookmarkStart w:id="99" w:name="_Toc111208518"/>
      <w:bookmarkStart w:id="100" w:name="_Toc113981031"/>
      <w:bookmarkStart w:id="101" w:name="_Toc79163891"/>
      <w:r>
        <w:rPr>
          <w:rFonts w:hint="eastAsia" w:ascii="黑体" w:eastAsia="黑体" w:cs="Times New Roman"/>
          <w:bCs w:val="0"/>
          <w:color w:val="000000"/>
        </w:rPr>
        <w:t>六、一般公共预算财政拨款支出决算表</w:t>
      </w:r>
      <w:bookmarkEnd w:id="98"/>
      <w:bookmarkEnd w:id="99"/>
      <w:bookmarkEnd w:id="100"/>
      <w:bookmarkEnd w:id="101"/>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02" w:name="_Toc79163892"/>
      <w:bookmarkStart w:id="103" w:name="_Toc111208519"/>
      <w:bookmarkStart w:id="104" w:name="_Toc79163642"/>
      <w:bookmarkStart w:id="105" w:name="_Toc113981032"/>
      <w:r>
        <w:rPr>
          <w:rFonts w:hint="eastAsia" w:ascii="黑体" w:eastAsia="黑体" w:cs="Times New Roman"/>
          <w:bCs w:val="0"/>
          <w:color w:val="000000"/>
        </w:rPr>
        <w:t>七、一般公共预算财政拨款支出决算明细表</w:t>
      </w:r>
      <w:bookmarkEnd w:id="102"/>
      <w:bookmarkEnd w:id="103"/>
      <w:bookmarkEnd w:id="104"/>
      <w:bookmarkEnd w:id="105"/>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06" w:name="_Toc113981033"/>
      <w:bookmarkStart w:id="107" w:name="_Toc111208520"/>
      <w:bookmarkStart w:id="108" w:name="_Toc79163893"/>
      <w:bookmarkStart w:id="109" w:name="_Toc79163643"/>
      <w:r>
        <w:rPr>
          <w:rFonts w:hint="eastAsia" w:ascii="黑体" w:eastAsia="黑体" w:cs="Times New Roman"/>
          <w:bCs w:val="0"/>
          <w:color w:val="000000"/>
        </w:rPr>
        <w:t>八、一般公共预算财政拨款基本支出决算表</w:t>
      </w:r>
      <w:bookmarkEnd w:id="106"/>
      <w:bookmarkEnd w:id="107"/>
      <w:bookmarkEnd w:id="108"/>
      <w:bookmarkEnd w:id="10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10" w:name="_Toc111208521"/>
      <w:bookmarkStart w:id="111" w:name="_Toc79163644"/>
      <w:bookmarkStart w:id="112" w:name="_Toc79163894"/>
      <w:bookmarkStart w:id="113" w:name="_Toc113981034"/>
      <w:r>
        <w:rPr>
          <w:rFonts w:hint="eastAsia" w:ascii="黑体" w:eastAsia="黑体" w:cs="Times New Roman"/>
          <w:bCs w:val="0"/>
          <w:color w:val="000000"/>
        </w:rPr>
        <w:t>九、一般公共预算财政拨款项目支出决算表</w:t>
      </w:r>
      <w:bookmarkEnd w:id="110"/>
      <w:bookmarkEnd w:id="111"/>
      <w:bookmarkEnd w:id="112"/>
      <w:bookmarkEnd w:id="113"/>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14" w:name="_Toc79163895"/>
      <w:bookmarkStart w:id="115" w:name="_Toc111208522"/>
      <w:bookmarkStart w:id="116" w:name="_Toc113981035"/>
      <w:bookmarkStart w:id="117" w:name="_Toc79163645"/>
      <w:r>
        <w:rPr>
          <w:rFonts w:hint="eastAsia" w:ascii="黑体" w:eastAsia="黑体" w:cs="Times New Roman"/>
          <w:bCs w:val="0"/>
          <w:color w:val="000000"/>
        </w:rPr>
        <w:t>十、一般公共预算财政拨款“三公”经费支出决算表</w:t>
      </w:r>
      <w:bookmarkEnd w:id="114"/>
      <w:bookmarkEnd w:id="115"/>
      <w:bookmarkEnd w:id="116"/>
      <w:bookmarkEnd w:id="117"/>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18" w:name="_Toc113981036"/>
      <w:bookmarkStart w:id="119" w:name="_Toc111208523"/>
      <w:bookmarkStart w:id="120" w:name="_Toc79163896"/>
      <w:bookmarkStart w:id="121" w:name="_Toc79163646"/>
      <w:r>
        <w:rPr>
          <w:rFonts w:hint="eastAsia" w:ascii="黑体" w:eastAsia="黑体" w:cs="Times New Roman"/>
          <w:bCs w:val="0"/>
          <w:color w:val="000000"/>
        </w:rPr>
        <w:t>十一、政府性基金预算财政拨款收入支出决算表</w:t>
      </w:r>
      <w:bookmarkEnd w:id="118"/>
      <w:bookmarkEnd w:id="119"/>
      <w:bookmarkEnd w:id="120"/>
      <w:bookmarkEnd w:id="121"/>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22" w:name="_Toc79163647"/>
      <w:bookmarkStart w:id="123" w:name="_Toc111208524"/>
      <w:bookmarkStart w:id="124" w:name="_Toc113981037"/>
      <w:bookmarkStart w:id="125" w:name="_Toc79163897"/>
      <w:r>
        <w:rPr>
          <w:rFonts w:hint="eastAsia" w:ascii="黑体" w:eastAsia="黑体" w:cs="Times New Roman"/>
          <w:bCs w:val="0"/>
          <w:color w:val="000000"/>
        </w:rPr>
        <w:t>十二、政府性基金预算财政拨款“三公”经费支出决算表</w:t>
      </w:r>
      <w:bookmarkEnd w:id="122"/>
      <w:bookmarkEnd w:id="123"/>
      <w:bookmarkEnd w:id="124"/>
      <w:bookmarkEnd w:id="125"/>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26" w:name="_Toc79163648"/>
      <w:bookmarkStart w:id="127" w:name="_Toc79163898"/>
      <w:bookmarkStart w:id="128" w:name="_Toc113981038"/>
      <w:bookmarkStart w:id="129" w:name="_Toc111208525"/>
      <w:r>
        <w:rPr>
          <w:rFonts w:hint="eastAsia" w:ascii="黑体" w:eastAsia="黑体" w:cs="Times New Roman"/>
          <w:bCs w:val="0"/>
          <w:color w:val="000000"/>
        </w:rPr>
        <w:t>十三、</w:t>
      </w:r>
      <w:bookmarkEnd w:id="126"/>
      <w:bookmarkEnd w:id="127"/>
      <w:r>
        <w:rPr>
          <w:rFonts w:hint="eastAsia" w:ascii="黑体" w:eastAsia="黑体" w:cs="Times New Roman"/>
          <w:bCs w:val="0"/>
          <w:color w:val="000000"/>
        </w:rPr>
        <w:t>国有资本经营预算财政拨款收入支出决算表</w:t>
      </w:r>
      <w:bookmarkEnd w:id="128"/>
      <w:bookmarkEnd w:id="12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 w:val="0"/>
          <w:color w:val="000000"/>
        </w:rPr>
      </w:pPr>
      <w:bookmarkStart w:id="130" w:name="_Toc113981039"/>
      <w:bookmarkStart w:id="131" w:name="_Toc111208526"/>
      <w:r>
        <w:rPr>
          <w:rFonts w:hint="eastAsia" w:ascii="黑体" w:eastAsia="黑体" w:cs="Times New Roman"/>
          <w:bCs w:val="0"/>
          <w:color w:val="000000"/>
        </w:rPr>
        <w:t>十四、国有资本经营预算财政拨款支出决算表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4</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3"/>
      <w:numFmt w:val="chineseCounting"/>
      <w:suff w:val="nothing"/>
      <w:lvlText w:val="%1、"/>
      <w:lvlJc w:val="left"/>
      <w:pPr>
        <w:tabs>
          <w:tab w:val="left" w:pos="0"/>
        </w:tabs>
        <w:ind w:left="0" w:firstLine="0"/>
      </w:pPr>
      <w:rPr>
        <w:rFonts w:hint="eastAsia"/>
      </w:rPr>
    </w:lvl>
  </w:abstractNum>
  <w:abstractNum w:abstractNumId="1">
    <w:nsid w:val="0053208E"/>
    <w:multiLevelType w:val="singleLevel"/>
    <w:tmpl w:val="0053208E"/>
    <w:lvl w:ilvl="0" w:tentative="0">
      <w:start w:val="2"/>
      <w:numFmt w:val="chineseCounting"/>
      <w:suff w:val="nothing"/>
      <w:lvlText w:val="（%1）"/>
      <w:lvlJc w:val="left"/>
      <w:pPr>
        <w:tabs>
          <w:tab w:val="left" w:pos="0"/>
        </w:tabs>
        <w:ind w:left="0" w:firstLine="0"/>
      </w:pPr>
      <w:rPr>
        <w:rFonts w:hint="eastAsia" w:ascii="楷体_GB2312" w:hAnsi="楷体_GB2312" w:eastAsia="楷体_GB2312" w:cs="楷体_GB2312"/>
      </w:rPr>
    </w:lvl>
  </w:abstractNum>
  <w:abstractNum w:abstractNumId="2">
    <w:nsid w:val="59ADCABA"/>
    <w:multiLevelType w:val="singleLevel"/>
    <w:tmpl w:val="59ADCABA"/>
    <w:lvl w:ilvl="0" w:tentative="0">
      <w:start w:val="3"/>
      <w:numFmt w:val="chineseCounting"/>
      <w:suff w:val="nothing"/>
      <w:lvlText w:val="（%1）"/>
      <w:lvlJc w:val="left"/>
      <w:pPr>
        <w:tabs>
          <w:tab w:val="left" w:pos="0"/>
        </w:tabs>
        <w:ind w:left="0" w:firstLine="0"/>
      </w:pPr>
      <w:rPr>
        <w:rFonts w:hint="eastAsia" w:ascii="楷体_GB2312" w:hAnsi="楷体_GB2312" w:eastAsia="楷体_GB2312" w:cs="楷体_GB231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TQ4ZjlhN2U1NTdlODA1N2ExZTVjMGE2NDFmYWZhOWMifQ=="/>
  </w:docVars>
  <w:rsids>
    <w:rsidRoot w:val="00000000"/>
    <w:rsid w:val="1DDAE3DD"/>
    <w:rsid w:val="20877C9A"/>
    <w:rsid w:val="30E91598"/>
    <w:rsid w:val="34747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style>
  <w:style w:type="paragraph" w:styleId="6">
    <w:name w:val="index 8"/>
    <w:basedOn w:val="1"/>
    <w:next w:val="1"/>
    <w:qFormat/>
    <w:uiPriority w:val="0"/>
    <w:pPr>
      <w:ind w:left="294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eastAsia="仿宋"/>
      <w:sz w:val="28"/>
      <w:szCs w:val="28"/>
    </w:rPr>
  </w:style>
  <w:style w:type="paragraph" w:styleId="14">
    <w:name w:val="table of figures"/>
    <w:basedOn w:val="1"/>
    <w:next w:val="1"/>
    <w:qFormat/>
    <w:uiPriority w:val="0"/>
    <w:pPr>
      <w:ind w:left="400" w:leftChars="200" w:hanging="200" w:hangingChars="200"/>
    </w:pPr>
  </w:style>
  <w:style w:type="paragraph" w:styleId="15">
    <w:name w:val="toc 2"/>
    <w:basedOn w:val="1"/>
    <w:next w:val="1"/>
    <w:qFormat/>
    <w:uiPriority w:val="0"/>
    <w:pPr>
      <w:tabs>
        <w:tab w:val="right" w:leader="dot" w:pos="8296"/>
      </w:tabs>
      <w:ind w:left="200" w:leftChars="200"/>
    </w:p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heading 1 Char"/>
    <w:basedOn w:val="17"/>
    <w:link w:val="3"/>
    <w:qFormat/>
    <w:uiPriority w:val="0"/>
    <w:rPr>
      <w:rFonts w:ascii="Times New Roman" w:hAnsi="Times New Roman" w:eastAsia="宋体" w:cs="Times New Roman"/>
      <w:b/>
      <w:bCs/>
      <w:kern w:val="44"/>
      <w:sz w:val="44"/>
      <w:szCs w:val="44"/>
      <w:lang w:val="en-US" w:eastAsia="zh-CN" w:bidi="ar-SA"/>
    </w:rPr>
  </w:style>
  <w:style w:type="paragraph" w:customStyle="1" w:styleId="2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3">
    <w:name w:val="Header Char"/>
    <w:basedOn w:val="17"/>
    <w:qFormat/>
    <w:uiPriority w:val="0"/>
    <w:rPr>
      <w:rFonts w:ascii="Times New Roman" w:hAnsi="Times New Roman"/>
      <w:sz w:val="18"/>
      <w:szCs w:val="18"/>
    </w:rPr>
  </w:style>
  <w:style w:type="character" w:customStyle="1" w:styleId="24">
    <w:name w:val="Footer Char"/>
    <w:basedOn w:val="17"/>
    <w:qFormat/>
    <w:uiPriority w:val="0"/>
    <w:rPr>
      <w:rFonts w:ascii="Times New Roman" w:hAnsi="Times New Roman"/>
      <w:sz w:val="18"/>
      <w:szCs w:val="18"/>
    </w:rPr>
  </w:style>
  <w:style w:type="character" w:customStyle="1" w:styleId="25">
    <w:name w:val="Body Text Char"/>
    <w:basedOn w:val="17"/>
    <w:qFormat/>
    <w:uiPriority w:val="0"/>
    <w:rPr>
      <w:rFonts w:ascii="Times New Roman" w:hAnsi="Times New Roman"/>
      <w:szCs w:val="24"/>
    </w:rPr>
  </w:style>
  <w:style w:type="paragraph" w:customStyle="1" w:styleId="26">
    <w:name w:val="List Paragraph"/>
    <w:basedOn w:val="1"/>
    <w:qFormat/>
    <w:uiPriority w:val="0"/>
    <w:pPr>
      <w:ind w:firstLine="200" w:firstLineChars="200"/>
    </w:pPr>
  </w:style>
  <w:style w:type="paragraph" w:customStyle="1" w:styleId="27">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8">
    <w:name w:val="Normalc016005b"/>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Default Paragraph Fontabf45a17"/>
    <w:qFormat/>
    <w:uiPriority w:val="0"/>
  </w:style>
  <w:style w:type="paragraph" w:customStyle="1" w:styleId="30">
    <w:name w:val="Normal75124c00"/>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1">
    <w:name w:val="Default Paragraph Font7"/>
    <w:qFormat/>
    <w:uiPriority w:val="0"/>
  </w:style>
  <w:style w:type="paragraph" w:customStyle="1" w:styleId="32">
    <w:name w:val="Document Map3100762f"/>
    <w:basedOn w:val="30"/>
    <w:qFormat/>
    <w:uiPriority w:val="0"/>
    <w:rPr>
      <w:rFonts w:ascii="宋体" w:eastAsia="宋体"/>
      <w:sz w:val="18"/>
      <w:szCs w:val="18"/>
    </w:rPr>
  </w:style>
  <w:style w:type="paragraph" w:customStyle="1" w:styleId="33">
    <w:name w:val="Balloon Text781fe588"/>
    <w:basedOn w:val="30"/>
    <w:qFormat/>
    <w:uiPriority w:val="0"/>
    <w:rPr>
      <w:sz w:val="18"/>
      <w:szCs w:val="18"/>
    </w:rPr>
  </w:style>
  <w:style w:type="paragraph" w:customStyle="1" w:styleId="34">
    <w:name w:val="footer4"/>
    <w:basedOn w:val="30"/>
    <w:qFormat/>
    <w:uiPriority w:val="0"/>
    <w:pPr>
      <w:tabs>
        <w:tab w:val="center" w:pos="4153"/>
        <w:tab w:val="right" w:pos="8306"/>
      </w:tabs>
      <w:snapToGrid w:val="0"/>
      <w:jc w:val="left"/>
    </w:pPr>
    <w:rPr>
      <w:rFonts w:eastAsia="宋体"/>
      <w:sz w:val="18"/>
      <w:szCs w:val="18"/>
    </w:rPr>
  </w:style>
  <w:style w:type="paragraph" w:customStyle="1" w:styleId="35">
    <w:name w:val="header5"/>
    <w:basedOn w:val="30"/>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36">
    <w:name w:val="page number8"/>
    <w:basedOn w:val="31"/>
    <w:qFormat/>
    <w:uiPriority w:val="0"/>
  </w:style>
  <w:style w:type="paragraph" w:customStyle="1" w:styleId="37">
    <w:name w:val="四号正文9"/>
    <w:basedOn w:val="30"/>
    <w:qFormat/>
    <w:uiPriority w:val="0"/>
    <w:pPr>
      <w:spacing w:line="360" w:lineRule="auto"/>
    </w:pPr>
    <w:rPr>
      <w:rFonts w:ascii="??" w:hAnsi="??" w:eastAsia="宋体" w:cs="宋体"/>
      <w:color w:val="000000"/>
      <w:kern w:val="0"/>
      <w:sz w:val="28"/>
      <w:szCs w:val="21"/>
    </w:rPr>
  </w:style>
  <w:style w:type="paragraph" w:customStyle="1" w:styleId="38">
    <w:name w:val="a23e1f1a6"/>
    <w:basedOn w:val="30"/>
    <w:qFormat/>
    <w:uiPriority w:val="0"/>
    <w:pPr>
      <w:widowControl/>
      <w:spacing w:before="100" w:beforeAutospacing="1" w:after="100" w:afterAutospacing="1"/>
      <w:jc w:val="left"/>
    </w:pPr>
    <w:rPr>
      <w:rFonts w:ascii="宋体" w:eastAsia="宋体" w:cs="宋体"/>
      <w:kern w:val="0"/>
      <w:sz w:val="24"/>
    </w:rPr>
  </w:style>
  <w:style w:type="character" w:customStyle="1" w:styleId="39">
    <w:name w:val="font3111"/>
    <w:basedOn w:val="31"/>
    <w:qFormat/>
    <w:uiPriority w:val="0"/>
    <w:rPr>
      <w:rFonts w:ascii="宋体" w:eastAsia="宋体" w:cs="宋体"/>
      <w:color w:val="000000"/>
      <w:sz w:val="24"/>
      <w:szCs w:val="24"/>
      <w:u w:val="none"/>
    </w:rPr>
  </w:style>
  <w:style w:type="paragraph" w:customStyle="1" w:styleId="40">
    <w:name w:val="p0"/>
    <w:next w:val="6"/>
    <w:qFormat/>
    <w:uiPriority w:val="0"/>
    <w:pPr>
      <w:widowControl w:val="0"/>
      <w:adjustRightInd/>
      <w:snapToGrid/>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31</Pages>
  <Words>11839</Words>
  <Characters>13091</Characters>
  <Lines>626</Lines>
  <Paragraphs>227</Paragraphs>
  <TotalTime>262</TotalTime>
  <ScaleCrop>false</ScaleCrop>
  <LinksUpToDate>false</LinksUpToDate>
  <CharactersWithSpaces>13284</CharactersWithSpaces>
  <Application>WPS Office_11.8.2.1116_F1E327BC-269C-435d-A152-05C5408002CA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user</cp:lastModifiedBy>
  <cp:lastPrinted>2022-09-28T11:47:00Z</cp:lastPrinted>
  <dcterms:modified xsi:type="dcterms:W3CDTF">2023-01-17T11:51:19Z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B93CA6F4BEAD4F359769D1203595D585</vt:lpwstr>
  </property>
</Properties>
</file>