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425"/>
      <w:bookmarkStart w:id="2" w:name="_Toc15396475"/>
      <w:bookmarkStart w:id="3" w:name="_Toc15378441"/>
      <w:bookmarkStart w:id="4" w:name="_Toc15396597"/>
      <w:bookmarkStart w:id="5" w:name="_Toc15377193"/>
      <w:r>
        <w:rPr>
          <w:rFonts w:ascii="黑体" w:eastAsia="黑体"/>
          <w:sz w:val="72"/>
          <w:szCs w:val="72"/>
        </w:rPr>
        <w:t>2020</w:t>
      </w:r>
      <w:r>
        <w:rPr>
          <w:rFonts w:ascii="黑体" w:eastAsia="黑体" w:hint="eastAsia"/>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8442"/>
      <w:bookmarkStart w:id="8" w:name="_Toc15377194"/>
      <w:bookmarkStart w:id="9" w:name="_Toc15396476"/>
      <w:bookmarkStart w:id="10" w:name="_Toc15377426"/>
      <w:r>
        <w:rPr>
          <w:rFonts w:ascii="方正小标宋简体" w:eastAsia="方正小标宋简体" w:hint="eastAsia"/>
          <w:sz w:val="72"/>
          <w:szCs w:val="72"/>
        </w:rPr>
        <w:t>四川省茂县</w:t>
      </w:r>
      <w:bookmarkStart w:id="11" w:name="_Toc15306268"/>
      <w:bookmarkEnd w:id="0"/>
      <w:r>
        <w:rPr>
          <w:rFonts w:ascii="方正小标宋简体" w:eastAsia="方正小标宋简体" w:hint="eastAsia"/>
          <w:sz w:val="72"/>
          <w:szCs w:val="72"/>
          <w:lang w:eastAsia="zh-CN"/>
        </w:rPr>
        <w:t>纪委</w:t>
      </w:r>
      <w:r>
        <w:rPr>
          <w:rFonts w:ascii="方正小标宋简体" w:eastAsia="方正小标宋简体" w:hint="eastAsia"/>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both"/>
        <w:rPr>
          <w:rFonts w:ascii="宋体" w:cs="仿宋_GB2312" w:hint="eastAsia"/>
          <w:sz w:val="32"/>
          <w:szCs w:val="32"/>
        </w:rPr>
      </w:pPr>
      <w:r>
        <w:rPr>
          <w:rFonts w:ascii="宋体" w:cs="仿宋_GB2312" w:hint="eastAsia"/>
          <w:sz w:val="32"/>
          <w:szCs w:val="32"/>
        </w:rPr>
        <w:t>保密审查情况：</w:t>
      </w:r>
    </w:p>
    <w:p>
      <w:pPr>
        <w:autoSpaceDE w:val="0"/>
        <w:autoSpaceDN w:val="0"/>
        <w:adjustRightInd w:val="0"/>
        <w:jc w:val="both"/>
        <w:rPr>
          <w:rFonts w:ascii="黑体" w:eastAsia="黑体"/>
          <w:color w:val="000000"/>
          <w:sz w:val="48"/>
          <w:szCs w:val="48"/>
        </w:rPr>
      </w:pPr>
      <w:r>
        <w:rPr>
          <w:rFonts w:ascii="宋体" w:cs="仿宋_GB2312" w:hint="eastAsia"/>
          <w:sz w:val="32"/>
          <w:szCs w:val="32"/>
        </w:rPr>
        <w:t>部门主要负责人审签情况：</w:t>
      </w:r>
      <w:r>
        <w:rPr>
          <w:rFonts w:ascii="方正小标宋简体" w:eastAsia="方正小标宋简体"/>
          <w:sz w:val="36"/>
          <w:szCs w:val="36"/>
        </w:rPr>
        <w:br w:type="page"/>
      </w:r>
      <w:r>
        <w:rPr>
          <w:rFonts w:ascii="黑体" w:eastAsia="黑体" w:hint="eastAsia"/>
          <w:color w:val="000000"/>
          <w:sz w:val="48"/>
          <w:szCs w:val="48"/>
        </w:rPr>
        <w:t>目录</w:t>
      </w:r>
    </w:p>
    <w:p>
      <w:pPr>
        <w:pStyle w:val="23"/>
        <w:jc w:val="center"/>
        <w:rPr>
          <w:b w:val="0"/>
          <w:bCs w:val="0"/>
          <w:sz w:val="28"/>
          <w:szCs w:val="28"/>
        </w:rPr>
      </w:pPr>
      <w:r>
        <w:rPr>
          <w:rFonts w:hint="eastAsia"/>
          <w:b w:val="0"/>
          <w:bCs w:val="0"/>
          <w:sz w:val="28"/>
          <w:szCs w:val="28"/>
        </w:rPr>
        <w:t>公开时间：2021年</w:t>
      </w:r>
      <w:r>
        <w:rPr>
          <w:rFonts w:hint="eastAsia"/>
          <w:b w:val="0"/>
          <w:bCs w:val="0"/>
          <w:sz w:val="28"/>
          <w:szCs w:val="28"/>
          <w:lang w:val="en-US" w:eastAsia="zh-CN"/>
        </w:rPr>
        <w:t>9</w:t>
      </w:r>
      <w:r>
        <w:rPr>
          <w:rFonts w:hint="eastAsia"/>
          <w:b w:val="0"/>
          <w:bCs w:val="0"/>
          <w:sz w:val="28"/>
          <w:szCs w:val="28"/>
        </w:rPr>
        <w:t xml:space="preserve"> 月</w:t>
      </w:r>
      <w:r>
        <w:rPr>
          <w:rFonts w:hint="eastAsia"/>
          <w:b w:val="0"/>
          <w:bCs w:val="0"/>
          <w:sz w:val="28"/>
          <w:szCs w:val="28"/>
          <w:lang w:val="en-US" w:eastAsia="zh-CN"/>
        </w:rPr>
        <w:t>27</w:t>
      </w:r>
      <w:r>
        <w:rPr>
          <w:rFonts w:hint="eastAsia"/>
          <w:b w:val="0"/>
          <w:bCs w:val="0"/>
          <w:sz w:val="28"/>
          <w:szCs w:val="28"/>
        </w:rPr>
        <w:t xml:space="preserve"> 日</w:t>
      </w:r>
    </w:p>
    <w:p>
      <w:pPr>
        <w:pStyle w:val="23"/>
        <w:tabs>
          <w:tab w:val="right" w:leader="dot" w:pos="8296"/>
        </w:tabs>
        <w:rPr>
          <w:rFonts w:ascii="仿宋" w:eastAsia="仿宋" w:hint="eastAsia"/>
          <w:b w:val="0"/>
          <w:bCs w:val="0"/>
          <w:caps w:val="0"/>
          <w:smallCaps/>
          <w:sz w:val="28"/>
          <w:szCs w:val="28"/>
          <w:lang w:eastAsia="zh-CN"/>
        </w:rPr>
      </w:pPr>
      <w:r>
        <w:rPr>
          <w:rFonts w:ascii="仿宋" w:eastAsia="仿宋"/>
          <w:b w:val="0"/>
          <w:bCs w:val="0"/>
          <w:caps w:val="0"/>
          <w:smallCaps/>
          <w:sz w:val="28"/>
          <w:szCs w:val="28"/>
        </w:rPr>
        <w:fldChar w:fldCharType="begin"/>
      </w:r>
      <w:r>
        <w:rPr>
          <w:rFonts w:ascii="仿宋" w:eastAsia="仿宋"/>
          <w:b w:val="0"/>
          <w:bCs w:val="0"/>
          <w:caps w:val="0"/>
          <w:smallCaps/>
          <w:sz w:val="28"/>
          <w:szCs w:val="28"/>
        </w:rPr>
        <w:instrText xml:space="preserve"> TOC \o \u </w:instrText>
      </w:r>
      <w:r>
        <w:rPr>
          <w:rFonts w:ascii="仿宋" w:eastAsia="仿宋"/>
          <w:b w:val="0"/>
          <w:bCs w:val="0"/>
          <w:caps w:val="0"/>
          <w:smallCaps/>
          <w:sz w:val="28"/>
          <w:szCs w:val="28"/>
        </w:rPr>
        <w:fldChar w:fldCharType="separate"/>
      </w:r>
      <w:r>
        <w:rPr>
          <w:rFonts w:ascii="仿宋" w:eastAsia="仿宋"/>
          <w:b w:val="0"/>
          <w:bCs w:val="0"/>
          <w:caps w:val="0"/>
          <w:smallCaps/>
          <w:sz w:val="28"/>
          <w:szCs w:val="28"/>
        </w:rPr>
        <w:t>第一部分 部门概况</w:t>
        <w:tab/>
      </w:r>
      <w:r>
        <w:rPr>
          <w:rFonts w:ascii="仿宋" w:eastAsia="仿宋" w:hint="eastAsia"/>
          <w:b w:val="0"/>
          <w:bCs w:val="0"/>
          <w:caps w:val="0"/>
          <w:smallCaps/>
          <w:sz w:val="28"/>
          <w:szCs w:val="28"/>
          <w:lang w:val="en-US" w:eastAsia="zh-CN"/>
        </w:rPr>
        <w:t>5</w:t>
      </w:r>
    </w:p>
    <w:p>
      <w:pPr>
        <w:pStyle w:val="27"/>
        <w:tabs>
          <w:tab w:val="right" w:leader="dot" w:pos="8296"/>
        </w:tabs>
        <w:rPr>
          <w:rFonts w:ascii="仿宋" w:eastAsia="仿宋" w:hint="eastAsia"/>
          <w:sz w:val="28"/>
          <w:szCs w:val="28"/>
          <w:lang w:val="en-US" w:eastAsia="zh-CN"/>
        </w:rPr>
      </w:pPr>
      <w:r>
        <w:rPr>
          <w:rFonts w:ascii="仿宋" w:eastAsia="仿宋"/>
          <w:sz w:val="28"/>
          <w:szCs w:val="28"/>
        </w:rPr>
        <w:t>一、基本职能及主要工作</w:t>
        <w:tab/>
      </w:r>
      <w:r>
        <w:rPr>
          <w:rFonts w:ascii="仿宋" w:eastAsia="仿宋" w:hint="eastAsia"/>
          <w:sz w:val="28"/>
          <w:szCs w:val="28"/>
          <w:lang w:val="en-US" w:eastAsia="zh-CN"/>
        </w:rPr>
        <w:t>5</w:t>
      </w:r>
    </w:p>
    <w:p>
      <w:pPr>
        <w:pStyle w:val="18"/>
        <w:tabs>
          <w:tab w:val="right" w:leader="dot" w:pos="8296"/>
        </w:tabs>
        <w:rPr>
          <w:rFonts w:ascii="仿宋" w:eastAsia="仿宋" w:hint="eastAsia"/>
          <w:i w:val="0"/>
          <w:iCs w:val="0"/>
          <w:caps w:val="0"/>
          <w:smallCaps/>
          <w:sz w:val="28"/>
          <w:szCs w:val="28"/>
          <w:lang w:val="en-US" w:eastAsia="zh-CN"/>
        </w:rPr>
      </w:pPr>
      <w:r>
        <w:rPr>
          <w:rFonts w:ascii="仿宋" w:eastAsia="仿宋"/>
          <w:i w:val="0"/>
          <w:iCs w:val="0"/>
          <w:caps w:val="0"/>
          <w:smallCaps/>
          <w:sz w:val="28"/>
          <w:szCs w:val="28"/>
        </w:rPr>
        <w:t>（一）主要职能。</w:t>
        <w:tab/>
      </w:r>
      <w:r>
        <w:rPr>
          <w:rFonts w:ascii="仿宋" w:eastAsia="仿宋" w:hint="eastAsia"/>
          <w:i w:val="0"/>
          <w:iCs w:val="0"/>
          <w:caps w:val="0"/>
          <w:smallCaps/>
          <w:sz w:val="28"/>
          <w:szCs w:val="28"/>
          <w:lang w:val="en-US" w:eastAsia="zh-CN"/>
        </w:rPr>
        <w:t>5</w:t>
      </w:r>
    </w:p>
    <w:p>
      <w:pPr>
        <w:pStyle w:val="18"/>
        <w:tabs>
          <w:tab w:val="right" w:leader="dot" w:pos="8296"/>
        </w:tabs>
        <w:rPr>
          <w:rFonts w:ascii="仿宋" w:eastAsia="仿宋" w:hint="eastAsia"/>
          <w:i w:val="0"/>
          <w:iCs w:val="0"/>
          <w:caps w:val="0"/>
          <w:smallCaps/>
          <w:sz w:val="28"/>
          <w:szCs w:val="28"/>
          <w:lang w:eastAsia="zh-CN"/>
        </w:rPr>
      </w:pPr>
      <w:r>
        <w:rPr>
          <w:rFonts w:ascii="仿宋" w:eastAsia="仿宋"/>
          <w:i w:val="0"/>
          <w:iCs w:val="0"/>
          <w:caps w:val="0"/>
          <w:smallCaps/>
          <w:sz w:val="28"/>
          <w:szCs w:val="28"/>
        </w:rPr>
        <w:t>（二）2020年重点工作完成情况。</w:t>
        <w:tab/>
      </w:r>
      <w:r>
        <w:rPr>
          <w:rFonts w:ascii="仿宋" w:eastAsia="仿宋" w:hint="eastAsia"/>
          <w:i w:val="0"/>
          <w:iCs w:val="0"/>
          <w:caps w:val="0"/>
          <w:smallCaps/>
          <w:sz w:val="28"/>
          <w:szCs w:val="28"/>
          <w:lang w:val="en-US" w:eastAsia="zh-CN"/>
        </w:rPr>
        <w:t>7</w:t>
      </w:r>
    </w:p>
    <w:p>
      <w:pPr>
        <w:pStyle w:val="27"/>
        <w:tabs>
          <w:tab w:val="right" w:leader="dot" w:pos="8296"/>
        </w:tabs>
        <w:rPr>
          <w:rFonts w:ascii="仿宋" w:eastAsia="仿宋" w:hint="eastAsia"/>
          <w:sz w:val="28"/>
          <w:szCs w:val="28"/>
          <w:lang w:val="en-US" w:eastAsia="zh-CN"/>
        </w:rPr>
      </w:pPr>
      <w:r>
        <w:rPr>
          <w:rFonts w:ascii="仿宋" w:eastAsia="仿宋"/>
          <w:sz w:val="28"/>
          <w:szCs w:val="28"/>
        </w:rPr>
        <w:t>二、机构设置</w:t>
        <w:tab/>
      </w:r>
      <w:r>
        <w:rPr>
          <w:rFonts w:ascii="仿宋" w:eastAsia="仿宋" w:hint="eastAsia"/>
          <w:sz w:val="28"/>
          <w:szCs w:val="28"/>
          <w:lang w:val="en-US" w:eastAsia="zh-CN"/>
        </w:rPr>
        <w:t>8</w:t>
      </w:r>
    </w:p>
    <w:p>
      <w:pPr>
        <w:pStyle w:val="23"/>
        <w:tabs>
          <w:tab w:val="right" w:leader="dot" w:pos="8296"/>
        </w:tabs>
        <w:rPr>
          <w:rFonts w:ascii="仿宋" w:eastAsia="仿宋" w:hint="eastAsia"/>
          <w:b w:val="0"/>
          <w:bCs w:val="0"/>
          <w:caps w:val="0"/>
          <w:smallCaps/>
          <w:sz w:val="28"/>
          <w:szCs w:val="28"/>
          <w:lang w:eastAsia="zh-CN"/>
        </w:rPr>
      </w:pPr>
      <w:r>
        <w:rPr>
          <w:rFonts w:ascii="仿宋" w:eastAsia="仿宋"/>
          <w:b w:val="0"/>
          <w:bCs w:val="0"/>
          <w:caps w:val="0"/>
          <w:smallCaps/>
          <w:sz w:val="28"/>
          <w:szCs w:val="28"/>
        </w:rPr>
        <w:t>第二部分 2020年度部门决算情况说明</w:t>
        <w:tab/>
      </w:r>
      <w:r>
        <w:rPr>
          <w:rFonts w:ascii="仿宋" w:eastAsia="仿宋" w:hint="eastAsia"/>
          <w:b w:val="0"/>
          <w:bCs w:val="0"/>
          <w:caps w:val="0"/>
          <w:smallCaps/>
          <w:sz w:val="28"/>
          <w:szCs w:val="28"/>
          <w:lang w:val="en-US" w:eastAsia="zh-CN"/>
        </w:rPr>
        <w:t>9</w:t>
      </w:r>
    </w:p>
    <w:p>
      <w:pPr>
        <w:pStyle w:val="27"/>
        <w:tabs>
          <w:tab w:val="left" w:pos="840"/>
          <w:tab w:val="right" w:leader="dot" w:pos="8296"/>
        </w:tabs>
        <w:rPr>
          <w:rFonts w:ascii="仿宋" w:eastAsia="仿宋" w:hint="eastAsia"/>
          <w:sz w:val="28"/>
          <w:szCs w:val="28"/>
          <w:lang w:val="en-US" w:eastAsia="zh-CN"/>
        </w:rPr>
      </w:pPr>
      <w:r>
        <w:rPr>
          <w:rFonts w:ascii="仿宋" w:eastAsia="仿宋"/>
          <w:sz w:val="28"/>
          <w:szCs w:val="28"/>
        </w:rPr>
        <w:t>一、</w:t>
        <w:tab/>
        <w:t>收入支出决算总体情况说明</w:t>
        <w:tab/>
      </w:r>
      <w:r>
        <w:rPr>
          <w:rFonts w:ascii="仿宋" w:eastAsia="仿宋" w:hint="eastAsia"/>
          <w:sz w:val="28"/>
          <w:szCs w:val="28"/>
          <w:lang w:val="en-US" w:eastAsia="zh-CN"/>
        </w:rPr>
        <w:t>9</w:t>
      </w:r>
    </w:p>
    <w:p>
      <w:pPr>
        <w:pStyle w:val="27"/>
        <w:tabs>
          <w:tab w:val="left" w:pos="840"/>
          <w:tab w:val="right" w:leader="dot" w:pos="8296"/>
        </w:tabs>
        <w:rPr>
          <w:rFonts w:ascii="仿宋" w:eastAsia="仿宋" w:hint="eastAsia"/>
          <w:sz w:val="28"/>
          <w:szCs w:val="28"/>
          <w:lang w:eastAsia="zh-CN"/>
        </w:rPr>
      </w:pPr>
      <w:r>
        <w:rPr>
          <w:rFonts w:ascii="仿宋" w:eastAsia="仿宋"/>
          <w:sz w:val="28"/>
          <w:szCs w:val="28"/>
        </w:rPr>
        <w:t>二、</w:t>
        <w:tab/>
        <w:t>收入决算情况说明</w:t>
        <w:tab/>
      </w:r>
      <w:r>
        <w:rPr>
          <w:rFonts w:ascii="仿宋" w:eastAsia="仿宋" w:hint="eastAsia"/>
          <w:sz w:val="28"/>
          <w:szCs w:val="28"/>
          <w:lang w:val="en-US" w:eastAsia="zh-CN"/>
        </w:rPr>
        <w:t>9</w:t>
      </w:r>
    </w:p>
    <w:p>
      <w:pPr>
        <w:pStyle w:val="27"/>
        <w:tabs>
          <w:tab w:val="left" w:pos="840"/>
          <w:tab w:val="right" w:leader="dot" w:pos="8296"/>
        </w:tabs>
        <w:rPr>
          <w:rFonts w:ascii="仿宋" w:eastAsia="仿宋"/>
          <w:sz w:val="28"/>
          <w:szCs w:val="28"/>
          <w:lang w:val="en-US" w:eastAsia="zh-CN"/>
        </w:rPr>
      </w:pPr>
      <w:r>
        <w:rPr>
          <w:rFonts w:ascii="仿宋" w:eastAsia="仿宋"/>
          <w:sz w:val="28"/>
          <w:szCs w:val="28"/>
        </w:rPr>
        <w:t>三、</w:t>
        <w:tab/>
        <w:t>支出决算情况说明</w:t>
        <w:tab/>
      </w:r>
      <w:r>
        <w:rPr>
          <w:rFonts w:ascii="仿宋" w:eastAsia="仿宋" w:hint="eastAsia"/>
          <w:sz w:val="28"/>
          <w:szCs w:val="28"/>
          <w:lang w:val="en-US" w:eastAsia="zh-CN"/>
        </w:rPr>
        <w:t>10</w:t>
      </w:r>
    </w:p>
    <w:p>
      <w:pPr>
        <w:pStyle w:val="27"/>
        <w:tabs>
          <w:tab w:val="right" w:leader="dot" w:pos="8296"/>
        </w:tabs>
        <w:rPr>
          <w:rFonts w:ascii="仿宋" w:eastAsia="仿宋" w:hint="eastAsia"/>
          <w:sz w:val="28"/>
          <w:szCs w:val="28"/>
          <w:lang w:val="en-US" w:eastAsia="zh-CN"/>
        </w:rPr>
      </w:pPr>
      <w:r>
        <w:rPr>
          <w:rFonts w:ascii="仿宋" w:eastAsia="仿宋"/>
          <w:sz w:val="28"/>
          <w:szCs w:val="28"/>
        </w:rPr>
        <w:t>四、财政拨款收入支出决算总体情况说明</w:t>
        <w:tab/>
      </w:r>
      <w:r>
        <w:rPr>
          <w:rFonts w:ascii="仿宋" w:eastAsia="仿宋" w:hint="eastAsia"/>
          <w:sz w:val="28"/>
          <w:szCs w:val="28"/>
          <w:lang w:val="en-US" w:eastAsia="zh-CN"/>
        </w:rPr>
        <w:t>10</w:t>
      </w:r>
    </w:p>
    <w:p>
      <w:pPr>
        <w:pStyle w:val="27"/>
        <w:tabs>
          <w:tab w:val="right" w:leader="dot" w:pos="8296"/>
        </w:tabs>
        <w:rPr>
          <w:rFonts w:ascii="仿宋" w:eastAsia="仿宋"/>
          <w:sz w:val="28"/>
          <w:szCs w:val="28"/>
          <w:lang w:val="en-US" w:eastAsia="zh-CN"/>
        </w:rPr>
      </w:pPr>
      <w:r>
        <w:rPr>
          <w:rFonts w:ascii="仿宋" w:eastAsia="仿宋"/>
          <w:sz w:val="28"/>
          <w:szCs w:val="28"/>
        </w:rPr>
        <w:t>五、一般公共预算财政拨款支出决算情况说明</w:t>
        <w:tab/>
      </w:r>
      <w:r>
        <w:rPr>
          <w:rFonts w:ascii="仿宋" w:eastAsia="仿宋" w:hint="eastAsia"/>
          <w:sz w:val="28"/>
          <w:szCs w:val="28"/>
          <w:lang w:val="en-US" w:eastAsia="zh-CN"/>
        </w:rPr>
        <w:t>11</w:t>
      </w:r>
    </w:p>
    <w:p>
      <w:pPr>
        <w:pStyle w:val="18"/>
        <w:tabs>
          <w:tab w:val="right" w:leader="dot" w:pos="8296"/>
        </w:tabs>
        <w:rPr>
          <w:rFonts w:ascii="仿宋" w:eastAsia="仿宋"/>
          <w:i w:val="0"/>
          <w:iCs w:val="0"/>
          <w:caps w:val="0"/>
          <w:smallCaps/>
          <w:sz w:val="28"/>
          <w:szCs w:val="28"/>
          <w:lang w:val="en-US" w:eastAsia="zh-CN"/>
        </w:rPr>
      </w:pPr>
      <w:r>
        <w:rPr>
          <w:rFonts w:ascii="仿宋" w:eastAsia="仿宋"/>
          <w:i w:val="0"/>
          <w:iCs w:val="0"/>
          <w:caps w:val="0"/>
          <w:smallCaps/>
          <w:sz w:val="28"/>
          <w:szCs w:val="28"/>
        </w:rPr>
        <w:t>（一）一般公共预算财政拨款支出决算总体情况</w:t>
        <w:tab/>
      </w:r>
      <w:r>
        <w:rPr>
          <w:rFonts w:ascii="仿宋" w:eastAsia="仿宋" w:hint="eastAsia"/>
          <w:i w:val="0"/>
          <w:iCs w:val="0"/>
          <w:caps w:val="0"/>
          <w:smallCaps/>
          <w:sz w:val="28"/>
          <w:szCs w:val="28"/>
          <w:lang w:val="en-US" w:eastAsia="zh-CN"/>
        </w:rPr>
        <w:t>11</w:t>
      </w:r>
    </w:p>
    <w:p>
      <w:pPr>
        <w:pStyle w:val="18"/>
        <w:tabs>
          <w:tab w:val="right" w:leader="dot" w:pos="8296"/>
        </w:tabs>
        <w:rPr>
          <w:rFonts w:ascii="仿宋" w:eastAsia="仿宋"/>
          <w:i w:val="0"/>
          <w:iCs w:val="0"/>
          <w:caps w:val="0"/>
          <w:smallCaps/>
          <w:sz w:val="28"/>
          <w:szCs w:val="28"/>
          <w:lang w:val="en-US" w:eastAsia="zh-CN"/>
        </w:rPr>
      </w:pPr>
      <w:r>
        <w:rPr>
          <w:rFonts w:ascii="仿宋" w:eastAsia="仿宋"/>
          <w:i w:val="0"/>
          <w:iCs w:val="0"/>
          <w:caps w:val="0"/>
          <w:smallCaps/>
          <w:sz w:val="28"/>
          <w:szCs w:val="28"/>
        </w:rPr>
        <w:t>（二）一般公共预算财政拨款支出决算结构情况</w:t>
        <w:tab/>
      </w:r>
      <w:r>
        <w:rPr>
          <w:rFonts w:ascii="仿宋" w:eastAsia="仿宋" w:hint="eastAsia"/>
          <w:i w:val="0"/>
          <w:iCs w:val="0"/>
          <w:caps w:val="0"/>
          <w:smallCaps/>
          <w:sz w:val="28"/>
          <w:szCs w:val="28"/>
          <w:lang w:val="en-US" w:eastAsia="zh-CN"/>
        </w:rPr>
        <w:t>11</w:t>
      </w:r>
    </w:p>
    <w:p>
      <w:pPr>
        <w:pStyle w:val="18"/>
        <w:tabs>
          <w:tab w:val="right" w:leader="dot" w:pos="8296"/>
        </w:tabs>
        <w:rPr>
          <w:rFonts w:ascii="仿宋" w:eastAsia="仿宋"/>
          <w:i w:val="0"/>
          <w:iCs w:val="0"/>
          <w:caps w:val="0"/>
          <w:smallCaps/>
          <w:sz w:val="28"/>
          <w:szCs w:val="28"/>
          <w:lang w:val="en-US" w:eastAsia="zh-CN"/>
        </w:rPr>
      </w:pPr>
      <w:r>
        <w:rPr>
          <w:rFonts w:ascii="仿宋" w:eastAsia="仿宋"/>
          <w:i w:val="0"/>
          <w:iCs w:val="0"/>
          <w:caps w:val="0"/>
          <w:smallCaps/>
          <w:sz w:val="28"/>
          <w:szCs w:val="28"/>
        </w:rPr>
        <w:t>（三）一般公共预算财政拨款支出决算具体情况</w:t>
        <w:tab/>
      </w:r>
      <w:r>
        <w:rPr>
          <w:rFonts w:ascii="仿宋" w:eastAsia="仿宋" w:hint="eastAsia"/>
          <w:i w:val="0"/>
          <w:iCs w:val="0"/>
          <w:caps w:val="0"/>
          <w:smallCaps/>
          <w:sz w:val="28"/>
          <w:szCs w:val="28"/>
          <w:lang w:val="en-US" w:eastAsia="zh-CN"/>
        </w:rPr>
        <w:t>13</w:t>
      </w:r>
    </w:p>
    <w:p>
      <w:pPr>
        <w:pStyle w:val="27"/>
        <w:tabs>
          <w:tab w:val="right" w:leader="dot" w:pos="8296"/>
        </w:tabs>
        <w:rPr>
          <w:rFonts w:ascii="仿宋" w:eastAsia="仿宋"/>
          <w:sz w:val="28"/>
          <w:szCs w:val="28"/>
          <w:lang w:val="en-US" w:eastAsia="zh-CN"/>
        </w:rPr>
      </w:pPr>
      <w:r>
        <w:rPr>
          <w:rFonts w:ascii="仿宋" w:eastAsia="仿宋"/>
          <w:sz w:val="28"/>
          <w:szCs w:val="28"/>
        </w:rPr>
        <w:t>六、一般公共预算财政拨款基本支出决算情况说明</w:t>
        <w:tab/>
      </w:r>
      <w:r>
        <w:rPr>
          <w:rFonts w:ascii="仿宋" w:eastAsia="仿宋" w:hint="eastAsia"/>
          <w:sz w:val="28"/>
          <w:szCs w:val="28"/>
          <w:lang w:val="en-US" w:eastAsia="zh-CN"/>
        </w:rPr>
        <w:t>14</w:t>
      </w:r>
    </w:p>
    <w:p>
      <w:pPr>
        <w:pStyle w:val="27"/>
        <w:tabs>
          <w:tab w:val="right" w:leader="dot" w:pos="8296"/>
        </w:tabs>
        <w:rPr>
          <w:rFonts w:ascii="仿宋" w:eastAsia="仿宋"/>
          <w:sz w:val="28"/>
          <w:szCs w:val="28"/>
          <w:lang w:val="en-US" w:eastAsia="zh-CN"/>
        </w:rPr>
      </w:pPr>
      <w:r>
        <w:rPr>
          <w:rFonts w:ascii="仿宋" w:eastAsia="仿宋"/>
          <w:sz w:val="28"/>
          <w:szCs w:val="28"/>
        </w:rPr>
        <w:t>七、“三公”经费财政拨款支出决算情况说明</w:t>
        <w:tab/>
      </w:r>
      <w:r>
        <w:rPr>
          <w:rFonts w:ascii="仿宋" w:eastAsia="仿宋" w:hint="eastAsia"/>
          <w:sz w:val="28"/>
          <w:szCs w:val="28"/>
          <w:lang w:val="en-US" w:eastAsia="zh-CN"/>
        </w:rPr>
        <w:t>14</w:t>
      </w:r>
    </w:p>
    <w:p>
      <w:pPr>
        <w:pStyle w:val="18"/>
        <w:tabs>
          <w:tab w:val="right" w:leader="dot" w:pos="8296"/>
        </w:tabs>
        <w:rPr>
          <w:rFonts w:ascii="仿宋" w:eastAsia="仿宋"/>
          <w:i w:val="0"/>
          <w:iCs w:val="0"/>
          <w:caps w:val="0"/>
          <w:smallCaps/>
          <w:sz w:val="28"/>
          <w:szCs w:val="28"/>
          <w:lang w:val="en-US" w:eastAsia="zh-CN"/>
        </w:rPr>
      </w:pPr>
      <w:r>
        <w:rPr>
          <w:rFonts w:ascii="仿宋" w:eastAsia="仿宋"/>
          <w:i w:val="0"/>
          <w:iCs w:val="0"/>
          <w:caps w:val="0"/>
          <w:smallCaps/>
          <w:sz w:val="28"/>
          <w:szCs w:val="28"/>
        </w:rPr>
        <w:t>（一）“三公”经费财政拨款支出决算总体情况说明</w:t>
        <w:tab/>
      </w:r>
      <w:r>
        <w:rPr>
          <w:rFonts w:ascii="仿宋" w:eastAsia="仿宋" w:hint="eastAsia"/>
          <w:i w:val="0"/>
          <w:iCs w:val="0"/>
          <w:caps w:val="0"/>
          <w:smallCaps/>
          <w:sz w:val="28"/>
          <w:szCs w:val="28"/>
          <w:lang w:val="en-US" w:eastAsia="zh-CN"/>
        </w:rPr>
        <w:t>14</w:t>
      </w:r>
    </w:p>
    <w:p>
      <w:pPr>
        <w:pStyle w:val="18"/>
        <w:tabs>
          <w:tab w:val="right" w:leader="dot" w:pos="8296"/>
        </w:tabs>
        <w:rPr>
          <w:rFonts w:ascii="仿宋" w:eastAsia="仿宋"/>
          <w:i w:val="0"/>
          <w:iCs w:val="0"/>
          <w:caps w:val="0"/>
          <w:smallCaps/>
          <w:sz w:val="28"/>
          <w:szCs w:val="28"/>
          <w:lang w:val="en-US" w:eastAsia="zh-CN"/>
        </w:rPr>
      </w:pPr>
      <w:r>
        <w:rPr>
          <w:rFonts w:ascii="仿宋" w:eastAsia="仿宋"/>
          <w:i w:val="0"/>
          <w:iCs w:val="0"/>
          <w:caps w:val="0"/>
          <w:smallCaps/>
          <w:sz w:val="28"/>
          <w:szCs w:val="28"/>
        </w:rPr>
        <w:t>（二）“三公”经费财政拨款支出决算具体情况说明</w:t>
        <w:tab/>
      </w:r>
      <w:r>
        <w:rPr>
          <w:rFonts w:ascii="仿宋" w:eastAsia="仿宋" w:hint="eastAsia"/>
          <w:i w:val="0"/>
          <w:iCs w:val="0"/>
          <w:caps w:val="0"/>
          <w:smallCaps/>
          <w:sz w:val="28"/>
          <w:szCs w:val="28"/>
          <w:lang w:val="en-US" w:eastAsia="zh-CN"/>
        </w:rPr>
        <w:t>15</w:t>
      </w:r>
    </w:p>
    <w:p>
      <w:pPr>
        <w:pStyle w:val="27"/>
        <w:tabs>
          <w:tab w:val="right" w:leader="dot" w:pos="8296"/>
        </w:tabs>
        <w:rPr>
          <w:rFonts w:ascii="仿宋" w:eastAsia="仿宋"/>
          <w:sz w:val="28"/>
          <w:szCs w:val="28"/>
          <w:lang w:val="en-US" w:eastAsia="zh-CN"/>
        </w:rPr>
      </w:pPr>
      <w:r>
        <w:rPr>
          <w:rFonts w:ascii="仿宋" w:eastAsia="仿宋"/>
          <w:sz w:val="28"/>
          <w:szCs w:val="28"/>
        </w:rPr>
        <w:t>八、政府性基金预算支出决算情况说明</w:t>
        <w:tab/>
      </w:r>
      <w:r>
        <w:rPr>
          <w:rFonts w:ascii="仿宋" w:eastAsia="仿宋" w:hint="eastAsia"/>
          <w:sz w:val="28"/>
          <w:szCs w:val="28"/>
          <w:lang w:val="en-US" w:eastAsia="zh-CN"/>
        </w:rPr>
        <w:t>16</w:t>
      </w:r>
    </w:p>
    <w:p>
      <w:pPr>
        <w:pStyle w:val="27"/>
        <w:tabs>
          <w:tab w:val="right" w:leader="dot" w:pos="8296"/>
        </w:tabs>
        <w:rPr>
          <w:rFonts w:ascii="仿宋" w:eastAsia="仿宋" w:hint="eastAsia"/>
          <w:sz w:val="28"/>
          <w:szCs w:val="28"/>
          <w:lang w:val="en-US" w:eastAsia="zh-CN"/>
        </w:rPr>
      </w:pPr>
      <w:r>
        <w:rPr>
          <w:rFonts w:ascii="仿宋" w:eastAsia="仿宋"/>
          <w:sz w:val="28"/>
          <w:szCs w:val="28"/>
        </w:rPr>
        <w:t>九、 国有资本经营预算支出决算情况说明</w:t>
        <w:tab/>
      </w:r>
      <w:r>
        <w:rPr>
          <w:rFonts w:ascii="仿宋" w:eastAsia="仿宋" w:hint="eastAsia"/>
          <w:sz w:val="28"/>
          <w:szCs w:val="28"/>
          <w:lang w:val="en-US" w:eastAsia="zh-CN"/>
        </w:rPr>
        <w:t>16</w:t>
      </w:r>
    </w:p>
    <w:p>
      <w:pPr>
        <w:pStyle w:val="27"/>
        <w:tabs>
          <w:tab w:val="right" w:leader="dot" w:pos="8296"/>
        </w:tabs>
        <w:rPr>
          <w:rFonts w:ascii="仿宋" w:eastAsia="仿宋"/>
          <w:sz w:val="28"/>
          <w:szCs w:val="28"/>
          <w:lang w:val="en-US" w:eastAsia="zh-CN"/>
        </w:rPr>
      </w:pPr>
      <w:r>
        <w:rPr>
          <w:rFonts w:ascii="仿宋" w:eastAsia="仿宋"/>
          <w:sz w:val="28"/>
          <w:szCs w:val="28"/>
        </w:rPr>
        <w:t>十、其他重要事项的情况说明</w:t>
        <w:tab/>
      </w:r>
      <w:r>
        <w:rPr>
          <w:rFonts w:ascii="仿宋" w:eastAsia="仿宋" w:hint="eastAsia"/>
          <w:sz w:val="28"/>
          <w:szCs w:val="28"/>
          <w:lang w:val="en-US" w:eastAsia="zh-CN"/>
        </w:rPr>
        <w:t>16</w:t>
      </w:r>
    </w:p>
    <w:p>
      <w:pPr>
        <w:pStyle w:val="18"/>
        <w:tabs>
          <w:tab w:val="right" w:leader="dot" w:pos="8296"/>
        </w:tabs>
        <w:rPr>
          <w:rFonts w:ascii="仿宋" w:eastAsia="仿宋" w:hint="eastAsia"/>
          <w:i w:val="0"/>
          <w:iCs w:val="0"/>
          <w:caps w:val="0"/>
          <w:smallCaps/>
          <w:sz w:val="28"/>
          <w:szCs w:val="28"/>
          <w:lang w:val="en-US" w:eastAsia="zh-CN"/>
        </w:rPr>
      </w:pPr>
      <w:r>
        <w:rPr>
          <w:rFonts w:ascii="仿宋" w:eastAsia="仿宋"/>
          <w:i w:val="0"/>
          <w:iCs w:val="0"/>
          <w:caps w:val="0"/>
          <w:smallCaps/>
          <w:sz w:val="28"/>
          <w:szCs w:val="28"/>
        </w:rPr>
        <w:t>（一）机关运行经费支出情况</w:t>
        <w:tab/>
      </w:r>
      <w:r>
        <w:rPr>
          <w:rFonts w:ascii="仿宋" w:eastAsia="仿宋" w:hint="eastAsia"/>
          <w:i w:val="0"/>
          <w:iCs w:val="0"/>
          <w:caps w:val="0"/>
          <w:smallCaps/>
          <w:sz w:val="28"/>
          <w:szCs w:val="28"/>
          <w:lang w:val="en-US" w:eastAsia="zh-CN"/>
        </w:rPr>
        <w:t>16</w:t>
      </w:r>
    </w:p>
    <w:p>
      <w:pPr>
        <w:pStyle w:val="18"/>
        <w:tabs>
          <w:tab w:val="right" w:leader="dot" w:pos="8296"/>
        </w:tabs>
        <w:rPr>
          <w:rFonts w:ascii="仿宋" w:eastAsia="仿宋" w:hint="eastAsia"/>
          <w:i w:val="0"/>
          <w:iCs w:val="0"/>
          <w:caps w:val="0"/>
          <w:smallCaps/>
          <w:sz w:val="28"/>
          <w:szCs w:val="28"/>
          <w:lang w:val="en-US" w:eastAsia="zh-CN"/>
        </w:rPr>
      </w:pPr>
      <w:r>
        <w:rPr>
          <w:rFonts w:ascii="仿宋" w:eastAsia="仿宋"/>
          <w:i w:val="0"/>
          <w:iCs w:val="0"/>
          <w:caps w:val="0"/>
          <w:smallCaps/>
          <w:sz w:val="28"/>
          <w:szCs w:val="28"/>
        </w:rPr>
        <w:t>（二）政府采购支出情况</w:t>
        <w:tab/>
      </w:r>
      <w:r>
        <w:rPr>
          <w:rFonts w:ascii="仿宋" w:eastAsia="仿宋" w:hint="eastAsia"/>
          <w:i w:val="0"/>
          <w:iCs w:val="0"/>
          <w:caps w:val="0"/>
          <w:smallCaps/>
          <w:sz w:val="28"/>
          <w:szCs w:val="28"/>
          <w:lang w:val="en-US" w:eastAsia="zh-CN"/>
        </w:rPr>
        <w:t>16</w:t>
      </w:r>
    </w:p>
    <w:p>
      <w:pPr>
        <w:pStyle w:val="18"/>
        <w:tabs>
          <w:tab w:val="right" w:leader="dot" w:pos="8296"/>
        </w:tabs>
        <w:rPr>
          <w:rFonts w:ascii="仿宋" w:eastAsia="仿宋"/>
          <w:i w:val="0"/>
          <w:iCs w:val="0"/>
          <w:caps w:val="0"/>
          <w:smallCaps/>
          <w:sz w:val="28"/>
          <w:szCs w:val="28"/>
          <w:lang w:val="en-US" w:eastAsia="zh-CN"/>
        </w:rPr>
      </w:pPr>
      <w:r>
        <w:rPr>
          <w:rFonts w:ascii="仿宋" w:eastAsia="仿宋"/>
          <w:i w:val="0"/>
          <w:iCs w:val="0"/>
          <w:caps w:val="0"/>
          <w:smallCaps/>
          <w:sz w:val="28"/>
          <w:szCs w:val="28"/>
        </w:rPr>
        <w:t>（三）国有资产占有使用情况</w:t>
        <w:tab/>
      </w:r>
      <w:r>
        <w:rPr>
          <w:rFonts w:ascii="仿宋" w:eastAsia="仿宋" w:hint="eastAsia"/>
          <w:i w:val="0"/>
          <w:iCs w:val="0"/>
          <w:caps w:val="0"/>
          <w:smallCaps/>
          <w:sz w:val="28"/>
          <w:szCs w:val="28"/>
          <w:lang w:val="en-US" w:eastAsia="zh-CN"/>
        </w:rPr>
        <w:t>17</w:t>
      </w:r>
    </w:p>
    <w:p>
      <w:pPr>
        <w:pStyle w:val="18"/>
        <w:tabs>
          <w:tab w:val="right" w:leader="dot" w:pos="8296"/>
        </w:tabs>
        <w:rPr>
          <w:rFonts w:ascii="仿宋" w:eastAsia="仿宋"/>
          <w:i w:val="0"/>
          <w:iCs w:val="0"/>
          <w:caps w:val="0"/>
          <w:smallCaps/>
          <w:sz w:val="28"/>
          <w:szCs w:val="28"/>
          <w:lang w:val="en-US" w:eastAsia="zh-CN"/>
        </w:rPr>
      </w:pPr>
      <w:r>
        <w:rPr>
          <w:rFonts w:ascii="仿宋" w:eastAsia="仿宋"/>
          <w:i w:val="0"/>
          <w:iCs w:val="0"/>
          <w:caps w:val="0"/>
          <w:smallCaps/>
          <w:sz w:val="28"/>
          <w:szCs w:val="28"/>
        </w:rPr>
        <w:t>（四）预算绩效管理情况。</w:t>
        <w:tab/>
      </w:r>
      <w:r>
        <w:rPr>
          <w:rFonts w:ascii="仿宋" w:eastAsia="仿宋" w:hint="eastAsia"/>
          <w:i w:val="0"/>
          <w:iCs w:val="0"/>
          <w:caps w:val="0"/>
          <w:smallCaps/>
          <w:sz w:val="28"/>
          <w:szCs w:val="28"/>
          <w:lang w:val="en-US" w:eastAsia="zh-CN"/>
        </w:rPr>
        <w:t>17</w:t>
      </w:r>
    </w:p>
    <w:p>
      <w:pPr>
        <w:pStyle w:val="23"/>
        <w:tabs>
          <w:tab w:val="right" w:leader="dot" w:pos="8296"/>
        </w:tabs>
        <w:rPr>
          <w:rFonts w:ascii="仿宋" w:eastAsia="仿宋"/>
          <w:b w:val="0"/>
          <w:bCs w:val="0"/>
          <w:caps w:val="0"/>
          <w:smallCaps/>
          <w:sz w:val="28"/>
          <w:szCs w:val="28"/>
          <w:lang w:val="en-US" w:eastAsia="zh-CN"/>
        </w:rPr>
      </w:pPr>
      <w:r>
        <w:rPr>
          <w:rFonts w:ascii="仿宋" w:eastAsia="仿宋"/>
          <w:b w:val="0"/>
          <w:bCs w:val="0"/>
          <w:caps w:val="0"/>
          <w:smallCaps/>
          <w:sz w:val="28"/>
          <w:szCs w:val="28"/>
        </w:rPr>
        <w:t>第三部分 名词解释</w:t>
        <w:tab/>
      </w:r>
      <w:r>
        <w:rPr>
          <w:rFonts w:ascii="仿宋" w:eastAsia="仿宋" w:hint="eastAsia"/>
          <w:b w:val="0"/>
          <w:bCs w:val="0"/>
          <w:caps w:val="0"/>
          <w:smallCaps/>
          <w:sz w:val="28"/>
          <w:szCs w:val="28"/>
          <w:lang w:val="en-US" w:eastAsia="zh-CN"/>
        </w:rPr>
        <w:t>22</w:t>
      </w:r>
    </w:p>
    <w:p>
      <w:pPr>
        <w:pStyle w:val="23"/>
        <w:tabs>
          <w:tab w:val="right" w:leader="dot" w:pos="8296"/>
        </w:tabs>
        <w:rPr>
          <w:rFonts w:ascii="仿宋" w:eastAsia="仿宋"/>
          <w:b w:val="0"/>
          <w:bCs w:val="0"/>
          <w:caps w:val="0"/>
          <w:smallCaps/>
          <w:sz w:val="28"/>
          <w:szCs w:val="28"/>
          <w:lang w:val="en-US" w:eastAsia="zh-CN"/>
        </w:rPr>
      </w:pPr>
      <w:r>
        <w:rPr>
          <w:rFonts w:ascii="仿宋" w:eastAsia="仿宋"/>
          <w:b w:val="0"/>
          <w:bCs w:val="0"/>
          <w:caps w:val="0"/>
          <w:smallCaps/>
          <w:sz w:val="28"/>
          <w:szCs w:val="28"/>
        </w:rPr>
        <w:t>第四部分 附件</w:t>
        <w:tab/>
      </w:r>
      <w:r>
        <w:rPr>
          <w:rFonts w:ascii="仿宋" w:eastAsia="仿宋" w:hint="eastAsia"/>
          <w:b w:val="0"/>
          <w:bCs w:val="0"/>
          <w:caps w:val="0"/>
          <w:smallCaps/>
          <w:sz w:val="28"/>
          <w:szCs w:val="28"/>
          <w:lang w:val="en-US" w:eastAsia="zh-CN"/>
        </w:rPr>
        <w:t>25</w:t>
      </w:r>
    </w:p>
    <w:p>
      <w:pPr>
        <w:pStyle w:val="23"/>
        <w:tabs>
          <w:tab w:val="right" w:leader="dot" w:pos="8296"/>
        </w:tabs>
        <w:rPr>
          <w:rFonts w:ascii="仿宋" w:eastAsia="仿宋" w:hint="eastAsia"/>
          <w:b w:val="0"/>
          <w:bCs w:val="0"/>
          <w:caps w:val="0"/>
          <w:smallCaps/>
          <w:sz w:val="28"/>
          <w:szCs w:val="28"/>
          <w:lang w:val="en-US" w:eastAsia="zh-CN"/>
        </w:rPr>
      </w:pPr>
      <w:r>
        <w:rPr>
          <w:rFonts w:ascii="仿宋" w:eastAsia="仿宋"/>
          <w:b w:val="0"/>
          <w:bCs w:val="0"/>
          <w:caps w:val="0"/>
          <w:smallCaps/>
          <w:sz w:val="28"/>
          <w:szCs w:val="28"/>
        </w:rPr>
        <w:t>附件1</w:t>
        <w:tab/>
      </w:r>
      <w:r>
        <w:rPr>
          <w:rFonts w:ascii="仿宋" w:eastAsia="仿宋" w:hint="eastAsia"/>
          <w:b w:val="0"/>
          <w:bCs w:val="0"/>
          <w:caps w:val="0"/>
          <w:smallCaps/>
          <w:sz w:val="28"/>
          <w:szCs w:val="28"/>
          <w:lang w:val="en-US" w:eastAsia="zh-CN"/>
        </w:rPr>
        <w:t>25</w:t>
      </w:r>
    </w:p>
    <w:p>
      <w:pPr>
        <w:pStyle w:val="23"/>
        <w:tabs>
          <w:tab w:val="right" w:leader="dot" w:pos="8296"/>
        </w:tabs>
        <w:rPr>
          <w:rFonts w:ascii="仿宋" w:eastAsia="仿宋"/>
          <w:b w:val="0"/>
          <w:bCs w:val="0"/>
          <w:caps w:val="0"/>
          <w:smallCaps/>
          <w:sz w:val="28"/>
          <w:szCs w:val="28"/>
          <w:lang w:val="en-US" w:eastAsia="zh-CN"/>
        </w:rPr>
      </w:pPr>
      <w:r>
        <w:rPr>
          <w:rFonts w:ascii="仿宋" w:eastAsia="仿宋" w:hint="eastAsia"/>
          <w:b w:val="0"/>
          <w:bCs w:val="0"/>
          <w:caps w:val="0"/>
          <w:smallCaps/>
          <w:sz w:val="30"/>
          <w:szCs w:val="30"/>
        </w:rPr>
        <w:t>茂县</w:t>
      </w:r>
      <w:r>
        <w:rPr>
          <w:rFonts w:ascii="仿宋" w:eastAsia="仿宋"/>
          <w:b w:val="0"/>
          <w:bCs w:val="0"/>
          <w:caps w:val="0"/>
          <w:smallCaps/>
          <w:sz w:val="30"/>
          <w:szCs w:val="30"/>
        </w:rPr>
        <w:t>纪委2020年部门整体支出绩效评价报告</w:t>
        <w:tab/>
      </w:r>
      <w:r>
        <w:rPr>
          <w:rFonts w:ascii="仿宋" w:eastAsia="仿宋" w:hint="eastAsia"/>
          <w:b w:val="0"/>
          <w:bCs w:val="0"/>
          <w:caps w:val="0"/>
          <w:smallCaps/>
          <w:sz w:val="30"/>
          <w:szCs w:val="30"/>
          <w:lang w:val="en-US" w:eastAsia="zh-CN"/>
        </w:rPr>
        <w:t>25</w:t>
      </w:r>
    </w:p>
    <w:p>
      <w:pPr>
        <w:pStyle w:val="23"/>
        <w:tabs>
          <w:tab w:val="right" w:leader="dot" w:pos="8296"/>
        </w:tabs>
        <w:rPr>
          <w:rFonts w:ascii="仿宋" w:eastAsia="仿宋"/>
          <w:b w:val="0"/>
          <w:bCs w:val="0"/>
          <w:caps w:val="0"/>
          <w:smallCaps/>
          <w:sz w:val="28"/>
          <w:szCs w:val="28"/>
          <w:lang w:val="en-US" w:eastAsia="zh-CN"/>
        </w:rPr>
      </w:pPr>
      <w:r>
        <w:rPr>
          <w:rFonts w:ascii="仿宋" w:eastAsia="仿宋"/>
          <w:b w:val="0"/>
          <w:bCs w:val="0"/>
          <w:caps w:val="0"/>
          <w:smallCaps/>
          <w:sz w:val="28"/>
          <w:szCs w:val="28"/>
        </w:rPr>
        <w:t>附件2</w:t>
        <w:tab/>
      </w:r>
      <w:r>
        <w:rPr>
          <w:rFonts w:ascii="仿宋" w:eastAsia="仿宋" w:hint="eastAsia"/>
          <w:b w:val="0"/>
          <w:bCs w:val="0"/>
          <w:caps w:val="0"/>
          <w:smallCaps/>
          <w:sz w:val="28"/>
          <w:szCs w:val="28"/>
          <w:lang w:val="en-US" w:eastAsia="zh-CN"/>
        </w:rPr>
        <w:t>29</w:t>
      </w:r>
    </w:p>
    <w:p>
      <w:pPr>
        <w:pStyle w:val="23"/>
        <w:tabs>
          <w:tab w:val="right" w:leader="dot" w:pos="8296"/>
        </w:tabs>
        <w:rPr>
          <w:rFonts w:ascii="仿宋" w:eastAsia="仿宋"/>
          <w:b w:val="0"/>
          <w:bCs w:val="0"/>
          <w:caps w:val="0"/>
          <w:smallCaps/>
          <w:sz w:val="30"/>
          <w:szCs w:val="30"/>
          <w:lang w:val="en-US" w:eastAsia="zh-CN"/>
        </w:rPr>
      </w:pPr>
      <w:r>
        <w:rPr>
          <w:rFonts w:ascii="仿宋" w:eastAsia="仿宋" w:hint="eastAsia"/>
          <w:b w:val="0"/>
          <w:bCs w:val="0"/>
          <w:caps w:val="0"/>
          <w:smallCaps/>
          <w:sz w:val="30"/>
          <w:szCs w:val="30"/>
        </w:rPr>
        <w:t>州纪委</w:t>
      </w:r>
      <w:r>
        <w:rPr>
          <w:rFonts w:ascii="仿宋" w:eastAsia="仿宋"/>
          <w:b w:val="0"/>
          <w:bCs w:val="0"/>
          <w:caps w:val="0"/>
          <w:smallCaps/>
          <w:sz w:val="30"/>
          <w:szCs w:val="30"/>
        </w:rPr>
        <w:t>在茂县留置点</w:t>
      </w:r>
      <w:r>
        <w:rPr>
          <w:rFonts w:ascii="仿宋" w:eastAsia="仿宋" w:hint="eastAsia"/>
          <w:b w:val="0"/>
          <w:bCs w:val="0"/>
          <w:caps w:val="0"/>
          <w:smallCaps/>
          <w:sz w:val="30"/>
          <w:szCs w:val="30"/>
        </w:rPr>
        <w:t>、</w:t>
      </w:r>
      <w:r>
        <w:rPr>
          <w:rFonts w:ascii="仿宋" w:eastAsia="仿宋"/>
          <w:b w:val="0"/>
          <w:bCs w:val="0"/>
          <w:caps w:val="0"/>
          <w:smallCaps/>
          <w:sz w:val="30"/>
          <w:szCs w:val="30"/>
        </w:rPr>
        <w:t>谈话点钢架棚建设项目2020年绩效评价报告</w:t>
        <w:tab/>
      </w:r>
      <w:r>
        <w:rPr>
          <w:rFonts w:ascii="仿宋" w:eastAsia="仿宋" w:hint="eastAsia"/>
          <w:b w:val="0"/>
          <w:bCs w:val="0"/>
          <w:caps w:val="0"/>
          <w:smallCaps/>
          <w:sz w:val="30"/>
          <w:szCs w:val="30"/>
          <w:lang w:val="en-US" w:eastAsia="zh-CN"/>
        </w:rPr>
        <w:t>29</w:t>
      </w:r>
    </w:p>
    <w:p>
      <w:pPr>
        <w:pStyle w:val="23"/>
        <w:tabs>
          <w:tab w:val="right" w:leader="dot" w:pos="8296"/>
        </w:tabs>
        <w:rPr>
          <w:rFonts w:ascii="仿宋" w:eastAsia="仿宋"/>
          <w:b w:val="0"/>
          <w:bCs w:val="0"/>
          <w:caps w:val="0"/>
          <w:smallCaps/>
          <w:sz w:val="30"/>
          <w:szCs w:val="30"/>
          <w:lang w:val="en-US" w:eastAsia="zh-CN"/>
        </w:rPr>
      </w:pPr>
      <w:r>
        <w:rPr>
          <w:rFonts w:ascii="仿宋" w:eastAsia="仿宋"/>
          <w:b w:val="0"/>
          <w:bCs w:val="0"/>
          <w:caps w:val="0"/>
          <w:smallCaps/>
          <w:sz w:val="30"/>
          <w:szCs w:val="30"/>
        </w:rPr>
        <w:t>附件</w:t>
      </w:r>
      <w:r>
        <w:rPr>
          <w:rFonts w:ascii="仿宋" w:eastAsia="仿宋" w:hint="eastAsia"/>
          <w:b w:val="0"/>
          <w:bCs w:val="0"/>
          <w:caps w:val="0"/>
          <w:smallCaps/>
          <w:sz w:val="30"/>
          <w:szCs w:val="30"/>
        </w:rPr>
        <w:t>3</w:t>
      </w:r>
      <w:r>
        <w:rPr>
          <w:rFonts w:ascii="仿宋" w:eastAsia="仿宋"/>
          <w:b w:val="0"/>
          <w:bCs w:val="0"/>
          <w:caps w:val="0"/>
          <w:smallCaps/>
          <w:sz w:val="30"/>
          <w:szCs w:val="30"/>
        </w:rPr>
        <w:tab/>
      </w:r>
      <w:r>
        <w:rPr>
          <w:rFonts w:ascii="仿宋" w:eastAsia="仿宋" w:hint="eastAsia"/>
          <w:b w:val="0"/>
          <w:bCs w:val="0"/>
          <w:caps w:val="0"/>
          <w:smallCaps/>
          <w:sz w:val="30"/>
          <w:szCs w:val="30"/>
          <w:lang w:val="en-US" w:eastAsia="zh-CN"/>
        </w:rPr>
        <w:t>32</w:t>
      </w:r>
    </w:p>
    <w:p>
      <w:pPr>
        <w:pStyle w:val="23"/>
        <w:tabs>
          <w:tab w:val="right" w:leader="dot" w:pos="8296"/>
        </w:tabs>
        <w:rPr>
          <w:rFonts w:eastAsia="仿宋"/>
          <w:lang w:val="en-US" w:eastAsia="zh-CN"/>
        </w:rPr>
      </w:pPr>
      <w:r>
        <w:rPr>
          <w:rFonts w:ascii="仿宋" w:eastAsia="仿宋" w:hint="eastAsia"/>
          <w:b w:val="0"/>
          <w:bCs w:val="0"/>
          <w:caps w:val="0"/>
          <w:smallCaps/>
          <w:sz w:val="30"/>
          <w:szCs w:val="30"/>
        </w:rPr>
        <w:t>廉政档案管理系统</w:t>
      </w:r>
      <w:r>
        <w:rPr>
          <w:rFonts w:ascii="仿宋" w:eastAsia="仿宋"/>
          <w:b w:val="0"/>
          <w:bCs w:val="0"/>
          <w:caps w:val="0"/>
          <w:smallCaps/>
          <w:sz w:val="30"/>
          <w:szCs w:val="30"/>
        </w:rPr>
        <w:tab/>
      </w:r>
      <w:r>
        <w:rPr>
          <w:rFonts w:ascii="仿宋" w:eastAsia="仿宋" w:hint="eastAsia"/>
          <w:b w:val="0"/>
          <w:bCs w:val="0"/>
          <w:caps w:val="0"/>
          <w:smallCaps/>
          <w:sz w:val="30"/>
          <w:szCs w:val="30"/>
          <w:lang w:val="en-US" w:eastAsia="zh-CN"/>
        </w:rPr>
        <w:t>32</w:t>
      </w:r>
    </w:p>
    <w:p>
      <w:pPr>
        <w:pStyle w:val="23"/>
        <w:tabs>
          <w:tab w:val="right" w:leader="dot" w:pos="8296"/>
        </w:tabs>
        <w:rPr>
          <w:rFonts w:ascii="仿宋" w:eastAsia="仿宋"/>
          <w:b w:val="0"/>
          <w:bCs w:val="0"/>
          <w:caps w:val="0"/>
          <w:smallCaps/>
          <w:sz w:val="28"/>
          <w:szCs w:val="28"/>
          <w:lang w:val="en-US" w:eastAsia="zh-CN"/>
        </w:rPr>
      </w:pPr>
      <w:r>
        <w:rPr>
          <w:rFonts w:ascii="仿宋" w:eastAsia="仿宋"/>
          <w:b w:val="0"/>
          <w:bCs w:val="0"/>
          <w:caps w:val="0"/>
          <w:smallCaps/>
          <w:sz w:val="28"/>
          <w:szCs w:val="28"/>
        </w:rPr>
        <w:t>第五部分 附表</w:t>
        <w:tab/>
      </w:r>
      <w:r>
        <w:rPr>
          <w:rFonts w:ascii="仿宋" w:eastAsia="仿宋" w:hint="eastAsia"/>
          <w:b w:val="0"/>
          <w:bCs w:val="0"/>
          <w:caps w:val="0"/>
          <w:smallCaps/>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一、收入支出决算总表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二、收入决算表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三、支出决算表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四、财政拨款收入支出决算总表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五、财政拨款支出决算明细表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六、一般公共预算财政拨款支出决算表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七、一般公共预算财政拨款支出决算明细表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八、一般公共预算财政拨款基本支出决算表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九、一般公共预算财政拨款项目支出决算表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十、一般公共预算财政拨款“三公”经费支出决算表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十一、政府性基金预算财政拨款收入支出决算表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十二、政府性基金预算财政拨款“三公”经费支出决算表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十三、国有资本经营预算财政拨款支出决算表</w:t>
        <w:tab/>
      </w:r>
      <w:r>
        <w:rPr>
          <w:rFonts w:ascii="仿宋" w:eastAsia="仿宋" w:hint="eastAsia"/>
          <w:sz w:val="28"/>
          <w:szCs w:val="28"/>
          <w:lang w:val="en-US" w:eastAsia="zh-CN"/>
        </w:rPr>
        <w:t>36</w:t>
      </w:r>
    </w:p>
    <w:p>
      <w:pPr>
        <w:pStyle w:val="27"/>
        <w:tabs>
          <w:tab w:val="right" w:leader="dot" w:pos="8296"/>
        </w:tabs>
        <w:rPr>
          <w:rFonts w:ascii="仿宋" w:eastAsia="仿宋"/>
          <w:sz w:val="28"/>
          <w:szCs w:val="28"/>
          <w:lang w:val="en-US" w:eastAsia="zh-CN"/>
        </w:rPr>
      </w:pPr>
      <w:r>
        <w:rPr>
          <w:rFonts w:ascii="仿宋" w:eastAsia="仿宋"/>
          <w:sz w:val="28"/>
          <w:szCs w:val="28"/>
        </w:rPr>
        <w:t>十四、国有资本经营预算财政拨款支出决算表</w:t>
        <w:tab/>
      </w:r>
      <w:r>
        <w:rPr>
          <w:rFonts w:ascii="仿宋" w:eastAsia="仿宋" w:hint="eastAsia"/>
          <w:sz w:val="28"/>
          <w:szCs w:val="28"/>
          <w:lang w:val="en-US" w:eastAsia="zh-CN"/>
        </w:rPr>
        <w:t>36</w:t>
      </w:r>
    </w:p>
    <w:p>
      <w:pPr>
        <w:rPr>
          <w:sz w:val="28"/>
          <w:szCs w:val="28"/>
        </w:rPr>
      </w:pPr>
      <w:r>
        <w:rPr>
          <w:rFonts w:ascii="仿宋" w:eastAsia="仿宋"/>
          <w:caps w:val="0"/>
          <w:smallCaps/>
          <w:sz w:val="28"/>
          <w:szCs w:val="28"/>
        </w:rPr>
        <w:fldChar w:fldCharType="end"/>
      </w:r>
    </w:p>
    <w:p>
      <w:pPr>
        <w:pStyle w:val="1"/>
        <w:jc w:val="center"/>
        <w:rPr>
          <w:rFonts w:ascii="黑体" w:eastAsia="黑体" w:hint="eastAsia"/>
          <w:b w:val="0"/>
        </w:rPr>
      </w:pPr>
      <w:bookmarkStart w:id="12" w:name="_Toc15377196"/>
      <w:bookmarkStart w:id="13" w:name="_Toc79163601"/>
      <w:bookmarkStart w:id="14" w:name="_Toc79163851"/>
      <w:bookmarkStart w:id="15" w:name="_Toc15396599"/>
    </w:p>
    <w:p>
      <w:pPr>
        <w:pStyle w:val="1"/>
        <w:jc w:val="center"/>
        <w:rPr>
          <w:rFonts w:ascii="黑体" w:eastAsia="黑体" w:hint="eastAsia"/>
          <w:b w:val="0"/>
        </w:rPr>
      </w:pPr>
    </w:p>
    <w:p>
      <w:pPr>
        <w:pStyle w:val="1"/>
        <w:jc w:val="center"/>
        <w:rPr>
          <w:rFonts w:ascii="黑体" w:eastAsia="黑体" w:hint="eastAsia"/>
          <w:b w:val="0"/>
        </w:rPr>
      </w:pPr>
    </w:p>
    <w:p>
      <w:pPr>
        <w:pStyle w:val="1"/>
        <w:jc w:val="both"/>
        <w:rPr>
          <w:rFonts w:ascii="黑体" w:eastAsia="黑体" w:hint="eastAsia"/>
          <w:b w:val="0"/>
        </w:rPr>
      </w:pPr>
    </w:p>
    <w:p>
      <w:pPr>
        <w:pStyle w:val="1"/>
        <w:jc w:val="both"/>
        <w:rPr>
          <w:rFonts w:ascii="黑体" w:eastAsia="黑体" w:hint="eastAsia"/>
          <w:b w:val="0"/>
        </w:rPr>
      </w:pPr>
    </w:p>
    <w:p>
      <w:pPr>
        <w:rPr>
          <w:rFonts w:ascii="黑体" w:eastAsia="黑体" w:hint="eastAsia"/>
          <w:b w:val="0"/>
        </w:rPr>
      </w:pPr>
    </w:p>
    <w:p>
      <w:pPr>
        <w:rPr>
          <w:rFonts w:ascii="黑体" w:eastAsia="黑体" w:hint="eastAsia"/>
          <w:b w:val="0"/>
        </w:rPr>
      </w:pPr>
    </w:p>
    <w:p>
      <w:pPr>
        <w:rPr>
          <w:rFonts w:ascii="黑体" w:eastAsia="黑体" w:hint="eastAsia"/>
          <w:b w:val="0"/>
        </w:rPr>
      </w:pPr>
    </w:p>
    <w:p>
      <w:pPr>
        <w:pStyle w:val="1"/>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ascii="黑体" w:eastAsia="黑体" w:hint="eastAsia"/>
          <w:b w:val="0"/>
        </w:rPr>
      </w:pPr>
    </w:p>
    <w:p>
      <w:pPr>
        <w:pStyle w:val="1"/>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Style w:val="1Char"/>
          <w:rFonts w:ascii="黑体" w:eastAsia="黑体"/>
          <w:b/>
          <w:bCs w:val="0"/>
        </w:rPr>
      </w:pPr>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bookmarkEnd w:id="12"/>
      <w:bookmarkEnd w:id="13"/>
      <w:bookmarkEnd w:id="14"/>
      <w:bookmarkEnd w:id="15"/>
    </w:p>
    <w:p>
      <w:pPr>
        <w:widowControl/>
        <w:jc w:val="left"/>
        <w:rPr>
          <w:rFonts w:ascii="黑体" w:eastAsia="黑体"/>
          <w:color w:val="000000"/>
          <w:sz w:val="32"/>
          <w:szCs w:val="32"/>
        </w:rPr>
      </w:pPr>
    </w:p>
    <w:p>
      <w:pPr>
        <w:pStyle w:val="2"/>
        <w:rPr>
          <w:rStyle w:val="2Char"/>
          <w:rFonts w:ascii="仿宋" w:eastAsia="仿宋"/>
          <w:b w:val="0"/>
          <w:bCs w:val="0"/>
        </w:rPr>
      </w:pPr>
      <w:bookmarkStart w:id="16" w:name="_Toc79163852"/>
      <w:bookmarkStart w:id="17" w:name="_Toc79163602"/>
      <w:bookmarkStart w:id="18" w:name="_Toc15377197"/>
      <w:bookmarkStart w:id="19" w:name="_Toc15396600"/>
      <w:r>
        <w:rPr>
          <w:rFonts w:ascii="黑体" w:eastAsia="黑体" w:hint="eastAsia"/>
          <w:b w:val="0"/>
          <w:color w:val="000000"/>
        </w:rPr>
        <w:t>一、基</w:t>
      </w:r>
      <w:r>
        <w:rPr>
          <w:rStyle w:val="2Char"/>
          <w:rFonts w:ascii="黑体" w:eastAsia="黑体" w:hint="eastAsia"/>
          <w:b w:val="0"/>
          <w:bCs w:val="0"/>
        </w:rPr>
        <w:t>本职能及主要工作</w:t>
      </w:r>
      <w:bookmarkEnd w:id="16"/>
      <w:bookmarkEnd w:id="17"/>
      <w:bookmarkEnd w:id="18"/>
      <w:bookmarkEnd w:id="19"/>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bookmarkStart w:id="20" w:name="_Toc79163603"/>
      <w:bookmarkStart w:id="21" w:name="_Toc79163853"/>
      <w:bookmarkStart w:id="22" w:name="_Toc15377198"/>
      <w:bookmarkStart w:id="23" w:name="_Toc15378445"/>
      <w:r>
        <w:rPr>
          <w:rFonts w:ascii="仿宋" w:eastAsia="仿宋" w:hint="eastAsia"/>
          <w:bCs/>
          <w:color w:val="000000"/>
          <w:sz w:val="32"/>
          <w:szCs w:val="32"/>
        </w:rPr>
        <w:t>（一）主要职能</w:t>
      </w:r>
      <w:bookmarkEnd w:id="20"/>
      <w:bookmarkEnd w:id="21"/>
    </w:p>
    <w:p>
      <w:pPr>
        <w:pStyle w:val="16"/>
        <w:adjustRightInd w:val="0"/>
        <w:snapToGrid w:val="0"/>
        <w:spacing w:beforeLines="0" w:before="93" w:line="600" w:lineRule="exact"/>
        <w:ind w:firstLineChars="200" w:firstLine="640"/>
        <w:outlineLvl w:val="2"/>
        <w:rPr>
          <w:rFonts w:ascii="仿宋" w:eastAsia="仿宋"/>
          <w:bCs/>
          <w:color w:val="000000"/>
          <w:sz w:val="32"/>
          <w:szCs w:val="32"/>
        </w:rPr>
      </w:pPr>
      <w:bookmarkEnd w:id="22"/>
      <w:bookmarkEnd w:id="23"/>
      <w:r>
        <w:rPr>
          <w:rFonts w:ascii="仿宋" w:eastAsia="仿宋" w:hint="eastAsia"/>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r>
        <w:rPr>
          <w:rFonts w:ascii="仿宋" w:eastAsia="仿宋" w:hint="eastAsia"/>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r>
        <w:rPr>
          <w:rFonts w:ascii="仿宋" w:eastAsia="仿宋" w:hint="eastAsia"/>
          <w:bCs/>
          <w:color w:val="000000"/>
          <w:sz w:val="32"/>
          <w:szCs w:val="32"/>
        </w:rPr>
        <w:t>3.负责全县监察工作。贯彻落实党中央、省委、州委、县委关于监察工作的决定，维护宪法法律，依法对县委管理的行使公权力的公职人员进行监察，调查职务违法和职务犯罪，开展</w:t>
      </w:r>
      <w:r>
        <w:rPr>
          <w:rFonts w:ascii="仿宋" w:eastAsia="仿宋"/>
          <w:bCs/>
          <w:color w:val="000000"/>
          <w:sz w:val="32"/>
          <w:szCs w:val="32"/>
        </w:rPr>
        <w:t>廉</w:t>
      </w:r>
      <w:bookmarkStart w:id="24" w:name="_GoBack"/>
      <w:bookmarkEnd w:id="24"/>
      <w:r>
        <w:rPr>
          <w:rFonts w:ascii="仿宋" w:eastAsia="仿宋" w:hint="eastAsia"/>
          <w:bCs/>
          <w:color w:val="000000"/>
          <w:sz w:val="32"/>
          <w:szCs w:val="32"/>
        </w:rPr>
        <w:t>政建设和反腐败工作。</w:t>
      </w:r>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r>
        <w:rPr>
          <w:rFonts w:ascii="仿宋" w:eastAsia="仿宋" w:hint="eastAsia"/>
          <w:bCs/>
          <w:color w:val="000000"/>
          <w:sz w:val="32"/>
          <w:szCs w:val="32"/>
        </w:rPr>
        <w:t>4.依照法律规定履行监督、调查、处置职责。推动开展康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r>
        <w:rPr>
          <w:rFonts w:ascii="仿宋" w:eastAsia="仿宋" w:hint="eastAsia"/>
          <w:bCs/>
          <w:color w:val="000000"/>
          <w:sz w:val="32"/>
          <w:szCs w:val="32"/>
        </w:rPr>
        <w:t>5.负责组织协调全面从严治党、党风廉政建设和反腐败宣传教育工作。</w:t>
      </w:r>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r>
        <w:rPr>
          <w:rFonts w:ascii="仿宋" w:eastAsia="仿宋" w:hint="eastAsia"/>
          <w:bCs/>
          <w:color w:val="000000"/>
          <w:sz w:val="32"/>
          <w:szCs w:val="32"/>
        </w:rPr>
        <w:t>6.负责综合分析全面从严治党、党风廉政建设和反腐败工作情况，对纪检监察工作重要理论及实践问题进行调查研究。参与起草我县规范性文件。</w:t>
      </w:r>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r>
        <w:rPr>
          <w:rFonts w:ascii="仿宋" w:eastAsia="仿宋" w:hint="eastAsia"/>
          <w:bCs/>
          <w:color w:val="000000"/>
          <w:sz w:val="32"/>
          <w:szCs w:val="32"/>
        </w:rPr>
        <w:t>7.在州纪委监委的领导下，加强对反腐败国际追逃追赃和防逃工作的组织协调，督促有关部门做好相关工作。</w:t>
      </w:r>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r>
        <w:rPr>
          <w:rFonts w:ascii="仿宋" w:eastAsia="仿宋" w:hint="eastAsia"/>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pPr>
        <w:ind w:firstLineChars="250" w:firstLine="800"/>
        <w:rPr>
          <w:rFonts w:ascii="仿宋" w:eastAsia="仿宋"/>
          <w:sz w:val="32"/>
          <w:szCs w:val="32"/>
        </w:rPr>
      </w:pPr>
      <w:r>
        <w:rPr>
          <w:rFonts w:ascii="仿宋" w:eastAsia="仿宋" w:hint="eastAsia"/>
          <w:bCs/>
          <w:color w:val="000000"/>
          <w:sz w:val="32"/>
          <w:szCs w:val="32"/>
        </w:rPr>
        <w:t>9.完成县委和州纪委监委交办的其他任务。</w:t>
      </w:r>
    </w:p>
    <w:p>
      <w:pPr>
        <w:pStyle w:val="16"/>
        <w:adjustRightInd w:val="0"/>
        <w:snapToGrid w:val="0"/>
        <w:spacing w:beforeLines="0" w:before="93" w:line="600" w:lineRule="exact"/>
        <w:ind w:firstLineChars="209" w:firstLine="672"/>
        <w:outlineLvl w:val="2"/>
        <w:rPr>
          <w:rFonts w:ascii="仿宋" w:eastAsia="仿宋" w:hint="eastAsia"/>
          <w:bCs/>
          <w:color w:val="000000"/>
          <w:sz w:val="32"/>
          <w:szCs w:val="32"/>
        </w:rPr>
      </w:pPr>
      <w:bookmarkStart w:id="25" w:name="_Toc79163854"/>
      <w:bookmarkStart w:id="26" w:name="_Toc79163604"/>
      <w:bookmarkStart w:id="27" w:name="_Toc15377199"/>
      <w:bookmarkStart w:id="28" w:name="_Toc15378446"/>
      <w:r>
        <w:rPr>
          <w:rFonts w:ascii="仿宋" w:eastAsia="仿宋" w:hint="eastAsia"/>
          <w:bCs/>
          <w:color w:val="000000"/>
          <w:sz w:val="32"/>
          <w:szCs w:val="32"/>
        </w:rPr>
        <w:t>（二）</w:t>
      </w:r>
      <w:r>
        <w:rPr>
          <w:rFonts w:ascii="仿宋" w:eastAsia="仿宋"/>
          <w:bCs/>
          <w:color w:val="000000"/>
          <w:sz w:val="32"/>
          <w:szCs w:val="32"/>
        </w:rPr>
        <w:t>2020</w:t>
      </w:r>
      <w:r>
        <w:rPr>
          <w:rFonts w:ascii="仿宋" w:eastAsia="仿宋" w:hint="eastAsia"/>
          <w:bCs/>
          <w:color w:val="000000"/>
          <w:sz w:val="32"/>
          <w:szCs w:val="32"/>
        </w:rPr>
        <w:t>年重点工作完成情况</w:t>
      </w:r>
      <w:bookmarkEnd w:id="25"/>
      <w:bookmarkEnd w:id="26"/>
      <w:bookmarkEnd w:id="27"/>
      <w:bookmarkEnd w:id="28"/>
    </w:p>
    <w:p>
      <w:pPr>
        <w:spacing w:line="576" w:lineRule="exact"/>
        <w:ind w:firstLineChars="200" w:firstLine="640"/>
        <w:rPr>
          <w:rFonts w:ascii="仿宋" w:eastAsia="仿宋"/>
          <w:bCs/>
          <w:color w:val="000000"/>
          <w:kern w:val="0"/>
          <w:sz w:val="32"/>
          <w:szCs w:val="32"/>
        </w:rPr>
      </w:pPr>
      <w:r>
        <w:rPr>
          <w:rFonts w:ascii="仿宋" w:eastAsia="仿宋" w:hint="eastAsia"/>
          <w:bCs/>
          <w:color w:val="000000"/>
          <w:kern w:val="0"/>
          <w:sz w:val="32"/>
          <w:szCs w:val="32"/>
          <w:lang w:val="en-US" w:eastAsia="zh-CN"/>
        </w:rPr>
        <w:t>1.</w:t>
      </w:r>
      <w:r>
        <w:rPr>
          <w:rFonts w:ascii="仿宋" w:eastAsia="仿宋" w:hint="eastAsia"/>
          <w:bCs/>
          <w:color w:val="000000"/>
          <w:kern w:val="0"/>
          <w:sz w:val="32"/>
          <w:szCs w:val="32"/>
        </w:rPr>
        <w:t>节假日专项检查</w:t>
      </w:r>
    </w:p>
    <w:p>
      <w:pPr>
        <w:spacing w:line="576" w:lineRule="exact"/>
        <w:ind w:firstLineChars="200" w:firstLine="640"/>
        <w:rPr>
          <w:rFonts w:ascii="仿宋" w:eastAsia="仿宋" w:cs="仿宋_GB2312"/>
          <w:sz w:val="32"/>
          <w:szCs w:val="32"/>
        </w:rPr>
      </w:pPr>
      <w:r>
        <w:rPr>
          <w:rFonts w:ascii="仿宋" w:eastAsia="仿宋" w:cs="仿宋_GB2312" w:hint="eastAsia"/>
          <w:sz w:val="32"/>
          <w:szCs w:val="32"/>
        </w:rPr>
        <w:t>在节前及时开展提醒、警示，在节后开展相关规定执行情况的监督检查，确保不出现重要时间节点“四风”问题反弹回潮。监督检查中要求：班子成员压实主体责任和“一岗双责”，至上而下贯彻执行好中央八项规定精神、省委省政府十项规定精神和州委州政府八条意见；结合党史学习教育通过观看警示教育片、通报“四风”典型案例、发送廉政短信、专题会议等形式加强宣传和警示教育，释放廉洁过节信号；严禁违规发放津补贴、公款吃喝、违规接受宴请、违规收送礼品礼金等节假日期间易发多发“四风”突出问题；进一步强调工作纪律，严格履行干部职工请销假制度，落实好节假日值班值守工作。</w:t>
      </w:r>
    </w:p>
    <w:p>
      <w:pPr>
        <w:spacing w:line="576" w:lineRule="exact"/>
        <w:ind w:firstLineChars="200" w:firstLine="640"/>
        <w:rPr>
          <w:rFonts w:ascii="仿宋" w:eastAsia="仿宋" w:cs="仿宋_GB2312"/>
          <w:sz w:val="32"/>
          <w:szCs w:val="32"/>
        </w:rPr>
      </w:pPr>
      <w:r>
        <w:rPr>
          <w:rFonts w:ascii="仿宋" w:eastAsia="仿宋" w:cs="仿宋_GB2312" w:hint="eastAsia"/>
          <w:sz w:val="32"/>
          <w:szCs w:val="32"/>
          <w:lang w:val="en-US" w:eastAsia="zh-CN"/>
        </w:rPr>
        <w:t>2.</w:t>
      </w:r>
      <w:r>
        <w:rPr>
          <w:rFonts w:ascii="仿宋" w:eastAsia="仿宋" w:cs="仿宋_GB2312" w:hint="eastAsia"/>
          <w:sz w:val="32"/>
          <w:szCs w:val="32"/>
        </w:rPr>
        <w:t>“三察三治”监督工作</w:t>
      </w:r>
    </w:p>
    <w:p>
      <w:pPr>
        <w:spacing w:line="576" w:lineRule="exact"/>
        <w:ind w:firstLineChars="200" w:firstLine="640"/>
        <w:rPr>
          <w:rFonts w:ascii="仿宋" w:eastAsia="仿宋" w:cs="仿宋_GB2312"/>
          <w:sz w:val="32"/>
          <w:szCs w:val="32"/>
        </w:rPr>
      </w:pPr>
      <w:r>
        <w:rPr>
          <w:rFonts w:ascii="仿宋" w:eastAsia="仿宋" w:cs="仿宋_GB2312" w:hint="eastAsia"/>
          <w:sz w:val="32"/>
          <w:szCs w:val="32"/>
        </w:rPr>
        <w:t>一是察部署落实、治政令梗阻方面。能够及时传达上级领导重要讲话精神，落实好上级重要决策部署。存在学习制度不完善、不深入，学习贯彻会议、文件精神时未紧密结合单位工作实际作相应安排；三务公开不及时不到位。二是察项目推进、治职责缺位方面。各单位均能按照项目建设基本程序推进项目建设。三是察为民服务、治初心迷失方面。各单位干部职工能够及时开展“两联一进”工作。</w:t>
      </w:r>
    </w:p>
    <w:p>
      <w:pPr>
        <w:spacing w:line="576" w:lineRule="exact"/>
        <w:ind w:firstLineChars="200" w:firstLine="640"/>
        <w:rPr>
          <w:rFonts w:ascii="仿宋" w:eastAsia="仿宋" w:cs="仿宋_GB2312"/>
          <w:sz w:val="32"/>
          <w:szCs w:val="32"/>
        </w:rPr>
      </w:pPr>
      <w:r>
        <w:rPr>
          <w:rFonts w:ascii="仿宋" w:eastAsia="仿宋" w:cs="仿宋_GB2312" w:hint="eastAsia"/>
          <w:sz w:val="32"/>
          <w:szCs w:val="32"/>
          <w:lang w:val="en-US" w:eastAsia="zh-CN"/>
        </w:rPr>
        <w:t>3.</w:t>
      </w:r>
      <w:r>
        <w:rPr>
          <w:rFonts w:ascii="仿宋" w:eastAsia="仿宋" w:cs="仿宋_GB2312" w:hint="eastAsia"/>
          <w:sz w:val="32"/>
          <w:szCs w:val="32"/>
        </w:rPr>
        <w:t>森林草原防灭火工作专项检查</w:t>
      </w:r>
    </w:p>
    <w:p>
      <w:pPr>
        <w:spacing w:line="576" w:lineRule="exact"/>
        <w:ind w:firstLineChars="200" w:firstLine="640"/>
        <w:rPr>
          <w:rFonts w:ascii="仿宋" w:eastAsia="仿宋" w:cs="仿宋_GB2312"/>
          <w:sz w:val="32"/>
          <w:szCs w:val="32"/>
        </w:rPr>
      </w:pPr>
      <w:r>
        <w:rPr>
          <w:rFonts w:ascii="仿宋" w:eastAsia="仿宋" w:cs="仿宋_GB2312" w:hint="eastAsia"/>
          <w:sz w:val="32"/>
          <w:szCs w:val="32"/>
        </w:rPr>
        <w:t>按照工作要求，我组每月按照中央、省、州县对森林草原防灭火工作重要批示精神和工作安排的贯彻落实情况进行了专项督查，对值班值守人员在岗、物资储备和扑火队伍管理等情况开展全覆盖督查。</w:t>
      </w:r>
    </w:p>
    <w:p>
      <w:pPr>
        <w:spacing w:line="576" w:lineRule="exact"/>
        <w:ind w:firstLineChars="200" w:firstLine="640"/>
        <w:rPr>
          <w:rFonts w:ascii="仿宋" w:eastAsia="仿宋" w:cs="仿宋_GB2312"/>
          <w:sz w:val="32"/>
          <w:szCs w:val="32"/>
        </w:rPr>
      </w:pPr>
      <w:r>
        <w:rPr>
          <w:rFonts w:ascii="仿宋" w:eastAsia="仿宋" w:cs="仿宋_GB2312" w:hint="eastAsia"/>
          <w:sz w:val="32"/>
          <w:szCs w:val="32"/>
          <w:lang w:val="en-US" w:eastAsia="zh-CN"/>
        </w:rPr>
        <w:t>4.</w:t>
      </w:r>
      <w:r>
        <w:rPr>
          <w:rFonts w:ascii="仿宋" w:eastAsia="仿宋" w:cs="仿宋_GB2312" w:hint="eastAsia"/>
          <w:sz w:val="32"/>
          <w:szCs w:val="32"/>
        </w:rPr>
        <w:t>生态环境专项检查</w:t>
      </w:r>
    </w:p>
    <w:p>
      <w:pPr>
        <w:spacing w:line="576" w:lineRule="exact"/>
        <w:ind w:firstLineChars="200" w:firstLine="640"/>
        <w:rPr>
          <w:rFonts w:ascii="仿宋" w:eastAsia="仿宋" w:hint="eastAsia"/>
          <w:bCs/>
          <w:color w:val="000000"/>
          <w:sz w:val="32"/>
          <w:szCs w:val="32"/>
        </w:rPr>
      </w:pPr>
      <w:r>
        <w:rPr>
          <w:rFonts w:ascii="仿宋" w:eastAsia="仿宋" w:cs="仿宋_GB2312" w:hint="eastAsia"/>
          <w:sz w:val="32"/>
          <w:szCs w:val="32"/>
        </w:rPr>
        <w:t>按照工作要求，我组按照中央、省、州县对生态环境局工作重要批示精神和工作安排的贯彻落实情况进行了专项督查。</w:t>
      </w:r>
    </w:p>
    <w:p>
      <w:pPr>
        <w:pStyle w:val="2"/>
        <w:rPr>
          <w:rStyle w:val="2Char"/>
          <w:b w:val="0"/>
          <w:bCs w:val="0"/>
        </w:rPr>
      </w:pPr>
      <w:bookmarkStart w:id="29" w:name="_Toc79163605"/>
      <w:bookmarkStart w:id="30" w:name="_Toc79163855"/>
      <w:bookmarkStart w:id="31" w:name="_Toc15377200"/>
      <w:bookmarkStart w:id="32" w:name="_Toc15396601"/>
      <w:r>
        <w:rPr>
          <w:rFonts w:ascii="黑体" w:eastAsia="黑体" w:hint="eastAsia"/>
          <w:b w:val="0"/>
          <w:color w:val="000000"/>
        </w:rPr>
        <w:t>二、机</w:t>
      </w:r>
      <w:r>
        <w:rPr>
          <w:rStyle w:val="2Char"/>
          <w:rFonts w:ascii="黑体" w:eastAsia="黑体" w:hint="eastAsia"/>
          <w:b w:val="0"/>
          <w:bCs w:val="0"/>
        </w:rPr>
        <w:t>构设置</w:t>
      </w:r>
      <w:bookmarkEnd w:id="29"/>
      <w:bookmarkEnd w:id="30"/>
      <w:bookmarkEnd w:id="31"/>
      <w:bookmarkEnd w:id="32"/>
    </w:p>
    <w:p>
      <w:pPr>
        <w:ind w:firstLineChars="250" w:firstLine="800"/>
        <w:rPr>
          <w:rFonts w:ascii="仿宋" w:eastAsia="仿宋"/>
          <w:sz w:val="32"/>
          <w:szCs w:val="32"/>
        </w:rPr>
      </w:pPr>
      <w:r>
        <w:rPr>
          <w:rFonts w:ascii="仿宋" w:eastAsia="仿宋" w:hint="eastAsia"/>
          <w:sz w:val="32"/>
          <w:szCs w:val="32"/>
          <w:lang w:eastAsia="zh-CN"/>
        </w:rPr>
        <w:t>茂县纪委</w:t>
      </w:r>
      <w:r>
        <w:rPr>
          <w:rFonts w:ascii="仿宋" w:eastAsia="仿宋" w:hint="eastAsia"/>
          <w:sz w:val="32"/>
          <w:szCs w:val="32"/>
        </w:rPr>
        <w:t>下属二级单位</w:t>
      </w:r>
      <w:r>
        <w:rPr>
          <w:rFonts w:ascii="仿宋" w:eastAsia="仿宋" w:hint="eastAsia"/>
          <w:sz w:val="32"/>
          <w:szCs w:val="32"/>
          <w:lang w:val="en-US" w:eastAsia="zh-CN"/>
        </w:rPr>
        <w:t>0</w:t>
      </w:r>
      <w:r>
        <w:rPr>
          <w:rFonts w:ascii="仿宋" w:eastAsia="仿宋" w:hint="eastAsia"/>
          <w:sz w:val="32"/>
          <w:szCs w:val="32"/>
        </w:rPr>
        <w:t>个，其中行政单位</w:t>
      </w:r>
      <w:r>
        <w:rPr>
          <w:rFonts w:ascii="仿宋" w:eastAsia="仿宋" w:hint="eastAsia"/>
          <w:sz w:val="32"/>
          <w:szCs w:val="32"/>
          <w:lang w:val="en-US" w:eastAsia="zh-CN"/>
        </w:rPr>
        <w:t>0</w:t>
      </w:r>
      <w:r>
        <w:rPr>
          <w:rFonts w:ascii="仿宋" w:eastAsia="仿宋" w:hint="eastAsia"/>
          <w:sz w:val="32"/>
          <w:szCs w:val="32"/>
        </w:rPr>
        <w:t>个，参照公务员法管理的事业单位</w:t>
      </w:r>
      <w:r>
        <w:rPr>
          <w:rFonts w:ascii="仿宋" w:eastAsia="仿宋" w:hint="eastAsia"/>
          <w:bCs/>
          <w:sz w:val="32"/>
          <w:szCs w:val="32"/>
          <w:lang w:val="en-US" w:eastAsia="zh-CN"/>
        </w:rPr>
        <w:t>0</w:t>
      </w:r>
      <w:r>
        <w:rPr>
          <w:rFonts w:ascii="仿宋" w:eastAsia="仿宋" w:hint="eastAsia"/>
          <w:sz w:val="32"/>
          <w:szCs w:val="32"/>
        </w:rPr>
        <w:t>个，其他事业单位</w:t>
      </w:r>
      <w:r>
        <w:rPr>
          <w:rFonts w:ascii="仿宋" w:eastAsia="仿宋" w:hint="eastAsia"/>
          <w:sz w:val="32"/>
          <w:szCs w:val="32"/>
          <w:lang w:val="en-US" w:eastAsia="zh-CN"/>
        </w:rPr>
        <w:t>0</w:t>
      </w:r>
      <w:r>
        <w:rPr>
          <w:rFonts w:ascii="仿宋" w:eastAsia="仿宋" w:hint="eastAsia"/>
          <w:sz w:val="32"/>
          <w:szCs w:val="32"/>
        </w:rPr>
        <w:t>个。</w:t>
      </w:r>
    </w:p>
    <w:p>
      <w:pPr>
        <w:pStyle w:val="16"/>
        <w:adjustRightInd w:val="0"/>
        <w:snapToGrid w:val="0"/>
        <w:spacing w:beforeLines="0" w:before="93" w:line="600" w:lineRule="exact"/>
        <w:ind w:firstLineChars="209" w:firstLine="672"/>
        <w:rPr>
          <w:rFonts w:ascii="仿宋" w:eastAsia="仿宋" w:hint="eastAsia"/>
          <w:color w:val="000000"/>
          <w:sz w:val="32"/>
          <w:szCs w:val="32"/>
          <w:lang w:val="en-US" w:eastAsia="zh-CN"/>
        </w:rPr>
      </w:pPr>
      <w:r>
        <w:rPr>
          <w:rFonts w:ascii="仿宋" w:eastAsia="仿宋" w:hint="eastAsia"/>
          <w:color w:val="000000"/>
          <w:sz w:val="32"/>
          <w:szCs w:val="32"/>
        </w:rPr>
        <w:t>纳入</w:t>
      </w:r>
      <w:r>
        <w:rPr>
          <w:rFonts w:ascii="仿宋" w:eastAsia="仿宋" w:hint="eastAsia"/>
          <w:color w:val="000000"/>
          <w:sz w:val="32"/>
          <w:szCs w:val="32"/>
          <w:lang w:eastAsia="zh-CN"/>
        </w:rPr>
        <w:t>茂县纪委</w:t>
      </w:r>
      <w:r>
        <w:rPr>
          <w:rFonts w:ascii="仿宋" w:eastAsia="仿宋"/>
          <w:color w:val="000000"/>
          <w:sz w:val="32"/>
          <w:szCs w:val="32"/>
        </w:rPr>
        <w:t>2020</w:t>
      </w:r>
      <w:r>
        <w:rPr>
          <w:rFonts w:ascii="仿宋" w:eastAsia="仿宋" w:hint="eastAsia"/>
          <w:color w:val="000000"/>
          <w:sz w:val="32"/>
          <w:szCs w:val="32"/>
        </w:rPr>
        <w:t>年度部门决算编制范围的二级预算单位包括：</w:t>
      </w:r>
      <w:r>
        <w:rPr>
          <w:rFonts w:ascii="仿宋" w:eastAsia="仿宋" w:hint="eastAsia"/>
          <w:color w:val="000000"/>
          <w:sz w:val="32"/>
          <w:szCs w:val="32"/>
          <w:lang w:val="en-US" w:eastAsia="zh-CN"/>
        </w:rPr>
        <w:t>0个。</w:t>
      </w:r>
    </w:p>
    <w:p>
      <w:pPr>
        <w:pStyle w:val="16"/>
        <w:adjustRightInd w:val="0"/>
        <w:snapToGrid w:val="0"/>
        <w:spacing w:beforeLines="0" w:before="93" w:line="600" w:lineRule="exact"/>
        <w:ind w:firstLineChars="209" w:firstLine="672"/>
        <w:rPr>
          <w:rFonts w:ascii="仿宋" w:eastAsia="仿宋" w:hint="eastAsia"/>
          <w:color w:val="000000"/>
          <w:sz w:val="32"/>
          <w:szCs w:val="32"/>
          <w:lang w:val="en-US" w:eastAsia="zh-CN"/>
        </w:rPr>
      </w:pPr>
    </w:p>
    <w:p>
      <w:pPr>
        <w:pStyle w:val="16"/>
        <w:adjustRightInd w:val="0"/>
        <w:snapToGrid w:val="0"/>
        <w:spacing w:beforeLines="0" w:before="93" w:line="600" w:lineRule="exact"/>
        <w:ind w:firstLineChars="209" w:firstLine="672"/>
        <w:rPr>
          <w:rFonts w:ascii="仿宋" w:eastAsia="仿宋" w:hint="eastAsia"/>
          <w:color w:val="000000"/>
          <w:sz w:val="32"/>
          <w:szCs w:val="32"/>
          <w:lang w:val="en-US" w:eastAsia="zh-CN"/>
        </w:rPr>
      </w:pPr>
    </w:p>
    <w:p>
      <w:pPr>
        <w:pStyle w:val="16"/>
        <w:adjustRightInd w:val="0"/>
        <w:snapToGrid w:val="0"/>
        <w:spacing w:beforeLines="0" w:before="93" w:line="600" w:lineRule="exact"/>
        <w:ind w:firstLineChars="209" w:firstLine="672"/>
        <w:rPr>
          <w:rFonts w:ascii="仿宋" w:eastAsia="仿宋" w:hint="eastAsia"/>
          <w:color w:val="000000"/>
          <w:sz w:val="32"/>
          <w:szCs w:val="32"/>
          <w:lang w:val="en-US" w:eastAsia="zh-CN"/>
        </w:rPr>
      </w:pPr>
    </w:p>
    <w:p>
      <w:pPr>
        <w:pStyle w:val="16"/>
        <w:adjustRightInd w:val="0"/>
        <w:snapToGrid w:val="0"/>
        <w:spacing w:beforeLines="0" w:before="93" w:line="600" w:lineRule="exact"/>
        <w:ind w:firstLineChars="209" w:firstLine="672"/>
        <w:rPr>
          <w:rFonts w:ascii="仿宋" w:eastAsia="仿宋" w:hint="eastAsia"/>
          <w:color w:val="000000"/>
          <w:sz w:val="32"/>
          <w:szCs w:val="32"/>
          <w:lang w:val="en-US" w:eastAsia="zh-CN"/>
        </w:rPr>
      </w:pPr>
    </w:p>
    <w:p>
      <w:pPr>
        <w:pStyle w:val="16"/>
        <w:adjustRightInd w:val="0"/>
        <w:snapToGrid w:val="0"/>
        <w:spacing w:beforeLines="0" w:before="93" w:line="600" w:lineRule="exact"/>
        <w:ind w:firstLineChars="209" w:firstLine="672"/>
        <w:rPr>
          <w:rFonts w:ascii="仿宋" w:eastAsia="仿宋" w:hint="eastAsia"/>
          <w:color w:val="000000"/>
          <w:sz w:val="32"/>
          <w:szCs w:val="32"/>
          <w:lang w:val="en-US" w:eastAsia="zh-CN"/>
        </w:rPr>
      </w:pPr>
    </w:p>
    <w:p>
      <w:pPr>
        <w:pStyle w:val="16"/>
        <w:adjustRightInd w:val="0"/>
        <w:snapToGrid w:val="0"/>
        <w:spacing w:beforeLines="0" w:before="93" w:line="600" w:lineRule="exact"/>
        <w:ind w:firstLineChars="209" w:firstLine="672"/>
        <w:rPr>
          <w:rFonts w:ascii="仿宋" w:eastAsia="仿宋" w:hint="eastAsia"/>
          <w:color w:val="000000"/>
          <w:sz w:val="32"/>
          <w:szCs w:val="32"/>
          <w:lang w:val="en-US" w:eastAsia="zh-CN"/>
        </w:rPr>
      </w:pPr>
    </w:p>
    <w:p>
      <w:pPr>
        <w:pStyle w:val="1"/>
        <w:ind w:right="440"/>
        <w:jc w:val="right"/>
        <w:rPr>
          <w:rStyle w:val="1Char"/>
          <w:rFonts w:ascii="黑体" w:eastAsia="黑体"/>
          <w:b w:val="0"/>
          <w:bCs w:val="0"/>
        </w:rPr>
      </w:pPr>
      <w:bookmarkStart w:id="33" w:name="_Toc15396602"/>
      <w:bookmarkStart w:id="34" w:name="_Toc79163609"/>
      <w:bookmarkStart w:id="35" w:name="_Toc15377204"/>
      <w:bookmarkStart w:id="36" w:name="_Toc79163859"/>
      <w:r>
        <w:rPr>
          <w:rFonts w:ascii="黑体" w:eastAsia="黑体" w:hint="eastAsia"/>
          <w:b w:val="0"/>
          <w:color w:val="000000"/>
        </w:rPr>
        <w:t>第二部分</w:t>
      </w:r>
      <w:r>
        <w:rPr>
          <w:rFonts w:ascii="黑体" w:eastAsia="黑体"/>
          <w:color w:val="000000"/>
        </w:rPr>
        <w:t xml:space="preserve"> </w:t>
      </w:r>
      <w:r>
        <w:rPr>
          <w:rStyle w:val="1Char"/>
          <w:rFonts w:ascii="黑体" w:eastAsia="黑体"/>
          <w:b w:val="0"/>
          <w:bCs w:val="0"/>
        </w:rPr>
        <w:t>2020</w:t>
      </w:r>
      <w:r>
        <w:rPr>
          <w:rStyle w:val="1Char"/>
          <w:rFonts w:ascii="黑体" w:eastAsia="黑体" w:hint="eastAsia"/>
          <w:b w:val="0"/>
          <w:bCs w:val="0"/>
        </w:rPr>
        <w:t>年度部门决算情况说明</w:t>
      </w:r>
      <w:bookmarkEnd w:id="33"/>
      <w:bookmarkEnd w:id="34"/>
      <w:bookmarkEnd w:id="35"/>
      <w:bookmarkEnd w:id="36"/>
    </w:p>
    <w:p/>
    <w:p>
      <w:pPr>
        <w:pStyle w:val="35"/>
        <w:numPr>
          <w:ilvl w:val="0"/>
          <w:numId w:val="1"/>
        </w:numPr>
        <w:spacing w:line="600" w:lineRule="exact"/>
        <w:ind w:firstLineChars="0"/>
        <w:outlineLvl w:val="1"/>
        <w:rPr>
          <w:rStyle w:val="2Char"/>
          <w:rFonts w:ascii="黑体" w:eastAsia="黑体"/>
          <w:b w:val="0"/>
        </w:rPr>
      </w:pPr>
      <w:bookmarkStart w:id="37" w:name="_Toc79163610"/>
      <w:bookmarkStart w:id="38" w:name="_Toc79163860"/>
      <w:bookmarkStart w:id="39" w:name="_Toc15377205"/>
      <w:bookmarkStart w:id="40"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37"/>
      <w:bookmarkEnd w:id="38"/>
      <w:bookmarkEnd w:id="39"/>
      <w:bookmarkEnd w:id="40"/>
    </w:p>
    <w:p>
      <w:pPr>
        <w:spacing w:line="600" w:lineRule="exact"/>
        <w:ind w:firstLineChars="250" w:firstLine="80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年度收、支总计</w:t>
      </w:r>
      <w:r>
        <w:rPr>
          <w:rFonts w:ascii="仿宋" w:eastAsia="仿宋" w:hint="eastAsia"/>
          <w:color w:val="000000"/>
          <w:sz w:val="32"/>
          <w:szCs w:val="32"/>
          <w:lang w:val="en-US" w:eastAsia="zh-CN"/>
        </w:rPr>
        <w:t>1652.08</w:t>
      </w:r>
      <w:r>
        <w:rPr>
          <w:rFonts w:ascii="仿宋" w:eastAsia="仿宋" w:hint="eastAsia"/>
          <w:color w:val="000000"/>
          <w:sz w:val="32"/>
          <w:szCs w:val="32"/>
        </w:rPr>
        <w:t>万元</w:t>
      </w:r>
      <w:r>
        <w:rPr>
          <w:rFonts w:ascii="仿宋" w:eastAsia="仿宋" w:hint="eastAsia"/>
          <w:color w:val="000000"/>
          <w:sz w:val="32"/>
          <w:szCs w:val="32"/>
          <w:lang w:eastAsia="zh-CN"/>
        </w:rPr>
        <w:t>（包括年初和年末结转和结余）</w:t>
      </w:r>
      <w:r>
        <w:rPr>
          <w:rFonts w:ascii="仿宋" w:eastAsia="仿宋" w:hint="eastAsia"/>
          <w:color w:val="000000"/>
          <w:sz w:val="32"/>
          <w:szCs w:val="32"/>
        </w:rPr>
        <w:t>。与</w:t>
      </w:r>
      <w:r>
        <w:rPr>
          <w:rFonts w:ascii="仿宋" w:eastAsia="仿宋"/>
          <w:color w:val="000000"/>
          <w:sz w:val="32"/>
          <w:szCs w:val="32"/>
        </w:rPr>
        <w:t>2019</w:t>
      </w:r>
      <w:r>
        <w:rPr>
          <w:rFonts w:ascii="仿宋" w:eastAsia="仿宋" w:hint="eastAsia"/>
          <w:color w:val="000000"/>
          <w:sz w:val="32"/>
          <w:szCs w:val="32"/>
        </w:rPr>
        <w:t>年相比，收、支总计各增加</w:t>
      </w:r>
      <w:r>
        <w:rPr>
          <w:rFonts w:ascii="仿宋" w:eastAsia="仿宋" w:hint="eastAsia"/>
          <w:color w:val="000000"/>
          <w:sz w:val="32"/>
          <w:szCs w:val="32"/>
          <w:lang w:val="en-US" w:eastAsia="zh-CN"/>
        </w:rPr>
        <w:t>207.56</w:t>
      </w:r>
      <w:r>
        <w:rPr>
          <w:rFonts w:ascii="仿宋" w:eastAsia="仿宋" w:hint="eastAsia"/>
          <w:color w:val="000000"/>
          <w:sz w:val="32"/>
          <w:szCs w:val="32"/>
        </w:rPr>
        <w:t>万元，增长</w:t>
      </w:r>
      <w:r>
        <w:rPr>
          <w:rFonts w:ascii="仿宋" w:eastAsia="仿宋" w:hint="eastAsia"/>
          <w:color w:val="000000"/>
          <w:sz w:val="32"/>
          <w:szCs w:val="32"/>
          <w:lang w:val="en-US" w:eastAsia="zh-CN"/>
        </w:rPr>
        <w:t>14</w:t>
      </w:r>
      <w:r>
        <w:rPr>
          <w:rFonts w:ascii="仿宋" w:eastAsia="仿宋"/>
          <w:color w:val="000000"/>
          <w:sz w:val="32"/>
          <w:szCs w:val="32"/>
        </w:rPr>
        <w:t>%</w:t>
      </w:r>
      <w:r>
        <w:rPr>
          <w:rFonts w:ascii="仿宋" w:eastAsia="仿宋" w:hint="eastAsia"/>
          <w:color w:val="000000"/>
          <w:sz w:val="32"/>
          <w:szCs w:val="32"/>
        </w:rPr>
        <w:t>。主要变动原因是人员增加及日常工作量增加。</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1</w:t>
      </w:r>
      <w:r>
        <w:rPr>
          <w:rFonts w:ascii="仿宋" w:eastAsia="仿宋" w:hint="eastAsia"/>
          <w:color w:val="000000"/>
          <w:sz w:val="32"/>
          <w:szCs w:val="32"/>
        </w:rPr>
        <w:t>：收、支决算总计变动情况图）（柱状图）</w:t>
      </w:r>
    </w:p>
    <w:p>
      <w:pPr>
        <w:keepNext w:val="0"/>
        <w:keepLines w:val="0"/>
        <w:pageBreakBefore w:val="0"/>
        <w:widowControl w:val="0"/>
        <w:kinsoku/>
        <w:wordWrap/>
        <w:overflowPunct/>
        <w:topLinePunct w:val="0"/>
        <w:autoSpaceDE/>
        <w:autoSpaceDN/>
        <w:bidi w:val="0"/>
        <w:adjustRightInd/>
        <w:snapToGrid/>
        <w:spacing w:beforeLines="100" w:before="312" w:afterLines="100" w:after="312" w:line="360" w:lineRule="auto"/>
        <w:ind w:firstLineChars="200" w:firstLine="640"/>
        <w:jc w:val="left"/>
        <w:textAlignment w:val="auto"/>
        <w:rPr>
          <w:rFonts w:ascii="仿宋_GB2312" w:eastAsia="仿宋_GB2312"/>
          <w:color w:val="000000"/>
          <w:sz w:val="32"/>
          <w:szCs w:val="32"/>
        </w:rPr>
      </w:pPr>
      <w:r>
        <w:rPr>
          <w:rFonts w:ascii="仿宋_GB2312" w:eastAsia="仿宋_GB2312"/>
          <w:color w:val="000000"/>
          <w:sz w:val="32"/>
          <w:szCs w:val="32"/>
        </w:rPr>
        <w:drawing>
          <wp:inline distT="0" distB="0" distL="0" distR="0">
            <wp:extent cx="4295775" cy="1276350"/>
            <wp:effectExtent l="0" t="0" r="0" b="0"/>
            <wp:docPr id="1" name="图表 2"/>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35"/>
        <w:numPr>
          <w:ilvl w:val="0"/>
          <w:numId w:val="1"/>
        </w:numPr>
        <w:spacing w:line="600" w:lineRule="exact"/>
        <w:ind w:firstLineChars="0"/>
        <w:outlineLvl w:val="1"/>
        <w:rPr>
          <w:rStyle w:val="2Char"/>
          <w:rFonts w:ascii="黑体" w:eastAsia="黑体"/>
          <w:b w:val="0"/>
        </w:rPr>
      </w:pPr>
      <w:bookmarkStart w:id="41" w:name="_Toc79163861"/>
      <w:bookmarkStart w:id="42" w:name="_Toc79163611"/>
      <w:bookmarkStart w:id="43" w:name="_Toc15396604"/>
      <w:bookmarkStart w:id="44" w:name="_Toc15377206"/>
      <w:r>
        <w:rPr>
          <w:rFonts w:ascii="黑体" w:eastAsia="黑体" w:hint="eastAsia"/>
          <w:color w:val="000000"/>
          <w:sz w:val="32"/>
          <w:szCs w:val="32"/>
        </w:rPr>
        <w:t>收</w:t>
      </w:r>
      <w:r>
        <w:rPr>
          <w:rStyle w:val="2Char"/>
          <w:rFonts w:ascii="黑体" w:eastAsia="黑体" w:hint="eastAsia"/>
          <w:b w:val="0"/>
        </w:rPr>
        <w:t>入决算情况说明</w:t>
      </w:r>
      <w:bookmarkEnd w:id="41"/>
      <w:bookmarkEnd w:id="42"/>
      <w:bookmarkEnd w:id="43"/>
      <w:bookmarkEnd w:id="44"/>
    </w:p>
    <w:p>
      <w:pPr>
        <w:spacing w:line="600" w:lineRule="exact"/>
        <w:ind w:firstLineChars="200" w:firstLine="640"/>
        <w:rPr>
          <w:rFonts w:ascii="仿宋_GB2312" w:eastAsia="仿宋_GB2312"/>
          <w:color w:val="FF0000"/>
          <w:sz w:val="32"/>
          <w:szCs w:val="32"/>
        </w:rPr>
      </w:pPr>
      <w:r>
        <w:rPr>
          <w:rFonts w:ascii="仿宋" w:eastAsia="仿宋"/>
          <w:color w:val="000000"/>
          <w:sz w:val="32"/>
          <w:szCs w:val="32"/>
        </w:rPr>
        <w:t>2020</w:t>
      </w:r>
      <w:r>
        <w:rPr>
          <w:rFonts w:ascii="仿宋" w:eastAsia="仿宋" w:hint="eastAsia"/>
          <w:color w:val="000000"/>
          <w:sz w:val="32"/>
          <w:szCs w:val="32"/>
        </w:rPr>
        <w:t>年本年收入合计</w:t>
      </w:r>
      <w:r>
        <w:rPr>
          <w:rFonts w:ascii="仿宋" w:eastAsia="仿宋" w:hint="eastAsia"/>
          <w:color w:val="000000"/>
          <w:sz w:val="32"/>
          <w:szCs w:val="32"/>
          <w:lang w:val="en-US" w:eastAsia="zh-CN"/>
        </w:rPr>
        <w:t>1570.67</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1570.67</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万元；上级补助收入</w:t>
      </w:r>
      <w:r>
        <w:rPr>
          <w:rFonts w:ascii="仿宋" w:eastAsia="仿宋" w:hint="eastAsia"/>
          <w:color w:val="000000"/>
          <w:sz w:val="32"/>
          <w:szCs w:val="32"/>
          <w:lang w:val="en-US" w:eastAsia="zh-CN"/>
        </w:rPr>
        <w:t>0</w:t>
      </w:r>
      <w:r>
        <w:rPr>
          <w:rFonts w:ascii="仿宋" w:eastAsia="仿宋" w:hint="eastAsia"/>
          <w:color w:val="000000"/>
          <w:sz w:val="32"/>
          <w:szCs w:val="32"/>
        </w:rPr>
        <w:t>万元；事业收入</w:t>
      </w:r>
      <w:r>
        <w:rPr>
          <w:rFonts w:ascii="仿宋" w:eastAsia="仿宋" w:hint="eastAsia"/>
          <w:color w:val="000000"/>
          <w:sz w:val="32"/>
          <w:szCs w:val="32"/>
          <w:lang w:val="en-US" w:eastAsia="zh-CN"/>
        </w:rPr>
        <w:t>0</w:t>
      </w:r>
      <w:r>
        <w:rPr>
          <w:rFonts w:ascii="仿宋" w:eastAsia="仿宋" w:hint="eastAsia"/>
          <w:color w:val="000000"/>
          <w:sz w:val="32"/>
          <w:szCs w:val="32"/>
        </w:rPr>
        <w:t>万元；经营收入</w:t>
      </w:r>
      <w:r>
        <w:rPr>
          <w:rFonts w:ascii="仿宋" w:eastAsia="仿宋" w:hint="eastAsia"/>
          <w:color w:val="000000"/>
          <w:sz w:val="32"/>
          <w:szCs w:val="32"/>
          <w:lang w:val="en-US" w:eastAsia="zh-CN"/>
        </w:rPr>
        <w:t>0</w:t>
      </w:r>
      <w:r>
        <w:rPr>
          <w:rFonts w:ascii="仿宋" w:eastAsia="仿宋" w:hint="eastAsia"/>
          <w:color w:val="000000"/>
          <w:sz w:val="32"/>
          <w:szCs w:val="32"/>
        </w:rPr>
        <w:t>万元；附属单位上缴收入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万元；其他收入</w:t>
      </w:r>
      <w:r>
        <w:rPr>
          <w:rFonts w:ascii="仿宋" w:eastAsia="仿宋" w:hint="eastAsia"/>
          <w:color w:val="000000"/>
          <w:sz w:val="32"/>
          <w:szCs w:val="32"/>
          <w:lang w:val="en-US" w:eastAsia="zh-CN"/>
        </w:rPr>
        <w:t>0</w:t>
      </w:r>
      <w:r>
        <w:rPr>
          <w:rFonts w:ascii="仿宋" w:eastAsia="仿宋" w:hint="eastAsia"/>
          <w:color w:val="000000"/>
          <w:sz w:val="32"/>
          <w:szCs w:val="32"/>
        </w:rPr>
        <w:t>万元。</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：收入决算结构图）（饼状图）</w:t>
      </w:r>
    </w:p>
    <w:p>
      <w:pPr>
        <w:keepNext w:val="0"/>
        <w:keepLines w:val="0"/>
        <w:pageBreakBefore w:val="0"/>
        <w:widowControl w:val="0"/>
        <w:kinsoku/>
        <w:wordWrap/>
        <w:overflowPunct/>
        <w:topLinePunct w:val="0"/>
        <w:autoSpaceDE/>
        <w:autoSpaceDN/>
        <w:bidi w:val="0"/>
        <w:adjustRightInd/>
        <w:snapToGrid/>
        <w:spacing w:beforeLines="100" w:before="312" w:afterLines="100" w:after="312" w:line="360" w:lineRule="auto"/>
        <w:textAlignment w:val="auto"/>
        <w:rPr>
          <w:rFonts w:ascii="仿宋_GB2312" w:eastAsia="仿宋_GB2312"/>
          <w:color w:val="FF0000"/>
          <w:sz w:val="32"/>
          <w:szCs w:val="32"/>
        </w:rPr>
      </w:pPr>
      <w:r>
        <w:rPr>
          <w:rFonts w:ascii="仿宋_GB2312" w:eastAsia="仿宋_GB2312"/>
          <w:color w:val="FF0000"/>
          <w:sz w:val="32"/>
          <w:szCs w:val="32"/>
        </w:rPr>
        <w:drawing>
          <wp:inline distT="0" distB="0" distL="0" distR="0">
            <wp:extent cx="3648075" cy="1590675"/>
            <wp:effectExtent l="0" t="0" r="0" b="0"/>
            <wp:docPr id="2" name="图表 3"/>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35"/>
        <w:numPr>
          <w:ilvl w:val="0"/>
          <w:numId w:val="1"/>
        </w:numPr>
        <w:spacing w:line="600" w:lineRule="exact"/>
        <w:ind w:firstLineChars="0"/>
        <w:outlineLvl w:val="1"/>
        <w:rPr>
          <w:rStyle w:val="2Char"/>
          <w:rFonts w:ascii="黑体" w:eastAsia="黑体"/>
          <w:b w:val="0"/>
        </w:rPr>
      </w:pPr>
      <w:bookmarkStart w:id="45" w:name="_Toc79163612"/>
      <w:bookmarkStart w:id="46" w:name="_Toc15377207"/>
      <w:bookmarkStart w:id="47" w:name="_Toc15396605"/>
      <w:bookmarkStart w:id="48" w:name="_Toc79163862"/>
      <w:r>
        <w:rPr>
          <w:rFonts w:ascii="黑体" w:eastAsia="黑体" w:hint="eastAsia"/>
          <w:color w:val="000000"/>
          <w:sz w:val="32"/>
          <w:szCs w:val="32"/>
        </w:rPr>
        <w:t>支</w:t>
      </w:r>
      <w:r>
        <w:rPr>
          <w:rStyle w:val="2Char"/>
          <w:rFonts w:ascii="黑体" w:eastAsia="黑体" w:hint="eastAsia"/>
          <w:b w:val="0"/>
        </w:rPr>
        <w:t>出决算情况说明</w:t>
      </w:r>
      <w:bookmarkEnd w:id="45"/>
      <w:bookmarkEnd w:id="46"/>
      <w:bookmarkEnd w:id="47"/>
      <w:bookmarkEnd w:id="48"/>
    </w:p>
    <w:p>
      <w:pPr>
        <w:spacing w:line="600" w:lineRule="exact"/>
        <w:ind w:firstLineChars="200" w:firstLine="640"/>
        <w:rPr>
          <w:rFonts w:ascii="仿宋" w:eastAsia="仿宋"/>
          <w:color w:val="000000"/>
          <w:sz w:val="32"/>
          <w:szCs w:val="32"/>
          <w:shd w:val="pct10" w:color="auto" w:fill="FFFFFF"/>
        </w:rPr>
      </w:pPr>
      <w:r>
        <w:rPr>
          <w:rFonts w:ascii="仿宋" w:eastAsia="仿宋"/>
          <w:color w:val="000000"/>
          <w:sz w:val="32"/>
          <w:szCs w:val="32"/>
        </w:rPr>
        <w:t>2020</w:t>
      </w:r>
      <w:r>
        <w:rPr>
          <w:rFonts w:ascii="仿宋" w:eastAsia="仿宋" w:hint="eastAsia"/>
          <w:color w:val="000000"/>
          <w:sz w:val="32"/>
          <w:szCs w:val="32"/>
        </w:rPr>
        <w:t>年本年支出合计1647.08万元，其中：基本支出1327.1</w:t>
      </w:r>
      <w:r>
        <w:rPr>
          <w:rFonts w:ascii="仿宋" w:eastAsia="仿宋" w:hint="eastAsia"/>
          <w:color w:val="000000"/>
          <w:sz w:val="32"/>
          <w:szCs w:val="32"/>
          <w:lang w:val="en-US" w:eastAsia="zh-CN"/>
        </w:rPr>
        <w:t>2</w:t>
      </w:r>
      <w:r>
        <w:rPr>
          <w:rFonts w:ascii="仿宋" w:eastAsia="仿宋" w:hint="eastAsia"/>
          <w:color w:val="000000"/>
          <w:sz w:val="32"/>
          <w:szCs w:val="32"/>
        </w:rPr>
        <w:t>万元，占81</w:t>
      </w:r>
      <w:r>
        <w:rPr>
          <w:rFonts w:ascii="仿宋" w:eastAsia="仿宋"/>
          <w:color w:val="000000"/>
          <w:sz w:val="32"/>
          <w:szCs w:val="32"/>
        </w:rPr>
        <w:t>%</w:t>
      </w:r>
      <w:r>
        <w:rPr>
          <w:rFonts w:ascii="仿宋" w:eastAsia="仿宋" w:hint="eastAsia"/>
          <w:color w:val="000000"/>
          <w:sz w:val="32"/>
          <w:szCs w:val="32"/>
        </w:rPr>
        <w:t>；项目支出319.96万元，占19</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：支出决算结构图）（饼状图）</w:t>
      </w:r>
    </w:p>
    <w:p>
      <w:pPr>
        <w:keepNext w:val="0"/>
        <w:keepLines w:val="0"/>
        <w:pageBreakBefore w:val="0"/>
        <w:widowControl w:val="0"/>
        <w:kinsoku/>
        <w:wordWrap/>
        <w:overflowPunct/>
        <w:topLinePunct w:val="0"/>
        <w:autoSpaceDE/>
        <w:autoSpaceDN/>
        <w:bidi w:val="0"/>
        <w:adjustRightInd/>
        <w:snapToGrid/>
        <w:spacing w:beforeLines="100" w:before="312" w:afterLines="100" w:after="312" w:line="360" w:lineRule="auto"/>
        <w:textAlignment w:val="auto"/>
        <w:rPr>
          <w:rFonts w:ascii="仿宋_GB2312" w:eastAsia="仿宋_GB2312"/>
          <w:color w:val="FF0000"/>
          <w:sz w:val="32"/>
          <w:szCs w:val="32"/>
        </w:rPr>
      </w:pPr>
      <w:r>
        <w:rPr>
          <w:rFonts w:ascii="仿宋_GB2312" w:eastAsia="仿宋_GB2312"/>
          <w:color w:val="FF0000"/>
          <w:sz w:val="32"/>
          <w:szCs w:val="32"/>
        </w:rPr>
        <w:drawing>
          <wp:inline distT="0" distB="0" distL="0" distR="0">
            <wp:extent cx="3248025" cy="1895475"/>
            <wp:effectExtent l="0" t="0" r="0" b="0"/>
            <wp:docPr id="3" name="图表 4"/>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600" w:lineRule="exact"/>
        <w:ind w:firstLineChars="200" w:firstLine="640"/>
        <w:outlineLvl w:val="1"/>
        <w:rPr>
          <w:rStyle w:val="2Char"/>
          <w:rFonts w:ascii="黑体" w:eastAsia="黑体"/>
          <w:b w:val="0"/>
        </w:rPr>
      </w:pPr>
      <w:bookmarkStart w:id="49" w:name="_Toc15377208"/>
      <w:bookmarkStart w:id="50" w:name="_Toc15396606"/>
      <w:bookmarkStart w:id="51" w:name="_Toc79163613"/>
      <w:bookmarkStart w:id="52" w:name="_Toc7916386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9"/>
      <w:bookmarkEnd w:id="50"/>
      <w:bookmarkEnd w:id="51"/>
      <w:bookmarkEnd w:id="52"/>
    </w:p>
    <w:p>
      <w:pPr>
        <w:spacing w:line="600" w:lineRule="exact"/>
        <w:ind w:firstLineChars="250" w:firstLine="80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年财政拨款收、支总计</w:t>
      </w:r>
      <w:r>
        <w:rPr>
          <w:rFonts w:ascii="仿宋" w:eastAsia="仿宋" w:hint="eastAsia"/>
          <w:color w:val="000000"/>
          <w:sz w:val="32"/>
          <w:szCs w:val="32"/>
          <w:lang w:val="en-US" w:eastAsia="zh-CN"/>
        </w:rPr>
        <w:t>1652.08</w:t>
      </w:r>
      <w:r>
        <w:rPr>
          <w:rFonts w:ascii="仿宋" w:eastAsia="仿宋" w:hint="eastAsia"/>
          <w:color w:val="000000"/>
          <w:sz w:val="32"/>
          <w:szCs w:val="32"/>
        </w:rPr>
        <w:t>万元。与</w:t>
      </w:r>
      <w:r>
        <w:rPr>
          <w:rFonts w:ascii="仿宋" w:eastAsia="仿宋"/>
          <w:color w:val="000000"/>
          <w:sz w:val="32"/>
          <w:szCs w:val="32"/>
        </w:rPr>
        <w:t>2019</w:t>
      </w:r>
      <w:r>
        <w:rPr>
          <w:rFonts w:ascii="仿宋" w:eastAsia="仿宋" w:hint="eastAsia"/>
          <w:color w:val="000000"/>
          <w:sz w:val="32"/>
          <w:szCs w:val="32"/>
        </w:rPr>
        <w:t>年相比，财政拨款收、支总计各增加</w:t>
      </w:r>
      <w:r>
        <w:rPr>
          <w:rFonts w:ascii="仿宋" w:eastAsia="仿宋" w:hint="eastAsia"/>
          <w:color w:val="000000"/>
          <w:sz w:val="32"/>
          <w:szCs w:val="32"/>
          <w:lang w:val="en-US" w:eastAsia="zh-CN"/>
        </w:rPr>
        <w:t>207.56</w:t>
      </w:r>
      <w:r>
        <w:rPr>
          <w:rFonts w:ascii="仿宋" w:eastAsia="仿宋" w:hint="eastAsia"/>
          <w:color w:val="000000"/>
          <w:sz w:val="32"/>
          <w:szCs w:val="32"/>
        </w:rPr>
        <w:t>万元，增长</w:t>
      </w:r>
      <w:r>
        <w:rPr>
          <w:rFonts w:ascii="仿宋" w:eastAsia="仿宋" w:hint="eastAsia"/>
          <w:color w:val="000000"/>
          <w:sz w:val="32"/>
          <w:szCs w:val="32"/>
          <w:lang w:val="en-US" w:eastAsia="zh-CN"/>
        </w:rPr>
        <w:t>14</w:t>
      </w:r>
      <w:r>
        <w:rPr>
          <w:rFonts w:ascii="仿宋" w:eastAsia="仿宋"/>
          <w:color w:val="000000"/>
          <w:sz w:val="32"/>
          <w:szCs w:val="32"/>
        </w:rPr>
        <w:t>%</w:t>
      </w:r>
      <w:r>
        <w:rPr>
          <w:rFonts w:ascii="仿宋" w:eastAsia="仿宋" w:hint="eastAsia"/>
          <w:color w:val="000000"/>
          <w:sz w:val="32"/>
          <w:szCs w:val="32"/>
        </w:rPr>
        <w:t>。主要变动原因是人员增加及日常工作量增加。</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：财政拨款收、支决算总计变动情况）（柱状图）</w:t>
      </w:r>
    </w:p>
    <w:p>
      <w:pPr>
        <w:keepNext w:val="0"/>
        <w:keepLines w:val="0"/>
        <w:pageBreakBefore w:val="0"/>
        <w:widowControl w:val="0"/>
        <w:kinsoku/>
        <w:wordWrap/>
        <w:overflowPunct/>
        <w:topLinePunct w:val="0"/>
        <w:autoSpaceDE/>
        <w:autoSpaceDN/>
        <w:bidi w:val="0"/>
        <w:adjustRightInd/>
        <w:snapToGrid/>
        <w:spacing w:beforeLines="100" w:before="312" w:afterLines="100" w:after="312" w:line="360" w:lineRule="auto"/>
        <w:ind w:firstLine="641"/>
        <w:textAlignment w:val="auto"/>
        <w:rPr>
          <w:rFonts w:ascii="仿宋" w:eastAsia="仿宋"/>
          <w:b/>
          <w:color w:val="00B050"/>
          <w:sz w:val="32"/>
          <w:szCs w:val="32"/>
        </w:rPr>
      </w:pPr>
      <w:r>
        <w:rPr>
          <w:rFonts w:ascii="仿宋" w:eastAsia="仿宋"/>
          <w:b/>
          <w:color w:val="00B050"/>
          <w:sz w:val="32"/>
          <w:szCs w:val="32"/>
        </w:rPr>
        <w:drawing>
          <wp:inline distT="0" distB="0" distL="0" distR="0">
            <wp:extent cx="5274310" cy="1343025"/>
            <wp:effectExtent l="0" t="0" r="0" b="0"/>
            <wp:docPr id="4" name="图表 2"/>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ind w:firstLineChars="200" w:firstLine="640"/>
        <w:outlineLvl w:val="1"/>
        <w:rPr>
          <w:rStyle w:val="2Char"/>
          <w:rFonts w:ascii="黑体" w:eastAsia="黑体"/>
          <w:b w:val="0"/>
        </w:rPr>
      </w:pPr>
      <w:bookmarkStart w:id="53" w:name="_Toc15377209"/>
      <w:bookmarkStart w:id="54" w:name="_Toc79163614"/>
      <w:bookmarkStart w:id="55" w:name="_Toc79163864"/>
      <w:bookmarkStart w:id="56"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3"/>
      <w:bookmarkEnd w:id="54"/>
      <w:bookmarkEnd w:id="55"/>
      <w:bookmarkEnd w:id="56"/>
    </w:p>
    <w:p>
      <w:pPr>
        <w:spacing w:line="600" w:lineRule="exact"/>
        <w:ind w:firstLineChars="200" w:firstLine="640"/>
        <w:outlineLvl w:val="2"/>
        <w:rPr>
          <w:rFonts w:ascii="仿宋" w:eastAsia="仿宋"/>
          <w:b/>
          <w:color w:val="000000"/>
          <w:sz w:val="32"/>
          <w:szCs w:val="32"/>
        </w:rPr>
      </w:pPr>
      <w:bookmarkStart w:id="57" w:name="_Toc79163615"/>
      <w:bookmarkStart w:id="58" w:name="_Toc15377210"/>
      <w:bookmarkStart w:id="59" w:name="_Toc79163865"/>
      <w:r>
        <w:rPr>
          <w:rFonts w:ascii="仿宋" w:eastAsia="仿宋" w:hint="eastAsia"/>
          <w:b/>
          <w:color w:val="000000"/>
          <w:sz w:val="32"/>
          <w:szCs w:val="32"/>
        </w:rPr>
        <w:t>（一）一般公共预算财政拨款支出决算总体情况</w:t>
      </w:r>
      <w:bookmarkEnd w:id="57"/>
      <w:bookmarkEnd w:id="58"/>
      <w:bookmarkEnd w:id="59"/>
    </w:p>
    <w:p>
      <w:pPr>
        <w:spacing w:line="600" w:lineRule="exact"/>
        <w:ind w:firstLineChars="200"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年一般公共预算财政拨款支出1647.08万元，占本年支出合计的100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2019</w:t>
      </w:r>
      <w:r>
        <w:rPr>
          <w:rFonts w:ascii="仿宋" w:eastAsia="仿宋" w:hint="eastAsia"/>
          <w:color w:val="000000"/>
          <w:sz w:val="32"/>
          <w:szCs w:val="32"/>
        </w:rPr>
        <w:t>年相比，一般公共预算财政拨款增加207.56万元，增长14</w:t>
      </w:r>
      <w:r>
        <w:rPr>
          <w:rFonts w:ascii="仿宋" w:eastAsia="仿宋"/>
          <w:color w:val="000000"/>
          <w:sz w:val="32"/>
          <w:szCs w:val="32"/>
        </w:rPr>
        <w:t>%</w:t>
      </w:r>
      <w:r>
        <w:rPr>
          <w:rFonts w:ascii="仿宋" w:eastAsia="仿宋" w:hint="eastAsia"/>
          <w:color w:val="000000"/>
          <w:sz w:val="32"/>
          <w:szCs w:val="32"/>
        </w:rPr>
        <w:t>。主要变动原因是人员增加及工作量增加。</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beforeLines="100" w:before="312" w:afterLines="100" w:after="312" w:line="360" w:lineRule="auto"/>
        <w:ind w:firstLineChars="200" w:firstLine="640"/>
        <w:textAlignment w:val="auto"/>
        <w:rPr>
          <w:rFonts w:ascii="仿宋" w:eastAsia="仿宋"/>
          <w:color w:val="000000"/>
          <w:sz w:val="32"/>
          <w:szCs w:val="32"/>
        </w:rPr>
      </w:pPr>
      <w:r>
        <w:rPr>
          <w:rFonts w:ascii="仿宋" w:eastAsia="仿宋"/>
          <w:color w:val="000000"/>
          <w:sz w:val="32"/>
          <w:szCs w:val="32"/>
        </w:rPr>
        <w:drawing>
          <wp:inline distT="0" distB="0" distL="0" distR="0">
            <wp:extent cx="5274310" cy="1533525"/>
            <wp:effectExtent l="0" t="0" r="0" b="0"/>
            <wp:docPr id="5" name="图表 7"/>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ind w:firstLineChars="200" w:firstLine="640"/>
        <w:outlineLvl w:val="2"/>
        <w:rPr>
          <w:rFonts w:ascii="仿宋" w:eastAsia="仿宋"/>
          <w:b/>
          <w:color w:val="000000"/>
          <w:sz w:val="32"/>
          <w:szCs w:val="32"/>
        </w:rPr>
      </w:pPr>
      <w:bookmarkStart w:id="60" w:name="_Toc15377211"/>
      <w:bookmarkStart w:id="61" w:name="_Toc79163616"/>
      <w:bookmarkStart w:id="62" w:name="_Toc79163866"/>
      <w:r>
        <w:rPr>
          <w:rFonts w:ascii="仿宋" w:eastAsia="仿宋" w:hint="eastAsia"/>
          <w:b/>
          <w:color w:val="000000"/>
          <w:sz w:val="32"/>
          <w:szCs w:val="32"/>
        </w:rPr>
        <w:t>（二）一般公共预算财政拨款支出决算结构情况</w:t>
      </w:r>
      <w:bookmarkEnd w:id="60"/>
      <w:bookmarkEnd w:id="61"/>
      <w:bookmarkEnd w:id="62"/>
    </w:p>
    <w:p>
      <w:pPr>
        <w:spacing w:line="600" w:lineRule="exact"/>
        <w:ind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1647.08</w:t>
      </w:r>
      <w:r>
        <w:rPr>
          <w:rFonts w:ascii="仿宋" w:eastAsia="仿宋" w:hint="eastAsia"/>
          <w:color w:val="000000"/>
          <w:sz w:val="32"/>
          <w:szCs w:val="32"/>
        </w:rPr>
        <w:t>万元，主要用于以下方面</w:t>
      </w:r>
      <w:r>
        <w:rPr>
          <w:rFonts w:ascii="仿宋" w:eastAsia="仿宋"/>
          <w:color w:val="000000"/>
          <w:sz w:val="32"/>
          <w:szCs w:val="32"/>
        </w:rPr>
        <w:t>:</w:t>
      </w:r>
    </w:p>
    <w:p>
      <w:pPr>
        <w:pStyle w:val="39"/>
        <w:spacing w:line="600" w:lineRule="exact"/>
        <w:rPr>
          <w:rFonts w:ascii="仿宋" w:eastAsia="仿宋"/>
          <w:color w:val="000000"/>
          <w:sz w:val="32"/>
          <w:szCs w:val="32"/>
        </w:rPr>
      </w:pPr>
      <w:r>
        <w:rPr>
          <w:rFonts w:ascii="仿宋" w:eastAsia="仿宋" w:hint="eastAsia"/>
          <w:color w:val="000000"/>
          <w:sz w:val="32"/>
          <w:szCs w:val="32"/>
        </w:rPr>
        <w:t>1.一般公共服务（类）纪检监察事务（款）行政运行(项)</w:t>
      </w:r>
      <w:r>
        <w:rPr>
          <w:rFonts w:ascii="仿宋" w:eastAsia="仿宋"/>
          <w:color w:val="000000"/>
          <w:sz w:val="32"/>
          <w:szCs w:val="32"/>
        </w:rPr>
        <w:t>:</w:t>
      </w:r>
      <w:r>
        <w:rPr>
          <w:rFonts w:ascii="仿宋" w:eastAsia="仿宋" w:hint="eastAsia"/>
          <w:color w:val="000000"/>
          <w:sz w:val="32"/>
          <w:szCs w:val="32"/>
        </w:rPr>
        <w:t>支出决算为955.63万元，占58.02%。</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2.一般公共服务（类）纪检监察事务（款）一般行政管理事务（项）：支出决算数为315.24万元，占19.14%。</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3.一般公共服务（类）纪检监察事务（款）事业运行（项）：支出决算数为73.89万元，占4.5%。</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4. 一般公共服务（类）纪检监察事务（款）其他纪检监察事务（项）：支出决算数为3.52万元，占0.21%。</w:t>
      </w:r>
    </w:p>
    <w:p>
      <w:pPr>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5.社会保障和就业</w:t>
      </w:r>
      <w:r>
        <w:rPr>
          <w:rFonts w:ascii="仿宋" w:eastAsia="仿宋" w:hint="eastAsia"/>
          <w:color w:val="000000"/>
          <w:sz w:val="32"/>
          <w:szCs w:val="32"/>
          <w:lang w:eastAsia="zh-CN"/>
        </w:rPr>
        <w:t>支出</w:t>
      </w:r>
      <w:r>
        <w:rPr>
          <w:rFonts w:ascii="仿宋" w:eastAsia="仿宋" w:hint="eastAsia"/>
          <w:color w:val="000000"/>
          <w:sz w:val="32"/>
          <w:szCs w:val="32"/>
        </w:rPr>
        <w:t>（类）行政事业单位</w:t>
      </w:r>
      <w:r>
        <w:rPr>
          <w:rFonts w:ascii="仿宋" w:eastAsia="仿宋" w:hint="eastAsia"/>
          <w:color w:val="000000"/>
          <w:sz w:val="32"/>
          <w:szCs w:val="32"/>
          <w:lang w:eastAsia="zh-CN"/>
        </w:rPr>
        <w:t>养老支出</w:t>
      </w:r>
      <w:r>
        <w:rPr>
          <w:rFonts w:ascii="仿宋" w:eastAsia="仿宋" w:hint="eastAsia"/>
          <w:color w:val="000000"/>
          <w:sz w:val="32"/>
          <w:szCs w:val="32"/>
        </w:rPr>
        <w:t>（款）机关事业单位基本养老保险缴费支出(项)</w:t>
      </w:r>
      <w:r>
        <w:rPr>
          <w:rFonts w:ascii="仿宋" w:eastAsia="仿宋"/>
          <w:color w:val="000000"/>
          <w:sz w:val="32"/>
          <w:szCs w:val="32"/>
        </w:rPr>
        <w:t>:</w:t>
      </w:r>
      <w:r>
        <w:rPr>
          <w:rFonts w:ascii="仿宋" w:eastAsia="仿宋" w:hint="eastAsia"/>
          <w:color w:val="000000"/>
          <w:sz w:val="32"/>
          <w:szCs w:val="32"/>
        </w:rPr>
        <w:t>支出决算为86.74万元，占5.27%。</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6.社会保障和就业</w:t>
      </w:r>
      <w:r>
        <w:rPr>
          <w:rFonts w:ascii="仿宋" w:eastAsia="仿宋" w:hint="eastAsia"/>
          <w:color w:val="000000"/>
          <w:sz w:val="32"/>
          <w:szCs w:val="32"/>
          <w:lang w:eastAsia="zh-CN"/>
        </w:rPr>
        <w:t>支出</w:t>
      </w:r>
      <w:r>
        <w:rPr>
          <w:rFonts w:ascii="仿宋" w:eastAsia="仿宋" w:hint="eastAsia"/>
          <w:color w:val="000000"/>
          <w:sz w:val="32"/>
          <w:szCs w:val="32"/>
        </w:rPr>
        <w:t>（类）行政事业单位</w:t>
      </w:r>
      <w:r>
        <w:rPr>
          <w:rFonts w:ascii="仿宋" w:eastAsia="仿宋" w:hint="eastAsia"/>
          <w:color w:val="000000"/>
          <w:sz w:val="32"/>
          <w:szCs w:val="32"/>
          <w:lang w:eastAsia="zh-CN"/>
        </w:rPr>
        <w:t>养老支出</w:t>
      </w:r>
      <w:r>
        <w:rPr>
          <w:rFonts w:ascii="仿宋" w:eastAsia="仿宋" w:hint="eastAsia"/>
          <w:color w:val="000000"/>
          <w:sz w:val="32"/>
          <w:szCs w:val="32"/>
        </w:rPr>
        <w:t>（款）机关事业单位职业年金缴费支出(项): 支出决算为43.37万元，占2.63%。</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7.卫生健康</w:t>
      </w:r>
      <w:r>
        <w:rPr>
          <w:rFonts w:ascii="仿宋" w:eastAsia="仿宋" w:hint="eastAsia"/>
          <w:color w:val="000000"/>
          <w:sz w:val="32"/>
          <w:szCs w:val="32"/>
          <w:lang w:eastAsia="zh-CN"/>
        </w:rPr>
        <w:t>支出</w:t>
      </w:r>
      <w:r>
        <w:rPr>
          <w:rFonts w:ascii="仿宋" w:eastAsia="仿宋" w:hint="eastAsia"/>
          <w:color w:val="000000"/>
          <w:sz w:val="32"/>
          <w:szCs w:val="32"/>
        </w:rPr>
        <w:t>（类）行政事业单位医疗（款）行政单位医疗(项): 支出决算为62.07万元，占3.8%。</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8.卫生健康</w:t>
      </w:r>
      <w:r>
        <w:rPr>
          <w:rFonts w:ascii="仿宋" w:eastAsia="仿宋" w:hint="eastAsia"/>
          <w:color w:val="000000"/>
          <w:sz w:val="32"/>
          <w:szCs w:val="32"/>
          <w:lang w:eastAsia="zh-CN"/>
        </w:rPr>
        <w:t>支出</w:t>
      </w:r>
      <w:r>
        <w:rPr>
          <w:rFonts w:ascii="仿宋" w:eastAsia="仿宋" w:hint="eastAsia"/>
          <w:color w:val="000000"/>
          <w:sz w:val="32"/>
          <w:szCs w:val="32"/>
        </w:rPr>
        <w:t>（类）行政事业单位医疗（款）事业单位医疗(项):支出决算为5.55万元，占0.3%。</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9.住房保障支出（类）住房改革支出（款）住房公积金（项）：支出决算为98.85万元，占6%。</w:t>
      </w:r>
    </w:p>
    <w:p>
      <w:pPr>
        <w:spacing w:line="600" w:lineRule="exact"/>
        <w:ind w:firstLine="640"/>
        <w:rPr>
          <w:rFonts w:ascii="仿宋" w:eastAsia="仿宋"/>
          <w:color w:val="000000"/>
          <w:sz w:val="32"/>
          <w:szCs w:val="32"/>
        </w:rPr>
      </w:pPr>
      <w:r>
        <w:rPr>
          <w:rFonts w:ascii="仿宋" w:eastAsia="仿宋" w:hint="eastAsia"/>
          <w:color w:val="000000"/>
          <w:sz w:val="32"/>
          <w:szCs w:val="32"/>
        </w:rPr>
        <w:t>10.住房保障支出（类）住房改革支出（款）购房补贴（项）：支出决算为</w:t>
      </w:r>
      <w:r>
        <w:rPr>
          <w:rFonts w:ascii="仿宋" w:eastAsia="仿宋" w:hint="eastAsia"/>
          <w:color w:val="000000"/>
          <w:sz w:val="32"/>
          <w:szCs w:val="32"/>
          <w:lang w:val="en-US" w:eastAsia="zh-CN"/>
        </w:rPr>
        <w:t>1.02</w:t>
      </w:r>
      <w:r>
        <w:rPr>
          <w:rFonts w:ascii="仿宋" w:eastAsia="仿宋" w:hint="eastAsia"/>
          <w:color w:val="000000"/>
          <w:sz w:val="32"/>
          <w:szCs w:val="32"/>
        </w:rPr>
        <w:t>万元，占0.06%。</w:t>
      </w:r>
    </w:p>
    <w:p>
      <w:pPr>
        <w:spacing w:line="600" w:lineRule="exact"/>
        <w:ind w:firstLine="640"/>
        <w:rPr>
          <w:rFonts w:ascii="仿宋" w:eastAsia="仿宋"/>
          <w:color w:val="000000"/>
          <w:sz w:val="32"/>
          <w:szCs w:val="32"/>
        </w:rPr>
      </w:pPr>
      <w:r>
        <w:rPr>
          <w:rFonts w:ascii="仿宋" w:eastAsia="仿宋" w:hint="eastAsia"/>
          <w:color w:val="000000"/>
          <w:sz w:val="32"/>
          <w:szCs w:val="32"/>
        </w:rPr>
        <w:t>11.农林水（类）扶贫（款）其他扶贫（项）：支出决算为1.2万元，占0.07%。</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（图</w:t>
      </w:r>
      <w:r>
        <w:rPr>
          <w:rFonts w:ascii="仿宋" w:eastAsia="仿宋"/>
          <w:color w:val="000000"/>
          <w:sz w:val="32"/>
          <w:szCs w:val="32"/>
        </w:rPr>
        <w:t>6</w:t>
      </w:r>
      <w:r>
        <w:rPr>
          <w:rFonts w:ascii="仿宋" w:eastAsia="仿宋" w:hint="eastAsia"/>
          <w:color w:val="000000"/>
          <w:sz w:val="32"/>
          <w:szCs w:val="32"/>
        </w:rPr>
        <w:t>：一般公共预算财政拨款支出决算结构）（饼状图）</w:t>
      </w:r>
    </w:p>
    <w:p>
      <w:pPr>
        <w:keepNext w:val="0"/>
        <w:keepLines w:val="0"/>
        <w:pageBreakBefore w:val="0"/>
        <w:widowControl w:val="0"/>
        <w:kinsoku/>
        <w:wordWrap/>
        <w:overflowPunct/>
        <w:topLinePunct w:val="0"/>
        <w:autoSpaceDE/>
        <w:autoSpaceDN/>
        <w:bidi w:val="0"/>
        <w:adjustRightInd/>
        <w:snapToGrid/>
        <w:spacing w:beforeLines="100" w:before="312" w:afterLines="100" w:after="312" w:line="360" w:lineRule="auto"/>
        <w:ind w:firstLineChars="200" w:firstLine="640"/>
        <w:textAlignment w:val="auto"/>
        <w:rPr>
          <w:rFonts w:ascii="仿宋" w:eastAsia="仿宋"/>
          <w:color w:val="000000"/>
          <w:sz w:val="32"/>
          <w:szCs w:val="32"/>
        </w:rPr>
      </w:pPr>
      <w:r>
        <w:rPr>
          <w:rFonts w:ascii="仿宋" w:eastAsia="仿宋"/>
          <w:color w:val="000000"/>
          <w:sz w:val="32"/>
          <w:szCs w:val="32"/>
        </w:rPr>
        <w:drawing>
          <wp:inline distT="0" distB="0" distL="0" distR="0">
            <wp:extent cx="5274310" cy="2143125"/>
            <wp:effectExtent l="0" t="0" r="0" b="0"/>
            <wp:docPr id="6" name="图表 5"/>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 w:eastAsia="仿宋"/>
          <w:b/>
          <w:color w:val="000000"/>
          <w:sz w:val="32"/>
          <w:szCs w:val="32"/>
        </w:rPr>
      </w:pPr>
      <w:bookmarkStart w:id="63" w:name="_Toc15377212"/>
      <w:bookmarkStart w:id="64" w:name="_Toc79163867"/>
      <w:bookmarkStart w:id="65" w:name="_Toc79163617"/>
      <w:r>
        <w:rPr>
          <w:rFonts w:ascii="仿宋" w:eastAsia="仿宋" w:hint="eastAsia"/>
          <w:b/>
          <w:color w:val="000000"/>
          <w:sz w:val="32"/>
          <w:szCs w:val="32"/>
        </w:rPr>
        <w:t>（三）一般公共预算财政拨款支出决算具体情况</w:t>
      </w:r>
      <w:bookmarkEnd w:id="63"/>
      <w:bookmarkEnd w:id="64"/>
      <w:bookmarkEnd w:id="65"/>
    </w:p>
    <w:p>
      <w:pPr>
        <w:spacing w:line="600" w:lineRule="exact"/>
        <w:ind w:firstLineChars="200" w:firstLine="640"/>
        <w:rPr>
          <w:rFonts w:ascii="仿宋" w:eastAsia="仿宋"/>
          <w:color w:val="000000"/>
          <w:sz w:val="32"/>
          <w:szCs w:val="32"/>
        </w:rPr>
      </w:pPr>
      <w:bookmarkStart w:id="66" w:name="_Toc15377213"/>
      <w:bookmarkStart w:id="67" w:name="_Toc15377444"/>
      <w:bookmarkStart w:id="68" w:name="_Toc15378460"/>
      <w:r>
        <w:rPr>
          <w:rFonts w:ascii="仿宋" w:eastAsia="仿宋"/>
          <w:color w:val="000000"/>
          <w:sz w:val="32"/>
          <w:szCs w:val="32"/>
        </w:rPr>
        <w:t>2020</w:t>
      </w:r>
      <w:r>
        <w:rPr>
          <w:rFonts w:ascii="仿宋" w:eastAsia="仿宋" w:hint="eastAsia"/>
          <w:color w:val="000000"/>
          <w:sz w:val="32"/>
          <w:szCs w:val="32"/>
        </w:rPr>
        <w:t>年一般公共预算支出决算数为1647.08万元，完成预算99</w:t>
      </w:r>
      <w:r>
        <w:rPr>
          <w:rFonts w:ascii="仿宋" w:eastAsia="仿宋"/>
          <w:color w:val="000000"/>
          <w:sz w:val="32"/>
          <w:szCs w:val="32"/>
        </w:rPr>
        <w:t>%</w:t>
      </w:r>
      <w:r>
        <w:rPr>
          <w:rFonts w:ascii="仿宋" w:eastAsia="仿宋" w:hint="eastAsia"/>
          <w:color w:val="000000"/>
          <w:sz w:val="32"/>
          <w:szCs w:val="32"/>
        </w:rPr>
        <w:t>。其中：</w:t>
      </w:r>
      <w:bookmarkEnd w:id="66"/>
      <w:bookmarkEnd w:id="67"/>
      <w:bookmarkEnd w:id="68"/>
    </w:p>
    <w:p>
      <w:pPr>
        <w:pStyle w:val="39"/>
        <w:spacing w:line="600" w:lineRule="exact"/>
        <w:rPr>
          <w:rFonts w:ascii="仿宋" w:eastAsia="仿宋"/>
          <w:color w:val="000000"/>
          <w:sz w:val="32"/>
          <w:szCs w:val="32"/>
        </w:rPr>
      </w:pPr>
      <w:r>
        <w:rPr>
          <w:rFonts w:ascii="仿宋" w:eastAsia="仿宋" w:hint="eastAsia"/>
          <w:color w:val="000000"/>
          <w:sz w:val="32"/>
          <w:szCs w:val="32"/>
        </w:rPr>
        <w:t>1.一般公共服务（类）纪检监察事务（款）行政运行(项)</w:t>
      </w:r>
      <w:r>
        <w:rPr>
          <w:rFonts w:ascii="仿宋" w:eastAsia="仿宋"/>
          <w:color w:val="000000"/>
          <w:sz w:val="32"/>
          <w:szCs w:val="32"/>
        </w:rPr>
        <w:t>:</w:t>
      </w:r>
      <w:r>
        <w:rPr>
          <w:rFonts w:ascii="仿宋" w:eastAsia="仿宋" w:hint="eastAsia"/>
          <w:color w:val="000000"/>
          <w:sz w:val="32"/>
          <w:szCs w:val="32"/>
        </w:rPr>
        <w:t>支出决算为955.63万元，完成预算100%。</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2.一般公共服务（类）纪检监察事务（款）一般行政管理事务（项）：支出决算数为315.24万元，完成预算99%。因一笔转移支付资金5万元于2020年12月18日才到账，还未来得及支付，所以结转到2021年进行支付。</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3.一般公共服务（类）纪检监察事务（款）事业运行（项）：支出决算数为73.89万元，完成预算100%。</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4. 一般公共服务（类）纪检监察事务（款）其他纪检监察事务（项）：支出决算数为3.52万元，完成预算100%%。</w:t>
      </w:r>
    </w:p>
    <w:p>
      <w:pPr>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5.社会保障和就业</w:t>
      </w:r>
      <w:r>
        <w:rPr>
          <w:rFonts w:ascii="仿宋" w:eastAsia="仿宋" w:hint="eastAsia"/>
          <w:color w:val="000000"/>
          <w:sz w:val="32"/>
          <w:szCs w:val="32"/>
          <w:lang w:eastAsia="zh-CN"/>
        </w:rPr>
        <w:t>支出</w:t>
      </w:r>
      <w:r>
        <w:rPr>
          <w:rFonts w:ascii="仿宋" w:eastAsia="仿宋" w:hint="eastAsia"/>
          <w:color w:val="000000"/>
          <w:sz w:val="32"/>
          <w:szCs w:val="32"/>
        </w:rPr>
        <w:t>（类）行政事业单位</w:t>
      </w:r>
      <w:r>
        <w:rPr>
          <w:rFonts w:ascii="仿宋" w:eastAsia="仿宋" w:hint="eastAsia"/>
          <w:color w:val="000000"/>
          <w:sz w:val="32"/>
          <w:szCs w:val="32"/>
          <w:lang w:eastAsia="zh-CN"/>
        </w:rPr>
        <w:t>养老支出</w:t>
      </w:r>
      <w:r>
        <w:rPr>
          <w:rFonts w:ascii="仿宋" w:eastAsia="仿宋" w:hint="eastAsia"/>
          <w:color w:val="000000"/>
          <w:sz w:val="32"/>
          <w:szCs w:val="32"/>
        </w:rPr>
        <w:t>（款）机关事业单位基本养老保险缴费支出(项)</w:t>
      </w:r>
      <w:r>
        <w:rPr>
          <w:rFonts w:ascii="仿宋" w:eastAsia="仿宋"/>
          <w:color w:val="000000"/>
          <w:sz w:val="32"/>
          <w:szCs w:val="32"/>
        </w:rPr>
        <w:t>:</w:t>
      </w:r>
      <w:r>
        <w:rPr>
          <w:rFonts w:ascii="仿宋" w:eastAsia="仿宋" w:hint="eastAsia"/>
          <w:color w:val="000000"/>
          <w:sz w:val="32"/>
          <w:szCs w:val="32"/>
        </w:rPr>
        <w:t>支出决算为86.74万元，完成预算100%。</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6.社会保障和就业（类）行政事业单位</w:t>
      </w:r>
      <w:r>
        <w:rPr>
          <w:rFonts w:ascii="仿宋" w:eastAsia="仿宋" w:hint="eastAsia"/>
          <w:color w:val="000000"/>
          <w:sz w:val="32"/>
          <w:szCs w:val="32"/>
          <w:lang w:eastAsia="zh-CN"/>
        </w:rPr>
        <w:t>养老支出</w:t>
      </w:r>
      <w:r>
        <w:rPr>
          <w:rFonts w:ascii="仿宋" w:eastAsia="仿宋" w:hint="eastAsia"/>
          <w:color w:val="000000"/>
          <w:sz w:val="32"/>
          <w:szCs w:val="32"/>
        </w:rPr>
        <w:t>（款）机关事业单位职业年金缴费支出(项): 支出决算为43.37万元，完成预算100%。</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7.卫生健康</w:t>
      </w:r>
      <w:r>
        <w:rPr>
          <w:rFonts w:ascii="仿宋" w:eastAsia="仿宋" w:hint="eastAsia"/>
          <w:color w:val="000000"/>
          <w:sz w:val="32"/>
          <w:szCs w:val="32"/>
          <w:lang w:eastAsia="zh-CN"/>
        </w:rPr>
        <w:t>支出</w:t>
      </w:r>
      <w:r>
        <w:rPr>
          <w:rFonts w:ascii="仿宋" w:eastAsia="仿宋" w:hint="eastAsia"/>
          <w:color w:val="000000"/>
          <w:sz w:val="32"/>
          <w:szCs w:val="32"/>
        </w:rPr>
        <w:t>（类）行政事业单位医疗（款）行政单位医疗(项): 支出决算为62.07万元，完成预算100%。</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8.卫生健康</w:t>
      </w:r>
      <w:r>
        <w:rPr>
          <w:rFonts w:ascii="仿宋" w:eastAsia="仿宋" w:hint="eastAsia"/>
          <w:color w:val="000000"/>
          <w:sz w:val="32"/>
          <w:szCs w:val="32"/>
          <w:lang w:eastAsia="zh-CN"/>
        </w:rPr>
        <w:t>支出</w:t>
      </w:r>
      <w:r>
        <w:rPr>
          <w:rFonts w:ascii="仿宋" w:eastAsia="仿宋" w:hint="eastAsia"/>
          <w:color w:val="000000"/>
          <w:sz w:val="32"/>
          <w:szCs w:val="32"/>
        </w:rPr>
        <w:t>（类）行政事业单位医疗（款）事业单位医疗(项):支出决算为5.55万元，完成预算100%。</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9.住房保障支出（类）住房改革支出（款）住房公积金（项）：支出决算为98.85万元，完成预算100%。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10.住房保障支出（类）住房改革支出（款）购房补贴（项）：支出决算为1.02万元，完成预算100%。</w:t>
      </w:r>
    </w:p>
    <w:p>
      <w:pPr>
        <w:spacing w:line="600" w:lineRule="exact"/>
        <w:ind w:firstLineChars="200" w:firstLine="640"/>
        <w:rPr>
          <w:rFonts w:ascii="仿宋" w:eastAsia="仿宋"/>
          <w:b/>
          <w:color w:val="000000"/>
          <w:sz w:val="32"/>
          <w:szCs w:val="32"/>
        </w:rPr>
      </w:pPr>
      <w:r>
        <w:rPr>
          <w:rFonts w:ascii="仿宋" w:eastAsia="仿宋" w:hint="eastAsia"/>
          <w:color w:val="000000"/>
          <w:sz w:val="32"/>
          <w:szCs w:val="32"/>
        </w:rPr>
        <w:t>11.农林水（类）扶贫（款）其他扶贫（项）：支出决算为1.2万元，完成预算100%。</w:t>
      </w:r>
    </w:p>
    <w:p>
      <w:pPr>
        <w:tabs>
          <w:tab w:val="right" w:pos="8306"/>
        </w:tabs>
        <w:spacing w:line="600" w:lineRule="exact"/>
        <w:ind w:firstLine="640"/>
        <w:outlineLvl w:val="1"/>
        <w:rPr>
          <w:rStyle w:val="2Char"/>
        </w:rPr>
      </w:pPr>
      <w:bookmarkStart w:id="69" w:name="_Toc15377214"/>
      <w:bookmarkStart w:id="70" w:name="_Toc79163868"/>
      <w:bookmarkStart w:id="71" w:name="_Toc79163618"/>
      <w:bookmarkStart w:id="72" w:name="_Toc1539660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9"/>
      <w:bookmarkEnd w:id="70"/>
      <w:bookmarkEnd w:id="71"/>
      <w:bookmarkEnd w:id="7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年一般公共预算财政拨款基本支出1327.1</w:t>
      </w:r>
      <w:r>
        <w:rPr>
          <w:rFonts w:ascii="仿宋" w:eastAsia="仿宋" w:hint="eastAsia"/>
          <w:color w:val="000000"/>
          <w:sz w:val="32"/>
          <w:szCs w:val="32"/>
          <w:lang w:val="en-US" w:eastAsia="zh-CN"/>
        </w:rPr>
        <w:t>2</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人员经费1165.71万元，主要包括：基本工资、津贴补贴、奖金、绩效工资、生活补助、机关事业单位基本养老保险缴费、职业年金缴费、其他社会保障缴费、住房公积金。</w:t>
      </w:r>
    </w:p>
    <w:p>
      <w:pPr>
        <w:spacing w:line="600" w:lineRule="exact"/>
        <w:ind w:firstLine="645"/>
        <w:rPr>
          <w:rFonts w:ascii="仿宋" w:eastAsia="仿宋"/>
          <w:b/>
          <w:color w:val="FF0000"/>
          <w:sz w:val="32"/>
          <w:szCs w:val="32"/>
        </w:rPr>
      </w:pPr>
      <w:r>
        <w:rPr>
          <w:rFonts w:ascii="仿宋" w:eastAsia="仿宋" w:hint="eastAsia"/>
          <w:color w:val="000000"/>
          <w:sz w:val="32"/>
          <w:szCs w:val="32"/>
        </w:rPr>
        <w:t>日常公用经费161.4</w:t>
      </w:r>
      <w:r>
        <w:rPr>
          <w:rFonts w:ascii="仿宋" w:eastAsia="仿宋" w:hint="eastAsia"/>
          <w:color w:val="000000"/>
          <w:sz w:val="32"/>
          <w:szCs w:val="32"/>
          <w:lang w:val="en-US" w:eastAsia="zh-CN"/>
        </w:rPr>
        <w:t>1</w:t>
      </w:r>
      <w:r>
        <w:rPr>
          <w:rFonts w:ascii="仿宋" w:eastAsia="仿宋" w:hint="eastAsia"/>
          <w:color w:val="000000"/>
          <w:sz w:val="32"/>
          <w:szCs w:val="32"/>
        </w:rPr>
        <w:t>万元，主要包括：办公费、邮电费、差旅费、维修（护）费、培训费、公务接待费、公务用车运行维护费。</w:t>
      </w:r>
    </w:p>
    <w:p>
      <w:pPr>
        <w:spacing w:line="600" w:lineRule="exact"/>
        <w:ind w:firstLine="640"/>
        <w:outlineLvl w:val="1"/>
        <w:rPr>
          <w:rStyle w:val="2Char"/>
          <w:rFonts w:ascii="黑体" w:eastAsia="黑体"/>
          <w:b w:val="0"/>
        </w:rPr>
      </w:pPr>
      <w:bookmarkStart w:id="73" w:name="_Toc79163869"/>
      <w:bookmarkStart w:id="74" w:name="_Toc79163619"/>
      <w:bookmarkStart w:id="75" w:name="_Toc15377215"/>
      <w:bookmarkStart w:id="76"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3"/>
      <w:bookmarkEnd w:id="74"/>
      <w:bookmarkEnd w:id="75"/>
      <w:bookmarkEnd w:id="76"/>
    </w:p>
    <w:p>
      <w:pPr>
        <w:spacing w:line="600" w:lineRule="exact"/>
        <w:ind w:firstLine="640"/>
        <w:outlineLvl w:val="2"/>
        <w:rPr>
          <w:rFonts w:ascii="仿宋" w:eastAsia="仿宋"/>
          <w:b/>
          <w:color w:val="000000"/>
          <w:sz w:val="32"/>
          <w:szCs w:val="32"/>
        </w:rPr>
      </w:pPr>
      <w:bookmarkStart w:id="77" w:name="_Toc79163870"/>
      <w:bookmarkStart w:id="78" w:name="_Toc79163620"/>
      <w:bookmarkStart w:id="79" w:name="_Toc15377216"/>
      <w:r>
        <w:rPr>
          <w:rFonts w:ascii="仿宋" w:eastAsia="仿宋" w:hint="eastAsia"/>
          <w:b/>
          <w:color w:val="000000"/>
          <w:sz w:val="32"/>
          <w:szCs w:val="32"/>
        </w:rPr>
        <w:t>（一）“三公”经费财政拨款支出决算总体情况说明</w:t>
      </w:r>
      <w:bookmarkEnd w:id="77"/>
      <w:bookmarkEnd w:id="78"/>
      <w:bookmarkEnd w:id="79"/>
    </w:p>
    <w:p>
      <w:pPr>
        <w:spacing w:line="600" w:lineRule="exact"/>
        <w:ind w:firstLine="640"/>
        <w:rPr>
          <w:rFonts w:ascii="仿宋" w:eastAsia="仿宋"/>
          <w:b/>
          <w:color w:val="FF0000"/>
          <w:sz w:val="32"/>
          <w:szCs w:val="32"/>
        </w:rPr>
      </w:pPr>
      <w:r>
        <w:rPr>
          <w:rFonts w:ascii="仿宋" w:eastAsia="仿宋"/>
          <w:color w:val="000000"/>
          <w:sz w:val="32"/>
          <w:szCs w:val="32"/>
        </w:rPr>
        <w:t>2020</w:t>
      </w:r>
      <w:r>
        <w:rPr>
          <w:rFonts w:ascii="仿宋" w:eastAsia="仿宋" w:hint="eastAsia"/>
          <w:color w:val="000000"/>
          <w:sz w:val="32"/>
          <w:szCs w:val="32"/>
        </w:rPr>
        <w:t>年“三公”经费财政拨款支出决算为24.77万元，完成预算100</w:t>
      </w:r>
      <w:r>
        <w:rPr>
          <w:rFonts w:ascii="仿宋" w:eastAsia="仿宋"/>
          <w:color w:val="000000"/>
          <w:sz w:val="32"/>
          <w:szCs w:val="32"/>
        </w:rPr>
        <w:t>%</w:t>
      </w:r>
      <w:r>
        <w:rPr>
          <w:rFonts w:ascii="仿宋" w:eastAsia="仿宋" w:hint="eastAsia"/>
          <w:color w:val="000000"/>
          <w:sz w:val="32"/>
          <w:szCs w:val="32"/>
        </w:rPr>
        <w:t>，与预算数持平的主要原因是控制使用。</w:t>
      </w:r>
    </w:p>
    <w:p>
      <w:pPr>
        <w:spacing w:line="600" w:lineRule="exact"/>
        <w:ind w:firstLine="640"/>
        <w:outlineLvl w:val="2"/>
        <w:rPr>
          <w:rFonts w:ascii="仿宋" w:eastAsia="仿宋"/>
          <w:b/>
          <w:color w:val="000000"/>
          <w:sz w:val="32"/>
          <w:szCs w:val="32"/>
        </w:rPr>
      </w:pPr>
      <w:bookmarkStart w:id="80" w:name="_Toc79163621"/>
      <w:bookmarkStart w:id="81" w:name="_Toc15377217"/>
      <w:bookmarkStart w:id="82" w:name="_Toc79163871"/>
      <w:r>
        <w:rPr>
          <w:rFonts w:ascii="仿宋" w:eastAsia="仿宋" w:hint="eastAsia"/>
          <w:b/>
          <w:color w:val="000000"/>
          <w:sz w:val="32"/>
          <w:szCs w:val="32"/>
        </w:rPr>
        <w:t>（二）“三公”经费财政拨款支出决算具体情况说明</w:t>
      </w:r>
      <w:bookmarkEnd w:id="80"/>
      <w:bookmarkEnd w:id="81"/>
      <w:bookmarkEnd w:id="82"/>
    </w:p>
    <w:p>
      <w:pPr>
        <w:spacing w:line="600" w:lineRule="exact"/>
        <w:ind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年“三公”经费财政拨款支出决算中，因公出国（境）费支出决算0万元；公务用车购置及运行维护费支出决算24.07万元，占97</w:t>
      </w:r>
      <w:r>
        <w:rPr>
          <w:rFonts w:ascii="仿宋" w:eastAsia="仿宋"/>
          <w:color w:val="000000"/>
          <w:sz w:val="32"/>
          <w:szCs w:val="32"/>
        </w:rPr>
        <w:t>%</w:t>
      </w:r>
      <w:r>
        <w:rPr>
          <w:rFonts w:ascii="仿宋" w:eastAsia="仿宋" w:hint="eastAsia"/>
          <w:color w:val="000000"/>
          <w:sz w:val="32"/>
          <w:szCs w:val="32"/>
        </w:rPr>
        <w:t>；公务接待费支出决算0.7万元，占3</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rPr>
      </w:pP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：“三公”经费财政拨款支出结构）（饼状图）</w:t>
      </w:r>
    </w:p>
    <w:p>
      <w:pPr>
        <w:keepNext w:val="0"/>
        <w:keepLines w:val="0"/>
        <w:pageBreakBefore w:val="0"/>
        <w:widowControl w:val="0"/>
        <w:kinsoku/>
        <w:wordWrap/>
        <w:overflowPunct/>
        <w:topLinePunct w:val="0"/>
        <w:autoSpaceDE/>
        <w:autoSpaceDN/>
        <w:bidi w:val="0"/>
        <w:adjustRightInd/>
        <w:snapToGrid/>
        <w:spacing w:beforeLines="100" w:before="312" w:afterLines="100" w:after="312" w:line="360" w:lineRule="auto"/>
        <w:ind w:firstLine="641"/>
        <w:textAlignment w:val="auto"/>
        <w:rPr>
          <w:rFonts w:ascii="仿宋" w:eastAsia="仿宋" w:hint="eastAsia"/>
          <w:color w:val="000000"/>
          <w:sz w:val="32"/>
          <w:szCs w:val="32"/>
        </w:rPr>
      </w:pPr>
      <w:r>
        <w:rPr>
          <w:rFonts w:ascii="仿宋" w:eastAsia="仿宋"/>
          <w:color w:val="000000"/>
          <w:sz w:val="32"/>
          <w:szCs w:val="32"/>
        </w:rPr>
        <w:drawing>
          <wp:inline distT="0" distB="0" distL="0" distR="0">
            <wp:extent cx="5274310" cy="1600200"/>
            <wp:effectExtent l="0" t="0" r="0" b="0"/>
            <wp:docPr id="7" name="图表 8"/>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640"/>
        <w:rPr>
          <w:rStyle w:val="29"/>
          <w:rFonts w:ascii="仿宋" w:eastAsia="仿宋"/>
          <w:bCs/>
        </w:rPr>
      </w:pPr>
      <w:r>
        <w:rPr>
          <w:rFonts w:ascii="仿宋" w:eastAsia="仿宋"/>
          <w:color w:val="000000"/>
          <w:sz w:val="32"/>
          <w:szCs w:val="32"/>
        </w:rPr>
        <w:t>1.</w:t>
      </w:r>
      <w:r>
        <w:rPr>
          <w:rFonts w:ascii="仿宋" w:eastAsia="仿宋" w:hint="eastAsia"/>
          <w:color w:val="000000"/>
          <w:sz w:val="32"/>
          <w:szCs w:val="32"/>
        </w:rPr>
        <w:t>因公出国（境）经费支出0万元。全年安排因公出国（境）团组0次，出国（境）0人。因公出国（境）支出决算比</w:t>
      </w:r>
      <w:r>
        <w:rPr>
          <w:rFonts w:ascii="仿宋" w:eastAsia="仿宋"/>
          <w:color w:val="000000"/>
          <w:sz w:val="32"/>
          <w:szCs w:val="32"/>
        </w:rPr>
        <w:t>201</w:t>
      </w:r>
      <w:r>
        <w:rPr>
          <w:rFonts w:ascii="仿宋" w:eastAsia="仿宋" w:hint="eastAsia"/>
          <w:color w:val="000000"/>
          <w:sz w:val="32"/>
          <w:szCs w:val="32"/>
        </w:rPr>
        <w:t>9年持平。</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ascii="仿宋" w:eastAsia="仿宋" w:hint="eastAsia"/>
          <w:color w:val="000000"/>
          <w:sz w:val="32"/>
          <w:szCs w:val="32"/>
        </w:rPr>
        <w:t>公务用车购置及运行维护费支出24.07万元,完成预算100%。公务用车购置及运行维护费支出决算比2019年减少1.09万元，下降4</w:t>
      </w:r>
      <w:r>
        <w:rPr>
          <w:rFonts w:ascii="仿宋" w:eastAsia="仿宋"/>
          <w:color w:val="000000"/>
          <w:sz w:val="32"/>
          <w:szCs w:val="32"/>
        </w:rPr>
        <w:t>%</w:t>
      </w:r>
      <w:r>
        <w:rPr>
          <w:rFonts w:ascii="仿宋" w:eastAsia="仿宋" w:hint="eastAsia"/>
          <w:color w:val="000000"/>
          <w:sz w:val="32"/>
          <w:szCs w:val="32"/>
        </w:rPr>
        <w:t>。主要原因是控制使用。</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其中：公务用车购置支出0万元。全年按规定更新购置公务用车0辆，其中：轿车0辆、金额0万元，越野车0辆、金额0万元，载客汽车0辆、金额0万元。截至</w:t>
      </w:r>
      <w:r>
        <w:rPr>
          <w:rFonts w:ascii="仿宋" w:eastAsia="仿宋"/>
          <w:color w:val="000000"/>
          <w:sz w:val="32"/>
          <w:szCs w:val="32"/>
        </w:rPr>
        <w:t>2020</w:t>
      </w:r>
      <w:r>
        <w:rPr>
          <w:rFonts w:ascii="仿宋" w:eastAsia="仿宋" w:hint="eastAsia"/>
          <w:color w:val="000000"/>
          <w:sz w:val="32"/>
          <w:szCs w:val="32"/>
        </w:rPr>
        <w:t>年</w:t>
      </w:r>
      <w:r>
        <w:rPr>
          <w:rFonts w:ascii="仿宋" w:eastAsia="仿宋"/>
          <w:color w:val="000000"/>
          <w:sz w:val="32"/>
          <w:szCs w:val="32"/>
        </w:rPr>
        <w:t>12</w:t>
      </w:r>
      <w:r>
        <w:rPr>
          <w:rFonts w:ascii="仿宋" w:eastAsia="仿宋" w:hint="eastAsia"/>
          <w:color w:val="000000"/>
          <w:sz w:val="32"/>
          <w:szCs w:val="32"/>
        </w:rPr>
        <w:t>月底，单位共有公务用车2辆，其中：轿车1辆、越野车1辆、载客汽车0辆。</w:t>
      </w:r>
    </w:p>
    <w:p>
      <w:pPr>
        <w:spacing w:line="600" w:lineRule="exact"/>
        <w:ind w:firstLine="640"/>
        <w:rPr>
          <w:rFonts w:ascii="仿宋" w:eastAsia="仿宋"/>
          <w:color w:val="000000"/>
          <w:sz w:val="32"/>
          <w:szCs w:val="32"/>
        </w:rPr>
      </w:pPr>
      <w:r>
        <w:rPr>
          <w:rFonts w:ascii="仿宋" w:eastAsia="仿宋" w:hint="eastAsia"/>
          <w:color w:val="000000"/>
          <w:sz w:val="32"/>
          <w:szCs w:val="32"/>
        </w:rPr>
        <w:t>公务用车运行维护费支出24.07万元。主要用于下乡检查工作、</w:t>
      </w:r>
      <w:r>
        <w:rPr>
          <w:rFonts w:ascii="仿宋" w:eastAsia="仿宋"/>
          <w:color w:val="000000"/>
          <w:sz w:val="32"/>
          <w:szCs w:val="32"/>
        </w:rPr>
        <w:t>出差办案</w:t>
      </w:r>
      <w:r>
        <w:rPr>
          <w:rFonts w:ascii="仿宋" w:eastAsia="仿宋" w:hint="eastAsia"/>
          <w:color w:val="000000"/>
          <w:sz w:val="32"/>
          <w:szCs w:val="32"/>
        </w:rPr>
        <w:t>等所需的公务用车燃料费、维修费、过路过桥费、保险费等支出。</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ascii="仿宋" w:eastAsia="仿宋" w:hint="eastAsia"/>
          <w:color w:val="000000"/>
          <w:sz w:val="32"/>
          <w:szCs w:val="32"/>
        </w:rPr>
        <w:t>公务接待费支出0.7万元，完成预算100</w:t>
      </w:r>
      <w:r>
        <w:rPr>
          <w:rFonts w:ascii="仿宋" w:eastAsia="仿宋"/>
          <w:color w:val="000000"/>
          <w:sz w:val="32"/>
          <w:szCs w:val="32"/>
        </w:rPr>
        <w:t>%</w:t>
      </w:r>
      <w:r>
        <w:rPr>
          <w:rFonts w:ascii="仿宋" w:eastAsia="仿宋" w:hint="eastAsia"/>
          <w:color w:val="000000"/>
          <w:sz w:val="32"/>
          <w:szCs w:val="32"/>
        </w:rPr>
        <w:t>。公务接待费支出决算比</w:t>
      </w:r>
      <w:r>
        <w:rPr>
          <w:rFonts w:ascii="仿宋" w:eastAsia="仿宋"/>
          <w:color w:val="000000"/>
          <w:sz w:val="32"/>
          <w:szCs w:val="32"/>
        </w:rPr>
        <w:t>2019</w:t>
      </w:r>
      <w:r>
        <w:rPr>
          <w:rFonts w:ascii="仿宋" w:eastAsia="仿宋" w:hint="eastAsia"/>
          <w:color w:val="000000"/>
          <w:sz w:val="32"/>
          <w:szCs w:val="32"/>
        </w:rPr>
        <w:t>年减少1.87万元，下降73</w:t>
      </w:r>
      <w:r>
        <w:rPr>
          <w:rFonts w:ascii="仿宋" w:eastAsia="仿宋"/>
          <w:color w:val="000000"/>
          <w:sz w:val="32"/>
          <w:szCs w:val="32"/>
        </w:rPr>
        <w:t>%</w:t>
      </w:r>
      <w:r>
        <w:rPr>
          <w:rFonts w:ascii="仿宋" w:eastAsia="仿宋" w:hint="eastAsia"/>
          <w:color w:val="000000"/>
          <w:sz w:val="32"/>
          <w:szCs w:val="32"/>
        </w:rPr>
        <w:t>。主要原因是控制使用。其中：</w:t>
      </w:r>
    </w:p>
    <w:p>
      <w:pPr>
        <w:spacing w:line="600" w:lineRule="exact"/>
        <w:ind w:firstLine="640"/>
        <w:rPr>
          <w:rFonts w:ascii="仿宋" w:eastAsia="仿宋"/>
          <w:color w:val="000000"/>
          <w:sz w:val="32"/>
          <w:szCs w:val="32"/>
        </w:rPr>
      </w:pPr>
      <w:r>
        <w:rPr>
          <w:rFonts w:ascii="仿宋" w:eastAsia="仿宋" w:hint="eastAsia"/>
          <w:color w:val="000000"/>
          <w:sz w:val="32"/>
          <w:szCs w:val="32"/>
        </w:rPr>
        <w:t>国内公务接待支出0.7万元，主要用于执行公务、开展业务活动开支的交通费、住宿费、用餐费等。国内公务接待4批次，50人次（不包括陪同人员），共计支出0.7万元，具体内容包括：上级主管部门到我县开展工作支出0.7万元。</w:t>
      </w:r>
    </w:p>
    <w:p>
      <w:pPr>
        <w:spacing w:line="600" w:lineRule="exact"/>
        <w:ind w:firstLineChars="200" w:firstLine="640"/>
        <w:rPr>
          <w:rFonts w:ascii="仿宋_GB2312" w:eastAsia="仿宋_GB2312"/>
          <w:color w:val="000000"/>
          <w:sz w:val="32"/>
          <w:szCs w:val="32"/>
        </w:rPr>
      </w:pPr>
      <w:r>
        <w:rPr>
          <w:rFonts w:ascii="仿宋" w:eastAsia="仿宋" w:hint="eastAsia"/>
          <w:color w:val="000000"/>
          <w:sz w:val="32"/>
          <w:szCs w:val="32"/>
        </w:rPr>
        <w:t>外事接待支出0万元，外事接待0批次，0人，共计支出0万元。</w:t>
      </w:r>
    </w:p>
    <w:p>
      <w:pPr>
        <w:spacing w:line="600" w:lineRule="exact"/>
        <w:ind w:firstLine="640"/>
        <w:outlineLvl w:val="1"/>
        <w:rPr>
          <w:rStyle w:val="2Char"/>
          <w:rFonts w:ascii="黑体" w:eastAsia="黑体"/>
        </w:rPr>
      </w:pPr>
      <w:bookmarkStart w:id="83" w:name="_Toc79163622"/>
      <w:bookmarkStart w:id="84" w:name="_Toc79163872"/>
      <w:bookmarkStart w:id="85" w:name="_Toc15396610"/>
      <w:bookmarkStart w:id="86" w:name="_Toc15377218"/>
      <w:r>
        <w:rPr>
          <w:rFonts w:ascii="黑体" w:eastAsia="黑体" w:hint="eastAsia"/>
          <w:color w:val="000000"/>
          <w:sz w:val="32"/>
          <w:szCs w:val="32"/>
        </w:rPr>
        <w:t>八、</w:t>
      </w:r>
      <w:r>
        <w:rPr>
          <w:rStyle w:val="2Char"/>
          <w:rFonts w:ascii="黑体" w:eastAsia="黑体" w:hint="eastAsia"/>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2"/>
        </w:numPr>
        <w:spacing w:line="600" w:lineRule="exact"/>
        <w:ind w:left="0" w:firstLine="640"/>
        <w:outlineLvl w:val="1"/>
        <w:rPr>
          <w:rStyle w:val="2Char"/>
          <w:rFonts w:ascii="黑体" w:eastAsia="黑体"/>
          <w:b w:val="0"/>
        </w:rPr>
      </w:pPr>
      <w:bookmarkStart w:id="87" w:name="_Toc15396611"/>
      <w:bookmarkStart w:id="88" w:name="_Toc79163873"/>
      <w:bookmarkStart w:id="89" w:name="_Toc79163623"/>
      <w:bookmarkStart w:id="90" w:name="_Toc15377219"/>
      <w:r>
        <w:rPr>
          <w:rStyle w:val="2Char"/>
          <w:rFonts w:ascii="黑体" w:eastAsia="黑体" w:hint="eastAsia"/>
          <w:b w:val="0"/>
        </w:rPr>
        <w:t>国有资本经营预算支出决算情况说明</w:t>
      </w:r>
      <w:bookmarkEnd w:id="87"/>
      <w:bookmarkEnd w:id="88"/>
      <w:bookmarkEnd w:id="89"/>
      <w:bookmarkEnd w:id="90"/>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50" w:firstLine="800"/>
        <w:outlineLvl w:val="1"/>
        <w:rPr>
          <w:rStyle w:val="2Char"/>
          <w:rFonts w:ascii="黑体" w:eastAsia="黑体"/>
        </w:rPr>
      </w:pPr>
      <w:bookmarkStart w:id="91" w:name="_Toc79163874"/>
      <w:bookmarkStart w:id="92" w:name="_Toc15377221"/>
      <w:bookmarkStart w:id="93" w:name="_Toc79163624"/>
      <w:bookmarkStart w:id="94" w:name="_Toc15396612"/>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1"/>
      <w:bookmarkEnd w:id="92"/>
      <w:bookmarkEnd w:id="93"/>
      <w:bookmarkEnd w:id="94"/>
    </w:p>
    <w:p>
      <w:pPr>
        <w:spacing w:line="600" w:lineRule="exact"/>
        <w:ind w:firstLine="640"/>
        <w:rPr>
          <w:rFonts w:ascii="仿宋" w:eastAsia="仿宋"/>
          <w:color w:val="000000"/>
          <w:sz w:val="32"/>
          <w:szCs w:val="32"/>
        </w:rPr>
      </w:pPr>
      <w:bookmarkStart w:id="95" w:name="_Toc79163875"/>
      <w:bookmarkStart w:id="96" w:name="_Toc15377222"/>
      <w:bookmarkStart w:id="97" w:name="_Toc79163625"/>
      <w:r>
        <w:rPr>
          <w:rFonts w:ascii="仿宋" w:eastAsia="仿宋" w:hint="eastAsia"/>
          <w:color w:val="000000"/>
          <w:sz w:val="32"/>
          <w:szCs w:val="32"/>
        </w:rPr>
        <w:t>（一）机关运行经费支出情况</w:t>
      </w:r>
      <w:bookmarkEnd w:id="95"/>
      <w:bookmarkEnd w:id="96"/>
      <w:bookmarkEnd w:id="97"/>
    </w:p>
    <w:p>
      <w:pPr>
        <w:spacing w:line="600" w:lineRule="exact"/>
        <w:ind w:firstLine="640"/>
        <w:rPr>
          <w:rFonts w:ascii="仿宋_GB2312" w:eastAsia="仿宋_GB2312"/>
          <w:color w:val="000000"/>
          <w:sz w:val="32"/>
          <w:szCs w:val="32"/>
        </w:rPr>
      </w:pPr>
      <w:r>
        <w:rPr>
          <w:rFonts w:ascii="仿宋" w:eastAsia="仿宋"/>
          <w:color w:val="000000"/>
          <w:sz w:val="32"/>
          <w:szCs w:val="32"/>
        </w:rPr>
        <w:t>2020</w:t>
      </w:r>
      <w:r>
        <w:rPr>
          <w:rFonts w:ascii="仿宋" w:eastAsia="仿宋" w:hint="eastAsia"/>
          <w:color w:val="000000"/>
          <w:sz w:val="32"/>
          <w:szCs w:val="32"/>
        </w:rPr>
        <w:t>年，茂县</w:t>
      </w:r>
      <w:r>
        <w:rPr>
          <w:rFonts w:ascii="仿宋" w:eastAsia="仿宋"/>
          <w:color w:val="000000"/>
          <w:sz w:val="32"/>
          <w:szCs w:val="32"/>
        </w:rPr>
        <w:t>纪委</w:t>
      </w:r>
      <w:r>
        <w:rPr>
          <w:rFonts w:ascii="仿宋" w:eastAsia="仿宋" w:hint="eastAsia"/>
          <w:color w:val="000000"/>
          <w:sz w:val="32"/>
          <w:szCs w:val="32"/>
        </w:rPr>
        <w:t>机关运行经费支出153.35万元，比</w:t>
      </w:r>
      <w:r>
        <w:rPr>
          <w:rFonts w:ascii="仿宋" w:eastAsia="仿宋"/>
          <w:color w:val="000000"/>
          <w:sz w:val="32"/>
          <w:szCs w:val="32"/>
        </w:rPr>
        <w:t>2019</w:t>
      </w:r>
      <w:r>
        <w:rPr>
          <w:rFonts w:ascii="仿宋" w:eastAsia="仿宋" w:hint="eastAsia"/>
          <w:color w:val="000000"/>
          <w:sz w:val="32"/>
          <w:szCs w:val="32"/>
        </w:rPr>
        <w:t>年减少18.38万元，下降11</w:t>
      </w:r>
      <w:r>
        <w:rPr>
          <w:rFonts w:ascii="仿宋" w:eastAsia="仿宋"/>
          <w:color w:val="000000"/>
          <w:sz w:val="32"/>
          <w:szCs w:val="32"/>
        </w:rPr>
        <w:t>%</w:t>
      </w:r>
      <w:r>
        <w:rPr>
          <w:rFonts w:ascii="仿宋" w:eastAsia="仿宋" w:hint="eastAsia"/>
          <w:color w:val="000000"/>
          <w:sz w:val="32"/>
          <w:szCs w:val="32"/>
        </w:rPr>
        <w:t>，主要原因是控制使用。</w:t>
      </w:r>
    </w:p>
    <w:p>
      <w:pPr>
        <w:spacing w:line="600" w:lineRule="exact"/>
        <w:ind w:firstLine="640"/>
        <w:rPr>
          <w:rFonts w:ascii="仿宋" w:eastAsia="仿宋"/>
          <w:color w:val="000000"/>
          <w:sz w:val="32"/>
          <w:szCs w:val="32"/>
        </w:rPr>
      </w:pPr>
      <w:bookmarkStart w:id="98" w:name="_Toc15377223"/>
      <w:bookmarkStart w:id="99" w:name="_Toc79163626"/>
      <w:bookmarkStart w:id="100" w:name="_Toc79163876"/>
      <w:r>
        <w:rPr>
          <w:rFonts w:ascii="仿宋" w:eastAsia="仿宋" w:hint="eastAsia"/>
          <w:color w:val="000000"/>
          <w:sz w:val="32"/>
          <w:szCs w:val="32"/>
        </w:rPr>
        <w:t>（二）政府采购支出情况</w:t>
      </w:r>
      <w:bookmarkEnd w:id="98"/>
      <w:bookmarkEnd w:id="99"/>
      <w:bookmarkEnd w:id="100"/>
    </w:p>
    <w:p>
      <w:pPr>
        <w:spacing w:line="600" w:lineRule="exact"/>
        <w:ind w:firstLine="640"/>
        <w:rPr>
          <w:rFonts w:ascii="仿宋_GB2312" w:eastAsia="仿宋_GB2312"/>
          <w:color w:val="000000"/>
          <w:sz w:val="32"/>
          <w:szCs w:val="32"/>
        </w:rPr>
      </w:pPr>
      <w:r>
        <w:rPr>
          <w:rFonts w:ascii="仿宋" w:eastAsia="仿宋"/>
          <w:color w:val="000000"/>
          <w:sz w:val="32"/>
          <w:szCs w:val="32"/>
        </w:rPr>
        <w:t>2020</w:t>
      </w:r>
      <w:r>
        <w:rPr>
          <w:rFonts w:ascii="仿宋" w:eastAsia="仿宋" w:hint="eastAsia"/>
          <w:color w:val="000000"/>
          <w:sz w:val="32"/>
          <w:szCs w:val="32"/>
        </w:rPr>
        <w:t>年，茂县</w:t>
      </w:r>
      <w:r>
        <w:rPr>
          <w:rFonts w:ascii="仿宋" w:eastAsia="仿宋"/>
          <w:color w:val="000000"/>
          <w:sz w:val="32"/>
          <w:szCs w:val="32"/>
        </w:rPr>
        <w:t>纪委</w:t>
      </w:r>
      <w:r>
        <w:rPr>
          <w:rFonts w:ascii="仿宋" w:eastAsia="仿宋" w:hint="eastAsia"/>
          <w:color w:val="000000"/>
          <w:sz w:val="32"/>
          <w:szCs w:val="32"/>
        </w:rPr>
        <w:t>政府采购支出总额38.42万元，其中：政府采购货物支出38.42万元、政府采购工程支出0万元、政府采购服务支出0万元。主要用于日常办公需要所进行的办公</w:t>
      </w:r>
      <w:r>
        <w:rPr>
          <w:rFonts w:ascii="仿宋" w:eastAsia="仿宋"/>
          <w:color w:val="000000"/>
          <w:sz w:val="32"/>
          <w:szCs w:val="32"/>
        </w:rPr>
        <w:t>设备采购</w:t>
      </w:r>
      <w:r>
        <w:rPr>
          <w:rFonts w:ascii="仿宋" w:eastAsia="仿宋" w:hint="eastAsia"/>
          <w:color w:val="000000"/>
          <w:sz w:val="32"/>
          <w:szCs w:val="32"/>
        </w:rPr>
        <w:t>。授予中小企业合同金额38.42万元，占政府采购支出总额的100</w:t>
      </w:r>
      <w:r>
        <w:rPr>
          <w:rFonts w:ascii="仿宋" w:eastAsia="仿宋"/>
          <w:color w:val="000000"/>
          <w:sz w:val="32"/>
          <w:szCs w:val="32"/>
        </w:rPr>
        <w:t>%</w:t>
      </w:r>
      <w:r>
        <w:rPr>
          <w:rFonts w:ascii="仿宋" w:eastAsia="仿宋" w:hint="eastAsia"/>
          <w:color w:val="000000"/>
          <w:sz w:val="32"/>
          <w:szCs w:val="32"/>
        </w:rPr>
        <w:t>，其中：授予小微企业合同金额38.42万元，占政府采购支出总额的100</w:t>
      </w:r>
      <w:r>
        <w:rPr>
          <w:rFonts w:ascii="仿宋" w:eastAsia="仿宋"/>
          <w:color w:val="000000"/>
          <w:sz w:val="32"/>
          <w:szCs w:val="32"/>
        </w:rPr>
        <w:t>%</w:t>
      </w:r>
      <w:r>
        <w:rPr>
          <w:rFonts w:ascii="仿宋_GB2312" w:eastAsia="仿宋_GB2312" w:hint="eastAsia"/>
          <w:color w:val="000000"/>
          <w:sz w:val="32"/>
          <w:szCs w:val="32"/>
        </w:rPr>
        <w:t>。</w:t>
      </w:r>
    </w:p>
    <w:p>
      <w:pPr>
        <w:spacing w:line="600" w:lineRule="exact"/>
        <w:ind w:firstLine="640"/>
        <w:rPr>
          <w:rFonts w:ascii="仿宋" w:eastAsia="仿宋"/>
          <w:color w:val="000000"/>
          <w:sz w:val="32"/>
          <w:szCs w:val="32"/>
        </w:rPr>
      </w:pPr>
      <w:bookmarkStart w:id="101" w:name="_Toc79163627"/>
      <w:bookmarkStart w:id="102" w:name="_Toc79163877"/>
      <w:bookmarkStart w:id="103" w:name="_Toc15377224"/>
      <w:r>
        <w:rPr>
          <w:rFonts w:ascii="仿宋" w:eastAsia="仿宋" w:hint="eastAsia"/>
          <w:color w:val="000000"/>
          <w:sz w:val="32"/>
          <w:szCs w:val="32"/>
        </w:rPr>
        <w:t>（三）国有资产占有使用情况</w:t>
      </w:r>
      <w:bookmarkEnd w:id="101"/>
      <w:bookmarkEnd w:id="102"/>
      <w:bookmarkEnd w:id="103"/>
    </w:p>
    <w:p>
      <w:pPr>
        <w:spacing w:line="600" w:lineRule="exact"/>
        <w:ind w:firstLine="640"/>
        <w:rPr>
          <w:rFonts w:ascii="仿宋" w:eastAsia="仿宋"/>
          <w:b/>
          <w:color w:val="FF0000"/>
          <w:sz w:val="32"/>
          <w:szCs w:val="32"/>
        </w:rPr>
      </w:pPr>
      <w:r>
        <w:rPr>
          <w:rFonts w:ascii="仿宋" w:eastAsia="仿宋" w:hint="eastAsia"/>
          <w:color w:val="000000"/>
          <w:sz w:val="32"/>
          <w:szCs w:val="32"/>
        </w:rPr>
        <w:t>截至</w:t>
      </w:r>
      <w:r>
        <w:rPr>
          <w:rFonts w:ascii="仿宋" w:eastAsia="仿宋"/>
          <w:color w:val="000000"/>
          <w:sz w:val="32"/>
          <w:szCs w:val="32"/>
        </w:rPr>
        <w:t>2020</w:t>
      </w:r>
      <w:r>
        <w:rPr>
          <w:rFonts w:ascii="仿宋" w:eastAsia="仿宋" w:hint="eastAsia"/>
          <w:color w:val="000000"/>
          <w:sz w:val="32"/>
          <w:szCs w:val="32"/>
        </w:rPr>
        <w:t>年</w:t>
      </w:r>
      <w:r>
        <w:rPr>
          <w:rFonts w:ascii="仿宋" w:eastAsia="仿宋"/>
          <w:color w:val="000000"/>
          <w:sz w:val="32"/>
          <w:szCs w:val="32"/>
        </w:rPr>
        <w:t>12</w:t>
      </w:r>
      <w:r>
        <w:rPr>
          <w:rFonts w:ascii="仿宋" w:eastAsia="仿宋" w:hint="eastAsia"/>
          <w:color w:val="000000"/>
          <w:sz w:val="32"/>
          <w:szCs w:val="32"/>
        </w:rPr>
        <w:t>月</w:t>
      </w:r>
      <w:r>
        <w:rPr>
          <w:rFonts w:ascii="仿宋" w:eastAsia="仿宋"/>
          <w:color w:val="000000"/>
          <w:sz w:val="32"/>
          <w:szCs w:val="32"/>
        </w:rPr>
        <w:t>31</w:t>
      </w:r>
      <w:r>
        <w:rPr>
          <w:rFonts w:ascii="仿宋" w:eastAsia="仿宋" w:hint="eastAsia"/>
          <w:color w:val="000000"/>
          <w:sz w:val="32"/>
          <w:szCs w:val="32"/>
        </w:rPr>
        <w:t>日，茂县</w:t>
      </w:r>
      <w:r>
        <w:rPr>
          <w:rFonts w:ascii="仿宋" w:eastAsia="仿宋"/>
          <w:color w:val="000000"/>
          <w:sz w:val="32"/>
          <w:szCs w:val="32"/>
        </w:rPr>
        <w:t>纪委</w:t>
      </w:r>
      <w:r>
        <w:rPr>
          <w:rFonts w:ascii="仿宋" w:eastAsia="仿宋" w:hint="eastAsia"/>
          <w:color w:val="000000"/>
          <w:sz w:val="32"/>
          <w:szCs w:val="32"/>
        </w:rPr>
        <w:t>共有车辆2辆，其中：主要领导干部用车0辆、机要通信用车0辆、应急保障用车0辆、其他用车2辆，其他用车主要是用于执法执勤。单价</w:t>
      </w:r>
      <w:r>
        <w:rPr>
          <w:rFonts w:ascii="仿宋" w:eastAsia="仿宋"/>
          <w:color w:val="000000"/>
          <w:sz w:val="32"/>
          <w:szCs w:val="32"/>
        </w:rPr>
        <w:t>50</w:t>
      </w:r>
      <w:r>
        <w:rPr>
          <w:rFonts w:ascii="仿宋" w:eastAsia="仿宋" w:hint="eastAsia"/>
          <w:color w:val="000000"/>
          <w:sz w:val="32"/>
          <w:szCs w:val="32"/>
        </w:rPr>
        <w:t>万元以上通用设备0台（套），单价</w:t>
      </w:r>
      <w:r>
        <w:rPr>
          <w:rFonts w:ascii="仿宋" w:eastAsia="仿宋"/>
          <w:color w:val="000000"/>
          <w:sz w:val="32"/>
          <w:szCs w:val="32"/>
        </w:rPr>
        <w:t>100</w:t>
      </w:r>
      <w:r>
        <w:rPr>
          <w:rFonts w:ascii="仿宋" w:eastAsia="仿宋" w:hint="eastAsia"/>
          <w:color w:val="000000"/>
          <w:sz w:val="32"/>
          <w:szCs w:val="32"/>
        </w:rPr>
        <w:t>万元以上专用设备0台（套）。</w:t>
      </w:r>
      <w:bookmarkStart w:id="104" w:name="_Toc79163878"/>
      <w:bookmarkStart w:id="105" w:name="_Toc79163628"/>
    </w:p>
    <w:p>
      <w:pPr>
        <w:spacing w:line="600" w:lineRule="exact"/>
        <w:ind w:firstLine="640"/>
        <w:rPr>
          <w:rFonts w:ascii="仿宋" w:eastAsia="仿宋"/>
          <w:color w:val="000000"/>
          <w:sz w:val="32"/>
          <w:szCs w:val="32"/>
        </w:rPr>
      </w:pPr>
      <w:r>
        <w:rPr>
          <w:rFonts w:ascii="仿宋" w:eastAsia="仿宋" w:hint="eastAsia"/>
          <w:color w:val="000000"/>
          <w:sz w:val="32"/>
          <w:szCs w:val="32"/>
        </w:rPr>
        <w:t>（四）预算绩效管理情况</w:t>
      </w:r>
      <w:bookmarkEnd w:id="104"/>
      <w:bookmarkEnd w:id="105"/>
    </w:p>
    <w:p>
      <w:pPr>
        <w:spacing w:line="600" w:lineRule="exact"/>
        <w:ind w:firstLine="640"/>
        <w:rPr>
          <w:rFonts w:ascii="仿宋" w:eastAsia="仿宋"/>
          <w:color w:val="000000"/>
          <w:sz w:val="32"/>
          <w:szCs w:val="32"/>
        </w:rPr>
      </w:pPr>
      <w:r>
        <w:rPr>
          <w:rFonts w:ascii="仿宋" w:eastAsia="仿宋" w:hint="eastAsia"/>
          <w:color w:val="000000"/>
          <w:sz w:val="32"/>
          <w:szCs w:val="32"/>
        </w:rPr>
        <w:t>根据预算绩效管理要求，本部门在年初预算编制阶段，组织对州纪委在茂县留置点（谈话点）钢架棚建设、廉政档案管理系统开展了预算事前绩效评估，对2个项目编制了绩效目标，预算执行过程中，选取2个项目开展绩效监控，年终执行完毕后，对2个项目开展了绩效目标完成情况自评。</w:t>
      </w:r>
    </w:p>
    <w:p>
      <w:pPr>
        <w:spacing w:line="600" w:lineRule="exact"/>
        <w:ind w:firstLine="640"/>
        <w:rPr>
          <w:rFonts w:ascii="仿宋" w:eastAsia="仿宋"/>
          <w:color w:val="000000"/>
          <w:sz w:val="32"/>
          <w:szCs w:val="32"/>
        </w:rPr>
      </w:pPr>
      <w:r>
        <w:rPr>
          <w:rFonts w:ascii="仿宋" w:eastAsia="仿宋" w:hint="eastAsia"/>
          <w:color w:val="000000"/>
          <w:sz w:val="32"/>
          <w:szCs w:val="32"/>
        </w:rPr>
        <w:t>本部门按要求对</w:t>
      </w:r>
      <w:r>
        <w:rPr>
          <w:rFonts w:ascii="仿宋" w:eastAsia="仿宋"/>
          <w:color w:val="000000"/>
          <w:sz w:val="32"/>
          <w:szCs w:val="32"/>
        </w:rPr>
        <w:t>2020</w:t>
      </w:r>
      <w:r>
        <w:rPr>
          <w:rFonts w:ascii="仿宋" w:eastAsia="仿宋" w:hint="eastAsia"/>
          <w:color w:val="000000"/>
          <w:sz w:val="32"/>
          <w:szCs w:val="32"/>
        </w:rPr>
        <w:t>年部门整体支出开展绩效自评，从评价情况来看本单位对所有项目都进行严格管理，比如：严格按照政策进行采购、资产管理、内控制度管理、信息公开、绩效评价及依法接受财政监督情况等。</w:t>
      </w:r>
    </w:p>
    <w:p>
      <w:pPr>
        <w:spacing w:line="600" w:lineRule="exact"/>
        <w:ind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项目绩效目标完成情况</w:t>
      </w:r>
    </w:p>
    <w:p>
      <w:pPr>
        <w:spacing w:line="600" w:lineRule="exact"/>
        <w:ind w:firstLine="640"/>
        <w:rPr>
          <w:rFonts w:ascii="仿宋" w:eastAsia="仿宋"/>
          <w:color w:val="000000"/>
          <w:sz w:val="32"/>
          <w:szCs w:val="32"/>
        </w:rPr>
      </w:pPr>
      <w:r>
        <w:rPr>
          <w:rFonts w:ascii="仿宋" w:eastAsia="仿宋" w:hint="eastAsia"/>
          <w:color w:val="000000"/>
          <w:sz w:val="32"/>
          <w:szCs w:val="32"/>
        </w:rPr>
        <w:t>本部门在</w:t>
      </w:r>
      <w:r>
        <w:rPr>
          <w:rFonts w:ascii="仿宋" w:eastAsia="仿宋"/>
          <w:color w:val="000000"/>
          <w:sz w:val="32"/>
          <w:szCs w:val="32"/>
        </w:rPr>
        <w:t>2020</w:t>
      </w:r>
      <w:r>
        <w:rPr>
          <w:rFonts w:ascii="仿宋" w:eastAsia="仿宋" w:hint="eastAsia"/>
          <w:color w:val="000000"/>
          <w:sz w:val="32"/>
          <w:szCs w:val="32"/>
        </w:rPr>
        <w:t>年度部门决算中反映“州纪委在茂县留置点（谈话点）钢架棚建设、廉政档案管理系统”2个项目绩效目标实际完成情况。</w:t>
      </w:r>
    </w:p>
    <w:p>
      <w:pPr>
        <w:spacing w:line="600" w:lineRule="exact"/>
        <w:ind w:firstLine="640"/>
        <w:rPr>
          <w:rFonts w:ascii="仿宋" w:eastAsia="仿宋"/>
          <w:color w:val="000000"/>
          <w:sz w:val="32"/>
          <w:szCs w:val="32"/>
        </w:rPr>
      </w:pPr>
      <w:r>
        <w:rPr>
          <w:rFonts w:ascii="仿宋" w:eastAsia="仿宋" w:hint="eastAsia"/>
          <w:color w:val="000000"/>
          <w:sz w:val="32"/>
          <w:szCs w:val="32"/>
        </w:rPr>
        <w:t>（</w:t>
      </w:r>
      <w:r>
        <w:rPr>
          <w:rFonts w:ascii="仿宋" w:eastAsia="仿宋"/>
          <w:color w:val="000000"/>
          <w:sz w:val="32"/>
          <w:szCs w:val="32"/>
        </w:rPr>
        <w:t>1</w:t>
      </w:r>
      <w:r>
        <w:rPr>
          <w:rFonts w:ascii="仿宋" w:eastAsia="仿宋" w:hint="eastAsia"/>
          <w:color w:val="000000"/>
          <w:sz w:val="32"/>
          <w:szCs w:val="32"/>
        </w:rPr>
        <w:t>）州纪委在茂县留置点（谈话点）钢架棚建设项目绩效目标完成情况综述。项目全年预算数46.42万元，执行数为46.42万元，完成预算的100</w:t>
      </w:r>
      <w:r>
        <w:rPr>
          <w:rFonts w:ascii="仿宋" w:eastAsia="仿宋"/>
          <w:color w:val="000000"/>
          <w:sz w:val="32"/>
          <w:szCs w:val="32"/>
        </w:rPr>
        <w:t>%</w:t>
      </w:r>
      <w:r>
        <w:rPr>
          <w:rFonts w:ascii="仿宋" w:eastAsia="仿宋" w:hint="eastAsia"/>
          <w:color w:val="000000"/>
          <w:sz w:val="32"/>
          <w:szCs w:val="32"/>
        </w:rPr>
        <w:t>。通过项目实施，保障了办案拥有一个安全场所，做到合法合规办案。</w:t>
      </w:r>
    </w:p>
    <w:p>
      <w:pPr>
        <w:spacing w:line="600" w:lineRule="exact"/>
        <w:ind w:firstLine="640"/>
        <w:rPr>
          <w:rFonts w:ascii="仿宋_GB2312" w:eastAsia="仿宋_GB2312" w:cs="仿宋_GB2312"/>
          <w:sz w:val="32"/>
          <w:szCs w:val="32"/>
        </w:rPr>
      </w:pPr>
      <w:r>
        <w:rPr>
          <w:rFonts w:ascii="仿宋" w:eastAsia="仿宋" w:hint="eastAsia"/>
          <w:color w:val="000000"/>
          <w:sz w:val="32"/>
          <w:szCs w:val="32"/>
        </w:rPr>
        <w:t>（</w:t>
      </w:r>
      <w:r>
        <w:rPr>
          <w:rFonts w:ascii="仿宋" w:eastAsia="仿宋"/>
          <w:color w:val="000000"/>
          <w:sz w:val="32"/>
          <w:szCs w:val="32"/>
        </w:rPr>
        <w:t>2</w:t>
      </w:r>
      <w:r>
        <w:rPr>
          <w:rFonts w:ascii="仿宋" w:eastAsia="仿宋" w:hint="eastAsia"/>
          <w:color w:val="000000"/>
          <w:sz w:val="32"/>
          <w:szCs w:val="32"/>
        </w:rPr>
        <w:t>）廉政档案管理系统项目绩效目标完成情况综述。项目全年预算数6万元，执行数为6万元，完成预算的100</w:t>
      </w:r>
      <w:r>
        <w:rPr>
          <w:rFonts w:ascii="仿宋" w:eastAsia="仿宋"/>
          <w:color w:val="000000"/>
          <w:sz w:val="32"/>
          <w:szCs w:val="32"/>
        </w:rPr>
        <w:t>%</w:t>
      </w:r>
      <w:r>
        <w:rPr>
          <w:rFonts w:ascii="仿宋" w:eastAsia="仿宋" w:hint="eastAsia"/>
          <w:color w:val="000000"/>
          <w:sz w:val="32"/>
          <w:szCs w:val="32"/>
        </w:rPr>
        <w:t>。通过项目实施，保障廉政档案管理规范化、电子化、网络化；可以准确、及时、客观地反映各级领导干部廉洁从政、执行党风廉政建设责任制以及因违纪违法被处分的情况；可以方便地进行查阅、统计和归档，避免了纸质档案不易保管、不便查阅等诸多缺点。</w:t>
      </w:r>
    </w:p>
    <w:p>
      <w:pPr>
        <w:spacing w:line="580" w:lineRule="exact"/>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int="eastAsia"/>
              </w:rPr>
              <w:t>州纪委在茂县留置点、谈话点钢架棚建设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w:t>
            </w:r>
            <w:r>
              <w:rPr>
                <w:rFonts w:ascii="宋体" w:cs="宋体"/>
                <w:color w:val="000000"/>
                <w:sz w:val="24"/>
              </w:rPr>
              <w:t>纪委</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46.42万元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46.42万元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46.42万元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46.42万元</w:t>
            </w:r>
          </w:p>
        </w:tc>
      </w:tr>
      <w:tr>
        <w:trPr>
          <w:trHeight w:val="189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0万元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保障办案拥有一个安全场所，做到合法合规办案</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保障了办案拥有一个安全场所，做到合法合规办案</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int="eastAsia"/>
              </w:rPr>
              <w:t>州纪委在茂县留置点、谈话点钢架棚建设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保障办案拥有一个安全场所，做到合法合规办案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保障办案拥有一个安全场所，做到合法合规办案</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工作完成度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24"/>
              </w:rPr>
              <w:t>按期完成</w:t>
            </w:r>
            <w:r>
              <w:rPr>
                <w:rFonts w:ascii="宋体" w:hint="eastAsia"/>
              </w:rPr>
              <w:t>茂县留置点、谈话点钢架棚建设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24"/>
              </w:rPr>
              <w:t>按期完成</w:t>
            </w:r>
            <w:r>
              <w:rPr>
                <w:rFonts w:ascii="宋体" w:hint="eastAsia"/>
              </w:rPr>
              <w:t>茂县留置点、谈话点钢架棚建设</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2020年度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2020年度</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&gt;95%</w:t>
            </w:r>
          </w:p>
        </w:tc>
      </w:tr>
    </w:tbl>
    <w:p>
      <w:pPr>
        <w:spacing w:line="580" w:lineRule="exact"/>
        <w:ind w:firstLineChars="200" w:firstLine="640"/>
        <w:rPr>
          <w:rFonts w:ascii="仿宋_GB2312" w:eastAsia="仿宋_GB2312" w:cs="仿宋_GB2312"/>
          <w:sz w:val="32"/>
          <w:szCs w:val="32"/>
        </w:rPr>
      </w:pPr>
    </w:p>
    <w:tbl>
      <w:tblPr>
        <w:tblpPr w:leftFromText="180" w:rightFromText="180" w:vertAnchor="text" w:horzAnchor="page" w:tblpXSpec="center" w:tblpY="423"/>
        <w:tblOverlap w:val="never"/>
        <w:tblW w:w="10221"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053"/>
        <w:gridCol w:w="2733"/>
        <w:gridCol w:w="2653"/>
      </w:tblGrid>
      <w:tr>
        <w:trPr>
          <w:trHeight w:val="1034"/>
        </w:trPr>
        <w:tc>
          <w:tcPr>
            <w:tcW w:w="10221"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(2020</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439"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廉政档案管理系统建设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439"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w:t>
            </w:r>
            <w:r>
              <w:rPr>
                <w:rFonts w:ascii="宋体" w:cs="宋体"/>
                <w:color w:val="000000"/>
                <w:sz w:val="24"/>
              </w:rPr>
              <w:t>纪委</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0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6万元</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0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6万元</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6万元</w:t>
            </w:r>
          </w:p>
        </w:tc>
      </w:tr>
      <w:tr>
        <w:trPr>
          <w:trHeight w:val="1330"/>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0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0万元</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0万元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445"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53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843"/>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445"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hAnsi="仿宋_GB2312" w:hint="eastAsia"/>
                <w:lang w:val="zh-CN"/>
              </w:rPr>
              <w:t>完成廉政档案管理系统平台部署</w:t>
            </w:r>
          </w:p>
        </w:tc>
        <w:tc>
          <w:tcPr>
            <w:tcW w:w="53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保障廉政档案管理规范化、电子化、网络化；可以准确、及时、客观地反映各级领导干部廉洁从政、执行党风廉政建设责任制以及因违纪违法被处分的情况；方便查阅、统计和归档</w:t>
            </w:r>
          </w:p>
        </w:tc>
      </w:tr>
      <w:tr>
        <w:trPr>
          <w:trHeight w:val="627"/>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0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0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廉政档案管理系统建设</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hAnsi="仿宋_GB2312" w:hint="eastAsia"/>
                <w:lang w:val="zh-CN"/>
              </w:rPr>
              <w:t>完成廉政档案管理系统平台部署</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保障廉政档案管理规范化、电子化、网络化；可以准确、及时、客观地反映各级领导干部廉洁从政、执行党风廉政建设责任制以及因违纪违法被处分的情况；方便查阅、统计和归档</w:t>
            </w:r>
          </w:p>
        </w:tc>
      </w:tr>
      <w:tr>
        <w:trPr>
          <w:trHeight w:val="974"/>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0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工作完成度</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24"/>
              </w:rPr>
              <w:t>按期完成</w:t>
            </w:r>
            <w:r>
              <w:rPr>
                <w:rFonts w:ascii="宋体" w:cs="宋体" w:hint="eastAsia"/>
                <w:color w:val="000000"/>
                <w:kern w:val="0"/>
                <w:sz w:val="24"/>
              </w:rPr>
              <w:t>廉政档案管理系统建设</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24"/>
              </w:rPr>
              <w:t>按期完成</w:t>
            </w:r>
            <w:r>
              <w:rPr>
                <w:rFonts w:ascii="宋体" w:cs="宋体" w:hint="eastAsia"/>
                <w:color w:val="000000"/>
                <w:kern w:val="0"/>
                <w:sz w:val="24"/>
              </w:rPr>
              <w:t>廉政档案管理系统建设</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0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完成时间</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2020年度</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2020年度</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0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&gt;90%</w:t>
            </w:r>
          </w:p>
        </w:tc>
        <w:tc>
          <w:tcPr>
            <w:tcW w:w="26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&gt;95%</w:t>
            </w:r>
          </w:p>
        </w:tc>
      </w:tr>
    </w:tbl>
    <w:p>
      <w:pPr>
        <w:spacing w:line="580" w:lineRule="exact"/>
        <w:rPr>
          <w:rFonts w:ascii="仿宋_GB2312" w:eastAsia="仿宋_GB2312" w:cs="仿宋_GB2312"/>
          <w:sz w:val="32"/>
          <w:szCs w:val="32"/>
        </w:rPr>
      </w:pPr>
    </w:p>
    <w:p>
      <w:pPr>
        <w:spacing w:line="580" w:lineRule="exact"/>
        <w:ind w:left="630"/>
        <w:rPr>
          <w:rFonts w:ascii="仿宋" w:eastAsia="仿宋"/>
          <w:color w:val="000000"/>
          <w:sz w:val="32"/>
          <w:szCs w:val="32"/>
        </w:rPr>
      </w:pPr>
      <w:r>
        <w:rPr>
          <w:rFonts w:ascii="仿宋" w:eastAsia="仿宋"/>
          <w:color w:val="000000"/>
          <w:sz w:val="32"/>
          <w:szCs w:val="32"/>
        </w:rPr>
        <w:t>2.</w:t>
      </w:r>
      <w:r>
        <w:rPr>
          <w:rFonts w:ascii="仿宋" w:eastAsia="仿宋" w:hint="eastAsia"/>
          <w:color w:val="000000"/>
          <w:sz w:val="32"/>
          <w:szCs w:val="32"/>
        </w:rPr>
        <w:t>部门绩效评价结果</w:t>
      </w:r>
    </w:p>
    <w:p>
      <w:pPr>
        <w:spacing w:line="580" w:lineRule="exact"/>
        <w:ind w:firstLineChars="200" w:firstLine="640"/>
        <w:rPr>
          <w:rFonts w:ascii="仿宋" w:eastAsia="仿宋"/>
          <w:color w:val="000000"/>
          <w:sz w:val="32"/>
          <w:szCs w:val="32"/>
        </w:rPr>
      </w:pPr>
      <w:r>
        <w:rPr>
          <w:rFonts w:ascii="仿宋" w:eastAsia="仿宋" w:hint="eastAsia"/>
          <w:color w:val="000000"/>
          <w:sz w:val="32"/>
          <w:szCs w:val="32"/>
        </w:rPr>
        <w:t>本部门按要求对</w:t>
      </w:r>
      <w:r>
        <w:rPr>
          <w:rFonts w:ascii="仿宋" w:eastAsia="仿宋"/>
          <w:color w:val="000000"/>
          <w:sz w:val="32"/>
          <w:szCs w:val="32"/>
        </w:rPr>
        <w:t>2020</w:t>
      </w:r>
      <w:r>
        <w:rPr>
          <w:rFonts w:ascii="仿宋" w:eastAsia="仿宋" w:hint="eastAsia"/>
          <w:color w:val="000000"/>
          <w:sz w:val="32"/>
          <w:szCs w:val="32"/>
        </w:rPr>
        <w:t>年部门整体支出绩效评价情况开展自评，《茂县</w:t>
      </w:r>
      <w:r>
        <w:rPr>
          <w:rFonts w:ascii="仿宋" w:eastAsia="仿宋"/>
          <w:color w:val="000000"/>
          <w:sz w:val="32"/>
          <w:szCs w:val="32"/>
        </w:rPr>
        <w:t>纪委</w:t>
      </w:r>
      <w:r>
        <w:rPr>
          <w:rFonts w:ascii="仿宋" w:eastAsia="仿宋" w:hint="eastAsia"/>
          <w:color w:val="000000"/>
          <w:sz w:val="32"/>
          <w:szCs w:val="32"/>
        </w:rPr>
        <w:t>部门</w:t>
      </w:r>
      <w:r>
        <w:rPr>
          <w:rFonts w:ascii="仿宋" w:eastAsia="仿宋"/>
          <w:color w:val="000000"/>
          <w:sz w:val="32"/>
          <w:szCs w:val="32"/>
        </w:rPr>
        <w:t>2020</w:t>
      </w:r>
      <w:r>
        <w:rPr>
          <w:rFonts w:ascii="仿宋" w:eastAsia="仿宋" w:hint="eastAsia"/>
          <w:color w:val="000000"/>
          <w:sz w:val="32"/>
          <w:szCs w:val="32"/>
        </w:rPr>
        <w:t>年部门整体支出绩效评价报告》见附件（附件</w:t>
      </w:r>
      <w:r>
        <w:rPr>
          <w:rFonts w:ascii="仿宋" w:eastAsia="仿宋"/>
          <w:color w:val="000000"/>
          <w:sz w:val="32"/>
          <w:szCs w:val="32"/>
        </w:rPr>
        <w:t>1</w:t>
      </w:r>
      <w:r>
        <w:rPr>
          <w:rFonts w:ascii="仿宋" w:eastAsia="仿宋" w:hint="eastAsia"/>
          <w:color w:val="000000"/>
          <w:sz w:val="32"/>
          <w:szCs w:val="32"/>
        </w:rPr>
        <w:t>）。</w:t>
      </w:r>
    </w:p>
    <w:p>
      <w:pPr>
        <w:spacing w:line="580" w:lineRule="exact"/>
        <w:ind w:firstLineChars="200" w:firstLine="640"/>
        <w:rPr>
          <w:rFonts w:ascii="仿宋_GB2312" w:eastAsia="仿宋_GB2312"/>
          <w:b/>
          <w:color w:val="000000"/>
          <w:sz w:val="32"/>
          <w:szCs w:val="32"/>
        </w:rPr>
      </w:pPr>
      <w:r>
        <w:rPr>
          <w:rFonts w:ascii="仿宋" w:eastAsia="仿宋" w:hint="eastAsia"/>
          <w:color w:val="000000"/>
          <w:sz w:val="32"/>
          <w:szCs w:val="32"/>
        </w:rPr>
        <w:t>本部门自行组织对茂县留置点（谈话点）钢架棚建设项目、廉政档案管理系统建设项目开展了绩效评价，《茂县留置点（谈话点）钢架棚建设项目</w:t>
      </w:r>
      <w:r>
        <w:rPr>
          <w:rFonts w:ascii="仿宋" w:eastAsia="仿宋"/>
          <w:color w:val="000000"/>
          <w:sz w:val="32"/>
          <w:szCs w:val="32"/>
        </w:rPr>
        <w:t>2020</w:t>
      </w:r>
      <w:r>
        <w:rPr>
          <w:rFonts w:ascii="仿宋" w:eastAsia="仿宋" w:hint="eastAsia"/>
          <w:color w:val="000000"/>
          <w:sz w:val="32"/>
          <w:szCs w:val="32"/>
        </w:rPr>
        <w:t>年绩效评价报告》见附件（附件</w:t>
      </w:r>
      <w:r>
        <w:rPr>
          <w:rFonts w:ascii="仿宋" w:eastAsia="仿宋"/>
          <w:color w:val="000000"/>
          <w:sz w:val="32"/>
          <w:szCs w:val="32"/>
        </w:rPr>
        <w:t>2</w:t>
      </w:r>
      <w:r>
        <w:rPr>
          <w:rFonts w:ascii="仿宋" w:eastAsia="仿宋" w:hint="eastAsia"/>
          <w:color w:val="000000"/>
          <w:sz w:val="32"/>
          <w:szCs w:val="32"/>
        </w:rPr>
        <w:t>）；《廉政档案管理系统建设项目</w:t>
      </w:r>
      <w:r>
        <w:rPr>
          <w:rFonts w:ascii="仿宋" w:eastAsia="仿宋"/>
          <w:color w:val="000000"/>
          <w:sz w:val="32"/>
          <w:szCs w:val="32"/>
        </w:rPr>
        <w:t>2020</w:t>
      </w:r>
      <w:r>
        <w:rPr>
          <w:rFonts w:ascii="仿宋" w:eastAsia="仿宋" w:hint="eastAsia"/>
          <w:color w:val="000000"/>
          <w:sz w:val="32"/>
          <w:szCs w:val="32"/>
        </w:rPr>
        <w:t>年绩效评价报告》见附件（附件3）。</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3"/>
        </w:numPr>
        <w:spacing w:line="600" w:lineRule="exact"/>
        <w:ind w:left="0" w:firstLineChars="150" w:firstLine="660"/>
        <w:jc w:val="center"/>
        <w:outlineLvl w:val="0"/>
        <w:rPr>
          <w:rStyle w:val="1Char"/>
          <w:rFonts w:ascii="黑体" w:eastAsia="黑体"/>
          <w:b w:val="0"/>
        </w:rPr>
      </w:pPr>
      <w:bookmarkStart w:id="106" w:name="_Toc79163629"/>
      <w:bookmarkStart w:id="107" w:name="_Toc15396613"/>
      <w:bookmarkStart w:id="108" w:name="_Toc15377225"/>
      <w:bookmarkStart w:id="109" w:name="_Toc79163879"/>
      <w:r>
        <w:rPr>
          <w:rFonts w:ascii="黑体" w:eastAsia="黑体" w:hint="eastAsia"/>
          <w:color w:val="000000"/>
          <w:sz w:val="44"/>
          <w:szCs w:val="44"/>
        </w:rPr>
        <w:t>名</w:t>
      </w:r>
      <w:r>
        <w:rPr>
          <w:rStyle w:val="1Char"/>
          <w:rFonts w:ascii="黑体" w:eastAsia="黑体" w:hint="eastAsia"/>
          <w:b w:val="0"/>
        </w:rPr>
        <w:t>词解释</w:t>
      </w:r>
      <w:bookmarkEnd w:id="106"/>
      <w:bookmarkEnd w:id="107"/>
      <w:bookmarkEnd w:id="108"/>
      <w:bookmarkEnd w:id="109"/>
    </w:p>
    <w:p>
      <w:pPr>
        <w:spacing w:line="600" w:lineRule="exact"/>
        <w:jc w:val="left"/>
        <w:rPr>
          <w:rFonts w:ascii="宋体"/>
          <w:b/>
          <w:color w:val="000000"/>
          <w:sz w:val="44"/>
          <w:szCs w:val="44"/>
        </w:rPr>
      </w:pPr>
    </w:p>
    <w:p>
      <w:pPr>
        <w:pStyle w:val="34"/>
        <w:spacing w:line="560" w:lineRule="exact"/>
        <w:ind w:firstLineChars="200" w:firstLine="640"/>
        <w:rPr>
          <w:rFonts w:cs="Times New Roman"/>
          <w:kern w:val="2"/>
          <w:sz w:val="32"/>
          <w:szCs w:val="32"/>
        </w:rPr>
      </w:pPr>
      <w:r>
        <w:rPr>
          <w:rFonts w:cs="Times New Roman"/>
          <w:kern w:val="2"/>
          <w:sz w:val="32"/>
          <w:szCs w:val="32"/>
        </w:rPr>
        <w:t>1.</w:t>
      </w:r>
      <w:r>
        <w:rPr>
          <w:rFonts w:cs="Times New Roman" w:hint="eastAsia"/>
          <w:kern w:val="2"/>
          <w:sz w:val="32"/>
          <w:szCs w:val="32"/>
        </w:rPr>
        <w:t>财政拨款收入：指单位从同级财政部门取得的财政预算资金。</w:t>
      </w:r>
    </w:p>
    <w:p>
      <w:pPr>
        <w:pStyle w:val="34"/>
        <w:spacing w:line="560" w:lineRule="exact"/>
        <w:ind w:firstLineChars="200" w:firstLine="640"/>
        <w:rPr>
          <w:rFonts w:cs="Times New Roman"/>
          <w:kern w:val="2"/>
          <w:sz w:val="32"/>
          <w:szCs w:val="32"/>
        </w:rPr>
      </w:pPr>
      <w:r>
        <w:rPr>
          <w:rFonts w:cs="Times New Roman"/>
          <w:kern w:val="2"/>
          <w:sz w:val="32"/>
          <w:szCs w:val="32"/>
        </w:rPr>
        <w:t>2.</w:t>
      </w:r>
      <w:r>
        <w:rPr>
          <w:rFonts w:cs="Times New Roman" w:hint="eastAsia"/>
          <w:kern w:val="2"/>
          <w:sz w:val="32"/>
          <w:szCs w:val="32"/>
        </w:rPr>
        <w:t>事业收入：指事业单位开展专业业务活动及辅助活动取得的收入。</w:t>
      </w:r>
    </w:p>
    <w:p>
      <w:pPr>
        <w:pStyle w:val="34"/>
        <w:spacing w:line="560" w:lineRule="exact"/>
        <w:ind w:firstLineChars="200" w:firstLine="640"/>
        <w:rPr>
          <w:rFonts w:cs="Times New Roman"/>
          <w:kern w:val="2"/>
          <w:sz w:val="32"/>
          <w:szCs w:val="32"/>
        </w:rPr>
      </w:pPr>
      <w:r>
        <w:rPr>
          <w:rFonts w:cs="Times New Roman"/>
          <w:kern w:val="2"/>
          <w:sz w:val="32"/>
          <w:szCs w:val="32"/>
        </w:rPr>
        <w:t>3.</w:t>
      </w:r>
      <w:r>
        <w:rPr>
          <w:rFonts w:cs="Times New Roman" w:hint="eastAsia"/>
          <w:kern w:val="2"/>
          <w:sz w:val="32"/>
          <w:szCs w:val="32"/>
        </w:rPr>
        <w:t>经营收入：指事业单位在专业业务活动及其辅助活动之外开展非独立核算经营活动取得的收入。</w:t>
      </w:r>
    </w:p>
    <w:p>
      <w:pPr>
        <w:pStyle w:val="34"/>
        <w:spacing w:line="560" w:lineRule="exact"/>
        <w:ind w:firstLineChars="200" w:firstLine="640"/>
        <w:rPr>
          <w:rFonts w:cs="Times New Roman"/>
          <w:kern w:val="2"/>
          <w:sz w:val="32"/>
          <w:szCs w:val="32"/>
        </w:rPr>
      </w:pPr>
      <w:r>
        <w:rPr>
          <w:rFonts w:cs="Times New Roman"/>
          <w:kern w:val="2"/>
          <w:sz w:val="32"/>
          <w:szCs w:val="32"/>
        </w:rPr>
        <w:t>4.</w:t>
      </w:r>
      <w:r>
        <w:rPr>
          <w:rFonts w:cs="Times New Roman" w:hint="eastAsia"/>
          <w:kern w:val="2"/>
          <w:sz w:val="32"/>
          <w:szCs w:val="32"/>
        </w:rPr>
        <w:t>其他收入：指单位取得的除上述收入以外的各项收入。</w:t>
      </w:r>
    </w:p>
    <w:p>
      <w:pPr>
        <w:pStyle w:val="34"/>
        <w:spacing w:line="560" w:lineRule="exact"/>
        <w:ind w:firstLineChars="200" w:firstLine="640"/>
        <w:rPr>
          <w:rFonts w:cs="Times New Roman"/>
          <w:kern w:val="2"/>
          <w:sz w:val="32"/>
          <w:szCs w:val="32"/>
        </w:rPr>
      </w:pPr>
      <w:r>
        <w:rPr>
          <w:rFonts w:cs="Times New Roman"/>
          <w:kern w:val="2"/>
          <w:sz w:val="32"/>
          <w:szCs w:val="32"/>
        </w:rPr>
        <w:t>5.</w:t>
      </w:r>
      <w:r>
        <w:rPr>
          <w:rFonts w:cs="Times New Roman" w:hint="eastAsia"/>
          <w:kern w:val="2"/>
          <w:sz w:val="32"/>
          <w:szCs w:val="32"/>
        </w:rPr>
        <w:t>使用非财政拨款结余：指事业单位使用以前年度积累的非财政拨款结余弥补当年收支差额的金额。</w:t>
      </w:r>
    </w:p>
    <w:p>
      <w:pPr>
        <w:pStyle w:val="34"/>
        <w:spacing w:line="560" w:lineRule="exact"/>
        <w:ind w:firstLineChars="200" w:firstLine="640"/>
        <w:rPr>
          <w:rFonts w:cs="Times New Roman"/>
          <w:kern w:val="2"/>
          <w:sz w:val="32"/>
          <w:szCs w:val="32"/>
        </w:rPr>
      </w:pPr>
      <w:r>
        <w:rPr>
          <w:rFonts w:cs="Times New Roman"/>
          <w:kern w:val="2"/>
          <w:sz w:val="32"/>
          <w:szCs w:val="32"/>
        </w:rPr>
        <w:t>6.</w:t>
      </w:r>
      <w:r>
        <w:rPr>
          <w:rFonts w:cs="Times New Roman" w:hint="eastAsia"/>
          <w:kern w:val="2"/>
          <w:sz w:val="32"/>
          <w:szCs w:val="32"/>
        </w:rPr>
        <w:t>年初结转和结余：指以前年度尚未完成、结转到本年按有关规定继续使用的资金。</w:t>
      </w:r>
    </w:p>
    <w:p>
      <w:pPr>
        <w:pStyle w:val="34"/>
        <w:spacing w:line="560" w:lineRule="exact"/>
        <w:ind w:firstLineChars="200" w:firstLine="640"/>
        <w:rPr>
          <w:rFonts w:cs="Times New Roman"/>
          <w:kern w:val="2"/>
          <w:sz w:val="32"/>
          <w:szCs w:val="32"/>
        </w:rPr>
      </w:pPr>
      <w:r>
        <w:rPr>
          <w:rFonts w:cs="Times New Roman"/>
          <w:kern w:val="2"/>
          <w:sz w:val="32"/>
          <w:szCs w:val="32"/>
        </w:rPr>
        <w:t>7.</w:t>
      </w:r>
      <w:r>
        <w:rPr>
          <w:rFonts w:cs="Times New Roman" w:hint="eastAsia"/>
          <w:kern w:val="2"/>
          <w:sz w:val="32"/>
          <w:szCs w:val="32"/>
        </w:rPr>
        <w:t>结余分配：指事业单位按照会计制度规定缴纳的所得税、提取的专用结余以及转入非财政拨款结余的金额等。</w:t>
      </w:r>
    </w:p>
    <w:p>
      <w:pPr>
        <w:pStyle w:val="34"/>
        <w:spacing w:line="560" w:lineRule="exact"/>
        <w:ind w:firstLineChars="200" w:firstLine="640"/>
        <w:rPr>
          <w:rFonts w:cs="Times New Roman"/>
          <w:kern w:val="2"/>
          <w:sz w:val="32"/>
          <w:szCs w:val="32"/>
        </w:rPr>
      </w:pPr>
      <w:r>
        <w:rPr>
          <w:rFonts w:cs="Times New Roman"/>
          <w:kern w:val="2"/>
          <w:sz w:val="32"/>
          <w:szCs w:val="32"/>
        </w:rPr>
        <w:t>8</w:t>
      </w:r>
      <w:r>
        <w:rPr>
          <w:rFonts w:cs="Times New Roman" w:hint="eastAsia"/>
          <w:kern w:val="2"/>
          <w:sz w:val="32"/>
          <w:szCs w:val="32"/>
        </w:rPr>
        <w:t>.年末结转和结余：指单位按有关规定结转到下年或以后年度继续使用的资金。</w:t>
      </w:r>
    </w:p>
    <w:p>
      <w:pPr>
        <w:ind w:firstLineChars="200" w:firstLine="640"/>
        <w:rPr>
          <w:rFonts w:ascii="仿宋" w:eastAsia="仿宋"/>
          <w:color w:val="000000"/>
          <w:sz w:val="32"/>
          <w:szCs w:val="32"/>
        </w:rPr>
      </w:pPr>
      <w:r>
        <w:rPr>
          <w:rFonts w:ascii="仿宋" w:eastAsia="仿宋"/>
          <w:color w:val="000000"/>
          <w:sz w:val="32"/>
          <w:szCs w:val="32"/>
        </w:rPr>
        <w:t>9.</w:t>
      </w:r>
      <w:r>
        <w:rPr>
          <w:rFonts w:ascii="仿宋" w:eastAsia="仿宋" w:hint="eastAsia"/>
          <w:color w:val="000000"/>
          <w:sz w:val="32"/>
          <w:szCs w:val="32"/>
        </w:rPr>
        <w:t xml:space="preserve"> 一般公共服务（类）纪检监察事务（款）行政运行（项）：指单位开展日常工作所需日常公用经费开支及单位职工的人员经费开支。</w:t>
      </w:r>
    </w:p>
    <w:p>
      <w:pPr>
        <w:ind w:firstLineChars="200" w:firstLine="640"/>
        <w:rPr>
          <w:rFonts w:ascii="仿宋" w:eastAsia="仿宋"/>
          <w:color w:val="000000"/>
          <w:sz w:val="32"/>
          <w:szCs w:val="32"/>
        </w:rPr>
      </w:pPr>
      <w:r>
        <w:rPr>
          <w:rFonts w:ascii="仿宋" w:eastAsia="仿宋"/>
          <w:color w:val="000000"/>
          <w:sz w:val="32"/>
          <w:szCs w:val="32"/>
        </w:rPr>
        <w:t>10.</w:t>
      </w:r>
      <w:r>
        <w:rPr>
          <w:rFonts w:ascii="仿宋" w:eastAsia="仿宋" w:hint="eastAsia"/>
          <w:color w:val="000000"/>
          <w:sz w:val="32"/>
          <w:szCs w:val="32"/>
        </w:rPr>
        <w:t xml:space="preserve"> 一般公共服务（类）纪检监察事务（款）一般行政管理事务（项）：指单位申请日常工作所需专项开支经费。</w:t>
      </w:r>
    </w:p>
    <w:p>
      <w:pPr>
        <w:ind w:firstLineChars="200" w:firstLine="640"/>
        <w:rPr>
          <w:rFonts w:ascii="仿宋" w:eastAsia="仿宋"/>
          <w:color w:val="000000"/>
          <w:sz w:val="32"/>
          <w:szCs w:val="32"/>
        </w:rPr>
      </w:pPr>
      <w:r>
        <w:rPr>
          <w:rFonts w:ascii="仿宋" w:eastAsia="仿宋"/>
          <w:color w:val="000000"/>
          <w:sz w:val="32"/>
          <w:szCs w:val="32"/>
        </w:rPr>
        <w:t>11.</w:t>
      </w:r>
      <w:r>
        <w:rPr>
          <w:rFonts w:ascii="仿宋" w:eastAsia="仿宋" w:hint="eastAsia"/>
          <w:color w:val="000000"/>
          <w:sz w:val="32"/>
          <w:szCs w:val="32"/>
        </w:rPr>
        <w:t xml:space="preserve"> 一般公共服务（类）纪检监察事务（款）事业运行（项）：指单位开展日常工作所需日常公用经费开支及单位职工的人员经费开支。</w:t>
      </w:r>
    </w:p>
    <w:p>
      <w:pPr>
        <w:ind w:firstLineChars="200" w:firstLine="640"/>
        <w:rPr>
          <w:rFonts w:ascii="仿宋" w:eastAsia="仿宋"/>
          <w:color w:val="000000"/>
          <w:sz w:val="32"/>
          <w:szCs w:val="32"/>
        </w:rPr>
      </w:pPr>
      <w:r>
        <w:rPr>
          <w:rFonts w:ascii="仿宋" w:eastAsia="仿宋" w:hint="eastAsia"/>
          <w:color w:val="000000"/>
          <w:sz w:val="32"/>
          <w:szCs w:val="32"/>
        </w:rPr>
        <w:t>12. 一般公共服务（类）纪检监察事务（款）其他纪检监察事务支出（项）：指单位申请日常工作所需专项开支经费。</w:t>
      </w:r>
    </w:p>
    <w:p>
      <w:pPr>
        <w:ind w:firstLineChars="200"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3</w:t>
      </w:r>
      <w:r>
        <w:rPr>
          <w:rFonts w:ascii="仿宋" w:eastAsia="仿宋"/>
          <w:color w:val="000000"/>
          <w:sz w:val="32"/>
          <w:szCs w:val="32"/>
        </w:rPr>
        <w:t>.</w:t>
      </w:r>
      <w:r>
        <w:rPr>
          <w:rFonts w:ascii="仿宋" w:eastAsia="仿宋" w:hint="eastAsia"/>
          <w:color w:val="000000"/>
          <w:sz w:val="32"/>
          <w:szCs w:val="32"/>
        </w:rPr>
        <w:t>社会保障和就业（类）行政事业单位</w:t>
      </w:r>
      <w:r>
        <w:rPr>
          <w:rFonts w:ascii="仿宋" w:eastAsia="仿宋" w:hint="eastAsia"/>
          <w:color w:val="000000"/>
          <w:sz w:val="32"/>
          <w:szCs w:val="32"/>
          <w:lang w:eastAsia="zh-CN"/>
        </w:rPr>
        <w:t>养老支出</w:t>
      </w:r>
      <w:r>
        <w:rPr>
          <w:rFonts w:ascii="仿宋" w:eastAsia="仿宋" w:hint="eastAsia"/>
          <w:color w:val="000000"/>
          <w:sz w:val="32"/>
          <w:szCs w:val="32"/>
        </w:rPr>
        <w:t>（款）机关事业单位基本养老保险缴费支出（项）：指给单位职工缴纳单位部分的养老保险。</w:t>
      </w:r>
    </w:p>
    <w:p>
      <w:pPr>
        <w:ind w:firstLineChars="200"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4</w:t>
      </w:r>
      <w:r>
        <w:rPr>
          <w:rFonts w:ascii="仿宋" w:eastAsia="仿宋"/>
          <w:color w:val="000000"/>
          <w:sz w:val="32"/>
          <w:szCs w:val="32"/>
        </w:rPr>
        <w:t>.</w:t>
      </w:r>
      <w:r>
        <w:rPr>
          <w:rFonts w:ascii="仿宋" w:eastAsia="仿宋" w:hint="eastAsia"/>
          <w:color w:val="000000"/>
          <w:sz w:val="32"/>
          <w:szCs w:val="32"/>
        </w:rPr>
        <w:t>社会保障和就业</w:t>
      </w:r>
      <w:r>
        <w:rPr>
          <w:rFonts w:ascii="仿宋" w:eastAsia="仿宋" w:hint="eastAsia"/>
          <w:color w:val="000000"/>
          <w:sz w:val="32"/>
          <w:szCs w:val="32"/>
          <w:lang w:eastAsia="zh-CN"/>
        </w:rPr>
        <w:t>支出</w:t>
      </w:r>
      <w:r>
        <w:rPr>
          <w:rFonts w:ascii="仿宋" w:eastAsia="仿宋" w:hint="eastAsia"/>
          <w:color w:val="000000"/>
          <w:sz w:val="32"/>
          <w:szCs w:val="32"/>
        </w:rPr>
        <w:t>（类）行政事业</w:t>
      </w:r>
      <w:r>
        <w:rPr>
          <w:rFonts w:ascii="仿宋" w:eastAsia="仿宋" w:hint="eastAsia"/>
          <w:color w:val="000000"/>
          <w:sz w:val="32"/>
          <w:szCs w:val="32"/>
          <w:lang w:eastAsia="zh-CN"/>
        </w:rPr>
        <w:t>单位养老支出</w:t>
      </w:r>
      <w:r>
        <w:rPr>
          <w:rFonts w:ascii="仿宋" w:eastAsia="仿宋" w:hint="eastAsia"/>
          <w:color w:val="000000"/>
          <w:sz w:val="32"/>
          <w:szCs w:val="32"/>
        </w:rPr>
        <w:t>（款）机关事业单位职业年金缴费支出（项）：指给单位职工缴纳单位部分职业年金。。</w:t>
      </w:r>
    </w:p>
    <w:p>
      <w:pPr>
        <w:ind w:firstLineChars="200"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5</w:t>
      </w:r>
      <w:r>
        <w:rPr>
          <w:rFonts w:ascii="仿宋" w:eastAsia="仿宋"/>
          <w:color w:val="000000"/>
          <w:sz w:val="32"/>
          <w:szCs w:val="32"/>
        </w:rPr>
        <w:t>.</w:t>
      </w:r>
      <w:r>
        <w:rPr>
          <w:rFonts w:ascii="仿宋" w:eastAsia="仿宋" w:hint="eastAsia"/>
          <w:color w:val="000000"/>
          <w:sz w:val="32"/>
          <w:szCs w:val="32"/>
        </w:rPr>
        <w:t>卫生健康支出（类）行政事业单位医疗（款）行政单位医疗（项）：指给单位职工缴纳单位部分的医疗保险。</w:t>
      </w:r>
    </w:p>
    <w:p>
      <w:pPr>
        <w:ind w:firstLineChars="200" w:firstLine="640"/>
        <w:rPr>
          <w:rFonts w:ascii="仿宋" w:eastAsia="仿宋"/>
          <w:color w:val="000000"/>
          <w:sz w:val="32"/>
          <w:szCs w:val="32"/>
        </w:rPr>
      </w:pPr>
      <w:r>
        <w:rPr>
          <w:rFonts w:ascii="仿宋" w:eastAsia="仿宋" w:hint="eastAsia"/>
          <w:color w:val="000000"/>
          <w:sz w:val="32"/>
          <w:szCs w:val="32"/>
        </w:rPr>
        <w:t>16.卫生健康支出（类）行政事业单位医疗（款）事业单位医疗（项）：指给单位事业人员缴纳单位部分的医疗保险。</w:t>
      </w:r>
    </w:p>
    <w:p>
      <w:pPr>
        <w:ind w:firstLineChars="200"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7</w:t>
      </w:r>
      <w:r>
        <w:rPr>
          <w:rFonts w:ascii="仿宋" w:eastAsia="仿宋"/>
          <w:color w:val="000000"/>
          <w:sz w:val="32"/>
          <w:szCs w:val="32"/>
        </w:rPr>
        <w:t>.</w:t>
      </w:r>
      <w:r>
        <w:rPr>
          <w:rFonts w:ascii="仿宋" w:eastAsia="仿宋" w:hint="eastAsia"/>
          <w:color w:val="000000"/>
          <w:sz w:val="32"/>
          <w:szCs w:val="32"/>
        </w:rPr>
        <w:t>住房保障</w:t>
      </w:r>
      <w:r>
        <w:rPr>
          <w:rFonts w:ascii="仿宋" w:eastAsia="仿宋" w:hint="eastAsia"/>
          <w:color w:val="000000"/>
          <w:sz w:val="32"/>
          <w:szCs w:val="32"/>
          <w:lang w:eastAsia="zh-CN"/>
        </w:rPr>
        <w:t>支出</w:t>
      </w:r>
      <w:r>
        <w:rPr>
          <w:rFonts w:ascii="仿宋" w:eastAsia="仿宋" w:hint="eastAsia"/>
          <w:color w:val="000000"/>
          <w:sz w:val="32"/>
          <w:szCs w:val="32"/>
        </w:rPr>
        <w:t>(类)住房改革支出（款）住房公积金（项）：指给单位职工缴纳单位部分的住房公积金。</w:t>
      </w:r>
    </w:p>
    <w:p>
      <w:pPr>
        <w:ind w:firstLineChars="200" w:firstLine="640"/>
        <w:rPr>
          <w:rFonts w:ascii="仿宋" w:eastAsia="仿宋"/>
          <w:color w:val="000000"/>
          <w:sz w:val="32"/>
          <w:szCs w:val="32"/>
        </w:rPr>
      </w:pPr>
      <w:r>
        <w:rPr>
          <w:rFonts w:ascii="仿宋" w:eastAsia="仿宋" w:hint="eastAsia"/>
          <w:color w:val="000000"/>
          <w:sz w:val="32"/>
          <w:szCs w:val="32"/>
        </w:rPr>
        <w:t>18</w:t>
      </w:r>
      <w:r>
        <w:rPr>
          <w:rFonts w:ascii="仿宋" w:eastAsia="仿宋"/>
          <w:color w:val="000000"/>
          <w:sz w:val="32"/>
          <w:szCs w:val="32"/>
        </w:rPr>
        <w:t>.</w:t>
      </w:r>
      <w:r>
        <w:rPr>
          <w:rFonts w:ascii="仿宋" w:eastAsia="仿宋" w:hint="eastAsia"/>
          <w:color w:val="000000"/>
          <w:sz w:val="32"/>
          <w:szCs w:val="32"/>
        </w:rPr>
        <w:t>基本支出：指为保障机构正常运转、完成日常工作任务而发生的人员支出和公用支出。</w:t>
      </w:r>
    </w:p>
    <w:p>
      <w:pPr>
        <w:ind w:firstLineChars="200" w:firstLine="640"/>
        <w:rPr>
          <w:rFonts w:ascii="仿宋" w:eastAsia="仿宋"/>
          <w:color w:val="000000"/>
          <w:sz w:val="32"/>
          <w:szCs w:val="32"/>
        </w:rPr>
      </w:pPr>
      <w:r>
        <w:rPr>
          <w:rFonts w:ascii="仿宋" w:eastAsia="仿宋" w:hint="eastAsia"/>
          <w:color w:val="000000"/>
          <w:sz w:val="32"/>
          <w:szCs w:val="32"/>
        </w:rPr>
        <w:t>19</w:t>
      </w:r>
      <w:r>
        <w:rPr>
          <w:rFonts w:ascii="仿宋" w:eastAsia="仿宋"/>
          <w:color w:val="000000"/>
          <w:sz w:val="32"/>
          <w:szCs w:val="32"/>
        </w:rPr>
        <w:t>.</w:t>
      </w:r>
      <w:r>
        <w:rPr>
          <w:rFonts w:ascii="仿宋" w:eastAsia="仿宋" w:hint="eastAsia"/>
          <w:color w:val="000000"/>
          <w:sz w:val="32"/>
          <w:szCs w:val="32"/>
        </w:rPr>
        <w:t>项目支出：指在基本支出之外为完成特定行政任务和事业发展目标所发生的支出。</w:t>
      </w:r>
    </w:p>
    <w:p>
      <w:pPr>
        <w:pStyle w:val="34"/>
        <w:spacing w:line="560" w:lineRule="exact"/>
        <w:ind w:firstLineChars="200" w:firstLine="640"/>
        <w:rPr>
          <w:rFonts w:cs="Times New Roman"/>
          <w:kern w:val="2"/>
          <w:sz w:val="32"/>
          <w:szCs w:val="32"/>
        </w:rPr>
      </w:pPr>
      <w:r>
        <w:rPr>
          <w:rFonts w:cs="Times New Roman" w:hint="eastAsia"/>
          <w:kern w:val="2"/>
          <w:sz w:val="32"/>
          <w:szCs w:val="32"/>
        </w:rPr>
        <w:t>20</w:t>
      </w:r>
      <w:r>
        <w:rPr>
          <w:rFonts w:cs="Times New Roman"/>
          <w:kern w:val="2"/>
          <w:sz w:val="32"/>
          <w:szCs w:val="32"/>
        </w:rPr>
        <w:t>.</w:t>
      </w:r>
      <w:r>
        <w:rPr>
          <w:rFonts w:cs="Times New Roman" w:hint="eastAsia"/>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Chars="200" w:firstLine="640"/>
        <w:jc w:val="left"/>
        <w:rPr>
          <w:rStyle w:val="1Char"/>
          <w:rFonts w:ascii="仿宋_GB2312" w:eastAsia="仿宋_GB2312" w:cs="仿宋"/>
          <w:b w:val="0"/>
          <w:bCs w:val="0"/>
          <w:kern w:val="0"/>
          <w:sz w:val="32"/>
          <w:szCs w:val="32"/>
        </w:rPr>
      </w:pPr>
      <w:r>
        <w:rPr>
          <w:rFonts w:cs="Times New Roman" w:hint="eastAsia"/>
          <w:kern w:val="2"/>
          <w:sz w:val="32"/>
          <w:szCs w:val="32"/>
        </w:rPr>
        <w:t>21</w:t>
      </w:r>
      <w:r>
        <w:rPr>
          <w:rFonts w:cs="Times New Roman"/>
          <w:kern w:val="2"/>
          <w:sz w:val="32"/>
          <w:szCs w:val="32"/>
        </w:rPr>
        <w:t>.</w:t>
      </w:r>
      <w:r>
        <w:rPr>
          <w:rFonts w:cs="Times New Roman" w:hint="eastAsia"/>
          <w:kern w:val="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10" w:name="_Toc15377226"/>
      <w:r>
        <w:rPr>
          <w:rFonts w:ascii="宋体" w:hAnsi="宋体"/>
          <w:b/>
          <w:sz w:val="44"/>
          <w:szCs w:val="44"/>
        </w:rPr>
        <w:br w:type="page"/>
      </w:r>
      <w:bookmarkStart w:id="111" w:name="_Toc15396614"/>
      <w:bookmarkStart w:id="112" w:name="_Toc79163630"/>
      <w:bookmarkStart w:id="113" w:name="_Toc79163880"/>
      <w:r>
        <w:rPr>
          <w:rFonts w:ascii="黑体" w:eastAsia="黑体" w:hint="eastAsia"/>
          <w:sz w:val="44"/>
          <w:szCs w:val="44"/>
        </w:rPr>
        <w:t>第</w:t>
      </w:r>
      <w:r>
        <w:rPr>
          <w:rStyle w:val="1Char"/>
          <w:rFonts w:ascii="黑体" w:eastAsia="黑体" w:hint="eastAsia"/>
          <w:b w:val="0"/>
        </w:rPr>
        <w:t>四部分附件</w:t>
      </w:r>
      <w:bookmarkEnd w:id="111"/>
      <w:bookmarkEnd w:id="112"/>
      <w:bookmarkEnd w:id="113"/>
    </w:p>
    <w:p>
      <w:pPr>
        <w:spacing w:line="600" w:lineRule="exact"/>
        <w:jc w:val="left"/>
        <w:outlineLvl w:val="0"/>
        <w:rPr>
          <w:rFonts w:ascii="方正小标宋简体" w:eastAsia="方正小标宋简体" w:cs="方正小标宋简体"/>
          <w:sz w:val="32"/>
          <w:szCs w:val="32"/>
        </w:rPr>
      </w:pPr>
      <w:bookmarkStart w:id="114" w:name="_Toc79163631"/>
      <w:bookmarkStart w:id="115" w:name="_Toc79163881"/>
      <w:r>
        <w:rPr>
          <w:rFonts w:ascii="黑体" w:eastAsia="黑体" w:cs="黑体" w:hint="eastAsia"/>
          <w:sz w:val="32"/>
          <w:szCs w:val="32"/>
        </w:rPr>
        <w:t>附件</w:t>
      </w:r>
      <w:r>
        <w:rPr>
          <w:rFonts w:ascii="黑体" w:eastAsia="黑体" w:cs="黑体"/>
          <w:sz w:val="32"/>
          <w:szCs w:val="32"/>
        </w:rPr>
        <w:t>1</w:t>
      </w:r>
      <w:bookmarkEnd w:id="114"/>
      <w:bookmarkEnd w:id="115"/>
    </w:p>
    <w:p>
      <w:pPr>
        <w:spacing w:line="580" w:lineRule="exact"/>
        <w:jc w:val="center"/>
        <w:rPr>
          <w:rFonts w:ascii="方正小标宋简体" w:eastAsia="方正小标宋简体" w:cs="方正小标宋简体"/>
          <w:sz w:val="44"/>
          <w:szCs w:val="44"/>
        </w:rPr>
      </w:pPr>
    </w:p>
    <w:p>
      <w:pPr>
        <w:widowControl/>
        <w:spacing w:line="580" w:lineRule="exact"/>
        <w:contextualSpacing/>
        <w:jc w:val="center"/>
        <w:rPr>
          <w:rFonts w:ascii="宋体"/>
          <w:b/>
          <w:sz w:val="44"/>
          <w:szCs w:val="44"/>
          <w:shd w:val="clear" w:color="auto" w:fill="FFFFFF"/>
        </w:rPr>
      </w:pPr>
      <w:r>
        <w:rPr>
          <w:rFonts w:ascii="宋体" w:hint="eastAsia"/>
          <w:b/>
          <w:sz w:val="44"/>
          <w:szCs w:val="44"/>
          <w:shd w:val="clear" w:color="auto" w:fill="FFFFFF"/>
        </w:rPr>
        <w:t>2021年茂县纪委整体支出</w:t>
      </w:r>
    </w:p>
    <w:p>
      <w:pPr>
        <w:widowControl/>
        <w:spacing w:line="580" w:lineRule="exact"/>
        <w:contextualSpacing/>
        <w:jc w:val="center"/>
        <w:rPr>
          <w:rFonts w:ascii="宋体"/>
          <w:b/>
          <w:sz w:val="44"/>
          <w:szCs w:val="44"/>
          <w:shd w:val="clear" w:color="auto" w:fill="FFFFFF"/>
        </w:rPr>
      </w:pPr>
      <w:r>
        <w:rPr>
          <w:rFonts w:ascii="宋体" w:hint="eastAsia"/>
          <w:b/>
          <w:sz w:val="44"/>
          <w:szCs w:val="44"/>
          <w:shd w:val="clear" w:color="auto" w:fill="FFFFFF"/>
        </w:rPr>
        <w:t>绩效评价报告</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一、部门概况</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（一）机构组成</w:t>
      </w:r>
    </w:p>
    <w:p>
      <w:pPr>
        <w:widowControl/>
        <w:spacing w:line="600" w:lineRule="exact"/>
        <w:ind w:leftChars="100" w:left="210" w:firstLineChars="200" w:firstLine="640"/>
        <w:jc w:val="left"/>
        <w:rPr>
          <w:rFonts w:ascii="仿宋" w:eastAsia="仿宋"/>
          <w:color w:val="000000"/>
          <w:sz w:val="32"/>
          <w:szCs w:val="32"/>
        </w:rPr>
      </w:pPr>
      <w:r>
        <w:rPr>
          <w:rFonts w:ascii="仿宋" w:eastAsia="仿宋" w:hint="eastAsia"/>
          <w:color w:val="000000"/>
          <w:sz w:val="32"/>
          <w:szCs w:val="32"/>
        </w:rPr>
        <w:t>本部门下属二级预算单位0个，其中内设机构为10室1委1中心。</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（二）机构职能</w:t>
      </w:r>
    </w:p>
    <w:p>
      <w:pPr>
        <w:spacing w:line="520" w:lineRule="exact"/>
        <w:ind w:firstLineChars="180" w:firstLine="576"/>
        <w:rPr>
          <w:rFonts w:ascii="仿宋" w:eastAsia="仿宋"/>
          <w:color w:val="000000"/>
          <w:sz w:val="32"/>
          <w:szCs w:val="32"/>
        </w:rPr>
      </w:pPr>
      <w:r>
        <w:rPr>
          <w:rFonts w:ascii="仿宋" w:eastAsia="仿宋" w:hint="eastAsia"/>
          <w:color w:val="000000"/>
          <w:sz w:val="32"/>
          <w:szCs w:val="32"/>
        </w:rPr>
        <w:t>1.主管全县党的纪律检查工作。负责贯彻落实中央和省州县党委关于加强党风廉政建设的决定，认真抓好反腐败斗争，维护党的章程和其他党内法规，检查党的路线、方针、政策和决议的执行情况。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ind w:firstLineChars="211" w:firstLine="678"/>
        <w:rPr>
          <w:rFonts w:ascii="仿宋" w:eastAsia="仿宋"/>
          <w:color w:val="000000"/>
          <w:sz w:val="32"/>
          <w:szCs w:val="32"/>
        </w:rPr>
      </w:pPr>
      <w:r>
        <w:rPr>
          <w:rFonts w:ascii="仿宋" w:eastAsia="仿宋" w:hint="eastAsia"/>
          <w:color w:val="000000"/>
          <w:sz w:val="32"/>
          <w:szCs w:val="32"/>
        </w:rPr>
        <w:t>2.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ind w:firstLineChars="211" w:firstLine="678"/>
        <w:rPr>
          <w:rFonts w:ascii="仿宋" w:eastAsia="仿宋"/>
          <w:color w:val="000000"/>
          <w:sz w:val="32"/>
          <w:szCs w:val="32"/>
        </w:rPr>
      </w:pPr>
      <w:r>
        <w:rPr>
          <w:rFonts w:ascii="仿宋" w:eastAsia="仿宋" w:hint="eastAsia"/>
          <w:color w:val="000000"/>
          <w:sz w:val="32"/>
          <w:szCs w:val="32"/>
        </w:rPr>
        <w:t>3.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ind w:firstLineChars="211" w:firstLine="678"/>
        <w:rPr>
          <w:rFonts w:ascii="仿宋" w:eastAsia="仿宋"/>
          <w:color w:val="000000"/>
          <w:sz w:val="32"/>
          <w:szCs w:val="32"/>
        </w:rPr>
      </w:pPr>
      <w:r>
        <w:rPr>
          <w:rFonts w:ascii="仿宋" w:eastAsia="仿宋" w:hint="eastAsia"/>
          <w:color w:val="000000"/>
          <w:sz w:val="32"/>
          <w:szCs w:val="32"/>
        </w:rPr>
        <w:t>4.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ind w:firstLineChars="211" w:firstLine="678"/>
        <w:rPr>
          <w:rFonts w:ascii="仿宋" w:eastAsia="仿宋"/>
          <w:color w:val="000000"/>
          <w:sz w:val="32"/>
          <w:szCs w:val="32"/>
        </w:rPr>
      </w:pPr>
      <w:r>
        <w:rPr>
          <w:rFonts w:ascii="仿宋" w:eastAsia="仿宋" w:hint="eastAsia"/>
          <w:color w:val="000000"/>
          <w:sz w:val="32"/>
          <w:szCs w:val="32"/>
        </w:rPr>
        <w:t>5.负责作出关于维护党纪的决定，制定全县党风党纪教育规划，配合有关部门做好党的纪检工作方针政策的宣传工作和对党员遵守纪律的教育工作。</w:t>
      </w:r>
    </w:p>
    <w:p>
      <w:pPr>
        <w:spacing w:line="520" w:lineRule="exact"/>
        <w:ind w:firstLineChars="211" w:firstLine="678"/>
        <w:rPr>
          <w:rFonts w:ascii="仿宋" w:eastAsia="仿宋"/>
          <w:color w:val="000000"/>
          <w:sz w:val="32"/>
          <w:szCs w:val="32"/>
        </w:rPr>
      </w:pPr>
      <w:r>
        <w:rPr>
          <w:rFonts w:ascii="仿宋" w:eastAsia="仿宋" w:hint="eastAsia"/>
          <w:color w:val="000000"/>
          <w:sz w:val="32"/>
          <w:szCs w:val="32"/>
        </w:rPr>
        <w:t>6.会同有关部门做好行政监察工作的方针、政策和法律法规的宣传工作，教育国家机关工作人员遵纪守法、为政清廉。</w:t>
      </w:r>
    </w:p>
    <w:p>
      <w:pPr>
        <w:spacing w:line="520" w:lineRule="exact"/>
        <w:ind w:firstLineChars="211" w:firstLine="678"/>
        <w:rPr>
          <w:rFonts w:ascii="仿宋" w:eastAsia="仿宋"/>
          <w:color w:val="000000"/>
          <w:sz w:val="32"/>
          <w:szCs w:val="32"/>
        </w:rPr>
      </w:pPr>
      <w:r>
        <w:rPr>
          <w:rFonts w:ascii="仿宋" w:eastAsia="仿宋" w:hint="eastAsia"/>
          <w:color w:val="000000"/>
          <w:sz w:val="32"/>
          <w:szCs w:val="32"/>
        </w:rPr>
        <w:t>7.负责对党的纪检工作理论及有关问题进行调查研究，拟定党纪条规和政策规定，参与制定党内法规。</w:t>
      </w:r>
    </w:p>
    <w:p>
      <w:pPr>
        <w:spacing w:line="520" w:lineRule="exact"/>
        <w:ind w:firstLineChars="211" w:firstLine="678"/>
        <w:rPr>
          <w:rFonts w:ascii="仿宋" w:eastAsia="仿宋"/>
          <w:color w:val="000000"/>
          <w:sz w:val="32"/>
          <w:szCs w:val="32"/>
        </w:rPr>
      </w:pPr>
      <w:r>
        <w:rPr>
          <w:rFonts w:ascii="仿宋" w:eastAsia="仿宋" w:hint="eastAsia"/>
          <w:color w:val="000000"/>
          <w:sz w:val="32"/>
          <w:szCs w:val="32"/>
        </w:rPr>
        <w:t>8.调查研究县政府各部门和各乡镇人民政府制定有关政策、法规的情况，对违反国家法律、法规的条款，提出修改、补充的建议。</w:t>
      </w:r>
    </w:p>
    <w:p>
      <w:pPr>
        <w:spacing w:line="520" w:lineRule="exact"/>
        <w:ind w:firstLineChars="211" w:firstLine="678"/>
        <w:rPr>
          <w:rFonts w:ascii="仿宋" w:eastAsia="仿宋"/>
          <w:color w:val="000000"/>
          <w:sz w:val="32"/>
          <w:szCs w:val="32"/>
        </w:rPr>
      </w:pPr>
      <w:r>
        <w:rPr>
          <w:rFonts w:ascii="仿宋" w:eastAsia="仿宋" w:hint="eastAsia"/>
          <w:color w:val="000000"/>
          <w:sz w:val="32"/>
          <w:szCs w:val="32"/>
        </w:rPr>
        <w:t>9.会同县直机关各部门以及各乡镇党委、政府，做好纪检监察干部的管理工作。组织和指导全县纪检、监察系统干部的培训工作。</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10.完成</w:t>
      </w:r>
      <w:r>
        <w:rPr>
          <w:rFonts w:ascii="仿宋" w:eastAsia="仿宋" w:hint="eastAsia"/>
          <w:color w:val="000000"/>
          <w:sz w:val="32"/>
          <w:szCs w:val="32"/>
          <w:lang w:eastAsia="zh-CN"/>
        </w:rPr>
        <w:t>县委、县政府</w:t>
      </w:r>
      <w:r>
        <w:rPr>
          <w:rFonts w:ascii="仿宋" w:eastAsia="仿宋" w:hint="eastAsia"/>
          <w:color w:val="000000"/>
          <w:sz w:val="32"/>
          <w:szCs w:val="32"/>
        </w:rPr>
        <w:t>和州纪委监察委授权和交办的其他任务。</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（三）人员概况</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总编制72名,其中:行政编制60名,参照公务员法管理的事业编制0名，行政工勤编制5名，事业编制7名，事业工勤编制0名。在职人员总数68名，其中：行政人员54名，参照公务员法管理的事业人员0名，行政工勤人员7名；事业人员7名，事业工勤人员0名。离休人员0人，退休人员7人；编外长期聘用人员0名。</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二、部门财政资金收支情况</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（一）部门财政资金收入情况</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2020年，部门财政拨款收入为1570.67万元。其中一般公共预算财政拨款为1570.67万元。</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2021年1-6月，部门财政拨款收入为815.9万元。其中一般公共预算财政拨款为815.9万元。</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（二）部门财政资金支出情况</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2020年，部门财政拨款支出为1647.08万元。其中，一般公共服务支出为1348.28万元、社会保障和就业支出为130.11万元、卫生健康支出为67.62万元、农林水支出为1.2万元、住房保障支出为99.87万元。</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2021年1-6月，部门财政拨款支出为819.17万元。其中一般公共预算财政拨款为819.17万元。</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三、部门整体预算绩效管理情况</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（一）部门预算管理</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2020年部门财政拨款收入总额为1570.67万元。其中一般公共预算财政拨款为1570.67万元。支出为1647.08万元。其中，一般公共服务支出为1348.28万元、社会保障和就业支出为130.11万元、卫生健康支出为67.62万元、农林水支出为1.2万元、住房保障支出为99.87万元。</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我单位预决算编制是严格按照要求报送资料，保证资料的真实性和完整性，完全对本单位的收支情况如实反映。</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（二）结果应用情况</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我单位严格按照预算执行进度进行资金使用管理，中期进行评估，“三公”经费严格按照预算执行，做到对资金的有效管理。</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本单位对所有项目都进行严格管理，比如：严格按照政策进行采购、资产管理、内控制度管理、信息公开、绩效评价及依法接受财政监督情况等。</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我单位将评价结果作为预算安排的重要依据，参照项目年度预算执行情况“三年滚动规划”执行情况统筹项目支出需求，保障重点支出，调整支出结构，优化财政资金配置，不断强化绩效理念，推动部门整体绩效管理水平不断提升。</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四、评价结论及建议</w:t>
      </w:r>
    </w:p>
    <w:p>
      <w:pPr>
        <w:widowControl/>
        <w:adjustRightInd w:val="0"/>
        <w:snapToGrid w:val="0"/>
        <w:spacing w:line="580" w:lineRule="exact"/>
        <w:ind w:firstLineChars="200" w:firstLine="640"/>
        <w:contextualSpacing/>
        <w:jc w:val="left"/>
        <w:rPr>
          <w:rFonts w:ascii="仿宋" w:eastAsia="仿宋"/>
          <w:color w:val="000000"/>
          <w:sz w:val="32"/>
          <w:szCs w:val="32"/>
        </w:rPr>
      </w:pPr>
      <w:r>
        <w:rPr>
          <w:rFonts w:ascii="仿宋" w:eastAsia="仿宋" w:hint="eastAsia"/>
          <w:color w:val="000000"/>
          <w:sz w:val="32"/>
          <w:szCs w:val="32"/>
        </w:rPr>
        <w:t>第一，评价结论为良好；第二，存在问题，需进一步加强完善制度建设；第三，改进建议，不断总结经验，不断完善制度。</w:t>
      </w:r>
    </w:p>
    <w:p>
      <w:pPr>
        <w:widowControl/>
        <w:adjustRightInd w:val="0"/>
        <w:snapToGrid w:val="0"/>
        <w:spacing w:line="580" w:lineRule="exact"/>
        <w:contextualSpacing/>
        <w:jc w:val="left"/>
        <w:rPr>
          <w:rFonts w:ascii="仿宋" w:eastAsia="仿宋"/>
          <w:color w:val="000000"/>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600" w:lineRule="exact"/>
        <w:jc w:val="left"/>
        <w:outlineLvl w:val="0"/>
        <w:rPr>
          <w:rFonts w:ascii="黑体" w:eastAsia="黑体" w:cs="黑体" w:hint="eastAsia"/>
          <w:sz w:val="32"/>
          <w:szCs w:val="32"/>
        </w:rPr>
      </w:pPr>
      <w:bookmarkStart w:id="116" w:name="_Toc79163633"/>
      <w:bookmarkStart w:id="117" w:name="_Toc79163883"/>
    </w:p>
    <w:p>
      <w:pPr>
        <w:spacing w:line="600" w:lineRule="exact"/>
        <w:jc w:val="left"/>
        <w:outlineLvl w:val="0"/>
        <w:rPr>
          <w:rFonts w:ascii="黑体" w:eastAsia="黑体" w:cs="黑体"/>
          <w:sz w:val="32"/>
          <w:szCs w:val="32"/>
        </w:rPr>
      </w:pPr>
      <w:r>
        <w:rPr>
          <w:rFonts w:ascii="黑体" w:eastAsia="黑体" w:cs="黑体" w:hint="eastAsia"/>
          <w:sz w:val="32"/>
          <w:szCs w:val="32"/>
        </w:rPr>
        <w:t>附件</w:t>
      </w:r>
      <w:r>
        <w:rPr>
          <w:rFonts w:ascii="黑体" w:eastAsia="黑体" w:cs="黑体"/>
          <w:sz w:val="32"/>
          <w:szCs w:val="32"/>
        </w:rPr>
        <w:t>2</w:t>
      </w:r>
      <w:bookmarkEnd w:id="116"/>
      <w:bookmarkEnd w:id="117"/>
    </w:p>
    <w:p>
      <w:pPr>
        <w:pStyle w:val="40"/>
        <w:spacing w:line="600" w:lineRule="exact"/>
        <w:ind w:firstLine="883"/>
        <w:jc w:val="center"/>
        <w:rPr>
          <w:rFonts w:ascii="方正小标宋简体" w:eastAsia="方正小标宋简体" w:cs="方正小标宋简体"/>
          <w:color w:val="auto"/>
          <w:kern w:val="2"/>
          <w:sz w:val="40"/>
          <w:szCs w:val="40"/>
        </w:rPr>
      </w:pPr>
      <w:bookmarkStart w:id="118" w:name="_Toc79163635"/>
      <w:bookmarkStart w:id="119" w:name="_Toc15396618"/>
      <w:bookmarkStart w:id="120" w:name="_Toc79163885"/>
      <w:r>
        <w:rPr>
          <w:rFonts w:ascii="方正小标宋简体" w:eastAsia="方正小标宋简体" w:cs="方正小标宋简体" w:hint="eastAsia"/>
          <w:color w:val="auto"/>
          <w:kern w:val="2"/>
          <w:sz w:val="40"/>
          <w:szCs w:val="40"/>
        </w:rPr>
        <w:t>茂县纪委</w:t>
      </w:r>
    </w:p>
    <w:p>
      <w:pPr>
        <w:pStyle w:val="40"/>
        <w:spacing w:line="600" w:lineRule="exact"/>
        <w:ind w:firstLine="883"/>
        <w:jc w:val="center"/>
        <w:rPr>
          <w:rFonts w:ascii="方正小标宋简体" w:eastAsia="方正小标宋简体" w:cs="方正小标宋简体"/>
          <w:color w:val="auto"/>
          <w:kern w:val="2"/>
          <w:sz w:val="40"/>
          <w:szCs w:val="40"/>
        </w:rPr>
      </w:pPr>
      <w:r>
        <w:rPr>
          <w:rFonts w:ascii="方正小标宋简体" w:eastAsia="方正小标宋简体" w:cs="方正小标宋简体" w:hint="eastAsia"/>
          <w:color w:val="auto"/>
          <w:kern w:val="2"/>
          <w:sz w:val="40"/>
          <w:szCs w:val="40"/>
        </w:rPr>
        <w:t>关于项目支出绩效自评报告</w:t>
      </w:r>
    </w:p>
    <w:p>
      <w:pPr>
        <w:pStyle w:val="40"/>
        <w:spacing w:line="600" w:lineRule="exact"/>
        <w:ind w:firstLine="640"/>
        <w:jc w:val="center"/>
        <w:rPr>
          <w:rFonts w:ascii="宋体"/>
          <w:color w:val="auto"/>
          <w:kern w:val="2"/>
          <w:sz w:val="32"/>
          <w:szCs w:val="32"/>
        </w:rPr>
      </w:pPr>
      <w:r>
        <w:rPr>
          <w:rFonts w:ascii="宋体" w:hint="eastAsia"/>
          <w:color w:val="auto"/>
          <w:kern w:val="2"/>
          <w:sz w:val="32"/>
          <w:szCs w:val="32"/>
        </w:rPr>
        <w:t>（州纪委在茂县留置点、谈话点钢架棚建设项目）</w:t>
      </w:r>
    </w:p>
    <w:p>
      <w:pPr>
        <w:adjustRightInd w:val="0"/>
        <w:snapToGrid w:val="0"/>
        <w:spacing w:line="600" w:lineRule="exact"/>
        <w:ind w:firstLine="720"/>
        <w:rPr>
          <w:rFonts w:ascii="仿宋" w:eastAsia="仿宋"/>
          <w:b/>
          <w:color w:val="000000"/>
          <w:sz w:val="32"/>
          <w:szCs w:val="32"/>
        </w:rPr>
      </w:pPr>
      <w:r>
        <w:rPr>
          <w:rFonts w:ascii="仿宋" w:eastAsia="仿宋" w:hint="eastAsia"/>
          <w:b/>
          <w:color w:val="000000"/>
          <w:sz w:val="32"/>
          <w:szCs w:val="32"/>
        </w:rPr>
        <w:t>一、项目概况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（一）项目基本情况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1.中共茂县纪律检查委员会在该项目中是主管实施单位。</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2.项目名称：州纪委在茂县留置点、谈话点钢架棚建设项目，工程地点：茂县谈话点；我单位经过项目比选，按照茂财质金（2019）12093号文件，按项目进度进行资金管理支付。</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（二）项目绩效目标</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1.项目主要内容：钢架棚屋面及防水工程。</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2.项目应实现的具体绩效目标是，完成留置谈话点的场所供应。</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3.通过分析评价申报内容与实际是相符的，申报目标是合理可行的。</w:t>
      </w:r>
    </w:p>
    <w:p>
      <w:pPr>
        <w:adjustRightInd w:val="0"/>
        <w:snapToGrid w:val="0"/>
        <w:spacing w:line="600" w:lineRule="exact"/>
        <w:ind w:firstLine="720"/>
        <w:rPr>
          <w:rFonts w:ascii="仿宋" w:eastAsia="仿宋"/>
          <w:b/>
          <w:color w:val="000000"/>
          <w:sz w:val="32"/>
          <w:szCs w:val="32"/>
        </w:rPr>
      </w:pPr>
      <w:r>
        <w:rPr>
          <w:rFonts w:ascii="仿宋" w:eastAsia="仿宋" w:hint="eastAsia"/>
          <w:b/>
          <w:color w:val="000000"/>
          <w:sz w:val="32"/>
          <w:szCs w:val="32"/>
        </w:rPr>
        <w:t>二、项目资金申报及使用情况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（一）项目资金申报及批复情况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该项目于2019年11月8日通过比选决定由四川升航建筑工程有限公司实施建设，资金于2020年1月7日由县财政局拨付到位54万元，项目合同总价款为46.42万元，按照项目实施进度支付款项，于2020年4月2日项目通过验收后支付35.52万元、2020年12月21日支付8.57万元，一年质保期后支付5%尾款。</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（二）资金到位及使用情况</w:t>
      </w:r>
    </w:p>
    <w:p>
      <w:pPr>
        <w:pStyle w:val="26"/>
        <w:spacing w:line="560" w:lineRule="exact"/>
        <w:ind w:leftChars="0" w:left="0" w:firstLineChars="200" w:firstLine="640"/>
        <w:rPr>
          <w:rFonts w:ascii="仿宋" w:eastAsia="仿宋"/>
          <w:color w:val="000000"/>
          <w:szCs w:val="32"/>
        </w:rPr>
      </w:pPr>
      <w:r>
        <w:rPr>
          <w:rFonts w:ascii="仿宋" w:eastAsia="仿宋" w:hint="eastAsia"/>
          <w:color w:val="000000"/>
          <w:szCs w:val="32"/>
        </w:rPr>
        <w:t>1．资金到位情况</w:t>
      </w:r>
    </w:p>
    <w:p>
      <w:pPr>
        <w:pStyle w:val="26"/>
        <w:spacing w:line="560" w:lineRule="exact"/>
        <w:ind w:leftChars="0" w:left="0" w:firstLineChars="200" w:firstLine="640"/>
        <w:rPr>
          <w:rFonts w:ascii="仿宋" w:eastAsia="仿宋"/>
          <w:color w:val="000000"/>
          <w:szCs w:val="32"/>
        </w:rPr>
      </w:pPr>
      <w:r>
        <w:rPr>
          <w:rFonts w:ascii="仿宋" w:eastAsia="仿宋" w:hint="eastAsia"/>
          <w:color w:val="000000"/>
          <w:szCs w:val="32"/>
        </w:rPr>
        <w:t>资金于2020年1月7日由县财政局拨付到位54万元。项目资金及时到位，资金到位率100％。</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2．资金使用情况</w:t>
      </w:r>
    </w:p>
    <w:p>
      <w:pPr>
        <w:pStyle w:val="26"/>
        <w:spacing w:line="560" w:lineRule="exact"/>
        <w:ind w:leftChars="0" w:left="0" w:firstLineChars="200" w:firstLine="640"/>
        <w:rPr>
          <w:rFonts w:ascii="仿宋" w:eastAsia="仿宋"/>
          <w:color w:val="000000"/>
          <w:szCs w:val="32"/>
        </w:rPr>
      </w:pPr>
      <w:r>
        <w:rPr>
          <w:rFonts w:ascii="仿宋" w:eastAsia="仿宋" w:hint="eastAsia"/>
          <w:color w:val="000000"/>
          <w:szCs w:val="32"/>
        </w:rPr>
        <w:t>州纪委在茂县留置点、谈话点钢架棚建设项目总价款6万元，已完工于2020年4月2日项目通过验收后支付35.52万元、2020年12月21日支付8.57万元，一年质保期后支付5%尾款。</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（三）项目财务管理情况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项目财务管理制度完善，对照项目资金管理办法，项目严格执行财务管理制度、财务处理及时、会计核算规范。我单位按照“统筹安排、引导投向、确保重点、强化管理”的工作思路，狠抓项目资金的使用管理。坚持做到项目及时下达、加强资金监管、项目资金使用有效。</w:t>
      </w:r>
    </w:p>
    <w:p>
      <w:pPr>
        <w:adjustRightInd w:val="0"/>
        <w:snapToGrid w:val="0"/>
        <w:spacing w:line="600" w:lineRule="exact"/>
        <w:ind w:firstLine="720"/>
        <w:rPr>
          <w:rFonts w:ascii="仿宋" w:eastAsia="仿宋"/>
          <w:b w:val="0"/>
          <w:bCs/>
          <w:color w:val="000000"/>
          <w:sz w:val="32"/>
          <w:szCs w:val="32"/>
        </w:rPr>
      </w:pPr>
      <w:r>
        <w:rPr>
          <w:rFonts w:ascii="仿宋" w:eastAsia="仿宋" w:hint="eastAsia"/>
          <w:b w:val="0"/>
          <w:bCs/>
          <w:color w:val="000000"/>
          <w:sz w:val="32"/>
          <w:szCs w:val="32"/>
        </w:rPr>
        <w:t>三、项目实施及管理情况</w:t>
      </w:r>
    </w:p>
    <w:p>
      <w:pPr>
        <w:adjustRightInd w:val="0"/>
        <w:snapToGrid w:val="0"/>
        <w:spacing w:line="600" w:lineRule="exact"/>
        <w:ind w:firstLine="720"/>
        <w:rPr>
          <w:rFonts w:ascii="仿宋" w:eastAsia="仿宋"/>
          <w:color w:val="000000"/>
          <w:sz w:val="32"/>
          <w:szCs w:val="32"/>
        </w:rPr>
      </w:pPr>
      <w:r>
        <w:rPr>
          <w:rFonts w:ascii="仿宋" w:eastAsia="仿宋"/>
          <w:color w:val="000000"/>
          <w:sz w:val="32"/>
          <w:szCs w:val="32"/>
        </w:rPr>
        <w:t>一是</w:t>
      </w:r>
      <w:r>
        <w:rPr>
          <w:rFonts w:ascii="仿宋" w:eastAsia="仿宋" w:hint="eastAsia"/>
          <w:color w:val="000000"/>
          <w:sz w:val="32"/>
          <w:szCs w:val="32"/>
        </w:rPr>
        <w:t>项目公开</w:t>
      </w:r>
      <w:r>
        <w:rPr>
          <w:rFonts w:ascii="仿宋" w:eastAsia="仿宋"/>
          <w:color w:val="000000"/>
          <w:sz w:val="32"/>
          <w:szCs w:val="32"/>
        </w:rPr>
        <w:t>比选制。项目实施和管理过程中有关事项属于政府采购和招投标范围的，必须严格按照政府采购和招投标有关规定执行；未达到政府采购和招投标标准的，项目实施单位必须按照公开、公正、公平的要求实行阳光操作。二是合同制。项目实施单位与施工单位签订合同，内容包括责任明确、建设内容、建设期限、质量标准、合同价款、施工安全和违约责任等。三是监</w:t>
      </w:r>
      <w:r>
        <w:rPr>
          <w:rFonts w:ascii="仿宋" w:eastAsia="仿宋" w:hint="eastAsia"/>
          <w:color w:val="000000"/>
          <w:sz w:val="32"/>
          <w:szCs w:val="32"/>
        </w:rPr>
        <w:t>管</w:t>
      </w:r>
      <w:r>
        <w:rPr>
          <w:rFonts w:ascii="仿宋" w:eastAsia="仿宋"/>
          <w:color w:val="000000"/>
          <w:sz w:val="32"/>
          <w:szCs w:val="32"/>
        </w:rPr>
        <w:t>制。主动向县财政申请资金</w:t>
      </w:r>
      <w:r>
        <w:rPr>
          <w:rFonts w:ascii="仿宋" w:eastAsia="仿宋" w:hint="eastAsia"/>
          <w:color w:val="000000"/>
          <w:sz w:val="32"/>
          <w:szCs w:val="32"/>
        </w:rPr>
        <w:t>说明</w:t>
      </w:r>
      <w:r>
        <w:rPr>
          <w:rFonts w:ascii="仿宋" w:eastAsia="仿宋"/>
          <w:color w:val="000000"/>
          <w:sz w:val="32"/>
          <w:szCs w:val="32"/>
        </w:rPr>
        <w:t>原由</w:t>
      </w:r>
      <w:r>
        <w:rPr>
          <w:rFonts w:ascii="仿宋" w:eastAsia="仿宋" w:hint="eastAsia"/>
          <w:color w:val="000000"/>
          <w:sz w:val="32"/>
          <w:szCs w:val="32"/>
        </w:rPr>
        <w:t>，按照财务制度合规合法报销流程。</w:t>
      </w:r>
    </w:p>
    <w:p>
      <w:pPr>
        <w:adjustRightInd w:val="0"/>
        <w:snapToGrid w:val="0"/>
        <w:spacing w:line="600" w:lineRule="exact"/>
        <w:ind w:firstLine="720"/>
        <w:rPr>
          <w:rFonts w:ascii="仿宋" w:eastAsia="仿宋"/>
          <w:b w:val="0"/>
          <w:bCs/>
          <w:color w:val="000000"/>
          <w:sz w:val="32"/>
          <w:szCs w:val="32"/>
        </w:rPr>
      </w:pPr>
      <w:r>
        <w:rPr>
          <w:rFonts w:ascii="仿宋" w:eastAsia="仿宋" w:hint="eastAsia"/>
          <w:b w:val="0"/>
          <w:bCs/>
          <w:color w:val="000000"/>
          <w:sz w:val="32"/>
          <w:szCs w:val="32"/>
        </w:rPr>
        <w:t>四、项目绩效情况</w:t>
        <w:tab/>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（一）项目完成情况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完成了州纪委在茂县留置点、谈话点钢架棚建设。</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（二）项目效益情况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为办案提供了安全场所，做到合法合规办案。</w:t>
      </w:r>
    </w:p>
    <w:p>
      <w:pPr>
        <w:adjustRightInd w:val="0"/>
        <w:snapToGrid w:val="0"/>
        <w:spacing w:line="600" w:lineRule="exact"/>
        <w:ind w:firstLine="720"/>
        <w:rPr>
          <w:rFonts w:ascii="仿宋" w:eastAsia="仿宋"/>
          <w:b w:val="0"/>
          <w:bCs/>
          <w:color w:val="000000"/>
          <w:sz w:val="32"/>
          <w:szCs w:val="32"/>
        </w:rPr>
      </w:pPr>
      <w:r>
        <w:rPr>
          <w:rFonts w:ascii="仿宋" w:eastAsia="仿宋" w:hint="eastAsia"/>
          <w:b w:val="0"/>
          <w:bCs/>
          <w:color w:val="000000"/>
          <w:sz w:val="32"/>
          <w:szCs w:val="32"/>
        </w:rPr>
        <w:t>五、评价结论及建议</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（一）存在的问题</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1.加强制度建设，明确工作责任</w:t>
      </w:r>
      <w:r>
        <w:rPr>
          <w:rFonts w:ascii="仿宋" w:eastAsia="仿宋" w:hint="eastAsia"/>
          <w:b/>
          <w:color w:val="000000"/>
          <w:sz w:val="32"/>
          <w:szCs w:val="32"/>
        </w:rPr>
        <w:t>。</w:t>
      </w:r>
      <w:r>
        <w:rPr>
          <w:rFonts w:ascii="仿宋" w:eastAsia="仿宋" w:hint="eastAsia"/>
          <w:color w:val="000000"/>
          <w:sz w:val="32"/>
          <w:szCs w:val="32"/>
        </w:rPr>
        <w:t>落实分管领导和具体工作人员，主要领导亲自抓，分管领导具体抓，把任务、责任落实到人，强化目标责任制。</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2.加强项目宣传工作。充分调动群众参与项目建设积极性，把项目宣传贯彻项目实施始终。</w:t>
        <w:tab/>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（二）相关建议</w:t>
      </w:r>
    </w:p>
    <w:p>
      <w:pPr>
        <w:adjustRightInd w:val="0"/>
        <w:snapToGrid w:val="0"/>
        <w:spacing w:line="600" w:lineRule="exact"/>
        <w:ind w:firstLineChars="200" w:firstLine="640"/>
        <w:rPr>
          <w:rFonts w:ascii="仿宋" w:eastAsia="仿宋"/>
          <w:color w:val="000000"/>
          <w:sz w:val="32"/>
          <w:szCs w:val="32"/>
        </w:rPr>
      </w:pPr>
      <w:r>
        <w:rPr>
          <w:rFonts w:ascii="仿宋" w:eastAsia="仿宋" w:hint="eastAsia"/>
          <w:color w:val="000000"/>
          <w:sz w:val="32"/>
          <w:szCs w:val="32"/>
        </w:rPr>
        <w:t>加强部门协调配合，从项目申报，项目设计及投资预算，项目监管，项目验收全过程加强同县级相关业务部门协调配合，确保项目质量及资金发挥最大效益。</w:t>
      </w:r>
    </w:p>
    <w:p>
      <w:pPr>
        <w:adjustRightInd w:val="0"/>
        <w:snapToGrid w:val="0"/>
        <w:spacing w:line="600" w:lineRule="exact"/>
        <w:ind w:firstLineChars="200" w:firstLine="640"/>
        <w:rPr>
          <w:rFonts w:ascii="仿宋" w:eastAsia="仿宋"/>
          <w:color w:val="000000"/>
          <w:sz w:val="32"/>
          <w:szCs w:val="32"/>
        </w:rPr>
      </w:pPr>
    </w:p>
    <w:p>
      <w:pPr>
        <w:spacing w:line="600" w:lineRule="exact"/>
        <w:ind w:right="420" w:firstLineChars="1500" w:firstLine="4800"/>
        <w:outlineLvl w:val="0"/>
        <w:rPr>
          <w:rFonts w:ascii="仿宋" w:eastAsia="仿宋"/>
          <w:color w:val="000000"/>
          <w:sz w:val="32"/>
          <w:szCs w:val="32"/>
        </w:rPr>
      </w:pPr>
      <w:r>
        <w:rPr>
          <w:rFonts w:ascii="仿宋" w:eastAsia="仿宋" w:hint="eastAsia"/>
          <w:color w:val="000000"/>
          <w:sz w:val="32"/>
          <w:szCs w:val="32"/>
        </w:rPr>
        <w:t xml:space="preserve">                          </w:t>
      </w:r>
    </w:p>
    <w:p>
      <w:pPr>
        <w:pStyle w:val="40"/>
        <w:spacing w:line="600" w:lineRule="exact"/>
        <w:ind w:firstLine="883"/>
        <w:jc w:val="left"/>
        <w:rPr>
          <w:rFonts w:ascii="方正小标宋简体" w:eastAsia="方正小标宋简体" w:cs="方正小标宋简体" w:hint="eastAsia"/>
          <w:color w:val="auto"/>
          <w:kern w:val="2"/>
          <w:sz w:val="40"/>
          <w:szCs w:val="40"/>
        </w:rPr>
      </w:pPr>
    </w:p>
    <w:p>
      <w:pPr>
        <w:pStyle w:val="40"/>
        <w:spacing w:line="600" w:lineRule="exact"/>
        <w:ind w:firstLine="883"/>
        <w:jc w:val="left"/>
        <w:rPr>
          <w:rFonts w:ascii="方正小标宋简体" w:eastAsia="方正小标宋简体" w:cs="方正小标宋简体"/>
          <w:color w:val="auto"/>
          <w:kern w:val="2"/>
          <w:sz w:val="40"/>
          <w:szCs w:val="40"/>
        </w:rPr>
      </w:pPr>
      <w:r>
        <w:rPr>
          <w:rFonts w:ascii="方正小标宋简体" w:eastAsia="方正小标宋简体" w:cs="方正小标宋简体" w:hint="eastAsia"/>
          <w:color w:val="auto"/>
          <w:kern w:val="2"/>
          <w:sz w:val="40"/>
          <w:szCs w:val="40"/>
        </w:rPr>
        <w:t>附件3：</w:t>
      </w:r>
    </w:p>
    <w:p>
      <w:pPr>
        <w:pStyle w:val="40"/>
        <w:spacing w:line="600" w:lineRule="exact"/>
        <w:ind w:firstLine="883"/>
        <w:jc w:val="center"/>
        <w:rPr>
          <w:rFonts w:ascii="方正小标宋简体" w:eastAsia="方正小标宋简体" w:cs="方正小标宋简体"/>
          <w:color w:val="auto"/>
          <w:kern w:val="2"/>
          <w:sz w:val="40"/>
          <w:szCs w:val="40"/>
        </w:rPr>
      </w:pPr>
      <w:r>
        <w:rPr>
          <w:rFonts w:ascii="方正小标宋简体" w:eastAsia="方正小标宋简体" w:cs="方正小标宋简体" w:hint="eastAsia"/>
          <w:color w:val="auto"/>
          <w:kern w:val="2"/>
          <w:sz w:val="40"/>
          <w:szCs w:val="40"/>
        </w:rPr>
        <w:t>茂县纪委</w:t>
      </w:r>
    </w:p>
    <w:p>
      <w:pPr>
        <w:pStyle w:val="40"/>
        <w:spacing w:line="600" w:lineRule="exact"/>
        <w:ind w:firstLine="883"/>
        <w:jc w:val="center"/>
        <w:rPr>
          <w:rFonts w:ascii="方正小标宋简体" w:eastAsia="方正小标宋简体" w:cs="方正小标宋简体"/>
          <w:color w:val="auto"/>
          <w:kern w:val="2"/>
          <w:sz w:val="40"/>
          <w:szCs w:val="40"/>
        </w:rPr>
      </w:pPr>
      <w:r>
        <w:rPr>
          <w:rFonts w:ascii="方正小标宋简体" w:eastAsia="方正小标宋简体" w:cs="方正小标宋简体" w:hint="eastAsia"/>
          <w:color w:val="auto"/>
          <w:kern w:val="2"/>
          <w:sz w:val="40"/>
          <w:szCs w:val="40"/>
        </w:rPr>
        <w:t>关于项目支出绩效自评报告</w:t>
      </w:r>
    </w:p>
    <w:p>
      <w:pPr>
        <w:pStyle w:val="40"/>
        <w:spacing w:line="600" w:lineRule="exact"/>
        <w:ind w:firstLine="640"/>
        <w:jc w:val="center"/>
        <w:rPr>
          <w:rFonts w:ascii="宋体"/>
          <w:color w:val="auto"/>
          <w:kern w:val="2"/>
          <w:sz w:val="32"/>
          <w:szCs w:val="32"/>
        </w:rPr>
      </w:pPr>
      <w:r>
        <w:rPr>
          <w:rFonts w:ascii="宋体" w:hint="eastAsia"/>
          <w:color w:val="auto"/>
          <w:kern w:val="2"/>
          <w:sz w:val="32"/>
          <w:szCs w:val="32"/>
        </w:rPr>
        <w:t>（廉政档案管理系统）</w:t>
      </w:r>
    </w:p>
    <w:p>
      <w:pPr>
        <w:adjustRightInd w:val="0"/>
        <w:snapToGrid w:val="0"/>
        <w:spacing w:line="600" w:lineRule="exact"/>
        <w:ind w:firstLine="720"/>
        <w:rPr>
          <w:rFonts w:ascii="仿宋" w:eastAsia="仿宋"/>
          <w:b w:val="0"/>
          <w:bCs/>
          <w:color w:val="000000"/>
          <w:sz w:val="32"/>
          <w:szCs w:val="32"/>
        </w:rPr>
      </w:pPr>
      <w:r>
        <w:rPr>
          <w:rFonts w:ascii="仿宋" w:eastAsia="仿宋" w:hint="eastAsia"/>
          <w:b w:val="0"/>
          <w:bCs/>
          <w:color w:val="000000"/>
          <w:sz w:val="32"/>
          <w:szCs w:val="32"/>
        </w:rPr>
        <w:t>一、项目概况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（一）项目基本情况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1.中共茂县纪律检查委员会在该项目中是主管实施单位。</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2.为全面贯彻中共中央、国务院《关于实行党风廉政建设责任制的规定》等工作要求，全面启动电子监察廉政管理系统建设工作，我单位经过项目比选，按照财返（2020）770号文件，按照项目进度进行资金管理支付。</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（二）项目绩效目标</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1.项目主要内容：构建廉政档案管理系统平台，通过平台建设健全茂县领导干部廉洁自律监督管理机制；全面完整建档，通过线索处置、问责情况、统计分析等，实现对廉政档案管理的科学化、信息化、制度化和动态化管理；实现提升茂县廉政建设工作的针对性与时效性。</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2.项目应实现的具体绩效目标是，完成廉政档案管理系统平台部署。</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3.通过分析评价申报内容与实际是相符的，申报目标是合理可行的。</w:t>
      </w:r>
    </w:p>
    <w:p>
      <w:pPr>
        <w:adjustRightInd w:val="0"/>
        <w:snapToGrid w:val="0"/>
        <w:spacing w:line="600" w:lineRule="exact"/>
        <w:ind w:firstLine="720"/>
        <w:rPr>
          <w:rFonts w:ascii="仿宋" w:eastAsia="仿宋"/>
          <w:b w:val="0"/>
          <w:bCs/>
          <w:color w:val="000000"/>
          <w:sz w:val="32"/>
          <w:szCs w:val="32"/>
        </w:rPr>
      </w:pPr>
      <w:r>
        <w:rPr>
          <w:rFonts w:ascii="仿宋" w:eastAsia="仿宋" w:hint="eastAsia"/>
          <w:b w:val="0"/>
          <w:bCs/>
          <w:color w:val="000000"/>
          <w:sz w:val="32"/>
          <w:szCs w:val="32"/>
        </w:rPr>
        <w:t>二、项目资金申报及使用情况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（一）项目资金申报及批复情况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该项目于2019年12月6日通过比选决定由四川思多瑞科技有限公司实施建设，资金于2019年12月27日由县财政局拨付到位6万元，按照项目实施进度支付款项，于2020年2月19日，项目交付使用通过验收后支付95%款项，一年质保期后支付5%尾款。</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（二）资金到位及使用情况</w:t>
      </w:r>
    </w:p>
    <w:p>
      <w:pPr>
        <w:pStyle w:val="26"/>
        <w:spacing w:line="560" w:lineRule="exact"/>
        <w:ind w:leftChars="0" w:left="0" w:firstLineChars="200" w:firstLine="640"/>
        <w:rPr>
          <w:rFonts w:ascii="仿宋" w:eastAsia="仿宋"/>
          <w:color w:val="000000"/>
          <w:szCs w:val="32"/>
        </w:rPr>
      </w:pPr>
      <w:r>
        <w:rPr>
          <w:rFonts w:ascii="仿宋" w:eastAsia="仿宋" w:hint="eastAsia"/>
          <w:color w:val="000000"/>
          <w:szCs w:val="32"/>
        </w:rPr>
        <w:t>1．资金到位情况</w:t>
      </w:r>
    </w:p>
    <w:p>
      <w:pPr>
        <w:pStyle w:val="26"/>
        <w:spacing w:line="560" w:lineRule="exact"/>
        <w:ind w:leftChars="0" w:left="0" w:firstLineChars="200" w:firstLine="640"/>
        <w:rPr>
          <w:rFonts w:ascii="仿宋" w:eastAsia="仿宋"/>
          <w:color w:val="000000"/>
          <w:szCs w:val="32"/>
        </w:rPr>
      </w:pPr>
      <w:r>
        <w:rPr>
          <w:rFonts w:ascii="仿宋" w:eastAsia="仿宋" w:hint="eastAsia"/>
          <w:color w:val="000000"/>
          <w:szCs w:val="32"/>
        </w:rPr>
        <w:t>2019年12月27日县</w:t>
      </w:r>
      <w:r>
        <w:rPr>
          <w:rFonts w:ascii="仿宋" w:eastAsia="仿宋"/>
          <w:color w:val="000000"/>
          <w:szCs w:val="32"/>
        </w:rPr>
        <w:t>财政局</w:t>
      </w:r>
      <w:r>
        <w:rPr>
          <w:rFonts w:ascii="仿宋" w:eastAsia="仿宋" w:hint="eastAsia"/>
          <w:color w:val="000000"/>
          <w:szCs w:val="32"/>
        </w:rPr>
        <w:t>拨付6万元。项目资金及时到位，资金到位率100％。</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2．资金使用情况</w:t>
      </w:r>
    </w:p>
    <w:p>
      <w:pPr>
        <w:pStyle w:val="40"/>
        <w:spacing w:line="560" w:lineRule="exact"/>
        <w:ind w:firstLineChars="200" w:firstLine="640"/>
        <w:rPr>
          <w:rFonts w:ascii="仿宋" w:eastAsia="仿宋"/>
          <w:kern w:val="2"/>
          <w:sz w:val="32"/>
          <w:szCs w:val="32"/>
          <w:lang w:val="en-US"/>
        </w:rPr>
      </w:pPr>
      <w:r>
        <w:rPr>
          <w:rFonts w:ascii="仿宋" w:eastAsia="仿宋" w:hint="eastAsia"/>
          <w:kern w:val="2"/>
          <w:sz w:val="32"/>
          <w:szCs w:val="32"/>
          <w:lang w:val="en-US"/>
        </w:rPr>
        <w:t>茂县廉政档案管理系统建设项目总价款6万元，已完工于2020年2月19日报95%的款项，结余5%质保金已退回财政，待2021年再申请拨付。</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（三）项目财务管理情况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项目财务管理制度完善，对照项目资金管理办法，项目严格执行财务管理制度、财务处理及时、会计核算规范。我单位按照“统筹安排、引导投向、确保重点、强化管理”的工作思路，狠抓项目资金的使用管理。坚持做到项目及时下达、加强资金监管、项目资金使用有效。</w:t>
      </w:r>
    </w:p>
    <w:p>
      <w:pPr>
        <w:adjustRightInd w:val="0"/>
        <w:snapToGrid w:val="0"/>
        <w:spacing w:line="600" w:lineRule="exact"/>
        <w:ind w:firstLine="720"/>
        <w:rPr>
          <w:rFonts w:ascii="仿宋" w:eastAsia="仿宋"/>
          <w:b w:val="0"/>
          <w:bCs/>
          <w:color w:val="000000"/>
          <w:sz w:val="32"/>
          <w:szCs w:val="32"/>
        </w:rPr>
      </w:pPr>
      <w:r>
        <w:rPr>
          <w:rFonts w:ascii="仿宋" w:eastAsia="仿宋" w:hint="eastAsia"/>
          <w:b w:val="0"/>
          <w:bCs/>
          <w:color w:val="000000"/>
          <w:sz w:val="32"/>
          <w:szCs w:val="32"/>
        </w:rPr>
        <w:t>三、项目实施及管理情况</w:t>
      </w:r>
    </w:p>
    <w:p>
      <w:pPr>
        <w:adjustRightInd w:val="0"/>
        <w:snapToGrid w:val="0"/>
        <w:spacing w:line="600" w:lineRule="exact"/>
        <w:ind w:firstLine="720"/>
        <w:rPr>
          <w:rFonts w:ascii="仿宋" w:eastAsia="仿宋"/>
          <w:color w:val="000000"/>
          <w:sz w:val="32"/>
          <w:szCs w:val="32"/>
        </w:rPr>
      </w:pPr>
      <w:r>
        <w:rPr>
          <w:rFonts w:ascii="仿宋" w:eastAsia="仿宋"/>
          <w:color w:val="000000"/>
          <w:sz w:val="32"/>
          <w:szCs w:val="32"/>
        </w:rPr>
        <w:t>一是</w:t>
      </w:r>
      <w:r>
        <w:rPr>
          <w:rFonts w:ascii="仿宋" w:eastAsia="仿宋" w:hint="eastAsia"/>
          <w:color w:val="000000"/>
          <w:sz w:val="32"/>
          <w:szCs w:val="32"/>
        </w:rPr>
        <w:t>项目公开</w:t>
      </w:r>
      <w:r>
        <w:rPr>
          <w:rFonts w:ascii="仿宋" w:eastAsia="仿宋"/>
          <w:color w:val="000000"/>
          <w:sz w:val="32"/>
          <w:szCs w:val="32"/>
        </w:rPr>
        <w:t>比选制。项目实施和管理过程中有关事项属于政府采购和招投标范围的，必须严格按照政府采购和招投标有关规定执行；未达到政府采购和招投标标准的，项目实施单位必须按照公开、公正、公平的要求实行阳光操作。二是合同制。项目实施单位与施工单位签订合同，内容包括责任明确、建设内容、建设期限、质量标准、合同价款、施工安全和违约责任等。三是监</w:t>
      </w:r>
      <w:r>
        <w:rPr>
          <w:rFonts w:ascii="仿宋" w:eastAsia="仿宋" w:hint="eastAsia"/>
          <w:color w:val="000000"/>
          <w:sz w:val="32"/>
          <w:szCs w:val="32"/>
        </w:rPr>
        <w:t>管</w:t>
      </w:r>
      <w:r>
        <w:rPr>
          <w:rFonts w:ascii="仿宋" w:eastAsia="仿宋"/>
          <w:color w:val="000000"/>
          <w:sz w:val="32"/>
          <w:szCs w:val="32"/>
        </w:rPr>
        <w:t>制。主动向县财政申请资金</w:t>
      </w:r>
      <w:r>
        <w:rPr>
          <w:rFonts w:ascii="仿宋" w:eastAsia="仿宋" w:hint="eastAsia"/>
          <w:color w:val="000000"/>
          <w:sz w:val="32"/>
          <w:szCs w:val="32"/>
        </w:rPr>
        <w:t>说明</w:t>
      </w:r>
      <w:r>
        <w:rPr>
          <w:rFonts w:ascii="仿宋" w:eastAsia="仿宋"/>
          <w:color w:val="000000"/>
          <w:sz w:val="32"/>
          <w:szCs w:val="32"/>
        </w:rPr>
        <w:t>原由</w:t>
      </w:r>
      <w:r>
        <w:rPr>
          <w:rFonts w:ascii="仿宋" w:eastAsia="仿宋" w:hint="eastAsia"/>
          <w:color w:val="000000"/>
          <w:sz w:val="32"/>
          <w:szCs w:val="32"/>
        </w:rPr>
        <w:t>，按照财务制度合规合法报销流程。</w:t>
      </w:r>
    </w:p>
    <w:p>
      <w:pPr>
        <w:adjustRightInd w:val="0"/>
        <w:snapToGrid w:val="0"/>
        <w:spacing w:line="600" w:lineRule="exact"/>
        <w:ind w:firstLine="720"/>
        <w:rPr>
          <w:rFonts w:ascii="仿宋" w:eastAsia="仿宋"/>
          <w:b w:val="0"/>
          <w:bCs/>
          <w:color w:val="000000"/>
          <w:sz w:val="32"/>
          <w:szCs w:val="32"/>
        </w:rPr>
      </w:pPr>
      <w:r>
        <w:rPr>
          <w:rFonts w:ascii="仿宋" w:eastAsia="仿宋" w:hint="eastAsia"/>
          <w:b w:val="0"/>
          <w:bCs/>
          <w:color w:val="000000"/>
          <w:sz w:val="32"/>
          <w:szCs w:val="32"/>
        </w:rPr>
        <w:t>四、项目绩效情况</w:t>
        <w:tab/>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（一）项目完成情况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完成了廉政档案管理系统平台部署。</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（二）项目效益情况</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利用《廉政档案管理系统》建立的各级干部廉政档案信息库可以实现廉政档案管理规范化、电子化、网络化；可以准确、及时、客观地反映各级领导干部廉洁从政、执行党风廉政建设责任制以及因违纪违法被处分的情况；可以方便地进行查阅、统计和归档，避免了纸质档案不易保管、不便查阅等诸多缺点。其廉政档案，执法监察，效能监察、行风评议、信访举报等多项内容可有效提高各级纪检监察机关的工作效率，降低了办公成本，提高了政府工作人员信息化应用水平，是各级纪检监察机关对领导干部实行有效监督管理的首选工具。</w:t>
      </w:r>
    </w:p>
    <w:p>
      <w:pPr>
        <w:adjustRightInd w:val="0"/>
        <w:snapToGrid w:val="0"/>
        <w:spacing w:line="600" w:lineRule="exact"/>
        <w:ind w:firstLine="720"/>
        <w:rPr>
          <w:rFonts w:ascii="仿宋" w:eastAsia="仿宋"/>
          <w:b w:val="0"/>
          <w:bCs/>
          <w:color w:val="000000"/>
          <w:sz w:val="32"/>
          <w:szCs w:val="32"/>
        </w:rPr>
      </w:pPr>
      <w:r>
        <w:rPr>
          <w:rFonts w:ascii="仿宋" w:eastAsia="仿宋" w:hint="eastAsia"/>
          <w:b w:val="0"/>
          <w:bCs/>
          <w:color w:val="000000"/>
          <w:sz w:val="32"/>
          <w:szCs w:val="32"/>
        </w:rPr>
        <w:t>五、评价结论及建议</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（一）评价结论</w:t>
      </w:r>
    </w:p>
    <w:p>
      <w:pPr>
        <w:adjustRightInd w:val="0"/>
        <w:snapToGrid w:val="0"/>
        <w:spacing w:line="600" w:lineRule="exact"/>
        <w:ind w:firstLineChars="200" w:firstLine="640"/>
        <w:rPr>
          <w:rFonts w:ascii="仿宋" w:eastAsia="仿宋"/>
          <w:color w:val="000000"/>
          <w:sz w:val="32"/>
          <w:szCs w:val="32"/>
        </w:rPr>
      </w:pPr>
      <w:r>
        <w:rPr>
          <w:rFonts w:ascii="仿宋" w:eastAsia="仿宋" w:hint="eastAsia"/>
          <w:color w:val="000000"/>
          <w:sz w:val="32"/>
          <w:szCs w:val="32"/>
        </w:rPr>
        <w:t>按照“总体规划、先易后难、试点先行、分步实施”的工作思路，紧密结合茂县实际情况，初步整合形成统一的大综合电子监察平台，前期通过试点逐步推进电子监察廉政管理系统；后期不断完善。</w:t>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（二）存在的问题</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1.加强制度建设，明确工作责任。落实分管领导和具体工作人员，主要领导亲自抓，分管领导具体抓，把任务、责任落实到人，强化目标责任制。</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2.加强项目宣传工作。充分调动群众参与项目建设积极性，把项目宣传贯彻项目实施始终。</w:t>
        <w:tab/>
      </w:r>
    </w:p>
    <w:p>
      <w:pPr>
        <w:adjustRightInd w:val="0"/>
        <w:snapToGrid w:val="0"/>
        <w:spacing w:line="600" w:lineRule="exact"/>
        <w:ind w:firstLine="720"/>
        <w:rPr>
          <w:rFonts w:ascii="仿宋" w:eastAsia="仿宋"/>
          <w:color w:val="000000"/>
          <w:sz w:val="32"/>
          <w:szCs w:val="32"/>
        </w:rPr>
      </w:pPr>
      <w:r>
        <w:rPr>
          <w:rFonts w:ascii="仿宋" w:eastAsia="仿宋" w:hint="eastAsia"/>
          <w:color w:val="000000"/>
          <w:sz w:val="32"/>
          <w:szCs w:val="32"/>
        </w:rPr>
        <w:t>（三）相关建议</w:t>
      </w:r>
    </w:p>
    <w:p>
      <w:pPr>
        <w:adjustRightInd w:val="0"/>
        <w:snapToGrid w:val="0"/>
        <w:spacing w:line="600" w:lineRule="exact"/>
        <w:ind w:firstLineChars="200" w:firstLine="640"/>
        <w:rPr>
          <w:rFonts w:ascii="仿宋_GB2312" w:hAnsi="仿宋_GB2312"/>
          <w:lang w:val="zh-CN"/>
        </w:rPr>
      </w:pPr>
      <w:r>
        <w:rPr>
          <w:rFonts w:ascii="仿宋" w:eastAsia="仿宋" w:hint="eastAsia"/>
          <w:color w:val="000000"/>
          <w:sz w:val="32"/>
          <w:szCs w:val="32"/>
        </w:rPr>
        <w:t>加强部门协调配合，从项目申报，项目设计及投资预算，项目监管，项目验收全过程加强同县级相关业务部门协调配合，确保项目质量及资金发挥最大效益。</w:t>
      </w:r>
    </w:p>
    <w:p/>
    <w:p/>
    <w:p/>
    <w:p/>
    <w:p/>
    <w:p/>
    <w:p>
      <w:pPr>
        <w:spacing w:line="600" w:lineRule="exact"/>
        <w:ind w:right="420"/>
        <w:jc w:val="center"/>
        <w:outlineLvl w:val="0"/>
      </w:pPr>
    </w:p>
    <w:p>
      <w:pPr>
        <w:spacing w:line="600" w:lineRule="exact"/>
        <w:ind w:right="420"/>
        <w:jc w:val="center"/>
        <w:outlineLvl w:val="0"/>
      </w:pPr>
    </w:p>
    <w:p>
      <w:pPr>
        <w:spacing w:line="600" w:lineRule="exact"/>
        <w:ind w:right="420"/>
        <w:jc w:val="center"/>
        <w:outlineLvl w:val="0"/>
      </w:pPr>
    </w:p>
    <w:p>
      <w:pPr>
        <w:spacing w:line="600" w:lineRule="exact"/>
        <w:ind w:right="420"/>
        <w:jc w:val="center"/>
        <w:outlineLvl w:val="0"/>
      </w:pPr>
    </w:p>
    <w:p>
      <w:pPr>
        <w:spacing w:line="600" w:lineRule="exact"/>
        <w:ind w:right="420"/>
        <w:jc w:val="center"/>
        <w:outlineLvl w:val="0"/>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五部分附表</w:t>
      </w:r>
      <w:bookmarkEnd w:id="110"/>
      <w:bookmarkEnd w:id="118"/>
      <w:bookmarkEnd w:id="119"/>
      <w:bookmarkEnd w:id="120"/>
    </w:p>
    <w:p>
      <w:pPr>
        <w:pStyle w:val="2"/>
        <w:rPr>
          <w:rFonts w:ascii="仿宋" w:eastAsia="仿宋"/>
          <w:color w:val="000000"/>
        </w:rPr>
      </w:pPr>
      <w:bookmarkStart w:id="121" w:name="_Toc79163636"/>
      <w:bookmarkStart w:id="122" w:name="_Toc79163886"/>
      <w:bookmarkStart w:id="123" w:name="_Toc15396619"/>
      <w:r>
        <w:rPr>
          <w:rFonts w:ascii="仿宋" w:eastAsia="仿宋" w:hint="eastAsia"/>
          <w:b w:val="0"/>
          <w:color w:val="000000"/>
        </w:rPr>
        <w:t>一、收</w:t>
      </w:r>
      <w:r>
        <w:rPr>
          <w:rStyle w:val="2Char"/>
          <w:rFonts w:ascii="仿宋" w:eastAsia="仿宋" w:hint="eastAsia"/>
          <w:b w:val="0"/>
          <w:bCs w:val="0"/>
        </w:rPr>
        <w:t>入支出决算总表</w:t>
      </w:r>
      <w:bookmarkEnd w:id="121"/>
      <w:bookmarkEnd w:id="122"/>
      <w:bookmarkEnd w:id="123"/>
    </w:p>
    <w:p>
      <w:pPr>
        <w:pStyle w:val="2"/>
        <w:rPr>
          <w:rFonts w:ascii="仿宋" w:eastAsia="仿宋"/>
          <w:color w:val="000000"/>
        </w:rPr>
      </w:pPr>
      <w:bookmarkStart w:id="124" w:name="_Toc79163637"/>
      <w:bookmarkStart w:id="125" w:name="_Toc15396620"/>
      <w:bookmarkStart w:id="126" w:name="_Toc79163887"/>
      <w:r>
        <w:rPr>
          <w:rFonts w:ascii="仿宋" w:eastAsia="仿宋" w:hint="eastAsia"/>
          <w:b w:val="0"/>
          <w:color w:val="000000"/>
        </w:rPr>
        <w:t>二、收</w:t>
      </w:r>
      <w:r>
        <w:rPr>
          <w:rStyle w:val="2Char"/>
          <w:rFonts w:ascii="仿宋" w:eastAsia="仿宋" w:hint="eastAsia"/>
          <w:b w:val="0"/>
          <w:bCs w:val="0"/>
        </w:rPr>
        <w:t>入决算表</w:t>
      </w:r>
      <w:bookmarkEnd w:id="124"/>
      <w:bookmarkEnd w:id="125"/>
      <w:bookmarkEnd w:id="126"/>
    </w:p>
    <w:p>
      <w:pPr>
        <w:pStyle w:val="2"/>
        <w:rPr>
          <w:rFonts w:ascii="仿宋" w:eastAsia="仿宋"/>
          <w:color w:val="000000"/>
        </w:rPr>
      </w:pPr>
      <w:bookmarkStart w:id="127" w:name="_Toc79163888"/>
      <w:bookmarkStart w:id="128" w:name="_Toc79163638"/>
      <w:bookmarkStart w:id="129"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127"/>
      <w:bookmarkEnd w:id="128"/>
      <w:bookmarkEnd w:id="129"/>
    </w:p>
    <w:p>
      <w:pPr>
        <w:pStyle w:val="2"/>
        <w:rPr>
          <w:rFonts w:ascii="仿宋" w:eastAsia="仿宋"/>
          <w:b w:val="0"/>
          <w:color w:val="000000"/>
        </w:rPr>
      </w:pPr>
      <w:bookmarkStart w:id="130" w:name="_Toc15396622"/>
      <w:bookmarkStart w:id="131" w:name="_Toc79163889"/>
      <w:bookmarkStart w:id="132" w:name="_Toc79163639"/>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130"/>
      <w:bookmarkEnd w:id="131"/>
      <w:bookmarkEnd w:id="132"/>
    </w:p>
    <w:p>
      <w:pPr>
        <w:pStyle w:val="2"/>
        <w:rPr>
          <w:rStyle w:val="2Char"/>
          <w:rFonts w:ascii="仿宋" w:eastAsia="仿宋"/>
          <w:b w:val="0"/>
          <w:bCs w:val="0"/>
        </w:rPr>
      </w:pPr>
      <w:bookmarkStart w:id="133" w:name="_Toc79163640"/>
      <w:bookmarkStart w:id="134" w:name="_Toc15396623"/>
      <w:bookmarkStart w:id="135" w:name="_Toc79163890"/>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136" w:name="_Toc15396624"/>
      <w:bookmarkEnd w:id="133"/>
      <w:bookmarkEnd w:id="134"/>
      <w:bookmarkEnd w:id="135"/>
    </w:p>
    <w:p>
      <w:pPr>
        <w:pStyle w:val="2"/>
        <w:rPr>
          <w:rFonts w:ascii="仿宋" w:eastAsia="仿宋"/>
          <w:color w:val="000000"/>
        </w:rPr>
      </w:pPr>
      <w:bookmarkStart w:id="137" w:name="_Toc79163641"/>
      <w:bookmarkStart w:id="138" w:name="_Toc79163891"/>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136"/>
      <w:bookmarkEnd w:id="137"/>
      <w:bookmarkEnd w:id="138"/>
    </w:p>
    <w:p>
      <w:pPr>
        <w:pStyle w:val="2"/>
        <w:rPr>
          <w:rFonts w:ascii="仿宋" w:eastAsia="仿宋"/>
          <w:color w:val="000000"/>
        </w:rPr>
      </w:pPr>
      <w:bookmarkStart w:id="139" w:name="_Toc79163642"/>
      <w:bookmarkStart w:id="140" w:name="_Toc15396625"/>
      <w:bookmarkStart w:id="141" w:name="_Toc79163892"/>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139"/>
      <w:bookmarkEnd w:id="140"/>
      <w:bookmarkEnd w:id="141"/>
    </w:p>
    <w:p>
      <w:pPr>
        <w:pStyle w:val="2"/>
        <w:rPr>
          <w:rFonts w:ascii="仿宋" w:eastAsia="仿宋"/>
          <w:color w:val="000000"/>
        </w:rPr>
      </w:pPr>
      <w:bookmarkStart w:id="142" w:name="_Toc79163643"/>
      <w:bookmarkStart w:id="143" w:name="_Toc79163893"/>
      <w:bookmarkStart w:id="144"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142"/>
      <w:bookmarkEnd w:id="143"/>
      <w:bookmarkEnd w:id="144"/>
    </w:p>
    <w:p>
      <w:pPr>
        <w:pStyle w:val="2"/>
        <w:rPr>
          <w:rFonts w:ascii="仿宋" w:eastAsia="仿宋"/>
          <w:color w:val="000000"/>
        </w:rPr>
      </w:pPr>
      <w:bookmarkStart w:id="145" w:name="_Toc79163644"/>
      <w:bookmarkStart w:id="146" w:name="_Toc79163894"/>
      <w:bookmarkStart w:id="147"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145"/>
      <w:bookmarkEnd w:id="146"/>
      <w:bookmarkEnd w:id="147"/>
    </w:p>
    <w:p>
      <w:pPr>
        <w:pStyle w:val="2"/>
        <w:rPr>
          <w:rFonts w:ascii="仿宋" w:eastAsia="仿宋"/>
          <w:color w:val="000000"/>
        </w:rPr>
      </w:pPr>
      <w:bookmarkStart w:id="148" w:name="_Toc79163895"/>
      <w:bookmarkStart w:id="149" w:name="_Toc79163645"/>
      <w:bookmarkStart w:id="150"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148"/>
      <w:bookmarkEnd w:id="149"/>
      <w:bookmarkEnd w:id="150"/>
    </w:p>
    <w:p>
      <w:pPr>
        <w:pStyle w:val="2"/>
        <w:rPr>
          <w:rFonts w:ascii="仿宋" w:eastAsia="仿宋"/>
          <w:color w:val="000000"/>
        </w:rPr>
      </w:pPr>
      <w:bookmarkStart w:id="151" w:name="_Toc79163896"/>
      <w:bookmarkStart w:id="152" w:name="_Toc79163646"/>
      <w:bookmarkStart w:id="153"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151"/>
      <w:bookmarkEnd w:id="152"/>
      <w:bookmarkEnd w:id="153"/>
    </w:p>
    <w:p>
      <w:pPr>
        <w:pStyle w:val="2"/>
        <w:rPr>
          <w:rFonts w:ascii="仿宋" w:eastAsia="仿宋"/>
          <w:color w:val="000000"/>
        </w:rPr>
      </w:pPr>
      <w:bookmarkStart w:id="154" w:name="_Toc79163647"/>
      <w:bookmarkStart w:id="155" w:name="_Toc79163897"/>
      <w:bookmarkStart w:id="156" w:name="_Toc15396630"/>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154"/>
      <w:bookmarkEnd w:id="155"/>
      <w:bookmarkEnd w:id="156"/>
    </w:p>
    <w:p>
      <w:pPr>
        <w:pStyle w:val="2"/>
        <w:rPr>
          <w:rStyle w:val="2Char"/>
          <w:rFonts w:ascii="仿宋" w:eastAsia="仿宋"/>
          <w:b w:val="0"/>
          <w:bCs w:val="0"/>
        </w:rPr>
      </w:pPr>
      <w:bookmarkStart w:id="157" w:name="_Toc79163648"/>
      <w:bookmarkStart w:id="158" w:name="_Toc15396631"/>
      <w:bookmarkStart w:id="159" w:name="_Toc79163898"/>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有资本经营预算财政拨款支出决算表</w:t>
      </w:r>
      <w:bookmarkEnd w:id="157"/>
      <w:bookmarkEnd w:id="158"/>
      <w:bookmarkEnd w:id="159"/>
    </w:p>
    <w:p>
      <w:pPr>
        <w:pStyle w:val="2"/>
        <w:rPr>
          <w:rStyle w:val="2Char"/>
          <w:rFonts w:ascii="仿宋" w:eastAsia="仿宋"/>
          <w:b w:val="0"/>
          <w:bCs w:val="0"/>
        </w:rPr>
      </w:pPr>
      <w:bookmarkStart w:id="160" w:name="_Toc79163649"/>
      <w:bookmarkStart w:id="161" w:name="_Toc79163899"/>
      <w:r>
        <w:rPr>
          <w:rStyle w:val="2Char"/>
          <w:rFonts w:ascii="仿宋" w:eastAsia="仿宋" w:hint="eastAsia"/>
          <w:b w:val="0"/>
          <w:bCs w:val="0"/>
        </w:rPr>
        <w:t>十四、国有资本经营预算财政拨款支出决算表</w:t>
      </w:r>
      <w:bookmarkEnd w:id="160"/>
      <w:bookmarkEnd w:id="161"/>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00000000000000000"/>
    <w:charset w:val="86"/>
    <w:family w:val="script"/>
    <w:pitch w:val="variable"/>
    <w:sig w:usb0="A00002BF" w:usb1="184F6CFA" w:usb2="00000012" w:usb3="00000000" w:csb0="00040001"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mbria">
    <w:altName w:val="Noto Sans Syriac Eastern"/>
    <w:panose1 w:val="02040503050406030204"/>
    <w:charset w:val="00"/>
    <w:family w:val="roman"/>
    <w:pitch w:val="variable"/>
    <w:sig w:usb0="00000000" w:usb1="00000000" w:usb2="02000000" w:usb3="00000000" w:csb0="2000019F" w:csb1="00000000"/>
  </w:font>
  <w:font w:name="等线">
    <w:altName w:val="宋体"/>
    <w:panose1 w:val="02010600030101010101"/>
    <w:charset w:val="86"/>
    <w:family w:val="auto"/>
    <w:pitch w:val="variable"/>
    <w:sig w:usb0="00000000" w:usb1="00000000" w:usb2="00000016" w:usb3="00000000" w:csb0="0004000F" w:csb1="00000000"/>
  </w:font>
  <w:font w:name="Calibri">
    <w:altName w:val="DejaVu Sans"/>
    <w:panose1 w:val="020F0502020204030204"/>
    <w:charset w:val="00"/>
    <w:family w:val="swiss"/>
    <w:pitch w:val="variable"/>
    <w:sig w:usb0="00000000" w:usb1="00000000" w:usb2="00000001" w:usb3="00000000" w:csb0="0000019F" w:csb1="00000000"/>
  </w:font>
  <w:font w:name="等线 Light">
    <w:altName w:val="宋体"/>
    <w:panose1 w:val="02010600030101010101"/>
    <w:charset w:val="86"/>
    <w:family w:val="auto"/>
    <w:pitch w:val="variable"/>
    <w:sig w:usb0="00000000" w:usb1="00000000" w:usb2="00000016" w:usb3="00000000" w:csb0="0004000F" w:csb1="00000000"/>
  </w:font>
  <w:font w:name="??">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Dk5ZTg3MTVjNGVhNGRjM2E0MmI5NTAyMjZiOTZiZ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7"/>
    <w:basedOn w:val="0"/>
    <w:next w:val="0"/>
    <w:pPr>
      <w:ind w:left="1260"/>
      <w:jc w:val="left"/>
    </w:pPr>
    <w:rPr>
      <w:rFonts w:ascii="等线" w:eastAsia="等线"/>
      <w:sz w:val="18"/>
      <w:szCs w:val="18"/>
    </w:rPr>
  </w:style>
  <w:style w:type="paragraph" w:styleId="16">
    <w:name w:val="Body Text"/>
    <w:basedOn w:val="0"/>
    <w:pPr>
      <w:spacing w:beforeLines="30" w:before="30"/>
    </w:pPr>
    <w:rPr>
      <w:rFonts w:ascii="仿宋_GB2312" w:eastAsia="仿宋_GB2312"/>
      <w:kern w:val="0"/>
      <w:sz w:val="24"/>
      <w:szCs w:val="20"/>
      <w:lang w:val="zh-CN" w:eastAsia="zh-CN"/>
    </w:rPr>
  </w:style>
  <w:style w:type="paragraph" w:styleId="17">
    <w:name w:val="toc 5"/>
    <w:basedOn w:val="0"/>
    <w:next w:val="0"/>
    <w:pPr>
      <w:ind w:left="840"/>
      <w:jc w:val="left"/>
    </w:pPr>
    <w:rPr>
      <w:rFonts w:ascii="等线" w:eastAsia="等线"/>
      <w:sz w:val="18"/>
      <w:szCs w:val="18"/>
    </w:rPr>
  </w:style>
  <w:style w:type="paragraph" w:styleId="18">
    <w:name w:val="toc 3"/>
    <w:basedOn w:val="0"/>
    <w:next w:val="0"/>
    <w:pPr>
      <w:ind w:left="420"/>
      <w:jc w:val="left"/>
    </w:pPr>
    <w:rPr>
      <w:rFonts w:ascii="等线" w:eastAsia="等线"/>
      <w:i/>
      <w:iCs/>
      <w:sz w:val="20"/>
      <w:szCs w:val="20"/>
    </w:rPr>
  </w:style>
  <w:style w:type="paragraph" w:styleId="19">
    <w:name w:val="toc 8"/>
    <w:basedOn w:val="0"/>
    <w:next w:val="0"/>
    <w:pPr>
      <w:ind w:left="1470"/>
      <w:jc w:val="left"/>
    </w:pPr>
    <w:rPr>
      <w:rFonts w:ascii="等线" w:eastAsia="等线"/>
      <w:sz w:val="18"/>
      <w:szCs w:val="18"/>
    </w:r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20"/>
      <w:lang w:val="zh-CN" w:eastAsia="zh-CN"/>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20"/>
      <w:lang w:val="zh-CN" w:eastAsia="zh-CN"/>
    </w:rPr>
  </w:style>
  <w:style w:type="paragraph" w:styleId="23">
    <w:name w:val="toc 1"/>
    <w:basedOn w:val="0"/>
    <w:next w:val="0"/>
    <w:pPr>
      <w:spacing w:before="120" w:after="120"/>
      <w:jc w:val="left"/>
    </w:pPr>
    <w:rPr>
      <w:rFonts w:ascii="等线" w:eastAsia="等线"/>
      <w:b/>
      <w:bCs/>
      <w:caps/>
      <w:smallCaps w:val="0"/>
      <w:sz w:val="20"/>
      <w:szCs w:val="20"/>
    </w:rPr>
  </w:style>
  <w:style w:type="paragraph" w:styleId="24">
    <w:name w:val="toc 4"/>
    <w:basedOn w:val="0"/>
    <w:next w:val="0"/>
    <w:pPr>
      <w:ind w:left="630"/>
      <w:jc w:val="left"/>
    </w:pPr>
    <w:rPr>
      <w:rFonts w:ascii="等线" w:eastAsia="等线"/>
      <w:sz w:val="18"/>
      <w:szCs w:val="18"/>
    </w:rPr>
  </w:style>
  <w:style w:type="paragraph" w:styleId="25">
    <w:name w:val="toc 6"/>
    <w:basedOn w:val="0"/>
    <w:next w:val="0"/>
    <w:pPr>
      <w:ind w:left="1050"/>
      <w:jc w:val="left"/>
    </w:pPr>
    <w:rPr>
      <w:rFonts w:ascii="等线" w:eastAsia="等线"/>
      <w:sz w:val="18"/>
      <w:szCs w:val="18"/>
    </w:rPr>
  </w:style>
  <w:style w:type="paragraph" w:styleId="26">
    <w:name w:val="table of figures"/>
    <w:basedOn w:val="0"/>
    <w:next w:val="0"/>
    <w:pPr>
      <w:ind w:leftChars="200" w:left="400" w:hangingChars="200" w:hanging="200"/>
    </w:pPr>
    <w:rPr>
      <w:rFonts w:eastAsia="仿宋_GB2312"/>
      <w:sz w:val="32"/>
    </w:rPr>
  </w:style>
  <w:style w:type="paragraph" w:styleId="27">
    <w:name w:val="toc 2"/>
    <w:basedOn w:val="0"/>
    <w:next w:val="0"/>
    <w:pPr>
      <w:ind w:left="210"/>
      <w:jc w:val="left"/>
    </w:pPr>
    <w:rPr>
      <w:rFonts w:ascii="等线" w:eastAsia="等线"/>
      <w:caps w:val="0"/>
      <w:smallCaps/>
      <w:sz w:val="20"/>
      <w:szCs w:val="20"/>
    </w:rPr>
  </w:style>
  <w:style w:type="paragraph" w:styleId="28">
    <w:name w:val="toc 9"/>
    <w:basedOn w:val="0"/>
    <w:next w:val="0"/>
    <w:pPr>
      <w:ind w:left="1680"/>
      <w:jc w:val="left"/>
    </w:pPr>
    <w:rPr>
      <w:rFonts w:ascii="等线" w:eastAsia="等线"/>
      <w:sz w:val="18"/>
      <w:szCs w:val="18"/>
    </w:rPr>
  </w:style>
  <w:style w:type="character" w:styleId="29">
    <w:name w:val="Strong"/>
    <w:basedOn w:val="10"/>
    <w:rPr>
      <w:rFonts w:cs="Times New Roman"/>
      <w:b/>
    </w:rPr>
  </w:style>
  <w:style w:type="character" w:styleId="30">
    <w:name w:val="Hyperlink"/>
    <w:basedOn w:val="10"/>
    <w:rPr>
      <w:rFonts w:cs="Times New Roman"/>
      <w:color w:val="0000FF"/>
      <w:u w:val="single"/>
    </w:rPr>
  </w:style>
  <w:style w:type="character" w:customStyle="1" w:styleId="31">
    <w:name w:val="Body Text Char"/>
    <w:basedOn w:val="10"/>
    <w:rPr>
      <w:rFonts w:ascii="Times New Roman" w:cs="Times New Roman" w:hAnsi="Times New Roman"/>
      <w:sz w:val="24"/>
      <w:szCs w:val="24"/>
    </w:rPr>
  </w:style>
  <w:style w:type="character" w:customStyle="1" w:styleId="32">
    <w:name w:val="Footer Char"/>
    <w:basedOn w:val="10"/>
    <w:rPr>
      <w:rFonts w:ascii="Times New Roman" w:cs="Times New Roman" w:hAnsi="Times New Roman"/>
      <w:sz w:val="18"/>
      <w:szCs w:val="18"/>
    </w:rPr>
  </w:style>
  <w:style w:type="character" w:customStyle="1" w:styleId="33">
    <w:name w:val="Header Char"/>
    <w:basedOn w:val="10"/>
    <w:rPr>
      <w:rFonts w:ascii="Times New Roman" w:cs="Times New Roman" w:hAnsi="Times New Roman"/>
      <w:sz w:val="18"/>
      <w:szCs w:val="18"/>
    </w:rPr>
  </w:style>
  <w:style w:type="paragraph" w:customStyle="1" w:styleId="34">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5">
    <w:name w:val="列表段落1"/>
    <w:basedOn w:val="0"/>
    <w:pPr>
      <w:ind w:firstLineChars="200" w:firstLine="200"/>
    </w:pPr>
  </w:style>
  <w:style w:type="paragraph" w:customStyle="1" w:styleId="36">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 w:type="paragraph" w:styleId="39">
    <w:name w:val="List Paragraph"/>
    <w:basedOn w:val="0"/>
    <w:pPr>
      <w:ind w:firstLineChars="200" w:firstLine="200"/>
    </w:pPr>
  </w:style>
  <w:style w:type="paragraph" w:customStyle="1" w:styleId="40">
    <w:name w:val="四号正文"/>
    <w:basedOn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spPr>
            <a:solidFill>
              <a:srgbClr val="4472C4"/>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'Sheet1'!$A$2:$A$5</c:f>
              <c:strCache>
                <c:ptCount val="4"/>
                <c:pt idx="0">
                  <c:v>收入</c:v>
                </c:pt>
                <c:pt idx="1">
                  <c:v>支出</c:v>
                </c:pt>
              </c:strCache>
            </c:strRef>
          </c:cat>
          <c:val>
            <c:numRef>
              <c:f>'Sheet1'!$B$2:$B$5</c:f>
              <c:numCache>
                <c:formatCode>General</c:formatCode>
                <c:ptCount val="4"/>
                <c:pt idx="0">
                  <c:v>1439.52</c:v>
                </c:pt>
                <c:pt idx="1">
                  <c:v>1439.52</c:v>
                </c:pt>
              </c:numCache>
            </c:numRef>
          </c:val>
        </c:ser>
        <c:ser>
          <c:idx val="1"/>
          <c:order val="1"/>
          <c:tx>
            <c:strRef>
              <c:f>'Sheet1'!$C$1</c:f>
              <c:strCache>
                <c:ptCount val="1"/>
                <c:pt idx="0">
                  <c:v>2020年</c:v>
                </c:pt>
              </c:strCache>
            </c:strRef>
          </c:tx>
          <c:spPr>
            <a:solidFill>
              <a:srgbClr val="ED7D31"/>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'Sheet1'!$A$2:$A$5</c:f>
              <c:strCache>
                <c:ptCount val="4"/>
                <c:pt idx="0">
                  <c:v>收入</c:v>
                </c:pt>
                <c:pt idx="1">
                  <c:v>支出</c:v>
                </c:pt>
              </c:strCache>
            </c:strRef>
          </c:cat>
          <c:val>
            <c:numRef>
              <c:f>'Sheet1'!$C$2:$C$5</c:f>
              <c:numCache>
                <c:formatCode>General</c:formatCode>
                <c:ptCount val="4"/>
                <c:pt idx="0">
                  <c:v>1647.08</c:v>
                </c:pt>
                <c:pt idx="1">
                  <c:v>1647.08</c:v>
                </c:pt>
              </c:numCache>
            </c:numRef>
          </c:val>
        </c:ser>
        <c:ser>
          <c:idx val="2"/>
          <c:order val="2"/>
          <c:tx>
            <c:strRef>
              <c:f>'Sheet1'!$D$1</c:f>
              <c:strCache>
                <c:ptCount val="1"/>
                <c:pt idx="0">
                  <c:v>列1</c:v>
                </c:pt>
              </c:strCache>
            </c:strRef>
          </c:tx>
          <c:spPr>
            <a:solidFill>
              <a:srgbClr val="A5A5A5"/>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'Sheet1'!$A$2:$A$5</c:f>
              <c:strCache>
                <c:ptCount val="4"/>
                <c:pt idx="0">
                  <c:v>收入</c:v>
                </c:pt>
                <c:pt idx="1">
                  <c:v>支出</c:v>
                </c:pt>
              </c:strCache>
            </c:strRef>
          </c:cat>
          <c:val>
            <c:numRef>
              <c:f>'Sheet1'!$D$2:$D$5</c:f>
              <c:numCache>
                <c:formatCode>General</c:formatCode>
                <c:ptCount val="4"/>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(2)'!$B$1</c:f>
              <c:strCache>
                <c:ptCount val="1"/>
                <c:pt idx="0">
                  <c:v>收入</c:v>
                </c:pt>
              </c:strCache>
            </c:strRef>
          </c:tx>
          <c:spPr>
            <a:solidFill>
              <a:srgbClr val="4F81BD"/>
            </a:solidFill>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(2)'!$A$2:$A$7</c:f>
              <c:strCache>
                <c:ptCount val="6"/>
                <c:pt idx="0">
                  <c:v>一般公共预算财政拨款收入</c:v>
                </c:pt>
                <c:pt idx="1">
                  <c:v>政府性基金预算财政拨款收入</c:v>
                </c:pt>
                <c:pt idx="2">
                  <c:v>上级补助收入</c:v>
                </c:pt>
                <c:pt idx="3">
                  <c:v>事业收入</c:v>
                </c:pt>
                <c:pt idx="4">
                  <c:v>经营收入</c:v>
                </c:pt>
                <c:pt idx="5">
                  <c:v>附属单位上缴收入</c:v>
                </c:pt>
              </c:strCache>
            </c:strRef>
          </c:cat>
          <c:val>
            <c:numRef>
              <c:f>'Sheet1 (2)'!$B$2:$B$7</c:f>
              <c:numCache>
                <c:formatCode>General</c:formatCode>
                <c:ptCount val="6"/>
                <c:pt idx="0">
                  <c:v>1570.67</c:v>
                </c:pt>
                <c:pt idx="1">
                  <c:v>0.0</c:v>
                </c:pt>
                <c:pt idx="2">
                  <c:v>0.0</c:v>
                </c:pt>
                <c:pt idx="3">
                  <c:v>0.0</c:v>
                </c:pt>
                <c:pt idx="4">
                  <c:v>0.0</c:v>
                </c:pt>
                <c:pt idx="5">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(3)'!$B$1</c:f>
              <c:strCache>
                <c:ptCount val="1"/>
                <c:pt idx="0">
                  <c:v>支出</c:v>
                </c:pt>
              </c:strCache>
            </c:strRef>
          </c:tx>
          <c:spPr>
            <a:solidFill>
              <a:srgbClr val="4F81B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General</c:formatCode>
                <c:ptCount val="5"/>
                <c:pt idx="0">
                  <c:v>1327.11</c:v>
                </c:pt>
                <c:pt idx="1">
                  <c:v>319.96</c:v>
                </c:pt>
                <c:pt idx="2">
                  <c:v>0.0</c:v>
                </c:pt>
                <c:pt idx="3">
                  <c:v>0.0</c:v>
                </c:pt>
                <c:pt idx="4">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(4)'!$B$1</c:f>
              <c:strCache>
                <c:ptCount val="1"/>
                <c:pt idx="0">
                  <c:v>2019年</c:v>
                </c:pt>
              </c:strCache>
            </c:strRef>
          </c:tx>
          <c:spPr>
            <a:solidFill>
              <a:srgbClr val="4472C4"/>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(4)'!$A$2:$A$5</c:f>
              <c:strCache>
                <c:ptCount val="4"/>
                <c:pt idx="0">
                  <c:v>收入</c:v>
                </c:pt>
                <c:pt idx="1">
                  <c:v>支出</c:v>
                </c:pt>
              </c:strCache>
            </c:strRef>
          </c:cat>
          <c:val>
            <c:numRef>
              <c:f>'Sheet1 (4)'!$B$2:$B$5</c:f>
              <c:numCache>
                <c:formatCode>General</c:formatCode>
                <c:ptCount val="4"/>
                <c:pt idx="0">
                  <c:v>1439.52</c:v>
                </c:pt>
                <c:pt idx="1">
                  <c:v>1439.52</c:v>
                </c:pt>
              </c:numCache>
            </c:numRef>
          </c:val>
        </c:ser>
        <c:ser>
          <c:idx val="1"/>
          <c:order val="1"/>
          <c:tx>
            <c:strRef>
              <c:f>'Sheet1 (4)'!$C$1</c:f>
              <c:strCache>
                <c:ptCount val="1"/>
                <c:pt idx="0">
                  <c:v>2020年</c:v>
                </c:pt>
              </c:strCache>
            </c:strRef>
          </c:tx>
          <c:spPr>
            <a:solidFill>
              <a:srgbClr val="ED7D31"/>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(4)'!$A$2:$A$5</c:f>
              <c:strCache>
                <c:ptCount val="4"/>
                <c:pt idx="0">
                  <c:v>收入</c:v>
                </c:pt>
                <c:pt idx="1">
                  <c:v>支出</c:v>
                </c:pt>
              </c:strCache>
            </c:strRef>
          </c:cat>
          <c:val>
            <c:numRef>
              <c:f>'Sheet1 (4)'!$C$2:$C$5</c:f>
              <c:numCache>
                <c:formatCode>General</c:formatCode>
                <c:ptCount val="4"/>
                <c:pt idx="0">
                  <c:v>1647.08</c:v>
                </c:pt>
                <c:pt idx="1">
                  <c:v>1647.08</c:v>
                </c:pt>
              </c:numCache>
            </c:numRef>
          </c:val>
        </c:ser>
        <c:ser>
          <c:idx val="2"/>
          <c:order val="2"/>
          <c:tx>
            <c:strRef>
              <c:f>'Sheet1 (4)'!$D$1</c:f>
              <c:strCache>
                <c:ptCount val="1"/>
                <c:pt idx="0">
                  <c:v>列1</c:v>
                </c:pt>
              </c:strCache>
            </c:strRef>
          </c:tx>
          <c:spPr>
            <a:solidFill>
              <a:srgbClr val="A5A5A5"/>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(4)'!$A$2:$A$5</c:f>
              <c:strCache>
                <c:ptCount val="4"/>
                <c:pt idx="0">
                  <c:v>收入</c:v>
                </c:pt>
                <c:pt idx="1">
                  <c:v>支出</c:v>
                </c:pt>
              </c:strCache>
            </c:strRef>
          </c:cat>
          <c:val>
            <c:numRef>
              <c:f>'Sheet1 (4)'!$D$2:$D$5</c:f>
              <c:numCache>
                <c:formatCode>General</c:formatCode>
                <c:ptCount val="4"/>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(5)'!$B$1</c:f>
              <c:strCache>
                <c:ptCount val="1"/>
                <c:pt idx="0">
                  <c:v>2019年</c:v>
                </c:pt>
              </c:strCache>
            </c:strRef>
          </c:tx>
          <c:spPr>
            <a:solidFill>
              <a:srgbClr val="4472C4"/>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(5)'!$A$2:$A$5</c:f>
              <c:strCache>
                <c:ptCount val="4"/>
                <c:pt idx="0">
                  <c:v>一般公共预算财政拨款支出</c:v>
                </c:pt>
              </c:strCache>
            </c:strRef>
          </c:cat>
          <c:val>
            <c:numRef>
              <c:f>'Sheet1 (5)'!$B$2:$B$5</c:f>
              <c:numCache>
                <c:formatCode>General</c:formatCode>
                <c:ptCount val="4"/>
                <c:pt idx="0">
                  <c:v>1439.52</c:v>
                </c:pt>
              </c:numCache>
            </c:numRef>
          </c:val>
        </c:ser>
        <c:ser>
          <c:idx val="1"/>
          <c:order val="1"/>
          <c:tx>
            <c:strRef>
              <c:f>'Sheet1 (5)'!$C$1</c:f>
              <c:strCache>
                <c:ptCount val="1"/>
                <c:pt idx="0">
                  <c:v>2020年</c:v>
                </c:pt>
              </c:strCache>
            </c:strRef>
          </c:tx>
          <c:spPr>
            <a:solidFill>
              <a:srgbClr val="ED7D31"/>
            </a:solidFill>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(5)'!$A$2:$A$5</c:f>
              <c:strCache>
                <c:ptCount val="4"/>
                <c:pt idx="0">
                  <c:v>一般公共预算财政拨款支出</c:v>
                </c:pt>
              </c:strCache>
            </c:strRef>
          </c:cat>
          <c:val>
            <c:numRef>
              <c:f>'Sheet1 (5)'!$C$2:$C$5</c:f>
              <c:numCache>
                <c:formatCode>General</c:formatCode>
                <c:ptCount val="4"/>
                <c:pt idx="0">
                  <c:v>1647.08</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solidFill>
          <a:srgbClr val="FFFFFF"/>
        </a:solid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hPercent val="100"/>
      <c:rotY val="0"/>
      <c:depthPercent val="100"/>
      <c:rAngAx val="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strRef>
              <c:f>'Sheet1 (6)'!$B$1</c:f>
              <c:strCache>
                <c:ptCount val="1"/>
                <c:pt idx="0">
                  <c:v>一般公共预算财政拨款支出决算结构</c:v>
                </c:pt>
              </c:strCache>
            </c:strRef>
          </c:tx>
          <c:spPr>
            <a:solidFill>
              <a:srgbClr val="4F81B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(6)'!$A$2:$A$6</c:f>
              <c:strCache>
                <c:ptCount val="5"/>
                <c:pt idx="0">
                  <c:v>一般公共服务</c:v>
                </c:pt>
                <c:pt idx="1">
                  <c:v>社会保障和就业支出</c:v>
                </c:pt>
                <c:pt idx="2">
                  <c:v>卫生健康支出</c:v>
                </c:pt>
                <c:pt idx="3">
                  <c:v>农林水支出</c:v>
                </c:pt>
                <c:pt idx="4">
                  <c:v>住房保障支出</c:v>
                </c:pt>
              </c:strCache>
            </c:strRef>
          </c:cat>
          <c:val>
            <c:numRef>
              <c:f>'Sheet1 (6)'!$B$2:$B$6</c:f>
              <c:numCache>
                <c:formatCode>General</c:formatCode>
                <c:ptCount val="5"/>
                <c:pt idx="0">
                  <c:v>1348.28</c:v>
                </c:pt>
                <c:pt idx="1">
                  <c:v>130.11</c:v>
                </c:pt>
                <c:pt idx="2">
                  <c:v>67.62</c:v>
                </c:pt>
                <c:pt idx="3">
                  <c:v>1.2</c:v>
                </c:pt>
                <c:pt idx="4">
                  <c:v>99.87</c:v>
                </c:pt>
              </c:numCache>
            </c:numRef>
          </c:val>
        </c:ser>
        <c:gapDepth val="150"/>
        <c:firstSliceAng val="0"/>
      </c:pie3D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a:t>三公经费</a:t>
            </a:r>
          </a:p>
        </c:rich>
      </c:tx>
      <c:layout/>
      <c:overlay val="0"/>
      <c:spPr>
        <a:ln>
          <a:noFill/>
        </a:ln>
      </c:spPr>
    </c:title>
    <c:autoTitleDeleted val="0"/>
    <c:plotArea>
      <c:layout/>
      <c:pieChart>
        <c:varyColors val="1"/>
        <c:ser>
          <c:idx val="0"/>
          <c:order val="0"/>
          <c:tx>
            <c:strRef>
              <c:f>'Sheet1 (7)'!$B$1</c:f>
              <c:strCache>
                <c:ptCount val="1"/>
                <c:pt idx="0">
                  <c:v>三公经费</c:v>
                </c:pt>
              </c:strCache>
            </c:strRef>
          </c:tx>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(7)'!$A$2:$A$5</c:f>
              <c:strCache>
                <c:ptCount val="4"/>
                <c:pt idx="0">
                  <c:v>因公出国（境）</c:v>
                </c:pt>
                <c:pt idx="1">
                  <c:v>公务用车运行维护费</c:v>
                </c:pt>
                <c:pt idx="2">
                  <c:v>公务接待费</c:v>
                </c:pt>
              </c:strCache>
            </c:strRef>
          </c:cat>
          <c:val>
            <c:numRef>
              <c:f>'Sheet1 (7)'!$B$2:$B$5</c:f>
              <c:numCache>
                <c:formatCode>General</c:formatCode>
                <c:ptCount val="4"/>
                <c:pt idx="0">
                  <c:v>0.0</c:v>
                </c:pt>
                <c:pt idx="1">
                  <c:v>24.07</c:v>
                </c:pt>
                <c:pt idx="2">
                  <c:v>0.7</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20</TotalTime>
  <Application>Yozo_Office27021597764231179</Application>
  <Pages>36</Pages>
  <Words>12760</Words>
  <Characters>13666</Characters>
  <Lines>889</Lines>
  <Paragraphs>404</Paragraphs>
  <CharactersWithSpaces>13772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4</cp:revision>
  <cp:lastPrinted>2022-06-30T17:21:00Z</cp:lastPrinted>
  <dcterms:created xsi:type="dcterms:W3CDTF">2021-08-06T17:38:00Z</dcterms:created>
  <dcterms:modified xsi:type="dcterms:W3CDTF">2026-08-19T09:40:57Z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2052-11.8.2.1116</vt:lpwstr>
  </property>
  <property fmtid="{D5CDD505-2E9C-101B-9397-08002B2CF9AE}" pid="3" name="ICV">
    <vt:lpwstr>1A102ECE46D5410AB4487989BEBA3FF6</vt:lpwstr>
  </property>
</Properties>
</file>