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bookmarkStart w:id="155" w:name="_GoBack"/>
      <w:bookmarkEnd w:id="155"/>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475"/>
      <w:bookmarkStart w:id="2" w:name="_Toc15378441"/>
      <w:bookmarkStart w:id="3" w:name="_Toc15377193"/>
      <w:bookmarkStart w:id="4" w:name="_Toc15377425"/>
      <w:bookmarkStart w:id="5" w:name="_Toc15396597"/>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纪委</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r>
        <w:rPr>
          <w:rFonts w:hint="eastAsia" w:ascii="方正小标宋简体" w:eastAsia="方正小标宋简体"/>
          <w:sz w:val="52"/>
          <w:szCs w:val="52"/>
        </w:rPr>
        <w:t>(</w:t>
      </w:r>
      <w:r>
        <w:rPr>
          <w:rFonts w:hint="eastAsia" w:ascii="方正小标宋简体" w:eastAsia="方正小标宋简体"/>
          <w:sz w:val="52"/>
          <w:szCs w:val="52"/>
          <w:lang w:eastAsia="zh-CN"/>
        </w:rPr>
        <w:t>电子信息监察中心</w:t>
      </w:r>
      <w:r>
        <w:rPr>
          <w:rFonts w:hint="eastAsia" w:ascii="方正小标宋简体" w:eastAsia="方正小标宋简体"/>
          <w:sz w:val="52"/>
          <w:szCs w:val="52"/>
        </w:rPr>
        <w:t>)</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ascii="宋体" w:cs="仿宋_GB2312"/>
          <w:sz w:val="32"/>
          <w:szCs w:val="32"/>
        </w:rPr>
      </w:pPr>
      <w:r>
        <w:rPr>
          <w:rFonts w:hint="eastAsia" w:ascii="宋体" w:cs="仿宋_GB2312"/>
          <w:sz w:val="32"/>
          <w:szCs w:val="32"/>
        </w:rPr>
        <w:t>保密审查情况：</w:t>
      </w:r>
    </w:p>
    <w:p>
      <w:pPr>
        <w:autoSpaceDE w:val="0"/>
        <w:autoSpaceDN w:val="0"/>
        <w:adjustRightInd w:val="0"/>
        <w:jc w:val="left"/>
        <w:rPr>
          <w:rFonts w:hint="eastAsia" w:ascii="宋体" w:cs="仿宋_GB2312"/>
          <w:sz w:val="32"/>
          <w:szCs w:val="32"/>
        </w:rPr>
      </w:pPr>
      <w:r>
        <w:rPr>
          <w:rFonts w:hint="eastAsia" w:ascii="宋体" w:cs="仿宋_GB2312"/>
          <w:sz w:val="32"/>
          <w:szCs w:val="32"/>
        </w:rPr>
        <w:t>部门主要负责人审签情况：</w:t>
      </w:r>
    </w:p>
    <w:p>
      <w:pPr>
        <w:autoSpaceDE w:val="0"/>
        <w:autoSpaceDN w:val="0"/>
        <w:adjustRightInd w:val="0"/>
        <w:jc w:val="left"/>
        <w:rPr>
          <w:rFonts w:hint="eastAsia" w:ascii="宋体" w:cs="仿宋_GB2312"/>
          <w:sz w:val="32"/>
          <w:szCs w:val="32"/>
        </w:rPr>
      </w:pPr>
    </w:p>
    <w:p>
      <w:pPr>
        <w:widowControl/>
        <w:jc w:val="both"/>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5"/>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 xml:space="preserve"> 日</w:t>
      </w:r>
    </w:p>
    <w:p>
      <w:pPr>
        <w:pStyle w:val="15"/>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8"/>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10"/>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0"/>
        <w:tabs>
          <w:tab w:val="right" w:leader="dot" w:pos="8296"/>
        </w:tabs>
        <w:rPr>
          <w:rFonts w:hint="eastAsia" w:ascii="仿宋" w:eastAsia="仿宋"/>
          <w:i w:val="0"/>
          <w:iCs w:val="0"/>
          <w:caps w:val="0"/>
          <w:smallCaps/>
          <w:lang w:eastAsia="zh-CN"/>
        </w:rPr>
      </w:pPr>
      <w:r>
        <w:rPr>
          <w:rFonts w:ascii="仿宋" w:eastAsia="仿宋"/>
          <w:i w:val="0"/>
          <w:iCs w:val="0"/>
          <w:caps w:val="0"/>
          <w:smallCaps/>
        </w:rPr>
        <w:t>（二）2021年重点工作完成情况</w:t>
      </w:r>
      <w:r>
        <w:rPr>
          <w:rFonts w:ascii="仿宋" w:eastAsia="仿宋"/>
          <w:i w:val="0"/>
          <w:iCs w:val="0"/>
          <w:caps w:val="0"/>
          <w:smallCaps/>
        </w:rPr>
        <w:tab/>
      </w:r>
      <w:r>
        <w:rPr>
          <w:rFonts w:hint="eastAsia" w:ascii="仿宋" w:eastAsia="仿宋"/>
          <w:i w:val="0"/>
          <w:iCs w:val="0"/>
          <w:caps w:val="0"/>
          <w:smallCaps/>
          <w:lang w:val="en-US" w:eastAsia="zh-CN"/>
        </w:rPr>
        <w:t>6</w:t>
      </w:r>
    </w:p>
    <w:p>
      <w:pPr>
        <w:pStyle w:val="18"/>
        <w:tabs>
          <w:tab w:val="right" w:leader="dot" w:pos="8296"/>
        </w:tabs>
        <w:rPr>
          <w:rFonts w:hint="eastAsia" w:ascii="仿宋" w:eastAsia="仿宋"/>
          <w:lang w:eastAsia="zh-CN"/>
        </w:rPr>
      </w:pPr>
      <w:r>
        <w:rPr>
          <w:rFonts w:ascii="仿宋" w:eastAsia="仿宋"/>
        </w:rPr>
        <w:t>二、机构设置</w:t>
      </w:r>
      <w:r>
        <w:rPr>
          <w:rFonts w:ascii="仿宋" w:eastAsia="仿宋"/>
        </w:rPr>
        <w:tab/>
      </w:r>
      <w:r>
        <w:rPr>
          <w:rFonts w:hint="eastAsia" w:ascii="仿宋" w:eastAsia="仿宋"/>
          <w:lang w:val="en-US" w:eastAsia="zh-CN"/>
        </w:rPr>
        <w:t>7</w:t>
      </w:r>
    </w:p>
    <w:p>
      <w:pPr>
        <w:pStyle w:val="15"/>
        <w:tabs>
          <w:tab w:val="right" w:leader="dot" w:pos="8296"/>
        </w:tabs>
        <w:rPr>
          <w:rFonts w:hint="eastAsia" w:ascii="仿宋" w:eastAsia="仿宋"/>
          <w:b w:val="0"/>
          <w:bCs w:val="0"/>
          <w:caps w:val="0"/>
          <w:smallCaps/>
          <w:lang w:val="en-US" w:eastAsia="zh-CN"/>
        </w:rPr>
      </w:pPr>
      <w:r>
        <w:rPr>
          <w:rFonts w:ascii="仿宋" w:eastAsia="仿宋"/>
          <w:b w:val="0"/>
          <w:bCs w:val="0"/>
          <w:caps w:val="0"/>
          <w:smallCaps/>
        </w:rPr>
        <w:t>第二部分 2021年度部门决算情况说明</w:t>
      </w:r>
      <w:r>
        <w:rPr>
          <w:rFonts w:ascii="仿宋" w:eastAsia="仿宋"/>
          <w:b w:val="0"/>
          <w:bCs w:val="0"/>
          <w:caps w:val="0"/>
          <w:smallCaps/>
        </w:rPr>
        <w:tab/>
      </w:r>
      <w:r>
        <w:rPr>
          <w:rFonts w:hint="eastAsia" w:ascii="仿宋" w:eastAsia="仿宋"/>
          <w:b w:val="0"/>
          <w:bCs w:val="0"/>
          <w:caps w:val="0"/>
          <w:smallCaps/>
          <w:lang w:val="en-US" w:eastAsia="zh-CN"/>
        </w:rPr>
        <w:t>8</w:t>
      </w:r>
    </w:p>
    <w:p>
      <w:pPr>
        <w:pStyle w:val="18"/>
        <w:tabs>
          <w:tab w:val="left" w:pos="840"/>
          <w:tab w:val="right" w:leader="dot" w:pos="8296"/>
        </w:tabs>
        <w:rPr>
          <w:rFonts w:hint="eastAsia" w:ascii="仿宋" w:eastAsia="仿宋"/>
          <w:lang w:val="en-US" w:eastAsia="zh-CN"/>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hint="eastAsia" w:ascii="仿宋" w:eastAsia="仿宋"/>
          <w:lang w:val="en-US" w:eastAsia="zh-CN"/>
        </w:rPr>
        <w:t>8</w:t>
      </w:r>
    </w:p>
    <w:p>
      <w:pPr>
        <w:pStyle w:val="18"/>
        <w:tabs>
          <w:tab w:val="left" w:pos="840"/>
          <w:tab w:val="right" w:leader="dot" w:pos="8296"/>
        </w:tabs>
        <w:rPr>
          <w:rFonts w:hint="eastAsia" w:ascii="仿宋" w:eastAsia="仿宋"/>
          <w:lang w:eastAsia="zh-CN"/>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hint="eastAsia" w:ascii="仿宋" w:eastAsia="仿宋"/>
          <w:lang w:val="en-US" w:eastAsia="zh-CN"/>
        </w:rPr>
        <w:t>8</w:t>
      </w:r>
    </w:p>
    <w:p>
      <w:pPr>
        <w:pStyle w:val="18"/>
        <w:tabs>
          <w:tab w:val="left" w:pos="840"/>
          <w:tab w:val="right" w:leader="dot" w:pos="8296"/>
        </w:tabs>
        <w:rPr>
          <w:rFonts w:hint="eastAsia" w:ascii="仿宋" w:eastAsia="仿宋"/>
          <w:lang w:val="en-US" w:eastAsia="zh-CN"/>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hint="eastAsia" w:ascii="仿宋" w:eastAsia="仿宋"/>
          <w:lang w:val="en-US" w:eastAsia="zh-CN"/>
        </w:rPr>
        <w:t>9</w:t>
      </w:r>
    </w:p>
    <w:p>
      <w:pPr>
        <w:pStyle w:val="18"/>
        <w:tabs>
          <w:tab w:val="right" w:leader="dot" w:pos="8296"/>
        </w:tabs>
        <w:rPr>
          <w:rFonts w:hint="eastAsia" w:ascii="仿宋" w:eastAsia="仿宋"/>
          <w:lang w:eastAsia="zh-CN"/>
        </w:rPr>
      </w:pPr>
      <w:r>
        <w:rPr>
          <w:rFonts w:ascii="仿宋" w:eastAsia="仿宋"/>
        </w:rPr>
        <w:t>四、财政拨款收入支出决算总体情况说明</w:t>
      </w:r>
      <w:r>
        <w:rPr>
          <w:rFonts w:ascii="仿宋" w:eastAsia="仿宋"/>
        </w:rPr>
        <w:tab/>
      </w:r>
      <w:r>
        <w:rPr>
          <w:rFonts w:hint="eastAsia" w:ascii="仿宋" w:eastAsia="仿宋"/>
          <w:lang w:val="en-US" w:eastAsia="zh-CN"/>
        </w:rPr>
        <w:t>9</w:t>
      </w:r>
    </w:p>
    <w:p>
      <w:pPr>
        <w:pStyle w:val="18"/>
        <w:tabs>
          <w:tab w:val="right" w:leader="dot" w:pos="8296"/>
        </w:tabs>
        <w:rPr>
          <w:rFonts w:hint="default" w:ascii="仿宋" w:eastAsia="仿宋"/>
          <w:lang w:val="en-US" w:eastAsia="zh-CN"/>
        </w:rPr>
      </w:pPr>
      <w:r>
        <w:rPr>
          <w:rFonts w:ascii="仿宋" w:eastAsia="仿宋"/>
        </w:rPr>
        <w:t>五、一般公共预算财政拨款支出决算情况说明</w:t>
      </w:r>
      <w:r>
        <w:rPr>
          <w:rFonts w:ascii="仿宋" w:eastAsia="仿宋"/>
        </w:rPr>
        <w:tab/>
      </w:r>
      <w:r>
        <w:rPr>
          <w:rFonts w:hint="eastAsia" w:ascii="仿宋" w:eastAsia="仿宋"/>
          <w:lang w:val="en-US" w:eastAsia="zh-CN"/>
        </w:rPr>
        <w:t>10</w:t>
      </w:r>
    </w:p>
    <w:p>
      <w:pPr>
        <w:pStyle w:val="10"/>
        <w:tabs>
          <w:tab w:val="right" w:leader="dot" w:pos="8296"/>
        </w:tabs>
        <w:rPr>
          <w:rFonts w:hint="eastAsia" w:ascii="仿宋" w:eastAsia="仿宋"/>
          <w:i w:val="0"/>
          <w:iCs w:val="0"/>
          <w:caps w:val="0"/>
          <w:smallCaps/>
          <w:lang w:val="en-US" w:eastAsia="zh-CN"/>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lang w:val="en-US" w:eastAsia="zh-CN"/>
        </w:rPr>
        <w:t>10</w:t>
      </w:r>
    </w:p>
    <w:p>
      <w:pPr>
        <w:pStyle w:val="10"/>
        <w:tabs>
          <w:tab w:val="right" w:leader="dot" w:pos="8296"/>
        </w:tabs>
        <w:rPr>
          <w:rFonts w:hint="eastAsia" w:ascii="仿宋" w:eastAsia="仿宋"/>
          <w:i w:val="0"/>
          <w:iCs w:val="0"/>
          <w:caps w:val="0"/>
          <w:smallCaps/>
          <w:lang w:val="en-US" w:eastAsia="zh-CN"/>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lang w:val="en-US" w:eastAsia="zh-CN"/>
        </w:rPr>
        <w:t>10</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lang w:val="en-US" w:eastAsia="zh-CN"/>
        </w:rPr>
        <w:t>11</w:t>
      </w:r>
    </w:p>
    <w:p>
      <w:pPr>
        <w:pStyle w:val="18"/>
        <w:tabs>
          <w:tab w:val="right" w:leader="dot" w:pos="8296"/>
        </w:tabs>
        <w:rPr>
          <w:rFonts w:hint="default" w:ascii="仿宋" w:eastAsia="仿宋"/>
          <w:lang w:val="en-US" w:eastAsia="zh-CN"/>
        </w:rPr>
      </w:pPr>
      <w:r>
        <w:rPr>
          <w:rFonts w:ascii="仿宋" w:eastAsia="仿宋"/>
        </w:rPr>
        <w:t>六、一般公共预算财政拨款基本支出决算情况说明</w:t>
      </w:r>
      <w:r>
        <w:rPr>
          <w:rFonts w:ascii="仿宋" w:eastAsia="仿宋"/>
        </w:rPr>
        <w:tab/>
      </w:r>
      <w:r>
        <w:rPr>
          <w:rFonts w:hint="eastAsia" w:ascii="仿宋" w:eastAsia="仿宋"/>
          <w:lang w:val="en-US" w:eastAsia="zh-CN"/>
        </w:rPr>
        <w:t>12</w:t>
      </w:r>
    </w:p>
    <w:p>
      <w:pPr>
        <w:pStyle w:val="18"/>
        <w:tabs>
          <w:tab w:val="right" w:leader="dot" w:pos="8296"/>
        </w:tabs>
        <w:rPr>
          <w:rFonts w:ascii="仿宋" w:eastAsia="仿宋"/>
          <w:i w:val="0"/>
          <w:iCs w:val="0"/>
          <w:caps w:val="0"/>
          <w:smallCaps/>
        </w:rPr>
      </w:pPr>
      <w:r>
        <w:rPr>
          <w:rFonts w:ascii="仿宋" w:eastAsia="仿宋"/>
        </w:rPr>
        <w:t>七、“三公”经费财政拨款支出决算情况说明</w:t>
      </w:r>
      <w:r>
        <w:rPr>
          <w:rFonts w:ascii="仿宋" w:eastAsia="仿宋"/>
        </w:rPr>
        <w:tab/>
      </w:r>
      <w:r>
        <w:rPr>
          <w:rFonts w:hint="eastAsia" w:ascii="仿宋" w:eastAsia="仿宋"/>
          <w:lang w:val="en-US" w:eastAsia="zh-CN"/>
        </w:rPr>
        <w:t>12</w:t>
      </w:r>
    </w:p>
    <w:p>
      <w:pPr>
        <w:pStyle w:val="18"/>
        <w:tabs>
          <w:tab w:val="right" w:leader="dot" w:pos="8296"/>
        </w:tabs>
        <w:rPr>
          <w:rFonts w:hint="eastAsia" w:ascii="仿宋" w:eastAsia="仿宋"/>
          <w:lang w:val="en-US" w:eastAsia="zh-CN"/>
        </w:rPr>
      </w:pPr>
      <w:r>
        <w:rPr>
          <w:rFonts w:ascii="仿宋" w:eastAsia="仿宋"/>
        </w:rPr>
        <w:t>八、政府性基金预算支出决算情况说明</w:t>
      </w:r>
      <w:r>
        <w:rPr>
          <w:rFonts w:ascii="仿宋" w:eastAsia="仿宋"/>
        </w:rPr>
        <w:tab/>
      </w:r>
      <w:r>
        <w:rPr>
          <w:rFonts w:hint="eastAsia" w:ascii="仿宋" w:eastAsia="仿宋"/>
          <w:lang w:val="en-US" w:eastAsia="zh-CN"/>
        </w:rPr>
        <w:t>12</w:t>
      </w:r>
    </w:p>
    <w:p>
      <w:pPr>
        <w:pStyle w:val="18"/>
        <w:tabs>
          <w:tab w:val="right" w:leader="dot" w:pos="8296"/>
        </w:tabs>
        <w:rPr>
          <w:rFonts w:hint="default" w:ascii="仿宋" w:eastAsia="仿宋"/>
          <w:lang w:val="en-US" w:eastAsia="zh-CN"/>
        </w:rPr>
      </w:pPr>
      <w:r>
        <w:rPr>
          <w:rFonts w:ascii="仿宋" w:eastAsia="仿宋"/>
        </w:rPr>
        <w:t>九、 国有资本经营预算支出决算情况说明</w:t>
      </w:r>
      <w:r>
        <w:rPr>
          <w:rFonts w:ascii="仿宋" w:eastAsia="仿宋"/>
        </w:rPr>
        <w:tab/>
      </w:r>
      <w:r>
        <w:rPr>
          <w:rFonts w:hint="eastAsia" w:ascii="仿宋" w:eastAsia="仿宋"/>
          <w:lang w:val="en-US" w:eastAsia="zh-CN"/>
        </w:rPr>
        <w:t>12</w:t>
      </w:r>
    </w:p>
    <w:p>
      <w:pPr>
        <w:pStyle w:val="18"/>
        <w:tabs>
          <w:tab w:val="right" w:leader="dot" w:pos="8296"/>
        </w:tabs>
        <w:rPr>
          <w:rFonts w:hint="default" w:ascii="仿宋" w:eastAsia="仿宋"/>
          <w:lang w:val="en-US" w:eastAsia="zh-CN"/>
        </w:rPr>
      </w:pPr>
      <w:r>
        <w:rPr>
          <w:rFonts w:ascii="仿宋" w:eastAsia="仿宋"/>
        </w:rPr>
        <w:t>十、其他重要事项的情况说明</w:t>
      </w:r>
      <w:r>
        <w:rPr>
          <w:rFonts w:ascii="仿宋" w:eastAsia="仿宋"/>
        </w:rPr>
        <w:tab/>
      </w:r>
      <w:r>
        <w:rPr>
          <w:rFonts w:hint="eastAsia" w:ascii="仿宋" w:eastAsia="仿宋"/>
          <w:lang w:val="en-US" w:eastAsia="zh-CN"/>
        </w:rPr>
        <w:t>12</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（一）机关运行经费支出情况</w:t>
      </w:r>
      <w:r>
        <w:rPr>
          <w:rFonts w:ascii="仿宋" w:eastAsia="仿宋"/>
          <w:i w:val="0"/>
          <w:iCs w:val="0"/>
          <w:caps w:val="0"/>
          <w:smallCaps/>
        </w:rPr>
        <w:tab/>
      </w:r>
      <w:r>
        <w:rPr>
          <w:rFonts w:hint="eastAsia" w:ascii="仿宋" w:eastAsia="仿宋"/>
          <w:i w:val="0"/>
          <w:iCs w:val="0"/>
          <w:caps w:val="0"/>
          <w:smallCaps/>
          <w:lang w:val="en-US" w:eastAsia="zh-CN"/>
        </w:rPr>
        <w:t>12</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（二）政府采购支出情况</w:t>
      </w:r>
      <w:r>
        <w:rPr>
          <w:rFonts w:ascii="仿宋" w:eastAsia="仿宋"/>
          <w:i w:val="0"/>
          <w:iCs w:val="0"/>
          <w:caps w:val="0"/>
          <w:smallCaps/>
        </w:rPr>
        <w:tab/>
      </w:r>
      <w:r>
        <w:rPr>
          <w:rFonts w:hint="eastAsia" w:ascii="仿宋" w:eastAsia="仿宋"/>
          <w:i w:val="0"/>
          <w:iCs w:val="0"/>
          <w:caps w:val="0"/>
          <w:smallCaps/>
          <w:lang w:val="en-US" w:eastAsia="zh-CN"/>
        </w:rPr>
        <w:t>13</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（三）国有资产占有使用情况</w:t>
      </w:r>
      <w:r>
        <w:rPr>
          <w:rFonts w:ascii="仿宋" w:eastAsia="仿宋"/>
          <w:i w:val="0"/>
          <w:iCs w:val="0"/>
          <w:caps w:val="0"/>
          <w:smallCaps/>
        </w:rPr>
        <w:tab/>
      </w:r>
      <w:r>
        <w:rPr>
          <w:rFonts w:hint="eastAsia" w:ascii="仿宋" w:eastAsia="仿宋"/>
          <w:i w:val="0"/>
          <w:iCs w:val="0"/>
          <w:caps w:val="0"/>
          <w:smallCaps/>
          <w:lang w:val="en-US" w:eastAsia="zh-CN"/>
        </w:rPr>
        <w:t>13</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（四）预算绩效管理情况</w:t>
      </w:r>
      <w:r>
        <w:rPr>
          <w:rFonts w:ascii="仿宋" w:eastAsia="仿宋"/>
          <w:i w:val="0"/>
          <w:iCs w:val="0"/>
          <w:caps w:val="0"/>
          <w:smallCaps/>
        </w:rPr>
        <w:tab/>
      </w:r>
      <w:r>
        <w:rPr>
          <w:rFonts w:hint="eastAsia" w:ascii="仿宋" w:eastAsia="仿宋"/>
          <w:i w:val="0"/>
          <w:iCs w:val="0"/>
          <w:caps w:val="0"/>
          <w:smallCaps/>
          <w:lang w:val="en-US" w:eastAsia="zh-CN"/>
        </w:rPr>
        <w:t>13</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第三部分 名词解释</w:t>
      </w:r>
      <w:r>
        <w:rPr>
          <w:rFonts w:ascii="仿宋" w:eastAsia="仿宋"/>
          <w:b w:val="0"/>
          <w:bCs w:val="0"/>
          <w:caps w:val="0"/>
          <w:smallCaps/>
        </w:rPr>
        <w:tab/>
      </w:r>
      <w:r>
        <w:rPr>
          <w:rFonts w:hint="eastAsia" w:ascii="仿宋" w:eastAsia="仿宋"/>
          <w:b w:val="0"/>
          <w:bCs w:val="0"/>
          <w:caps w:val="0"/>
          <w:smallCaps/>
          <w:lang w:val="en-US" w:eastAsia="zh-CN"/>
        </w:rPr>
        <w:t>14</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第四部分 附件</w:t>
      </w:r>
      <w:r>
        <w:rPr>
          <w:rFonts w:ascii="仿宋" w:eastAsia="仿宋"/>
          <w:b w:val="0"/>
          <w:bCs w:val="0"/>
          <w:caps w:val="0"/>
          <w:smallCaps/>
        </w:rPr>
        <w:tab/>
      </w:r>
      <w:r>
        <w:rPr>
          <w:rFonts w:hint="eastAsia" w:ascii="仿宋" w:eastAsia="仿宋"/>
          <w:b w:val="0"/>
          <w:bCs w:val="0"/>
          <w:caps w:val="0"/>
          <w:smallCaps/>
          <w:lang w:val="en-US" w:eastAsia="zh-CN"/>
        </w:rPr>
        <w:t>17</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附件1</w:t>
      </w:r>
      <w:r>
        <w:rPr>
          <w:rFonts w:ascii="仿宋" w:eastAsia="仿宋"/>
          <w:b w:val="0"/>
          <w:bCs w:val="0"/>
          <w:caps w:val="0"/>
          <w:smallCaps/>
        </w:rPr>
        <w:tab/>
      </w:r>
      <w:r>
        <w:rPr>
          <w:rFonts w:hint="eastAsia" w:ascii="仿宋" w:eastAsia="仿宋"/>
          <w:b w:val="0"/>
          <w:bCs w:val="0"/>
          <w:caps w:val="0"/>
          <w:smallCaps/>
          <w:lang w:val="en-US" w:eastAsia="zh-CN"/>
        </w:rPr>
        <w:t>17</w:t>
      </w:r>
    </w:p>
    <w:p>
      <w:pPr>
        <w:pStyle w:val="15"/>
        <w:tabs>
          <w:tab w:val="right" w:leader="dot" w:pos="8296"/>
        </w:tabs>
        <w:rPr>
          <w:rFonts w:hint="default" w:ascii="仿宋" w:eastAsia="仿宋"/>
          <w:b w:val="0"/>
          <w:bCs w:val="0"/>
          <w:caps w:val="0"/>
          <w:smallCaps/>
          <w:lang w:val="en-US" w:eastAsia="zh-CN"/>
        </w:rPr>
      </w:pPr>
      <w:r>
        <w:rPr>
          <w:rFonts w:hint="eastAsia" w:ascii="仿宋" w:eastAsia="仿宋"/>
          <w:b w:val="0"/>
          <w:bCs w:val="0"/>
          <w:caps w:val="0"/>
          <w:smallCaps/>
          <w:lang w:eastAsia="zh-CN"/>
        </w:rPr>
        <w:t>茂县纪委电子信息监察中心</w:t>
      </w:r>
      <w:r>
        <w:rPr>
          <w:rFonts w:hint="eastAsia" w:ascii="仿宋" w:eastAsia="仿宋"/>
          <w:b w:val="0"/>
          <w:bCs w:val="0"/>
          <w:caps w:val="0"/>
          <w:smallCaps/>
          <w:lang w:val="en-US" w:eastAsia="zh-CN"/>
        </w:rPr>
        <w:t>2021年部门整体支出绩效评价报告</w:t>
      </w:r>
      <w:r>
        <w:rPr>
          <w:rFonts w:ascii="仿宋" w:eastAsia="仿宋"/>
          <w:b w:val="0"/>
          <w:bCs w:val="0"/>
          <w:caps w:val="0"/>
          <w:smallCaps/>
        </w:rPr>
        <w:tab/>
      </w:r>
      <w:r>
        <w:rPr>
          <w:rFonts w:hint="eastAsia" w:ascii="仿宋" w:eastAsia="仿宋"/>
          <w:b w:val="0"/>
          <w:bCs w:val="0"/>
          <w:caps w:val="0"/>
          <w:smallCaps/>
          <w:lang w:val="en-US" w:eastAsia="zh-CN"/>
        </w:rPr>
        <w:t>17</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lang w:val="en-US" w:eastAsia="zh-CN"/>
        </w:rPr>
        <w:t>21</w:t>
      </w:r>
    </w:p>
    <w:p>
      <w:pPr>
        <w:pStyle w:val="18"/>
        <w:tabs>
          <w:tab w:val="right" w:leader="dot" w:pos="8296"/>
        </w:tabs>
        <w:rPr>
          <w:rFonts w:hint="default" w:ascii="仿宋" w:eastAsia="仿宋"/>
          <w:lang w:val="en-US" w:eastAsia="zh-CN"/>
        </w:rPr>
      </w:pPr>
      <w:r>
        <w:rPr>
          <w:rFonts w:ascii="仿宋" w:eastAsia="仿宋"/>
        </w:rPr>
        <w:t>一、收入支出决算总表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二、收入决算表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三、支出决算表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四、财政拨款收入支出决算总表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五、财政拨款支出决算明细表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六、一般公共预算财政拨款支出决算表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七、一般公共预算财政拨款支出决算明细表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八、一般公共预算财政拨款基本支出决算表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九、一般公共预算财政拨款项目支出决算表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十、一般公共预算财政拨款“三公”经费支出决算表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十一、政府性基金预算财政拨款收入支出决算表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十二、政府性基金预算财政拨款“三公”经费支出决算表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十三、国有资本经营预算财政拨款支出决算表</w:t>
      </w:r>
      <w:r>
        <w:rPr>
          <w:rFonts w:ascii="仿宋" w:eastAsia="仿宋"/>
        </w:rPr>
        <w:tab/>
      </w:r>
      <w:r>
        <w:rPr>
          <w:rFonts w:hint="eastAsia" w:ascii="仿宋" w:eastAsia="仿宋"/>
          <w:lang w:val="en-US" w:eastAsia="zh-CN"/>
        </w:rPr>
        <w:t>21</w:t>
      </w:r>
    </w:p>
    <w:p>
      <w:pPr>
        <w:pStyle w:val="18"/>
        <w:tabs>
          <w:tab w:val="right" w:leader="dot" w:pos="8296"/>
        </w:tabs>
        <w:rPr>
          <w:rFonts w:hint="default" w:ascii="仿宋" w:eastAsia="仿宋"/>
          <w:lang w:val="en-US" w:eastAsia="zh-CN"/>
        </w:rPr>
      </w:pPr>
      <w:r>
        <w:rPr>
          <w:rFonts w:ascii="仿宋" w:eastAsia="仿宋"/>
        </w:rPr>
        <w:t>十四、国有资本经营预算财政拨款支出决算表</w:t>
      </w:r>
      <w:r>
        <w:rPr>
          <w:rFonts w:ascii="仿宋" w:eastAsia="仿宋"/>
        </w:rPr>
        <w:tab/>
      </w:r>
      <w:r>
        <w:rPr>
          <w:rFonts w:hint="eastAsia" w:ascii="仿宋" w:eastAsia="仿宋"/>
          <w:lang w:val="en-US" w:eastAsia="zh-CN"/>
        </w:rPr>
        <w:t>21</w:t>
      </w:r>
    </w:p>
    <w:p>
      <w:r>
        <w:rPr>
          <w:rFonts w:ascii="仿宋" w:eastAsia="仿宋"/>
          <w:caps w:val="0"/>
          <w:smallCaps/>
          <w:sz w:val="20"/>
          <w:szCs w:val="2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4"/>
        <w:jc w:val="center"/>
        <w:rPr>
          <w:rStyle w:val="25"/>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5"/>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26"/>
          <w:rFonts w:ascii="仿宋" w:eastAsia="仿宋"/>
          <w:b w:val="0"/>
          <w:bCs w:val="0"/>
        </w:rPr>
      </w:pPr>
      <w:bookmarkStart w:id="16" w:name="_Toc15396600"/>
      <w:bookmarkStart w:id="17" w:name="_Toc79163852"/>
      <w:bookmarkStart w:id="18" w:name="_Toc79163602"/>
      <w:bookmarkStart w:id="19" w:name="_Toc15377197"/>
      <w:r>
        <w:rPr>
          <w:rFonts w:hint="eastAsia" w:ascii="黑体" w:eastAsia="黑体"/>
          <w:b w:val="0"/>
          <w:color w:val="000000"/>
        </w:rPr>
        <w:t>一、基</w:t>
      </w:r>
      <w:r>
        <w:rPr>
          <w:rStyle w:val="26"/>
          <w:rFonts w:hint="eastAsia" w:ascii="黑体" w:eastAsia="黑体"/>
          <w:b w:val="0"/>
          <w:bCs w:val="0"/>
        </w:rPr>
        <w:t>本职能及主要工作</w:t>
      </w:r>
      <w:bookmarkEnd w:id="16"/>
      <w:bookmarkEnd w:id="17"/>
      <w:bookmarkEnd w:id="18"/>
      <w:bookmarkEnd w:id="19"/>
    </w:p>
    <w:p>
      <w:pPr>
        <w:pStyle w:val="8"/>
        <w:adjustRightInd w:val="0"/>
        <w:snapToGrid w:val="0"/>
        <w:spacing w:before="93" w:beforeLines="0" w:line="600" w:lineRule="exact"/>
        <w:ind w:firstLine="668" w:firstLineChars="209"/>
        <w:outlineLvl w:val="2"/>
        <w:rPr>
          <w:rFonts w:hint="eastAsia" w:ascii="仿宋" w:eastAsia="仿宋"/>
          <w:bCs/>
          <w:color w:val="000000"/>
          <w:sz w:val="32"/>
          <w:szCs w:val="32"/>
        </w:rPr>
      </w:pPr>
      <w:bookmarkStart w:id="20" w:name="_Toc79163853"/>
      <w:bookmarkStart w:id="21" w:name="_Toc79163603"/>
      <w:bookmarkStart w:id="22" w:name="_Toc15378445"/>
      <w:bookmarkStart w:id="23" w:name="_Toc15377198"/>
      <w:r>
        <w:rPr>
          <w:rFonts w:hint="eastAsia" w:ascii="仿宋" w:eastAsia="仿宋"/>
          <w:bCs/>
          <w:color w:val="000000"/>
          <w:sz w:val="32"/>
          <w:szCs w:val="32"/>
        </w:rPr>
        <w:t>（一）主要职能</w:t>
      </w:r>
      <w:bookmarkEnd w:id="20"/>
      <w:bookmarkEnd w:id="21"/>
    </w:p>
    <w:p>
      <w:pPr>
        <w:pStyle w:val="8"/>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政建设和反腐败工作。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pPr>
        <w:ind w:firstLine="800" w:firstLineChars="250"/>
        <w:rPr>
          <w:rFonts w:hint="eastAsia" w:ascii="仿宋" w:eastAsia="仿宋"/>
          <w:bCs/>
          <w:color w:val="000000"/>
          <w:sz w:val="32"/>
          <w:szCs w:val="32"/>
        </w:rPr>
      </w:pPr>
      <w:r>
        <w:rPr>
          <w:rFonts w:hint="eastAsia" w:ascii="仿宋" w:hAnsi="仿宋" w:eastAsia="仿宋"/>
          <w:bCs/>
          <w:color w:val="000000"/>
          <w:sz w:val="32"/>
          <w:szCs w:val="32"/>
        </w:rPr>
        <w:t>9.完成县委和州纪委监委交办的其他任务。</w:t>
      </w:r>
    </w:p>
    <w:bookmarkEnd w:id="22"/>
    <w:bookmarkEnd w:id="23"/>
    <w:p>
      <w:pPr>
        <w:pStyle w:val="8"/>
        <w:adjustRightInd w:val="0"/>
        <w:snapToGrid w:val="0"/>
        <w:spacing w:before="93" w:beforeLines="0" w:line="600" w:lineRule="exact"/>
        <w:ind w:firstLine="668" w:firstLineChars="209"/>
        <w:outlineLvl w:val="2"/>
        <w:rPr>
          <w:rFonts w:hint="eastAsia" w:ascii="仿宋" w:eastAsia="仿宋"/>
          <w:bCs/>
          <w:color w:val="000000"/>
          <w:sz w:val="32"/>
          <w:szCs w:val="32"/>
        </w:rPr>
      </w:pPr>
      <w:bookmarkStart w:id="24" w:name="_Toc79163604"/>
      <w:bookmarkStart w:id="25" w:name="_Toc79163854"/>
      <w:bookmarkStart w:id="26" w:name="_Toc15378446"/>
      <w:bookmarkStart w:id="27" w:name="_Toc15377199"/>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keepNext w:val="0"/>
        <w:keepLines w:val="0"/>
        <w:pageBreakBefore w:val="0"/>
        <w:kinsoku/>
        <w:wordWrap/>
        <w:topLinePunct w:val="0"/>
        <w:bidi w:val="0"/>
        <w:adjustRightInd w:val="0"/>
        <w:spacing w:line="548" w:lineRule="exact"/>
        <w:ind w:firstLine="640" w:firstLineChars="200"/>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1.深化“两个责任”，纵深推进从严治党。按照中央党要管党、全面从严治党的要求，在协助县委推进全面从严治党、落实党风廉政建设主体责任的同时，切实履行监督责任第一责任人的职责。</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8" w:lineRule="exact"/>
        <w:ind w:right="0" w:firstLine="640" w:firstLineChars="200"/>
        <w:jc w:val="both"/>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2.围绕主责主业，驰而不息正风肃纪。持续深化“三察三治”专项行动。紧盯责任落实，立足“监督的再监督”的职责定位，依托县纪委监委班子包片联系机制，整合监督力量，构建“1+1+2”（1名班子成员+1名纪检组长+1至2名纪委书记）联动监督模式，结合县乡换届、政法队伍教育整顿、森林草原防灭火、“4+2”重点行业领域系统治理、促进脱贫攻坚和乡村振兴有效衔接专项监督等重点工作，强化日常监督，制定“清单式”监督工作提醒明细，推动重点工作监督检查常态化，让监督“探头”更聚焦。</w:t>
      </w:r>
    </w:p>
    <w:p>
      <w:pPr>
        <w:pStyle w:val="20"/>
        <w:keepNext w:val="0"/>
        <w:keepLines w:val="0"/>
        <w:pageBreakBefore w:val="0"/>
        <w:widowControl/>
        <w:shd w:val="clear" w:color="auto" w:fill="FFFFFF"/>
        <w:kinsoku/>
        <w:wordWrap/>
        <w:topLinePunct w:val="0"/>
        <w:bidi w:val="0"/>
        <w:spacing w:line="548" w:lineRule="exact"/>
        <w:ind w:firstLine="640" w:firstLineChars="200"/>
        <w:jc w:val="both"/>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3.坚持高举严打，持续保持高压态势。坚持以群众为中心的理念，重点整治形式主义、官僚主义和侵害群众利益不正之风和腐败问题，一体推进“三不”机制建设。</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48" w:lineRule="exact"/>
        <w:ind w:left="0" w:leftChars="0" w:right="0" w:firstLine="640" w:firstLineChars="200"/>
        <w:jc w:val="both"/>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4.落实中央八项规定精神，不断加强作风建设。全县纪检监察机关把监督中央八项规定精神贯彻落实情况作为一项经常性工作，出实招、动真格、见实效。针对节日期间“四风”问题易发的特点，通过采取短信提醒+明察暗访+问责曝光的方式，从严从实防范和查处违规发放津补贴、“不吃公款吃老板”等隐形“四风”问题。</w:t>
      </w:r>
    </w:p>
    <w:p>
      <w:pPr>
        <w:pStyle w:val="20"/>
        <w:keepNext w:val="0"/>
        <w:keepLines w:val="0"/>
        <w:pageBreakBefore w:val="0"/>
        <w:widowControl/>
        <w:shd w:val="clear" w:color="auto" w:fill="FFFFFF"/>
        <w:kinsoku/>
        <w:wordWrap/>
        <w:topLinePunct w:val="0"/>
        <w:bidi w:val="0"/>
        <w:spacing w:line="548" w:lineRule="exact"/>
        <w:ind w:firstLine="640" w:firstLineChars="200"/>
        <w:jc w:val="both"/>
        <w:textAlignment w:val="auto"/>
        <w:rPr>
          <w:rFonts w:hint="eastAsia" w:ascii="仿宋" w:eastAsia="仿宋"/>
          <w:bCs/>
          <w:color w:val="000000"/>
          <w:sz w:val="32"/>
          <w:szCs w:val="32"/>
        </w:rPr>
      </w:pPr>
      <w:r>
        <w:rPr>
          <w:rFonts w:hint="eastAsia" w:ascii="仿宋" w:hAnsi="Times New Roman" w:eastAsia="仿宋" w:cs="Times New Roman"/>
          <w:bCs/>
          <w:color w:val="000000"/>
          <w:kern w:val="0"/>
          <w:sz w:val="32"/>
          <w:szCs w:val="32"/>
          <w:lang w:val="en-US" w:eastAsia="zh-CN" w:bidi="ar-SA"/>
        </w:rPr>
        <w:t>5.夯实基层队伍，切实发挥“前哨”作用。全县108个村（社区）完成村务监督委员会推选工作，新一届村（居）务监督委员会成员（其中纪检委员兼主任108名，委员216名）已开始履行职责，</w:t>
      </w:r>
      <w:r>
        <w:rPr>
          <w:rFonts w:hint="default" w:ascii="仿宋" w:eastAsia="仿宋" w:cs="Times New Roman"/>
          <w:bCs/>
          <w:color w:val="000000"/>
          <w:kern w:val="0"/>
          <w:sz w:val="32"/>
          <w:szCs w:val="32"/>
          <w:lang w:eastAsia="zh-CN" w:bidi="ar-SA"/>
        </w:rPr>
        <w:t>截至目前</w:t>
      </w:r>
      <w:r>
        <w:rPr>
          <w:rFonts w:hint="eastAsia" w:ascii="仿宋" w:hAnsi="Times New Roman" w:eastAsia="仿宋" w:cs="Times New Roman"/>
          <w:bCs/>
          <w:color w:val="000000"/>
          <w:kern w:val="0"/>
          <w:sz w:val="32"/>
          <w:szCs w:val="32"/>
          <w:lang w:val="en-US" w:eastAsia="zh-CN" w:bidi="ar-SA"/>
        </w:rPr>
        <w:t>，各村务监督委员会对各村明白卡发放、民生项目建设等重点工作进行监督检查136次，提出意见建议20余条，切实发挥了村务监督委员会的“前哨”和“探头”作用。</w:t>
      </w:r>
    </w:p>
    <w:p>
      <w:pPr>
        <w:pStyle w:val="5"/>
        <w:rPr>
          <w:rStyle w:val="26"/>
          <w:b w:val="0"/>
          <w:bCs w:val="0"/>
        </w:rPr>
      </w:pPr>
      <w:bookmarkStart w:id="28" w:name="_Toc79163605"/>
      <w:bookmarkStart w:id="29" w:name="_Toc79163855"/>
      <w:bookmarkStart w:id="30" w:name="_Toc15396601"/>
      <w:bookmarkStart w:id="31" w:name="_Toc15377200"/>
      <w:r>
        <w:rPr>
          <w:rFonts w:hint="eastAsia" w:ascii="黑体" w:eastAsia="黑体"/>
          <w:b w:val="0"/>
          <w:color w:val="000000"/>
        </w:rPr>
        <w:t>二、机</w:t>
      </w:r>
      <w:r>
        <w:rPr>
          <w:rStyle w:val="26"/>
          <w:rFonts w:hint="eastAsia" w:ascii="黑体" w:eastAsia="黑体"/>
          <w:b w:val="0"/>
          <w:bCs w:val="0"/>
        </w:rPr>
        <w:t>构设置</w:t>
      </w:r>
      <w:bookmarkEnd w:id="28"/>
      <w:bookmarkEnd w:id="29"/>
      <w:bookmarkEnd w:id="30"/>
      <w:bookmarkEnd w:id="31"/>
    </w:p>
    <w:p>
      <w:pPr>
        <w:ind w:firstLine="800" w:firstLineChars="250"/>
        <w:rPr>
          <w:rFonts w:ascii="仿宋" w:eastAsia="仿宋"/>
          <w:color w:val="000000"/>
          <w:kern w:val="0"/>
          <w:sz w:val="32"/>
          <w:szCs w:val="32"/>
        </w:rPr>
      </w:pPr>
      <w:r>
        <w:rPr>
          <w:rFonts w:hint="eastAsia" w:ascii="仿宋" w:eastAsia="仿宋"/>
          <w:sz w:val="32"/>
          <w:szCs w:val="32"/>
          <w:lang w:eastAsia="zh-CN"/>
        </w:rPr>
        <w:t>属于</w:t>
      </w:r>
      <w:r>
        <w:rPr>
          <w:rFonts w:hint="eastAsia" w:ascii="仿宋" w:eastAsia="仿宋"/>
          <w:sz w:val="32"/>
          <w:szCs w:val="32"/>
        </w:rPr>
        <w:t>二级单位</w:t>
      </w:r>
      <w:r>
        <w:rPr>
          <w:rFonts w:hint="eastAsia" w:ascii="仿宋" w:eastAsia="仿宋"/>
          <w:sz w:val="32"/>
          <w:szCs w:val="32"/>
          <w:lang w:eastAsia="zh-CN"/>
        </w:rPr>
        <w:t>（电子信息监察中心）</w:t>
      </w:r>
      <w:r>
        <w:rPr>
          <w:rFonts w:hint="eastAsia" w:ascii="仿宋" w:eastAsia="仿宋"/>
          <w:sz w:val="32"/>
          <w:szCs w:val="32"/>
        </w:rPr>
        <w:t>。</w:t>
      </w:r>
      <w:r>
        <w:rPr>
          <w:rFonts w:ascii="仿宋" w:eastAsia="仿宋"/>
          <w:color w:val="000000"/>
          <w:sz w:val="32"/>
          <w:szCs w:val="32"/>
        </w:rPr>
        <w:br w:type="page"/>
      </w:r>
    </w:p>
    <w:p>
      <w:pPr>
        <w:pStyle w:val="4"/>
        <w:ind w:right="440"/>
        <w:jc w:val="right"/>
        <w:rPr>
          <w:rStyle w:val="25"/>
          <w:rFonts w:ascii="黑体" w:eastAsia="黑体"/>
          <w:b w:val="0"/>
          <w:bCs w:val="0"/>
        </w:rPr>
      </w:pPr>
      <w:bookmarkStart w:id="32" w:name="_Toc15377204"/>
      <w:bookmarkStart w:id="33" w:name="_Toc79163609"/>
      <w:bookmarkStart w:id="34" w:name="_Toc79163859"/>
      <w:bookmarkStart w:id="35" w:name="_Toc15396602"/>
      <w:r>
        <w:rPr>
          <w:rFonts w:hint="eastAsia" w:ascii="黑体" w:eastAsia="黑体"/>
          <w:b w:val="0"/>
          <w:color w:val="000000"/>
        </w:rPr>
        <w:t>第二部分</w:t>
      </w:r>
      <w:r>
        <w:rPr>
          <w:rFonts w:ascii="黑体" w:eastAsia="黑体"/>
          <w:color w:val="000000"/>
        </w:rPr>
        <w:t xml:space="preserve"> </w:t>
      </w:r>
      <w:r>
        <w:rPr>
          <w:rStyle w:val="25"/>
          <w:rFonts w:ascii="黑体" w:eastAsia="黑体"/>
          <w:b w:val="0"/>
          <w:bCs w:val="0"/>
        </w:rPr>
        <w:t>2021</w:t>
      </w:r>
      <w:r>
        <w:rPr>
          <w:rStyle w:val="25"/>
          <w:rFonts w:hint="eastAsia" w:ascii="黑体" w:eastAsia="黑体"/>
          <w:b w:val="0"/>
          <w:bCs w:val="0"/>
        </w:rPr>
        <w:t>年度部门决算情况说明</w:t>
      </w:r>
      <w:bookmarkEnd w:id="32"/>
      <w:bookmarkEnd w:id="33"/>
      <w:bookmarkEnd w:id="34"/>
      <w:bookmarkEnd w:id="35"/>
    </w:p>
    <w:p/>
    <w:p>
      <w:pPr>
        <w:pStyle w:val="31"/>
        <w:numPr>
          <w:ilvl w:val="0"/>
          <w:numId w:val="1"/>
        </w:numPr>
        <w:spacing w:line="600" w:lineRule="exact"/>
        <w:ind w:firstLineChars="0"/>
        <w:outlineLvl w:val="1"/>
        <w:rPr>
          <w:rStyle w:val="26"/>
          <w:rFonts w:ascii="黑体" w:eastAsia="黑体"/>
          <w:b w:val="0"/>
        </w:rPr>
      </w:pPr>
      <w:bookmarkStart w:id="36" w:name="_Toc79163610"/>
      <w:bookmarkStart w:id="37" w:name="_Toc15396603"/>
      <w:bookmarkStart w:id="38" w:name="_Toc15377205"/>
      <w:bookmarkStart w:id="39" w:name="_Toc79163860"/>
      <w:r>
        <w:rPr>
          <w:rFonts w:hint="eastAsia" w:ascii="黑体" w:eastAsia="黑体"/>
          <w:color w:val="000000"/>
          <w:sz w:val="32"/>
          <w:szCs w:val="32"/>
        </w:rPr>
        <w:t>收</w:t>
      </w:r>
      <w:r>
        <w:rPr>
          <w:rStyle w:val="26"/>
          <w:rFonts w:hint="eastAsia" w:ascii="黑体" w:eastAsia="黑体"/>
          <w:b w:val="0"/>
        </w:rPr>
        <w:t>入支出决算总体情况说明</w:t>
      </w:r>
      <w:bookmarkEnd w:id="36"/>
      <w:bookmarkEnd w:id="37"/>
      <w:bookmarkEnd w:id="38"/>
      <w:bookmarkEnd w:id="39"/>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127.88</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年相比，收、支总计各增加</w:t>
      </w:r>
      <w:r>
        <w:rPr>
          <w:rFonts w:hint="eastAsia" w:ascii="仿宋" w:eastAsia="仿宋"/>
          <w:color w:val="000000"/>
          <w:sz w:val="32"/>
          <w:szCs w:val="32"/>
          <w:lang w:val="en-US" w:eastAsia="zh-CN"/>
        </w:rPr>
        <w:t>31.44</w:t>
      </w:r>
      <w:r>
        <w:rPr>
          <w:rFonts w:hint="eastAsia" w:ascii="仿宋" w:eastAsia="仿宋"/>
          <w:color w:val="000000"/>
          <w:sz w:val="32"/>
          <w:szCs w:val="32"/>
        </w:rPr>
        <w:t>万元，增长</w:t>
      </w:r>
      <w:r>
        <w:rPr>
          <w:rFonts w:hint="eastAsia" w:ascii="仿宋" w:eastAsia="仿宋"/>
          <w:color w:val="000000"/>
          <w:sz w:val="32"/>
          <w:szCs w:val="32"/>
          <w:lang w:val="en-US" w:eastAsia="zh-CN"/>
        </w:rPr>
        <w:t>33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人员变动及工作量增加。</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：收、支决算总计变动情况图）（柱状图）</w:t>
      </w:r>
    </w:p>
    <w:p>
      <w:pPr>
        <w:pStyle w:val="2"/>
        <w:rPr>
          <w:rFonts w:ascii="仿宋_GB2312" w:eastAsia="仿宋_GB2312"/>
          <w:color w:val="000000"/>
          <w:sz w:val="32"/>
          <w:szCs w:val="32"/>
        </w:rPr>
      </w:pPr>
      <w:r>
        <w:rPr>
          <w:rFonts w:hint="eastAsia" w:eastAsia="仿宋"/>
          <w:lang w:eastAsia="zh-CN"/>
        </w:rPr>
        <w:drawing>
          <wp:inline distT="0" distB="0" distL="114300" distR="114300">
            <wp:extent cx="3566160" cy="1819275"/>
            <wp:effectExtent l="5080" t="4445" r="1016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1"/>
        <w:numPr>
          <w:ilvl w:val="0"/>
          <w:numId w:val="1"/>
        </w:numPr>
        <w:spacing w:line="600" w:lineRule="exact"/>
        <w:ind w:firstLineChars="0"/>
        <w:outlineLvl w:val="1"/>
        <w:rPr>
          <w:rStyle w:val="26"/>
          <w:rFonts w:ascii="黑体" w:eastAsia="黑体"/>
          <w:b w:val="0"/>
        </w:rPr>
      </w:pPr>
      <w:bookmarkStart w:id="40" w:name="_Toc79163861"/>
      <w:bookmarkStart w:id="41" w:name="_Toc15377206"/>
      <w:bookmarkStart w:id="42" w:name="_Toc15396604"/>
      <w:bookmarkStart w:id="43" w:name="_Toc79163611"/>
      <w:r>
        <w:rPr>
          <w:rFonts w:hint="eastAsia" w:ascii="黑体" w:eastAsia="黑体"/>
          <w:color w:val="000000"/>
          <w:sz w:val="32"/>
          <w:szCs w:val="32"/>
        </w:rPr>
        <w:t>收</w:t>
      </w:r>
      <w:r>
        <w:rPr>
          <w:rStyle w:val="26"/>
          <w:rFonts w:hint="eastAsia" w:ascii="黑体" w:eastAsia="黑体"/>
          <w:b w:val="0"/>
        </w:rPr>
        <w:t>入决算情况说明</w:t>
      </w:r>
      <w:bookmarkEnd w:id="40"/>
      <w:bookmarkEnd w:id="41"/>
      <w:bookmarkEnd w:id="42"/>
      <w:bookmarkEnd w:id="43"/>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127.88</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127.88</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；事业收入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；经营收入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；其他收入</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p>
    <w:p>
      <w:pPr>
        <w:pStyle w:val="2"/>
        <w:rPr>
          <w:rFonts w:ascii="仿宋_GB2312" w:eastAsia="仿宋_GB2312"/>
          <w:color w:val="FF0000"/>
          <w:sz w:val="32"/>
          <w:szCs w:val="32"/>
        </w:rPr>
      </w:pPr>
      <w:r>
        <w:rPr>
          <w:rFonts w:hint="eastAsia" w:eastAsia="仿宋"/>
          <w:lang w:eastAsia="zh-CN"/>
        </w:rPr>
        <w:drawing>
          <wp:inline distT="0" distB="0" distL="114300" distR="114300">
            <wp:extent cx="3718560" cy="1772285"/>
            <wp:effectExtent l="4445" t="4445" r="1079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1"/>
        <w:numPr>
          <w:ilvl w:val="0"/>
          <w:numId w:val="1"/>
        </w:numPr>
        <w:spacing w:line="600" w:lineRule="exact"/>
        <w:ind w:firstLineChars="0"/>
        <w:outlineLvl w:val="1"/>
        <w:rPr>
          <w:rStyle w:val="26"/>
          <w:rFonts w:ascii="黑体" w:eastAsia="黑体"/>
          <w:b w:val="0"/>
        </w:rPr>
      </w:pPr>
      <w:bookmarkStart w:id="44" w:name="_Toc15377207"/>
      <w:bookmarkStart w:id="45" w:name="_Toc79163862"/>
      <w:bookmarkStart w:id="46" w:name="_Toc15396605"/>
      <w:bookmarkStart w:id="47" w:name="_Toc79163612"/>
      <w:r>
        <w:rPr>
          <w:rFonts w:hint="eastAsia" w:ascii="黑体" w:eastAsia="黑体"/>
          <w:color w:val="000000"/>
          <w:sz w:val="32"/>
          <w:szCs w:val="32"/>
        </w:rPr>
        <w:t>支</w:t>
      </w:r>
      <w:r>
        <w:rPr>
          <w:rStyle w:val="26"/>
          <w:rFonts w:hint="eastAsia" w:ascii="黑体" w:eastAsia="黑体"/>
          <w:b w:val="0"/>
        </w:rPr>
        <w:t>出决算情况说明</w:t>
      </w:r>
      <w:bookmarkEnd w:id="44"/>
      <w:bookmarkEnd w:id="45"/>
      <w:bookmarkEnd w:id="46"/>
      <w:bookmarkEnd w:id="47"/>
    </w:p>
    <w:p>
      <w:pPr>
        <w:spacing w:line="600" w:lineRule="exact"/>
        <w:ind w:firstLine="640" w:firstLineChars="200"/>
        <w:rPr>
          <w:rFonts w:ascii="仿宋" w:eastAsia="仿宋"/>
          <w:color w:val="000000"/>
          <w:sz w:val="32"/>
          <w:szCs w:val="32"/>
          <w:shd w:val="pct10" w:color="auto" w:fill="FFFFFF"/>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127.88</w:t>
      </w:r>
      <w:r>
        <w:rPr>
          <w:rFonts w:hint="eastAsia" w:ascii="仿宋_GB2312" w:eastAsia="仿宋_GB2312"/>
          <w:sz w:val="32"/>
          <w:szCs w:val="32"/>
        </w:rPr>
        <w:t>万元，其中：基本支出</w:t>
      </w:r>
      <w:r>
        <w:rPr>
          <w:rFonts w:hint="eastAsia" w:ascii="仿宋_GB2312" w:eastAsia="仿宋_GB2312"/>
          <w:sz w:val="32"/>
          <w:szCs w:val="32"/>
          <w:lang w:val="en-US" w:eastAsia="zh-CN"/>
        </w:rPr>
        <w:t>127.88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p>
    <w:p>
      <w:pPr>
        <w:pStyle w:val="2"/>
        <w:rPr>
          <w:rFonts w:ascii="仿宋_GB2312" w:eastAsia="仿宋_GB2312"/>
          <w:color w:val="FF0000"/>
          <w:sz w:val="32"/>
          <w:szCs w:val="32"/>
        </w:rPr>
      </w:pPr>
      <w:r>
        <w:rPr>
          <w:rFonts w:hint="eastAsia" w:eastAsia="仿宋"/>
          <w:lang w:eastAsia="zh-CN"/>
        </w:rPr>
        <w:drawing>
          <wp:inline distT="0" distB="0" distL="114300" distR="114300">
            <wp:extent cx="3794125" cy="2019935"/>
            <wp:effectExtent l="4445" t="4445" r="1143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eastAsia="黑体"/>
          <w:b w:val="0"/>
        </w:rPr>
      </w:pPr>
      <w:bookmarkStart w:id="48" w:name="_Toc79163613"/>
      <w:bookmarkStart w:id="49" w:name="_Toc15396606"/>
      <w:bookmarkStart w:id="50" w:name="_Toc79163863"/>
      <w:bookmarkStart w:id="51" w:name="_Toc15377208"/>
      <w:r>
        <w:rPr>
          <w:rFonts w:hint="eastAsia" w:ascii="黑体" w:eastAsia="黑体"/>
          <w:color w:val="000000"/>
          <w:sz w:val="32"/>
          <w:szCs w:val="32"/>
        </w:rPr>
        <w:t>四、财</w:t>
      </w:r>
      <w:r>
        <w:rPr>
          <w:rStyle w:val="26"/>
          <w:rFonts w:hint="eastAsia" w:ascii="黑体" w:eastAsia="黑体"/>
          <w:b w:val="0"/>
        </w:rPr>
        <w:t>政拨款收入支出决算总体情况说明</w:t>
      </w:r>
      <w:bookmarkEnd w:id="48"/>
      <w:bookmarkEnd w:id="49"/>
      <w:bookmarkEnd w:id="50"/>
      <w:bookmarkEnd w:id="51"/>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年财政拨款收、支总计</w:t>
      </w:r>
      <w:r>
        <w:rPr>
          <w:rFonts w:hint="eastAsia" w:ascii="仿宋" w:eastAsia="仿宋"/>
          <w:color w:val="000000"/>
          <w:sz w:val="32"/>
          <w:szCs w:val="32"/>
          <w:lang w:val="en-US" w:eastAsia="zh-CN"/>
        </w:rPr>
        <w:t>127.88</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年相比，财政拨款收、支总计各增加</w:t>
      </w:r>
      <w:r>
        <w:rPr>
          <w:rFonts w:hint="eastAsia" w:ascii="仿宋" w:eastAsia="仿宋"/>
          <w:color w:val="000000"/>
          <w:sz w:val="32"/>
          <w:szCs w:val="32"/>
          <w:lang w:val="en-US" w:eastAsia="zh-CN"/>
        </w:rPr>
        <w:t>31.44</w:t>
      </w:r>
      <w:r>
        <w:rPr>
          <w:rFonts w:hint="eastAsia" w:ascii="仿宋" w:eastAsia="仿宋"/>
          <w:color w:val="000000"/>
          <w:sz w:val="32"/>
          <w:szCs w:val="32"/>
        </w:rPr>
        <w:t>万元，增长</w:t>
      </w:r>
      <w:r>
        <w:rPr>
          <w:rFonts w:hint="eastAsia" w:ascii="仿宋" w:eastAsia="仿宋"/>
          <w:color w:val="000000"/>
          <w:sz w:val="32"/>
          <w:szCs w:val="32"/>
          <w:lang w:val="en-US" w:eastAsia="zh-CN"/>
        </w:rPr>
        <w:t>33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人员变动及工作量增加。</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pPr>
        <w:pStyle w:val="2"/>
        <w:rPr>
          <w:rFonts w:ascii="仿宋" w:eastAsia="仿宋"/>
          <w:b/>
          <w:color w:val="00B050"/>
          <w:sz w:val="32"/>
          <w:szCs w:val="32"/>
        </w:rPr>
      </w:pPr>
      <w:r>
        <w:rPr>
          <w:rFonts w:hint="eastAsia" w:eastAsia="仿宋"/>
          <w:lang w:eastAsia="zh-CN"/>
        </w:rPr>
        <w:drawing>
          <wp:inline distT="0" distB="0" distL="114300" distR="114300">
            <wp:extent cx="4079875" cy="1677035"/>
            <wp:effectExtent l="4445" t="4445" r="1143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eastAsia="黑体"/>
          <w:b w:val="0"/>
        </w:rPr>
      </w:pPr>
      <w:bookmarkStart w:id="52" w:name="_Toc15396607"/>
      <w:bookmarkStart w:id="53" w:name="_Toc15377209"/>
      <w:bookmarkStart w:id="54" w:name="_Toc79163614"/>
      <w:bookmarkStart w:id="55" w:name="_Toc79163864"/>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eastAsia="仿宋"/>
          <w:b/>
          <w:color w:val="000000"/>
          <w:sz w:val="32"/>
          <w:szCs w:val="32"/>
        </w:rPr>
      </w:pPr>
      <w:bookmarkStart w:id="56" w:name="_Toc79163615"/>
      <w:bookmarkStart w:id="57" w:name="_Toc15377210"/>
      <w:bookmarkStart w:id="58" w:name="_Toc79163865"/>
      <w:r>
        <w:rPr>
          <w:rFonts w:hint="eastAsia" w:asci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127.88</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年相比，一般公共预算财政拨款增加</w:t>
      </w:r>
      <w:r>
        <w:rPr>
          <w:rFonts w:hint="eastAsia" w:ascii="仿宋" w:eastAsia="仿宋"/>
          <w:color w:val="000000"/>
          <w:sz w:val="32"/>
          <w:szCs w:val="32"/>
          <w:lang w:val="en-US" w:eastAsia="zh-CN"/>
        </w:rPr>
        <w:t>31.44</w:t>
      </w:r>
      <w:r>
        <w:rPr>
          <w:rFonts w:hint="eastAsia" w:ascii="仿宋" w:eastAsia="仿宋"/>
          <w:color w:val="000000"/>
          <w:sz w:val="32"/>
          <w:szCs w:val="32"/>
        </w:rPr>
        <w:t>万元，增长</w:t>
      </w:r>
      <w:r>
        <w:rPr>
          <w:rFonts w:hint="eastAsia" w:ascii="仿宋" w:eastAsia="仿宋"/>
          <w:color w:val="000000"/>
          <w:sz w:val="32"/>
          <w:szCs w:val="32"/>
          <w:lang w:val="en-US" w:eastAsia="zh-CN"/>
        </w:rPr>
        <w:t>33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人员变动及工作量增加。</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：一般公共预算财政拨款支出决算变动情况）（柱状图）</w:t>
      </w:r>
    </w:p>
    <w:p>
      <w:pPr>
        <w:pStyle w:val="2"/>
        <w:rPr>
          <w:rFonts w:ascii="仿宋" w:eastAsia="仿宋"/>
          <w:color w:val="000000"/>
          <w:sz w:val="32"/>
          <w:szCs w:val="32"/>
        </w:rPr>
      </w:pPr>
      <w:r>
        <w:rPr>
          <w:rFonts w:hint="eastAsia" w:eastAsia="仿宋"/>
          <w:lang w:eastAsia="zh-CN"/>
        </w:rPr>
        <w:drawing>
          <wp:inline distT="0" distB="0" distL="114300" distR="114300">
            <wp:extent cx="4508500" cy="16383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eastAsia="仿宋"/>
          <w:b/>
          <w:color w:val="000000"/>
          <w:sz w:val="32"/>
          <w:szCs w:val="32"/>
        </w:rPr>
      </w:pPr>
      <w:bookmarkStart w:id="59" w:name="_Toc79163616"/>
      <w:bookmarkStart w:id="60" w:name="_Toc15377211"/>
      <w:bookmarkStart w:id="61" w:name="_Toc79163866"/>
      <w:r>
        <w:rPr>
          <w:rFonts w:hint="eastAsia" w:ascii="仿宋" w:eastAsia="仿宋"/>
          <w:b/>
          <w:color w:val="000000"/>
          <w:sz w:val="32"/>
          <w:szCs w:val="32"/>
        </w:rPr>
        <w:t>（二）一般公共预算财政拨款支出决算结构情况</w:t>
      </w:r>
      <w:bookmarkEnd w:id="59"/>
      <w:bookmarkEnd w:id="60"/>
      <w:bookmarkEnd w:id="61"/>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127.88</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100.35</w:t>
      </w:r>
      <w:r>
        <w:rPr>
          <w:rFonts w:hint="eastAsia" w:ascii="仿宋" w:eastAsia="仿宋"/>
          <w:color w:val="000000"/>
          <w:sz w:val="32"/>
          <w:szCs w:val="32"/>
        </w:rPr>
        <w:t>万元，占</w:t>
      </w:r>
      <w:r>
        <w:rPr>
          <w:rFonts w:hint="eastAsia" w:ascii="仿宋" w:eastAsia="仿宋"/>
          <w:color w:val="000000"/>
          <w:sz w:val="32"/>
          <w:szCs w:val="32"/>
          <w:lang w:val="en-US" w:eastAsia="zh-CN"/>
        </w:rPr>
        <w:t>78.49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教育支出（类）</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科学技术（类）</w:t>
      </w:r>
      <w:r>
        <w:rPr>
          <w:rFonts w:hint="eastAsia" w:ascii="仿宋" w:eastAsia="仿宋"/>
          <w:color w:val="000000"/>
          <w:sz w:val="32"/>
          <w:szCs w:val="32"/>
        </w:rPr>
        <w:t>支出</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文化旅游体育与传媒（类）支出</w:t>
      </w:r>
      <w:r>
        <w:rPr>
          <w:rFonts w:hint="eastAsia" w:ascii="仿宋" w:eastAsia="仿宋"/>
          <w:b/>
          <w:bCs/>
          <w:color w:val="000000"/>
          <w:sz w:val="32"/>
          <w:szCs w:val="32"/>
          <w:lang w:val="en-US" w:eastAsia="zh-CN"/>
        </w:rPr>
        <w:t>0</w:t>
      </w:r>
      <w:r>
        <w:rPr>
          <w:rFonts w:hint="eastAsia" w:ascii="仿宋" w:eastAsia="仿宋"/>
          <w:b/>
          <w:bCs/>
          <w:color w:val="000000"/>
          <w:sz w:val="32"/>
          <w:szCs w:val="32"/>
        </w:rPr>
        <w:t>万元，占</w:t>
      </w:r>
      <w:r>
        <w:rPr>
          <w:rFonts w:hint="eastAsia" w:ascii="仿宋" w:eastAsia="仿宋"/>
          <w:b/>
          <w:bCs/>
          <w:color w:val="000000"/>
          <w:sz w:val="32"/>
          <w:szCs w:val="32"/>
          <w:lang w:val="en-US" w:eastAsia="zh-CN"/>
        </w:rPr>
        <w:t>0</w:t>
      </w:r>
      <w:r>
        <w:rPr>
          <w:rFonts w:ascii="仿宋" w:eastAsia="仿宋"/>
          <w:b/>
          <w:bCs/>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12.6</w:t>
      </w:r>
      <w:r>
        <w:rPr>
          <w:rFonts w:hint="eastAsia" w:ascii="仿宋" w:eastAsia="仿宋"/>
          <w:color w:val="000000"/>
          <w:sz w:val="32"/>
          <w:szCs w:val="32"/>
        </w:rPr>
        <w:t>万元，占</w:t>
      </w:r>
      <w:r>
        <w:rPr>
          <w:rFonts w:hint="eastAsia" w:ascii="仿宋" w:eastAsia="仿宋"/>
          <w:color w:val="000000"/>
          <w:sz w:val="32"/>
          <w:szCs w:val="32"/>
          <w:lang w:val="en-US" w:eastAsia="zh-CN"/>
        </w:rPr>
        <w:t>9.85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lang w:val="en-US" w:eastAsia="zh-CN"/>
        </w:rPr>
        <w:t>5.96</w:t>
      </w:r>
      <w:r>
        <w:rPr>
          <w:rFonts w:hint="eastAsia" w:ascii="仿宋" w:eastAsia="仿宋"/>
          <w:color w:val="000000"/>
          <w:sz w:val="32"/>
          <w:szCs w:val="32"/>
        </w:rPr>
        <w:t>万元，占</w:t>
      </w:r>
      <w:r>
        <w:rPr>
          <w:rFonts w:hint="eastAsia" w:ascii="仿宋" w:eastAsia="仿宋"/>
          <w:color w:val="000000"/>
          <w:sz w:val="32"/>
          <w:szCs w:val="32"/>
          <w:lang w:val="en-US" w:eastAsia="zh-CN"/>
        </w:rPr>
        <w:t>4.66</w:t>
      </w:r>
      <w:r>
        <w:rPr>
          <w:rFonts w:ascii="仿宋" w:eastAsia="仿宋"/>
          <w:color w:val="000000"/>
          <w:sz w:val="32"/>
          <w:szCs w:val="32"/>
        </w:rPr>
        <w:t>%</w:t>
      </w:r>
      <w:r>
        <w:rPr>
          <w:rFonts w:hint="eastAsia" w:ascii="仿宋" w:eastAsia="仿宋"/>
          <w:color w:val="000000"/>
          <w:sz w:val="32"/>
          <w:szCs w:val="32"/>
        </w:rPr>
        <w:t>；住房保障支出</w:t>
      </w:r>
      <w:r>
        <w:rPr>
          <w:rFonts w:hint="eastAsia" w:ascii="仿宋" w:eastAsia="仿宋"/>
          <w:color w:val="000000"/>
          <w:sz w:val="32"/>
          <w:szCs w:val="32"/>
          <w:lang w:val="en-US" w:eastAsia="zh-CN"/>
        </w:rPr>
        <w:t>8.97</w:t>
      </w:r>
      <w:r>
        <w:rPr>
          <w:rFonts w:hint="eastAsia" w:ascii="仿宋" w:eastAsia="仿宋"/>
          <w:color w:val="000000"/>
          <w:sz w:val="32"/>
          <w:szCs w:val="32"/>
        </w:rPr>
        <w:t>万元，占</w:t>
      </w:r>
      <w:r>
        <w:rPr>
          <w:rFonts w:hint="eastAsia" w:ascii="仿宋" w:eastAsia="仿宋"/>
          <w:color w:val="000000"/>
          <w:sz w:val="32"/>
          <w:szCs w:val="32"/>
          <w:lang w:val="en-US" w:eastAsia="zh-CN"/>
        </w:rPr>
        <w:t>7</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pPr>
        <w:pStyle w:val="2"/>
        <w:rPr>
          <w:rFonts w:ascii="仿宋" w:eastAsia="仿宋"/>
          <w:color w:val="000000"/>
          <w:sz w:val="32"/>
          <w:szCs w:val="32"/>
        </w:rPr>
      </w:pPr>
      <w:r>
        <w:rPr>
          <w:rFonts w:hint="eastAsia" w:eastAsia="仿宋"/>
          <w:lang w:eastAsia="zh-CN"/>
        </w:rPr>
        <w:drawing>
          <wp:inline distT="0" distB="0" distL="114300" distR="114300">
            <wp:extent cx="4651375" cy="2514600"/>
            <wp:effectExtent l="4445" t="4445" r="1143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eastAsia="仿宋"/>
          <w:b/>
          <w:color w:val="000000"/>
          <w:sz w:val="32"/>
          <w:szCs w:val="32"/>
        </w:rPr>
      </w:pPr>
      <w:bookmarkStart w:id="62" w:name="_Toc79163617"/>
      <w:bookmarkStart w:id="63" w:name="_Toc79163867"/>
      <w:bookmarkStart w:id="64" w:name="_Toc15377212"/>
      <w:r>
        <w:rPr>
          <w:rFonts w:hint="eastAsia" w:asci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127.88万元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2" w:firstLineChars="200"/>
        <w:rPr>
          <w:rFonts w:ascii="仿宋" w:eastAsia="仿宋"/>
          <w:b/>
          <w:color w:val="000000"/>
          <w:sz w:val="32"/>
          <w:szCs w:val="32"/>
        </w:rPr>
      </w:pPr>
      <w:r>
        <w:rPr>
          <w:rStyle w:val="23"/>
          <w:rFonts w:ascii="仿宋" w:eastAsia="仿宋"/>
          <w:bCs/>
          <w:color w:val="000000"/>
          <w:sz w:val="32"/>
          <w:szCs w:val="32"/>
        </w:rPr>
        <w:t>1.</w:t>
      </w:r>
      <w:r>
        <w:rPr>
          <w:rStyle w:val="23"/>
          <w:rFonts w:hint="eastAsia" w:ascii="仿宋" w:eastAsia="仿宋"/>
          <w:bCs/>
          <w:color w:val="000000"/>
          <w:sz w:val="32"/>
          <w:szCs w:val="32"/>
        </w:rPr>
        <w:t>一般公共服务（类）</w:t>
      </w:r>
      <w:r>
        <w:rPr>
          <w:rStyle w:val="23"/>
          <w:rFonts w:hint="eastAsia" w:ascii="仿宋" w:eastAsia="仿宋"/>
          <w:bCs/>
          <w:color w:val="000000"/>
          <w:sz w:val="32"/>
          <w:szCs w:val="32"/>
          <w:lang w:eastAsia="zh-CN"/>
        </w:rPr>
        <w:t>纪检监察事务</w:t>
      </w:r>
      <w:r>
        <w:rPr>
          <w:rStyle w:val="23"/>
          <w:rFonts w:hint="eastAsia" w:ascii="仿宋" w:eastAsia="仿宋"/>
          <w:bCs/>
          <w:color w:val="000000"/>
          <w:sz w:val="32"/>
          <w:szCs w:val="32"/>
        </w:rPr>
        <w:t>（款）</w:t>
      </w:r>
      <w:r>
        <w:rPr>
          <w:rStyle w:val="23"/>
          <w:rFonts w:hint="eastAsia" w:ascii="仿宋" w:eastAsia="仿宋"/>
          <w:bCs/>
          <w:color w:val="000000"/>
          <w:sz w:val="32"/>
          <w:szCs w:val="32"/>
          <w:lang w:eastAsia="zh-CN"/>
        </w:rPr>
        <w:t>事业运行</w:t>
      </w:r>
      <w:r>
        <w:rPr>
          <w:rStyle w:val="23"/>
          <w:rFonts w:hint="eastAsia" w:ascii="仿宋" w:eastAsia="仿宋"/>
          <w:bCs/>
          <w:color w:val="000000"/>
          <w:sz w:val="32"/>
          <w:szCs w:val="32"/>
        </w:rPr>
        <w:t>（项）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w:t>
      </w:r>
      <w:r>
        <w:rPr>
          <w:rStyle w:val="23"/>
          <w:rFonts w:hint="eastAsia" w:ascii="仿宋" w:eastAsia="仿宋"/>
          <w:b w:val="0"/>
          <w:bCs/>
          <w:color w:val="000000"/>
          <w:sz w:val="32"/>
          <w:szCs w:val="32"/>
          <w:lang w:val="en-US" w:eastAsia="zh-CN"/>
        </w:rPr>
        <w:t>100.35</w:t>
      </w:r>
      <w:r>
        <w:rPr>
          <w:rStyle w:val="23"/>
          <w:rFonts w:hint="eastAsia" w:ascii="仿宋" w:eastAsia="仿宋"/>
          <w:b w:val="0"/>
          <w:bCs/>
          <w:color w:val="000000"/>
          <w:sz w:val="32"/>
          <w:szCs w:val="32"/>
        </w:rPr>
        <w:t>万元，完成预算</w:t>
      </w:r>
      <w:r>
        <w:rPr>
          <w:rStyle w:val="23"/>
          <w:rFonts w:hint="eastAsia" w:ascii="仿宋" w:eastAsia="仿宋"/>
          <w:b w:val="0"/>
          <w:bCs/>
          <w:color w:val="000000"/>
          <w:sz w:val="32"/>
          <w:szCs w:val="32"/>
          <w:lang w:val="en-US" w:eastAsia="zh-CN"/>
        </w:rPr>
        <w:t>78.49</w:t>
      </w:r>
      <w:r>
        <w:rPr>
          <w:rStyle w:val="23"/>
          <w:rFonts w:ascii="仿宋" w:eastAsia="仿宋"/>
          <w:b w:val="0"/>
          <w:bCs/>
          <w:color w:val="000000"/>
          <w:sz w:val="32"/>
          <w:szCs w:val="32"/>
        </w:rPr>
        <w:t>%</w:t>
      </w:r>
      <w:r>
        <w:rPr>
          <w:rStyle w:val="23"/>
          <w:rFonts w:hint="eastAsia" w:ascii="仿宋" w:eastAsia="仿宋"/>
          <w:b w:val="0"/>
          <w:bCs/>
          <w:color w:val="000000"/>
          <w:sz w:val="32"/>
          <w:szCs w:val="32"/>
        </w:rPr>
        <w:t>，决算数等于预算数。</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Style w:val="23"/>
          <w:rFonts w:hint="eastAsia" w:ascii="仿宋" w:eastAsia="仿宋"/>
          <w:bCs/>
          <w:color w:val="000000"/>
          <w:sz w:val="32"/>
          <w:szCs w:val="32"/>
        </w:rPr>
        <w:t>社会保障和就业</w:t>
      </w:r>
      <w:r>
        <w:rPr>
          <w:rStyle w:val="23"/>
          <w:rFonts w:hint="eastAsia" w:ascii="仿宋" w:eastAsia="仿宋"/>
          <w:bCs/>
          <w:color w:val="000000"/>
          <w:sz w:val="32"/>
          <w:szCs w:val="32"/>
          <w:lang w:eastAsia="zh-CN"/>
        </w:rPr>
        <w:t>支出</w:t>
      </w:r>
      <w:r>
        <w:rPr>
          <w:rStyle w:val="23"/>
          <w:rFonts w:hint="eastAsia" w:ascii="仿宋" w:eastAsia="仿宋"/>
          <w:bCs/>
          <w:color w:val="000000"/>
          <w:sz w:val="32"/>
          <w:szCs w:val="32"/>
        </w:rPr>
        <w:t>（类）行政事业单位</w:t>
      </w:r>
      <w:r>
        <w:rPr>
          <w:rStyle w:val="23"/>
          <w:rFonts w:hint="eastAsia" w:ascii="仿宋" w:eastAsia="仿宋"/>
          <w:bCs/>
          <w:color w:val="000000"/>
          <w:sz w:val="32"/>
          <w:szCs w:val="32"/>
          <w:lang w:eastAsia="zh-CN"/>
        </w:rPr>
        <w:t>养老支出</w:t>
      </w:r>
      <w:r>
        <w:rPr>
          <w:rStyle w:val="23"/>
          <w:rFonts w:hint="eastAsia" w:ascii="仿宋" w:eastAsia="仿宋"/>
          <w:bCs/>
          <w:color w:val="000000"/>
          <w:sz w:val="32"/>
          <w:szCs w:val="32"/>
        </w:rPr>
        <w:t>（款）机关事业单位基本养老保险缴费支出(项)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6.56</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w:t>
      </w:r>
      <w:r>
        <w:rPr>
          <w:rStyle w:val="23"/>
          <w:rFonts w:hint="eastAsia" w:ascii="仿宋" w:eastAsia="仿宋"/>
          <w:bCs/>
          <w:color w:val="000000"/>
          <w:sz w:val="32"/>
          <w:szCs w:val="32"/>
        </w:rPr>
        <w:t>社会保障和就业</w:t>
      </w:r>
      <w:r>
        <w:rPr>
          <w:rStyle w:val="23"/>
          <w:rFonts w:hint="eastAsia" w:ascii="仿宋" w:eastAsia="仿宋"/>
          <w:bCs/>
          <w:color w:val="000000"/>
          <w:sz w:val="32"/>
          <w:szCs w:val="32"/>
          <w:lang w:eastAsia="zh-CN"/>
        </w:rPr>
        <w:t>支出</w:t>
      </w:r>
      <w:r>
        <w:rPr>
          <w:rStyle w:val="23"/>
          <w:rFonts w:hint="eastAsia" w:ascii="仿宋" w:eastAsia="仿宋"/>
          <w:bCs/>
          <w:color w:val="000000"/>
          <w:sz w:val="32"/>
          <w:szCs w:val="32"/>
        </w:rPr>
        <w:t>（类）行政事业单位</w:t>
      </w:r>
      <w:r>
        <w:rPr>
          <w:rStyle w:val="23"/>
          <w:rFonts w:hint="eastAsia" w:ascii="仿宋" w:eastAsia="仿宋"/>
          <w:bCs/>
          <w:color w:val="000000"/>
          <w:sz w:val="32"/>
          <w:szCs w:val="32"/>
          <w:lang w:eastAsia="zh-CN"/>
        </w:rPr>
        <w:t>养老支出</w:t>
      </w:r>
      <w:r>
        <w:rPr>
          <w:rStyle w:val="23"/>
          <w:rFonts w:hint="eastAsia" w:ascii="仿宋" w:eastAsia="仿宋"/>
          <w:bCs/>
          <w:color w:val="000000"/>
          <w:sz w:val="32"/>
          <w:szCs w:val="32"/>
        </w:rPr>
        <w:t>（款）机关事业单位职业年金缴费支出(项)</w:t>
      </w:r>
      <w:r>
        <w:rPr>
          <w:rFonts w:hint="eastAsia" w:ascii="仿宋" w:hAnsi="仿宋" w:eastAsia="仿宋"/>
          <w:color w:val="000000"/>
          <w:sz w:val="32"/>
          <w:szCs w:val="32"/>
        </w:rPr>
        <w:t>: 支出决算为</w:t>
      </w:r>
      <w:r>
        <w:rPr>
          <w:rFonts w:hint="eastAsia" w:ascii="仿宋" w:hAnsi="仿宋" w:eastAsia="仿宋"/>
          <w:color w:val="000000"/>
          <w:sz w:val="32"/>
          <w:szCs w:val="32"/>
          <w:lang w:val="en-US" w:eastAsia="zh-CN"/>
        </w:rPr>
        <w:t>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3.28</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Style w:val="23"/>
          <w:rFonts w:hint="eastAsia" w:ascii="仿宋" w:eastAsia="仿宋"/>
          <w:bCs/>
          <w:color w:val="000000"/>
          <w:sz w:val="32"/>
          <w:szCs w:val="32"/>
        </w:rPr>
        <w:t>卫生健康</w:t>
      </w:r>
      <w:r>
        <w:rPr>
          <w:rStyle w:val="23"/>
          <w:rFonts w:hint="eastAsia" w:ascii="仿宋" w:eastAsia="仿宋"/>
          <w:bCs/>
          <w:color w:val="000000"/>
          <w:sz w:val="32"/>
          <w:szCs w:val="32"/>
          <w:lang w:eastAsia="zh-CN"/>
        </w:rPr>
        <w:t>支出</w:t>
      </w:r>
      <w:r>
        <w:rPr>
          <w:rStyle w:val="23"/>
          <w:rFonts w:hint="eastAsia" w:ascii="仿宋" w:eastAsia="仿宋"/>
          <w:bCs/>
          <w:color w:val="000000"/>
          <w:sz w:val="32"/>
          <w:szCs w:val="32"/>
        </w:rPr>
        <w:t>（类）行政事业单位医疗（款）事业单位医疗(项)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4.66</w:t>
      </w:r>
      <w:r>
        <w:rPr>
          <w:rFonts w:hint="eastAsia" w:ascii="仿宋" w:hAnsi="仿宋" w:eastAsia="仿宋"/>
          <w:color w:val="000000"/>
          <w:sz w:val="32"/>
          <w:szCs w:val="32"/>
        </w:rPr>
        <w:t>%。</w:t>
      </w:r>
    </w:p>
    <w:p>
      <w:pPr>
        <w:spacing w:line="600" w:lineRule="exact"/>
        <w:ind w:firstLine="640" w:firstLineChars="200"/>
        <w:rPr>
          <w:rFonts w:ascii="仿宋" w:eastAsia="仿宋"/>
          <w:b/>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Style w:val="23"/>
          <w:rFonts w:hint="eastAsia" w:ascii="仿宋" w:eastAsia="仿宋"/>
          <w:bCs/>
          <w:color w:val="000000"/>
          <w:sz w:val="32"/>
          <w:szCs w:val="32"/>
        </w:rPr>
        <w:t>住房保障支出（类）住房改革支出（款）住房公积金（项）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8.97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7.01</w:t>
      </w:r>
      <w:r>
        <w:rPr>
          <w:rFonts w:hint="eastAsia" w:ascii="仿宋" w:hAnsi="仿宋" w:eastAsia="仿宋"/>
          <w:color w:val="000000"/>
          <w:sz w:val="32"/>
          <w:szCs w:val="32"/>
        </w:rPr>
        <w:t>%。</w:t>
      </w:r>
    </w:p>
    <w:p>
      <w:pPr>
        <w:tabs>
          <w:tab w:val="right" w:pos="8306"/>
        </w:tabs>
        <w:spacing w:line="600" w:lineRule="exact"/>
        <w:ind w:firstLine="640"/>
        <w:outlineLvl w:val="1"/>
        <w:rPr>
          <w:rStyle w:val="26"/>
        </w:rPr>
      </w:pPr>
      <w:bookmarkStart w:id="68" w:name="_Toc79163868"/>
      <w:bookmarkStart w:id="69" w:name="_Toc15377214"/>
      <w:bookmarkStart w:id="70" w:name="_Toc15396608"/>
      <w:bookmarkStart w:id="71" w:name="_Toc79163618"/>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68"/>
      <w:bookmarkEnd w:id="69"/>
      <w:bookmarkEnd w:id="70"/>
      <w:bookmarkEnd w:id="71"/>
      <w:r>
        <w:rPr>
          <w:rStyle w:val="26"/>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127.88</w:t>
      </w:r>
      <w:r>
        <w:rPr>
          <w:rFonts w:hint="eastAsia" w:ascii="仿宋" w:eastAsia="仿宋"/>
          <w:color w:val="000000"/>
          <w:sz w:val="32"/>
          <w:szCs w:val="32"/>
        </w:rPr>
        <w:t>万元，其中：</w:t>
      </w:r>
    </w:p>
    <w:p>
      <w:pPr>
        <w:spacing w:line="600" w:lineRule="exact"/>
        <w:ind w:firstLine="645"/>
        <w:rPr>
          <w:rFonts w:ascii="仿宋" w:eastAsia="仿宋"/>
          <w:b/>
          <w:color w:val="FF0000"/>
          <w:sz w:val="32"/>
          <w:szCs w:val="32"/>
        </w:rPr>
      </w:pPr>
      <w:r>
        <w:rPr>
          <w:rFonts w:hint="eastAsia" w:ascii="仿宋" w:eastAsia="仿宋"/>
          <w:color w:val="000000"/>
          <w:sz w:val="32"/>
          <w:szCs w:val="32"/>
        </w:rPr>
        <w:t>人员经费</w:t>
      </w:r>
      <w:r>
        <w:rPr>
          <w:rFonts w:hint="eastAsia" w:ascii="仿宋" w:eastAsia="仿宋"/>
          <w:color w:val="000000"/>
          <w:sz w:val="32"/>
          <w:szCs w:val="32"/>
          <w:lang w:val="en-US" w:eastAsia="zh-CN"/>
        </w:rPr>
        <w:t>111.25</w:t>
      </w:r>
      <w:r>
        <w:rPr>
          <w:rFonts w:hint="eastAsia" w:ascii="仿宋" w:eastAsia="仿宋"/>
          <w:color w:val="000000"/>
          <w:sz w:val="32"/>
          <w:szCs w:val="32"/>
        </w:rPr>
        <w:t>万元，主要包括：基本工资、津贴补贴、绩效工资、机关事业单位基本养老保险缴费、职业年金缴费、其他社会保障缴费、奖励金、住房公积金等。</w:t>
      </w:r>
      <w:r>
        <w:rPr>
          <w:rFonts w:ascii="仿宋" w:eastAsia="仿宋"/>
          <w:color w:val="000000"/>
          <w:sz w:val="32"/>
          <w:szCs w:val="32"/>
        </w:rPr>
        <w:br w:type="textWrapping"/>
      </w:r>
      <w:r>
        <w:rPr>
          <w:rFonts w:hint="eastAsia" w:ascii="仿宋" w:eastAsia="仿宋"/>
          <w:color w:val="000000"/>
          <w:sz w:val="32"/>
          <w:szCs w:val="32"/>
        </w:rPr>
        <w:t>　　日常公用经费</w:t>
      </w:r>
      <w:r>
        <w:rPr>
          <w:rFonts w:hint="eastAsia" w:ascii="仿宋" w:eastAsia="仿宋"/>
          <w:color w:val="000000"/>
          <w:sz w:val="32"/>
          <w:szCs w:val="32"/>
          <w:lang w:val="en-US" w:eastAsia="zh-CN"/>
        </w:rPr>
        <w:t>16.63</w:t>
      </w:r>
      <w:r>
        <w:rPr>
          <w:rFonts w:hint="eastAsia" w:ascii="仿宋" w:eastAsia="仿宋"/>
          <w:color w:val="000000"/>
          <w:sz w:val="32"/>
          <w:szCs w:val="32"/>
        </w:rPr>
        <w:t>万元，主要包括：办公费、邮电费、差旅费、维修（护）费、租赁费等。</w:t>
      </w:r>
    </w:p>
    <w:p>
      <w:pPr>
        <w:spacing w:line="600" w:lineRule="exact"/>
        <w:ind w:firstLine="640"/>
        <w:outlineLvl w:val="1"/>
        <w:rPr>
          <w:rStyle w:val="26"/>
          <w:rFonts w:ascii="黑体" w:eastAsia="黑体"/>
          <w:b w:val="0"/>
        </w:rPr>
      </w:pPr>
      <w:bookmarkStart w:id="72" w:name="_Toc15377215"/>
      <w:bookmarkStart w:id="73" w:name="_Toc15396609"/>
      <w:bookmarkStart w:id="74" w:name="_Toc79163619"/>
      <w:bookmarkStart w:id="75" w:name="_Toc79163869"/>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72"/>
      <w:bookmarkEnd w:id="73"/>
      <w:bookmarkEnd w:id="74"/>
      <w:bookmarkEnd w:id="75"/>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万元，完成预算</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，决算数</w:t>
      </w:r>
      <w:r>
        <w:rPr>
          <w:rFonts w:hint="eastAsia" w:ascii="仿宋" w:eastAsia="仿宋"/>
          <w:color w:val="000000"/>
          <w:sz w:val="32"/>
          <w:szCs w:val="32"/>
          <w:lang w:eastAsia="zh-CN"/>
        </w:rPr>
        <w:t>等于</w:t>
      </w:r>
      <w:r>
        <w:rPr>
          <w:rFonts w:hint="eastAsia" w:ascii="仿宋" w:eastAsia="仿宋"/>
          <w:color w:val="000000"/>
          <w:sz w:val="32"/>
          <w:szCs w:val="32"/>
        </w:rPr>
        <w:t>预算数。</w:t>
      </w:r>
    </w:p>
    <w:p>
      <w:pPr>
        <w:spacing w:line="600" w:lineRule="exact"/>
        <w:ind w:firstLine="640"/>
        <w:outlineLvl w:val="1"/>
        <w:rPr>
          <w:rStyle w:val="26"/>
          <w:rFonts w:ascii="黑体" w:eastAsia="黑体"/>
        </w:rPr>
      </w:pPr>
      <w:bookmarkStart w:id="76" w:name="_Toc15396610"/>
      <w:bookmarkStart w:id="77" w:name="_Toc79163622"/>
      <w:bookmarkStart w:id="78" w:name="_Toc15377218"/>
      <w:bookmarkStart w:id="79" w:name="_Toc79163872"/>
      <w:r>
        <w:rPr>
          <w:rFonts w:hint="eastAsia" w:ascii="黑体" w:eastAsia="黑体"/>
          <w:color w:val="000000"/>
          <w:sz w:val="32"/>
          <w:szCs w:val="32"/>
        </w:rPr>
        <w:t>八、</w:t>
      </w:r>
      <w:r>
        <w:rPr>
          <w:rStyle w:val="26"/>
          <w:rFonts w:hint="eastAsia" w:ascii="黑体" w:eastAsia="黑体"/>
          <w:b w:val="0"/>
        </w:rPr>
        <w:t>政府性基金预算支出决算情况说明</w:t>
      </w:r>
      <w:bookmarkEnd w:id="76"/>
      <w:bookmarkEnd w:id="77"/>
      <w:bookmarkEnd w:id="78"/>
      <w:bookmarkEnd w:id="7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left="0" w:firstLine="640"/>
        <w:outlineLvl w:val="1"/>
        <w:rPr>
          <w:rStyle w:val="26"/>
          <w:rFonts w:ascii="黑体" w:eastAsia="黑体"/>
          <w:b w:val="0"/>
        </w:rPr>
      </w:pPr>
      <w:bookmarkStart w:id="80" w:name="_Toc15396611"/>
      <w:bookmarkStart w:id="81" w:name="_Toc79163873"/>
      <w:bookmarkStart w:id="82" w:name="_Toc79163623"/>
      <w:bookmarkStart w:id="83" w:name="_Toc15377219"/>
      <w:r>
        <w:rPr>
          <w:rStyle w:val="26"/>
          <w:rFonts w:hint="eastAsia" w:ascii="黑体" w:eastAsia="黑体"/>
          <w:b w:val="0"/>
        </w:rPr>
        <w:t>国有资本经营预算支出决算情况说明</w:t>
      </w:r>
      <w:bookmarkEnd w:id="80"/>
      <w:bookmarkEnd w:id="81"/>
      <w:bookmarkEnd w:id="82"/>
      <w:bookmarkEnd w:id="83"/>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eastAsia="黑体"/>
        </w:rPr>
      </w:pPr>
      <w:bookmarkStart w:id="84" w:name="_Toc15377221"/>
      <w:bookmarkStart w:id="85" w:name="_Toc79163874"/>
      <w:bookmarkStart w:id="86" w:name="_Toc15396612"/>
      <w:bookmarkStart w:id="87" w:name="_Toc79163624"/>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84"/>
      <w:bookmarkEnd w:id="85"/>
      <w:bookmarkEnd w:id="86"/>
      <w:bookmarkEnd w:id="87"/>
    </w:p>
    <w:p>
      <w:pPr>
        <w:spacing w:line="600" w:lineRule="exact"/>
        <w:ind w:firstLine="642" w:firstLineChars="200"/>
        <w:outlineLvl w:val="2"/>
        <w:rPr>
          <w:rFonts w:ascii="仿宋" w:eastAsia="仿宋"/>
          <w:color w:val="000000"/>
          <w:sz w:val="32"/>
          <w:szCs w:val="32"/>
        </w:rPr>
      </w:pPr>
      <w:bookmarkStart w:id="88" w:name="_Toc79163875"/>
      <w:bookmarkStart w:id="89" w:name="_Toc79163625"/>
      <w:bookmarkStart w:id="90" w:name="_Toc15377222"/>
      <w:r>
        <w:rPr>
          <w:rFonts w:hint="eastAsia" w:ascii="仿宋" w:eastAsia="仿宋"/>
          <w:b/>
          <w:color w:val="000000"/>
          <w:sz w:val="32"/>
          <w:szCs w:val="32"/>
        </w:rPr>
        <w:t>（一）机关运行经费支出情况</w:t>
      </w:r>
      <w:bookmarkEnd w:id="88"/>
      <w:bookmarkEnd w:id="89"/>
      <w:bookmarkEnd w:id="90"/>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茂县纪委电子信息监察中心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1" w:name="_Toc79163876"/>
      <w:bookmarkStart w:id="92" w:name="_Toc15377223"/>
      <w:bookmarkStart w:id="93" w:name="_Toc79163626"/>
      <w:r>
        <w:rPr>
          <w:rFonts w:hint="eastAsia" w:ascii="仿宋" w:eastAsia="仿宋"/>
          <w:b/>
          <w:color w:val="000000"/>
          <w:sz w:val="32"/>
          <w:szCs w:val="32"/>
        </w:rPr>
        <w:t>（二）政府采购支出情况</w:t>
      </w:r>
      <w:bookmarkEnd w:id="91"/>
      <w:bookmarkEnd w:id="92"/>
      <w:bookmarkEnd w:id="9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茂县纪委电子信息监察中心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4" w:name="_Toc15377224"/>
      <w:bookmarkStart w:id="95" w:name="_Toc79163877"/>
      <w:bookmarkStart w:id="96" w:name="_Toc79163627"/>
      <w:r>
        <w:rPr>
          <w:rFonts w:hint="eastAsia" w:ascii="仿宋" w:eastAsia="仿宋"/>
          <w:b/>
          <w:color w:val="000000"/>
          <w:sz w:val="32"/>
          <w:szCs w:val="32"/>
        </w:rPr>
        <w:t>（三）国有资产占有使用情况</w:t>
      </w:r>
      <w:bookmarkEnd w:id="94"/>
      <w:bookmarkEnd w:id="95"/>
      <w:bookmarkEnd w:id="96"/>
    </w:p>
    <w:p>
      <w:pPr>
        <w:autoSpaceDE w:val="0"/>
        <w:autoSpaceDN w:val="0"/>
        <w:adjustRightInd w:val="0"/>
        <w:spacing w:line="600" w:lineRule="exact"/>
        <w:ind w:firstLine="640" w:firstLineChars="200"/>
        <w:jc w:val="left"/>
        <w:rPr>
          <w:rFonts w:hint="eastAsia" w:asci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茂县纪委电子信息监察中心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7" w:name="_Toc79163628"/>
      <w:bookmarkStart w:id="98" w:name="_Toc79163878"/>
      <w:r>
        <w:rPr>
          <w:rFonts w:hint="eastAsia" w:ascii="仿宋" w:eastAsia="仿宋"/>
          <w:b/>
          <w:color w:val="000000"/>
          <w:sz w:val="32"/>
          <w:szCs w:val="32"/>
        </w:rPr>
        <w:t>（四）预算绩效管理情况</w:t>
      </w:r>
      <w:bookmarkEnd w:id="97"/>
      <w:bookmarkEnd w:id="98"/>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hint="eastAsia" w:ascii="仿宋_GB2312" w:eastAsia="仿宋_GB2312" w:cs="仿宋_GB2312"/>
          <w:sz w:val="32"/>
          <w:szCs w:val="32"/>
          <w:lang w:val="en-US" w:eastAsia="zh-CN"/>
        </w:rPr>
        <w:t>0个</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个项目编制了绩效目标。</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按要求对</w:t>
      </w:r>
      <w:r>
        <w:rPr>
          <w:rFonts w:ascii="仿宋_GB2312" w:eastAsia="仿宋_GB2312" w:cs="仿宋_GB2312"/>
          <w:sz w:val="32"/>
          <w:szCs w:val="32"/>
        </w:rPr>
        <w:t>2021</w:t>
      </w:r>
      <w:r>
        <w:rPr>
          <w:rFonts w:hint="eastAsia" w:ascii="仿宋_GB2312" w:eastAsia="仿宋_GB2312" w:cs="仿宋_GB2312"/>
          <w:sz w:val="32"/>
          <w:szCs w:val="32"/>
        </w:rPr>
        <w:t>年部门整体支出开展绩效自评，从评价情况来看</w:t>
      </w:r>
      <w:r>
        <w:rPr>
          <w:rFonts w:hint="eastAsia" w:ascii="仿宋" w:hAnsi="仿宋" w:eastAsia="仿宋"/>
          <w:color w:val="000000"/>
          <w:sz w:val="32"/>
          <w:szCs w:val="32"/>
        </w:rPr>
        <w:t>本单位对所有项目都进行严格管理，比如：严格按照政策进行采购、资产管理、内控制度管理、信息公开、绩效评价及依法接受财政监督情况等</w:t>
      </w:r>
      <w:r>
        <w:rPr>
          <w:rFonts w:hint="eastAsia" w:ascii="仿宋_GB2312" w:eastAsia="仿宋_GB2312" w:cs="仿宋_GB2312"/>
          <w:sz w:val="32"/>
          <w:szCs w:val="32"/>
        </w:rPr>
        <w:t>。</w:t>
      </w:r>
    </w:p>
    <w:p>
      <w:pPr>
        <w:spacing w:line="580" w:lineRule="exact"/>
        <w:ind w:firstLine="640" w:firstLineChars="200"/>
        <w:rPr>
          <w:rFonts w:hint="eastAsia" w:ascii="仿宋_GB2312" w:eastAsia="仿宋_GB2312" w:cs="仿宋_GB2312"/>
          <w:sz w:val="32"/>
          <w:szCs w:val="32"/>
          <w:lang w:eastAsia="zh-CN"/>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r>
        <w:rPr>
          <w:rFonts w:ascii="楷体_GB2312" w:eastAsia="楷体_GB2312" w:cs="楷体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本部门在</w:t>
      </w:r>
      <w:r>
        <w:rPr>
          <w:rFonts w:ascii="仿宋_GB2312" w:eastAsia="仿宋_GB2312" w:cs="仿宋_GB2312"/>
          <w:sz w:val="32"/>
          <w:szCs w:val="32"/>
        </w:rPr>
        <w:t>2021</w:t>
      </w:r>
      <w:r>
        <w:rPr>
          <w:rFonts w:hint="eastAsia" w:ascii="仿宋_GB2312" w:eastAsia="仿宋_GB2312" w:cs="仿宋_GB2312"/>
          <w:sz w:val="32"/>
          <w:szCs w:val="32"/>
        </w:rPr>
        <w:t>年度部门决算中反映</w:t>
      </w:r>
      <w:r>
        <w:rPr>
          <w:rFonts w:hint="eastAsia" w:ascii="仿宋_GB2312" w:eastAsia="仿宋_GB2312" w:cs="仿宋_GB2312"/>
          <w:sz w:val="32"/>
          <w:szCs w:val="32"/>
          <w:lang w:eastAsia="zh-CN"/>
        </w:rPr>
        <w:t>无项目。</w:t>
      </w:r>
    </w:p>
    <w:p>
      <w:pPr>
        <w:spacing w:line="580" w:lineRule="exact"/>
        <w:ind w:firstLine="640" w:firstLineChars="20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茂县纪委电子信息监察中心</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pStyle w:val="2"/>
        <w:rPr>
          <w:rFonts w:hint="eastAsia" w:ascii="仿宋_GB2312" w:eastAsia="仿宋_GB2312" w:cs="仿宋_GB2312"/>
          <w:sz w:val="32"/>
          <w:szCs w:val="32"/>
        </w:rPr>
      </w:pPr>
    </w:p>
    <w:p>
      <w:pPr>
        <w:rPr>
          <w:rFonts w:hint="eastAsia" w:ascii="仿宋_GB2312" w:eastAsia="仿宋_GB2312" w:cs="仿宋_GB2312"/>
          <w:sz w:val="32"/>
          <w:szCs w:val="32"/>
        </w:rPr>
      </w:pPr>
    </w:p>
    <w:p>
      <w:pPr>
        <w:pStyle w:val="2"/>
      </w:pPr>
    </w:p>
    <w:p>
      <w:pPr>
        <w:numPr>
          <w:ilvl w:val="0"/>
          <w:numId w:val="3"/>
        </w:numPr>
        <w:spacing w:line="600" w:lineRule="exact"/>
        <w:ind w:left="0" w:firstLine="660" w:firstLineChars="150"/>
        <w:jc w:val="center"/>
        <w:outlineLvl w:val="0"/>
        <w:rPr>
          <w:rStyle w:val="25"/>
          <w:rFonts w:ascii="黑体" w:eastAsia="黑体"/>
          <w:b w:val="0"/>
        </w:rPr>
      </w:pPr>
      <w:bookmarkStart w:id="99" w:name="_Toc15396613"/>
      <w:bookmarkStart w:id="100" w:name="_Toc15377225"/>
      <w:bookmarkStart w:id="101" w:name="_Toc79163879"/>
      <w:bookmarkStart w:id="102" w:name="_Toc79163629"/>
      <w:bookmarkStart w:id="103" w:name="_Toc15396614"/>
      <w:bookmarkStart w:id="104" w:name="_Toc79163630"/>
      <w:bookmarkStart w:id="105" w:name="_Toc79163880"/>
      <w:bookmarkStart w:id="106" w:name="_Toc15377226"/>
      <w:r>
        <w:rPr>
          <w:rFonts w:hint="eastAsia" w:ascii="黑体" w:eastAsia="黑体"/>
          <w:color w:val="000000"/>
          <w:sz w:val="44"/>
          <w:szCs w:val="44"/>
        </w:rPr>
        <w:t>名</w:t>
      </w:r>
      <w:r>
        <w:rPr>
          <w:rStyle w:val="25"/>
          <w:rFonts w:hint="eastAsia" w:ascii="黑体" w:eastAsia="黑体"/>
          <w:b w:val="0"/>
        </w:rPr>
        <w:t>词解释</w:t>
      </w:r>
      <w:bookmarkEnd w:id="99"/>
      <w:bookmarkEnd w:id="100"/>
      <w:bookmarkEnd w:id="101"/>
      <w:bookmarkEnd w:id="102"/>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 xml:space="preserve"> 一般公共服务（类）纪检监察事务（款）行政运行（项）：指单位开展日常工作所需日常公用经费开支及单位职工的人员经费开支。</w:t>
      </w:r>
    </w:p>
    <w:p>
      <w:pPr>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 xml:space="preserve"> 一般公共服务（类）纪检监察事务（款）一般行政管理事务（项）：指单位申请日常工作所需专项开支经费。</w:t>
      </w:r>
    </w:p>
    <w:p>
      <w:pPr>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 xml:space="preserve"> 一般公共服务（类）纪检监察事务（款）事业运行（项）：指单位开展日常工作所需日常公用经费开支及单位职工的人员经费开支。</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 一般公共服务（类）纪检监察事务（款）其他纪检监察事务支出（项）：指单位申请日常工作所需专项开支经费。</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rPr>
        <w:t>社会保障和就业（类）行政事业单位</w:t>
      </w:r>
      <w:r>
        <w:rPr>
          <w:rFonts w:hint="eastAsia" w:ascii="仿宋" w:hAnsi="仿宋" w:eastAsia="仿宋"/>
          <w:color w:val="000000"/>
          <w:sz w:val="32"/>
          <w:szCs w:val="32"/>
          <w:lang w:eastAsia="zh-CN"/>
        </w:rPr>
        <w:t>养老支出</w:t>
      </w:r>
      <w:r>
        <w:rPr>
          <w:rFonts w:hint="eastAsia" w:ascii="仿宋" w:hAnsi="仿宋" w:eastAsia="仿宋"/>
          <w:color w:val="000000"/>
          <w:sz w:val="32"/>
          <w:szCs w:val="32"/>
        </w:rPr>
        <w:t>（款）机关事业单位基本养老保险缴费支出（项）：指给单位职工缴纳单位部分的养老保险。</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社会保障和就业</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（类）行政事业</w:t>
      </w:r>
      <w:r>
        <w:rPr>
          <w:rFonts w:hint="eastAsia" w:ascii="仿宋" w:hAnsi="仿宋" w:eastAsia="仿宋"/>
          <w:color w:val="000000"/>
          <w:sz w:val="32"/>
          <w:szCs w:val="32"/>
          <w:lang w:eastAsia="zh-CN"/>
        </w:rPr>
        <w:t>单位养老支出</w:t>
      </w:r>
      <w:r>
        <w:rPr>
          <w:rFonts w:hint="eastAsia" w:ascii="仿宋" w:hAnsi="仿宋" w:eastAsia="仿宋"/>
          <w:color w:val="000000"/>
          <w:sz w:val="32"/>
          <w:szCs w:val="32"/>
        </w:rPr>
        <w:t>（款）机关事业单位职业年金缴费支出（项）：指给单位职工缴纳单位部分职业年金。。</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卫生健康支出（类）行政事业单位医疗（款）行政单位医疗（项）：指给单位职工缴纳单位部分的医疗保险。</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16.卫生健康支出（类）行政事业单位医疗（款）事业单位医疗（项）：指给单位事业人员缴纳单位部分的医疗保险。</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住房保障</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(类)住房改革支出（款）住房公积金（项）：指给单位职工缴纳单位部分的住房公积金。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p>
    <w:p>
      <w:pPr>
        <w:pStyle w:val="30"/>
        <w:spacing w:line="560" w:lineRule="exact"/>
        <w:ind w:firstLine="640" w:firstLineChars="200"/>
        <w:rPr>
          <w:rFonts w:hAnsi="仿宋" w:cs="Times New Roman"/>
          <w:kern w:val="2"/>
          <w:sz w:val="32"/>
          <w:szCs w:val="32"/>
        </w:rPr>
      </w:pPr>
      <w:r>
        <w:rPr>
          <w:rFonts w:hint="eastAsia" w:hAnsi="仿宋" w:cs="Times New Roman"/>
          <w:kern w:val="2"/>
          <w:sz w:val="32"/>
          <w:szCs w:val="32"/>
        </w:rPr>
        <w:t>20</w:t>
      </w:r>
      <w:r>
        <w:rPr>
          <w:rFonts w:hAnsi="仿宋" w:cs="Times New Roman"/>
          <w:kern w:val="2"/>
          <w:sz w:val="32"/>
          <w:szCs w:val="32"/>
        </w:rPr>
        <w:t>.</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left"/>
        <w:outlineLvl w:val="0"/>
        <w:rPr>
          <w:rStyle w:val="25"/>
          <w:rFonts w:ascii="黑体" w:eastAsia="黑体"/>
          <w:b w:val="0"/>
        </w:rPr>
      </w:pPr>
      <w:r>
        <w:rPr>
          <w:rFonts w:hint="eastAsia" w:ascii="仿宋" w:hAnsi="仿宋" w:eastAsia="仿宋" w:cs="Times New Roman"/>
          <w:color w:val="000000"/>
          <w:kern w:val="2"/>
          <w:sz w:val="32"/>
          <w:szCs w:val="32"/>
          <w:lang w:val="en-US" w:eastAsia="zh-CN" w:bidi="ar-SA"/>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Times New Roman"/>
          <w:color w:val="000000"/>
          <w:kern w:val="2"/>
          <w:sz w:val="32"/>
          <w:szCs w:val="32"/>
          <w:lang w:val="en-US" w:eastAsia="zh-CN" w:bidi="ar-SA"/>
        </w:rPr>
        <w:br w:type="page"/>
      </w:r>
      <w:r>
        <w:rPr>
          <w:rFonts w:hint="eastAsia" w:ascii="黑体" w:eastAsia="黑体"/>
          <w:color w:val="000000"/>
          <w:sz w:val="44"/>
          <w:szCs w:val="44"/>
        </w:rPr>
        <w:t>第</w:t>
      </w:r>
      <w:r>
        <w:rPr>
          <w:rStyle w:val="25"/>
          <w:rFonts w:hint="eastAsia" w:ascii="黑体" w:eastAsia="黑体"/>
          <w:b w:val="0"/>
        </w:rPr>
        <w:t>四部分</w:t>
      </w:r>
      <w:r>
        <w:rPr>
          <w:rStyle w:val="25"/>
          <w:rFonts w:ascii="黑体" w:eastAsia="黑体"/>
          <w:b w:val="0"/>
        </w:rPr>
        <w:t xml:space="preserve"> </w:t>
      </w:r>
      <w:r>
        <w:rPr>
          <w:rStyle w:val="25"/>
          <w:rFonts w:hint="eastAsia" w:ascii="黑体" w:eastAsia="黑体"/>
          <w:b w:val="0"/>
        </w:rPr>
        <w:t>附件</w:t>
      </w:r>
      <w:bookmarkEnd w:id="103"/>
      <w:bookmarkEnd w:id="104"/>
      <w:bookmarkEnd w:id="105"/>
    </w:p>
    <w:p>
      <w:pPr>
        <w:spacing w:line="600" w:lineRule="exact"/>
        <w:jc w:val="left"/>
        <w:outlineLvl w:val="0"/>
        <w:rPr>
          <w:rFonts w:ascii="方正小标宋简体" w:eastAsia="方正小标宋简体" w:cs="方正小标宋简体"/>
          <w:sz w:val="32"/>
          <w:szCs w:val="32"/>
        </w:rPr>
      </w:pPr>
      <w:bookmarkStart w:id="107" w:name="_Toc79163881"/>
      <w:bookmarkStart w:id="108" w:name="_Toc79163631"/>
      <w:r>
        <w:rPr>
          <w:rFonts w:hint="eastAsia" w:ascii="黑体" w:eastAsia="黑体" w:cs="黑体"/>
          <w:sz w:val="32"/>
          <w:szCs w:val="32"/>
        </w:rPr>
        <w:t>附件</w:t>
      </w:r>
      <w:r>
        <w:rPr>
          <w:rFonts w:ascii="黑体" w:eastAsia="黑体" w:cs="黑体"/>
          <w:sz w:val="32"/>
          <w:szCs w:val="32"/>
        </w:rPr>
        <w:t>1</w:t>
      </w:r>
      <w:bookmarkEnd w:id="107"/>
      <w:bookmarkEnd w:id="108"/>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黑体"/>
          <w:sz w:val="44"/>
          <w:szCs w:val="44"/>
          <w:lang w:eastAsia="zh-CN"/>
        </w:rPr>
      </w:pPr>
      <w:bookmarkStart w:id="109" w:name="_Toc79163882"/>
      <w:bookmarkStart w:id="110" w:name="_Toc79163632"/>
      <w:r>
        <w:rPr>
          <w:rFonts w:hint="eastAsia" w:ascii="方正小标宋简体" w:eastAsia="方正小标宋简体" w:cs="黑体"/>
          <w:sz w:val="44"/>
          <w:szCs w:val="44"/>
          <w:lang w:eastAsia="zh-CN"/>
        </w:rPr>
        <w:t>茂县纪委电子信息监察中心</w:t>
      </w:r>
    </w:p>
    <w:p>
      <w:pPr>
        <w:spacing w:line="600" w:lineRule="exact"/>
        <w:jc w:val="center"/>
        <w:outlineLvl w:val="0"/>
        <w:rPr>
          <w:rFonts w:hint="eastAsia" w:ascii="方正小标宋简体" w:eastAsia="方正小标宋简体" w:cs="黑体"/>
          <w:sz w:val="44"/>
          <w:szCs w:val="44"/>
        </w:rPr>
      </w:pP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09"/>
      <w:bookmarkEnd w:id="110"/>
    </w:p>
    <w:p>
      <w:pPr>
        <w:pStyle w:val="2"/>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pStyle w:val="2"/>
        <w:rPr>
          <w:lang w:val="zh-CN"/>
        </w:rPr>
      </w:pPr>
      <w:r>
        <w:rPr>
          <w:rFonts w:hint="eastAsia" w:ascii="仿宋_GB2312" w:eastAsia="仿宋_GB2312" w:cs="宋体"/>
          <w:color w:val="000000"/>
          <w:kern w:val="0"/>
          <w:sz w:val="32"/>
          <w:szCs w:val="32"/>
          <w:shd w:val="clear" w:color="auto" w:fill="FFFFFF"/>
          <w:lang w:val="zh-CN"/>
        </w:rPr>
        <w:t>属于下属二级单位（电子信息监察中心）</w:t>
      </w:r>
    </w:p>
    <w:p>
      <w:pPr>
        <w:widowControl/>
        <w:numPr>
          <w:ilvl w:val="0"/>
          <w:numId w:val="4"/>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机构职能</w:t>
      </w:r>
    </w:p>
    <w:p>
      <w:pPr>
        <w:spacing w:line="520" w:lineRule="exact"/>
        <w:ind w:firstLine="576" w:firstLineChars="180"/>
        <w:rPr>
          <w:rFonts w:ascii="仿宋" w:hAnsi="仿宋" w:eastAsia="仿宋"/>
          <w:color w:val="000000"/>
          <w:sz w:val="32"/>
          <w:szCs w:val="32"/>
        </w:rPr>
      </w:pPr>
      <w:r>
        <w:rPr>
          <w:rFonts w:hint="eastAsia" w:ascii="仿宋" w:hAnsi="仿宋" w:eastAsia="仿宋"/>
          <w:color w:val="000000"/>
          <w:sz w:val="32"/>
          <w:szCs w:val="32"/>
        </w:rPr>
        <w:t>1.主管全县党的纪律检查工作。负责贯彻落实中央和省州县党委关于加强党风廉政建设的决定，认真抓好反腐败斗争，维护党的章程和其他党内法规，检查党的路线、方针、政策和决议的执行情况。</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2.主管全县行政监察工作。负责贯彻落实党中央、国务院和省州县党委、政府有关行政监察工作的决定，监督检查县政府各部门及其工作人员和各乡镇人民政府及其主要负责人贯彻执行国家政策和法律法规、国民经济和社会发展计划及县政府颁发的决定、命令的情况。</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3.负责检查并处理县委、县政府机关各部门、各乡镇党组织和县委管理的党员领导干部违反党的章程及其他党内法规的案件，决定或取消对这些案件中的党员的处分；受理党员的控告和申诉，必要时直接查处下级党的纪律检查机关管辖范围内的比较重要或复杂的案件。</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4.负责调查处理县政府各部门及其工作人员和各乡镇人民政府及其负责人违反国家政策、法律、法规以及违反政纪的行为，并根据责任人所犯错误的情节轻重，按照《中华人民共和国行政监察法》规定给予行政处分（对涉及选举产生的领导干部按法定程序办理）；受理监察对象不服政纪处分的申诉，受理个人或单位对监察对象违纪行为的检举、控告。</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5.负责作出关于维护党纪的决定，制定全县党风党纪教育规划，配合有关部门做好党的纪检工作方针政策的宣传工作和对党员遵守纪律的教育工作。</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6.会同有关部门做好行政监察工作的方针、政策和法律法规的宣传工作，教育国家机关工作人员遵纪守法、为政清廉。</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7.负责对党的纪检工作理论及有关问题进行调查研究，拟定党纪条规和政策规定，参与制定党内法规。</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8.调查研究县政府各部门和各乡镇人民政府制定有关政策、法规的情况，对违反国家法律、法规的条款，提出修改、补充的建议。</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9.会同县直机关各部门以及各乡镇党委、政府，做好纪检监察干部的管理工作。组织和指导全县纪检、监察系统干部的培训工作。</w:t>
      </w:r>
    </w:p>
    <w:p>
      <w:pPr>
        <w:widowControl/>
        <w:adjustRightInd w:val="0"/>
        <w:snapToGrid w:val="0"/>
        <w:spacing w:line="580" w:lineRule="exact"/>
        <w:ind w:firstLine="640" w:firstLineChars="200"/>
        <w:contextualSpacing/>
        <w:jc w:val="left"/>
        <w:rPr>
          <w:lang w:val="zh-CN"/>
        </w:rPr>
      </w:pPr>
      <w:r>
        <w:rPr>
          <w:rFonts w:hint="eastAsia" w:ascii="仿宋" w:hAnsi="仿宋" w:eastAsia="仿宋"/>
          <w:color w:val="000000"/>
          <w:sz w:val="32"/>
          <w:szCs w:val="32"/>
        </w:rPr>
        <w:t>10.完成</w:t>
      </w:r>
      <w:r>
        <w:rPr>
          <w:rFonts w:hint="default" w:ascii="仿宋" w:hAnsi="仿宋" w:eastAsia="仿宋"/>
          <w:color w:val="000000"/>
          <w:sz w:val="32"/>
          <w:szCs w:val="32"/>
        </w:rPr>
        <w:t>县委、县政府</w:t>
      </w:r>
      <w:r>
        <w:rPr>
          <w:rFonts w:hint="eastAsia" w:ascii="仿宋" w:hAnsi="仿宋" w:eastAsia="仿宋"/>
          <w:color w:val="000000"/>
          <w:sz w:val="32"/>
          <w:szCs w:val="32"/>
        </w:rPr>
        <w:t>和州纪委监察委授权和交办的其他任务。</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pStyle w:val="2"/>
        <w:rPr>
          <w:lang w:val="zh-CN"/>
        </w:rPr>
      </w:pPr>
      <w:r>
        <w:rPr>
          <w:rFonts w:hint="eastAsia" w:ascii="仿宋" w:hAnsi="仿宋" w:eastAsia="仿宋"/>
          <w:color w:val="000000"/>
          <w:sz w:val="32"/>
          <w:szCs w:val="32"/>
        </w:rPr>
        <w:t>总编制</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名,其中:事业编制</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名，事业工勤编制0名。在职人员总数</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名，其中：事业人员</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名。</w:t>
      </w:r>
    </w:p>
    <w:p>
      <w:pPr>
        <w:pStyle w:val="2"/>
        <w:rPr>
          <w:lang w:val="zh-CN"/>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pStyle w:val="2"/>
        <w:rPr>
          <w:lang w:val="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年，部门财政拨款收入为</w:t>
      </w:r>
      <w:r>
        <w:rPr>
          <w:rFonts w:hint="eastAsia" w:ascii="仿宋" w:hAnsi="仿宋" w:eastAsia="仿宋"/>
          <w:color w:val="000000"/>
          <w:sz w:val="32"/>
          <w:szCs w:val="32"/>
          <w:lang w:val="en-US" w:eastAsia="zh-CN"/>
        </w:rPr>
        <w:t>127.88</w:t>
      </w:r>
      <w:r>
        <w:rPr>
          <w:rFonts w:hint="eastAsia" w:ascii="仿宋" w:hAnsi="仿宋" w:eastAsia="仿宋"/>
          <w:color w:val="000000"/>
          <w:sz w:val="32"/>
          <w:szCs w:val="32"/>
        </w:rPr>
        <w:t>万元。其中一般公共预算财政拨款为</w:t>
      </w:r>
      <w:r>
        <w:rPr>
          <w:rFonts w:hint="eastAsia" w:ascii="仿宋" w:hAnsi="仿宋" w:eastAsia="仿宋"/>
          <w:color w:val="000000"/>
          <w:sz w:val="32"/>
          <w:szCs w:val="32"/>
          <w:lang w:val="en-US" w:eastAsia="zh-CN"/>
        </w:rPr>
        <w:t>127.88</w:t>
      </w:r>
      <w:r>
        <w:rPr>
          <w:rFonts w:hint="eastAsia" w:ascii="仿宋" w:hAnsi="仿宋" w:eastAsia="仿宋"/>
          <w:color w:val="000000"/>
          <w:sz w:val="32"/>
          <w:szCs w:val="32"/>
        </w:rPr>
        <w:t>万元</w:t>
      </w:r>
      <w:r>
        <w:rPr>
          <w:rFonts w:hint="eastAsia" w:ascii="仿宋" w:hAnsi="仿宋" w:eastAsia="仿宋"/>
          <w:color w:val="000000"/>
          <w:szCs w:val="32"/>
        </w:rPr>
        <w:t>。</w:t>
      </w:r>
    </w:p>
    <w:p>
      <w:pPr>
        <w:widowControl/>
        <w:numPr>
          <w:ilvl w:val="0"/>
          <w:numId w:val="0"/>
        </w:numPr>
        <w:adjustRightInd w:val="0"/>
        <w:snapToGrid w:val="0"/>
        <w:spacing w:line="580" w:lineRule="exact"/>
        <w:ind w:leftChars="200" w:firstLine="320" w:firstLineChars="1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pStyle w:val="2"/>
        <w:numPr>
          <w:ilvl w:val="0"/>
          <w:numId w:val="0"/>
        </w:numPr>
        <w:ind w:leftChars="200"/>
        <w:rPr>
          <w:rFonts w:hint="default" w:eastAsia="宋体"/>
          <w:lang w:val="en-US" w:eastAsia="zh-CN"/>
        </w:rPr>
      </w:pPr>
      <w:r>
        <w:rPr>
          <w:rFonts w:hint="eastAsia"/>
          <w:lang w:val="en-US" w:eastAsia="zh-CN"/>
        </w:rPr>
        <w:t xml:space="preserve">    </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年，部门财政拨款支出为</w:t>
      </w:r>
      <w:r>
        <w:rPr>
          <w:rFonts w:hint="eastAsia" w:ascii="仿宋" w:hAnsi="仿宋" w:eastAsia="仿宋"/>
          <w:color w:val="000000"/>
          <w:sz w:val="32"/>
          <w:szCs w:val="32"/>
          <w:lang w:val="en-US" w:eastAsia="zh-CN"/>
        </w:rPr>
        <w:t>127.88</w:t>
      </w:r>
      <w:r>
        <w:rPr>
          <w:rFonts w:hint="eastAsia" w:ascii="仿宋" w:hAnsi="仿宋" w:eastAsia="仿宋"/>
          <w:color w:val="000000"/>
          <w:sz w:val="32"/>
          <w:szCs w:val="32"/>
        </w:rPr>
        <w:t>万元。其中，一般公共服务支出为</w:t>
      </w:r>
      <w:r>
        <w:rPr>
          <w:rFonts w:hint="eastAsia" w:ascii="仿宋" w:hAnsi="仿宋" w:eastAsia="仿宋"/>
          <w:color w:val="000000"/>
          <w:sz w:val="32"/>
          <w:szCs w:val="32"/>
          <w:lang w:val="en-US" w:eastAsia="zh-CN"/>
        </w:rPr>
        <w:t>100.35</w:t>
      </w:r>
      <w:r>
        <w:rPr>
          <w:rFonts w:hint="eastAsia" w:ascii="仿宋" w:hAnsi="仿宋" w:eastAsia="仿宋"/>
          <w:color w:val="000000"/>
          <w:sz w:val="32"/>
          <w:szCs w:val="32"/>
        </w:rPr>
        <w:t>万元、社会保障和就业支出为</w:t>
      </w:r>
      <w:r>
        <w:rPr>
          <w:rFonts w:hint="eastAsia" w:ascii="仿宋" w:hAnsi="仿宋" w:eastAsia="仿宋"/>
          <w:color w:val="000000"/>
          <w:sz w:val="32"/>
          <w:szCs w:val="32"/>
          <w:lang w:val="en-US" w:eastAsia="zh-CN"/>
        </w:rPr>
        <w:t>12.6</w:t>
      </w:r>
      <w:r>
        <w:rPr>
          <w:rFonts w:hint="eastAsia" w:ascii="仿宋" w:hAnsi="仿宋" w:eastAsia="仿宋"/>
          <w:color w:val="000000"/>
          <w:sz w:val="32"/>
          <w:szCs w:val="32"/>
        </w:rPr>
        <w:t>万元、卫生健康支出为</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万元、住房保障支出为</w:t>
      </w:r>
      <w:r>
        <w:rPr>
          <w:rFonts w:hint="eastAsia" w:ascii="仿宋" w:hAnsi="仿宋" w:eastAsia="仿宋"/>
          <w:color w:val="000000"/>
          <w:sz w:val="32"/>
          <w:szCs w:val="32"/>
          <w:lang w:val="en-US" w:eastAsia="zh-CN"/>
        </w:rPr>
        <w:t>8.97</w:t>
      </w:r>
      <w:r>
        <w:rPr>
          <w:rFonts w:hint="eastAsia" w:ascii="仿宋" w:hAnsi="仿宋" w:eastAsia="仿宋"/>
          <w:color w:val="000000"/>
          <w:sz w:val="32"/>
          <w:szCs w:val="32"/>
        </w:rPr>
        <w:t>万元。</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年部门财政拨款收入总额为</w:t>
      </w:r>
      <w:r>
        <w:rPr>
          <w:rFonts w:hint="eastAsia" w:ascii="仿宋" w:hAnsi="仿宋" w:eastAsia="仿宋"/>
          <w:color w:val="000000"/>
          <w:sz w:val="32"/>
          <w:szCs w:val="32"/>
          <w:lang w:val="en-US" w:eastAsia="zh-CN"/>
        </w:rPr>
        <w:t>127.88</w:t>
      </w:r>
      <w:r>
        <w:rPr>
          <w:rFonts w:hint="eastAsia" w:ascii="仿宋" w:hAnsi="仿宋" w:eastAsia="仿宋"/>
          <w:color w:val="000000"/>
          <w:sz w:val="32"/>
          <w:szCs w:val="32"/>
        </w:rPr>
        <w:t>万元。其中一般公共预算财政拨款为</w:t>
      </w:r>
      <w:r>
        <w:rPr>
          <w:rFonts w:hint="eastAsia" w:ascii="仿宋" w:hAnsi="仿宋" w:eastAsia="仿宋"/>
          <w:color w:val="000000"/>
          <w:sz w:val="32"/>
          <w:szCs w:val="32"/>
          <w:lang w:val="en-US" w:eastAsia="zh-CN"/>
        </w:rPr>
        <w:t>127.88</w:t>
      </w:r>
      <w:r>
        <w:rPr>
          <w:rFonts w:hint="eastAsia" w:ascii="仿宋" w:hAnsi="仿宋" w:eastAsia="仿宋"/>
          <w:color w:val="000000"/>
          <w:sz w:val="32"/>
          <w:szCs w:val="32"/>
        </w:rPr>
        <w:t>万元。支出为</w:t>
      </w:r>
      <w:r>
        <w:rPr>
          <w:rFonts w:hint="eastAsia" w:ascii="仿宋" w:hAnsi="仿宋" w:eastAsia="仿宋"/>
          <w:color w:val="000000"/>
          <w:sz w:val="32"/>
          <w:szCs w:val="32"/>
          <w:lang w:val="en-US" w:eastAsia="zh-CN"/>
        </w:rPr>
        <w:t>127.88</w:t>
      </w:r>
      <w:r>
        <w:rPr>
          <w:rFonts w:hint="eastAsia" w:ascii="仿宋" w:hAnsi="仿宋" w:eastAsia="仿宋"/>
          <w:color w:val="000000"/>
          <w:sz w:val="32"/>
          <w:szCs w:val="32"/>
        </w:rPr>
        <w:t>万元。其中，一般公共服务支出为</w:t>
      </w:r>
      <w:r>
        <w:rPr>
          <w:rFonts w:hint="eastAsia" w:ascii="仿宋" w:hAnsi="仿宋" w:eastAsia="仿宋"/>
          <w:color w:val="000000"/>
          <w:sz w:val="32"/>
          <w:szCs w:val="32"/>
          <w:lang w:val="en-US" w:eastAsia="zh-CN"/>
        </w:rPr>
        <w:t>100.35万</w:t>
      </w:r>
      <w:r>
        <w:rPr>
          <w:rFonts w:hint="eastAsia" w:ascii="仿宋" w:hAnsi="仿宋" w:eastAsia="仿宋"/>
          <w:color w:val="000000"/>
          <w:sz w:val="32"/>
          <w:szCs w:val="32"/>
        </w:rPr>
        <w:t>元、社会保障和就业支出为</w:t>
      </w:r>
      <w:r>
        <w:rPr>
          <w:rFonts w:hint="eastAsia" w:ascii="仿宋" w:hAnsi="仿宋" w:eastAsia="仿宋"/>
          <w:color w:val="000000"/>
          <w:sz w:val="32"/>
          <w:szCs w:val="32"/>
          <w:lang w:val="en-US" w:eastAsia="zh-CN"/>
        </w:rPr>
        <w:t>12.6</w:t>
      </w:r>
      <w:r>
        <w:rPr>
          <w:rFonts w:hint="eastAsia" w:ascii="仿宋" w:hAnsi="仿宋" w:eastAsia="仿宋"/>
          <w:color w:val="000000"/>
          <w:sz w:val="32"/>
          <w:szCs w:val="32"/>
        </w:rPr>
        <w:t>万元、卫生健康支出为</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万元、住房保障支出为</w:t>
      </w:r>
      <w:r>
        <w:rPr>
          <w:rFonts w:hint="eastAsia" w:ascii="仿宋" w:hAnsi="仿宋" w:eastAsia="仿宋"/>
          <w:color w:val="000000"/>
          <w:sz w:val="32"/>
          <w:szCs w:val="32"/>
          <w:lang w:val="en-US" w:eastAsia="zh-CN"/>
        </w:rPr>
        <w:t>8.97</w:t>
      </w:r>
      <w:r>
        <w:rPr>
          <w:rFonts w:hint="eastAsia" w:ascii="仿宋" w:hAnsi="仿宋" w:eastAsia="仿宋"/>
          <w:color w:val="000000"/>
          <w:sz w:val="32"/>
          <w:szCs w:val="32"/>
        </w:rPr>
        <w:t>万元。</w:t>
      </w: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rPr>
      </w:pPr>
      <w:r>
        <w:rPr>
          <w:rFonts w:hint="eastAsia" w:ascii="仿宋" w:hAnsi="仿宋" w:eastAsia="仿宋"/>
          <w:color w:val="000000"/>
          <w:sz w:val="32"/>
          <w:szCs w:val="32"/>
        </w:rPr>
        <w:t>我单位预决算编制是严格按照要求报送资料，保证资料的真实性和完整性，完全对本单位的收支情况如实反映。</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我单位严格按照预算执行进度进行资金使用管理，中期进行评估，“三公”经费严格按照预算执行，做到对资金的有效管理。</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本单位对所有项目都进行严格管理，比如：严格按照政策进行采购、资产管理、内控制度管理、信息公开、绩效评价及依法接受财政监督情况等。</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仿宋" w:hAnsi="仿宋" w:eastAsia="仿宋"/>
          <w:color w:val="000000"/>
          <w:sz w:val="32"/>
          <w:szCs w:val="32"/>
        </w:rPr>
        <w:t>我单位将评价结果作为预算安排的重要依据，参照项目年度预算执行情况“三年滚动规划”执行情况统筹项目支出需求，保障重点支出，调整支出结构，优化财政资金配置，不断强化绩效理念，推动部门整体绩效管理水平不断提升。</w:t>
      </w: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（一）评价结论：良好。</w:t>
      </w:r>
    </w:p>
    <w:p>
      <w:pPr>
        <w:widowControl/>
        <w:adjustRightInd w:val="0"/>
        <w:snapToGrid w:val="0"/>
        <w:spacing w:line="580" w:lineRule="exact"/>
        <w:ind w:firstLine="640" w:firstLineChars="200"/>
        <w:contextualSpacing/>
        <w:jc w:val="left"/>
        <w:rPr>
          <w:rFonts w:hint="eastAsia" w:eastAsia="仿宋"/>
          <w:lang w:val="zh-CN" w:eastAsia="zh-CN"/>
        </w:rPr>
      </w:pPr>
      <w:r>
        <w:rPr>
          <w:rFonts w:hint="eastAsia" w:ascii="仿宋_GB2312" w:eastAsia="仿宋_GB2312" w:cs="宋体"/>
          <w:color w:val="000000"/>
          <w:kern w:val="0"/>
          <w:sz w:val="32"/>
          <w:szCs w:val="32"/>
          <w:shd w:val="clear" w:color="auto" w:fill="FFFFFF"/>
          <w:lang w:val="zh-CN"/>
        </w:rPr>
        <w:t>（二）存在问题：</w:t>
      </w:r>
      <w:r>
        <w:rPr>
          <w:rFonts w:hint="eastAsia" w:ascii="仿宋" w:hAnsi="仿宋" w:eastAsia="仿宋"/>
          <w:color w:val="000000"/>
          <w:sz w:val="32"/>
          <w:szCs w:val="32"/>
        </w:rPr>
        <w:t>需进一步加强完善制度建设</w:t>
      </w:r>
      <w:r>
        <w:rPr>
          <w:rFonts w:hint="eastAsia" w:ascii="仿宋" w:hAnsi="仿宋" w:eastAsia="仿宋"/>
          <w:color w:val="000000"/>
          <w:sz w:val="32"/>
          <w:szCs w:val="32"/>
          <w:lang w:eastAsia="zh-CN"/>
        </w:rPr>
        <w:t>。</w:t>
      </w:r>
    </w:p>
    <w:p>
      <w:pPr>
        <w:widowControl/>
        <w:adjustRightInd w:val="0"/>
        <w:snapToGrid w:val="0"/>
        <w:spacing w:line="580" w:lineRule="exact"/>
        <w:ind w:firstLine="640" w:firstLineChars="200"/>
        <w:contextualSpacing/>
        <w:jc w:val="left"/>
        <w:rPr>
          <w:lang w:val="zh-CN"/>
        </w:rPr>
      </w:pPr>
      <w:r>
        <w:rPr>
          <w:rFonts w:hint="eastAsia" w:ascii="仿宋_GB2312" w:eastAsia="仿宋_GB2312" w:cs="宋体"/>
          <w:color w:val="000000"/>
          <w:kern w:val="0"/>
          <w:sz w:val="32"/>
          <w:szCs w:val="32"/>
          <w:shd w:val="clear" w:color="auto" w:fill="FFFFFF"/>
          <w:lang w:val="zh-CN"/>
        </w:rPr>
        <w:t>（三）改进建议：</w:t>
      </w:r>
      <w:r>
        <w:rPr>
          <w:rFonts w:hint="eastAsia" w:ascii="仿宋" w:hAnsi="仿宋" w:eastAsia="仿宋"/>
          <w:color w:val="000000"/>
          <w:sz w:val="32"/>
          <w:szCs w:val="32"/>
        </w:rPr>
        <w:t>不断总结经验，不断完善制度。</w:t>
      </w:r>
    </w:p>
    <w:p>
      <w:pPr>
        <w:spacing w:line="580" w:lineRule="exact"/>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widowControl/>
        <w:jc w:val="left"/>
        <w:rPr>
          <w:rStyle w:val="25"/>
          <w:rFonts w:ascii="黑体" w:eastAsia="黑体"/>
          <w:b w:val="0"/>
        </w:rPr>
      </w:pPr>
    </w:p>
    <w:p>
      <w:pPr>
        <w:widowControl/>
        <w:jc w:val="left"/>
        <w:rPr>
          <w:rStyle w:val="25"/>
          <w:rFonts w:ascii="黑体" w:eastAsia="黑体"/>
          <w:b w:val="0"/>
        </w:rPr>
      </w:pPr>
      <w:r>
        <w:rPr>
          <w:rStyle w:val="25"/>
          <w:rFonts w:ascii="黑体" w:eastAsia="黑体"/>
          <w:b w:val="0"/>
        </w:rPr>
        <w:br w:type="page"/>
      </w:r>
    </w:p>
    <w:p>
      <w:pPr>
        <w:spacing w:line="600" w:lineRule="exact"/>
        <w:jc w:val="center"/>
        <w:outlineLvl w:val="0"/>
        <w:rPr>
          <w:rStyle w:val="25"/>
          <w:rFonts w:ascii="黑体" w:eastAsia="黑体"/>
          <w:b w:val="0"/>
        </w:rPr>
      </w:pPr>
      <w:bookmarkStart w:id="111" w:name="_Toc79163885"/>
      <w:bookmarkStart w:id="112" w:name="_Toc15396618"/>
      <w:bookmarkStart w:id="113" w:name="_Toc79163635"/>
      <w:r>
        <w:rPr>
          <w:rFonts w:hint="eastAsia" w:ascii="黑体" w:eastAsia="黑体"/>
          <w:color w:val="000000"/>
          <w:sz w:val="44"/>
          <w:szCs w:val="44"/>
        </w:rPr>
        <w:t>第</w:t>
      </w:r>
      <w:r>
        <w:rPr>
          <w:rStyle w:val="25"/>
          <w:rFonts w:hint="eastAsia" w:ascii="黑体" w:eastAsia="黑体"/>
          <w:b w:val="0"/>
        </w:rPr>
        <w:t>五部分</w:t>
      </w:r>
      <w:r>
        <w:rPr>
          <w:rStyle w:val="25"/>
          <w:rFonts w:ascii="黑体" w:eastAsia="黑体"/>
          <w:b w:val="0"/>
        </w:rPr>
        <w:t xml:space="preserve"> </w:t>
      </w:r>
      <w:r>
        <w:rPr>
          <w:rStyle w:val="25"/>
          <w:rFonts w:hint="eastAsia" w:ascii="黑体" w:eastAsia="黑体"/>
          <w:b w:val="0"/>
        </w:rPr>
        <w:t>附表</w:t>
      </w:r>
      <w:bookmarkEnd w:id="106"/>
      <w:bookmarkEnd w:id="111"/>
      <w:bookmarkEnd w:id="112"/>
      <w:bookmarkEnd w:id="113"/>
    </w:p>
    <w:p>
      <w:pPr>
        <w:pStyle w:val="5"/>
        <w:rPr>
          <w:rFonts w:ascii="仿宋" w:eastAsia="仿宋"/>
          <w:color w:val="000000"/>
        </w:rPr>
      </w:pPr>
      <w:bookmarkStart w:id="114" w:name="_Toc79163886"/>
      <w:bookmarkStart w:id="115" w:name="_Toc15396619"/>
      <w:bookmarkStart w:id="116" w:name="_Toc79163636"/>
      <w:r>
        <w:rPr>
          <w:rFonts w:hint="eastAsia" w:ascii="仿宋" w:eastAsia="仿宋"/>
          <w:b w:val="0"/>
          <w:color w:val="000000"/>
        </w:rPr>
        <w:t>一、收</w:t>
      </w:r>
      <w:r>
        <w:rPr>
          <w:rStyle w:val="26"/>
          <w:rFonts w:hint="eastAsia" w:ascii="仿宋" w:eastAsia="仿宋"/>
          <w:b w:val="0"/>
          <w:bCs w:val="0"/>
        </w:rPr>
        <w:t>入支出决算总表</w:t>
      </w:r>
      <w:bookmarkEnd w:id="114"/>
      <w:bookmarkEnd w:id="115"/>
      <w:bookmarkEnd w:id="116"/>
    </w:p>
    <w:p>
      <w:pPr>
        <w:pStyle w:val="5"/>
        <w:rPr>
          <w:rFonts w:ascii="仿宋" w:eastAsia="仿宋"/>
          <w:color w:val="000000"/>
        </w:rPr>
      </w:pPr>
      <w:bookmarkStart w:id="117" w:name="_Toc15396620"/>
      <w:bookmarkStart w:id="118" w:name="_Toc79163637"/>
      <w:bookmarkStart w:id="119" w:name="_Toc79163887"/>
      <w:r>
        <w:rPr>
          <w:rFonts w:hint="eastAsia" w:ascii="仿宋" w:eastAsia="仿宋"/>
          <w:b w:val="0"/>
          <w:color w:val="000000"/>
        </w:rPr>
        <w:t>二、收</w:t>
      </w:r>
      <w:r>
        <w:rPr>
          <w:rStyle w:val="26"/>
          <w:rFonts w:hint="eastAsia" w:ascii="仿宋" w:eastAsia="仿宋"/>
          <w:b w:val="0"/>
          <w:bCs w:val="0"/>
        </w:rPr>
        <w:t>入决算表</w:t>
      </w:r>
      <w:bookmarkEnd w:id="117"/>
      <w:bookmarkEnd w:id="118"/>
      <w:bookmarkEnd w:id="119"/>
    </w:p>
    <w:p>
      <w:pPr>
        <w:pStyle w:val="5"/>
        <w:rPr>
          <w:rFonts w:ascii="仿宋" w:eastAsia="仿宋"/>
          <w:color w:val="000000"/>
        </w:rPr>
      </w:pPr>
      <w:bookmarkStart w:id="120" w:name="_Toc79163638"/>
      <w:bookmarkStart w:id="121" w:name="_Toc79163888"/>
      <w:bookmarkStart w:id="122" w:name="_Toc15396621"/>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120"/>
      <w:bookmarkEnd w:id="121"/>
      <w:bookmarkEnd w:id="122"/>
    </w:p>
    <w:p>
      <w:pPr>
        <w:pStyle w:val="5"/>
        <w:rPr>
          <w:rFonts w:ascii="仿宋" w:eastAsia="仿宋"/>
          <w:b w:val="0"/>
          <w:color w:val="000000"/>
        </w:rPr>
      </w:pPr>
      <w:bookmarkStart w:id="123" w:name="_Toc79163639"/>
      <w:bookmarkStart w:id="124" w:name="_Toc15396622"/>
      <w:bookmarkStart w:id="125" w:name="_Toc79163889"/>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123"/>
      <w:bookmarkEnd w:id="124"/>
      <w:bookmarkEnd w:id="125"/>
    </w:p>
    <w:p>
      <w:pPr>
        <w:pStyle w:val="5"/>
        <w:rPr>
          <w:rStyle w:val="26"/>
          <w:rFonts w:ascii="仿宋" w:eastAsia="仿宋"/>
          <w:b w:val="0"/>
          <w:bCs w:val="0"/>
        </w:rPr>
      </w:pPr>
      <w:bookmarkStart w:id="126" w:name="_Toc79163640"/>
      <w:bookmarkStart w:id="127" w:name="_Toc15396623"/>
      <w:bookmarkStart w:id="128" w:name="_Toc79163890"/>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126"/>
      <w:bookmarkEnd w:id="127"/>
      <w:bookmarkEnd w:id="128"/>
      <w:bookmarkStart w:id="129" w:name="_Toc15396624"/>
    </w:p>
    <w:p>
      <w:pPr>
        <w:pStyle w:val="5"/>
        <w:rPr>
          <w:rFonts w:ascii="仿宋" w:eastAsia="仿宋"/>
          <w:color w:val="000000"/>
        </w:rPr>
      </w:pPr>
      <w:bookmarkStart w:id="130" w:name="_Toc79163891"/>
      <w:bookmarkStart w:id="131" w:name="_Toc79163641"/>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129"/>
      <w:bookmarkEnd w:id="130"/>
      <w:bookmarkEnd w:id="131"/>
    </w:p>
    <w:p>
      <w:pPr>
        <w:pStyle w:val="5"/>
        <w:rPr>
          <w:rFonts w:ascii="仿宋" w:eastAsia="仿宋"/>
          <w:color w:val="000000"/>
        </w:rPr>
      </w:pPr>
      <w:bookmarkStart w:id="132" w:name="_Toc79163642"/>
      <w:bookmarkStart w:id="133" w:name="_Toc15396625"/>
      <w:bookmarkStart w:id="134" w:name="_Toc79163892"/>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132"/>
      <w:bookmarkEnd w:id="133"/>
      <w:bookmarkEnd w:id="134"/>
    </w:p>
    <w:p>
      <w:pPr>
        <w:pStyle w:val="5"/>
        <w:rPr>
          <w:rFonts w:ascii="仿宋" w:eastAsia="仿宋"/>
          <w:color w:val="000000"/>
        </w:rPr>
      </w:pPr>
      <w:bookmarkStart w:id="135" w:name="_Toc15396626"/>
      <w:bookmarkStart w:id="136" w:name="_Toc79163643"/>
      <w:bookmarkStart w:id="137" w:name="_Toc79163893"/>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135"/>
      <w:bookmarkEnd w:id="136"/>
      <w:bookmarkEnd w:id="137"/>
    </w:p>
    <w:p>
      <w:pPr>
        <w:pStyle w:val="5"/>
        <w:rPr>
          <w:rFonts w:ascii="仿宋" w:eastAsia="仿宋"/>
          <w:color w:val="000000"/>
        </w:rPr>
      </w:pPr>
      <w:bookmarkStart w:id="138" w:name="_Toc79163894"/>
      <w:bookmarkStart w:id="139" w:name="_Toc79163644"/>
      <w:bookmarkStart w:id="140" w:name="_Toc15396627"/>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138"/>
      <w:bookmarkEnd w:id="139"/>
      <w:bookmarkEnd w:id="140"/>
    </w:p>
    <w:p>
      <w:pPr>
        <w:pStyle w:val="5"/>
        <w:rPr>
          <w:rFonts w:ascii="仿宋" w:eastAsia="仿宋"/>
          <w:color w:val="000000"/>
        </w:rPr>
      </w:pPr>
      <w:bookmarkStart w:id="141" w:name="_Toc79163895"/>
      <w:bookmarkStart w:id="142" w:name="_Toc79163645"/>
      <w:bookmarkStart w:id="143" w:name="_Toc15396628"/>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141"/>
      <w:bookmarkEnd w:id="142"/>
      <w:bookmarkEnd w:id="143"/>
    </w:p>
    <w:p>
      <w:pPr>
        <w:pStyle w:val="5"/>
        <w:rPr>
          <w:rFonts w:ascii="仿宋" w:eastAsia="仿宋"/>
          <w:color w:val="000000"/>
        </w:rPr>
      </w:pPr>
      <w:bookmarkStart w:id="144" w:name="_Toc79163896"/>
      <w:bookmarkStart w:id="145" w:name="_Toc15396629"/>
      <w:bookmarkStart w:id="146" w:name="_Toc79163646"/>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144"/>
      <w:bookmarkEnd w:id="145"/>
      <w:bookmarkEnd w:id="146"/>
    </w:p>
    <w:p>
      <w:pPr>
        <w:pStyle w:val="5"/>
        <w:rPr>
          <w:rFonts w:ascii="仿宋" w:eastAsia="仿宋"/>
          <w:color w:val="000000"/>
        </w:rPr>
      </w:pPr>
      <w:bookmarkStart w:id="147" w:name="_Toc79163647"/>
      <w:bookmarkStart w:id="148" w:name="_Toc15396630"/>
      <w:bookmarkStart w:id="149" w:name="_Toc79163897"/>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147"/>
      <w:bookmarkEnd w:id="148"/>
      <w:bookmarkEnd w:id="149"/>
    </w:p>
    <w:p>
      <w:pPr>
        <w:pStyle w:val="5"/>
        <w:rPr>
          <w:rStyle w:val="26"/>
          <w:rFonts w:ascii="仿宋" w:eastAsia="仿宋"/>
          <w:b w:val="0"/>
          <w:bCs w:val="0"/>
        </w:rPr>
      </w:pPr>
      <w:bookmarkStart w:id="150" w:name="_Toc79163898"/>
      <w:bookmarkStart w:id="151" w:name="_Toc79163648"/>
      <w:bookmarkStart w:id="152" w:name="_Toc15396631"/>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有资本经营预算财政拨款支出决算表</w:t>
      </w:r>
      <w:bookmarkEnd w:id="150"/>
      <w:bookmarkEnd w:id="151"/>
      <w:bookmarkEnd w:id="152"/>
    </w:p>
    <w:p>
      <w:pPr>
        <w:pStyle w:val="5"/>
        <w:rPr>
          <w:rStyle w:val="26"/>
          <w:rFonts w:ascii="仿宋" w:eastAsia="仿宋"/>
          <w:b w:val="0"/>
          <w:bCs w:val="0"/>
        </w:rPr>
      </w:pPr>
      <w:bookmarkStart w:id="153" w:name="_Toc79163899"/>
      <w:bookmarkStart w:id="154" w:name="_Toc79163649"/>
      <w:r>
        <w:rPr>
          <w:rStyle w:val="26"/>
          <w:rFonts w:hint="eastAsia" w:asci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518D6354"/>
    <w:multiLevelType w:val="singleLevel"/>
    <w:tmpl w:val="518D635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Dk5ZTg3MTVjNGVhNGRjM2E0MmI5NTAyMjZiOTZiZWYifQ=="/>
  </w:docVars>
  <w:rsids>
    <w:rsidRoot w:val="00000000"/>
    <w:rsid w:val="03D270B5"/>
    <w:rsid w:val="0A110DDF"/>
    <w:rsid w:val="0E1C4FE4"/>
    <w:rsid w:val="0E9F3E14"/>
    <w:rsid w:val="116467DD"/>
    <w:rsid w:val="12CE077C"/>
    <w:rsid w:val="158B0FFA"/>
    <w:rsid w:val="1A8B3A92"/>
    <w:rsid w:val="1B6177DD"/>
    <w:rsid w:val="1C894A3D"/>
    <w:rsid w:val="1D0E0D07"/>
    <w:rsid w:val="1D632E00"/>
    <w:rsid w:val="25E75395"/>
    <w:rsid w:val="25F911B3"/>
    <w:rsid w:val="279E527B"/>
    <w:rsid w:val="282E6B76"/>
    <w:rsid w:val="2E5A3DAC"/>
    <w:rsid w:val="30666AB7"/>
    <w:rsid w:val="30DE1818"/>
    <w:rsid w:val="318D6D67"/>
    <w:rsid w:val="32495BDB"/>
    <w:rsid w:val="34DE40EA"/>
    <w:rsid w:val="351A5633"/>
    <w:rsid w:val="35537A34"/>
    <w:rsid w:val="37BD71C6"/>
    <w:rsid w:val="3CBED524"/>
    <w:rsid w:val="3F08714D"/>
    <w:rsid w:val="46E22739"/>
    <w:rsid w:val="482147D8"/>
    <w:rsid w:val="482D387C"/>
    <w:rsid w:val="4AE740D8"/>
    <w:rsid w:val="4B137364"/>
    <w:rsid w:val="4DF74D1B"/>
    <w:rsid w:val="51D4736F"/>
    <w:rsid w:val="6B2D7B77"/>
    <w:rsid w:val="6C6E0447"/>
    <w:rsid w:val="6C845A7F"/>
    <w:rsid w:val="6DE50C94"/>
    <w:rsid w:val="791602C3"/>
    <w:rsid w:val="7F9C5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6"/>
    <w:qFormat/>
    <w:uiPriority w:val="0"/>
    <w:pPr>
      <w:keepNext/>
      <w:keepLines/>
      <w:widowControl w:val="0"/>
      <w:spacing w:before="260" w:after="260" w:line="415" w:lineRule="auto"/>
      <w:outlineLvl w:val="1"/>
    </w:pPr>
    <w:rPr>
      <w:rFonts w:ascii="Cambria" w:hAnsi="Cambria"/>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tabs>
        <w:tab w:val="left" w:pos="1440"/>
      </w:tabs>
      <w:ind w:firstLine="200" w:firstLineChars="200"/>
      <w:jc w:val="both"/>
    </w:pPr>
    <w:rPr>
      <w:rFonts w:ascii="Times New Roman" w:hAnsi="Times New Roman" w:cs="Times New Roman"/>
      <w:kern w:val="2"/>
      <w:sz w:val="32"/>
      <w:szCs w:val="32"/>
    </w:rPr>
  </w:style>
  <w:style w:type="paragraph" w:styleId="3">
    <w:name w:val="Body Text Indent"/>
    <w:basedOn w:val="1"/>
    <w:next w:val="2"/>
    <w:qFormat/>
    <w:uiPriority w:val="0"/>
    <w:pPr>
      <w:tabs>
        <w:tab w:val="left" w:pos="1440"/>
      </w:tabs>
      <w:spacing w:after="120"/>
      <w:ind w:left="200" w:leftChars="200"/>
    </w:pPr>
  </w:style>
  <w:style w:type="paragraph" w:styleId="7">
    <w:name w:val="toc 7"/>
    <w:basedOn w:val="1"/>
    <w:next w:val="1"/>
    <w:qFormat/>
    <w:uiPriority w:val="0"/>
    <w:pPr>
      <w:ind w:left="1260"/>
      <w:jc w:val="left"/>
    </w:pPr>
    <w:rPr>
      <w:rFonts w:ascii="等线" w:eastAsia="等线"/>
      <w:sz w:val="18"/>
      <w:szCs w:val="18"/>
    </w:r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23">
    <w:name w:val="Strong"/>
    <w:basedOn w:val="22"/>
    <w:qFormat/>
    <w:uiPriority w:val="0"/>
    <w:rPr>
      <w:rFonts w:cs="Times New Roman"/>
      <w:b/>
    </w:rPr>
  </w:style>
  <w:style w:type="character" w:styleId="24">
    <w:name w:val="Hyperlink"/>
    <w:basedOn w:val="22"/>
    <w:qFormat/>
    <w:uiPriority w:val="0"/>
    <w:rPr>
      <w:rFonts w:cs="Times New Roman"/>
      <w:color w:val="0000FF"/>
      <w:u w:val="single"/>
    </w:rPr>
  </w:style>
  <w:style w:type="character" w:customStyle="1" w:styleId="25">
    <w:name w:val="heading 1 Char"/>
    <w:basedOn w:val="22"/>
    <w:link w:val="4"/>
    <w:qFormat/>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22"/>
    <w:link w:val="5"/>
    <w:qFormat/>
    <w:uiPriority w:val="0"/>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
    <w:basedOn w:val="4"/>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elete val="1"/>
          </c:dLbls>
          <c:cat>
            <c:strRef>
              <c:f>Sheet1!$A$2:$A$5</c:f>
              <c:strCache>
                <c:ptCount val="4"/>
                <c:pt idx="0">
                  <c:v>2021年</c:v>
                </c:pt>
                <c:pt idx="1">
                  <c:v>2020年</c:v>
                </c:pt>
              </c:strCache>
            </c:strRef>
          </c:cat>
          <c:val>
            <c:numRef>
              <c:f>Sheet1!$B$2:$B$5</c:f>
              <c:numCache>
                <c:formatCode>General</c:formatCode>
                <c:ptCount val="4"/>
                <c:pt idx="0">
                  <c:v>127.88</c:v>
                </c:pt>
                <c:pt idx="1">
                  <c:v>96.44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2021年</c:v>
                </c:pt>
                <c:pt idx="1">
                  <c:v>2020年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2021年</c:v>
                </c:pt>
                <c:pt idx="1">
                  <c:v>2020年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765814640"/>
        <c:axId val="46104191"/>
      </c:barChart>
      <c:catAx>
        <c:axId val="765814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104191"/>
        <c:crosses val="autoZero"/>
        <c:auto val="1"/>
        <c:lblAlgn val="ctr"/>
        <c:lblOffset val="100"/>
        <c:noMultiLvlLbl val="0"/>
      </c:catAx>
      <c:valAx>
        <c:axId val="4610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814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一般公共预算财政拨款收入</c:v>
                </c:pt>
                <c:pt idx="1">
                  <c:v>政府性基金预算财政拨款</c:v>
                </c:pt>
                <c:pt idx="2">
                  <c:v>上级补助收入</c:v>
                </c:pt>
                <c:pt idx="3">
                  <c:v>事业收入</c:v>
                </c:pt>
              </c:strCache>
            </c:strRef>
          </c:cat>
          <c:val>
            <c:numRef>
              <c:f>Sheet1!$B$2:$B$5</c:f>
              <c:numCache>
                <c:formatCode>General</c:formatCode>
                <c:ptCount val="4"/>
                <c:pt idx="0">
                  <c:v>127.88</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127.88</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7325"/>
          <c:y val="0.127"/>
          <c:w val="0.905175"/>
          <c:h val="0.301733333333333"/>
        </c:manualLayout>
      </c:layout>
      <c:barChart>
        <c:barDir val="col"/>
        <c:grouping val="clustered"/>
        <c:varyColors val="0"/>
        <c:ser>
          <c:idx val="0"/>
          <c:order val="0"/>
          <c:tx>
            <c:strRef>
              <c:f>Sheet1!$B$1</c:f>
              <c:strCache>
                <c:ptCount val="1"/>
                <c:pt idx="0">
                  <c:v>财政拨款收入支出总数</c:v>
                </c:pt>
              </c:strCache>
            </c:strRef>
          </c:tx>
          <c:spPr>
            <a:solidFill>
              <a:schemeClr val="accent1"/>
            </a:solidFill>
            <a:ln>
              <a:noFill/>
            </a:ln>
            <a:effectLst/>
          </c:spPr>
          <c:invertIfNegative val="0"/>
          <c:dLbls>
            <c:delete val="1"/>
          </c:dLbls>
          <c:cat>
            <c:strRef>
              <c:f>Sheet1!$A$2:$A$5</c:f>
              <c:strCache>
                <c:ptCount val="4"/>
                <c:pt idx="0">
                  <c:v>2021年</c:v>
                </c:pt>
                <c:pt idx="1">
                  <c:v>2020年</c:v>
                </c:pt>
              </c:strCache>
            </c:strRef>
          </c:cat>
          <c:val>
            <c:numRef>
              <c:f>Sheet1!$B$2:$B$5</c:f>
              <c:numCache>
                <c:formatCode>General</c:formatCode>
                <c:ptCount val="4"/>
                <c:pt idx="0">
                  <c:v>127.88</c:v>
                </c:pt>
                <c:pt idx="1">
                  <c:v>96.44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2021年</c:v>
                </c:pt>
                <c:pt idx="1">
                  <c:v>2020年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2021年</c:v>
                </c:pt>
                <c:pt idx="1">
                  <c:v>2020年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03596274"/>
        <c:axId val="355460066"/>
      </c:barChart>
      <c:catAx>
        <c:axId val="3035962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460066"/>
        <c:crosses val="autoZero"/>
        <c:auto val="1"/>
        <c:lblAlgn val="ctr"/>
        <c:lblOffset val="100"/>
        <c:noMultiLvlLbl val="0"/>
      </c:catAx>
      <c:valAx>
        <c:axId val="3554600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35962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strRef>
              <c:f>Sheet1!$A$2:$A$5</c:f>
              <c:strCache>
                <c:ptCount val="4"/>
                <c:pt idx="0">
                  <c:v>2021年</c:v>
                </c:pt>
                <c:pt idx="1">
                  <c:v>2020年</c:v>
                </c:pt>
              </c:strCache>
            </c:strRef>
          </c:cat>
          <c:val>
            <c:numRef>
              <c:f>Sheet1!$B$2:$B$5</c:f>
              <c:numCache>
                <c:formatCode>General</c:formatCode>
                <c:ptCount val="4"/>
                <c:pt idx="0">
                  <c:v>127.88</c:v>
                </c:pt>
                <c:pt idx="1">
                  <c:v>96.44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2021年</c:v>
                </c:pt>
                <c:pt idx="1">
                  <c:v>2020年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2021年</c:v>
                </c:pt>
                <c:pt idx="1">
                  <c:v>2020年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994166224"/>
        <c:axId val="837022041"/>
      </c:barChart>
      <c:catAx>
        <c:axId val="9941662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022041"/>
        <c:crosses val="autoZero"/>
        <c:auto val="1"/>
        <c:lblAlgn val="ctr"/>
        <c:lblOffset val="100"/>
        <c:noMultiLvlLbl val="0"/>
      </c:catAx>
      <c:valAx>
        <c:axId val="8370220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1662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一般公共预算财政拨款支出决算书</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100.35</c:v>
                </c:pt>
                <c:pt idx="1">
                  <c:v>12.6</c:v>
                </c:pt>
                <c:pt idx="2">
                  <c:v>5.96</c:v>
                </c:pt>
                <c:pt idx="3">
                  <c:v>8.97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21</Pages>
  <Words>7058</Words>
  <Characters>7501</Characters>
  <Lines>596</Lines>
  <Paragraphs>286</Paragraphs>
  <TotalTime>12</TotalTime>
  <ScaleCrop>false</ScaleCrop>
  <LinksUpToDate>false</LinksUpToDate>
  <CharactersWithSpaces>7578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2026-06-02T09:26:37Z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D9CF59C4557D42F5B93B9E8294EB96B7</vt:lpwstr>
  </property>
</Properties>
</file>