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纪委</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0"/>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pStyle w:val="3"/>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政建设和反腐败工作。</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pPr>
        <w:widowControl/>
        <w:spacing w:line="600" w:lineRule="exact"/>
        <w:ind w:firstLine="800" w:firstLineChars="250"/>
        <w:jc w:val="left"/>
        <w:rPr>
          <w:rFonts w:hint="eastAsia" w:ascii="仿宋_GB2312" w:hAnsi="宋体" w:eastAsia="仿宋_GB2312" w:cs="宋体"/>
          <w:kern w:val="0"/>
          <w:szCs w:val="32"/>
        </w:rPr>
      </w:pPr>
      <w:r>
        <w:rPr>
          <w:rFonts w:hint="eastAsia" w:ascii="仿宋" w:hAnsi="仿宋" w:eastAsia="仿宋"/>
          <w:bCs/>
          <w:color w:val="000000"/>
          <w:sz w:val="32"/>
          <w:szCs w:val="32"/>
        </w:rPr>
        <w:t>9.完成县委和州纪委监委交办的其他任务。</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widowControl w:val="0"/>
        <w:numPr>
          <w:ilvl w:val="0"/>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960" w:firstLineChars="3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val="0"/>
          <w:bCs w:val="0"/>
          <w:color w:val="auto"/>
          <w:sz w:val="32"/>
          <w:szCs w:val="32"/>
          <w:lang w:val="en-US" w:eastAsia="zh-CN"/>
        </w:rPr>
        <w:t>1.持续巩固学习成效。</w:t>
      </w:r>
      <w:r>
        <w:rPr>
          <w:rFonts w:hint="eastAsia" w:ascii="仿宋" w:hAnsi="仿宋" w:eastAsia="仿宋" w:cs="仿宋"/>
          <w:kern w:val="2"/>
          <w:sz w:val="32"/>
          <w:szCs w:val="32"/>
          <w:lang w:val="en-US" w:eastAsia="zh-CN" w:bidi="ar-SA"/>
        </w:rPr>
        <w:t>深入学习贯彻习近平新时代中国特色社会主义思想，并坚定用以统领一切纪检监察工作。</w:t>
      </w:r>
    </w:p>
    <w:p>
      <w:pPr>
        <w:keepNext w:val="0"/>
        <w:keepLines w:val="0"/>
        <w:pageBreakBefore w:val="0"/>
        <w:widowControl w:val="0"/>
        <w:numPr>
          <w:ilvl w:val="0"/>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960" w:firstLineChars="3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val="0"/>
          <w:bCs w:val="0"/>
          <w:color w:val="auto"/>
          <w:sz w:val="32"/>
          <w:szCs w:val="32"/>
          <w:lang w:val="en-US" w:eastAsia="zh-CN"/>
        </w:rPr>
        <w:t>2.持续推进集中整治。</w:t>
      </w:r>
      <w:r>
        <w:rPr>
          <w:rFonts w:hint="eastAsia" w:ascii="仿宋" w:hAnsi="仿宋" w:eastAsia="仿宋" w:cs="仿宋"/>
          <w:kern w:val="2"/>
          <w:sz w:val="32"/>
          <w:szCs w:val="32"/>
          <w:lang w:val="en-US" w:eastAsia="zh-CN" w:bidi="ar-SA"/>
        </w:rPr>
        <w:t>围绕中央纪委“四个聚焦”、省州“六大领域”、“2+3+1”专项整治和15件群众身边具体实事常态化开展监督检查，深化“有事找纪检·清风满羌寨”专项行动，深入基层一线收集并协调解决群众急难愁盼问题。督促开展“一镇一部门一实事”活动，推动办成一批群众可感可及的实事好事。对中央、省、州督导检查反馈问题，压实工作责任，建立专门台账，实行闭环管理，逐一整改销号，坚持用数据和事例报账。</w:t>
      </w:r>
    </w:p>
    <w:p>
      <w:pPr>
        <w:keepNext w:val="0"/>
        <w:keepLines w:val="0"/>
        <w:pageBreakBefore w:val="0"/>
        <w:widowControl w:val="0"/>
        <w:numPr>
          <w:ilvl w:val="0"/>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960" w:firstLineChars="300"/>
        <w:jc w:val="both"/>
        <w:textAlignment w:val="auto"/>
        <w:outlineLvl w:val="9"/>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b w:val="0"/>
          <w:bCs w:val="0"/>
          <w:color w:val="auto"/>
          <w:sz w:val="32"/>
          <w:szCs w:val="32"/>
          <w:lang w:val="en-US" w:eastAsia="zh-CN"/>
        </w:rPr>
        <w:t>3.持续深化正风肃纪。</w:t>
      </w:r>
      <w:r>
        <w:rPr>
          <w:rFonts w:hint="eastAsia" w:ascii="仿宋" w:hAnsi="仿宋" w:eastAsia="仿宋" w:cs="仿宋"/>
          <w:sz w:val="32"/>
          <w:szCs w:val="32"/>
        </w:rPr>
        <w:t>持续释放越往后执纪越严的强烈信号，对违反中央八项规定精神问题一律严肃处理，对典型</w:t>
      </w:r>
      <w:r>
        <w:rPr>
          <w:rFonts w:hint="eastAsia" w:ascii="仿宋" w:hAnsi="仿宋" w:eastAsia="仿宋" w:cs="仿宋"/>
          <w:sz w:val="32"/>
          <w:szCs w:val="32"/>
          <w:lang w:eastAsia="zh-CN"/>
        </w:rPr>
        <w:t>案例</w:t>
      </w:r>
      <w:r>
        <w:rPr>
          <w:rFonts w:hint="eastAsia" w:ascii="仿宋" w:hAnsi="仿宋" w:eastAsia="仿宋" w:cs="仿宋"/>
          <w:sz w:val="32"/>
          <w:szCs w:val="32"/>
        </w:rPr>
        <w:t>一律公开通报曝光。</w:t>
      </w:r>
    </w:p>
    <w:p>
      <w:pPr>
        <w:keepNext w:val="0"/>
        <w:keepLines w:val="0"/>
        <w:pageBreakBefore w:val="0"/>
        <w:widowControl w:val="0"/>
        <w:numPr>
          <w:ilvl w:val="0"/>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960" w:firstLineChars="300"/>
        <w:jc w:val="both"/>
        <w:textAlignment w:val="auto"/>
        <w:outlineLvl w:val="9"/>
        <w:rPr>
          <w:rFonts w:hint="eastAsia" w:ascii="黑体" w:hAnsi="黑体" w:eastAsia="黑体"/>
          <w:sz w:val="32"/>
          <w:szCs w:val="32"/>
        </w:rPr>
      </w:pPr>
      <w:r>
        <w:rPr>
          <w:rFonts w:hint="eastAsia" w:ascii="仿宋" w:hAnsi="仿宋" w:eastAsia="仿宋" w:cs="仿宋"/>
          <w:b w:val="0"/>
          <w:bCs w:val="0"/>
          <w:color w:val="auto"/>
          <w:sz w:val="32"/>
          <w:szCs w:val="32"/>
          <w:lang w:val="en-US" w:eastAsia="zh-CN"/>
        </w:rPr>
        <w:t>4.持续强化自身建设。</w:t>
      </w:r>
      <w:r>
        <w:rPr>
          <w:rFonts w:hint="eastAsia" w:ascii="仿宋" w:hAnsi="仿宋" w:eastAsia="仿宋" w:cs="仿宋"/>
          <w:i w:val="0"/>
          <w:iCs w:val="0"/>
          <w:caps w:val="0"/>
          <w:color w:val="auto"/>
          <w:spacing w:val="0"/>
          <w:kern w:val="0"/>
          <w:sz w:val="32"/>
          <w:szCs w:val="32"/>
          <w:lang w:val="en-US" w:eastAsia="zh-CN" w:bidi="ar"/>
        </w:rPr>
        <w:t>扎实开展党纪学习教育，引导党员干部学纪、知纪、明纪、守纪。严密内控机制，全面排查风险点和薄弱环节，对执纪违纪、执法违法现象“零容忍”。</w:t>
      </w:r>
      <w:r>
        <w:rPr>
          <w:rFonts w:hint="eastAsia" w:ascii="黑体" w:hAnsi="黑体" w:eastAsia="黑体" w:cs="黑体"/>
          <w:i w:val="0"/>
          <w:iCs w:val="0"/>
          <w:caps w:val="0"/>
          <w:color w:val="auto"/>
          <w:spacing w:val="0"/>
          <w:kern w:val="0"/>
          <w:sz w:val="32"/>
          <w:szCs w:val="32"/>
          <w:lang w:eastAsia="zh-CN" w:bidi="ar"/>
        </w:rPr>
        <w:t>二、</w:t>
      </w:r>
      <w:r>
        <w:rPr>
          <w:rFonts w:hint="eastAsia" w:ascii="黑体" w:hAnsi="黑体" w:eastAsia="黑体"/>
          <w:sz w:val="32"/>
          <w:szCs w:val="32"/>
        </w:rPr>
        <w:t>部门预算单位构成</w:t>
      </w:r>
    </w:p>
    <w:p>
      <w:pPr>
        <w:keepNext w:val="0"/>
        <w:keepLines w:val="0"/>
        <w:pageBreakBefore w:val="0"/>
        <w:widowControl w:val="0"/>
        <w:numPr>
          <w:ilvl w:val="0"/>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640" w:firstLineChars="200"/>
        <w:jc w:val="both"/>
        <w:textAlignment w:val="auto"/>
        <w:outlineLvl w:val="9"/>
        <w:rPr>
          <w:rFonts w:hint="eastAsia" w:ascii="黑体" w:hAnsi="黑体" w:eastAsia="黑体"/>
          <w:sz w:val="32"/>
          <w:szCs w:val="32"/>
        </w:rPr>
      </w:pPr>
      <w:r>
        <w:rPr>
          <w:rFonts w:hint="eastAsia" w:ascii="仿宋_GB2312" w:eastAsia="仿宋_GB2312"/>
          <w:sz w:val="32"/>
          <w:szCs w:val="32"/>
          <w:lang w:eastAsia="zh-CN"/>
        </w:rPr>
        <w:t>茂县纪委</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黑体" w:hAnsi="黑体" w:eastAsia="黑体"/>
          <w:sz w:val="32"/>
          <w:szCs w:val="32"/>
        </w:rPr>
        <w:t>三、收支预算情况说明</w:t>
      </w:r>
    </w:p>
    <w:p>
      <w:pPr>
        <w:keepNext w:val="0"/>
        <w:keepLines w:val="0"/>
        <w:pageBreakBefore w:val="0"/>
        <w:widowControl w:val="0"/>
        <w:numPr>
          <w:ilvl w:val="0"/>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640" w:firstLineChars="200"/>
        <w:jc w:val="both"/>
        <w:textAlignment w:val="auto"/>
        <w:outlineLvl w:val="9"/>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茂县纪委</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 xml:space="preserve"> 15502588.98</w:t>
      </w:r>
      <w:r>
        <w:rPr>
          <w:rFonts w:ascii="仿宋_GB2312" w:eastAsia="仿宋_GB2312"/>
          <w:sz w:val="32"/>
          <w:szCs w:val="32"/>
        </w:rPr>
        <w:t>元；支出包括：一般公共服务支出</w:t>
      </w:r>
      <w:r>
        <w:rPr>
          <w:rFonts w:hint="eastAsia" w:ascii="仿宋_GB2312" w:eastAsia="仿宋_GB2312"/>
          <w:sz w:val="32"/>
          <w:szCs w:val="32"/>
        </w:rPr>
        <w:t xml:space="preserve">11777495.11 </w:t>
      </w:r>
      <w:r>
        <w:rPr>
          <w:rFonts w:ascii="仿宋_GB2312" w:eastAsia="仿宋_GB2312"/>
          <w:sz w:val="32"/>
          <w:szCs w:val="32"/>
        </w:rPr>
        <w:t>元，社会保障和就业支出</w:t>
      </w:r>
      <w:r>
        <w:rPr>
          <w:rFonts w:hint="eastAsia" w:ascii="仿宋_GB2312" w:eastAsia="仿宋_GB2312"/>
          <w:sz w:val="32"/>
          <w:szCs w:val="32"/>
        </w:rPr>
        <w:t>1641986.76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818955.11</w:t>
      </w:r>
      <w:r>
        <w:rPr>
          <w:rFonts w:ascii="仿宋_GB2312" w:eastAsia="仿宋_GB2312"/>
          <w:sz w:val="32"/>
          <w:szCs w:val="32"/>
        </w:rPr>
        <w:t>元，住房保障支出</w:t>
      </w:r>
      <w:r>
        <w:rPr>
          <w:rFonts w:hint="eastAsia" w:ascii="仿宋_GB2312" w:eastAsia="仿宋_GB2312"/>
          <w:sz w:val="32"/>
          <w:szCs w:val="32"/>
        </w:rPr>
        <w:t>1264152</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val="en-US" w:eastAsia="zh-CN"/>
        </w:rPr>
        <w:t>茂县纪委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rPr>
        <w:t>15502588.98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1412007.54</w:t>
      </w:r>
      <w:r>
        <w:rPr>
          <w:rFonts w:ascii="仿宋_GB2312" w:eastAsia="仿宋_GB2312"/>
          <w:sz w:val="32"/>
          <w:szCs w:val="32"/>
        </w:rPr>
        <w:t>元，主要原因</w:t>
      </w:r>
      <w:r>
        <w:rPr>
          <w:rFonts w:hint="eastAsia" w:ascii="仿宋_GB2312" w:eastAsia="仿宋_GB2312"/>
          <w:sz w:val="32"/>
          <w:szCs w:val="32"/>
          <w:lang w:eastAsia="zh-CN"/>
        </w:rPr>
        <w:t>是：人员工资及保险变动。</w:t>
      </w:r>
    </w:p>
    <w:p>
      <w:pPr>
        <w:keepNext w:val="0"/>
        <w:keepLines w:val="0"/>
        <w:pageBreakBefore w:val="0"/>
        <w:widowControl w:val="0"/>
        <w:numPr>
          <w:ilvl w:val="0"/>
          <w:numId w:val="1"/>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642" w:firstLineChars="200"/>
        <w:jc w:val="both"/>
        <w:textAlignment w:val="auto"/>
        <w:outlineLvl w:val="9"/>
        <w:rPr>
          <w:rFonts w:hint="eastAsia" w:ascii="楷体_GB2312" w:hAnsi="楷体" w:eastAsia="楷体_GB2312"/>
          <w:b/>
          <w:sz w:val="32"/>
          <w:szCs w:val="32"/>
        </w:rPr>
      </w:pPr>
      <w:r>
        <w:rPr>
          <w:rFonts w:hint="eastAsia" w:ascii="楷体_GB2312" w:hAnsi="楷体" w:eastAsia="楷体_GB2312"/>
          <w:b/>
          <w:sz w:val="32"/>
          <w:szCs w:val="32"/>
        </w:rPr>
        <w:t>收入预算情况</w:t>
      </w:r>
    </w:p>
    <w:p>
      <w:pPr>
        <w:keepNext w:val="0"/>
        <w:keepLines w:val="0"/>
        <w:pageBreakBefore w:val="0"/>
        <w:widowControl w:val="0"/>
        <w:numPr>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15502588.98</w:t>
      </w:r>
      <w:r>
        <w:rPr>
          <w:rFonts w:ascii="仿宋_GB2312" w:eastAsia="仿宋_GB2312"/>
          <w:sz w:val="32"/>
          <w:szCs w:val="32"/>
        </w:rPr>
        <w:t>元；一般公共预算拨款收入</w:t>
      </w:r>
      <w:r>
        <w:rPr>
          <w:rFonts w:hint="eastAsia" w:ascii="仿宋_GB2312" w:eastAsia="仿宋_GB2312"/>
          <w:sz w:val="32"/>
          <w:szCs w:val="32"/>
        </w:rPr>
        <w:t>15502588.98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numPr>
          <w:ilvl w:val="0"/>
          <w:numId w:val="1"/>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left="0" w:leftChars="0" w:right="0" w:rightChars="0" w:firstLine="642" w:firstLineChars="200"/>
        <w:jc w:val="both"/>
        <w:textAlignment w:val="auto"/>
        <w:outlineLvl w:val="9"/>
        <w:rPr>
          <w:rFonts w:hint="eastAsia" w:ascii="楷体_GB2312" w:hAnsi="楷体" w:eastAsia="楷体_GB2312" w:cs="仿宋_GB2312"/>
          <w:b/>
          <w:sz w:val="32"/>
          <w:szCs w:val="32"/>
        </w:rPr>
      </w:pPr>
      <w:r>
        <w:rPr>
          <w:rFonts w:hint="eastAsia" w:ascii="楷体_GB2312" w:hAnsi="楷体" w:eastAsia="楷体_GB2312" w:cs="仿宋_GB2312"/>
          <w:b/>
          <w:sz w:val="32"/>
          <w:szCs w:val="32"/>
        </w:rPr>
        <w:t>支出预算情况</w:t>
      </w:r>
    </w:p>
    <w:p>
      <w:pPr>
        <w:keepNext w:val="0"/>
        <w:keepLines w:val="0"/>
        <w:pageBreakBefore w:val="0"/>
        <w:widowControl w:val="0"/>
        <w:numPr>
          <w:numId w:val="0"/>
        </w:numPr>
        <w:suppressLineNumbers w:val="0"/>
        <w:pBdr>
          <w:top w:val="none" w:color="auto" w:sz="0" w:space="0"/>
          <w:left w:val="none" w:color="auto" w:sz="0" w:space="0"/>
          <w:bottom w:val="single" w:color="FFFFFF" w:sz="4" w:space="28"/>
          <w:right w:val="none" w:color="auto" w:sz="0" w:space="0"/>
        </w:pBdr>
        <w:suppressAutoHyphens/>
        <w:kinsoku/>
        <w:wordWrap/>
        <w:overflowPunct/>
        <w:topLinePunct w:val="0"/>
        <w:autoSpaceDE/>
        <w:autoSpaceDN w:val="0"/>
        <w:bidi w:val="0"/>
        <w:adjustRightInd/>
        <w:snapToGrid w:val="0"/>
        <w:spacing w:before="0" w:after="0" w:line="576" w:lineRule="exact"/>
        <w:ind w:right="0" w:rightChars="0" w:firstLine="640" w:firstLineChars="200"/>
        <w:jc w:val="both"/>
        <w:textAlignment w:val="auto"/>
        <w:outlineLvl w:val="9"/>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15502588.98</w:t>
      </w:r>
      <w:r>
        <w:rPr>
          <w:rFonts w:ascii="仿宋_GB2312" w:eastAsia="仿宋_GB2312"/>
          <w:sz w:val="32"/>
          <w:szCs w:val="32"/>
        </w:rPr>
        <w:t>元，其中：基本支出</w:t>
      </w:r>
      <w:r>
        <w:rPr>
          <w:rFonts w:hint="eastAsia" w:ascii="仿宋_GB2312" w:eastAsia="仿宋_GB2312"/>
          <w:sz w:val="32"/>
          <w:szCs w:val="32"/>
        </w:rPr>
        <w:t>15502588.98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640" w:firstLineChars="200"/>
        <w:rPr>
          <w:rFonts w:hint="eastAsia" w:ascii="黑体" w:hAnsi="黑体" w:eastAsia="黑体"/>
          <w:sz w:val="32"/>
          <w:szCs w:val="32"/>
        </w:rPr>
      </w:pPr>
      <w:r>
        <w:rPr>
          <w:rFonts w:ascii="黑体" w:eastAsia="黑体"/>
          <w:b w:val="0"/>
          <w:bCs/>
          <w:sz w:val="32"/>
          <w:szCs w:val="32"/>
        </w:rPr>
        <w:t>四、</w:t>
      </w: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15502588.98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1412007.54</w:t>
      </w:r>
      <w:r>
        <w:rPr>
          <w:rFonts w:ascii="仿宋_GB2312" w:eastAsia="仿宋_GB2312"/>
          <w:sz w:val="32"/>
          <w:szCs w:val="32"/>
        </w:rPr>
        <w:t>元，主要原因</w:t>
      </w:r>
      <w:r>
        <w:rPr>
          <w:rFonts w:hint="eastAsia" w:ascii="仿宋_GB2312" w:eastAsia="仿宋_GB2312"/>
          <w:sz w:val="32"/>
          <w:szCs w:val="32"/>
          <w:lang w:eastAsia="zh-CN"/>
        </w:rPr>
        <w:t>是：人员工资及保险变动。</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15502588.98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 xml:space="preserve">11777495.11 </w:t>
      </w:r>
      <w:r>
        <w:rPr>
          <w:rFonts w:ascii="仿宋_GB2312" w:eastAsia="仿宋_GB2312"/>
          <w:sz w:val="32"/>
          <w:szCs w:val="32"/>
        </w:rPr>
        <w:t>元，社会保障和就业支出</w:t>
      </w:r>
      <w:r>
        <w:rPr>
          <w:rFonts w:hint="eastAsia" w:ascii="仿宋_GB2312" w:eastAsia="仿宋_GB2312"/>
          <w:sz w:val="32"/>
          <w:szCs w:val="32"/>
        </w:rPr>
        <w:t>1641986.76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818955.11</w:t>
      </w:r>
      <w:r>
        <w:rPr>
          <w:rFonts w:ascii="仿宋_GB2312" w:eastAsia="仿宋_GB2312"/>
          <w:sz w:val="32"/>
          <w:szCs w:val="32"/>
        </w:rPr>
        <w:t>元，住房保障支出</w:t>
      </w:r>
      <w:r>
        <w:rPr>
          <w:rFonts w:hint="eastAsia" w:ascii="仿宋_GB2312" w:eastAsia="仿宋_GB2312"/>
          <w:sz w:val="32"/>
          <w:szCs w:val="32"/>
        </w:rPr>
        <w:t>1264152</w:t>
      </w:r>
      <w:r>
        <w:rPr>
          <w:rFonts w:hint="eastAsia"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11"/>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15502588.98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1412007.54</w:t>
      </w:r>
      <w:r>
        <w:rPr>
          <w:rFonts w:ascii="仿宋_GB2312" w:eastAsia="仿宋_GB2312"/>
          <w:sz w:val="32"/>
          <w:szCs w:val="32"/>
        </w:rPr>
        <w:t>元，主要原因</w:t>
      </w:r>
      <w:r>
        <w:rPr>
          <w:rFonts w:hint="eastAsia" w:ascii="仿宋_GB2312" w:eastAsia="仿宋_GB2312"/>
          <w:sz w:val="32"/>
          <w:szCs w:val="32"/>
          <w:lang w:eastAsia="zh-CN"/>
        </w:rPr>
        <w:t>：人员工资及保险变动。</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11777495.11</w:t>
      </w:r>
      <w:r>
        <w:rPr>
          <w:rFonts w:ascii="仿宋_GB2312" w:eastAsia="仿宋_GB2312"/>
          <w:sz w:val="32"/>
          <w:szCs w:val="32"/>
        </w:rPr>
        <w:t>元，占</w:t>
      </w:r>
      <w:r>
        <w:rPr>
          <w:rFonts w:hint="eastAsia" w:ascii="仿宋_GB2312" w:eastAsia="仿宋_GB2312"/>
          <w:sz w:val="32"/>
          <w:szCs w:val="32"/>
          <w:lang w:val="en-US" w:eastAsia="zh-CN"/>
        </w:rPr>
        <w:t>76</w:t>
      </w:r>
      <w:r>
        <w:rPr>
          <w:rFonts w:ascii="仿宋_GB2312" w:eastAsia="仿宋_GB2312"/>
          <w:sz w:val="32"/>
          <w:szCs w:val="32"/>
        </w:rPr>
        <w:t>%；社会保障和就业支出</w:t>
      </w:r>
      <w:r>
        <w:rPr>
          <w:rFonts w:hint="eastAsia" w:ascii="仿宋_GB2312" w:eastAsia="仿宋_GB2312"/>
          <w:sz w:val="32"/>
          <w:szCs w:val="32"/>
        </w:rPr>
        <w:t>1641986.76</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818955.11</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rPr>
        <w:t>1264152</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pPr>
        <w:pStyle w:val="11"/>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纪检监察事务</w:t>
      </w:r>
      <w:r>
        <w:rPr>
          <w:rFonts w:ascii="仿宋_GB2312" w:eastAsia="仿宋_GB2312"/>
          <w:sz w:val="32"/>
          <w:szCs w:val="32"/>
        </w:rPr>
        <w:t>（款）行政运行（项）20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10236715.47</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纪检监察事务</w:t>
      </w:r>
      <w:r>
        <w:rPr>
          <w:rFonts w:ascii="仿宋_GB2312" w:eastAsia="仿宋_GB2312"/>
          <w:sz w:val="32"/>
          <w:szCs w:val="32"/>
        </w:rPr>
        <w:t>（款）</w:t>
      </w:r>
      <w:r>
        <w:rPr>
          <w:rFonts w:hint="eastAsia" w:ascii="仿宋_GB2312" w:eastAsia="仿宋_GB2312"/>
          <w:sz w:val="32"/>
          <w:szCs w:val="32"/>
          <w:lang w:eastAsia="zh-CN"/>
        </w:rPr>
        <w:t>事业运行</w:t>
      </w:r>
      <w:r>
        <w:rPr>
          <w:rFonts w:ascii="仿宋_GB2312" w:eastAsia="仿宋_GB2312"/>
          <w:sz w:val="32"/>
          <w:szCs w:val="32"/>
        </w:rPr>
        <w:t>（项）</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1540779.64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1094657.87</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547328.89</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713252.10</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105703.01</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1264152.00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15502588.98元，其中：人员经费13418965.18元，主要包括：基本工资、津贴补贴、奖金、其他社会保障缴费、绩效工资、机关事业单位基本养老保险缴费、职业年金缴费、奖励金、住房公积金。</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公用经费2083623.8元，主要包括：办公费、邮电费、差旅费、维修（护）费、</w:t>
      </w:r>
      <w:r>
        <w:rPr>
          <w:rFonts w:hint="eastAsia" w:cs="仿宋_GB2312"/>
          <w:kern w:val="2"/>
          <w:sz w:val="32"/>
          <w:szCs w:val="32"/>
          <w:lang w:val="en-US" w:eastAsia="zh-CN"/>
        </w:rPr>
        <w:t>公务接待费、  福利费、  公务用车运行维护费、  其他商品和服务支出</w:t>
      </w:r>
      <w:r>
        <w:rPr>
          <w:rFonts w:hint="eastAsia" w:cs="仿宋_GB2312"/>
          <w:kern w:val="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420000.00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20000.00</w:t>
      </w:r>
      <w:r>
        <w:rPr>
          <w:rFonts w:hint="eastAsia" w:cs="仿宋_GB2312"/>
          <w:kern w:val="2"/>
          <w:sz w:val="32"/>
          <w:szCs w:val="32"/>
          <w:highlight w:val="none"/>
        </w:rPr>
        <w:t>元，</w:t>
      </w:r>
      <w:r>
        <w:rPr>
          <w:rFonts w:hint="eastAsia" w:cs="仿宋_GB2312"/>
          <w:kern w:val="2"/>
          <w:sz w:val="32"/>
          <w:szCs w:val="32"/>
          <w:lang w:val="en-US" w:eastAsia="zh-CN"/>
        </w:rPr>
        <w:t>公务用车购置费0元、公务用车运行维护费400000.00元</w:t>
      </w:r>
      <w:r>
        <w:rPr>
          <w:rFonts w:hint="eastAsia" w:cs="仿宋_GB2312"/>
          <w:kern w:val="2"/>
          <w:sz w:val="32"/>
          <w:szCs w:val="32"/>
          <w:highlight w:val="none"/>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11"/>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13725.00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41</w:t>
      </w:r>
      <w:r>
        <w:rPr>
          <w:rFonts w:hint="eastAsia" w:cs="仿宋_GB2312"/>
          <w:color w:val="000000"/>
          <w:kern w:val="2"/>
          <w:sz w:val="32"/>
          <w:szCs w:val="32"/>
        </w:rPr>
        <w:t>%，</w:t>
      </w:r>
      <w:r>
        <w:rPr>
          <w:sz w:val="32"/>
          <w:szCs w:val="32"/>
        </w:rPr>
        <w:t>主要原因是：</w:t>
      </w:r>
      <w:r>
        <w:rPr>
          <w:rFonts w:hint="eastAsia"/>
          <w:sz w:val="32"/>
          <w:szCs w:val="32"/>
          <w:lang w:eastAsia="zh-CN"/>
        </w:rPr>
        <w:t>厉</w:t>
      </w:r>
      <w:r>
        <w:rPr>
          <w:rFonts w:hint="eastAsia" w:cs="仿宋_GB2312"/>
          <w:color w:val="000000"/>
          <w:kern w:val="2"/>
          <w:sz w:val="32"/>
          <w:szCs w:val="32"/>
          <w:lang w:eastAsia="zh-CN"/>
        </w:rPr>
        <w:t>行节约，节俭开支。</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default" w:hAnsi="ˎ̥" w:cs="宋体"/>
          <w:sz w:val="32"/>
          <w:szCs w:val="32"/>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default" w:hAnsi="ˎ̥" w:cs="宋体"/>
          <w:sz w:val="32"/>
          <w:szCs w:val="32"/>
        </w:rPr>
        <w:t>持平。</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default" w:hAnsi="ˎ̥" w:cs="宋体"/>
          <w:sz w:val="32"/>
          <w:szCs w:val="32"/>
        </w:rPr>
        <w:t>持平。</w:t>
      </w:r>
      <w:bookmarkStart w:id="0" w:name="_GoBack"/>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1"/>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1"/>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1769317.6</w:t>
      </w:r>
      <w:r>
        <w:rPr>
          <w:rFonts w:hint="eastAsia"/>
          <w:sz w:val="32"/>
          <w:szCs w:val="32"/>
          <w:lang w:val="en-US" w:eastAsia="zh-CN"/>
        </w:rPr>
        <w:t>0</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139157.60</w:t>
      </w:r>
      <w:r>
        <w:rPr>
          <w:rFonts w:ascii="仿宋_GB2312" w:eastAsia="仿宋_GB2312"/>
          <w:sz w:val="32"/>
          <w:szCs w:val="32"/>
        </w:rPr>
        <w:t>元，增长</w:t>
      </w:r>
      <w:r>
        <w:rPr>
          <w:rFonts w:hint="eastAsia"/>
          <w:sz w:val="32"/>
          <w:szCs w:val="32"/>
          <w:lang w:val="en-US" w:eastAsia="zh-CN"/>
        </w:rPr>
        <w:t>9</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val="en-US" w:eastAsia="zh-CN"/>
        </w:rPr>
        <w:t>工作变动支出增加。</w:t>
      </w:r>
    </w:p>
    <w:p>
      <w:pPr>
        <w:pStyle w:val="11"/>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9475848.02</w:t>
      </w:r>
      <w:r>
        <w:rPr>
          <w:rFonts w:ascii="仿宋_GB2312" w:eastAsia="仿宋_GB2312"/>
          <w:sz w:val="32"/>
          <w:szCs w:val="32"/>
        </w:rPr>
        <w:t>元，其中：房屋</w:t>
      </w:r>
      <w:r>
        <w:rPr>
          <w:rFonts w:hint="eastAsia" w:ascii="仿宋_GB2312" w:eastAsia="仿宋_GB2312"/>
          <w:sz w:val="32"/>
          <w:szCs w:val="32"/>
          <w:lang w:val="en-US" w:eastAsia="zh-CN"/>
        </w:rPr>
        <w:t>2200</w:t>
      </w:r>
      <w:r>
        <w:rPr>
          <w:rFonts w:ascii="仿宋_GB2312" w:eastAsia="仿宋_GB2312"/>
          <w:sz w:val="32"/>
          <w:szCs w:val="32"/>
        </w:rPr>
        <w:t>平方米，价值</w:t>
      </w:r>
      <w:r>
        <w:rPr>
          <w:rFonts w:hint="eastAsia" w:ascii="仿宋_GB2312" w:eastAsia="仿宋_GB2312"/>
          <w:sz w:val="32"/>
          <w:szCs w:val="32"/>
          <w:lang w:val="en-US" w:eastAsia="zh-CN"/>
        </w:rPr>
        <w:t>4841626.29</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1574125.15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3060096.58</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1"/>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附件：茂县纪委2025年部门预算公开表</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中共茂县纪律检查委员会</w:t>
      </w:r>
    </w:p>
    <w:p>
      <w:pPr>
        <w:jc w:val="center"/>
        <w:rPr>
          <w:rFonts w:hint="default"/>
          <w:lang w:val="en-US" w:eastAsia="zh-CN"/>
        </w:rPr>
      </w:pPr>
      <w:r>
        <w:rPr>
          <w:rFonts w:hint="eastAsia" w:ascii="仿宋_GB2312" w:hAnsi="仿宋_GB2312" w:eastAsia="仿宋_GB2312" w:cs="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521A"/>
    <w:multiLevelType w:val="singleLevel"/>
    <w:tmpl w:val="9A2E52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B343E6C"/>
    <w:rsid w:val="10CF3F4C"/>
    <w:rsid w:val="13197D31"/>
    <w:rsid w:val="164003A4"/>
    <w:rsid w:val="16C5583A"/>
    <w:rsid w:val="177904B8"/>
    <w:rsid w:val="1B0406D7"/>
    <w:rsid w:val="1B9D4375"/>
    <w:rsid w:val="20361CB8"/>
    <w:rsid w:val="24F37944"/>
    <w:rsid w:val="29566940"/>
    <w:rsid w:val="2E720BB1"/>
    <w:rsid w:val="2ED27873"/>
    <w:rsid w:val="32783221"/>
    <w:rsid w:val="32BF7DF5"/>
    <w:rsid w:val="33D17B1D"/>
    <w:rsid w:val="368249CD"/>
    <w:rsid w:val="37885A5B"/>
    <w:rsid w:val="3B9C7F12"/>
    <w:rsid w:val="3BDE3CD5"/>
    <w:rsid w:val="3C4FCD34"/>
    <w:rsid w:val="3D7C7325"/>
    <w:rsid w:val="3DBF7107"/>
    <w:rsid w:val="3DE11DF4"/>
    <w:rsid w:val="3EA20231"/>
    <w:rsid w:val="45682DFA"/>
    <w:rsid w:val="48EB0A3F"/>
    <w:rsid w:val="4CA961D2"/>
    <w:rsid w:val="51F16034"/>
    <w:rsid w:val="52067C23"/>
    <w:rsid w:val="560F497F"/>
    <w:rsid w:val="564505F2"/>
    <w:rsid w:val="5E892804"/>
    <w:rsid w:val="61693C9D"/>
    <w:rsid w:val="63650DBE"/>
    <w:rsid w:val="64CC0F4B"/>
    <w:rsid w:val="67E96994"/>
    <w:rsid w:val="6F094B4B"/>
    <w:rsid w:val="70813E20"/>
    <w:rsid w:val="72D71001"/>
    <w:rsid w:val="7436465A"/>
    <w:rsid w:val="77E10A4D"/>
    <w:rsid w:val="7AE4629A"/>
    <w:rsid w:val="7E7D271C"/>
    <w:rsid w:val="7EE32C29"/>
    <w:rsid w:val="9DFF0322"/>
    <w:rsid w:val="A77F4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adjustRightInd/>
      <w:snapToGrid/>
      <w:ind w:left="400" w:leftChars="200" w:hanging="200" w:hangingChars="200"/>
    </w:pPr>
    <w:rPr>
      <w:rFonts w:ascii="Times New Roman" w:hAnsi="Times New Roman"/>
      <w:kern w:val="2"/>
      <w:sz w:val="21"/>
      <w:szCs w:val="24"/>
    </w:rPr>
  </w:style>
  <w:style w:type="paragraph" w:styleId="3">
    <w:name w:val="Body Text"/>
    <w:basedOn w:val="1"/>
    <w:qFormat/>
    <w:uiPriority w:val="0"/>
    <w:pPr>
      <w:spacing w:before="30" w:beforeLines="30"/>
    </w:pPr>
    <w:rPr>
      <w:rFonts w:ascii="仿宋_GB2312" w:eastAsia="仿宋_GB2312"/>
      <w:kern w:val="0"/>
      <w:sz w:val="24"/>
      <w:szCs w:val="20"/>
    </w:rPr>
  </w:style>
  <w:style w:type="paragraph" w:styleId="4">
    <w:name w:val="Body Text Indent"/>
    <w:basedOn w:val="1"/>
    <w:next w:val="5"/>
    <w:qFormat/>
    <w:uiPriority w:val="0"/>
    <w:pPr>
      <w:spacing w:line="500" w:lineRule="exact"/>
      <w:ind w:firstLine="240" w:firstLineChars="240"/>
    </w:pPr>
    <w:rPr>
      <w:rFonts w:ascii="仿宋_GB2312" w:hAnsi="仿宋_GB2312"/>
      <w:b/>
      <w:sz w:val="30"/>
      <w:szCs w:val="24"/>
    </w:rPr>
  </w:style>
  <w:style w:type="paragraph" w:styleId="5">
    <w:name w:val="Body Text First Indent 2"/>
    <w:basedOn w:val="4"/>
    <w:next w:val="1"/>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237</Words>
  <Characters>243</Characters>
  <Lines>23</Lines>
  <Paragraphs>6</Paragraphs>
  <TotalTime>6</TotalTime>
  <ScaleCrop>false</ScaleCrop>
  <LinksUpToDate>false</LinksUpToDate>
  <CharactersWithSpaces>243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2025-03-24T16:12:10Z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eyJoZGlkIjoiNDk5ZTg3MTVjNGVhNGRjM2E0MmI5NTAyMjZiOTZiZWYifQ==</vt:lpwstr>
  </property>
  <property fmtid="{D5CDD505-2E9C-101B-9397-08002B2CF9AE}" pid="4" name="ICV">
    <vt:lpwstr>4CD80E3993C0422FB0344F137540C8BD_12</vt:lpwstr>
  </property>
</Properties>
</file>