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heme="minorEastAsia" w:hAnsiTheme="minorEastAsia" w:eastAsiaTheme="minorEastAsia"/>
          <w:b/>
          <w:sz w:val="72"/>
          <w:szCs w:val="72"/>
        </w:rPr>
      </w:pPr>
      <w:bookmarkStart w:id="0" w:name="_Toc15396475"/>
      <w:bookmarkStart w:id="1" w:name="_Toc15396597"/>
      <w:bookmarkStart w:id="2" w:name="_Toc15377425"/>
      <w:bookmarkStart w:id="3" w:name="_Toc15378441"/>
      <w:bookmarkStart w:id="4" w:name="_Toc15377193"/>
      <w:bookmarkStart w:id="5" w:name="_Toc15306267"/>
    </w:p>
    <w:p>
      <w:pPr>
        <w:pStyle w:val="7"/>
        <w:ind w:firstLine="0"/>
      </w:pPr>
    </w:p>
    <w:p>
      <w:pPr>
        <w:jc w:val="center"/>
        <w:rPr>
          <w:rFonts w:asciiTheme="minorEastAsia" w:hAnsiTheme="minorEastAsia" w:eastAsiaTheme="minorEastAsia"/>
          <w:b/>
          <w:sz w:val="72"/>
          <w:szCs w:val="72"/>
        </w:rPr>
      </w:pPr>
      <w:r>
        <w:rPr>
          <w:rFonts w:hint="eastAsia" w:asciiTheme="minorEastAsia" w:hAnsiTheme="minorEastAsia" w:eastAsiaTheme="minorEastAsia"/>
          <w:b/>
          <w:sz w:val="72"/>
          <w:szCs w:val="72"/>
        </w:rPr>
        <w:t>2021年度</w:t>
      </w:r>
      <w:bookmarkEnd w:id="0"/>
      <w:bookmarkEnd w:id="1"/>
      <w:bookmarkEnd w:id="2"/>
      <w:bookmarkEnd w:id="3"/>
      <w:bookmarkEnd w:id="4"/>
    </w:p>
    <w:bookmarkEnd w:id="5"/>
    <w:p>
      <w:pPr>
        <w:jc w:val="center"/>
        <w:rPr>
          <w:rFonts w:asciiTheme="minorEastAsia" w:hAnsiTheme="minorEastAsia" w:eastAsiaTheme="minorEastAsia"/>
          <w:b/>
          <w:sz w:val="72"/>
          <w:szCs w:val="72"/>
        </w:rPr>
      </w:pPr>
      <w:bookmarkStart w:id="6" w:name="_Toc15306268"/>
      <w:bookmarkStart w:id="7" w:name="_Toc15377426"/>
      <w:bookmarkStart w:id="8" w:name="_Toc15396476"/>
      <w:bookmarkStart w:id="9" w:name="_Toc15396598"/>
      <w:bookmarkStart w:id="10" w:name="_Toc15378442"/>
      <w:bookmarkStart w:id="11" w:name="_Toc15377194"/>
      <w:r>
        <w:rPr>
          <w:rFonts w:asciiTheme="minorEastAsia" w:hAnsiTheme="minorEastAsia" w:eastAsiaTheme="minorEastAsia"/>
          <w:b/>
          <w:sz w:val="72"/>
          <w:szCs w:val="72"/>
        </w:rPr>
        <w:t>阿坝州茂县委员会政法委委员会</w:t>
      </w:r>
      <w:r>
        <w:rPr>
          <w:rFonts w:hint="eastAsia" w:asciiTheme="minorEastAsia" w:hAnsiTheme="minorEastAsia" w:eastAsiaTheme="minorEastAsia"/>
          <w:b/>
          <w:sz w:val="72"/>
          <w:szCs w:val="72"/>
        </w:rPr>
        <w:t>部门决算</w:t>
      </w:r>
      <w:bookmarkEnd w:id="6"/>
      <w:bookmarkEnd w:id="7"/>
      <w:bookmarkEnd w:id="8"/>
      <w:bookmarkEnd w:id="9"/>
      <w:bookmarkEnd w:id="10"/>
      <w:bookmarkEnd w:id="11"/>
      <w:r>
        <w:rPr>
          <w:rFonts w:hint="eastAsia" w:asciiTheme="minorEastAsia" w:hAnsiTheme="minorEastAsia" w:eastAsiaTheme="minorEastAsia"/>
          <w:b/>
          <w:sz w:val="72"/>
          <w:szCs w:val="72"/>
        </w:rPr>
        <w:t>编制说明</w:t>
      </w:r>
    </w:p>
    <w:p>
      <w:pPr>
        <w:pStyle w:val="7"/>
      </w:pPr>
    </w:p>
    <w:p>
      <w:pPr>
        <w:pStyle w:val="7"/>
      </w:pPr>
    </w:p>
    <w:p>
      <w:pPr>
        <w:pStyle w:val="7"/>
      </w:pPr>
    </w:p>
    <w:p>
      <w:pPr>
        <w:pStyle w:val="7"/>
      </w:pPr>
    </w:p>
    <w:p>
      <w:pPr>
        <w:pStyle w:val="7"/>
      </w:pPr>
    </w:p>
    <w:p>
      <w:pPr>
        <w:pStyle w:val="7"/>
      </w:pPr>
    </w:p>
    <w:p>
      <w:pPr>
        <w:pStyle w:val="7"/>
      </w:pPr>
    </w:p>
    <w:p>
      <w:pPr>
        <w:pStyle w:val="7"/>
      </w:pPr>
    </w:p>
    <w:p>
      <w:pPr>
        <w:pStyle w:val="7"/>
      </w:pPr>
    </w:p>
    <w:p>
      <w:pPr>
        <w:pStyle w:val="7"/>
        <w:tabs>
          <w:tab w:val="left" w:pos="3600"/>
        </w:tabs>
      </w:pPr>
      <w:r>
        <w:tab/>
      </w:r>
    </w:p>
    <w:p>
      <w:pPr>
        <w:pStyle w:val="7"/>
      </w:pPr>
    </w:p>
    <w:p>
      <w:pPr>
        <w:pStyle w:val="7"/>
      </w:pPr>
    </w:p>
    <w:p>
      <w:pPr>
        <w:pStyle w:val="7"/>
      </w:pPr>
    </w:p>
    <w:p>
      <w:pPr>
        <w:pStyle w:val="7"/>
      </w:pPr>
    </w:p>
    <w:p>
      <w:pPr>
        <w:pStyle w:val="7"/>
      </w:pPr>
    </w:p>
    <w:p>
      <w:pPr>
        <w:pStyle w:val="7"/>
      </w:pPr>
    </w:p>
    <w:p>
      <w:pPr>
        <w:pStyle w:val="7"/>
      </w:pPr>
    </w:p>
    <w:p>
      <w:pPr>
        <w:pStyle w:val="7"/>
      </w:pPr>
    </w:p>
    <w:p>
      <w:pPr>
        <w:pStyle w:val="7"/>
      </w:pPr>
    </w:p>
    <w:p>
      <w:pPr>
        <w:autoSpaceDE w:val="0"/>
        <w:autoSpaceDN w:val="0"/>
        <w:adjustRightInd w:val="0"/>
        <w:ind w:left="420" w:leftChars="200"/>
        <w:jc w:val="left"/>
        <w:rPr>
          <w:rFonts w:ascii="宋体" w:hAnsi="宋体"/>
          <w:sz w:val="32"/>
          <w:szCs w:val="32"/>
        </w:rPr>
      </w:pPr>
      <w:r>
        <w:rPr>
          <w:rFonts w:hint="eastAsia" w:ascii="宋体" w:hAnsi="宋体" w:cs="仿宋_GB2312"/>
          <w:sz w:val="32"/>
          <w:szCs w:val="32"/>
        </w:rPr>
        <w:t>保密审查情况：已审查，内容审定</w:t>
      </w:r>
    </w:p>
    <w:p>
      <w:pPr>
        <w:autoSpaceDE w:val="0"/>
        <w:autoSpaceDN w:val="0"/>
        <w:adjustRightInd w:val="0"/>
        <w:ind w:left="420" w:leftChars="200"/>
        <w:jc w:val="left"/>
        <w:rPr>
          <w:rFonts w:ascii="宋体" w:hAnsi="宋体"/>
          <w:sz w:val="32"/>
          <w:szCs w:val="32"/>
        </w:rPr>
      </w:pPr>
      <w:r>
        <w:rPr>
          <w:rFonts w:hint="eastAsia" w:ascii="宋体" w:hAnsi="宋体" w:cs="仿宋_GB2312"/>
          <w:sz w:val="32"/>
          <w:szCs w:val="32"/>
        </w:rPr>
        <w:t>部门主要负责人审签情况：已</w:t>
      </w:r>
      <w:bookmarkStart w:id="134" w:name="_GoBack"/>
      <w:bookmarkEnd w:id="134"/>
      <w:r>
        <w:rPr>
          <w:rFonts w:hint="eastAsia" w:ascii="宋体" w:hAnsi="宋体" w:cs="仿宋_GB2312"/>
          <w:sz w:val="32"/>
          <w:szCs w:val="32"/>
        </w:rPr>
        <w:t>审签，同意对外公开</w:t>
      </w:r>
    </w:p>
    <w:p>
      <w:pPr>
        <w:widowControl/>
        <w:jc w:val="center"/>
        <w:rPr>
          <w:rFonts w:ascii="黑体" w:hAnsi="黑体" w:eastAsia="黑体"/>
          <w:color w:val="000000"/>
          <w:sz w:val="48"/>
          <w:szCs w:val="48"/>
        </w:rPr>
      </w:pPr>
      <w:r>
        <w:rPr>
          <w:rFonts w:ascii="方正小标宋简体" w:hAnsi="宋体" w:eastAsia="方正小标宋简体"/>
          <w:color w:val="000000"/>
          <w:sz w:val="36"/>
          <w:szCs w:val="36"/>
        </w:rPr>
        <w:br w:type="page"/>
      </w:r>
      <w:r>
        <w:rPr>
          <w:rFonts w:hint="eastAsia" w:ascii="黑体" w:hAnsi="黑体" w:eastAsia="黑体"/>
          <w:color w:val="000000"/>
          <w:sz w:val="48"/>
          <w:szCs w:val="48"/>
        </w:rPr>
        <w:t>目录</w:t>
      </w:r>
      <w:bookmarkStart w:id="12" w:name="_Toc15377196"/>
    </w:p>
    <w:p>
      <w:pPr>
        <w:pStyle w:val="14"/>
        <w:tabs>
          <w:tab w:val="right" w:leader="dot" w:pos="8306"/>
          <w:tab w:val="clear" w:pos="8296"/>
        </w:tabs>
      </w:pPr>
      <w:r>
        <w:rPr>
          <w:smallCaps/>
          <w:sz w:val="20"/>
          <w:szCs w:val="20"/>
        </w:rPr>
        <w:fldChar w:fldCharType="begin"/>
      </w:r>
      <w:r>
        <w:rPr>
          <w:smallCaps/>
          <w:sz w:val="20"/>
          <w:szCs w:val="20"/>
        </w:rPr>
        <w:instrText xml:space="preserve"> TOC \o "1-2" \h \z \u </w:instrText>
      </w:r>
      <w:r>
        <w:rPr>
          <w:smallCaps/>
          <w:sz w:val="20"/>
          <w:szCs w:val="20"/>
        </w:rPr>
        <w:fldChar w:fldCharType="separate"/>
      </w:r>
      <w:r>
        <w:rPr>
          <w:smallCaps/>
          <w:szCs w:val="20"/>
        </w:rPr>
        <w:fldChar w:fldCharType="begin"/>
      </w:r>
      <w:r>
        <w:rPr>
          <w:smallCaps/>
          <w:szCs w:val="20"/>
        </w:rPr>
        <w:instrText xml:space="preserve"> HYPERLINK \l _Toc3982 </w:instrText>
      </w:r>
      <w:r>
        <w:rPr>
          <w:smallCaps/>
          <w:szCs w:val="20"/>
        </w:rPr>
        <w:fldChar w:fldCharType="separate"/>
      </w:r>
      <w:r>
        <w:rPr>
          <w:rFonts w:hint="eastAsia" w:ascii="黑体" w:hAnsi="黑体" w:eastAsia="黑体" w:cs="黑体"/>
        </w:rPr>
        <w:t xml:space="preserve">第一部分 </w:t>
      </w:r>
      <w:r>
        <w:rPr>
          <w:rFonts w:hint="eastAsia" w:ascii="黑体" w:hAnsi="黑体" w:eastAsia="黑体" w:cs="黑体"/>
          <w:bCs w:val="0"/>
        </w:rPr>
        <w:t>部门概况</w:t>
      </w:r>
      <w:r>
        <w:tab/>
      </w:r>
      <w:r>
        <w:fldChar w:fldCharType="begin"/>
      </w:r>
      <w:r>
        <w:instrText xml:space="preserve"> PAGEREF _Toc3982 \h </w:instrText>
      </w:r>
      <w:r>
        <w:fldChar w:fldCharType="separate"/>
      </w:r>
      <w:r>
        <w:t>3</w:t>
      </w:r>
      <w:r>
        <w:fldChar w:fldCharType="end"/>
      </w:r>
      <w:r>
        <w:rPr>
          <w:smallCaps/>
          <w:szCs w:val="20"/>
        </w:rPr>
        <w:fldChar w:fldCharType="end"/>
      </w:r>
    </w:p>
    <w:p>
      <w:pPr>
        <w:pStyle w:val="16"/>
        <w:tabs>
          <w:tab w:val="right" w:leader="dot" w:pos="8306"/>
          <w:tab w:val="clear" w:pos="8296"/>
        </w:tabs>
      </w:pPr>
      <w:r>
        <w:rPr>
          <w:smallCaps/>
          <w:szCs w:val="20"/>
        </w:rPr>
        <w:fldChar w:fldCharType="begin"/>
      </w:r>
      <w:r>
        <w:rPr>
          <w:smallCaps/>
          <w:szCs w:val="20"/>
        </w:rPr>
        <w:instrText xml:space="preserve"> HYPERLINK \l _Toc16118 </w:instrText>
      </w:r>
      <w:r>
        <w:rPr>
          <w:smallCaps/>
          <w:szCs w:val="20"/>
        </w:rPr>
        <w:fldChar w:fldCharType="separate"/>
      </w:r>
      <w:r>
        <w:rPr>
          <w:rFonts w:hint="eastAsia" w:ascii="黑体" w:eastAsia="黑体" w:cs="Times New Roman"/>
          <w:bCs w:val="0"/>
        </w:rPr>
        <w:t>一、基本职能及主要工作</w:t>
      </w:r>
      <w:r>
        <w:tab/>
      </w:r>
      <w:r>
        <w:fldChar w:fldCharType="begin"/>
      </w:r>
      <w:r>
        <w:instrText xml:space="preserve"> PAGEREF _Toc16118 \h </w:instrText>
      </w:r>
      <w:r>
        <w:fldChar w:fldCharType="separate"/>
      </w:r>
      <w:r>
        <w:t>3</w:t>
      </w:r>
      <w:r>
        <w:fldChar w:fldCharType="end"/>
      </w:r>
      <w:r>
        <w:rPr>
          <w:smallCaps/>
          <w:szCs w:val="20"/>
        </w:rPr>
        <w:fldChar w:fldCharType="end"/>
      </w:r>
    </w:p>
    <w:p>
      <w:pPr>
        <w:pStyle w:val="16"/>
        <w:tabs>
          <w:tab w:val="right" w:leader="dot" w:pos="8306"/>
          <w:tab w:val="clear" w:pos="8296"/>
        </w:tabs>
      </w:pPr>
      <w:r>
        <w:rPr>
          <w:smallCaps/>
          <w:szCs w:val="20"/>
        </w:rPr>
        <w:fldChar w:fldCharType="begin"/>
      </w:r>
      <w:r>
        <w:rPr>
          <w:smallCaps/>
          <w:szCs w:val="20"/>
        </w:rPr>
        <w:instrText xml:space="preserve"> HYPERLINK \l _Toc22420 </w:instrText>
      </w:r>
      <w:r>
        <w:rPr>
          <w:smallCaps/>
          <w:szCs w:val="20"/>
        </w:rPr>
        <w:fldChar w:fldCharType="separate"/>
      </w:r>
      <w:r>
        <w:rPr>
          <w:rFonts w:hint="eastAsia" w:ascii="黑体" w:eastAsia="黑体" w:cs="Times New Roman"/>
          <w:bCs w:val="0"/>
        </w:rPr>
        <w:t>二、机构设置</w:t>
      </w:r>
      <w:r>
        <w:tab/>
      </w:r>
      <w:r>
        <w:fldChar w:fldCharType="begin"/>
      </w:r>
      <w:r>
        <w:instrText xml:space="preserve"> PAGEREF _Toc22420 \h </w:instrText>
      </w:r>
      <w:r>
        <w:fldChar w:fldCharType="separate"/>
      </w:r>
      <w:r>
        <w:t>4</w:t>
      </w:r>
      <w:r>
        <w:fldChar w:fldCharType="end"/>
      </w:r>
      <w:r>
        <w:rPr>
          <w:smallCaps/>
          <w:szCs w:val="20"/>
        </w:rPr>
        <w:fldChar w:fldCharType="end"/>
      </w:r>
    </w:p>
    <w:p>
      <w:pPr>
        <w:pStyle w:val="14"/>
        <w:tabs>
          <w:tab w:val="right" w:leader="dot" w:pos="8306"/>
          <w:tab w:val="clear" w:pos="8296"/>
        </w:tabs>
      </w:pPr>
      <w:r>
        <w:rPr>
          <w:smallCaps/>
          <w:szCs w:val="20"/>
        </w:rPr>
        <w:fldChar w:fldCharType="begin"/>
      </w:r>
      <w:r>
        <w:rPr>
          <w:smallCaps/>
          <w:szCs w:val="20"/>
        </w:rPr>
        <w:instrText xml:space="preserve"> HYPERLINK \l _Toc18980 </w:instrText>
      </w:r>
      <w:r>
        <w:rPr>
          <w:smallCaps/>
          <w:szCs w:val="20"/>
        </w:rPr>
        <w:fldChar w:fldCharType="separate"/>
      </w:r>
      <w:r>
        <w:rPr>
          <w:rFonts w:hint="eastAsia" w:ascii="黑体" w:hAnsi="黑体" w:eastAsia="黑体" w:cs="黑体"/>
        </w:rPr>
        <w:t>第二部分</w:t>
      </w:r>
      <w:r>
        <w:rPr>
          <w:rFonts w:ascii="黑体" w:hAnsi="黑体" w:eastAsia="黑体" w:cs="黑体"/>
        </w:rPr>
        <w:t xml:space="preserve"> </w:t>
      </w:r>
      <w:r>
        <w:rPr>
          <w:rFonts w:hint="eastAsia" w:ascii="黑体" w:hAnsi="黑体" w:eastAsia="黑体" w:cs="黑体"/>
        </w:rPr>
        <w:t>2021年度部门决算情况说明</w:t>
      </w:r>
      <w:r>
        <w:tab/>
      </w:r>
      <w:r>
        <w:fldChar w:fldCharType="begin"/>
      </w:r>
      <w:r>
        <w:instrText xml:space="preserve"> PAGEREF _Toc18980 \h </w:instrText>
      </w:r>
      <w:r>
        <w:fldChar w:fldCharType="separate"/>
      </w:r>
      <w:r>
        <w:t>5</w:t>
      </w:r>
      <w:r>
        <w:fldChar w:fldCharType="end"/>
      </w:r>
      <w:r>
        <w:rPr>
          <w:smallCaps/>
          <w:szCs w:val="20"/>
        </w:rPr>
        <w:fldChar w:fldCharType="end"/>
      </w:r>
    </w:p>
    <w:p>
      <w:pPr>
        <w:pStyle w:val="16"/>
        <w:tabs>
          <w:tab w:val="right" w:leader="dot" w:pos="8306"/>
          <w:tab w:val="clear" w:pos="8296"/>
        </w:tabs>
      </w:pPr>
      <w:r>
        <w:rPr>
          <w:smallCaps/>
          <w:szCs w:val="20"/>
        </w:rPr>
        <w:fldChar w:fldCharType="begin"/>
      </w:r>
      <w:r>
        <w:rPr>
          <w:smallCaps/>
          <w:szCs w:val="20"/>
        </w:rPr>
        <w:instrText xml:space="preserve"> HYPERLINK \l _Toc27241 </w:instrText>
      </w:r>
      <w:r>
        <w:rPr>
          <w:smallCaps/>
          <w:szCs w:val="20"/>
        </w:rPr>
        <w:fldChar w:fldCharType="separate"/>
      </w:r>
      <w:r>
        <w:rPr>
          <w:rFonts w:hint="eastAsia" w:ascii="黑体" w:eastAsia="黑体" w:cs="Times New Roman"/>
          <w:bCs w:val="0"/>
        </w:rPr>
        <w:t>一、收入支出决算总体情况说明</w:t>
      </w:r>
      <w:r>
        <w:tab/>
      </w:r>
      <w:r>
        <w:fldChar w:fldCharType="begin"/>
      </w:r>
      <w:r>
        <w:instrText xml:space="preserve"> PAGEREF _Toc27241 \h </w:instrText>
      </w:r>
      <w:r>
        <w:fldChar w:fldCharType="separate"/>
      </w:r>
      <w:r>
        <w:t>5</w:t>
      </w:r>
      <w:r>
        <w:fldChar w:fldCharType="end"/>
      </w:r>
      <w:r>
        <w:rPr>
          <w:smallCaps/>
          <w:szCs w:val="20"/>
        </w:rPr>
        <w:fldChar w:fldCharType="end"/>
      </w:r>
    </w:p>
    <w:p>
      <w:pPr>
        <w:pStyle w:val="16"/>
        <w:tabs>
          <w:tab w:val="right" w:leader="dot" w:pos="8306"/>
          <w:tab w:val="clear" w:pos="8296"/>
        </w:tabs>
      </w:pPr>
      <w:r>
        <w:rPr>
          <w:smallCaps/>
          <w:szCs w:val="20"/>
        </w:rPr>
        <w:fldChar w:fldCharType="begin"/>
      </w:r>
      <w:r>
        <w:rPr>
          <w:smallCaps/>
          <w:szCs w:val="20"/>
        </w:rPr>
        <w:instrText xml:space="preserve"> HYPERLINK \l _Toc23087 </w:instrText>
      </w:r>
      <w:r>
        <w:rPr>
          <w:smallCaps/>
          <w:szCs w:val="20"/>
        </w:rPr>
        <w:fldChar w:fldCharType="separate"/>
      </w:r>
      <w:r>
        <w:rPr>
          <w:rFonts w:hint="eastAsia" w:ascii="黑体" w:eastAsia="黑体" w:cs="Times New Roman"/>
          <w:bCs w:val="0"/>
        </w:rPr>
        <w:t>二、收入决算情况说明</w:t>
      </w:r>
      <w:r>
        <w:tab/>
      </w:r>
      <w:r>
        <w:fldChar w:fldCharType="begin"/>
      </w:r>
      <w:r>
        <w:instrText xml:space="preserve"> PAGEREF _Toc23087 \h </w:instrText>
      </w:r>
      <w:r>
        <w:fldChar w:fldCharType="separate"/>
      </w:r>
      <w:r>
        <w:t>5</w:t>
      </w:r>
      <w:r>
        <w:fldChar w:fldCharType="end"/>
      </w:r>
      <w:r>
        <w:rPr>
          <w:smallCaps/>
          <w:szCs w:val="20"/>
        </w:rPr>
        <w:fldChar w:fldCharType="end"/>
      </w:r>
    </w:p>
    <w:p>
      <w:pPr>
        <w:pStyle w:val="16"/>
        <w:tabs>
          <w:tab w:val="right" w:leader="dot" w:pos="8306"/>
          <w:tab w:val="clear" w:pos="8296"/>
        </w:tabs>
      </w:pPr>
      <w:r>
        <w:rPr>
          <w:smallCaps/>
          <w:szCs w:val="20"/>
        </w:rPr>
        <w:fldChar w:fldCharType="begin"/>
      </w:r>
      <w:r>
        <w:rPr>
          <w:smallCaps/>
          <w:szCs w:val="20"/>
        </w:rPr>
        <w:instrText xml:space="preserve"> HYPERLINK \l _Toc12236 </w:instrText>
      </w:r>
      <w:r>
        <w:rPr>
          <w:smallCaps/>
          <w:szCs w:val="20"/>
        </w:rPr>
        <w:fldChar w:fldCharType="separate"/>
      </w:r>
      <w:r>
        <w:rPr>
          <w:rFonts w:hint="eastAsia" w:ascii="黑体" w:eastAsia="黑体" w:cs="Times New Roman"/>
          <w:bCs w:val="0"/>
        </w:rPr>
        <w:t>三、支出决算情况说明</w:t>
      </w:r>
      <w:r>
        <w:tab/>
      </w:r>
      <w:r>
        <w:fldChar w:fldCharType="begin"/>
      </w:r>
      <w:r>
        <w:instrText xml:space="preserve"> PAGEREF _Toc12236 \h </w:instrText>
      </w:r>
      <w:r>
        <w:fldChar w:fldCharType="separate"/>
      </w:r>
      <w:r>
        <w:t>6</w:t>
      </w:r>
      <w:r>
        <w:fldChar w:fldCharType="end"/>
      </w:r>
      <w:r>
        <w:rPr>
          <w:smallCaps/>
          <w:szCs w:val="20"/>
        </w:rPr>
        <w:fldChar w:fldCharType="end"/>
      </w:r>
    </w:p>
    <w:p>
      <w:pPr>
        <w:pStyle w:val="16"/>
        <w:tabs>
          <w:tab w:val="right" w:leader="dot" w:pos="8306"/>
          <w:tab w:val="clear" w:pos="8296"/>
        </w:tabs>
      </w:pPr>
      <w:r>
        <w:rPr>
          <w:smallCaps/>
          <w:szCs w:val="20"/>
        </w:rPr>
        <w:fldChar w:fldCharType="begin"/>
      </w:r>
      <w:r>
        <w:rPr>
          <w:smallCaps/>
          <w:szCs w:val="20"/>
        </w:rPr>
        <w:instrText xml:space="preserve"> HYPERLINK \l _Toc15385 </w:instrText>
      </w:r>
      <w:r>
        <w:rPr>
          <w:smallCaps/>
          <w:szCs w:val="20"/>
        </w:rPr>
        <w:fldChar w:fldCharType="separate"/>
      </w:r>
      <w:r>
        <w:rPr>
          <w:rFonts w:hint="eastAsia" w:ascii="黑体" w:eastAsia="黑体" w:cs="Times New Roman"/>
          <w:bCs w:val="0"/>
        </w:rPr>
        <w:t>四、财政拨款收入支出决算总体情况说明</w:t>
      </w:r>
      <w:r>
        <w:tab/>
      </w:r>
      <w:r>
        <w:fldChar w:fldCharType="begin"/>
      </w:r>
      <w:r>
        <w:instrText xml:space="preserve"> PAGEREF _Toc15385 \h </w:instrText>
      </w:r>
      <w:r>
        <w:fldChar w:fldCharType="separate"/>
      </w:r>
      <w:r>
        <w:t>7</w:t>
      </w:r>
      <w:r>
        <w:fldChar w:fldCharType="end"/>
      </w:r>
      <w:r>
        <w:rPr>
          <w:smallCaps/>
          <w:szCs w:val="20"/>
        </w:rPr>
        <w:fldChar w:fldCharType="end"/>
      </w:r>
    </w:p>
    <w:p>
      <w:pPr>
        <w:pStyle w:val="16"/>
        <w:tabs>
          <w:tab w:val="right" w:leader="dot" w:pos="8306"/>
          <w:tab w:val="clear" w:pos="8296"/>
        </w:tabs>
      </w:pPr>
      <w:r>
        <w:rPr>
          <w:smallCaps/>
          <w:szCs w:val="20"/>
        </w:rPr>
        <w:fldChar w:fldCharType="begin"/>
      </w:r>
      <w:r>
        <w:rPr>
          <w:smallCaps/>
          <w:szCs w:val="20"/>
        </w:rPr>
        <w:instrText xml:space="preserve"> HYPERLINK \l _Toc15347 </w:instrText>
      </w:r>
      <w:r>
        <w:rPr>
          <w:smallCaps/>
          <w:szCs w:val="20"/>
        </w:rPr>
        <w:fldChar w:fldCharType="separate"/>
      </w:r>
      <w:r>
        <w:rPr>
          <w:rFonts w:hint="eastAsia" w:ascii="黑体" w:eastAsia="黑体" w:cs="Times New Roman"/>
          <w:bCs w:val="0"/>
        </w:rPr>
        <w:t>五、一般公共预算财政拨款支出决算情况说明</w:t>
      </w:r>
      <w:r>
        <w:tab/>
      </w:r>
      <w:r>
        <w:fldChar w:fldCharType="begin"/>
      </w:r>
      <w:r>
        <w:instrText xml:space="preserve"> PAGEREF _Toc15347 \h </w:instrText>
      </w:r>
      <w:r>
        <w:fldChar w:fldCharType="separate"/>
      </w:r>
      <w:r>
        <w:t>7</w:t>
      </w:r>
      <w:r>
        <w:fldChar w:fldCharType="end"/>
      </w:r>
      <w:r>
        <w:rPr>
          <w:smallCaps/>
          <w:szCs w:val="20"/>
        </w:rPr>
        <w:fldChar w:fldCharType="end"/>
      </w:r>
    </w:p>
    <w:p>
      <w:pPr>
        <w:pStyle w:val="16"/>
        <w:tabs>
          <w:tab w:val="right" w:leader="dot" w:pos="8306"/>
          <w:tab w:val="clear" w:pos="8296"/>
        </w:tabs>
      </w:pPr>
      <w:r>
        <w:rPr>
          <w:smallCaps/>
          <w:szCs w:val="20"/>
        </w:rPr>
        <w:fldChar w:fldCharType="begin"/>
      </w:r>
      <w:r>
        <w:rPr>
          <w:smallCaps/>
          <w:szCs w:val="20"/>
        </w:rPr>
        <w:instrText xml:space="preserve"> HYPERLINK \l _Toc10644 </w:instrText>
      </w:r>
      <w:r>
        <w:rPr>
          <w:smallCaps/>
          <w:szCs w:val="20"/>
        </w:rPr>
        <w:fldChar w:fldCharType="separate"/>
      </w:r>
      <w:r>
        <w:rPr>
          <w:rFonts w:hint="eastAsia" w:ascii="黑体" w:eastAsia="黑体" w:cs="Times New Roman"/>
          <w:bCs w:val="0"/>
        </w:rPr>
        <w:t>六、一般公共预算财政拨款基本支出决算情况说明</w:t>
      </w:r>
      <w:r>
        <w:tab/>
      </w:r>
      <w:r>
        <w:fldChar w:fldCharType="begin"/>
      </w:r>
      <w:r>
        <w:instrText xml:space="preserve"> PAGEREF _Toc10644 \h </w:instrText>
      </w:r>
      <w:r>
        <w:fldChar w:fldCharType="separate"/>
      </w:r>
      <w:r>
        <w:t>10</w:t>
      </w:r>
      <w:r>
        <w:fldChar w:fldCharType="end"/>
      </w:r>
      <w:r>
        <w:rPr>
          <w:smallCaps/>
          <w:szCs w:val="20"/>
        </w:rPr>
        <w:fldChar w:fldCharType="end"/>
      </w:r>
    </w:p>
    <w:p>
      <w:pPr>
        <w:pStyle w:val="16"/>
        <w:tabs>
          <w:tab w:val="right" w:leader="dot" w:pos="8306"/>
          <w:tab w:val="clear" w:pos="8296"/>
        </w:tabs>
      </w:pPr>
      <w:r>
        <w:rPr>
          <w:smallCaps/>
          <w:szCs w:val="20"/>
        </w:rPr>
        <w:fldChar w:fldCharType="begin"/>
      </w:r>
      <w:r>
        <w:rPr>
          <w:smallCaps/>
          <w:szCs w:val="20"/>
        </w:rPr>
        <w:instrText xml:space="preserve"> HYPERLINK \l _Toc18131 </w:instrText>
      </w:r>
      <w:r>
        <w:rPr>
          <w:smallCaps/>
          <w:szCs w:val="20"/>
        </w:rPr>
        <w:fldChar w:fldCharType="separate"/>
      </w:r>
      <w:r>
        <w:rPr>
          <w:rFonts w:hint="eastAsia" w:ascii="黑体" w:eastAsia="黑体" w:cs="Times New Roman"/>
          <w:bCs w:val="0"/>
        </w:rPr>
        <w:t>七、“三公”经费财政拨款支出决算情况说明</w:t>
      </w:r>
      <w:r>
        <w:tab/>
      </w:r>
      <w:r>
        <w:fldChar w:fldCharType="begin"/>
      </w:r>
      <w:r>
        <w:instrText xml:space="preserve"> PAGEREF _Toc18131 \h </w:instrText>
      </w:r>
      <w:r>
        <w:fldChar w:fldCharType="separate"/>
      </w:r>
      <w:r>
        <w:t>10</w:t>
      </w:r>
      <w:r>
        <w:fldChar w:fldCharType="end"/>
      </w:r>
      <w:r>
        <w:rPr>
          <w:smallCaps/>
          <w:szCs w:val="20"/>
        </w:rPr>
        <w:fldChar w:fldCharType="end"/>
      </w:r>
    </w:p>
    <w:p>
      <w:pPr>
        <w:pStyle w:val="16"/>
        <w:tabs>
          <w:tab w:val="right" w:leader="dot" w:pos="8306"/>
          <w:tab w:val="clear" w:pos="8296"/>
        </w:tabs>
      </w:pPr>
      <w:r>
        <w:rPr>
          <w:smallCaps/>
          <w:szCs w:val="20"/>
        </w:rPr>
        <w:fldChar w:fldCharType="begin"/>
      </w:r>
      <w:r>
        <w:rPr>
          <w:smallCaps/>
          <w:szCs w:val="20"/>
        </w:rPr>
        <w:instrText xml:space="preserve"> HYPERLINK \l _Toc29603 </w:instrText>
      </w:r>
      <w:r>
        <w:rPr>
          <w:smallCaps/>
          <w:szCs w:val="20"/>
        </w:rPr>
        <w:fldChar w:fldCharType="separate"/>
      </w:r>
      <w:r>
        <w:rPr>
          <w:rFonts w:hint="eastAsia" w:ascii="黑体" w:eastAsia="黑体" w:cs="Times New Roman"/>
          <w:bCs w:val="0"/>
        </w:rPr>
        <w:t>八、政府性基金预算支出决算情况说明</w:t>
      </w:r>
      <w:r>
        <w:tab/>
      </w:r>
      <w:r>
        <w:fldChar w:fldCharType="begin"/>
      </w:r>
      <w:r>
        <w:instrText xml:space="preserve"> PAGEREF _Toc29603 \h </w:instrText>
      </w:r>
      <w:r>
        <w:fldChar w:fldCharType="separate"/>
      </w:r>
      <w:r>
        <w:t>12</w:t>
      </w:r>
      <w:r>
        <w:fldChar w:fldCharType="end"/>
      </w:r>
      <w:r>
        <w:rPr>
          <w:smallCaps/>
          <w:szCs w:val="20"/>
        </w:rPr>
        <w:fldChar w:fldCharType="end"/>
      </w:r>
    </w:p>
    <w:p>
      <w:pPr>
        <w:pStyle w:val="16"/>
        <w:tabs>
          <w:tab w:val="right" w:leader="dot" w:pos="8306"/>
          <w:tab w:val="clear" w:pos="8296"/>
        </w:tabs>
      </w:pPr>
      <w:r>
        <w:rPr>
          <w:smallCaps/>
          <w:szCs w:val="20"/>
        </w:rPr>
        <w:fldChar w:fldCharType="begin"/>
      </w:r>
      <w:r>
        <w:rPr>
          <w:smallCaps/>
          <w:szCs w:val="20"/>
        </w:rPr>
        <w:instrText xml:space="preserve"> HYPERLINK \l _Toc31418 </w:instrText>
      </w:r>
      <w:r>
        <w:rPr>
          <w:smallCaps/>
          <w:szCs w:val="20"/>
        </w:rPr>
        <w:fldChar w:fldCharType="separate"/>
      </w:r>
      <w:r>
        <w:rPr>
          <w:rFonts w:hint="eastAsia" w:ascii="黑体" w:eastAsia="黑体" w:cs="Times New Roman"/>
          <w:bCs w:val="0"/>
        </w:rPr>
        <w:t>九、国有资本经营预算支出决算情况说明</w:t>
      </w:r>
      <w:r>
        <w:tab/>
      </w:r>
      <w:r>
        <w:fldChar w:fldCharType="begin"/>
      </w:r>
      <w:r>
        <w:instrText xml:space="preserve"> PAGEREF _Toc31418 \h </w:instrText>
      </w:r>
      <w:r>
        <w:fldChar w:fldCharType="separate"/>
      </w:r>
      <w:r>
        <w:t>12</w:t>
      </w:r>
      <w:r>
        <w:fldChar w:fldCharType="end"/>
      </w:r>
      <w:r>
        <w:rPr>
          <w:smallCaps/>
          <w:szCs w:val="20"/>
        </w:rPr>
        <w:fldChar w:fldCharType="end"/>
      </w:r>
    </w:p>
    <w:p>
      <w:pPr>
        <w:pStyle w:val="16"/>
        <w:tabs>
          <w:tab w:val="right" w:leader="dot" w:pos="8306"/>
          <w:tab w:val="clear" w:pos="8296"/>
        </w:tabs>
      </w:pPr>
      <w:r>
        <w:rPr>
          <w:smallCaps/>
          <w:szCs w:val="20"/>
        </w:rPr>
        <w:fldChar w:fldCharType="begin"/>
      </w:r>
      <w:r>
        <w:rPr>
          <w:smallCaps/>
          <w:szCs w:val="20"/>
        </w:rPr>
        <w:instrText xml:space="preserve"> HYPERLINK \l _Toc11083 </w:instrText>
      </w:r>
      <w:r>
        <w:rPr>
          <w:smallCaps/>
          <w:szCs w:val="20"/>
        </w:rPr>
        <w:fldChar w:fldCharType="separate"/>
      </w:r>
      <w:r>
        <w:rPr>
          <w:rFonts w:hint="eastAsia" w:ascii="黑体" w:eastAsia="黑体" w:cs="Times New Roman"/>
          <w:bCs w:val="0"/>
        </w:rPr>
        <w:t>十、其他重要事项的情况说明</w:t>
      </w:r>
      <w:r>
        <w:tab/>
      </w:r>
      <w:r>
        <w:fldChar w:fldCharType="begin"/>
      </w:r>
      <w:r>
        <w:instrText xml:space="preserve"> PAGEREF _Toc11083 \h </w:instrText>
      </w:r>
      <w:r>
        <w:fldChar w:fldCharType="separate"/>
      </w:r>
      <w:r>
        <w:t>12</w:t>
      </w:r>
      <w:r>
        <w:fldChar w:fldCharType="end"/>
      </w:r>
      <w:r>
        <w:rPr>
          <w:smallCaps/>
          <w:szCs w:val="20"/>
        </w:rPr>
        <w:fldChar w:fldCharType="end"/>
      </w:r>
    </w:p>
    <w:p>
      <w:pPr>
        <w:pStyle w:val="14"/>
        <w:tabs>
          <w:tab w:val="right" w:leader="dot" w:pos="8306"/>
          <w:tab w:val="clear" w:pos="8296"/>
        </w:tabs>
      </w:pPr>
      <w:r>
        <w:rPr>
          <w:smallCaps/>
          <w:szCs w:val="20"/>
        </w:rPr>
        <w:fldChar w:fldCharType="begin"/>
      </w:r>
      <w:r>
        <w:rPr>
          <w:smallCaps/>
          <w:szCs w:val="20"/>
        </w:rPr>
        <w:instrText xml:space="preserve"> HYPERLINK \l _Toc15560 </w:instrText>
      </w:r>
      <w:r>
        <w:rPr>
          <w:smallCaps/>
          <w:szCs w:val="20"/>
        </w:rPr>
        <w:fldChar w:fldCharType="separate"/>
      </w:r>
      <w:r>
        <w:rPr>
          <w:rFonts w:hint="eastAsia" w:ascii="黑体" w:hAnsi="黑体" w:eastAsia="黑体" w:cs="黑体"/>
        </w:rPr>
        <w:t>第三部分 名词解释</w:t>
      </w:r>
      <w:r>
        <w:tab/>
      </w:r>
      <w:r>
        <w:fldChar w:fldCharType="begin"/>
      </w:r>
      <w:r>
        <w:instrText xml:space="preserve"> PAGEREF _Toc15560 \h </w:instrText>
      </w:r>
      <w:r>
        <w:fldChar w:fldCharType="separate"/>
      </w:r>
      <w:r>
        <w:t>21</w:t>
      </w:r>
      <w:r>
        <w:fldChar w:fldCharType="end"/>
      </w:r>
      <w:r>
        <w:rPr>
          <w:smallCaps/>
          <w:szCs w:val="20"/>
        </w:rPr>
        <w:fldChar w:fldCharType="end"/>
      </w:r>
    </w:p>
    <w:p>
      <w:pPr>
        <w:pStyle w:val="14"/>
        <w:tabs>
          <w:tab w:val="right" w:leader="dot" w:pos="8306"/>
          <w:tab w:val="clear" w:pos="8296"/>
        </w:tabs>
      </w:pPr>
      <w:r>
        <w:rPr>
          <w:smallCaps/>
          <w:szCs w:val="20"/>
        </w:rPr>
        <w:fldChar w:fldCharType="begin"/>
      </w:r>
      <w:r>
        <w:rPr>
          <w:smallCaps/>
          <w:szCs w:val="20"/>
        </w:rPr>
        <w:instrText xml:space="preserve"> HYPERLINK \l _Toc180 </w:instrText>
      </w:r>
      <w:r>
        <w:rPr>
          <w:smallCaps/>
          <w:szCs w:val="20"/>
        </w:rPr>
        <w:fldChar w:fldCharType="separate"/>
      </w:r>
      <w:r>
        <w:rPr>
          <w:rFonts w:hint="eastAsia" w:ascii="黑体" w:hAnsi="黑体" w:eastAsia="黑体" w:cs="黑体"/>
        </w:rPr>
        <w:t>第四部分 附件</w:t>
      </w:r>
      <w:r>
        <w:tab/>
      </w:r>
      <w:r>
        <w:fldChar w:fldCharType="begin"/>
      </w:r>
      <w:r>
        <w:instrText xml:space="preserve"> PAGEREF _Toc180 \h </w:instrText>
      </w:r>
      <w:r>
        <w:fldChar w:fldCharType="separate"/>
      </w:r>
      <w:r>
        <w:t>25</w:t>
      </w:r>
      <w:r>
        <w:fldChar w:fldCharType="end"/>
      </w:r>
      <w:r>
        <w:rPr>
          <w:smallCaps/>
          <w:szCs w:val="20"/>
        </w:rPr>
        <w:fldChar w:fldCharType="end"/>
      </w:r>
    </w:p>
    <w:p>
      <w:pPr>
        <w:pStyle w:val="14"/>
        <w:tabs>
          <w:tab w:val="right" w:leader="dot" w:pos="8306"/>
          <w:tab w:val="clear" w:pos="8296"/>
        </w:tabs>
      </w:pPr>
      <w:r>
        <w:rPr>
          <w:smallCaps/>
          <w:szCs w:val="20"/>
        </w:rPr>
        <w:fldChar w:fldCharType="begin"/>
      </w:r>
      <w:r>
        <w:rPr>
          <w:smallCaps/>
          <w:szCs w:val="20"/>
        </w:rPr>
        <w:instrText xml:space="preserve"> HYPERLINK \l _Toc26109 </w:instrText>
      </w:r>
      <w:r>
        <w:rPr>
          <w:smallCaps/>
          <w:szCs w:val="20"/>
        </w:rPr>
        <w:fldChar w:fldCharType="separate"/>
      </w:r>
      <w:r>
        <w:rPr>
          <w:rFonts w:hint="eastAsia" w:ascii="黑体" w:eastAsia="黑体"/>
          <w:szCs w:val="44"/>
        </w:rPr>
        <w:t>第</w:t>
      </w:r>
      <w:r>
        <w:rPr>
          <w:rFonts w:hint="eastAsia" w:ascii="黑体" w:eastAsia="黑体"/>
        </w:rPr>
        <w:t>五部分</w:t>
      </w:r>
      <w:r>
        <w:rPr>
          <w:rFonts w:ascii="黑体" w:eastAsia="黑体"/>
        </w:rPr>
        <w:t xml:space="preserve"> </w:t>
      </w:r>
      <w:r>
        <w:rPr>
          <w:rFonts w:hint="eastAsia" w:ascii="黑体" w:eastAsia="黑体"/>
        </w:rPr>
        <w:t>附表</w:t>
      </w:r>
      <w:r>
        <w:tab/>
      </w:r>
      <w:r>
        <w:fldChar w:fldCharType="begin"/>
      </w:r>
      <w:r>
        <w:instrText xml:space="preserve"> PAGEREF _Toc26109 \h </w:instrText>
      </w:r>
      <w:r>
        <w:fldChar w:fldCharType="separate"/>
      </w:r>
      <w:r>
        <w:t>28</w:t>
      </w:r>
      <w:r>
        <w:fldChar w:fldCharType="end"/>
      </w:r>
      <w:r>
        <w:rPr>
          <w:smallCaps/>
          <w:szCs w:val="20"/>
        </w:rPr>
        <w:fldChar w:fldCharType="end"/>
      </w:r>
    </w:p>
    <w:p>
      <w:pPr>
        <w:pStyle w:val="16"/>
        <w:tabs>
          <w:tab w:val="right" w:leader="dot" w:pos="8306"/>
          <w:tab w:val="clear" w:pos="8296"/>
        </w:tabs>
      </w:pPr>
      <w:r>
        <w:rPr>
          <w:smallCaps/>
          <w:szCs w:val="20"/>
        </w:rPr>
        <w:fldChar w:fldCharType="begin"/>
      </w:r>
      <w:r>
        <w:rPr>
          <w:smallCaps/>
          <w:szCs w:val="20"/>
        </w:rPr>
        <w:instrText xml:space="preserve"> HYPERLINK \l _Toc5226 </w:instrText>
      </w:r>
      <w:r>
        <w:rPr>
          <w:smallCaps/>
          <w:szCs w:val="20"/>
        </w:rPr>
        <w:fldChar w:fldCharType="separate"/>
      </w:r>
      <w:r>
        <w:rPr>
          <w:rFonts w:hint="eastAsia" w:ascii="仿宋" w:eastAsia="仿宋"/>
        </w:rPr>
        <w:t>一、收</w:t>
      </w:r>
      <w:r>
        <w:rPr>
          <w:rFonts w:hint="eastAsia" w:ascii="仿宋" w:eastAsia="仿宋"/>
          <w:bCs w:val="0"/>
        </w:rPr>
        <w:t>入支出决算总表</w:t>
      </w:r>
      <w:r>
        <w:tab/>
      </w:r>
      <w:r>
        <w:fldChar w:fldCharType="begin"/>
      </w:r>
      <w:r>
        <w:instrText xml:space="preserve"> PAGEREF _Toc5226 \h </w:instrText>
      </w:r>
      <w:r>
        <w:fldChar w:fldCharType="separate"/>
      </w:r>
      <w:r>
        <w:t>28</w:t>
      </w:r>
      <w:r>
        <w:fldChar w:fldCharType="end"/>
      </w:r>
      <w:r>
        <w:rPr>
          <w:smallCaps/>
          <w:szCs w:val="20"/>
        </w:rPr>
        <w:fldChar w:fldCharType="end"/>
      </w:r>
    </w:p>
    <w:p>
      <w:pPr>
        <w:pStyle w:val="16"/>
        <w:tabs>
          <w:tab w:val="right" w:leader="dot" w:pos="8306"/>
          <w:tab w:val="clear" w:pos="8296"/>
        </w:tabs>
      </w:pPr>
      <w:r>
        <w:rPr>
          <w:smallCaps/>
          <w:szCs w:val="20"/>
        </w:rPr>
        <w:fldChar w:fldCharType="begin"/>
      </w:r>
      <w:r>
        <w:rPr>
          <w:smallCaps/>
          <w:szCs w:val="20"/>
        </w:rPr>
        <w:instrText xml:space="preserve"> HYPERLINK \l _Toc23037 </w:instrText>
      </w:r>
      <w:r>
        <w:rPr>
          <w:smallCaps/>
          <w:szCs w:val="20"/>
        </w:rPr>
        <w:fldChar w:fldCharType="separate"/>
      </w:r>
      <w:r>
        <w:rPr>
          <w:rFonts w:hint="eastAsia" w:ascii="仿宋" w:eastAsia="仿宋"/>
        </w:rPr>
        <w:t>二、收</w:t>
      </w:r>
      <w:r>
        <w:rPr>
          <w:rFonts w:hint="eastAsia" w:ascii="仿宋" w:eastAsia="仿宋"/>
          <w:bCs w:val="0"/>
        </w:rPr>
        <w:t>入决算表</w:t>
      </w:r>
      <w:r>
        <w:tab/>
      </w:r>
      <w:r>
        <w:fldChar w:fldCharType="begin"/>
      </w:r>
      <w:r>
        <w:instrText xml:space="preserve"> PAGEREF _Toc23037 \h </w:instrText>
      </w:r>
      <w:r>
        <w:fldChar w:fldCharType="separate"/>
      </w:r>
      <w:r>
        <w:t>28</w:t>
      </w:r>
      <w:r>
        <w:fldChar w:fldCharType="end"/>
      </w:r>
      <w:r>
        <w:rPr>
          <w:smallCaps/>
          <w:szCs w:val="20"/>
        </w:rPr>
        <w:fldChar w:fldCharType="end"/>
      </w:r>
    </w:p>
    <w:p>
      <w:pPr>
        <w:pStyle w:val="16"/>
        <w:tabs>
          <w:tab w:val="right" w:leader="dot" w:pos="8306"/>
          <w:tab w:val="clear" w:pos="8296"/>
        </w:tabs>
      </w:pPr>
      <w:r>
        <w:rPr>
          <w:smallCaps/>
          <w:szCs w:val="20"/>
        </w:rPr>
        <w:fldChar w:fldCharType="begin"/>
      </w:r>
      <w:r>
        <w:rPr>
          <w:smallCaps/>
          <w:szCs w:val="20"/>
        </w:rPr>
        <w:instrText xml:space="preserve"> HYPERLINK \l _Toc5028 </w:instrText>
      </w:r>
      <w:r>
        <w:rPr>
          <w:smallCaps/>
          <w:szCs w:val="20"/>
        </w:rPr>
        <w:fldChar w:fldCharType="separate"/>
      </w:r>
      <w:r>
        <w:rPr>
          <w:rFonts w:hint="eastAsia" w:ascii="仿宋" w:eastAsia="仿宋"/>
          <w:bCs w:val="0"/>
        </w:rPr>
        <w:t>三、</w:t>
      </w:r>
      <w:r>
        <w:rPr>
          <w:rFonts w:hint="eastAsia" w:ascii="仿宋" w:eastAsia="仿宋"/>
        </w:rPr>
        <w:t>支</w:t>
      </w:r>
      <w:r>
        <w:rPr>
          <w:rFonts w:hint="eastAsia" w:ascii="仿宋" w:eastAsia="仿宋"/>
          <w:bCs w:val="0"/>
        </w:rPr>
        <w:t>出决算表</w:t>
      </w:r>
      <w:r>
        <w:tab/>
      </w:r>
      <w:r>
        <w:fldChar w:fldCharType="begin"/>
      </w:r>
      <w:r>
        <w:instrText xml:space="preserve"> PAGEREF _Toc5028 \h </w:instrText>
      </w:r>
      <w:r>
        <w:fldChar w:fldCharType="separate"/>
      </w:r>
      <w:r>
        <w:t>28</w:t>
      </w:r>
      <w:r>
        <w:fldChar w:fldCharType="end"/>
      </w:r>
      <w:r>
        <w:rPr>
          <w:smallCaps/>
          <w:szCs w:val="20"/>
        </w:rPr>
        <w:fldChar w:fldCharType="end"/>
      </w:r>
    </w:p>
    <w:p>
      <w:pPr>
        <w:pStyle w:val="16"/>
        <w:tabs>
          <w:tab w:val="right" w:leader="dot" w:pos="8306"/>
          <w:tab w:val="clear" w:pos="8296"/>
        </w:tabs>
      </w:pPr>
      <w:r>
        <w:rPr>
          <w:smallCaps/>
          <w:szCs w:val="20"/>
        </w:rPr>
        <w:fldChar w:fldCharType="begin"/>
      </w:r>
      <w:r>
        <w:rPr>
          <w:smallCaps/>
          <w:szCs w:val="20"/>
        </w:rPr>
        <w:instrText xml:space="preserve"> HYPERLINK \l _Toc4285 </w:instrText>
      </w:r>
      <w:r>
        <w:rPr>
          <w:smallCaps/>
          <w:szCs w:val="20"/>
        </w:rPr>
        <w:fldChar w:fldCharType="separate"/>
      </w:r>
      <w:r>
        <w:rPr>
          <w:rFonts w:hint="eastAsia" w:ascii="仿宋" w:eastAsia="仿宋"/>
          <w:bCs w:val="0"/>
        </w:rPr>
        <w:t>四、</w:t>
      </w:r>
      <w:r>
        <w:rPr>
          <w:rFonts w:hint="eastAsia" w:ascii="仿宋" w:eastAsia="仿宋"/>
        </w:rPr>
        <w:t>财</w:t>
      </w:r>
      <w:r>
        <w:rPr>
          <w:rFonts w:hint="eastAsia" w:ascii="仿宋" w:eastAsia="仿宋"/>
          <w:bCs w:val="0"/>
        </w:rPr>
        <w:t>政拨款收入支出决算总表</w:t>
      </w:r>
      <w:r>
        <w:tab/>
      </w:r>
      <w:r>
        <w:fldChar w:fldCharType="begin"/>
      </w:r>
      <w:r>
        <w:instrText xml:space="preserve"> PAGEREF _Toc4285 \h </w:instrText>
      </w:r>
      <w:r>
        <w:fldChar w:fldCharType="separate"/>
      </w:r>
      <w:r>
        <w:t>28</w:t>
      </w:r>
      <w:r>
        <w:fldChar w:fldCharType="end"/>
      </w:r>
      <w:r>
        <w:rPr>
          <w:smallCaps/>
          <w:szCs w:val="20"/>
        </w:rPr>
        <w:fldChar w:fldCharType="end"/>
      </w:r>
    </w:p>
    <w:p>
      <w:pPr>
        <w:pStyle w:val="16"/>
        <w:tabs>
          <w:tab w:val="right" w:leader="dot" w:pos="8306"/>
          <w:tab w:val="clear" w:pos="8296"/>
        </w:tabs>
      </w:pPr>
      <w:r>
        <w:rPr>
          <w:smallCaps/>
          <w:szCs w:val="20"/>
        </w:rPr>
        <w:fldChar w:fldCharType="begin"/>
      </w:r>
      <w:r>
        <w:rPr>
          <w:smallCaps/>
          <w:szCs w:val="20"/>
        </w:rPr>
        <w:instrText xml:space="preserve"> HYPERLINK \l _Toc32695 </w:instrText>
      </w:r>
      <w:r>
        <w:rPr>
          <w:smallCaps/>
          <w:szCs w:val="20"/>
        </w:rPr>
        <w:fldChar w:fldCharType="separate"/>
      </w:r>
      <w:r>
        <w:rPr>
          <w:rFonts w:hint="eastAsia" w:ascii="仿宋" w:eastAsia="仿宋"/>
          <w:bCs w:val="0"/>
        </w:rPr>
        <w:t>五、</w:t>
      </w:r>
      <w:r>
        <w:rPr>
          <w:rFonts w:hint="eastAsia" w:ascii="仿宋" w:eastAsia="仿宋"/>
        </w:rPr>
        <w:t>财</w:t>
      </w:r>
      <w:r>
        <w:rPr>
          <w:rFonts w:hint="eastAsia" w:ascii="仿宋" w:eastAsia="仿宋"/>
          <w:bCs w:val="0"/>
        </w:rPr>
        <w:t>政拨款支出决算明细表</w:t>
      </w:r>
      <w:r>
        <w:tab/>
      </w:r>
      <w:r>
        <w:fldChar w:fldCharType="begin"/>
      </w:r>
      <w:r>
        <w:instrText xml:space="preserve"> PAGEREF _Toc32695 \h </w:instrText>
      </w:r>
      <w:r>
        <w:fldChar w:fldCharType="separate"/>
      </w:r>
      <w:r>
        <w:t>28</w:t>
      </w:r>
      <w:r>
        <w:fldChar w:fldCharType="end"/>
      </w:r>
      <w:r>
        <w:rPr>
          <w:smallCaps/>
          <w:szCs w:val="20"/>
        </w:rPr>
        <w:fldChar w:fldCharType="end"/>
      </w:r>
    </w:p>
    <w:p>
      <w:pPr>
        <w:pStyle w:val="16"/>
        <w:tabs>
          <w:tab w:val="right" w:leader="dot" w:pos="8306"/>
          <w:tab w:val="clear" w:pos="8296"/>
        </w:tabs>
      </w:pPr>
      <w:r>
        <w:rPr>
          <w:smallCaps/>
          <w:szCs w:val="20"/>
        </w:rPr>
        <w:fldChar w:fldCharType="begin"/>
      </w:r>
      <w:r>
        <w:rPr>
          <w:smallCaps/>
          <w:szCs w:val="20"/>
        </w:rPr>
        <w:instrText xml:space="preserve"> HYPERLINK \l _Toc4779 </w:instrText>
      </w:r>
      <w:r>
        <w:rPr>
          <w:smallCaps/>
          <w:szCs w:val="20"/>
        </w:rPr>
        <w:fldChar w:fldCharType="separate"/>
      </w:r>
      <w:r>
        <w:rPr>
          <w:rFonts w:hint="eastAsia" w:ascii="仿宋" w:eastAsia="仿宋"/>
          <w:bCs w:val="0"/>
        </w:rPr>
        <w:t>六、</w:t>
      </w:r>
      <w:r>
        <w:rPr>
          <w:rFonts w:hint="eastAsia" w:ascii="仿宋" w:eastAsia="仿宋"/>
        </w:rPr>
        <w:t>一</w:t>
      </w:r>
      <w:r>
        <w:rPr>
          <w:rFonts w:hint="eastAsia" w:ascii="仿宋" w:eastAsia="仿宋"/>
          <w:bCs w:val="0"/>
        </w:rPr>
        <w:t>般公共预算财政拨款支出决算表</w:t>
      </w:r>
      <w:r>
        <w:tab/>
      </w:r>
      <w:r>
        <w:fldChar w:fldCharType="begin"/>
      </w:r>
      <w:r>
        <w:instrText xml:space="preserve"> PAGEREF _Toc4779 \h </w:instrText>
      </w:r>
      <w:r>
        <w:fldChar w:fldCharType="separate"/>
      </w:r>
      <w:r>
        <w:t>28</w:t>
      </w:r>
      <w:r>
        <w:fldChar w:fldCharType="end"/>
      </w:r>
      <w:r>
        <w:rPr>
          <w:smallCaps/>
          <w:szCs w:val="20"/>
        </w:rPr>
        <w:fldChar w:fldCharType="end"/>
      </w:r>
    </w:p>
    <w:p>
      <w:pPr>
        <w:pStyle w:val="16"/>
        <w:tabs>
          <w:tab w:val="right" w:leader="dot" w:pos="8306"/>
          <w:tab w:val="clear" w:pos="8296"/>
        </w:tabs>
      </w:pPr>
      <w:r>
        <w:rPr>
          <w:smallCaps/>
          <w:szCs w:val="20"/>
        </w:rPr>
        <w:fldChar w:fldCharType="begin"/>
      </w:r>
      <w:r>
        <w:rPr>
          <w:smallCaps/>
          <w:szCs w:val="20"/>
        </w:rPr>
        <w:instrText xml:space="preserve"> HYPERLINK \l _Toc16923 </w:instrText>
      </w:r>
      <w:r>
        <w:rPr>
          <w:smallCaps/>
          <w:szCs w:val="20"/>
        </w:rPr>
        <w:fldChar w:fldCharType="separate"/>
      </w:r>
      <w:r>
        <w:rPr>
          <w:rFonts w:hint="eastAsia" w:ascii="仿宋" w:eastAsia="仿宋"/>
          <w:bCs w:val="0"/>
        </w:rPr>
        <w:t>七、</w:t>
      </w:r>
      <w:r>
        <w:rPr>
          <w:rFonts w:hint="eastAsia" w:ascii="仿宋" w:eastAsia="仿宋"/>
        </w:rPr>
        <w:t>一</w:t>
      </w:r>
      <w:r>
        <w:rPr>
          <w:rFonts w:hint="eastAsia" w:ascii="仿宋" w:eastAsia="仿宋"/>
          <w:bCs w:val="0"/>
        </w:rPr>
        <w:t>般公共预算财政拨款支出决算明细表</w:t>
      </w:r>
      <w:r>
        <w:tab/>
      </w:r>
      <w:r>
        <w:fldChar w:fldCharType="begin"/>
      </w:r>
      <w:r>
        <w:instrText xml:space="preserve"> PAGEREF _Toc16923 \h </w:instrText>
      </w:r>
      <w:r>
        <w:fldChar w:fldCharType="separate"/>
      </w:r>
      <w:r>
        <w:t>28</w:t>
      </w:r>
      <w:r>
        <w:fldChar w:fldCharType="end"/>
      </w:r>
      <w:r>
        <w:rPr>
          <w:smallCaps/>
          <w:szCs w:val="20"/>
        </w:rPr>
        <w:fldChar w:fldCharType="end"/>
      </w:r>
    </w:p>
    <w:p>
      <w:pPr>
        <w:pStyle w:val="16"/>
        <w:tabs>
          <w:tab w:val="right" w:leader="dot" w:pos="8306"/>
          <w:tab w:val="clear" w:pos="8296"/>
        </w:tabs>
      </w:pPr>
      <w:r>
        <w:rPr>
          <w:smallCaps/>
          <w:szCs w:val="20"/>
        </w:rPr>
        <w:fldChar w:fldCharType="begin"/>
      </w:r>
      <w:r>
        <w:rPr>
          <w:smallCaps/>
          <w:szCs w:val="20"/>
        </w:rPr>
        <w:instrText xml:space="preserve"> HYPERLINK \l _Toc8982 </w:instrText>
      </w:r>
      <w:r>
        <w:rPr>
          <w:smallCaps/>
          <w:szCs w:val="20"/>
        </w:rPr>
        <w:fldChar w:fldCharType="separate"/>
      </w:r>
      <w:r>
        <w:rPr>
          <w:rFonts w:hint="eastAsia" w:ascii="仿宋" w:eastAsia="仿宋"/>
          <w:bCs w:val="0"/>
        </w:rPr>
        <w:t>八、</w:t>
      </w:r>
      <w:r>
        <w:rPr>
          <w:rFonts w:hint="eastAsia" w:ascii="仿宋" w:eastAsia="仿宋"/>
        </w:rPr>
        <w:t>一</w:t>
      </w:r>
      <w:r>
        <w:rPr>
          <w:rFonts w:hint="eastAsia" w:ascii="仿宋" w:eastAsia="仿宋"/>
          <w:bCs w:val="0"/>
        </w:rPr>
        <w:t>般公共预算财政拨款基本支出决算表</w:t>
      </w:r>
      <w:r>
        <w:tab/>
      </w:r>
      <w:r>
        <w:fldChar w:fldCharType="begin"/>
      </w:r>
      <w:r>
        <w:instrText xml:space="preserve"> PAGEREF _Toc8982 \h </w:instrText>
      </w:r>
      <w:r>
        <w:fldChar w:fldCharType="separate"/>
      </w:r>
      <w:r>
        <w:t>28</w:t>
      </w:r>
      <w:r>
        <w:fldChar w:fldCharType="end"/>
      </w:r>
      <w:r>
        <w:rPr>
          <w:smallCaps/>
          <w:szCs w:val="20"/>
        </w:rPr>
        <w:fldChar w:fldCharType="end"/>
      </w:r>
    </w:p>
    <w:p>
      <w:pPr>
        <w:pStyle w:val="16"/>
        <w:tabs>
          <w:tab w:val="right" w:leader="dot" w:pos="8306"/>
          <w:tab w:val="clear" w:pos="8296"/>
        </w:tabs>
      </w:pPr>
      <w:r>
        <w:rPr>
          <w:smallCaps/>
          <w:szCs w:val="20"/>
        </w:rPr>
        <w:fldChar w:fldCharType="begin"/>
      </w:r>
      <w:r>
        <w:rPr>
          <w:smallCaps/>
          <w:szCs w:val="20"/>
        </w:rPr>
        <w:instrText xml:space="preserve"> HYPERLINK \l _Toc31154 </w:instrText>
      </w:r>
      <w:r>
        <w:rPr>
          <w:smallCaps/>
          <w:szCs w:val="20"/>
        </w:rPr>
        <w:fldChar w:fldCharType="separate"/>
      </w:r>
      <w:r>
        <w:rPr>
          <w:rFonts w:hint="eastAsia" w:ascii="仿宋" w:eastAsia="仿宋"/>
          <w:bCs w:val="0"/>
        </w:rPr>
        <w:t>九、</w:t>
      </w:r>
      <w:r>
        <w:rPr>
          <w:rFonts w:hint="eastAsia" w:ascii="仿宋" w:eastAsia="仿宋"/>
        </w:rPr>
        <w:t>一</w:t>
      </w:r>
      <w:r>
        <w:rPr>
          <w:rFonts w:hint="eastAsia" w:ascii="仿宋" w:eastAsia="仿宋"/>
          <w:bCs w:val="0"/>
        </w:rPr>
        <w:t>般公共预算财政拨款项目支出决算表</w:t>
      </w:r>
      <w:r>
        <w:tab/>
      </w:r>
      <w:r>
        <w:fldChar w:fldCharType="begin"/>
      </w:r>
      <w:r>
        <w:instrText xml:space="preserve"> PAGEREF _Toc31154 \h </w:instrText>
      </w:r>
      <w:r>
        <w:fldChar w:fldCharType="separate"/>
      </w:r>
      <w:r>
        <w:t>28</w:t>
      </w:r>
      <w:r>
        <w:fldChar w:fldCharType="end"/>
      </w:r>
      <w:r>
        <w:rPr>
          <w:smallCaps/>
          <w:szCs w:val="20"/>
        </w:rPr>
        <w:fldChar w:fldCharType="end"/>
      </w:r>
    </w:p>
    <w:p>
      <w:pPr>
        <w:pStyle w:val="16"/>
        <w:tabs>
          <w:tab w:val="right" w:leader="dot" w:pos="8306"/>
          <w:tab w:val="clear" w:pos="8296"/>
        </w:tabs>
      </w:pPr>
      <w:r>
        <w:rPr>
          <w:smallCaps/>
          <w:szCs w:val="20"/>
        </w:rPr>
        <w:fldChar w:fldCharType="begin"/>
      </w:r>
      <w:r>
        <w:rPr>
          <w:smallCaps/>
          <w:szCs w:val="20"/>
        </w:rPr>
        <w:instrText xml:space="preserve"> HYPERLINK \l _Toc29412 </w:instrText>
      </w:r>
      <w:r>
        <w:rPr>
          <w:smallCaps/>
          <w:szCs w:val="20"/>
        </w:rPr>
        <w:fldChar w:fldCharType="separate"/>
      </w:r>
      <w:r>
        <w:rPr>
          <w:rFonts w:hint="eastAsia" w:ascii="仿宋" w:eastAsia="仿宋"/>
          <w:bCs w:val="0"/>
        </w:rPr>
        <w:t>十、</w:t>
      </w:r>
      <w:r>
        <w:rPr>
          <w:rFonts w:hint="eastAsia" w:ascii="仿宋" w:eastAsia="仿宋"/>
        </w:rPr>
        <w:t>一</w:t>
      </w:r>
      <w:r>
        <w:rPr>
          <w:rFonts w:hint="eastAsia" w:ascii="仿宋" w:eastAsia="仿宋"/>
          <w:bCs w:val="0"/>
        </w:rPr>
        <w:t>般公共预算财政拨款“三公”经费支出决算表</w:t>
      </w:r>
      <w:r>
        <w:tab/>
      </w:r>
      <w:r>
        <w:fldChar w:fldCharType="begin"/>
      </w:r>
      <w:r>
        <w:instrText xml:space="preserve"> PAGEREF _Toc29412 \h </w:instrText>
      </w:r>
      <w:r>
        <w:fldChar w:fldCharType="separate"/>
      </w:r>
      <w:r>
        <w:t>28</w:t>
      </w:r>
      <w:r>
        <w:fldChar w:fldCharType="end"/>
      </w:r>
      <w:r>
        <w:rPr>
          <w:smallCaps/>
          <w:szCs w:val="20"/>
        </w:rPr>
        <w:fldChar w:fldCharType="end"/>
      </w:r>
    </w:p>
    <w:p>
      <w:pPr>
        <w:pStyle w:val="16"/>
        <w:tabs>
          <w:tab w:val="right" w:leader="dot" w:pos="8306"/>
          <w:tab w:val="clear" w:pos="8296"/>
        </w:tabs>
      </w:pPr>
      <w:r>
        <w:rPr>
          <w:smallCaps/>
          <w:szCs w:val="20"/>
        </w:rPr>
        <w:fldChar w:fldCharType="begin"/>
      </w:r>
      <w:r>
        <w:rPr>
          <w:smallCaps/>
          <w:szCs w:val="20"/>
        </w:rPr>
        <w:instrText xml:space="preserve"> HYPERLINK \l _Toc4912 </w:instrText>
      </w:r>
      <w:r>
        <w:rPr>
          <w:smallCaps/>
          <w:szCs w:val="20"/>
        </w:rPr>
        <w:fldChar w:fldCharType="separate"/>
      </w:r>
      <w:r>
        <w:rPr>
          <w:rFonts w:hint="eastAsia" w:ascii="仿宋" w:eastAsia="仿宋"/>
          <w:bCs w:val="0"/>
        </w:rPr>
        <w:t>十一、</w:t>
      </w:r>
      <w:r>
        <w:rPr>
          <w:rFonts w:hint="eastAsia" w:ascii="仿宋" w:eastAsia="仿宋"/>
        </w:rPr>
        <w:t>政</w:t>
      </w:r>
      <w:r>
        <w:rPr>
          <w:rFonts w:hint="eastAsia" w:ascii="仿宋" w:eastAsia="仿宋"/>
          <w:bCs w:val="0"/>
        </w:rPr>
        <w:t>府性基金预算财政拨款收入支出决算表</w:t>
      </w:r>
      <w:r>
        <w:tab/>
      </w:r>
      <w:r>
        <w:fldChar w:fldCharType="begin"/>
      </w:r>
      <w:r>
        <w:instrText xml:space="preserve"> PAGEREF _Toc4912 \h </w:instrText>
      </w:r>
      <w:r>
        <w:fldChar w:fldCharType="separate"/>
      </w:r>
      <w:r>
        <w:t>28</w:t>
      </w:r>
      <w:r>
        <w:fldChar w:fldCharType="end"/>
      </w:r>
      <w:r>
        <w:rPr>
          <w:smallCaps/>
          <w:szCs w:val="20"/>
        </w:rPr>
        <w:fldChar w:fldCharType="end"/>
      </w:r>
    </w:p>
    <w:p>
      <w:pPr>
        <w:pStyle w:val="16"/>
        <w:tabs>
          <w:tab w:val="right" w:leader="dot" w:pos="8306"/>
          <w:tab w:val="clear" w:pos="8296"/>
        </w:tabs>
      </w:pPr>
      <w:r>
        <w:rPr>
          <w:smallCaps/>
          <w:szCs w:val="20"/>
        </w:rPr>
        <w:fldChar w:fldCharType="begin"/>
      </w:r>
      <w:r>
        <w:rPr>
          <w:smallCaps/>
          <w:szCs w:val="20"/>
        </w:rPr>
        <w:instrText xml:space="preserve"> HYPERLINK \l _Toc17872 </w:instrText>
      </w:r>
      <w:r>
        <w:rPr>
          <w:smallCaps/>
          <w:szCs w:val="20"/>
        </w:rPr>
        <w:fldChar w:fldCharType="separate"/>
      </w:r>
      <w:r>
        <w:rPr>
          <w:rFonts w:hint="eastAsia" w:ascii="仿宋" w:eastAsia="仿宋"/>
          <w:bCs w:val="0"/>
        </w:rPr>
        <w:t>十二、</w:t>
      </w:r>
      <w:r>
        <w:rPr>
          <w:rFonts w:hint="eastAsia" w:ascii="仿宋" w:eastAsia="仿宋"/>
        </w:rPr>
        <w:t>政</w:t>
      </w:r>
      <w:r>
        <w:rPr>
          <w:rFonts w:hint="eastAsia" w:ascii="仿宋" w:eastAsia="仿宋"/>
          <w:bCs w:val="0"/>
        </w:rPr>
        <w:t>府性基金预算财政拨款“三公”经费支出决算表</w:t>
      </w:r>
      <w:r>
        <w:tab/>
      </w:r>
      <w:r>
        <w:fldChar w:fldCharType="begin"/>
      </w:r>
      <w:r>
        <w:instrText xml:space="preserve"> PAGEREF _Toc17872 \h </w:instrText>
      </w:r>
      <w:r>
        <w:fldChar w:fldCharType="separate"/>
      </w:r>
      <w:r>
        <w:t>28</w:t>
      </w:r>
      <w:r>
        <w:fldChar w:fldCharType="end"/>
      </w:r>
      <w:r>
        <w:rPr>
          <w:smallCaps/>
          <w:szCs w:val="20"/>
        </w:rPr>
        <w:fldChar w:fldCharType="end"/>
      </w:r>
    </w:p>
    <w:p>
      <w:pPr>
        <w:pStyle w:val="16"/>
        <w:tabs>
          <w:tab w:val="right" w:leader="dot" w:pos="8306"/>
          <w:tab w:val="clear" w:pos="8296"/>
        </w:tabs>
      </w:pPr>
      <w:r>
        <w:rPr>
          <w:smallCaps/>
          <w:szCs w:val="20"/>
        </w:rPr>
        <w:fldChar w:fldCharType="begin"/>
      </w:r>
      <w:r>
        <w:rPr>
          <w:smallCaps/>
          <w:szCs w:val="20"/>
        </w:rPr>
        <w:instrText xml:space="preserve"> HYPERLINK \l _Toc3541 </w:instrText>
      </w:r>
      <w:r>
        <w:rPr>
          <w:smallCaps/>
          <w:szCs w:val="20"/>
        </w:rPr>
        <w:fldChar w:fldCharType="separate"/>
      </w:r>
      <w:r>
        <w:rPr>
          <w:rFonts w:hint="eastAsia" w:ascii="仿宋" w:eastAsia="仿宋"/>
          <w:bCs w:val="0"/>
        </w:rPr>
        <w:t>十三、</w:t>
      </w:r>
      <w:r>
        <w:rPr>
          <w:rFonts w:hint="eastAsia" w:ascii="仿宋" w:eastAsia="仿宋"/>
        </w:rPr>
        <w:t>国</w:t>
      </w:r>
      <w:r>
        <w:rPr>
          <w:rFonts w:hint="eastAsia" w:ascii="仿宋" w:eastAsia="仿宋"/>
          <w:bCs w:val="0"/>
        </w:rPr>
        <w:t>有资本经营预算财政拨款支出决算表</w:t>
      </w:r>
      <w:r>
        <w:tab/>
      </w:r>
      <w:r>
        <w:fldChar w:fldCharType="begin"/>
      </w:r>
      <w:r>
        <w:instrText xml:space="preserve"> PAGEREF _Toc3541 \h </w:instrText>
      </w:r>
      <w:r>
        <w:fldChar w:fldCharType="separate"/>
      </w:r>
      <w:r>
        <w:t>28</w:t>
      </w:r>
      <w:r>
        <w:fldChar w:fldCharType="end"/>
      </w:r>
      <w:r>
        <w:rPr>
          <w:smallCaps/>
          <w:szCs w:val="20"/>
        </w:rPr>
        <w:fldChar w:fldCharType="end"/>
      </w:r>
    </w:p>
    <w:p>
      <w:pPr>
        <w:pStyle w:val="16"/>
        <w:tabs>
          <w:tab w:val="right" w:leader="dot" w:pos="8306"/>
          <w:tab w:val="clear" w:pos="8296"/>
        </w:tabs>
      </w:pPr>
      <w:r>
        <w:rPr>
          <w:smallCaps/>
          <w:szCs w:val="20"/>
        </w:rPr>
        <w:fldChar w:fldCharType="begin"/>
      </w:r>
      <w:r>
        <w:rPr>
          <w:smallCaps/>
          <w:szCs w:val="20"/>
        </w:rPr>
        <w:instrText xml:space="preserve"> HYPERLINK \l _Toc1738 </w:instrText>
      </w:r>
      <w:r>
        <w:rPr>
          <w:smallCaps/>
          <w:szCs w:val="20"/>
        </w:rPr>
        <w:fldChar w:fldCharType="separate"/>
      </w:r>
      <w:r>
        <w:rPr>
          <w:rFonts w:hint="eastAsia" w:ascii="仿宋" w:eastAsia="仿宋"/>
          <w:bCs w:val="0"/>
        </w:rPr>
        <w:t>十四、国有资本经营预算财政拨款支出决算表</w:t>
      </w:r>
      <w:r>
        <w:tab/>
      </w:r>
      <w:r>
        <w:fldChar w:fldCharType="begin"/>
      </w:r>
      <w:r>
        <w:instrText xml:space="preserve"> PAGEREF _Toc1738 \h </w:instrText>
      </w:r>
      <w:r>
        <w:fldChar w:fldCharType="separate"/>
      </w:r>
      <w:r>
        <w:t>28</w:t>
      </w:r>
      <w:r>
        <w:fldChar w:fldCharType="end"/>
      </w:r>
      <w:r>
        <w:rPr>
          <w:smallCaps/>
          <w:szCs w:val="20"/>
        </w:rPr>
        <w:fldChar w:fldCharType="end"/>
      </w:r>
    </w:p>
    <w:p>
      <w:pPr>
        <w:pStyle w:val="7"/>
      </w:pPr>
      <w:r>
        <w:rPr>
          <w:smallCaps/>
          <w:szCs w:val="20"/>
        </w:rPr>
        <w:fldChar w:fldCharType="end"/>
      </w:r>
    </w:p>
    <w:p>
      <w:pPr>
        <w:pStyle w:val="4"/>
        <w:pageBreakBefore w:val="0"/>
        <w:kinsoku/>
        <w:wordWrap/>
        <w:overflowPunct/>
        <w:topLinePunct w:val="0"/>
        <w:autoSpaceDE/>
        <w:autoSpaceDN/>
        <w:bidi w:val="0"/>
        <w:adjustRightInd/>
        <w:snapToGrid/>
        <w:spacing w:before="0" w:after="0" w:line="576" w:lineRule="exact"/>
        <w:jc w:val="center"/>
        <w:textAlignment w:val="auto"/>
        <w:rPr>
          <w:rFonts w:ascii="黑体" w:hAnsi="黑体" w:eastAsia="黑体" w:cs="黑体"/>
          <w:b w:val="0"/>
          <w:bCs w:val="0"/>
        </w:rPr>
      </w:pPr>
      <w:bookmarkStart w:id="13" w:name="_Toc111208495"/>
      <w:bookmarkStart w:id="14" w:name="_Toc3982"/>
      <w:r>
        <w:rPr>
          <w:rFonts w:hint="eastAsia" w:ascii="黑体" w:hAnsi="黑体" w:eastAsia="黑体" w:cs="黑体"/>
        </w:rPr>
        <w:t xml:space="preserve">第一部分 </w:t>
      </w:r>
      <w:r>
        <w:rPr>
          <w:rStyle w:val="30"/>
          <w:rFonts w:hint="eastAsia" w:ascii="黑体" w:hAnsi="黑体" w:eastAsia="黑体" w:cs="黑体"/>
          <w:b/>
          <w:bCs w:val="0"/>
        </w:rPr>
        <w:t>部门概况</w:t>
      </w:r>
      <w:bookmarkEnd w:id="12"/>
      <w:bookmarkEnd w:id="13"/>
      <w:bookmarkEnd w:id="14"/>
    </w:p>
    <w:p>
      <w:pPr>
        <w:pStyle w:val="5"/>
        <w:pageBreakBefore w:val="0"/>
        <w:kinsoku/>
        <w:wordWrap/>
        <w:overflowPunct/>
        <w:topLinePunct w:val="0"/>
        <w:autoSpaceDE/>
        <w:autoSpaceDN/>
        <w:bidi w:val="0"/>
        <w:adjustRightInd/>
        <w:snapToGrid/>
        <w:spacing w:before="0" w:after="0" w:line="576" w:lineRule="exact"/>
        <w:ind w:firstLine="643" w:firstLineChars="200"/>
        <w:textAlignment w:val="auto"/>
        <w:rPr>
          <w:rFonts w:ascii="黑体" w:eastAsia="黑体" w:cs="Times New Roman"/>
          <w:bCs w:val="0"/>
          <w:color w:val="000000"/>
        </w:rPr>
      </w:pPr>
      <w:bookmarkStart w:id="15" w:name="_Toc15377197"/>
      <w:bookmarkStart w:id="16" w:name="_Toc111208496"/>
      <w:bookmarkStart w:id="17" w:name="_Toc16118"/>
      <w:r>
        <w:rPr>
          <w:rFonts w:hint="eastAsia" w:ascii="黑体" w:eastAsia="黑体" w:cs="Times New Roman"/>
          <w:bCs w:val="0"/>
          <w:color w:val="000000"/>
        </w:rPr>
        <w:t>一、基本职能及主要工作</w:t>
      </w:r>
      <w:bookmarkEnd w:id="15"/>
      <w:bookmarkEnd w:id="16"/>
      <w:bookmarkEnd w:id="17"/>
      <w:bookmarkStart w:id="18" w:name="_Toc15378445"/>
      <w:bookmarkStart w:id="19" w:name="_Toc15377198"/>
    </w:p>
    <w:p>
      <w:pPr>
        <w:pageBreakBefore w:val="0"/>
        <w:kinsoku/>
        <w:wordWrap/>
        <w:overflowPunct/>
        <w:topLinePunct w:val="0"/>
        <w:autoSpaceDE/>
        <w:autoSpaceDN/>
        <w:bidi w:val="0"/>
        <w:adjustRightInd/>
        <w:snapToGrid/>
        <w:spacing w:line="576" w:lineRule="exact"/>
        <w:ind w:firstLine="643" w:firstLineChars="200"/>
        <w:textAlignment w:val="auto"/>
        <w:outlineLvl w:val="2"/>
        <w:rPr>
          <w:rFonts w:ascii="仿宋" w:hAnsi="仿宋" w:eastAsia="仿宋"/>
          <w:b/>
          <w:color w:val="000000"/>
          <w:sz w:val="32"/>
          <w:szCs w:val="32"/>
        </w:rPr>
      </w:pPr>
      <w:r>
        <w:rPr>
          <w:rFonts w:hint="eastAsia" w:ascii="仿宋" w:hAnsi="仿宋" w:eastAsia="仿宋"/>
          <w:b/>
          <w:color w:val="000000"/>
          <w:sz w:val="32"/>
          <w:szCs w:val="32"/>
        </w:rPr>
        <w:t>（一）主要职能</w:t>
      </w:r>
      <w:bookmarkEnd w:id="18"/>
      <w:bookmarkEnd w:id="19"/>
    </w:p>
    <w:p>
      <w:pPr>
        <w:pageBreakBefore w:val="0"/>
        <w:kinsoku/>
        <w:wordWrap/>
        <w:overflowPunct/>
        <w:topLinePunct w:val="0"/>
        <w:autoSpaceDE/>
        <w:autoSpaceDN/>
        <w:bidi w:val="0"/>
        <w:adjustRightInd/>
        <w:snapToGrid/>
        <w:spacing w:line="576" w:lineRule="exact"/>
        <w:ind w:firstLine="640" w:firstLineChars="200"/>
        <w:textAlignment w:val="auto"/>
      </w:pPr>
      <w:r>
        <w:rPr>
          <w:rFonts w:ascii="仿宋" w:hAnsi="仿宋" w:eastAsia="仿宋"/>
          <w:color w:val="000000"/>
          <w:sz w:val="32"/>
          <w:szCs w:val="32"/>
        </w:rPr>
        <w:t>1.深入贯彻党的路线方针政策和决策部署，统一政法各部门思想和行动，坚持党对政法工作的绝对领导，坚决维护党中央权威和集中统一领导。2.深入贯彻党中央决定和省委、州委、县委决策，对政法工作研究提出全局性部署，推进平安茂县、法治茂县建设，加强过硬队伍建设，深化智能化建设，坚决维护国家政治安全、确保社会大局稳定、促进社会公平正义、保障人民安居乐业。3.了解掌握和分析研判政法工作情况动态，分析全县社会稳定形势，创新完善多部门参与综治维稳工作机制，构建矛盾纠纷多元化解体系和机制，推动社会治安综合治理领导责任制的实施，协调推动预防、化解影响稳定的社会矛盾和风险，协调应对和处置重大突发事件，统筹推动全县反分裂斗争和维护稳定工作。4.加强对政法工作的督查，统筹协调维护政治安全、社会治安综合治理、维护社会稳定、反邪教有关法律法规政策的实施工作。指导全县政法系统网络安全和智能化建设工作。5.组织开展政法领域的调查研究，研究拟订全县政法工作的政策措施，及时向县委提出建议。6.掌握分析政法舆情动态，指导协调政法部门媒体网络宣传工作，指导政法部门做好涉及政法工作的重大宣传和舆论引导工作。7.监督和支持政法各部门依法行使职权，指导和协调政法各部门密切配合，研究和协调重大疑难案件，推进严格执法、公正司法。8.组织研究政法改革中带有方向性、倾向性和普遍性的重大问题，深化政法改革。9.指导推动政法系统党的建设和政法队伍建设，协同县级有关职能部门管理监督政法领导干部。10.完成县委交办的其他任务。</w:t>
      </w:r>
    </w:p>
    <w:p>
      <w:pPr>
        <w:pageBreakBefore w:val="0"/>
        <w:kinsoku/>
        <w:wordWrap/>
        <w:overflowPunct/>
        <w:topLinePunct w:val="0"/>
        <w:autoSpaceDE/>
        <w:autoSpaceDN/>
        <w:bidi w:val="0"/>
        <w:adjustRightInd/>
        <w:snapToGrid/>
        <w:spacing w:line="576" w:lineRule="exact"/>
        <w:ind w:firstLine="643" w:firstLineChars="200"/>
        <w:textAlignment w:val="auto"/>
        <w:outlineLvl w:val="2"/>
        <w:rPr>
          <w:rFonts w:hint="eastAsia" w:ascii="仿宋" w:hAnsi="仿宋" w:eastAsia="仿宋"/>
          <w:color w:val="000000"/>
          <w:sz w:val="32"/>
          <w:szCs w:val="32"/>
          <w:lang w:eastAsia="zh-CN"/>
        </w:rPr>
      </w:pPr>
      <w:bookmarkStart w:id="20" w:name="_Toc15378446"/>
      <w:bookmarkStart w:id="21" w:name="_Toc15377199"/>
      <w:r>
        <w:rPr>
          <w:rFonts w:hint="eastAsia" w:ascii="仿宋" w:hAnsi="仿宋" w:eastAsia="仿宋"/>
          <w:b/>
          <w:color w:val="000000"/>
          <w:sz w:val="32"/>
          <w:szCs w:val="32"/>
        </w:rPr>
        <w:t>（二）</w:t>
      </w:r>
      <w:r>
        <w:rPr>
          <w:rFonts w:ascii="仿宋" w:hAnsi="仿宋" w:eastAsia="仿宋"/>
          <w:b/>
          <w:color w:val="000000"/>
          <w:sz w:val="32"/>
          <w:szCs w:val="32"/>
        </w:rPr>
        <w:t>2021</w:t>
      </w:r>
      <w:r>
        <w:rPr>
          <w:rFonts w:hint="eastAsia" w:ascii="仿宋" w:hAnsi="仿宋" w:eastAsia="仿宋"/>
          <w:b/>
          <w:color w:val="000000"/>
          <w:sz w:val="32"/>
          <w:szCs w:val="32"/>
        </w:rPr>
        <w:t>重点工作完成情况</w:t>
      </w:r>
      <w:bookmarkEnd w:id="20"/>
      <w:bookmarkEnd w:id="21"/>
      <w:bookmarkStart w:id="22" w:name="_Toc15377200"/>
    </w:p>
    <w:p>
      <w:pPr>
        <w:pageBreakBefore w:val="0"/>
        <w:kinsoku/>
        <w:wordWrap/>
        <w:overflowPunct/>
        <w:topLinePunct w:val="0"/>
        <w:autoSpaceDE/>
        <w:autoSpaceDN/>
        <w:bidi w:val="0"/>
        <w:adjustRightInd/>
        <w:snapToGrid/>
        <w:spacing w:line="576" w:lineRule="exact"/>
        <w:textAlignment w:val="auto"/>
        <w:rPr>
          <w:rFonts w:ascii="仿宋" w:hAnsi="仿宋" w:eastAsia="仿宋"/>
          <w:color w:val="000000"/>
          <w:sz w:val="32"/>
          <w:szCs w:val="32"/>
        </w:rPr>
      </w:pPr>
      <w:r>
        <w:rPr>
          <w:rFonts w:ascii="仿宋" w:hAnsi="仿宋" w:eastAsia="仿宋"/>
          <w:color w:val="000000"/>
          <w:sz w:val="32"/>
          <w:szCs w:val="32"/>
        </w:rPr>
        <w:tab/>
      </w:r>
      <w:r>
        <w:rPr>
          <w:rFonts w:hint="eastAsia" w:ascii="仿宋" w:hAnsi="仿宋" w:eastAsia="仿宋"/>
          <w:color w:val="000000"/>
          <w:sz w:val="32"/>
          <w:szCs w:val="32"/>
          <w:lang w:val="en-US" w:eastAsia="zh-CN"/>
        </w:rPr>
        <w:t xml:space="preserve">  </w:t>
      </w:r>
      <w:r>
        <w:rPr>
          <w:rFonts w:ascii="仿宋" w:hAnsi="仿宋" w:eastAsia="仿宋"/>
          <w:color w:val="000000"/>
          <w:sz w:val="32"/>
          <w:szCs w:val="32"/>
        </w:rPr>
        <w:t>一是以政法队伍教育整顿为契机，不断提升政法队伍建设效能。二是以扫黑除恶常态推进为契机，不断增强维护社会稳定能力。三是以完善农村司法体制为契机，不断提高基层社会治理水平。</w:t>
      </w:r>
    </w:p>
    <w:p>
      <w:pPr>
        <w:pStyle w:val="5"/>
        <w:pageBreakBefore w:val="0"/>
        <w:kinsoku/>
        <w:wordWrap/>
        <w:overflowPunct/>
        <w:topLinePunct w:val="0"/>
        <w:autoSpaceDE/>
        <w:autoSpaceDN/>
        <w:bidi w:val="0"/>
        <w:adjustRightInd/>
        <w:snapToGrid/>
        <w:spacing w:before="0" w:after="0" w:line="576" w:lineRule="exact"/>
        <w:ind w:firstLine="643" w:firstLineChars="200"/>
        <w:textAlignment w:val="auto"/>
        <w:rPr>
          <w:rFonts w:hint="eastAsia" w:ascii="仿宋" w:hAnsi="仿宋" w:eastAsia="仿宋"/>
          <w:color w:val="000000"/>
          <w:sz w:val="32"/>
          <w:szCs w:val="32"/>
          <w:lang w:eastAsia="zh-CN"/>
        </w:rPr>
      </w:pPr>
      <w:bookmarkStart w:id="23" w:name="_Toc111208497"/>
      <w:bookmarkStart w:id="24" w:name="_Toc22420"/>
      <w:r>
        <w:rPr>
          <w:rFonts w:hint="eastAsia" w:ascii="黑体" w:eastAsia="黑体" w:cs="Times New Roman"/>
          <w:bCs w:val="0"/>
          <w:color w:val="000000"/>
        </w:rPr>
        <w:t>二、机构设置</w:t>
      </w:r>
      <w:bookmarkEnd w:id="22"/>
      <w:bookmarkEnd w:id="23"/>
      <w:bookmarkEnd w:id="24"/>
    </w:p>
    <w:p>
      <w:pPr>
        <w:pageBreakBefore w:val="0"/>
        <w:kinsoku/>
        <w:wordWrap/>
        <w:overflowPunct/>
        <w:topLinePunct w:val="0"/>
        <w:autoSpaceDE/>
        <w:autoSpaceDN/>
        <w:bidi w:val="0"/>
        <w:adjustRightInd/>
        <w:snapToGrid/>
        <w:spacing w:line="576" w:lineRule="exact"/>
        <w:textAlignment w:val="auto"/>
        <w:rPr>
          <w:rFonts w:ascii="仿宋" w:hAnsi="仿宋" w:eastAsia="仿宋"/>
          <w:color w:val="000000"/>
          <w:sz w:val="32"/>
          <w:szCs w:val="32"/>
        </w:rPr>
      </w:pPr>
      <w:r>
        <w:rPr>
          <w:rFonts w:ascii="仿宋" w:hAnsi="仿宋" w:eastAsia="仿宋"/>
          <w:color w:val="000000"/>
          <w:sz w:val="32"/>
          <w:szCs w:val="32"/>
        </w:rPr>
        <w:tab/>
      </w:r>
      <w:r>
        <w:rPr>
          <w:rFonts w:ascii="仿宋" w:hAnsi="仿宋" w:eastAsia="仿宋"/>
          <w:color w:val="000000"/>
          <w:sz w:val="32"/>
          <w:szCs w:val="32"/>
        </w:rPr>
        <w:t>茂县县委政法委员会属一级预算单位，下属二级预算单位0个，其中：参照公务员法管理的事业单位0个，其他事业单位0个。</w:t>
      </w:r>
    </w:p>
    <w:p>
      <w:pPr>
        <w:pageBreakBefore w:val="0"/>
        <w:widowControl/>
        <w:kinsoku/>
        <w:wordWrap/>
        <w:overflowPunct/>
        <w:topLinePunct w:val="0"/>
        <w:autoSpaceDE/>
        <w:autoSpaceDN/>
        <w:bidi w:val="0"/>
        <w:adjustRightInd/>
        <w:snapToGrid/>
        <w:spacing w:line="576" w:lineRule="exact"/>
        <w:jc w:val="left"/>
        <w:textAlignment w:val="auto"/>
        <w:rPr>
          <w:rFonts w:ascii="仿宋_GB2312" w:hAnsi="黑体" w:eastAsia="仿宋_GB2312"/>
          <w:b/>
          <w:bCs/>
          <w:color w:val="000000"/>
          <w:kern w:val="44"/>
          <w:sz w:val="44"/>
          <w:szCs w:val="44"/>
        </w:rPr>
      </w:pPr>
      <w:bookmarkStart w:id="25" w:name="_Toc15377204"/>
      <w:r>
        <w:rPr>
          <w:rFonts w:ascii="仿宋_GB2312" w:hAnsi="黑体" w:eastAsia="仿宋_GB2312"/>
          <w:color w:val="000000"/>
        </w:rPr>
        <w:br w:type="page"/>
      </w:r>
    </w:p>
    <w:p>
      <w:pPr>
        <w:pStyle w:val="4"/>
        <w:pageBreakBefore w:val="0"/>
        <w:kinsoku/>
        <w:wordWrap/>
        <w:overflowPunct/>
        <w:topLinePunct w:val="0"/>
        <w:autoSpaceDE/>
        <w:autoSpaceDN/>
        <w:bidi w:val="0"/>
        <w:adjustRightInd/>
        <w:snapToGrid/>
        <w:spacing w:before="0" w:after="0" w:line="576" w:lineRule="exact"/>
        <w:jc w:val="center"/>
        <w:textAlignment w:val="auto"/>
        <w:rPr>
          <w:rFonts w:ascii="黑体" w:hAnsi="黑体" w:eastAsia="黑体" w:cs="黑体"/>
        </w:rPr>
      </w:pPr>
      <w:bookmarkStart w:id="26" w:name="_Toc111208498"/>
      <w:bookmarkStart w:id="27" w:name="_Toc18980"/>
      <w:r>
        <w:rPr>
          <w:rFonts w:hint="eastAsia" w:ascii="黑体" w:hAnsi="黑体" w:eastAsia="黑体" w:cs="黑体"/>
        </w:rPr>
        <w:t>第二部分</w:t>
      </w:r>
      <w:r>
        <w:rPr>
          <w:rFonts w:ascii="黑体" w:hAnsi="黑体" w:eastAsia="黑体" w:cs="黑体"/>
        </w:rPr>
        <w:t xml:space="preserve"> </w:t>
      </w:r>
      <w:r>
        <w:rPr>
          <w:rFonts w:hint="eastAsia" w:ascii="黑体" w:hAnsi="黑体" w:eastAsia="黑体" w:cs="黑体"/>
        </w:rPr>
        <w:t>2021年度部门决算情况说明</w:t>
      </w:r>
      <w:bookmarkEnd w:id="25"/>
      <w:bookmarkEnd w:id="26"/>
      <w:bookmarkEnd w:id="27"/>
    </w:p>
    <w:p>
      <w:pPr>
        <w:pStyle w:val="5"/>
        <w:pageBreakBefore w:val="0"/>
        <w:kinsoku/>
        <w:wordWrap/>
        <w:overflowPunct/>
        <w:topLinePunct w:val="0"/>
        <w:autoSpaceDE/>
        <w:autoSpaceDN/>
        <w:bidi w:val="0"/>
        <w:adjustRightInd/>
        <w:snapToGrid/>
        <w:spacing w:before="0" w:after="0" w:line="576" w:lineRule="exact"/>
        <w:ind w:firstLine="643" w:firstLineChars="200"/>
        <w:textAlignment w:val="auto"/>
        <w:rPr>
          <w:rFonts w:ascii="黑体" w:eastAsia="黑体" w:cs="Times New Roman"/>
          <w:bCs w:val="0"/>
          <w:color w:val="000000"/>
        </w:rPr>
      </w:pPr>
      <w:bookmarkStart w:id="28" w:name="_Toc15377205"/>
      <w:bookmarkStart w:id="29" w:name="_Toc111208499"/>
      <w:bookmarkStart w:id="30" w:name="_Toc27241"/>
      <w:r>
        <w:rPr>
          <w:rFonts w:hint="eastAsia" w:ascii="黑体" w:eastAsia="黑体" w:cs="Times New Roman"/>
          <w:bCs w:val="0"/>
          <w:color w:val="000000"/>
        </w:rPr>
        <w:t>一、收入支出决算总体情况说</w:t>
      </w:r>
      <w:bookmarkEnd w:id="28"/>
      <w:r>
        <w:rPr>
          <w:rFonts w:hint="eastAsia" w:ascii="黑体" w:eastAsia="黑体" w:cs="Times New Roman"/>
          <w:bCs w:val="0"/>
          <w:color w:val="000000"/>
        </w:rPr>
        <w:t>明</w:t>
      </w:r>
      <w:bookmarkEnd w:id="29"/>
      <w:bookmarkEnd w:id="30"/>
    </w:p>
    <w:p>
      <w:pPr>
        <w:pageBreakBefore w:val="0"/>
        <w:kinsoku/>
        <w:wordWrap/>
        <w:overflowPunct/>
        <w:topLinePunct w:val="0"/>
        <w:autoSpaceDE/>
        <w:autoSpaceDN/>
        <w:bidi w:val="0"/>
        <w:adjustRightInd/>
        <w:snapToGrid/>
        <w:spacing w:line="576" w:lineRule="exact"/>
        <w:ind w:firstLine="640" w:firstLineChars="200"/>
        <w:textAlignment w:val="auto"/>
        <w:rPr>
          <w:rFonts w:ascii="仿宋_GB2312" w:hAnsi="仿宋" w:eastAsia="仿宋_GB2312"/>
          <w:color w:val="00B0F0"/>
          <w:sz w:val="32"/>
          <w:szCs w:val="32"/>
        </w:rPr>
      </w:pPr>
      <w:r>
        <w:rPr>
          <w:rFonts w:ascii="仿宋" w:hAnsi="仿宋" w:eastAsia="仿宋"/>
          <w:color w:val="000000"/>
          <w:sz w:val="32"/>
          <w:szCs w:val="32"/>
        </w:rPr>
        <w:t>2021</w:t>
      </w:r>
      <w:r>
        <w:rPr>
          <w:rFonts w:hint="eastAsia" w:ascii="仿宋" w:hAnsi="仿宋" w:eastAsia="仿宋"/>
          <w:color w:val="000000"/>
          <w:sz w:val="32"/>
          <w:szCs w:val="32"/>
        </w:rPr>
        <w:t>年度收、支总计</w:t>
      </w:r>
      <w:r>
        <w:rPr>
          <w:rFonts w:ascii="仿宋" w:hAnsi="仿宋" w:eastAsia="仿宋"/>
          <w:color w:val="000000"/>
          <w:sz w:val="32"/>
          <w:szCs w:val="32"/>
        </w:rPr>
        <w:t>393.32</w:t>
      </w:r>
      <w:r>
        <w:rPr>
          <w:rFonts w:hint="eastAsia" w:ascii="仿宋" w:hAnsi="仿宋" w:eastAsia="仿宋"/>
          <w:color w:val="000000"/>
          <w:sz w:val="32"/>
          <w:szCs w:val="32"/>
        </w:rPr>
        <w:t>万元。与</w:t>
      </w:r>
      <w:r>
        <w:rPr>
          <w:rFonts w:ascii="仿宋" w:hAnsi="仿宋" w:eastAsia="仿宋"/>
          <w:color w:val="000000"/>
          <w:sz w:val="32"/>
          <w:szCs w:val="32"/>
        </w:rPr>
        <w:t>2020</w:t>
      </w:r>
      <w:r>
        <w:rPr>
          <w:rFonts w:hint="eastAsia" w:ascii="仿宋" w:hAnsi="仿宋" w:eastAsia="仿宋"/>
          <w:color w:val="000000"/>
          <w:sz w:val="32"/>
          <w:szCs w:val="32"/>
        </w:rPr>
        <w:t>年相比，收、支总计各</w:t>
      </w:r>
      <w:r>
        <w:rPr>
          <w:rFonts w:ascii="仿宋" w:hAnsi="仿宋" w:eastAsia="仿宋"/>
          <w:color w:val="000000"/>
          <w:sz w:val="32"/>
          <w:szCs w:val="32"/>
        </w:rPr>
        <w:t>增加4.65</w:t>
      </w:r>
      <w:r>
        <w:rPr>
          <w:rFonts w:hint="eastAsia" w:ascii="仿宋" w:hAnsi="仿宋" w:eastAsia="仿宋"/>
          <w:color w:val="000000"/>
          <w:sz w:val="32"/>
          <w:szCs w:val="32"/>
        </w:rPr>
        <w:t>万元，</w:t>
      </w:r>
      <w:r>
        <w:rPr>
          <w:rFonts w:ascii="仿宋" w:hAnsi="仿宋" w:eastAsia="仿宋"/>
          <w:color w:val="000000"/>
          <w:sz w:val="32"/>
          <w:szCs w:val="32"/>
        </w:rPr>
        <w:t>增加1.20</w:t>
      </w:r>
      <w:r>
        <w:rPr>
          <w:rFonts w:hint="eastAsia" w:ascii="仿宋" w:hAnsi="仿宋" w:eastAsia="仿宋"/>
          <w:color w:val="000000"/>
          <w:sz w:val="32"/>
          <w:szCs w:val="32"/>
        </w:rPr>
        <w:t xml:space="preserve"> %。 </w:t>
      </w:r>
    </w:p>
    <w:p>
      <w:pPr>
        <w:pageBreakBefore w:val="0"/>
        <w:kinsoku/>
        <w:wordWrap/>
        <w:overflowPunct/>
        <w:topLinePunct w:val="0"/>
        <w:autoSpaceDE/>
        <w:autoSpaceDN/>
        <w:bidi w:val="0"/>
        <w:adjustRightInd/>
        <w:snapToGrid/>
        <w:spacing w:line="576" w:lineRule="exact"/>
        <w:ind w:firstLine="640" w:firstLineChars="200"/>
        <w:textAlignment w:val="auto"/>
        <w:rPr>
          <w:rFonts w:ascii="仿宋_GB2312" w:eastAsia="仿宋_GB2312"/>
          <w:color w:val="000000"/>
          <w:sz w:val="28"/>
          <w:szCs w:val="28"/>
        </w:rPr>
      </w:pPr>
      <w:r>
        <w:rPr>
          <w:rFonts w:hint="eastAsia" w:ascii="仿宋" w:hAnsi="仿宋" w:eastAsia="仿宋"/>
          <w:color w:val="000000"/>
          <w:sz w:val="32"/>
          <w:szCs w:val="32"/>
        </w:rPr>
        <w:t>（图1：收、支决算总计变动情况图）</w:t>
      </w:r>
    </w:p>
    <w:p>
      <w:pPr>
        <w:pStyle w:val="7"/>
        <w:ind w:left="0" w:leftChars="0" w:firstLine="0" w:firstLineChars="0"/>
      </w:pPr>
      <w:r>
        <w:drawing>
          <wp:inline distT="0" distB="0" distL="114300" distR="114300">
            <wp:extent cx="5343525" cy="2933700"/>
            <wp:effectExtent l="0" t="0" r="9525" b="0"/>
            <wp:docPr id="10"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pStyle w:val="5"/>
        <w:pageBreakBefore w:val="0"/>
        <w:widowControl w:val="0"/>
        <w:kinsoku/>
        <w:wordWrap/>
        <w:overflowPunct/>
        <w:topLinePunct w:val="0"/>
        <w:autoSpaceDE/>
        <w:autoSpaceDN/>
        <w:bidi w:val="0"/>
        <w:adjustRightInd/>
        <w:snapToGrid/>
        <w:spacing w:before="0" w:after="0" w:line="576" w:lineRule="exact"/>
        <w:ind w:firstLine="643" w:firstLineChars="200"/>
        <w:textAlignment w:val="auto"/>
        <w:rPr>
          <w:rFonts w:ascii="黑体" w:eastAsia="黑体" w:cs="Times New Roman"/>
          <w:bCs w:val="0"/>
          <w:color w:val="000000"/>
        </w:rPr>
      </w:pPr>
      <w:bookmarkStart w:id="31" w:name="_Toc111208500"/>
      <w:bookmarkStart w:id="32" w:name="_Toc15377206"/>
      <w:bookmarkStart w:id="33" w:name="_Toc23087"/>
      <w:r>
        <w:rPr>
          <w:rFonts w:hint="eastAsia" w:ascii="黑体" w:eastAsia="黑体" w:cs="Times New Roman"/>
          <w:bCs w:val="0"/>
          <w:color w:val="000000"/>
        </w:rPr>
        <w:t>二、收入决算情况说明</w:t>
      </w:r>
      <w:bookmarkEnd w:id="31"/>
      <w:bookmarkEnd w:id="32"/>
      <w:bookmarkEnd w:id="33"/>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 w:hAnsi="仿宋" w:eastAsia="仿宋"/>
          <w:color w:val="000000"/>
          <w:sz w:val="32"/>
          <w:szCs w:val="32"/>
        </w:rPr>
      </w:pPr>
      <w:r>
        <w:rPr>
          <w:rFonts w:hint="eastAsia" w:ascii="仿宋" w:hAnsi="仿宋" w:eastAsia="仿宋"/>
          <w:color w:val="000000"/>
          <w:sz w:val="32"/>
          <w:szCs w:val="32"/>
        </w:rPr>
        <w:t>2021年本年收入合计358.34万元，其中：一般公共预算财政拨款收入358.34万元，占100.00%；政府性基金预算财政拨款收入0.00万元，占0.00%；国有资本经营预算财政拨款收入0.00万元，占0.00%；上级补助收入0.00万元，占0.00%；事业收入0.00万元，占</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%；经营收入0.00万元，占0.00%；附属单位上缴收入0.00万元，占0.00%；其他收入0.00万元，占0.00%。</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（图2：收入决算结构图）</w:t>
      </w:r>
    </w:p>
    <w:p>
      <w:pPr>
        <w:pStyle w:val="15"/>
        <w:jc w:val="both"/>
      </w:pPr>
      <w:r>
        <w:rPr>
          <w:rFonts w:hint="eastAsia" w:ascii="仿宋_GB2312" w:eastAsia="仿宋_GB2312"/>
          <w:color w:val="FF0000"/>
          <w:sz w:val="32"/>
          <w:szCs w:val="32"/>
        </w:rPr>
        <w:drawing>
          <wp:inline distT="0" distB="0" distL="114300" distR="114300">
            <wp:extent cx="4837430" cy="3181350"/>
            <wp:effectExtent l="5080" t="4445" r="15240" b="1460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pStyle w:val="5"/>
        <w:pageBreakBefore w:val="0"/>
        <w:widowControl w:val="0"/>
        <w:kinsoku/>
        <w:wordWrap/>
        <w:overflowPunct/>
        <w:topLinePunct w:val="0"/>
        <w:autoSpaceDE/>
        <w:autoSpaceDN/>
        <w:bidi w:val="0"/>
        <w:adjustRightInd/>
        <w:snapToGrid/>
        <w:spacing w:before="0" w:after="0" w:line="576" w:lineRule="exact"/>
        <w:ind w:firstLine="643" w:firstLineChars="200"/>
        <w:textAlignment w:val="auto"/>
        <w:rPr>
          <w:rFonts w:ascii="黑体" w:eastAsia="黑体" w:cs="Times New Roman"/>
          <w:bCs w:val="0"/>
          <w:color w:val="000000"/>
        </w:rPr>
      </w:pPr>
      <w:bookmarkStart w:id="34" w:name="_Toc111208501"/>
      <w:bookmarkStart w:id="35" w:name="_Toc15377207"/>
      <w:bookmarkStart w:id="36" w:name="_Toc12236"/>
      <w:r>
        <w:rPr>
          <w:rFonts w:hint="eastAsia" w:ascii="黑体" w:eastAsia="黑体" w:cs="Times New Roman"/>
          <w:bCs w:val="0"/>
          <w:color w:val="000000"/>
        </w:rPr>
        <w:t>三、支出决算情况说明</w:t>
      </w:r>
      <w:bookmarkEnd w:id="34"/>
      <w:bookmarkEnd w:id="35"/>
      <w:bookmarkEnd w:id="36"/>
    </w:p>
    <w:p>
      <w:pPr>
        <w:pStyle w:val="7"/>
        <w:pageBreakBefore w:val="0"/>
        <w:widowControl w:val="0"/>
        <w:kinsoku/>
        <w:wordWrap/>
        <w:overflowPunct/>
        <w:topLinePunct w:val="0"/>
        <w:autoSpaceDE/>
        <w:autoSpaceDN/>
        <w:bidi w:val="0"/>
        <w:adjustRightInd/>
        <w:snapToGrid/>
        <w:spacing w:line="576" w:lineRule="exact"/>
        <w:textAlignment w:val="auto"/>
        <w:rPr>
          <w:rFonts w:ascii="仿宋" w:hAnsi="仿宋" w:eastAsia="仿宋"/>
          <w:color w:val="000000"/>
          <w:sz w:val="32"/>
          <w:szCs w:val="32"/>
        </w:rPr>
      </w:pPr>
      <w:r>
        <w:rPr>
          <w:rFonts w:hint="eastAsia" w:ascii="仿宋" w:hAnsi="仿宋" w:eastAsia="仿宋"/>
          <w:color w:val="000000"/>
          <w:sz w:val="32"/>
          <w:szCs w:val="32"/>
        </w:rPr>
        <w:t>2021</w:t>
      </w:r>
      <w:r>
        <w:rPr>
          <w:rFonts w:ascii="仿宋" w:hAnsi="仿宋" w:eastAsia="仿宋"/>
          <w:color w:val="000000"/>
          <w:sz w:val="32"/>
          <w:szCs w:val="32"/>
        </w:rPr>
        <w:t>年本年支出合计</w:t>
      </w:r>
      <w:r>
        <w:rPr>
          <w:rFonts w:hint="eastAsia" w:ascii="仿宋" w:hAnsi="仿宋" w:eastAsia="仿宋"/>
          <w:color w:val="000000"/>
          <w:sz w:val="32"/>
          <w:szCs w:val="32"/>
        </w:rPr>
        <w:t>393.32</w:t>
      </w:r>
      <w:r>
        <w:rPr>
          <w:rFonts w:ascii="仿宋" w:hAnsi="仿宋" w:eastAsia="仿宋"/>
          <w:color w:val="000000"/>
          <w:sz w:val="32"/>
          <w:szCs w:val="32"/>
        </w:rPr>
        <w:t>万元，其中：基本支出</w:t>
      </w:r>
      <w:r>
        <w:rPr>
          <w:rFonts w:hint="eastAsia" w:ascii="仿宋" w:hAnsi="仿宋" w:eastAsia="仿宋"/>
          <w:color w:val="000000"/>
          <w:sz w:val="32"/>
          <w:szCs w:val="32"/>
        </w:rPr>
        <w:t>329.59</w:t>
      </w:r>
      <w:r>
        <w:rPr>
          <w:rFonts w:ascii="仿宋" w:hAnsi="仿宋" w:eastAsia="仿宋"/>
          <w:color w:val="000000"/>
          <w:sz w:val="32"/>
          <w:szCs w:val="32"/>
        </w:rPr>
        <w:t>万元，占</w:t>
      </w:r>
      <w:r>
        <w:rPr>
          <w:rFonts w:hint="eastAsia" w:ascii="仿宋" w:hAnsi="仿宋" w:eastAsia="仿宋"/>
          <w:color w:val="000000"/>
          <w:sz w:val="32"/>
          <w:szCs w:val="32"/>
        </w:rPr>
        <w:t>83.80</w:t>
      </w:r>
      <w:r>
        <w:rPr>
          <w:rFonts w:ascii="仿宋" w:hAnsi="仿宋" w:eastAsia="仿宋"/>
          <w:color w:val="000000"/>
          <w:sz w:val="32"/>
          <w:szCs w:val="32"/>
        </w:rPr>
        <w:t>%；项目支出</w:t>
      </w:r>
      <w:r>
        <w:rPr>
          <w:rFonts w:hint="eastAsia" w:ascii="仿宋" w:hAnsi="仿宋" w:eastAsia="仿宋"/>
          <w:color w:val="000000"/>
          <w:sz w:val="32"/>
          <w:szCs w:val="32"/>
        </w:rPr>
        <w:t>63.73</w:t>
      </w:r>
      <w:r>
        <w:rPr>
          <w:rFonts w:ascii="仿宋" w:hAnsi="仿宋" w:eastAsia="仿宋"/>
          <w:color w:val="000000"/>
          <w:sz w:val="32"/>
          <w:szCs w:val="32"/>
        </w:rPr>
        <w:t>万元，占</w:t>
      </w:r>
      <w:r>
        <w:rPr>
          <w:rFonts w:hint="eastAsia" w:ascii="仿宋" w:hAnsi="仿宋" w:eastAsia="仿宋"/>
          <w:color w:val="000000"/>
          <w:sz w:val="32"/>
          <w:szCs w:val="32"/>
        </w:rPr>
        <w:t>16.20</w:t>
      </w:r>
      <w:r>
        <w:rPr>
          <w:rFonts w:ascii="仿宋" w:hAnsi="仿宋" w:eastAsia="仿宋"/>
          <w:color w:val="000000"/>
          <w:sz w:val="32"/>
          <w:szCs w:val="32"/>
        </w:rPr>
        <w:t>%；上缴上级支出</w:t>
      </w:r>
      <w:r>
        <w:rPr>
          <w:rFonts w:hint="eastAsia" w:ascii="仿宋" w:hAnsi="仿宋" w:eastAsia="仿宋"/>
          <w:color w:val="000000"/>
          <w:sz w:val="32"/>
          <w:szCs w:val="32"/>
        </w:rPr>
        <w:t>0.00</w:t>
      </w:r>
      <w:r>
        <w:rPr>
          <w:rFonts w:ascii="仿宋" w:hAnsi="仿宋" w:eastAsia="仿宋"/>
          <w:color w:val="000000"/>
          <w:sz w:val="32"/>
          <w:szCs w:val="32"/>
        </w:rPr>
        <w:t>万元，占</w:t>
      </w:r>
      <w:r>
        <w:rPr>
          <w:rFonts w:hint="eastAsia" w:ascii="仿宋" w:hAnsi="仿宋" w:eastAsia="仿宋"/>
          <w:color w:val="000000"/>
          <w:sz w:val="32"/>
          <w:szCs w:val="32"/>
        </w:rPr>
        <w:t>0.00</w:t>
      </w:r>
      <w:r>
        <w:rPr>
          <w:rFonts w:ascii="仿宋" w:hAnsi="仿宋" w:eastAsia="仿宋"/>
          <w:color w:val="000000"/>
          <w:sz w:val="32"/>
          <w:szCs w:val="32"/>
        </w:rPr>
        <w:t>%；经营支出</w:t>
      </w:r>
      <w:r>
        <w:rPr>
          <w:rFonts w:hint="eastAsia" w:ascii="仿宋" w:hAnsi="仿宋" w:eastAsia="仿宋"/>
          <w:color w:val="000000"/>
          <w:sz w:val="32"/>
          <w:szCs w:val="32"/>
        </w:rPr>
        <w:t>0.00</w:t>
      </w:r>
      <w:r>
        <w:rPr>
          <w:rFonts w:ascii="仿宋" w:hAnsi="仿宋" w:eastAsia="仿宋"/>
          <w:color w:val="000000"/>
          <w:sz w:val="32"/>
          <w:szCs w:val="32"/>
        </w:rPr>
        <w:t>万元，占</w:t>
      </w:r>
      <w:r>
        <w:rPr>
          <w:rFonts w:hint="eastAsia" w:ascii="仿宋" w:hAnsi="仿宋" w:eastAsia="仿宋"/>
          <w:color w:val="000000"/>
          <w:sz w:val="32"/>
          <w:szCs w:val="32"/>
        </w:rPr>
        <w:t>0.00</w:t>
      </w:r>
      <w:r>
        <w:rPr>
          <w:rFonts w:ascii="仿宋" w:hAnsi="仿宋" w:eastAsia="仿宋"/>
          <w:color w:val="000000"/>
          <w:sz w:val="32"/>
          <w:szCs w:val="32"/>
        </w:rPr>
        <w:t>%；对附属单位补助支出</w:t>
      </w:r>
      <w:r>
        <w:rPr>
          <w:rFonts w:hint="eastAsia" w:ascii="仿宋" w:hAnsi="仿宋" w:eastAsia="仿宋"/>
          <w:color w:val="000000"/>
          <w:sz w:val="32"/>
          <w:szCs w:val="32"/>
        </w:rPr>
        <w:t>0.00</w:t>
      </w:r>
      <w:r>
        <w:rPr>
          <w:rFonts w:ascii="仿宋" w:hAnsi="仿宋" w:eastAsia="仿宋"/>
          <w:color w:val="000000"/>
          <w:sz w:val="32"/>
          <w:szCs w:val="32"/>
        </w:rPr>
        <w:t>万元，占</w:t>
      </w:r>
      <w:r>
        <w:rPr>
          <w:rFonts w:hint="eastAsia" w:ascii="仿宋" w:hAnsi="仿宋" w:eastAsia="仿宋"/>
          <w:color w:val="000000"/>
          <w:sz w:val="32"/>
          <w:szCs w:val="32"/>
        </w:rPr>
        <w:t>0.00</w:t>
      </w:r>
      <w:r>
        <w:rPr>
          <w:rFonts w:ascii="仿宋" w:hAnsi="仿宋" w:eastAsia="仿宋"/>
          <w:color w:val="000000"/>
          <w:sz w:val="32"/>
          <w:szCs w:val="32"/>
        </w:rPr>
        <w:t>%。</w:t>
      </w:r>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 w:hAnsi="仿宋" w:eastAsia="仿宋"/>
          <w:color w:val="000000"/>
          <w:sz w:val="32"/>
          <w:szCs w:val="32"/>
        </w:rPr>
      </w:pPr>
      <w:r>
        <w:rPr>
          <w:rFonts w:hint="eastAsia" w:ascii="仿宋" w:hAnsi="仿宋" w:eastAsia="仿宋"/>
          <w:color w:val="000000"/>
          <w:sz w:val="32"/>
          <w:szCs w:val="32"/>
        </w:rPr>
        <w:t>（图3：支出决算结构图）</w:t>
      </w:r>
    </w:p>
    <w:p>
      <w:pPr>
        <w:jc w:val="center"/>
      </w:pPr>
      <w:r>
        <w:rPr>
          <w:rFonts w:hint="eastAsia" w:ascii="仿宋_GB2312" w:eastAsia="仿宋_GB2312"/>
          <w:color w:val="FF0000"/>
          <w:sz w:val="32"/>
          <w:szCs w:val="32"/>
        </w:rPr>
        <w:drawing>
          <wp:inline distT="0" distB="0" distL="114300" distR="114300">
            <wp:extent cx="4542155" cy="2990850"/>
            <wp:effectExtent l="4445" t="5080" r="6350" b="1397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pStyle w:val="5"/>
        <w:pageBreakBefore w:val="0"/>
        <w:widowControl w:val="0"/>
        <w:kinsoku/>
        <w:wordWrap/>
        <w:overflowPunct/>
        <w:topLinePunct w:val="0"/>
        <w:autoSpaceDE/>
        <w:autoSpaceDN/>
        <w:bidi w:val="0"/>
        <w:adjustRightInd/>
        <w:snapToGrid/>
        <w:spacing w:before="0" w:after="0" w:line="576" w:lineRule="exact"/>
        <w:ind w:firstLine="643" w:firstLineChars="200"/>
        <w:textAlignment w:val="auto"/>
        <w:rPr>
          <w:rFonts w:ascii="黑体" w:eastAsia="黑体" w:cs="Times New Roman"/>
          <w:bCs w:val="0"/>
          <w:color w:val="000000"/>
        </w:rPr>
      </w:pPr>
      <w:bookmarkStart w:id="37" w:name="_Toc15377208"/>
      <w:bookmarkStart w:id="38" w:name="_Toc111208502"/>
      <w:bookmarkStart w:id="39" w:name="_Toc15385"/>
      <w:r>
        <w:rPr>
          <w:rFonts w:hint="eastAsia" w:ascii="黑体" w:eastAsia="黑体" w:cs="Times New Roman"/>
          <w:bCs w:val="0"/>
          <w:color w:val="000000"/>
        </w:rPr>
        <w:t>四、财政拨款收入支出决算总体情况说明</w:t>
      </w:r>
      <w:bookmarkEnd w:id="37"/>
      <w:bookmarkEnd w:id="38"/>
      <w:bookmarkEnd w:id="39"/>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 w:hAnsi="仿宋" w:eastAsia="仿宋"/>
          <w:color w:val="000000"/>
          <w:sz w:val="32"/>
          <w:szCs w:val="32"/>
        </w:rPr>
      </w:pPr>
      <w:r>
        <w:rPr>
          <w:rFonts w:hint="eastAsia" w:ascii="仿宋" w:hAnsi="仿宋" w:eastAsia="仿宋"/>
          <w:color w:val="000000"/>
          <w:sz w:val="32"/>
          <w:szCs w:val="32"/>
        </w:rPr>
        <w:t xml:space="preserve">2021年财政拨款收、支总计393.32万元。与2020年相比，财政拨款收、支总计各增加4.65万元，增加1.20 %。 </w:t>
      </w:r>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 w:hAnsi="仿宋" w:eastAsia="仿宋"/>
          <w:color w:val="000000"/>
          <w:sz w:val="32"/>
          <w:szCs w:val="32"/>
        </w:rPr>
      </w:pPr>
      <w:r>
        <w:rPr>
          <w:rFonts w:hint="eastAsia" w:ascii="仿宋" w:hAnsi="仿宋" w:eastAsia="仿宋"/>
          <w:color w:val="000000"/>
          <w:sz w:val="32"/>
          <w:szCs w:val="32"/>
        </w:rPr>
        <w:t>（图4：财政拨款收、支决算总计变动情况）</w:t>
      </w:r>
    </w:p>
    <w:p>
      <w:pPr>
        <w:pStyle w:val="7"/>
        <w:ind w:firstLine="0"/>
      </w:pPr>
    </w:p>
    <w:p>
      <w:pPr>
        <w:pStyle w:val="7"/>
        <w:jc w:val="left"/>
      </w:pPr>
      <w:r>
        <w:rPr>
          <w:rFonts w:hint="eastAsia" w:ascii="仿宋_GB2312" w:hAnsi="仿宋" w:eastAsia="仿宋_GB2312"/>
          <w:color w:val="000000"/>
          <w:sz w:val="32"/>
          <w:szCs w:val="32"/>
        </w:rPr>
        <w:drawing>
          <wp:inline distT="0" distB="0" distL="0" distR="0">
            <wp:extent cx="4563110" cy="2915285"/>
            <wp:effectExtent l="4445" t="4445" r="23495" b="13970"/>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pStyle w:val="7"/>
        <w:jc w:val="center"/>
      </w:pPr>
    </w:p>
    <w:p>
      <w:pPr>
        <w:pStyle w:val="5"/>
        <w:pageBreakBefore w:val="0"/>
        <w:widowControl w:val="0"/>
        <w:kinsoku/>
        <w:wordWrap/>
        <w:overflowPunct/>
        <w:topLinePunct w:val="0"/>
        <w:autoSpaceDE/>
        <w:autoSpaceDN/>
        <w:bidi w:val="0"/>
        <w:adjustRightInd/>
        <w:snapToGrid/>
        <w:spacing w:before="0" w:after="0" w:line="576" w:lineRule="exact"/>
        <w:ind w:firstLine="643" w:firstLineChars="200"/>
        <w:textAlignment w:val="auto"/>
        <w:rPr>
          <w:rFonts w:ascii="黑体" w:eastAsia="黑体" w:cs="Times New Roman"/>
          <w:bCs w:val="0"/>
          <w:color w:val="000000"/>
        </w:rPr>
      </w:pPr>
      <w:bookmarkStart w:id="40" w:name="_Toc15377209"/>
      <w:bookmarkStart w:id="41" w:name="_Toc111208503"/>
      <w:bookmarkStart w:id="42" w:name="_Toc15347"/>
      <w:r>
        <w:rPr>
          <w:rFonts w:hint="eastAsia" w:ascii="黑体" w:eastAsia="黑体" w:cs="Times New Roman"/>
          <w:bCs w:val="0"/>
          <w:color w:val="000000"/>
        </w:rPr>
        <w:t>五、一般公共预算财政拨款支出决算情况说</w:t>
      </w:r>
      <w:bookmarkEnd w:id="40"/>
      <w:r>
        <w:rPr>
          <w:rFonts w:hint="eastAsia" w:ascii="黑体" w:eastAsia="黑体" w:cs="Times New Roman"/>
          <w:bCs w:val="0"/>
          <w:color w:val="000000"/>
        </w:rPr>
        <w:t>明</w:t>
      </w:r>
      <w:bookmarkEnd w:id="41"/>
      <w:bookmarkEnd w:id="42"/>
    </w:p>
    <w:p>
      <w:pPr>
        <w:pageBreakBefore w:val="0"/>
        <w:widowControl w:val="0"/>
        <w:kinsoku/>
        <w:wordWrap/>
        <w:overflowPunct/>
        <w:topLinePunct w:val="0"/>
        <w:autoSpaceDE/>
        <w:autoSpaceDN/>
        <w:bidi w:val="0"/>
        <w:adjustRightInd/>
        <w:snapToGrid/>
        <w:spacing w:line="576" w:lineRule="exact"/>
        <w:ind w:firstLine="643" w:firstLineChars="200"/>
        <w:textAlignment w:val="auto"/>
        <w:outlineLvl w:val="2"/>
        <w:rPr>
          <w:rFonts w:ascii="仿宋" w:hAnsi="仿宋" w:eastAsia="仿宋"/>
          <w:b/>
          <w:color w:val="000000"/>
          <w:sz w:val="32"/>
          <w:szCs w:val="32"/>
        </w:rPr>
      </w:pPr>
      <w:bookmarkStart w:id="43" w:name="_Toc15377210"/>
      <w:r>
        <w:rPr>
          <w:rFonts w:hint="eastAsia" w:ascii="仿宋" w:hAnsi="仿宋" w:eastAsia="仿宋"/>
          <w:b/>
          <w:color w:val="000000"/>
          <w:sz w:val="32"/>
          <w:szCs w:val="32"/>
        </w:rPr>
        <w:t>（一）一般公共预算财政拨款支出决算总体情况</w:t>
      </w:r>
      <w:bookmarkEnd w:id="43"/>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 w:eastAsia="仿宋_GB2312"/>
          <w:color w:val="000000"/>
          <w:sz w:val="32"/>
          <w:szCs w:val="32"/>
        </w:rPr>
      </w:pPr>
      <w:bookmarkStart w:id="44" w:name="_Toc15377211"/>
      <w:r>
        <w:rPr>
          <w:rFonts w:hint="eastAsia" w:ascii="仿宋" w:hAnsi="仿宋" w:eastAsia="仿宋"/>
          <w:color w:val="000000"/>
          <w:sz w:val="32"/>
          <w:szCs w:val="32"/>
        </w:rPr>
        <w:t xml:space="preserve">2021年一般公共预算财政拨款支出393.32万元，占本年支出合计的100.00%。与2020相比，一般公共预算财政拨款增加39.65万元，增加11.21 %。 </w:t>
      </w:r>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 w:eastAsia="仿宋_GB2312"/>
          <w:b/>
          <w:color w:val="000000"/>
          <w:sz w:val="32"/>
          <w:szCs w:val="32"/>
        </w:rPr>
      </w:pPr>
      <w:r>
        <w:rPr>
          <w:rFonts w:hint="eastAsia" w:ascii="仿宋" w:hAnsi="仿宋" w:eastAsia="仿宋"/>
          <w:color w:val="000000"/>
          <w:sz w:val="32"/>
          <w:szCs w:val="32"/>
        </w:rPr>
        <w:t>（图5：一般公共预算财政拨款支出决算变动情况）</w:t>
      </w:r>
    </w:p>
    <w:p>
      <w:pPr>
        <w:pStyle w:val="7"/>
        <w:ind w:firstLine="0"/>
        <w:rPr>
          <w:rFonts w:ascii="仿宋_GB2312" w:hAnsi="仿宋" w:eastAsia="仿宋_GB2312"/>
          <w:b/>
          <w:color w:val="000000"/>
          <w:sz w:val="32"/>
          <w:szCs w:val="32"/>
        </w:rPr>
      </w:pPr>
      <w:r>
        <w:rPr>
          <w:rFonts w:hint="eastAsia" w:ascii="仿宋_GB2312" w:hAnsi="仿宋" w:eastAsia="仿宋_GB2312"/>
          <w:b/>
          <w:color w:val="000000"/>
          <w:sz w:val="32"/>
          <w:szCs w:val="32"/>
          <w:lang w:val="en-US" w:eastAsia="zh-CN"/>
        </w:rPr>
        <w:t xml:space="preserve">  </w:t>
      </w:r>
      <w:r>
        <w:rPr>
          <w:rFonts w:hint="eastAsia" w:ascii="仿宋_GB2312" w:hAnsi="仿宋" w:eastAsia="仿宋_GB2312"/>
          <w:b/>
          <w:color w:val="000000"/>
          <w:sz w:val="32"/>
          <w:szCs w:val="32"/>
        </w:rPr>
        <w:drawing>
          <wp:inline distT="0" distB="0" distL="0" distR="0">
            <wp:extent cx="4905375" cy="3569970"/>
            <wp:effectExtent l="4445" t="4445" r="5080" b="6985"/>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ind w:firstLine="643" w:firstLineChars="200"/>
        <w:outlineLvl w:val="2"/>
        <w:rPr>
          <w:rFonts w:ascii="仿宋" w:hAnsi="仿宋" w:eastAsia="仿宋"/>
          <w:b/>
          <w:color w:val="000000"/>
          <w:sz w:val="32"/>
          <w:szCs w:val="32"/>
        </w:rPr>
      </w:pPr>
      <w:r>
        <w:rPr>
          <w:rFonts w:hint="eastAsia" w:ascii="仿宋" w:hAnsi="仿宋" w:eastAsia="仿宋"/>
          <w:b/>
          <w:color w:val="000000"/>
          <w:sz w:val="32"/>
          <w:szCs w:val="32"/>
        </w:rPr>
        <w:t>（二）一般公共预算财政拨款支出决算结构情况</w:t>
      </w:r>
      <w:bookmarkEnd w:id="44"/>
      <w:r>
        <w:rPr>
          <w:rFonts w:hint="eastAsia" w:ascii="仿宋" w:hAnsi="仿宋" w:eastAsia="仿宋"/>
          <w:b/>
          <w:color w:val="000000"/>
          <w:sz w:val="32"/>
          <w:szCs w:val="32"/>
        </w:rPr>
        <w:t>（一般公共预算收支表）</w:t>
      </w:r>
    </w:p>
    <w:p>
      <w:pPr>
        <w:spacing w:line="600" w:lineRule="exact"/>
        <w:ind w:firstLine="640" w:firstLineChars="200"/>
        <w:rPr>
          <w:rFonts w:ascii="仿宋_GB2312" w:hAnsi="仿宋" w:eastAsia="仿宋_GB2312"/>
          <w:color w:val="000000" w:themeColor="text1"/>
          <w:sz w:val="32"/>
          <w:szCs w:val="32"/>
        </w:rPr>
      </w:pPr>
      <w:r>
        <w:rPr>
          <w:rFonts w:hint="eastAsia" w:ascii="仿宋" w:hAnsi="仿宋" w:eastAsia="仿宋"/>
          <w:color w:val="000000"/>
          <w:sz w:val="32"/>
          <w:szCs w:val="32"/>
        </w:rPr>
        <w:t>2021年一般公共预算财政拨款支出393.32万元，主要用于以下方面:公共安全支出325.18万元，占82.68%；社会保障和就业支出29.96万元，占7.62%；卫生健康支出15.20万元，占3.86%；农林水支出0.33万元，占0.08%；住房保障支出22.64万元，占5.76%。</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（图6：一般公共预算财政拨款支出决算结构）</w:t>
      </w:r>
      <w:bookmarkStart w:id="45" w:name="_Toc15377212"/>
    </w:p>
    <w:p>
      <w:pPr>
        <w:pStyle w:val="7"/>
      </w:pPr>
      <w:r>
        <w:drawing>
          <wp:inline distT="0" distB="0" distL="0" distR="0">
            <wp:extent cx="4333240" cy="2886075"/>
            <wp:effectExtent l="0" t="0" r="10160" b="952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pageBreakBefore w:val="0"/>
        <w:widowControl w:val="0"/>
        <w:kinsoku/>
        <w:wordWrap/>
        <w:overflowPunct/>
        <w:topLinePunct w:val="0"/>
        <w:autoSpaceDE/>
        <w:autoSpaceDN/>
        <w:bidi w:val="0"/>
        <w:adjustRightInd/>
        <w:snapToGrid/>
        <w:spacing w:line="576" w:lineRule="exact"/>
        <w:ind w:firstLine="643" w:firstLineChars="200"/>
        <w:textAlignment w:val="auto"/>
        <w:outlineLvl w:val="2"/>
        <w:rPr>
          <w:rFonts w:ascii="仿宋" w:hAnsi="仿宋" w:eastAsia="仿宋"/>
          <w:b/>
          <w:color w:val="000000"/>
          <w:sz w:val="32"/>
          <w:szCs w:val="32"/>
        </w:rPr>
      </w:pPr>
      <w:r>
        <w:rPr>
          <w:rFonts w:hint="eastAsia" w:ascii="仿宋" w:hAnsi="仿宋" w:eastAsia="仿宋"/>
          <w:b/>
          <w:color w:val="000000"/>
          <w:sz w:val="32"/>
          <w:szCs w:val="32"/>
        </w:rPr>
        <w:t>（三）一般公共预算财政拨款支出决算具体情况</w:t>
      </w:r>
      <w:bookmarkEnd w:id="45"/>
    </w:p>
    <w:p>
      <w:pPr>
        <w:pageBreakBefore w:val="0"/>
        <w:widowControl w:val="0"/>
        <w:kinsoku/>
        <w:wordWrap/>
        <w:overflowPunct/>
        <w:topLinePunct w:val="0"/>
        <w:autoSpaceDE/>
        <w:autoSpaceDN/>
        <w:bidi w:val="0"/>
        <w:adjustRightInd/>
        <w:snapToGrid/>
        <w:spacing w:line="576" w:lineRule="exact"/>
        <w:ind w:firstLine="640"/>
        <w:textAlignment w:val="auto"/>
        <w:rPr>
          <w:rFonts w:ascii="仿宋" w:hAnsi="仿宋" w:eastAsia="仿宋"/>
          <w:color w:val="000000"/>
          <w:sz w:val="32"/>
          <w:szCs w:val="32"/>
        </w:rPr>
      </w:pPr>
      <w:bookmarkStart w:id="46" w:name="_Toc15378460"/>
      <w:bookmarkStart w:id="47" w:name="_Toc15377444"/>
      <w:bookmarkStart w:id="48" w:name="_Toc15377213"/>
      <w:r>
        <w:rPr>
          <w:rFonts w:hint="eastAsia" w:ascii="仿宋" w:hAnsi="仿宋" w:eastAsia="仿宋"/>
          <w:color w:val="000000"/>
          <w:sz w:val="32"/>
          <w:szCs w:val="32"/>
        </w:rPr>
        <w:t>2021年一般公共预算支出决算数为393.32万元，完成预算100%。其中：</w:t>
      </w:r>
      <w:bookmarkEnd w:id="46"/>
      <w:bookmarkEnd w:id="47"/>
      <w:bookmarkEnd w:id="48"/>
    </w:p>
    <w:p>
      <w:pPr>
        <w:pageBreakBefore w:val="0"/>
        <w:widowControl w:val="0"/>
        <w:kinsoku/>
        <w:wordWrap/>
        <w:overflowPunct/>
        <w:topLinePunct w:val="0"/>
        <w:autoSpaceDE/>
        <w:autoSpaceDN/>
        <w:bidi w:val="0"/>
        <w:adjustRightInd/>
        <w:snapToGrid/>
        <w:spacing w:line="576" w:lineRule="exact"/>
        <w:ind w:firstLine="640"/>
        <w:textAlignment w:val="auto"/>
        <w:rPr>
          <w:rFonts w:hint="eastAsia" w:ascii="仿宋" w:hAnsi="仿宋" w:eastAsia="仿宋"/>
          <w:color w:val="000000"/>
          <w:sz w:val="32"/>
          <w:szCs w:val="32"/>
          <w:lang w:eastAsia="zh-CN"/>
        </w:rPr>
      </w:pPr>
      <w:r>
        <w:rPr>
          <w:rFonts w:hint="eastAsia" w:ascii="仿宋" w:hAnsi="仿宋" w:eastAsia="仿宋"/>
          <w:color w:val="000000"/>
          <w:sz w:val="32"/>
          <w:szCs w:val="32"/>
        </w:rPr>
        <w:t>1.公共安全支出（204）公安（20402）行政运行（2040201）支出决算240.53万元，完成预算100%。</w:t>
      </w:r>
    </w:p>
    <w:p>
      <w:pPr>
        <w:pageBreakBefore w:val="0"/>
        <w:widowControl w:val="0"/>
        <w:kinsoku/>
        <w:wordWrap/>
        <w:overflowPunct/>
        <w:topLinePunct w:val="0"/>
        <w:autoSpaceDE/>
        <w:autoSpaceDN/>
        <w:bidi w:val="0"/>
        <w:adjustRightInd/>
        <w:snapToGrid/>
        <w:spacing w:line="576" w:lineRule="exact"/>
        <w:ind w:firstLine="640"/>
        <w:textAlignment w:val="auto"/>
        <w:rPr>
          <w:rFonts w:hint="eastAsia" w:ascii="仿宋" w:hAnsi="仿宋" w:eastAsia="仿宋"/>
          <w:color w:val="000000"/>
          <w:sz w:val="32"/>
          <w:szCs w:val="32"/>
          <w:lang w:eastAsia="zh-CN"/>
        </w:rPr>
      </w:pPr>
      <w:r>
        <w:rPr>
          <w:rFonts w:hint="eastAsia" w:ascii="仿宋" w:hAnsi="仿宋" w:eastAsia="仿宋"/>
          <w:color w:val="000000"/>
          <w:sz w:val="32"/>
          <w:szCs w:val="32"/>
        </w:rPr>
        <w:tab/>
      </w:r>
      <w:r>
        <w:rPr>
          <w:rFonts w:hint="eastAsia" w:ascii="仿宋" w:hAnsi="仿宋" w:eastAsia="仿宋"/>
          <w:color w:val="000000"/>
          <w:sz w:val="32"/>
          <w:szCs w:val="32"/>
        </w:rPr>
        <w:t>2.公共安全支出（204）公安（20402）一般行政管理事务（2040202）支出决算54.98万元，完成预算100%。</w:t>
      </w:r>
    </w:p>
    <w:p>
      <w:pPr>
        <w:pageBreakBefore w:val="0"/>
        <w:widowControl w:val="0"/>
        <w:kinsoku/>
        <w:wordWrap/>
        <w:overflowPunct/>
        <w:topLinePunct w:val="0"/>
        <w:autoSpaceDE/>
        <w:autoSpaceDN/>
        <w:bidi w:val="0"/>
        <w:adjustRightInd/>
        <w:snapToGrid/>
        <w:spacing w:line="576" w:lineRule="exact"/>
        <w:ind w:firstLine="640"/>
        <w:textAlignment w:val="auto"/>
        <w:rPr>
          <w:rFonts w:hint="eastAsia" w:ascii="仿宋" w:hAnsi="仿宋" w:eastAsia="仿宋"/>
          <w:color w:val="000000"/>
          <w:sz w:val="32"/>
          <w:szCs w:val="32"/>
          <w:lang w:eastAsia="zh-CN"/>
        </w:rPr>
      </w:pPr>
      <w:r>
        <w:rPr>
          <w:rFonts w:hint="eastAsia" w:ascii="仿宋" w:hAnsi="仿宋" w:eastAsia="仿宋"/>
          <w:color w:val="000000"/>
          <w:sz w:val="32"/>
          <w:szCs w:val="32"/>
        </w:rPr>
        <w:tab/>
      </w:r>
      <w:r>
        <w:rPr>
          <w:rFonts w:hint="eastAsia" w:ascii="仿宋" w:hAnsi="仿宋" w:eastAsia="仿宋"/>
          <w:color w:val="000000"/>
          <w:sz w:val="32"/>
          <w:szCs w:val="32"/>
        </w:rPr>
        <w:t>3.公共安全支出（204）公安（20402）事业运行（2040250）支出决算21.25万元，完成预算100%。</w:t>
      </w:r>
    </w:p>
    <w:p>
      <w:pPr>
        <w:pageBreakBefore w:val="0"/>
        <w:widowControl w:val="0"/>
        <w:kinsoku/>
        <w:wordWrap/>
        <w:overflowPunct/>
        <w:topLinePunct w:val="0"/>
        <w:autoSpaceDE/>
        <w:autoSpaceDN/>
        <w:bidi w:val="0"/>
        <w:adjustRightInd/>
        <w:snapToGrid/>
        <w:spacing w:line="576" w:lineRule="exact"/>
        <w:ind w:firstLine="640"/>
        <w:textAlignment w:val="auto"/>
        <w:rPr>
          <w:rFonts w:hint="eastAsia" w:ascii="仿宋" w:hAnsi="仿宋" w:eastAsia="仿宋"/>
          <w:color w:val="000000"/>
          <w:sz w:val="32"/>
          <w:szCs w:val="32"/>
          <w:lang w:eastAsia="zh-CN"/>
        </w:rPr>
      </w:pPr>
      <w:r>
        <w:rPr>
          <w:rFonts w:hint="eastAsia" w:ascii="仿宋" w:hAnsi="仿宋" w:eastAsia="仿宋"/>
          <w:color w:val="000000"/>
          <w:sz w:val="32"/>
          <w:szCs w:val="32"/>
        </w:rPr>
        <w:tab/>
      </w:r>
      <w:r>
        <w:rPr>
          <w:rFonts w:hint="eastAsia" w:ascii="仿宋" w:hAnsi="仿宋" w:eastAsia="仿宋"/>
          <w:color w:val="000000"/>
          <w:sz w:val="32"/>
          <w:szCs w:val="32"/>
        </w:rPr>
        <w:t>4.公共安全支出（204）公安（20402）其他公安支出（2040299）支出决算8.42万元，完成预算100%。</w:t>
      </w:r>
    </w:p>
    <w:p>
      <w:pPr>
        <w:pageBreakBefore w:val="0"/>
        <w:widowControl w:val="0"/>
        <w:kinsoku/>
        <w:wordWrap/>
        <w:overflowPunct/>
        <w:topLinePunct w:val="0"/>
        <w:autoSpaceDE/>
        <w:autoSpaceDN/>
        <w:bidi w:val="0"/>
        <w:adjustRightInd/>
        <w:snapToGrid/>
        <w:spacing w:line="576" w:lineRule="exact"/>
        <w:ind w:firstLine="640"/>
        <w:textAlignment w:val="auto"/>
        <w:rPr>
          <w:rFonts w:hint="eastAsia" w:ascii="仿宋" w:hAnsi="仿宋" w:eastAsia="仿宋"/>
          <w:color w:val="000000"/>
          <w:sz w:val="32"/>
          <w:szCs w:val="32"/>
          <w:lang w:eastAsia="zh-CN"/>
        </w:rPr>
      </w:pPr>
      <w:r>
        <w:rPr>
          <w:rFonts w:hint="eastAsia" w:ascii="仿宋" w:hAnsi="仿宋" w:eastAsia="仿宋"/>
          <w:color w:val="000000"/>
          <w:sz w:val="32"/>
          <w:szCs w:val="32"/>
        </w:rPr>
        <w:tab/>
      </w:r>
      <w:r>
        <w:rPr>
          <w:rFonts w:hint="eastAsia" w:ascii="仿宋" w:hAnsi="仿宋" w:eastAsia="仿宋"/>
          <w:color w:val="000000"/>
          <w:sz w:val="32"/>
          <w:szCs w:val="32"/>
        </w:rPr>
        <w:t>5.社会保障和就业支出（208）行政事业单位养老支出（20805）机关事业单位基本养老保险缴费支出（2080505）支出决算19.98万元，完成预算100%。</w:t>
      </w:r>
    </w:p>
    <w:p>
      <w:pPr>
        <w:pageBreakBefore w:val="0"/>
        <w:widowControl w:val="0"/>
        <w:kinsoku/>
        <w:wordWrap/>
        <w:overflowPunct/>
        <w:topLinePunct w:val="0"/>
        <w:autoSpaceDE/>
        <w:autoSpaceDN/>
        <w:bidi w:val="0"/>
        <w:adjustRightInd/>
        <w:snapToGrid/>
        <w:spacing w:line="576" w:lineRule="exact"/>
        <w:ind w:firstLine="640"/>
        <w:textAlignment w:val="auto"/>
        <w:rPr>
          <w:rFonts w:hint="eastAsia" w:ascii="仿宋" w:hAnsi="仿宋" w:eastAsia="仿宋"/>
          <w:color w:val="000000"/>
          <w:sz w:val="32"/>
          <w:szCs w:val="32"/>
          <w:lang w:eastAsia="zh-CN"/>
        </w:rPr>
      </w:pPr>
      <w:r>
        <w:rPr>
          <w:rFonts w:hint="eastAsia" w:ascii="仿宋" w:hAnsi="仿宋" w:eastAsia="仿宋"/>
          <w:color w:val="000000"/>
          <w:sz w:val="32"/>
          <w:szCs w:val="32"/>
        </w:rPr>
        <w:tab/>
      </w:r>
      <w:r>
        <w:rPr>
          <w:rFonts w:hint="eastAsia" w:ascii="仿宋" w:hAnsi="仿宋" w:eastAsia="仿宋"/>
          <w:color w:val="000000"/>
          <w:sz w:val="32"/>
          <w:szCs w:val="32"/>
        </w:rPr>
        <w:t>6.社会保障和就业支出（208）行政事业单位养老支出（20805）机关事业单位职业年金缴费支出（2080506）支出决算9.99万元，完成预算100%。</w:t>
      </w:r>
    </w:p>
    <w:p>
      <w:pPr>
        <w:pageBreakBefore w:val="0"/>
        <w:widowControl w:val="0"/>
        <w:kinsoku/>
        <w:wordWrap/>
        <w:overflowPunct/>
        <w:topLinePunct w:val="0"/>
        <w:autoSpaceDE/>
        <w:autoSpaceDN/>
        <w:bidi w:val="0"/>
        <w:adjustRightInd/>
        <w:snapToGrid/>
        <w:spacing w:line="576" w:lineRule="exact"/>
        <w:ind w:firstLine="640"/>
        <w:textAlignment w:val="auto"/>
        <w:rPr>
          <w:rFonts w:hint="eastAsia" w:ascii="仿宋" w:hAnsi="仿宋" w:eastAsia="仿宋"/>
          <w:color w:val="000000"/>
          <w:sz w:val="32"/>
          <w:szCs w:val="32"/>
          <w:lang w:eastAsia="zh-CN"/>
        </w:rPr>
      </w:pPr>
      <w:r>
        <w:rPr>
          <w:rFonts w:hint="eastAsia" w:ascii="仿宋" w:hAnsi="仿宋" w:eastAsia="仿宋"/>
          <w:color w:val="000000"/>
          <w:sz w:val="32"/>
          <w:szCs w:val="32"/>
        </w:rPr>
        <w:tab/>
      </w:r>
      <w:r>
        <w:rPr>
          <w:rFonts w:hint="eastAsia" w:ascii="仿宋" w:hAnsi="仿宋" w:eastAsia="仿宋"/>
          <w:color w:val="000000"/>
          <w:sz w:val="32"/>
          <w:szCs w:val="32"/>
        </w:rPr>
        <w:t>7.卫生健康支出（210）行政事业单位医疗（21011）行政单位医疗（2101101）支出决算13.81万元，完成预算100%。</w:t>
      </w:r>
    </w:p>
    <w:p>
      <w:pPr>
        <w:pageBreakBefore w:val="0"/>
        <w:widowControl w:val="0"/>
        <w:kinsoku/>
        <w:wordWrap/>
        <w:overflowPunct/>
        <w:topLinePunct w:val="0"/>
        <w:autoSpaceDE/>
        <w:autoSpaceDN/>
        <w:bidi w:val="0"/>
        <w:adjustRightInd/>
        <w:snapToGrid/>
        <w:spacing w:line="576" w:lineRule="exact"/>
        <w:ind w:firstLine="640"/>
        <w:textAlignment w:val="auto"/>
        <w:rPr>
          <w:rFonts w:hint="eastAsia" w:ascii="仿宋" w:hAnsi="仿宋" w:eastAsia="仿宋"/>
          <w:color w:val="000000"/>
          <w:sz w:val="32"/>
          <w:szCs w:val="32"/>
          <w:lang w:eastAsia="zh-CN"/>
        </w:rPr>
      </w:pPr>
      <w:r>
        <w:rPr>
          <w:rFonts w:hint="eastAsia" w:ascii="仿宋" w:hAnsi="仿宋" w:eastAsia="仿宋"/>
          <w:color w:val="000000"/>
          <w:sz w:val="32"/>
          <w:szCs w:val="32"/>
        </w:rPr>
        <w:tab/>
      </w:r>
      <w:r>
        <w:rPr>
          <w:rFonts w:hint="eastAsia" w:ascii="仿宋" w:hAnsi="仿宋" w:eastAsia="仿宋"/>
          <w:color w:val="000000"/>
          <w:sz w:val="32"/>
          <w:szCs w:val="32"/>
        </w:rPr>
        <w:t>8.卫生健康支出（210）行政事业单位医疗（21011）事业单位医疗（2101102）支出决算1.39万元，完成预算100%。</w:t>
      </w:r>
    </w:p>
    <w:p>
      <w:pPr>
        <w:pageBreakBefore w:val="0"/>
        <w:widowControl w:val="0"/>
        <w:kinsoku/>
        <w:wordWrap/>
        <w:overflowPunct/>
        <w:topLinePunct w:val="0"/>
        <w:autoSpaceDE/>
        <w:autoSpaceDN/>
        <w:bidi w:val="0"/>
        <w:adjustRightInd/>
        <w:snapToGrid/>
        <w:spacing w:line="576" w:lineRule="exact"/>
        <w:ind w:firstLine="640"/>
        <w:textAlignment w:val="auto"/>
        <w:rPr>
          <w:rFonts w:hint="eastAsia" w:ascii="仿宋" w:hAnsi="仿宋" w:eastAsia="仿宋"/>
          <w:color w:val="000000"/>
          <w:sz w:val="32"/>
          <w:szCs w:val="32"/>
          <w:lang w:eastAsia="zh-CN"/>
        </w:rPr>
      </w:pPr>
      <w:r>
        <w:rPr>
          <w:rFonts w:hint="eastAsia" w:ascii="仿宋" w:hAnsi="仿宋" w:eastAsia="仿宋"/>
          <w:color w:val="000000"/>
          <w:sz w:val="32"/>
          <w:szCs w:val="32"/>
        </w:rPr>
        <w:tab/>
      </w:r>
      <w:r>
        <w:rPr>
          <w:rFonts w:hint="eastAsia" w:ascii="仿宋" w:hAnsi="仿宋" w:eastAsia="仿宋"/>
          <w:color w:val="000000"/>
          <w:sz w:val="32"/>
          <w:szCs w:val="32"/>
        </w:rPr>
        <w:t>9.农林水支出（213）扶贫（21305）其他扶贫支出（2130599）支出决算0.33万元，完成预算100%。</w:t>
      </w:r>
    </w:p>
    <w:p>
      <w:pPr>
        <w:pageBreakBefore w:val="0"/>
        <w:widowControl w:val="0"/>
        <w:kinsoku/>
        <w:wordWrap/>
        <w:overflowPunct/>
        <w:topLinePunct w:val="0"/>
        <w:autoSpaceDE/>
        <w:autoSpaceDN/>
        <w:bidi w:val="0"/>
        <w:adjustRightInd/>
        <w:snapToGrid/>
        <w:spacing w:line="576" w:lineRule="exact"/>
        <w:ind w:firstLine="640"/>
        <w:textAlignment w:val="auto"/>
        <w:rPr>
          <w:rFonts w:ascii="仿宋" w:hAnsi="仿宋" w:eastAsia="仿宋"/>
          <w:color w:val="000000"/>
          <w:sz w:val="32"/>
          <w:szCs w:val="32"/>
        </w:rPr>
      </w:pPr>
      <w:r>
        <w:rPr>
          <w:rFonts w:hint="eastAsia" w:ascii="仿宋" w:hAnsi="仿宋" w:eastAsia="仿宋"/>
          <w:color w:val="000000"/>
          <w:sz w:val="32"/>
          <w:szCs w:val="32"/>
        </w:rPr>
        <w:tab/>
      </w:r>
      <w:r>
        <w:rPr>
          <w:rFonts w:hint="eastAsia" w:ascii="仿宋" w:hAnsi="仿宋" w:eastAsia="仿宋"/>
          <w:color w:val="000000"/>
          <w:sz w:val="32"/>
          <w:szCs w:val="32"/>
        </w:rPr>
        <w:t>10.住房保障支出（221）住房改革支出（22102）住房公积金（2210201）支出决算22.64万元，完成预算100%。</w:t>
      </w:r>
    </w:p>
    <w:p>
      <w:pPr>
        <w:pStyle w:val="5"/>
        <w:pageBreakBefore w:val="0"/>
        <w:widowControl w:val="0"/>
        <w:kinsoku/>
        <w:wordWrap/>
        <w:overflowPunct/>
        <w:topLinePunct w:val="0"/>
        <w:autoSpaceDE/>
        <w:autoSpaceDN/>
        <w:bidi w:val="0"/>
        <w:adjustRightInd/>
        <w:snapToGrid/>
        <w:spacing w:before="0" w:after="0" w:line="576" w:lineRule="exact"/>
        <w:ind w:firstLine="643" w:firstLineChars="200"/>
        <w:textAlignment w:val="auto"/>
        <w:rPr>
          <w:rFonts w:ascii="黑体" w:eastAsia="黑体" w:cs="Times New Roman"/>
          <w:b w:val="0"/>
          <w:color w:val="000000"/>
        </w:rPr>
      </w:pPr>
      <w:bookmarkStart w:id="49" w:name="_Toc15377214"/>
      <w:bookmarkStart w:id="50" w:name="_Toc111208504"/>
      <w:bookmarkStart w:id="51" w:name="_Toc10644"/>
      <w:r>
        <w:rPr>
          <w:rFonts w:hint="eastAsia" w:ascii="黑体" w:eastAsia="黑体" w:cs="Times New Roman"/>
          <w:bCs w:val="0"/>
          <w:color w:val="000000"/>
        </w:rPr>
        <w:t>六、一般公共预算财政拨款基本支出决算情况说</w:t>
      </w:r>
      <w:bookmarkEnd w:id="49"/>
      <w:r>
        <w:rPr>
          <w:rFonts w:hint="eastAsia" w:ascii="黑体" w:eastAsia="黑体" w:cs="Times New Roman"/>
          <w:bCs w:val="0"/>
          <w:color w:val="000000"/>
        </w:rPr>
        <w:t>明</w:t>
      </w:r>
      <w:bookmarkEnd w:id="50"/>
      <w:bookmarkEnd w:id="51"/>
    </w:p>
    <w:p>
      <w:pPr>
        <w:pageBreakBefore w:val="0"/>
        <w:widowControl w:val="0"/>
        <w:kinsoku/>
        <w:wordWrap/>
        <w:overflowPunct/>
        <w:topLinePunct w:val="0"/>
        <w:autoSpaceDE/>
        <w:autoSpaceDN/>
        <w:bidi w:val="0"/>
        <w:adjustRightInd/>
        <w:snapToGrid/>
        <w:spacing w:line="576" w:lineRule="exact"/>
        <w:ind w:firstLine="640"/>
        <w:textAlignment w:val="auto"/>
        <w:rPr>
          <w:rFonts w:ascii="仿宋" w:hAnsi="仿宋" w:eastAsia="仿宋"/>
          <w:color w:val="000000"/>
          <w:sz w:val="32"/>
          <w:szCs w:val="32"/>
        </w:rPr>
      </w:pPr>
      <w:r>
        <w:rPr>
          <w:rFonts w:hint="eastAsia" w:ascii="仿宋" w:hAnsi="仿宋" w:eastAsia="仿宋"/>
          <w:color w:val="000000"/>
          <w:sz w:val="32"/>
          <w:szCs w:val="32"/>
        </w:rPr>
        <w:t>2021年一般公共预算财政拨款基本支出329.59万元，其中：</w:t>
      </w:r>
    </w:p>
    <w:p>
      <w:pPr>
        <w:pageBreakBefore w:val="0"/>
        <w:widowControl w:val="0"/>
        <w:kinsoku/>
        <w:wordWrap/>
        <w:overflowPunct/>
        <w:topLinePunct w:val="0"/>
        <w:autoSpaceDE/>
        <w:autoSpaceDN/>
        <w:bidi w:val="0"/>
        <w:adjustRightInd/>
        <w:snapToGrid/>
        <w:spacing w:line="576" w:lineRule="exact"/>
        <w:ind w:firstLine="640"/>
        <w:textAlignment w:val="auto"/>
        <w:rPr>
          <w:rFonts w:ascii="仿宋" w:hAnsi="仿宋" w:eastAsia="仿宋"/>
          <w:color w:val="000000"/>
          <w:sz w:val="32"/>
          <w:szCs w:val="32"/>
        </w:rPr>
      </w:pPr>
      <w:r>
        <w:rPr>
          <w:rFonts w:hint="eastAsia" w:ascii="仿宋" w:hAnsi="仿宋" w:eastAsia="仿宋"/>
          <w:color w:val="000000"/>
          <w:sz w:val="32"/>
          <w:szCs w:val="32"/>
        </w:rPr>
        <w:t>人员经费294.44万元，主要包括：基本工资63.60万元、津贴补贴68.85万元、奖金74.28万元、绩效工资9.37万元、机关事业单位基本养老保险缴费19.98万元、职业年金缴费9.99万元、职工基本医疗保险缴费15.20万元、其他社会保障缴费0.56万元、住房公积金22.64万元、医疗费1.85万元、生活补助8.06万元、医疗费补助0.06万元。</w:t>
      </w:r>
    </w:p>
    <w:p>
      <w:pPr>
        <w:pageBreakBefore w:val="0"/>
        <w:widowControl w:val="0"/>
        <w:kinsoku/>
        <w:wordWrap/>
        <w:overflowPunct/>
        <w:topLinePunct w:val="0"/>
        <w:autoSpaceDE/>
        <w:autoSpaceDN/>
        <w:bidi w:val="0"/>
        <w:adjustRightInd/>
        <w:snapToGrid/>
        <w:spacing w:line="576" w:lineRule="exact"/>
        <w:ind w:firstLine="640"/>
        <w:textAlignment w:val="auto"/>
        <w:rPr>
          <w:rFonts w:ascii="仿宋" w:hAnsi="仿宋" w:eastAsia="仿宋"/>
          <w:color w:val="000000"/>
          <w:sz w:val="32"/>
          <w:szCs w:val="32"/>
        </w:rPr>
      </w:pPr>
      <w:r>
        <w:rPr>
          <w:rFonts w:hint="eastAsia" w:ascii="仿宋" w:hAnsi="仿宋" w:eastAsia="仿宋"/>
          <w:color w:val="000000"/>
          <w:sz w:val="32"/>
          <w:szCs w:val="32"/>
        </w:rPr>
        <w:t>公用经费35.15万元，主要包括：办公费10.84万元、邮电费2.81万元、差旅费5.26万元、培训费1.00万元、公务接待费0.75万元、其他交通费用14.49万元。</w:t>
      </w:r>
    </w:p>
    <w:p>
      <w:pPr>
        <w:pStyle w:val="5"/>
        <w:pageBreakBefore w:val="0"/>
        <w:widowControl w:val="0"/>
        <w:kinsoku/>
        <w:wordWrap/>
        <w:overflowPunct/>
        <w:topLinePunct w:val="0"/>
        <w:autoSpaceDE/>
        <w:autoSpaceDN/>
        <w:bidi w:val="0"/>
        <w:adjustRightInd/>
        <w:snapToGrid/>
        <w:spacing w:before="0" w:after="0" w:line="576" w:lineRule="exact"/>
        <w:ind w:firstLine="643" w:firstLineChars="200"/>
        <w:textAlignment w:val="auto"/>
        <w:rPr>
          <w:rFonts w:ascii="黑体" w:eastAsia="黑体" w:cs="Times New Roman"/>
          <w:bCs w:val="0"/>
          <w:color w:val="000000"/>
        </w:rPr>
      </w:pPr>
      <w:bookmarkStart w:id="52" w:name="_Toc111208505"/>
      <w:bookmarkStart w:id="53" w:name="_Toc15377215"/>
      <w:bookmarkStart w:id="54" w:name="_Toc18131"/>
      <w:r>
        <w:rPr>
          <w:rFonts w:hint="eastAsia" w:ascii="黑体" w:eastAsia="黑体" w:cs="Times New Roman"/>
          <w:bCs w:val="0"/>
          <w:color w:val="000000"/>
        </w:rPr>
        <w:t>七、“三公”经费财政拨款支出决算情况说明</w:t>
      </w:r>
      <w:bookmarkEnd w:id="52"/>
      <w:bookmarkEnd w:id="53"/>
      <w:bookmarkEnd w:id="54"/>
    </w:p>
    <w:p>
      <w:pPr>
        <w:pageBreakBefore w:val="0"/>
        <w:widowControl w:val="0"/>
        <w:kinsoku/>
        <w:wordWrap/>
        <w:overflowPunct/>
        <w:topLinePunct w:val="0"/>
        <w:autoSpaceDE/>
        <w:autoSpaceDN/>
        <w:bidi w:val="0"/>
        <w:adjustRightInd/>
        <w:snapToGrid/>
        <w:spacing w:line="576" w:lineRule="exact"/>
        <w:ind w:firstLine="643" w:firstLineChars="200"/>
        <w:textAlignment w:val="auto"/>
        <w:outlineLvl w:val="2"/>
        <w:rPr>
          <w:rFonts w:ascii="仿宋" w:hAnsi="仿宋" w:eastAsia="仿宋"/>
          <w:b/>
          <w:color w:val="000000"/>
          <w:sz w:val="32"/>
          <w:szCs w:val="32"/>
        </w:rPr>
      </w:pPr>
      <w:bookmarkStart w:id="55" w:name="_Toc15377216"/>
      <w:r>
        <w:rPr>
          <w:rFonts w:hint="eastAsia" w:ascii="仿宋" w:hAnsi="仿宋" w:eastAsia="仿宋"/>
          <w:b/>
          <w:color w:val="000000"/>
          <w:sz w:val="32"/>
          <w:szCs w:val="32"/>
        </w:rPr>
        <w:t>（一）“三公”经费财政拨款支出决算总体情况说明</w:t>
      </w:r>
      <w:bookmarkEnd w:id="55"/>
    </w:p>
    <w:p>
      <w:pPr>
        <w:pageBreakBefore w:val="0"/>
        <w:widowControl w:val="0"/>
        <w:kinsoku/>
        <w:wordWrap/>
        <w:overflowPunct/>
        <w:topLinePunct w:val="0"/>
        <w:autoSpaceDE/>
        <w:autoSpaceDN/>
        <w:bidi w:val="0"/>
        <w:adjustRightInd/>
        <w:snapToGrid/>
        <w:spacing w:line="576" w:lineRule="exact"/>
        <w:ind w:firstLine="640"/>
        <w:textAlignment w:val="auto"/>
        <w:rPr>
          <w:rFonts w:ascii="仿宋" w:hAnsi="仿宋" w:eastAsia="仿宋"/>
          <w:color w:val="000000"/>
          <w:sz w:val="32"/>
          <w:szCs w:val="32"/>
        </w:rPr>
      </w:pPr>
      <w:r>
        <w:rPr>
          <w:rFonts w:hint="eastAsia" w:ascii="仿宋" w:hAnsi="仿宋" w:eastAsia="仿宋"/>
          <w:color w:val="000000"/>
          <w:sz w:val="32"/>
          <w:szCs w:val="32"/>
        </w:rPr>
        <w:t>2021年“三公”经费财政拨款支出决算为0.75万元，完成预算100.00%。</w:t>
      </w:r>
      <w:bookmarkStart w:id="56" w:name="_Toc15377217"/>
    </w:p>
    <w:p>
      <w:pPr>
        <w:pageBreakBefore w:val="0"/>
        <w:widowControl w:val="0"/>
        <w:kinsoku/>
        <w:wordWrap/>
        <w:overflowPunct/>
        <w:topLinePunct w:val="0"/>
        <w:autoSpaceDE/>
        <w:autoSpaceDN/>
        <w:bidi w:val="0"/>
        <w:adjustRightInd/>
        <w:snapToGrid/>
        <w:spacing w:line="576" w:lineRule="exact"/>
        <w:ind w:firstLine="643" w:firstLineChars="200"/>
        <w:textAlignment w:val="auto"/>
        <w:outlineLvl w:val="2"/>
        <w:rPr>
          <w:rFonts w:ascii="仿宋" w:hAnsi="仿宋" w:eastAsia="仿宋"/>
          <w:b/>
          <w:color w:val="000000"/>
          <w:sz w:val="32"/>
          <w:szCs w:val="32"/>
        </w:rPr>
      </w:pPr>
      <w:r>
        <w:rPr>
          <w:rFonts w:hint="eastAsia" w:ascii="仿宋" w:hAnsi="仿宋" w:eastAsia="仿宋"/>
          <w:b/>
          <w:color w:val="000000"/>
          <w:sz w:val="32"/>
          <w:szCs w:val="32"/>
        </w:rPr>
        <w:t>（二）“三公”经费财政拨款支出决算具体情况说明</w:t>
      </w:r>
      <w:bookmarkEnd w:id="56"/>
    </w:p>
    <w:p>
      <w:pPr>
        <w:pageBreakBefore w:val="0"/>
        <w:widowControl w:val="0"/>
        <w:kinsoku/>
        <w:wordWrap/>
        <w:overflowPunct/>
        <w:topLinePunct w:val="0"/>
        <w:autoSpaceDE/>
        <w:autoSpaceDN/>
        <w:bidi w:val="0"/>
        <w:adjustRightInd/>
        <w:snapToGrid/>
        <w:spacing w:line="576" w:lineRule="exact"/>
        <w:ind w:firstLine="640"/>
        <w:textAlignment w:val="auto"/>
        <w:rPr>
          <w:rFonts w:ascii="仿宋" w:hAnsi="仿宋" w:eastAsia="仿宋"/>
          <w:color w:val="000000"/>
          <w:sz w:val="32"/>
          <w:szCs w:val="32"/>
        </w:rPr>
      </w:pPr>
      <w:r>
        <w:rPr>
          <w:rFonts w:hint="eastAsia" w:ascii="仿宋" w:hAnsi="仿宋" w:eastAsia="仿宋"/>
          <w:color w:val="000000"/>
          <w:sz w:val="32"/>
          <w:szCs w:val="32"/>
        </w:rPr>
        <w:t>2021年“三公”经费财政拨款支出0.75万元，因公出国（境）费支出决算0.00万元，占0.00%；公务用车购置及运行维护费支出决算0.00万元，占0.00%；公务接待费支出决算0.75万元，占100.00%。具体情况如下：</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（图7：“三公”经费财政拨款支出结构）</w:t>
      </w:r>
    </w:p>
    <w:p>
      <w:pPr>
        <w:pStyle w:val="7"/>
        <w:rPr>
          <w:rFonts w:ascii="仿宋_GB2312" w:hAnsi="仿宋" w:eastAsia="仿宋_GB2312"/>
          <w:color w:val="000000"/>
          <w:sz w:val="32"/>
          <w:szCs w:val="32"/>
        </w:rPr>
      </w:pPr>
      <w:r>
        <w:drawing>
          <wp:inline distT="0" distB="0" distL="0" distR="0">
            <wp:extent cx="4333240" cy="2886075"/>
            <wp:effectExtent l="0" t="0" r="10160" b="9525"/>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pageBreakBefore w:val="0"/>
        <w:widowControl w:val="0"/>
        <w:kinsoku/>
        <w:wordWrap/>
        <w:overflowPunct/>
        <w:topLinePunct w:val="0"/>
        <w:autoSpaceDE/>
        <w:autoSpaceDN/>
        <w:bidi w:val="0"/>
        <w:adjustRightInd/>
        <w:snapToGrid/>
        <w:spacing w:line="576" w:lineRule="exact"/>
        <w:ind w:firstLine="640"/>
        <w:textAlignment w:val="auto"/>
        <w:rPr>
          <w:rFonts w:ascii="仿宋" w:hAnsi="仿宋" w:eastAsia="仿宋"/>
          <w:color w:val="000000"/>
          <w:sz w:val="32"/>
          <w:szCs w:val="32"/>
        </w:rPr>
      </w:pPr>
      <w:r>
        <w:rPr>
          <w:rFonts w:hint="eastAsia" w:ascii="仿宋" w:hAnsi="仿宋" w:eastAsia="仿宋"/>
          <w:color w:val="000000"/>
          <w:sz w:val="32"/>
          <w:szCs w:val="32"/>
        </w:rPr>
        <w:t xml:space="preserve">1.因公出国（境）经费支出0.00万元,完成预算100%。全年安排因公出国（境）团组0次，出国（境）0人。因公出国（境）支出决算比2020年增加0.00万元，增加100.00 %。 </w:t>
      </w:r>
    </w:p>
    <w:p>
      <w:pPr>
        <w:pageBreakBefore w:val="0"/>
        <w:widowControl w:val="0"/>
        <w:kinsoku/>
        <w:wordWrap/>
        <w:overflowPunct/>
        <w:topLinePunct w:val="0"/>
        <w:autoSpaceDE/>
        <w:autoSpaceDN/>
        <w:bidi w:val="0"/>
        <w:adjustRightInd/>
        <w:snapToGrid/>
        <w:spacing w:line="576" w:lineRule="exact"/>
        <w:ind w:firstLine="640"/>
        <w:textAlignment w:val="auto"/>
        <w:rPr>
          <w:rFonts w:ascii="仿宋" w:hAnsi="仿宋" w:eastAsia="仿宋"/>
          <w:color w:val="000000"/>
          <w:sz w:val="32"/>
          <w:szCs w:val="32"/>
        </w:rPr>
      </w:pPr>
      <w:r>
        <w:rPr>
          <w:rFonts w:hint="eastAsia" w:ascii="仿宋" w:hAnsi="仿宋" w:eastAsia="仿宋"/>
          <w:color w:val="000000"/>
          <w:sz w:val="32"/>
          <w:szCs w:val="32"/>
        </w:rPr>
        <w:t xml:space="preserve">2.公务用车购置及运行维护费支出0.00万元,完成预算0.00%。公务用车购置及运行维护费支出决算比2020年增加0.00万元，增加0%。 </w:t>
      </w:r>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 w:hAnsi="仿宋" w:eastAsia="仿宋"/>
          <w:color w:val="000000"/>
          <w:sz w:val="32"/>
          <w:szCs w:val="32"/>
        </w:rPr>
      </w:pPr>
      <w:r>
        <w:rPr>
          <w:rFonts w:hint="eastAsia" w:ascii="仿宋" w:hAnsi="仿宋" w:eastAsia="仿宋"/>
          <w:color w:val="000000"/>
          <w:sz w:val="32"/>
          <w:szCs w:val="32"/>
        </w:rPr>
        <w:t>其中：公务用车购置支出0.00万元。全年按规定更新购置公务用车0辆，其中：轿车0辆、金额0.00万元，越野车0辆、金额0.00万元，载客汽车0辆、金额0.00万元。截至</w:t>
      </w:r>
      <w:r>
        <w:rPr>
          <w:rFonts w:ascii="仿宋" w:hAnsi="仿宋" w:eastAsia="仿宋"/>
          <w:color w:val="000000"/>
          <w:sz w:val="32"/>
          <w:szCs w:val="32"/>
        </w:rPr>
        <w:t>20</w:t>
      </w:r>
      <w:r>
        <w:rPr>
          <w:rFonts w:hint="eastAsia" w:ascii="仿宋" w:hAnsi="仿宋" w:eastAsia="仿宋"/>
          <w:color w:val="000000"/>
          <w:sz w:val="32"/>
          <w:szCs w:val="32"/>
        </w:rPr>
        <w:t>21年</w:t>
      </w:r>
      <w:r>
        <w:rPr>
          <w:rFonts w:ascii="仿宋" w:hAnsi="仿宋" w:eastAsia="仿宋"/>
          <w:color w:val="000000"/>
          <w:sz w:val="32"/>
          <w:szCs w:val="32"/>
        </w:rPr>
        <w:t>12</w:t>
      </w:r>
      <w:r>
        <w:rPr>
          <w:rFonts w:hint="eastAsia" w:ascii="仿宋" w:hAnsi="仿宋" w:eastAsia="仿宋"/>
          <w:color w:val="000000"/>
          <w:sz w:val="32"/>
          <w:szCs w:val="32"/>
        </w:rPr>
        <w:t>月底，单位共有公务用车0辆，其中：轿车0辆、越野车0辆、载客汽车0辆。</w:t>
      </w:r>
    </w:p>
    <w:p>
      <w:pPr>
        <w:pageBreakBefore w:val="0"/>
        <w:widowControl w:val="0"/>
        <w:kinsoku/>
        <w:wordWrap/>
        <w:overflowPunct/>
        <w:topLinePunct w:val="0"/>
        <w:autoSpaceDE/>
        <w:autoSpaceDN/>
        <w:bidi w:val="0"/>
        <w:adjustRightInd/>
        <w:snapToGrid/>
        <w:spacing w:line="576" w:lineRule="exact"/>
        <w:ind w:firstLine="640"/>
        <w:textAlignment w:val="auto"/>
        <w:rPr>
          <w:rFonts w:ascii="仿宋" w:hAnsi="仿宋" w:eastAsia="仿宋"/>
          <w:color w:val="000000"/>
          <w:sz w:val="32"/>
          <w:szCs w:val="32"/>
        </w:rPr>
      </w:pPr>
      <w:r>
        <w:rPr>
          <w:rFonts w:hint="eastAsia" w:ascii="仿宋" w:hAnsi="仿宋" w:eastAsia="仿宋"/>
          <w:color w:val="000000"/>
          <w:sz w:val="32"/>
          <w:szCs w:val="32"/>
        </w:rPr>
        <w:t xml:space="preserve">公务用车运行维护费支出0.00万元。 </w:t>
      </w:r>
    </w:p>
    <w:p>
      <w:pPr>
        <w:pageBreakBefore w:val="0"/>
        <w:widowControl w:val="0"/>
        <w:kinsoku/>
        <w:wordWrap/>
        <w:overflowPunct/>
        <w:topLinePunct w:val="0"/>
        <w:autoSpaceDE/>
        <w:autoSpaceDN/>
        <w:bidi w:val="0"/>
        <w:adjustRightInd/>
        <w:snapToGrid/>
        <w:spacing w:line="576" w:lineRule="exact"/>
        <w:ind w:firstLine="640"/>
        <w:textAlignment w:val="auto"/>
        <w:rPr>
          <w:rFonts w:ascii="仿宋" w:hAnsi="仿宋" w:eastAsia="仿宋"/>
          <w:color w:val="000000"/>
          <w:sz w:val="32"/>
          <w:szCs w:val="32"/>
        </w:rPr>
      </w:pPr>
      <w:r>
        <w:rPr>
          <w:rFonts w:hint="eastAsia" w:ascii="仿宋" w:hAnsi="仿宋" w:eastAsia="仿宋"/>
          <w:color w:val="000000"/>
          <w:sz w:val="32"/>
          <w:szCs w:val="32"/>
        </w:rPr>
        <w:t>3.公务接待费支出0.75万元，完成预算100.00%。公务接待费支出决算比2020年增加0.73万元，增加96.75</w:t>
      </w:r>
      <w:r>
        <w:rPr>
          <w:rFonts w:ascii="仿宋" w:hAnsi="仿宋" w:eastAsia="仿宋"/>
          <w:color w:val="000000"/>
          <w:sz w:val="32"/>
          <w:szCs w:val="32"/>
        </w:rPr>
        <w:t>%</w:t>
      </w:r>
      <w:r>
        <w:rPr>
          <w:rFonts w:hint="eastAsia" w:ascii="仿宋" w:hAnsi="仿宋" w:eastAsia="仿宋"/>
          <w:color w:val="000000"/>
          <w:sz w:val="32"/>
          <w:szCs w:val="32"/>
        </w:rPr>
        <w:t>。</w:t>
      </w:r>
      <w:bookmarkStart w:id="57" w:name="_Toc15377218"/>
      <w:r>
        <w:rPr>
          <w:rFonts w:hint="eastAsia" w:ascii="仿宋" w:hAnsi="仿宋" w:eastAsia="仿宋"/>
          <w:color w:val="000000"/>
          <w:sz w:val="32"/>
          <w:szCs w:val="32"/>
        </w:rPr>
        <w:t xml:space="preserve"> </w:t>
      </w:r>
    </w:p>
    <w:p>
      <w:pPr>
        <w:pageBreakBefore w:val="0"/>
        <w:widowControl w:val="0"/>
        <w:kinsoku/>
        <w:wordWrap/>
        <w:overflowPunct/>
        <w:topLinePunct w:val="0"/>
        <w:autoSpaceDE/>
        <w:autoSpaceDN/>
        <w:bidi w:val="0"/>
        <w:adjustRightInd/>
        <w:snapToGrid/>
        <w:spacing w:line="576" w:lineRule="exact"/>
        <w:ind w:firstLine="640"/>
        <w:textAlignment w:val="auto"/>
        <w:rPr>
          <w:rFonts w:ascii="仿宋" w:hAnsi="仿宋" w:eastAsia="仿宋"/>
          <w:color w:val="000000"/>
          <w:sz w:val="32"/>
          <w:szCs w:val="32"/>
        </w:rPr>
      </w:pPr>
      <w:r>
        <w:rPr>
          <w:rFonts w:hint="eastAsia" w:ascii="仿宋" w:hAnsi="仿宋" w:eastAsia="仿宋"/>
          <w:color w:val="000000"/>
          <w:sz w:val="32"/>
          <w:szCs w:val="32"/>
        </w:rPr>
        <w:t>国内公务接待支出0.75万元。国内公务接待4批次，62人次（不包括陪同人员），共计支出0.75万元。</w:t>
      </w:r>
    </w:p>
    <w:p>
      <w:pPr>
        <w:pStyle w:val="7"/>
        <w:pageBreakBefore w:val="0"/>
        <w:widowControl w:val="0"/>
        <w:kinsoku/>
        <w:wordWrap/>
        <w:overflowPunct/>
        <w:topLinePunct w:val="0"/>
        <w:autoSpaceDE/>
        <w:autoSpaceDN/>
        <w:bidi w:val="0"/>
        <w:adjustRightInd/>
        <w:snapToGrid/>
        <w:spacing w:line="576" w:lineRule="exact"/>
        <w:jc w:val="both"/>
        <w:textAlignment w:val="auto"/>
        <w:rPr>
          <w:rFonts w:ascii="仿宋" w:hAnsi="仿宋" w:eastAsia="仿宋"/>
          <w:color w:val="000000"/>
          <w:sz w:val="32"/>
          <w:szCs w:val="32"/>
        </w:rPr>
      </w:pPr>
      <w:r>
        <w:rPr>
          <w:rFonts w:hint="eastAsia" w:ascii="仿宋" w:hAnsi="仿宋" w:eastAsia="仿宋"/>
          <w:color w:val="000000"/>
          <w:sz w:val="32"/>
          <w:szCs w:val="32"/>
        </w:rPr>
        <w:t>外事接待支出0.00万元，外事接待0批次，0人，共计支出0.00万元。</w:t>
      </w:r>
    </w:p>
    <w:p>
      <w:pPr>
        <w:pStyle w:val="5"/>
        <w:pageBreakBefore w:val="0"/>
        <w:widowControl w:val="0"/>
        <w:kinsoku/>
        <w:wordWrap/>
        <w:overflowPunct/>
        <w:topLinePunct w:val="0"/>
        <w:autoSpaceDE/>
        <w:autoSpaceDN/>
        <w:bidi w:val="0"/>
        <w:adjustRightInd/>
        <w:snapToGrid/>
        <w:spacing w:before="0" w:after="0" w:line="576" w:lineRule="exact"/>
        <w:ind w:firstLine="643" w:firstLineChars="200"/>
        <w:jc w:val="both"/>
        <w:textAlignment w:val="auto"/>
        <w:rPr>
          <w:rFonts w:ascii="黑体" w:eastAsia="黑体" w:cs="Times New Roman"/>
          <w:bCs w:val="0"/>
          <w:color w:val="000000"/>
        </w:rPr>
      </w:pPr>
      <w:bookmarkStart w:id="58" w:name="_Toc111208506"/>
      <w:bookmarkStart w:id="59" w:name="_Toc29603"/>
      <w:r>
        <w:rPr>
          <w:rFonts w:hint="eastAsia" w:ascii="黑体" w:eastAsia="黑体" w:cs="Times New Roman"/>
          <w:bCs w:val="0"/>
          <w:color w:val="000000"/>
        </w:rPr>
        <w:t>八、政府性基金预算支出决算情况说明</w:t>
      </w:r>
      <w:bookmarkEnd w:id="57"/>
      <w:bookmarkEnd w:id="58"/>
      <w:bookmarkEnd w:id="59"/>
    </w:p>
    <w:p>
      <w:pPr>
        <w:pageBreakBefore w:val="0"/>
        <w:widowControl w:val="0"/>
        <w:kinsoku/>
        <w:wordWrap/>
        <w:overflowPunct/>
        <w:topLinePunct w:val="0"/>
        <w:autoSpaceDE/>
        <w:autoSpaceDN/>
        <w:bidi w:val="0"/>
        <w:adjustRightInd/>
        <w:snapToGrid/>
        <w:spacing w:line="576" w:lineRule="exact"/>
        <w:ind w:firstLine="640"/>
        <w:jc w:val="both"/>
        <w:textAlignment w:val="auto"/>
        <w:rPr>
          <w:rFonts w:ascii="仿宋" w:hAnsi="仿宋" w:eastAsia="仿宋"/>
        </w:rPr>
      </w:pPr>
      <w:r>
        <w:rPr>
          <w:rFonts w:hint="eastAsia" w:ascii="仿宋" w:hAnsi="仿宋" w:eastAsia="仿宋"/>
          <w:color w:val="000000"/>
          <w:sz w:val="32"/>
          <w:szCs w:val="32"/>
        </w:rPr>
        <w:t>2021年政府性基金预算拨款支出0.00万元。</w:t>
      </w:r>
      <w:bookmarkStart w:id="60" w:name="_Toc15377219"/>
    </w:p>
    <w:p>
      <w:pPr>
        <w:pStyle w:val="5"/>
        <w:pageBreakBefore w:val="0"/>
        <w:widowControl w:val="0"/>
        <w:kinsoku/>
        <w:wordWrap/>
        <w:overflowPunct/>
        <w:topLinePunct w:val="0"/>
        <w:autoSpaceDE/>
        <w:autoSpaceDN/>
        <w:bidi w:val="0"/>
        <w:adjustRightInd/>
        <w:snapToGrid/>
        <w:spacing w:before="0" w:after="0" w:line="576" w:lineRule="exact"/>
        <w:ind w:firstLine="643" w:firstLineChars="200"/>
        <w:jc w:val="both"/>
        <w:textAlignment w:val="auto"/>
        <w:rPr>
          <w:rFonts w:ascii="黑体" w:eastAsia="黑体" w:cs="Times New Roman"/>
          <w:bCs w:val="0"/>
          <w:color w:val="000000"/>
        </w:rPr>
      </w:pPr>
      <w:bookmarkStart w:id="61" w:name="_Toc111208507"/>
      <w:bookmarkStart w:id="62" w:name="_Toc31418"/>
      <w:r>
        <w:rPr>
          <w:rFonts w:hint="eastAsia" w:ascii="黑体" w:eastAsia="黑体" w:cs="Times New Roman"/>
          <w:bCs w:val="0"/>
          <w:color w:val="000000"/>
        </w:rPr>
        <w:t>九、国有资本经营预算支出决算情况说明</w:t>
      </w:r>
      <w:bookmarkEnd w:id="60"/>
      <w:bookmarkEnd w:id="61"/>
      <w:bookmarkEnd w:id="62"/>
    </w:p>
    <w:p>
      <w:pPr>
        <w:pageBreakBefore w:val="0"/>
        <w:widowControl w:val="0"/>
        <w:kinsoku/>
        <w:wordWrap/>
        <w:overflowPunct/>
        <w:topLinePunct w:val="0"/>
        <w:autoSpaceDE/>
        <w:autoSpaceDN/>
        <w:bidi w:val="0"/>
        <w:adjustRightInd/>
        <w:snapToGrid/>
        <w:spacing w:line="576" w:lineRule="exact"/>
        <w:ind w:firstLine="640"/>
        <w:jc w:val="both"/>
        <w:textAlignment w:val="auto"/>
        <w:rPr>
          <w:rFonts w:ascii="仿宋" w:hAnsi="仿宋" w:eastAsia="仿宋"/>
        </w:rPr>
      </w:pPr>
      <w:r>
        <w:rPr>
          <w:rFonts w:hint="eastAsia" w:ascii="仿宋" w:hAnsi="仿宋" w:eastAsia="仿宋"/>
          <w:color w:val="000000"/>
          <w:sz w:val="32"/>
          <w:szCs w:val="32"/>
        </w:rPr>
        <w:t>2021年国有资本经营预算拨款支出0.00万元。</w:t>
      </w:r>
    </w:p>
    <w:p>
      <w:pPr>
        <w:pStyle w:val="5"/>
        <w:pageBreakBefore w:val="0"/>
        <w:widowControl w:val="0"/>
        <w:tabs>
          <w:tab w:val="left" w:pos="381"/>
        </w:tabs>
        <w:kinsoku/>
        <w:wordWrap/>
        <w:overflowPunct/>
        <w:topLinePunct w:val="0"/>
        <w:autoSpaceDE/>
        <w:autoSpaceDN/>
        <w:bidi w:val="0"/>
        <w:adjustRightInd/>
        <w:snapToGrid/>
        <w:spacing w:before="0" w:after="0" w:line="576" w:lineRule="exact"/>
        <w:ind w:firstLine="643" w:firstLineChars="200"/>
        <w:jc w:val="both"/>
        <w:textAlignment w:val="auto"/>
        <w:rPr>
          <w:rFonts w:ascii="黑体" w:eastAsia="黑体" w:cs="Times New Roman"/>
          <w:bCs w:val="0"/>
          <w:color w:val="000000"/>
        </w:rPr>
      </w:pPr>
      <w:bookmarkStart w:id="63" w:name="_Toc111208508"/>
      <w:bookmarkStart w:id="64" w:name="_Toc15377221"/>
      <w:bookmarkStart w:id="65" w:name="_Toc11083"/>
      <w:r>
        <w:rPr>
          <w:rFonts w:hint="eastAsia" w:ascii="黑体" w:eastAsia="黑体" w:cs="Times New Roman"/>
          <w:bCs w:val="0"/>
          <w:color w:val="000000"/>
        </w:rPr>
        <w:t>十、其他重要事项的情况说明</w:t>
      </w:r>
      <w:bookmarkEnd w:id="63"/>
      <w:bookmarkEnd w:id="64"/>
      <w:bookmarkEnd w:id="65"/>
    </w:p>
    <w:p>
      <w:pPr>
        <w:pageBreakBefore w:val="0"/>
        <w:widowControl w:val="0"/>
        <w:kinsoku/>
        <w:wordWrap/>
        <w:overflowPunct/>
        <w:topLinePunct w:val="0"/>
        <w:autoSpaceDE/>
        <w:autoSpaceDN/>
        <w:bidi w:val="0"/>
        <w:adjustRightInd/>
        <w:snapToGrid/>
        <w:spacing w:line="576" w:lineRule="exact"/>
        <w:ind w:firstLine="643" w:firstLineChars="200"/>
        <w:jc w:val="both"/>
        <w:textAlignment w:val="auto"/>
        <w:outlineLvl w:val="2"/>
        <w:rPr>
          <w:rFonts w:ascii="仿宋" w:hAnsi="仿宋" w:eastAsia="仿宋"/>
          <w:b/>
          <w:color w:val="000000"/>
          <w:sz w:val="32"/>
          <w:szCs w:val="32"/>
        </w:rPr>
      </w:pPr>
      <w:bookmarkStart w:id="66" w:name="_Toc15377222"/>
      <w:r>
        <w:rPr>
          <w:rFonts w:hint="eastAsia" w:ascii="仿宋" w:hAnsi="仿宋" w:eastAsia="仿宋"/>
          <w:b/>
          <w:color w:val="000000"/>
          <w:sz w:val="32"/>
          <w:szCs w:val="32"/>
        </w:rPr>
        <w:t>（一）机关运行经费支出情况</w:t>
      </w:r>
      <w:bookmarkEnd w:id="66"/>
    </w:p>
    <w:p>
      <w:pPr>
        <w:pageBreakBefore w:val="0"/>
        <w:widowControl w:val="0"/>
        <w:kinsoku/>
        <w:wordWrap/>
        <w:overflowPunct/>
        <w:topLinePunct w:val="0"/>
        <w:autoSpaceDE/>
        <w:autoSpaceDN/>
        <w:bidi w:val="0"/>
        <w:adjustRightInd/>
        <w:snapToGrid/>
        <w:spacing w:line="576" w:lineRule="exact"/>
        <w:ind w:firstLine="640"/>
        <w:jc w:val="both"/>
        <w:textAlignment w:val="auto"/>
        <w:rPr>
          <w:rFonts w:ascii="仿宋" w:hAnsi="仿宋" w:eastAsia="仿宋"/>
          <w:color w:val="000000"/>
          <w:sz w:val="32"/>
          <w:szCs w:val="32"/>
        </w:rPr>
      </w:pPr>
      <w:r>
        <w:rPr>
          <w:rFonts w:hint="eastAsia" w:ascii="仿宋" w:hAnsi="仿宋" w:eastAsia="仿宋"/>
          <w:color w:val="000000"/>
          <w:sz w:val="32"/>
          <w:szCs w:val="32"/>
        </w:rPr>
        <w:t xml:space="preserve">2021年，机关运行经费支出30.40万元，比2020年减少14.30万元，减少32.0 %。 </w:t>
      </w:r>
    </w:p>
    <w:p>
      <w:pPr>
        <w:pageBreakBefore w:val="0"/>
        <w:widowControl w:val="0"/>
        <w:kinsoku/>
        <w:wordWrap/>
        <w:overflowPunct/>
        <w:topLinePunct w:val="0"/>
        <w:autoSpaceDE/>
        <w:autoSpaceDN/>
        <w:bidi w:val="0"/>
        <w:adjustRightInd/>
        <w:snapToGrid/>
        <w:spacing w:line="576" w:lineRule="exact"/>
        <w:ind w:firstLine="643" w:firstLineChars="200"/>
        <w:jc w:val="both"/>
        <w:textAlignment w:val="auto"/>
        <w:outlineLvl w:val="2"/>
        <w:rPr>
          <w:rFonts w:ascii="仿宋" w:hAnsi="仿宋" w:eastAsia="仿宋"/>
          <w:b/>
          <w:color w:val="000000"/>
          <w:sz w:val="32"/>
          <w:szCs w:val="32"/>
        </w:rPr>
      </w:pPr>
      <w:bookmarkStart w:id="67" w:name="_Toc15377223"/>
      <w:r>
        <w:rPr>
          <w:rFonts w:hint="eastAsia" w:ascii="仿宋" w:hAnsi="仿宋" w:eastAsia="仿宋"/>
          <w:b/>
          <w:color w:val="000000"/>
          <w:sz w:val="32"/>
          <w:szCs w:val="32"/>
        </w:rPr>
        <w:t>（二）政府采购支出情况</w:t>
      </w:r>
      <w:bookmarkEnd w:id="67"/>
      <w:r>
        <w:rPr>
          <w:rFonts w:hint="eastAsia" w:ascii="仿宋" w:hAnsi="仿宋" w:eastAsia="仿宋"/>
          <w:b/>
          <w:color w:val="000000"/>
          <w:sz w:val="32"/>
          <w:szCs w:val="32"/>
        </w:rPr>
        <w:t>(机构运行信息表)</w:t>
      </w:r>
    </w:p>
    <w:p>
      <w:pPr>
        <w:pageBreakBefore w:val="0"/>
        <w:widowControl w:val="0"/>
        <w:kinsoku/>
        <w:wordWrap/>
        <w:overflowPunct/>
        <w:topLinePunct w:val="0"/>
        <w:autoSpaceDE/>
        <w:autoSpaceDN/>
        <w:bidi w:val="0"/>
        <w:adjustRightInd/>
        <w:snapToGrid/>
        <w:spacing w:line="576" w:lineRule="exact"/>
        <w:ind w:firstLine="640"/>
        <w:jc w:val="both"/>
        <w:textAlignment w:val="auto"/>
        <w:rPr>
          <w:rFonts w:ascii="仿宋_GB2312" w:eastAsia="仿宋_GB2312"/>
          <w:color w:val="000000"/>
          <w:sz w:val="32"/>
          <w:szCs w:val="32"/>
        </w:rPr>
      </w:pPr>
      <w:r>
        <w:rPr>
          <w:rFonts w:hint="eastAsia" w:ascii="仿宋" w:hAnsi="仿宋" w:eastAsia="仿宋"/>
          <w:color w:val="000000"/>
          <w:sz w:val="32"/>
          <w:szCs w:val="32"/>
        </w:rPr>
        <w:t>2021年，政府采购支出总额0.00万元，其中：政府采购货物支出0.00万元、政府采购工程支出0.00万元、政府采购服务支出0.00万元。授予中小企业合同金额0.00万元，其中：授予小微企业合同金额0.00万元，占总合同的0.00%。</w:t>
      </w:r>
    </w:p>
    <w:p>
      <w:pPr>
        <w:pageBreakBefore w:val="0"/>
        <w:widowControl w:val="0"/>
        <w:kinsoku/>
        <w:wordWrap/>
        <w:overflowPunct/>
        <w:topLinePunct w:val="0"/>
        <w:autoSpaceDE/>
        <w:autoSpaceDN/>
        <w:bidi w:val="0"/>
        <w:adjustRightInd/>
        <w:snapToGrid/>
        <w:spacing w:line="576" w:lineRule="exact"/>
        <w:ind w:firstLine="643" w:firstLineChars="200"/>
        <w:jc w:val="both"/>
        <w:textAlignment w:val="auto"/>
        <w:outlineLvl w:val="2"/>
        <w:rPr>
          <w:rFonts w:ascii="仿宋" w:hAnsi="仿宋" w:eastAsia="仿宋"/>
          <w:b/>
          <w:color w:val="000000"/>
          <w:sz w:val="32"/>
          <w:szCs w:val="32"/>
        </w:rPr>
      </w:pPr>
      <w:bookmarkStart w:id="68" w:name="_Toc15377224"/>
      <w:r>
        <w:rPr>
          <w:rFonts w:hint="eastAsia" w:ascii="仿宋" w:hAnsi="仿宋" w:eastAsia="仿宋"/>
          <w:b/>
          <w:color w:val="000000"/>
          <w:sz w:val="32"/>
          <w:szCs w:val="32"/>
        </w:rPr>
        <w:t>（三）国有资产占有使用情况</w:t>
      </w:r>
      <w:bookmarkEnd w:id="68"/>
    </w:p>
    <w:p>
      <w:pPr>
        <w:pageBreakBefore w:val="0"/>
        <w:widowControl w:val="0"/>
        <w:kinsoku/>
        <w:wordWrap/>
        <w:overflowPunct/>
        <w:topLinePunct w:val="0"/>
        <w:autoSpaceDE/>
        <w:autoSpaceDN/>
        <w:bidi w:val="0"/>
        <w:adjustRightInd/>
        <w:snapToGrid/>
        <w:spacing w:line="576" w:lineRule="exact"/>
        <w:ind w:firstLine="640"/>
        <w:jc w:val="both"/>
        <w:textAlignment w:val="auto"/>
        <w:rPr>
          <w:rFonts w:ascii="仿宋" w:hAnsi="仿宋" w:eastAsia="仿宋"/>
          <w:color w:val="000000"/>
          <w:sz w:val="32"/>
          <w:szCs w:val="32"/>
        </w:rPr>
      </w:pPr>
      <w:r>
        <w:rPr>
          <w:rFonts w:hint="eastAsia" w:ascii="仿宋" w:hAnsi="仿宋" w:eastAsia="仿宋"/>
          <w:color w:val="000000"/>
          <w:sz w:val="32"/>
          <w:szCs w:val="32"/>
        </w:rPr>
        <w:t>截至2021年</w:t>
      </w:r>
      <w:r>
        <w:rPr>
          <w:rFonts w:ascii="仿宋" w:hAnsi="仿宋" w:eastAsia="仿宋"/>
          <w:color w:val="000000"/>
          <w:sz w:val="32"/>
          <w:szCs w:val="32"/>
        </w:rPr>
        <w:t>12</w:t>
      </w:r>
      <w:r>
        <w:rPr>
          <w:rFonts w:hint="eastAsia" w:ascii="仿宋" w:hAnsi="仿宋" w:eastAsia="仿宋"/>
          <w:color w:val="000000"/>
          <w:sz w:val="32"/>
          <w:szCs w:val="32"/>
        </w:rPr>
        <w:t>月</w:t>
      </w:r>
      <w:r>
        <w:rPr>
          <w:rFonts w:ascii="仿宋" w:hAnsi="仿宋" w:eastAsia="仿宋"/>
          <w:color w:val="000000"/>
          <w:sz w:val="32"/>
          <w:szCs w:val="32"/>
        </w:rPr>
        <w:t>31</w:t>
      </w:r>
      <w:r>
        <w:rPr>
          <w:rFonts w:hint="eastAsia" w:ascii="仿宋" w:hAnsi="仿宋" w:eastAsia="仿宋"/>
          <w:color w:val="000000"/>
          <w:sz w:val="32"/>
          <w:szCs w:val="32"/>
        </w:rPr>
        <w:t>日，共有车辆0辆，其中：主要领导干部用车0辆、机要通信用车0辆、应急保障用车0辆、其他用车0辆。单价</w:t>
      </w:r>
      <w:r>
        <w:rPr>
          <w:rFonts w:ascii="仿宋" w:hAnsi="仿宋" w:eastAsia="仿宋"/>
          <w:color w:val="000000"/>
          <w:sz w:val="32"/>
          <w:szCs w:val="32"/>
        </w:rPr>
        <w:t>50</w:t>
      </w:r>
      <w:r>
        <w:rPr>
          <w:rFonts w:hint="eastAsia" w:ascii="仿宋" w:hAnsi="仿宋" w:eastAsia="仿宋"/>
          <w:color w:val="000000"/>
          <w:sz w:val="32"/>
          <w:szCs w:val="32"/>
        </w:rPr>
        <w:t>万元以上通用设备0台（套），单价</w:t>
      </w:r>
      <w:r>
        <w:rPr>
          <w:rFonts w:ascii="仿宋" w:hAnsi="仿宋" w:eastAsia="仿宋"/>
          <w:color w:val="000000"/>
          <w:sz w:val="32"/>
          <w:szCs w:val="32"/>
        </w:rPr>
        <w:t>100</w:t>
      </w:r>
      <w:r>
        <w:rPr>
          <w:rFonts w:hint="eastAsia" w:ascii="仿宋" w:hAnsi="仿宋" w:eastAsia="仿宋"/>
          <w:color w:val="000000"/>
          <w:sz w:val="32"/>
          <w:szCs w:val="32"/>
        </w:rPr>
        <w:t>万元以上专用设备0台（套）。</w:t>
      </w:r>
    </w:p>
    <w:p>
      <w:pPr>
        <w:pageBreakBefore w:val="0"/>
        <w:widowControl w:val="0"/>
        <w:numPr>
          <w:ilvl w:val="0"/>
          <w:numId w:val="1"/>
        </w:numPr>
        <w:kinsoku/>
        <w:wordWrap/>
        <w:overflowPunct/>
        <w:topLinePunct w:val="0"/>
        <w:autoSpaceDE/>
        <w:autoSpaceDN/>
        <w:bidi w:val="0"/>
        <w:adjustRightInd/>
        <w:snapToGrid/>
        <w:spacing w:line="576" w:lineRule="exact"/>
        <w:ind w:firstLine="643" w:firstLineChars="200"/>
        <w:textAlignment w:val="auto"/>
        <w:outlineLvl w:val="2"/>
        <w:rPr>
          <w:rFonts w:hint="eastAsia" w:ascii="仿宋" w:hAnsi="仿宋" w:eastAsia="仿宋"/>
          <w:b/>
          <w:color w:val="000000"/>
          <w:sz w:val="32"/>
          <w:szCs w:val="32"/>
        </w:rPr>
      </w:pPr>
      <w:r>
        <w:rPr>
          <w:rFonts w:hint="eastAsia" w:ascii="仿宋" w:hAnsi="仿宋" w:eastAsia="仿宋"/>
          <w:b/>
          <w:color w:val="000000"/>
          <w:sz w:val="32"/>
          <w:szCs w:val="32"/>
        </w:rPr>
        <w:t>预算绩效管理情况</w:t>
      </w:r>
    </w:p>
    <w:p>
      <w:pPr>
        <w:spacing w:line="576" w:lineRule="exact"/>
        <w:ind w:firstLine="640" w:firstLineChars="200"/>
        <w:rPr>
          <w:rFonts w:hint="eastAsia" w:ascii="仿宋_GB2312" w:hAnsi="仿宋_GB2312" w:eastAsia="仿宋_GB2312"/>
          <w:sz w:val="32"/>
          <w:szCs w:val="32"/>
          <w:lang w:val="en-US" w:eastAsia="zh-CN"/>
        </w:rPr>
      </w:pPr>
      <w:r>
        <w:rPr>
          <w:rFonts w:hint="eastAsia" w:ascii="仿宋_GB2312" w:hAnsi="仿宋_GB2312" w:eastAsia="仿宋_GB2312" w:cs="仿宋_GB2312"/>
          <w:sz w:val="32"/>
          <w:szCs w:val="32"/>
        </w:rPr>
        <w:t>我委无专项预算项目，因此未组织开展项目支出绩效评价</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本部门未组织开展项目支出绩效评价。</w:t>
      </w:r>
      <w:r>
        <w:rPr>
          <w:rFonts w:hint="eastAsia" w:ascii="仿宋_GB2312" w:hAnsi="仿宋_GB2312" w:eastAsia="仿宋_GB2312" w:cs="仿宋_GB2312"/>
          <w:sz w:val="32"/>
          <w:szCs w:val="32"/>
          <w:lang w:val="en-US" w:eastAsia="zh-CN"/>
        </w:rPr>
        <w:t xml:space="preserve"> </w:t>
      </w:r>
    </w:p>
    <w:p>
      <w:pPr>
        <w:spacing w:line="576" w:lineRule="exact"/>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rPr>
        <w:t>我委按要求对</w:t>
      </w:r>
      <w:r>
        <w:rPr>
          <w:rFonts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年部门整体支出绩效评价情况开展自评，中共茂县县委政法委员会</w:t>
      </w:r>
      <w:r>
        <w:rPr>
          <w:rFonts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年部门整体支出绩效评价报告见附件（附件</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w:t>
      </w:r>
    </w:p>
    <w:p>
      <w:pPr>
        <w:pStyle w:val="7"/>
        <w:numPr>
          <w:ilvl w:val="0"/>
          <w:numId w:val="0"/>
        </w:numPr>
      </w:pPr>
    </w:p>
    <w:p>
      <w:pPr>
        <w:pStyle w:val="35"/>
        <w:spacing w:line="580" w:lineRule="exact"/>
        <w:contextualSpacing/>
        <w:rPr>
          <w:rFonts w:hint="eastAsia" w:ascii="黑体" w:hAnsi="黑体" w:eastAsia="黑体" w:cs="黑体"/>
          <w:szCs w:val="32"/>
          <w:lang w:val="zh-CN"/>
        </w:rPr>
      </w:pPr>
    </w:p>
    <w:p>
      <w:pPr>
        <w:pStyle w:val="35"/>
        <w:spacing w:line="580" w:lineRule="exact"/>
        <w:contextualSpacing/>
        <w:rPr>
          <w:rFonts w:hint="eastAsia" w:ascii="黑体" w:hAnsi="黑体" w:eastAsia="黑体" w:cs="黑体"/>
          <w:szCs w:val="32"/>
          <w:lang w:val="zh-CN"/>
        </w:rPr>
      </w:pPr>
    </w:p>
    <w:p>
      <w:pPr>
        <w:pStyle w:val="35"/>
        <w:spacing w:line="580" w:lineRule="exact"/>
        <w:contextualSpacing/>
        <w:rPr>
          <w:rFonts w:hint="eastAsia" w:ascii="黑体" w:hAnsi="黑体" w:eastAsia="黑体" w:cs="黑体"/>
          <w:szCs w:val="32"/>
          <w:lang w:val="zh-CN"/>
        </w:rPr>
      </w:pPr>
    </w:p>
    <w:p>
      <w:pPr>
        <w:pStyle w:val="35"/>
        <w:spacing w:line="580" w:lineRule="exact"/>
        <w:contextualSpacing/>
        <w:rPr>
          <w:rFonts w:hint="eastAsia" w:ascii="黑体" w:hAnsi="黑体" w:eastAsia="黑体" w:cs="黑体"/>
          <w:szCs w:val="32"/>
          <w:lang w:val="zh-CN"/>
        </w:rPr>
      </w:pPr>
    </w:p>
    <w:p>
      <w:pPr>
        <w:pStyle w:val="35"/>
        <w:spacing w:line="580" w:lineRule="exact"/>
        <w:contextualSpacing/>
        <w:rPr>
          <w:rFonts w:hint="eastAsia" w:ascii="黑体" w:hAnsi="黑体" w:eastAsia="黑体" w:cs="黑体"/>
          <w:szCs w:val="32"/>
          <w:lang w:val="zh-CN"/>
        </w:rPr>
      </w:pPr>
    </w:p>
    <w:p>
      <w:pPr>
        <w:pStyle w:val="35"/>
        <w:spacing w:line="580" w:lineRule="exact"/>
        <w:contextualSpacing/>
        <w:rPr>
          <w:rFonts w:hint="eastAsia" w:ascii="黑体" w:hAnsi="黑体" w:eastAsia="黑体" w:cs="黑体"/>
          <w:szCs w:val="32"/>
          <w:lang w:val="zh-CN"/>
        </w:rPr>
      </w:pPr>
    </w:p>
    <w:p>
      <w:pPr>
        <w:pStyle w:val="35"/>
        <w:spacing w:line="580" w:lineRule="exact"/>
        <w:contextualSpacing/>
        <w:rPr>
          <w:rFonts w:hint="eastAsia" w:ascii="黑体" w:hAnsi="黑体" w:eastAsia="黑体" w:cs="黑体"/>
          <w:szCs w:val="32"/>
          <w:lang w:val="zh-CN"/>
        </w:rPr>
      </w:pPr>
    </w:p>
    <w:p>
      <w:pPr>
        <w:pStyle w:val="35"/>
        <w:spacing w:line="580" w:lineRule="exact"/>
        <w:contextualSpacing/>
        <w:rPr>
          <w:rFonts w:hint="eastAsia" w:ascii="黑体" w:hAnsi="黑体" w:eastAsia="黑体" w:cs="黑体"/>
          <w:szCs w:val="32"/>
          <w:lang w:val="zh-CN"/>
        </w:rPr>
      </w:pPr>
    </w:p>
    <w:p>
      <w:pPr>
        <w:pStyle w:val="35"/>
        <w:spacing w:line="580" w:lineRule="exact"/>
        <w:contextualSpacing/>
        <w:rPr>
          <w:rFonts w:hint="eastAsia" w:ascii="黑体" w:hAnsi="黑体" w:eastAsia="黑体" w:cs="黑体"/>
          <w:szCs w:val="32"/>
          <w:lang w:val="zh-CN"/>
        </w:rPr>
      </w:pPr>
    </w:p>
    <w:p>
      <w:pPr>
        <w:pStyle w:val="35"/>
        <w:spacing w:line="580" w:lineRule="exact"/>
        <w:contextualSpacing/>
        <w:rPr>
          <w:rFonts w:hint="eastAsia" w:ascii="黑体" w:hAnsi="黑体" w:eastAsia="黑体" w:cs="黑体"/>
          <w:szCs w:val="32"/>
          <w:lang w:val="zh-CN"/>
        </w:rPr>
      </w:pPr>
    </w:p>
    <w:p>
      <w:pPr>
        <w:pStyle w:val="35"/>
        <w:spacing w:line="580" w:lineRule="exact"/>
        <w:contextualSpacing/>
        <w:rPr>
          <w:rFonts w:hint="eastAsia" w:ascii="黑体" w:hAnsi="黑体" w:eastAsia="黑体" w:cs="黑体"/>
          <w:szCs w:val="32"/>
          <w:lang w:val="zh-CN"/>
        </w:rPr>
      </w:pPr>
    </w:p>
    <w:p>
      <w:pPr>
        <w:pStyle w:val="35"/>
        <w:spacing w:line="580" w:lineRule="exact"/>
        <w:contextualSpacing/>
        <w:rPr>
          <w:rFonts w:hint="eastAsia" w:ascii="黑体" w:hAnsi="黑体" w:eastAsia="黑体" w:cs="黑体"/>
          <w:szCs w:val="32"/>
          <w:lang w:val="zh-CN"/>
        </w:rPr>
      </w:pPr>
    </w:p>
    <w:p>
      <w:pPr>
        <w:pStyle w:val="35"/>
        <w:spacing w:line="580" w:lineRule="exact"/>
        <w:contextualSpacing/>
        <w:rPr>
          <w:rFonts w:hint="eastAsia" w:ascii="黑体" w:hAnsi="黑体" w:eastAsia="黑体" w:cs="黑体"/>
          <w:szCs w:val="32"/>
          <w:lang w:val="zh-CN"/>
        </w:rPr>
      </w:pPr>
    </w:p>
    <w:p>
      <w:pPr>
        <w:pStyle w:val="35"/>
        <w:pageBreakBefore w:val="0"/>
        <w:kinsoku/>
        <w:wordWrap/>
        <w:overflowPunct/>
        <w:topLinePunct w:val="0"/>
        <w:autoSpaceDE/>
        <w:autoSpaceDN/>
        <w:bidi w:val="0"/>
        <w:spacing w:line="576" w:lineRule="exact"/>
        <w:contextualSpacing/>
        <w:rPr>
          <w:rFonts w:ascii="黑体" w:hAnsi="黑体" w:eastAsia="黑体" w:cs="黑体"/>
          <w:szCs w:val="32"/>
          <w:lang w:val="zh-CN"/>
        </w:rPr>
      </w:pPr>
      <w:r>
        <w:rPr>
          <w:rFonts w:hint="eastAsia" w:ascii="黑体" w:hAnsi="黑体" w:eastAsia="黑体" w:cs="黑体"/>
          <w:szCs w:val="32"/>
          <w:lang w:val="zh-CN"/>
        </w:rPr>
        <w:t>附件</w:t>
      </w:r>
      <w:r>
        <w:rPr>
          <w:rFonts w:hint="eastAsia" w:ascii="黑体" w:hAnsi="黑体" w:eastAsia="黑体" w:cs="黑体"/>
          <w:szCs w:val="32"/>
        </w:rPr>
        <w:t>2</w:t>
      </w:r>
    </w:p>
    <w:p>
      <w:pPr>
        <w:pStyle w:val="35"/>
        <w:pageBreakBefore w:val="0"/>
        <w:widowControl/>
        <w:kinsoku/>
        <w:wordWrap/>
        <w:overflowPunct/>
        <w:topLinePunct w:val="0"/>
        <w:autoSpaceDE/>
        <w:autoSpaceDN/>
        <w:bidi w:val="0"/>
        <w:spacing w:line="576" w:lineRule="exact"/>
        <w:contextualSpacing/>
        <w:rPr>
          <w:rFonts w:ascii="宋体" w:hAnsi="宋体" w:eastAsia="宋体"/>
          <w:b/>
          <w:sz w:val="44"/>
          <w:szCs w:val="44"/>
          <w:shd w:val="clear" w:color="auto" w:fill="FFFFFF"/>
        </w:rPr>
      </w:pPr>
    </w:p>
    <w:p>
      <w:pPr>
        <w:pStyle w:val="35"/>
        <w:pageBreakBefore w:val="0"/>
        <w:widowControl/>
        <w:kinsoku/>
        <w:wordWrap/>
        <w:overflowPunct/>
        <w:topLinePunct w:val="0"/>
        <w:autoSpaceDE/>
        <w:autoSpaceDN/>
        <w:bidi w:val="0"/>
        <w:spacing w:line="576" w:lineRule="exact"/>
        <w:contextualSpacing/>
        <w:jc w:val="center"/>
        <w:rPr>
          <w:rFonts w:hint="eastAsia" w:ascii="宋体" w:hAnsi="宋体" w:eastAsia="宋体"/>
          <w:b/>
          <w:sz w:val="44"/>
          <w:szCs w:val="44"/>
          <w:shd w:val="clear" w:color="auto" w:fill="FFFFFF"/>
          <w:lang w:eastAsia="zh-CN"/>
        </w:rPr>
      </w:pPr>
      <w:r>
        <w:rPr>
          <w:rFonts w:hint="eastAsia" w:ascii="宋体" w:hAnsi="宋体" w:eastAsia="宋体"/>
          <w:b/>
          <w:sz w:val="44"/>
          <w:szCs w:val="44"/>
          <w:shd w:val="clear" w:color="auto" w:fill="FFFFFF"/>
          <w:lang w:eastAsia="zh-CN"/>
        </w:rPr>
        <w:t>中共茂县县委政法委员会</w:t>
      </w:r>
    </w:p>
    <w:p>
      <w:pPr>
        <w:pStyle w:val="35"/>
        <w:pageBreakBefore w:val="0"/>
        <w:widowControl/>
        <w:kinsoku/>
        <w:wordWrap/>
        <w:overflowPunct/>
        <w:topLinePunct w:val="0"/>
        <w:autoSpaceDE/>
        <w:autoSpaceDN/>
        <w:bidi w:val="0"/>
        <w:spacing w:line="576" w:lineRule="exact"/>
        <w:contextualSpacing/>
        <w:jc w:val="center"/>
        <w:rPr>
          <w:rFonts w:ascii="宋体" w:hAnsi="宋体" w:eastAsia="宋体"/>
          <w:b/>
          <w:sz w:val="44"/>
          <w:szCs w:val="44"/>
          <w:shd w:val="clear" w:color="auto" w:fill="FFFFFF"/>
        </w:rPr>
      </w:pPr>
      <w:r>
        <w:rPr>
          <w:rFonts w:hint="eastAsia" w:ascii="宋体" w:hAnsi="宋体" w:eastAsia="宋体"/>
          <w:b/>
          <w:sz w:val="44"/>
          <w:szCs w:val="44"/>
          <w:shd w:val="clear" w:color="auto" w:fill="FFFFFF"/>
        </w:rPr>
        <w:t>2022年整体支出绩效评价报告</w:t>
      </w:r>
    </w:p>
    <w:p>
      <w:pPr>
        <w:pStyle w:val="35"/>
        <w:pageBreakBefore w:val="0"/>
        <w:widowControl/>
        <w:kinsoku/>
        <w:wordWrap/>
        <w:overflowPunct/>
        <w:topLinePunct w:val="0"/>
        <w:autoSpaceDE/>
        <w:autoSpaceDN/>
        <w:bidi w:val="0"/>
        <w:adjustRightInd w:val="0"/>
        <w:snapToGrid w:val="0"/>
        <w:spacing w:line="576" w:lineRule="exact"/>
        <w:ind w:firstLine="640" w:firstLineChars="200"/>
        <w:contextualSpacing/>
        <w:jc w:val="left"/>
        <w:rPr>
          <w:rFonts w:hint="eastAsia" w:ascii="黑体" w:hAnsi="宋体" w:eastAsia="黑体" w:cs="宋体"/>
          <w:color w:val="000000"/>
          <w:kern w:val="0"/>
          <w:sz w:val="24"/>
          <w:szCs w:val="32"/>
          <w:shd w:val="clear" w:color="auto" w:fill="FFFFFF"/>
          <w:lang w:eastAsia="zh-CN"/>
        </w:rPr>
      </w:pPr>
      <w:r>
        <w:rPr>
          <w:rFonts w:hint="eastAsia" w:ascii="仿宋_GB2312" w:hAnsi="宋体" w:eastAsia="黑体"/>
          <w:szCs w:val="32"/>
          <w:shd w:val="clear" w:color="auto" w:fill="FFFFFF"/>
          <w:lang w:val="en-US" w:eastAsia="zh-CN"/>
        </w:rPr>
        <w:t xml:space="preserve"> </w:t>
      </w:r>
    </w:p>
    <w:p>
      <w:pPr>
        <w:pStyle w:val="35"/>
        <w:pageBreakBefore w:val="0"/>
        <w:widowControl/>
        <w:kinsoku/>
        <w:wordWrap/>
        <w:overflowPunct/>
        <w:topLinePunct w:val="0"/>
        <w:autoSpaceDE/>
        <w:autoSpaceDN/>
        <w:bidi w:val="0"/>
        <w:adjustRightInd w:val="0"/>
        <w:snapToGrid w:val="0"/>
        <w:spacing w:line="576" w:lineRule="exact"/>
        <w:ind w:firstLine="640" w:firstLineChars="200"/>
        <w:contextualSpacing/>
        <w:jc w:val="left"/>
        <w:rPr>
          <w:rFonts w:ascii="黑体" w:hAnsi="宋体" w:eastAsia="黑体" w:cs="宋体"/>
          <w:color w:val="000000"/>
          <w:kern w:val="0"/>
          <w:szCs w:val="32"/>
          <w:shd w:val="clear" w:color="auto" w:fill="FFFFFF"/>
          <w:lang w:val="zh-CN"/>
        </w:rPr>
      </w:pPr>
      <w:r>
        <w:rPr>
          <w:rFonts w:hint="eastAsia" w:ascii="黑体" w:hAnsi="宋体" w:eastAsia="黑体" w:cs="宋体"/>
          <w:color w:val="000000"/>
          <w:kern w:val="0"/>
          <w:szCs w:val="32"/>
          <w:shd w:val="clear" w:color="auto" w:fill="FFFFFF"/>
        </w:rPr>
        <w:t>一、</w:t>
      </w:r>
      <w:r>
        <w:rPr>
          <w:rFonts w:hint="eastAsia" w:ascii="黑体" w:hAnsi="宋体" w:eastAsia="黑体" w:cs="宋体"/>
          <w:color w:val="000000"/>
          <w:kern w:val="0"/>
          <w:szCs w:val="32"/>
          <w:shd w:val="clear" w:color="auto" w:fill="FFFFFF"/>
          <w:lang w:val="zh-CN"/>
        </w:rPr>
        <w:t>部门概况</w:t>
      </w:r>
    </w:p>
    <w:p>
      <w:pPr>
        <w:pStyle w:val="35"/>
        <w:pageBreakBefore w:val="0"/>
        <w:widowControl/>
        <w:kinsoku/>
        <w:wordWrap/>
        <w:overflowPunct/>
        <w:topLinePunct w:val="0"/>
        <w:autoSpaceDE/>
        <w:autoSpaceDN/>
        <w:bidi w:val="0"/>
        <w:adjustRightInd w:val="0"/>
        <w:snapToGrid w:val="0"/>
        <w:spacing w:line="576" w:lineRule="exact"/>
        <w:ind w:firstLine="640" w:firstLineChars="200"/>
        <w:contextualSpacing/>
        <w:jc w:val="left"/>
        <w:rPr>
          <w:rFonts w:hint="default" w:ascii="仿宋_GB2312" w:hAnsi="宋体" w:eastAsia="仿宋_GB2312" w:cs="宋体"/>
          <w:color w:val="000000"/>
          <w:kern w:val="0"/>
          <w:szCs w:val="32"/>
          <w:shd w:val="clear" w:color="auto" w:fill="FFFFFF"/>
          <w:lang w:val="en-US" w:eastAsia="zh-CN"/>
        </w:rPr>
      </w:pPr>
      <w:r>
        <w:rPr>
          <w:rFonts w:hint="eastAsia" w:ascii="仿宋_GB2312" w:hAnsi="宋体" w:cs="宋体"/>
          <w:color w:val="000000"/>
          <w:kern w:val="0"/>
          <w:szCs w:val="32"/>
          <w:shd w:val="clear" w:color="auto" w:fill="FFFFFF"/>
          <w:lang w:val="zh-CN"/>
        </w:rPr>
        <w:t>（一）机构组成。</w:t>
      </w:r>
      <w:r>
        <w:rPr>
          <w:rFonts w:hint="eastAsia" w:ascii="仿宋_GB2312" w:hAnsi="宋体" w:cs="宋体"/>
          <w:color w:val="000000"/>
          <w:kern w:val="0"/>
          <w:szCs w:val="32"/>
          <w:shd w:val="clear" w:color="auto" w:fill="FFFFFF"/>
          <w:lang w:val="en-US" w:eastAsia="zh-CN"/>
        </w:rPr>
        <w:t xml:space="preserve">     </w:t>
      </w:r>
    </w:p>
    <w:p>
      <w:pPr>
        <w:pStyle w:val="35"/>
        <w:pageBreakBefore w:val="0"/>
        <w:widowControl/>
        <w:kinsoku/>
        <w:wordWrap/>
        <w:overflowPunct/>
        <w:topLinePunct w:val="0"/>
        <w:autoSpaceDE/>
        <w:autoSpaceDN/>
        <w:bidi w:val="0"/>
        <w:adjustRightInd w:val="0"/>
        <w:snapToGrid w:val="0"/>
        <w:spacing w:line="576" w:lineRule="exact"/>
        <w:ind w:firstLine="640" w:firstLineChars="200"/>
        <w:contextualSpacing/>
        <w:jc w:val="left"/>
        <w:rPr>
          <w:rFonts w:ascii="仿宋_GB2312" w:hAnsi="宋体" w:cs="宋体"/>
          <w:color w:val="000000"/>
          <w:kern w:val="0"/>
          <w:szCs w:val="32"/>
          <w:shd w:val="clear" w:color="auto" w:fill="FFFFFF"/>
          <w:lang w:val="zh-CN"/>
        </w:rPr>
      </w:pPr>
      <w:r>
        <w:rPr>
          <w:rFonts w:hint="eastAsia" w:ascii="仿宋_GB2312" w:eastAsia="仿宋_GB2312"/>
          <w:sz w:val="32"/>
          <w:szCs w:val="32"/>
          <w:lang w:eastAsia="zh-CN"/>
        </w:rPr>
        <w:t>茂县县委政法委员会属一级预算单位，下属二级预算单位0个，其中：参照公务员法管理的事业单位0个，其他事业单位0个。</w:t>
      </w:r>
    </w:p>
    <w:p>
      <w:pPr>
        <w:pStyle w:val="35"/>
        <w:pageBreakBefore w:val="0"/>
        <w:widowControl/>
        <w:numPr>
          <w:ilvl w:val="0"/>
          <w:numId w:val="2"/>
        </w:numPr>
        <w:kinsoku/>
        <w:wordWrap/>
        <w:overflowPunct/>
        <w:topLinePunct w:val="0"/>
        <w:autoSpaceDE/>
        <w:autoSpaceDN/>
        <w:bidi w:val="0"/>
        <w:adjustRightInd w:val="0"/>
        <w:snapToGrid w:val="0"/>
        <w:spacing w:line="576" w:lineRule="exact"/>
        <w:ind w:firstLine="640" w:firstLineChars="200"/>
        <w:contextualSpacing/>
        <w:jc w:val="left"/>
        <w:rPr>
          <w:rFonts w:hint="eastAsia" w:ascii="仿宋_GB2312" w:hAnsi="宋体" w:cs="宋体"/>
          <w:color w:val="000000"/>
          <w:kern w:val="0"/>
          <w:szCs w:val="32"/>
          <w:shd w:val="clear" w:color="auto" w:fill="FFFFFF"/>
          <w:lang w:val="zh-CN"/>
        </w:rPr>
      </w:pPr>
      <w:r>
        <w:rPr>
          <w:rFonts w:hint="eastAsia" w:ascii="仿宋_GB2312" w:hAnsi="宋体" w:cs="宋体"/>
          <w:color w:val="000000"/>
          <w:kern w:val="0"/>
          <w:szCs w:val="32"/>
          <w:shd w:val="clear" w:color="auto" w:fill="FFFFFF"/>
          <w:lang w:val="zh-CN"/>
        </w:rPr>
        <w:t>机构职能。</w:t>
      </w:r>
    </w:p>
    <w:p>
      <w:pPr>
        <w:pStyle w:val="35"/>
        <w:pageBreakBefore w:val="0"/>
        <w:kinsoku/>
        <w:wordWrap/>
        <w:overflowPunct/>
        <w:topLinePunct w:val="0"/>
        <w:autoSpaceDE/>
        <w:autoSpaceDN/>
        <w:bidi w:val="0"/>
        <w:spacing w:line="576" w:lineRule="exact"/>
        <w:ind w:firstLine="640" w:firstLineChars="200"/>
        <w:rPr>
          <w:rFonts w:eastAsia="仿宋_GB2312"/>
          <w:bCs/>
          <w:sz w:val="32"/>
          <w:szCs w:val="32"/>
          <w:lang w:eastAsia="zh-CN"/>
        </w:rPr>
      </w:pPr>
      <w:r>
        <w:rPr>
          <w:rFonts w:hint="eastAsia" w:ascii="仿宋_GB2312" w:hAnsi="仿宋_GB2312" w:eastAsia="仿宋_GB2312" w:cs="仿宋_GB2312"/>
          <w:sz w:val="32"/>
          <w:szCs w:val="32"/>
          <w:lang w:eastAsia="zh-CN"/>
        </w:rPr>
        <w:t>1.</w:t>
      </w:r>
      <w:r>
        <w:rPr>
          <w:rFonts w:hint="eastAsia" w:eastAsia="仿宋_GB2312"/>
          <w:bCs/>
          <w:sz w:val="32"/>
          <w:szCs w:val="32"/>
          <w:lang w:eastAsia="zh-CN"/>
        </w:rPr>
        <w:t>深入贯彻党的路线方针政策和决策部署，统一政法各部门思想和行动，坚持党对政法工作的绝对领导，坚决维护党中央权威和集中统一领导。</w:t>
      </w:r>
    </w:p>
    <w:p>
      <w:pPr>
        <w:pStyle w:val="35"/>
        <w:pageBreakBefore w:val="0"/>
        <w:kinsoku/>
        <w:wordWrap/>
        <w:overflowPunct/>
        <w:topLinePunct w:val="0"/>
        <w:autoSpaceDE/>
        <w:autoSpaceDN/>
        <w:bidi w:val="0"/>
        <w:spacing w:line="576" w:lineRule="exact"/>
        <w:ind w:firstLine="640" w:firstLineChars="200"/>
        <w:rPr>
          <w:rFonts w:eastAsia="仿宋_GB2312"/>
          <w:bCs/>
          <w:sz w:val="32"/>
          <w:szCs w:val="32"/>
          <w:lang w:eastAsia="zh-CN"/>
        </w:rPr>
      </w:pPr>
      <w:r>
        <w:rPr>
          <w:rFonts w:hint="eastAsia" w:ascii="仿宋_GB2312" w:hAnsi="仿宋_GB2312" w:eastAsia="仿宋_GB2312" w:cs="仿宋_GB2312"/>
          <w:sz w:val="32"/>
          <w:szCs w:val="32"/>
          <w:lang w:eastAsia="zh-CN"/>
        </w:rPr>
        <w:t>2.</w:t>
      </w:r>
      <w:r>
        <w:rPr>
          <w:rFonts w:hint="eastAsia" w:eastAsia="仿宋_GB2312"/>
          <w:bCs/>
          <w:sz w:val="32"/>
          <w:szCs w:val="32"/>
          <w:lang w:eastAsia="zh-CN"/>
        </w:rPr>
        <w:t>深入贯彻党中央决定和省委、州委、县委决策，对政法工作研究提出全局性部署，推进平安茂县、法治茂县建设，加强过硬队伍建设，深化智能化建设，坚决维护国家政治安全、确保社会大局稳定、促进社会公平正义、保障人民安居乐业。</w:t>
      </w:r>
    </w:p>
    <w:p>
      <w:pPr>
        <w:pStyle w:val="35"/>
        <w:pageBreakBefore w:val="0"/>
        <w:kinsoku/>
        <w:wordWrap/>
        <w:overflowPunct/>
        <w:topLinePunct w:val="0"/>
        <w:autoSpaceDE/>
        <w:autoSpaceDN/>
        <w:bidi w:val="0"/>
        <w:spacing w:line="576" w:lineRule="exact"/>
        <w:ind w:firstLine="640" w:firstLineChars="200"/>
        <w:rPr>
          <w:rFonts w:eastAsia="仿宋_GB2312"/>
          <w:bCs/>
          <w:sz w:val="32"/>
          <w:szCs w:val="32"/>
          <w:lang w:eastAsia="zh-CN"/>
        </w:rPr>
      </w:pPr>
      <w:r>
        <w:rPr>
          <w:rFonts w:hint="eastAsia" w:ascii="仿宋_GB2312" w:hAnsi="仿宋_GB2312" w:eastAsia="仿宋_GB2312" w:cs="仿宋_GB2312"/>
          <w:sz w:val="32"/>
          <w:szCs w:val="32"/>
          <w:lang w:eastAsia="zh-CN"/>
        </w:rPr>
        <w:t>3.</w:t>
      </w:r>
      <w:r>
        <w:rPr>
          <w:rFonts w:hint="eastAsia" w:eastAsia="仿宋_GB2312"/>
          <w:bCs/>
          <w:sz w:val="32"/>
          <w:szCs w:val="32"/>
          <w:lang w:eastAsia="zh-CN"/>
        </w:rPr>
        <w:t>了解掌握和分析研判政法工作情况动态，分析全县社会稳定形势，创新完善多部门参与综治维稳工作机制，构建矛盾纠纷多元化解体系和机制，推动社会治安综合治理领导责任制的实施，协调推动预防、化解影响稳定的社会矛盾和风险，协调应对和处置重大突发事件，统筹推动全县反分裂斗争和维护稳定工作。</w:t>
      </w:r>
    </w:p>
    <w:p>
      <w:pPr>
        <w:pStyle w:val="35"/>
        <w:pageBreakBefore w:val="0"/>
        <w:kinsoku/>
        <w:wordWrap/>
        <w:overflowPunct/>
        <w:topLinePunct w:val="0"/>
        <w:autoSpaceDE/>
        <w:autoSpaceDN/>
        <w:bidi w:val="0"/>
        <w:spacing w:line="576" w:lineRule="exact"/>
        <w:ind w:firstLine="640" w:firstLineChars="200"/>
        <w:rPr>
          <w:rFonts w:eastAsia="仿宋_GB2312"/>
          <w:bCs/>
          <w:sz w:val="32"/>
          <w:szCs w:val="32"/>
          <w:lang w:eastAsia="zh-CN"/>
        </w:rPr>
      </w:pPr>
      <w:r>
        <w:rPr>
          <w:rFonts w:hint="eastAsia" w:ascii="仿宋_GB2312" w:hAnsi="仿宋_GB2312" w:eastAsia="仿宋_GB2312" w:cs="仿宋_GB2312"/>
          <w:sz w:val="32"/>
          <w:szCs w:val="32"/>
          <w:lang w:eastAsia="zh-CN"/>
        </w:rPr>
        <w:t>4.</w:t>
      </w:r>
      <w:r>
        <w:rPr>
          <w:rFonts w:hint="eastAsia" w:eastAsia="仿宋_GB2312"/>
          <w:bCs/>
          <w:sz w:val="32"/>
          <w:szCs w:val="32"/>
          <w:lang w:eastAsia="zh-CN"/>
        </w:rPr>
        <w:t>加强对政法工作的督查，统筹协调维护政治安全、社会治安综合治理、维护社会稳定、反邪教有关法律法规政策的实施工作。指导全县政法系统网络安全和智能化建设工作。</w:t>
      </w:r>
    </w:p>
    <w:p>
      <w:pPr>
        <w:pStyle w:val="35"/>
        <w:pageBreakBefore w:val="0"/>
        <w:kinsoku/>
        <w:wordWrap/>
        <w:overflowPunct/>
        <w:topLinePunct w:val="0"/>
        <w:autoSpaceDE/>
        <w:autoSpaceDN/>
        <w:bidi w:val="0"/>
        <w:spacing w:line="576" w:lineRule="exact"/>
        <w:ind w:firstLine="640" w:firstLineChars="200"/>
        <w:rPr>
          <w:rFonts w:eastAsia="仿宋_GB2312"/>
          <w:bCs/>
          <w:sz w:val="32"/>
          <w:szCs w:val="32"/>
          <w:lang w:eastAsia="zh-CN"/>
        </w:rPr>
      </w:pPr>
      <w:r>
        <w:rPr>
          <w:rFonts w:hint="eastAsia" w:ascii="仿宋_GB2312" w:hAnsi="仿宋_GB2312" w:eastAsia="仿宋_GB2312" w:cs="仿宋_GB2312"/>
          <w:sz w:val="32"/>
          <w:szCs w:val="32"/>
          <w:lang w:eastAsia="zh-CN"/>
        </w:rPr>
        <w:t>5.</w:t>
      </w:r>
      <w:r>
        <w:rPr>
          <w:rFonts w:hint="eastAsia" w:eastAsia="仿宋_GB2312"/>
          <w:bCs/>
          <w:sz w:val="32"/>
          <w:szCs w:val="32"/>
          <w:lang w:eastAsia="zh-CN"/>
        </w:rPr>
        <w:t>组织开展政法领域的调查研究，研究拟订全县政法工作的政策措施，及时向县委提出建议。</w:t>
      </w:r>
    </w:p>
    <w:p>
      <w:pPr>
        <w:pStyle w:val="35"/>
        <w:pageBreakBefore w:val="0"/>
        <w:kinsoku/>
        <w:wordWrap/>
        <w:overflowPunct/>
        <w:topLinePunct w:val="0"/>
        <w:autoSpaceDE/>
        <w:autoSpaceDN/>
        <w:bidi w:val="0"/>
        <w:spacing w:line="576" w:lineRule="exact"/>
        <w:ind w:firstLine="640" w:firstLineChars="200"/>
        <w:rPr>
          <w:rFonts w:eastAsia="仿宋_GB2312"/>
          <w:bCs/>
          <w:sz w:val="32"/>
          <w:szCs w:val="32"/>
          <w:lang w:eastAsia="zh-CN"/>
        </w:rPr>
      </w:pPr>
      <w:r>
        <w:rPr>
          <w:rFonts w:hint="eastAsia" w:ascii="仿宋_GB2312" w:hAnsi="仿宋_GB2312" w:eastAsia="仿宋_GB2312" w:cs="仿宋_GB2312"/>
          <w:sz w:val="32"/>
          <w:szCs w:val="32"/>
          <w:lang w:eastAsia="zh-CN"/>
        </w:rPr>
        <w:t>6.</w:t>
      </w:r>
      <w:r>
        <w:rPr>
          <w:rFonts w:hint="eastAsia" w:eastAsia="仿宋_GB2312"/>
          <w:bCs/>
          <w:sz w:val="32"/>
          <w:szCs w:val="32"/>
          <w:lang w:eastAsia="zh-CN"/>
        </w:rPr>
        <w:t>掌握分析政法舆情动态，指导协调政法部门媒体网络宣传工作，指导政法部门做好涉及政法工作的重大宣传和舆论引导工作。</w:t>
      </w:r>
    </w:p>
    <w:p>
      <w:pPr>
        <w:pStyle w:val="35"/>
        <w:pageBreakBefore w:val="0"/>
        <w:kinsoku/>
        <w:wordWrap/>
        <w:overflowPunct/>
        <w:topLinePunct w:val="0"/>
        <w:autoSpaceDE/>
        <w:autoSpaceDN/>
        <w:bidi w:val="0"/>
        <w:spacing w:line="576" w:lineRule="exact"/>
        <w:ind w:firstLine="640" w:firstLineChars="200"/>
        <w:rPr>
          <w:rFonts w:eastAsia="仿宋_GB2312"/>
          <w:bCs/>
          <w:sz w:val="32"/>
          <w:szCs w:val="32"/>
          <w:lang w:eastAsia="zh-CN"/>
        </w:rPr>
      </w:pPr>
      <w:r>
        <w:rPr>
          <w:rFonts w:hint="eastAsia" w:ascii="仿宋_GB2312" w:hAnsi="仿宋_GB2312" w:eastAsia="仿宋_GB2312" w:cs="仿宋_GB2312"/>
          <w:sz w:val="32"/>
          <w:szCs w:val="32"/>
          <w:lang w:eastAsia="zh-CN"/>
        </w:rPr>
        <w:t>7.</w:t>
      </w:r>
      <w:r>
        <w:rPr>
          <w:rFonts w:hint="eastAsia" w:eastAsia="仿宋_GB2312"/>
          <w:bCs/>
          <w:sz w:val="32"/>
          <w:szCs w:val="32"/>
          <w:lang w:eastAsia="zh-CN"/>
        </w:rPr>
        <w:t>监督和支持政法各部门依法行使职权，指导和协调政法各部门密切配合，研究和协调重大疑难案件，推进严格执法、公正司法。</w:t>
      </w:r>
    </w:p>
    <w:p>
      <w:pPr>
        <w:pStyle w:val="35"/>
        <w:pageBreakBefore w:val="0"/>
        <w:kinsoku/>
        <w:wordWrap/>
        <w:overflowPunct/>
        <w:topLinePunct w:val="0"/>
        <w:autoSpaceDE/>
        <w:autoSpaceDN/>
        <w:bidi w:val="0"/>
        <w:spacing w:line="576" w:lineRule="exact"/>
        <w:ind w:firstLine="640" w:firstLineChars="200"/>
        <w:rPr>
          <w:rFonts w:eastAsia="仿宋_GB2312"/>
          <w:bCs/>
          <w:sz w:val="32"/>
          <w:szCs w:val="32"/>
          <w:lang w:eastAsia="zh-CN"/>
        </w:rPr>
      </w:pPr>
      <w:r>
        <w:rPr>
          <w:rFonts w:hint="eastAsia" w:ascii="仿宋_GB2312" w:hAnsi="仿宋_GB2312" w:eastAsia="仿宋_GB2312" w:cs="仿宋_GB2312"/>
          <w:sz w:val="32"/>
          <w:szCs w:val="32"/>
          <w:lang w:eastAsia="zh-CN"/>
        </w:rPr>
        <w:t>8.</w:t>
      </w:r>
      <w:r>
        <w:rPr>
          <w:rFonts w:hint="eastAsia" w:eastAsia="仿宋_GB2312"/>
          <w:bCs/>
          <w:sz w:val="32"/>
          <w:szCs w:val="32"/>
          <w:lang w:eastAsia="zh-CN"/>
        </w:rPr>
        <w:t>组织研究政法改革中带有方向性、倾向性和普遍性的重大问题，深化政法改革。</w:t>
      </w:r>
    </w:p>
    <w:p>
      <w:pPr>
        <w:pStyle w:val="35"/>
        <w:pageBreakBefore w:val="0"/>
        <w:kinsoku/>
        <w:wordWrap/>
        <w:overflowPunct/>
        <w:topLinePunct w:val="0"/>
        <w:autoSpaceDE/>
        <w:autoSpaceDN/>
        <w:bidi w:val="0"/>
        <w:spacing w:line="576" w:lineRule="exact"/>
        <w:ind w:firstLine="640" w:firstLineChars="200"/>
        <w:rPr>
          <w:rFonts w:hint="eastAsia" w:ascii="仿宋_GB2312" w:hAnsi="宋体" w:cs="宋体"/>
          <w:color w:val="000000"/>
          <w:kern w:val="0"/>
          <w:szCs w:val="32"/>
          <w:shd w:val="clear" w:color="auto" w:fill="FFFFFF"/>
          <w:lang w:val="zh-CN"/>
        </w:rPr>
      </w:pPr>
      <w:r>
        <w:rPr>
          <w:rFonts w:hint="eastAsia" w:ascii="仿宋_GB2312" w:hAnsi="仿宋_GB2312" w:eastAsia="仿宋_GB2312" w:cs="仿宋_GB2312"/>
          <w:sz w:val="32"/>
          <w:szCs w:val="32"/>
          <w:lang w:eastAsia="zh-CN"/>
        </w:rPr>
        <w:t>9.</w:t>
      </w:r>
      <w:r>
        <w:rPr>
          <w:rFonts w:hint="eastAsia" w:eastAsia="仿宋_GB2312"/>
          <w:bCs/>
          <w:sz w:val="32"/>
          <w:szCs w:val="32"/>
          <w:lang w:eastAsia="zh-CN"/>
        </w:rPr>
        <w:t>指导推动政法系统党的建设和政法队伍建设，协同县级有关职能部门管理监督政法领导干部。</w:t>
      </w:r>
    </w:p>
    <w:p>
      <w:pPr>
        <w:pStyle w:val="35"/>
        <w:pageBreakBefore w:val="0"/>
        <w:widowControl/>
        <w:kinsoku/>
        <w:wordWrap/>
        <w:overflowPunct/>
        <w:topLinePunct w:val="0"/>
        <w:autoSpaceDE/>
        <w:autoSpaceDN/>
        <w:bidi w:val="0"/>
        <w:adjustRightInd w:val="0"/>
        <w:snapToGrid w:val="0"/>
        <w:spacing w:line="576" w:lineRule="exact"/>
        <w:ind w:firstLine="640" w:firstLineChars="200"/>
        <w:contextualSpacing/>
        <w:jc w:val="left"/>
        <w:rPr>
          <w:rFonts w:hint="eastAsia" w:ascii="仿宋_GB2312" w:hAnsi="宋体" w:cs="宋体"/>
          <w:color w:val="000000"/>
          <w:kern w:val="0"/>
          <w:szCs w:val="32"/>
          <w:shd w:val="clear" w:color="auto" w:fill="FFFFFF"/>
          <w:lang w:val="zh-CN"/>
        </w:rPr>
      </w:pPr>
      <w:r>
        <w:rPr>
          <w:rFonts w:hint="eastAsia" w:ascii="仿宋_GB2312" w:hAnsi="宋体" w:cs="宋体"/>
          <w:color w:val="000000"/>
          <w:kern w:val="0"/>
          <w:szCs w:val="32"/>
          <w:shd w:val="clear" w:color="auto" w:fill="FFFFFF"/>
          <w:lang w:val="zh-CN"/>
        </w:rPr>
        <w:t>（三）人员概况。</w:t>
      </w:r>
    </w:p>
    <w:p>
      <w:pPr>
        <w:pStyle w:val="41"/>
        <w:keepNext w:val="0"/>
        <w:keepLines w:val="0"/>
        <w:pageBreakBefore w:val="0"/>
        <w:kinsoku/>
        <w:wordWrap/>
        <w:overflowPunct/>
        <w:topLinePunct w:val="0"/>
        <w:autoSpaceDE/>
        <w:autoSpaceDN/>
        <w:bidi w:val="0"/>
        <w:adjustRightInd w:val="0"/>
        <w:snapToGrid w:val="0"/>
        <w:spacing w:beforeLines="0" w:line="576" w:lineRule="exact"/>
        <w:ind w:firstLine="672" w:firstLineChars="210"/>
        <w:textAlignment w:val="auto"/>
        <w:rPr>
          <w:rFonts w:hint="eastAsia" w:eastAsia="仿宋_GB2312"/>
          <w:bCs/>
          <w:sz w:val="32"/>
          <w:szCs w:val="32"/>
          <w:lang w:val="zh-CN" w:eastAsia="zh-CN"/>
        </w:rPr>
      </w:pPr>
      <w:r>
        <w:rPr>
          <w:rFonts w:hint="eastAsia" w:ascii="仿宋_GB2312" w:eastAsia="仿宋_GB2312"/>
          <w:sz w:val="32"/>
          <w:szCs w:val="32"/>
        </w:rPr>
        <w:t xml:space="preserve"> </w:t>
      </w:r>
      <w:r>
        <w:rPr>
          <w:rFonts w:hint="eastAsia"/>
          <w:color w:val="000000"/>
          <w:sz w:val="32"/>
          <w:szCs w:val="32"/>
        </w:rPr>
        <w:t>政法委下属二级单位</w:t>
      </w:r>
      <w:r>
        <w:rPr>
          <w:color w:val="000000"/>
          <w:sz w:val="32"/>
          <w:szCs w:val="32"/>
        </w:rPr>
        <w:t>0</w:t>
      </w:r>
      <w:r>
        <w:rPr>
          <w:rFonts w:hint="eastAsia"/>
          <w:color w:val="000000"/>
          <w:sz w:val="32"/>
          <w:szCs w:val="32"/>
        </w:rPr>
        <w:t>个，其中行政单位</w:t>
      </w:r>
      <w:r>
        <w:rPr>
          <w:color w:val="000000"/>
          <w:sz w:val="32"/>
          <w:szCs w:val="32"/>
        </w:rPr>
        <w:t>0</w:t>
      </w:r>
      <w:r>
        <w:rPr>
          <w:rFonts w:hint="eastAsia"/>
          <w:color w:val="000000"/>
          <w:sz w:val="32"/>
          <w:szCs w:val="32"/>
        </w:rPr>
        <w:t>个，参照公务员法管理的事业单位</w:t>
      </w:r>
      <w:r>
        <w:rPr>
          <w:color w:val="000000"/>
          <w:sz w:val="32"/>
          <w:szCs w:val="32"/>
        </w:rPr>
        <w:t>0</w:t>
      </w:r>
      <w:r>
        <w:rPr>
          <w:rFonts w:hint="eastAsia"/>
          <w:color w:val="000000"/>
          <w:sz w:val="32"/>
          <w:szCs w:val="32"/>
        </w:rPr>
        <w:t>个，其他事业单位</w:t>
      </w:r>
      <w:r>
        <w:rPr>
          <w:color w:val="000000"/>
          <w:sz w:val="32"/>
          <w:szCs w:val="32"/>
        </w:rPr>
        <w:t>0</w:t>
      </w:r>
      <w:r>
        <w:rPr>
          <w:rFonts w:hint="eastAsia"/>
          <w:color w:val="000000"/>
          <w:sz w:val="32"/>
          <w:szCs w:val="32"/>
        </w:rPr>
        <w:t>个。县委政法委总编制</w:t>
      </w:r>
      <w:r>
        <w:rPr>
          <w:rFonts w:hint="eastAsia"/>
          <w:color w:val="000000"/>
          <w:sz w:val="32"/>
          <w:szCs w:val="32"/>
          <w:lang w:val="en-US" w:eastAsia="zh-CN"/>
        </w:rPr>
        <w:t>15</w:t>
      </w:r>
      <w:r>
        <w:rPr>
          <w:rFonts w:hint="eastAsia"/>
          <w:color w:val="000000"/>
          <w:sz w:val="32"/>
          <w:szCs w:val="32"/>
        </w:rPr>
        <w:t>名，其中：行政编制</w:t>
      </w:r>
      <w:r>
        <w:rPr>
          <w:color w:val="000000"/>
          <w:sz w:val="32"/>
          <w:szCs w:val="32"/>
        </w:rPr>
        <w:t>11</w:t>
      </w:r>
      <w:r>
        <w:rPr>
          <w:rFonts w:hint="eastAsia"/>
          <w:color w:val="000000"/>
          <w:sz w:val="32"/>
          <w:szCs w:val="32"/>
        </w:rPr>
        <w:t>名，其他事业编制</w:t>
      </w:r>
      <w:r>
        <w:rPr>
          <w:color w:val="000000"/>
          <w:sz w:val="32"/>
          <w:szCs w:val="32"/>
        </w:rPr>
        <w:t>4</w:t>
      </w:r>
      <w:r>
        <w:rPr>
          <w:rFonts w:hint="eastAsia"/>
          <w:color w:val="000000"/>
          <w:sz w:val="32"/>
          <w:szCs w:val="32"/>
        </w:rPr>
        <w:t>名。在职人员总数</w:t>
      </w:r>
      <w:r>
        <w:rPr>
          <w:rFonts w:hint="eastAsia"/>
          <w:color w:val="000000"/>
          <w:sz w:val="32"/>
          <w:szCs w:val="32"/>
          <w:lang w:val="en-US" w:eastAsia="zh-CN"/>
        </w:rPr>
        <w:t>15</w:t>
      </w:r>
      <w:r>
        <w:rPr>
          <w:rFonts w:hint="eastAsia"/>
          <w:color w:val="000000"/>
          <w:sz w:val="32"/>
          <w:szCs w:val="32"/>
        </w:rPr>
        <w:t>人，其中：行政人员</w:t>
      </w:r>
      <w:r>
        <w:rPr>
          <w:color w:val="000000"/>
          <w:sz w:val="32"/>
          <w:szCs w:val="32"/>
        </w:rPr>
        <w:t>1</w:t>
      </w:r>
      <w:r>
        <w:rPr>
          <w:rFonts w:hint="eastAsia"/>
          <w:color w:val="000000"/>
          <w:sz w:val="32"/>
          <w:szCs w:val="32"/>
          <w:lang w:val="en-US" w:eastAsia="zh-CN"/>
        </w:rPr>
        <w:t>1</w:t>
      </w:r>
      <w:r>
        <w:rPr>
          <w:rFonts w:hint="eastAsia"/>
          <w:color w:val="000000"/>
          <w:sz w:val="32"/>
          <w:szCs w:val="32"/>
        </w:rPr>
        <w:t>人，</w:t>
      </w:r>
      <w:r>
        <w:rPr>
          <w:rFonts w:hint="eastAsia"/>
          <w:color w:val="000000"/>
          <w:sz w:val="32"/>
          <w:szCs w:val="32"/>
          <w:lang w:eastAsia="zh-CN"/>
        </w:rPr>
        <w:t>机关行政工勤</w:t>
      </w:r>
      <w:r>
        <w:rPr>
          <w:rFonts w:hint="eastAsia"/>
          <w:color w:val="000000"/>
          <w:sz w:val="32"/>
          <w:szCs w:val="32"/>
          <w:lang w:val="en-US" w:eastAsia="zh-CN"/>
        </w:rPr>
        <w:t>2人，</w:t>
      </w:r>
      <w:r>
        <w:rPr>
          <w:rFonts w:hint="eastAsia"/>
          <w:color w:val="000000"/>
          <w:sz w:val="32"/>
          <w:szCs w:val="32"/>
        </w:rPr>
        <w:t>事业人员</w:t>
      </w:r>
      <w:r>
        <w:rPr>
          <w:rFonts w:hint="eastAsia"/>
          <w:color w:val="000000"/>
          <w:sz w:val="32"/>
          <w:szCs w:val="32"/>
          <w:lang w:val="en-US" w:eastAsia="zh-CN"/>
        </w:rPr>
        <w:t>2</w:t>
      </w:r>
      <w:r>
        <w:rPr>
          <w:rFonts w:hint="eastAsia"/>
          <w:color w:val="000000"/>
          <w:sz w:val="32"/>
          <w:szCs w:val="32"/>
        </w:rPr>
        <w:t>人</w:t>
      </w:r>
      <w:r>
        <w:rPr>
          <w:rFonts w:hint="eastAsia"/>
          <w:color w:val="000000"/>
          <w:sz w:val="32"/>
          <w:szCs w:val="32"/>
          <w:lang w:eastAsia="zh-CN"/>
        </w:rPr>
        <w:t>，</w:t>
      </w:r>
      <w:r>
        <w:rPr>
          <w:rFonts w:hint="eastAsia"/>
          <w:color w:val="000000"/>
          <w:sz w:val="32"/>
          <w:szCs w:val="32"/>
        </w:rPr>
        <w:t>退休人员</w:t>
      </w:r>
      <w:r>
        <w:rPr>
          <w:color w:val="000000"/>
          <w:sz w:val="32"/>
          <w:szCs w:val="32"/>
        </w:rPr>
        <w:t>6</w:t>
      </w:r>
      <w:r>
        <w:rPr>
          <w:rFonts w:hint="eastAsia"/>
          <w:color w:val="000000"/>
          <w:sz w:val="32"/>
          <w:szCs w:val="32"/>
        </w:rPr>
        <w:t>人。</w:t>
      </w:r>
    </w:p>
    <w:p>
      <w:pPr>
        <w:pStyle w:val="35"/>
        <w:pageBreakBefore w:val="0"/>
        <w:widowControl/>
        <w:kinsoku/>
        <w:wordWrap/>
        <w:overflowPunct/>
        <w:topLinePunct w:val="0"/>
        <w:autoSpaceDE/>
        <w:autoSpaceDN/>
        <w:bidi w:val="0"/>
        <w:adjustRightInd w:val="0"/>
        <w:snapToGrid w:val="0"/>
        <w:spacing w:line="576" w:lineRule="exact"/>
        <w:ind w:firstLine="640" w:firstLineChars="200"/>
        <w:contextualSpacing/>
        <w:jc w:val="left"/>
        <w:rPr>
          <w:rFonts w:ascii="黑体" w:hAnsi="宋体" w:eastAsia="黑体" w:cs="宋体"/>
          <w:color w:val="000000"/>
          <w:kern w:val="0"/>
          <w:szCs w:val="32"/>
          <w:shd w:val="clear" w:color="auto" w:fill="FFFFFF"/>
        </w:rPr>
      </w:pPr>
      <w:r>
        <w:rPr>
          <w:rFonts w:hint="eastAsia" w:ascii="黑体" w:hAnsi="宋体" w:eastAsia="黑体" w:cs="宋体"/>
          <w:color w:val="000000"/>
          <w:kern w:val="0"/>
          <w:szCs w:val="32"/>
          <w:shd w:val="clear" w:color="auto" w:fill="FFFFFF"/>
        </w:rPr>
        <w:t>二、部门财政资金收支情况</w:t>
      </w:r>
    </w:p>
    <w:p>
      <w:pPr>
        <w:pStyle w:val="35"/>
        <w:pageBreakBefore w:val="0"/>
        <w:widowControl/>
        <w:kinsoku/>
        <w:wordWrap/>
        <w:overflowPunct/>
        <w:topLinePunct w:val="0"/>
        <w:autoSpaceDE/>
        <w:autoSpaceDN/>
        <w:bidi w:val="0"/>
        <w:adjustRightInd w:val="0"/>
        <w:snapToGrid w:val="0"/>
        <w:spacing w:line="576" w:lineRule="exact"/>
        <w:ind w:firstLine="640" w:firstLineChars="200"/>
        <w:contextualSpacing/>
        <w:jc w:val="left"/>
        <w:rPr>
          <w:rFonts w:hint="eastAsia" w:ascii="仿宋_GB2312" w:hAnsi="宋体" w:cs="宋体"/>
          <w:color w:val="000000"/>
          <w:kern w:val="0"/>
          <w:szCs w:val="32"/>
          <w:shd w:val="clear" w:color="auto" w:fill="FFFFFF"/>
          <w:lang w:val="zh-CN"/>
        </w:rPr>
      </w:pPr>
      <w:r>
        <w:rPr>
          <w:rFonts w:hint="eastAsia" w:ascii="仿宋_GB2312" w:hAnsi="宋体" w:cs="宋体"/>
          <w:color w:val="000000"/>
          <w:kern w:val="0"/>
          <w:szCs w:val="32"/>
          <w:shd w:val="clear" w:color="auto" w:fill="FFFFFF"/>
          <w:lang w:val="zh-CN"/>
        </w:rPr>
        <w:t>（一）部门财政资金收入情况。</w:t>
      </w:r>
    </w:p>
    <w:p>
      <w:pPr>
        <w:pStyle w:val="7"/>
        <w:pageBreakBefore w:val="0"/>
        <w:widowControl w:val="0"/>
        <w:kinsoku/>
        <w:wordWrap/>
        <w:overflowPunct/>
        <w:topLinePunct w:val="0"/>
        <w:autoSpaceDE/>
        <w:autoSpaceDN/>
        <w:bidi w:val="0"/>
        <w:adjustRightInd/>
        <w:snapToGrid/>
        <w:spacing w:line="576" w:lineRule="exact"/>
        <w:textAlignment w:val="auto"/>
        <w:rPr>
          <w:rFonts w:ascii="仿宋" w:hAnsi="仿宋" w:eastAsia="仿宋"/>
          <w:color w:val="000000"/>
          <w:sz w:val="32"/>
          <w:szCs w:val="32"/>
        </w:rPr>
      </w:pPr>
      <w:r>
        <w:rPr>
          <w:rFonts w:hint="eastAsia" w:ascii="仿宋" w:hAnsi="仿宋" w:eastAsia="仿宋"/>
          <w:color w:val="000000"/>
          <w:sz w:val="32"/>
          <w:szCs w:val="32"/>
        </w:rPr>
        <w:t>2021</w:t>
      </w:r>
      <w:r>
        <w:rPr>
          <w:rFonts w:ascii="仿宋" w:hAnsi="仿宋" w:eastAsia="仿宋"/>
          <w:color w:val="000000"/>
          <w:sz w:val="32"/>
          <w:szCs w:val="32"/>
        </w:rPr>
        <w:t>年本年支出合计</w:t>
      </w:r>
      <w:r>
        <w:rPr>
          <w:rFonts w:hint="eastAsia" w:ascii="仿宋" w:hAnsi="仿宋" w:eastAsia="仿宋"/>
          <w:color w:val="000000"/>
          <w:sz w:val="32"/>
          <w:szCs w:val="32"/>
        </w:rPr>
        <w:t>393.32</w:t>
      </w:r>
      <w:r>
        <w:rPr>
          <w:rFonts w:ascii="仿宋" w:hAnsi="仿宋" w:eastAsia="仿宋"/>
          <w:color w:val="000000"/>
          <w:sz w:val="32"/>
          <w:szCs w:val="32"/>
        </w:rPr>
        <w:t>万元，其中：基本支出</w:t>
      </w:r>
      <w:r>
        <w:rPr>
          <w:rFonts w:hint="eastAsia" w:ascii="仿宋" w:hAnsi="仿宋" w:eastAsia="仿宋"/>
          <w:color w:val="000000"/>
          <w:sz w:val="32"/>
          <w:szCs w:val="32"/>
        </w:rPr>
        <w:t>329.59</w:t>
      </w:r>
      <w:r>
        <w:rPr>
          <w:rFonts w:ascii="仿宋" w:hAnsi="仿宋" w:eastAsia="仿宋"/>
          <w:color w:val="000000"/>
          <w:sz w:val="32"/>
          <w:szCs w:val="32"/>
        </w:rPr>
        <w:t>万元，占</w:t>
      </w:r>
      <w:r>
        <w:rPr>
          <w:rFonts w:hint="eastAsia" w:ascii="仿宋" w:hAnsi="仿宋" w:eastAsia="仿宋"/>
          <w:color w:val="000000"/>
          <w:sz w:val="32"/>
          <w:szCs w:val="32"/>
        </w:rPr>
        <w:t>83.80</w:t>
      </w:r>
      <w:r>
        <w:rPr>
          <w:rFonts w:ascii="仿宋" w:hAnsi="仿宋" w:eastAsia="仿宋"/>
          <w:color w:val="000000"/>
          <w:sz w:val="32"/>
          <w:szCs w:val="32"/>
        </w:rPr>
        <w:t>%；项目支出</w:t>
      </w:r>
      <w:r>
        <w:rPr>
          <w:rFonts w:hint="eastAsia" w:ascii="仿宋" w:hAnsi="仿宋" w:eastAsia="仿宋"/>
          <w:color w:val="000000"/>
          <w:sz w:val="32"/>
          <w:szCs w:val="32"/>
        </w:rPr>
        <w:t>63.73</w:t>
      </w:r>
      <w:r>
        <w:rPr>
          <w:rFonts w:ascii="仿宋" w:hAnsi="仿宋" w:eastAsia="仿宋"/>
          <w:color w:val="000000"/>
          <w:sz w:val="32"/>
          <w:szCs w:val="32"/>
        </w:rPr>
        <w:t>万元，占</w:t>
      </w:r>
      <w:r>
        <w:rPr>
          <w:rFonts w:hint="eastAsia" w:ascii="仿宋" w:hAnsi="仿宋" w:eastAsia="仿宋"/>
          <w:color w:val="000000"/>
          <w:sz w:val="32"/>
          <w:szCs w:val="32"/>
        </w:rPr>
        <w:t>16.20</w:t>
      </w:r>
      <w:r>
        <w:rPr>
          <w:rFonts w:ascii="仿宋" w:hAnsi="仿宋" w:eastAsia="仿宋"/>
          <w:color w:val="000000"/>
          <w:sz w:val="32"/>
          <w:szCs w:val="32"/>
        </w:rPr>
        <w:t>%；上缴上级支出</w:t>
      </w:r>
      <w:r>
        <w:rPr>
          <w:rFonts w:hint="eastAsia" w:ascii="仿宋" w:hAnsi="仿宋" w:eastAsia="仿宋"/>
          <w:color w:val="000000"/>
          <w:sz w:val="32"/>
          <w:szCs w:val="32"/>
        </w:rPr>
        <w:t>0.00</w:t>
      </w:r>
      <w:r>
        <w:rPr>
          <w:rFonts w:ascii="仿宋" w:hAnsi="仿宋" w:eastAsia="仿宋"/>
          <w:color w:val="000000"/>
          <w:sz w:val="32"/>
          <w:szCs w:val="32"/>
        </w:rPr>
        <w:t>万元，占</w:t>
      </w:r>
      <w:r>
        <w:rPr>
          <w:rFonts w:hint="eastAsia" w:ascii="仿宋" w:hAnsi="仿宋" w:eastAsia="仿宋"/>
          <w:color w:val="000000"/>
          <w:sz w:val="32"/>
          <w:szCs w:val="32"/>
        </w:rPr>
        <w:t>0.00</w:t>
      </w:r>
      <w:r>
        <w:rPr>
          <w:rFonts w:ascii="仿宋" w:hAnsi="仿宋" w:eastAsia="仿宋"/>
          <w:color w:val="000000"/>
          <w:sz w:val="32"/>
          <w:szCs w:val="32"/>
        </w:rPr>
        <w:t>%；经营支出</w:t>
      </w:r>
      <w:r>
        <w:rPr>
          <w:rFonts w:hint="eastAsia" w:ascii="仿宋" w:hAnsi="仿宋" w:eastAsia="仿宋"/>
          <w:color w:val="000000"/>
          <w:sz w:val="32"/>
          <w:szCs w:val="32"/>
        </w:rPr>
        <w:t>0.00</w:t>
      </w:r>
      <w:r>
        <w:rPr>
          <w:rFonts w:ascii="仿宋" w:hAnsi="仿宋" w:eastAsia="仿宋"/>
          <w:color w:val="000000"/>
          <w:sz w:val="32"/>
          <w:szCs w:val="32"/>
        </w:rPr>
        <w:t>万元，占</w:t>
      </w:r>
      <w:r>
        <w:rPr>
          <w:rFonts w:hint="eastAsia" w:ascii="仿宋" w:hAnsi="仿宋" w:eastAsia="仿宋"/>
          <w:color w:val="000000"/>
          <w:sz w:val="32"/>
          <w:szCs w:val="32"/>
        </w:rPr>
        <w:t>0.00</w:t>
      </w:r>
      <w:r>
        <w:rPr>
          <w:rFonts w:ascii="仿宋" w:hAnsi="仿宋" w:eastAsia="仿宋"/>
          <w:color w:val="000000"/>
          <w:sz w:val="32"/>
          <w:szCs w:val="32"/>
        </w:rPr>
        <w:t>%；对附属单位补助支出</w:t>
      </w:r>
      <w:r>
        <w:rPr>
          <w:rFonts w:hint="eastAsia" w:ascii="仿宋" w:hAnsi="仿宋" w:eastAsia="仿宋"/>
          <w:color w:val="000000"/>
          <w:sz w:val="32"/>
          <w:szCs w:val="32"/>
        </w:rPr>
        <w:t>0.00</w:t>
      </w:r>
      <w:r>
        <w:rPr>
          <w:rFonts w:ascii="仿宋" w:hAnsi="仿宋" w:eastAsia="仿宋"/>
          <w:color w:val="000000"/>
          <w:sz w:val="32"/>
          <w:szCs w:val="32"/>
        </w:rPr>
        <w:t>万元，占</w:t>
      </w:r>
      <w:r>
        <w:rPr>
          <w:rFonts w:hint="eastAsia" w:ascii="仿宋" w:hAnsi="仿宋" w:eastAsia="仿宋"/>
          <w:color w:val="000000"/>
          <w:sz w:val="32"/>
          <w:szCs w:val="32"/>
        </w:rPr>
        <w:t>0.00</w:t>
      </w:r>
      <w:r>
        <w:rPr>
          <w:rFonts w:ascii="仿宋" w:hAnsi="仿宋" w:eastAsia="仿宋"/>
          <w:color w:val="000000"/>
          <w:sz w:val="32"/>
          <w:szCs w:val="32"/>
        </w:rPr>
        <w:t>%。</w:t>
      </w:r>
    </w:p>
    <w:p>
      <w:pPr>
        <w:pStyle w:val="35"/>
        <w:pageBreakBefore w:val="0"/>
        <w:widowControl/>
        <w:numPr>
          <w:ilvl w:val="0"/>
          <w:numId w:val="2"/>
        </w:numPr>
        <w:kinsoku/>
        <w:wordWrap/>
        <w:overflowPunct/>
        <w:topLinePunct w:val="0"/>
        <w:autoSpaceDE/>
        <w:autoSpaceDN/>
        <w:bidi w:val="0"/>
        <w:adjustRightInd w:val="0"/>
        <w:snapToGrid w:val="0"/>
        <w:spacing w:line="576" w:lineRule="exact"/>
        <w:ind w:left="0" w:leftChars="0" w:firstLine="640" w:firstLineChars="200"/>
        <w:contextualSpacing/>
        <w:jc w:val="left"/>
        <w:rPr>
          <w:rFonts w:hint="eastAsia" w:ascii="仿宋_GB2312" w:hAnsi="宋体" w:cs="宋体"/>
          <w:color w:val="000000"/>
          <w:kern w:val="0"/>
          <w:szCs w:val="32"/>
          <w:shd w:val="clear" w:color="auto" w:fill="FFFFFF"/>
          <w:lang w:val="zh-CN"/>
        </w:rPr>
      </w:pPr>
      <w:r>
        <w:rPr>
          <w:rFonts w:hint="eastAsia" w:ascii="仿宋_GB2312" w:hAnsi="宋体" w:cs="宋体"/>
          <w:color w:val="000000"/>
          <w:kern w:val="0"/>
          <w:szCs w:val="32"/>
          <w:shd w:val="clear" w:color="auto" w:fill="FFFFFF"/>
          <w:lang w:val="zh-CN"/>
        </w:rPr>
        <w:t>部门财政资金支出情况。</w:t>
      </w:r>
    </w:p>
    <w:p>
      <w:pPr>
        <w:pageBreakBefore w:val="0"/>
        <w:widowControl w:val="0"/>
        <w:kinsoku/>
        <w:wordWrap/>
        <w:overflowPunct/>
        <w:topLinePunct w:val="0"/>
        <w:autoSpaceDE/>
        <w:autoSpaceDN/>
        <w:bidi w:val="0"/>
        <w:adjustRightInd/>
        <w:snapToGrid/>
        <w:spacing w:line="576" w:lineRule="exact"/>
        <w:ind w:firstLine="640"/>
        <w:textAlignment w:val="auto"/>
        <w:rPr>
          <w:rFonts w:ascii="仿宋" w:hAnsi="仿宋" w:eastAsia="仿宋"/>
          <w:color w:val="000000"/>
          <w:sz w:val="32"/>
          <w:szCs w:val="32"/>
        </w:rPr>
      </w:pPr>
      <w:r>
        <w:rPr>
          <w:rFonts w:hint="eastAsia" w:ascii="仿宋" w:hAnsi="仿宋" w:eastAsia="仿宋"/>
          <w:color w:val="000000"/>
          <w:sz w:val="32"/>
          <w:szCs w:val="32"/>
        </w:rPr>
        <w:t>2021年一般公共预算财政拨款基本支出329.59万元，其中：</w:t>
      </w:r>
    </w:p>
    <w:p>
      <w:pPr>
        <w:pageBreakBefore w:val="0"/>
        <w:widowControl w:val="0"/>
        <w:kinsoku/>
        <w:wordWrap/>
        <w:overflowPunct/>
        <w:topLinePunct w:val="0"/>
        <w:autoSpaceDE/>
        <w:autoSpaceDN/>
        <w:bidi w:val="0"/>
        <w:adjustRightInd/>
        <w:snapToGrid/>
        <w:spacing w:line="576" w:lineRule="exact"/>
        <w:ind w:firstLine="640"/>
        <w:textAlignment w:val="auto"/>
        <w:rPr>
          <w:rFonts w:ascii="仿宋" w:hAnsi="仿宋" w:eastAsia="仿宋"/>
          <w:color w:val="000000"/>
          <w:sz w:val="32"/>
          <w:szCs w:val="32"/>
        </w:rPr>
      </w:pPr>
      <w:r>
        <w:rPr>
          <w:rFonts w:hint="eastAsia" w:ascii="仿宋" w:hAnsi="仿宋" w:eastAsia="仿宋"/>
          <w:color w:val="000000"/>
          <w:sz w:val="32"/>
          <w:szCs w:val="32"/>
        </w:rPr>
        <w:t>人员经费294.44万元，主要包括：基本工资63.60万元、津贴补贴68.85万元、奖金74.28万元、绩效工资9.37万元、机关事业单位基本养老保险缴费19.98万元、职业年金缴费9.99万元、职工基本医疗保险缴费15.20万元、其他社会保障缴费0.56万元、住房公积金22.64万元、医疗费1.85万元、生活补助8.06万元、医疗费补助0.06万元。</w:t>
      </w:r>
    </w:p>
    <w:p>
      <w:pPr>
        <w:pageBreakBefore w:val="0"/>
        <w:widowControl w:val="0"/>
        <w:kinsoku/>
        <w:wordWrap/>
        <w:overflowPunct/>
        <w:topLinePunct w:val="0"/>
        <w:autoSpaceDE/>
        <w:autoSpaceDN/>
        <w:bidi w:val="0"/>
        <w:adjustRightInd/>
        <w:snapToGrid/>
        <w:spacing w:line="576" w:lineRule="exact"/>
        <w:ind w:firstLine="640"/>
        <w:textAlignment w:val="auto"/>
        <w:rPr>
          <w:rFonts w:ascii="仿宋" w:hAnsi="仿宋" w:eastAsia="仿宋"/>
          <w:color w:val="000000"/>
          <w:sz w:val="32"/>
          <w:szCs w:val="32"/>
        </w:rPr>
      </w:pPr>
      <w:r>
        <w:rPr>
          <w:rFonts w:hint="eastAsia" w:ascii="仿宋" w:hAnsi="仿宋" w:eastAsia="仿宋"/>
          <w:color w:val="000000"/>
          <w:sz w:val="32"/>
          <w:szCs w:val="32"/>
        </w:rPr>
        <w:t>公用经费35.15万元，主要包括：办公费10.84万元、邮电费2.81万元、差旅费5.26万元、培训费1.00万元、公务接待费0.75万元、其他交通费用14.49万元。</w:t>
      </w:r>
    </w:p>
    <w:p>
      <w:pPr>
        <w:pStyle w:val="35"/>
        <w:pageBreakBefore w:val="0"/>
        <w:widowControl/>
        <w:numPr>
          <w:ilvl w:val="0"/>
          <w:numId w:val="3"/>
        </w:numPr>
        <w:kinsoku/>
        <w:wordWrap/>
        <w:overflowPunct/>
        <w:topLinePunct w:val="0"/>
        <w:autoSpaceDE/>
        <w:autoSpaceDN/>
        <w:bidi w:val="0"/>
        <w:adjustRightInd w:val="0"/>
        <w:snapToGrid w:val="0"/>
        <w:spacing w:line="576" w:lineRule="exact"/>
        <w:ind w:firstLine="640" w:firstLineChars="200"/>
        <w:contextualSpacing/>
        <w:jc w:val="left"/>
        <w:rPr>
          <w:rFonts w:hint="eastAsia" w:ascii="黑体" w:hAnsi="宋体" w:eastAsia="黑体" w:cs="宋体"/>
          <w:color w:val="000000"/>
          <w:kern w:val="0"/>
          <w:szCs w:val="32"/>
          <w:shd w:val="clear" w:color="auto" w:fill="FFFFFF"/>
        </w:rPr>
      </w:pPr>
      <w:r>
        <w:rPr>
          <w:rFonts w:hint="eastAsia" w:ascii="黑体" w:hAnsi="宋体" w:eastAsia="黑体" w:cs="宋体"/>
          <w:color w:val="000000"/>
          <w:kern w:val="0"/>
          <w:szCs w:val="32"/>
          <w:shd w:val="clear" w:color="auto" w:fill="FFFFFF"/>
        </w:rPr>
        <w:t>部门整体预算绩效管理情况</w:t>
      </w:r>
    </w:p>
    <w:p>
      <w:pPr>
        <w:pStyle w:val="35"/>
        <w:pageBreakBefore w:val="0"/>
        <w:widowControl/>
        <w:numPr>
          <w:ilvl w:val="0"/>
          <w:numId w:val="0"/>
        </w:numPr>
        <w:kinsoku/>
        <w:wordWrap/>
        <w:overflowPunct/>
        <w:topLinePunct w:val="0"/>
        <w:autoSpaceDE/>
        <w:autoSpaceDN/>
        <w:bidi w:val="0"/>
        <w:adjustRightInd w:val="0"/>
        <w:snapToGrid w:val="0"/>
        <w:spacing w:line="576" w:lineRule="exact"/>
        <w:ind w:firstLine="640" w:firstLineChars="200"/>
        <w:contextualSpacing/>
        <w:jc w:val="left"/>
        <w:rPr>
          <w:rFonts w:ascii="仿宋_GB2312" w:hAnsi="宋体" w:cs="宋体"/>
          <w:color w:val="000000"/>
          <w:kern w:val="0"/>
          <w:szCs w:val="32"/>
          <w:shd w:val="clear" w:color="auto" w:fill="FFFFFF"/>
          <w:lang w:val="zh-CN"/>
        </w:rPr>
      </w:pPr>
      <w:r>
        <w:rPr>
          <w:rFonts w:hint="eastAsia" w:ascii="仿宋_GB2312" w:hAnsi="宋体" w:cs="宋体"/>
          <w:color w:val="000000"/>
          <w:kern w:val="0"/>
          <w:szCs w:val="32"/>
          <w:shd w:val="clear" w:color="auto" w:fill="FFFFFF"/>
          <w:lang w:val="zh-CN"/>
        </w:rPr>
        <w:t>（一）部门预算项目绩效管理。</w:t>
      </w:r>
    </w:p>
    <w:p>
      <w:pPr>
        <w:pStyle w:val="35"/>
        <w:pageBreakBefore w:val="0"/>
        <w:widowControl/>
        <w:kinsoku/>
        <w:wordWrap/>
        <w:overflowPunct/>
        <w:topLinePunct w:val="0"/>
        <w:autoSpaceDE/>
        <w:autoSpaceDN/>
        <w:bidi w:val="0"/>
        <w:adjustRightInd w:val="0"/>
        <w:snapToGrid w:val="0"/>
        <w:spacing w:line="576" w:lineRule="exact"/>
        <w:ind w:firstLine="640" w:firstLineChars="200"/>
        <w:contextualSpacing/>
        <w:jc w:val="left"/>
        <w:rPr>
          <w:rFonts w:ascii="仿宋_GB2312" w:hAnsi="宋体" w:cs="宋体"/>
          <w:color w:val="000000"/>
          <w:kern w:val="0"/>
          <w:szCs w:val="32"/>
          <w:shd w:val="clear" w:color="auto" w:fill="FFFFFF"/>
          <w:lang w:val="zh-CN"/>
        </w:rPr>
      </w:pPr>
      <w:r>
        <w:rPr>
          <w:rFonts w:hint="eastAsia" w:ascii="仿宋_GB2312" w:hAnsi="仿宋_GB2312" w:eastAsia="仿宋_GB2312" w:cs="仿宋_GB2312"/>
          <w:kern w:val="0"/>
          <w:sz w:val="32"/>
          <w:szCs w:val="32"/>
        </w:rPr>
        <w:t>我委十分重视预算执行管理工作，严格按照《</w:t>
      </w:r>
      <w:r>
        <w:rPr>
          <w:rFonts w:hint="eastAsia" w:ascii="仿宋_GB2312" w:hAnsi="仿宋_GB2312" w:eastAsia="仿宋_GB2312" w:cs="仿宋_GB2312"/>
          <w:kern w:val="0"/>
          <w:sz w:val="32"/>
          <w:szCs w:val="32"/>
          <w:lang w:eastAsia="zh-CN"/>
        </w:rPr>
        <w:t>关于县级预算单位办理财政资金现金支出有关事项的通知</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茂财发</w:t>
      </w:r>
      <w:r>
        <w:rPr>
          <w:rFonts w:hint="eastAsia" w:ascii="仿宋_GB2312" w:hAnsi="仿宋_GB2312" w:eastAsia="仿宋_GB2312" w:cs="仿宋_GB2312"/>
          <w:kern w:val="0"/>
          <w:sz w:val="32"/>
          <w:szCs w:val="32"/>
          <w:lang w:val="en-US" w:eastAsia="zh-CN"/>
        </w:rPr>
        <w:t>[2015]24号</w:t>
      </w:r>
      <w:r>
        <w:rPr>
          <w:rFonts w:hint="eastAsia" w:ascii="仿宋_GB2312" w:hAnsi="仿宋_GB2312" w:eastAsia="仿宋_GB2312" w:cs="仿宋_GB2312"/>
          <w:kern w:val="0"/>
          <w:sz w:val="32"/>
          <w:szCs w:val="32"/>
        </w:rPr>
        <w:t>文件</w:t>
      </w:r>
      <w:r>
        <w:rPr>
          <w:rFonts w:hint="eastAsia" w:ascii="仿宋_GB2312" w:hAnsi="仿宋_GB2312" w:eastAsia="仿宋_GB2312" w:cs="仿宋_GB2312"/>
          <w:kern w:val="0"/>
          <w:sz w:val="32"/>
          <w:szCs w:val="32"/>
          <w:lang w:eastAsia="zh-CN"/>
        </w:rPr>
        <w:t>精神</w:t>
      </w:r>
      <w:r>
        <w:rPr>
          <w:rFonts w:hint="eastAsia" w:ascii="仿宋_GB2312" w:hAnsi="仿宋_GB2312" w:eastAsia="仿宋_GB2312" w:cs="仿宋_GB2312"/>
          <w:kern w:val="0"/>
          <w:sz w:val="32"/>
          <w:szCs w:val="32"/>
        </w:rPr>
        <w:t>，切实加强省级财政支出预算执行管理，努力提高财政资金使用绩效。</w:t>
      </w:r>
      <w:r>
        <w:rPr>
          <w:rFonts w:hint="eastAsia" w:ascii="仿宋_GB2312" w:hAnsi="仿宋_GB2312" w:eastAsia="仿宋_GB2312" w:cs="仿宋_GB2312"/>
          <w:b/>
          <w:kern w:val="0"/>
          <w:sz w:val="32"/>
          <w:szCs w:val="32"/>
        </w:rPr>
        <w:t>一是</w:t>
      </w:r>
      <w:r>
        <w:rPr>
          <w:rFonts w:hint="eastAsia" w:ascii="仿宋_GB2312" w:hAnsi="仿宋_GB2312" w:eastAsia="仿宋_GB2312" w:cs="仿宋_GB2312"/>
          <w:kern w:val="0"/>
          <w:sz w:val="32"/>
          <w:szCs w:val="32"/>
        </w:rPr>
        <w:t>强化预算刚性约束，严格按照批复的部门支出预算执行，没有随意改变专项资金规定用途和自行扩大支出范围和提高支出标准的行为。</w:t>
      </w:r>
      <w:r>
        <w:rPr>
          <w:rFonts w:hint="eastAsia" w:ascii="仿宋_GB2312" w:hAnsi="仿宋_GB2312" w:eastAsia="仿宋_GB2312" w:cs="仿宋_GB2312"/>
          <w:b/>
          <w:kern w:val="0"/>
          <w:sz w:val="32"/>
          <w:szCs w:val="32"/>
        </w:rPr>
        <w:t>二是</w:t>
      </w:r>
      <w:r>
        <w:rPr>
          <w:rFonts w:hint="eastAsia" w:ascii="仿宋_GB2312" w:hAnsi="仿宋_GB2312" w:eastAsia="仿宋_GB2312" w:cs="仿宋_GB2312"/>
          <w:kern w:val="0"/>
          <w:sz w:val="32"/>
          <w:szCs w:val="32"/>
        </w:rPr>
        <w:t>严格预算调整程序，所属单位确因特殊原因需要调整预算的，严格按照调整事项所涉及的管理权限履行相关报批和备案手续。</w:t>
      </w:r>
      <w:r>
        <w:rPr>
          <w:rFonts w:hint="eastAsia" w:ascii="仿宋_GB2312" w:hAnsi="仿宋_GB2312" w:eastAsia="仿宋_GB2312" w:cs="仿宋_GB2312"/>
          <w:b/>
          <w:kern w:val="0"/>
          <w:sz w:val="32"/>
          <w:szCs w:val="32"/>
        </w:rPr>
        <w:t>三是</w:t>
      </w:r>
      <w:r>
        <w:rPr>
          <w:rFonts w:hint="eastAsia" w:ascii="仿宋_GB2312" w:hAnsi="仿宋_GB2312" w:eastAsia="仿宋_GB2312" w:cs="仿宋_GB2312"/>
          <w:kern w:val="0"/>
          <w:sz w:val="32"/>
          <w:szCs w:val="32"/>
        </w:rPr>
        <w:t>狠抓预算执行进度管理，并召开专题会议会商各单位预算执行中存在的困难和问题，确保预算执行达到相关进度要求。</w:t>
      </w:r>
      <w:r>
        <w:rPr>
          <w:rFonts w:hint="eastAsia" w:ascii="仿宋_GB2312" w:hAnsi="仿宋_GB2312" w:eastAsia="仿宋_GB2312" w:cs="仿宋_GB2312"/>
          <w:b/>
          <w:bCs/>
          <w:kern w:val="0"/>
          <w:sz w:val="32"/>
          <w:szCs w:val="32"/>
        </w:rPr>
        <w:t>四是</w:t>
      </w:r>
      <w:r>
        <w:rPr>
          <w:rFonts w:hint="eastAsia" w:ascii="仿宋_GB2312" w:hAnsi="仿宋_GB2312" w:eastAsia="仿宋_GB2312" w:cs="仿宋_GB2312"/>
          <w:kern w:val="0"/>
          <w:sz w:val="32"/>
          <w:szCs w:val="32"/>
        </w:rPr>
        <w:t>严格控制“三公”经费、会议费和培训费支出，认真落实厉行节约相关规定</w:t>
      </w:r>
      <w:r>
        <w:rPr>
          <w:rFonts w:hint="eastAsia" w:ascii="仿宋_GB2312" w:hAnsi="宋体" w:cs="宋体"/>
          <w:color w:val="000000"/>
          <w:kern w:val="0"/>
          <w:szCs w:val="32"/>
          <w:shd w:val="clear" w:color="auto" w:fill="FFFFFF"/>
          <w:lang w:val="zh-CN"/>
        </w:rPr>
        <w:t>。</w:t>
      </w:r>
    </w:p>
    <w:p>
      <w:pPr>
        <w:pStyle w:val="35"/>
        <w:pageBreakBefore w:val="0"/>
        <w:widowControl/>
        <w:numPr>
          <w:ilvl w:val="0"/>
          <w:numId w:val="4"/>
        </w:numPr>
        <w:kinsoku/>
        <w:wordWrap/>
        <w:overflowPunct/>
        <w:topLinePunct w:val="0"/>
        <w:autoSpaceDE/>
        <w:autoSpaceDN/>
        <w:bidi w:val="0"/>
        <w:adjustRightInd w:val="0"/>
        <w:snapToGrid w:val="0"/>
        <w:spacing w:line="576" w:lineRule="exact"/>
        <w:ind w:firstLine="640" w:firstLineChars="200"/>
        <w:contextualSpacing/>
        <w:jc w:val="left"/>
        <w:rPr>
          <w:rFonts w:hint="eastAsia" w:ascii="仿宋_GB2312" w:hAnsi="宋体" w:cs="宋体"/>
          <w:color w:val="000000"/>
          <w:kern w:val="0"/>
          <w:szCs w:val="32"/>
          <w:shd w:val="clear" w:color="auto" w:fill="FFFFFF"/>
          <w:lang w:val="zh-CN"/>
        </w:rPr>
      </w:pPr>
      <w:r>
        <w:rPr>
          <w:rFonts w:hint="eastAsia" w:ascii="仿宋_GB2312" w:hAnsi="宋体" w:cs="宋体"/>
          <w:color w:val="000000"/>
          <w:kern w:val="0"/>
          <w:szCs w:val="32"/>
          <w:shd w:val="clear" w:color="auto" w:fill="FFFFFF"/>
          <w:lang w:val="zh-CN"/>
        </w:rPr>
        <w:t>结果应用情况。</w:t>
      </w:r>
    </w:p>
    <w:p>
      <w:pPr>
        <w:pStyle w:val="38"/>
        <w:pageBreakBefore w:val="0"/>
        <w:numPr>
          <w:ilvl w:val="0"/>
          <w:numId w:val="0"/>
        </w:numPr>
        <w:kinsoku/>
        <w:wordWrap/>
        <w:overflowPunct/>
        <w:topLinePunct w:val="0"/>
        <w:autoSpaceDE/>
        <w:autoSpaceDN/>
        <w:bidi w:val="0"/>
        <w:spacing w:before="0" w:after="0" w:line="576" w:lineRule="exact"/>
        <w:rPr>
          <w:rFonts w:hint="default" w:eastAsia="仿宋_GB2312"/>
          <w:b w:val="0"/>
          <w:bCs w:val="0"/>
          <w:lang w:val="en-US" w:eastAsia="zh-CN"/>
        </w:rPr>
      </w:pPr>
      <w:r>
        <w:rPr>
          <w:rFonts w:hint="eastAsia"/>
          <w:lang w:val="en-US" w:eastAsia="zh-CN"/>
        </w:rPr>
        <w:t xml:space="preserve">  </w:t>
      </w:r>
      <w:r>
        <w:rPr>
          <w:rFonts w:hint="eastAsia"/>
          <w:b w:val="0"/>
          <w:bCs w:val="0"/>
          <w:lang w:val="en-US" w:eastAsia="zh-CN"/>
        </w:rPr>
        <w:t xml:space="preserve">  </w:t>
      </w:r>
      <w:r>
        <w:rPr>
          <w:rFonts w:hint="eastAsia" w:ascii="仿宋_GB2312" w:hAnsi="仿宋_GB2312" w:eastAsia="仿宋_GB2312" w:cs="仿宋_GB2312"/>
          <w:b w:val="0"/>
          <w:bCs w:val="0"/>
          <w:kern w:val="0"/>
          <w:sz w:val="32"/>
          <w:szCs w:val="32"/>
        </w:rPr>
        <w:t>总体来看，基本支出和运转类专项保障了机关正常运转，确保了政法委履行职能职责。政法委机关认真执行厉行节约相关规章制度，严格控制和压缩“三公经费”和会议费支出。</w:t>
      </w:r>
      <w:r>
        <w:rPr>
          <w:rFonts w:hint="eastAsia" w:ascii="仿宋_GB2312" w:hAnsi="仿宋_GB2312" w:eastAsia="仿宋_GB2312" w:cs="仿宋_GB2312"/>
          <w:b w:val="0"/>
          <w:bCs w:val="0"/>
          <w:sz w:val="32"/>
          <w:szCs w:val="32"/>
        </w:rPr>
        <w:t>我委认真按照中央“八项规定和六项禁令</w:t>
      </w:r>
      <w:r>
        <w:rPr>
          <w:rFonts w:hint="eastAsia" w:ascii="仿宋_GB2312" w:hAnsi="仿宋" w:eastAsia="仿宋_GB2312"/>
          <w:b w:val="0"/>
          <w:bCs w:val="0"/>
          <w:sz w:val="32"/>
          <w:szCs w:val="32"/>
        </w:rPr>
        <w:t>”、省委省政府“十项规定”和州委州政府“八条意见”及县委有关规定开展工作，改进工作作风，严肃财经纪律，维护了财经秩序。</w:t>
      </w:r>
    </w:p>
    <w:p>
      <w:pPr>
        <w:pStyle w:val="35"/>
        <w:pageBreakBefore w:val="0"/>
        <w:widowControl/>
        <w:numPr>
          <w:ilvl w:val="0"/>
          <w:numId w:val="5"/>
        </w:numPr>
        <w:kinsoku/>
        <w:wordWrap/>
        <w:overflowPunct/>
        <w:topLinePunct w:val="0"/>
        <w:autoSpaceDE/>
        <w:autoSpaceDN/>
        <w:bidi w:val="0"/>
        <w:adjustRightInd w:val="0"/>
        <w:snapToGrid w:val="0"/>
        <w:spacing w:line="576" w:lineRule="exact"/>
        <w:ind w:firstLine="640" w:firstLineChars="200"/>
        <w:contextualSpacing/>
        <w:jc w:val="left"/>
        <w:rPr>
          <w:rFonts w:ascii="仿宋_GB2312" w:hAnsi="宋体" w:cs="宋体"/>
          <w:color w:val="000000"/>
          <w:kern w:val="0"/>
          <w:szCs w:val="32"/>
          <w:shd w:val="clear" w:color="auto" w:fill="FFFFFF"/>
          <w:lang w:val="zh-CN"/>
        </w:rPr>
      </w:pPr>
      <w:r>
        <w:rPr>
          <w:rFonts w:hint="eastAsia" w:ascii="仿宋_GB2312" w:hAnsi="宋体" w:cs="宋体"/>
          <w:color w:val="000000"/>
          <w:kern w:val="0"/>
          <w:szCs w:val="32"/>
          <w:shd w:val="clear" w:color="auto" w:fill="FFFFFF"/>
          <w:lang w:val="zh-CN"/>
        </w:rPr>
        <w:t>自评质量</w:t>
      </w:r>
    </w:p>
    <w:p>
      <w:pPr>
        <w:pStyle w:val="35"/>
        <w:keepNext w:val="0"/>
        <w:keepLines w:val="0"/>
        <w:pageBreakBefore w:val="0"/>
        <w:widowControl/>
        <w:kinsoku/>
        <w:wordWrap/>
        <w:overflowPunct/>
        <w:topLinePunct w:val="0"/>
        <w:autoSpaceDE/>
        <w:autoSpaceDN/>
        <w:bidi w:val="0"/>
        <w:adjustRightInd w:val="0"/>
        <w:snapToGrid w:val="0"/>
        <w:spacing w:line="576" w:lineRule="exact"/>
        <w:ind w:firstLine="640" w:firstLineChars="200"/>
        <w:jc w:val="left"/>
        <w:textAlignment w:val="auto"/>
        <w:rPr>
          <w:rFonts w:hint="eastAsia" w:ascii="仿宋_GB2312" w:hAnsi="宋体" w:eastAsia="仿宋_GB2312" w:cs="宋体"/>
          <w:color w:val="000000"/>
          <w:kern w:val="0"/>
          <w:szCs w:val="32"/>
          <w:shd w:val="clear" w:color="auto" w:fill="FFFFFF"/>
          <w:lang w:eastAsia="zh-CN"/>
        </w:rPr>
      </w:pPr>
      <w:r>
        <w:rPr>
          <w:rFonts w:hint="eastAsia" w:ascii="仿宋_GB2312" w:hAnsi="仿宋_GB2312" w:eastAsia="仿宋_GB2312" w:cs="仿宋_GB2312"/>
          <w:kern w:val="0"/>
          <w:sz w:val="32"/>
          <w:szCs w:val="32"/>
        </w:rPr>
        <w:t>根据文件精神，我委及时将此项工作进行部署和安排，按照</w:t>
      </w:r>
      <w:r>
        <w:rPr>
          <w:rFonts w:hint="eastAsia" w:ascii="仿宋_GB2312" w:hAnsi="仿宋_GB2312" w:cs="仿宋_GB2312"/>
          <w:kern w:val="0"/>
          <w:sz w:val="32"/>
          <w:szCs w:val="32"/>
          <w:lang w:val="en-US" w:eastAsia="zh-CN"/>
        </w:rPr>
        <w:t>2022年</w:t>
      </w:r>
      <w:r>
        <w:rPr>
          <w:rFonts w:hint="eastAsia" w:ascii="仿宋_GB2312" w:hAnsi="仿宋_GB2312" w:eastAsia="仿宋_GB2312" w:cs="仿宋_GB2312"/>
          <w:kern w:val="0"/>
          <w:sz w:val="32"/>
          <w:szCs w:val="32"/>
        </w:rPr>
        <w:t>部门整体支出绩效评价指标体系结合年初预算设定的绩效目标完成情况进行自评打分，自评情况和年初绩效目标完成情况进行了汇总，最后我委自评得分</w:t>
      </w:r>
      <w:r>
        <w:rPr>
          <w:rFonts w:hint="eastAsia" w:ascii="仿宋_GB2312" w:hAnsi="仿宋_GB2312" w:cs="仿宋_GB2312"/>
          <w:kern w:val="0"/>
          <w:sz w:val="32"/>
          <w:szCs w:val="32"/>
          <w:lang w:val="en-US" w:eastAsia="zh-CN"/>
        </w:rPr>
        <w:t>89</w:t>
      </w:r>
      <w:r>
        <w:rPr>
          <w:rFonts w:hint="eastAsia" w:ascii="仿宋_GB2312" w:hAnsi="仿宋_GB2312" w:eastAsia="仿宋_GB2312" w:cs="仿宋_GB2312"/>
          <w:kern w:val="0"/>
          <w:sz w:val="32"/>
          <w:szCs w:val="32"/>
        </w:rPr>
        <w:t>分。</w:t>
      </w:r>
    </w:p>
    <w:p>
      <w:pPr>
        <w:pStyle w:val="35"/>
        <w:pageBreakBefore w:val="0"/>
        <w:widowControl/>
        <w:kinsoku/>
        <w:wordWrap/>
        <w:overflowPunct/>
        <w:topLinePunct w:val="0"/>
        <w:autoSpaceDE/>
        <w:autoSpaceDN/>
        <w:bidi w:val="0"/>
        <w:adjustRightInd w:val="0"/>
        <w:snapToGrid w:val="0"/>
        <w:spacing w:line="576" w:lineRule="exact"/>
        <w:ind w:firstLine="640" w:firstLineChars="200"/>
        <w:contextualSpacing/>
        <w:jc w:val="left"/>
        <w:rPr>
          <w:rFonts w:ascii="黑体" w:hAnsi="宋体" w:eastAsia="黑体" w:cs="宋体"/>
          <w:color w:val="000000"/>
          <w:kern w:val="0"/>
          <w:szCs w:val="32"/>
          <w:shd w:val="clear" w:color="auto" w:fill="FFFFFF"/>
        </w:rPr>
      </w:pPr>
      <w:r>
        <w:rPr>
          <w:rFonts w:hint="eastAsia" w:ascii="黑体" w:hAnsi="宋体" w:eastAsia="黑体" w:cs="宋体"/>
          <w:color w:val="000000"/>
          <w:kern w:val="0"/>
          <w:szCs w:val="32"/>
          <w:shd w:val="clear" w:color="auto" w:fill="FFFFFF"/>
        </w:rPr>
        <w:t>四、评价结论及建议</w:t>
      </w:r>
    </w:p>
    <w:p>
      <w:pPr>
        <w:pStyle w:val="35"/>
        <w:keepNext w:val="0"/>
        <w:keepLines w:val="0"/>
        <w:pageBreakBefore w:val="0"/>
        <w:kinsoku/>
        <w:wordWrap/>
        <w:overflowPunct/>
        <w:topLinePunct w:val="0"/>
        <w:autoSpaceDE/>
        <w:autoSpaceDN/>
        <w:bidi w:val="0"/>
        <w:spacing w:line="576" w:lineRule="exact"/>
        <w:ind w:firstLine="640" w:firstLineChars="200"/>
        <w:textAlignment w:val="auto"/>
        <w:rPr>
          <w:rFonts w:hint="eastAsia" w:ascii="楷体" w:hAnsi="楷体" w:eastAsia="楷体" w:cs="楷体"/>
          <w:b w:val="0"/>
          <w:bCs w:val="0"/>
          <w:sz w:val="32"/>
          <w:szCs w:val="32"/>
          <w:lang w:eastAsia="zh-CN"/>
        </w:rPr>
      </w:pPr>
      <w:r>
        <w:rPr>
          <w:rFonts w:hint="eastAsia" w:ascii="楷体" w:hAnsi="楷体" w:eastAsia="楷体" w:cs="楷体"/>
          <w:b w:val="0"/>
          <w:bCs w:val="0"/>
          <w:sz w:val="32"/>
          <w:szCs w:val="32"/>
        </w:rPr>
        <w:t>（一）评价结论</w:t>
      </w:r>
    </w:p>
    <w:p>
      <w:pPr>
        <w:pStyle w:val="35"/>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从自评情况来看，政法委机关支出绩效水平较高，整体上完成了年初设定的绩效目标，保障了单位的正常运转，降低了行政运行成本，促进了社会和谐稳定，充分发挥了财政资金的经济效益、社会效益。</w:t>
      </w:r>
    </w:p>
    <w:p>
      <w:pPr>
        <w:pStyle w:val="35"/>
        <w:keepNext w:val="0"/>
        <w:keepLines w:val="0"/>
        <w:pageBreakBefore w:val="0"/>
        <w:kinsoku/>
        <w:wordWrap/>
        <w:overflowPunct/>
        <w:topLinePunct w:val="0"/>
        <w:autoSpaceDE/>
        <w:autoSpaceDN/>
        <w:bidi w:val="0"/>
        <w:spacing w:line="576" w:lineRule="exact"/>
        <w:ind w:firstLine="640" w:firstLineChars="200"/>
        <w:textAlignment w:val="auto"/>
        <w:rPr>
          <w:rFonts w:hint="eastAsia" w:ascii="楷体" w:hAnsi="楷体" w:eastAsia="楷体" w:cs="楷体"/>
          <w:b w:val="0"/>
          <w:bCs w:val="0"/>
          <w:sz w:val="32"/>
          <w:szCs w:val="32"/>
          <w:lang w:eastAsia="zh-CN"/>
        </w:rPr>
      </w:pPr>
      <w:r>
        <w:rPr>
          <w:rFonts w:hint="eastAsia" w:ascii="楷体" w:hAnsi="楷体" w:eastAsia="楷体" w:cs="楷体"/>
          <w:b w:val="0"/>
          <w:bCs w:val="0"/>
          <w:sz w:val="32"/>
          <w:szCs w:val="32"/>
        </w:rPr>
        <w:t>（二）存在问题</w:t>
      </w:r>
    </w:p>
    <w:p>
      <w:pPr>
        <w:pStyle w:val="35"/>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从绩效评价看，部门支出预算和绩效评价工作还存在一些具体问题，一是水电节约不好落实的问题，综合大楼单位多，各单位办公场所交叉，水电节约的问题难以落到实处。二是单位对部门支出绩效评价工作的认识理解不够，年初预设的绩效指标不合适、指标较粗；二是公共管理无法用量化指标来进行考评；三是单位在预算编制时经济科目使用不当，造成预算执行时存在跨科目执行的情况。</w:t>
      </w:r>
    </w:p>
    <w:p>
      <w:pPr>
        <w:pStyle w:val="35"/>
        <w:keepNext w:val="0"/>
        <w:keepLines w:val="0"/>
        <w:pageBreakBefore w:val="0"/>
        <w:kinsoku/>
        <w:wordWrap/>
        <w:overflowPunct/>
        <w:topLinePunct w:val="0"/>
        <w:autoSpaceDE/>
        <w:autoSpaceDN/>
        <w:bidi w:val="0"/>
        <w:spacing w:line="576" w:lineRule="exact"/>
        <w:ind w:firstLine="640" w:firstLineChars="200"/>
        <w:textAlignment w:val="auto"/>
        <w:rPr>
          <w:rFonts w:hint="eastAsia" w:ascii="楷体" w:hAnsi="楷体" w:eastAsia="楷体" w:cs="楷体"/>
          <w:b w:val="0"/>
          <w:bCs w:val="0"/>
          <w:sz w:val="32"/>
          <w:szCs w:val="32"/>
          <w:lang w:eastAsia="zh-CN"/>
        </w:rPr>
      </w:pPr>
      <w:r>
        <w:rPr>
          <w:rFonts w:hint="eastAsia" w:ascii="楷体" w:hAnsi="楷体" w:eastAsia="楷体" w:cs="楷体"/>
          <w:b w:val="0"/>
          <w:bCs w:val="0"/>
          <w:sz w:val="32"/>
          <w:szCs w:val="32"/>
        </w:rPr>
        <w:t>（三）改进建议</w:t>
      </w:r>
    </w:p>
    <w:p>
      <w:pPr>
        <w:pStyle w:val="35"/>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cs="仿宋_GB2312"/>
          <w:kern w:val="0"/>
          <w:sz w:val="32"/>
          <w:szCs w:val="32"/>
          <w:lang w:val="en-US" w:eastAsia="zh-CN"/>
        </w:rPr>
      </w:pPr>
      <w:r>
        <w:rPr>
          <w:rFonts w:hint="eastAsia" w:ascii="仿宋_GB2312" w:hAnsi="仿宋_GB2312" w:eastAsia="仿宋_GB2312" w:cs="仿宋_GB2312"/>
          <w:kern w:val="0"/>
          <w:sz w:val="32"/>
          <w:szCs w:val="32"/>
        </w:rPr>
        <w:t>绩效评价是深入贯彻落实新《预算法》要求的各项重要内容，建议财政加强对绩效评价工作的培训和指导，进一步优化绩效考核指标体系，做到合理性与可操作性的有机统一。</w:t>
      </w:r>
      <w:r>
        <w:rPr>
          <w:rFonts w:hint="eastAsia" w:ascii="仿宋_GB2312" w:hAnsi="仿宋_GB2312" w:cs="仿宋_GB2312"/>
          <w:kern w:val="0"/>
          <w:sz w:val="32"/>
          <w:szCs w:val="32"/>
          <w:lang w:val="en-US" w:eastAsia="zh-CN"/>
        </w:rPr>
        <w:t xml:space="preserve">   </w:t>
      </w:r>
    </w:p>
    <w:p>
      <w:pPr>
        <w:pStyle w:val="35"/>
        <w:keepNext w:val="0"/>
        <w:keepLines w:val="0"/>
        <w:pageBreakBefore w:val="0"/>
        <w:kinsoku/>
        <w:wordWrap/>
        <w:overflowPunct/>
        <w:topLinePunct w:val="0"/>
        <w:autoSpaceDE/>
        <w:autoSpaceDN/>
        <w:bidi w:val="0"/>
        <w:spacing w:line="576" w:lineRule="exact"/>
        <w:ind w:firstLine="640" w:firstLineChars="200"/>
        <w:textAlignment w:val="auto"/>
        <w:rPr>
          <w:rFonts w:hint="eastAsia" w:ascii="黑体" w:hAnsi="黑体" w:eastAsia="黑体" w:cs="黑体"/>
          <w:lang w:val="zh-CN"/>
        </w:rPr>
      </w:pPr>
      <w:r>
        <w:rPr>
          <w:rFonts w:hint="eastAsia" w:ascii="黑体" w:hAnsi="黑体" w:eastAsia="黑体" w:cs="黑体"/>
          <w:lang w:val="zh-CN"/>
        </w:rPr>
        <w:t>五、资产管理情况</w:t>
      </w:r>
    </w:p>
    <w:p>
      <w:pPr>
        <w:pStyle w:val="35"/>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b w:val="0"/>
          <w:bCs w:val="0"/>
          <w:kern w:val="0"/>
          <w:sz w:val="32"/>
          <w:szCs w:val="32"/>
          <w:lang w:val="zh-CN" w:eastAsia="zh-CN" w:bidi="ar-SA"/>
        </w:rPr>
      </w:pPr>
      <w:r>
        <w:rPr>
          <w:rFonts w:hint="eastAsia" w:ascii="仿宋_GB2312" w:hAnsi="仿宋_GB2312" w:eastAsia="仿宋_GB2312" w:cs="仿宋_GB2312"/>
          <w:b w:val="0"/>
          <w:bCs w:val="0"/>
          <w:kern w:val="0"/>
          <w:sz w:val="32"/>
          <w:szCs w:val="32"/>
          <w:lang w:val="zh-CN" w:eastAsia="zh-CN" w:bidi="ar-SA"/>
        </w:rPr>
        <w:t>（一）建立了资产管理长效机制。增强财务管理人员责任意识，使财务管理责任和记账人员的责任落到实处。（二）运用信息技术软件进行资产管理。以资产软件系统作为工具，加强对资产的监控管理，把单位的资产管理与财务管理、资产的价值管理和实物管理结合起来，及时反映单位的资金动作、资产存量肯变量情况，实现管理静态向动态的转变。</w:t>
      </w:r>
    </w:p>
    <w:p>
      <w:pPr>
        <w:pStyle w:val="35"/>
        <w:pageBreakBefore w:val="0"/>
        <w:widowControl/>
        <w:kinsoku/>
        <w:wordWrap/>
        <w:overflowPunct/>
        <w:topLinePunct w:val="0"/>
        <w:autoSpaceDE/>
        <w:autoSpaceDN/>
        <w:bidi w:val="0"/>
        <w:adjustRightInd w:val="0"/>
        <w:snapToGrid w:val="0"/>
        <w:spacing w:line="576" w:lineRule="exact"/>
        <w:ind w:firstLine="640" w:firstLineChars="200"/>
        <w:contextualSpacing/>
        <w:jc w:val="left"/>
        <w:rPr>
          <w:rFonts w:hint="eastAsia" w:ascii="仿宋_GB2312" w:hAnsi="宋体" w:cs="宋体"/>
          <w:color w:val="000000"/>
          <w:kern w:val="0"/>
          <w:szCs w:val="32"/>
          <w:shd w:val="clear" w:color="auto" w:fill="FFFFFF"/>
          <w:lang w:val="zh-CN"/>
        </w:rPr>
      </w:pPr>
    </w:p>
    <w:p>
      <w:pPr>
        <w:pStyle w:val="35"/>
        <w:pageBreakBefore w:val="0"/>
        <w:widowControl/>
        <w:kinsoku/>
        <w:wordWrap/>
        <w:overflowPunct/>
        <w:topLinePunct w:val="0"/>
        <w:autoSpaceDE/>
        <w:autoSpaceDN/>
        <w:bidi w:val="0"/>
        <w:adjustRightInd w:val="0"/>
        <w:snapToGrid w:val="0"/>
        <w:spacing w:line="576" w:lineRule="exact"/>
        <w:ind w:firstLine="640" w:firstLineChars="200"/>
        <w:contextualSpacing/>
        <w:jc w:val="left"/>
        <w:rPr>
          <w:rFonts w:hint="eastAsia" w:ascii="仿宋_GB2312" w:hAnsi="宋体" w:cs="宋体"/>
          <w:color w:val="000000"/>
          <w:kern w:val="0"/>
          <w:szCs w:val="32"/>
          <w:shd w:val="clear" w:color="auto" w:fill="FFFFFF"/>
          <w:lang w:val="zh-CN"/>
        </w:rPr>
      </w:pPr>
    </w:p>
    <w:p>
      <w:pPr>
        <w:pStyle w:val="35"/>
        <w:pageBreakBefore w:val="0"/>
        <w:widowControl/>
        <w:kinsoku/>
        <w:wordWrap/>
        <w:overflowPunct/>
        <w:topLinePunct w:val="0"/>
        <w:autoSpaceDE/>
        <w:autoSpaceDN/>
        <w:bidi w:val="0"/>
        <w:adjustRightInd w:val="0"/>
        <w:snapToGrid w:val="0"/>
        <w:spacing w:line="576" w:lineRule="exact"/>
        <w:ind w:firstLine="640" w:firstLineChars="200"/>
        <w:contextualSpacing/>
        <w:jc w:val="left"/>
        <w:rPr>
          <w:rFonts w:hint="eastAsia" w:ascii="仿宋_GB2312" w:hAnsi="宋体" w:cs="宋体"/>
          <w:color w:val="000000"/>
          <w:kern w:val="0"/>
          <w:szCs w:val="32"/>
          <w:shd w:val="clear" w:color="auto" w:fill="FFFFFF"/>
          <w:lang w:val="zh-CN"/>
        </w:rPr>
      </w:pPr>
    </w:p>
    <w:p>
      <w:pPr>
        <w:pStyle w:val="35"/>
        <w:pageBreakBefore w:val="0"/>
        <w:widowControl/>
        <w:kinsoku/>
        <w:wordWrap/>
        <w:overflowPunct/>
        <w:topLinePunct w:val="0"/>
        <w:autoSpaceDE/>
        <w:autoSpaceDN/>
        <w:bidi w:val="0"/>
        <w:adjustRightInd w:val="0"/>
        <w:snapToGrid w:val="0"/>
        <w:spacing w:line="576" w:lineRule="exact"/>
        <w:ind w:firstLine="640" w:firstLineChars="200"/>
        <w:contextualSpacing/>
        <w:jc w:val="left"/>
        <w:rPr>
          <w:rFonts w:hint="eastAsia" w:ascii="仿宋_GB2312" w:hAnsi="宋体" w:cs="宋体"/>
          <w:color w:val="000000"/>
          <w:kern w:val="0"/>
          <w:szCs w:val="32"/>
          <w:shd w:val="clear" w:color="auto" w:fill="FFFFFF"/>
          <w:lang w:val="zh-CN"/>
        </w:rPr>
      </w:pPr>
    </w:p>
    <w:p>
      <w:pPr>
        <w:pStyle w:val="35"/>
        <w:pageBreakBefore w:val="0"/>
        <w:widowControl/>
        <w:kinsoku/>
        <w:wordWrap/>
        <w:overflowPunct/>
        <w:topLinePunct w:val="0"/>
        <w:autoSpaceDE/>
        <w:autoSpaceDN/>
        <w:bidi w:val="0"/>
        <w:adjustRightInd w:val="0"/>
        <w:snapToGrid w:val="0"/>
        <w:spacing w:line="576" w:lineRule="exact"/>
        <w:ind w:firstLine="640" w:firstLineChars="200"/>
        <w:contextualSpacing/>
        <w:jc w:val="left"/>
        <w:rPr>
          <w:rFonts w:hint="eastAsia" w:ascii="仿宋_GB2312" w:hAnsi="宋体" w:cs="宋体"/>
          <w:color w:val="000000"/>
          <w:kern w:val="0"/>
          <w:szCs w:val="32"/>
          <w:shd w:val="clear" w:color="auto" w:fill="FFFFFF"/>
          <w:lang w:val="zh-CN"/>
        </w:rPr>
      </w:pPr>
    </w:p>
    <w:p>
      <w:pPr>
        <w:pStyle w:val="35"/>
        <w:pageBreakBefore w:val="0"/>
        <w:widowControl/>
        <w:kinsoku/>
        <w:wordWrap/>
        <w:overflowPunct/>
        <w:topLinePunct w:val="0"/>
        <w:autoSpaceDE/>
        <w:autoSpaceDN/>
        <w:bidi w:val="0"/>
        <w:adjustRightInd w:val="0"/>
        <w:snapToGrid w:val="0"/>
        <w:spacing w:line="576" w:lineRule="exact"/>
        <w:ind w:firstLine="640" w:firstLineChars="200"/>
        <w:contextualSpacing/>
        <w:jc w:val="left"/>
        <w:rPr>
          <w:rFonts w:ascii="仿宋_GB2312" w:hAnsi="宋体" w:cs="宋体"/>
          <w:color w:val="000000"/>
          <w:kern w:val="0"/>
          <w:szCs w:val="32"/>
          <w:shd w:val="clear" w:color="auto" w:fill="FFFFFF"/>
          <w:lang w:val="zh-CN"/>
        </w:rPr>
      </w:pPr>
      <w:r>
        <w:rPr>
          <w:rFonts w:hint="eastAsia" w:ascii="仿宋_GB2312" w:hAnsi="宋体" w:cs="宋体"/>
          <w:color w:val="000000"/>
          <w:kern w:val="0"/>
          <w:szCs w:val="32"/>
          <w:shd w:val="clear" w:color="auto" w:fill="FFFFFF"/>
          <w:lang w:val="zh-CN"/>
        </w:rPr>
        <w:t>附表：</w:t>
      </w:r>
    </w:p>
    <w:tbl>
      <w:tblPr>
        <w:tblStyle w:val="37"/>
        <w:tblpPr w:leftFromText="180" w:rightFromText="180" w:vertAnchor="text" w:horzAnchor="page" w:tblpX="1256" w:tblpY="221"/>
        <w:tblOverlap w:val="never"/>
        <w:tblW w:w="5173" w:type="pct"/>
        <w:tblInd w:w="0" w:type="dxa"/>
        <w:tblLayout w:type="autofit"/>
        <w:tblCellMar>
          <w:top w:w="0" w:type="dxa"/>
          <w:left w:w="108" w:type="dxa"/>
          <w:bottom w:w="0" w:type="dxa"/>
          <w:right w:w="108" w:type="dxa"/>
        </w:tblCellMar>
      </w:tblPr>
      <w:tblGrid>
        <w:gridCol w:w="1984"/>
        <w:gridCol w:w="1144"/>
        <w:gridCol w:w="1639"/>
        <w:gridCol w:w="1114"/>
        <w:gridCol w:w="1306"/>
        <w:gridCol w:w="1408"/>
        <w:gridCol w:w="222"/>
      </w:tblGrid>
      <w:tr>
        <w:tblPrEx>
          <w:tblCellMar>
            <w:top w:w="0" w:type="dxa"/>
            <w:left w:w="108" w:type="dxa"/>
            <w:bottom w:w="0" w:type="dxa"/>
            <w:right w:w="108" w:type="dxa"/>
          </w:tblCellMar>
        </w:tblPrEx>
        <w:trPr>
          <w:trHeight w:val="675" w:hRule="atLeast"/>
        </w:trPr>
        <w:tc>
          <w:tcPr>
            <w:tcW w:w="4877" w:type="pct"/>
            <w:gridSpan w:val="6"/>
            <w:tcBorders>
              <w:top w:val="nil"/>
              <w:left w:val="nil"/>
              <w:bottom w:val="nil"/>
              <w:right w:val="nil"/>
            </w:tcBorders>
            <w:shd w:val="clear" w:color="auto" w:fill="auto"/>
            <w:vAlign w:val="center"/>
          </w:tcPr>
          <w:p>
            <w:pPr>
              <w:pageBreakBefore w:val="0"/>
              <w:widowControl/>
              <w:kinsoku/>
              <w:wordWrap/>
              <w:overflowPunct/>
              <w:topLinePunct w:val="0"/>
              <w:autoSpaceDE/>
              <w:autoSpaceDN/>
              <w:bidi w:val="0"/>
              <w:spacing w:line="576" w:lineRule="exact"/>
              <w:jc w:val="center"/>
              <w:textAlignment w:val="center"/>
              <w:rPr>
                <w:rFonts w:ascii="宋体" w:hAnsi="宋体" w:eastAsia="宋体" w:cs="宋体"/>
                <w:b/>
                <w:color w:val="000000"/>
                <w:szCs w:val="32"/>
              </w:rPr>
            </w:pPr>
            <w:r>
              <w:rPr>
                <w:rFonts w:hint="eastAsia" w:ascii="宋体" w:hAnsi="宋体" w:eastAsia="宋体" w:cs="宋体"/>
                <w:b/>
                <w:color w:val="000000"/>
                <w:szCs w:val="32"/>
              </w:rPr>
              <w:t>2021年50万元以上（含）特定目标类部门预算项目绩效目标自评</w:t>
            </w:r>
          </w:p>
        </w:tc>
        <w:tc>
          <w:tcPr>
            <w:tcW w:w="122" w:type="pct"/>
            <w:tcBorders>
              <w:top w:val="nil"/>
              <w:left w:val="nil"/>
              <w:bottom w:val="nil"/>
              <w:right w:val="nil"/>
            </w:tcBorders>
            <w:shd w:val="clear" w:color="auto" w:fill="auto"/>
            <w:vAlign w:val="center"/>
          </w:tcPr>
          <w:p>
            <w:pPr>
              <w:pageBreakBefore w:val="0"/>
              <w:widowControl/>
              <w:kinsoku/>
              <w:wordWrap/>
              <w:overflowPunct/>
              <w:topLinePunct w:val="0"/>
              <w:autoSpaceDE/>
              <w:autoSpaceDN/>
              <w:bidi w:val="0"/>
              <w:spacing w:line="576" w:lineRule="exact"/>
              <w:jc w:val="center"/>
              <w:textAlignment w:val="center"/>
              <w:rPr>
                <w:rFonts w:ascii="宋体" w:hAnsi="宋体" w:eastAsia="宋体" w:cs="宋体"/>
                <w:b/>
                <w:color w:val="000000"/>
                <w:kern w:val="0"/>
                <w:szCs w:val="32"/>
                <w:lang w:bidi="ar"/>
              </w:rPr>
            </w:pPr>
          </w:p>
        </w:tc>
      </w:tr>
      <w:tr>
        <w:tblPrEx>
          <w:tblCellMar>
            <w:top w:w="0" w:type="dxa"/>
            <w:left w:w="108" w:type="dxa"/>
            <w:bottom w:w="0" w:type="dxa"/>
            <w:right w:w="108" w:type="dxa"/>
          </w:tblCellMar>
        </w:tblPrEx>
        <w:trPr>
          <w:gridAfter w:val="1"/>
          <w:wAfter w:w="122" w:type="pct"/>
          <w:trHeight w:val="254" w:hRule="atLeast"/>
        </w:trPr>
        <w:tc>
          <w:tcPr>
            <w:tcW w:w="17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autoSpaceDN/>
              <w:bidi w:val="0"/>
              <w:spacing w:line="576"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主管部门及代码</w:t>
            </w:r>
          </w:p>
        </w:tc>
        <w:tc>
          <w:tcPr>
            <w:tcW w:w="15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autoSpaceDN/>
              <w:bidi w:val="0"/>
              <w:spacing w:line="576" w:lineRule="exact"/>
              <w:textAlignment w:val="center"/>
              <w:rPr>
                <w:rFonts w:hint="eastAsia" w:ascii="宋体" w:hAnsi="宋体" w:eastAsia="宋体" w:cs="宋体"/>
                <w:color w:val="000000"/>
                <w:sz w:val="24"/>
                <w:lang w:eastAsia="zh-CN"/>
              </w:rPr>
            </w:pPr>
            <w:r>
              <w:rPr>
                <w:rFonts w:hint="eastAsia" w:ascii="宋体" w:hAnsi="宋体" w:eastAsia="宋体" w:cs="宋体"/>
                <w:color w:val="000000"/>
                <w:sz w:val="24"/>
                <w:lang w:eastAsia="zh-CN"/>
              </w:rPr>
              <w:t>无</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autoSpaceDN/>
              <w:bidi w:val="0"/>
              <w:spacing w:line="576"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实施单位</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autoSpaceDN/>
              <w:bidi w:val="0"/>
              <w:spacing w:line="576" w:lineRule="exact"/>
              <w:jc w:val="center"/>
              <w:textAlignment w:val="center"/>
              <w:rPr>
                <w:rFonts w:ascii="宋体" w:hAnsi="宋体" w:eastAsia="宋体" w:cs="宋体"/>
                <w:color w:val="000000"/>
                <w:sz w:val="24"/>
              </w:rPr>
            </w:pPr>
          </w:p>
        </w:tc>
      </w:tr>
      <w:tr>
        <w:tblPrEx>
          <w:tblCellMar>
            <w:top w:w="0" w:type="dxa"/>
            <w:left w:w="108" w:type="dxa"/>
            <w:bottom w:w="0" w:type="dxa"/>
            <w:right w:w="108" w:type="dxa"/>
          </w:tblCellMar>
        </w:tblPrEx>
        <w:trPr>
          <w:gridAfter w:val="1"/>
          <w:wAfter w:w="122" w:type="pct"/>
          <w:trHeight w:val="341" w:hRule="atLeast"/>
        </w:trPr>
        <w:tc>
          <w:tcPr>
            <w:tcW w:w="1775"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autoSpaceDN/>
              <w:bidi w:val="0"/>
              <w:spacing w:line="576" w:lineRule="exact"/>
              <w:jc w:val="center"/>
              <w:textAlignment w:val="center"/>
              <w:rPr>
                <w:rFonts w:hint="eastAsia" w:ascii="宋体" w:hAnsi="宋体" w:eastAsia="宋体" w:cs="宋体"/>
                <w:color w:val="000000"/>
                <w:kern w:val="0"/>
                <w:sz w:val="24"/>
                <w:lang w:eastAsia="zh-CN" w:bidi="ar"/>
              </w:rPr>
            </w:pPr>
            <w:r>
              <w:rPr>
                <w:rFonts w:hint="eastAsia" w:ascii="宋体" w:hAnsi="宋体" w:eastAsia="宋体" w:cs="宋体"/>
                <w:color w:val="000000"/>
                <w:kern w:val="0"/>
                <w:sz w:val="24"/>
                <w:lang w:bidi="ar"/>
              </w:rPr>
              <w:t>项目预算</w:t>
            </w:r>
          </w:p>
          <w:p>
            <w:pPr>
              <w:pageBreakBefore w:val="0"/>
              <w:widowControl/>
              <w:kinsoku/>
              <w:wordWrap/>
              <w:overflowPunct/>
              <w:topLinePunct w:val="0"/>
              <w:autoSpaceDE/>
              <w:autoSpaceDN/>
              <w:bidi w:val="0"/>
              <w:spacing w:line="576" w:lineRule="exact"/>
              <w:jc w:val="center"/>
              <w:textAlignment w:val="center"/>
              <w:rPr>
                <w:rFonts w:hint="eastAsia" w:ascii="宋体" w:hAnsi="宋体" w:eastAsia="宋体" w:cs="宋体"/>
                <w:color w:val="000000"/>
                <w:kern w:val="0"/>
                <w:sz w:val="24"/>
                <w:lang w:eastAsia="zh-CN" w:bidi="ar"/>
              </w:rPr>
            </w:pPr>
            <w:r>
              <w:rPr>
                <w:rFonts w:hint="eastAsia" w:ascii="宋体" w:hAnsi="宋体" w:eastAsia="宋体" w:cs="宋体"/>
                <w:color w:val="000000"/>
                <w:kern w:val="0"/>
                <w:sz w:val="24"/>
                <w:lang w:bidi="ar"/>
              </w:rPr>
              <w:t>执行情况</w:t>
            </w:r>
          </w:p>
          <w:p>
            <w:pPr>
              <w:pageBreakBefore w:val="0"/>
              <w:widowControl/>
              <w:kinsoku/>
              <w:wordWrap/>
              <w:overflowPunct/>
              <w:topLinePunct w:val="0"/>
              <w:autoSpaceDE/>
              <w:autoSpaceDN/>
              <w:bidi w:val="0"/>
              <w:spacing w:line="576"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（万元）</w:t>
            </w:r>
          </w:p>
        </w:tc>
        <w:tc>
          <w:tcPr>
            <w:tcW w:w="930" w:type="pct"/>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autoSpaceDN/>
              <w:bidi w:val="0"/>
              <w:spacing w:line="576" w:lineRule="exact"/>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 xml:space="preserve"> 预算数：</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autoSpaceDN/>
              <w:bidi w:val="0"/>
              <w:spacing w:line="576" w:lineRule="exact"/>
              <w:jc w:val="left"/>
              <w:textAlignment w:val="center"/>
              <w:rPr>
                <w:rFonts w:ascii="宋体" w:hAnsi="宋体" w:eastAsia="宋体" w:cs="宋体"/>
                <w:color w:val="000000"/>
                <w:sz w:val="24"/>
              </w:rPr>
            </w:pP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autoSpaceDN/>
              <w:bidi w:val="0"/>
              <w:spacing w:line="576" w:lineRule="exact"/>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 xml:space="preserve"> 执行数：</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autoSpaceDN/>
              <w:bidi w:val="0"/>
              <w:spacing w:line="576" w:lineRule="exact"/>
              <w:jc w:val="right"/>
              <w:textAlignment w:val="center"/>
              <w:rPr>
                <w:rFonts w:ascii="宋体" w:hAnsi="宋体" w:eastAsia="宋体" w:cs="宋体"/>
                <w:color w:val="000000"/>
                <w:sz w:val="24"/>
              </w:rPr>
            </w:pPr>
          </w:p>
        </w:tc>
      </w:tr>
      <w:tr>
        <w:tblPrEx>
          <w:tblCellMar>
            <w:top w:w="0" w:type="dxa"/>
            <w:left w:w="108" w:type="dxa"/>
            <w:bottom w:w="0" w:type="dxa"/>
            <w:right w:w="108" w:type="dxa"/>
          </w:tblCellMar>
        </w:tblPrEx>
        <w:trPr>
          <w:gridAfter w:val="1"/>
          <w:wAfter w:w="122" w:type="pct"/>
          <w:trHeight w:val="577" w:hRule="atLeast"/>
        </w:trPr>
        <w:tc>
          <w:tcPr>
            <w:tcW w:w="177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autoSpaceDE/>
              <w:autoSpaceDN/>
              <w:bidi w:val="0"/>
              <w:spacing w:line="576" w:lineRule="exact"/>
              <w:jc w:val="center"/>
              <w:rPr>
                <w:rFonts w:ascii="宋体" w:hAnsi="宋体" w:eastAsia="宋体" w:cs="宋体"/>
                <w:color w:val="000000"/>
                <w:sz w:val="24"/>
              </w:rPr>
            </w:pPr>
          </w:p>
        </w:tc>
        <w:tc>
          <w:tcPr>
            <w:tcW w:w="930" w:type="pct"/>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autoSpaceDN/>
              <w:bidi w:val="0"/>
              <w:spacing w:line="576" w:lineRule="exact"/>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其中：</w:t>
            </w:r>
          </w:p>
          <w:p>
            <w:pPr>
              <w:pageBreakBefore w:val="0"/>
              <w:widowControl/>
              <w:kinsoku/>
              <w:wordWrap/>
              <w:overflowPunct/>
              <w:topLinePunct w:val="0"/>
              <w:autoSpaceDE/>
              <w:autoSpaceDN/>
              <w:bidi w:val="0"/>
              <w:spacing w:line="576" w:lineRule="exact"/>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财政拨款</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autoSpaceDN/>
              <w:bidi w:val="0"/>
              <w:spacing w:line="576" w:lineRule="exact"/>
              <w:jc w:val="left"/>
              <w:textAlignment w:val="center"/>
              <w:rPr>
                <w:rFonts w:ascii="宋体" w:hAnsi="宋体" w:eastAsia="宋体" w:cs="宋体"/>
                <w:color w:val="000000"/>
                <w:sz w:val="24"/>
              </w:rPr>
            </w:pP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autoSpaceDN/>
              <w:bidi w:val="0"/>
              <w:spacing w:line="576" w:lineRule="exact"/>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其中：</w:t>
            </w:r>
          </w:p>
          <w:p>
            <w:pPr>
              <w:pageBreakBefore w:val="0"/>
              <w:widowControl/>
              <w:kinsoku/>
              <w:wordWrap/>
              <w:overflowPunct/>
              <w:topLinePunct w:val="0"/>
              <w:autoSpaceDE/>
              <w:autoSpaceDN/>
              <w:bidi w:val="0"/>
              <w:spacing w:line="576" w:lineRule="exact"/>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财政拨款</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autoSpaceDN/>
              <w:bidi w:val="0"/>
              <w:spacing w:line="576" w:lineRule="exact"/>
              <w:textAlignment w:val="center"/>
              <w:rPr>
                <w:rFonts w:ascii="宋体" w:hAnsi="宋体" w:eastAsia="宋体" w:cs="宋体"/>
                <w:color w:val="000000"/>
                <w:sz w:val="24"/>
              </w:rPr>
            </w:pPr>
          </w:p>
        </w:tc>
      </w:tr>
      <w:tr>
        <w:tblPrEx>
          <w:tblCellMar>
            <w:top w:w="0" w:type="dxa"/>
            <w:left w:w="108" w:type="dxa"/>
            <w:bottom w:w="0" w:type="dxa"/>
            <w:right w:w="108" w:type="dxa"/>
          </w:tblCellMar>
        </w:tblPrEx>
        <w:trPr>
          <w:gridAfter w:val="1"/>
          <w:wAfter w:w="122" w:type="pct"/>
          <w:trHeight w:val="341" w:hRule="atLeast"/>
        </w:trPr>
        <w:tc>
          <w:tcPr>
            <w:tcW w:w="177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autoSpaceDE/>
              <w:autoSpaceDN/>
              <w:bidi w:val="0"/>
              <w:spacing w:line="576" w:lineRule="exact"/>
              <w:jc w:val="center"/>
              <w:rPr>
                <w:rFonts w:ascii="宋体" w:hAnsi="宋体" w:eastAsia="宋体" w:cs="宋体"/>
                <w:color w:val="000000"/>
                <w:sz w:val="24"/>
              </w:rPr>
            </w:pPr>
          </w:p>
        </w:tc>
        <w:tc>
          <w:tcPr>
            <w:tcW w:w="930" w:type="pct"/>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autoSpaceDN/>
              <w:bidi w:val="0"/>
              <w:spacing w:line="576" w:lineRule="exact"/>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其他资金</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autoSpaceDN/>
              <w:bidi w:val="0"/>
              <w:spacing w:line="576" w:lineRule="exact"/>
              <w:jc w:val="left"/>
              <w:textAlignment w:val="center"/>
              <w:rPr>
                <w:rFonts w:ascii="宋体" w:hAnsi="宋体" w:eastAsia="宋体" w:cs="宋体"/>
                <w:color w:val="000000"/>
                <w:sz w:val="24"/>
              </w:rPr>
            </w:pP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autoSpaceDN/>
              <w:bidi w:val="0"/>
              <w:spacing w:line="576" w:lineRule="exact"/>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其他资金</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autoSpaceDN/>
              <w:bidi w:val="0"/>
              <w:spacing w:line="576" w:lineRule="exact"/>
              <w:jc w:val="center"/>
              <w:textAlignment w:val="center"/>
              <w:rPr>
                <w:rFonts w:ascii="宋体" w:hAnsi="宋体" w:eastAsia="宋体" w:cs="宋体"/>
                <w:color w:val="000000"/>
                <w:sz w:val="24"/>
              </w:rPr>
            </w:pPr>
          </w:p>
        </w:tc>
      </w:tr>
      <w:tr>
        <w:tblPrEx>
          <w:tblCellMar>
            <w:top w:w="0" w:type="dxa"/>
            <w:left w:w="108" w:type="dxa"/>
            <w:bottom w:w="0" w:type="dxa"/>
            <w:right w:w="108" w:type="dxa"/>
          </w:tblCellMar>
        </w:tblPrEx>
        <w:trPr>
          <w:gridAfter w:val="1"/>
          <w:wAfter w:w="122" w:type="pct"/>
          <w:trHeight w:val="217" w:hRule="atLeast"/>
        </w:trPr>
        <w:tc>
          <w:tcPr>
            <w:tcW w:w="11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autoSpaceDN/>
              <w:bidi w:val="0"/>
              <w:spacing w:line="576" w:lineRule="exac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年度总体目标</w:t>
            </w:r>
          </w:p>
          <w:p>
            <w:pPr>
              <w:pageBreakBefore w:val="0"/>
              <w:widowControl/>
              <w:kinsoku/>
              <w:wordWrap/>
              <w:overflowPunct/>
              <w:topLinePunct w:val="0"/>
              <w:autoSpaceDE/>
              <w:autoSpaceDN/>
              <w:bidi w:val="0"/>
              <w:spacing w:line="576"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完成情况</w:t>
            </w:r>
          </w:p>
        </w:tc>
        <w:tc>
          <w:tcPr>
            <w:tcW w:w="22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autoSpaceDN/>
              <w:bidi w:val="0"/>
              <w:spacing w:line="576"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预期目标</w:t>
            </w:r>
          </w:p>
        </w:tc>
        <w:tc>
          <w:tcPr>
            <w:tcW w:w="15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autoSpaceDN/>
              <w:bidi w:val="0"/>
              <w:spacing w:line="576"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目标实际完成情况</w:t>
            </w:r>
          </w:p>
        </w:tc>
      </w:tr>
      <w:tr>
        <w:tblPrEx>
          <w:tblCellMar>
            <w:top w:w="0" w:type="dxa"/>
            <w:left w:w="108" w:type="dxa"/>
            <w:bottom w:w="0" w:type="dxa"/>
            <w:right w:w="108" w:type="dxa"/>
          </w:tblCellMar>
        </w:tblPrEx>
        <w:trPr>
          <w:gridAfter w:val="1"/>
          <w:wAfter w:w="122" w:type="pct"/>
          <w:trHeight w:val="1297" w:hRule="atLeast"/>
        </w:trPr>
        <w:tc>
          <w:tcPr>
            <w:tcW w:w="11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autoSpaceDE/>
              <w:autoSpaceDN/>
              <w:bidi w:val="0"/>
              <w:spacing w:line="576" w:lineRule="exact"/>
              <w:jc w:val="center"/>
              <w:rPr>
                <w:rFonts w:ascii="宋体" w:hAnsi="宋体" w:eastAsia="宋体" w:cs="宋体"/>
                <w:color w:val="000000"/>
                <w:sz w:val="24"/>
              </w:rPr>
            </w:pPr>
          </w:p>
        </w:tc>
        <w:tc>
          <w:tcPr>
            <w:tcW w:w="2211" w:type="pct"/>
            <w:gridSpan w:val="3"/>
            <w:tcBorders>
              <w:top w:val="single" w:color="000000" w:sz="4" w:space="0"/>
              <w:left w:val="single" w:color="000000" w:sz="4" w:space="0"/>
              <w:bottom w:val="single" w:color="000000" w:sz="4" w:space="0"/>
              <w:right w:val="single" w:color="000000" w:sz="4" w:space="0"/>
            </w:tcBorders>
            <w:shd w:val="clear" w:color="auto" w:fill="auto"/>
          </w:tcPr>
          <w:p>
            <w:pPr>
              <w:pageBreakBefore w:val="0"/>
              <w:widowControl/>
              <w:kinsoku/>
              <w:wordWrap/>
              <w:overflowPunct/>
              <w:topLinePunct w:val="0"/>
              <w:autoSpaceDE/>
              <w:autoSpaceDN/>
              <w:bidi w:val="0"/>
              <w:spacing w:line="576" w:lineRule="exact"/>
              <w:jc w:val="left"/>
              <w:textAlignment w:val="top"/>
              <w:rPr>
                <w:rFonts w:ascii="宋体" w:hAnsi="宋体" w:eastAsia="宋体" w:cs="宋体"/>
                <w:color w:val="000000"/>
                <w:sz w:val="24"/>
              </w:rPr>
            </w:pPr>
          </w:p>
        </w:tc>
        <w:tc>
          <w:tcPr>
            <w:tcW w:w="1538" w:type="pct"/>
            <w:gridSpan w:val="2"/>
            <w:tcBorders>
              <w:top w:val="single" w:color="000000" w:sz="4" w:space="0"/>
              <w:left w:val="single" w:color="000000" w:sz="4" w:space="0"/>
              <w:bottom w:val="single" w:color="000000" w:sz="4" w:space="0"/>
              <w:right w:val="single" w:color="000000" w:sz="4" w:space="0"/>
            </w:tcBorders>
            <w:shd w:val="clear" w:color="auto" w:fill="auto"/>
          </w:tcPr>
          <w:p>
            <w:pPr>
              <w:pageBreakBefore w:val="0"/>
              <w:widowControl/>
              <w:kinsoku/>
              <w:wordWrap/>
              <w:overflowPunct/>
              <w:topLinePunct w:val="0"/>
              <w:autoSpaceDE/>
              <w:autoSpaceDN/>
              <w:bidi w:val="0"/>
              <w:spacing w:line="576" w:lineRule="exact"/>
              <w:jc w:val="left"/>
              <w:textAlignment w:val="top"/>
              <w:rPr>
                <w:rFonts w:ascii="宋体" w:hAnsi="宋体" w:eastAsia="宋体" w:cs="宋体"/>
                <w:color w:val="000000"/>
                <w:sz w:val="24"/>
              </w:rPr>
            </w:pPr>
          </w:p>
        </w:tc>
      </w:tr>
      <w:tr>
        <w:tblPrEx>
          <w:tblCellMar>
            <w:top w:w="0" w:type="dxa"/>
            <w:left w:w="108" w:type="dxa"/>
            <w:bottom w:w="0" w:type="dxa"/>
            <w:right w:w="108" w:type="dxa"/>
          </w:tblCellMar>
        </w:tblPrEx>
        <w:trPr>
          <w:gridAfter w:val="1"/>
          <w:wAfter w:w="122" w:type="pct"/>
          <w:trHeight w:val="738" w:hRule="atLeast"/>
        </w:trPr>
        <w:tc>
          <w:tcPr>
            <w:tcW w:w="1126" w:type="pct"/>
            <w:vMerge w:val="restart"/>
            <w:tcBorders>
              <w:top w:val="single" w:color="000000" w:sz="4" w:space="0"/>
              <w:left w:val="single" w:color="000000" w:sz="4" w:space="0"/>
              <w:right w:val="single" w:color="000000" w:sz="4" w:space="0"/>
            </w:tcBorders>
            <w:shd w:val="clear" w:color="auto" w:fill="auto"/>
            <w:vAlign w:val="center"/>
          </w:tcPr>
          <w:p>
            <w:pPr>
              <w:pageBreakBefore w:val="0"/>
              <w:widowControl/>
              <w:kinsoku/>
              <w:wordWrap/>
              <w:overflowPunct/>
              <w:topLinePunct w:val="0"/>
              <w:autoSpaceDE/>
              <w:autoSpaceDN/>
              <w:bidi w:val="0"/>
              <w:spacing w:line="576" w:lineRule="exact"/>
              <w:jc w:val="center"/>
              <w:textAlignment w:val="center"/>
              <w:rPr>
                <w:rFonts w:ascii="仿宋_GB2312" w:hAnsi="仿宋_GB2312" w:cs="仿宋_GB2312"/>
                <w:color w:val="000000"/>
                <w:sz w:val="28"/>
                <w:szCs w:val="28"/>
              </w:rPr>
            </w:pPr>
            <w:r>
              <w:rPr>
                <w:rFonts w:hint="eastAsia" w:ascii="仿宋_GB2312" w:hAnsi="仿宋_GB2312" w:cs="仿宋_GB2312"/>
                <w:color w:val="000000"/>
                <w:kern w:val="0"/>
                <w:sz w:val="28"/>
                <w:szCs w:val="28"/>
                <w:lang w:bidi="ar"/>
              </w:rPr>
              <w:t>年度绩效指标完成情况</w:t>
            </w:r>
          </w:p>
        </w:tc>
        <w:tc>
          <w:tcPr>
            <w:tcW w:w="649" w:type="pct"/>
            <w:tcBorders>
              <w:top w:val="single" w:color="000000" w:sz="4" w:space="0"/>
              <w:left w:val="nil"/>
              <w:bottom w:val="single" w:color="000000" w:sz="4" w:space="0"/>
              <w:right w:val="single" w:color="000000" w:sz="4" w:space="0"/>
            </w:tcBorders>
            <w:shd w:val="clear" w:color="auto" w:fill="auto"/>
            <w:vAlign w:val="center"/>
          </w:tcPr>
          <w:p>
            <w:pPr>
              <w:pageBreakBefore w:val="0"/>
              <w:widowControl/>
              <w:kinsoku/>
              <w:wordWrap/>
              <w:overflowPunct/>
              <w:topLinePunct w:val="0"/>
              <w:autoSpaceDE/>
              <w:autoSpaceDN/>
              <w:bidi w:val="0"/>
              <w:spacing w:line="576" w:lineRule="exact"/>
              <w:jc w:val="center"/>
              <w:textAlignment w:val="center"/>
              <w:rPr>
                <w:rFonts w:ascii="仿宋_GB2312" w:hAnsi="仿宋_GB2312" w:cs="仿宋_GB2312"/>
                <w:color w:val="000000"/>
                <w:kern w:val="0"/>
                <w:sz w:val="28"/>
                <w:szCs w:val="28"/>
                <w:lang w:bidi="ar"/>
              </w:rPr>
            </w:pPr>
            <w:r>
              <w:rPr>
                <w:rFonts w:hint="eastAsia" w:ascii="仿宋_GB2312" w:hAnsi="仿宋_GB2312" w:cs="仿宋_GB2312"/>
                <w:color w:val="000000"/>
                <w:kern w:val="0"/>
                <w:sz w:val="28"/>
                <w:szCs w:val="28"/>
                <w:lang w:bidi="ar"/>
              </w:rPr>
              <w:t>一级</w:t>
            </w:r>
          </w:p>
          <w:p>
            <w:pPr>
              <w:pageBreakBefore w:val="0"/>
              <w:widowControl/>
              <w:kinsoku/>
              <w:wordWrap/>
              <w:overflowPunct/>
              <w:topLinePunct w:val="0"/>
              <w:autoSpaceDE/>
              <w:autoSpaceDN/>
              <w:bidi w:val="0"/>
              <w:spacing w:line="576" w:lineRule="exact"/>
              <w:jc w:val="center"/>
              <w:textAlignment w:val="center"/>
              <w:rPr>
                <w:rFonts w:ascii="仿宋_GB2312" w:hAnsi="仿宋_GB2312" w:cs="仿宋_GB2312"/>
                <w:color w:val="000000"/>
                <w:sz w:val="28"/>
                <w:szCs w:val="28"/>
              </w:rPr>
            </w:pPr>
            <w:r>
              <w:rPr>
                <w:rFonts w:hint="eastAsia" w:ascii="仿宋_GB2312" w:hAnsi="仿宋_GB2312" w:cs="仿宋_GB2312"/>
                <w:color w:val="000000"/>
                <w:kern w:val="0"/>
                <w:sz w:val="28"/>
                <w:szCs w:val="28"/>
                <w:lang w:bidi="ar"/>
              </w:rPr>
              <w:t>指标</w:t>
            </w:r>
          </w:p>
        </w:tc>
        <w:tc>
          <w:tcPr>
            <w:tcW w:w="930" w:type="pct"/>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autoSpaceDN/>
              <w:bidi w:val="0"/>
              <w:spacing w:line="576" w:lineRule="exact"/>
              <w:jc w:val="center"/>
              <w:textAlignment w:val="center"/>
              <w:rPr>
                <w:rFonts w:ascii="仿宋_GB2312" w:hAnsi="仿宋_GB2312" w:cs="仿宋_GB2312"/>
                <w:color w:val="000000"/>
                <w:kern w:val="0"/>
                <w:sz w:val="28"/>
                <w:szCs w:val="28"/>
                <w:lang w:bidi="ar"/>
              </w:rPr>
            </w:pPr>
            <w:r>
              <w:rPr>
                <w:rFonts w:hint="eastAsia" w:ascii="仿宋_GB2312" w:hAnsi="仿宋_GB2312" w:cs="仿宋_GB2312"/>
                <w:color w:val="000000"/>
                <w:kern w:val="0"/>
                <w:sz w:val="28"/>
                <w:szCs w:val="28"/>
                <w:lang w:bidi="ar"/>
              </w:rPr>
              <w:t>二级</w:t>
            </w:r>
          </w:p>
          <w:p>
            <w:pPr>
              <w:pageBreakBefore w:val="0"/>
              <w:widowControl/>
              <w:kinsoku/>
              <w:wordWrap/>
              <w:overflowPunct/>
              <w:topLinePunct w:val="0"/>
              <w:autoSpaceDE/>
              <w:autoSpaceDN/>
              <w:bidi w:val="0"/>
              <w:spacing w:line="576" w:lineRule="exact"/>
              <w:jc w:val="center"/>
              <w:textAlignment w:val="center"/>
              <w:rPr>
                <w:rFonts w:ascii="仿宋_GB2312" w:hAnsi="仿宋_GB2312" w:cs="仿宋_GB2312"/>
                <w:color w:val="000000"/>
                <w:sz w:val="28"/>
                <w:szCs w:val="28"/>
              </w:rPr>
            </w:pPr>
            <w:r>
              <w:rPr>
                <w:rFonts w:hint="eastAsia" w:ascii="仿宋_GB2312" w:hAnsi="仿宋_GB2312" w:cs="仿宋_GB2312"/>
                <w:color w:val="000000"/>
                <w:kern w:val="0"/>
                <w:sz w:val="28"/>
                <w:szCs w:val="28"/>
                <w:lang w:bidi="ar"/>
              </w:rPr>
              <w:t>指标</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autoSpaceDN/>
              <w:bidi w:val="0"/>
              <w:spacing w:line="576" w:lineRule="exact"/>
              <w:jc w:val="center"/>
              <w:textAlignment w:val="center"/>
              <w:rPr>
                <w:rFonts w:ascii="仿宋_GB2312" w:hAnsi="仿宋_GB2312" w:cs="仿宋_GB2312"/>
                <w:color w:val="000000"/>
                <w:kern w:val="0"/>
                <w:sz w:val="28"/>
                <w:szCs w:val="28"/>
                <w:lang w:bidi="ar"/>
              </w:rPr>
            </w:pPr>
            <w:r>
              <w:rPr>
                <w:rFonts w:hint="eastAsia" w:ascii="仿宋_GB2312" w:hAnsi="仿宋_GB2312" w:cs="仿宋_GB2312"/>
                <w:color w:val="000000"/>
                <w:kern w:val="0"/>
                <w:sz w:val="28"/>
                <w:szCs w:val="28"/>
                <w:lang w:bidi="ar"/>
              </w:rPr>
              <w:t>三级</w:t>
            </w:r>
          </w:p>
          <w:p>
            <w:pPr>
              <w:pageBreakBefore w:val="0"/>
              <w:widowControl/>
              <w:kinsoku/>
              <w:wordWrap/>
              <w:overflowPunct/>
              <w:topLinePunct w:val="0"/>
              <w:autoSpaceDE/>
              <w:autoSpaceDN/>
              <w:bidi w:val="0"/>
              <w:spacing w:line="576" w:lineRule="exact"/>
              <w:jc w:val="center"/>
              <w:textAlignment w:val="center"/>
              <w:rPr>
                <w:rFonts w:ascii="仿宋_GB2312" w:hAnsi="仿宋_GB2312" w:cs="仿宋_GB2312"/>
                <w:color w:val="000000"/>
                <w:sz w:val="28"/>
                <w:szCs w:val="28"/>
              </w:rPr>
            </w:pPr>
            <w:r>
              <w:rPr>
                <w:rFonts w:hint="eastAsia" w:ascii="仿宋_GB2312" w:hAnsi="仿宋_GB2312" w:cs="仿宋_GB2312"/>
                <w:color w:val="000000"/>
                <w:kern w:val="0"/>
                <w:sz w:val="28"/>
                <w:szCs w:val="28"/>
                <w:lang w:bidi="ar"/>
              </w:rPr>
              <w:t>指标</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autoSpaceDN/>
              <w:bidi w:val="0"/>
              <w:spacing w:line="576" w:lineRule="exact"/>
              <w:jc w:val="center"/>
              <w:textAlignment w:val="center"/>
              <w:rPr>
                <w:rFonts w:ascii="仿宋_GB2312" w:hAnsi="仿宋_GB2312" w:cs="仿宋_GB2312"/>
                <w:color w:val="000000"/>
                <w:sz w:val="28"/>
                <w:szCs w:val="28"/>
              </w:rPr>
            </w:pPr>
            <w:r>
              <w:rPr>
                <w:rFonts w:hint="eastAsia" w:ascii="仿宋_GB2312" w:hAnsi="仿宋_GB2312" w:cs="仿宋_GB2312"/>
                <w:color w:val="000000"/>
                <w:kern w:val="0"/>
                <w:sz w:val="28"/>
                <w:szCs w:val="28"/>
                <w:lang w:bidi="ar"/>
              </w:rPr>
              <w:t>预期指标值</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autoSpaceDN/>
              <w:bidi w:val="0"/>
              <w:spacing w:line="576" w:lineRule="exact"/>
              <w:jc w:val="center"/>
              <w:textAlignment w:val="center"/>
              <w:rPr>
                <w:rFonts w:ascii="仿宋_GB2312" w:hAnsi="仿宋_GB2312" w:cs="仿宋_GB2312"/>
                <w:color w:val="000000"/>
                <w:sz w:val="28"/>
                <w:szCs w:val="28"/>
              </w:rPr>
            </w:pPr>
            <w:r>
              <w:rPr>
                <w:rFonts w:hint="eastAsia" w:ascii="仿宋_GB2312" w:hAnsi="仿宋_GB2312" w:cs="仿宋_GB2312"/>
                <w:color w:val="000000"/>
                <w:kern w:val="0"/>
                <w:sz w:val="28"/>
                <w:szCs w:val="28"/>
                <w:lang w:bidi="ar"/>
              </w:rPr>
              <w:t>实际完成指标值</w:t>
            </w:r>
          </w:p>
        </w:tc>
      </w:tr>
      <w:tr>
        <w:tblPrEx>
          <w:tblCellMar>
            <w:top w:w="0" w:type="dxa"/>
            <w:left w:w="108" w:type="dxa"/>
            <w:bottom w:w="0" w:type="dxa"/>
            <w:right w:w="108" w:type="dxa"/>
          </w:tblCellMar>
        </w:tblPrEx>
        <w:trPr>
          <w:gridAfter w:val="1"/>
          <w:wAfter w:w="122" w:type="pct"/>
          <w:trHeight w:val="480" w:hRule="atLeast"/>
        </w:trPr>
        <w:tc>
          <w:tcPr>
            <w:tcW w:w="1126" w:type="pct"/>
            <w:vMerge w:val="continue"/>
            <w:tcBorders>
              <w:left w:val="single" w:color="000000" w:sz="4" w:space="0"/>
              <w:right w:val="single" w:color="000000" w:sz="4" w:space="0"/>
            </w:tcBorders>
            <w:shd w:val="clear" w:color="auto" w:fill="auto"/>
            <w:vAlign w:val="center"/>
          </w:tcPr>
          <w:p>
            <w:pPr>
              <w:pageBreakBefore w:val="0"/>
              <w:kinsoku/>
              <w:wordWrap/>
              <w:overflowPunct/>
              <w:topLinePunct w:val="0"/>
              <w:autoSpaceDE/>
              <w:autoSpaceDN/>
              <w:bidi w:val="0"/>
              <w:spacing w:line="576" w:lineRule="exact"/>
              <w:jc w:val="center"/>
              <w:rPr>
                <w:rFonts w:ascii="仿宋_GB2312" w:hAnsi="仿宋_GB2312" w:cs="仿宋_GB2312"/>
                <w:color w:val="000000"/>
                <w:sz w:val="28"/>
                <w:szCs w:val="28"/>
              </w:rPr>
            </w:pPr>
          </w:p>
        </w:tc>
        <w:tc>
          <w:tcPr>
            <w:tcW w:w="64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autoSpaceDN/>
              <w:bidi w:val="0"/>
              <w:spacing w:line="576" w:lineRule="exact"/>
              <w:jc w:val="center"/>
              <w:textAlignment w:val="bottom"/>
              <w:rPr>
                <w:rFonts w:ascii="仿宋_GB2312" w:hAnsi="仿宋_GB2312" w:cs="仿宋_GB2312"/>
                <w:color w:val="000000"/>
                <w:kern w:val="0"/>
                <w:sz w:val="28"/>
                <w:szCs w:val="28"/>
                <w:lang w:bidi="ar"/>
              </w:rPr>
            </w:pPr>
            <w:r>
              <w:rPr>
                <w:rFonts w:hint="eastAsia" w:ascii="仿宋_GB2312" w:hAnsi="仿宋_GB2312" w:cs="仿宋_GB2312"/>
                <w:color w:val="000000"/>
                <w:kern w:val="0"/>
                <w:sz w:val="28"/>
                <w:szCs w:val="28"/>
                <w:lang w:bidi="ar"/>
              </w:rPr>
              <w:t>完成</w:t>
            </w:r>
          </w:p>
          <w:p>
            <w:pPr>
              <w:pageBreakBefore w:val="0"/>
              <w:widowControl/>
              <w:kinsoku/>
              <w:wordWrap/>
              <w:overflowPunct/>
              <w:topLinePunct w:val="0"/>
              <w:autoSpaceDE/>
              <w:autoSpaceDN/>
              <w:bidi w:val="0"/>
              <w:spacing w:line="576" w:lineRule="exact"/>
              <w:jc w:val="center"/>
              <w:textAlignment w:val="bottom"/>
              <w:rPr>
                <w:rFonts w:ascii="仿宋_GB2312" w:hAnsi="仿宋_GB2312" w:cs="仿宋_GB2312"/>
                <w:color w:val="000000"/>
                <w:sz w:val="28"/>
                <w:szCs w:val="28"/>
              </w:rPr>
            </w:pPr>
            <w:r>
              <w:rPr>
                <w:rFonts w:hint="eastAsia" w:ascii="仿宋_GB2312" w:hAnsi="仿宋_GB2312" w:cs="仿宋_GB2312"/>
                <w:color w:val="000000"/>
                <w:kern w:val="0"/>
                <w:sz w:val="28"/>
                <w:szCs w:val="28"/>
                <w:lang w:bidi="ar"/>
              </w:rPr>
              <w:t>指标</w:t>
            </w:r>
          </w:p>
        </w:tc>
        <w:tc>
          <w:tcPr>
            <w:tcW w:w="930" w:type="pct"/>
            <w:tcBorders>
              <w:top w:val="single" w:color="000000" w:sz="4" w:space="0"/>
              <w:left w:val="single" w:color="000000" w:sz="4" w:space="0"/>
              <w:bottom w:val="single" w:color="000000" w:sz="4" w:space="0"/>
              <w:right w:val="single" w:color="000000" w:sz="4" w:space="0"/>
            </w:tcBorders>
            <w:shd w:val="clear" w:color="auto" w:fill="auto"/>
            <w:vAlign w:val="bottom"/>
          </w:tcPr>
          <w:p>
            <w:pPr>
              <w:pageBreakBefore w:val="0"/>
              <w:widowControl/>
              <w:kinsoku/>
              <w:wordWrap/>
              <w:overflowPunct/>
              <w:topLinePunct w:val="0"/>
              <w:autoSpaceDE/>
              <w:autoSpaceDN/>
              <w:bidi w:val="0"/>
              <w:spacing w:line="576" w:lineRule="exact"/>
              <w:jc w:val="center"/>
              <w:textAlignment w:val="bottom"/>
              <w:rPr>
                <w:rFonts w:ascii="仿宋_GB2312" w:hAnsi="仿宋_GB2312" w:cs="仿宋_GB2312"/>
                <w:color w:val="000000"/>
                <w:sz w:val="28"/>
                <w:szCs w:val="28"/>
              </w:rPr>
            </w:pPr>
            <w:r>
              <w:rPr>
                <w:rFonts w:hint="eastAsia" w:ascii="仿宋_GB2312" w:hAnsi="仿宋_GB2312" w:cs="仿宋_GB2312"/>
                <w:color w:val="000000"/>
                <w:kern w:val="0"/>
                <w:sz w:val="28"/>
                <w:szCs w:val="28"/>
                <w:lang w:bidi="ar"/>
              </w:rPr>
              <w:t>数量指标</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bottom"/>
          </w:tcPr>
          <w:p>
            <w:pPr>
              <w:pageBreakBefore w:val="0"/>
              <w:widowControl/>
              <w:kinsoku/>
              <w:wordWrap/>
              <w:overflowPunct/>
              <w:topLinePunct w:val="0"/>
              <w:autoSpaceDE/>
              <w:autoSpaceDN/>
              <w:bidi w:val="0"/>
              <w:spacing w:line="576" w:lineRule="exact"/>
              <w:jc w:val="center"/>
              <w:textAlignment w:val="bottom"/>
              <w:rPr>
                <w:rFonts w:ascii="仿宋_GB2312" w:hAnsi="仿宋_GB2312" w:cs="仿宋_GB2312"/>
                <w:color w:val="000000"/>
                <w:sz w:val="28"/>
                <w:szCs w:val="28"/>
              </w:rPr>
            </w:pP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bottom"/>
          </w:tcPr>
          <w:p>
            <w:pPr>
              <w:pageBreakBefore w:val="0"/>
              <w:widowControl/>
              <w:kinsoku/>
              <w:wordWrap/>
              <w:overflowPunct/>
              <w:topLinePunct w:val="0"/>
              <w:autoSpaceDE/>
              <w:autoSpaceDN/>
              <w:bidi w:val="0"/>
              <w:spacing w:line="576" w:lineRule="exact"/>
              <w:jc w:val="center"/>
              <w:textAlignment w:val="bottom"/>
              <w:rPr>
                <w:rFonts w:ascii="仿宋_GB2312" w:hAnsi="仿宋_GB2312" w:cs="仿宋_GB2312"/>
                <w:color w:val="000000"/>
                <w:sz w:val="28"/>
                <w:szCs w:val="28"/>
              </w:rPr>
            </w:pP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bottom"/>
          </w:tcPr>
          <w:p>
            <w:pPr>
              <w:pageBreakBefore w:val="0"/>
              <w:widowControl/>
              <w:kinsoku/>
              <w:wordWrap/>
              <w:overflowPunct/>
              <w:topLinePunct w:val="0"/>
              <w:autoSpaceDE/>
              <w:autoSpaceDN/>
              <w:bidi w:val="0"/>
              <w:spacing w:line="576" w:lineRule="exact"/>
              <w:jc w:val="center"/>
              <w:textAlignment w:val="bottom"/>
              <w:rPr>
                <w:rFonts w:ascii="仿宋_GB2312" w:hAnsi="仿宋_GB2312" w:cs="仿宋_GB2312"/>
                <w:color w:val="000000"/>
                <w:sz w:val="28"/>
                <w:szCs w:val="28"/>
              </w:rPr>
            </w:pPr>
          </w:p>
        </w:tc>
      </w:tr>
      <w:tr>
        <w:tblPrEx>
          <w:tblCellMar>
            <w:top w:w="0" w:type="dxa"/>
            <w:left w:w="108" w:type="dxa"/>
            <w:bottom w:w="0" w:type="dxa"/>
            <w:right w:w="108" w:type="dxa"/>
          </w:tblCellMar>
        </w:tblPrEx>
        <w:trPr>
          <w:gridAfter w:val="1"/>
          <w:wAfter w:w="122" w:type="pct"/>
          <w:trHeight w:val="480" w:hRule="atLeast"/>
        </w:trPr>
        <w:tc>
          <w:tcPr>
            <w:tcW w:w="1126" w:type="pct"/>
            <w:vMerge w:val="continue"/>
            <w:tcBorders>
              <w:left w:val="single" w:color="000000" w:sz="4" w:space="0"/>
              <w:right w:val="single" w:color="000000" w:sz="4" w:space="0"/>
            </w:tcBorders>
            <w:shd w:val="clear" w:color="auto" w:fill="auto"/>
            <w:vAlign w:val="center"/>
          </w:tcPr>
          <w:p>
            <w:pPr>
              <w:pageBreakBefore w:val="0"/>
              <w:kinsoku/>
              <w:wordWrap/>
              <w:overflowPunct/>
              <w:topLinePunct w:val="0"/>
              <w:autoSpaceDE/>
              <w:autoSpaceDN/>
              <w:bidi w:val="0"/>
              <w:spacing w:line="576" w:lineRule="exact"/>
              <w:jc w:val="center"/>
              <w:rPr>
                <w:rFonts w:ascii="仿宋_GB2312" w:hAnsi="仿宋_GB2312" w:cs="仿宋_GB2312"/>
                <w:color w:val="000000"/>
                <w:sz w:val="28"/>
                <w:szCs w:val="28"/>
              </w:rPr>
            </w:pPr>
          </w:p>
        </w:tc>
        <w:tc>
          <w:tcPr>
            <w:tcW w:w="649" w:type="pct"/>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pageBreakBefore w:val="0"/>
              <w:kinsoku/>
              <w:wordWrap/>
              <w:overflowPunct/>
              <w:topLinePunct w:val="0"/>
              <w:autoSpaceDE/>
              <w:autoSpaceDN/>
              <w:bidi w:val="0"/>
              <w:spacing w:line="576" w:lineRule="exact"/>
              <w:jc w:val="center"/>
              <w:rPr>
                <w:rFonts w:ascii="仿宋_GB2312" w:hAnsi="仿宋_GB2312" w:cs="仿宋_GB2312"/>
                <w:color w:val="000000"/>
                <w:sz w:val="28"/>
                <w:szCs w:val="28"/>
              </w:rPr>
            </w:pPr>
          </w:p>
        </w:tc>
        <w:tc>
          <w:tcPr>
            <w:tcW w:w="930" w:type="pct"/>
            <w:tcBorders>
              <w:top w:val="single" w:color="000000" w:sz="4" w:space="0"/>
              <w:left w:val="single" w:color="000000" w:sz="4" w:space="0"/>
              <w:bottom w:val="single" w:color="000000" w:sz="4" w:space="0"/>
              <w:right w:val="single" w:color="000000" w:sz="4" w:space="0"/>
            </w:tcBorders>
            <w:shd w:val="clear" w:color="auto" w:fill="auto"/>
            <w:vAlign w:val="bottom"/>
          </w:tcPr>
          <w:p>
            <w:pPr>
              <w:pageBreakBefore w:val="0"/>
              <w:widowControl/>
              <w:kinsoku/>
              <w:wordWrap/>
              <w:overflowPunct/>
              <w:topLinePunct w:val="0"/>
              <w:autoSpaceDE/>
              <w:autoSpaceDN/>
              <w:bidi w:val="0"/>
              <w:spacing w:line="576" w:lineRule="exact"/>
              <w:jc w:val="center"/>
              <w:textAlignment w:val="bottom"/>
              <w:rPr>
                <w:rFonts w:ascii="仿宋_GB2312" w:hAnsi="仿宋_GB2312" w:cs="仿宋_GB2312"/>
                <w:color w:val="000000"/>
                <w:sz w:val="28"/>
                <w:szCs w:val="28"/>
              </w:rPr>
            </w:pPr>
            <w:r>
              <w:rPr>
                <w:rFonts w:hint="eastAsia" w:ascii="仿宋_GB2312" w:hAnsi="仿宋_GB2312" w:cs="仿宋_GB2312"/>
                <w:color w:val="000000"/>
                <w:kern w:val="0"/>
                <w:sz w:val="28"/>
                <w:szCs w:val="28"/>
                <w:lang w:bidi="ar"/>
              </w:rPr>
              <w:t>质量指标</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bottom"/>
          </w:tcPr>
          <w:p>
            <w:pPr>
              <w:pageBreakBefore w:val="0"/>
              <w:widowControl/>
              <w:kinsoku/>
              <w:wordWrap/>
              <w:overflowPunct/>
              <w:topLinePunct w:val="0"/>
              <w:autoSpaceDE/>
              <w:autoSpaceDN/>
              <w:bidi w:val="0"/>
              <w:spacing w:line="576" w:lineRule="exact"/>
              <w:jc w:val="center"/>
              <w:textAlignment w:val="bottom"/>
              <w:rPr>
                <w:rFonts w:ascii="仿宋_GB2312" w:hAnsi="仿宋_GB2312" w:cs="仿宋_GB2312"/>
                <w:color w:val="000000"/>
                <w:sz w:val="28"/>
                <w:szCs w:val="28"/>
              </w:rPr>
            </w:pP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bottom"/>
          </w:tcPr>
          <w:p>
            <w:pPr>
              <w:pageBreakBefore w:val="0"/>
              <w:widowControl/>
              <w:kinsoku/>
              <w:wordWrap/>
              <w:overflowPunct/>
              <w:topLinePunct w:val="0"/>
              <w:autoSpaceDE/>
              <w:autoSpaceDN/>
              <w:bidi w:val="0"/>
              <w:spacing w:line="576" w:lineRule="exact"/>
              <w:jc w:val="center"/>
              <w:textAlignment w:val="bottom"/>
              <w:rPr>
                <w:rFonts w:ascii="仿宋_GB2312" w:hAnsi="仿宋_GB2312" w:cs="仿宋_GB2312"/>
                <w:color w:val="000000"/>
                <w:sz w:val="28"/>
                <w:szCs w:val="28"/>
              </w:rPr>
            </w:pP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bottom"/>
          </w:tcPr>
          <w:p>
            <w:pPr>
              <w:pageBreakBefore w:val="0"/>
              <w:widowControl/>
              <w:kinsoku/>
              <w:wordWrap/>
              <w:overflowPunct/>
              <w:topLinePunct w:val="0"/>
              <w:autoSpaceDE/>
              <w:autoSpaceDN/>
              <w:bidi w:val="0"/>
              <w:spacing w:line="576" w:lineRule="exact"/>
              <w:jc w:val="center"/>
              <w:textAlignment w:val="bottom"/>
              <w:rPr>
                <w:rFonts w:ascii="仿宋_GB2312" w:hAnsi="仿宋_GB2312" w:cs="仿宋_GB2312"/>
                <w:color w:val="000000"/>
                <w:sz w:val="28"/>
                <w:szCs w:val="28"/>
              </w:rPr>
            </w:pPr>
          </w:p>
        </w:tc>
      </w:tr>
      <w:tr>
        <w:tblPrEx>
          <w:tblCellMar>
            <w:top w:w="0" w:type="dxa"/>
            <w:left w:w="108" w:type="dxa"/>
            <w:bottom w:w="0" w:type="dxa"/>
            <w:right w:w="108" w:type="dxa"/>
          </w:tblCellMar>
        </w:tblPrEx>
        <w:trPr>
          <w:gridAfter w:val="1"/>
          <w:wAfter w:w="122" w:type="pct"/>
          <w:trHeight w:val="480" w:hRule="atLeast"/>
        </w:trPr>
        <w:tc>
          <w:tcPr>
            <w:tcW w:w="1126" w:type="pct"/>
            <w:vMerge w:val="continue"/>
            <w:tcBorders>
              <w:left w:val="single" w:color="000000" w:sz="4" w:space="0"/>
              <w:right w:val="single" w:color="000000" w:sz="4" w:space="0"/>
            </w:tcBorders>
            <w:shd w:val="clear" w:color="auto" w:fill="auto"/>
            <w:vAlign w:val="center"/>
          </w:tcPr>
          <w:p>
            <w:pPr>
              <w:pageBreakBefore w:val="0"/>
              <w:kinsoku/>
              <w:wordWrap/>
              <w:overflowPunct/>
              <w:topLinePunct w:val="0"/>
              <w:autoSpaceDE/>
              <w:autoSpaceDN/>
              <w:bidi w:val="0"/>
              <w:spacing w:line="576" w:lineRule="exact"/>
              <w:jc w:val="center"/>
              <w:rPr>
                <w:rFonts w:ascii="仿宋_GB2312" w:hAnsi="仿宋_GB2312" w:cs="仿宋_GB2312"/>
                <w:color w:val="000000"/>
                <w:sz w:val="28"/>
                <w:szCs w:val="28"/>
              </w:rPr>
            </w:pPr>
          </w:p>
        </w:tc>
        <w:tc>
          <w:tcPr>
            <w:tcW w:w="649" w:type="pct"/>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pageBreakBefore w:val="0"/>
              <w:kinsoku/>
              <w:wordWrap/>
              <w:overflowPunct/>
              <w:topLinePunct w:val="0"/>
              <w:autoSpaceDE/>
              <w:autoSpaceDN/>
              <w:bidi w:val="0"/>
              <w:spacing w:line="576" w:lineRule="exact"/>
              <w:jc w:val="center"/>
              <w:rPr>
                <w:rFonts w:ascii="仿宋_GB2312" w:hAnsi="仿宋_GB2312" w:cs="仿宋_GB2312"/>
                <w:color w:val="000000"/>
                <w:sz w:val="28"/>
                <w:szCs w:val="28"/>
              </w:rPr>
            </w:pPr>
          </w:p>
        </w:tc>
        <w:tc>
          <w:tcPr>
            <w:tcW w:w="930" w:type="pct"/>
            <w:tcBorders>
              <w:top w:val="single" w:color="000000" w:sz="4" w:space="0"/>
              <w:left w:val="single" w:color="000000" w:sz="4" w:space="0"/>
              <w:bottom w:val="single" w:color="000000" w:sz="4" w:space="0"/>
              <w:right w:val="single" w:color="000000" w:sz="4" w:space="0"/>
            </w:tcBorders>
            <w:shd w:val="clear" w:color="auto" w:fill="auto"/>
            <w:vAlign w:val="bottom"/>
          </w:tcPr>
          <w:p>
            <w:pPr>
              <w:pageBreakBefore w:val="0"/>
              <w:widowControl/>
              <w:kinsoku/>
              <w:wordWrap/>
              <w:overflowPunct/>
              <w:topLinePunct w:val="0"/>
              <w:autoSpaceDE/>
              <w:autoSpaceDN/>
              <w:bidi w:val="0"/>
              <w:spacing w:line="576" w:lineRule="exact"/>
              <w:jc w:val="center"/>
              <w:textAlignment w:val="bottom"/>
              <w:rPr>
                <w:rFonts w:ascii="仿宋_GB2312" w:hAnsi="仿宋_GB2312" w:cs="仿宋_GB2312"/>
                <w:color w:val="000000"/>
                <w:sz w:val="28"/>
                <w:szCs w:val="28"/>
              </w:rPr>
            </w:pPr>
            <w:r>
              <w:rPr>
                <w:rFonts w:hint="eastAsia" w:ascii="仿宋_GB2312" w:hAnsi="仿宋_GB2312" w:cs="仿宋_GB2312"/>
                <w:color w:val="000000"/>
                <w:kern w:val="0"/>
                <w:sz w:val="28"/>
                <w:szCs w:val="28"/>
                <w:lang w:bidi="ar"/>
              </w:rPr>
              <w:t>时效指标</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bottom"/>
          </w:tcPr>
          <w:p>
            <w:pPr>
              <w:pageBreakBefore w:val="0"/>
              <w:widowControl/>
              <w:kinsoku/>
              <w:wordWrap/>
              <w:overflowPunct/>
              <w:topLinePunct w:val="0"/>
              <w:autoSpaceDE/>
              <w:autoSpaceDN/>
              <w:bidi w:val="0"/>
              <w:spacing w:line="576" w:lineRule="exact"/>
              <w:jc w:val="center"/>
              <w:textAlignment w:val="bottom"/>
              <w:rPr>
                <w:rFonts w:ascii="仿宋_GB2312" w:hAnsi="仿宋_GB2312" w:cs="仿宋_GB2312"/>
                <w:color w:val="000000"/>
                <w:sz w:val="28"/>
                <w:szCs w:val="28"/>
              </w:rPr>
            </w:pP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bottom"/>
          </w:tcPr>
          <w:p>
            <w:pPr>
              <w:pageBreakBefore w:val="0"/>
              <w:widowControl/>
              <w:kinsoku/>
              <w:wordWrap/>
              <w:overflowPunct/>
              <w:topLinePunct w:val="0"/>
              <w:autoSpaceDE/>
              <w:autoSpaceDN/>
              <w:bidi w:val="0"/>
              <w:spacing w:line="576" w:lineRule="exact"/>
              <w:jc w:val="center"/>
              <w:textAlignment w:val="bottom"/>
              <w:rPr>
                <w:rFonts w:ascii="仿宋_GB2312" w:hAnsi="仿宋_GB2312" w:cs="仿宋_GB2312"/>
                <w:color w:val="000000"/>
                <w:sz w:val="28"/>
                <w:szCs w:val="28"/>
              </w:rPr>
            </w:pP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bottom"/>
          </w:tcPr>
          <w:p>
            <w:pPr>
              <w:pageBreakBefore w:val="0"/>
              <w:widowControl/>
              <w:kinsoku/>
              <w:wordWrap/>
              <w:overflowPunct/>
              <w:topLinePunct w:val="0"/>
              <w:autoSpaceDE/>
              <w:autoSpaceDN/>
              <w:bidi w:val="0"/>
              <w:spacing w:line="576" w:lineRule="exact"/>
              <w:jc w:val="center"/>
              <w:textAlignment w:val="bottom"/>
              <w:rPr>
                <w:rFonts w:ascii="仿宋_GB2312" w:hAnsi="仿宋_GB2312" w:cs="仿宋_GB2312"/>
                <w:color w:val="000000"/>
                <w:sz w:val="28"/>
                <w:szCs w:val="28"/>
              </w:rPr>
            </w:pPr>
          </w:p>
        </w:tc>
      </w:tr>
      <w:tr>
        <w:tblPrEx>
          <w:tblCellMar>
            <w:top w:w="0" w:type="dxa"/>
            <w:left w:w="108" w:type="dxa"/>
            <w:bottom w:w="0" w:type="dxa"/>
            <w:right w:w="108" w:type="dxa"/>
          </w:tblCellMar>
        </w:tblPrEx>
        <w:trPr>
          <w:gridAfter w:val="1"/>
          <w:wAfter w:w="122" w:type="pct"/>
          <w:trHeight w:val="480" w:hRule="atLeast"/>
        </w:trPr>
        <w:tc>
          <w:tcPr>
            <w:tcW w:w="1126" w:type="pct"/>
            <w:vMerge w:val="continue"/>
            <w:tcBorders>
              <w:left w:val="single" w:color="000000" w:sz="4" w:space="0"/>
              <w:right w:val="single" w:color="000000" w:sz="4" w:space="0"/>
            </w:tcBorders>
            <w:shd w:val="clear" w:color="auto" w:fill="auto"/>
            <w:vAlign w:val="center"/>
          </w:tcPr>
          <w:p>
            <w:pPr>
              <w:pageBreakBefore w:val="0"/>
              <w:kinsoku/>
              <w:wordWrap/>
              <w:overflowPunct/>
              <w:topLinePunct w:val="0"/>
              <w:autoSpaceDE/>
              <w:autoSpaceDN/>
              <w:bidi w:val="0"/>
              <w:spacing w:line="576" w:lineRule="exact"/>
              <w:jc w:val="center"/>
              <w:rPr>
                <w:rFonts w:ascii="仿宋_GB2312" w:hAnsi="仿宋_GB2312" w:cs="仿宋_GB2312"/>
                <w:color w:val="000000"/>
                <w:sz w:val="28"/>
                <w:szCs w:val="28"/>
              </w:rPr>
            </w:pPr>
          </w:p>
        </w:tc>
        <w:tc>
          <w:tcPr>
            <w:tcW w:w="649" w:type="pct"/>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pageBreakBefore w:val="0"/>
              <w:kinsoku/>
              <w:wordWrap/>
              <w:overflowPunct/>
              <w:topLinePunct w:val="0"/>
              <w:autoSpaceDE/>
              <w:autoSpaceDN/>
              <w:bidi w:val="0"/>
              <w:spacing w:line="576" w:lineRule="exact"/>
              <w:jc w:val="center"/>
              <w:rPr>
                <w:rFonts w:ascii="仿宋_GB2312" w:hAnsi="仿宋_GB2312" w:cs="仿宋_GB2312"/>
                <w:color w:val="000000"/>
                <w:sz w:val="28"/>
                <w:szCs w:val="28"/>
              </w:rPr>
            </w:pPr>
          </w:p>
        </w:tc>
        <w:tc>
          <w:tcPr>
            <w:tcW w:w="930" w:type="pct"/>
            <w:tcBorders>
              <w:top w:val="single" w:color="000000" w:sz="4" w:space="0"/>
              <w:left w:val="single" w:color="000000" w:sz="4" w:space="0"/>
              <w:bottom w:val="single" w:color="000000" w:sz="4" w:space="0"/>
              <w:right w:val="single" w:color="000000" w:sz="4" w:space="0"/>
            </w:tcBorders>
            <w:shd w:val="clear" w:color="auto" w:fill="auto"/>
            <w:vAlign w:val="bottom"/>
          </w:tcPr>
          <w:p>
            <w:pPr>
              <w:pageBreakBefore w:val="0"/>
              <w:widowControl/>
              <w:kinsoku/>
              <w:wordWrap/>
              <w:overflowPunct/>
              <w:topLinePunct w:val="0"/>
              <w:autoSpaceDE/>
              <w:autoSpaceDN/>
              <w:bidi w:val="0"/>
              <w:spacing w:line="576" w:lineRule="exact"/>
              <w:jc w:val="center"/>
              <w:textAlignment w:val="bottom"/>
              <w:rPr>
                <w:rFonts w:ascii="仿宋_GB2312" w:hAnsi="仿宋_GB2312" w:cs="仿宋_GB2312"/>
                <w:color w:val="000000"/>
                <w:sz w:val="28"/>
                <w:szCs w:val="28"/>
              </w:rPr>
            </w:pPr>
            <w:r>
              <w:rPr>
                <w:rFonts w:hint="eastAsia" w:ascii="仿宋_GB2312" w:hAnsi="仿宋_GB2312" w:cs="仿宋_GB2312"/>
                <w:color w:val="000000"/>
                <w:kern w:val="0"/>
                <w:sz w:val="28"/>
                <w:szCs w:val="28"/>
                <w:lang w:bidi="ar"/>
              </w:rPr>
              <w:t>成本指标</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bottom"/>
          </w:tcPr>
          <w:p>
            <w:pPr>
              <w:pageBreakBefore w:val="0"/>
              <w:widowControl/>
              <w:kinsoku/>
              <w:wordWrap/>
              <w:overflowPunct/>
              <w:topLinePunct w:val="0"/>
              <w:autoSpaceDE/>
              <w:autoSpaceDN/>
              <w:bidi w:val="0"/>
              <w:spacing w:line="576" w:lineRule="exact"/>
              <w:jc w:val="center"/>
              <w:textAlignment w:val="bottom"/>
              <w:rPr>
                <w:rFonts w:ascii="仿宋_GB2312" w:hAnsi="仿宋_GB2312" w:cs="仿宋_GB2312"/>
                <w:color w:val="000000"/>
                <w:sz w:val="28"/>
                <w:szCs w:val="28"/>
              </w:rPr>
            </w:pP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bottom"/>
          </w:tcPr>
          <w:p>
            <w:pPr>
              <w:pageBreakBefore w:val="0"/>
              <w:widowControl/>
              <w:kinsoku/>
              <w:wordWrap/>
              <w:overflowPunct/>
              <w:topLinePunct w:val="0"/>
              <w:autoSpaceDE/>
              <w:autoSpaceDN/>
              <w:bidi w:val="0"/>
              <w:spacing w:line="576" w:lineRule="exact"/>
              <w:jc w:val="center"/>
              <w:textAlignment w:val="bottom"/>
              <w:rPr>
                <w:rFonts w:ascii="仿宋_GB2312" w:hAnsi="仿宋_GB2312" w:cs="仿宋_GB2312"/>
                <w:color w:val="000000"/>
                <w:sz w:val="28"/>
                <w:szCs w:val="28"/>
              </w:rPr>
            </w:pP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bottom"/>
          </w:tcPr>
          <w:p>
            <w:pPr>
              <w:pageBreakBefore w:val="0"/>
              <w:widowControl/>
              <w:kinsoku/>
              <w:wordWrap/>
              <w:overflowPunct/>
              <w:topLinePunct w:val="0"/>
              <w:autoSpaceDE/>
              <w:autoSpaceDN/>
              <w:bidi w:val="0"/>
              <w:spacing w:line="576" w:lineRule="exact"/>
              <w:jc w:val="center"/>
              <w:textAlignment w:val="bottom"/>
              <w:rPr>
                <w:rFonts w:ascii="仿宋_GB2312" w:hAnsi="仿宋_GB2312" w:cs="仿宋_GB2312"/>
                <w:color w:val="000000"/>
                <w:sz w:val="28"/>
                <w:szCs w:val="28"/>
              </w:rPr>
            </w:pPr>
          </w:p>
        </w:tc>
      </w:tr>
      <w:tr>
        <w:tblPrEx>
          <w:tblCellMar>
            <w:top w:w="0" w:type="dxa"/>
            <w:left w:w="108" w:type="dxa"/>
            <w:bottom w:w="0" w:type="dxa"/>
            <w:right w:w="108" w:type="dxa"/>
          </w:tblCellMar>
        </w:tblPrEx>
        <w:trPr>
          <w:gridAfter w:val="1"/>
          <w:wAfter w:w="122" w:type="pct"/>
          <w:trHeight w:val="480" w:hRule="atLeast"/>
        </w:trPr>
        <w:tc>
          <w:tcPr>
            <w:tcW w:w="1126" w:type="pct"/>
            <w:vMerge w:val="continue"/>
            <w:tcBorders>
              <w:left w:val="single" w:color="000000" w:sz="4" w:space="0"/>
              <w:right w:val="single" w:color="000000" w:sz="4" w:space="0"/>
            </w:tcBorders>
            <w:shd w:val="clear" w:color="auto" w:fill="auto"/>
            <w:vAlign w:val="center"/>
          </w:tcPr>
          <w:p>
            <w:pPr>
              <w:pageBreakBefore w:val="0"/>
              <w:kinsoku/>
              <w:wordWrap/>
              <w:overflowPunct/>
              <w:topLinePunct w:val="0"/>
              <w:autoSpaceDE/>
              <w:autoSpaceDN/>
              <w:bidi w:val="0"/>
              <w:spacing w:line="576" w:lineRule="exact"/>
              <w:jc w:val="center"/>
              <w:rPr>
                <w:rFonts w:ascii="仿宋_GB2312" w:hAnsi="仿宋_GB2312" w:cs="仿宋_GB2312"/>
                <w:color w:val="000000"/>
                <w:sz w:val="28"/>
                <w:szCs w:val="28"/>
              </w:rPr>
            </w:pPr>
          </w:p>
        </w:tc>
        <w:tc>
          <w:tcPr>
            <w:tcW w:w="64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autoSpaceDN/>
              <w:bidi w:val="0"/>
              <w:spacing w:line="576" w:lineRule="exact"/>
              <w:jc w:val="center"/>
              <w:textAlignment w:val="bottom"/>
              <w:rPr>
                <w:rFonts w:hint="eastAsia" w:ascii="仿宋_GB2312" w:hAnsi="仿宋_GB2312" w:eastAsia="宋体" w:cs="仿宋_GB2312"/>
                <w:color w:val="000000"/>
                <w:kern w:val="0"/>
                <w:sz w:val="28"/>
                <w:szCs w:val="28"/>
                <w:lang w:eastAsia="zh-CN" w:bidi="ar"/>
              </w:rPr>
            </w:pPr>
            <w:r>
              <w:rPr>
                <w:rFonts w:hint="eastAsia" w:ascii="仿宋_GB2312" w:hAnsi="仿宋_GB2312" w:cs="仿宋_GB2312"/>
                <w:color w:val="000000"/>
                <w:kern w:val="0"/>
                <w:sz w:val="28"/>
                <w:szCs w:val="28"/>
                <w:lang w:bidi="ar"/>
              </w:rPr>
              <w:t>效益</w:t>
            </w:r>
          </w:p>
          <w:p>
            <w:pPr>
              <w:pageBreakBefore w:val="0"/>
              <w:widowControl/>
              <w:kinsoku/>
              <w:wordWrap/>
              <w:overflowPunct/>
              <w:topLinePunct w:val="0"/>
              <w:autoSpaceDE/>
              <w:autoSpaceDN/>
              <w:bidi w:val="0"/>
              <w:spacing w:line="576" w:lineRule="exact"/>
              <w:jc w:val="center"/>
              <w:textAlignment w:val="bottom"/>
              <w:rPr>
                <w:rFonts w:ascii="仿宋_GB2312" w:hAnsi="仿宋_GB2312" w:cs="仿宋_GB2312"/>
                <w:color w:val="000000"/>
                <w:sz w:val="28"/>
                <w:szCs w:val="28"/>
              </w:rPr>
            </w:pPr>
            <w:r>
              <w:rPr>
                <w:rFonts w:hint="eastAsia" w:ascii="仿宋_GB2312" w:hAnsi="仿宋_GB2312" w:cs="仿宋_GB2312"/>
                <w:color w:val="000000"/>
                <w:kern w:val="0"/>
                <w:sz w:val="28"/>
                <w:szCs w:val="28"/>
                <w:lang w:bidi="ar"/>
              </w:rPr>
              <w:t>指标</w:t>
            </w:r>
          </w:p>
        </w:tc>
        <w:tc>
          <w:tcPr>
            <w:tcW w:w="930" w:type="pct"/>
            <w:tcBorders>
              <w:top w:val="single" w:color="000000" w:sz="4" w:space="0"/>
              <w:left w:val="single" w:color="000000" w:sz="4" w:space="0"/>
              <w:bottom w:val="single" w:color="000000" w:sz="4" w:space="0"/>
              <w:right w:val="single" w:color="000000" w:sz="4" w:space="0"/>
            </w:tcBorders>
            <w:shd w:val="clear" w:color="auto" w:fill="auto"/>
            <w:vAlign w:val="bottom"/>
          </w:tcPr>
          <w:p>
            <w:pPr>
              <w:pageBreakBefore w:val="0"/>
              <w:widowControl/>
              <w:kinsoku/>
              <w:wordWrap/>
              <w:overflowPunct/>
              <w:topLinePunct w:val="0"/>
              <w:autoSpaceDE/>
              <w:autoSpaceDN/>
              <w:bidi w:val="0"/>
              <w:spacing w:line="576" w:lineRule="exact"/>
              <w:jc w:val="center"/>
              <w:textAlignment w:val="bottom"/>
              <w:rPr>
                <w:rFonts w:ascii="仿宋_GB2312" w:hAnsi="仿宋_GB2312" w:cs="仿宋_GB2312"/>
                <w:color w:val="000000"/>
                <w:sz w:val="28"/>
                <w:szCs w:val="28"/>
              </w:rPr>
            </w:pPr>
            <w:r>
              <w:rPr>
                <w:rFonts w:hint="eastAsia" w:ascii="仿宋_GB2312" w:hAnsi="仿宋_GB2312" w:cs="仿宋_GB2312"/>
                <w:color w:val="000000"/>
                <w:kern w:val="0"/>
                <w:sz w:val="28"/>
                <w:szCs w:val="28"/>
                <w:lang w:bidi="ar"/>
              </w:rPr>
              <w:t>经济效益  指标</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bottom"/>
          </w:tcPr>
          <w:p>
            <w:pPr>
              <w:pageBreakBefore w:val="0"/>
              <w:widowControl/>
              <w:kinsoku/>
              <w:wordWrap/>
              <w:overflowPunct/>
              <w:topLinePunct w:val="0"/>
              <w:autoSpaceDE/>
              <w:autoSpaceDN/>
              <w:bidi w:val="0"/>
              <w:spacing w:line="576" w:lineRule="exact"/>
              <w:jc w:val="center"/>
              <w:textAlignment w:val="bottom"/>
              <w:rPr>
                <w:rFonts w:ascii="仿宋_GB2312" w:hAnsi="仿宋_GB2312" w:cs="仿宋_GB2312"/>
                <w:color w:val="000000"/>
                <w:sz w:val="28"/>
                <w:szCs w:val="28"/>
              </w:rPr>
            </w:pP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bottom"/>
          </w:tcPr>
          <w:p>
            <w:pPr>
              <w:pageBreakBefore w:val="0"/>
              <w:widowControl/>
              <w:kinsoku/>
              <w:wordWrap/>
              <w:overflowPunct/>
              <w:topLinePunct w:val="0"/>
              <w:autoSpaceDE/>
              <w:autoSpaceDN/>
              <w:bidi w:val="0"/>
              <w:spacing w:line="576" w:lineRule="exact"/>
              <w:jc w:val="center"/>
              <w:textAlignment w:val="bottom"/>
              <w:rPr>
                <w:rFonts w:ascii="仿宋_GB2312" w:hAnsi="仿宋_GB2312" w:cs="仿宋_GB2312"/>
                <w:color w:val="000000"/>
                <w:sz w:val="28"/>
                <w:szCs w:val="28"/>
              </w:rPr>
            </w:pP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bottom"/>
          </w:tcPr>
          <w:p>
            <w:pPr>
              <w:pageBreakBefore w:val="0"/>
              <w:widowControl/>
              <w:kinsoku/>
              <w:wordWrap/>
              <w:overflowPunct/>
              <w:topLinePunct w:val="0"/>
              <w:autoSpaceDE/>
              <w:autoSpaceDN/>
              <w:bidi w:val="0"/>
              <w:spacing w:line="576" w:lineRule="exact"/>
              <w:jc w:val="center"/>
              <w:textAlignment w:val="bottom"/>
              <w:rPr>
                <w:rFonts w:ascii="仿宋_GB2312" w:hAnsi="仿宋_GB2312" w:cs="仿宋_GB2312"/>
                <w:color w:val="000000"/>
                <w:sz w:val="28"/>
                <w:szCs w:val="28"/>
              </w:rPr>
            </w:pPr>
          </w:p>
        </w:tc>
      </w:tr>
      <w:tr>
        <w:tblPrEx>
          <w:tblCellMar>
            <w:top w:w="0" w:type="dxa"/>
            <w:left w:w="108" w:type="dxa"/>
            <w:bottom w:w="0" w:type="dxa"/>
            <w:right w:w="108" w:type="dxa"/>
          </w:tblCellMar>
        </w:tblPrEx>
        <w:trPr>
          <w:gridAfter w:val="1"/>
          <w:wAfter w:w="122" w:type="pct"/>
          <w:trHeight w:val="480" w:hRule="atLeast"/>
        </w:trPr>
        <w:tc>
          <w:tcPr>
            <w:tcW w:w="1126" w:type="pct"/>
            <w:vMerge w:val="continue"/>
            <w:tcBorders>
              <w:left w:val="single" w:color="000000" w:sz="4" w:space="0"/>
              <w:right w:val="single" w:color="000000" w:sz="4" w:space="0"/>
            </w:tcBorders>
            <w:shd w:val="clear" w:color="auto" w:fill="auto"/>
            <w:vAlign w:val="center"/>
          </w:tcPr>
          <w:p>
            <w:pPr>
              <w:pageBreakBefore w:val="0"/>
              <w:kinsoku/>
              <w:wordWrap/>
              <w:overflowPunct/>
              <w:topLinePunct w:val="0"/>
              <w:autoSpaceDE/>
              <w:autoSpaceDN/>
              <w:bidi w:val="0"/>
              <w:spacing w:line="576" w:lineRule="exact"/>
              <w:jc w:val="center"/>
              <w:rPr>
                <w:rFonts w:ascii="仿宋_GB2312" w:hAnsi="仿宋_GB2312" w:cs="仿宋_GB2312"/>
                <w:color w:val="000000"/>
                <w:sz w:val="28"/>
                <w:szCs w:val="28"/>
              </w:rPr>
            </w:pPr>
          </w:p>
        </w:tc>
        <w:tc>
          <w:tcPr>
            <w:tcW w:w="649" w:type="pct"/>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pageBreakBefore w:val="0"/>
              <w:kinsoku/>
              <w:wordWrap/>
              <w:overflowPunct/>
              <w:topLinePunct w:val="0"/>
              <w:autoSpaceDE/>
              <w:autoSpaceDN/>
              <w:bidi w:val="0"/>
              <w:spacing w:line="576" w:lineRule="exact"/>
              <w:jc w:val="center"/>
              <w:rPr>
                <w:rFonts w:ascii="仿宋_GB2312" w:hAnsi="仿宋_GB2312" w:cs="仿宋_GB2312"/>
                <w:color w:val="000000"/>
                <w:sz w:val="28"/>
                <w:szCs w:val="28"/>
              </w:rPr>
            </w:pPr>
          </w:p>
        </w:tc>
        <w:tc>
          <w:tcPr>
            <w:tcW w:w="930" w:type="pct"/>
            <w:tcBorders>
              <w:top w:val="single" w:color="000000" w:sz="4" w:space="0"/>
              <w:left w:val="single" w:color="000000" w:sz="4" w:space="0"/>
              <w:bottom w:val="single" w:color="000000" w:sz="4" w:space="0"/>
              <w:right w:val="single" w:color="000000" w:sz="4" w:space="0"/>
            </w:tcBorders>
            <w:shd w:val="clear" w:color="auto" w:fill="auto"/>
            <w:vAlign w:val="bottom"/>
          </w:tcPr>
          <w:p>
            <w:pPr>
              <w:pageBreakBefore w:val="0"/>
              <w:widowControl/>
              <w:kinsoku/>
              <w:wordWrap/>
              <w:overflowPunct/>
              <w:topLinePunct w:val="0"/>
              <w:autoSpaceDE/>
              <w:autoSpaceDN/>
              <w:bidi w:val="0"/>
              <w:spacing w:line="576" w:lineRule="exact"/>
              <w:jc w:val="center"/>
              <w:textAlignment w:val="bottom"/>
              <w:rPr>
                <w:rFonts w:ascii="仿宋_GB2312" w:hAnsi="仿宋_GB2312" w:cs="仿宋_GB2312"/>
                <w:color w:val="000000"/>
                <w:sz w:val="28"/>
                <w:szCs w:val="28"/>
              </w:rPr>
            </w:pPr>
            <w:r>
              <w:rPr>
                <w:rFonts w:hint="eastAsia" w:ascii="仿宋_GB2312" w:hAnsi="仿宋_GB2312" w:cs="仿宋_GB2312"/>
                <w:color w:val="000000"/>
                <w:kern w:val="0"/>
                <w:sz w:val="28"/>
                <w:szCs w:val="28"/>
                <w:lang w:bidi="ar"/>
              </w:rPr>
              <w:t>社会效益  指标</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bottom"/>
          </w:tcPr>
          <w:p>
            <w:pPr>
              <w:pageBreakBefore w:val="0"/>
              <w:widowControl/>
              <w:kinsoku/>
              <w:wordWrap/>
              <w:overflowPunct/>
              <w:topLinePunct w:val="0"/>
              <w:autoSpaceDE/>
              <w:autoSpaceDN/>
              <w:bidi w:val="0"/>
              <w:spacing w:line="576" w:lineRule="exact"/>
              <w:jc w:val="center"/>
              <w:textAlignment w:val="bottom"/>
              <w:rPr>
                <w:rFonts w:ascii="仿宋_GB2312" w:hAnsi="仿宋_GB2312" w:cs="仿宋_GB2312"/>
                <w:color w:val="000000"/>
                <w:sz w:val="28"/>
                <w:szCs w:val="28"/>
              </w:rPr>
            </w:pP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bottom"/>
          </w:tcPr>
          <w:p>
            <w:pPr>
              <w:pageBreakBefore w:val="0"/>
              <w:widowControl/>
              <w:kinsoku/>
              <w:wordWrap/>
              <w:overflowPunct/>
              <w:topLinePunct w:val="0"/>
              <w:autoSpaceDE/>
              <w:autoSpaceDN/>
              <w:bidi w:val="0"/>
              <w:spacing w:line="576" w:lineRule="exact"/>
              <w:jc w:val="center"/>
              <w:textAlignment w:val="bottom"/>
              <w:rPr>
                <w:rFonts w:ascii="仿宋_GB2312" w:hAnsi="仿宋_GB2312" w:cs="仿宋_GB2312"/>
                <w:color w:val="000000"/>
                <w:sz w:val="28"/>
                <w:szCs w:val="28"/>
              </w:rPr>
            </w:pP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bottom"/>
          </w:tcPr>
          <w:p>
            <w:pPr>
              <w:pageBreakBefore w:val="0"/>
              <w:widowControl/>
              <w:kinsoku/>
              <w:wordWrap/>
              <w:overflowPunct/>
              <w:topLinePunct w:val="0"/>
              <w:autoSpaceDE/>
              <w:autoSpaceDN/>
              <w:bidi w:val="0"/>
              <w:spacing w:line="576" w:lineRule="exact"/>
              <w:jc w:val="center"/>
              <w:textAlignment w:val="bottom"/>
              <w:rPr>
                <w:rFonts w:ascii="仿宋_GB2312" w:hAnsi="仿宋_GB2312" w:cs="仿宋_GB2312"/>
                <w:color w:val="000000"/>
                <w:sz w:val="28"/>
                <w:szCs w:val="28"/>
              </w:rPr>
            </w:pPr>
          </w:p>
        </w:tc>
      </w:tr>
      <w:tr>
        <w:tblPrEx>
          <w:tblCellMar>
            <w:top w:w="0" w:type="dxa"/>
            <w:left w:w="108" w:type="dxa"/>
            <w:bottom w:w="0" w:type="dxa"/>
            <w:right w:w="108" w:type="dxa"/>
          </w:tblCellMar>
        </w:tblPrEx>
        <w:trPr>
          <w:gridAfter w:val="1"/>
          <w:wAfter w:w="122" w:type="pct"/>
          <w:trHeight w:val="577" w:hRule="atLeast"/>
        </w:trPr>
        <w:tc>
          <w:tcPr>
            <w:tcW w:w="1126" w:type="pct"/>
            <w:vMerge w:val="continue"/>
            <w:tcBorders>
              <w:left w:val="single" w:color="000000" w:sz="4" w:space="0"/>
              <w:right w:val="single" w:color="000000" w:sz="4" w:space="0"/>
            </w:tcBorders>
            <w:shd w:val="clear" w:color="auto" w:fill="auto"/>
            <w:vAlign w:val="center"/>
          </w:tcPr>
          <w:p>
            <w:pPr>
              <w:pageBreakBefore w:val="0"/>
              <w:kinsoku/>
              <w:wordWrap/>
              <w:overflowPunct/>
              <w:topLinePunct w:val="0"/>
              <w:autoSpaceDE/>
              <w:autoSpaceDN/>
              <w:bidi w:val="0"/>
              <w:spacing w:line="576" w:lineRule="exact"/>
              <w:jc w:val="center"/>
              <w:rPr>
                <w:rFonts w:ascii="仿宋_GB2312" w:hAnsi="仿宋_GB2312" w:cs="仿宋_GB2312"/>
                <w:color w:val="000000"/>
                <w:sz w:val="28"/>
                <w:szCs w:val="28"/>
              </w:rPr>
            </w:pPr>
          </w:p>
        </w:tc>
        <w:tc>
          <w:tcPr>
            <w:tcW w:w="649" w:type="pct"/>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pageBreakBefore w:val="0"/>
              <w:kinsoku/>
              <w:wordWrap/>
              <w:overflowPunct/>
              <w:topLinePunct w:val="0"/>
              <w:autoSpaceDE/>
              <w:autoSpaceDN/>
              <w:bidi w:val="0"/>
              <w:spacing w:line="576" w:lineRule="exact"/>
              <w:jc w:val="center"/>
              <w:rPr>
                <w:rFonts w:ascii="仿宋_GB2312" w:hAnsi="仿宋_GB2312" w:cs="仿宋_GB2312"/>
                <w:color w:val="000000"/>
                <w:sz w:val="28"/>
                <w:szCs w:val="28"/>
              </w:rPr>
            </w:pPr>
          </w:p>
        </w:tc>
        <w:tc>
          <w:tcPr>
            <w:tcW w:w="930" w:type="pct"/>
            <w:tcBorders>
              <w:top w:val="single" w:color="000000" w:sz="4" w:space="0"/>
              <w:left w:val="single" w:color="000000" w:sz="4" w:space="0"/>
              <w:bottom w:val="single" w:color="000000" w:sz="4" w:space="0"/>
              <w:right w:val="single" w:color="000000" w:sz="4" w:space="0"/>
            </w:tcBorders>
            <w:shd w:val="clear" w:color="auto" w:fill="auto"/>
            <w:vAlign w:val="bottom"/>
          </w:tcPr>
          <w:p>
            <w:pPr>
              <w:pageBreakBefore w:val="0"/>
              <w:widowControl/>
              <w:kinsoku/>
              <w:wordWrap/>
              <w:overflowPunct/>
              <w:topLinePunct w:val="0"/>
              <w:autoSpaceDE/>
              <w:autoSpaceDN/>
              <w:bidi w:val="0"/>
              <w:spacing w:line="576" w:lineRule="exact"/>
              <w:ind w:left="463" w:leftChars="87" w:hanging="280" w:hangingChars="100"/>
              <w:jc w:val="left"/>
              <w:textAlignment w:val="bottom"/>
              <w:rPr>
                <w:rFonts w:ascii="仿宋_GB2312" w:hAnsi="仿宋_GB2312" w:cs="仿宋_GB2312"/>
                <w:color w:val="000000"/>
                <w:sz w:val="28"/>
                <w:szCs w:val="28"/>
              </w:rPr>
            </w:pPr>
            <w:r>
              <w:rPr>
                <w:rFonts w:hint="eastAsia" w:ascii="仿宋_GB2312" w:hAnsi="仿宋_GB2312" w:cs="仿宋_GB2312"/>
                <w:color w:val="000000"/>
                <w:kern w:val="0"/>
                <w:sz w:val="28"/>
                <w:szCs w:val="28"/>
                <w:lang w:bidi="ar"/>
              </w:rPr>
              <w:t>生态效益  指标</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bottom"/>
          </w:tcPr>
          <w:p>
            <w:pPr>
              <w:pageBreakBefore w:val="0"/>
              <w:widowControl/>
              <w:kinsoku/>
              <w:wordWrap/>
              <w:overflowPunct/>
              <w:topLinePunct w:val="0"/>
              <w:autoSpaceDE/>
              <w:autoSpaceDN/>
              <w:bidi w:val="0"/>
              <w:spacing w:line="576" w:lineRule="exact"/>
              <w:jc w:val="center"/>
              <w:textAlignment w:val="bottom"/>
              <w:rPr>
                <w:rFonts w:ascii="仿宋_GB2312" w:hAnsi="仿宋_GB2312" w:cs="仿宋_GB2312"/>
                <w:color w:val="000000"/>
                <w:sz w:val="28"/>
                <w:szCs w:val="28"/>
              </w:rPr>
            </w:pP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bottom"/>
          </w:tcPr>
          <w:p>
            <w:pPr>
              <w:pageBreakBefore w:val="0"/>
              <w:widowControl/>
              <w:kinsoku/>
              <w:wordWrap/>
              <w:overflowPunct/>
              <w:topLinePunct w:val="0"/>
              <w:autoSpaceDE/>
              <w:autoSpaceDN/>
              <w:bidi w:val="0"/>
              <w:spacing w:line="576" w:lineRule="exact"/>
              <w:jc w:val="center"/>
              <w:textAlignment w:val="bottom"/>
              <w:rPr>
                <w:rFonts w:ascii="仿宋_GB2312" w:hAnsi="仿宋_GB2312" w:cs="仿宋_GB2312"/>
                <w:color w:val="000000"/>
                <w:sz w:val="28"/>
                <w:szCs w:val="28"/>
              </w:rPr>
            </w:pP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bottom"/>
          </w:tcPr>
          <w:p>
            <w:pPr>
              <w:pageBreakBefore w:val="0"/>
              <w:widowControl/>
              <w:kinsoku/>
              <w:wordWrap/>
              <w:overflowPunct/>
              <w:topLinePunct w:val="0"/>
              <w:autoSpaceDE/>
              <w:autoSpaceDN/>
              <w:bidi w:val="0"/>
              <w:spacing w:line="576" w:lineRule="exact"/>
              <w:jc w:val="center"/>
              <w:textAlignment w:val="bottom"/>
              <w:rPr>
                <w:rFonts w:ascii="仿宋_GB2312" w:hAnsi="仿宋_GB2312" w:cs="仿宋_GB2312"/>
                <w:color w:val="000000"/>
                <w:sz w:val="28"/>
                <w:szCs w:val="28"/>
              </w:rPr>
            </w:pPr>
          </w:p>
        </w:tc>
      </w:tr>
      <w:tr>
        <w:tblPrEx>
          <w:tblCellMar>
            <w:top w:w="0" w:type="dxa"/>
            <w:left w:w="108" w:type="dxa"/>
            <w:bottom w:w="0" w:type="dxa"/>
            <w:right w:w="108" w:type="dxa"/>
          </w:tblCellMar>
        </w:tblPrEx>
        <w:trPr>
          <w:gridAfter w:val="1"/>
          <w:wAfter w:w="122" w:type="pct"/>
          <w:trHeight w:val="480" w:hRule="atLeast"/>
        </w:trPr>
        <w:tc>
          <w:tcPr>
            <w:tcW w:w="1126" w:type="pct"/>
            <w:vMerge w:val="continue"/>
            <w:tcBorders>
              <w:left w:val="single" w:color="000000" w:sz="4" w:space="0"/>
              <w:right w:val="single" w:color="000000" w:sz="4" w:space="0"/>
            </w:tcBorders>
            <w:shd w:val="clear" w:color="auto" w:fill="auto"/>
            <w:vAlign w:val="center"/>
          </w:tcPr>
          <w:p>
            <w:pPr>
              <w:pageBreakBefore w:val="0"/>
              <w:kinsoku/>
              <w:wordWrap/>
              <w:overflowPunct/>
              <w:topLinePunct w:val="0"/>
              <w:autoSpaceDE/>
              <w:autoSpaceDN/>
              <w:bidi w:val="0"/>
              <w:spacing w:line="576" w:lineRule="exact"/>
              <w:jc w:val="center"/>
              <w:rPr>
                <w:rFonts w:ascii="仿宋_GB2312" w:hAnsi="仿宋_GB2312" w:cs="仿宋_GB2312"/>
                <w:color w:val="000000"/>
                <w:sz w:val="28"/>
                <w:szCs w:val="28"/>
              </w:rPr>
            </w:pPr>
          </w:p>
        </w:tc>
        <w:tc>
          <w:tcPr>
            <w:tcW w:w="649" w:type="pct"/>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pageBreakBefore w:val="0"/>
              <w:kinsoku/>
              <w:wordWrap/>
              <w:overflowPunct/>
              <w:topLinePunct w:val="0"/>
              <w:autoSpaceDE/>
              <w:autoSpaceDN/>
              <w:bidi w:val="0"/>
              <w:spacing w:line="576" w:lineRule="exact"/>
              <w:jc w:val="center"/>
              <w:rPr>
                <w:rFonts w:ascii="仿宋_GB2312" w:hAnsi="仿宋_GB2312" w:cs="仿宋_GB2312"/>
                <w:color w:val="000000"/>
                <w:sz w:val="28"/>
                <w:szCs w:val="28"/>
              </w:rPr>
            </w:pPr>
          </w:p>
        </w:tc>
        <w:tc>
          <w:tcPr>
            <w:tcW w:w="930" w:type="pct"/>
            <w:tcBorders>
              <w:top w:val="single" w:color="000000" w:sz="4" w:space="0"/>
              <w:left w:val="single" w:color="000000" w:sz="4" w:space="0"/>
              <w:bottom w:val="single" w:color="000000" w:sz="4" w:space="0"/>
              <w:right w:val="single" w:color="000000" w:sz="4" w:space="0"/>
            </w:tcBorders>
            <w:shd w:val="clear" w:color="auto" w:fill="auto"/>
            <w:vAlign w:val="bottom"/>
          </w:tcPr>
          <w:p>
            <w:pPr>
              <w:pageBreakBefore w:val="0"/>
              <w:widowControl/>
              <w:kinsoku/>
              <w:wordWrap/>
              <w:overflowPunct/>
              <w:topLinePunct w:val="0"/>
              <w:autoSpaceDE/>
              <w:autoSpaceDN/>
              <w:bidi w:val="0"/>
              <w:spacing w:line="576" w:lineRule="exact"/>
              <w:jc w:val="center"/>
              <w:textAlignment w:val="bottom"/>
              <w:rPr>
                <w:rFonts w:ascii="仿宋_GB2312" w:hAnsi="仿宋_GB2312" w:cs="仿宋_GB2312"/>
                <w:color w:val="000000"/>
                <w:sz w:val="28"/>
                <w:szCs w:val="28"/>
              </w:rPr>
            </w:pPr>
            <w:r>
              <w:rPr>
                <w:rFonts w:hint="eastAsia" w:ascii="仿宋_GB2312" w:hAnsi="仿宋_GB2312" w:cs="仿宋_GB2312"/>
                <w:color w:val="000000"/>
                <w:kern w:val="0"/>
                <w:sz w:val="28"/>
                <w:szCs w:val="28"/>
                <w:lang w:bidi="ar"/>
              </w:rPr>
              <w:t>可持续影响 指标</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bottom"/>
          </w:tcPr>
          <w:p>
            <w:pPr>
              <w:pageBreakBefore w:val="0"/>
              <w:widowControl/>
              <w:kinsoku/>
              <w:wordWrap/>
              <w:overflowPunct/>
              <w:topLinePunct w:val="0"/>
              <w:autoSpaceDE/>
              <w:autoSpaceDN/>
              <w:bidi w:val="0"/>
              <w:spacing w:line="576" w:lineRule="exact"/>
              <w:jc w:val="center"/>
              <w:textAlignment w:val="bottom"/>
              <w:rPr>
                <w:rFonts w:ascii="仿宋_GB2312" w:hAnsi="仿宋_GB2312" w:cs="仿宋_GB2312"/>
                <w:color w:val="000000"/>
                <w:sz w:val="28"/>
                <w:szCs w:val="28"/>
              </w:rPr>
            </w:pP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bottom"/>
          </w:tcPr>
          <w:p>
            <w:pPr>
              <w:pageBreakBefore w:val="0"/>
              <w:widowControl/>
              <w:kinsoku/>
              <w:wordWrap/>
              <w:overflowPunct/>
              <w:topLinePunct w:val="0"/>
              <w:autoSpaceDE/>
              <w:autoSpaceDN/>
              <w:bidi w:val="0"/>
              <w:spacing w:line="576" w:lineRule="exact"/>
              <w:jc w:val="center"/>
              <w:textAlignment w:val="bottom"/>
              <w:rPr>
                <w:rFonts w:ascii="仿宋_GB2312" w:hAnsi="仿宋_GB2312" w:cs="仿宋_GB2312"/>
                <w:color w:val="000000"/>
                <w:sz w:val="28"/>
                <w:szCs w:val="28"/>
              </w:rPr>
            </w:pP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bottom"/>
          </w:tcPr>
          <w:p>
            <w:pPr>
              <w:pageBreakBefore w:val="0"/>
              <w:widowControl/>
              <w:kinsoku/>
              <w:wordWrap/>
              <w:overflowPunct/>
              <w:topLinePunct w:val="0"/>
              <w:autoSpaceDE/>
              <w:autoSpaceDN/>
              <w:bidi w:val="0"/>
              <w:spacing w:line="576" w:lineRule="exact"/>
              <w:jc w:val="center"/>
              <w:textAlignment w:val="bottom"/>
              <w:rPr>
                <w:rFonts w:ascii="仿宋_GB2312" w:hAnsi="仿宋_GB2312" w:cs="仿宋_GB2312"/>
                <w:color w:val="000000"/>
                <w:sz w:val="28"/>
                <w:szCs w:val="28"/>
              </w:rPr>
            </w:pPr>
          </w:p>
        </w:tc>
      </w:tr>
      <w:tr>
        <w:tblPrEx>
          <w:tblCellMar>
            <w:top w:w="0" w:type="dxa"/>
            <w:left w:w="108" w:type="dxa"/>
            <w:bottom w:w="0" w:type="dxa"/>
            <w:right w:w="108" w:type="dxa"/>
          </w:tblCellMar>
        </w:tblPrEx>
        <w:trPr>
          <w:gridAfter w:val="1"/>
          <w:wAfter w:w="122" w:type="pct"/>
          <w:trHeight w:val="480" w:hRule="atLeast"/>
        </w:trPr>
        <w:tc>
          <w:tcPr>
            <w:tcW w:w="1126" w:type="pct"/>
            <w:vMerge w:val="continue"/>
            <w:tcBorders>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autoSpaceDE/>
              <w:autoSpaceDN/>
              <w:bidi w:val="0"/>
              <w:spacing w:line="576" w:lineRule="exact"/>
              <w:jc w:val="center"/>
              <w:rPr>
                <w:rFonts w:ascii="仿宋_GB2312" w:hAnsi="仿宋_GB2312" w:cs="仿宋_GB2312"/>
                <w:color w:val="000000"/>
                <w:sz w:val="28"/>
                <w:szCs w:val="28"/>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bottom"/>
          </w:tcPr>
          <w:p>
            <w:pPr>
              <w:pageBreakBefore w:val="0"/>
              <w:widowControl/>
              <w:kinsoku/>
              <w:wordWrap/>
              <w:overflowPunct/>
              <w:topLinePunct w:val="0"/>
              <w:autoSpaceDE/>
              <w:autoSpaceDN/>
              <w:bidi w:val="0"/>
              <w:spacing w:line="576" w:lineRule="exact"/>
              <w:jc w:val="center"/>
              <w:textAlignment w:val="bottom"/>
              <w:rPr>
                <w:rFonts w:hint="eastAsia" w:ascii="仿宋_GB2312" w:hAnsi="仿宋_GB2312" w:eastAsia="宋体" w:cs="仿宋_GB2312"/>
                <w:color w:val="000000"/>
                <w:kern w:val="0"/>
                <w:sz w:val="28"/>
                <w:szCs w:val="28"/>
                <w:lang w:eastAsia="zh-CN" w:bidi="ar"/>
              </w:rPr>
            </w:pPr>
            <w:r>
              <w:rPr>
                <w:rFonts w:hint="eastAsia" w:ascii="仿宋_GB2312" w:hAnsi="仿宋_GB2312" w:cs="仿宋_GB2312"/>
                <w:color w:val="000000"/>
                <w:kern w:val="0"/>
                <w:sz w:val="28"/>
                <w:szCs w:val="28"/>
                <w:lang w:bidi="ar"/>
              </w:rPr>
              <w:t>满意</w:t>
            </w:r>
          </w:p>
          <w:p>
            <w:pPr>
              <w:pageBreakBefore w:val="0"/>
              <w:widowControl/>
              <w:kinsoku/>
              <w:wordWrap/>
              <w:overflowPunct/>
              <w:topLinePunct w:val="0"/>
              <w:autoSpaceDE/>
              <w:autoSpaceDN/>
              <w:bidi w:val="0"/>
              <w:spacing w:line="576" w:lineRule="exact"/>
              <w:jc w:val="center"/>
              <w:textAlignment w:val="bottom"/>
              <w:rPr>
                <w:rFonts w:ascii="仿宋_GB2312" w:hAnsi="仿宋_GB2312" w:cs="仿宋_GB2312"/>
                <w:color w:val="000000"/>
                <w:sz w:val="28"/>
                <w:szCs w:val="28"/>
              </w:rPr>
            </w:pPr>
            <w:r>
              <w:rPr>
                <w:rFonts w:hint="eastAsia" w:ascii="仿宋_GB2312" w:hAnsi="仿宋_GB2312" w:cs="仿宋_GB2312"/>
                <w:color w:val="000000"/>
                <w:kern w:val="0"/>
                <w:sz w:val="28"/>
                <w:szCs w:val="28"/>
                <w:lang w:bidi="ar"/>
              </w:rPr>
              <w:t>度指标</w:t>
            </w:r>
          </w:p>
        </w:tc>
        <w:tc>
          <w:tcPr>
            <w:tcW w:w="930" w:type="pct"/>
            <w:tcBorders>
              <w:top w:val="single" w:color="000000" w:sz="4" w:space="0"/>
              <w:left w:val="single" w:color="000000" w:sz="4" w:space="0"/>
              <w:bottom w:val="single" w:color="000000" w:sz="4" w:space="0"/>
              <w:right w:val="single" w:color="000000" w:sz="4" w:space="0"/>
            </w:tcBorders>
            <w:shd w:val="clear" w:color="auto" w:fill="auto"/>
            <w:vAlign w:val="bottom"/>
          </w:tcPr>
          <w:p>
            <w:pPr>
              <w:pageBreakBefore w:val="0"/>
              <w:widowControl/>
              <w:kinsoku/>
              <w:wordWrap/>
              <w:overflowPunct/>
              <w:topLinePunct w:val="0"/>
              <w:autoSpaceDE/>
              <w:autoSpaceDN/>
              <w:bidi w:val="0"/>
              <w:spacing w:line="576" w:lineRule="exact"/>
              <w:jc w:val="center"/>
              <w:textAlignment w:val="bottom"/>
              <w:rPr>
                <w:rFonts w:ascii="仿宋_GB2312" w:hAnsi="仿宋_GB2312" w:cs="仿宋_GB2312"/>
                <w:color w:val="000000"/>
                <w:kern w:val="0"/>
                <w:sz w:val="28"/>
                <w:szCs w:val="28"/>
                <w:lang w:bidi="ar"/>
              </w:rPr>
            </w:pPr>
            <w:r>
              <w:rPr>
                <w:rFonts w:hint="eastAsia" w:ascii="仿宋_GB2312" w:hAnsi="仿宋_GB2312" w:cs="仿宋_GB2312"/>
                <w:color w:val="000000"/>
                <w:kern w:val="0"/>
                <w:sz w:val="28"/>
                <w:szCs w:val="28"/>
                <w:lang w:bidi="ar"/>
              </w:rPr>
              <w:t>满意度</w:t>
            </w:r>
          </w:p>
          <w:p>
            <w:pPr>
              <w:pageBreakBefore w:val="0"/>
              <w:widowControl/>
              <w:kinsoku/>
              <w:wordWrap/>
              <w:overflowPunct/>
              <w:topLinePunct w:val="0"/>
              <w:autoSpaceDE/>
              <w:autoSpaceDN/>
              <w:bidi w:val="0"/>
              <w:spacing w:line="576" w:lineRule="exact"/>
              <w:jc w:val="center"/>
              <w:textAlignment w:val="bottom"/>
              <w:rPr>
                <w:rFonts w:ascii="仿宋_GB2312" w:hAnsi="仿宋_GB2312" w:cs="仿宋_GB2312"/>
                <w:color w:val="000000"/>
                <w:sz w:val="28"/>
                <w:szCs w:val="28"/>
              </w:rPr>
            </w:pPr>
            <w:r>
              <w:rPr>
                <w:rFonts w:hint="eastAsia" w:ascii="仿宋_GB2312" w:hAnsi="仿宋_GB2312" w:cs="仿宋_GB2312"/>
                <w:color w:val="000000"/>
                <w:kern w:val="0"/>
                <w:sz w:val="28"/>
                <w:szCs w:val="28"/>
                <w:lang w:bidi="ar"/>
              </w:rPr>
              <w:t>指标</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bottom"/>
          </w:tcPr>
          <w:p>
            <w:pPr>
              <w:pageBreakBefore w:val="0"/>
              <w:widowControl/>
              <w:kinsoku/>
              <w:wordWrap/>
              <w:overflowPunct/>
              <w:topLinePunct w:val="0"/>
              <w:autoSpaceDE/>
              <w:autoSpaceDN/>
              <w:bidi w:val="0"/>
              <w:spacing w:line="576" w:lineRule="exact"/>
              <w:jc w:val="center"/>
              <w:textAlignment w:val="bottom"/>
              <w:rPr>
                <w:rFonts w:ascii="仿宋_GB2312" w:hAnsi="仿宋_GB2312" w:cs="仿宋_GB2312"/>
                <w:color w:val="000000"/>
                <w:sz w:val="28"/>
                <w:szCs w:val="28"/>
              </w:rPr>
            </w:pP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bottom"/>
          </w:tcPr>
          <w:p>
            <w:pPr>
              <w:pageBreakBefore w:val="0"/>
              <w:widowControl/>
              <w:kinsoku/>
              <w:wordWrap/>
              <w:overflowPunct/>
              <w:topLinePunct w:val="0"/>
              <w:autoSpaceDE/>
              <w:autoSpaceDN/>
              <w:bidi w:val="0"/>
              <w:spacing w:line="576" w:lineRule="exact"/>
              <w:jc w:val="center"/>
              <w:textAlignment w:val="bottom"/>
              <w:rPr>
                <w:rFonts w:ascii="仿宋_GB2312" w:hAnsi="仿宋_GB2312" w:cs="仿宋_GB2312"/>
                <w:color w:val="000000"/>
                <w:sz w:val="28"/>
                <w:szCs w:val="28"/>
              </w:rPr>
            </w:pP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bottom"/>
          </w:tcPr>
          <w:p>
            <w:pPr>
              <w:pageBreakBefore w:val="0"/>
              <w:widowControl/>
              <w:kinsoku/>
              <w:wordWrap/>
              <w:overflowPunct/>
              <w:topLinePunct w:val="0"/>
              <w:autoSpaceDE/>
              <w:autoSpaceDN/>
              <w:bidi w:val="0"/>
              <w:spacing w:line="576" w:lineRule="exact"/>
              <w:jc w:val="center"/>
              <w:textAlignment w:val="bottom"/>
              <w:rPr>
                <w:rFonts w:ascii="仿宋_GB2312" w:hAnsi="仿宋_GB2312" w:cs="仿宋_GB2312"/>
                <w:color w:val="000000"/>
                <w:sz w:val="28"/>
                <w:szCs w:val="28"/>
              </w:rPr>
            </w:pPr>
          </w:p>
        </w:tc>
      </w:tr>
    </w:tbl>
    <w:p>
      <w:pPr>
        <w:pStyle w:val="35"/>
        <w:pageBreakBefore w:val="0"/>
        <w:widowControl/>
        <w:kinsoku/>
        <w:wordWrap/>
        <w:overflowPunct/>
        <w:topLinePunct w:val="0"/>
        <w:autoSpaceDE/>
        <w:autoSpaceDN/>
        <w:bidi w:val="0"/>
        <w:adjustRightInd w:val="0"/>
        <w:snapToGrid w:val="0"/>
        <w:spacing w:line="576" w:lineRule="exact"/>
        <w:contextualSpacing/>
        <w:jc w:val="left"/>
        <w:rPr>
          <w:rFonts w:ascii="仿宋_GB2312" w:hAnsi="宋体" w:cs="宋体"/>
          <w:color w:val="000000"/>
          <w:kern w:val="0"/>
          <w:szCs w:val="32"/>
          <w:shd w:val="clear" w:color="auto" w:fill="FFFFFF"/>
        </w:rPr>
      </w:pPr>
      <w:r>
        <w:rPr>
          <w:rFonts w:hint="eastAsia" w:ascii="仿宋_GB2312" w:hAnsi="宋体" w:cs="宋体"/>
          <w:color w:val="000000"/>
          <w:kern w:val="0"/>
          <w:szCs w:val="32"/>
          <w:shd w:val="clear" w:color="auto" w:fill="FFFFFF"/>
        </w:rPr>
        <w:t>（注：有两个及以上100万元以上（含）特定目标类部门预算项目的，需分别开展绩效目标自评并填写附表）</w:t>
      </w:r>
    </w:p>
    <w:p>
      <w:pPr>
        <w:pageBreakBefore w:val="0"/>
        <w:widowControl/>
        <w:kinsoku/>
        <w:wordWrap/>
        <w:overflowPunct/>
        <w:topLinePunct w:val="0"/>
        <w:autoSpaceDE/>
        <w:autoSpaceDN/>
        <w:bidi w:val="0"/>
        <w:spacing w:line="576" w:lineRule="exact"/>
        <w:jc w:val="left"/>
        <w:rPr>
          <w:rFonts w:ascii="仿宋_GB2312" w:eastAsia="仿宋_GB2312"/>
          <w:b/>
          <w:color w:val="000000"/>
          <w:sz w:val="32"/>
          <w:szCs w:val="32"/>
        </w:rPr>
      </w:pPr>
      <w:r>
        <w:rPr>
          <w:rFonts w:ascii="仿宋_GB2312" w:eastAsia="仿宋_GB2312"/>
          <w:b/>
          <w:color w:val="000000"/>
          <w:sz w:val="32"/>
          <w:szCs w:val="32"/>
        </w:rPr>
        <w:br w:type="page"/>
      </w:r>
    </w:p>
    <w:p>
      <w:pPr>
        <w:pStyle w:val="4"/>
        <w:pageBreakBefore w:val="0"/>
        <w:kinsoku/>
        <w:wordWrap/>
        <w:overflowPunct/>
        <w:topLinePunct w:val="0"/>
        <w:autoSpaceDE/>
        <w:autoSpaceDN/>
        <w:bidi w:val="0"/>
        <w:spacing w:before="0" w:after="0" w:line="576" w:lineRule="exact"/>
        <w:jc w:val="center"/>
        <w:rPr>
          <w:rFonts w:ascii="黑体" w:hAnsi="黑体" w:eastAsia="黑体" w:cs="黑体"/>
        </w:rPr>
      </w:pPr>
      <w:bookmarkStart w:id="69" w:name="_Toc15377225"/>
      <w:bookmarkStart w:id="70" w:name="_Toc111208509"/>
      <w:bookmarkStart w:id="71" w:name="_Toc15560"/>
      <w:r>
        <w:rPr>
          <w:rFonts w:hint="eastAsia" w:ascii="黑体" w:hAnsi="黑体" w:eastAsia="黑体" w:cs="黑体"/>
        </w:rPr>
        <w:t>第三部分 名词解释</w:t>
      </w:r>
      <w:bookmarkEnd w:id="69"/>
      <w:bookmarkEnd w:id="70"/>
      <w:bookmarkEnd w:id="71"/>
    </w:p>
    <w:p>
      <w:pPr>
        <w:pageBreakBefore w:val="0"/>
        <w:kinsoku/>
        <w:wordWrap/>
        <w:overflowPunct/>
        <w:topLinePunct w:val="0"/>
        <w:autoSpaceDE/>
        <w:autoSpaceDN/>
        <w:bidi w:val="0"/>
        <w:spacing w:line="576" w:lineRule="exact"/>
        <w:ind w:firstLine="640"/>
        <w:rPr>
          <w:rFonts w:ascii="仿宋" w:hAnsi="仿宋" w:eastAsia="仿宋"/>
          <w:color w:val="000000"/>
          <w:sz w:val="32"/>
          <w:szCs w:val="32"/>
        </w:rPr>
      </w:pPr>
      <w:r>
        <w:rPr>
          <w:rFonts w:ascii="仿宋" w:hAnsi="仿宋" w:eastAsia="仿宋"/>
          <w:color w:val="000000"/>
          <w:sz w:val="32"/>
          <w:szCs w:val="32"/>
        </w:rPr>
        <w:t>1.</w:t>
      </w:r>
      <w:r>
        <w:rPr>
          <w:rFonts w:hint="eastAsia" w:ascii="仿宋" w:hAnsi="仿宋" w:eastAsia="仿宋"/>
          <w:color w:val="000000"/>
          <w:sz w:val="32"/>
          <w:szCs w:val="32"/>
        </w:rPr>
        <w:t>财政拨款收入：指单位从同级财政部门取得的财政预算资金。</w:t>
      </w:r>
    </w:p>
    <w:p>
      <w:pPr>
        <w:pageBreakBefore w:val="0"/>
        <w:kinsoku/>
        <w:wordWrap/>
        <w:overflowPunct/>
        <w:topLinePunct w:val="0"/>
        <w:autoSpaceDE/>
        <w:autoSpaceDN/>
        <w:bidi w:val="0"/>
        <w:spacing w:line="576" w:lineRule="exact"/>
        <w:ind w:firstLine="640"/>
        <w:rPr>
          <w:rFonts w:ascii="仿宋" w:hAnsi="仿宋" w:eastAsia="仿宋"/>
          <w:color w:val="000000"/>
          <w:sz w:val="32"/>
          <w:szCs w:val="32"/>
        </w:rPr>
      </w:pPr>
      <w:r>
        <w:rPr>
          <w:rFonts w:ascii="仿宋" w:hAnsi="仿宋" w:eastAsia="仿宋"/>
          <w:color w:val="000000"/>
          <w:sz w:val="32"/>
          <w:szCs w:val="32"/>
        </w:rPr>
        <w:t>2.</w:t>
      </w:r>
      <w:r>
        <w:rPr>
          <w:rFonts w:hint="eastAsia" w:ascii="仿宋" w:hAnsi="仿宋" w:eastAsia="仿宋"/>
          <w:color w:val="000000"/>
          <w:sz w:val="32"/>
          <w:szCs w:val="32"/>
        </w:rPr>
        <w:t>事业收入：指事业单位开展专业业务活动及辅助活动取得的收入。</w:t>
      </w:r>
    </w:p>
    <w:p>
      <w:pPr>
        <w:pageBreakBefore w:val="0"/>
        <w:kinsoku/>
        <w:wordWrap/>
        <w:overflowPunct/>
        <w:topLinePunct w:val="0"/>
        <w:autoSpaceDE/>
        <w:autoSpaceDN/>
        <w:bidi w:val="0"/>
        <w:spacing w:line="576" w:lineRule="exact"/>
        <w:ind w:firstLine="640"/>
        <w:rPr>
          <w:rFonts w:ascii="仿宋" w:hAnsi="仿宋" w:eastAsia="仿宋"/>
          <w:color w:val="000000"/>
          <w:sz w:val="32"/>
          <w:szCs w:val="32"/>
        </w:rPr>
      </w:pPr>
      <w:r>
        <w:rPr>
          <w:rFonts w:ascii="仿宋" w:hAnsi="仿宋" w:eastAsia="仿宋"/>
          <w:color w:val="000000"/>
          <w:sz w:val="32"/>
          <w:szCs w:val="32"/>
        </w:rPr>
        <w:t>3.</w:t>
      </w:r>
      <w:r>
        <w:rPr>
          <w:rFonts w:hint="eastAsia" w:ascii="仿宋" w:hAnsi="仿宋" w:eastAsia="仿宋"/>
          <w:color w:val="000000"/>
          <w:sz w:val="32"/>
          <w:szCs w:val="32"/>
        </w:rPr>
        <w:t>经营收入：指事业单位在专业业务活动及其辅助活动之外开展非独立核算经营活动取得的收入</w:t>
      </w:r>
    </w:p>
    <w:p>
      <w:pPr>
        <w:pageBreakBefore w:val="0"/>
        <w:kinsoku/>
        <w:wordWrap/>
        <w:overflowPunct/>
        <w:topLinePunct w:val="0"/>
        <w:autoSpaceDE/>
        <w:autoSpaceDN/>
        <w:bidi w:val="0"/>
        <w:spacing w:line="576" w:lineRule="exact"/>
        <w:ind w:firstLine="640"/>
        <w:rPr>
          <w:rFonts w:ascii="仿宋" w:hAnsi="仿宋" w:eastAsia="仿宋"/>
          <w:color w:val="000000"/>
          <w:sz w:val="32"/>
          <w:szCs w:val="32"/>
        </w:rPr>
      </w:pPr>
      <w:r>
        <w:rPr>
          <w:rFonts w:ascii="仿宋" w:hAnsi="仿宋" w:eastAsia="仿宋"/>
          <w:color w:val="000000"/>
          <w:sz w:val="32"/>
          <w:szCs w:val="32"/>
        </w:rPr>
        <w:t>4.</w:t>
      </w:r>
      <w:r>
        <w:rPr>
          <w:rFonts w:hint="eastAsia" w:ascii="仿宋" w:hAnsi="仿宋" w:eastAsia="仿宋"/>
          <w:color w:val="000000"/>
          <w:sz w:val="32"/>
          <w:szCs w:val="32"/>
        </w:rPr>
        <w:t>其他收入：指单位取得的除上述收入以外的各项收入。</w:t>
      </w:r>
    </w:p>
    <w:p>
      <w:pPr>
        <w:pageBreakBefore w:val="0"/>
        <w:kinsoku/>
        <w:wordWrap/>
        <w:overflowPunct/>
        <w:topLinePunct w:val="0"/>
        <w:autoSpaceDE/>
        <w:autoSpaceDN/>
        <w:bidi w:val="0"/>
        <w:spacing w:line="576" w:lineRule="exact"/>
        <w:ind w:firstLine="640"/>
        <w:rPr>
          <w:rFonts w:ascii="仿宋" w:hAnsi="仿宋" w:eastAsia="仿宋"/>
          <w:color w:val="000000"/>
          <w:sz w:val="32"/>
          <w:szCs w:val="32"/>
        </w:rPr>
      </w:pPr>
      <w:r>
        <w:rPr>
          <w:rFonts w:ascii="仿宋" w:hAnsi="仿宋" w:eastAsia="仿宋"/>
          <w:color w:val="000000"/>
          <w:sz w:val="32"/>
          <w:szCs w:val="32"/>
        </w:rPr>
        <w:t>5.</w:t>
      </w:r>
      <w:r>
        <w:rPr>
          <w:rFonts w:hint="eastAsia" w:ascii="仿宋" w:hAnsi="仿宋" w:eastAsia="仿宋"/>
          <w:color w:val="000000"/>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 w:hAnsi="仿宋" w:eastAsia="仿宋"/>
          <w:color w:val="000000"/>
          <w:sz w:val="32"/>
          <w:szCs w:val="32"/>
        </w:rPr>
        <w:t xml:space="preserve"> </w:t>
      </w:r>
    </w:p>
    <w:p>
      <w:pPr>
        <w:pageBreakBefore w:val="0"/>
        <w:kinsoku/>
        <w:wordWrap/>
        <w:overflowPunct/>
        <w:topLinePunct w:val="0"/>
        <w:autoSpaceDE/>
        <w:autoSpaceDN/>
        <w:bidi w:val="0"/>
        <w:spacing w:line="576" w:lineRule="exact"/>
        <w:ind w:firstLine="640"/>
        <w:rPr>
          <w:rFonts w:ascii="仿宋" w:hAnsi="仿宋" w:eastAsia="仿宋"/>
          <w:color w:val="000000"/>
          <w:sz w:val="32"/>
          <w:szCs w:val="32"/>
        </w:rPr>
      </w:pPr>
      <w:r>
        <w:rPr>
          <w:rFonts w:ascii="仿宋" w:hAnsi="仿宋" w:eastAsia="仿宋"/>
          <w:color w:val="000000"/>
          <w:sz w:val="32"/>
          <w:szCs w:val="32"/>
        </w:rPr>
        <w:t>6.</w:t>
      </w:r>
      <w:r>
        <w:rPr>
          <w:rFonts w:hint="eastAsia" w:ascii="仿宋" w:hAnsi="仿宋" w:eastAsia="仿宋"/>
          <w:color w:val="000000"/>
          <w:sz w:val="32"/>
          <w:szCs w:val="32"/>
        </w:rPr>
        <w:t>年初结转和结余：指以前年度尚未完成、结转到本年按有关规定继续使用的资金。</w:t>
      </w:r>
      <w:r>
        <w:rPr>
          <w:rFonts w:ascii="仿宋" w:hAnsi="仿宋" w:eastAsia="仿宋"/>
          <w:color w:val="000000"/>
          <w:sz w:val="32"/>
          <w:szCs w:val="32"/>
        </w:rPr>
        <w:t xml:space="preserve"> </w:t>
      </w:r>
    </w:p>
    <w:p>
      <w:pPr>
        <w:pageBreakBefore w:val="0"/>
        <w:kinsoku/>
        <w:wordWrap/>
        <w:overflowPunct/>
        <w:topLinePunct w:val="0"/>
        <w:autoSpaceDE/>
        <w:autoSpaceDN/>
        <w:bidi w:val="0"/>
        <w:spacing w:line="576" w:lineRule="exact"/>
        <w:ind w:firstLine="640"/>
        <w:rPr>
          <w:rFonts w:ascii="仿宋" w:hAnsi="仿宋" w:eastAsia="仿宋"/>
          <w:color w:val="000000"/>
          <w:sz w:val="32"/>
          <w:szCs w:val="32"/>
        </w:rPr>
      </w:pPr>
      <w:r>
        <w:rPr>
          <w:rFonts w:ascii="仿宋" w:hAnsi="仿宋" w:eastAsia="仿宋"/>
          <w:color w:val="000000"/>
          <w:sz w:val="32"/>
          <w:szCs w:val="32"/>
        </w:rPr>
        <w:t>7.</w:t>
      </w:r>
      <w:r>
        <w:rPr>
          <w:rFonts w:hint="eastAsia" w:ascii="仿宋" w:hAnsi="仿宋" w:eastAsia="仿宋"/>
          <w:color w:val="000000"/>
          <w:sz w:val="32"/>
          <w:szCs w:val="32"/>
        </w:rPr>
        <w:t>结余分配：指事业单位按照事业单位会计制度的规定从非财政补助结余中分配的事业基金和职工福利基金等。</w:t>
      </w:r>
    </w:p>
    <w:p>
      <w:pPr>
        <w:pageBreakBefore w:val="0"/>
        <w:kinsoku/>
        <w:wordWrap/>
        <w:overflowPunct/>
        <w:topLinePunct w:val="0"/>
        <w:autoSpaceDE/>
        <w:autoSpaceDN/>
        <w:bidi w:val="0"/>
        <w:spacing w:line="576" w:lineRule="exact"/>
        <w:ind w:firstLine="640"/>
        <w:rPr>
          <w:rFonts w:ascii="仿宋" w:hAnsi="仿宋" w:eastAsia="仿宋"/>
          <w:color w:val="000000"/>
          <w:sz w:val="32"/>
          <w:szCs w:val="32"/>
        </w:rPr>
      </w:pPr>
      <w:r>
        <w:rPr>
          <w:rFonts w:ascii="仿宋" w:hAnsi="仿宋" w:eastAsia="仿宋"/>
          <w:color w:val="000000"/>
          <w:sz w:val="32"/>
          <w:szCs w:val="32"/>
        </w:rPr>
        <w:t>8</w:t>
      </w:r>
      <w:r>
        <w:rPr>
          <w:rFonts w:hint="eastAsia" w:ascii="仿宋" w:hAnsi="仿宋" w:eastAsia="仿宋"/>
          <w:color w:val="000000"/>
          <w:sz w:val="32"/>
          <w:szCs w:val="32"/>
        </w:rPr>
        <w:t>.年末结转和结余：指单位按有关规定结转到下年或以后年度继续使用的资金。</w:t>
      </w:r>
    </w:p>
    <w:p>
      <w:pPr>
        <w:pageBreakBefore w:val="0"/>
        <w:kinsoku/>
        <w:wordWrap/>
        <w:overflowPunct/>
        <w:topLinePunct w:val="0"/>
        <w:autoSpaceDE/>
        <w:autoSpaceDN/>
        <w:bidi w:val="0"/>
        <w:spacing w:line="576" w:lineRule="exact"/>
        <w:ind w:firstLine="640"/>
        <w:rPr>
          <w:rFonts w:hint="eastAsia" w:ascii="仿宋" w:hAnsi="仿宋" w:eastAsia="仿宋"/>
          <w:color w:val="000000"/>
          <w:sz w:val="32"/>
          <w:szCs w:val="32"/>
          <w:lang w:eastAsia="zh-CN"/>
        </w:rPr>
      </w:pPr>
      <w:r>
        <w:rPr>
          <w:rFonts w:hint="eastAsia" w:ascii="仿宋" w:hAnsi="仿宋" w:eastAsia="仿宋"/>
          <w:color w:val="000000"/>
          <w:sz w:val="32"/>
          <w:szCs w:val="32"/>
        </w:rPr>
        <w:t>9.公共安全支出（204）公安（20402）行政运行（2040201）：反映行政单位（包括实行公务员管理的事业单位）的基本支出。</w:t>
      </w:r>
    </w:p>
    <w:p>
      <w:pPr>
        <w:pageBreakBefore w:val="0"/>
        <w:kinsoku/>
        <w:wordWrap/>
        <w:overflowPunct/>
        <w:topLinePunct w:val="0"/>
        <w:autoSpaceDE/>
        <w:autoSpaceDN/>
        <w:bidi w:val="0"/>
        <w:spacing w:line="576" w:lineRule="exact"/>
        <w:ind w:firstLine="640"/>
        <w:rPr>
          <w:rFonts w:hint="eastAsia" w:ascii="仿宋" w:hAnsi="仿宋" w:eastAsia="仿宋"/>
          <w:color w:val="000000"/>
          <w:sz w:val="32"/>
          <w:szCs w:val="32"/>
          <w:lang w:eastAsia="zh-CN"/>
        </w:rPr>
      </w:pPr>
      <w:r>
        <w:rPr>
          <w:rFonts w:hint="eastAsia" w:ascii="仿宋" w:hAnsi="仿宋" w:eastAsia="仿宋"/>
          <w:color w:val="000000"/>
          <w:sz w:val="32"/>
          <w:szCs w:val="32"/>
        </w:rPr>
        <w:tab/>
      </w:r>
      <w:r>
        <w:rPr>
          <w:rFonts w:hint="eastAsia" w:ascii="仿宋" w:hAnsi="仿宋" w:eastAsia="仿宋"/>
          <w:color w:val="000000"/>
          <w:sz w:val="32"/>
          <w:szCs w:val="32"/>
        </w:rPr>
        <w:t>10.公共安全支出（204）公安（20402）一般行政管理事务（2040202）：反映行政单位（包括实行公务员管理的事业单位）未单独设置项级科目的其他项目支出。</w:t>
      </w:r>
    </w:p>
    <w:p>
      <w:pPr>
        <w:pageBreakBefore w:val="0"/>
        <w:kinsoku/>
        <w:wordWrap/>
        <w:overflowPunct/>
        <w:topLinePunct w:val="0"/>
        <w:autoSpaceDE/>
        <w:autoSpaceDN/>
        <w:bidi w:val="0"/>
        <w:spacing w:line="576" w:lineRule="exact"/>
        <w:ind w:firstLine="640"/>
        <w:rPr>
          <w:rFonts w:hint="eastAsia" w:ascii="仿宋" w:hAnsi="仿宋" w:eastAsia="仿宋"/>
          <w:color w:val="000000"/>
          <w:sz w:val="32"/>
          <w:szCs w:val="32"/>
          <w:lang w:eastAsia="zh-CN"/>
        </w:rPr>
      </w:pPr>
      <w:r>
        <w:rPr>
          <w:rFonts w:hint="eastAsia" w:ascii="仿宋" w:hAnsi="仿宋" w:eastAsia="仿宋"/>
          <w:color w:val="000000"/>
          <w:sz w:val="32"/>
          <w:szCs w:val="32"/>
        </w:rPr>
        <w:tab/>
      </w:r>
      <w:r>
        <w:rPr>
          <w:rFonts w:hint="eastAsia" w:ascii="仿宋" w:hAnsi="仿宋" w:eastAsia="仿宋"/>
          <w:color w:val="000000"/>
          <w:sz w:val="32"/>
          <w:szCs w:val="32"/>
        </w:rPr>
        <w:t>11.公共安全支出（204）公安（20402）事业运行（2040250）：反映事业单位的基本支岀，不包括行政单位（包括实行公务员管理的事业单位）后勤服务中心、医务室等附属事业单位。</w:t>
      </w:r>
    </w:p>
    <w:p>
      <w:pPr>
        <w:pageBreakBefore w:val="0"/>
        <w:kinsoku/>
        <w:wordWrap/>
        <w:overflowPunct/>
        <w:topLinePunct w:val="0"/>
        <w:autoSpaceDE/>
        <w:autoSpaceDN/>
        <w:bidi w:val="0"/>
        <w:spacing w:line="576" w:lineRule="exact"/>
        <w:ind w:firstLine="640"/>
        <w:rPr>
          <w:rFonts w:hint="eastAsia" w:ascii="仿宋" w:hAnsi="仿宋" w:eastAsia="仿宋"/>
          <w:color w:val="000000"/>
          <w:sz w:val="32"/>
          <w:szCs w:val="32"/>
          <w:lang w:eastAsia="zh-CN"/>
        </w:rPr>
      </w:pPr>
      <w:r>
        <w:rPr>
          <w:rFonts w:hint="eastAsia" w:ascii="仿宋" w:hAnsi="仿宋" w:eastAsia="仿宋"/>
          <w:color w:val="000000"/>
          <w:sz w:val="32"/>
          <w:szCs w:val="32"/>
        </w:rPr>
        <w:tab/>
      </w:r>
      <w:r>
        <w:rPr>
          <w:rFonts w:hint="eastAsia" w:ascii="仿宋" w:hAnsi="仿宋" w:eastAsia="仿宋"/>
          <w:color w:val="000000"/>
          <w:sz w:val="32"/>
          <w:szCs w:val="32"/>
        </w:rPr>
        <w:t>12.公共安全支出（204）公安（20402）其他公安支出（2040299）：反映除上述项目以外其他用于公安方面的支出。</w:t>
      </w:r>
    </w:p>
    <w:p>
      <w:pPr>
        <w:pageBreakBefore w:val="0"/>
        <w:kinsoku/>
        <w:wordWrap/>
        <w:overflowPunct/>
        <w:topLinePunct w:val="0"/>
        <w:autoSpaceDE/>
        <w:autoSpaceDN/>
        <w:bidi w:val="0"/>
        <w:spacing w:line="576" w:lineRule="exact"/>
        <w:ind w:firstLine="640"/>
        <w:rPr>
          <w:rFonts w:hint="eastAsia" w:ascii="仿宋" w:hAnsi="仿宋" w:eastAsia="仿宋"/>
          <w:color w:val="000000"/>
          <w:sz w:val="32"/>
          <w:szCs w:val="32"/>
          <w:lang w:eastAsia="zh-CN"/>
        </w:rPr>
      </w:pPr>
      <w:r>
        <w:rPr>
          <w:rFonts w:hint="eastAsia" w:ascii="仿宋" w:hAnsi="仿宋" w:eastAsia="仿宋"/>
          <w:color w:val="000000"/>
          <w:sz w:val="32"/>
          <w:szCs w:val="32"/>
        </w:rPr>
        <w:tab/>
      </w:r>
      <w:r>
        <w:rPr>
          <w:rFonts w:hint="eastAsia" w:ascii="仿宋" w:hAnsi="仿宋" w:eastAsia="仿宋"/>
          <w:color w:val="000000"/>
          <w:sz w:val="32"/>
          <w:szCs w:val="32"/>
        </w:rPr>
        <w:t>13.社会保障和就业支出（208）行政事业单位养老支出（20805）机关事业单位基本养老保险缴费支出（2080505）：反映机关事业单位实施养老保险制度由单位缴纳的基本养老保险费支出。</w:t>
      </w:r>
    </w:p>
    <w:p>
      <w:pPr>
        <w:pageBreakBefore w:val="0"/>
        <w:kinsoku/>
        <w:wordWrap/>
        <w:overflowPunct/>
        <w:topLinePunct w:val="0"/>
        <w:autoSpaceDE/>
        <w:autoSpaceDN/>
        <w:bidi w:val="0"/>
        <w:spacing w:line="576" w:lineRule="exact"/>
        <w:ind w:firstLine="640"/>
        <w:rPr>
          <w:rFonts w:hint="eastAsia" w:ascii="仿宋" w:hAnsi="仿宋" w:eastAsia="仿宋"/>
          <w:color w:val="000000"/>
          <w:sz w:val="32"/>
          <w:szCs w:val="32"/>
          <w:lang w:eastAsia="zh-CN"/>
        </w:rPr>
      </w:pPr>
      <w:r>
        <w:rPr>
          <w:rFonts w:hint="eastAsia" w:ascii="仿宋" w:hAnsi="仿宋" w:eastAsia="仿宋"/>
          <w:color w:val="000000"/>
          <w:sz w:val="32"/>
          <w:szCs w:val="32"/>
        </w:rPr>
        <w:tab/>
      </w:r>
      <w:r>
        <w:rPr>
          <w:rFonts w:hint="eastAsia" w:ascii="仿宋" w:hAnsi="仿宋" w:eastAsia="仿宋"/>
          <w:color w:val="000000"/>
          <w:sz w:val="32"/>
          <w:szCs w:val="32"/>
        </w:rPr>
        <w:t>14.社会保障和就业支出（208）行政事业单位养老支出（20805）机关事业单位职业年金缴费支出（2080506）：反映机关事业单位实施养老保险制度由单位实际缴纳的职业年金支出。</w:t>
      </w:r>
    </w:p>
    <w:p>
      <w:pPr>
        <w:pageBreakBefore w:val="0"/>
        <w:kinsoku/>
        <w:wordWrap/>
        <w:overflowPunct/>
        <w:topLinePunct w:val="0"/>
        <w:autoSpaceDE/>
        <w:autoSpaceDN/>
        <w:bidi w:val="0"/>
        <w:spacing w:line="576" w:lineRule="exact"/>
        <w:ind w:firstLine="640"/>
        <w:rPr>
          <w:rFonts w:hint="eastAsia" w:ascii="仿宋" w:hAnsi="仿宋" w:eastAsia="仿宋"/>
          <w:color w:val="000000"/>
          <w:sz w:val="32"/>
          <w:szCs w:val="32"/>
          <w:lang w:eastAsia="zh-CN"/>
        </w:rPr>
      </w:pPr>
      <w:r>
        <w:rPr>
          <w:rFonts w:hint="eastAsia" w:ascii="仿宋" w:hAnsi="仿宋" w:eastAsia="仿宋"/>
          <w:color w:val="000000"/>
          <w:sz w:val="32"/>
          <w:szCs w:val="32"/>
        </w:rPr>
        <w:tab/>
      </w:r>
      <w:r>
        <w:rPr>
          <w:rFonts w:hint="eastAsia" w:ascii="仿宋" w:hAnsi="仿宋" w:eastAsia="仿宋"/>
          <w:color w:val="000000"/>
          <w:sz w:val="32"/>
          <w:szCs w:val="32"/>
        </w:rPr>
        <w:t>15.卫生健康支出（210）行政事业单位医疗（21011）行政单位医疗（2101101）：反映财政部门安排的行政单位（包括实行公务员管理的事业单位，下同）基本医疗保险缴费经费，未参加医疗保险的行政单位的公费医疗经费，按国家规定享受离休人员、红军老战士待遇人员的医疗经费。</w:t>
      </w:r>
    </w:p>
    <w:p>
      <w:pPr>
        <w:pageBreakBefore w:val="0"/>
        <w:kinsoku/>
        <w:wordWrap/>
        <w:overflowPunct/>
        <w:topLinePunct w:val="0"/>
        <w:autoSpaceDE/>
        <w:autoSpaceDN/>
        <w:bidi w:val="0"/>
        <w:spacing w:line="576" w:lineRule="exact"/>
        <w:ind w:firstLine="640"/>
        <w:rPr>
          <w:rFonts w:hint="eastAsia" w:ascii="仿宋" w:hAnsi="仿宋" w:eastAsia="仿宋"/>
          <w:color w:val="000000"/>
          <w:sz w:val="32"/>
          <w:szCs w:val="32"/>
          <w:lang w:eastAsia="zh-CN"/>
        </w:rPr>
      </w:pPr>
      <w:r>
        <w:rPr>
          <w:rFonts w:hint="eastAsia" w:ascii="仿宋" w:hAnsi="仿宋" w:eastAsia="仿宋"/>
          <w:color w:val="000000"/>
          <w:sz w:val="32"/>
          <w:szCs w:val="32"/>
        </w:rPr>
        <w:tab/>
      </w:r>
      <w:r>
        <w:rPr>
          <w:rFonts w:hint="eastAsia" w:ascii="仿宋" w:hAnsi="仿宋" w:eastAsia="仿宋"/>
          <w:color w:val="000000"/>
          <w:sz w:val="32"/>
          <w:szCs w:val="32"/>
        </w:rPr>
        <w:t>16.卫生健康支出（210）行政事业单位医疗（21011）事业单位医疗（2101102）：反映财政部门安排的事业单位基本医疗保险缴费经费，未参加医疗保险的事业单位的公费医疗经费，按国家规定享受离休人员待遇的医疗经费。</w:t>
      </w:r>
    </w:p>
    <w:p>
      <w:pPr>
        <w:pageBreakBefore w:val="0"/>
        <w:kinsoku/>
        <w:wordWrap/>
        <w:overflowPunct/>
        <w:topLinePunct w:val="0"/>
        <w:autoSpaceDE/>
        <w:autoSpaceDN/>
        <w:bidi w:val="0"/>
        <w:spacing w:line="576" w:lineRule="exact"/>
        <w:ind w:firstLine="640"/>
        <w:rPr>
          <w:rFonts w:hint="eastAsia" w:ascii="仿宋" w:hAnsi="仿宋" w:eastAsia="仿宋"/>
          <w:color w:val="000000"/>
          <w:sz w:val="32"/>
          <w:szCs w:val="32"/>
          <w:lang w:eastAsia="zh-CN"/>
        </w:rPr>
      </w:pPr>
      <w:r>
        <w:rPr>
          <w:rFonts w:hint="eastAsia" w:ascii="仿宋" w:hAnsi="仿宋" w:eastAsia="仿宋"/>
          <w:color w:val="000000"/>
          <w:sz w:val="32"/>
          <w:szCs w:val="32"/>
        </w:rPr>
        <w:tab/>
      </w:r>
      <w:r>
        <w:rPr>
          <w:rFonts w:hint="eastAsia" w:ascii="仿宋" w:hAnsi="仿宋" w:eastAsia="仿宋"/>
          <w:color w:val="000000"/>
          <w:sz w:val="32"/>
          <w:szCs w:val="32"/>
        </w:rPr>
        <w:t>17.农林水支出（213）扶贫（21305）其他扶贫支出（2130599）：反映除上述项目以外其他用于扶贫方面的支出。</w:t>
      </w:r>
    </w:p>
    <w:p>
      <w:pPr>
        <w:pageBreakBefore w:val="0"/>
        <w:kinsoku/>
        <w:wordWrap/>
        <w:overflowPunct/>
        <w:topLinePunct w:val="0"/>
        <w:autoSpaceDE/>
        <w:autoSpaceDN/>
        <w:bidi w:val="0"/>
        <w:spacing w:line="576" w:lineRule="exact"/>
        <w:ind w:firstLine="640"/>
        <w:rPr>
          <w:rFonts w:ascii="仿宋" w:hAnsi="仿宋" w:eastAsia="仿宋"/>
          <w:color w:val="000000"/>
          <w:sz w:val="32"/>
          <w:szCs w:val="32"/>
        </w:rPr>
      </w:pPr>
      <w:r>
        <w:rPr>
          <w:rFonts w:hint="eastAsia" w:ascii="仿宋" w:hAnsi="仿宋" w:eastAsia="仿宋"/>
          <w:color w:val="000000"/>
          <w:sz w:val="32"/>
          <w:szCs w:val="32"/>
        </w:rPr>
        <w:tab/>
      </w:r>
      <w:r>
        <w:rPr>
          <w:rFonts w:hint="eastAsia" w:ascii="仿宋" w:hAnsi="仿宋" w:eastAsia="仿宋"/>
          <w:color w:val="000000"/>
          <w:sz w:val="32"/>
          <w:szCs w:val="32"/>
        </w:rPr>
        <w:t>18.住房保障支出（221）住房改革支出（22102）住房公积金（2210201）：反映行政事业单位按人力资源和社会保障部、财政部规定的基本工资和津贴补贴以及规定比例为职工缴纳的住房公积金。</w:t>
      </w:r>
    </w:p>
    <w:p>
      <w:pPr>
        <w:pageBreakBefore w:val="0"/>
        <w:kinsoku/>
        <w:wordWrap/>
        <w:overflowPunct/>
        <w:topLinePunct w:val="0"/>
        <w:autoSpaceDE/>
        <w:autoSpaceDN/>
        <w:bidi w:val="0"/>
        <w:spacing w:line="576" w:lineRule="exact"/>
        <w:ind w:firstLine="640"/>
        <w:rPr>
          <w:rFonts w:ascii="仿宋" w:hAnsi="仿宋" w:eastAsia="仿宋"/>
          <w:color w:val="000000"/>
          <w:sz w:val="32"/>
          <w:szCs w:val="32"/>
        </w:rPr>
      </w:pPr>
      <w:r>
        <w:rPr>
          <w:rFonts w:hint="eastAsia" w:ascii="仿宋" w:hAnsi="仿宋" w:eastAsia="仿宋"/>
          <w:color w:val="000000"/>
          <w:sz w:val="32"/>
          <w:szCs w:val="32"/>
        </w:rPr>
        <w:t>19.基本支出：指为保障机构正常运转、完成日常工作任务而发生的人员支出和公用支出。</w:t>
      </w:r>
    </w:p>
    <w:p>
      <w:pPr>
        <w:pageBreakBefore w:val="0"/>
        <w:kinsoku/>
        <w:wordWrap/>
        <w:overflowPunct/>
        <w:topLinePunct w:val="0"/>
        <w:autoSpaceDE/>
        <w:autoSpaceDN/>
        <w:bidi w:val="0"/>
        <w:spacing w:line="576" w:lineRule="exact"/>
        <w:ind w:firstLine="640"/>
        <w:rPr>
          <w:rFonts w:ascii="仿宋" w:hAnsi="仿宋" w:eastAsia="仿宋"/>
          <w:color w:val="000000"/>
          <w:sz w:val="32"/>
          <w:szCs w:val="32"/>
        </w:rPr>
      </w:pPr>
      <w:r>
        <w:rPr>
          <w:rFonts w:hint="eastAsia" w:ascii="仿宋" w:hAnsi="仿宋" w:eastAsia="仿宋"/>
          <w:color w:val="000000"/>
          <w:sz w:val="32"/>
          <w:szCs w:val="32"/>
        </w:rPr>
        <w:t xml:space="preserve">25.项目支出：指在基本支出之外为完成特定行政任务和事业发展目标所发生的支出。 </w:t>
      </w:r>
    </w:p>
    <w:p>
      <w:pPr>
        <w:pageBreakBefore w:val="0"/>
        <w:kinsoku/>
        <w:wordWrap/>
        <w:overflowPunct/>
        <w:topLinePunct w:val="0"/>
        <w:autoSpaceDE/>
        <w:autoSpaceDN/>
        <w:bidi w:val="0"/>
        <w:spacing w:line="576" w:lineRule="exact"/>
        <w:ind w:firstLine="640"/>
        <w:rPr>
          <w:rFonts w:ascii="仿宋" w:hAnsi="仿宋" w:eastAsia="仿宋"/>
          <w:color w:val="000000"/>
          <w:sz w:val="32"/>
          <w:szCs w:val="32"/>
        </w:rPr>
      </w:pPr>
      <w:r>
        <w:rPr>
          <w:rFonts w:hint="eastAsia" w:ascii="仿宋" w:hAnsi="仿宋" w:eastAsia="仿宋"/>
          <w:color w:val="000000"/>
          <w:sz w:val="32"/>
          <w:szCs w:val="32"/>
        </w:rPr>
        <w:t>20.经营支出：指事业单位在专业业务活动及其辅助活动之外开展非独立核算经营活动发生的支出。</w:t>
      </w:r>
    </w:p>
    <w:p>
      <w:pPr>
        <w:pageBreakBefore w:val="0"/>
        <w:kinsoku/>
        <w:wordWrap/>
        <w:overflowPunct/>
        <w:topLinePunct w:val="0"/>
        <w:autoSpaceDE/>
        <w:autoSpaceDN/>
        <w:bidi w:val="0"/>
        <w:spacing w:line="576" w:lineRule="exact"/>
        <w:ind w:firstLine="640"/>
        <w:rPr>
          <w:rFonts w:ascii="仿宋" w:hAnsi="仿宋" w:eastAsia="仿宋"/>
          <w:color w:val="000000"/>
          <w:sz w:val="32"/>
          <w:szCs w:val="32"/>
        </w:rPr>
      </w:pPr>
      <w:r>
        <w:rPr>
          <w:rFonts w:hint="eastAsia" w:ascii="仿宋" w:hAnsi="仿宋" w:eastAsia="仿宋"/>
          <w:color w:val="000000"/>
          <w:sz w:val="32"/>
          <w:szCs w:val="32"/>
        </w:rPr>
        <w:t>21.“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ageBreakBefore w:val="0"/>
        <w:kinsoku/>
        <w:wordWrap/>
        <w:overflowPunct/>
        <w:topLinePunct w:val="0"/>
        <w:autoSpaceDE/>
        <w:autoSpaceDN/>
        <w:bidi w:val="0"/>
        <w:spacing w:line="576" w:lineRule="exact"/>
        <w:ind w:firstLine="640"/>
        <w:rPr>
          <w:rFonts w:ascii="仿宋" w:hAnsi="仿宋" w:eastAsia="仿宋"/>
          <w:color w:val="000000"/>
          <w:sz w:val="32"/>
          <w:szCs w:val="32"/>
        </w:rPr>
      </w:pPr>
      <w:r>
        <w:rPr>
          <w:rFonts w:hint="eastAsia" w:ascii="仿宋" w:hAnsi="仿宋" w:eastAsia="仿宋"/>
          <w:color w:val="000000"/>
          <w:sz w:val="32"/>
          <w:szCs w:val="32"/>
        </w:rPr>
        <w:t>22.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ageBreakBefore w:val="0"/>
        <w:kinsoku/>
        <w:wordWrap/>
        <w:overflowPunct/>
        <w:topLinePunct w:val="0"/>
        <w:autoSpaceDE/>
        <w:autoSpaceDN/>
        <w:bidi w:val="0"/>
        <w:spacing w:line="576" w:lineRule="exact"/>
        <w:ind w:firstLine="640"/>
        <w:rPr>
          <w:rFonts w:ascii="仿宋_GB2312" w:eastAsia="仿宋_GB2312" w:cs="黑体"/>
          <w:sz w:val="32"/>
          <w:szCs w:val="32"/>
        </w:rPr>
      </w:pPr>
      <w:r>
        <w:rPr>
          <w:rFonts w:hint="eastAsia" w:ascii="仿宋" w:hAnsi="仿宋" w:eastAsia="仿宋"/>
          <w:color w:val="000000"/>
          <w:sz w:val="32"/>
          <w:szCs w:val="32"/>
        </w:rPr>
        <w:t>23.财政应返还额度：为行政事业单位会计核算科目，用于核算实行国库集中支付的行政事业单位应收财政返还的资金额度。</w:t>
      </w:r>
    </w:p>
    <w:p>
      <w:pPr>
        <w:pageBreakBefore w:val="0"/>
        <w:widowControl/>
        <w:kinsoku/>
        <w:wordWrap/>
        <w:overflowPunct/>
        <w:topLinePunct w:val="0"/>
        <w:autoSpaceDE/>
        <w:autoSpaceDN/>
        <w:bidi w:val="0"/>
        <w:spacing w:line="576" w:lineRule="exact"/>
        <w:jc w:val="left"/>
        <w:rPr>
          <w:rStyle w:val="30"/>
          <w:rFonts w:ascii="黑体" w:hAnsi="黑体" w:eastAsia="黑体"/>
        </w:rPr>
      </w:pPr>
      <w:r>
        <w:rPr>
          <w:rStyle w:val="30"/>
          <w:rFonts w:ascii="黑体" w:hAnsi="黑体" w:eastAsia="黑体"/>
        </w:rPr>
        <w:br w:type="page"/>
      </w:r>
    </w:p>
    <w:p>
      <w:pPr>
        <w:pStyle w:val="4"/>
        <w:pageBreakBefore w:val="0"/>
        <w:kinsoku/>
        <w:wordWrap/>
        <w:overflowPunct/>
        <w:topLinePunct w:val="0"/>
        <w:autoSpaceDE/>
        <w:autoSpaceDN/>
        <w:bidi w:val="0"/>
        <w:spacing w:before="0" w:after="0" w:line="576" w:lineRule="exact"/>
        <w:jc w:val="center"/>
        <w:rPr>
          <w:rFonts w:ascii="黑体" w:hAnsi="黑体" w:eastAsia="黑体" w:cs="黑体"/>
        </w:rPr>
      </w:pPr>
      <w:bookmarkStart w:id="72" w:name="_Toc111208510"/>
      <w:bookmarkStart w:id="73" w:name="_Toc180"/>
      <w:r>
        <w:rPr>
          <w:rFonts w:hint="eastAsia" w:ascii="黑体" w:hAnsi="黑体" w:eastAsia="黑体" w:cs="黑体"/>
        </w:rPr>
        <w:t>第四部分 附件</w:t>
      </w:r>
      <w:bookmarkEnd w:id="72"/>
      <w:bookmarkEnd w:id="73"/>
    </w:p>
    <w:p>
      <w:pPr>
        <w:pStyle w:val="68"/>
        <w:keepNext w:val="0"/>
        <w:keepLines w:val="0"/>
        <w:pageBreakBefore w:val="0"/>
        <w:widowControl w:val="0"/>
        <w:kinsoku/>
        <w:wordWrap/>
        <w:overflowPunct/>
        <w:topLinePunct w:val="0"/>
        <w:autoSpaceDE/>
        <w:autoSpaceDN/>
        <w:bidi w:val="0"/>
        <w:spacing w:line="576" w:lineRule="exact"/>
        <w:jc w:val="center"/>
        <w:textAlignment w:val="auto"/>
        <w:rPr>
          <w:rFonts w:hint="eastAsia" w:ascii="方正小标宋简体" w:eastAsia="方正小标宋简体" w:cs="方正小标宋简体"/>
          <w:color w:val="auto"/>
          <w:kern w:val="2"/>
          <w:sz w:val="40"/>
          <w:szCs w:val="40"/>
          <w:lang w:eastAsia="zh-CN"/>
        </w:rPr>
      </w:pPr>
      <w:r>
        <w:rPr>
          <w:rFonts w:hint="eastAsia" w:ascii="方正小标宋简体" w:eastAsia="方正小标宋简体" w:cs="方正小标宋简体"/>
          <w:color w:val="auto"/>
          <w:kern w:val="2"/>
          <w:sz w:val="40"/>
          <w:szCs w:val="40"/>
          <w:lang w:eastAsia="zh-CN"/>
        </w:rPr>
        <w:t>中共茂县县委政法委员会</w:t>
      </w:r>
    </w:p>
    <w:p>
      <w:pPr>
        <w:pStyle w:val="68"/>
        <w:keepNext w:val="0"/>
        <w:keepLines w:val="0"/>
        <w:pageBreakBefore w:val="0"/>
        <w:widowControl w:val="0"/>
        <w:kinsoku/>
        <w:wordWrap/>
        <w:overflowPunct/>
        <w:topLinePunct w:val="0"/>
        <w:autoSpaceDE/>
        <w:autoSpaceDN/>
        <w:bidi w:val="0"/>
        <w:spacing w:line="576" w:lineRule="exact"/>
        <w:jc w:val="center"/>
        <w:textAlignment w:val="auto"/>
        <w:rPr>
          <w:rFonts w:ascii="方正小标宋简体" w:eastAsia="方正小标宋简体" w:cs="方正小标宋简体"/>
          <w:color w:val="auto"/>
          <w:kern w:val="2"/>
          <w:sz w:val="40"/>
          <w:szCs w:val="40"/>
          <w:lang w:val="en-US" w:eastAsia="zh-CN"/>
        </w:rPr>
      </w:pPr>
      <w:r>
        <w:rPr>
          <w:rFonts w:hint="eastAsia" w:ascii="方正小标宋简体" w:eastAsia="方正小标宋简体" w:cs="方正小标宋简体"/>
          <w:color w:val="auto"/>
          <w:kern w:val="2"/>
          <w:sz w:val="40"/>
          <w:szCs w:val="40"/>
          <w:lang w:val="en-US" w:eastAsia="zh-CN"/>
        </w:rPr>
        <w:t>202</w:t>
      </w:r>
      <w:r>
        <w:rPr>
          <w:rFonts w:ascii="方正小标宋简体" w:eastAsia="方正小标宋简体" w:cs="方正小标宋简体"/>
          <w:color w:val="auto"/>
          <w:kern w:val="2"/>
          <w:sz w:val="40"/>
          <w:szCs w:val="40"/>
          <w:lang w:val="en-US" w:eastAsia="zh-CN"/>
        </w:rPr>
        <w:t>2</w:t>
      </w:r>
      <w:r>
        <w:rPr>
          <w:rFonts w:hint="eastAsia" w:ascii="方正小标宋简体" w:eastAsia="方正小标宋简体" w:cs="方正小标宋简体"/>
          <w:color w:val="auto"/>
          <w:kern w:val="2"/>
          <w:sz w:val="40"/>
          <w:szCs w:val="40"/>
          <w:lang w:val="en-US" w:eastAsia="zh-CN"/>
        </w:rPr>
        <w:t>年绩效运行自行监控报告</w:t>
      </w:r>
    </w:p>
    <w:p>
      <w:pPr>
        <w:pStyle w:val="53"/>
        <w:keepNext w:val="0"/>
        <w:keepLines w:val="0"/>
        <w:pageBreakBefore w:val="0"/>
        <w:widowControl w:val="0"/>
        <w:kinsoku/>
        <w:wordWrap/>
        <w:overflowPunct/>
        <w:topLinePunct w:val="0"/>
        <w:autoSpaceDE/>
        <w:autoSpaceDN/>
        <w:bidi w:val="0"/>
        <w:adjustRightInd w:val="0"/>
        <w:snapToGrid w:val="0"/>
        <w:spacing w:line="576" w:lineRule="exact"/>
        <w:ind w:firstLine="720"/>
        <w:jc w:val="center"/>
        <w:textAlignment w:val="auto"/>
        <w:rPr>
          <w:rFonts w:hint="eastAsia" w:ascii="黑体" w:eastAsia="黑体"/>
        </w:rPr>
      </w:pPr>
    </w:p>
    <w:p>
      <w:pPr>
        <w:pStyle w:val="53"/>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ascii="黑体" w:eastAsia="黑体"/>
          <w:lang w:val="en-US" w:eastAsia="zh-CN"/>
        </w:rPr>
      </w:pPr>
      <w:r>
        <w:rPr>
          <w:rFonts w:hint="eastAsia" w:ascii="黑体" w:eastAsia="黑体"/>
        </w:rPr>
        <w:t>一、</w:t>
      </w:r>
      <w:r>
        <w:rPr>
          <w:rFonts w:hint="eastAsia" w:ascii="黑体" w:eastAsia="黑体"/>
          <w:lang w:val="en-US" w:eastAsia="zh-CN"/>
        </w:rPr>
        <w:t>部门整体概况</w:t>
      </w:r>
    </w:p>
    <w:p>
      <w:pPr>
        <w:pStyle w:val="53"/>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楷体_GB2312" w:eastAsia="楷体_GB2312"/>
          <w:b/>
          <w:lang w:val="zh-CN" w:eastAsia="zh-CN"/>
        </w:rPr>
      </w:pPr>
      <w:r>
        <w:rPr>
          <w:rFonts w:hint="eastAsia" w:ascii="楷体_GB2312" w:eastAsia="楷体_GB2312"/>
          <w:b/>
          <w:lang w:val="zh-CN"/>
        </w:rPr>
        <w:t>（一）</w:t>
      </w:r>
      <w:r>
        <w:rPr>
          <w:rFonts w:hint="eastAsia" w:ascii="楷体_GB2312" w:eastAsia="楷体_GB2312"/>
          <w:b/>
          <w:color w:val="auto"/>
          <w:highlight w:val="none"/>
          <w:lang w:val="en-US" w:eastAsia="zh-CN"/>
        </w:rPr>
        <w:t>部门职能职责</w:t>
      </w:r>
    </w:p>
    <w:p>
      <w:pPr>
        <w:pStyle w:val="53"/>
        <w:pageBreakBefore w:val="0"/>
        <w:kinsoku/>
        <w:wordWrap/>
        <w:overflowPunct/>
        <w:topLinePunct w:val="0"/>
        <w:autoSpaceDE/>
        <w:autoSpaceDN/>
        <w:bidi w:val="0"/>
        <w:spacing w:line="576" w:lineRule="exact"/>
        <w:ind w:firstLine="640" w:firstLineChars="200"/>
        <w:rPr>
          <w:rFonts w:eastAsia="仿宋_GB2312"/>
          <w:bCs/>
          <w:sz w:val="32"/>
          <w:szCs w:val="32"/>
          <w:lang w:eastAsia="zh-CN"/>
        </w:rPr>
      </w:pPr>
      <w:r>
        <w:rPr>
          <w:rFonts w:hint="eastAsia" w:ascii="仿宋_GB2312" w:eastAsia="仿宋_GB2312" w:cs="仿宋_GB2312"/>
          <w:sz w:val="32"/>
          <w:szCs w:val="32"/>
          <w:lang w:eastAsia="zh-CN"/>
        </w:rPr>
        <w:t>1.</w:t>
      </w:r>
      <w:r>
        <w:rPr>
          <w:rFonts w:hint="eastAsia" w:eastAsia="仿宋_GB2312"/>
          <w:bCs/>
          <w:sz w:val="32"/>
          <w:szCs w:val="32"/>
          <w:lang w:eastAsia="zh-CN"/>
        </w:rPr>
        <w:t>深入贯彻党的路线方针政策和决策部署，统一政法各部门思想和行动，坚持党对政法工作的绝对领导，坚决维护党中央权威和集中统一领导。</w:t>
      </w:r>
    </w:p>
    <w:p>
      <w:pPr>
        <w:pStyle w:val="53"/>
        <w:pageBreakBefore w:val="0"/>
        <w:kinsoku/>
        <w:wordWrap/>
        <w:overflowPunct/>
        <w:topLinePunct w:val="0"/>
        <w:autoSpaceDE/>
        <w:autoSpaceDN/>
        <w:bidi w:val="0"/>
        <w:spacing w:line="576" w:lineRule="exact"/>
        <w:ind w:firstLine="640" w:firstLineChars="200"/>
        <w:rPr>
          <w:rFonts w:eastAsia="仿宋_GB2312"/>
          <w:bCs/>
          <w:sz w:val="32"/>
          <w:szCs w:val="32"/>
          <w:lang w:eastAsia="zh-CN"/>
        </w:rPr>
      </w:pPr>
      <w:r>
        <w:rPr>
          <w:rFonts w:hint="eastAsia" w:ascii="仿宋_GB2312" w:eastAsia="仿宋_GB2312" w:cs="仿宋_GB2312"/>
          <w:sz w:val="32"/>
          <w:szCs w:val="32"/>
          <w:lang w:eastAsia="zh-CN"/>
        </w:rPr>
        <w:t>2.</w:t>
      </w:r>
      <w:r>
        <w:rPr>
          <w:rFonts w:hint="eastAsia" w:eastAsia="仿宋_GB2312"/>
          <w:bCs/>
          <w:sz w:val="32"/>
          <w:szCs w:val="32"/>
          <w:lang w:eastAsia="zh-CN"/>
        </w:rPr>
        <w:t>深入贯彻党中央决定和省委、州委、县委决策，对政法工作研究提出全局性部署，推进平安茂县、法治茂县建设，加强过硬队伍建设，深化智能化建设，坚决维护国家政治安全、确保社会大局稳定、促进社会公平正义、保障人民安居乐业。</w:t>
      </w:r>
    </w:p>
    <w:p>
      <w:pPr>
        <w:pStyle w:val="53"/>
        <w:pageBreakBefore w:val="0"/>
        <w:kinsoku/>
        <w:wordWrap/>
        <w:overflowPunct/>
        <w:topLinePunct w:val="0"/>
        <w:autoSpaceDE/>
        <w:autoSpaceDN/>
        <w:bidi w:val="0"/>
        <w:spacing w:line="576" w:lineRule="exact"/>
        <w:ind w:firstLine="640" w:firstLineChars="200"/>
        <w:rPr>
          <w:rFonts w:eastAsia="仿宋_GB2312"/>
          <w:bCs/>
          <w:sz w:val="32"/>
          <w:szCs w:val="32"/>
          <w:lang w:eastAsia="zh-CN"/>
        </w:rPr>
      </w:pPr>
      <w:r>
        <w:rPr>
          <w:rFonts w:hint="eastAsia" w:ascii="仿宋_GB2312" w:eastAsia="仿宋_GB2312" w:cs="仿宋_GB2312"/>
          <w:sz w:val="32"/>
          <w:szCs w:val="32"/>
          <w:lang w:eastAsia="zh-CN"/>
        </w:rPr>
        <w:t>3.</w:t>
      </w:r>
      <w:r>
        <w:rPr>
          <w:rFonts w:hint="eastAsia" w:eastAsia="仿宋_GB2312"/>
          <w:bCs/>
          <w:sz w:val="32"/>
          <w:szCs w:val="32"/>
          <w:lang w:eastAsia="zh-CN"/>
        </w:rPr>
        <w:t>了解掌握和分析研判政法工作情况动态，分析全县社会稳定形势，创新完善多部门参与综治维稳工作机制，构建矛盾纠纷多元化解体系和机制，推动社会治安综合治理领导责任制的实施，协调推动预防、化解影响稳定的社会矛盾和风险，协调应对和处置重大突发事件，统筹推动全县反分裂斗争和维护稳定工作。</w:t>
      </w:r>
    </w:p>
    <w:p>
      <w:pPr>
        <w:pStyle w:val="53"/>
        <w:pageBreakBefore w:val="0"/>
        <w:kinsoku/>
        <w:wordWrap/>
        <w:overflowPunct/>
        <w:topLinePunct w:val="0"/>
        <w:autoSpaceDE/>
        <w:autoSpaceDN/>
        <w:bidi w:val="0"/>
        <w:spacing w:line="576" w:lineRule="exact"/>
        <w:ind w:firstLine="640" w:firstLineChars="200"/>
        <w:rPr>
          <w:rFonts w:eastAsia="仿宋_GB2312"/>
          <w:bCs/>
          <w:sz w:val="32"/>
          <w:szCs w:val="32"/>
          <w:lang w:eastAsia="zh-CN"/>
        </w:rPr>
      </w:pPr>
      <w:r>
        <w:rPr>
          <w:rFonts w:hint="eastAsia" w:ascii="仿宋_GB2312" w:eastAsia="仿宋_GB2312" w:cs="仿宋_GB2312"/>
          <w:sz w:val="32"/>
          <w:szCs w:val="32"/>
          <w:lang w:eastAsia="zh-CN"/>
        </w:rPr>
        <w:t>4.</w:t>
      </w:r>
      <w:r>
        <w:rPr>
          <w:rFonts w:hint="eastAsia" w:eastAsia="仿宋_GB2312"/>
          <w:bCs/>
          <w:sz w:val="32"/>
          <w:szCs w:val="32"/>
          <w:lang w:eastAsia="zh-CN"/>
        </w:rPr>
        <w:t>加强对政法工作的督查，统筹协调维护政治安全、社会治安综合治理、维护社会稳定、反邪教有关法律法规政策的实施工作。指导全县政法系统网络安全和智能化建设工作。</w:t>
      </w:r>
    </w:p>
    <w:p>
      <w:pPr>
        <w:pStyle w:val="53"/>
        <w:pageBreakBefore w:val="0"/>
        <w:kinsoku/>
        <w:wordWrap/>
        <w:overflowPunct/>
        <w:topLinePunct w:val="0"/>
        <w:autoSpaceDE/>
        <w:autoSpaceDN/>
        <w:bidi w:val="0"/>
        <w:spacing w:line="576" w:lineRule="exact"/>
        <w:ind w:firstLine="640" w:firstLineChars="200"/>
        <w:rPr>
          <w:rFonts w:eastAsia="仿宋_GB2312"/>
          <w:bCs/>
          <w:sz w:val="32"/>
          <w:szCs w:val="32"/>
          <w:lang w:eastAsia="zh-CN"/>
        </w:rPr>
      </w:pPr>
      <w:r>
        <w:rPr>
          <w:rFonts w:hint="eastAsia" w:ascii="仿宋_GB2312" w:eastAsia="仿宋_GB2312" w:cs="仿宋_GB2312"/>
          <w:sz w:val="32"/>
          <w:szCs w:val="32"/>
          <w:lang w:eastAsia="zh-CN"/>
        </w:rPr>
        <w:t>5.</w:t>
      </w:r>
      <w:r>
        <w:rPr>
          <w:rFonts w:hint="eastAsia" w:eastAsia="仿宋_GB2312"/>
          <w:bCs/>
          <w:sz w:val="32"/>
          <w:szCs w:val="32"/>
          <w:lang w:eastAsia="zh-CN"/>
        </w:rPr>
        <w:t>组织开展政法领域的调查研究，研究拟订全县政法工作的政策措施，及时向县委提出建议。</w:t>
      </w:r>
    </w:p>
    <w:p>
      <w:pPr>
        <w:pStyle w:val="53"/>
        <w:pageBreakBefore w:val="0"/>
        <w:kinsoku/>
        <w:wordWrap/>
        <w:overflowPunct/>
        <w:topLinePunct w:val="0"/>
        <w:autoSpaceDE/>
        <w:autoSpaceDN/>
        <w:bidi w:val="0"/>
        <w:spacing w:line="576" w:lineRule="exact"/>
        <w:ind w:firstLine="640" w:firstLineChars="200"/>
        <w:rPr>
          <w:rFonts w:eastAsia="仿宋_GB2312"/>
          <w:bCs/>
          <w:sz w:val="32"/>
          <w:szCs w:val="32"/>
          <w:lang w:eastAsia="zh-CN"/>
        </w:rPr>
      </w:pPr>
      <w:r>
        <w:rPr>
          <w:rFonts w:hint="eastAsia" w:ascii="仿宋_GB2312" w:eastAsia="仿宋_GB2312" w:cs="仿宋_GB2312"/>
          <w:sz w:val="32"/>
          <w:szCs w:val="32"/>
          <w:lang w:eastAsia="zh-CN"/>
        </w:rPr>
        <w:t>6.</w:t>
      </w:r>
      <w:r>
        <w:rPr>
          <w:rFonts w:hint="eastAsia" w:eastAsia="仿宋_GB2312"/>
          <w:bCs/>
          <w:sz w:val="32"/>
          <w:szCs w:val="32"/>
          <w:lang w:eastAsia="zh-CN"/>
        </w:rPr>
        <w:t>掌握分析政法舆情动态，指导协调政法部门媒体网络宣传工作，指导政法部门做好涉及政法工作的重大宣传和舆论引导工作。</w:t>
      </w:r>
    </w:p>
    <w:p>
      <w:pPr>
        <w:pStyle w:val="53"/>
        <w:pageBreakBefore w:val="0"/>
        <w:kinsoku/>
        <w:wordWrap/>
        <w:overflowPunct/>
        <w:topLinePunct w:val="0"/>
        <w:autoSpaceDE/>
        <w:autoSpaceDN/>
        <w:bidi w:val="0"/>
        <w:spacing w:line="576" w:lineRule="exact"/>
        <w:ind w:firstLine="640" w:firstLineChars="200"/>
        <w:rPr>
          <w:rFonts w:eastAsia="仿宋_GB2312"/>
          <w:bCs/>
          <w:sz w:val="32"/>
          <w:szCs w:val="32"/>
          <w:lang w:eastAsia="zh-CN"/>
        </w:rPr>
      </w:pPr>
      <w:r>
        <w:rPr>
          <w:rFonts w:hint="eastAsia" w:ascii="仿宋_GB2312" w:eastAsia="仿宋_GB2312" w:cs="仿宋_GB2312"/>
          <w:sz w:val="32"/>
          <w:szCs w:val="32"/>
          <w:lang w:eastAsia="zh-CN"/>
        </w:rPr>
        <w:t>7.</w:t>
      </w:r>
      <w:r>
        <w:rPr>
          <w:rFonts w:hint="eastAsia" w:eastAsia="仿宋_GB2312"/>
          <w:bCs/>
          <w:sz w:val="32"/>
          <w:szCs w:val="32"/>
          <w:lang w:eastAsia="zh-CN"/>
        </w:rPr>
        <w:t>监督和支持政法各部门依法行使职权，指导和协调政法各部门密切配合，研究和协调重大疑难案件，推进严格执法、公正司法。</w:t>
      </w:r>
    </w:p>
    <w:p>
      <w:pPr>
        <w:pStyle w:val="53"/>
        <w:pageBreakBefore w:val="0"/>
        <w:kinsoku/>
        <w:wordWrap/>
        <w:overflowPunct/>
        <w:topLinePunct w:val="0"/>
        <w:autoSpaceDE/>
        <w:autoSpaceDN/>
        <w:bidi w:val="0"/>
        <w:spacing w:line="576" w:lineRule="exact"/>
        <w:ind w:firstLine="640" w:firstLineChars="200"/>
        <w:rPr>
          <w:rFonts w:eastAsia="仿宋_GB2312"/>
          <w:bCs/>
          <w:sz w:val="32"/>
          <w:szCs w:val="32"/>
          <w:lang w:eastAsia="zh-CN"/>
        </w:rPr>
      </w:pPr>
      <w:r>
        <w:rPr>
          <w:rFonts w:hint="eastAsia" w:ascii="仿宋_GB2312" w:eastAsia="仿宋_GB2312" w:cs="仿宋_GB2312"/>
          <w:sz w:val="32"/>
          <w:szCs w:val="32"/>
          <w:lang w:eastAsia="zh-CN"/>
        </w:rPr>
        <w:t>8.</w:t>
      </w:r>
      <w:r>
        <w:rPr>
          <w:rFonts w:hint="eastAsia" w:eastAsia="仿宋_GB2312"/>
          <w:bCs/>
          <w:sz w:val="32"/>
          <w:szCs w:val="32"/>
          <w:lang w:eastAsia="zh-CN"/>
        </w:rPr>
        <w:t>组织研究政法改革中带有方向性、倾向性和普遍性的重大问题，深化政法改革。</w:t>
      </w:r>
    </w:p>
    <w:p>
      <w:pPr>
        <w:pStyle w:val="53"/>
        <w:pageBreakBefore w:val="0"/>
        <w:kinsoku/>
        <w:wordWrap/>
        <w:overflowPunct/>
        <w:topLinePunct w:val="0"/>
        <w:autoSpaceDE/>
        <w:autoSpaceDN/>
        <w:bidi w:val="0"/>
        <w:spacing w:line="576" w:lineRule="exact"/>
        <w:ind w:firstLine="640" w:firstLineChars="200"/>
        <w:rPr>
          <w:rFonts w:hint="eastAsia" w:ascii="仿宋_GB2312" w:cs="宋体"/>
          <w:color w:val="000000"/>
          <w:kern w:val="0"/>
          <w:szCs w:val="32"/>
          <w:shd w:val="clear" w:color="auto" w:fill="FFFFFF"/>
          <w:lang w:val="zh-CN"/>
        </w:rPr>
      </w:pPr>
      <w:r>
        <w:rPr>
          <w:rFonts w:hint="eastAsia" w:ascii="仿宋_GB2312" w:eastAsia="仿宋_GB2312" w:cs="仿宋_GB2312"/>
          <w:sz w:val="32"/>
          <w:szCs w:val="32"/>
          <w:lang w:eastAsia="zh-CN"/>
        </w:rPr>
        <w:t>9.</w:t>
      </w:r>
      <w:r>
        <w:rPr>
          <w:rFonts w:hint="eastAsia" w:eastAsia="仿宋_GB2312"/>
          <w:bCs/>
          <w:sz w:val="32"/>
          <w:szCs w:val="32"/>
          <w:lang w:eastAsia="zh-CN"/>
        </w:rPr>
        <w:t>指导推动政法系统党的建设和政法队伍建设，协同县级有关职能部门管理监督政法领导干部。</w:t>
      </w:r>
    </w:p>
    <w:p>
      <w:pPr>
        <w:pStyle w:val="53"/>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楷体_GB2312" w:eastAsia="楷体_GB2312"/>
          <w:b/>
          <w:lang w:val="en-US" w:eastAsia="zh-CN"/>
        </w:rPr>
      </w:pPr>
      <w:r>
        <w:rPr>
          <w:rFonts w:hint="eastAsia" w:ascii="楷体_GB2312" w:eastAsia="楷体_GB2312"/>
          <w:b/>
          <w:lang w:val="en-US" w:eastAsia="zh-CN"/>
        </w:rPr>
        <w:t>（二）目标任务</w:t>
      </w:r>
    </w:p>
    <w:p>
      <w:pPr>
        <w:pStyle w:val="53"/>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hint="eastAsia" w:eastAsia="仿宋_GB2312"/>
          <w:bCs/>
          <w:sz w:val="32"/>
          <w:szCs w:val="32"/>
        </w:rPr>
      </w:pPr>
      <w:r>
        <w:rPr>
          <w:rFonts w:hint="eastAsia" w:ascii="仿宋_GB2312" w:eastAsia="仿宋_GB2312" w:cs="楷体_GB2312"/>
          <w:kern w:val="2"/>
          <w:sz w:val="32"/>
          <w:szCs w:val="32"/>
          <w:lang w:val="en-US" w:eastAsia="zh-CN" w:bidi="ar-SA"/>
        </w:rPr>
        <w:t>1.</w:t>
      </w:r>
      <w:r>
        <w:rPr>
          <w:rFonts w:hint="eastAsia" w:eastAsia="仿宋_GB2312"/>
          <w:bCs/>
          <w:sz w:val="32"/>
          <w:szCs w:val="32"/>
        </w:rPr>
        <w:t>指导全县政法系统加强国家政治安全战略研究，分析研判政治安全形势，提出工作建议和意见。</w:t>
      </w:r>
    </w:p>
    <w:p>
      <w:pPr>
        <w:pStyle w:val="53"/>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hint="eastAsia" w:ascii="仿宋_GB2312" w:eastAsia="仿宋_GB2312" w:cs="楷体_GB2312"/>
          <w:kern w:val="2"/>
          <w:sz w:val="32"/>
          <w:szCs w:val="32"/>
          <w:lang w:eastAsia="zh-CN" w:bidi="ar-SA"/>
        </w:rPr>
      </w:pPr>
      <w:r>
        <w:rPr>
          <w:rFonts w:hint="eastAsia" w:ascii="仿宋_GB2312" w:eastAsia="仿宋_GB2312" w:cs="楷体_GB2312"/>
          <w:kern w:val="2"/>
          <w:sz w:val="32"/>
          <w:szCs w:val="32"/>
          <w:lang w:val="en-US" w:eastAsia="zh-CN" w:bidi="ar-SA"/>
        </w:rPr>
        <w:t>2.</w:t>
      </w:r>
      <w:r>
        <w:rPr>
          <w:rFonts w:hint="eastAsia" w:eastAsia="仿宋_GB2312"/>
          <w:bCs/>
          <w:sz w:val="32"/>
          <w:szCs w:val="32"/>
        </w:rPr>
        <w:t>指导协调各乡镇、各部门推进扫黑除恶、社会治安重点地区和突出治安问题排查整治、社会治安防控体系建设。协调推动重点领域、行业、物品安全管理</w:t>
      </w:r>
      <w:r>
        <w:rPr>
          <w:rFonts w:hint="eastAsia" w:ascii="仿宋_GB2312" w:eastAsia="仿宋_GB2312" w:cs="楷体_GB2312"/>
          <w:kern w:val="2"/>
          <w:sz w:val="32"/>
          <w:szCs w:val="32"/>
          <w:lang w:eastAsia="zh-CN" w:bidi="ar-SA"/>
        </w:rPr>
        <w:t>。</w:t>
      </w:r>
    </w:p>
    <w:p>
      <w:pPr>
        <w:pStyle w:val="53"/>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hint="eastAsia" w:ascii="仿宋_GB2312" w:eastAsia="仿宋_GB2312" w:cs="楷体_GB2312"/>
          <w:kern w:val="2"/>
          <w:sz w:val="32"/>
          <w:szCs w:val="32"/>
          <w:lang w:eastAsia="zh-CN" w:bidi="ar-SA"/>
        </w:rPr>
      </w:pPr>
      <w:r>
        <w:rPr>
          <w:rFonts w:hint="eastAsia" w:ascii="仿宋_GB2312" w:eastAsia="仿宋_GB2312" w:cs="楷体_GB2312"/>
          <w:kern w:val="2"/>
          <w:sz w:val="32"/>
          <w:szCs w:val="32"/>
          <w:lang w:val="en-US" w:eastAsia="zh-CN" w:bidi="ar-SA"/>
        </w:rPr>
        <w:t>3.</w:t>
      </w:r>
      <w:r>
        <w:rPr>
          <w:rFonts w:hint="eastAsia" w:eastAsia="仿宋_GB2312"/>
          <w:bCs/>
          <w:sz w:val="32"/>
          <w:szCs w:val="32"/>
        </w:rPr>
        <w:t>指导推动全县政法系统党的建设和政法队伍建设，推动政法队伍纪律作风建设和廉政建设，负责组织开展机关和所属单位及政法队伍教育培训工作。指导政法系统人才队伍建设</w:t>
      </w:r>
      <w:r>
        <w:rPr>
          <w:rFonts w:hint="eastAsia" w:ascii="仿宋_GB2312" w:eastAsia="仿宋_GB2312" w:cs="楷体_GB2312"/>
          <w:kern w:val="2"/>
          <w:sz w:val="32"/>
          <w:szCs w:val="32"/>
          <w:lang w:eastAsia="zh-CN" w:bidi="ar-SA"/>
        </w:rPr>
        <w:t>。</w:t>
      </w:r>
    </w:p>
    <w:p>
      <w:pPr>
        <w:pStyle w:val="53"/>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hint="eastAsia" w:ascii="仿宋_GB2312" w:eastAsia="仿宋_GB2312" w:cs="楷体_GB2312"/>
          <w:kern w:val="2"/>
          <w:sz w:val="32"/>
          <w:szCs w:val="32"/>
          <w:lang w:val="en-US" w:eastAsia="zh-CN" w:bidi="ar-SA"/>
        </w:rPr>
      </w:pPr>
      <w:r>
        <w:rPr>
          <w:rFonts w:hint="eastAsia" w:ascii="仿宋_GB2312" w:eastAsia="仿宋_GB2312" w:cs="楷体_GB2312"/>
          <w:kern w:val="2"/>
          <w:sz w:val="32"/>
          <w:szCs w:val="32"/>
          <w:lang w:val="en-US" w:eastAsia="zh-CN" w:bidi="ar-SA"/>
        </w:rPr>
        <w:t>4.继续做好县委县政府交办的各项工作。</w:t>
      </w:r>
    </w:p>
    <w:p>
      <w:pPr>
        <w:pStyle w:val="53"/>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rPr>
          <w:rFonts w:ascii="黑体" w:eastAsia="黑体"/>
          <w:color w:val="auto"/>
          <w:highlight w:val="none"/>
          <w:lang w:val="en-US" w:eastAsia="zh-CN"/>
        </w:rPr>
      </w:pPr>
      <w:r>
        <w:rPr>
          <w:rFonts w:hint="eastAsia" w:ascii="黑体" w:eastAsia="黑体"/>
          <w:color w:val="auto"/>
          <w:highlight w:val="none"/>
        </w:rPr>
        <w:t>二、</w:t>
      </w:r>
      <w:r>
        <w:rPr>
          <w:rFonts w:hint="eastAsia" w:ascii="黑体" w:eastAsia="黑体"/>
          <w:color w:val="auto"/>
          <w:highlight w:val="none"/>
          <w:lang w:val="en-US" w:eastAsia="zh-CN"/>
        </w:rPr>
        <w:t>预算执行情况</w:t>
      </w:r>
    </w:p>
    <w:p>
      <w:pPr>
        <w:pStyle w:val="7"/>
        <w:pageBreakBefore w:val="0"/>
        <w:widowControl w:val="0"/>
        <w:kinsoku/>
        <w:wordWrap/>
        <w:overflowPunct/>
        <w:topLinePunct w:val="0"/>
        <w:autoSpaceDE/>
        <w:autoSpaceDN/>
        <w:bidi w:val="0"/>
        <w:adjustRightInd/>
        <w:snapToGrid/>
        <w:spacing w:line="576" w:lineRule="exact"/>
        <w:textAlignment w:val="auto"/>
        <w:rPr>
          <w:rFonts w:ascii="仿宋" w:hAnsi="仿宋" w:eastAsia="仿宋"/>
          <w:color w:val="000000"/>
          <w:sz w:val="32"/>
          <w:szCs w:val="32"/>
        </w:rPr>
      </w:pPr>
      <w:r>
        <w:rPr>
          <w:rFonts w:hint="eastAsia" w:ascii="仿宋" w:hAnsi="仿宋" w:eastAsia="仿宋"/>
          <w:color w:val="000000"/>
          <w:sz w:val="32"/>
          <w:szCs w:val="32"/>
        </w:rPr>
        <w:t>2021</w:t>
      </w:r>
      <w:r>
        <w:rPr>
          <w:rFonts w:ascii="仿宋" w:hAnsi="仿宋" w:eastAsia="仿宋"/>
          <w:color w:val="000000"/>
          <w:sz w:val="32"/>
          <w:szCs w:val="32"/>
        </w:rPr>
        <w:t>年本年支出合计</w:t>
      </w:r>
      <w:r>
        <w:rPr>
          <w:rFonts w:hint="eastAsia" w:ascii="仿宋" w:hAnsi="仿宋" w:eastAsia="仿宋"/>
          <w:color w:val="000000"/>
          <w:sz w:val="32"/>
          <w:szCs w:val="32"/>
        </w:rPr>
        <w:t>393.32</w:t>
      </w:r>
      <w:r>
        <w:rPr>
          <w:rFonts w:ascii="仿宋" w:hAnsi="仿宋" w:eastAsia="仿宋"/>
          <w:color w:val="000000"/>
          <w:sz w:val="32"/>
          <w:szCs w:val="32"/>
        </w:rPr>
        <w:t>万元，其中：基本支出</w:t>
      </w:r>
      <w:r>
        <w:rPr>
          <w:rFonts w:hint="eastAsia" w:ascii="仿宋" w:hAnsi="仿宋" w:eastAsia="仿宋"/>
          <w:color w:val="000000"/>
          <w:sz w:val="32"/>
          <w:szCs w:val="32"/>
        </w:rPr>
        <w:t>329.59</w:t>
      </w:r>
      <w:r>
        <w:rPr>
          <w:rFonts w:ascii="仿宋" w:hAnsi="仿宋" w:eastAsia="仿宋"/>
          <w:color w:val="000000"/>
          <w:sz w:val="32"/>
          <w:szCs w:val="32"/>
        </w:rPr>
        <w:t>万元，占</w:t>
      </w:r>
      <w:r>
        <w:rPr>
          <w:rFonts w:hint="eastAsia" w:ascii="仿宋" w:hAnsi="仿宋" w:eastAsia="仿宋"/>
          <w:color w:val="000000"/>
          <w:sz w:val="32"/>
          <w:szCs w:val="32"/>
        </w:rPr>
        <w:t>83.80</w:t>
      </w:r>
      <w:r>
        <w:rPr>
          <w:rFonts w:ascii="仿宋" w:hAnsi="仿宋" w:eastAsia="仿宋"/>
          <w:color w:val="000000"/>
          <w:sz w:val="32"/>
          <w:szCs w:val="32"/>
        </w:rPr>
        <w:t>%；项目支出</w:t>
      </w:r>
      <w:r>
        <w:rPr>
          <w:rFonts w:hint="eastAsia" w:ascii="仿宋" w:hAnsi="仿宋" w:eastAsia="仿宋"/>
          <w:color w:val="000000"/>
          <w:sz w:val="32"/>
          <w:szCs w:val="32"/>
        </w:rPr>
        <w:t>63.73</w:t>
      </w:r>
      <w:r>
        <w:rPr>
          <w:rFonts w:ascii="仿宋" w:hAnsi="仿宋" w:eastAsia="仿宋"/>
          <w:color w:val="000000"/>
          <w:sz w:val="32"/>
          <w:szCs w:val="32"/>
        </w:rPr>
        <w:t>万元，占</w:t>
      </w:r>
      <w:r>
        <w:rPr>
          <w:rFonts w:hint="eastAsia" w:ascii="仿宋" w:hAnsi="仿宋" w:eastAsia="仿宋"/>
          <w:color w:val="000000"/>
          <w:sz w:val="32"/>
          <w:szCs w:val="32"/>
        </w:rPr>
        <w:t>16.20</w:t>
      </w:r>
      <w:r>
        <w:rPr>
          <w:rFonts w:ascii="仿宋" w:hAnsi="仿宋" w:eastAsia="仿宋"/>
          <w:color w:val="000000"/>
          <w:sz w:val="32"/>
          <w:szCs w:val="32"/>
        </w:rPr>
        <w:t>%；上缴上级支出</w:t>
      </w:r>
      <w:r>
        <w:rPr>
          <w:rFonts w:hint="eastAsia" w:ascii="仿宋" w:hAnsi="仿宋" w:eastAsia="仿宋"/>
          <w:color w:val="000000"/>
          <w:sz w:val="32"/>
          <w:szCs w:val="32"/>
        </w:rPr>
        <w:t>0.00</w:t>
      </w:r>
      <w:r>
        <w:rPr>
          <w:rFonts w:ascii="仿宋" w:hAnsi="仿宋" w:eastAsia="仿宋"/>
          <w:color w:val="000000"/>
          <w:sz w:val="32"/>
          <w:szCs w:val="32"/>
        </w:rPr>
        <w:t>万元，占</w:t>
      </w:r>
      <w:r>
        <w:rPr>
          <w:rFonts w:hint="eastAsia" w:ascii="仿宋" w:hAnsi="仿宋" w:eastAsia="仿宋"/>
          <w:color w:val="000000"/>
          <w:sz w:val="32"/>
          <w:szCs w:val="32"/>
        </w:rPr>
        <w:t>0.00</w:t>
      </w:r>
      <w:r>
        <w:rPr>
          <w:rFonts w:ascii="仿宋" w:hAnsi="仿宋" w:eastAsia="仿宋"/>
          <w:color w:val="000000"/>
          <w:sz w:val="32"/>
          <w:szCs w:val="32"/>
        </w:rPr>
        <w:t>%；经营支出</w:t>
      </w:r>
      <w:r>
        <w:rPr>
          <w:rFonts w:hint="eastAsia" w:ascii="仿宋" w:hAnsi="仿宋" w:eastAsia="仿宋"/>
          <w:color w:val="000000"/>
          <w:sz w:val="32"/>
          <w:szCs w:val="32"/>
        </w:rPr>
        <w:t>0.00</w:t>
      </w:r>
      <w:r>
        <w:rPr>
          <w:rFonts w:ascii="仿宋" w:hAnsi="仿宋" w:eastAsia="仿宋"/>
          <w:color w:val="000000"/>
          <w:sz w:val="32"/>
          <w:szCs w:val="32"/>
        </w:rPr>
        <w:t>万元，占</w:t>
      </w:r>
      <w:r>
        <w:rPr>
          <w:rFonts w:hint="eastAsia" w:ascii="仿宋" w:hAnsi="仿宋" w:eastAsia="仿宋"/>
          <w:color w:val="000000"/>
          <w:sz w:val="32"/>
          <w:szCs w:val="32"/>
        </w:rPr>
        <w:t>0.00</w:t>
      </w:r>
      <w:r>
        <w:rPr>
          <w:rFonts w:ascii="仿宋" w:hAnsi="仿宋" w:eastAsia="仿宋"/>
          <w:color w:val="000000"/>
          <w:sz w:val="32"/>
          <w:szCs w:val="32"/>
        </w:rPr>
        <w:t>%；对附属单位补助支出</w:t>
      </w:r>
      <w:r>
        <w:rPr>
          <w:rFonts w:hint="eastAsia" w:ascii="仿宋" w:hAnsi="仿宋" w:eastAsia="仿宋"/>
          <w:color w:val="000000"/>
          <w:sz w:val="32"/>
          <w:szCs w:val="32"/>
        </w:rPr>
        <w:t>0.00</w:t>
      </w:r>
      <w:r>
        <w:rPr>
          <w:rFonts w:ascii="仿宋" w:hAnsi="仿宋" w:eastAsia="仿宋"/>
          <w:color w:val="000000"/>
          <w:sz w:val="32"/>
          <w:szCs w:val="32"/>
        </w:rPr>
        <w:t>万元，占</w:t>
      </w:r>
      <w:r>
        <w:rPr>
          <w:rFonts w:hint="eastAsia" w:ascii="仿宋" w:hAnsi="仿宋" w:eastAsia="仿宋"/>
          <w:color w:val="000000"/>
          <w:sz w:val="32"/>
          <w:szCs w:val="32"/>
        </w:rPr>
        <w:t>0.00</w:t>
      </w:r>
      <w:r>
        <w:rPr>
          <w:rFonts w:ascii="仿宋" w:hAnsi="仿宋" w:eastAsia="仿宋"/>
          <w:color w:val="000000"/>
          <w:sz w:val="32"/>
          <w:szCs w:val="32"/>
        </w:rPr>
        <w:t>%。</w:t>
      </w:r>
    </w:p>
    <w:p>
      <w:pPr>
        <w:pStyle w:val="53"/>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黑体" w:eastAsia="黑体" w:cs="黑体"/>
          <w:kern w:val="2"/>
          <w:sz w:val="32"/>
          <w:szCs w:val="32"/>
          <w:lang w:val="en-US" w:eastAsia="zh-CN" w:bidi="ar-SA"/>
        </w:rPr>
      </w:pPr>
      <w:r>
        <w:rPr>
          <w:rFonts w:hint="eastAsia" w:ascii="黑体" w:eastAsia="黑体" w:cs="黑体"/>
          <w:kern w:val="2"/>
          <w:sz w:val="32"/>
          <w:szCs w:val="32"/>
          <w:lang w:val="en-US" w:eastAsia="zh-CN" w:bidi="ar-SA"/>
        </w:rPr>
        <w:t>三、目标实现情况</w:t>
      </w:r>
    </w:p>
    <w:p>
      <w:pPr>
        <w:pStyle w:val="7"/>
        <w:pageBreakBefore w:val="0"/>
        <w:widowControl w:val="0"/>
        <w:kinsoku/>
        <w:wordWrap/>
        <w:overflowPunct/>
        <w:topLinePunct w:val="0"/>
        <w:autoSpaceDE/>
        <w:autoSpaceDN/>
        <w:bidi w:val="0"/>
        <w:adjustRightInd/>
        <w:snapToGrid/>
        <w:spacing w:line="576" w:lineRule="exact"/>
        <w:textAlignment w:val="auto"/>
        <w:rPr>
          <w:rFonts w:ascii="仿宋" w:hAnsi="仿宋" w:eastAsia="仿宋"/>
          <w:color w:val="000000"/>
          <w:sz w:val="32"/>
          <w:szCs w:val="32"/>
        </w:rPr>
      </w:pPr>
      <w:r>
        <w:rPr>
          <w:rFonts w:hint="eastAsia" w:ascii="仿宋" w:hAnsi="仿宋" w:eastAsia="仿宋"/>
          <w:color w:val="000000"/>
          <w:sz w:val="32"/>
          <w:szCs w:val="32"/>
        </w:rPr>
        <w:t>2021</w:t>
      </w:r>
      <w:r>
        <w:rPr>
          <w:rFonts w:ascii="仿宋" w:hAnsi="仿宋" w:eastAsia="仿宋"/>
          <w:color w:val="000000"/>
          <w:sz w:val="32"/>
          <w:szCs w:val="32"/>
        </w:rPr>
        <w:t>年本年支出合计</w:t>
      </w:r>
      <w:r>
        <w:rPr>
          <w:rFonts w:hint="eastAsia" w:ascii="仿宋" w:hAnsi="仿宋" w:eastAsia="仿宋"/>
          <w:color w:val="000000"/>
          <w:sz w:val="32"/>
          <w:szCs w:val="32"/>
        </w:rPr>
        <w:t>393.32</w:t>
      </w:r>
      <w:r>
        <w:rPr>
          <w:rFonts w:ascii="仿宋" w:hAnsi="仿宋" w:eastAsia="仿宋"/>
          <w:color w:val="000000"/>
          <w:sz w:val="32"/>
          <w:szCs w:val="32"/>
        </w:rPr>
        <w:t>万元，其中：基本支出</w:t>
      </w:r>
      <w:r>
        <w:rPr>
          <w:rFonts w:hint="eastAsia" w:ascii="仿宋" w:hAnsi="仿宋" w:eastAsia="仿宋"/>
          <w:color w:val="000000"/>
          <w:sz w:val="32"/>
          <w:szCs w:val="32"/>
        </w:rPr>
        <w:t>329.59</w:t>
      </w:r>
      <w:r>
        <w:rPr>
          <w:rFonts w:ascii="仿宋" w:hAnsi="仿宋" w:eastAsia="仿宋"/>
          <w:color w:val="000000"/>
          <w:sz w:val="32"/>
          <w:szCs w:val="32"/>
        </w:rPr>
        <w:t>万元，占</w:t>
      </w:r>
      <w:r>
        <w:rPr>
          <w:rFonts w:hint="eastAsia" w:ascii="仿宋" w:hAnsi="仿宋" w:eastAsia="仿宋"/>
          <w:color w:val="000000"/>
          <w:sz w:val="32"/>
          <w:szCs w:val="32"/>
        </w:rPr>
        <w:t>83.80</w:t>
      </w:r>
      <w:r>
        <w:rPr>
          <w:rFonts w:ascii="仿宋" w:hAnsi="仿宋" w:eastAsia="仿宋"/>
          <w:color w:val="000000"/>
          <w:sz w:val="32"/>
          <w:szCs w:val="32"/>
        </w:rPr>
        <w:t>%；项目支出</w:t>
      </w:r>
      <w:r>
        <w:rPr>
          <w:rFonts w:hint="eastAsia" w:ascii="仿宋" w:hAnsi="仿宋" w:eastAsia="仿宋"/>
          <w:color w:val="000000"/>
          <w:sz w:val="32"/>
          <w:szCs w:val="32"/>
        </w:rPr>
        <w:t>63.73</w:t>
      </w:r>
      <w:r>
        <w:rPr>
          <w:rFonts w:ascii="仿宋" w:hAnsi="仿宋" w:eastAsia="仿宋"/>
          <w:color w:val="000000"/>
          <w:sz w:val="32"/>
          <w:szCs w:val="32"/>
        </w:rPr>
        <w:t>万元，占</w:t>
      </w:r>
      <w:r>
        <w:rPr>
          <w:rFonts w:hint="eastAsia" w:ascii="仿宋" w:hAnsi="仿宋" w:eastAsia="仿宋"/>
          <w:color w:val="000000"/>
          <w:sz w:val="32"/>
          <w:szCs w:val="32"/>
        </w:rPr>
        <w:t>16.20</w:t>
      </w:r>
      <w:r>
        <w:rPr>
          <w:rFonts w:ascii="仿宋" w:hAnsi="仿宋" w:eastAsia="仿宋"/>
          <w:color w:val="000000"/>
          <w:sz w:val="32"/>
          <w:szCs w:val="32"/>
        </w:rPr>
        <w:t>%；上缴上级支出</w:t>
      </w:r>
      <w:r>
        <w:rPr>
          <w:rFonts w:hint="eastAsia" w:ascii="仿宋" w:hAnsi="仿宋" w:eastAsia="仿宋"/>
          <w:color w:val="000000"/>
          <w:sz w:val="32"/>
          <w:szCs w:val="32"/>
        </w:rPr>
        <w:t>0.00</w:t>
      </w:r>
      <w:r>
        <w:rPr>
          <w:rFonts w:ascii="仿宋" w:hAnsi="仿宋" w:eastAsia="仿宋"/>
          <w:color w:val="000000"/>
          <w:sz w:val="32"/>
          <w:szCs w:val="32"/>
        </w:rPr>
        <w:t>万元，占</w:t>
      </w:r>
      <w:r>
        <w:rPr>
          <w:rFonts w:hint="eastAsia" w:ascii="仿宋" w:hAnsi="仿宋" w:eastAsia="仿宋"/>
          <w:color w:val="000000"/>
          <w:sz w:val="32"/>
          <w:szCs w:val="32"/>
        </w:rPr>
        <w:t>0.00</w:t>
      </w:r>
      <w:r>
        <w:rPr>
          <w:rFonts w:ascii="仿宋" w:hAnsi="仿宋" w:eastAsia="仿宋"/>
          <w:color w:val="000000"/>
          <w:sz w:val="32"/>
          <w:szCs w:val="32"/>
        </w:rPr>
        <w:t>%；经营支出</w:t>
      </w:r>
      <w:r>
        <w:rPr>
          <w:rFonts w:hint="eastAsia" w:ascii="仿宋" w:hAnsi="仿宋" w:eastAsia="仿宋"/>
          <w:color w:val="000000"/>
          <w:sz w:val="32"/>
          <w:szCs w:val="32"/>
        </w:rPr>
        <w:t>0.00</w:t>
      </w:r>
      <w:r>
        <w:rPr>
          <w:rFonts w:ascii="仿宋" w:hAnsi="仿宋" w:eastAsia="仿宋"/>
          <w:color w:val="000000"/>
          <w:sz w:val="32"/>
          <w:szCs w:val="32"/>
        </w:rPr>
        <w:t>万元，占</w:t>
      </w:r>
      <w:r>
        <w:rPr>
          <w:rFonts w:hint="eastAsia" w:ascii="仿宋" w:hAnsi="仿宋" w:eastAsia="仿宋"/>
          <w:color w:val="000000"/>
          <w:sz w:val="32"/>
          <w:szCs w:val="32"/>
        </w:rPr>
        <w:t>0.00</w:t>
      </w:r>
      <w:r>
        <w:rPr>
          <w:rFonts w:ascii="仿宋" w:hAnsi="仿宋" w:eastAsia="仿宋"/>
          <w:color w:val="000000"/>
          <w:sz w:val="32"/>
          <w:szCs w:val="32"/>
        </w:rPr>
        <w:t>%；对附属单位补助支出</w:t>
      </w:r>
      <w:r>
        <w:rPr>
          <w:rFonts w:hint="eastAsia" w:ascii="仿宋" w:hAnsi="仿宋" w:eastAsia="仿宋"/>
          <w:color w:val="000000"/>
          <w:sz w:val="32"/>
          <w:szCs w:val="32"/>
        </w:rPr>
        <w:t>0.00</w:t>
      </w:r>
      <w:r>
        <w:rPr>
          <w:rFonts w:ascii="仿宋" w:hAnsi="仿宋" w:eastAsia="仿宋"/>
          <w:color w:val="000000"/>
          <w:sz w:val="32"/>
          <w:szCs w:val="32"/>
        </w:rPr>
        <w:t>万元，占</w:t>
      </w:r>
      <w:r>
        <w:rPr>
          <w:rFonts w:hint="eastAsia" w:ascii="仿宋" w:hAnsi="仿宋" w:eastAsia="仿宋"/>
          <w:color w:val="000000"/>
          <w:sz w:val="32"/>
          <w:szCs w:val="32"/>
        </w:rPr>
        <w:t>0.00</w:t>
      </w:r>
      <w:r>
        <w:rPr>
          <w:rFonts w:ascii="仿宋" w:hAnsi="仿宋" w:eastAsia="仿宋"/>
          <w:color w:val="000000"/>
          <w:sz w:val="32"/>
          <w:szCs w:val="32"/>
        </w:rPr>
        <w:t>%。</w:t>
      </w:r>
    </w:p>
    <w:p>
      <w:pPr>
        <w:pStyle w:val="53"/>
        <w:keepNext w:val="0"/>
        <w:keepLines w:val="0"/>
        <w:pageBreakBefore w:val="0"/>
        <w:widowControl w:val="0"/>
        <w:kinsoku/>
        <w:wordWrap/>
        <w:overflowPunct/>
        <w:topLinePunct w:val="0"/>
        <w:autoSpaceDE/>
        <w:autoSpaceDN/>
        <w:bidi w:val="0"/>
        <w:spacing w:line="576" w:lineRule="exact"/>
        <w:ind w:firstLine="640" w:firstLineChars="200"/>
        <w:rPr>
          <w:rFonts w:hint="eastAsia" w:ascii="黑体" w:eastAsia="黑体" w:cs="Times New Roman"/>
          <w:lang w:val="en-US" w:eastAsia="zh-CN"/>
        </w:rPr>
      </w:pPr>
      <w:r>
        <w:rPr>
          <w:rFonts w:hint="eastAsia" w:ascii="黑体" w:eastAsia="黑体" w:cs="Times New Roman"/>
          <w:lang w:val="en-US" w:eastAsia="zh-CN"/>
        </w:rPr>
        <w:t>四、存在的主要问题</w:t>
      </w:r>
    </w:p>
    <w:p>
      <w:pPr>
        <w:pStyle w:val="53"/>
        <w:keepNext w:val="0"/>
        <w:keepLines w:val="0"/>
        <w:pageBreakBefore w:val="0"/>
        <w:widowControl w:val="0"/>
        <w:kinsoku/>
        <w:wordWrap/>
        <w:overflowPunct/>
        <w:topLinePunct w:val="0"/>
        <w:autoSpaceDE/>
        <w:autoSpaceDN/>
        <w:bidi w:val="0"/>
        <w:adjustRightInd/>
        <w:snapToGrid w:val="0"/>
        <w:spacing w:line="576" w:lineRule="exact"/>
        <w:ind w:firstLine="640" w:firstLineChars="200"/>
        <w:textAlignment w:val="auto"/>
        <w:outlineLvl w:val="9"/>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部门支出预算和绩效评价工作还存在一些具体问题，一是单位对部门支出绩效评价工作的认识理解不够，年初预设的绩效指标不合适、指标较粗；二是公共管理无法用量化指标来进行考评；三是单位在预算编制时经济科目使用不当，造成预算执行时存在跨科目执行的情况。</w:t>
      </w:r>
    </w:p>
    <w:p>
      <w:pPr>
        <w:pStyle w:val="53"/>
        <w:keepNext w:val="0"/>
        <w:keepLines w:val="0"/>
        <w:pageBreakBefore w:val="0"/>
        <w:widowControl w:val="0"/>
        <w:kinsoku/>
        <w:wordWrap/>
        <w:overflowPunct/>
        <w:topLinePunct w:val="0"/>
        <w:autoSpaceDE/>
        <w:autoSpaceDN/>
        <w:bidi w:val="0"/>
        <w:adjustRightInd/>
        <w:snapToGrid w:val="0"/>
        <w:spacing w:line="576" w:lineRule="exact"/>
        <w:ind w:firstLine="640" w:firstLineChars="200"/>
        <w:textAlignment w:val="auto"/>
        <w:outlineLvl w:val="9"/>
        <w:rPr>
          <w:rFonts w:hint="eastAsia" w:ascii="黑体" w:eastAsia="黑体"/>
          <w:color w:val="auto"/>
          <w:szCs w:val="21"/>
          <w:highlight w:val="none"/>
          <w:lang w:eastAsia="zh-CN"/>
        </w:rPr>
      </w:pPr>
      <w:r>
        <w:rPr>
          <w:rFonts w:hint="eastAsia" w:ascii="仿宋_GB2312"/>
          <w:kern w:val="0"/>
          <w:sz w:val="32"/>
          <w:szCs w:val="32"/>
          <w:lang w:val="en-US" w:eastAsia="zh-CN"/>
        </w:rPr>
        <w:t xml:space="preserve">    </w:t>
      </w:r>
      <w:r>
        <w:rPr>
          <w:rFonts w:hint="eastAsia" w:ascii="黑体" w:eastAsia="黑体"/>
          <w:color w:val="auto"/>
          <w:szCs w:val="21"/>
          <w:highlight w:val="none"/>
          <w:lang w:val="en-US" w:eastAsia="zh-CN"/>
        </w:rPr>
        <w:t>五</w:t>
      </w:r>
      <w:r>
        <w:rPr>
          <w:rFonts w:hint="eastAsia" w:ascii="黑体" w:eastAsia="黑体"/>
          <w:color w:val="auto"/>
          <w:szCs w:val="21"/>
          <w:highlight w:val="none"/>
        </w:rPr>
        <w:t>、</w:t>
      </w:r>
      <w:r>
        <w:rPr>
          <w:rFonts w:hint="eastAsia" w:ascii="黑体" w:eastAsia="黑体"/>
          <w:color w:val="auto"/>
          <w:szCs w:val="21"/>
          <w:highlight w:val="none"/>
          <w:lang w:val="en-US" w:eastAsia="zh-CN"/>
        </w:rPr>
        <w:t>整改措施及建议</w:t>
      </w:r>
    </w:p>
    <w:p>
      <w:pPr>
        <w:pStyle w:val="53"/>
        <w:keepNext w:val="0"/>
        <w:keepLines w:val="0"/>
        <w:pageBreakBefore w:val="0"/>
        <w:widowControl w:val="0"/>
        <w:kinsoku/>
        <w:wordWrap/>
        <w:overflowPunct/>
        <w:topLinePunct w:val="0"/>
        <w:autoSpaceDE/>
        <w:autoSpaceDN/>
        <w:bidi w:val="0"/>
        <w:spacing w:line="576" w:lineRule="exact"/>
        <w:ind w:firstLine="640" w:firstLineChars="200"/>
        <w:textAlignment w:val="auto"/>
        <w:rPr>
          <w:rFonts w:ascii="黑体" w:eastAsia="黑体"/>
          <w:sz w:val="30"/>
          <w:szCs w:val="30"/>
        </w:rPr>
      </w:pPr>
      <w:r>
        <w:rPr>
          <w:rFonts w:hint="eastAsia" w:ascii="仿宋_GB2312" w:eastAsia="仿宋_GB2312" w:cs="仿宋_GB2312"/>
          <w:kern w:val="0"/>
          <w:sz w:val="32"/>
          <w:szCs w:val="32"/>
        </w:rPr>
        <w:t>绩效评价是深入贯彻落实新《预算法》要求的各项重要内容，建议财政加强对绩效评价工作的培训和指导，进一步优化绩效考核指标体系，做到合理性与可操作性的有机统一。</w:t>
      </w:r>
    </w:p>
    <w:p>
      <w:pPr>
        <w:pStyle w:val="69"/>
        <w:keepNext w:val="0"/>
        <w:keepLines w:val="0"/>
        <w:pageBreakBefore w:val="0"/>
        <w:widowControl w:val="0"/>
        <w:kinsoku/>
        <w:wordWrap/>
        <w:overflowPunct/>
        <w:topLinePunct w:val="0"/>
        <w:autoSpaceDE/>
        <w:autoSpaceDN/>
        <w:bidi w:val="0"/>
        <w:adjustRightInd/>
        <w:snapToGrid/>
        <w:spacing w:line="576" w:lineRule="exact"/>
        <w:textAlignment w:val="auto"/>
        <w:rPr>
          <w:rFonts w:ascii="仿宋_GB2312" w:eastAsia="仿宋_GB2312"/>
          <w:color w:val="000000"/>
          <w:sz w:val="32"/>
          <w:szCs w:val="32"/>
          <w:shd w:val="clear" w:color="auto" w:fill="FFFFFF"/>
        </w:rPr>
      </w:pPr>
    </w:p>
    <w:p>
      <w:pPr>
        <w:pStyle w:val="69"/>
        <w:keepNext w:val="0"/>
        <w:keepLines w:val="0"/>
        <w:pageBreakBefore w:val="0"/>
        <w:widowControl w:val="0"/>
        <w:kinsoku/>
        <w:wordWrap/>
        <w:overflowPunct/>
        <w:topLinePunct w:val="0"/>
        <w:autoSpaceDE/>
        <w:autoSpaceDN/>
        <w:bidi w:val="0"/>
        <w:adjustRightInd/>
        <w:snapToGrid/>
        <w:spacing w:line="576" w:lineRule="exact"/>
        <w:textAlignment w:val="auto"/>
        <w:rPr>
          <w:rFonts w:ascii="仿宋_GB2312" w:eastAsia="仿宋_GB2312"/>
          <w:color w:val="000000"/>
          <w:sz w:val="32"/>
          <w:szCs w:val="32"/>
          <w:shd w:val="clear" w:color="auto" w:fill="FFFFFF"/>
        </w:rPr>
      </w:pPr>
    </w:p>
    <w:p>
      <w:pPr>
        <w:pStyle w:val="69"/>
        <w:keepNext w:val="0"/>
        <w:keepLines w:val="0"/>
        <w:pageBreakBefore w:val="0"/>
        <w:widowControl w:val="0"/>
        <w:kinsoku/>
        <w:wordWrap/>
        <w:overflowPunct/>
        <w:topLinePunct w:val="0"/>
        <w:autoSpaceDE/>
        <w:autoSpaceDN/>
        <w:bidi w:val="0"/>
        <w:adjustRightInd/>
        <w:snapToGrid/>
        <w:spacing w:line="576" w:lineRule="exact"/>
        <w:textAlignment w:val="auto"/>
        <w:rPr>
          <w:rFonts w:ascii="仿宋_GB2312" w:eastAsia="仿宋_GB2312"/>
          <w:color w:val="000000"/>
          <w:sz w:val="32"/>
          <w:szCs w:val="32"/>
          <w:shd w:val="clear" w:color="auto" w:fill="FFFFFF"/>
        </w:rPr>
      </w:pPr>
    </w:p>
    <w:p>
      <w:pPr>
        <w:pStyle w:val="69"/>
        <w:keepNext w:val="0"/>
        <w:keepLines w:val="0"/>
        <w:pageBreakBefore w:val="0"/>
        <w:widowControl w:val="0"/>
        <w:kinsoku/>
        <w:wordWrap/>
        <w:overflowPunct/>
        <w:topLinePunct w:val="0"/>
        <w:autoSpaceDE/>
        <w:autoSpaceDN/>
        <w:bidi w:val="0"/>
        <w:adjustRightInd/>
        <w:snapToGrid/>
        <w:spacing w:line="576" w:lineRule="exact"/>
        <w:textAlignment w:val="auto"/>
        <w:rPr>
          <w:rFonts w:ascii="仿宋_GB2312" w:eastAsia="仿宋_GB2312"/>
          <w:color w:val="000000"/>
          <w:sz w:val="32"/>
          <w:szCs w:val="32"/>
          <w:shd w:val="clear" w:color="auto" w:fill="FFFFFF"/>
        </w:rPr>
      </w:pPr>
    </w:p>
    <w:p>
      <w:pPr>
        <w:pStyle w:val="69"/>
        <w:keepNext w:val="0"/>
        <w:keepLines w:val="0"/>
        <w:pageBreakBefore w:val="0"/>
        <w:widowControl w:val="0"/>
        <w:kinsoku/>
        <w:wordWrap/>
        <w:overflowPunct/>
        <w:topLinePunct w:val="0"/>
        <w:autoSpaceDE/>
        <w:autoSpaceDN/>
        <w:bidi w:val="0"/>
        <w:adjustRightInd/>
        <w:snapToGrid/>
        <w:spacing w:line="576" w:lineRule="exact"/>
        <w:textAlignment w:val="auto"/>
        <w:rPr>
          <w:rFonts w:ascii="仿宋_GB2312" w:eastAsia="仿宋_GB2312"/>
          <w:color w:val="000000"/>
          <w:sz w:val="32"/>
          <w:szCs w:val="32"/>
          <w:shd w:val="clear" w:color="auto" w:fill="FFFFFF"/>
        </w:rPr>
      </w:pPr>
    </w:p>
    <w:p>
      <w:pPr>
        <w:pStyle w:val="69"/>
        <w:keepNext w:val="0"/>
        <w:keepLines w:val="0"/>
        <w:pageBreakBefore w:val="0"/>
        <w:widowControl w:val="0"/>
        <w:kinsoku/>
        <w:wordWrap/>
        <w:overflowPunct/>
        <w:topLinePunct w:val="0"/>
        <w:autoSpaceDE/>
        <w:autoSpaceDN/>
        <w:bidi w:val="0"/>
        <w:adjustRightInd/>
        <w:snapToGrid/>
        <w:spacing w:line="576" w:lineRule="exact"/>
        <w:textAlignment w:val="auto"/>
        <w:rPr>
          <w:rFonts w:ascii="仿宋_GB2312" w:eastAsia="仿宋_GB2312"/>
          <w:color w:val="000000"/>
          <w:sz w:val="32"/>
          <w:szCs w:val="32"/>
          <w:shd w:val="clear" w:color="auto" w:fill="FFFFFF"/>
        </w:rPr>
      </w:pPr>
    </w:p>
    <w:p>
      <w:pPr>
        <w:spacing w:line="600" w:lineRule="exact"/>
        <w:jc w:val="center"/>
        <w:outlineLvl w:val="0"/>
        <w:rPr>
          <w:rStyle w:val="70"/>
          <w:rFonts w:ascii="黑体" w:eastAsia="黑体"/>
          <w:b w:val="0"/>
        </w:rPr>
      </w:pPr>
      <w:bookmarkStart w:id="74" w:name="_Toc79163885"/>
      <w:bookmarkStart w:id="75" w:name="_Toc79163635"/>
      <w:bookmarkStart w:id="76" w:name="_Toc111208512"/>
      <w:r>
        <w:rPr>
          <w:rFonts w:hint="eastAsia" w:ascii="仿宋_GB2312" w:eastAsia="仿宋_GB2312"/>
          <w:color w:val="000000"/>
          <w:sz w:val="32"/>
          <w:szCs w:val="32"/>
          <w:shd w:val="clear" w:color="auto" w:fill="FFFFFF"/>
          <w:lang w:val="en-US" w:eastAsia="zh-CN"/>
        </w:rPr>
        <w:t xml:space="preserve"> </w:t>
      </w:r>
      <w:bookmarkEnd w:id="74"/>
      <w:bookmarkEnd w:id="75"/>
      <w:bookmarkEnd w:id="76"/>
      <w:bookmarkStart w:id="77" w:name="_Toc15396618"/>
      <w:bookmarkStart w:id="78" w:name="_Toc26109"/>
      <w:r>
        <w:rPr>
          <w:rFonts w:hint="eastAsia" w:ascii="黑体" w:eastAsia="黑体"/>
          <w:color w:val="000000"/>
          <w:sz w:val="44"/>
          <w:szCs w:val="44"/>
        </w:rPr>
        <w:t>第</w:t>
      </w:r>
      <w:r>
        <w:rPr>
          <w:rStyle w:val="70"/>
          <w:rFonts w:hint="eastAsia" w:ascii="黑体" w:eastAsia="黑体"/>
          <w:b w:val="0"/>
        </w:rPr>
        <w:t>五部分</w:t>
      </w:r>
      <w:r>
        <w:rPr>
          <w:rStyle w:val="70"/>
          <w:rFonts w:ascii="黑体" w:eastAsia="黑体"/>
          <w:b w:val="0"/>
        </w:rPr>
        <w:t xml:space="preserve"> </w:t>
      </w:r>
      <w:r>
        <w:rPr>
          <w:rStyle w:val="70"/>
          <w:rFonts w:hint="eastAsia" w:ascii="黑体" w:eastAsia="黑体"/>
          <w:b w:val="0"/>
        </w:rPr>
        <w:t>附表</w:t>
      </w:r>
      <w:bookmarkEnd w:id="77"/>
      <w:bookmarkEnd w:id="78"/>
    </w:p>
    <w:p>
      <w:pPr>
        <w:pStyle w:val="5"/>
        <w:rPr>
          <w:rFonts w:ascii="仿宋" w:eastAsia="仿宋"/>
          <w:color w:val="000000"/>
        </w:rPr>
      </w:pPr>
      <w:bookmarkStart w:id="79" w:name="_Toc79163886"/>
      <w:bookmarkStart w:id="80" w:name="_Toc15396619"/>
      <w:bookmarkStart w:id="81" w:name="_Toc79163636"/>
      <w:bookmarkStart w:id="82" w:name="_Toc5226"/>
      <w:r>
        <w:rPr>
          <w:rFonts w:hint="eastAsia" w:ascii="仿宋" w:eastAsia="仿宋"/>
          <w:b w:val="0"/>
          <w:color w:val="000000"/>
        </w:rPr>
        <w:t>一、收</w:t>
      </w:r>
      <w:r>
        <w:rPr>
          <w:rStyle w:val="71"/>
          <w:rFonts w:hint="eastAsia" w:ascii="仿宋" w:eastAsia="仿宋"/>
          <w:b w:val="0"/>
          <w:bCs w:val="0"/>
        </w:rPr>
        <w:t>入支出决算总表</w:t>
      </w:r>
      <w:bookmarkEnd w:id="79"/>
      <w:bookmarkEnd w:id="80"/>
      <w:bookmarkEnd w:id="81"/>
      <w:bookmarkEnd w:id="82"/>
    </w:p>
    <w:p>
      <w:pPr>
        <w:pStyle w:val="5"/>
        <w:rPr>
          <w:rFonts w:ascii="仿宋" w:eastAsia="仿宋"/>
          <w:color w:val="000000"/>
        </w:rPr>
      </w:pPr>
      <w:bookmarkStart w:id="83" w:name="_Toc15396620"/>
      <w:bookmarkStart w:id="84" w:name="_Toc79163887"/>
      <w:bookmarkStart w:id="85" w:name="_Toc79163637"/>
      <w:bookmarkStart w:id="86" w:name="_Toc23037"/>
      <w:r>
        <w:rPr>
          <w:rFonts w:hint="eastAsia" w:ascii="仿宋" w:eastAsia="仿宋"/>
          <w:b w:val="0"/>
          <w:color w:val="000000"/>
        </w:rPr>
        <w:t>二、收</w:t>
      </w:r>
      <w:r>
        <w:rPr>
          <w:rStyle w:val="71"/>
          <w:rFonts w:hint="eastAsia" w:ascii="仿宋" w:eastAsia="仿宋"/>
          <w:b w:val="0"/>
          <w:bCs w:val="0"/>
        </w:rPr>
        <w:t>入决算表</w:t>
      </w:r>
      <w:bookmarkEnd w:id="83"/>
      <w:bookmarkEnd w:id="84"/>
      <w:bookmarkEnd w:id="85"/>
      <w:bookmarkEnd w:id="86"/>
    </w:p>
    <w:p>
      <w:pPr>
        <w:pStyle w:val="5"/>
        <w:rPr>
          <w:rFonts w:ascii="仿宋" w:eastAsia="仿宋"/>
          <w:color w:val="000000"/>
        </w:rPr>
      </w:pPr>
      <w:bookmarkStart w:id="87" w:name="_Toc79163888"/>
      <w:bookmarkStart w:id="88" w:name="_Toc15396621"/>
      <w:bookmarkStart w:id="89" w:name="_Toc79163638"/>
      <w:bookmarkStart w:id="90" w:name="_Toc5028"/>
      <w:r>
        <w:rPr>
          <w:rStyle w:val="71"/>
          <w:rFonts w:hint="eastAsia" w:ascii="仿宋" w:eastAsia="仿宋"/>
          <w:b w:val="0"/>
          <w:bCs w:val="0"/>
        </w:rPr>
        <w:t>三、</w:t>
      </w:r>
      <w:r>
        <w:rPr>
          <w:rFonts w:hint="eastAsia" w:ascii="仿宋" w:eastAsia="仿宋"/>
          <w:b w:val="0"/>
          <w:color w:val="000000"/>
        </w:rPr>
        <w:t>支</w:t>
      </w:r>
      <w:r>
        <w:rPr>
          <w:rStyle w:val="71"/>
          <w:rFonts w:hint="eastAsia" w:ascii="仿宋" w:eastAsia="仿宋"/>
          <w:b w:val="0"/>
          <w:bCs w:val="0"/>
        </w:rPr>
        <w:t>出决算表</w:t>
      </w:r>
      <w:bookmarkEnd w:id="87"/>
      <w:bookmarkEnd w:id="88"/>
      <w:bookmarkEnd w:id="89"/>
      <w:bookmarkEnd w:id="90"/>
    </w:p>
    <w:p>
      <w:pPr>
        <w:pStyle w:val="5"/>
        <w:rPr>
          <w:rFonts w:ascii="仿宋" w:eastAsia="仿宋"/>
          <w:b w:val="0"/>
          <w:color w:val="000000"/>
        </w:rPr>
      </w:pPr>
      <w:bookmarkStart w:id="91" w:name="_Toc15396622"/>
      <w:bookmarkStart w:id="92" w:name="_Toc79163639"/>
      <w:bookmarkStart w:id="93" w:name="_Toc79163889"/>
      <w:bookmarkStart w:id="94" w:name="_Toc4285"/>
      <w:r>
        <w:rPr>
          <w:rStyle w:val="71"/>
          <w:rFonts w:hint="eastAsia" w:ascii="仿宋" w:eastAsia="仿宋"/>
          <w:b w:val="0"/>
          <w:bCs w:val="0"/>
        </w:rPr>
        <w:t>四、</w:t>
      </w:r>
      <w:r>
        <w:rPr>
          <w:rFonts w:hint="eastAsia" w:ascii="仿宋" w:eastAsia="仿宋"/>
          <w:b w:val="0"/>
          <w:color w:val="000000"/>
        </w:rPr>
        <w:t>财</w:t>
      </w:r>
      <w:r>
        <w:rPr>
          <w:rStyle w:val="71"/>
          <w:rFonts w:hint="eastAsia" w:ascii="仿宋" w:eastAsia="仿宋"/>
          <w:b w:val="0"/>
          <w:bCs w:val="0"/>
        </w:rPr>
        <w:t>政拨款收入支出决算总表</w:t>
      </w:r>
      <w:bookmarkEnd w:id="91"/>
      <w:bookmarkEnd w:id="92"/>
      <w:bookmarkEnd w:id="93"/>
      <w:bookmarkEnd w:id="94"/>
    </w:p>
    <w:p>
      <w:pPr>
        <w:pStyle w:val="5"/>
        <w:rPr>
          <w:rStyle w:val="71"/>
          <w:rFonts w:ascii="仿宋" w:eastAsia="仿宋"/>
          <w:b w:val="0"/>
          <w:bCs w:val="0"/>
        </w:rPr>
      </w:pPr>
      <w:bookmarkStart w:id="95" w:name="_Toc79163890"/>
      <w:bookmarkStart w:id="96" w:name="_Toc79163640"/>
      <w:bookmarkStart w:id="97" w:name="_Toc15396623"/>
      <w:bookmarkStart w:id="98" w:name="_Toc32695"/>
      <w:r>
        <w:rPr>
          <w:rStyle w:val="71"/>
          <w:rFonts w:hint="eastAsia" w:ascii="仿宋" w:eastAsia="仿宋"/>
          <w:b w:val="0"/>
          <w:bCs w:val="0"/>
        </w:rPr>
        <w:t>五、</w:t>
      </w:r>
      <w:r>
        <w:rPr>
          <w:rFonts w:hint="eastAsia" w:ascii="仿宋" w:eastAsia="仿宋"/>
          <w:b w:val="0"/>
          <w:color w:val="000000"/>
        </w:rPr>
        <w:t>财</w:t>
      </w:r>
      <w:r>
        <w:rPr>
          <w:rStyle w:val="71"/>
          <w:rFonts w:hint="eastAsia" w:ascii="仿宋" w:eastAsia="仿宋"/>
          <w:b w:val="0"/>
          <w:bCs w:val="0"/>
        </w:rPr>
        <w:t>政拨款支出决算明细表</w:t>
      </w:r>
      <w:bookmarkEnd w:id="95"/>
      <w:bookmarkEnd w:id="96"/>
      <w:bookmarkEnd w:id="97"/>
      <w:bookmarkEnd w:id="98"/>
      <w:bookmarkStart w:id="99" w:name="_Toc15396624"/>
    </w:p>
    <w:p>
      <w:pPr>
        <w:pStyle w:val="5"/>
        <w:rPr>
          <w:rFonts w:ascii="仿宋" w:eastAsia="仿宋"/>
          <w:color w:val="000000"/>
        </w:rPr>
      </w:pPr>
      <w:bookmarkStart w:id="100" w:name="_Toc79163891"/>
      <w:bookmarkStart w:id="101" w:name="_Toc79163641"/>
      <w:bookmarkStart w:id="102" w:name="_Toc4779"/>
      <w:r>
        <w:rPr>
          <w:rStyle w:val="71"/>
          <w:rFonts w:hint="eastAsia" w:ascii="仿宋" w:eastAsia="仿宋"/>
          <w:b w:val="0"/>
          <w:bCs w:val="0"/>
        </w:rPr>
        <w:t>六、</w:t>
      </w:r>
      <w:r>
        <w:rPr>
          <w:rFonts w:hint="eastAsia" w:ascii="仿宋" w:eastAsia="仿宋"/>
          <w:b w:val="0"/>
          <w:color w:val="000000"/>
        </w:rPr>
        <w:t>一</w:t>
      </w:r>
      <w:r>
        <w:rPr>
          <w:rStyle w:val="71"/>
          <w:rFonts w:hint="eastAsia" w:ascii="仿宋" w:eastAsia="仿宋"/>
          <w:b w:val="0"/>
          <w:bCs w:val="0"/>
        </w:rPr>
        <w:t>般公共预算财政拨款支出决算表</w:t>
      </w:r>
      <w:bookmarkEnd w:id="99"/>
      <w:bookmarkEnd w:id="100"/>
      <w:bookmarkEnd w:id="101"/>
      <w:bookmarkEnd w:id="102"/>
    </w:p>
    <w:p>
      <w:pPr>
        <w:pStyle w:val="5"/>
        <w:rPr>
          <w:rFonts w:ascii="仿宋" w:eastAsia="仿宋"/>
          <w:color w:val="000000"/>
        </w:rPr>
      </w:pPr>
      <w:bookmarkStart w:id="103" w:name="_Toc79163892"/>
      <w:bookmarkStart w:id="104" w:name="_Toc15396625"/>
      <w:bookmarkStart w:id="105" w:name="_Toc79163642"/>
      <w:bookmarkStart w:id="106" w:name="_Toc16923"/>
      <w:r>
        <w:rPr>
          <w:rStyle w:val="71"/>
          <w:rFonts w:hint="eastAsia" w:ascii="仿宋" w:eastAsia="仿宋"/>
          <w:b w:val="0"/>
          <w:bCs w:val="0"/>
        </w:rPr>
        <w:t>七、</w:t>
      </w:r>
      <w:r>
        <w:rPr>
          <w:rFonts w:hint="eastAsia" w:ascii="仿宋" w:eastAsia="仿宋"/>
          <w:b w:val="0"/>
          <w:color w:val="000000"/>
        </w:rPr>
        <w:t>一</w:t>
      </w:r>
      <w:r>
        <w:rPr>
          <w:rStyle w:val="71"/>
          <w:rFonts w:hint="eastAsia" w:ascii="仿宋" w:eastAsia="仿宋"/>
          <w:b w:val="0"/>
          <w:bCs w:val="0"/>
        </w:rPr>
        <w:t>般公共预算财政拨款支出决算明细表</w:t>
      </w:r>
      <w:bookmarkEnd w:id="103"/>
      <w:bookmarkEnd w:id="104"/>
      <w:bookmarkEnd w:id="105"/>
      <w:bookmarkEnd w:id="106"/>
    </w:p>
    <w:p>
      <w:pPr>
        <w:pStyle w:val="5"/>
        <w:rPr>
          <w:rFonts w:ascii="仿宋" w:eastAsia="仿宋"/>
          <w:color w:val="000000"/>
        </w:rPr>
      </w:pPr>
      <w:bookmarkStart w:id="107" w:name="_Toc79163643"/>
      <w:bookmarkStart w:id="108" w:name="_Toc15396626"/>
      <w:bookmarkStart w:id="109" w:name="_Toc79163893"/>
      <w:bookmarkStart w:id="110" w:name="_Toc8982"/>
      <w:r>
        <w:rPr>
          <w:rStyle w:val="71"/>
          <w:rFonts w:hint="eastAsia" w:ascii="仿宋" w:eastAsia="仿宋"/>
          <w:b w:val="0"/>
          <w:bCs w:val="0"/>
        </w:rPr>
        <w:t>八、</w:t>
      </w:r>
      <w:r>
        <w:rPr>
          <w:rFonts w:hint="eastAsia" w:ascii="仿宋" w:eastAsia="仿宋"/>
          <w:b w:val="0"/>
          <w:color w:val="000000"/>
        </w:rPr>
        <w:t>一</w:t>
      </w:r>
      <w:r>
        <w:rPr>
          <w:rStyle w:val="71"/>
          <w:rFonts w:hint="eastAsia" w:ascii="仿宋" w:eastAsia="仿宋"/>
          <w:b w:val="0"/>
          <w:bCs w:val="0"/>
        </w:rPr>
        <w:t>般公共预算财政拨款基本支出决算表</w:t>
      </w:r>
      <w:bookmarkEnd w:id="107"/>
      <w:bookmarkEnd w:id="108"/>
      <w:bookmarkEnd w:id="109"/>
      <w:bookmarkEnd w:id="110"/>
    </w:p>
    <w:p>
      <w:pPr>
        <w:pStyle w:val="5"/>
        <w:rPr>
          <w:rFonts w:ascii="仿宋" w:eastAsia="仿宋"/>
          <w:color w:val="000000"/>
        </w:rPr>
      </w:pPr>
      <w:bookmarkStart w:id="111" w:name="_Toc79163644"/>
      <w:bookmarkStart w:id="112" w:name="_Toc15396627"/>
      <w:bookmarkStart w:id="113" w:name="_Toc79163894"/>
      <w:bookmarkStart w:id="114" w:name="_Toc31154"/>
      <w:r>
        <w:rPr>
          <w:rStyle w:val="71"/>
          <w:rFonts w:hint="eastAsia" w:ascii="仿宋" w:eastAsia="仿宋"/>
          <w:b w:val="0"/>
          <w:bCs w:val="0"/>
        </w:rPr>
        <w:t>九、</w:t>
      </w:r>
      <w:r>
        <w:rPr>
          <w:rFonts w:hint="eastAsia" w:ascii="仿宋" w:eastAsia="仿宋"/>
          <w:b w:val="0"/>
          <w:color w:val="000000"/>
        </w:rPr>
        <w:t>一</w:t>
      </w:r>
      <w:r>
        <w:rPr>
          <w:rStyle w:val="71"/>
          <w:rFonts w:hint="eastAsia" w:ascii="仿宋" w:eastAsia="仿宋"/>
          <w:b w:val="0"/>
          <w:bCs w:val="0"/>
        </w:rPr>
        <w:t>般公共预算财政拨款项目支出决算表</w:t>
      </w:r>
      <w:bookmarkEnd w:id="111"/>
      <w:bookmarkEnd w:id="112"/>
      <w:bookmarkEnd w:id="113"/>
      <w:bookmarkEnd w:id="114"/>
    </w:p>
    <w:p>
      <w:pPr>
        <w:pStyle w:val="5"/>
        <w:rPr>
          <w:rFonts w:ascii="仿宋" w:eastAsia="仿宋"/>
          <w:color w:val="000000"/>
        </w:rPr>
      </w:pPr>
      <w:bookmarkStart w:id="115" w:name="_Toc15396628"/>
      <w:bookmarkStart w:id="116" w:name="_Toc79163645"/>
      <w:bookmarkStart w:id="117" w:name="_Toc79163895"/>
      <w:bookmarkStart w:id="118" w:name="_Toc29412"/>
      <w:r>
        <w:rPr>
          <w:rStyle w:val="71"/>
          <w:rFonts w:hint="eastAsia" w:ascii="仿宋" w:eastAsia="仿宋"/>
          <w:b w:val="0"/>
          <w:bCs w:val="0"/>
        </w:rPr>
        <w:t>十、</w:t>
      </w:r>
      <w:r>
        <w:rPr>
          <w:rFonts w:hint="eastAsia" w:ascii="仿宋" w:eastAsia="仿宋"/>
          <w:b w:val="0"/>
          <w:color w:val="000000"/>
        </w:rPr>
        <w:t>一</w:t>
      </w:r>
      <w:r>
        <w:rPr>
          <w:rStyle w:val="71"/>
          <w:rFonts w:hint="eastAsia" w:ascii="仿宋" w:eastAsia="仿宋"/>
          <w:b w:val="0"/>
          <w:bCs w:val="0"/>
        </w:rPr>
        <w:t>般公共预算财政拨款“三公”经费支出决算表</w:t>
      </w:r>
      <w:bookmarkEnd w:id="115"/>
      <w:bookmarkEnd w:id="116"/>
      <w:bookmarkEnd w:id="117"/>
      <w:bookmarkEnd w:id="118"/>
    </w:p>
    <w:p>
      <w:pPr>
        <w:pStyle w:val="5"/>
        <w:rPr>
          <w:rFonts w:ascii="仿宋" w:eastAsia="仿宋"/>
          <w:color w:val="000000"/>
        </w:rPr>
      </w:pPr>
      <w:bookmarkStart w:id="119" w:name="_Toc15396629"/>
      <w:bookmarkStart w:id="120" w:name="_Toc79163896"/>
      <w:bookmarkStart w:id="121" w:name="_Toc79163646"/>
      <w:bookmarkStart w:id="122" w:name="_Toc4912"/>
      <w:r>
        <w:rPr>
          <w:rStyle w:val="71"/>
          <w:rFonts w:hint="eastAsia" w:ascii="仿宋" w:eastAsia="仿宋"/>
          <w:b w:val="0"/>
          <w:bCs w:val="0"/>
        </w:rPr>
        <w:t>十一、</w:t>
      </w:r>
      <w:r>
        <w:rPr>
          <w:rFonts w:hint="eastAsia" w:ascii="仿宋" w:eastAsia="仿宋"/>
          <w:b w:val="0"/>
          <w:color w:val="000000"/>
        </w:rPr>
        <w:t>政</w:t>
      </w:r>
      <w:r>
        <w:rPr>
          <w:rStyle w:val="71"/>
          <w:rFonts w:hint="eastAsia" w:ascii="仿宋" w:eastAsia="仿宋"/>
          <w:b w:val="0"/>
          <w:bCs w:val="0"/>
        </w:rPr>
        <w:t>府性基金预算财政拨款收入支出决算表</w:t>
      </w:r>
      <w:bookmarkEnd w:id="119"/>
      <w:bookmarkEnd w:id="120"/>
      <w:bookmarkEnd w:id="121"/>
      <w:bookmarkEnd w:id="122"/>
    </w:p>
    <w:p>
      <w:pPr>
        <w:pStyle w:val="5"/>
        <w:rPr>
          <w:rFonts w:ascii="仿宋" w:eastAsia="仿宋"/>
          <w:color w:val="000000"/>
        </w:rPr>
      </w:pPr>
      <w:bookmarkStart w:id="123" w:name="_Toc15396630"/>
      <w:bookmarkStart w:id="124" w:name="_Toc79163647"/>
      <w:bookmarkStart w:id="125" w:name="_Toc79163897"/>
      <w:bookmarkStart w:id="126" w:name="_Toc17872"/>
      <w:r>
        <w:rPr>
          <w:rStyle w:val="71"/>
          <w:rFonts w:hint="eastAsia" w:ascii="仿宋" w:eastAsia="仿宋"/>
          <w:b w:val="0"/>
          <w:bCs w:val="0"/>
        </w:rPr>
        <w:t>十二、</w:t>
      </w:r>
      <w:r>
        <w:rPr>
          <w:rFonts w:hint="eastAsia" w:ascii="仿宋" w:eastAsia="仿宋"/>
          <w:b w:val="0"/>
          <w:color w:val="000000"/>
        </w:rPr>
        <w:t>政</w:t>
      </w:r>
      <w:r>
        <w:rPr>
          <w:rStyle w:val="71"/>
          <w:rFonts w:hint="eastAsia" w:ascii="仿宋" w:eastAsia="仿宋"/>
          <w:b w:val="0"/>
          <w:bCs w:val="0"/>
        </w:rPr>
        <w:t>府性基金预算财政拨款“三公”经费支出决算表</w:t>
      </w:r>
      <w:bookmarkEnd w:id="123"/>
      <w:bookmarkEnd w:id="124"/>
      <w:bookmarkEnd w:id="125"/>
      <w:bookmarkEnd w:id="126"/>
    </w:p>
    <w:p>
      <w:pPr>
        <w:pStyle w:val="5"/>
        <w:rPr>
          <w:rStyle w:val="71"/>
          <w:rFonts w:ascii="仿宋" w:eastAsia="仿宋"/>
          <w:b w:val="0"/>
          <w:bCs w:val="0"/>
        </w:rPr>
      </w:pPr>
      <w:bookmarkStart w:id="127" w:name="_Toc79163898"/>
      <w:bookmarkStart w:id="128" w:name="_Toc79163648"/>
      <w:bookmarkStart w:id="129" w:name="_Toc15396631"/>
      <w:bookmarkStart w:id="130" w:name="_Toc3541"/>
      <w:r>
        <w:rPr>
          <w:rStyle w:val="71"/>
          <w:rFonts w:hint="eastAsia" w:ascii="仿宋" w:eastAsia="仿宋"/>
          <w:b w:val="0"/>
          <w:bCs w:val="0"/>
        </w:rPr>
        <w:t>十三、</w:t>
      </w:r>
      <w:r>
        <w:rPr>
          <w:rFonts w:hint="eastAsia" w:ascii="仿宋" w:eastAsia="仿宋"/>
          <w:b w:val="0"/>
          <w:color w:val="000000"/>
        </w:rPr>
        <w:t>国</w:t>
      </w:r>
      <w:r>
        <w:rPr>
          <w:rStyle w:val="71"/>
          <w:rFonts w:hint="eastAsia" w:ascii="仿宋" w:eastAsia="仿宋"/>
          <w:b w:val="0"/>
          <w:bCs w:val="0"/>
        </w:rPr>
        <w:t>有资本经营预算财政拨款支出决算表</w:t>
      </w:r>
      <w:bookmarkEnd w:id="127"/>
      <w:bookmarkEnd w:id="128"/>
      <w:bookmarkEnd w:id="129"/>
      <w:bookmarkEnd w:id="130"/>
    </w:p>
    <w:p>
      <w:pPr>
        <w:pStyle w:val="5"/>
        <w:rPr>
          <w:rStyle w:val="71"/>
          <w:rFonts w:ascii="仿宋" w:eastAsia="仿宋"/>
          <w:b w:val="0"/>
          <w:bCs w:val="0"/>
        </w:rPr>
      </w:pPr>
      <w:bookmarkStart w:id="131" w:name="_Toc79163649"/>
      <w:bookmarkStart w:id="132" w:name="_Toc79163899"/>
      <w:bookmarkStart w:id="133" w:name="_Toc1738"/>
      <w:r>
        <w:rPr>
          <w:rStyle w:val="71"/>
          <w:rFonts w:hint="eastAsia" w:ascii="仿宋" w:eastAsia="仿宋"/>
          <w:b w:val="0"/>
          <w:bCs w:val="0"/>
        </w:rPr>
        <w:t>十四、国有资本经营预算财政拨款支出决算表</w:t>
      </w:r>
      <w:bookmarkEnd w:id="131"/>
      <w:bookmarkEnd w:id="132"/>
      <w:bookmarkEnd w:id="133"/>
    </w:p>
    <w:p>
      <w:pPr>
        <w:pStyle w:val="5"/>
        <w:ind w:firstLine="640" w:firstLineChars="200"/>
        <w:rPr>
          <w:rFonts w:ascii="黑体" w:eastAsia="黑体" w:cs="Times New Roman"/>
          <w:b w:val="0"/>
          <w:color w:val="000000"/>
        </w:rPr>
      </w:pP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altName w:val="黑体"/>
    <w:panose1 w:val="00000000000000000000"/>
    <w:charset w:val="86"/>
    <w:family w:val="script"/>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12"/>
          <w:jc w:val="center"/>
        </w:pPr>
        <w:r>
          <w:fldChar w:fldCharType="begin"/>
        </w:r>
        <w:r>
          <w:instrText xml:space="preserve">PAGE   \* MERGEFORMAT</w:instrText>
        </w:r>
        <w:r>
          <w:fldChar w:fldCharType="separate"/>
        </w:r>
        <w:r>
          <w:rPr>
            <w:lang w:val="zh-CN"/>
          </w:rPr>
          <w:t>4</w:t>
        </w:r>
        <w:r>
          <w:fldChar w:fldCharType="end"/>
        </w:r>
      </w:p>
    </w:sdtContent>
  </w:sdt>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E791EC"/>
    <w:multiLevelType w:val="singleLevel"/>
    <w:tmpl w:val="88E791EC"/>
    <w:lvl w:ilvl="0" w:tentative="0">
      <w:start w:val="2"/>
      <w:numFmt w:val="chineseCounting"/>
      <w:suff w:val="nothing"/>
      <w:lvlText w:val="（%1）"/>
      <w:lvlJc w:val="left"/>
      <w:rPr>
        <w:rFonts w:hint="eastAsia"/>
      </w:rPr>
    </w:lvl>
  </w:abstractNum>
  <w:abstractNum w:abstractNumId="1">
    <w:nsid w:val="A0DC1795"/>
    <w:multiLevelType w:val="singleLevel"/>
    <w:tmpl w:val="A0DC1795"/>
    <w:lvl w:ilvl="0" w:tentative="0">
      <w:start w:val="4"/>
      <w:numFmt w:val="chineseCounting"/>
      <w:suff w:val="nothing"/>
      <w:lvlText w:val="（%1）"/>
      <w:lvlJc w:val="left"/>
      <w:rPr>
        <w:rFonts w:hint="eastAsia"/>
      </w:rPr>
    </w:lvl>
  </w:abstractNum>
  <w:abstractNum w:abstractNumId="2">
    <w:nsid w:val="B4E3B0F2"/>
    <w:multiLevelType w:val="singleLevel"/>
    <w:tmpl w:val="B4E3B0F2"/>
    <w:lvl w:ilvl="0" w:tentative="0">
      <w:start w:val="3"/>
      <w:numFmt w:val="chineseCounting"/>
      <w:suff w:val="nothing"/>
      <w:lvlText w:val="（%1）"/>
      <w:lvlJc w:val="left"/>
      <w:rPr>
        <w:rFonts w:hint="eastAsia"/>
      </w:rPr>
    </w:lvl>
  </w:abstractNum>
  <w:abstractNum w:abstractNumId="3">
    <w:nsid w:val="DFCA1686"/>
    <w:multiLevelType w:val="singleLevel"/>
    <w:tmpl w:val="DFCA1686"/>
    <w:lvl w:ilvl="0" w:tentative="0">
      <w:start w:val="2"/>
      <w:numFmt w:val="chineseCounting"/>
      <w:suff w:val="nothing"/>
      <w:lvlText w:val="（%1）"/>
      <w:lvlJc w:val="left"/>
      <w:rPr>
        <w:rFonts w:hint="eastAsia"/>
      </w:rPr>
    </w:lvl>
  </w:abstractNum>
  <w:abstractNum w:abstractNumId="4">
    <w:nsid w:val="77839D28"/>
    <w:multiLevelType w:val="singleLevel"/>
    <w:tmpl w:val="77839D28"/>
    <w:lvl w:ilvl="0" w:tentative="0">
      <w:start w:val="3"/>
      <w:numFmt w:val="chineseCounting"/>
      <w:suff w:val="nothing"/>
      <w:lvlText w:val="%1、"/>
      <w:lvlJc w:val="left"/>
      <w:rPr>
        <w:rFonts w:hint="eastAsia"/>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VjNTFhNjZhYzViNzIyMmI2MTkwNTYxZGJjNjI4ZTgifQ=="/>
  </w:docVars>
  <w:rsids>
    <w:rsidRoot w:val="00F1361C"/>
    <w:rsid w:val="000000BC"/>
    <w:rsid w:val="00000665"/>
    <w:rsid w:val="00000B38"/>
    <w:rsid w:val="000015A2"/>
    <w:rsid w:val="00003E5B"/>
    <w:rsid w:val="00007EA6"/>
    <w:rsid w:val="00012FB7"/>
    <w:rsid w:val="00013357"/>
    <w:rsid w:val="00013C9E"/>
    <w:rsid w:val="00015450"/>
    <w:rsid w:val="000175E6"/>
    <w:rsid w:val="00017F98"/>
    <w:rsid w:val="00020F07"/>
    <w:rsid w:val="000222C6"/>
    <w:rsid w:val="00022FC0"/>
    <w:rsid w:val="000230B2"/>
    <w:rsid w:val="0002359B"/>
    <w:rsid w:val="00023DEB"/>
    <w:rsid w:val="00025226"/>
    <w:rsid w:val="0002549F"/>
    <w:rsid w:val="00025F1E"/>
    <w:rsid w:val="0002749D"/>
    <w:rsid w:val="0003013F"/>
    <w:rsid w:val="00031598"/>
    <w:rsid w:val="00031926"/>
    <w:rsid w:val="000326D5"/>
    <w:rsid w:val="00033414"/>
    <w:rsid w:val="00034ABC"/>
    <w:rsid w:val="00034D24"/>
    <w:rsid w:val="00035A69"/>
    <w:rsid w:val="000366B3"/>
    <w:rsid w:val="00036E57"/>
    <w:rsid w:val="00047195"/>
    <w:rsid w:val="00047C09"/>
    <w:rsid w:val="00052D93"/>
    <w:rsid w:val="000551CF"/>
    <w:rsid w:val="000571AC"/>
    <w:rsid w:val="00063AA8"/>
    <w:rsid w:val="0006487A"/>
    <w:rsid w:val="00065F8F"/>
    <w:rsid w:val="00066365"/>
    <w:rsid w:val="00066A65"/>
    <w:rsid w:val="00070C93"/>
    <w:rsid w:val="00070D58"/>
    <w:rsid w:val="00070F40"/>
    <w:rsid w:val="00071796"/>
    <w:rsid w:val="00072BEC"/>
    <w:rsid w:val="00073345"/>
    <w:rsid w:val="000768F2"/>
    <w:rsid w:val="00077C80"/>
    <w:rsid w:val="00081156"/>
    <w:rsid w:val="000815F6"/>
    <w:rsid w:val="00083B72"/>
    <w:rsid w:val="000846FF"/>
    <w:rsid w:val="0008503A"/>
    <w:rsid w:val="000851B4"/>
    <w:rsid w:val="000859F0"/>
    <w:rsid w:val="00087C06"/>
    <w:rsid w:val="00090134"/>
    <w:rsid w:val="00090DB7"/>
    <w:rsid w:val="0009184B"/>
    <w:rsid w:val="00091AAC"/>
    <w:rsid w:val="000925CB"/>
    <w:rsid w:val="0009389E"/>
    <w:rsid w:val="0009593C"/>
    <w:rsid w:val="000A1370"/>
    <w:rsid w:val="000A17C4"/>
    <w:rsid w:val="000A37A2"/>
    <w:rsid w:val="000A500C"/>
    <w:rsid w:val="000B007F"/>
    <w:rsid w:val="000B047F"/>
    <w:rsid w:val="000B071C"/>
    <w:rsid w:val="000B1716"/>
    <w:rsid w:val="000B202D"/>
    <w:rsid w:val="000B26BE"/>
    <w:rsid w:val="000B2D44"/>
    <w:rsid w:val="000B2FD8"/>
    <w:rsid w:val="000B44F0"/>
    <w:rsid w:val="000B5923"/>
    <w:rsid w:val="000B5A48"/>
    <w:rsid w:val="000B6FF3"/>
    <w:rsid w:val="000C0A06"/>
    <w:rsid w:val="000C148A"/>
    <w:rsid w:val="000C2B6A"/>
    <w:rsid w:val="000C3467"/>
    <w:rsid w:val="000C3CA6"/>
    <w:rsid w:val="000C4E3D"/>
    <w:rsid w:val="000C7136"/>
    <w:rsid w:val="000D1267"/>
    <w:rsid w:val="000D1D50"/>
    <w:rsid w:val="000D304F"/>
    <w:rsid w:val="000D4033"/>
    <w:rsid w:val="000D5782"/>
    <w:rsid w:val="000D620F"/>
    <w:rsid w:val="000D74AA"/>
    <w:rsid w:val="000E3AC5"/>
    <w:rsid w:val="000E4C84"/>
    <w:rsid w:val="000E6613"/>
    <w:rsid w:val="000E6663"/>
    <w:rsid w:val="000E7119"/>
    <w:rsid w:val="000E75B2"/>
    <w:rsid w:val="000F0D1B"/>
    <w:rsid w:val="000F3E1D"/>
    <w:rsid w:val="000F7336"/>
    <w:rsid w:val="00101546"/>
    <w:rsid w:val="00106B75"/>
    <w:rsid w:val="0010727E"/>
    <w:rsid w:val="00107CCA"/>
    <w:rsid w:val="00110310"/>
    <w:rsid w:val="00112787"/>
    <w:rsid w:val="00114E9B"/>
    <w:rsid w:val="0011649B"/>
    <w:rsid w:val="00116E5E"/>
    <w:rsid w:val="0012218E"/>
    <w:rsid w:val="0012398F"/>
    <w:rsid w:val="00124113"/>
    <w:rsid w:val="00124BFE"/>
    <w:rsid w:val="0012516D"/>
    <w:rsid w:val="00125224"/>
    <w:rsid w:val="00130F18"/>
    <w:rsid w:val="00133C7A"/>
    <w:rsid w:val="0013434B"/>
    <w:rsid w:val="00137E3C"/>
    <w:rsid w:val="001418EE"/>
    <w:rsid w:val="00142F42"/>
    <w:rsid w:val="00143AE1"/>
    <w:rsid w:val="00143C8F"/>
    <w:rsid w:val="001446FE"/>
    <w:rsid w:val="00144A59"/>
    <w:rsid w:val="00146A3D"/>
    <w:rsid w:val="0014729F"/>
    <w:rsid w:val="00147410"/>
    <w:rsid w:val="001506F6"/>
    <w:rsid w:val="0015213E"/>
    <w:rsid w:val="001544D9"/>
    <w:rsid w:val="00156D5D"/>
    <w:rsid w:val="00157BAB"/>
    <w:rsid w:val="0016151A"/>
    <w:rsid w:val="00163B54"/>
    <w:rsid w:val="001654D1"/>
    <w:rsid w:val="00166A14"/>
    <w:rsid w:val="00166F25"/>
    <w:rsid w:val="0016730C"/>
    <w:rsid w:val="0017190C"/>
    <w:rsid w:val="00174145"/>
    <w:rsid w:val="0018106D"/>
    <w:rsid w:val="0018125C"/>
    <w:rsid w:val="00181856"/>
    <w:rsid w:val="00183B64"/>
    <w:rsid w:val="00184B52"/>
    <w:rsid w:val="001877A7"/>
    <w:rsid w:val="00187CD2"/>
    <w:rsid w:val="00191536"/>
    <w:rsid w:val="00191B2C"/>
    <w:rsid w:val="001927B3"/>
    <w:rsid w:val="00193E73"/>
    <w:rsid w:val="00193FE2"/>
    <w:rsid w:val="001959D9"/>
    <w:rsid w:val="00195AB7"/>
    <w:rsid w:val="00196687"/>
    <w:rsid w:val="001A0107"/>
    <w:rsid w:val="001A0B9F"/>
    <w:rsid w:val="001A0EA2"/>
    <w:rsid w:val="001A1DBF"/>
    <w:rsid w:val="001A5CF3"/>
    <w:rsid w:val="001A63BB"/>
    <w:rsid w:val="001B1840"/>
    <w:rsid w:val="001B1FA9"/>
    <w:rsid w:val="001B6640"/>
    <w:rsid w:val="001B7FF7"/>
    <w:rsid w:val="001C0962"/>
    <w:rsid w:val="001C1941"/>
    <w:rsid w:val="001C1A81"/>
    <w:rsid w:val="001C38A5"/>
    <w:rsid w:val="001C597C"/>
    <w:rsid w:val="001C6464"/>
    <w:rsid w:val="001C746B"/>
    <w:rsid w:val="001D14B6"/>
    <w:rsid w:val="001D342B"/>
    <w:rsid w:val="001D6C1E"/>
    <w:rsid w:val="001D7531"/>
    <w:rsid w:val="001E0A1B"/>
    <w:rsid w:val="001E1402"/>
    <w:rsid w:val="001E2922"/>
    <w:rsid w:val="001E3680"/>
    <w:rsid w:val="001E737D"/>
    <w:rsid w:val="001F0592"/>
    <w:rsid w:val="001F0C89"/>
    <w:rsid w:val="001F7506"/>
    <w:rsid w:val="002006CD"/>
    <w:rsid w:val="0020075A"/>
    <w:rsid w:val="00202B36"/>
    <w:rsid w:val="00202C44"/>
    <w:rsid w:val="00202F80"/>
    <w:rsid w:val="002030A5"/>
    <w:rsid w:val="00204B7A"/>
    <w:rsid w:val="00206616"/>
    <w:rsid w:val="0020689D"/>
    <w:rsid w:val="00206B0E"/>
    <w:rsid w:val="00207949"/>
    <w:rsid w:val="0021101A"/>
    <w:rsid w:val="0021190F"/>
    <w:rsid w:val="0021334C"/>
    <w:rsid w:val="00216B50"/>
    <w:rsid w:val="00220536"/>
    <w:rsid w:val="00220C02"/>
    <w:rsid w:val="00224F1D"/>
    <w:rsid w:val="00225CB7"/>
    <w:rsid w:val="0023060C"/>
    <w:rsid w:val="00234E40"/>
    <w:rsid w:val="00235629"/>
    <w:rsid w:val="00237AE4"/>
    <w:rsid w:val="00240C43"/>
    <w:rsid w:val="00240C5D"/>
    <w:rsid w:val="00243589"/>
    <w:rsid w:val="002527B1"/>
    <w:rsid w:val="0025301B"/>
    <w:rsid w:val="00253FF8"/>
    <w:rsid w:val="00260A32"/>
    <w:rsid w:val="00260C38"/>
    <w:rsid w:val="00260F84"/>
    <w:rsid w:val="002616C0"/>
    <w:rsid w:val="002620C0"/>
    <w:rsid w:val="002662AA"/>
    <w:rsid w:val="00267E1C"/>
    <w:rsid w:val="00272FB2"/>
    <w:rsid w:val="0027313F"/>
    <w:rsid w:val="00273F8B"/>
    <w:rsid w:val="002740FA"/>
    <w:rsid w:val="0027692F"/>
    <w:rsid w:val="0027703A"/>
    <w:rsid w:val="00277BF4"/>
    <w:rsid w:val="00280496"/>
    <w:rsid w:val="00283D63"/>
    <w:rsid w:val="002856F9"/>
    <w:rsid w:val="002866CA"/>
    <w:rsid w:val="00286C21"/>
    <w:rsid w:val="002875BF"/>
    <w:rsid w:val="0029076F"/>
    <w:rsid w:val="0029094E"/>
    <w:rsid w:val="00291DC2"/>
    <w:rsid w:val="00292626"/>
    <w:rsid w:val="00292E6B"/>
    <w:rsid w:val="00295495"/>
    <w:rsid w:val="002A0D55"/>
    <w:rsid w:val="002A0E88"/>
    <w:rsid w:val="002A3F4C"/>
    <w:rsid w:val="002A70D7"/>
    <w:rsid w:val="002A77B7"/>
    <w:rsid w:val="002A7AE1"/>
    <w:rsid w:val="002B133E"/>
    <w:rsid w:val="002B1B6D"/>
    <w:rsid w:val="002B2613"/>
    <w:rsid w:val="002B2C2A"/>
    <w:rsid w:val="002B2F51"/>
    <w:rsid w:val="002B44FC"/>
    <w:rsid w:val="002B5438"/>
    <w:rsid w:val="002B544A"/>
    <w:rsid w:val="002B5F40"/>
    <w:rsid w:val="002B79B7"/>
    <w:rsid w:val="002C00BF"/>
    <w:rsid w:val="002C0137"/>
    <w:rsid w:val="002C1004"/>
    <w:rsid w:val="002C1E97"/>
    <w:rsid w:val="002C4022"/>
    <w:rsid w:val="002C5275"/>
    <w:rsid w:val="002C6074"/>
    <w:rsid w:val="002D1F9E"/>
    <w:rsid w:val="002D30E8"/>
    <w:rsid w:val="002E0F9C"/>
    <w:rsid w:val="002E1F75"/>
    <w:rsid w:val="002E202A"/>
    <w:rsid w:val="002E5C3A"/>
    <w:rsid w:val="002E64D0"/>
    <w:rsid w:val="002F1818"/>
    <w:rsid w:val="002F1A28"/>
    <w:rsid w:val="002F2C84"/>
    <w:rsid w:val="002F335F"/>
    <w:rsid w:val="002F567B"/>
    <w:rsid w:val="002F66D8"/>
    <w:rsid w:val="002F7353"/>
    <w:rsid w:val="0030080A"/>
    <w:rsid w:val="0030298F"/>
    <w:rsid w:val="00305126"/>
    <w:rsid w:val="0030593B"/>
    <w:rsid w:val="00310306"/>
    <w:rsid w:val="0031156F"/>
    <w:rsid w:val="00317FD1"/>
    <w:rsid w:val="00321358"/>
    <w:rsid w:val="003216A9"/>
    <w:rsid w:val="00322D89"/>
    <w:rsid w:val="00325332"/>
    <w:rsid w:val="00325856"/>
    <w:rsid w:val="00325985"/>
    <w:rsid w:val="003278AA"/>
    <w:rsid w:val="00332726"/>
    <w:rsid w:val="0033309F"/>
    <w:rsid w:val="00335ED6"/>
    <w:rsid w:val="00337694"/>
    <w:rsid w:val="003431B7"/>
    <w:rsid w:val="0034381A"/>
    <w:rsid w:val="003440C6"/>
    <w:rsid w:val="00350C26"/>
    <w:rsid w:val="003515CF"/>
    <w:rsid w:val="00353569"/>
    <w:rsid w:val="0035612F"/>
    <w:rsid w:val="00356A32"/>
    <w:rsid w:val="0035779A"/>
    <w:rsid w:val="00360394"/>
    <w:rsid w:val="0036392A"/>
    <w:rsid w:val="003663FE"/>
    <w:rsid w:val="0036688B"/>
    <w:rsid w:val="00366A86"/>
    <w:rsid w:val="00367683"/>
    <w:rsid w:val="00367B91"/>
    <w:rsid w:val="0037013F"/>
    <w:rsid w:val="00373FCE"/>
    <w:rsid w:val="00377A4C"/>
    <w:rsid w:val="003802FF"/>
    <w:rsid w:val="00380C92"/>
    <w:rsid w:val="00385025"/>
    <w:rsid w:val="00386455"/>
    <w:rsid w:val="00390F3B"/>
    <w:rsid w:val="0039111A"/>
    <w:rsid w:val="003936B4"/>
    <w:rsid w:val="00393AFD"/>
    <w:rsid w:val="003A079E"/>
    <w:rsid w:val="003A10FA"/>
    <w:rsid w:val="003A163E"/>
    <w:rsid w:val="003A32EC"/>
    <w:rsid w:val="003A36AE"/>
    <w:rsid w:val="003A3ACA"/>
    <w:rsid w:val="003A4404"/>
    <w:rsid w:val="003A484F"/>
    <w:rsid w:val="003A4F96"/>
    <w:rsid w:val="003A5540"/>
    <w:rsid w:val="003B0BE0"/>
    <w:rsid w:val="003B0C1A"/>
    <w:rsid w:val="003B0C1B"/>
    <w:rsid w:val="003B5601"/>
    <w:rsid w:val="003B688C"/>
    <w:rsid w:val="003C0291"/>
    <w:rsid w:val="003C2ECB"/>
    <w:rsid w:val="003C350E"/>
    <w:rsid w:val="003C39AE"/>
    <w:rsid w:val="003C6D0D"/>
    <w:rsid w:val="003C76CC"/>
    <w:rsid w:val="003C7B60"/>
    <w:rsid w:val="003D0821"/>
    <w:rsid w:val="003D1FB2"/>
    <w:rsid w:val="003D2303"/>
    <w:rsid w:val="003D3CC9"/>
    <w:rsid w:val="003D4221"/>
    <w:rsid w:val="003D644D"/>
    <w:rsid w:val="003D66DA"/>
    <w:rsid w:val="003E10D3"/>
    <w:rsid w:val="003E1310"/>
    <w:rsid w:val="003E2E1C"/>
    <w:rsid w:val="003E5BD3"/>
    <w:rsid w:val="003E6348"/>
    <w:rsid w:val="003E6F55"/>
    <w:rsid w:val="003F133D"/>
    <w:rsid w:val="003F2794"/>
    <w:rsid w:val="003F339D"/>
    <w:rsid w:val="003F363F"/>
    <w:rsid w:val="003F3A2A"/>
    <w:rsid w:val="003F3DED"/>
    <w:rsid w:val="003F3E94"/>
    <w:rsid w:val="003F44B8"/>
    <w:rsid w:val="003F7CD6"/>
    <w:rsid w:val="00400549"/>
    <w:rsid w:val="00401C71"/>
    <w:rsid w:val="004026F9"/>
    <w:rsid w:val="00402FCE"/>
    <w:rsid w:val="00405639"/>
    <w:rsid w:val="00406254"/>
    <w:rsid w:val="004071E0"/>
    <w:rsid w:val="00407AD0"/>
    <w:rsid w:val="00410C16"/>
    <w:rsid w:val="00422023"/>
    <w:rsid w:val="004223DE"/>
    <w:rsid w:val="004234B2"/>
    <w:rsid w:val="00426FA8"/>
    <w:rsid w:val="00427162"/>
    <w:rsid w:val="0043341C"/>
    <w:rsid w:val="004343F3"/>
    <w:rsid w:val="00434489"/>
    <w:rsid w:val="0043475E"/>
    <w:rsid w:val="0043497B"/>
    <w:rsid w:val="00435137"/>
    <w:rsid w:val="00436E88"/>
    <w:rsid w:val="00437085"/>
    <w:rsid w:val="004370D1"/>
    <w:rsid w:val="00440872"/>
    <w:rsid w:val="00440A29"/>
    <w:rsid w:val="00441C18"/>
    <w:rsid w:val="004422EF"/>
    <w:rsid w:val="00443880"/>
    <w:rsid w:val="00444CE1"/>
    <w:rsid w:val="0044578E"/>
    <w:rsid w:val="0044581C"/>
    <w:rsid w:val="004464F4"/>
    <w:rsid w:val="00446FA9"/>
    <w:rsid w:val="00447035"/>
    <w:rsid w:val="00450BFF"/>
    <w:rsid w:val="00454FA9"/>
    <w:rsid w:val="0045723A"/>
    <w:rsid w:val="00460A67"/>
    <w:rsid w:val="00461A98"/>
    <w:rsid w:val="00462B33"/>
    <w:rsid w:val="0046346E"/>
    <w:rsid w:val="004708B9"/>
    <w:rsid w:val="00471401"/>
    <w:rsid w:val="00471CBB"/>
    <w:rsid w:val="00473F31"/>
    <w:rsid w:val="00474218"/>
    <w:rsid w:val="004750E8"/>
    <w:rsid w:val="00476F1B"/>
    <w:rsid w:val="0047729B"/>
    <w:rsid w:val="0048263A"/>
    <w:rsid w:val="0048368B"/>
    <w:rsid w:val="0048372E"/>
    <w:rsid w:val="00483F46"/>
    <w:rsid w:val="00484CD3"/>
    <w:rsid w:val="004857E4"/>
    <w:rsid w:val="00486073"/>
    <w:rsid w:val="0048694C"/>
    <w:rsid w:val="00486E3E"/>
    <w:rsid w:val="00487E5D"/>
    <w:rsid w:val="00491181"/>
    <w:rsid w:val="00492070"/>
    <w:rsid w:val="004941B6"/>
    <w:rsid w:val="00497E59"/>
    <w:rsid w:val="004A2A48"/>
    <w:rsid w:val="004A4A66"/>
    <w:rsid w:val="004A4B01"/>
    <w:rsid w:val="004A5576"/>
    <w:rsid w:val="004A6B85"/>
    <w:rsid w:val="004A711F"/>
    <w:rsid w:val="004A7B2B"/>
    <w:rsid w:val="004B01AE"/>
    <w:rsid w:val="004B199D"/>
    <w:rsid w:val="004B2279"/>
    <w:rsid w:val="004B25B9"/>
    <w:rsid w:val="004B3F00"/>
    <w:rsid w:val="004B4690"/>
    <w:rsid w:val="004B7108"/>
    <w:rsid w:val="004B778F"/>
    <w:rsid w:val="004B785F"/>
    <w:rsid w:val="004C01B1"/>
    <w:rsid w:val="004C062D"/>
    <w:rsid w:val="004C4638"/>
    <w:rsid w:val="004C5745"/>
    <w:rsid w:val="004C5DBD"/>
    <w:rsid w:val="004C62FA"/>
    <w:rsid w:val="004C6FB9"/>
    <w:rsid w:val="004D1DC6"/>
    <w:rsid w:val="004D31FB"/>
    <w:rsid w:val="004D4BB1"/>
    <w:rsid w:val="004D4D6E"/>
    <w:rsid w:val="004D4DA3"/>
    <w:rsid w:val="004D798C"/>
    <w:rsid w:val="004D7AEF"/>
    <w:rsid w:val="004E028C"/>
    <w:rsid w:val="004E0815"/>
    <w:rsid w:val="004E0A2D"/>
    <w:rsid w:val="004E206B"/>
    <w:rsid w:val="004E3DEC"/>
    <w:rsid w:val="004E67E0"/>
    <w:rsid w:val="004E6DF7"/>
    <w:rsid w:val="004F0FBD"/>
    <w:rsid w:val="00501436"/>
    <w:rsid w:val="00501B3E"/>
    <w:rsid w:val="00502053"/>
    <w:rsid w:val="005020BB"/>
    <w:rsid w:val="00505843"/>
    <w:rsid w:val="00505A47"/>
    <w:rsid w:val="0050679E"/>
    <w:rsid w:val="0051166F"/>
    <w:rsid w:val="00512FDA"/>
    <w:rsid w:val="00513ED7"/>
    <w:rsid w:val="0051467D"/>
    <w:rsid w:val="00520DA0"/>
    <w:rsid w:val="005225FC"/>
    <w:rsid w:val="00524AC4"/>
    <w:rsid w:val="0052729E"/>
    <w:rsid w:val="0052733D"/>
    <w:rsid w:val="00530E19"/>
    <w:rsid w:val="00530F71"/>
    <w:rsid w:val="005322EB"/>
    <w:rsid w:val="0053459C"/>
    <w:rsid w:val="00550726"/>
    <w:rsid w:val="0055106D"/>
    <w:rsid w:val="005559A4"/>
    <w:rsid w:val="00565D17"/>
    <w:rsid w:val="005664BB"/>
    <w:rsid w:val="00566C08"/>
    <w:rsid w:val="0056722F"/>
    <w:rsid w:val="00567B67"/>
    <w:rsid w:val="00570C62"/>
    <w:rsid w:val="00572EB1"/>
    <w:rsid w:val="00572EC9"/>
    <w:rsid w:val="00573576"/>
    <w:rsid w:val="0057481D"/>
    <w:rsid w:val="0057798B"/>
    <w:rsid w:val="00577A75"/>
    <w:rsid w:val="00577DF2"/>
    <w:rsid w:val="00580D35"/>
    <w:rsid w:val="0058486E"/>
    <w:rsid w:val="00584F2B"/>
    <w:rsid w:val="005935E9"/>
    <w:rsid w:val="005939BC"/>
    <w:rsid w:val="00593D4E"/>
    <w:rsid w:val="005975DB"/>
    <w:rsid w:val="00597919"/>
    <w:rsid w:val="005A0204"/>
    <w:rsid w:val="005A0CF8"/>
    <w:rsid w:val="005A324B"/>
    <w:rsid w:val="005B186A"/>
    <w:rsid w:val="005B553C"/>
    <w:rsid w:val="005B57DB"/>
    <w:rsid w:val="005B58F9"/>
    <w:rsid w:val="005B5ACB"/>
    <w:rsid w:val="005C0AF7"/>
    <w:rsid w:val="005C0B82"/>
    <w:rsid w:val="005C0D5C"/>
    <w:rsid w:val="005C4A4C"/>
    <w:rsid w:val="005C52C6"/>
    <w:rsid w:val="005C7204"/>
    <w:rsid w:val="005D1C8B"/>
    <w:rsid w:val="005D5CED"/>
    <w:rsid w:val="005D6054"/>
    <w:rsid w:val="005E1522"/>
    <w:rsid w:val="005E3365"/>
    <w:rsid w:val="005E5517"/>
    <w:rsid w:val="005F0705"/>
    <w:rsid w:val="005F0C83"/>
    <w:rsid w:val="005F1A4C"/>
    <w:rsid w:val="005F1F76"/>
    <w:rsid w:val="005F2C70"/>
    <w:rsid w:val="005F32B6"/>
    <w:rsid w:val="005F4162"/>
    <w:rsid w:val="005F44C7"/>
    <w:rsid w:val="005F632F"/>
    <w:rsid w:val="00600946"/>
    <w:rsid w:val="006044AC"/>
    <w:rsid w:val="00604551"/>
    <w:rsid w:val="00605688"/>
    <w:rsid w:val="006070AF"/>
    <w:rsid w:val="00607816"/>
    <w:rsid w:val="00607E6C"/>
    <w:rsid w:val="006101B1"/>
    <w:rsid w:val="00611AD3"/>
    <w:rsid w:val="00612209"/>
    <w:rsid w:val="00614423"/>
    <w:rsid w:val="00614E44"/>
    <w:rsid w:val="006155B0"/>
    <w:rsid w:val="006205F4"/>
    <w:rsid w:val="00622830"/>
    <w:rsid w:val="006256DB"/>
    <w:rsid w:val="00630AEF"/>
    <w:rsid w:val="006325F8"/>
    <w:rsid w:val="00633AE4"/>
    <w:rsid w:val="006348B1"/>
    <w:rsid w:val="00634C9A"/>
    <w:rsid w:val="00635FC7"/>
    <w:rsid w:val="00636040"/>
    <w:rsid w:val="0064301E"/>
    <w:rsid w:val="00643322"/>
    <w:rsid w:val="00643C0A"/>
    <w:rsid w:val="006440E4"/>
    <w:rsid w:val="00645301"/>
    <w:rsid w:val="00645F78"/>
    <w:rsid w:val="0064753B"/>
    <w:rsid w:val="00650D36"/>
    <w:rsid w:val="00650F17"/>
    <w:rsid w:val="006511E7"/>
    <w:rsid w:val="0065182B"/>
    <w:rsid w:val="00660339"/>
    <w:rsid w:val="00660F57"/>
    <w:rsid w:val="00661830"/>
    <w:rsid w:val="0066343B"/>
    <w:rsid w:val="00663BDD"/>
    <w:rsid w:val="00664777"/>
    <w:rsid w:val="00664ED7"/>
    <w:rsid w:val="0066615D"/>
    <w:rsid w:val="00666366"/>
    <w:rsid w:val="0066748A"/>
    <w:rsid w:val="0067155A"/>
    <w:rsid w:val="00671D25"/>
    <w:rsid w:val="00672345"/>
    <w:rsid w:val="00673381"/>
    <w:rsid w:val="006740AB"/>
    <w:rsid w:val="00674446"/>
    <w:rsid w:val="006748A4"/>
    <w:rsid w:val="006757D8"/>
    <w:rsid w:val="00680EF7"/>
    <w:rsid w:val="00683E73"/>
    <w:rsid w:val="0068590F"/>
    <w:rsid w:val="00686CF0"/>
    <w:rsid w:val="00687CAC"/>
    <w:rsid w:val="00691D82"/>
    <w:rsid w:val="006931FE"/>
    <w:rsid w:val="006947FC"/>
    <w:rsid w:val="006950FD"/>
    <w:rsid w:val="00695AD3"/>
    <w:rsid w:val="00696ACE"/>
    <w:rsid w:val="006A01D3"/>
    <w:rsid w:val="006A04FE"/>
    <w:rsid w:val="006A0C2C"/>
    <w:rsid w:val="006A0C51"/>
    <w:rsid w:val="006A1E7E"/>
    <w:rsid w:val="006A2BCD"/>
    <w:rsid w:val="006A3141"/>
    <w:rsid w:val="006A5E34"/>
    <w:rsid w:val="006A75B7"/>
    <w:rsid w:val="006B0ABA"/>
    <w:rsid w:val="006B2422"/>
    <w:rsid w:val="006B2B9A"/>
    <w:rsid w:val="006B471C"/>
    <w:rsid w:val="006B533E"/>
    <w:rsid w:val="006C1937"/>
    <w:rsid w:val="006C397F"/>
    <w:rsid w:val="006C6427"/>
    <w:rsid w:val="006C76DB"/>
    <w:rsid w:val="006D1F0B"/>
    <w:rsid w:val="006D42C6"/>
    <w:rsid w:val="006E0081"/>
    <w:rsid w:val="006E3700"/>
    <w:rsid w:val="006E6C66"/>
    <w:rsid w:val="006F020C"/>
    <w:rsid w:val="006F3DF7"/>
    <w:rsid w:val="006F7CBD"/>
    <w:rsid w:val="0070094B"/>
    <w:rsid w:val="007040F2"/>
    <w:rsid w:val="00705B7C"/>
    <w:rsid w:val="00705E24"/>
    <w:rsid w:val="00707EEC"/>
    <w:rsid w:val="007115FE"/>
    <w:rsid w:val="007127B7"/>
    <w:rsid w:val="00713977"/>
    <w:rsid w:val="00714DBE"/>
    <w:rsid w:val="007220F2"/>
    <w:rsid w:val="007231D9"/>
    <w:rsid w:val="007244D2"/>
    <w:rsid w:val="00725B08"/>
    <w:rsid w:val="007355BA"/>
    <w:rsid w:val="0074019B"/>
    <w:rsid w:val="007403C2"/>
    <w:rsid w:val="007410FA"/>
    <w:rsid w:val="007416B6"/>
    <w:rsid w:val="007426C0"/>
    <w:rsid w:val="00746F48"/>
    <w:rsid w:val="0074730D"/>
    <w:rsid w:val="0075129E"/>
    <w:rsid w:val="00751951"/>
    <w:rsid w:val="00751EE9"/>
    <w:rsid w:val="007522D6"/>
    <w:rsid w:val="007525C3"/>
    <w:rsid w:val="007537B3"/>
    <w:rsid w:val="00753DC2"/>
    <w:rsid w:val="0075404D"/>
    <w:rsid w:val="0075503D"/>
    <w:rsid w:val="0076078E"/>
    <w:rsid w:val="0076182A"/>
    <w:rsid w:val="00763BC1"/>
    <w:rsid w:val="0076499D"/>
    <w:rsid w:val="007656DB"/>
    <w:rsid w:val="007676D8"/>
    <w:rsid w:val="00767A7D"/>
    <w:rsid w:val="00767B7E"/>
    <w:rsid w:val="00767BE6"/>
    <w:rsid w:val="00775A39"/>
    <w:rsid w:val="00776900"/>
    <w:rsid w:val="007770C3"/>
    <w:rsid w:val="00781060"/>
    <w:rsid w:val="0078143E"/>
    <w:rsid w:val="0078201F"/>
    <w:rsid w:val="007820E1"/>
    <w:rsid w:val="00784D24"/>
    <w:rsid w:val="00784D4C"/>
    <w:rsid w:val="00784E42"/>
    <w:rsid w:val="00785FBA"/>
    <w:rsid w:val="00786E4A"/>
    <w:rsid w:val="007875EB"/>
    <w:rsid w:val="00787E51"/>
    <w:rsid w:val="00792C26"/>
    <w:rsid w:val="0079426B"/>
    <w:rsid w:val="00794D8C"/>
    <w:rsid w:val="00794F74"/>
    <w:rsid w:val="0079655C"/>
    <w:rsid w:val="007A0619"/>
    <w:rsid w:val="007A762F"/>
    <w:rsid w:val="007B0CA2"/>
    <w:rsid w:val="007B5C15"/>
    <w:rsid w:val="007B6032"/>
    <w:rsid w:val="007B6B9B"/>
    <w:rsid w:val="007C014E"/>
    <w:rsid w:val="007C0C20"/>
    <w:rsid w:val="007C0E0A"/>
    <w:rsid w:val="007C26C9"/>
    <w:rsid w:val="007C57E7"/>
    <w:rsid w:val="007C6362"/>
    <w:rsid w:val="007C70B5"/>
    <w:rsid w:val="007C72D0"/>
    <w:rsid w:val="007D028D"/>
    <w:rsid w:val="007D0AE2"/>
    <w:rsid w:val="007D0C80"/>
    <w:rsid w:val="007D312A"/>
    <w:rsid w:val="007D3F19"/>
    <w:rsid w:val="007D40BF"/>
    <w:rsid w:val="007D598F"/>
    <w:rsid w:val="007D7F29"/>
    <w:rsid w:val="007E0391"/>
    <w:rsid w:val="007E2118"/>
    <w:rsid w:val="007E23B0"/>
    <w:rsid w:val="007E30F0"/>
    <w:rsid w:val="007E4E9E"/>
    <w:rsid w:val="007E4F63"/>
    <w:rsid w:val="007E5C1C"/>
    <w:rsid w:val="007E6821"/>
    <w:rsid w:val="007E6A33"/>
    <w:rsid w:val="007E6D1B"/>
    <w:rsid w:val="007F0CD6"/>
    <w:rsid w:val="007F0EAA"/>
    <w:rsid w:val="007F1991"/>
    <w:rsid w:val="007F1E4C"/>
    <w:rsid w:val="007F2C2F"/>
    <w:rsid w:val="007F2D6D"/>
    <w:rsid w:val="007F55FC"/>
    <w:rsid w:val="007F5665"/>
    <w:rsid w:val="007F57B1"/>
    <w:rsid w:val="007F5B1E"/>
    <w:rsid w:val="007F703A"/>
    <w:rsid w:val="007F772D"/>
    <w:rsid w:val="007F78DE"/>
    <w:rsid w:val="00800112"/>
    <w:rsid w:val="0080112E"/>
    <w:rsid w:val="008014B3"/>
    <w:rsid w:val="008031B0"/>
    <w:rsid w:val="008068DA"/>
    <w:rsid w:val="00806B6F"/>
    <w:rsid w:val="00807797"/>
    <w:rsid w:val="0081195D"/>
    <w:rsid w:val="00811C29"/>
    <w:rsid w:val="00812255"/>
    <w:rsid w:val="00813AEF"/>
    <w:rsid w:val="00815AF8"/>
    <w:rsid w:val="008169F8"/>
    <w:rsid w:val="00820AF4"/>
    <w:rsid w:val="008212F9"/>
    <w:rsid w:val="008244FA"/>
    <w:rsid w:val="008248EC"/>
    <w:rsid w:val="00824C90"/>
    <w:rsid w:val="00824CEE"/>
    <w:rsid w:val="008253BB"/>
    <w:rsid w:val="008273C2"/>
    <w:rsid w:val="00830A33"/>
    <w:rsid w:val="00830F24"/>
    <w:rsid w:val="0083234B"/>
    <w:rsid w:val="00833D7A"/>
    <w:rsid w:val="008347A0"/>
    <w:rsid w:val="00835B31"/>
    <w:rsid w:val="00836025"/>
    <w:rsid w:val="0083706E"/>
    <w:rsid w:val="00840550"/>
    <w:rsid w:val="008423A5"/>
    <w:rsid w:val="00843431"/>
    <w:rsid w:val="00845501"/>
    <w:rsid w:val="008503A5"/>
    <w:rsid w:val="00850625"/>
    <w:rsid w:val="008511F3"/>
    <w:rsid w:val="00851894"/>
    <w:rsid w:val="0085265B"/>
    <w:rsid w:val="00852C5C"/>
    <w:rsid w:val="00853718"/>
    <w:rsid w:val="00855221"/>
    <w:rsid w:val="00855AF5"/>
    <w:rsid w:val="00855E16"/>
    <w:rsid w:val="00857B79"/>
    <w:rsid w:val="00860645"/>
    <w:rsid w:val="00860C44"/>
    <w:rsid w:val="0086131A"/>
    <w:rsid w:val="00862A9D"/>
    <w:rsid w:val="00863483"/>
    <w:rsid w:val="00863CF0"/>
    <w:rsid w:val="00863D72"/>
    <w:rsid w:val="00865F20"/>
    <w:rsid w:val="00867695"/>
    <w:rsid w:val="00870000"/>
    <w:rsid w:val="00870C33"/>
    <w:rsid w:val="00871F71"/>
    <w:rsid w:val="008722FB"/>
    <w:rsid w:val="00872F95"/>
    <w:rsid w:val="00873D8F"/>
    <w:rsid w:val="0087464B"/>
    <w:rsid w:val="00875814"/>
    <w:rsid w:val="0088122F"/>
    <w:rsid w:val="00885AF4"/>
    <w:rsid w:val="00886435"/>
    <w:rsid w:val="00887A58"/>
    <w:rsid w:val="008918AA"/>
    <w:rsid w:val="008918C9"/>
    <w:rsid w:val="008939CD"/>
    <w:rsid w:val="00893E7C"/>
    <w:rsid w:val="00895862"/>
    <w:rsid w:val="00897199"/>
    <w:rsid w:val="008A04BB"/>
    <w:rsid w:val="008A6293"/>
    <w:rsid w:val="008A6BC0"/>
    <w:rsid w:val="008A7CE3"/>
    <w:rsid w:val="008B045D"/>
    <w:rsid w:val="008B2B26"/>
    <w:rsid w:val="008B5614"/>
    <w:rsid w:val="008B6287"/>
    <w:rsid w:val="008B69A5"/>
    <w:rsid w:val="008B768C"/>
    <w:rsid w:val="008B7992"/>
    <w:rsid w:val="008C1D33"/>
    <w:rsid w:val="008C33D9"/>
    <w:rsid w:val="008C4DB1"/>
    <w:rsid w:val="008C4EAF"/>
    <w:rsid w:val="008C5176"/>
    <w:rsid w:val="008C7FD0"/>
    <w:rsid w:val="008D06D5"/>
    <w:rsid w:val="008D08E5"/>
    <w:rsid w:val="008D2C92"/>
    <w:rsid w:val="008D2DE2"/>
    <w:rsid w:val="008D55A6"/>
    <w:rsid w:val="008E0EF3"/>
    <w:rsid w:val="008E1DC6"/>
    <w:rsid w:val="008E1DE7"/>
    <w:rsid w:val="008E2847"/>
    <w:rsid w:val="008E380B"/>
    <w:rsid w:val="008E707C"/>
    <w:rsid w:val="008E7651"/>
    <w:rsid w:val="008F24AB"/>
    <w:rsid w:val="00900B08"/>
    <w:rsid w:val="00901E1C"/>
    <w:rsid w:val="00902155"/>
    <w:rsid w:val="00902BCF"/>
    <w:rsid w:val="00902FA3"/>
    <w:rsid w:val="009109D0"/>
    <w:rsid w:val="00910FAA"/>
    <w:rsid w:val="00912DEB"/>
    <w:rsid w:val="00913706"/>
    <w:rsid w:val="00913A29"/>
    <w:rsid w:val="00915BE4"/>
    <w:rsid w:val="009205F5"/>
    <w:rsid w:val="009215C3"/>
    <w:rsid w:val="00923564"/>
    <w:rsid w:val="0092392E"/>
    <w:rsid w:val="00923F58"/>
    <w:rsid w:val="00924FB0"/>
    <w:rsid w:val="00930109"/>
    <w:rsid w:val="00930E8F"/>
    <w:rsid w:val="009315F9"/>
    <w:rsid w:val="009337F3"/>
    <w:rsid w:val="009339C3"/>
    <w:rsid w:val="00934AB8"/>
    <w:rsid w:val="00935D57"/>
    <w:rsid w:val="00936283"/>
    <w:rsid w:val="00940B88"/>
    <w:rsid w:val="00940F73"/>
    <w:rsid w:val="0094526A"/>
    <w:rsid w:val="00945399"/>
    <w:rsid w:val="00945492"/>
    <w:rsid w:val="00945EEC"/>
    <w:rsid w:val="009461EE"/>
    <w:rsid w:val="00946945"/>
    <w:rsid w:val="00947929"/>
    <w:rsid w:val="00947BF1"/>
    <w:rsid w:val="009500E2"/>
    <w:rsid w:val="00951248"/>
    <w:rsid w:val="0095152F"/>
    <w:rsid w:val="009534A8"/>
    <w:rsid w:val="009540C0"/>
    <w:rsid w:val="00954C49"/>
    <w:rsid w:val="00955EAD"/>
    <w:rsid w:val="0095708C"/>
    <w:rsid w:val="00957098"/>
    <w:rsid w:val="00960F20"/>
    <w:rsid w:val="009620B2"/>
    <w:rsid w:val="00962131"/>
    <w:rsid w:val="00962556"/>
    <w:rsid w:val="00964305"/>
    <w:rsid w:val="0096477D"/>
    <w:rsid w:val="00964EBA"/>
    <w:rsid w:val="0097099F"/>
    <w:rsid w:val="009710DA"/>
    <w:rsid w:val="00971997"/>
    <w:rsid w:val="00971FFC"/>
    <w:rsid w:val="00972A49"/>
    <w:rsid w:val="00973726"/>
    <w:rsid w:val="00974188"/>
    <w:rsid w:val="0098033F"/>
    <w:rsid w:val="00985645"/>
    <w:rsid w:val="0098595E"/>
    <w:rsid w:val="00985C49"/>
    <w:rsid w:val="0098660A"/>
    <w:rsid w:val="009869AA"/>
    <w:rsid w:val="009931C3"/>
    <w:rsid w:val="00995CE3"/>
    <w:rsid w:val="009B2C43"/>
    <w:rsid w:val="009B4EAE"/>
    <w:rsid w:val="009B6C92"/>
    <w:rsid w:val="009B7573"/>
    <w:rsid w:val="009C0EF0"/>
    <w:rsid w:val="009C1B2D"/>
    <w:rsid w:val="009C22F4"/>
    <w:rsid w:val="009C2AE3"/>
    <w:rsid w:val="009C2E98"/>
    <w:rsid w:val="009C5896"/>
    <w:rsid w:val="009C6399"/>
    <w:rsid w:val="009D3447"/>
    <w:rsid w:val="009D3AA6"/>
    <w:rsid w:val="009D4711"/>
    <w:rsid w:val="009D5EF4"/>
    <w:rsid w:val="009E0018"/>
    <w:rsid w:val="009E2320"/>
    <w:rsid w:val="009E576A"/>
    <w:rsid w:val="009E7FBF"/>
    <w:rsid w:val="009F1185"/>
    <w:rsid w:val="009F178D"/>
    <w:rsid w:val="009F18CD"/>
    <w:rsid w:val="009F2021"/>
    <w:rsid w:val="009F2A13"/>
    <w:rsid w:val="009F4A42"/>
    <w:rsid w:val="009F4D78"/>
    <w:rsid w:val="009F6A87"/>
    <w:rsid w:val="009F6B63"/>
    <w:rsid w:val="009F6F4A"/>
    <w:rsid w:val="00A02DD4"/>
    <w:rsid w:val="00A04EB0"/>
    <w:rsid w:val="00A05E7E"/>
    <w:rsid w:val="00A06741"/>
    <w:rsid w:val="00A06EF8"/>
    <w:rsid w:val="00A07DE7"/>
    <w:rsid w:val="00A1247B"/>
    <w:rsid w:val="00A13443"/>
    <w:rsid w:val="00A13CC1"/>
    <w:rsid w:val="00A15286"/>
    <w:rsid w:val="00A1571F"/>
    <w:rsid w:val="00A1637E"/>
    <w:rsid w:val="00A16684"/>
    <w:rsid w:val="00A16847"/>
    <w:rsid w:val="00A1745F"/>
    <w:rsid w:val="00A2301F"/>
    <w:rsid w:val="00A237D8"/>
    <w:rsid w:val="00A25634"/>
    <w:rsid w:val="00A268C4"/>
    <w:rsid w:val="00A27771"/>
    <w:rsid w:val="00A300FE"/>
    <w:rsid w:val="00A307CD"/>
    <w:rsid w:val="00A3233A"/>
    <w:rsid w:val="00A35068"/>
    <w:rsid w:val="00A3556D"/>
    <w:rsid w:val="00A35870"/>
    <w:rsid w:val="00A35FE0"/>
    <w:rsid w:val="00A40A00"/>
    <w:rsid w:val="00A4142F"/>
    <w:rsid w:val="00A41D4A"/>
    <w:rsid w:val="00A43522"/>
    <w:rsid w:val="00A4622C"/>
    <w:rsid w:val="00A462AA"/>
    <w:rsid w:val="00A46A63"/>
    <w:rsid w:val="00A47A0F"/>
    <w:rsid w:val="00A50F96"/>
    <w:rsid w:val="00A514F8"/>
    <w:rsid w:val="00A52260"/>
    <w:rsid w:val="00A53D20"/>
    <w:rsid w:val="00A54687"/>
    <w:rsid w:val="00A55073"/>
    <w:rsid w:val="00A55447"/>
    <w:rsid w:val="00A55ED8"/>
    <w:rsid w:val="00A56DF2"/>
    <w:rsid w:val="00A56E1B"/>
    <w:rsid w:val="00A57F63"/>
    <w:rsid w:val="00A61738"/>
    <w:rsid w:val="00A62ECF"/>
    <w:rsid w:val="00A63814"/>
    <w:rsid w:val="00A64138"/>
    <w:rsid w:val="00A64421"/>
    <w:rsid w:val="00A659FC"/>
    <w:rsid w:val="00A65DE6"/>
    <w:rsid w:val="00A67AB5"/>
    <w:rsid w:val="00A70317"/>
    <w:rsid w:val="00A72FA8"/>
    <w:rsid w:val="00A76B3A"/>
    <w:rsid w:val="00A77CB7"/>
    <w:rsid w:val="00A804D8"/>
    <w:rsid w:val="00A85003"/>
    <w:rsid w:val="00A85A0C"/>
    <w:rsid w:val="00A91460"/>
    <w:rsid w:val="00A91760"/>
    <w:rsid w:val="00A93902"/>
    <w:rsid w:val="00A93B00"/>
    <w:rsid w:val="00A93C21"/>
    <w:rsid w:val="00A94004"/>
    <w:rsid w:val="00A95D33"/>
    <w:rsid w:val="00A96D42"/>
    <w:rsid w:val="00AA1212"/>
    <w:rsid w:val="00AA14EC"/>
    <w:rsid w:val="00AA2E83"/>
    <w:rsid w:val="00AA6693"/>
    <w:rsid w:val="00AA6D23"/>
    <w:rsid w:val="00AA7B07"/>
    <w:rsid w:val="00AB1A65"/>
    <w:rsid w:val="00AB26EC"/>
    <w:rsid w:val="00AB2A36"/>
    <w:rsid w:val="00AB5E60"/>
    <w:rsid w:val="00AB5E86"/>
    <w:rsid w:val="00AB6DD7"/>
    <w:rsid w:val="00AC20D9"/>
    <w:rsid w:val="00AC3237"/>
    <w:rsid w:val="00AC3A9E"/>
    <w:rsid w:val="00AC3C6A"/>
    <w:rsid w:val="00AC40DA"/>
    <w:rsid w:val="00AD013F"/>
    <w:rsid w:val="00AD1561"/>
    <w:rsid w:val="00AD1E04"/>
    <w:rsid w:val="00AD4E89"/>
    <w:rsid w:val="00AD5090"/>
    <w:rsid w:val="00AD55F4"/>
    <w:rsid w:val="00AD5620"/>
    <w:rsid w:val="00AD654C"/>
    <w:rsid w:val="00AD712A"/>
    <w:rsid w:val="00AD7C1B"/>
    <w:rsid w:val="00AE16BA"/>
    <w:rsid w:val="00AE1B18"/>
    <w:rsid w:val="00AE1EBE"/>
    <w:rsid w:val="00AE3F47"/>
    <w:rsid w:val="00AE5217"/>
    <w:rsid w:val="00AE57E5"/>
    <w:rsid w:val="00AE5ACD"/>
    <w:rsid w:val="00AE7003"/>
    <w:rsid w:val="00AE78D4"/>
    <w:rsid w:val="00AF334F"/>
    <w:rsid w:val="00AF567D"/>
    <w:rsid w:val="00B03C9D"/>
    <w:rsid w:val="00B03D45"/>
    <w:rsid w:val="00B03DEF"/>
    <w:rsid w:val="00B04041"/>
    <w:rsid w:val="00B046DB"/>
    <w:rsid w:val="00B059FA"/>
    <w:rsid w:val="00B060AE"/>
    <w:rsid w:val="00B06EEB"/>
    <w:rsid w:val="00B07376"/>
    <w:rsid w:val="00B10406"/>
    <w:rsid w:val="00B10517"/>
    <w:rsid w:val="00B1323D"/>
    <w:rsid w:val="00B1364D"/>
    <w:rsid w:val="00B13D51"/>
    <w:rsid w:val="00B13F34"/>
    <w:rsid w:val="00B14E76"/>
    <w:rsid w:val="00B15718"/>
    <w:rsid w:val="00B15757"/>
    <w:rsid w:val="00B161B8"/>
    <w:rsid w:val="00B2048C"/>
    <w:rsid w:val="00B22224"/>
    <w:rsid w:val="00B22E19"/>
    <w:rsid w:val="00B268D9"/>
    <w:rsid w:val="00B30B06"/>
    <w:rsid w:val="00B310B9"/>
    <w:rsid w:val="00B3183E"/>
    <w:rsid w:val="00B330FA"/>
    <w:rsid w:val="00B35211"/>
    <w:rsid w:val="00B35F3F"/>
    <w:rsid w:val="00B36CBB"/>
    <w:rsid w:val="00B370EB"/>
    <w:rsid w:val="00B40532"/>
    <w:rsid w:val="00B425E0"/>
    <w:rsid w:val="00B440AA"/>
    <w:rsid w:val="00B44B70"/>
    <w:rsid w:val="00B47B8F"/>
    <w:rsid w:val="00B50563"/>
    <w:rsid w:val="00B507B7"/>
    <w:rsid w:val="00B53703"/>
    <w:rsid w:val="00B53C56"/>
    <w:rsid w:val="00B53E4F"/>
    <w:rsid w:val="00B54341"/>
    <w:rsid w:val="00B545A6"/>
    <w:rsid w:val="00B5556B"/>
    <w:rsid w:val="00B60A7E"/>
    <w:rsid w:val="00B6427E"/>
    <w:rsid w:val="00B67CE3"/>
    <w:rsid w:val="00B706F1"/>
    <w:rsid w:val="00B725E6"/>
    <w:rsid w:val="00B736DE"/>
    <w:rsid w:val="00B74FE7"/>
    <w:rsid w:val="00B753E0"/>
    <w:rsid w:val="00B7569F"/>
    <w:rsid w:val="00B75C09"/>
    <w:rsid w:val="00B76674"/>
    <w:rsid w:val="00B77EA6"/>
    <w:rsid w:val="00B80439"/>
    <w:rsid w:val="00B80BAB"/>
    <w:rsid w:val="00B81598"/>
    <w:rsid w:val="00B82F7D"/>
    <w:rsid w:val="00B839DA"/>
    <w:rsid w:val="00B83EE2"/>
    <w:rsid w:val="00B841F1"/>
    <w:rsid w:val="00B8480B"/>
    <w:rsid w:val="00B91D3E"/>
    <w:rsid w:val="00B92400"/>
    <w:rsid w:val="00B93AA8"/>
    <w:rsid w:val="00B944D6"/>
    <w:rsid w:val="00B96CD2"/>
    <w:rsid w:val="00BA054C"/>
    <w:rsid w:val="00BA0AED"/>
    <w:rsid w:val="00BA22CD"/>
    <w:rsid w:val="00BA3028"/>
    <w:rsid w:val="00BA3356"/>
    <w:rsid w:val="00BA49E7"/>
    <w:rsid w:val="00BA5298"/>
    <w:rsid w:val="00BB1990"/>
    <w:rsid w:val="00BB2D7E"/>
    <w:rsid w:val="00BB4DF0"/>
    <w:rsid w:val="00BC0AE4"/>
    <w:rsid w:val="00BC1202"/>
    <w:rsid w:val="00BC1A97"/>
    <w:rsid w:val="00BC2731"/>
    <w:rsid w:val="00BC289F"/>
    <w:rsid w:val="00BC5361"/>
    <w:rsid w:val="00BC5460"/>
    <w:rsid w:val="00BC6B50"/>
    <w:rsid w:val="00BD0E25"/>
    <w:rsid w:val="00BD2458"/>
    <w:rsid w:val="00BD5121"/>
    <w:rsid w:val="00BD6D67"/>
    <w:rsid w:val="00BD6E57"/>
    <w:rsid w:val="00BE01DE"/>
    <w:rsid w:val="00BE218A"/>
    <w:rsid w:val="00BE39F0"/>
    <w:rsid w:val="00BE5FB5"/>
    <w:rsid w:val="00BE7259"/>
    <w:rsid w:val="00BF060C"/>
    <w:rsid w:val="00BF2962"/>
    <w:rsid w:val="00BF2E85"/>
    <w:rsid w:val="00BF5BD6"/>
    <w:rsid w:val="00BF6316"/>
    <w:rsid w:val="00BF718F"/>
    <w:rsid w:val="00C01DBE"/>
    <w:rsid w:val="00C03E31"/>
    <w:rsid w:val="00C05BAF"/>
    <w:rsid w:val="00C05CAD"/>
    <w:rsid w:val="00C05F29"/>
    <w:rsid w:val="00C06A2B"/>
    <w:rsid w:val="00C11626"/>
    <w:rsid w:val="00C137AD"/>
    <w:rsid w:val="00C13B26"/>
    <w:rsid w:val="00C1480D"/>
    <w:rsid w:val="00C1658B"/>
    <w:rsid w:val="00C23BFD"/>
    <w:rsid w:val="00C24603"/>
    <w:rsid w:val="00C259D0"/>
    <w:rsid w:val="00C30983"/>
    <w:rsid w:val="00C30D73"/>
    <w:rsid w:val="00C313B9"/>
    <w:rsid w:val="00C31B41"/>
    <w:rsid w:val="00C33276"/>
    <w:rsid w:val="00C33E72"/>
    <w:rsid w:val="00C3423D"/>
    <w:rsid w:val="00C342CE"/>
    <w:rsid w:val="00C34C84"/>
    <w:rsid w:val="00C34EED"/>
    <w:rsid w:val="00C354B2"/>
    <w:rsid w:val="00C35554"/>
    <w:rsid w:val="00C36831"/>
    <w:rsid w:val="00C4133E"/>
    <w:rsid w:val="00C41611"/>
    <w:rsid w:val="00C41EB1"/>
    <w:rsid w:val="00C42709"/>
    <w:rsid w:val="00C516E5"/>
    <w:rsid w:val="00C5216D"/>
    <w:rsid w:val="00C533CC"/>
    <w:rsid w:val="00C54531"/>
    <w:rsid w:val="00C5751C"/>
    <w:rsid w:val="00C61BFC"/>
    <w:rsid w:val="00C62B85"/>
    <w:rsid w:val="00C634C6"/>
    <w:rsid w:val="00C63DE6"/>
    <w:rsid w:val="00C65438"/>
    <w:rsid w:val="00C65FA1"/>
    <w:rsid w:val="00C663B4"/>
    <w:rsid w:val="00C66789"/>
    <w:rsid w:val="00C677E0"/>
    <w:rsid w:val="00C71C3C"/>
    <w:rsid w:val="00C73C9E"/>
    <w:rsid w:val="00C77955"/>
    <w:rsid w:val="00C77D11"/>
    <w:rsid w:val="00C80E5E"/>
    <w:rsid w:val="00C87773"/>
    <w:rsid w:val="00C91BEF"/>
    <w:rsid w:val="00C91CBB"/>
    <w:rsid w:val="00C94460"/>
    <w:rsid w:val="00C94755"/>
    <w:rsid w:val="00C9494C"/>
    <w:rsid w:val="00C976D8"/>
    <w:rsid w:val="00C9779E"/>
    <w:rsid w:val="00CA1D7E"/>
    <w:rsid w:val="00CA4889"/>
    <w:rsid w:val="00CA6417"/>
    <w:rsid w:val="00CA7A47"/>
    <w:rsid w:val="00CA7CBE"/>
    <w:rsid w:val="00CB2258"/>
    <w:rsid w:val="00CB37D6"/>
    <w:rsid w:val="00CB5AA7"/>
    <w:rsid w:val="00CC09B6"/>
    <w:rsid w:val="00CC2ECC"/>
    <w:rsid w:val="00CC42AE"/>
    <w:rsid w:val="00CC5828"/>
    <w:rsid w:val="00CC666F"/>
    <w:rsid w:val="00CD0159"/>
    <w:rsid w:val="00CD1E3F"/>
    <w:rsid w:val="00CD2CD4"/>
    <w:rsid w:val="00CD2F8E"/>
    <w:rsid w:val="00CD33CA"/>
    <w:rsid w:val="00CD41F7"/>
    <w:rsid w:val="00CD7039"/>
    <w:rsid w:val="00CE07D1"/>
    <w:rsid w:val="00CE10F5"/>
    <w:rsid w:val="00CE245D"/>
    <w:rsid w:val="00CE298B"/>
    <w:rsid w:val="00CE41E9"/>
    <w:rsid w:val="00CE4476"/>
    <w:rsid w:val="00CE44F6"/>
    <w:rsid w:val="00CE49DA"/>
    <w:rsid w:val="00CE6166"/>
    <w:rsid w:val="00CE7B61"/>
    <w:rsid w:val="00CF0C95"/>
    <w:rsid w:val="00CF303D"/>
    <w:rsid w:val="00CF32A8"/>
    <w:rsid w:val="00CF47D0"/>
    <w:rsid w:val="00CF537A"/>
    <w:rsid w:val="00CF5A38"/>
    <w:rsid w:val="00D00095"/>
    <w:rsid w:val="00D007A3"/>
    <w:rsid w:val="00D00CD9"/>
    <w:rsid w:val="00D01872"/>
    <w:rsid w:val="00D01D1C"/>
    <w:rsid w:val="00D03F76"/>
    <w:rsid w:val="00D07457"/>
    <w:rsid w:val="00D120DF"/>
    <w:rsid w:val="00D12260"/>
    <w:rsid w:val="00D14981"/>
    <w:rsid w:val="00D17582"/>
    <w:rsid w:val="00D20620"/>
    <w:rsid w:val="00D21AB8"/>
    <w:rsid w:val="00D21B96"/>
    <w:rsid w:val="00D21FCA"/>
    <w:rsid w:val="00D23CC1"/>
    <w:rsid w:val="00D253CD"/>
    <w:rsid w:val="00D26091"/>
    <w:rsid w:val="00D26765"/>
    <w:rsid w:val="00D30031"/>
    <w:rsid w:val="00D34E7C"/>
    <w:rsid w:val="00D35489"/>
    <w:rsid w:val="00D41FB4"/>
    <w:rsid w:val="00D42D3C"/>
    <w:rsid w:val="00D43BB3"/>
    <w:rsid w:val="00D4531F"/>
    <w:rsid w:val="00D5056E"/>
    <w:rsid w:val="00D51276"/>
    <w:rsid w:val="00D577F9"/>
    <w:rsid w:val="00D6086D"/>
    <w:rsid w:val="00D60B63"/>
    <w:rsid w:val="00D6672E"/>
    <w:rsid w:val="00D66F3E"/>
    <w:rsid w:val="00D67949"/>
    <w:rsid w:val="00D70080"/>
    <w:rsid w:val="00D7035F"/>
    <w:rsid w:val="00D70D9E"/>
    <w:rsid w:val="00D7255A"/>
    <w:rsid w:val="00D729A5"/>
    <w:rsid w:val="00D7311E"/>
    <w:rsid w:val="00D74434"/>
    <w:rsid w:val="00D74948"/>
    <w:rsid w:val="00D75E52"/>
    <w:rsid w:val="00D8058B"/>
    <w:rsid w:val="00D811F1"/>
    <w:rsid w:val="00D81CF0"/>
    <w:rsid w:val="00D86259"/>
    <w:rsid w:val="00D9128F"/>
    <w:rsid w:val="00D95A81"/>
    <w:rsid w:val="00DA2414"/>
    <w:rsid w:val="00DA2E7B"/>
    <w:rsid w:val="00DA376F"/>
    <w:rsid w:val="00DA4CF4"/>
    <w:rsid w:val="00DA517E"/>
    <w:rsid w:val="00DA64CE"/>
    <w:rsid w:val="00DA65AC"/>
    <w:rsid w:val="00DA73F4"/>
    <w:rsid w:val="00DB1913"/>
    <w:rsid w:val="00DB23A2"/>
    <w:rsid w:val="00DB31AE"/>
    <w:rsid w:val="00DB469B"/>
    <w:rsid w:val="00DB6217"/>
    <w:rsid w:val="00DB7682"/>
    <w:rsid w:val="00DB774B"/>
    <w:rsid w:val="00DB7B27"/>
    <w:rsid w:val="00DB7ED3"/>
    <w:rsid w:val="00DC1D19"/>
    <w:rsid w:val="00DC29F0"/>
    <w:rsid w:val="00DC410D"/>
    <w:rsid w:val="00DC482F"/>
    <w:rsid w:val="00DC4E3B"/>
    <w:rsid w:val="00DC53AB"/>
    <w:rsid w:val="00DC68CA"/>
    <w:rsid w:val="00DC7CBA"/>
    <w:rsid w:val="00DD0F4D"/>
    <w:rsid w:val="00DD109B"/>
    <w:rsid w:val="00DD2D64"/>
    <w:rsid w:val="00DD73B7"/>
    <w:rsid w:val="00DE28E8"/>
    <w:rsid w:val="00DE57ED"/>
    <w:rsid w:val="00DE6D3D"/>
    <w:rsid w:val="00DF0369"/>
    <w:rsid w:val="00DF256A"/>
    <w:rsid w:val="00DF28BC"/>
    <w:rsid w:val="00DF2BBE"/>
    <w:rsid w:val="00DF34B9"/>
    <w:rsid w:val="00DF36DA"/>
    <w:rsid w:val="00DF4EE4"/>
    <w:rsid w:val="00DF69F2"/>
    <w:rsid w:val="00E00C0C"/>
    <w:rsid w:val="00E01053"/>
    <w:rsid w:val="00E032C4"/>
    <w:rsid w:val="00E03AB5"/>
    <w:rsid w:val="00E04FF6"/>
    <w:rsid w:val="00E07ACF"/>
    <w:rsid w:val="00E07C49"/>
    <w:rsid w:val="00E1142E"/>
    <w:rsid w:val="00E11EA9"/>
    <w:rsid w:val="00E13C23"/>
    <w:rsid w:val="00E17451"/>
    <w:rsid w:val="00E176E0"/>
    <w:rsid w:val="00E20F23"/>
    <w:rsid w:val="00E21189"/>
    <w:rsid w:val="00E22344"/>
    <w:rsid w:val="00E22D73"/>
    <w:rsid w:val="00E24A28"/>
    <w:rsid w:val="00E2598A"/>
    <w:rsid w:val="00E26D43"/>
    <w:rsid w:val="00E2719A"/>
    <w:rsid w:val="00E331A1"/>
    <w:rsid w:val="00E33202"/>
    <w:rsid w:val="00E336A9"/>
    <w:rsid w:val="00E339F9"/>
    <w:rsid w:val="00E34D61"/>
    <w:rsid w:val="00E352AD"/>
    <w:rsid w:val="00E35DF9"/>
    <w:rsid w:val="00E36162"/>
    <w:rsid w:val="00E4020E"/>
    <w:rsid w:val="00E41572"/>
    <w:rsid w:val="00E42E24"/>
    <w:rsid w:val="00E4326C"/>
    <w:rsid w:val="00E43716"/>
    <w:rsid w:val="00E43E83"/>
    <w:rsid w:val="00E4418C"/>
    <w:rsid w:val="00E442E7"/>
    <w:rsid w:val="00E47FEC"/>
    <w:rsid w:val="00E50624"/>
    <w:rsid w:val="00E50EC1"/>
    <w:rsid w:val="00E559C8"/>
    <w:rsid w:val="00E559F4"/>
    <w:rsid w:val="00E568DF"/>
    <w:rsid w:val="00E6091E"/>
    <w:rsid w:val="00E63E1C"/>
    <w:rsid w:val="00E64269"/>
    <w:rsid w:val="00E648BF"/>
    <w:rsid w:val="00E67B9B"/>
    <w:rsid w:val="00E70395"/>
    <w:rsid w:val="00E71182"/>
    <w:rsid w:val="00E7180C"/>
    <w:rsid w:val="00E71EE8"/>
    <w:rsid w:val="00E759C7"/>
    <w:rsid w:val="00E778AF"/>
    <w:rsid w:val="00E82267"/>
    <w:rsid w:val="00E82D19"/>
    <w:rsid w:val="00E8382C"/>
    <w:rsid w:val="00E84714"/>
    <w:rsid w:val="00E879E6"/>
    <w:rsid w:val="00E9375F"/>
    <w:rsid w:val="00E938AA"/>
    <w:rsid w:val="00E95984"/>
    <w:rsid w:val="00E96D03"/>
    <w:rsid w:val="00EA010F"/>
    <w:rsid w:val="00EA039B"/>
    <w:rsid w:val="00EA2455"/>
    <w:rsid w:val="00EA262D"/>
    <w:rsid w:val="00EA4AA3"/>
    <w:rsid w:val="00EA4BCA"/>
    <w:rsid w:val="00EA545A"/>
    <w:rsid w:val="00EB2461"/>
    <w:rsid w:val="00EC1C2C"/>
    <w:rsid w:val="00EC25B6"/>
    <w:rsid w:val="00EC38BD"/>
    <w:rsid w:val="00EC3F04"/>
    <w:rsid w:val="00ED1B63"/>
    <w:rsid w:val="00ED29E6"/>
    <w:rsid w:val="00ED29EA"/>
    <w:rsid w:val="00ED360C"/>
    <w:rsid w:val="00ED3C1F"/>
    <w:rsid w:val="00ED4085"/>
    <w:rsid w:val="00ED420E"/>
    <w:rsid w:val="00ED6AD8"/>
    <w:rsid w:val="00ED71DF"/>
    <w:rsid w:val="00EE0963"/>
    <w:rsid w:val="00EE1FC9"/>
    <w:rsid w:val="00EE24E3"/>
    <w:rsid w:val="00EE2F57"/>
    <w:rsid w:val="00EE6332"/>
    <w:rsid w:val="00EF132A"/>
    <w:rsid w:val="00EF4C34"/>
    <w:rsid w:val="00EF5291"/>
    <w:rsid w:val="00EF64E8"/>
    <w:rsid w:val="00EF659B"/>
    <w:rsid w:val="00EF77C6"/>
    <w:rsid w:val="00EF7BDE"/>
    <w:rsid w:val="00EF7CA7"/>
    <w:rsid w:val="00F022B4"/>
    <w:rsid w:val="00F0292C"/>
    <w:rsid w:val="00F05438"/>
    <w:rsid w:val="00F0746A"/>
    <w:rsid w:val="00F110A1"/>
    <w:rsid w:val="00F118C3"/>
    <w:rsid w:val="00F1361C"/>
    <w:rsid w:val="00F14902"/>
    <w:rsid w:val="00F160C7"/>
    <w:rsid w:val="00F16FDE"/>
    <w:rsid w:val="00F20320"/>
    <w:rsid w:val="00F20532"/>
    <w:rsid w:val="00F21001"/>
    <w:rsid w:val="00F228F9"/>
    <w:rsid w:val="00F248A8"/>
    <w:rsid w:val="00F24E3F"/>
    <w:rsid w:val="00F26D60"/>
    <w:rsid w:val="00F30138"/>
    <w:rsid w:val="00F301B6"/>
    <w:rsid w:val="00F31EA1"/>
    <w:rsid w:val="00F3294D"/>
    <w:rsid w:val="00F354A9"/>
    <w:rsid w:val="00F36D8F"/>
    <w:rsid w:val="00F3744E"/>
    <w:rsid w:val="00F40698"/>
    <w:rsid w:val="00F406E9"/>
    <w:rsid w:val="00F417B1"/>
    <w:rsid w:val="00F460AB"/>
    <w:rsid w:val="00F50AC5"/>
    <w:rsid w:val="00F53E68"/>
    <w:rsid w:val="00F5454E"/>
    <w:rsid w:val="00F559FA"/>
    <w:rsid w:val="00F57903"/>
    <w:rsid w:val="00F602DF"/>
    <w:rsid w:val="00F6390A"/>
    <w:rsid w:val="00F6529E"/>
    <w:rsid w:val="00F6641D"/>
    <w:rsid w:val="00F75CC0"/>
    <w:rsid w:val="00F75CCC"/>
    <w:rsid w:val="00F75F9D"/>
    <w:rsid w:val="00F81FD9"/>
    <w:rsid w:val="00F82490"/>
    <w:rsid w:val="00F8281D"/>
    <w:rsid w:val="00F835D4"/>
    <w:rsid w:val="00F841AA"/>
    <w:rsid w:val="00F845B5"/>
    <w:rsid w:val="00F86932"/>
    <w:rsid w:val="00F87E73"/>
    <w:rsid w:val="00F905A4"/>
    <w:rsid w:val="00F92C70"/>
    <w:rsid w:val="00F93633"/>
    <w:rsid w:val="00F93DF5"/>
    <w:rsid w:val="00FA0947"/>
    <w:rsid w:val="00FA23E8"/>
    <w:rsid w:val="00FA2F5B"/>
    <w:rsid w:val="00FA4421"/>
    <w:rsid w:val="00FA4B00"/>
    <w:rsid w:val="00FA525F"/>
    <w:rsid w:val="00FA77AD"/>
    <w:rsid w:val="00FB0BBA"/>
    <w:rsid w:val="00FB1FF4"/>
    <w:rsid w:val="00FB55E6"/>
    <w:rsid w:val="00FC124C"/>
    <w:rsid w:val="00FC1E02"/>
    <w:rsid w:val="00FC3048"/>
    <w:rsid w:val="00FC4660"/>
    <w:rsid w:val="00FC46BC"/>
    <w:rsid w:val="00FC7DEF"/>
    <w:rsid w:val="00FD020D"/>
    <w:rsid w:val="00FD3016"/>
    <w:rsid w:val="00FD3828"/>
    <w:rsid w:val="00FD3CC1"/>
    <w:rsid w:val="00FD5BFE"/>
    <w:rsid w:val="00FE17BC"/>
    <w:rsid w:val="00FE2AD1"/>
    <w:rsid w:val="00FE4DB0"/>
    <w:rsid w:val="00FE5493"/>
    <w:rsid w:val="00FE625C"/>
    <w:rsid w:val="00FF1E02"/>
    <w:rsid w:val="00FF30B4"/>
    <w:rsid w:val="00FF66E8"/>
    <w:rsid w:val="01CF32DE"/>
    <w:rsid w:val="01D74DB7"/>
    <w:rsid w:val="01D86637"/>
    <w:rsid w:val="01F04616"/>
    <w:rsid w:val="03F359AA"/>
    <w:rsid w:val="0463543B"/>
    <w:rsid w:val="04A56E6E"/>
    <w:rsid w:val="051A6F96"/>
    <w:rsid w:val="06951176"/>
    <w:rsid w:val="07001BE1"/>
    <w:rsid w:val="07267DE7"/>
    <w:rsid w:val="089C4B49"/>
    <w:rsid w:val="09081517"/>
    <w:rsid w:val="091B747D"/>
    <w:rsid w:val="0A19737C"/>
    <w:rsid w:val="0A560D27"/>
    <w:rsid w:val="0B7218AA"/>
    <w:rsid w:val="0B99373B"/>
    <w:rsid w:val="0BA37CB5"/>
    <w:rsid w:val="0D0429D6"/>
    <w:rsid w:val="0D093B48"/>
    <w:rsid w:val="0D322E51"/>
    <w:rsid w:val="0D6C338E"/>
    <w:rsid w:val="0DB37F58"/>
    <w:rsid w:val="0F5E6610"/>
    <w:rsid w:val="10C055FF"/>
    <w:rsid w:val="11D56DF6"/>
    <w:rsid w:val="11ED6591"/>
    <w:rsid w:val="13367661"/>
    <w:rsid w:val="16BB723D"/>
    <w:rsid w:val="17BC7656"/>
    <w:rsid w:val="17EA348C"/>
    <w:rsid w:val="1840212F"/>
    <w:rsid w:val="19943114"/>
    <w:rsid w:val="1AB026BC"/>
    <w:rsid w:val="1ABB32B6"/>
    <w:rsid w:val="1BF70747"/>
    <w:rsid w:val="1C06153F"/>
    <w:rsid w:val="1C8431EB"/>
    <w:rsid w:val="1C986C96"/>
    <w:rsid w:val="1D3369BF"/>
    <w:rsid w:val="1D7371C3"/>
    <w:rsid w:val="1DDC2BB3"/>
    <w:rsid w:val="1E34479D"/>
    <w:rsid w:val="1EA276DA"/>
    <w:rsid w:val="1EF81F78"/>
    <w:rsid w:val="1F620905"/>
    <w:rsid w:val="201A6AB0"/>
    <w:rsid w:val="203B66A0"/>
    <w:rsid w:val="211A679A"/>
    <w:rsid w:val="23902475"/>
    <w:rsid w:val="240371BF"/>
    <w:rsid w:val="2435534E"/>
    <w:rsid w:val="24534F10"/>
    <w:rsid w:val="24DF6C66"/>
    <w:rsid w:val="253D03DB"/>
    <w:rsid w:val="25A20B86"/>
    <w:rsid w:val="25B1070F"/>
    <w:rsid w:val="25DD571A"/>
    <w:rsid w:val="265C1D1F"/>
    <w:rsid w:val="26BB36DB"/>
    <w:rsid w:val="271C5A93"/>
    <w:rsid w:val="276F1834"/>
    <w:rsid w:val="27B459F9"/>
    <w:rsid w:val="27C51E91"/>
    <w:rsid w:val="28513369"/>
    <w:rsid w:val="28BF6D42"/>
    <w:rsid w:val="29FD04D3"/>
    <w:rsid w:val="2CAE1BBE"/>
    <w:rsid w:val="2CCF04B2"/>
    <w:rsid w:val="2E4C04E0"/>
    <w:rsid w:val="2F803D16"/>
    <w:rsid w:val="31810DA9"/>
    <w:rsid w:val="31903F88"/>
    <w:rsid w:val="319F7F4E"/>
    <w:rsid w:val="329448A6"/>
    <w:rsid w:val="32F45598"/>
    <w:rsid w:val="35244754"/>
    <w:rsid w:val="364D41F6"/>
    <w:rsid w:val="36FD0156"/>
    <w:rsid w:val="38F8371D"/>
    <w:rsid w:val="39226F5F"/>
    <w:rsid w:val="39902098"/>
    <w:rsid w:val="3A3A0F35"/>
    <w:rsid w:val="3A4E1148"/>
    <w:rsid w:val="3C8D2F9D"/>
    <w:rsid w:val="3CE0510E"/>
    <w:rsid w:val="3D1E4B3E"/>
    <w:rsid w:val="3E03620E"/>
    <w:rsid w:val="3E343C22"/>
    <w:rsid w:val="3F512FA9"/>
    <w:rsid w:val="3FAC4683"/>
    <w:rsid w:val="3FEA5DFB"/>
    <w:rsid w:val="401C35B7"/>
    <w:rsid w:val="4119235A"/>
    <w:rsid w:val="41677310"/>
    <w:rsid w:val="422C2C46"/>
    <w:rsid w:val="4251506E"/>
    <w:rsid w:val="43684120"/>
    <w:rsid w:val="444F07DA"/>
    <w:rsid w:val="44601E28"/>
    <w:rsid w:val="475E72DC"/>
    <w:rsid w:val="47F514AF"/>
    <w:rsid w:val="482A1628"/>
    <w:rsid w:val="4839282C"/>
    <w:rsid w:val="48FD75BD"/>
    <w:rsid w:val="4A745623"/>
    <w:rsid w:val="4D135D42"/>
    <w:rsid w:val="4D846266"/>
    <w:rsid w:val="4D8D78A2"/>
    <w:rsid w:val="4DF123A8"/>
    <w:rsid w:val="4E832A53"/>
    <w:rsid w:val="4F6F7A34"/>
    <w:rsid w:val="4FD74194"/>
    <w:rsid w:val="4FDA49F5"/>
    <w:rsid w:val="50AE413E"/>
    <w:rsid w:val="51E1640E"/>
    <w:rsid w:val="51EE42CA"/>
    <w:rsid w:val="52302EF2"/>
    <w:rsid w:val="52ED6284"/>
    <w:rsid w:val="5322283B"/>
    <w:rsid w:val="532B0C13"/>
    <w:rsid w:val="53BE2B80"/>
    <w:rsid w:val="53F45486"/>
    <w:rsid w:val="541505F1"/>
    <w:rsid w:val="54992FD0"/>
    <w:rsid w:val="55872E29"/>
    <w:rsid w:val="56D0674C"/>
    <w:rsid w:val="58BA52C3"/>
    <w:rsid w:val="59E11CD3"/>
    <w:rsid w:val="5BE202EA"/>
    <w:rsid w:val="5CFA7F1D"/>
    <w:rsid w:val="5E2506F8"/>
    <w:rsid w:val="5EA316D6"/>
    <w:rsid w:val="5F3A07D2"/>
    <w:rsid w:val="5F593A88"/>
    <w:rsid w:val="60651EAC"/>
    <w:rsid w:val="60BB3927"/>
    <w:rsid w:val="62A42EE2"/>
    <w:rsid w:val="630D013F"/>
    <w:rsid w:val="63347FC4"/>
    <w:rsid w:val="63604CB9"/>
    <w:rsid w:val="64A36D0B"/>
    <w:rsid w:val="64C656C1"/>
    <w:rsid w:val="65DF63C9"/>
    <w:rsid w:val="662A7F2C"/>
    <w:rsid w:val="68DA2DB6"/>
    <w:rsid w:val="69725134"/>
    <w:rsid w:val="6B2334E9"/>
    <w:rsid w:val="6B4666B6"/>
    <w:rsid w:val="6CC85DA9"/>
    <w:rsid w:val="6D8F2D6B"/>
    <w:rsid w:val="6DC31436"/>
    <w:rsid w:val="6ECB49CF"/>
    <w:rsid w:val="6ECB5A2B"/>
    <w:rsid w:val="70202A42"/>
    <w:rsid w:val="72227D09"/>
    <w:rsid w:val="72E476B5"/>
    <w:rsid w:val="73BE3A62"/>
    <w:rsid w:val="746C7E4B"/>
    <w:rsid w:val="750E6C6B"/>
    <w:rsid w:val="755E374E"/>
    <w:rsid w:val="76377F56"/>
    <w:rsid w:val="764B35A7"/>
    <w:rsid w:val="7795727A"/>
    <w:rsid w:val="78A4106B"/>
    <w:rsid w:val="79975481"/>
    <w:rsid w:val="7A1B4027"/>
    <w:rsid w:val="7A965738"/>
    <w:rsid w:val="7ABC1C9C"/>
    <w:rsid w:val="7B022DCE"/>
    <w:rsid w:val="7B272834"/>
    <w:rsid w:val="7B8F71DF"/>
    <w:rsid w:val="7CB2612E"/>
    <w:rsid w:val="7CC25607"/>
    <w:rsid w:val="7DE859ED"/>
    <w:rsid w:val="7E4C610E"/>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70"/>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7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34"/>
    <w:unhideWhenUsed/>
    <w:qFormat/>
    <w:uiPriority w:val="9"/>
    <w:pPr>
      <w:keepNext/>
      <w:keepLines/>
      <w:spacing w:before="260" w:after="260" w:line="416" w:lineRule="auto"/>
      <w:outlineLvl w:val="2"/>
    </w:pPr>
    <w:rPr>
      <w:b/>
      <w:bCs/>
      <w:sz w:val="32"/>
      <w:szCs w:val="32"/>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99"/>
    <w:pPr>
      <w:tabs>
        <w:tab w:val="left" w:pos="960"/>
      </w:tabs>
      <w:ind w:firstLine="420" w:firstLineChars="200"/>
    </w:pPr>
  </w:style>
  <w:style w:type="paragraph" w:styleId="3">
    <w:name w:val="Body Text Indent"/>
    <w:basedOn w:val="1"/>
    <w:next w:val="2"/>
    <w:qFormat/>
    <w:uiPriority w:val="99"/>
    <w:pPr>
      <w:tabs>
        <w:tab w:val="left" w:pos="960"/>
      </w:tabs>
      <w:spacing w:line="540" w:lineRule="exact"/>
      <w:ind w:firstLine="5440" w:firstLineChars="1700"/>
    </w:pPr>
    <w:rPr>
      <w:sz w:val="32"/>
      <w:szCs w:val="32"/>
    </w:rPr>
  </w:style>
  <w:style w:type="paragraph" w:styleId="7">
    <w:name w:val="Normal Indent"/>
    <w:basedOn w:val="1"/>
    <w:unhideWhenUsed/>
    <w:qFormat/>
    <w:uiPriority w:val="99"/>
    <w:pPr>
      <w:ind w:firstLine="680"/>
    </w:pPr>
  </w:style>
  <w:style w:type="paragraph" w:styleId="8">
    <w:name w:val="annotation text"/>
    <w:basedOn w:val="1"/>
    <w:semiHidden/>
    <w:unhideWhenUsed/>
    <w:qFormat/>
    <w:uiPriority w:val="99"/>
    <w:pPr>
      <w:jc w:val="left"/>
    </w:pPr>
  </w:style>
  <w:style w:type="paragraph" w:styleId="9">
    <w:name w:val="Body Text"/>
    <w:basedOn w:val="1"/>
    <w:link w:val="28"/>
    <w:qFormat/>
    <w:uiPriority w:val="99"/>
    <w:pPr>
      <w:spacing w:beforeLines="30"/>
    </w:pPr>
    <w:rPr>
      <w:rFonts w:ascii="仿宋_GB2312" w:eastAsia="仿宋_GB2312"/>
      <w:kern w:val="0"/>
      <w:sz w:val="30"/>
    </w:rPr>
  </w:style>
  <w:style w:type="paragraph" w:styleId="10">
    <w:name w:val="toc 3"/>
    <w:basedOn w:val="1"/>
    <w:next w:val="1"/>
    <w:unhideWhenUsed/>
    <w:qFormat/>
    <w:uiPriority w:val="39"/>
    <w:pPr>
      <w:tabs>
        <w:tab w:val="right" w:leader="dot" w:pos="8296"/>
      </w:tabs>
      <w:ind w:left="840" w:leftChars="400"/>
    </w:pPr>
  </w:style>
  <w:style w:type="paragraph" w:styleId="11">
    <w:name w:val="Balloon Text"/>
    <w:basedOn w:val="1"/>
    <w:link w:val="33"/>
    <w:semiHidden/>
    <w:unhideWhenUsed/>
    <w:qFormat/>
    <w:uiPriority w:val="99"/>
    <w:rPr>
      <w:sz w:val="18"/>
      <w:szCs w:val="18"/>
    </w:rPr>
  </w:style>
  <w:style w:type="paragraph" w:styleId="12">
    <w:name w:val="footer"/>
    <w:basedOn w:val="1"/>
    <w:link w:val="26"/>
    <w:qFormat/>
    <w:uiPriority w:val="99"/>
    <w:pPr>
      <w:tabs>
        <w:tab w:val="center" w:pos="4153"/>
        <w:tab w:val="right" w:pos="8306"/>
      </w:tabs>
      <w:snapToGrid w:val="0"/>
      <w:jc w:val="left"/>
    </w:pPr>
    <w:rPr>
      <w:rFonts w:ascii="Calibri" w:hAnsi="Calibri"/>
      <w:kern w:val="0"/>
      <w:sz w:val="18"/>
      <w:szCs w:val="18"/>
    </w:rPr>
  </w:style>
  <w:style w:type="paragraph" w:styleId="13">
    <w:name w:val="header"/>
    <w:basedOn w:val="1"/>
    <w:link w:val="24"/>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4">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5">
    <w:name w:val="table of figures"/>
    <w:basedOn w:val="1"/>
    <w:next w:val="1"/>
    <w:qFormat/>
    <w:uiPriority w:val="0"/>
    <w:pPr>
      <w:ind w:left="200" w:leftChars="200" w:hanging="200" w:hangingChars="200"/>
    </w:pPr>
  </w:style>
  <w:style w:type="paragraph" w:styleId="16">
    <w:name w:val="toc 2"/>
    <w:basedOn w:val="1"/>
    <w:next w:val="1"/>
    <w:unhideWhenUsed/>
    <w:qFormat/>
    <w:uiPriority w:val="39"/>
    <w:pPr>
      <w:tabs>
        <w:tab w:val="right" w:leader="dot" w:pos="8296"/>
      </w:tabs>
      <w:ind w:left="420" w:leftChars="200"/>
    </w:pPr>
  </w:style>
  <w:style w:type="character" w:styleId="19">
    <w:name w:val="Strong"/>
    <w:basedOn w:val="18"/>
    <w:qFormat/>
    <w:uiPriority w:val="99"/>
    <w:rPr>
      <w:b/>
    </w:rPr>
  </w:style>
  <w:style w:type="character" w:styleId="20">
    <w:name w:val="Hyperlink"/>
    <w:basedOn w:val="18"/>
    <w:unhideWhenUsed/>
    <w:qFormat/>
    <w:uiPriority w:val="99"/>
    <w:rPr>
      <w:color w:val="0000FF" w:themeColor="hyperlink"/>
      <w:u w:val="single"/>
    </w:rPr>
  </w:style>
  <w:style w:type="character" w:styleId="21">
    <w:name w:val="annotation reference"/>
    <w:basedOn w:val="18"/>
    <w:semiHidden/>
    <w:unhideWhenUsed/>
    <w:qFormat/>
    <w:uiPriority w:val="99"/>
    <w:rPr>
      <w:sz w:val="21"/>
      <w:szCs w:val="21"/>
    </w:r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character" w:customStyle="1" w:styleId="23">
    <w:name w:val="Header Char"/>
    <w:basedOn w:val="18"/>
    <w:semiHidden/>
    <w:qFormat/>
    <w:uiPriority w:val="99"/>
    <w:rPr>
      <w:rFonts w:ascii="Times New Roman" w:hAnsi="Times New Roman"/>
      <w:sz w:val="18"/>
      <w:szCs w:val="18"/>
    </w:rPr>
  </w:style>
  <w:style w:type="character" w:customStyle="1" w:styleId="24">
    <w:name w:val="页眉 字符"/>
    <w:link w:val="13"/>
    <w:semiHidden/>
    <w:qFormat/>
    <w:locked/>
    <w:uiPriority w:val="99"/>
    <w:rPr>
      <w:sz w:val="18"/>
    </w:rPr>
  </w:style>
  <w:style w:type="character" w:customStyle="1" w:styleId="25">
    <w:name w:val="Footer Char"/>
    <w:basedOn w:val="18"/>
    <w:semiHidden/>
    <w:qFormat/>
    <w:uiPriority w:val="99"/>
    <w:rPr>
      <w:rFonts w:ascii="Times New Roman" w:hAnsi="Times New Roman"/>
      <w:sz w:val="18"/>
      <w:szCs w:val="18"/>
    </w:rPr>
  </w:style>
  <w:style w:type="character" w:customStyle="1" w:styleId="26">
    <w:name w:val="页脚 字符"/>
    <w:link w:val="12"/>
    <w:qFormat/>
    <w:locked/>
    <w:uiPriority w:val="99"/>
    <w:rPr>
      <w:sz w:val="18"/>
    </w:rPr>
  </w:style>
  <w:style w:type="character" w:customStyle="1" w:styleId="27">
    <w:name w:val="Body Text Char"/>
    <w:basedOn w:val="18"/>
    <w:semiHidden/>
    <w:qFormat/>
    <w:uiPriority w:val="99"/>
    <w:rPr>
      <w:rFonts w:ascii="Times New Roman" w:hAnsi="Times New Roman"/>
      <w:szCs w:val="24"/>
    </w:rPr>
  </w:style>
  <w:style w:type="character" w:customStyle="1" w:styleId="28">
    <w:name w:val="正文文本 字符"/>
    <w:link w:val="9"/>
    <w:qFormat/>
    <w:locked/>
    <w:uiPriority w:val="99"/>
    <w:rPr>
      <w:rFonts w:ascii="仿宋_GB2312" w:hAnsi="Times New Roman" w:eastAsia="仿宋_GB2312"/>
      <w:sz w:val="24"/>
    </w:rPr>
  </w:style>
  <w:style w:type="paragraph" w:styleId="29">
    <w:name w:val="List Paragraph"/>
    <w:basedOn w:val="1"/>
    <w:qFormat/>
    <w:uiPriority w:val="34"/>
    <w:pPr>
      <w:ind w:firstLine="420" w:firstLineChars="200"/>
    </w:pPr>
  </w:style>
  <w:style w:type="character" w:customStyle="1" w:styleId="30">
    <w:name w:val="标题 1 字符"/>
    <w:basedOn w:val="18"/>
    <w:link w:val="4"/>
    <w:qFormat/>
    <w:uiPriority w:val="9"/>
    <w:rPr>
      <w:rFonts w:ascii="Times New Roman" w:hAnsi="Times New Roman"/>
      <w:b/>
      <w:bCs/>
      <w:kern w:val="44"/>
      <w:sz w:val="44"/>
      <w:szCs w:val="44"/>
    </w:rPr>
  </w:style>
  <w:style w:type="character" w:customStyle="1" w:styleId="31">
    <w:name w:val="标题 2 字符"/>
    <w:basedOn w:val="18"/>
    <w:link w:val="5"/>
    <w:qFormat/>
    <w:uiPriority w:val="9"/>
    <w:rPr>
      <w:rFonts w:asciiTheme="majorHAnsi" w:hAnsiTheme="majorHAnsi" w:eastAsiaTheme="majorEastAsia" w:cstheme="majorBidi"/>
      <w:b/>
      <w:bCs/>
      <w:kern w:val="2"/>
      <w:sz w:val="32"/>
      <w:szCs w:val="32"/>
    </w:rPr>
  </w:style>
  <w:style w:type="paragraph" w:customStyle="1" w:styleId="32">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3">
    <w:name w:val="批注框文本 字符"/>
    <w:basedOn w:val="18"/>
    <w:link w:val="11"/>
    <w:semiHidden/>
    <w:qFormat/>
    <w:uiPriority w:val="99"/>
    <w:rPr>
      <w:rFonts w:ascii="Times New Roman" w:hAnsi="Times New Roman"/>
      <w:kern w:val="2"/>
      <w:sz w:val="18"/>
      <w:szCs w:val="18"/>
    </w:rPr>
  </w:style>
  <w:style w:type="character" w:customStyle="1" w:styleId="34">
    <w:name w:val="标题 3 字符"/>
    <w:basedOn w:val="18"/>
    <w:link w:val="6"/>
    <w:qFormat/>
    <w:uiPriority w:val="9"/>
    <w:rPr>
      <w:rFonts w:ascii="Times New Roman" w:hAnsi="Times New Roman"/>
      <w:b/>
      <w:bCs/>
      <w:kern w:val="2"/>
      <w:sz w:val="32"/>
      <w:szCs w:val="32"/>
    </w:rPr>
  </w:style>
  <w:style w:type="paragraph" w:customStyle="1" w:styleId="35">
    <w:name w:val="Normala7b42e4d"/>
    <w:next w:val="5"/>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customStyle="1" w:styleId="36">
    <w:name w:val="Default Paragraph Font11"/>
    <w:semiHidden/>
    <w:unhideWhenUsed/>
    <w:qFormat/>
    <w:uiPriority w:val="1"/>
  </w:style>
  <w:style w:type="table" w:customStyle="1" w:styleId="37">
    <w:name w:val="Normal Table9"/>
    <w:semiHidden/>
    <w:unhideWhenUsed/>
    <w:qFormat/>
    <w:uiPriority w:val="99"/>
    <w:tblPr>
      <w:tblCellMar>
        <w:top w:w="0" w:type="dxa"/>
        <w:left w:w="108" w:type="dxa"/>
        <w:bottom w:w="0" w:type="dxa"/>
        <w:right w:w="108" w:type="dxa"/>
      </w:tblCellMar>
    </w:tblPr>
  </w:style>
  <w:style w:type="paragraph" w:customStyle="1" w:styleId="38">
    <w:name w:val="Body Text First Indent 208bb49a9"/>
    <w:basedOn w:val="6"/>
    <w:qFormat/>
    <w:uiPriority w:val="0"/>
    <w:pPr>
      <w:tabs>
        <w:tab w:val="left" w:pos="960"/>
      </w:tabs>
      <w:ind w:firstLine="420" w:firstLineChars="200"/>
    </w:pPr>
  </w:style>
  <w:style w:type="paragraph" w:customStyle="1" w:styleId="39">
    <w:name w:val="Body Text Indentf03aef22"/>
    <w:basedOn w:val="35"/>
    <w:next w:val="5"/>
    <w:qFormat/>
    <w:uiPriority w:val="0"/>
    <w:pPr>
      <w:tabs>
        <w:tab w:val="left" w:pos="960"/>
      </w:tabs>
      <w:spacing w:line="540" w:lineRule="exact"/>
      <w:ind w:firstLine="5440" w:firstLineChars="1700"/>
    </w:pPr>
    <w:rPr>
      <w:sz w:val="32"/>
      <w:szCs w:val="32"/>
    </w:rPr>
  </w:style>
  <w:style w:type="paragraph" w:customStyle="1" w:styleId="40">
    <w:name w:val="Document Map4"/>
    <w:basedOn w:val="35"/>
    <w:link w:val="49"/>
    <w:qFormat/>
    <w:uiPriority w:val="0"/>
    <w:rPr>
      <w:rFonts w:ascii="宋体" w:eastAsia="宋体"/>
      <w:sz w:val="18"/>
      <w:szCs w:val="18"/>
    </w:rPr>
  </w:style>
  <w:style w:type="paragraph" w:customStyle="1" w:styleId="41">
    <w:name w:val="Body Text5"/>
    <w:basedOn w:val="35"/>
    <w:qFormat/>
    <w:uiPriority w:val="99"/>
    <w:pPr>
      <w:spacing w:beforeLines="30"/>
    </w:pPr>
    <w:rPr>
      <w:rFonts w:ascii="仿宋_GB2312" w:eastAsia="仿宋_GB2312"/>
      <w:kern w:val="0"/>
      <w:sz w:val="30"/>
    </w:rPr>
  </w:style>
  <w:style w:type="paragraph" w:customStyle="1" w:styleId="42">
    <w:name w:val="Balloon Text6"/>
    <w:basedOn w:val="35"/>
    <w:semiHidden/>
    <w:qFormat/>
    <w:uiPriority w:val="0"/>
    <w:rPr>
      <w:sz w:val="18"/>
      <w:szCs w:val="18"/>
    </w:rPr>
  </w:style>
  <w:style w:type="paragraph" w:customStyle="1" w:styleId="43">
    <w:name w:val="footer7"/>
    <w:basedOn w:val="35"/>
    <w:link w:val="51"/>
    <w:qFormat/>
    <w:uiPriority w:val="99"/>
    <w:pPr>
      <w:tabs>
        <w:tab w:val="center" w:pos="4153"/>
        <w:tab w:val="right" w:pos="8306"/>
      </w:tabs>
      <w:snapToGrid w:val="0"/>
      <w:jc w:val="left"/>
    </w:pPr>
    <w:rPr>
      <w:rFonts w:eastAsia="宋体"/>
      <w:sz w:val="18"/>
      <w:szCs w:val="18"/>
    </w:rPr>
  </w:style>
  <w:style w:type="paragraph" w:customStyle="1" w:styleId="44">
    <w:name w:val="header8"/>
    <w:basedOn w:val="35"/>
    <w:qFormat/>
    <w:uiPriority w:val="0"/>
    <w:pPr>
      <w:pBdr>
        <w:bottom w:val="single" w:color="auto" w:sz="6" w:space="1"/>
      </w:pBdr>
      <w:tabs>
        <w:tab w:val="center" w:pos="4153"/>
        <w:tab w:val="right" w:pos="8306"/>
      </w:tabs>
      <w:snapToGrid w:val="0"/>
      <w:jc w:val="center"/>
    </w:pPr>
    <w:rPr>
      <w:rFonts w:eastAsia="宋体"/>
      <w:sz w:val="18"/>
      <w:szCs w:val="18"/>
    </w:rPr>
  </w:style>
  <w:style w:type="table" w:customStyle="1" w:styleId="45">
    <w:name w:val="Table Grid047ab65b"/>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46">
    <w:name w:val="page number12"/>
    <w:basedOn w:val="36"/>
    <w:qFormat/>
    <w:uiPriority w:val="0"/>
  </w:style>
  <w:style w:type="paragraph" w:customStyle="1" w:styleId="47">
    <w:name w:val="四号正文13"/>
    <w:basedOn w:val="35"/>
    <w:link w:val="48"/>
    <w:qFormat/>
    <w:uiPriority w:val="0"/>
    <w:pPr>
      <w:spacing w:line="360" w:lineRule="auto"/>
    </w:pPr>
    <w:rPr>
      <w:rFonts w:ascii="??" w:hAnsi="??" w:eastAsia="宋体" w:cs="宋体"/>
      <w:color w:val="000000"/>
      <w:kern w:val="0"/>
      <w:sz w:val="28"/>
      <w:szCs w:val="21"/>
    </w:rPr>
  </w:style>
  <w:style w:type="character" w:customStyle="1" w:styleId="48">
    <w:name w:val="四号正文 Char14"/>
    <w:basedOn w:val="36"/>
    <w:link w:val="47"/>
    <w:qFormat/>
    <w:uiPriority w:val="0"/>
    <w:rPr>
      <w:rFonts w:ascii="??" w:hAnsi="??" w:eastAsia="宋体" w:cs="宋体"/>
      <w:color w:val="000000"/>
      <w:sz w:val="28"/>
      <w:szCs w:val="21"/>
      <w:lang w:val="en-US" w:eastAsia="zh-CN" w:bidi="ar-SA"/>
    </w:rPr>
  </w:style>
  <w:style w:type="character" w:customStyle="1" w:styleId="49">
    <w:name w:val="文档结构图 Char15"/>
    <w:basedOn w:val="36"/>
    <w:link w:val="40"/>
    <w:qFormat/>
    <w:uiPriority w:val="0"/>
    <w:rPr>
      <w:rFonts w:ascii="宋体"/>
      <w:kern w:val="2"/>
      <w:sz w:val="18"/>
      <w:szCs w:val="18"/>
    </w:rPr>
  </w:style>
  <w:style w:type="paragraph" w:customStyle="1" w:styleId="50">
    <w:name w:val="a16"/>
    <w:basedOn w:val="35"/>
    <w:qFormat/>
    <w:uiPriority w:val="0"/>
    <w:pPr>
      <w:widowControl/>
      <w:spacing w:before="100" w:beforeAutospacing="1" w:after="100" w:afterAutospacing="1"/>
      <w:jc w:val="left"/>
    </w:pPr>
    <w:rPr>
      <w:rFonts w:ascii="宋体" w:hAnsi="宋体" w:eastAsia="宋体" w:cs="宋体"/>
      <w:kern w:val="0"/>
      <w:sz w:val="24"/>
    </w:rPr>
  </w:style>
  <w:style w:type="character" w:customStyle="1" w:styleId="51">
    <w:name w:val="页脚 Char17"/>
    <w:basedOn w:val="36"/>
    <w:link w:val="43"/>
    <w:qFormat/>
    <w:uiPriority w:val="99"/>
    <w:rPr>
      <w:kern w:val="2"/>
      <w:sz w:val="18"/>
      <w:szCs w:val="18"/>
    </w:rPr>
  </w:style>
  <w:style w:type="character" w:customStyle="1" w:styleId="52">
    <w:name w:val="font3118"/>
    <w:basedOn w:val="36"/>
    <w:qFormat/>
    <w:uiPriority w:val="0"/>
    <w:rPr>
      <w:rFonts w:hint="eastAsia" w:ascii="宋体" w:hAnsi="宋体" w:eastAsia="宋体" w:cs="宋体"/>
      <w:color w:val="000000"/>
      <w:sz w:val="24"/>
      <w:szCs w:val="24"/>
      <w:u w:val="none"/>
    </w:rPr>
  </w:style>
  <w:style w:type="paragraph" w:customStyle="1" w:styleId="53">
    <w:name w:val="Normal0"/>
    <w:next w:val="50"/>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customStyle="1" w:styleId="54">
    <w:name w:val="heading 1443d5228"/>
    <w:basedOn w:val="53"/>
    <w:next w:val="53"/>
    <w:qFormat/>
    <w:uiPriority w:val="0"/>
    <w:pPr>
      <w:keepNext/>
      <w:keepLines/>
      <w:widowControl w:val="0"/>
      <w:spacing w:before="340" w:after="330" w:line="578" w:lineRule="auto"/>
      <w:outlineLvl w:val="0"/>
    </w:pPr>
    <w:rPr>
      <w:b/>
      <w:bCs/>
      <w:kern w:val="44"/>
      <w:sz w:val="44"/>
      <w:szCs w:val="44"/>
    </w:rPr>
  </w:style>
  <w:style w:type="paragraph" w:customStyle="1" w:styleId="55">
    <w:name w:val="heading 2f0cb3346"/>
    <w:basedOn w:val="53"/>
    <w:next w:val="53"/>
    <w:qFormat/>
    <w:uiPriority w:val="0"/>
    <w:pPr>
      <w:keepNext/>
      <w:keepLines/>
      <w:widowControl w:val="0"/>
      <w:spacing w:before="260" w:after="260" w:line="415" w:lineRule="auto"/>
      <w:outlineLvl w:val="1"/>
    </w:pPr>
    <w:rPr>
      <w:rFonts w:ascii="Times New Roman" w:hAnsi="Times New Roman" w:eastAsia="黑体"/>
      <w:b/>
      <w:sz w:val="32"/>
    </w:rPr>
  </w:style>
  <w:style w:type="paragraph" w:customStyle="1" w:styleId="56">
    <w:name w:val="heading 35e346a4c"/>
    <w:basedOn w:val="53"/>
    <w:next w:val="53"/>
    <w:qFormat/>
    <w:uiPriority w:val="0"/>
    <w:pPr>
      <w:keepNext/>
      <w:keepLines/>
      <w:widowControl w:val="0"/>
      <w:spacing w:before="260" w:after="260" w:line="415" w:lineRule="auto"/>
      <w:outlineLvl w:val="2"/>
    </w:pPr>
    <w:rPr>
      <w:b/>
      <w:sz w:val="32"/>
    </w:rPr>
  </w:style>
  <w:style w:type="character" w:customStyle="1" w:styleId="57">
    <w:name w:val="Default Paragraph Font56be654e"/>
    <w:qFormat/>
    <w:uiPriority w:val="0"/>
  </w:style>
  <w:style w:type="paragraph" w:customStyle="1" w:styleId="58">
    <w:name w:val="Body Text Indentb69946f0"/>
    <w:basedOn w:val="53"/>
    <w:next w:val="50"/>
    <w:qFormat/>
    <w:uiPriority w:val="0"/>
    <w:pPr>
      <w:spacing w:line="500" w:lineRule="exact"/>
      <w:ind w:firstLine="240" w:firstLineChars="240"/>
    </w:pPr>
    <w:rPr>
      <w:rFonts w:ascii="仿宋_GB2312"/>
      <w:b/>
      <w:sz w:val="30"/>
      <w:szCs w:val="24"/>
    </w:rPr>
  </w:style>
  <w:style w:type="paragraph" w:customStyle="1" w:styleId="59">
    <w:name w:val="Body Text First Indent 2116dba02"/>
    <w:basedOn w:val="58"/>
    <w:qFormat/>
    <w:uiPriority w:val="0"/>
    <w:pPr>
      <w:keepNext w:val="0"/>
      <w:keepLines w:val="0"/>
      <w:widowControl w:val="0"/>
      <w:suppressLineNumbers w:val="0"/>
      <w:spacing w:before="0" w:beforeAutospacing="0" w:after="120" w:afterAutospacing="0"/>
      <w:ind w:left="200" w:leftChars="200" w:right="0" w:firstLine="200" w:firstLineChars="200"/>
      <w:jc w:val="both"/>
    </w:pPr>
    <w:rPr>
      <w:rFonts w:ascii="Times New Roman" w:hAnsi="Times New Roman" w:eastAsia="宋体" w:cs="Times New Roman"/>
      <w:kern w:val="2"/>
      <w:sz w:val="21"/>
      <w:szCs w:val="24"/>
      <w:lang w:val="en-US" w:eastAsia="zh-CN" w:bidi="ar-SA"/>
    </w:rPr>
  </w:style>
  <w:style w:type="paragraph" w:customStyle="1" w:styleId="60">
    <w:name w:val="footer104fde67"/>
    <w:basedOn w:val="53"/>
    <w:qFormat/>
    <w:uiPriority w:val="0"/>
    <w:pPr>
      <w:tabs>
        <w:tab w:val="center" w:pos="4153"/>
        <w:tab w:val="right" w:pos="8306"/>
      </w:tabs>
      <w:snapToGrid w:val="0"/>
      <w:jc w:val="left"/>
    </w:pPr>
    <w:rPr>
      <w:sz w:val="18"/>
      <w:szCs w:val="18"/>
      <w:lang w:val="zh-CN"/>
    </w:rPr>
  </w:style>
  <w:style w:type="paragraph" w:customStyle="1" w:styleId="61">
    <w:name w:val="Body Textaf9e2784"/>
    <w:basedOn w:val="53"/>
    <w:qFormat/>
    <w:uiPriority w:val="0"/>
    <w:rPr>
      <w:rFonts w:ascii="宋体" w:hAnsi="宋体"/>
      <w:sz w:val="32"/>
    </w:rPr>
  </w:style>
  <w:style w:type="paragraph" w:customStyle="1" w:styleId="62">
    <w:name w:val="header19"/>
    <w:basedOn w:val="53"/>
    <w:qFormat/>
    <w:uiPriority w:val="0"/>
    <w:pPr>
      <w:pBdr>
        <w:bottom w:val="single" w:color="auto" w:sz="6" w:space="1"/>
      </w:pBdr>
      <w:tabs>
        <w:tab w:val="center" w:pos="4153"/>
        <w:tab w:val="right" w:pos="8306"/>
      </w:tabs>
      <w:snapToGrid w:val="0"/>
      <w:jc w:val="center"/>
    </w:pPr>
    <w:rPr>
      <w:sz w:val="18"/>
      <w:szCs w:val="18"/>
      <w:lang w:val="zh-CN"/>
    </w:rPr>
  </w:style>
  <w:style w:type="paragraph" w:customStyle="1" w:styleId="63">
    <w:name w:val="table of figures22713680"/>
    <w:basedOn w:val="53"/>
    <w:next w:val="53"/>
    <w:qFormat/>
    <w:uiPriority w:val="0"/>
    <w:pPr>
      <w:ind w:left="400" w:leftChars="200" w:hanging="200" w:hangingChars="200"/>
    </w:pPr>
    <w:rPr>
      <w:szCs w:val="24"/>
    </w:rPr>
  </w:style>
  <w:style w:type="paragraph" w:customStyle="1" w:styleId="64">
    <w:name w:val="Body Text 221"/>
    <w:basedOn w:val="53"/>
    <w:qFormat/>
    <w:uiPriority w:val="0"/>
    <w:pPr>
      <w:spacing w:after="120" w:line="480" w:lineRule="auto"/>
    </w:pPr>
  </w:style>
  <w:style w:type="paragraph" w:customStyle="1" w:styleId="65">
    <w:name w:val="Normal (Web)22"/>
    <w:basedOn w:val="53"/>
    <w:next w:val="53"/>
    <w:qFormat/>
    <w:uiPriority w:val="0"/>
    <w:pPr>
      <w:widowControl w:val="0"/>
      <w:spacing w:before="100" w:beforeAutospacing="1" w:after="100" w:afterAutospacing="1"/>
    </w:pPr>
    <w:rPr>
      <w:rFonts w:ascii="Times New Roman" w:hAnsi="Times New Roman" w:eastAsia="宋体" w:cs="Times New Roman"/>
      <w:sz w:val="24"/>
      <w:szCs w:val="24"/>
      <w:lang w:val="en-US" w:eastAsia="zh-CN" w:bidi="ar-SA"/>
    </w:rPr>
  </w:style>
  <w:style w:type="paragraph" w:customStyle="1" w:styleId="66">
    <w:name w:val="Title23"/>
    <w:basedOn w:val="53"/>
    <w:qFormat/>
    <w:uiPriority w:val="0"/>
    <w:pPr>
      <w:spacing w:before="240" w:after="60"/>
      <w:jc w:val="center"/>
      <w:outlineLvl w:val="0"/>
    </w:pPr>
    <w:rPr>
      <w:rFonts w:ascii="Arial" w:hAnsi="Arial" w:cs="Arial"/>
      <w:b/>
      <w:bCs/>
      <w:sz w:val="32"/>
      <w:szCs w:val="32"/>
    </w:rPr>
  </w:style>
  <w:style w:type="character" w:customStyle="1" w:styleId="67">
    <w:name w:val="Strong24"/>
    <w:basedOn w:val="57"/>
    <w:qFormat/>
    <w:uiPriority w:val="0"/>
    <w:rPr>
      <w:rFonts w:cs="Times New Roman"/>
      <w:b/>
      <w:bCs/>
    </w:rPr>
  </w:style>
  <w:style w:type="paragraph" w:customStyle="1" w:styleId="68">
    <w:name w:val="四号正文25"/>
    <w:basedOn w:val="53"/>
    <w:qFormat/>
    <w:uiPriority w:val="0"/>
    <w:pPr>
      <w:spacing w:line="360" w:lineRule="auto"/>
    </w:pPr>
    <w:rPr>
      <w:rFonts w:ascii="??" w:hAnsi="??" w:eastAsia="宋体"/>
      <w:color w:val="000000"/>
      <w:kern w:val="0"/>
      <w:sz w:val="28"/>
      <w:szCs w:val="21"/>
      <w:lang w:val="zh-CN"/>
    </w:rPr>
  </w:style>
  <w:style w:type="paragraph" w:customStyle="1" w:styleId="69">
    <w:name w:val="No Spacing26"/>
    <w:qFormat/>
    <w:uiPriority w:val="0"/>
    <w:pPr>
      <w:widowControl w:val="0"/>
      <w:jc w:val="both"/>
    </w:pPr>
    <w:rPr>
      <w:rFonts w:ascii="Calibri" w:hAnsi="Calibri" w:eastAsia="宋体" w:cs="Times New Roman"/>
      <w:kern w:val="2"/>
      <w:sz w:val="21"/>
      <w:szCs w:val="22"/>
      <w:lang w:val="en-US" w:eastAsia="zh-CN" w:bidi="ar-SA"/>
    </w:rPr>
  </w:style>
  <w:style w:type="character" w:customStyle="1" w:styleId="70">
    <w:name w:val="heading 1 Char"/>
    <w:basedOn w:val="18"/>
    <w:link w:val="4"/>
    <w:qFormat/>
    <w:uiPriority w:val="0"/>
    <w:rPr>
      <w:rFonts w:ascii="Times New Roman" w:hAnsi="Times New Roman" w:eastAsia="宋体" w:cs="Times New Roman"/>
      <w:b/>
      <w:bCs/>
      <w:kern w:val="44"/>
      <w:sz w:val="44"/>
      <w:szCs w:val="44"/>
      <w:lang w:val="en-US" w:eastAsia="zh-CN" w:bidi="ar-SA"/>
    </w:rPr>
  </w:style>
  <w:style w:type="character" w:customStyle="1" w:styleId="71">
    <w:name w:val="heading 2 Char"/>
    <w:basedOn w:val="18"/>
    <w:link w:val="5"/>
    <w:qFormat/>
    <w:uiPriority w:val="0"/>
    <w:rPr>
      <w:rFonts w:ascii="Cambria" w:hAnsi="Cambria" w:eastAsia="宋体" w:cs="Times New Roman"/>
      <w:b/>
      <w:bCs/>
      <w:kern w:val="2"/>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收、支决算总计变动情况图</a:t>
            </a:r>
            <a:endParaRPr lang="en-US" sz="1100"/>
          </a:p>
        </c:rich>
      </c:tx>
      <c:layout/>
      <c:overlay val="0"/>
    </c:title>
    <c:autoTitleDeleted val="0"/>
    <c:plotArea>
      <c:layout>
        <c:manualLayout>
          <c:layoutTarget val="inner"/>
          <c:xMode val="edge"/>
          <c:yMode val="edge"/>
          <c:x val="0.0559816218099468"/>
          <c:y val="0.247865112907836"/>
          <c:w val="0.800713012477719"/>
          <c:h val="0.654027777777778"/>
        </c:manualLayout>
      </c:layout>
      <c:barChart>
        <c:barDir val="col"/>
        <c:grouping val="clustered"/>
        <c:varyColors val="0"/>
        <c:ser>
          <c:idx val="1"/>
          <c:order val="0"/>
          <c:tx>
            <c:strRef>
              <c:f>收入</c:f>
              <c:strCache>
                <c:ptCount val="1"/>
                <c:pt idx="0">
                  <c:v>收入</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{"2020","2021"}</c:f>
              <c:strCache>
                <c:ptCount val="2"/>
                <c:pt idx="0">
                  <c:v>2020</c:v>
                </c:pt>
                <c:pt idx="1">
                  <c:v>2021</c:v>
                </c:pt>
              </c:strCache>
            </c:strRef>
          </c:cat>
          <c:val>
            <c:numRef>
              <c:f>{388.67,393.32}</c:f>
              <c:numCache>
                <c:formatCode>General</c:formatCode>
                <c:ptCount val="2"/>
                <c:pt idx="0">
                  <c:v>388.67</c:v>
                </c:pt>
                <c:pt idx="1">
                  <c:v>393.32</c:v>
                </c:pt>
              </c:numCache>
            </c:numRef>
          </c:val>
        </c:ser>
        <c:ser>
          <c:idx val="2"/>
          <c:order val="1"/>
          <c:tx>
            <c:strRef>
              <c:f>支出</c:f>
              <c:strCache>
                <c:ptCount val="1"/>
                <c:pt idx="0">
                  <c:v>支出</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{"2020","2021"}</c:f>
              <c:strCache>
                <c:ptCount val="2"/>
                <c:pt idx="0">
                  <c:v>2020</c:v>
                </c:pt>
                <c:pt idx="1">
                  <c:v>2021</c:v>
                </c:pt>
              </c:strCache>
            </c:strRef>
          </c:cat>
          <c:val>
            <c:numRef>
              <c:f>{388.67,393.32}</c:f>
              <c:numCache>
                <c:formatCode>General</c:formatCode>
                <c:ptCount val="2"/>
                <c:pt idx="0">
                  <c:v>388.67</c:v>
                </c:pt>
                <c:pt idx="1">
                  <c:v>393.32</c:v>
                </c:pt>
              </c:numCache>
            </c:numRef>
          </c:val>
        </c:ser>
        <c:dLbls>
          <c:showLegendKey val="0"/>
          <c:showVal val="1"/>
          <c:showCatName val="0"/>
          <c:showSerName val="0"/>
          <c:showPercent val="0"/>
          <c:showBubbleSize val="0"/>
        </c:dLbls>
        <c:gapWidth val="41"/>
        <c:axId val="261387392"/>
        <c:axId val="261388928"/>
      </c:barChart>
      <c:catAx>
        <c:axId val="261387392"/>
        <c:scaling>
          <c:orientation val="minMax"/>
        </c:scaling>
        <c:delete val="0"/>
        <c:axPos val="b"/>
        <c:title>
          <c:tx>
            <c:rich>
              <a:bodyPr rot="0" spcFirstLastPara="0" vertOverflow="ellipsis" vert="horz" wrap="square" rtlCol="0" anchor="t" anchorCtr="1"/>
              <a:lstStyle/>
              <a:p>
                <a:pPr algn="l">
                  <a:defRPr lang="zh-CN" sz="1000" b="1" i="0" u="none" strike="noStrike" kern="1200" baseline="0">
                    <a:solidFill>
                      <a:schemeClr val="tx1"/>
                    </a:solidFill>
                    <a:latin typeface="+mn-lt"/>
                    <a:ea typeface="+mn-ea"/>
                    <a:cs typeface="+mn-cs"/>
                  </a:defRPr>
                </a:pPr>
                <a:r>
                  <a:rPr lang="zh-CN"/>
                  <a:t>单位：万元</a:t>
                </a:r>
                <a:endParaRPr lang="en-US" sz="1100"/>
              </a:p>
            </c:rich>
          </c:tx>
          <c:layout/>
          <c:overlay val="0"/>
        </c:title>
        <c:numFmt formatCode="General" sourceLinked="0"/>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dk1">
                    <a:lumMod val="65000"/>
                    <a:lumOff val="35000"/>
                  </a:schemeClr>
                </a:solidFill>
                <a:effectLst/>
                <a:latin typeface="+mn-lt"/>
                <a:ea typeface="+mn-ea"/>
                <a:cs typeface="+mn-cs"/>
              </a:defRPr>
            </a:pPr>
          </a:p>
        </c:txPr>
        <c:crossAx val="261388928"/>
        <c:crosses val="autoZero"/>
        <c:auto val="1"/>
        <c:lblAlgn val="ctr"/>
        <c:lblOffset val="100"/>
        <c:noMultiLvlLbl val="0"/>
      </c:catAx>
      <c:valAx>
        <c:axId val="261388928"/>
        <c:scaling>
          <c:orientation val="minMax"/>
        </c:scaling>
        <c:delete val="1"/>
        <c:axPos val="l"/>
        <c:title>
          <c:tx>
            <c:rich>
              <a:bodyPr rot="-5400000" spcFirstLastPara="0" vertOverflow="ellipsis" vert="horz" wrap="square" rtlCol="0" anchor="t" anchorCtr="1"/>
              <a:lstStyle/>
              <a:p>
                <a:pPr algn="l">
                  <a:defRPr lang="zh-CN" sz="1000" b="1" i="0" u="none" strike="noStrike" kern="1200" baseline="0">
                    <a:solidFill>
                      <a:schemeClr val="tx1"/>
                    </a:solidFill>
                    <a:latin typeface="+mn-lt"/>
                    <a:ea typeface="+mn-ea"/>
                    <a:cs typeface="+mn-cs"/>
                  </a:defRPr>
                </a:pPr>
                <a:r>
                  <a:rPr lang="zh-CN"/>
                  <a:t> </a:t>
                </a:r>
                <a:endParaRPr lang="en-US" sz="1100"/>
              </a:p>
            </c:rich>
          </c:tx>
          <c:layout/>
          <c:overlay val="0"/>
        </c:title>
        <c:numFmt formatCode="General" sourceLinked="1"/>
        <c:majorTickMark val="none"/>
        <c:minorTickMark val="none"/>
        <c:tickLblPos val="none"/>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61387392"/>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dk1">
                  <a:lumMod val="65000"/>
                  <a:lumOff val="35000"/>
                </a:schemeClr>
              </a:solidFill>
              <a:latin typeface="+mn-lt"/>
              <a:ea typeface="+mn-ea"/>
              <a:cs typeface="+mn-cs"/>
            </a:defRPr>
          </a:pPr>
        </a:p>
      </c:txPr>
    </c:legend>
    <c:plotVisOnly val="1"/>
    <c:dispBlanksAs val="gap"/>
    <c:showDLblsOverMax val="0"/>
  </c:chart>
  <c: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收入决算结构图</a:t>
            </a:r>
            <a:endParaRPr lang="en-US" sz="1100"/>
          </a:p>
        </c:rich>
      </c:tx>
      <c:layout/>
      <c:overlay val="0"/>
    </c:title>
    <c:autoTitleDeleted val="0"/>
    <c:plotArea>
      <c:layout/>
      <c:pieChart>
        <c:varyColors val="1"/>
        <c:ser>
          <c:idx val="1"/>
          <c:order val="0"/>
          <c:explosion val="0"/>
          <c:dPt>
            <c:idx val="0"/>
            <c:bubble3D val="0"/>
          </c:dPt>
          <c:dPt>
            <c:idx val="1"/>
            <c:bubble3D val="0"/>
          </c:dPt>
          <c:dPt>
            <c:idx val="2"/>
            <c:bubble3D val="0"/>
          </c:dPt>
          <c:dPt>
            <c:idx val="3"/>
            <c:bubble3D val="0"/>
          </c:dPt>
          <c:dPt>
            <c:idx val="4"/>
            <c:bubble3D val="0"/>
          </c:dPt>
          <c:dPt>
            <c:idx val="5"/>
            <c:bubble3D val="0"/>
          </c:dPt>
          <c:dPt>
            <c:idx val="6"/>
            <c:bubble3D val="0"/>
          </c:dPt>
          <c:dPt>
            <c:idx val="7"/>
            <c:bubble3D val="0"/>
          </c:dPt>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{"一般公共预算财政拨款收入","政府性基金预算财政拨款收入","国有资本经营预算财政拨款收入","上级补助收入","事业收入","经营收入","附属单位上缴收入","其他收入"}</c:f>
              <c:strCache>
                <c:ptCount val="8"/>
                <c:pt idx="0">
                  <c:v>一般公共预算财政拨款收入</c:v>
                </c:pt>
                <c:pt idx="1">
                  <c:v>政府性基金预算财政拨款收入</c:v>
                </c:pt>
                <c:pt idx="2">
                  <c:v>国有资本经营预算财政拨款收入</c:v>
                </c:pt>
                <c:pt idx="3">
                  <c:v>上级补助收入</c:v>
                </c:pt>
                <c:pt idx="4">
                  <c:v>事业收入</c:v>
                </c:pt>
                <c:pt idx="5">
                  <c:v>经营收入</c:v>
                </c:pt>
                <c:pt idx="6">
                  <c:v>附属单位上缴收入</c:v>
                </c:pt>
                <c:pt idx="7">
                  <c:v>其他收入</c:v>
                </c:pt>
              </c:strCache>
            </c:strRef>
          </c:cat>
          <c:val>
            <c:numRef>
              <c:f>{3583362.9,0,0,0,0,0,0,0}</c:f>
              <c:numCache>
                <c:formatCode>General</c:formatCode>
                <c:ptCount val="8"/>
                <c:pt idx="0">
                  <c:v>3583362.9</c:v>
                </c:pt>
                <c:pt idx="1">
                  <c:v>0</c:v>
                </c:pt>
                <c:pt idx="2">
                  <c:v>0</c:v>
                </c:pt>
                <c:pt idx="3">
                  <c:v>0</c:v>
                </c:pt>
                <c:pt idx="4">
                  <c:v>0</c:v>
                </c:pt>
                <c:pt idx="5">
                  <c:v>0</c:v>
                </c:pt>
                <c:pt idx="6">
                  <c:v>0</c:v>
                </c:pt>
                <c:pt idx="7">
                  <c:v>0</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zero"/>
    <c:showDLblsOverMax val="0"/>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支出决算结构图</a:t>
            </a:r>
            <a:endParaRPr lang="en-US" sz="1100"/>
          </a:p>
        </c:rich>
      </c:tx>
      <c:layout/>
      <c:overlay val="0"/>
    </c:title>
    <c:autoTitleDeleted val="0"/>
    <c:plotArea>
      <c:layout/>
      <c:pieChart>
        <c:varyColors val="1"/>
        <c:ser>
          <c:idx val="1"/>
          <c:order val="0"/>
          <c:explosion val="0"/>
          <c:dPt>
            <c:idx val="0"/>
            <c:bubble3D val="0"/>
          </c:dPt>
          <c:dPt>
            <c:idx val="1"/>
            <c:bubble3D val="0"/>
          </c:dPt>
          <c:dPt>
            <c:idx val="2"/>
            <c:bubble3D val="0"/>
          </c:dPt>
          <c:dPt>
            <c:idx val="3"/>
            <c:bubble3D val="0"/>
          </c:dPt>
          <c:dPt>
            <c:idx val="4"/>
            <c:bubble3D val="0"/>
          </c:dPt>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{"基本支出","项目支出","上缴上级支出","经营支出","对附属单位补助支出"}</c:f>
              <c:strCache>
                <c:ptCount val="5"/>
                <c:pt idx="0">
                  <c:v>基本支出</c:v>
                </c:pt>
                <c:pt idx="1">
                  <c:v>项目支出</c:v>
                </c:pt>
                <c:pt idx="2">
                  <c:v>上缴上级支出</c:v>
                </c:pt>
                <c:pt idx="3">
                  <c:v>经营支出</c:v>
                </c:pt>
                <c:pt idx="4">
                  <c:v>对附属单位补助支出</c:v>
                </c:pt>
              </c:strCache>
            </c:strRef>
          </c:cat>
          <c:val>
            <c:numRef>
              <c:f>{3295862.9,637316.16,0,0,0}</c:f>
              <c:numCache>
                <c:formatCode>General</c:formatCode>
                <c:ptCount val="5"/>
                <c:pt idx="0">
                  <c:v>3295862.9</c:v>
                </c:pt>
                <c:pt idx="1">
                  <c:v>637316.16</c:v>
                </c:pt>
                <c:pt idx="2">
                  <c:v>0</c:v>
                </c:pt>
                <c:pt idx="3">
                  <c:v>0</c:v>
                </c:pt>
                <c:pt idx="4">
                  <c:v>0</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zero"/>
    <c:showDLblsOverMax val="0"/>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600" b="1" i="0" u="none" strike="noStrike" kern="1200" baseline="0">
                <a:solidFill>
                  <a:schemeClr val="tx2"/>
                </a:solidFill>
                <a:latin typeface="+mn-lt"/>
                <a:ea typeface="+mn-ea"/>
                <a:cs typeface="+mn-cs"/>
              </a:defRPr>
            </a:pPr>
            <a:r>
              <a:rPr lang="en-US" altLang="zh-CN"/>
              <a:t>财政拨款收、支决算总计变动情况</a:t>
            </a:r>
            <a:endParaRPr lang="en-US" altLang="zh-CN"/>
          </a:p>
        </c:rich>
      </c:tx>
      <c:layout/>
      <c:overlay val="0"/>
      <c:spPr>
        <a:noFill/>
        <a:ln>
          <a:noFill/>
        </a:ln>
        <a:effectLst/>
      </c:spPr>
    </c:title>
    <c:autoTitleDeleted val="0"/>
    <c:plotArea>
      <c:layout/>
      <c:barChart>
        <c:barDir val="col"/>
        <c:grouping val="clustered"/>
        <c:varyColors val="0"/>
        <c:ser>
          <c:idx val="1"/>
          <c:order val="0"/>
          <c:tx>
            <c:strRef>
              <c:f>收入</c:f>
              <c:strCache>
                <c:ptCount val="1"/>
                <c:pt idx="0">
                  <c:v>收入</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{"2020","2021"}</c:f>
              <c:strCache>
                <c:ptCount val="2"/>
                <c:pt idx="0">
                  <c:v>2020</c:v>
                </c:pt>
                <c:pt idx="1">
                  <c:v>2021</c:v>
                </c:pt>
              </c:strCache>
            </c:strRef>
          </c:cat>
          <c:val>
            <c:numRef>
              <c:f>{388.67,393.32}</c:f>
              <c:numCache>
                <c:formatCode>General</c:formatCode>
                <c:ptCount val="2"/>
                <c:pt idx="0">
                  <c:v>388.67</c:v>
                </c:pt>
                <c:pt idx="1">
                  <c:v>393.32</c:v>
                </c:pt>
              </c:numCache>
            </c:numRef>
          </c:val>
        </c:ser>
        <c:ser>
          <c:idx val="2"/>
          <c:order val="1"/>
          <c:tx>
            <c:strRef>
              <c:f>支出</c:f>
              <c:strCache>
                <c:ptCount val="1"/>
                <c:pt idx="0">
                  <c:v>支出</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{"2020","2021"}</c:f>
              <c:strCache>
                <c:ptCount val="2"/>
                <c:pt idx="0">
                  <c:v>2020</c:v>
                </c:pt>
                <c:pt idx="1">
                  <c:v>2021</c:v>
                </c:pt>
              </c:strCache>
            </c:strRef>
          </c:cat>
          <c:val>
            <c:numRef>
              <c:f>{388.67,393.32}</c:f>
              <c:numCache>
                <c:formatCode>General</c:formatCode>
                <c:ptCount val="2"/>
                <c:pt idx="0">
                  <c:v>388.67</c:v>
                </c:pt>
                <c:pt idx="1">
                  <c:v>393.32</c:v>
                </c:pt>
              </c:numCache>
            </c:numRef>
          </c:val>
        </c:ser>
        <c:dLbls>
          <c:showLegendKey val="0"/>
          <c:showVal val="1"/>
          <c:showCatName val="0"/>
          <c:showSerName val="0"/>
          <c:showPercent val="0"/>
          <c:showBubbleSize val="0"/>
        </c:dLbls>
        <c:gapWidth val="100"/>
        <c:overlap val="-24"/>
        <c:axId val="263359104"/>
        <c:axId val="263373184"/>
      </c:barChart>
      <c:catAx>
        <c:axId val="263359104"/>
        <c:scaling>
          <c:orientation val="minMax"/>
        </c:scaling>
        <c:delete val="0"/>
        <c:axPos val="b"/>
        <c:title>
          <c:tx>
            <c:rich>
              <a:bodyPr rot="0" spcFirstLastPara="0" vertOverflow="ellipsis" vert="horz" wrap="square" rtlCol="0" anchor="t" anchorCtr="1"/>
              <a:lstStyle/>
              <a:p>
                <a:pPr algn="l">
                  <a:defRPr lang="zh-CN" sz="1000" b="1" i="0" u="none" strike="noStrike" kern="1200" baseline="0">
                    <a:solidFill>
                      <a:schemeClr val="tx1"/>
                    </a:solidFill>
                    <a:latin typeface="+mn-lt"/>
                    <a:ea typeface="+mn-ea"/>
                    <a:cs typeface="+mn-cs"/>
                  </a:defRPr>
                </a:pPr>
                <a:r>
                  <a:rPr lang="zh-CN"/>
                  <a:t>单位：万元</a:t>
                </a:r>
                <a:endParaRPr lang="en-US" sz="1100"/>
              </a:p>
            </c:rich>
          </c:tx>
          <c:layout/>
          <c:overlay val="0"/>
        </c:title>
        <c:numFmt formatCode="General" sourceLinked="0"/>
        <c:majorTickMark val="none"/>
        <c:minorTickMark val="none"/>
        <c:tickLblPos val="nextTo"/>
        <c:spPr>
          <a:noFill/>
          <a:ln w="9525" cap="flat" cmpd="sng" algn="ctr">
            <a:solidFill>
              <a:schemeClr val="tx2">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2"/>
                </a:solidFill>
                <a:latin typeface="+mn-lt"/>
                <a:ea typeface="+mn-ea"/>
                <a:cs typeface="+mn-cs"/>
              </a:defRPr>
            </a:pPr>
          </a:p>
        </c:txPr>
        <c:crossAx val="263373184"/>
        <c:crosses val="autoZero"/>
        <c:auto val="1"/>
        <c:lblAlgn val="ctr"/>
        <c:lblOffset val="100"/>
        <c:noMultiLvlLbl val="0"/>
      </c:catAx>
      <c:valAx>
        <c:axId val="263373184"/>
        <c:scaling>
          <c:orientation val="minMax"/>
        </c:scaling>
        <c:delete val="0"/>
        <c:axPos val="l"/>
        <c:majorGridlines>
          <c:spPr>
            <a:ln w="9525" cap="flat" cmpd="sng" algn="ctr">
              <a:solidFill>
                <a:schemeClr val="tx2">
                  <a:lumMod val="15000"/>
                  <a:lumOff val="85000"/>
                </a:schemeClr>
              </a:solidFill>
              <a:prstDash val="solid"/>
              <a:round/>
            </a:ln>
            <a:effectLst/>
          </c:spPr>
        </c:majorGridlines>
        <c:title>
          <c:tx>
            <c:rich>
              <a:bodyPr rot="-5400000" spcFirstLastPara="0" vertOverflow="ellipsis" vert="horz" wrap="square" rtlCol="0" anchor="t" anchorCtr="1"/>
              <a:lstStyle/>
              <a:p>
                <a:pPr algn="l">
                  <a:defRPr lang="zh-CN" sz="1000" b="1" i="0" u="none" strike="noStrike" kern="1200" baseline="0">
                    <a:solidFill>
                      <a:schemeClr val="tx1"/>
                    </a:solidFill>
                    <a:latin typeface="+mn-lt"/>
                    <a:ea typeface="+mn-ea"/>
                    <a:cs typeface="+mn-cs"/>
                  </a:defRPr>
                </a:pPr>
                <a:r>
                  <a:rPr lang="zh-CN"/>
                  <a:t> </a:t>
                </a:r>
                <a:endParaRPr lang="en-US" sz="1100"/>
              </a:p>
            </c:rich>
          </c:tx>
          <c:layout/>
          <c:overlay val="0"/>
        </c:title>
        <c:numFmt formatCode="General"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2"/>
                </a:solidFill>
                <a:latin typeface="+mn-lt"/>
                <a:ea typeface="+mn-ea"/>
                <a:cs typeface="+mn-cs"/>
              </a:defRPr>
            </a:pPr>
          </a:p>
        </c:txPr>
        <c:crossAx val="263359104"/>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2"/>
              </a:solidFill>
              <a:latin typeface="+mn-lt"/>
              <a:ea typeface="+mn-ea"/>
              <a:cs typeface="+mn-cs"/>
            </a:defRPr>
          </a:pPr>
        </a:p>
      </c:txPr>
    </c:legend>
    <c:plotVisOnly val="1"/>
    <c:dispBlanksAs val="gap"/>
    <c:showDLblsOverMax val="0"/>
  </c:chart>
  <c:spPr>
    <a:solidFill>
      <a:schemeClr val="bg1"/>
    </a:solidFill>
    <a:ln w="9525" cap="flat" cmpd="sng" algn="ctr">
      <a:solidFill>
        <a:schemeClr val="tx2">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600" b="1" i="0" u="none" strike="noStrike" kern="1200" baseline="0">
                <a:solidFill>
                  <a:schemeClr val="tx1">
                    <a:lumMod val="65000"/>
                    <a:lumOff val="35000"/>
                  </a:schemeClr>
                </a:solidFill>
                <a:latin typeface="+mn-lt"/>
                <a:ea typeface="+mn-ea"/>
                <a:cs typeface="+mn-cs"/>
              </a:defRPr>
            </a:pPr>
            <a:r>
              <a:rPr lang="zh-CN" altLang="en-US" sz="1200"/>
              <a:t>一般公共预算财政拨款支出</a:t>
            </a:r>
            <a:endParaRPr lang="zh-CN" altLang="en-US" sz="1200"/>
          </a:p>
        </c:rich>
      </c:tx>
      <c:layout/>
      <c:overlay val="0"/>
      <c:spPr>
        <a:noFill/>
        <a:ln>
          <a:noFill/>
        </a:ln>
        <a:effectLst/>
      </c:spPr>
    </c:title>
    <c:autoTitleDeleted val="0"/>
    <c:plotArea>
      <c:layout>
        <c:manualLayout>
          <c:layoutTarget val="inner"/>
          <c:xMode val="edge"/>
          <c:yMode val="edge"/>
          <c:x val="0.0736333103993069"/>
          <c:y val="0.199582873033408"/>
          <c:w val="0.767623678108199"/>
          <c:h val="0.708506514060342"/>
        </c:manualLayout>
      </c:layout>
      <c:barChart>
        <c:barDir val="col"/>
        <c:grouping val="clustered"/>
        <c:varyColors val="0"/>
        <c:ser>
          <c:idx val="1"/>
          <c:order val="0"/>
          <c:tx>
            <c:strRef>
              <c:f>2020</c:f>
              <c:strCache>
                <c:ptCount val="1"/>
                <c:pt idx="0">
                  <c:v>2020</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{"一般公共预算财政拨款支出"}</c:f>
              <c:strCache>
                <c:ptCount val="1"/>
                <c:pt idx="0">
                  <c:v>一般公共预算财政拨款支出</c:v>
                </c:pt>
              </c:strCache>
            </c:strRef>
          </c:cat>
          <c:val>
            <c:numRef>
              <c:f>{353.67}</c:f>
              <c:numCache>
                <c:formatCode>General</c:formatCode>
                <c:ptCount val="1"/>
                <c:pt idx="0">
                  <c:v>353.67</c:v>
                </c:pt>
              </c:numCache>
            </c:numRef>
          </c:val>
        </c:ser>
        <c:ser>
          <c:idx val="2"/>
          <c:order val="1"/>
          <c:tx>
            <c:strRef>
              <c:f>2021</c:f>
              <c:strCache>
                <c:ptCount val="1"/>
                <c:pt idx="0">
                  <c:v>2021</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{"一般公共预算财政拨款支出"}</c:f>
              <c:strCache>
                <c:ptCount val="1"/>
                <c:pt idx="0">
                  <c:v>一般公共预算财政拨款支出</c:v>
                </c:pt>
              </c:strCache>
            </c:strRef>
          </c:cat>
          <c:val>
            <c:numRef>
              <c:f>{393.32}</c:f>
              <c:numCache>
                <c:formatCode>General</c:formatCode>
                <c:ptCount val="1"/>
                <c:pt idx="0">
                  <c:v>393.32</c:v>
                </c:pt>
              </c:numCache>
            </c:numRef>
          </c:val>
        </c:ser>
        <c:dLbls>
          <c:showLegendKey val="0"/>
          <c:showVal val="1"/>
          <c:showCatName val="0"/>
          <c:showSerName val="0"/>
          <c:showPercent val="0"/>
          <c:showBubbleSize val="0"/>
        </c:dLbls>
        <c:gapWidth val="100"/>
        <c:overlap val="-24"/>
        <c:axId val="263440640"/>
        <c:axId val="263135232"/>
      </c:barChart>
      <c:catAx>
        <c:axId val="263440640"/>
        <c:scaling>
          <c:orientation val="minMax"/>
        </c:scaling>
        <c:delete val="1"/>
        <c:axPos val="b"/>
        <c:title>
          <c:tx>
            <c:rich>
              <a:bodyPr rot="0" spcFirstLastPara="0" vertOverflow="ellipsis" vert="horz" wrap="square" rtlCol="0" anchor="t" anchorCtr="1"/>
              <a:lstStyle/>
              <a:p>
                <a:pPr algn="l">
                  <a:defRPr lang="zh-CN" sz="1000" b="1" i="0" u="none" strike="noStrike" kern="1200" baseline="0">
                    <a:solidFill>
                      <a:schemeClr val="tx1"/>
                    </a:solidFill>
                    <a:latin typeface="+mn-lt"/>
                    <a:ea typeface="+mn-ea"/>
                    <a:cs typeface="+mn-cs"/>
                  </a:defRPr>
                </a:pPr>
                <a:r>
                  <a:rPr lang="zh-CN"/>
                  <a:t>单位：万元</a:t>
                </a:r>
                <a:endParaRPr lang="en-US" sz="1100"/>
              </a:p>
            </c:rich>
          </c:tx>
          <c:layout/>
          <c:overlay val="0"/>
        </c:title>
        <c:numFmt formatCode="General" sourceLinked="0"/>
        <c:majorTickMark val="none"/>
        <c:minorTickMark val="none"/>
        <c:tickLblPos val="none"/>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63135232"/>
        <c:crosses val="autoZero"/>
        <c:auto val="1"/>
        <c:lblAlgn val="ctr"/>
        <c:lblOffset val="100"/>
        <c:noMultiLvlLbl val="0"/>
      </c:catAx>
      <c:valAx>
        <c:axId val="263135232"/>
        <c:scaling>
          <c:orientation val="minMax"/>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rtlCol="0" anchor="t" anchorCtr="1"/>
              <a:lstStyle/>
              <a:p>
                <a:pPr algn="l">
                  <a:defRPr lang="zh-CN" sz="1000" b="1" i="0" u="none" strike="noStrike" kern="1200" baseline="0">
                    <a:solidFill>
                      <a:schemeClr val="tx1"/>
                    </a:solidFill>
                    <a:latin typeface="+mn-lt"/>
                    <a:ea typeface="+mn-ea"/>
                    <a:cs typeface="+mn-cs"/>
                  </a:defRPr>
                </a:pPr>
                <a:r>
                  <a:rPr lang="zh-CN"/>
                  <a:t> </a:t>
                </a:r>
                <a:endParaRPr lang="en-US" sz="1100"/>
              </a:p>
            </c:rich>
          </c:tx>
          <c:layout/>
          <c:overlay val="0"/>
        </c:title>
        <c:numFmt formatCode="General"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3440640"/>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一般公共预算财政拨款支出</a:t>
            </a:r>
            <a:endParaRPr lang="en-US" sz="1100"/>
          </a:p>
        </c:rich>
      </c:tx>
      <c:layout/>
      <c:overlay val="0"/>
    </c:title>
    <c:autoTitleDeleted val="0"/>
    <c:plotArea>
      <c:layout/>
      <c:pieChart>
        <c:varyColors val="1"/>
        <c:ser>
          <c:idx val="1"/>
          <c:order val="0"/>
          <c:explosion val="0"/>
          <c:dPt>
            <c:idx val="0"/>
            <c:bubble3D val="0"/>
          </c:dPt>
          <c:dPt>
            <c:idx val="1"/>
            <c:bubble3D val="0"/>
          </c:dPt>
          <c:dPt>
            <c:idx val="2"/>
            <c:bubble3D val="0"/>
          </c:dPt>
          <c:dPt>
            <c:idx val="3"/>
            <c:bubble3D val="0"/>
          </c:dPt>
          <c:dPt>
            <c:idx val="4"/>
            <c:bubble3D val="0"/>
          </c:dPt>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{"公共安全支出","社会保障和就业支出","卫生健康支出","农林水支出","住房保障支出"}</c:f>
              <c:strCache>
                <c:ptCount val="5"/>
                <c:pt idx="0">
                  <c:v>公共安全支出</c:v>
                </c:pt>
                <c:pt idx="1">
                  <c:v>社会保障和就业支出</c:v>
                </c:pt>
                <c:pt idx="2">
                  <c:v>卫生健康支出</c:v>
                </c:pt>
                <c:pt idx="3">
                  <c:v>农林水支出</c:v>
                </c:pt>
                <c:pt idx="4">
                  <c:v>住房保障支出</c:v>
                </c:pt>
              </c:strCache>
            </c:strRef>
          </c:cat>
          <c:val>
            <c:numRef>
              <c:f>{325.18,29.96,15.2,0.33,22.64}</c:f>
              <c:numCache>
                <c:formatCode>General</c:formatCode>
                <c:ptCount val="5"/>
                <c:pt idx="0">
                  <c:v>325.18</c:v>
                </c:pt>
                <c:pt idx="1">
                  <c:v>29.96</c:v>
                </c:pt>
                <c:pt idx="2">
                  <c:v>15.2</c:v>
                </c:pt>
                <c:pt idx="3">
                  <c:v>0.33</c:v>
                </c:pt>
                <c:pt idx="4">
                  <c:v>22.64</c:v>
                </c:pt>
              </c:numCache>
            </c:numRef>
          </c:val>
        </c:ser>
        <c:dLbls>
          <c:showLegendKey val="0"/>
          <c:showVal val="1"/>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三公经费</a:t>
            </a:r>
            <a:endParaRPr lang="en-US" sz="1100"/>
          </a:p>
        </c:rich>
      </c:tx>
      <c:layout/>
      <c:overlay val="0"/>
    </c:title>
    <c:autoTitleDeleted val="0"/>
    <c:plotArea>
      <c:layout/>
      <c:pieChart>
        <c:varyColors val="1"/>
        <c:ser>
          <c:idx val="1"/>
          <c:order val="0"/>
          <c:explosion val="0"/>
          <c:dPt>
            <c:idx val="0"/>
            <c:bubble3D val="0"/>
          </c:dPt>
          <c:dPt>
            <c:idx val="1"/>
            <c:bubble3D val="0"/>
          </c:dPt>
          <c:dPt>
            <c:idx val="2"/>
            <c:bubble3D val="0"/>
          </c:dPt>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{"因公出国（境）费","公务用车购置及运行维护费","公务接待费"}</c:f>
              <c:strCache>
                <c:ptCount val="3"/>
                <c:pt idx="0">
                  <c:v>因公出国（境）费</c:v>
                </c:pt>
                <c:pt idx="1">
                  <c:v>公务用车购置及运行维护费</c:v>
                </c:pt>
                <c:pt idx="2">
                  <c:v>公务接待费</c:v>
                </c:pt>
              </c:strCache>
            </c:strRef>
          </c:cat>
          <c:val>
            <c:numRef>
              <c:f>{0,0,0.75}</c:f>
              <c:numCache>
                <c:formatCode>General</c:formatCode>
                <c:ptCount val="3"/>
                <c:pt idx="0">
                  <c:v>0</c:v>
                </c:pt>
                <c:pt idx="1">
                  <c:v>0</c:v>
                </c:pt>
                <c:pt idx="2">
                  <c:v>0.75</c:v>
                </c:pt>
              </c:numCache>
            </c:numRef>
          </c:val>
        </c:ser>
        <c:dLbls>
          <c:showLegendKey val="0"/>
          <c:showVal val="1"/>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4FC5A5-8DE4-4565-B639-6D345C1D7E6D}">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28</Pages>
  <Words>9407</Words>
  <Characters>10584</Characters>
  <Lines>51</Lines>
  <Paragraphs>14</Paragraphs>
  <TotalTime>0</TotalTime>
  <ScaleCrop>false</ScaleCrop>
  <LinksUpToDate>false</LinksUpToDate>
  <CharactersWithSpaces>10698</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2022-08-17T01:31:00Z</dcterms:created>
  <dc:creator>lgk</dc:creator>
  <cp:lastModifiedBy>王琴</cp:lastModifiedBy>
  <cp:lastPrinted>2022-09-26T03:50:45Z</cp:lastPrinted>
  <dcterms:modified xsi:type="dcterms:W3CDTF">2022-09-26T03:50:48Z</dcterms:modified>
  <dc:title>四川省决算编制说明</dc:title>
  <cp:revision>303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B93CA6F4BEAD4F359769D1203595D585</vt:lpwstr>
  </property>
</Properties>
</file>