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52CAA">
      <w:pPr>
        <w:pStyle w:val="6"/>
        <w:jc w:val="both"/>
        <w:rPr>
          <w:rFonts w:hint="default" w:ascii="Times New Roman" w:hAnsi="Times New Roman" w:eastAsia="方正小标宋简体" w:cs="Times New Roman"/>
          <w:color w:val="auto"/>
          <w:kern w:val="2"/>
          <w:sz w:val="44"/>
          <w:szCs w:val="44"/>
          <w:highlight w:val="none"/>
          <w:lang w:val="en-US" w:eastAsia="zh-CN" w:bidi="ar-SA"/>
        </w:rPr>
      </w:pPr>
      <w:bookmarkStart w:id="0" w:name="_Toc15378441"/>
      <w:bookmarkStart w:id="1" w:name="_Toc15396475"/>
      <w:bookmarkStart w:id="2" w:name="_Toc15377425"/>
      <w:bookmarkStart w:id="3" w:name="_Toc15396597"/>
      <w:bookmarkStart w:id="4" w:name="_Toc15377193"/>
      <w:bookmarkStart w:id="5" w:name="_Toc15306267"/>
    </w:p>
    <w:bookmarkEnd w:id="0"/>
    <w:bookmarkEnd w:id="1"/>
    <w:bookmarkEnd w:id="2"/>
    <w:bookmarkEnd w:id="3"/>
    <w:bookmarkEnd w:id="4"/>
    <w:p w14:paraId="395C83B6">
      <w:pPr>
        <w:pStyle w:val="6"/>
        <w:jc w:val="center"/>
        <w:rPr>
          <w:rFonts w:hint="default" w:ascii="Times New Roman" w:hAnsi="Times New Roman" w:eastAsia="方正小标宋简体" w:cs="Times New Roman"/>
          <w:color w:val="auto"/>
          <w:kern w:val="2"/>
          <w:sz w:val="44"/>
          <w:szCs w:val="44"/>
          <w:highlight w:val="none"/>
          <w:lang w:val="en-US" w:eastAsia="zh-CN" w:bidi="ar-SA"/>
        </w:rPr>
      </w:pPr>
      <w:bookmarkStart w:id="6" w:name="_Toc15377194"/>
      <w:bookmarkStart w:id="7" w:name="_Toc15396476"/>
      <w:bookmarkStart w:id="8" w:name="_Toc15378442"/>
      <w:bookmarkStart w:id="9" w:name="_Toc15377426"/>
      <w:bookmarkStart w:id="10" w:name="_Toc15396598"/>
      <w:r>
        <w:rPr>
          <w:rFonts w:hint="default" w:ascii="Times New Roman" w:hAnsi="Times New Roman" w:eastAsia="方正小标宋简体" w:cs="Times New Roman"/>
          <w:color w:val="auto"/>
          <w:kern w:val="2"/>
          <w:sz w:val="44"/>
          <w:szCs w:val="44"/>
          <w:highlight w:val="none"/>
          <w:lang w:val="en-US" w:eastAsia="zh-CN" w:bidi="ar-SA"/>
        </w:rPr>
        <w:t>2025年度四川省</w:t>
      </w:r>
      <w:bookmarkEnd w:id="5"/>
      <w:bookmarkStart w:id="11" w:name="_Toc15306268"/>
      <w:r>
        <w:rPr>
          <w:rFonts w:hint="default" w:ascii="Times New Roman" w:hAnsi="Times New Roman" w:eastAsia="方正小标宋简体" w:cs="Times New Roman"/>
          <w:color w:val="auto"/>
          <w:kern w:val="2"/>
          <w:sz w:val="44"/>
          <w:szCs w:val="44"/>
          <w:highlight w:val="none"/>
          <w:lang w:val="en-US" w:eastAsia="zh-CN" w:bidi="ar-SA"/>
        </w:rPr>
        <w:t>阿坝州中国共产党茂县委员会政法委员会部门决算</w:t>
      </w:r>
      <w:bookmarkEnd w:id="6"/>
      <w:bookmarkEnd w:id="7"/>
      <w:bookmarkEnd w:id="8"/>
      <w:bookmarkEnd w:id="9"/>
      <w:bookmarkEnd w:id="10"/>
      <w:bookmarkEnd w:id="11"/>
    </w:p>
    <w:p w14:paraId="3487D5D7">
      <w:pPr>
        <w:widowControl/>
        <w:jc w:val="center"/>
        <w:rPr>
          <w:rFonts w:hint="default" w:ascii="Times New Roman" w:hAnsi="Times New Roman" w:eastAsia="黑体" w:cs="Times New Roman"/>
          <w:color w:val="auto"/>
          <w:sz w:val="48"/>
          <w:szCs w:val="48"/>
          <w:highlight w:val="none"/>
        </w:rPr>
      </w:pPr>
    </w:p>
    <w:p w14:paraId="3BDC596A">
      <w:pPr>
        <w:widowControl/>
        <w:jc w:val="center"/>
        <w:rPr>
          <w:rFonts w:hint="default" w:ascii="Times New Roman" w:hAnsi="Times New Roman" w:eastAsia="黑体" w:cs="Times New Roman"/>
          <w:color w:val="auto"/>
          <w:sz w:val="48"/>
          <w:szCs w:val="48"/>
          <w:highlight w:val="none"/>
        </w:rPr>
      </w:pPr>
    </w:p>
    <w:p w14:paraId="0B7C3F96">
      <w:pPr>
        <w:widowControl/>
        <w:jc w:val="center"/>
        <w:rPr>
          <w:rFonts w:hint="default" w:ascii="Times New Roman" w:hAnsi="Times New Roman" w:eastAsia="黑体" w:cs="Times New Roman"/>
          <w:color w:val="auto"/>
          <w:sz w:val="48"/>
          <w:szCs w:val="48"/>
          <w:highlight w:val="none"/>
        </w:rPr>
      </w:pPr>
    </w:p>
    <w:p w14:paraId="177AAD47">
      <w:pPr>
        <w:widowControl/>
        <w:jc w:val="center"/>
        <w:rPr>
          <w:rFonts w:hint="default" w:ascii="Times New Roman" w:hAnsi="Times New Roman" w:eastAsia="黑体" w:cs="Times New Roman"/>
          <w:color w:val="auto"/>
          <w:sz w:val="48"/>
          <w:szCs w:val="48"/>
          <w:highlight w:val="none"/>
        </w:rPr>
      </w:pPr>
    </w:p>
    <w:p w14:paraId="2BDD33F1">
      <w:pPr>
        <w:widowControl/>
        <w:jc w:val="center"/>
        <w:rPr>
          <w:rFonts w:hint="default" w:ascii="Times New Roman" w:hAnsi="Times New Roman" w:eastAsia="黑体" w:cs="Times New Roman"/>
          <w:color w:val="auto"/>
          <w:sz w:val="48"/>
          <w:szCs w:val="48"/>
          <w:highlight w:val="none"/>
        </w:rPr>
      </w:pPr>
    </w:p>
    <w:p w14:paraId="6696F97E">
      <w:pPr>
        <w:widowControl/>
        <w:jc w:val="center"/>
        <w:rPr>
          <w:rFonts w:hint="default" w:ascii="Times New Roman" w:hAnsi="Times New Roman" w:eastAsia="黑体" w:cs="Times New Roman"/>
          <w:color w:val="auto"/>
          <w:sz w:val="48"/>
          <w:szCs w:val="48"/>
          <w:highlight w:val="none"/>
        </w:rPr>
      </w:pPr>
    </w:p>
    <w:p w14:paraId="33481A70">
      <w:pPr>
        <w:widowControl/>
        <w:jc w:val="center"/>
        <w:rPr>
          <w:rFonts w:hint="default" w:ascii="Times New Roman" w:hAnsi="Times New Roman" w:eastAsia="黑体" w:cs="Times New Roman"/>
          <w:color w:val="auto"/>
          <w:sz w:val="48"/>
          <w:szCs w:val="48"/>
          <w:highlight w:val="none"/>
        </w:rPr>
      </w:pPr>
    </w:p>
    <w:p w14:paraId="49B849D8">
      <w:pPr>
        <w:widowControl/>
        <w:jc w:val="center"/>
        <w:rPr>
          <w:rFonts w:hint="default" w:ascii="Times New Roman" w:hAnsi="Times New Roman" w:eastAsia="黑体" w:cs="Times New Roman"/>
          <w:color w:val="auto"/>
          <w:sz w:val="48"/>
          <w:szCs w:val="48"/>
          <w:highlight w:val="none"/>
        </w:rPr>
      </w:pPr>
    </w:p>
    <w:p w14:paraId="0FE3AB01">
      <w:pPr>
        <w:widowControl/>
        <w:jc w:val="center"/>
        <w:rPr>
          <w:rFonts w:hint="default" w:ascii="Times New Roman" w:hAnsi="Times New Roman" w:eastAsia="黑体" w:cs="Times New Roman"/>
          <w:color w:val="auto"/>
          <w:sz w:val="48"/>
          <w:szCs w:val="48"/>
          <w:highlight w:val="none"/>
        </w:rPr>
      </w:pPr>
    </w:p>
    <w:p w14:paraId="137CFB94">
      <w:pPr>
        <w:widowControl/>
        <w:jc w:val="center"/>
        <w:rPr>
          <w:rFonts w:hint="default" w:ascii="Times New Roman" w:hAnsi="Times New Roman" w:eastAsia="黑体" w:cs="Times New Roman"/>
          <w:color w:val="auto"/>
          <w:sz w:val="48"/>
          <w:szCs w:val="48"/>
          <w:highlight w:val="none"/>
        </w:rPr>
      </w:pPr>
    </w:p>
    <w:p w14:paraId="4543467B">
      <w:pPr>
        <w:widowControl/>
        <w:jc w:val="center"/>
        <w:rPr>
          <w:rFonts w:hint="default" w:ascii="Times New Roman" w:hAnsi="Times New Roman" w:eastAsia="黑体" w:cs="Times New Roman"/>
          <w:color w:val="auto"/>
          <w:sz w:val="48"/>
          <w:szCs w:val="48"/>
          <w:highlight w:val="none"/>
        </w:rPr>
      </w:pPr>
    </w:p>
    <w:p w14:paraId="2ABB5AA3">
      <w:pPr>
        <w:widowControl/>
        <w:jc w:val="center"/>
        <w:rPr>
          <w:rFonts w:hint="default" w:ascii="Times New Roman" w:hAnsi="Times New Roman" w:eastAsia="黑体" w:cs="Times New Roman"/>
          <w:color w:val="auto"/>
          <w:sz w:val="48"/>
          <w:szCs w:val="48"/>
          <w:highlight w:val="none"/>
        </w:rPr>
      </w:pPr>
    </w:p>
    <w:p w14:paraId="75A27B5B">
      <w:pPr>
        <w:widowControl/>
        <w:jc w:val="center"/>
        <w:rPr>
          <w:rFonts w:hint="default" w:ascii="Times New Roman" w:hAnsi="Times New Roman" w:eastAsia="黑体" w:cs="Times New Roman"/>
          <w:color w:val="auto"/>
          <w:sz w:val="48"/>
          <w:szCs w:val="48"/>
          <w:highlight w:val="none"/>
        </w:rPr>
      </w:pPr>
    </w:p>
    <w:p w14:paraId="7A904710">
      <w:pPr>
        <w:widowControl/>
        <w:jc w:val="center"/>
        <w:rPr>
          <w:rFonts w:hint="default" w:ascii="Times New Roman" w:hAnsi="Times New Roman" w:eastAsia="黑体" w:cs="Times New Roman"/>
          <w:color w:val="auto"/>
          <w:sz w:val="48"/>
          <w:szCs w:val="48"/>
          <w:highlight w:val="none"/>
        </w:rPr>
      </w:pPr>
    </w:p>
    <w:p w14:paraId="1CA000A0">
      <w:pPr>
        <w:widowControl/>
        <w:jc w:val="center"/>
        <w:rPr>
          <w:rFonts w:hint="default" w:ascii="Times New Roman" w:hAnsi="Times New Roman" w:eastAsia="黑体" w:cs="Times New Roman"/>
          <w:color w:val="auto"/>
          <w:sz w:val="48"/>
          <w:szCs w:val="48"/>
          <w:highlight w:val="none"/>
        </w:rPr>
      </w:pPr>
    </w:p>
    <w:p w14:paraId="7C26C1F0">
      <w:pPr>
        <w:widowControl/>
        <w:jc w:val="center"/>
        <w:rPr>
          <w:rFonts w:hint="default" w:ascii="Times New Roman" w:hAnsi="Times New Roman" w:eastAsia="黑体" w:cs="Times New Roman"/>
          <w:color w:val="auto"/>
          <w:sz w:val="48"/>
          <w:szCs w:val="48"/>
          <w:highlight w:val="none"/>
        </w:rPr>
      </w:pPr>
    </w:p>
    <w:p w14:paraId="03CB0568">
      <w:pPr>
        <w:widowControl/>
        <w:jc w:val="center"/>
        <w:rPr>
          <w:rFonts w:hint="default" w:ascii="Times New Roman" w:hAnsi="Times New Roman" w:eastAsia="黑体" w:cs="Times New Roman"/>
          <w:color w:val="auto"/>
          <w:sz w:val="48"/>
          <w:szCs w:val="48"/>
          <w:highlight w:val="none"/>
        </w:rPr>
      </w:pPr>
    </w:p>
    <w:p w14:paraId="6E33AF4C">
      <w:pPr>
        <w:widowControl/>
        <w:jc w:val="center"/>
        <w:rPr>
          <w:rFonts w:hint="default" w:ascii="Times New Roman" w:hAnsi="Times New Roman" w:eastAsia="黑体" w:cs="Times New Roman"/>
          <w:color w:val="auto"/>
          <w:sz w:val="48"/>
          <w:szCs w:val="48"/>
          <w:highlight w:val="none"/>
        </w:rPr>
      </w:pPr>
    </w:p>
    <w:p w14:paraId="6647CF87">
      <w:pPr>
        <w:widowControl/>
        <w:jc w:val="center"/>
        <w:rPr>
          <w:rFonts w:hint="default" w:ascii="Times New Roman" w:hAnsi="Times New Roman" w:eastAsia="黑体" w:cs="Times New Roman"/>
          <w:color w:val="auto"/>
          <w:sz w:val="48"/>
          <w:szCs w:val="48"/>
          <w:highlight w:val="none"/>
        </w:rPr>
      </w:pPr>
      <w:r>
        <w:rPr>
          <w:rFonts w:hint="default" w:ascii="Times New Roman" w:hAnsi="Times New Roman" w:eastAsia="黑体" w:cs="Times New Roman"/>
          <w:color w:val="auto"/>
          <w:sz w:val="48"/>
          <w:szCs w:val="48"/>
          <w:highlight w:val="none"/>
        </w:rPr>
        <w:t>目录</w:t>
      </w:r>
    </w:p>
    <w:p w14:paraId="44B251D4">
      <w:pPr>
        <w:widowControl/>
        <w:jc w:val="center"/>
        <w:rPr>
          <w:rFonts w:hint="default" w:ascii="Times New Roman" w:hAnsi="Times New Roman" w:eastAsia="黑体" w:cs="Times New Roman"/>
          <w:color w:val="auto"/>
          <w:sz w:val="28"/>
          <w:szCs w:val="28"/>
          <w:highlight w:val="none"/>
        </w:rPr>
      </w:pPr>
    </w:p>
    <w:p w14:paraId="4E7A5431">
      <w:pPr>
        <w:pStyle w:val="13"/>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公开时间：20</w:t>
      </w:r>
      <w:r>
        <w:rPr>
          <w:rFonts w:hint="default" w:ascii="Times New Roman" w:hAnsi="Times New Roman" w:eastAsia="仿宋_GB2312" w:cs="Times New Roman"/>
          <w:color w:val="auto"/>
          <w:sz w:val="32"/>
          <w:szCs w:val="32"/>
          <w:highlight w:val="none"/>
          <w:lang w:val="en-US" w:eastAsia="zh-CN"/>
        </w:rPr>
        <w:t>26</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日</w:t>
      </w:r>
    </w:p>
    <w:p w14:paraId="1040C00C">
      <w:pPr>
        <w:rPr>
          <w:rFonts w:hint="default" w:ascii="Times New Roman" w:hAnsi="Times New Roman" w:cs="Times New Roman"/>
          <w:color w:val="auto"/>
          <w:highlight w:val="none"/>
        </w:rPr>
      </w:pPr>
    </w:p>
    <w:sdt>
      <w:sdtPr>
        <w:rPr>
          <w:rFonts w:hint="default" w:ascii="Times New Roman" w:hAnsi="Times New Roman" w:eastAsia="宋体" w:cs="Times New Roman"/>
          <w:kern w:val="2"/>
          <w:sz w:val="21"/>
          <w:szCs w:val="24"/>
          <w:lang w:val="en-US" w:eastAsia="zh-CN" w:bidi="ar-SA"/>
        </w:rPr>
        <w:id w:val="147460440"/>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031A9ECF">
          <w:pPr>
            <w:spacing w:before="0" w:beforeLines="0" w:after="0" w:afterLines="0" w:line="240" w:lineRule="auto"/>
            <w:ind w:left="0" w:leftChars="0" w:right="0" w:rightChars="0" w:firstLine="0" w:firstLineChars="0"/>
            <w:jc w:val="center"/>
            <w:rPr>
              <w:rFonts w:hint="default" w:ascii="Times New Roman" w:hAnsi="Times New Roman" w:cs="Times New Roman"/>
            </w:rPr>
          </w:pPr>
          <w:bookmarkStart w:id="12" w:name="_Toc15377196"/>
          <w:bookmarkStart w:id="13" w:name="_Toc15396599"/>
          <w:r>
            <w:rPr>
              <w:rFonts w:hint="default" w:ascii="Times New Roman" w:hAnsi="Times New Roman" w:eastAsia="宋体" w:cs="Times New Roman"/>
              <w:sz w:val="21"/>
            </w:rPr>
            <w:t>目录</w:t>
          </w:r>
        </w:p>
        <w:p w14:paraId="352497F8">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TOC \o "1-2" \h \u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_Toc1692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第一部分</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bCs w:val="0"/>
              <w:sz w:val="32"/>
              <w:szCs w:val="32"/>
              <w:highlight w:val="none"/>
            </w:rPr>
            <w:t>部门概况</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_Toc1692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4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376845E8">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_Toc9165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一、</w:t>
          </w:r>
          <w:r>
            <w:rPr>
              <w:rFonts w:hint="default" w:ascii="Times New Roman" w:hAnsi="Times New Roman" w:eastAsia="仿宋_GB2312" w:cs="Times New Roman"/>
              <w:sz w:val="32"/>
              <w:szCs w:val="32"/>
              <w:highlight w:val="none"/>
              <w:lang w:eastAsia="zh-CN"/>
            </w:rPr>
            <w:t>部门职责</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_Toc9165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4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2555AE6D">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_Toc31262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二、机</w:t>
          </w:r>
          <w:r>
            <w:rPr>
              <w:rFonts w:hint="default" w:ascii="Times New Roman" w:hAnsi="Times New Roman" w:eastAsia="仿宋_GB2312" w:cs="Times New Roman"/>
              <w:bCs w:val="0"/>
              <w:sz w:val="32"/>
              <w:szCs w:val="32"/>
              <w:highlight w:val="none"/>
            </w:rPr>
            <w:t>构设置</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_Toc31262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7A3F4354">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_Toc8747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第二部分</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sz w:val="32"/>
              <w:szCs w:val="32"/>
              <w:highlight w:val="none"/>
              <w:lang w:val="en-US" w:eastAsia="zh-CN"/>
            </w:rPr>
            <w:t>2025年度</w:t>
          </w:r>
          <w:r>
            <w:rPr>
              <w:rFonts w:hint="default" w:ascii="Times New Roman" w:hAnsi="Times New Roman" w:eastAsia="仿宋_GB2312" w:cs="Times New Roman"/>
              <w:sz w:val="32"/>
              <w:szCs w:val="32"/>
              <w:highlight w:val="none"/>
            </w:rPr>
            <w:t>部门决算情况说明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_Toc8747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6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262E823F">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_Toc19189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lang w:eastAsia="zh-CN"/>
            </w:rPr>
            <w:t>一、</w:t>
          </w:r>
          <w:r>
            <w:rPr>
              <w:rFonts w:hint="default" w:ascii="Times New Roman" w:hAnsi="Times New Roman" w:eastAsia="仿宋_GB2312" w:cs="Times New Roman"/>
              <w:sz w:val="32"/>
              <w:szCs w:val="32"/>
              <w:highlight w:val="none"/>
            </w:rPr>
            <w:t>收入支出决算总体情况说明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_Toc19189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6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31CDC0D0">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_Toc26870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lang w:eastAsia="zh-CN"/>
            </w:rPr>
            <w:t>二、收入决算情况说明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_Toc26870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6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5BD1E699">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_Toc21525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lang w:eastAsia="zh-CN"/>
            </w:rPr>
            <w:t>三、</w:t>
          </w:r>
          <w:r>
            <w:rPr>
              <w:rFonts w:hint="default" w:ascii="Times New Roman" w:hAnsi="Times New Roman" w:eastAsia="仿宋_GB2312" w:cs="Times New Roman"/>
              <w:sz w:val="32"/>
              <w:szCs w:val="32"/>
              <w:highlight w:val="none"/>
            </w:rPr>
            <w:t>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_Toc21525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785B7C49">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_Toc25564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四、财政拨款收入支出决算总体情况说明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_Toc25564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7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297AEA7D">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_Toc28844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五、一般公共预算财政拨款支出决算情况说明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_Toc28844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7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18D77B96">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_Toc4625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六、一般公共预算财政拨款基本支出决算情况说明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_Toc4625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9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1CAA8E8D">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_Toc14429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七、财政拨款“三公”经费支出决算情况说明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_Toc14429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10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12481CFD">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_Toc5946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八、政府性基金预算支出决算情况说明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_Toc5946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25158DA9">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_Toc3644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lang w:eastAsia="zh-CN"/>
            </w:rPr>
            <w:t>九、</w:t>
          </w:r>
          <w:r>
            <w:rPr>
              <w:rFonts w:hint="default" w:ascii="Times New Roman" w:hAnsi="Times New Roman" w:eastAsia="仿宋_GB2312" w:cs="Times New Roman"/>
              <w:sz w:val="32"/>
              <w:szCs w:val="32"/>
              <w:highlight w:val="none"/>
            </w:rPr>
            <w:t>国有资本经营预算支出决算情况说明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_Toc3644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 xml:space="preserve"> 11 </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31A268E5">
          <w:pPr>
            <w:pStyle w:val="16"/>
            <w:keepNext w:val="0"/>
            <w:keepLines w:val="0"/>
            <w:pageBreakBefore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_Toc22960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lang w:eastAsia="zh-CN"/>
            </w:rPr>
            <w:t>十、</w:t>
          </w:r>
          <w:r>
            <w:rPr>
              <w:rFonts w:hint="default" w:ascii="Times New Roman" w:hAnsi="Times New Roman" w:eastAsia="仿宋_GB2312" w:cs="Times New Roman"/>
              <w:sz w:val="32"/>
              <w:szCs w:val="32"/>
              <w:highlight w:val="none"/>
            </w:rPr>
            <w:t>其他重要事项的情况说明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_Toc22960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1B66D579">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_Toc25961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eastAsia="zh-CN"/>
            </w:rPr>
            <w:t>三</w:t>
          </w:r>
          <w:r>
            <w:rPr>
              <w:rFonts w:hint="default" w:ascii="Times New Roman" w:hAnsi="Times New Roman" w:eastAsia="仿宋_GB2312" w:cs="Times New Roman"/>
              <w:sz w:val="32"/>
              <w:szCs w:val="32"/>
              <w:highlight w:val="none"/>
            </w:rPr>
            <w:t>部分</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名词解释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_Toc25961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0719215C">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第四部分</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 xml:space="preserve"> 附件</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7</w:t>
          </w:r>
        </w:p>
        <w:p w14:paraId="44C674DE">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kern w:val="2"/>
              <w:sz w:val="32"/>
              <w:szCs w:val="32"/>
              <w:highlight w:val="none"/>
              <w:lang w:val="en-US" w:eastAsia="zh-CN" w:bidi="ar-SA"/>
            </w:rPr>
            <w:t>第五部分  附表</w:t>
          </w:r>
          <w:r>
            <w:rPr>
              <w:rFonts w:hint="default" w:ascii="Times New Roman" w:hAnsi="Times New Roman" w:eastAsia="仿宋_GB2312" w:cs="Times New Roman"/>
              <w:kern w:val="2"/>
              <w:sz w:val="32"/>
              <w:szCs w:val="32"/>
              <w:highlight w:val="none"/>
              <w:lang w:val="en-US" w:eastAsia="zh-CN" w:bidi="ar-SA"/>
            </w:rPr>
            <w:tab/>
          </w:r>
          <w:r>
            <w:rPr>
              <w:rFonts w:hint="eastAsia" w:ascii="Times New Roman" w:hAnsi="Times New Roman" w:eastAsia="仿宋_GB2312" w:cs="Times New Roman"/>
              <w:sz w:val="32"/>
              <w:szCs w:val="32"/>
              <w:lang w:val="en-US" w:eastAsia="zh-CN"/>
            </w:rPr>
            <w:t>29</w:t>
          </w:r>
        </w:p>
        <w:p w14:paraId="6A31EDD5">
          <w:pPr>
            <w:pStyle w:val="13"/>
            <w:keepNext w:val="0"/>
            <w:keepLines w:val="0"/>
            <w:pageBreakBefore w:val="0"/>
            <w:numPr>
              <w:ilvl w:val="0"/>
              <w:numId w:val="1"/>
            </w:numPr>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eastAsia="zh-CN"/>
            </w:rPr>
            <w:t>收入支出决算总表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404EBBBE">
          <w:pPr>
            <w:pStyle w:val="13"/>
            <w:keepNext w:val="0"/>
            <w:keepLines w:val="0"/>
            <w:pageBreakBefore w:val="0"/>
            <w:numPr>
              <w:ilvl w:val="0"/>
              <w:numId w:val="1"/>
            </w:numPr>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二、收入决算表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6725FED7">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三、支出决算表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6C03358A">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四、财政拨款收入支出决算总表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08CB7E3B">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五、财政拨款支出决算明细表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51BD11BF">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六、一般公共预算财政拨款支出决算表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203ED0B3">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七、一般公共预算财政拨款支出决算明细表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07D4A083">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八、一般公共预算财政拨款基本支出决算表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549E35A0">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九、一般公共预算财政拨款项目支出决算表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2699EB90">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十、政府性基金预算财政拨款收入支出决算表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2DE5447B">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十一、国有资本经营预算财政拨款收入支出决算表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55830DF1">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十二、国有资本经营预算财政拨款支出决算表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00F6833C">
          <w:pPr>
            <w:pStyle w:val="13"/>
            <w:keepNext w:val="0"/>
            <w:keepLines w:val="0"/>
            <w:pageBreakBefore w:val="0"/>
            <w:tabs>
              <w:tab w:val="right" w:leader="dot" w:pos="8306"/>
              <w:tab w:val="clear" w:pos="8296"/>
            </w:tabs>
            <w:kinsoku/>
            <w:wordWrap/>
            <w:overflowPunct/>
            <w:topLinePunct w:val="0"/>
            <w:autoSpaceDE/>
            <w:autoSpaceDN/>
            <w:bidi w:val="0"/>
            <w:adjustRightInd/>
            <w:snapToGrid/>
            <w:spacing w:before="0" w:line="576" w:lineRule="exact"/>
            <w:ind w:firstLine="320" w:firstLineChars="1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十三、财政拨款“三公”经费支出决算表</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29</w:t>
          </w:r>
        </w:p>
        <w:p w14:paraId="13FAFEF2">
          <w:pPr>
            <w:rPr>
              <w:rFonts w:hint="default" w:ascii="Times New Roman" w:hAnsi="Times New Roman" w:cs="Times New Roman"/>
            </w:rPr>
          </w:pPr>
        </w:p>
      </w:sdtContent>
    </w:sdt>
    <w:p w14:paraId="7D143124">
      <w:pPr>
        <w:rPr>
          <w:rFonts w:hint="default" w:ascii="Times New Roman" w:hAnsi="Times New Roman" w:cs="Times New Roman"/>
        </w:rPr>
      </w:pPr>
    </w:p>
    <w:p w14:paraId="0938CB9F">
      <w:pPr>
        <w:keepNext w:val="0"/>
        <w:keepLines w:val="0"/>
        <w:pageBreakBefore w:val="0"/>
        <w:widowControl/>
        <w:kinsoku/>
        <w:wordWrap/>
        <w:overflowPunct/>
        <w:topLinePunct w:val="0"/>
        <w:autoSpaceDE/>
        <w:autoSpaceDN/>
        <w:bidi w:val="0"/>
        <w:spacing w:line="560" w:lineRule="exact"/>
        <w:jc w:val="left"/>
        <w:textAlignment w:val="auto"/>
        <w:rPr>
          <w:rFonts w:hint="default" w:ascii="Times New Roman" w:hAnsi="Times New Roman" w:eastAsia="仿宋_GB2312" w:cs="Times New Roman"/>
          <w:bCs/>
          <w:color w:val="auto"/>
          <w:kern w:val="44"/>
          <w:sz w:val="32"/>
          <w:szCs w:val="32"/>
          <w:highlight w:val="none"/>
        </w:rPr>
      </w:pPr>
      <w:r>
        <w:rPr>
          <w:rFonts w:hint="default" w:ascii="Times New Roman" w:hAnsi="Times New Roman" w:eastAsia="仿宋_GB2312" w:cs="Times New Roman"/>
          <w:b/>
          <w:color w:val="auto"/>
          <w:sz w:val="32"/>
          <w:szCs w:val="32"/>
          <w:highlight w:val="none"/>
        </w:rPr>
        <w:br w:type="page"/>
      </w:r>
    </w:p>
    <w:p w14:paraId="29443676">
      <w:pPr>
        <w:pStyle w:val="3"/>
        <w:pageBreakBefore w:val="0"/>
        <w:kinsoku/>
        <w:wordWrap/>
        <w:overflowPunct/>
        <w:topLinePunct w:val="0"/>
        <w:bidi w:val="0"/>
        <w:spacing w:before="0" w:line="576" w:lineRule="exact"/>
        <w:jc w:val="center"/>
        <w:textAlignment w:val="auto"/>
        <w:rPr>
          <w:rFonts w:hint="default" w:ascii="Times New Roman" w:hAnsi="Times New Roman" w:eastAsia="黑体" w:cs="Times New Roman"/>
          <w:color w:val="auto"/>
          <w:sz w:val="32"/>
          <w:szCs w:val="32"/>
          <w:highlight w:val="none"/>
          <w:lang w:val="en-US" w:eastAsia="zh-CN"/>
        </w:rPr>
      </w:pPr>
      <w:bookmarkStart w:id="14" w:name="_Toc1692"/>
      <w:r>
        <w:rPr>
          <w:rFonts w:hint="default" w:ascii="Times New Roman" w:hAnsi="Times New Roman" w:eastAsia="方正小标宋简体" w:cs="Times New Roman"/>
          <w:b w:val="0"/>
          <w:color w:val="auto"/>
          <w:highlight w:val="none"/>
        </w:rPr>
        <w:t>第一部分</w:t>
      </w:r>
      <w:r>
        <w:rPr>
          <w:rFonts w:hint="default" w:ascii="Times New Roman" w:hAnsi="Times New Roman" w:eastAsia="方正小标宋简体" w:cs="Times New Roman"/>
          <w:b w:val="0"/>
          <w:color w:val="auto"/>
          <w:highlight w:val="none"/>
          <w:lang w:val="en-US" w:eastAsia="zh-CN"/>
        </w:rPr>
        <w:t xml:space="preserve"> </w:t>
      </w:r>
      <w:r>
        <w:rPr>
          <w:rFonts w:hint="default" w:ascii="Times New Roman" w:hAnsi="Times New Roman" w:eastAsia="方正小标宋简体" w:cs="Times New Roman"/>
          <w:b w:val="0"/>
          <w:color w:val="auto"/>
          <w:highlight w:val="none"/>
        </w:rPr>
        <w:t xml:space="preserve"> </w:t>
      </w:r>
      <w:r>
        <w:rPr>
          <w:rStyle w:val="29"/>
          <w:rFonts w:hint="default" w:ascii="Times New Roman" w:hAnsi="Times New Roman" w:eastAsia="方正小标宋简体" w:cs="Times New Roman"/>
          <w:b w:val="0"/>
          <w:bCs w:val="0"/>
          <w:color w:val="auto"/>
          <w:highlight w:val="none"/>
        </w:rPr>
        <w:t>部门概况</w:t>
      </w:r>
      <w:bookmarkEnd w:id="12"/>
      <w:bookmarkEnd w:id="13"/>
      <w:bookmarkEnd w:id="14"/>
    </w:p>
    <w:p w14:paraId="2F588D72">
      <w:pPr>
        <w:pStyle w:val="4"/>
        <w:pageBreakBefore w:val="0"/>
        <w:kinsoku/>
        <w:wordWrap/>
        <w:overflowPunct/>
        <w:topLinePunct w:val="0"/>
        <w:bidi w:val="0"/>
        <w:spacing w:before="0" w:line="576" w:lineRule="exact"/>
        <w:ind w:firstLine="640" w:firstLineChars="200"/>
        <w:textAlignment w:val="auto"/>
        <w:rPr>
          <w:rFonts w:hint="default" w:ascii="Times New Roman" w:hAnsi="Times New Roman" w:eastAsia="黑体" w:cs="Times New Roman"/>
          <w:b w:val="0"/>
          <w:color w:val="auto"/>
          <w:highlight w:val="none"/>
          <w:lang w:eastAsia="zh-CN"/>
        </w:rPr>
      </w:pPr>
      <w:bookmarkStart w:id="15" w:name="_Toc15377197"/>
      <w:bookmarkStart w:id="16" w:name="_Toc15396600"/>
      <w:bookmarkStart w:id="17" w:name="_Toc9165"/>
      <w:r>
        <w:rPr>
          <w:rFonts w:hint="default" w:ascii="Times New Roman" w:hAnsi="Times New Roman" w:eastAsia="黑体" w:cs="Times New Roman"/>
          <w:b w:val="0"/>
          <w:color w:val="auto"/>
          <w:highlight w:val="none"/>
        </w:rPr>
        <w:t>一、</w:t>
      </w:r>
      <w:bookmarkEnd w:id="15"/>
      <w:bookmarkEnd w:id="16"/>
      <w:r>
        <w:rPr>
          <w:rFonts w:hint="default" w:ascii="Times New Roman" w:hAnsi="Times New Roman" w:eastAsia="黑体" w:cs="Times New Roman"/>
          <w:b w:val="0"/>
          <w:color w:val="auto"/>
          <w:highlight w:val="none"/>
          <w:lang w:eastAsia="zh-CN"/>
        </w:rPr>
        <w:t>部门职责</w:t>
      </w:r>
      <w:bookmarkEnd w:id="17"/>
    </w:p>
    <w:p w14:paraId="2E49288B">
      <w:pPr>
        <w:pageBreakBefore w:val="0"/>
        <w:widowControl w:val="0"/>
        <w:suppressAutoHyphen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lang w:eastAsia="zh-CN"/>
        </w:rPr>
      </w:pPr>
      <w:r>
        <w:rPr>
          <w:rFonts w:hint="default" w:ascii="Times New Roman" w:hAnsi="Times New Roman" w:eastAsia="仿宋_GB2312" w:cs="Times New Roman"/>
          <w:color w:val="000000"/>
          <w:sz w:val="32"/>
          <w:szCs w:val="32"/>
        </w:rPr>
        <w:t>1.深入贯彻党的路线方针政策和决策部署，统一政法各部门思想和行动，坚持党对政法工作的绝对领导，坚决维护党中央权威和集中统一领导。2.深入贯彻党中央决定和省委、州委、县委决策，对政法工作研究提出全局性部署，推进平安茂县、法治茂县建设，加强过硬队伍建设，深化智能化建设，坚决维护国家政治安全、确保社会大局稳定、促进社会公平正义、保障人民安居乐业。3.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4.加强对政法工作的督查，统筹协调维护政治安全、社会治安综合治理、维护社会稳定、反邪教有关法律法规政策的实施工作。指导全县政法系统网络安全和智能化建设工作。5.组织开展政法领域的调查研究，研究拟订全县政法工作的政策措施，及时向县委提出建议。6.掌握分析政法舆情动态，指导协调政法部门媒体网络宣传工作，指导政法部门做好涉及政法工作的重大宣传和舆论引导工作。7.监督和支持政法各部门依法行使职权，指导和协调政法各部门密切配合，研究和协调重大疑难案件，推进严格执法、公正司法。8.组织研究政法改革中带有方向性、倾向性和普遍性的重大问题，深化政法改革。9.指导推动政法系统党的建设和政法队伍建设，协同县级有关职能部门管理监督政法领导干部。10.完成县委交办的其他任务。</w:t>
      </w:r>
    </w:p>
    <w:p w14:paraId="6CF9B1C5">
      <w:pPr>
        <w:pStyle w:val="4"/>
        <w:pageBreakBefore w:val="0"/>
        <w:kinsoku/>
        <w:wordWrap/>
        <w:overflowPunct/>
        <w:topLinePunct w:val="0"/>
        <w:bidi w:val="0"/>
        <w:spacing w:before="0" w:line="576" w:lineRule="exact"/>
        <w:ind w:firstLine="960" w:firstLineChars="300"/>
        <w:textAlignment w:val="auto"/>
        <w:rPr>
          <w:rStyle w:val="30"/>
          <w:rFonts w:hint="default" w:ascii="Times New Roman" w:hAnsi="Times New Roman" w:cs="Times New Roman"/>
          <w:b w:val="0"/>
          <w:bCs w:val="0"/>
          <w:color w:val="auto"/>
          <w:highlight w:val="none"/>
        </w:rPr>
      </w:pPr>
      <w:bookmarkStart w:id="18" w:name="_Toc31262"/>
      <w:bookmarkStart w:id="19" w:name="_Toc15377200"/>
      <w:bookmarkStart w:id="20" w:name="_Toc15396601"/>
      <w:r>
        <w:rPr>
          <w:rFonts w:hint="default" w:ascii="Times New Roman" w:hAnsi="Times New Roman" w:eastAsia="黑体" w:cs="Times New Roman"/>
          <w:b w:val="0"/>
          <w:color w:val="auto"/>
          <w:highlight w:val="none"/>
        </w:rPr>
        <w:t>二、机</w:t>
      </w:r>
      <w:r>
        <w:rPr>
          <w:rStyle w:val="30"/>
          <w:rFonts w:hint="default" w:ascii="Times New Roman" w:hAnsi="Times New Roman" w:eastAsia="黑体" w:cs="Times New Roman"/>
          <w:b w:val="0"/>
          <w:bCs w:val="0"/>
          <w:color w:val="auto"/>
          <w:highlight w:val="none"/>
        </w:rPr>
        <w:t>构设置</w:t>
      </w:r>
      <w:bookmarkEnd w:id="18"/>
      <w:bookmarkEnd w:id="19"/>
      <w:bookmarkEnd w:id="20"/>
    </w:p>
    <w:p w14:paraId="1308F17A">
      <w:pPr>
        <w:pageBreakBefore w:val="0"/>
        <w:kinsoku/>
        <w:wordWrap/>
        <w:overflowPunct/>
        <w:topLinePunct w:val="0"/>
        <w:bidi w:val="0"/>
        <w:spacing w:line="576" w:lineRule="exact"/>
        <w:ind w:firstLine="800" w:firstLineChars="25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中国共产党茂县委员会政法委员会下属二级</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rPr>
        <w:t>单位</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个，其中行政单位</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个，参照公务员法管理的事业单位</w:t>
      </w:r>
      <w:r>
        <w:rPr>
          <w:rFonts w:hint="default" w:ascii="Times New Roman" w:hAnsi="Times New Roman" w:eastAsia="仿宋_GB2312" w:cs="Times New Roman"/>
          <w:bCs/>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个，其他事业单位</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个。</w:t>
      </w:r>
    </w:p>
    <w:p w14:paraId="40ADC3F8">
      <w:pPr>
        <w:pStyle w:val="6"/>
        <w:pageBreakBefore w:val="0"/>
        <w:kinsoku/>
        <w:wordWrap/>
        <w:overflowPunct/>
        <w:topLinePunct w:val="0"/>
        <w:bidi w:val="0"/>
        <w:adjustRightInd w:val="0"/>
        <w:snapToGrid w:val="0"/>
        <w:spacing w:beforeLines="0" w:line="576" w:lineRule="exact"/>
        <w:ind w:firstLine="672" w:firstLineChars="21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纳入中国共产党茂县委员会政法委员会</w:t>
      </w:r>
      <w:r>
        <w:rPr>
          <w:rFonts w:hint="default" w:ascii="Times New Roman" w:hAnsi="Times New Roman" w:cs="Times New Roman"/>
          <w:color w:val="auto"/>
          <w:sz w:val="32"/>
          <w:szCs w:val="32"/>
          <w:highlight w:val="none"/>
          <w:lang w:eastAsia="zh-CN"/>
        </w:rPr>
        <w:t>2025年度</w:t>
      </w:r>
      <w:r>
        <w:rPr>
          <w:rFonts w:hint="default" w:ascii="Times New Roman" w:hAnsi="Times New Roman" w:eastAsia="仿宋_GB2312" w:cs="Times New Roman"/>
          <w:color w:val="auto"/>
          <w:sz w:val="32"/>
          <w:szCs w:val="32"/>
          <w:highlight w:val="none"/>
        </w:rPr>
        <w:t>部门决算编制范围的二级预算单位包括：</w:t>
      </w:r>
    </w:p>
    <w:p w14:paraId="2C7ED18D">
      <w:pPr>
        <w:pStyle w:val="6"/>
        <w:pageBreakBefore w:val="0"/>
        <w:numPr>
          <w:ilvl w:val="0"/>
          <w:numId w:val="2"/>
        </w:numPr>
        <w:kinsoku/>
        <w:wordWrap/>
        <w:overflowPunct/>
        <w:topLinePunct w:val="0"/>
        <w:bidi w:val="0"/>
        <w:adjustRightInd w:val="0"/>
        <w:snapToGrid w:val="0"/>
        <w:spacing w:beforeLines="0" w:line="576" w:lineRule="exact"/>
        <w:textAlignment w:val="auto"/>
        <w:outlineLvl w:val="2"/>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中国共产党茂县委员会政法委员会（行政）</w:t>
      </w:r>
    </w:p>
    <w:p w14:paraId="57AAE364">
      <w:pPr>
        <w:pStyle w:val="6"/>
        <w:pageBreakBefore w:val="0"/>
        <w:numPr>
          <w:ilvl w:val="0"/>
          <w:numId w:val="2"/>
        </w:numPr>
        <w:kinsoku/>
        <w:wordWrap/>
        <w:overflowPunct/>
        <w:topLinePunct w:val="0"/>
        <w:bidi w:val="0"/>
        <w:adjustRightInd w:val="0"/>
        <w:snapToGrid w:val="0"/>
        <w:spacing w:beforeLines="0" w:line="576" w:lineRule="exact"/>
        <w:textAlignment w:val="auto"/>
        <w:outlineLvl w:val="2"/>
        <w:rPr>
          <w:rFonts w:hint="default" w:ascii="Times New Roman" w:hAnsi="Times New Roman" w:eastAsia="仿宋"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茂县社会治安综合治理中心（事业）</w:t>
      </w:r>
      <w:r>
        <w:rPr>
          <w:rFonts w:hint="default" w:ascii="Times New Roman" w:hAnsi="Times New Roman" w:eastAsia="仿宋" w:cs="Times New Roman"/>
          <w:color w:val="auto"/>
          <w:sz w:val="32"/>
          <w:szCs w:val="32"/>
          <w:highlight w:val="none"/>
        </w:rPr>
        <w:br w:type="page"/>
      </w:r>
    </w:p>
    <w:p w14:paraId="7C9BB3AD">
      <w:pPr>
        <w:pStyle w:val="3"/>
        <w:pageBreakBefore w:val="0"/>
        <w:kinsoku/>
        <w:wordWrap/>
        <w:overflowPunct/>
        <w:topLinePunct w:val="0"/>
        <w:bidi w:val="0"/>
        <w:spacing w:before="0" w:line="576" w:lineRule="exact"/>
        <w:jc w:val="center"/>
        <w:textAlignment w:val="auto"/>
        <w:rPr>
          <w:rFonts w:hint="default" w:ascii="Times New Roman" w:hAnsi="Times New Roman" w:cs="Times New Roman"/>
          <w:color w:val="auto"/>
          <w:highlight w:val="none"/>
        </w:rPr>
      </w:pPr>
      <w:bookmarkStart w:id="21" w:name="_Toc8747"/>
      <w:bookmarkStart w:id="22" w:name="_Toc15377204"/>
      <w:bookmarkStart w:id="23" w:name="_Toc15396602"/>
      <w:r>
        <w:rPr>
          <w:rFonts w:hint="default" w:ascii="Times New Roman" w:hAnsi="Times New Roman" w:eastAsia="方正小标宋简体" w:cs="Times New Roman"/>
          <w:b w:val="0"/>
          <w:color w:val="auto"/>
          <w:highlight w:val="none"/>
        </w:rPr>
        <w:t>第二部分</w:t>
      </w:r>
      <w:r>
        <w:rPr>
          <w:rFonts w:hint="default" w:ascii="Times New Roman" w:hAnsi="Times New Roman" w:eastAsia="方正小标宋简体" w:cs="Times New Roman"/>
          <w:b w:val="0"/>
          <w:color w:val="auto"/>
          <w:highlight w:val="none"/>
          <w:lang w:val="en-US" w:eastAsia="zh-CN"/>
        </w:rPr>
        <w:t xml:space="preserve"> </w:t>
      </w:r>
      <w:r>
        <w:rPr>
          <w:rFonts w:hint="default" w:ascii="Times New Roman" w:hAnsi="Times New Roman" w:eastAsia="方正小标宋简体" w:cs="Times New Roman"/>
          <w:b w:val="0"/>
          <w:color w:val="auto"/>
          <w:highlight w:val="none"/>
        </w:rPr>
        <w:t xml:space="preserve"> </w:t>
      </w:r>
      <w:r>
        <w:rPr>
          <w:rFonts w:hint="default" w:ascii="Times New Roman" w:hAnsi="Times New Roman" w:eastAsia="方正小标宋简体" w:cs="Times New Roman"/>
          <w:b w:val="0"/>
          <w:color w:val="auto"/>
          <w:highlight w:val="none"/>
          <w:lang w:val="en-US" w:eastAsia="zh-CN"/>
        </w:rPr>
        <w:t>2025年度</w:t>
      </w:r>
      <w:r>
        <w:rPr>
          <w:rFonts w:hint="default" w:ascii="Times New Roman" w:hAnsi="Times New Roman" w:eastAsia="方正小标宋简体" w:cs="Times New Roman"/>
          <w:b w:val="0"/>
          <w:color w:val="auto"/>
          <w:highlight w:val="none"/>
        </w:rPr>
        <w:t>部门决算情况说明</w:t>
      </w:r>
      <w:bookmarkEnd w:id="21"/>
      <w:bookmarkEnd w:id="22"/>
      <w:bookmarkEnd w:id="23"/>
    </w:p>
    <w:p w14:paraId="5627C1D8">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0"/>
          <w:rFonts w:hint="default" w:ascii="Times New Roman" w:hAnsi="Times New Roman" w:eastAsia="黑体" w:cs="Times New Roman"/>
          <w:b w:val="0"/>
          <w:color w:val="auto"/>
          <w:highlight w:val="none"/>
        </w:rPr>
      </w:pPr>
      <w:bookmarkStart w:id="24" w:name="_Toc15396603"/>
      <w:bookmarkStart w:id="25" w:name="_Toc19189"/>
      <w:bookmarkStart w:id="26" w:name="_Toc15377205"/>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收</w:t>
      </w:r>
      <w:r>
        <w:rPr>
          <w:rStyle w:val="30"/>
          <w:rFonts w:hint="default" w:ascii="Times New Roman" w:hAnsi="Times New Roman" w:eastAsia="黑体" w:cs="Times New Roman"/>
          <w:b w:val="0"/>
          <w:color w:val="auto"/>
          <w:highlight w:val="none"/>
        </w:rPr>
        <w:t>入支出决算总体情况说明</w:t>
      </w:r>
      <w:bookmarkEnd w:id="24"/>
      <w:bookmarkEnd w:id="25"/>
      <w:bookmarkEnd w:id="26"/>
    </w:p>
    <w:p w14:paraId="35568CF1">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default" w:ascii="Times New Roman" w:hAnsi="Times New Roman" w:eastAsia="仿宋_GB2312" w:cs="Times New Roman"/>
          <w:color w:val="auto"/>
          <w:sz w:val="32"/>
          <w:szCs w:val="32"/>
          <w:highlight w:val="none"/>
        </w:rPr>
      </w:pPr>
      <w:bookmarkStart w:id="27" w:name="_Toc18422"/>
      <w:r>
        <w:rPr>
          <w:rFonts w:hint="default" w:ascii="Times New Roman" w:hAnsi="Times New Roman" w:eastAsia="仿宋_GB2312" w:cs="Times New Roman"/>
          <w:color w:val="auto"/>
          <w:sz w:val="32"/>
          <w:szCs w:val="32"/>
          <w:highlight w:val="none"/>
          <w:lang w:eastAsia="zh-CN"/>
        </w:rPr>
        <w:t>2025年度收入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w:t>
      </w:r>
      <w:r>
        <w:rPr>
          <w:rFonts w:hint="default" w:ascii="Times New Roman" w:hAnsi="Times New Roman" w:eastAsia="仿宋_GB2312" w:cs="Times New Roman"/>
          <w:color w:val="auto"/>
          <w:sz w:val="32"/>
          <w:szCs w:val="32"/>
          <w:highlight w:val="none"/>
          <w:lang w:eastAsia="zh-CN"/>
        </w:rPr>
        <w:t>均为</w:t>
      </w:r>
      <w:r>
        <w:rPr>
          <w:rFonts w:hint="default" w:ascii="Times New Roman" w:hAnsi="Times New Roman" w:eastAsia="仿宋_GB2312" w:cs="Times New Roman"/>
          <w:color w:val="auto"/>
          <w:sz w:val="32"/>
          <w:szCs w:val="32"/>
          <w:highlight w:val="none"/>
          <w:lang w:val="en-US" w:eastAsia="zh-CN"/>
        </w:rPr>
        <w:t>607.66</w:t>
      </w:r>
      <w:r>
        <w:rPr>
          <w:rFonts w:hint="default" w:ascii="Times New Roman" w:hAnsi="Times New Roman" w:eastAsia="仿宋_GB2312" w:cs="Times New Roman"/>
          <w:color w:val="auto"/>
          <w:sz w:val="32"/>
          <w:szCs w:val="32"/>
          <w:highlight w:val="none"/>
        </w:rPr>
        <w:t>万元。与</w:t>
      </w:r>
      <w:r>
        <w:rPr>
          <w:rFonts w:hint="default" w:ascii="Times New Roman" w:hAnsi="Times New Roman" w:eastAsia="仿宋_GB2312" w:cs="Times New Roman"/>
          <w:color w:val="auto"/>
          <w:sz w:val="32"/>
          <w:szCs w:val="32"/>
          <w:highlight w:val="none"/>
          <w:lang w:eastAsia="zh-CN"/>
        </w:rPr>
        <w:t>上</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相比，</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总计各增加</w:t>
      </w:r>
      <w:r>
        <w:rPr>
          <w:rFonts w:hint="default" w:ascii="Times New Roman" w:hAnsi="Times New Roman" w:eastAsia="仿宋_GB2312" w:cs="Times New Roman"/>
          <w:color w:val="auto"/>
          <w:sz w:val="32"/>
          <w:szCs w:val="32"/>
          <w:highlight w:val="none"/>
          <w:lang w:val="en-US" w:eastAsia="zh-CN"/>
        </w:rPr>
        <w:t>109.88</w:t>
      </w:r>
      <w:r>
        <w:rPr>
          <w:rFonts w:hint="default" w:ascii="Times New Roman" w:hAnsi="Times New Roman" w:eastAsia="仿宋_GB2312" w:cs="Times New Roman"/>
          <w:color w:val="auto"/>
          <w:sz w:val="32"/>
          <w:szCs w:val="32"/>
          <w:highlight w:val="none"/>
        </w:rPr>
        <w:t>万元，增长</w:t>
      </w:r>
      <w:r>
        <w:rPr>
          <w:rFonts w:hint="default" w:ascii="Times New Roman" w:hAnsi="Times New Roman" w:eastAsia="仿宋_GB2312" w:cs="Times New Roman"/>
          <w:color w:val="auto"/>
          <w:sz w:val="32"/>
          <w:szCs w:val="32"/>
          <w:highlight w:val="none"/>
          <w:lang w:val="en-US" w:eastAsia="zh-CN"/>
        </w:rPr>
        <w:t>22.07</w:t>
      </w:r>
      <w:r>
        <w:rPr>
          <w:rFonts w:hint="default" w:ascii="Times New Roman" w:hAnsi="Times New Roman" w:eastAsia="仿宋_GB2312" w:cs="Times New Roman"/>
          <w:color w:val="auto"/>
          <w:sz w:val="32"/>
          <w:szCs w:val="32"/>
          <w:highlight w:val="none"/>
        </w:rPr>
        <w:t>%。主要变动原因是</w:t>
      </w:r>
      <w:r>
        <w:rPr>
          <w:rFonts w:hint="eastAsia" w:eastAsia="仿宋_GB2312"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保险变动、人员增加、项目增加。</w:t>
      </w:r>
      <w:bookmarkEnd w:id="27"/>
    </w:p>
    <w:p w14:paraId="53F3A127">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420" w:firstLineChars="200"/>
        <w:textAlignment w:val="auto"/>
        <w:outlineLvl w:val="1"/>
        <w:rPr>
          <w:rFonts w:hint="default" w:ascii="Times New Roman" w:hAnsi="Times New Roman" w:eastAsia="黑体" w:cs="Times New Roman"/>
          <w:color w:val="auto"/>
          <w:sz w:val="32"/>
          <w:szCs w:val="32"/>
          <w:highlight w:val="none"/>
          <w:lang w:eastAsia="zh-CN"/>
        </w:rPr>
      </w:pPr>
      <w:bookmarkStart w:id="28" w:name="_Toc7243"/>
      <w:bookmarkStart w:id="29" w:name="_Toc15377206"/>
      <w:bookmarkStart w:id="30" w:name="_Toc15396604"/>
      <w:bookmarkStart w:id="31" w:name="_Toc26870"/>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1332230</wp:posOffset>
            </wp:positionH>
            <wp:positionV relativeFrom="paragraph">
              <wp:posOffset>72390</wp:posOffset>
            </wp:positionV>
            <wp:extent cx="2847975" cy="1939925"/>
            <wp:effectExtent l="4445" t="4445" r="12700" b="6350"/>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End w:id="28"/>
      <w:r>
        <w:rPr>
          <w:rFonts w:hint="default" w:ascii="Times New Roman" w:hAnsi="Times New Roman" w:eastAsia="黑体" w:cs="Times New Roman"/>
          <w:color w:val="auto"/>
          <w:sz w:val="32"/>
          <w:szCs w:val="32"/>
          <w:highlight w:val="none"/>
          <w:lang w:eastAsia="zh-CN"/>
        </w:rPr>
        <w:t>二、收入决算情况说明</w:t>
      </w:r>
      <w:bookmarkEnd w:id="29"/>
      <w:bookmarkEnd w:id="30"/>
      <w:bookmarkEnd w:id="31"/>
    </w:p>
    <w:p w14:paraId="50AC4775">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default" w:ascii="Times New Roman" w:hAnsi="Times New Roman" w:eastAsia="仿宋_GB2312" w:cs="Times New Roman"/>
          <w:color w:val="auto"/>
          <w:sz w:val="32"/>
          <w:szCs w:val="32"/>
          <w:highlight w:val="none"/>
          <w:lang w:eastAsia="zh-CN"/>
        </w:rPr>
      </w:pPr>
      <w:bookmarkStart w:id="32" w:name="_Toc25317"/>
      <w:r>
        <w:rPr>
          <w:rFonts w:hint="default" w:ascii="Times New Roman" w:hAnsi="Times New Roman" w:eastAsia="仿宋_GB2312" w:cs="Times New Roman"/>
          <w:color w:val="auto"/>
          <w:sz w:val="32"/>
          <w:szCs w:val="32"/>
          <w:highlight w:val="none"/>
          <w:lang w:eastAsia="zh-CN"/>
        </w:rPr>
        <w:t>2025年度本年收入合计</w:t>
      </w:r>
      <w:r>
        <w:rPr>
          <w:rFonts w:hint="default" w:ascii="Times New Roman" w:hAnsi="Times New Roman" w:eastAsia="仿宋_GB2312" w:cs="Times New Roman"/>
          <w:color w:val="auto"/>
          <w:sz w:val="32"/>
          <w:szCs w:val="32"/>
          <w:highlight w:val="none"/>
          <w:lang w:val="en-US" w:eastAsia="zh-CN"/>
        </w:rPr>
        <w:t>607.66</w:t>
      </w:r>
      <w:r>
        <w:rPr>
          <w:rFonts w:hint="default" w:ascii="Times New Roman" w:hAnsi="Times New Roman" w:eastAsia="仿宋_GB2312" w:cs="Times New Roman"/>
          <w:color w:val="auto"/>
          <w:sz w:val="32"/>
          <w:szCs w:val="32"/>
          <w:highlight w:val="none"/>
          <w:lang w:eastAsia="zh-CN"/>
        </w:rPr>
        <w:t>万元，其中：一般公共预算财政拨款收入</w:t>
      </w:r>
      <w:r>
        <w:rPr>
          <w:rFonts w:hint="default" w:ascii="Times New Roman" w:hAnsi="Times New Roman" w:eastAsia="仿宋_GB2312" w:cs="Times New Roman"/>
          <w:color w:val="auto"/>
          <w:sz w:val="32"/>
          <w:szCs w:val="32"/>
          <w:highlight w:val="none"/>
          <w:lang w:val="en-US" w:eastAsia="zh-CN"/>
        </w:rPr>
        <w:t>601.37</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color w:val="auto"/>
          <w:sz w:val="32"/>
          <w:szCs w:val="32"/>
          <w:highlight w:val="none"/>
          <w:lang w:val="en-US" w:eastAsia="zh-CN"/>
        </w:rPr>
        <w:t>98.96</w:t>
      </w:r>
      <w:r>
        <w:rPr>
          <w:rFonts w:hint="default" w:ascii="Times New Roman" w:hAnsi="Times New Roman" w:eastAsia="仿宋_GB2312" w:cs="Times New Roman"/>
          <w:color w:val="auto"/>
          <w:sz w:val="32"/>
          <w:szCs w:val="32"/>
          <w:highlight w:val="none"/>
          <w:lang w:eastAsia="zh-CN"/>
        </w:rPr>
        <w:t>%；其他收入</w:t>
      </w:r>
      <w:r>
        <w:rPr>
          <w:rFonts w:hint="default" w:ascii="Times New Roman" w:hAnsi="Times New Roman" w:eastAsia="仿宋_GB2312" w:cs="Times New Roman"/>
          <w:color w:val="auto"/>
          <w:sz w:val="32"/>
          <w:szCs w:val="32"/>
          <w:highlight w:val="none"/>
          <w:lang w:val="en-US" w:eastAsia="zh-CN"/>
        </w:rPr>
        <w:t>6.29</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color w:val="auto"/>
          <w:sz w:val="32"/>
          <w:szCs w:val="32"/>
          <w:highlight w:val="none"/>
          <w:lang w:val="en-US" w:eastAsia="zh-CN"/>
        </w:rPr>
        <w:t>1.04</w:t>
      </w:r>
      <w:r>
        <w:rPr>
          <w:rFonts w:hint="default" w:ascii="Times New Roman" w:hAnsi="Times New Roman" w:eastAsia="仿宋_GB2312" w:cs="Times New Roman"/>
          <w:color w:val="auto"/>
          <w:sz w:val="32"/>
          <w:szCs w:val="32"/>
          <w:highlight w:val="none"/>
          <w:lang w:eastAsia="zh-CN"/>
        </w:rPr>
        <w:t>%。</w:t>
      </w:r>
      <w:bookmarkEnd w:id="32"/>
    </w:p>
    <w:p w14:paraId="531A69D3">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420" w:firstLineChars="200"/>
        <w:textAlignment w:val="auto"/>
        <w:outlineLvl w:val="1"/>
        <w:rPr>
          <w:rStyle w:val="30"/>
          <w:rFonts w:hint="default" w:ascii="Times New Roman" w:hAnsi="Times New Roman" w:eastAsia="黑体" w:cs="Times New Roman"/>
          <w:b w:val="0"/>
          <w:color w:val="auto"/>
          <w:highlight w:val="none"/>
        </w:rPr>
      </w:pPr>
      <w:bookmarkStart w:id="33" w:name="_Toc24183"/>
      <w:bookmarkStart w:id="34" w:name="_Toc21525"/>
      <w:bookmarkStart w:id="35" w:name="_Toc15377207"/>
      <w:bookmarkStart w:id="36" w:name="_Toc15396605"/>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1369060</wp:posOffset>
            </wp:positionH>
            <wp:positionV relativeFrom="paragraph">
              <wp:posOffset>80010</wp:posOffset>
            </wp:positionV>
            <wp:extent cx="2597785" cy="1811020"/>
            <wp:effectExtent l="4445" t="4445" r="19050" b="13335"/>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End w:id="33"/>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支</w:t>
      </w:r>
      <w:r>
        <w:rPr>
          <w:rStyle w:val="30"/>
          <w:rFonts w:hint="default" w:ascii="Times New Roman" w:hAnsi="Times New Roman" w:eastAsia="黑体" w:cs="Times New Roman"/>
          <w:b w:val="0"/>
          <w:color w:val="auto"/>
          <w:highlight w:val="none"/>
        </w:rPr>
        <w:t>出决算情况说明</w:t>
      </w:r>
      <w:bookmarkEnd w:id="34"/>
      <w:bookmarkEnd w:id="35"/>
      <w:bookmarkEnd w:id="36"/>
    </w:p>
    <w:p w14:paraId="431829EF">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outlineLvl w:val="1"/>
        <w:rPr>
          <w:rFonts w:hint="default" w:ascii="Times New Roman" w:hAnsi="Times New Roman" w:eastAsia="仿宋_GB2312" w:cs="Times New Roman"/>
          <w:color w:val="auto"/>
          <w:sz w:val="32"/>
          <w:szCs w:val="32"/>
          <w:highlight w:val="none"/>
          <w:lang w:eastAsia="zh-CN"/>
        </w:rPr>
      </w:pPr>
      <w:bookmarkStart w:id="37" w:name="_Toc3308"/>
      <w:r>
        <w:rPr>
          <w:rFonts w:hint="default" w:ascii="Times New Roman" w:hAnsi="Times New Roman" w:eastAsia="仿宋_GB2312" w:cs="Times New Roman"/>
          <w:color w:val="auto"/>
          <w:sz w:val="32"/>
          <w:szCs w:val="32"/>
          <w:highlight w:val="none"/>
          <w:lang w:eastAsia="zh-CN"/>
        </w:rPr>
        <w:t>2025年度本年支出合计</w:t>
      </w:r>
      <w:r>
        <w:rPr>
          <w:rFonts w:hint="default" w:ascii="Times New Roman" w:hAnsi="Times New Roman" w:eastAsia="仿宋_GB2312" w:cs="Times New Roman"/>
          <w:color w:val="auto"/>
          <w:sz w:val="32"/>
          <w:szCs w:val="32"/>
          <w:highlight w:val="none"/>
          <w:lang w:val="en-US" w:eastAsia="zh-CN"/>
        </w:rPr>
        <w:t>607.66</w:t>
      </w:r>
      <w:r>
        <w:rPr>
          <w:rFonts w:hint="default" w:ascii="Times New Roman" w:hAnsi="Times New Roman" w:eastAsia="仿宋_GB2312" w:cs="Times New Roman"/>
          <w:color w:val="auto"/>
          <w:sz w:val="32"/>
          <w:szCs w:val="32"/>
          <w:highlight w:val="none"/>
          <w:lang w:eastAsia="zh-CN"/>
        </w:rPr>
        <w:t>万元，其中：基本支出</w:t>
      </w:r>
      <w:r>
        <w:rPr>
          <w:rFonts w:hint="default" w:ascii="Times New Roman" w:hAnsi="Times New Roman" w:eastAsia="仿宋_GB2312" w:cs="Times New Roman"/>
          <w:color w:val="auto"/>
          <w:sz w:val="32"/>
          <w:szCs w:val="32"/>
          <w:highlight w:val="none"/>
          <w:lang w:val="en-US" w:eastAsia="zh-CN"/>
        </w:rPr>
        <w:t>415.03</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color w:val="auto"/>
          <w:sz w:val="32"/>
          <w:szCs w:val="32"/>
          <w:highlight w:val="none"/>
          <w:lang w:val="en-US" w:eastAsia="zh-CN"/>
        </w:rPr>
        <w:t>68.3</w:t>
      </w:r>
      <w:r>
        <w:rPr>
          <w:rFonts w:hint="default" w:ascii="Times New Roman" w:hAnsi="Times New Roman" w:eastAsia="仿宋_GB2312" w:cs="Times New Roman"/>
          <w:color w:val="auto"/>
          <w:sz w:val="32"/>
          <w:szCs w:val="32"/>
          <w:highlight w:val="none"/>
          <w:lang w:eastAsia="zh-CN"/>
        </w:rPr>
        <w:t>%；项目支出</w:t>
      </w:r>
      <w:r>
        <w:rPr>
          <w:rFonts w:hint="default" w:ascii="Times New Roman" w:hAnsi="Times New Roman" w:eastAsia="仿宋_GB2312" w:cs="Times New Roman"/>
          <w:color w:val="auto"/>
          <w:sz w:val="32"/>
          <w:szCs w:val="32"/>
          <w:highlight w:val="none"/>
          <w:lang w:val="en-US" w:eastAsia="zh-CN"/>
        </w:rPr>
        <w:t>192.63</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color w:val="auto"/>
          <w:sz w:val="32"/>
          <w:szCs w:val="32"/>
          <w:highlight w:val="none"/>
          <w:lang w:val="en-US" w:eastAsia="zh-CN"/>
        </w:rPr>
        <w:t>31.7</w:t>
      </w:r>
      <w:r>
        <w:rPr>
          <w:rFonts w:hint="default" w:ascii="Times New Roman" w:hAnsi="Times New Roman" w:eastAsia="仿宋_GB2312" w:cs="Times New Roman"/>
          <w:color w:val="auto"/>
          <w:sz w:val="32"/>
          <w:szCs w:val="32"/>
          <w:highlight w:val="none"/>
          <w:lang w:eastAsia="zh-CN"/>
        </w:rPr>
        <w:t>%。</w:t>
      </w:r>
      <w:bookmarkEnd w:id="37"/>
    </w:p>
    <w:p w14:paraId="30FEFD6D">
      <w:pPr>
        <w:pageBreakBefore w:val="0"/>
        <w:kinsoku/>
        <w:wordWrap/>
        <w:overflowPunct/>
        <w:topLinePunct w:val="0"/>
        <w:bidi w:val="0"/>
        <w:spacing w:line="576" w:lineRule="exact"/>
        <w:ind w:firstLine="630" w:firstLineChars="300"/>
        <w:textAlignment w:val="auto"/>
        <w:outlineLvl w:val="1"/>
        <w:rPr>
          <w:rStyle w:val="30"/>
          <w:rFonts w:hint="default" w:ascii="Times New Roman" w:hAnsi="Times New Roman" w:eastAsia="黑体" w:cs="Times New Roman"/>
          <w:b w:val="0"/>
          <w:color w:val="auto"/>
          <w:highlight w:val="none"/>
        </w:rPr>
      </w:pPr>
      <w:bookmarkStart w:id="38" w:name="_Toc23874"/>
      <w:bookmarkStart w:id="39" w:name="_Toc25564"/>
      <w:bookmarkStart w:id="40" w:name="_Toc15396606"/>
      <w:bookmarkStart w:id="41" w:name="_Toc15377208"/>
      <w:r>
        <w:rPr>
          <w:rFonts w:hint="default" w:ascii="Times New Roman" w:hAnsi="Times New Roman" w:cs="Times New Roman"/>
        </w:rPr>
        <w:drawing>
          <wp:anchor distT="0" distB="0" distL="114300" distR="114300" simplePos="0" relativeHeight="251661312" behindDoc="0" locked="0" layoutInCell="1" allowOverlap="1">
            <wp:simplePos x="0" y="0"/>
            <wp:positionH relativeFrom="column">
              <wp:posOffset>1343025</wp:posOffset>
            </wp:positionH>
            <wp:positionV relativeFrom="page">
              <wp:posOffset>415290</wp:posOffset>
            </wp:positionV>
            <wp:extent cx="2759075" cy="2073910"/>
            <wp:effectExtent l="4445" t="4445" r="10160" b="9525"/>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End w:id="38"/>
      <w:r>
        <w:rPr>
          <w:rFonts w:hint="default" w:ascii="Times New Roman" w:hAnsi="Times New Roman" w:eastAsia="黑体" w:cs="Times New Roman"/>
          <w:color w:val="auto"/>
          <w:sz w:val="32"/>
          <w:szCs w:val="32"/>
          <w:highlight w:val="none"/>
        </w:rPr>
        <w:t>四、财</w:t>
      </w:r>
      <w:r>
        <w:rPr>
          <w:rStyle w:val="30"/>
          <w:rFonts w:hint="default" w:ascii="Times New Roman" w:hAnsi="Times New Roman" w:eastAsia="黑体" w:cs="Times New Roman"/>
          <w:b w:val="0"/>
          <w:color w:val="auto"/>
          <w:highlight w:val="none"/>
        </w:rPr>
        <w:t>政拨款收入支出决算总体情况说明</w:t>
      </w:r>
      <w:bookmarkEnd w:id="39"/>
      <w:bookmarkEnd w:id="40"/>
      <w:bookmarkEnd w:id="41"/>
    </w:p>
    <w:p w14:paraId="45B46F6A">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2025年度财政拨款收入、支出总计均为601.37万元。与上年度相比，财政拨款收入、支出总计各增加103.59万元，增长20.81%。主要变动原因是</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 w:cs="Times New Roman"/>
          <w:color w:val="auto"/>
          <w:sz w:val="32"/>
          <w:szCs w:val="32"/>
          <w:highlight w:val="none"/>
          <w:lang w:val="en-US" w:eastAsia="zh-CN"/>
        </w:rPr>
        <w:t>保险变动、人员增加、项目增加。</w:t>
      </w:r>
    </w:p>
    <w:p w14:paraId="4A4B6F77">
      <w:pPr>
        <w:pageBreakBefore w:val="0"/>
        <w:kinsoku/>
        <w:wordWrap/>
        <w:overflowPunct/>
        <w:topLinePunct w:val="0"/>
        <w:bidi w:val="0"/>
        <w:spacing w:line="576" w:lineRule="exact"/>
        <w:ind w:firstLine="630" w:firstLineChars="300"/>
        <w:textAlignment w:val="auto"/>
        <w:outlineLvl w:val="1"/>
        <w:rPr>
          <w:rStyle w:val="30"/>
          <w:rFonts w:hint="default" w:ascii="Times New Roman" w:hAnsi="Times New Roman" w:eastAsia="黑体" w:cs="Times New Roman"/>
          <w:b w:val="0"/>
          <w:color w:val="auto"/>
          <w:highlight w:val="none"/>
        </w:rPr>
      </w:pPr>
      <w:bookmarkStart w:id="42" w:name="_Toc15396607"/>
      <w:bookmarkStart w:id="43" w:name="_Toc15377209"/>
      <w:bookmarkStart w:id="44" w:name="_Toc28844"/>
      <w:r>
        <w:rPr>
          <w:rFonts w:hint="default" w:ascii="Times New Roman" w:hAnsi="Times New Roman" w:cs="Times New Roman"/>
        </w:rPr>
        <w:drawing>
          <wp:anchor distT="0" distB="0" distL="114300" distR="114300" simplePos="0" relativeHeight="251662336" behindDoc="0" locked="0" layoutInCell="1" allowOverlap="1">
            <wp:simplePos x="0" y="0"/>
            <wp:positionH relativeFrom="column">
              <wp:posOffset>1346835</wp:posOffset>
            </wp:positionH>
            <wp:positionV relativeFrom="paragraph">
              <wp:posOffset>40005</wp:posOffset>
            </wp:positionV>
            <wp:extent cx="2790190" cy="2082800"/>
            <wp:effectExtent l="4445" t="4445" r="9525" b="15875"/>
            <wp:wrapTopAndBottom/>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30"/>
          <w:rFonts w:hint="default" w:ascii="Times New Roman" w:hAnsi="Times New Roman" w:eastAsia="黑体" w:cs="Times New Roman"/>
          <w:b w:val="0"/>
          <w:color w:val="auto"/>
          <w:highlight w:val="none"/>
        </w:rPr>
        <w:t>般公共预算财政拨款支出决算情况说明</w:t>
      </w:r>
      <w:bookmarkEnd w:id="42"/>
      <w:bookmarkEnd w:id="43"/>
      <w:bookmarkEnd w:id="44"/>
    </w:p>
    <w:p w14:paraId="73B1B62C">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45" w:name="_Toc15377210"/>
      <w:r>
        <w:rPr>
          <w:rFonts w:hint="default" w:ascii="Times New Roman" w:hAnsi="Times New Roman" w:eastAsia="楷体_GB2312" w:cs="Times New Roman"/>
          <w:b/>
          <w:color w:val="auto"/>
          <w:sz w:val="32"/>
          <w:szCs w:val="32"/>
          <w:highlight w:val="none"/>
        </w:rPr>
        <w:t>（一）一般公共预算财政拨款支出决算总体情况</w:t>
      </w:r>
      <w:bookmarkEnd w:id="45"/>
    </w:p>
    <w:p w14:paraId="59EE287F">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rPr>
        <w:drawing>
          <wp:anchor distT="0" distB="0" distL="114300" distR="114300" simplePos="0" relativeHeight="251663360" behindDoc="0" locked="0" layoutInCell="1" allowOverlap="1">
            <wp:simplePos x="0" y="0"/>
            <wp:positionH relativeFrom="column">
              <wp:posOffset>1289685</wp:posOffset>
            </wp:positionH>
            <wp:positionV relativeFrom="paragraph">
              <wp:posOffset>1517650</wp:posOffset>
            </wp:positionV>
            <wp:extent cx="2668270" cy="1837055"/>
            <wp:effectExtent l="5080" t="4445" r="8890" b="17780"/>
            <wp:wrapTopAndBottom/>
            <wp:docPr id="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default" w:ascii="Times New Roman" w:hAnsi="Times New Roman" w:eastAsia="仿宋_GB2312" w:cs="Times New Roman"/>
          <w:color w:val="auto"/>
          <w:kern w:val="2"/>
          <w:sz w:val="32"/>
          <w:szCs w:val="32"/>
          <w:highlight w:val="none"/>
          <w:lang w:val="en-US" w:eastAsia="zh-CN" w:bidi="ar-SA"/>
        </w:rPr>
        <w:t>2025年度一般公共预算财政拨款支出601.37万元，占本年支出合计的98.96%。与上年度相比，一般公共预算财政拨款支出增加103.59万元，增长20.81%。主要变动原因是</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 w:cs="Times New Roman"/>
          <w:color w:val="auto"/>
          <w:sz w:val="32"/>
          <w:szCs w:val="32"/>
          <w:highlight w:val="none"/>
          <w:lang w:val="en-US" w:eastAsia="zh-CN"/>
        </w:rPr>
        <w:t>保险变动、人员增加、项目增加。</w:t>
      </w:r>
    </w:p>
    <w:p w14:paraId="4E3793E1">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46" w:name="_Toc15377211"/>
      <w:r>
        <w:rPr>
          <w:rFonts w:hint="default" w:ascii="Times New Roman" w:hAnsi="Times New Roman" w:eastAsia="楷体_GB2312" w:cs="Times New Roman"/>
          <w:b/>
          <w:color w:val="auto"/>
          <w:sz w:val="32"/>
          <w:szCs w:val="32"/>
          <w:highlight w:val="none"/>
        </w:rPr>
        <w:t>（二）一般公共预算财政拨款支出决算结构情况</w:t>
      </w:r>
      <w:bookmarkEnd w:id="46"/>
    </w:p>
    <w:p w14:paraId="1A84FD0B">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rPr>
        <w:drawing>
          <wp:anchor distT="0" distB="0" distL="114300" distR="114300" simplePos="0" relativeHeight="251664384" behindDoc="0" locked="0" layoutInCell="1" allowOverlap="1">
            <wp:simplePos x="0" y="0"/>
            <wp:positionH relativeFrom="column">
              <wp:posOffset>1332865</wp:posOffset>
            </wp:positionH>
            <wp:positionV relativeFrom="paragraph">
              <wp:posOffset>1956435</wp:posOffset>
            </wp:positionV>
            <wp:extent cx="2969260" cy="2103755"/>
            <wp:effectExtent l="4445" t="4445" r="13335" b="10160"/>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default" w:ascii="Times New Roman" w:hAnsi="Times New Roman" w:eastAsia="仿宋_GB2312" w:cs="Times New Roman"/>
          <w:color w:val="auto"/>
          <w:kern w:val="2"/>
          <w:sz w:val="32"/>
          <w:szCs w:val="32"/>
          <w:highlight w:val="none"/>
          <w:lang w:val="en-US" w:eastAsia="zh-CN" w:bidi="ar-SA"/>
        </w:rPr>
        <w:t>2025年度一般公共预算财政拨款支出601.37万元，主要用于以下方面：</w:t>
      </w:r>
      <w:r>
        <w:rPr>
          <w:rFonts w:hint="default" w:ascii="Times New Roman" w:hAnsi="Times New Roman" w:eastAsia="仿宋" w:cs="Times New Roman"/>
          <w:b/>
          <w:color w:val="auto"/>
          <w:sz w:val="32"/>
          <w:szCs w:val="32"/>
          <w:highlight w:val="none"/>
          <w:lang w:eastAsia="zh-CN"/>
        </w:rPr>
        <w:t>公共安全</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480.01</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79.82</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lang w:eastAsia="zh-CN"/>
        </w:rPr>
        <w:t>农林水</w:t>
      </w:r>
      <w:r>
        <w:rPr>
          <w:rFonts w:hint="default" w:ascii="Times New Roman" w:hAnsi="Times New Roman" w:eastAsia="仿宋" w:cs="Times New Roman"/>
          <w:b/>
          <w:color w:val="auto"/>
          <w:sz w:val="32"/>
          <w:szCs w:val="32"/>
          <w:highlight w:val="none"/>
        </w:rPr>
        <w:t>支出</w:t>
      </w:r>
      <w:r>
        <w:rPr>
          <w:rFonts w:hint="default" w:ascii="Times New Roman" w:hAnsi="Times New Roman" w:eastAsia="仿宋" w:cs="Times New Roman"/>
          <w:color w:val="auto"/>
          <w:sz w:val="32"/>
          <w:szCs w:val="32"/>
          <w:highlight w:val="none"/>
        </w:rPr>
        <w:t>20万元，占</w:t>
      </w:r>
      <w:r>
        <w:rPr>
          <w:rFonts w:hint="default" w:ascii="Times New Roman" w:hAnsi="Times New Roman" w:eastAsia="仿宋" w:cs="Times New Roman"/>
          <w:color w:val="auto"/>
          <w:sz w:val="32"/>
          <w:szCs w:val="32"/>
          <w:highlight w:val="none"/>
          <w:lang w:val="en-US" w:eastAsia="zh-CN"/>
        </w:rPr>
        <w:t>3.32</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rPr>
        <w:t>社会保障和就业</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50.54</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8.4</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卫生健康支出</w:t>
      </w:r>
      <w:r>
        <w:rPr>
          <w:rFonts w:hint="default" w:ascii="Times New Roman" w:hAnsi="Times New Roman" w:eastAsia="仿宋" w:cs="Times New Roman"/>
          <w:color w:val="auto"/>
          <w:sz w:val="32"/>
          <w:szCs w:val="32"/>
          <w:highlight w:val="none"/>
          <w:lang w:val="en-US" w:eastAsia="zh-CN"/>
        </w:rPr>
        <w:t>21.29</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3.54</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住房保障支出</w:t>
      </w:r>
      <w:r>
        <w:rPr>
          <w:rFonts w:hint="default" w:ascii="Times New Roman" w:hAnsi="Times New Roman" w:eastAsia="仿宋" w:cs="Times New Roman"/>
          <w:color w:val="auto"/>
          <w:sz w:val="32"/>
          <w:szCs w:val="32"/>
          <w:highlight w:val="none"/>
          <w:lang w:val="en-US" w:eastAsia="zh-CN"/>
        </w:rPr>
        <w:t>29.53</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4.92</w:t>
      </w:r>
      <w:r>
        <w:rPr>
          <w:rFonts w:hint="default" w:ascii="Times New Roman" w:hAnsi="Times New Roman" w:eastAsia="仿宋" w:cs="Times New Roman"/>
          <w:color w:val="auto"/>
          <w:sz w:val="32"/>
          <w:szCs w:val="32"/>
          <w:highlight w:val="none"/>
        </w:rPr>
        <w:t>%。</w:t>
      </w:r>
    </w:p>
    <w:p w14:paraId="45C0EF98">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47" w:name="_Toc15377212"/>
      <w:r>
        <w:rPr>
          <w:rFonts w:hint="default" w:ascii="Times New Roman" w:hAnsi="Times New Roman" w:eastAsia="楷体_GB2312" w:cs="Times New Roman"/>
          <w:b/>
          <w:color w:val="auto"/>
          <w:sz w:val="32"/>
          <w:szCs w:val="32"/>
          <w:highlight w:val="none"/>
        </w:rPr>
        <w:t>（三）一般公共预算财政拨款支出决算具体情况</w:t>
      </w:r>
      <w:bookmarkEnd w:id="47"/>
    </w:p>
    <w:p w14:paraId="33468AB1">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bookmarkStart w:id="48" w:name="_Toc15378460"/>
      <w:bookmarkStart w:id="49" w:name="_Toc15377213"/>
      <w:bookmarkStart w:id="50" w:name="_Toc15377444"/>
      <w:r>
        <w:rPr>
          <w:rFonts w:hint="default" w:ascii="Times New Roman" w:hAnsi="Times New Roman" w:eastAsia="仿宋_GB2312" w:cs="Times New Roman"/>
          <w:color w:val="auto"/>
          <w:kern w:val="2"/>
          <w:sz w:val="32"/>
          <w:szCs w:val="32"/>
          <w:highlight w:val="none"/>
          <w:lang w:val="en-US" w:eastAsia="zh-CN" w:bidi="ar-SA"/>
        </w:rPr>
        <w:t>2025年度一般公共预算支出决算数为601.37</w:t>
      </w:r>
      <w:r>
        <w:rPr>
          <w:rFonts w:hint="eastAsia" w:eastAsia="仿宋_GB2312" w:cs="Times New Roman"/>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，完成预算100%。其中：</w:t>
      </w:r>
      <w:bookmarkEnd w:id="48"/>
      <w:bookmarkEnd w:id="49"/>
      <w:bookmarkEnd w:id="50"/>
    </w:p>
    <w:p w14:paraId="7AEDE8D3">
      <w:pPr>
        <w:pageBreakBefore w:val="0"/>
        <w:widowControl w:val="0"/>
        <w:suppressAutoHyphens/>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000000"/>
          <w:sz w:val="32"/>
          <w:szCs w:val="32"/>
        </w:rPr>
        <w:t>1.公共安全支出（</w:t>
      </w:r>
      <w:r>
        <w:rPr>
          <w:rFonts w:hint="eastAsia" w:eastAsia="仿宋_GB2312" w:cs="Times New Roman"/>
          <w:b/>
          <w:bCs/>
          <w:color w:val="000000"/>
          <w:sz w:val="32"/>
          <w:szCs w:val="32"/>
          <w:lang w:eastAsia="zh-CN"/>
        </w:rPr>
        <w:t>类</w:t>
      </w:r>
      <w:r>
        <w:rPr>
          <w:rFonts w:hint="default" w:ascii="Times New Roman" w:hAnsi="Times New Roman" w:eastAsia="仿宋_GB2312" w:cs="Times New Roman"/>
          <w:b/>
          <w:bCs/>
          <w:color w:val="000000"/>
          <w:sz w:val="32"/>
          <w:szCs w:val="32"/>
        </w:rPr>
        <w:t>）公安（</w:t>
      </w:r>
      <w:r>
        <w:rPr>
          <w:rFonts w:hint="eastAsia" w:eastAsia="仿宋_GB2312" w:cs="Times New Roman"/>
          <w:b/>
          <w:bCs/>
          <w:color w:val="000000"/>
          <w:sz w:val="32"/>
          <w:szCs w:val="32"/>
          <w:lang w:eastAsia="zh-CN"/>
        </w:rPr>
        <w:t>款</w:t>
      </w:r>
      <w:r>
        <w:rPr>
          <w:rFonts w:hint="default" w:ascii="Times New Roman" w:hAnsi="Times New Roman" w:eastAsia="仿宋_GB2312" w:cs="Times New Roman"/>
          <w:b/>
          <w:bCs/>
          <w:color w:val="000000"/>
          <w:sz w:val="32"/>
          <w:szCs w:val="32"/>
        </w:rPr>
        <w:t>）行政运行（</w:t>
      </w:r>
      <w:r>
        <w:rPr>
          <w:rFonts w:hint="eastAsia" w:eastAsia="仿宋_GB2312" w:cs="Times New Roman"/>
          <w:b/>
          <w:bCs/>
          <w:color w:val="000000"/>
          <w:sz w:val="32"/>
          <w:szCs w:val="32"/>
          <w:lang w:eastAsia="zh-CN"/>
        </w:rPr>
        <w:t>项</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color w:val="000000"/>
          <w:sz w:val="32"/>
          <w:szCs w:val="32"/>
        </w:rPr>
        <w:t>支出决算</w:t>
      </w:r>
      <w:r>
        <w:rPr>
          <w:rFonts w:hint="default" w:ascii="Times New Roman" w:hAnsi="Times New Roman" w:eastAsia="仿宋_GB2312" w:cs="Times New Roman"/>
          <w:color w:val="000000"/>
          <w:sz w:val="32"/>
          <w:szCs w:val="32"/>
          <w:lang w:val="en-US" w:eastAsia="zh-CN"/>
        </w:rPr>
        <w:t>250.28</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决算数与预算数持平</w:t>
      </w:r>
      <w:r>
        <w:rPr>
          <w:rFonts w:hint="default" w:ascii="Times New Roman" w:hAnsi="Times New Roman" w:eastAsia="仿宋_GB2312" w:cs="Times New Roman"/>
          <w:color w:val="000000"/>
          <w:sz w:val="32"/>
          <w:szCs w:val="32"/>
        </w:rPr>
        <w:t>。</w:t>
      </w:r>
    </w:p>
    <w:p w14:paraId="17E0D5B0">
      <w:pPr>
        <w:pageBreakBefore w:val="0"/>
        <w:widowControl w:val="0"/>
        <w:suppressAutoHyphens/>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000000"/>
          <w:sz w:val="32"/>
          <w:szCs w:val="32"/>
        </w:rPr>
        <w:t>2.公共安全支出（</w:t>
      </w:r>
      <w:r>
        <w:rPr>
          <w:rFonts w:hint="eastAsia" w:eastAsia="仿宋_GB2312" w:cs="Times New Roman"/>
          <w:b/>
          <w:bCs/>
          <w:color w:val="000000"/>
          <w:sz w:val="32"/>
          <w:szCs w:val="32"/>
          <w:lang w:eastAsia="zh-CN"/>
        </w:rPr>
        <w:t>类</w:t>
      </w:r>
      <w:r>
        <w:rPr>
          <w:rFonts w:hint="default" w:ascii="Times New Roman" w:hAnsi="Times New Roman" w:eastAsia="仿宋_GB2312" w:cs="Times New Roman"/>
          <w:b/>
          <w:bCs/>
          <w:color w:val="000000"/>
          <w:sz w:val="32"/>
          <w:szCs w:val="32"/>
        </w:rPr>
        <w:t>）公安（</w:t>
      </w:r>
      <w:r>
        <w:rPr>
          <w:rFonts w:hint="eastAsia" w:eastAsia="仿宋_GB2312" w:cs="Times New Roman"/>
          <w:b/>
          <w:bCs/>
          <w:color w:val="000000"/>
          <w:sz w:val="32"/>
          <w:szCs w:val="32"/>
          <w:lang w:eastAsia="zh-CN"/>
        </w:rPr>
        <w:t>款</w:t>
      </w:r>
      <w:r>
        <w:rPr>
          <w:rFonts w:hint="default" w:ascii="Times New Roman" w:hAnsi="Times New Roman" w:eastAsia="仿宋_GB2312" w:cs="Times New Roman"/>
          <w:b/>
          <w:bCs/>
          <w:color w:val="000000"/>
          <w:sz w:val="32"/>
          <w:szCs w:val="32"/>
        </w:rPr>
        <w:t>）一般行政管理事务（</w:t>
      </w:r>
      <w:r>
        <w:rPr>
          <w:rFonts w:hint="eastAsia" w:eastAsia="仿宋_GB2312" w:cs="Times New Roman"/>
          <w:b/>
          <w:bCs/>
          <w:color w:val="000000"/>
          <w:sz w:val="32"/>
          <w:szCs w:val="32"/>
          <w:lang w:eastAsia="zh-CN"/>
        </w:rPr>
        <w:t>项</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color w:val="000000"/>
          <w:sz w:val="32"/>
          <w:szCs w:val="32"/>
        </w:rPr>
        <w:t>支出决算</w:t>
      </w:r>
      <w:r>
        <w:rPr>
          <w:rFonts w:hint="default" w:ascii="Times New Roman" w:hAnsi="Times New Roman" w:eastAsia="仿宋_GB2312" w:cs="Times New Roman"/>
          <w:color w:val="000000"/>
          <w:sz w:val="32"/>
          <w:szCs w:val="32"/>
          <w:lang w:val="en-US" w:eastAsia="zh-CN"/>
        </w:rPr>
        <w:t>172.63</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决算数与预算数持平</w:t>
      </w:r>
      <w:r>
        <w:rPr>
          <w:rFonts w:hint="default" w:ascii="Times New Roman" w:hAnsi="Times New Roman" w:eastAsia="仿宋_GB2312" w:cs="Times New Roman"/>
          <w:color w:val="000000"/>
          <w:sz w:val="32"/>
          <w:szCs w:val="32"/>
        </w:rPr>
        <w:t>。</w:t>
      </w:r>
    </w:p>
    <w:p w14:paraId="76A6B8AB">
      <w:pPr>
        <w:pageBreakBefore w:val="0"/>
        <w:widowControl w:val="0"/>
        <w:suppressAutoHyphens/>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000000"/>
          <w:sz w:val="32"/>
          <w:szCs w:val="32"/>
        </w:rPr>
        <w:t>3.公共安全支出（</w:t>
      </w:r>
      <w:r>
        <w:rPr>
          <w:rFonts w:hint="eastAsia" w:eastAsia="仿宋_GB2312" w:cs="Times New Roman"/>
          <w:b/>
          <w:bCs/>
          <w:color w:val="000000"/>
          <w:sz w:val="32"/>
          <w:szCs w:val="32"/>
          <w:lang w:eastAsia="zh-CN"/>
        </w:rPr>
        <w:t>类</w:t>
      </w:r>
      <w:r>
        <w:rPr>
          <w:rFonts w:hint="default" w:ascii="Times New Roman" w:hAnsi="Times New Roman" w:eastAsia="仿宋_GB2312" w:cs="Times New Roman"/>
          <w:b/>
          <w:bCs/>
          <w:color w:val="000000"/>
          <w:sz w:val="32"/>
          <w:szCs w:val="32"/>
        </w:rPr>
        <w:t>）公安（</w:t>
      </w:r>
      <w:r>
        <w:rPr>
          <w:rFonts w:hint="eastAsia" w:eastAsia="仿宋_GB2312" w:cs="Times New Roman"/>
          <w:b/>
          <w:bCs/>
          <w:color w:val="000000"/>
          <w:sz w:val="32"/>
          <w:szCs w:val="32"/>
          <w:lang w:eastAsia="zh-CN"/>
        </w:rPr>
        <w:t>款</w:t>
      </w:r>
      <w:r>
        <w:rPr>
          <w:rFonts w:hint="default" w:ascii="Times New Roman" w:hAnsi="Times New Roman" w:eastAsia="仿宋_GB2312" w:cs="Times New Roman"/>
          <w:b/>
          <w:bCs/>
          <w:color w:val="000000"/>
          <w:sz w:val="32"/>
          <w:szCs w:val="32"/>
        </w:rPr>
        <w:t>）事业运行（</w:t>
      </w:r>
      <w:r>
        <w:rPr>
          <w:rFonts w:hint="eastAsia" w:eastAsia="仿宋_GB2312" w:cs="Times New Roman"/>
          <w:b/>
          <w:bCs/>
          <w:color w:val="000000"/>
          <w:sz w:val="32"/>
          <w:szCs w:val="32"/>
          <w:lang w:eastAsia="zh-CN"/>
        </w:rPr>
        <w:t>项</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color w:val="000000"/>
          <w:sz w:val="32"/>
          <w:szCs w:val="32"/>
        </w:rPr>
        <w:t>支出决算</w:t>
      </w:r>
      <w:r>
        <w:rPr>
          <w:rFonts w:hint="default" w:ascii="Times New Roman" w:hAnsi="Times New Roman" w:eastAsia="仿宋_GB2312" w:cs="Times New Roman"/>
          <w:color w:val="000000"/>
          <w:sz w:val="32"/>
          <w:szCs w:val="32"/>
          <w:lang w:val="en-US" w:eastAsia="zh-CN"/>
        </w:rPr>
        <w:t>57.1</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决算数与预算数持平</w:t>
      </w:r>
      <w:r>
        <w:rPr>
          <w:rFonts w:hint="default" w:ascii="Times New Roman" w:hAnsi="Times New Roman" w:eastAsia="仿宋_GB2312" w:cs="Times New Roman"/>
          <w:color w:val="000000"/>
          <w:sz w:val="32"/>
          <w:szCs w:val="32"/>
        </w:rPr>
        <w:t>。</w:t>
      </w:r>
    </w:p>
    <w:p w14:paraId="7C476106">
      <w:pPr>
        <w:pageBreakBefore w:val="0"/>
        <w:widowControl w:val="0"/>
        <w:suppressAutoHyphens/>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000000"/>
          <w:sz w:val="32"/>
          <w:szCs w:val="32"/>
        </w:rPr>
        <w:t>4.社会保障和就业支出（</w:t>
      </w:r>
      <w:r>
        <w:rPr>
          <w:rFonts w:hint="eastAsia" w:eastAsia="仿宋_GB2312" w:cs="Times New Roman"/>
          <w:b/>
          <w:bCs/>
          <w:color w:val="000000"/>
          <w:sz w:val="32"/>
          <w:szCs w:val="32"/>
          <w:lang w:eastAsia="zh-CN"/>
        </w:rPr>
        <w:t>类</w:t>
      </w:r>
      <w:r>
        <w:rPr>
          <w:rFonts w:hint="default" w:ascii="Times New Roman" w:hAnsi="Times New Roman" w:eastAsia="仿宋_GB2312" w:cs="Times New Roman"/>
          <w:b/>
          <w:bCs/>
          <w:color w:val="000000"/>
          <w:sz w:val="32"/>
          <w:szCs w:val="32"/>
        </w:rPr>
        <w:t>）行政事业单位养老支出（</w:t>
      </w:r>
      <w:r>
        <w:rPr>
          <w:rFonts w:hint="eastAsia" w:eastAsia="仿宋_GB2312" w:cs="Times New Roman"/>
          <w:b/>
          <w:bCs/>
          <w:color w:val="000000"/>
          <w:sz w:val="32"/>
          <w:szCs w:val="32"/>
          <w:lang w:eastAsia="zh-CN"/>
        </w:rPr>
        <w:t>款</w:t>
      </w:r>
      <w:r>
        <w:rPr>
          <w:rFonts w:hint="default" w:ascii="Times New Roman" w:hAnsi="Times New Roman" w:eastAsia="仿宋_GB2312" w:cs="Times New Roman"/>
          <w:b/>
          <w:bCs/>
          <w:color w:val="000000"/>
          <w:sz w:val="32"/>
          <w:szCs w:val="32"/>
        </w:rPr>
        <w:t>）机关事业单位基本养老保险缴费支出（</w:t>
      </w:r>
      <w:r>
        <w:rPr>
          <w:rFonts w:hint="eastAsia" w:ascii="Times New Roman" w:hAnsi="Times New Roman" w:eastAsia="仿宋_GB2312" w:cs="Times New Roman"/>
          <w:b/>
          <w:bCs/>
          <w:color w:val="000000"/>
          <w:sz w:val="32"/>
          <w:szCs w:val="32"/>
          <w:lang w:eastAsia="zh-CN"/>
        </w:rPr>
        <w:t>项</w:t>
      </w:r>
      <w:r>
        <w:rPr>
          <w:rFonts w:hint="default" w:ascii="Times New Roman" w:hAnsi="Times New Roman" w:eastAsia="仿宋_GB2312" w:cs="Times New Roman"/>
          <w:b/>
          <w:bCs/>
          <w:color w:val="000000"/>
          <w:sz w:val="32"/>
          <w:szCs w:val="32"/>
        </w:rPr>
        <w:t>）支出</w:t>
      </w:r>
      <w:r>
        <w:rPr>
          <w:rFonts w:hint="default" w:ascii="Times New Roman" w:hAnsi="Times New Roman" w:eastAsia="仿宋_GB2312" w:cs="Times New Roman"/>
          <w:color w:val="000000"/>
          <w:sz w:val="32"/>
          <w:szCs w:val="32"/>
        </w:rPr>
        <w:t>决算</w:t>
      </w:r>
      <w:r>
        <w:rPr>
          <w:rFonts w:hint="default" w:ascii="Times New Roman" w:hAnsi="Times New Roman" w:eastAsia="仿宋_GB2312" w:cs="Times New Roman"/>
          <w:color w:val="000000"/>
          <w:sz w:val="32"/>
          <w:szCs w:val="32"/>
          <w:lang w:val="en-US" w:eastAsia="zh-CN"/>
        </w:rPr>
        <w:t>33.7</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决算数与预算数持平</w:t>
      </w:r>
      <w:r>
        <w:rPr>
          <w:rFonts w:hint="default" w:ascii="Times New Roman" w:hAnsi="Times New Roman" w:eastAsia="仿宋_GB2312" w:cs="Times New Roman"/>
          <w:color w:val="000000"/>
          <w:sz w:val="32"/>
          <w:szCs w:val="32"/>
        </w:rPr>
        <w:t>。</w:t>
      </w:r>
    </w:p>
    <w:p w14:paraId="28690A1F">
      <w:pPr>
        <w:pageBreakBefore w:val="0"/>
        <w:widowControl w:val="0"/>
        <w:suppressAutoHyphens/>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000000"/>
          <w:sz w:val="32"/>
          <w:szCs w:val="32"/>
        </w:rPr>
        <w:t>5.社会保障和就业支出（</w:t>
      </w:r>
      <w:r>
        <w:rPr>
          <w:rFonts w:hint="eastAsia" w:eastAsia="仿宋_GB2312" w:cs="Times New Roman"/>
          <w:b/>
          <w:bCs/>
          <w:color w:val="000000"/>
          <w:sz w:val="32"/>
          <w:szCs w:val="32"/>
          <w:lang w:eastAsia="zh-CN"/>
        </w:rPr>
        <w:t>类</w:t>
      </w:r>
      <w:r>
        <w:rPr>
          <w:rFonts w:hint="default" w:ascii="Times New Roman" w:hAnsi="Times New Roman" w:eastAsia="仿宋_GB2312" w:cs="Times New Roman"/>
          <w:b/>
          <w:bCs/>
          <w:color w:val="000000"/>
          <w:sz w:val="32"/>
          <w:szCs w:val="32"/>
        </w:rPr>
        <w:t>）行政事业单位养老支出（</w:t>
      </w:r>
      <w:r>
        <w:rPr>
          <w:rFonts w:hint="eastAsia" w:eastAsia="仿宋_GB2312" w:cs="Times New Roman"/>
          <w:b/>
          <w:bCs/>
          <w:color w:val="000000"/>
          <w:sz w:val="32"/>
          <w:szCs w:val="32"/>
          <w:lang w:eastAsia="zh-CN"/>
        </w:rPr>
        <w:t>款</w:t>
      </w:r>
      <w:r>
        <w:rPr>
          <w:rFonts w:hint="default" w:ascii="Times New Roman" w:hAnsi="Times New Roman" w:eastAsia="仿宋_GB2312" w:cs="Times New Roman"/>
          <w:b/>
          <w:bCs/>
          <w:color w:val="000000"/>
          <w:sz w:val="32"/>
          <w:szCs w:val="32"/>
        </w:rPr>
        <w:t>）机关事业单位职业年金缴费支出</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b/>
          <w:bCs/>
          <w:color w:val="000000"/>
          <w:sz w:val="32"/>
          <w:szCs w:val="32"/>
          <w:lang w:eastAsia="zh-CN"/>
        </w:rPr>
        <w:t>项</w:t>
      </w:r>
      <w:r>
        <w:rPr>
          <w:rFonts w:hint="default" w:ascii="Times New Roman" w:hAnsi="Times New Roman" w:eastAsia="仿宋_GB2312" w:cs="Times New Roman"/>
          <w:color w:val="000000"/>
          <w:sz w:val="32"/>
          <w:szCs w:val="32"/>
        </w:rPr>
        <w:t>）支出决算</w:t>
      </w:r>
      <w:r>
        <w:rPr>
          <w:rFonts w:hint="default" w:ascii="Times New Roman" w:hAnsi="Times New Roman" w:eastAsia="仿宋_GB2312" w:cs="Times New Roman"/>
          <w:color w:val="000000"/>
          <w:sz w:val="32"/>
          <w:szCs w:val="32"/>
          <w:lang w:val="en-US" w:eastAsia="zh-CN"/>
        </w:rPr>
        <w:t>16.85</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决算数与预算数持平</w:t>
      </w:r>
      <w:r>
        <w:rPr>
          <w:rFonts w:hint="default" w:ascii="Times New Roman" w:hAnsi="Times New Roman" w:eastAsia="仿宋_GB2312" w:cs="Times New Roman"/>
          <w:color w:val="000000"/>
          <w:sz w:val="32"/>
          <w:szCs w:val="32"/>
        </w:rPr>
        <w:t>。</w:t>
      </w:r>
    </w:p>
    <w:p w14:paraId="0CD1717A">
      <w:pPr>
        <w:pageBreakBefore w:val="0"/>
        <w:widowControl w:val="0"/>
        <w:suppressAutoHyphens/>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000000"/>
          <w:sz w:val="32"/>
          <w:szCs w:val="32"/>
        </w:rPr>
        <w:t>6.卫生健康支出（</w:t>
      </w:r>
      <w:r>
        <w:rPr>
          <w:rFonts w:hint="eastAsia" w:eastAsia="仿宋_GB2312" w:cs="Times New Roman"/>
          <w:b/>
          <w:bCs/>
          <w:color w:val="000000"/>
          <w:sz w:val="32"/>
          <w:szCs w:val="32"/>
          <w:lang w:eastAsia="zh-CN"/>
        </w:rPr>
        <w:t>类</w:t>
      </w:r>
      <w:r>
        <w:rPr>
          <w:rFonts w:hint="default" w:ascii="Times New Roman" w:hAnsi="Times New Roman" w:eastAsia="仿宋_GB2312" w:cs="Times New Roman"/>
          <w:b/>
          <w:bCs/>
          <w:color w:val="000000"/>
          <w:sz w:val="32"/>
          <w:szCs w:val="32"/>
        </w:rPr>
        <w:t>）行政事业单位医疗（</w:t>
      </w:r>
      <w:r>
        <w:rPr>
          <w:rFonts w:hint="eastAsia" w:eastAsia="仿宋_GB2312" w:cs="Times New Roman"/>
          <w:b/>
          <w:bCs/>
          <w:color w:val="000000"/>
          <w:sz w:val="32"/>
          <w:szCs w:val="32"/>
          <w:lang w:eastAsia="zh-CN"/>
        </w:rPr>
        <w:t>款</w:t>
      </w:r>
      <w:r>
        <w:rPr>
          <w:rFonts w:hint="default" w:ascii="Times New Roman" w:hAnsi="Times New Roman" w:eastAsia="仿宋_GB2312" w:cs="Times New Roman"/>
          <w:b/>
          <w:bCs/>
          <w:color w:val="000000"/>
          <w:sz w:val="32"/>
          <w:szCs w:val="32"/>
        </w:rPr>
        <w:t>）行政单位医疗（</w:t>
      </w:r>
      <w:r>
        <w:rPr>
          <w:rFonts w:hint="eastAsia" w:ascii="Times New Roman" w:hAnsi="Times New Roman" w:eastAsia="仿宋_GB2312" w:cs="Times New Roman"/>
          <w:b/>
          <w:bCs/>
          <w:color w:val="000000"/>
          <w:sz w:val="32"/>
          <w:szCs w:val="32"/>
          <w:lang w:eastAsia="zh-CN"/>
        </w:rPr>
        <w:t>项</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color w:val="000000"/>
          <w:sz w:val="32"/>
          <w:szCs w:val="32"/>
        </w:rPr>
        <w:t>支出决算</w:t>
      </w:r>
      <w:r>
        <w:rPr>
          <w:rFonts w:hint="default" w:ascii="Times New Roman" w:hAnsi="Times New Roman" w:eastAsia="仿宋_GB2312" w:cs="Times New Roman"/>
          <w:color w:val="000000"/>
          <w:sz w:val="32"/>
          <w:szCs w:val="32"/>
          <w:lang w:val="en-US" w:eastAsia="zh-CN"/>
        </w:rPr>
        <w:t>17.6</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决算数与预算数持平</w:t>
      </w:r>
      <w:r>
        <w:rPr>
          <w:rFonts w:hint="default" w:ascii="Times New Roman" w:hAnsi="Times New Roman" w:eastAsia="仿宋_GB2312" w:cs="Times New Roman"/>
          <w:color w:val="000000"/>
          <w:sz w:val="32"/>
          <w:szCs w:val="32"/>
        </w:rPr>
        <w:t>。</w:t>
      </w:r>
    </w:p>
    <w:p w14:paraId="0AB6752A">
      <w:pPr>
        <w:pageBreakBefore w:val="0"/>
        <w:widowControl w:val="0"/>
        <w:suppressAutoHyphens/>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000000"/>
          <w:sz w:val="32"/>
          <w:szCs w:val="32"/>
        </w:rPr>
        <w:t>7.卫生健康支出（</w:t>
      </w:r>
      <w:r>
        <w:rPr>
          <w:rFonts w:hint="eastAsia" w:eastAsia="仿宋_GB2312" w:cs="Times New Roman"/>
          <w:b/>
          <w:bCs/>
          <w:color w:val="000000"/>
          <w:sz w:val="32"/>
          <w:szCs w:val="32"/>
          <w:lang w:eastAsia="zh-CN"/>
        </w:rPr>
        <w:t>类</w:t>
      </w:r>
      <w:r>
        <w:rPr>
          <w:rFonts w:hint="default" w:ascii="Times New Roman" w:hAnsi="Times New Roman" w:eastAsia="仿宋_GB2312" w:cs="Times New Roman"/>
          <w:b/>
          <w:bCs/>
          <w:color w:val="000000"/>
          <w:sz w:val="32"/>
          <w:szCs w:val="32"/>
        </w:rPr>
        <w:t>）行政事业单位医疗（</w:t>
      </w:r>
      <w:r>
        <w:rPr>
          <w:rFonts w:hint="eastAsia" w:eastAsia="仿宋_GB2312" w:cs="Times New Roman"/>
          <w:b/>
          <w:bCs/>
          <w:color w:val="000000"/>
          <w:sz w:val="32"/>
          <w:szCs w:val="32"/>
          <w:lang w:eastAsia="zh-CN"/>
        </w:rPr>
        <w:t>款</w:t>
      </w:r>
      <w:r>
        <w:rPr>
          <w:rFonts w:hint="default" w:ascii="Times New Roman" w:hAnsi="Times New Roman" w:eastAsia="仿宋_GB2312" w:cs="Times New Roman"/>
          <w:b/>
          <w:bCs/>
          <w:color w:val="000000"/>
          <w:sz w:val="32"/>
          <w:szCs w:val="32"/>
        </w:rPr>
        <w:t>）事业单位医疗（</w:t>
      </w:r>
      <w:r>
        <w:rPr>
          <w:rFonts w:hint="eastAsia" w:ascii="Times New Roman" w:hAnsi="Times New Roman" w:eastAsia="仿宋_GB2312" w:cs="Times New Roman"/>
          <w:b/>
          <w:bCs/>
          <w:color w:val="000000"/>
          <w:sz w:val="32"/>
          <w:szCs w:val="32"/>
          <w:lang w:eastAsia="zh-CN"/>
        </w:rPr>
        <w:t>项</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color w:val="000000"/>
          <w:sz w:val="32"/>
          <w:szCs w:val="32"/>
        </w:rPr>
        <w:t>支出决算</w:t>
      </w:r>
      <w:r>
        <w:rPr>
          <w:rFonts w:hint="default" w:ascii="Times New Roman" w:hAnsi="Times New Roman" w:eastAsia="仿宋_GB2312" w:cs="Times New Roman"/>
          <w:color w:val="000000"/>
          <w:sz w:val="32"/>
          <w:szCs w:val="32"/>
          <w:lang w:val="en-US" w:eastAsia="zh-CN"/>
        </w:rPr>
        <w:t>3.7</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决算数与预算数持平</w:t>
      </w:r>
      <w:r>
        <w:rPr>
          <w:rFonts w:hint="default" w:ascii="Times New Roman" w:hAnsi="Times New Roman" w:eastAsia="仿宋_GB2312" w:cs="Times New Roman"/>
          <w:color w:val="000000"/>
          <w:sz w:val="32"/>
          <w:szCs w:val="32"/>
        </w:rPr>
        <w:t>。</w:t>
      </w:r>
    </w:p>
    <w:p w14:paraId="68813B79">
      <w:pPr>
        <w:pageBreakBefore w:val="0"/>
        <w:widowControl w:val="0"/>
        <w:suppressAutoHyphens/>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8.住房保障支出（</w:t>
      </w:r>
      <w:r>
        <w:rPr>
          <w:rFonts w:hint="eastAsia" w:eastAsia="仿宋_GB2312" w:cs="Times New Roman"/>
          <w:b/>
          <w:bCs/>
          <w:color w:val="000000"/>
          <w:sz w:val="32"/>
          <w:szCs w:val="32"/>
          <w:lang w:eastAsia="zh-CN"/>
        </w:rPr>
        <w:t>类</w:t>
      </w:r>
      <w:r>
        <w:rPr>
          <w:rFonts w:hint="default" w:ascii="Times New Roman" w:hAnsi="Times New Roman" w:eastAsia="仿宋_GB2312" w:cs="Times New Roman"/>
          <w:b/>
          <w:bCs/>
          <w:color w:val="000000"/>
          <w:sz w:val="32"/>
          <w:szCs w:val="32"/>
        </w:rPr>
        <w:t>）住房改革支出（</w:t>
      </w:r>
      <w:r>
        <w:rPr>
          <w:rFonts w:hint="eastAsia" w:eastAsia="仿宋_GB2312" w:cs="Times New Roman"/>
          <w:b/>
          <w:bCs/>
          <w:color w:val="000000"/>
          <w:sz w:val="32"/>
          <w:szCs w:val="32"/>
          <w:lang w:eastAsia="zh-CN"/>
        </w:rPr>
        <w:t>款</w:t>
      </w:r>
      <w:r>
        <w:rPr>
          <w:rFonts w:hint="default" w:ascii="Times New Roman" w:hAnsi="Times New Roman" w:eastAsia="仿宋_GB2312" w:cs="Times New Roman"/>
          <w:b/>
          <w:bCs/>
          <w:color w:val="000000"/>
          <w:sz w:val="32"/>
          <w:szCs w:val="32"/>
        </w:rPr>
        <w:t>）住房公积金（</w:t>
      </w:r>
      <w:r>
        <w:rPr>
          <w:rFonts w:hint="eastAsia" w:ascii="Times New Roman" w:hAnsi="Times New Roman" w:eastAsia="仿宋_GB2312" w:cs="Times New Roman"/>
          <w:b/>
          <w:bCs/>
          <w:color w:val="000000"/>
          <w:sz w:val="32"/>
          <w:szCs w:val="32"/>
          <w:lang w:eastAsia="zh-CN"/>
        </w:rPr>
        <w:t>项</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color w:val="000000"/>
          <w:sz w:val="32"/>
          <w:szCs w:val="32"/>
        </w:rPr>
        <w:t>支出决算</w:t>
      </w:r>
      <w:r>
        <w:rPr>
          <w:rFonts w:hint="default" w:ascii="Times New Roman" w:hAnsi="Times New Roman" w:eastAsia="仿宋_GB2312" w:cs="Times New Roman"/>
          <w:color w:val="000000"/>
          <w:sz w:val="32"/>
          <w:szCs w:val="32"/>
          <w:lang w:val="en-US" w:eastAsia="zh-CN"/>
        </w:rPr>
        <w:t>29.53</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决算数与预算数持平</w:t>
      </w:r>
      <w:r>
        <w:rPr>
          <w:rFonts w:hint="default" w:ascii="Times New Roman" w:hAnsi="Times New Roman" w:eastAsia="仿宋_GB2312" w:cs="Times New Roman"/>
          <w:color w:val="000000"/>
          <w:sz w:val="32"/>
          <w:szCs w:val="32"/>
        </w:rPr>
        <w:t>。</w:t>
      </w:r>
    </w:p>
    <w:p w14:paraId="4E7FCFA0">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000000"/>
          <w:sz w:val="32"/>
          <w:szCs w:val="32"/>
          <w:lang w:val="en-US" w:eastAsia="zh-CN"/>
        </w:rPr>
        <w:t>9.农林水支出（</w:t>
      </w:r>
      <w:r>
        <w:rPr>
          <w:rFonts w:hint="eastAsia" w:eastAsia="仿宋_GB2312" w:cs="Times New Roman"/>
          <w:b/>
          <w:bCs/>
          <w:color w:val="000000"/>
          <w:sz w:val="32"/>
          <w:szCs w:val="32"/>
          <w:lang w:eastAsia="zh-CN"/>
        </w:rPr>
        <w:t>类</w:t>
      </w:r>
      <w:r>
        <w:rPr>
          <w:rFonts w:hint="default" w:ascii="Times New Roman" w:hAnsi="Times New Roman" w:eastAsia="仿宋_GB2312" w:cs="Times New Roman"/>
          <w:b/>
          <w:bCs/>
          <w:color w:val="000000"/>
          <w:sz w:val="32"/>
          <w:szCs w:val="32"/>
          <w:lang w:val="en-US" w:eastAsia="zh-CN"/>
        </w:rPr>
        <w:t>）巩固脱贫攻坚成果衔接乡村振兴（</w:t>
      </w:r>
      <w:r>
        <w:rPr>
          <w:rFonts w:hint="eastAsia" w:eastAsia="仿宋_GB2312" w:cs="Times New Roman"/>
          <w:b/>
          <w:bCs/>
          <w:color w:val="000000"/>
          <w:sz w:val="32"/>
          <w:szCs w:val="32"/>
          <w:lang w:eastAsia="zh-CN"/>
        </w:rPr>
        <w:t>款</w:t>
      </w:r>
      <w:r>
        <w:rPr>
          <w:rFonts w:hint="default" w:ascii="Times New Roman" w:hAnsi="Times New Roman" w:eastAsia="仿宋_GB2312" w:cs="Times New Roman"/>
          <w:b/>
          <w:bCs/>
          <w:color w:val="000000"/>
          <w:sz w:val="32"/>
          <w:szCs w:val="32"/>
          <w:lang w:val="en-US" w:eastAsia="zh-CN"/>
        </w:rPr>
        <w:t>）其他巩固脱贫攻坚成果衔接乡村振兴（</w:t>
      </w:r>
      <w:r>
        <w:rPr>
          <w:rFonts w:hint="eastAsia" w:ascii="Times New Roman" w:hAnsi="Times New Roman" w:eastAsia="仿宋_GB2312" w:cs="Times New Roman"/>
          <w:b/>
          <w:bCs/>
          <w:color w:val="000000"/>
          <w:sz w:val="32"/>
          <w:szCs w:val="32"/>
          <w:lang w:eastAsia="zh-CN"/>
        </w:rPr>
        <w:t>项</w:t>
      </w:r>
      <w:r>
        <w:rPr>
          <w:rFonts w:hint="default" w:ascii="Times New Roman" w:hAnsi="Times New Roman" w:eastAsia="仿宋_GB2312" w:cs="Times New Roman"/>
          <w:b/>
          <w:bCs/>
          <w:color w:val="000000"/>
          <w:sz w:val="32"/>
          <w:szCs w:val="32"/>
          <w:lang w:val="en-US" w:eastAsia="zh-CN"/>
        </w:rPr>
        <w:t>）</w:t>
      </w:r>
      <w:r>
        <w:rPr>
          <w:rFonts w:hint="default" w:ascii="Times New Roman" w:hAnsi="Times New Roman" w:eastAsia="仿宋_GB2312" w:cs="Times New Roman"/>
          <w:color w:val="000000"/>
          <w:sz w:val="32"/>
          <w:szCs w:val="32"/>
          <w:lang w:val="en-US" w:eastAsia="zh-CN"/>
        </w:rPr>
        <w:t>支出决算20万元，</w:t>
      </w:r>
      <w:r>
        <w:rPr>
          <w:rFonts w:hint="default" w:ascii="Times New Roman" w:hAnsi="Times New Roman" w:eastAsia="仿宋_GB2312" w:cs="Times New Roman"/>
          <w:color w:val="000000"/>
          <w:sz w:val="32"/>
          <w:szCs w:val="32"/>
        </w:rPr>
        <w:t>完成预算100%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决算数与预算数持平</w:t>
      </w:r>
      <w:r>
        <w:rPr>
          <w:rFonts w:hint="default" w:ascii="Times New Roman" w:hAnsi="Times New Roman" w:eastAsia="仿宋_GB2312" w:cs="Times New Roman"/>
          <w:color w:val="000000"/>
          <w:sz w:val="32"/>
          <w:szCs w:val="32"/>
        </w:rPr>
        <w:t>。</w:t>
      </w:r>
    </w:p>
    <w:p w14:paraId="7369807A">
      <w:pPr>
        <w:pageBreakBefore w:val="0"/>
        <w:tabs>
          <w:tab w:val="right" w:pos="8306"/>
        </w:tabs>
        <w:kinsoku/>
        <w:wordWrap/>
        <w:overflowPunct/>
        <w:topLinePunct w:val="0"/>
        <w:bidi w:val="0"/>
        <w:spacing w:line="576" w:lineRule="exact"/>
        <w:ind w:firstLine="640"/>
        <w:textAlignment w:val="auto"/>
        <w:outlineLvl w:val="1"/>
        <w:rPr>
          <w:rStyle w:val="30"/>
          <w:rFonts w:hint="default" w:ascii="Times New Roman" w:hAnsi="Times New Roman" w:cs="Times New Roman"/>
          <w:color w:val="auto"/>
          <w:highlight w:val="none"/>
        </w:rPr>
      </w:pPr>
      <w:bookmarkStart w:id="51" w:name="_Toc15377214"/>
      <w:bookmarkStart w:id="52" w:name="_Toc4625"/>
      <w:bookmarkStart w:id="53" w:name="_Toc15396608"/>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、一</w:t>
      </w:r>
      <w:r>
        <w:rPr>
          <w:rStyle w:val="30"/>
          <w:rFonts w:hint="default" w:ascii="Times New Roman" w:hAnsi="Times New Roman" w:eastAsia="黑体" w:cs="Times New Roman"/>
          <w:b w:val="0"/>
          <w:color w:val="auto"/>
          <w:highlight w:val="none"/>
        </w:rPr>
        <w:t>般公共预算财政拨款基本支出决算情况说明</w:t>
      </w:r>
      <w:bookmarkEnd w:id="51"/>
      <w:bookmarkEnd w:id="52"/>
      <w:bookmarkEnd w:id="53"/>
      <w:r>
        <w:rPr>
          <w:rStyle w:val="30"/>
          <w:rFonts w:hint="default" w:ascii="Times New Roman" w:hAnsi="Times New Roman" w:eastAsia="黑体" w:cs="Times New Roman"/>
          <w:b w:val="0"/>
          <w:color w:val="auto"/>
          <w:highlight w:val="none"/>
        </w:rPr>
        <w:tab/>
      </w:r>
    </w:p>
    <w:p w14:paraId="6CDF24DD">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2025年度一般公共预算财政拨款基本支出408.74万元，其中：</w:t>
      </w:r>
    </w:p>
    <w:p w14:paraId="1F7621ED">
      <w:pPr>
        <w:pageBreakBefore w:val="0"/>
        <w:kinsoku/>
        <w:wordWrap/>
        <w:overflowPunct/>
        <w:topLinePunct w:val="0"/>
        <w:bidi w:val="0"/>
        <w:spacing w:line="576" w:lineRule="exact"/>
        <w:ind w:firstLine="640"/>
        <w:textAlignment w:val="auto"/>
        <w:outlineLvl w:val="1"/>
        <w:rPr>
          <w:rFonts w:hint="default" w:ascii="Times New Roman" w:hAnsi="Times New Roman" w:eastAsia="仿宋_GB2312" w:cs="Times New Roman"/>
          <w:color w:val="auto"/>
          <w:sz w:val="32"/>
          <w:szCs w:val="32"/>
          <w:highlight w:val="none"/>
        </w:rPr>
      </w:pPr>
      <w:bookmarkStart w:id="54" w:name="_Toc6485"/>
      <w:r>
        <w:rPr>
          <w:rFonts w:hint="default" w:ascii="Times New Roman" w:hAnsi="Times New Roman" w:eastAsia="仿宋_GB2312" w:cs="Times New Roman"/>
          <w:color w:val="auto"/>
          <w:kern w:val="2"/>
          <w:sz w:val="32"/>
          <w:szCs w:val="32"/>
          <w:highlight w:val="none"/>
          <w:lang w:val="en-US" w:eastAsia="zh-CN" w:bidi="ar-SA"/>
        </w:rPr>
        <w:t>人员经费371.41万元，主要包括：</w:t>
      </w:r>
      <w:r>
        <w:rPr>
          <w:rFonts w:hint="default" w:ascii="Times New Roman" w:hAnsi="Times New Roman" w:eastAsia="仿宋_GB2312" w:cs="Times New Roman"/>
          <w:color w:val="auto"/>
          <w:sz w:val="32"/>
          <w:szCs w:val="32"/>
          <w:highlight w:val="none"/>
        </w:rPr>
        <w:t>基本工资、津贴补贴、奖金、</w:t>
      </w:r>
      <w:r>
        <w:rPr>
          <w:rFonts w:hint="default" w:ascii="Times New Roman" w:hAnsi="Times New Roman" w:eastAsia="仿宋_GB2312" w:cs="Times New Roman"/>
          <w:color w:val="auto"/>
          <w:sz w:val="32"/>
          <w:szCs w:val="32"/>
          <w:highlight w:val="none"/>
          <w:lang w:eastAsia="zh-CN"/>
        </w:rPr>
        <w:t>绩效工资、</w:t>
      </w:r>
      <w:r>
        <w:rPr>
          <w:rFonts w:hint="default" w:ascii="Times New Roman" w:hAnsi="Times New Roman" w:eastAsia="仿宋_GB2312" w:cs="Times New Roman"/>
          <w:color w:val="auto"/>
          <w:sz w:val="32"/>
          <w:szCs w:val="32"/>
          <w:highlight w:val="none"/>
        </w:rPr>
        <w:t>机关事业单位基本养老保险缴费、职业年金缴费、</w:t>
      </w:r>
      <w:r>
        <w:rPr>
          <w:rFonts w:hint="default" w:ascii="Times New Roman" w:hAnsi="Times New Roman" w:eastAsia="仿宋_GB2312" w:cs="Times New Roman"/>
          <w:color w:val="auto"/>
          <w:sz w:val="32"/>
          <w:szCs w:val="32"/>
          <w:highlight w:val="none"/>
          <w:lang w:eastAsia="zh-CN"/>
        </w:rPr>
        <w:t>职工基本医疗保险缴费、</w:t>
      </w:r>
      <w:r>
        <w:rPr>
          <w:rFonts w:hint="default" w:ascii="Times New Roman" w:hAnsi="Times New Roman" w:eastAsia="仿宋_GB2312" w:cs="Times New Roman"/>
          <w:color w:val="auto"/>
          <w:sz w:val="32"/>
          <w:szCs w:val="32"/>
          <w:highlight w:val="none"/>
        </w:rPr>
        <w:t>其他社会保障缴费、住房公积金、</w:t>
      </w:r>
      <w:r>
        <w:rPr>
          <w:rFonts w:hint="default" w:ascii="Times New Roman" w:hAnsi="Times New Roman" w:eastAsia="仿宋_GB2312" w:cs="Times New Roman"/>
          <w:color w:val="auto"/>
          <w:sz w:val="32"/>
          <w:szCs w:val="32"/>
          <w:highlight w:val="none"/>
          <w:lang w:eastAsia="zh-CN"/>
        </w:rPr>
        <w:t>医疗费、对个人和家庭的补助、抚恤金、生活补助、奖励金</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kern w:val="2"/>
          <w:sz w:val="32"/>
          <w:szCs w:val="32"/>
          <w:highlight w:val="none"/>
          <w:lang w:val="en-US" w:eastAsia="zh-CN" w:bidi="ar-SA"/>
        </w:rPr>
        <w:br w:type="textWrapping"/>
      </w:r>
      <w:r>
        <w:rPr>
          <w:rFonts w:hint="default" w:ascii="Times New Roman" w:hAnsi="Times New Roman" w:eastAsia="仿宋_GB2312" w:cs="Times New Roman"/>
          <w:color w:val="auto"/>
          <w:kern w:val="2"/>
          <w:sz w:val="32"/>
          <w:szCs w:val="32"/>
          <w:highlight w:val="none"/>
          <w:lang w:val="en-US" w:eastAsia="zh-CN" w:bidi="ar-SA"/>
        </w:rPr>
        <w:t>　　公用经费37.33万元，主要包括：</w:t>
      </w:r>
      <w:r>
        <w:rPr>
          <w:rFonts w:hint="default" w:ascii="Times New Roman" w:hAnsi="Times New Roman" w:eastAsia="仿宋_GB2312" w:cs="Times New Roman"/>
          <w:color w:val="auto"/>
          <w:sz w:val="32"/>
          <w:szCs w:val="32"/>
          <w:highlight w:val="none"/>
        </w:rPr>
        <w:t>办公费、邮电费、差旅费、培训费、公务接待费、其他交通费等。</w:t>
      </w:r>
      <w:bookmarkEnd w:id="54"/>
      <w:bookmarkStart w:id="55" w:name="_Toc15377215"/>
      <w:bookmarkStart w:id="56" w:name="_Toc15396609"/>
    </w:p>
    <w:p w14:paraId="6849BC28">
      <w:pPr>
        <w:pageBreakBefore w:val="0"/>
        <w:kinsoku/>
        <w:wordWrap/>
        <w:overflowPunct/>
        <w:topLinePunct w:val="0"/>
        <w:bidi w:val="0"/>
        <w:spacing w:line="576" w:lineRule="exact"/>
        <w:ind w:firstLine="640"/>
        <w:textAlignment w:val="auto"/>
        <w:outlineLvl w:val="1"/>
        <w:rPr>
          <w:rStyle w:val="30"/>
          <w:rFonts w:hint="default" w:ascii="Times New Roman" w:hAnsi="Times New Roman" w:eastAsia="黑体" w:cs="Times New Roman"/>
          <w:b w:val="0"/>
          <w:color w:val="auto"/>
          <w:highlight w:val="none"/>
        </w:rPr>
      </w:pPr>
      <w:bookmarkStart w:id="57" w:name="_Toc14429"/>
      <w:r>
        <w:rPr>
          <w:rFonts w:hint="default" w:ascii="Times New Roman" w:hAnsi="Times New Roman" w:eastAsia="黑体" w:cs="Times New Roman"/>
          <w:color w:val="auto"/>
          <w:sz w:val="32"/>
          <w:szCs w:val="32"/>
          <w:highlight w:val="none"/>
        </w:rPr>
        <w:t>七、</w:t>
      </w:r>
      <w:r>
        <w:rPr>
          <w:rStyle w:val="30"/>
          <w:rFonts w:hint="default" w:ascii="Times New Roman" w:hAnsi="Times New Roman" w:eastAsia="黑体" w:cs="Times New Roman"/>
          <w:b w:val="0"/>
          <w:color w:val="auto"/>
          <w:highlight w:val="none"/>
        </w:rPr>
        <w:t>财政拨款</w:t>
      </w:r>
      <w:r>
        <w:rPr>
          <w:rStyle w:val="30"/>
          <w:rFonts w:hint="default" w:ascii="Times New Roman" w:hAnsi="Times New Roman" w:eastAsia="黑体" w:cs="Times New Roman"/>
          <w:color w:val="auto"/>
          <w:highlight w:val="none"/>
        </w:rPr>
        <w:t>“</w:t>
      </w:r>
      <w:r>
        <w:rPr>
          <w:rStyle w:val="30"/>
          <w:rFonts w:hint="default" w:ascii="Times New Roman" w:hAnsi="Times New Roman" w:eastAsia="黑体" w:cs="Times New Roman"/>
          <w:b w:val="0"/>
          <w:color w:val="auto"/>
          <w:highlight w:val="none"/>
        </w:rPr>
        <w:t>三公”经费支出决算情况说明</w:t>
      </w:r>
      <w:bookmarkEnd w:id="55"/>
      <w:bookmarkEnd w:id="56"/>
      <w:bookmarkEnd w:id="57"/>
    </w:p>
    <w:p w14:paraId="0E9225CB">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58" w:name="_Toc15377216"/>
      <w:r>
        <w:rPr>
          <w:rFonts w:hint="default" w:ascii="Times New Roman" w:hAnsi="Times New Roman" w:eastAsia="楷体_GB2312" w:cs="Times New Roman"/>
          <w:b/>
          <w:color w:val="auto"/>
          <w:sz w:val="32"/>
          <w:szCs w:val="32"/>
          <w:highlight w:val="none"/>
        </w:rPr>
        <w:t>（一）财政拨款“三公”经费支出决算总体情况说明</w:t>
      </w:r>
      <w:bookmarkEnd w:id="58"/>
    </w:p>
    <w:p w14:paraId="0B6B4558">
      <w:pPr>
        <w:pageBreakBefore w:val="0"/>
        <w:kinsoku/>
        <w:wordWrap/>
        <w:overflowPunct/>
        <w:topLinePunct w:val="0"/>
        <w:bidi w:val="0"/>
        <w:spacing w:line="576" w:lineRule="exact"/>
        <w:ind w:firstLine="64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2025年度财政拨款“三公”经费支出决算为0.5万元，完成预算100%，</w:t>
      </w:r>
      <w:r>
        <w:rPr>
          <w:rFonts w:hint="eastAsia" w:eastAsia="仿宋" w:cs="Times New Roman"/>
          <w:color w:val="auto"/>
          <w:sz w:val="32"/>
          <w:szCs w:val="32"/>
          <w:highlight w:val="none"/>
          <w:lang w:val="en-US" w:eastAsia="zh-CN"/>
        </w:rPr>
        <w:t>与2024年度相比</w:t>
      </w:r>
      <w:r>
        <w:rPr>
          <w:rFonts w:hint="default" w:ascii="Times New Roman" w:hAnsi="Times New Roman" w:eastAsia="仿宋" w:cs="Times New Roman"/>
          <w:color w:val="auto"/>
          <w:sz w:val="32"/>
          <w:szCs w:val="32"/>
          <w:highlight w:val="none"/>
          <w:lang w:val="en-US" w:eastAsia="zh-CN"/>
        </w:rPr>
        <w:t>减少0.5万元，下降50%。</w:t>
      </w:r>
      <w:r>
        <w:rPr>
          <w:rFonts w:hint="default" w:ascii="Times New Roman" w:hAnsi="Times New Roman" w:eastAsia="仿宋" w:cs="Times New Roman"/>
          <w:color w:val="auto"/>
          <w:sz w:val="32"/>
          <w:szCs w:val="32"/>
          <w:highlight w:val="none"/>
        </w:rPr>
        <w:t>决算数与预算数持平。</w:t>
      </w:r>
    </w:p>
    <w:p w14:paraId="327E2CC9">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59" w:name="_Toc15377217"/>
      <w:r>
        <w:rPr>
          <w:rFonts w:hint="default" w:ascii="Times New Roman" w:hAnsi="Times New Roman" w:eastAsia="楷体_GB2312" w:cs="Times New Roman"/>
          <w:b/>
          <w:color w:val="auto"/>
          <w:sz w:val="32"/>
          <w:szCs w:val="32"/>
          <w:highlight w:val="none"/>
        </w:rPr>
        <w:t>（二）财政拨款“三公”经费支出决算具体情况说明</w:t>
      </w:r>
      <w:bookmarkEnd w:id="59"/>
    </w:p>
    <w:p w14:paraId="1B3C8D27">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rPr>
        <w:drawing>
          <wp:anchor distT="0" distB="0" distL="114300" distR="114300" simplePos="0" relativeHeight="251665408" behindDoc="0" locked="0" layoutInCell="1" allowOverlap="1">
            <wp:simplePos x="0" y="0"/>
            <wp:positionH relativeFrom="column">
              <wp:posOffset>1349375</wp:posOffset>
            </wp:positionH>
            <wp:positionV relativeFrom="paragraph">
              <wp:posOffset>1470025</wp:posOffset>
            </wp:positionV>
            <wp:extent cx="2901315" cy="2075180"/>
            <wp:effectExtent l="4445" t="4445" r="5080" b="825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default" w:ascii="Times New Roman" w:hAnsi="Times New Roman" w:eastAsia="仿宋" w:cs="Times New Roman"/>
          <w:color w:val="auto"/>
          <w:sz w:val="32"/>
          <w:szCs w:val="32"/>
          <w:highlight w:val="none"/>
          <w:lang w:eastAsia="zh-CN"/>
        </w:rPr>
        <w:t>202</w:t>
      </w:r>
      <w:r>
        <w:rPr>
          <w:rFonts w:hint="default"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lang w:eastAsia="zh-CN"/>
        </w:rPr>
        <w:t>年度</w:t>
      </w:r>
      <w:r>
        <w:rPr>
          <w:rFonts w:hint="default" w:ascii="Times New Roman" w:hAnsi="Times New Roman" w:eastAsia="仿宋" w:cs="Times New Roman"/>
          <w:color w:val="auto"/>
          <w:sz w:val="32"/>
          <w:szCs w:val="32"/>
          <w:highlight w:val="none"/>
        </w:rPr>
        <w:t>“三公”经费财政拨款支出决算中，因公出国（境）费支出决算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%；公务用车购置及运行维护费支出决算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%；公务接待费支出决算</w:t>
      </w:r>
      <w:r>
        <w:rPr>
          <w:rFonts w:hint="default" w:ascii="Times New Roman" w:hAnsi="Times New Roman" w:eastAsia="仿宋" w:cs="Times New Roman"/>
          <w:color w:val="auto"/>
          <w:sz w:val="32"/>
          <w:szCs w:val="32"/>
          <w:highlight w:val="none"/>
          <w:lang w:val="en-US" w:eastAsia="zh-CN"/>
        </w:rPr>
        <w:t>0.5</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%。具体情况如下：</w:t>
      </w:r>
    </w:p>
    <w:p w14:paraId="4A9AE9E3">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1.因公出国（境）经费支出0万元，完成预算0%。</w:t>
      </w:r>
      <w:r>
        <w:rPr>
          <w:rFonts w:hint="default" w:ascii="Times New Roman" w:hAnsi="Times New Roman" w:eastAsia="仿宋_GB2312" w:cs="Times New Roman"/>
          <w:color w:val="auto"/>
          <w:kern w:val="2"/>
          <w:sz w:val="32"/>
          <w:szCs w:val="32"/>
          <w:highlight w:val="none"/>
          <w:lang w:val="en-US" w:eastAsia="zh-CN" w:bidi="ar-SA"/>
        </w:rPr>
        <w:t>全年安排因公出国（境）团组0次，出国（境）0人。</w:t>
      </w:r>
    </w:p>
    <w:p w14:paraId="0473A2F2">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2.公务用车购置及运行维护费支出0万元，完成预算0%。</w:t>
      </w:r>
      <w:r>
        <w:rPr>
          <w:rFonts w:hint="default" w:ascii="Times New Roman" w:hAnsi="Times New Roman" w:eastAsia="仿宋_GB2312" w:cs="Times New Roman"/>
          <w:color w:val="auto"/>
          <w:kern w:val="2"/>
          <w:sz w:val="32"/>
          <w:szCs w:val="32"/>
          <w:highlight w:val="none"/>
          <w:lang w:val="en-US" w:eastAsia="zh-CN" w:bidi="ar-SA"/>
        </w:rPr>
        <w:t>截至2025年12月31日，单位共有公务用车1辆，其中：轿车0辆、越野车1辆、载客汽车0辆。</w:t>
      </w:r>
    </w:p>
    <w:p w14:paraId="5FF18141">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公务用车运行维护费支出0万元。</w:t>
      </w:r>
      <w:r>
        <w:rPr>
          <w:rFonts w:hint="default" w:ascii="Times New Roman" w:hAnsi="Times New Roman" w:eastAsia="仿宋_GB2312" w:cs="Times New Roman"/>
          <w:color w:val="auto"/>
          <w:sz w:val="32"/>
          <w:szCs w:val="32"/>
          <w:highlight w:val="none"/>
          <w:lang w:val="en-US" w:eastAsia="zh-CN"/>
        </w:rPr>
        <w:t>主要原因是：编制预算时单位无公务用车。</w:t>
      </w:r>
    </w:p>
    <w:p w14:paraId="2C27B521">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kern w:val="2"/>
          <w:sz w:val="32"/>
          <w:szCs w:val="32"/>
          <w:highlight w:val="none"/>
          <w:lang w:val="en-US" w:eastAsia="zh-CN" w:bidi="ar-SA"/>
        </w:rPr>
        <w:t>3.</w:t>
      </w:r>
      <w:r>
        <w:rPr>
          <w:rFonts w:hint="default" w:ascii="Times New Roman" w:hAnsi="Times New Roman" w:eastAsia="仿宋_GB2312" w:cs="Times New Roman"/>
          <w:b/>
          <w:color w:val="auto"/>
          <w:sz w:val="32"/>
          <w:szCs w:val="32"/>
          <w:highlight w:val="none"/>
        </w:rPr>
        <w:t>公务接待费支出</w:t>
      </w:r>
      <w:r>
        <w:rPr>
          <w:rFonts w:hint="default" w:ascii="Times New Roman" w:hAnsi="Times New Roman" w:eastAsia="仿宋_GB2312" w:cs="Times New Roman"/>
          <w:color w:val="auto"/>
          <w:sz w:val="32"/>
          <w:szCs w:val="32"/>
          <w:highlight w:val="none"/>
          <w:lang w:val="en-US" w:eastAsia="zh-CN"/>
        </w:rPr>
        <w:t>0.5</w:t>
      </w:r>
      <w:r>
        <w:rPr>
          <w:rFonts w:hint="default" w:ascii="Times New Roman" w:hAnsi="Times New Roman" w:eastAsia="仿宋_GB2312" w:cs="Times New Roman"/>
          <w:color w:val="auto"/>
          <w:sz w:val="32"/>
          <w:szCs w:val="32"/>
          <w:highlight w:val="none"/>
        </w:rPr>
        <w:t>万元，</w:t>
      </w:r>
      <w:r>
        <w:rPr>
          <w:rStyle w:val="19"/>
          <w:rFonts w:hint="default" w:ascii="Times New Roman" w:hAnsi="Times New Roman" w:eastAsia="仿宋" w:cs="Times New Roman"/>
          <w:b w:val="0"/>
          <w:bCs/>
          <w:color w:val="auto"/>
          <w:sz w:val="32"/>
          <w:szCs w:val="32"/>
          <w:highlight w:val="none"/>
        </w:rPr>
        <w:t>完成预算</w:t>
      </w:r>
      <w:r>
        <w:rPr>
          <w:rStyle w:val="19"/>
          <w:rFonts w:hint="default" w:ascii="Times New Roman" w:hAnsi="Times New Roman" w:eastAsia="仿宋" w:cs="Times New Roman"/>
          <w:b w:val="0"/>
          <w:bCs/>
          <w:color w:val="auto"/>
          <w:sz w:val="32"/>
          <w:szCs w:val="32"/>
          <w:highlight w:val="none"/>
          <w:lang w:val="en-US" w:eastAsia="zh-CN"/>
        </w:rPr>
        <w:t>100</w:t>
      </w:r>
      <w:r>
        <w:rPr>
          <w:rStyle w:val="19"/>
          <w:rFonts w:hint="default" w:ascii="Times New Roman" w:hAnsi="Times New Roman" w:eastAsia="仿宋"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公务接待费支出决算</w:t>
      </w:r>
      <w:r>
        <w:rPr>
          <w:rFonts w:hint="eastAsia" w:eastAsia="仿宋" w:cs="Times New Roman"/>
          <w:color w:val="auto"/>
          <w:sz w:val="32"/>
          <w:szCs w:val="32"/>
          <w:highlight w:val="none"/>
          <w:lang w:val="en-US" w:eastAsia="zh-CN"/>
        </w:rPr>
        <w:t>与2024年度相比</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0.5</w:t>
      </w:r>
      <w:r>
        <w:rPr>
          <w:rFonts w:hint="default" w:ascii="Times New Roman" w:hAnsi="Times New Roman" w:eastAsia="仿宋_GB2312" w:cs="Times New Roman"/>
          <w:color w:val="auto"/>
          <w:sz w:val="32"/>
          <w:szCs w:val="32"/>
          <w:highlight w:val="none"/>
        </w:rPr>
        <w:t>万元，下降</w:t>
      </w:r>
      <w:r>
        <w:rPr>
          <w:rFonts w:hint="default" w:ascii="Times New Roman" w:hAnsi="Times New Roman" w:eastAsia="仿宋_GB2312" w:cs="Times New Roman"/>
          <w:color w:val="auto"/>
          <w:sz w:val="32"/>
          <w:szCs w:val="32"/>
          <w:highlight w:val="none"/>
          <w:lang w:val="en-US" w:eastAsia="zh-CN"/>
        </w:rPr>
        <w:t>50</w:t>
      </w:r>
      <w:r>
        <w:rPr>
          <w:rFonts w:hint="default" w:ascii="Times New Roman" w:hAnsi="Times New Roman" w:eastAsia="仿宋_GB2312" w:cs="Times New Roman"/>
          <w:color w:val="auto"/>
          <w:sz w:val="32"/>
          <w:szCs w:val="32"/>
          <w:highlight w:val="none"/>
        </w:rPr>
        <w:t>%。主要原因是</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接待数量减少</w:t>
      </w:r>
      <w:r>
        <w:rPr>
          <w:rFonts w:hint="default" w:ascii="Times New Roman" w:hAnsi="Times New Roman" w:eastAsia="仿宋_GB2312" w:cs="Times New Roman"/>
          <w:color w:val="auto"/>
          <w:sz w:val="32"/>
          <w:szCs w:val="32"/>
          <w:highlight w:val="none"/>
        </w:rPr>
        <w:t>。其中：</w:t>
      </w:r>
    </w:p>
    <w:p w14:paraId="6A6A272F">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 w:cs="Times New Roman"/>
          <w:b/>
          <w:color w:val="auto"/>
          <w:sz w:val="32"/>
          <w:szCs w:val="32"/>
          <w:highlight w:val="none"/>
        </w:rPr>
        <w:t>国内公务接待支出</w:t>
      </w:r>
      <w:r>
        <w:rPr>
          <w:rFonts w:hint="default" w:ascii="Times New Roman" w:hAnsi="Times New Roman" w:eastAsia="仿宋" w:cs="Times New Roman"/>
          <w:color w:val="auto"/>
          <w:sz w:val="32"/>
          <w:szCs w:val="32"/>
          <w:highlight w:val="none"/>
          <w:lang w:val="en-US" w:eastAsia="zh-CN"/>
        </w:rPr>
        <w:t>0.5</w:t>
      </w:r>
      <w:r>
        <w:rPr>
          <w:rFonts w:hint="default" w:ascii="Times New Roman" w:hAnsi="Times New Roman" w:eastAsia="仿宋_GB2312" w:cs="Times New Roman"/>
          <w:color w:val="auto"/>
          <w:sz w:val="32"/>
          <w:szCs w:val="32"/>
          <w:highlight w:val="none"/>
        </w:rPr>
        <w:t>万元，主要用于执行公务、开展业务活动开支的住宿费、用餐费等。国内公务接待</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批次，</w:t>
      </w:r>
      <w:r>
        <w:rPr>
          <w:rFonts w:hint="default" w:ascii="Times New Roman" w:hAnsi="Times New Roman" w:eastAsia="仿宋_GB2312" w:cs="Times New Roman"/>
          <w:color w:val="auto"/>
          <w:sz w:val="32"/>
          <w:szCs w:val="32"/>
          <w:highlight w:val="none"/>
          <w:lang w:val="en-US" w:eastAsia="zh-CN"/>
        </w:rPr>
        <w:t>41</w:t>
      </w:r>
      <w:r>
        <w:rPr>
          <w:rFonts w:hint="default" w:ascii="Times New Roman" w:hAnsi="Times New Roman" w:eastAsia="仿宋_GB2312" w:cs="Times New Roman"/>
          <w:color w:val="auto"/>
          <w:sz w:val="32"/>
          <w:szCs w:val="32"/>
          <w:highlight w:val="none"/>
        </w:rPr>
        <w:t>人次（不包括陪同人员），共计支出</w:t>
      </w:r>
      <w:r>
        <w:rPr>
          <w:rFonts w:hint="default" w:ascii="Times New Roman" w:hAnsi="Times New Roman" w:eastAsia="仿宋_GB2312" w:cs="Times New Roman"/>
          <w:color w:val="auto"/>
          <w:sz w:val="32"/>
          <w:szCs w:val="32"/>
          <w:highlight w:val="none"/>
          <w:lang w:val="en-US" w:eastAsia="zh-CN"/>
        </w:rPr>
        <w:t>0.5</w:t>
      </w:r>
      <w:r>
        <w:rPr>
          <w:rFonts w:hint="default" w:ascii="Times New Roman" w:hAnsi="Times New Roman" w:eastAsia="仿宋_GB2312" w:cs="Times New Roman"/>
          <w:color w:val="auto"/>
          <w:sz w:val="32"/>
          <w:szCs w:val="32"/>
          <w:highlight w:val="none"/>
        </w:rPr>
        <w:t>万元，具体内容包括：</w:t>
      </w:r>
      <w:r>
        <w:rPr>
          <w:rFonts w:hint="default" w:ascii="Times New Roman" w:hAnsi="Times New Roman" w:eastAsia="仿宋_GB2312" w:cs="Times New Roman"/>
          <w:color w:val="auto"/>
          <w:sz w:val="32"/>
          <w:szCs w:val="32"/>
          <w:highlight w:val="none"/>
          <w:lang w:eastAsia="zh-CN"/>
        </w:rPr>
        <w:t>平安阿坝建设督查接待</w:t>
      </w:r>
      <w:r>
        <w:rPr>
          <w:rFonts w:hint="default" w:ascii="Times New Roman" w:hAnsi="Times New Roman" w:eastAsia="仿宋_GB2312" w:cs="Times New Roman"/>
          <w:color w:val="auto"/>
          <w:sz w:val="32"/>
          <w:szCs w:val="32"/>
          <w:highlight w:val="none"/>
          <w:lang w:val="en-US" w:eastAsia="zh-CN"/>
        </w:rPr>
        <w:t>0.02万元、绵阳市赴阿坝州对接涉藏重点工作接待0.24万元、金川县赴茂县学习考察“微网实格”基层治理工作接待0.24万元</w:t>
      </w:r>
      <w:r>
        <w:rPr>
          <w:rFonts w:hint="default" w:ascii="Times New Roman" w:hAnsi="Times New Roman" w:eastAsia="仿宋_GB2312" w:cs="Times New Roman"/>
          <w:color w:val="auto"/>
          <w:sz w:val="32"/>
          <w:szCs w:val="32"/>
          <w:highlight w:val="none"/>
        </w:rPr>
        <w:t>。</w:t>
      </w:r>
    </w:p>
    <w:p w14:paraId="3D203F5D">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外事接待支出0万元。</w:t>
      </w:r>
      <w:bookmarkStart w:id="60" w:name="_Toc15396610"/>
      <w:bookmarkStart w:id="61" w:name="_Toc15377218"/>
    </w:p>
    <w:p w14:paraId="718C693A">
      <w:pPr>
        <w:pageBreakBefore w:val="0"/>
        <w:kinsoku/>
        <w:wordWrap/>
        <w:overflowPunct/>
        <w:topLinePunct w:val="0"/>
        <w:bidi w:val="0"/>
        <w:spacing w:line="576" w:lineRule="exact"/>
        <w:ind w:firstLine="640"/>
        <w:textAlignment w:val="auto"/>
        <w:outlineLvl w:val="1"/>
        <w:rPr>
          <w:rStyle w:val="30"/>
          <w:rFonts w:hint="default" w:ascii="Times New Roman" w:hAnsi="Times New Roman" w:eastAsia="黑体" w:cs="Times New Roman"/>
          <w:color w:val="auto"/>
          <w:highlight w:val="none"/>
        </w:rPr>
      </w:pPr>
      <w:bookmarkStart w:id="62" w:name="_Toc5946"/>
      <w:r>
        <w:rPr>
          <w:rFonts w:hint="default" w:ascii="Times New Roman" w:hAnsi="Times New Roman" w:eastAsia="黑体" w:cs="Times New Roman"/>
          <w:color w:val="auto"/>
          <w:sz w:val="32"/>
          <w:szCs w:val="32"/>
          <w:highlight w:val="none"/>
        </w:rPr>
        <w:t>八、</w:t>
      </w:r>
      <w:r>
        <w:rPr>
          <w:rStyle w:val="30"/>
          <w:rFonts w:hint="default" w:ascii="Times New Roman" w:hAnsi="Times New Roman" w:eastAsia="黑体" w:cs="Times New Roman"/>
          <w:b w:val="0"/>
          <w:color w:val="auto"/>
          <w:highlight w:val="none"/>
        </w:rPr>
        <w:t>政府性基金预算支出决算情况说明</w:t>
      </w:r>
      <w:bookmarkEnd w:id="60"/>
      <w:bookmarkEnd w:id="61"/>
      <w:bookmarkEnd w:id="62"/>
    </w:p>
    <w:p w14:paraId="1317A85C">
      <w:pPr>
        <w:pageBreakBefore w:val="0"/>
        <w:numPr>
          <w:ilvl w:val="0"/>
          <w:numId w:val="0"/>
        </w:numPr>
        <w:kinsoku/>
        <w:wordWrap/>
        <w:overflowPunct/>
        <w:topLinePunct w:val="0"/>
        <w:bidi w:val="0"/>
        <w:spacing w:line="576" w:lineRule="exact"/>
        <w:ind w:left="630" w:leftChars="0"/>
        <w:textAlignment w:val="auto"/>
        <w:outlineLvl w:val="1"/>
        <w:rPr>
          <w:rFonts w:hint="default" w:ascii="Times New Roman" w:hAnsi="Times New Roman" w:eastAsia="仿宋_GB2312" w:cs="Times New Roman"/>
          <w:color w:val="auto"/>
          <w:kern w:val="2"/>
          <w:sz w:val="32"/>
          <w:szCs w:val="32"/>
          <w:highlight w:val="none"/>
          <w:lang w:val="en-US" w:eastAsia="zh-CN" w:bidi="ar-SA"/>
        </w:rPr>
      </w:pPr>
      <w:bookmarkStart w:id="63" w:name="_Toc30581"/>
      <w:r>
        <w:rPr>
          <w:rFonts w:hint="default" w:ascii="Times New Roman" w:hAnsi="Times New Roman" w:eastAsia="仿宋_GB2312" w:cs="Times New Roman"/>
          <w:color w:val="auto"/>
          <w:kern w:val="2"/>
          <w:sz w:val="32"/>
          <w:szCs w:val="32"/>
          <w:highlight w:val="none"/>
          <w:lang w:val="en-US" w:eastAsia="zh-CN" w:bidi="ar-SA"/>
        </w:rPr>
        <w:t>2025年度政府性基金预算财政拨款支出0万元。</w:t>
      </w:r>
      <w:bookmarkEnd w:id="63"/>
      <w:bookmarkStart w:id="64" w:name="_Toc15396611"/>
      <w:bookmarkStart w:id="65" w:name="_Toc15377219"/>
    </w:p>
    <w:p w14:paraId="7C556634">
      <w:pPr>
        <w:pageBreakBefore w:val="0"/>
        <w:numPr>
          <w:ilvl w:val="0"/>
          <w:numId w:val="0"/>
        </w:numPr>
        <w:kinsoku/>
        <w:wordWrap/>
        <w:overflowPunct/>
        <w:topLinePunct w:val="0"/>
        <w:bidi w:val="0"/>
        <w:spacing w:line="576" w:lineRule="exact"/>
        <w:ind w:left="630" w:leftChars="0"/>
        <w:textAlignment w:val="auto"/>
        <w:outlineLvl w:val="1"/>
        <w:rPr>
          <w:rStyle w:val="30"/>
          <w:rFonts w:hint="default" w:ascii="Times New Roman" w:hAnsi="Times New Roman" w:eastAsia="黑体" w:cs="Times New Roman"/>
          <w:b w:val="0"/>
          <w:color w:val="auto"/>
          <w:highlight w:val="none"/>
        </w:rPr>
      </w:pPr>
      <w:bookmarkStart w:id="66" w:name="_Toc3644"/>
      <w:r>
        <w:rPr>
          <w:rStyle w:val="30"/>
          <w:rFonts w:hint="default" w:ascii="Times New Roman" w:hAnsi="Times New Roman" w:eastAsia="黑体" w:cs="Times New Roman"/>
          <w:b w:val="0"/>
          <w:color w:val="auto"/>
          <w:highlight w:val="none"/>
          <w:lang w:eastAsia="zh-CN"/>
        </w:rPr>
        <w:t>九、</w:t>
      </w:r>
      <w:r>
        <w:rPr>
          <w:rStyle w:val="30"/>
          <w:rFonts w:hint="default" w:ascii="Times New Roman" w:hAnsi="Times New Roman" w:eastAsia="黑体" w:cs="Times New Roman"/>
          <w:b w:val="0"/>
          <w:color w:val="auto"/>
          <w:highlight w:val="none"/>
        </w:rPr>
        <w:t>国有资本经营预算支出决算情况说明</w:t>
      </w:r>
      <w:bookmarkEnd w:id="64"/>
      <w:bookmarkEnd w:id="65"/>
      <w:bookmarkEnd w:id="66"/>
    </w:p>
    <w:p w14:paraId="479D7165">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2025年度国有资本经营预算财政拨款支出0万元。</w:t>
      </w:r>
    </w:p>
    <w:p w14:paraId="5130AEC1">
      <w:pPr>
        <w:pageBreakBefore w:val="0"/>
        <w:numPr>
          <w:ilvl w:val="0"/>
          <w:numId w:val="0"/>
        </w:numPr>
        <w:kinsoku/>
        <w:wordWrap/>
        <w:overflowPunct/>
        <w:topLinePunct w:val="0"/>
        <w:bidi w:val="0"/>
        <w:spacing w:line="576" w:lineRule="exact"/>
        <w:ind w:left="630" w:leftChars="0"/>
        <w:textAlignment w:val="auto"/>
        <w:outlineLvl w:val="1"/>
        <w:rPr>
          <w:rStyle w:val="30"/>
          <w:rFonts w:hint="default" w:ascii="Times New Roman" w:hAnsi="Times New Roman" w:eastAsia="黑体" w:cs="Times New Roman"/>
          <w:b w:val="0"/>
          <w:color w:val="auto"/>
          <w:highlight w:val="none"/>
        </w:rPr>
      </w:pPr>
      <w:bookmarkStart w:id="67" w:name="_Toc15377221"/>
      <w:bookmarkStart w:id="68" w:name="_Toc15396612"/>
      <w:bookmarkStart w:id="69" w:name="_Toc22960"/>
      <w:r>
        <w:rPr>
          <w:rStyle w:val="30"/>
          <w:rFonts w:hint="default" w:ascii="Times New Roman" w:hAnsi="Times New Roman" w:eastAsia="黑体" w:cs="Times New Roman"/>
          <w:b w:val="0"/>
          <w:color w:val="auto"/>
          <w:highlight w:val="none"/>
          <w:lang w:eastAsia="zh-CN"/>
        </w:rPr>
        <w:t>十、</w:t>
      </w:r>
      <w:r>
        <w:rPr>
          <w:rStyle w:val="30"/>
          <w:rFonts w:hint="default" w:ascii="Times New Roman" w:hAnsi="Times New Roman" w:eastAsia="黑体" w:cs="Times New Roman"/>
          <w:b w:val="0"/>
          <w:color w:val="auto"/>
          <w:highlight w:val="none"/>
        </w:rPr>
        <w:t>其他重要事项的情况说明</w:t>
      </w:r>
      <w:bookmarkEnd w:id="67"/>
      <w:bookmarkEnd w:id="68"/>
      <w:bookmarkEnd w:id="69"/>
    </w:p>
    <w:p w14:paraId="55A3C3D5">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70" w:name="_Toc15377222"/>
      <w:r>
        <w:rPr>
          <w:rFonts w:hint="default" w:ascii="Times New Roman" w:hAnsi="Times New Roman" w:eastAsia="楷体_GB2312" w:cs="Times New Roman"/>
          <w:b/>
          <w:color w:val="auto"/>
          <w:sz w:val="32"/>
          <w:szCs w:val="32"/>
          <w:highlight w:val="none"/>
        </w:rPr>
        <w:t>（一）机关运行经费支出情况</w:t>
      </w:r>
      <w:bookmarkEnd w:id="70"/>
    </w:p>
    <w:p w14:paraId="1AB0B29E">
      <w:pPr>
        <w:pageBreakBefore w:val="0"/>
        <w:kinsoku/>
        <w:wordWrap/>
        <w:overflowPunct/>
        <w:topLinePunct w:val="0"/>
        <w:bidi w:val="0"/>
        <w:spacing w:line="576"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w:t>
      </w:r>
      <w:r>
        <w:rPr>
          <w:rFonts w:hint="default" w:ascii="Times New Roman" w:hAnsi="Times New Roman" w:eastAsia="仿宋_GB2312" w:cs="Times New Roman"/>
          <w:color w:val="auto"/>
          <w:sz w:val="32"/>
          <w:szCs w:val="32"/>
          <w:highlight w:val="none"/>
        </w:rPr>
        <w:t>中国共产党茂县委员会政法委员会</w:t>
      </w:r>
      <w:r>
        <w:rPr>
          <w:rFonts w:hint="default" w:ascii="Times New Roman" w:hAnsi="Times New Roman" w:eastAsia="仿宋_GB2312" w:cs="Times New Roman"/>
          <w:color w:val="auto"/>
          <w:kern w:val="2"/>
          <w:sz w:val="32"/>
          <w:szCs w:val="32"/>
          <w:highlight w:val="none"/>
          <w:lang w:val="en-US" w:eastAsia="zh-CN" w:bidi="ar-SA"/>
        </w:rPr>
        <w:t>机关运行经费支出37.33万元，</w:t>
      </w:r>
      <w:r>
        <w:rPr>
          <w:rFonts w:hint="eastAsia" w:eastAsia="仿宋" w:cs="Times New Roman"/>
          <w:color w:val="auto"/>
          <w:sz w:val="32"/>
          <w:szCs w:val="32"/>
          <w:highlight w:val="none"/>
          <w:lang w:val="en-US" w:eastAsia="zh-CN"/>
        </w:rPr>
        <w:t>与2024年度相比</w:t>
      </w:r>
      <w:r>
        <w:rPr>
          <w:rFonts w:hint="default" w:ascii="Times New Roman" w:hAnsi="Times New Roman" w:eastAsia="仿宋_GB2312" w:cs="Times New Roman"/>
          <w:color w:val="auto"/>
          <w:kern w:val="2"/>
          <w:sz w:val="32"/>
          <w:szCs w:val="32"/>
          <w:highlight w:val="none"/>
          <w:lang w:val="en-US" w:eastAsia="zh-CN" w:bidi="ar-SA"/>
        </w:rPr>
        <w:t>增加12.07万元，增长47.78%。主要原因是</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办公费、公务执行增加。</w:t>
      </w:r>
    </w:p>
    <w:p w14:paraId="636BE03E">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71" w:name="_Toc15377223"/>
      <w:r>
        <w:rPr>
          <w:rFonts w:hint="default" w:ascii="Times New Roman" w:hAnsi="Times New Roman" w:eastAsia="楷体_GB2312" w:cs="Times New Roman"/>
          <w:b/>
          <w:color w:val="auto"/>
          <w:sz w:val="32"/>
          <w:szCs w:val="32"/>
          <w:highlight w:val="none"/>
        </w:rPr>
        <w:t>（二）政府采购支出情况</w:t>
      </w:r>
      <w:bookmarkEnd w:id="71"/>
    </w:p>
    <w:p w14:paraId="44BC23A5">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年度</w:t>
      </w:r>
      <w:r>
        <w:rPr>
          <w:rFonts w:hint="default" w:ascii="Times New Roman" w:hAnsi="Times New Roman" w:eastAsia="仿宋_GB2312" w:cs="Times New Roman"/>
          <w:color w:val="auto"/>
          <w:sz w:val="32"/>
          <w:szCs w:val="32"/>
          <w:highlight w:val="none"/>
        </w:rPr>
        <w:t>，中国共产党茂县委员会政法委员会政府采购支出总额</w:t>
      </w:r>
      <w:r>
        <w:rPr>
          <w:rFonts w:hint="default" w:ascii="Times New Roman" w:hAnsi="Times New Roman" w:eastAsia="仿宋_GB2312" w:cs="Times New Roman"/>
          <w:color w:val="auto"/>
          <w:sz w:val="32"/>
          <w:szCs w:val="32"/>
          <w:highlight w:val="none"/>
          <w:lang w:val="en-US" w:eastAsia="zh-CN"/>
        </w:rPr>
        <w:t>6.29</w:t>
      </w:r>
      <w:r>
        <w:rPr>
          <w:rFonts w:hint="default" w:ascii="Times New Roman" w:hAnsi="Times New Roman" w:eastAsia="仿宋_GB2312" w:cs="Times New Roman"/>
          <w:color w:val="auto"/>
          <w:sz w:val="32"/>
          <w:szCs w:val="32"/>
          <w:highlight w:val="none"/>
        </w:rPr>
        <w:t>万元，其中：政府采购货物支出</w:t>
      </w:r>
      <w:r>
        <w:rPr>
          <w:rFonts w:hint="default" w:ascii="Times New Roman" w:hAnsi="Times New Roman" w:eastAsia="仿宋_GB2312" w:cs="Times New Roman"/>
          <w:color w:val="auto"/>
          <w:sz w:val="32"/>
          <w:szCs w:val="32"/>
          <w:highlight w:val="none"/>
          <w:lang w:val="en-US" w:eastAsia="zh-CN"/>
        </w:rPr>
        <w:t>6.29</w:t>
      </w:r>
      <w:r>
        <w:rPr>
          <w:rFonts w:hint="default" w:ascii="Times New Roman" w:hAnsi="Times New Roman" w:eastAsia="仿宋_GB2312" w:cs="Times New Roman"/>
          <w:color w:val="auto"/>
          <w:sz w:val="32"/>
          <w:szCs w:val="32"/>
          <w:highlight w:val="none"/>
        </w:rPr>
        <w:t>万元。主要用于</w:t>
      </w:r>
      <w:r>
        <w:rPr>
          <w:rFonts w:hint="default" w:ascii="Times New Roman" w:hAnsi="Times New Roman" w:eastAsia="仿宋_GB2312" w:cs="Times New Roman"/>
          <w:color w:val="auto"/>
          <w:sz w:val="32"/>
          <w:szCs w:val="32"/>
          <w:highlight w:val="none"/>
          <w:lang w:eastAsia="zh-CN"/>
        </w:rPr>
        <w:t>维稳办公设备采购</w:t>
      </w:r>
      <w:r>
        <w:rPr>
          <w:rFonts w:hint="default" w:ascii="Times New Roman" w:hAnsi="Times New Roman" w:eastAsia="仿宋_GB2312" w:cs="Times New Roman"/>
          <w:color w:val="auto"/>
          <w:sz w:val="32"/>
          <w:szCs w:val="32"/>
          <w:highlight w:val="none"/>
        </w:rPr>
        <w:t>。授予中小企业合同金额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%，其中：授予小微企业合同金额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w:t>
      </w:r>
    </w:p>
    <w:p w14:paraId="2E576213">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bookmarkStart w:id="72" w:name="_Toc15377224"/>
      <w:r>
        <w:rPr>
          <w:rFonts w:hint="default" w:ascii="Times New Roman" w:hAnsi="Times New Roman" w:eastAsia="楷体_GB2312" w:cs="Times New Roman"/>
          <w:b/>
          <w:color w:val="auto"/>
          <w:sz w:val="32"/>
          <w:szCs w:val="32"/>
          <w:highlight w:val="none"/>
        </w:rPr>
        <w:t>（三）国有资产占有使用情况</w:t>
      </w:r>
      <w:bookmarkEnd w:id="72"/>
    </w:p>
    <w:p w14:paraId="43C0B4E2">
      <w:pPr>
        <w:pageBreakBefore w:val="0"/>
        <w:kinsoku/>
        <w:wordWrap/>
        <w:overflowPunct/>
        <w:topLinePunct w:val="0"/>
        <w:autoSpaceDE w:val="0"/>
        <w:autoSpaceDN w:val="0"/>
        <w:bidi w:val="0"/>
        <w:adjustRightInd w:val="0"/>
        <w:spacing w:line="576"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截至</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年</w:t>
      </w:r>
      <w:r>
        <w:rPr>
          <w:rFonts w:hint="default" w:ascii="Times New Roman" w:hAnsi="Times New Roman" w:eastAsia="仿宋_GB2312" w:cs="Times New Roman"/>
          <w:color w:val="auto"/>
          <w:sz w:val="32"/>
          <w:szCs w:val="32"/>
          <w:highlight w:val="none"/>
        </w:rPr>
        <w:t>12月31日，中国共产党茂县委员会政法委员会共有车辆</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辆，其中：主要领导干部用车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辆、机要通信用车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辆、应急保障用车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辆、其他用车</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其他用车主要是用于</w:t>
      </w:r>
      <w:r>
        <w:rPr>
          <w:rFonts w:hint="default" w:ascii="Times New Roman" w:hAnsi="Times New Roman" w:eastAsia="仿宋_GB2312" w:cs="Times New Roman"/>
          <w:color w:val="auto"/>
          <w:sz w:val="32"/>
          <w:szCs w:val="32"/>
          <w:highlight w:val="none"/>
          <w:lang w:eastAsia="zh-CN"/>
        </w:rPr>
        <w:t>后勤与内务保障。</w:t>
      </w:r>
      <w:r>
        <w:rPr>
          <w:rFonts w:hint="default" w:ascii="Times New Roman" w:hAnsi="Times New Roman" w:eastAsia="仿宋_GB2312" w:cs="Times New Roman"/>
          <w:color w:val="auto"/>
          <w:sz w:val="32"/>
          <w:szCs w:val="32"/>
          <w:highlight w:val="none"/>
        </w:rPr>
        <w:t>单价50万元以上通用设备</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台（套），单价100万元以上专用设备</w:t>
      </w:r>
      <w:r>
        <w:rPr>
          <w:rFonts w:hint="default" w:ascii="Times New Roman" w:hAnsi="Times New Roman" w:eastAsia="仿宋_GB2312" w:cs="Times New Roman"/>
          <w:color w:val="auto"/>
          <w:sz w:val="32"/>
          <w:szCs w:val="32"/>
          <w:highlight w:val="none"/>
          <w:lang w:eastAsia="zh-CN"/>
        </w:rPr>
        <w:t>（不含车辆）</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14:paraId="21ABAEBC">
      <w:pPr>
        <w:pageBreakBefore w:val="0"/>
        <w:kinsoku/>
        <w:wordWrap/>
        <w:overflowPunct/>
        <w:topLinePunct w:val="0"/>
        <w:bidi w:val="0"/>
        <w:spacing w:line="576" w:lineRule="exact"/>
        <w:ind w:firstLine="643" w:firstLineChars="200"/>
        <w:textAlignment w:val="auto"/>
        <w:outlineLvl w:val="2"/>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sz w:val="32"/>
          <w:szCs w:val="32"/>
          <w:highlight w:val="none"/>
        </w:rPr>
        <w:t>（四）预算绩效管理情况</w:t>
      </w:r>
    </w:p>
    <w:p w14:paraId="0B1431BA">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bookmarkStart w:id="73" w:name="_Toc15396613"/>
      <w:bookmarkStart w:id="74" w:name="_Toc15377225"/>
      <w:r>
        <w:rPr>
          <w:rFonts w:hint="default" w:ascii="Times New Roman" w:hAnsi="Times New Roman" w:eastAsia="仿宋_GB2312" w:cs="Times New Roman"/>
          <w:color w:val="auto"/>
          <w:sz w:val="32"/>
          <w:szCs w:val="32"/>
          <w:highlight w:val="none"/>
          <w:lang w:eastAsia="zh-CN"/>
        </w:rPr>
        <w:t>根据预算绩效管理要求，本单位在</w:t>
      </w:r>
      <w:r>
        <w:rPr>
          <w:rFonts w:hint="default" w:ascii="Times New Roman" w:hAnsi="Times New Roman" w:eastAsia="仿宋_GB2312" w:cs="Times New Roman"/>
          <w:color w:val="auto"/>
          <w:sz w:val="32"/>
          <w:szCs w:val="32"/>
          <w:highlight w:val="none"/>
          <w:lang w:val="en-US" w:eastAsia="zh-CN"/>
        </w:rPr>
        <w:t>2025年度</w:t>
      </w:r>
      <w:r>
        <w:rPr>
          <w:rFonts w:hint="default" w:ascii="Times New Roman" w:hAnsi="Times New Roman" w:eastAsia="仿宋_GB2312" w:cs="Times New Roman"/>
          <w:color w:val="auto"/>
          <w:sz w:val="32"/>
          <w:szCs w:val="32"/>
          <w:highlight w:val="none"/>
          <w:lang w:eastAsia="zh-CN"/>
        </w:rPr>
        <w:t>预算编制阶段，组织对</w:t>
      </w:r>
      <w:r>
        <w:rPr>
          <w:rFonts w:hint="default" w:ascii="Times New Roman" w:hAnsi="Times New Roman" w:eastAsia="仿宋_GB2312" w:cs="Times New Roman"/>
          <w:color w:val="auto"/>
          <w:sz w:val="32"/>
          <w:szCs w:val="32"/>
          <w:highlight w:val="none"/>
          <w:lang w:val="en-US" w:eastAsia="zh-CN"/>
        </w:rPr>
        <w:t>第三方调解中心房屋租金、茂县基层社会治理人员交流交融交往项目、茂县社会治安综合治理中心提升改造、2025年茂县政法委维稳办公设备采购</w:t>
      </w:r>
      <w:r>
        <w:rPr>
          <w:rFonts w:hint="default" w:ascii="Times New Roman" w:hAnsi="Times New Roman" w:eastAsia="仿宋_GB2312" w:cs="Times New Roman"/>
          <w:color w:val="auto"/>
          <w:sz w:val="32"/>
          <w:szCs w:val="32"/>
          <w:highlight w:val="none"/>
          <w:lang w:eastAsia="zh-CN"/>
        </w:rPr>
        <w:t>项目等</w:t>
      </w:r>
      <w:r>
        <w:rPr>
          <w:rFonts w:hint="default" w:ascii="Times New Roman" w:hAnsi="Times New Roman" w:eastAsia="仿宋_GB2312" w:cs="Times New Roman"/>
          <w:color w:val="auto"/>
          <w:sz w:val="32"/>
          <w:szCs w:val="32"/>
          <w:highlight w:val="none"/>
          <w:lang w:val="en-US" w:eastAsia="zh-CN"/>
        </w:rPr>
        <w:t>4个项目</w:t>
      </w:r>
      <w:r>
        <w:rPr>
          <w:rFonts w:hint="default" w:ascii="Times New Roman" w:hAnsi="Times New Roman" w:eastAsia="仿宋_GB2312" w:cs="Times New Roman"/>
          <w:color w:val="auto"/>
          <w:sz w:val="32"/>
          <w:szCs w:val="32"/>
          <w:highlight w:val="none"/>
          <w:lang w:eastAsia="zh-CN"/>
        </w:rPr>
        <w:t>开展了预算事前绩效评估，对</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个项目编制了绩效目标，预算执行过程中，选取</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个项目开展绩效监控，组织对</w:t>
      </w:r>
      <w:r>
        <w:rPr>
          <w:rFonts w:hint="default" w:ascii="Times New Roman" w:hAnsi="Times New Roman" w:eastAsia="仿宋_GB2312" w:cs="Times New Roman"/>
          <w:color w:val="auto"/>
          <w:sz w:val="32"/>
          <w:szCs w:val="32"/>
          <w:highlight w:val="none"/>
          <w:lang w:val="en-US" w:eastAsia="zh-CN"/>
        </w:rPr>
        <w:t>4个项目开展绩效自评，绩效自评表详见第四部分附件。</w:t>
      </w:r>
    </w:p>
    <w:p w14:paraId="7E18A66D">
      <w:pPr>
        <w:pageBreakBefore w:val="0"/>
        <w:numPr>
          <w:ilvl w:val="0"/>
          <w:numId w:val="0"/>
        </w:numPr>
        <w:kinsoku/>
        <w:wordWrap/>
        <w:overflowPunct/>
        <w:topLinePunct w:val="0"/>
        <w:bidi w:val="0"/>
        <w:spacing w:line="576" w:lineRule="exact"/>
        <w:jc w:val="center"/>
        <w:textAlignment w:val="auto"/>
        <w:outlineLvl w:val="0"/>
        <w:rPr>
          <w:rFonts w:hint="default" w:ascii="Times New Roman" w:hAnsi="Times New Roman" w:eastAsia="黑体" w:cs="Times New Roman"/>
          <w:color w:val="auto"/>
          <w:sz w:val="44"/>
          <w:szCs w:val="44"/>
          <w:highlight w:val="none"/>
        </w:rPr>
      </w:pPr>
    </w:p>
    <w:p w14:paraId="6B9AE0D3">
      <w:pPr>
        <w:pageBreakBefore w:val="0"/>
        <w:numPr>
          <w:ilvl w:val="0"/>
          <w:numId w:val="0"/>
        </w:numPr>
        <w:kinsoku/>
        <w:wordWrap/>
        <w:overflowPunct/>
        <w:topLinePunct w:val="0"/>
        <w:bidi w:val="0"/>
        <w:spacing w:line="576" w:lineRule="exact"/>
        <w:jc w:val="center"/>
        <w:textAlignment w:val="auto"/>
        <w:outlineLvl w:val="0"/>
        <w:rPr>
          <w:rFonts w:hint="default" w:ascii="Times New Roman" w:hAnsi="Times New Roman" w:eastAsia="黑体" w:cs="Times New Roman"/>
          <w:color w:val="auto"/>
          <w:sz w:val="44"/>
          <w:szCs w:val="44"/>
          <w:highlight w:val="none"/>
        </w:rPr>
      </w:pPr>
    </w:p>
    <w:p w14:paraId="50E32B40">
      <w:pPr>
        <w:pageBreakBefore w:val="0"/>
        <w:numPr>
          <w:ilvl w:val="0"/>
          <w:numId w:val="0"/>
        </w:numPr>
        <w:kinsoku/>
        <w:wordWrap/>
        <w:overflowPunct/>
        <w:topLinePunct w:val="0"/>
        <w:bidi w:val="0"/>
        <w:spacing w:line="576" w:lineRule="exact"/>
        <w:jc w:val="center"/>
        <w:textAlignment w:val="auto"/>
        <w:outlineLvl w:val="0"/>
        <w:rPr>
          <w:rFonts w:hint="default" w:ascii="Times New Roman" w:hAnsi="Times New Roman" w:eastAsia="黑体" w:cs="Times New Roman"/>
          <w:color w:val="auto"/>
          <w:sz w:val="44"/>
          <w:szCs w:val="44"/>
          <w:highlight w:val="none"/>
        </w:rPr>
      </w:pPr>
    </w:p>
    <w:p w14:paraId="56A9F451">
      <w:pPr>
        <w:pageBreakBefore w:val="0"/>
        <w:numPr>
          <w:ilvl w:val="0"/>
          <w:numId w:val="0"/>
        </w:numPr>
        <w:kinsoku/>
        <w:wordWrap/>
        <w:overflowPunct/>
        <w:topLinePunct w:val="0"/>
        <w:bidi w:val="0"/>
        <w:spacing w:line="576" w:lineRule="exact"/>
        <w:jc w:val="center"/>
        <w:textAlignment w:val="auto"/>
        <w:outlineLvl w:val="0"/>
        <w:rPr>
          <w:rFonts w:hint="default" w:ascii="Times New Roman" w:hAnsi="Times New Roman" w:eastAsia="黑体" w:cs="Times New Roman"/>
          <w:color w:val="auto"/>
          <w:sz w:val="44"/>
          <w:szCs w:val="44"/>
          <w:highlight w:val="none"/>
        </w:rPr>
      </w:pPr>
    </w:p>
    <w:p w14:paraId="367F8316">
      <w:pPr>
        <w:pageBreakBefore w:val="0"/>
        <w:numPr>
          <w:ilvl w:val="0"/>
          <w:numId w:val="0"/>
        </w:numPr>
        <w:kinsoku/>
        <w:wordWrap/>
        <w:overflowPunct/>
        <w:topLinePunct w:val="0"/>
        <w:bidi w:val="0"/>
        <w:spacing w:line="576" w:lineRule="exact"/>
        <w:jc w:val="center"/>
        <w:textAlignment w:val="auto"/>
        <w:outlineLvl w:val="0"/>
        <w:rPr>
          <w:rFonts w:hint="default" w:ascii="Times New Roman" w:hAnsi="Times New Roman" w:eastAsia="黑体" w:cs="Times New Roman"/>
          <w:color w:val="auto"/>
          <w:sz w:val="44"/>
          <w:szCs w:val="44"/>
          <w:highlight w:val="none"/>
        </w:rPr>
      </w:pPr>
    </w:p>
    <w:p w14:paraId="4C2C8838">
      <w:pPr>
        <w:pageBreakBefore w:val="0"/>
        <w:numPr>
          <w:ilvl w:val="0"/>
          <w:numId w:val="0"/>
        </w:numPr>
        <w:kinsoku/>
        <w:wordWrap/>
        <w:overflowPunct/>
        <w:topLinePunct w:val="0"/>
        <w:bidi w:val="0"/>
        <w:spacing w:line="576" w:lineRule="exact"/>
        <w:jc w:val="center"/>
        <w:textAlignment w:val="auto"/>
        <w:outlineLvl w:val="0"/>
        <w:rPr>
          <w:rFonts w:hint="default" w:ascii="Times New Roman" w:hAnsi="Times New Roman" w:eastAsia="黑体" w:cs="Times New Roman"/>
          <w:color w:val="auto"/>
          <w:sz w:val="44"/>
          <w:szCs w:val="44"/>
          <w:highlight w:val="none"/>
        </w:rPr>
      </w:pPr>
    </w:p>
    <w:p w14:paraId="0AB2F78D">
      <w:pPr>
        <w:pageBreakBefore w:val="0"/>
        <w:numPr>
          <w:ilvl w:val="0"/>
          <w:numId w:val="0"/>
        </w:numPr>
        <w:kinsoku/>
        <w:wordWrap/>
        <w:overflowPunct/>
        <w:topLinePunct w:val="0"/>
        <w:bidi w:val="0"/>
        <w:spacing w:line="576" w:lineRule="exact"/>
        <w:jc w:val="center"/>
        <w:textAlignment w:val="auto"/>
        <w:outlineLvl w:val="0"/>
        <w:rPr>
          <w:rFonts w:hint="default" w:ascii="Times New Roman" w:hAnsi="Times New Roman" w:eastAsia="黑体" w:cs="Times New Roman"/>
          <w:color w:val="auto"/>
          <w:sz w:val="44"/>
          <w:szCs w:val="44"/>
          <w:highlight w:val="none"/>
        </w:rPr>
      </w:pPr>
    </w:p>
    <w:p w14:paraId="116147AA">
      <w:pPr>
        <w:pageBreakBefore w:val="0"/>
        <w:numPr>
          <w:ilvl w:val="0"/>
          <w:numId w:val="0"/>
        </w:numPr>
        <w:kinsoku/>
        <w:wordWrap/>
        <w:overflowPunct/>
        <w:topLinePunct w:val="0"/>
        <w:bidi w:val="0"/>
        <w:spacing w:line="576" w:lineRule="exact"/>
        <w:jc w:val="both"/>
        <w:textAlignment w:val="auto"/>
        <w:outlineLvl w:val="0"/>
        <w:rPr>
          <w:rFonts w:hint="eastAsia" w:ascii="Times New Roman" w:hAnsi="Times New Roman" w:eastAsia="黑体" w:cs="Times New Roman"/>
          <w:color w:val="auto"/>
          <w:sz w:val="44"/>
          <w:szCs w:val="44"/>
          <w:highlight w:val="none"/>
          <w:lang w:val="en-US" w:eastAsia="zh-CN"/>
        </w:rPr>
      </w:pPr>
      <w:bookmarkStart w:id="75" w:name="_Toc25961"/>
    </w:p>
    <w:p w14:paraId="74651066">
      <w:pPr>
        <w:pageBreakBefore w:val="0"/>
        <w:numPr>
          <w:ilvl w:val="0"/>
          <w:numId w:val="0"/>
        </w:numPr>
        <w:kinsoku/>
        <w:wordWrap/>
        <w:overflowPunct/>
        <w:topLinePunct w:val="0"/>
        <w:bidi w:val="0"/>
        <w:spacing w:line="576" w:lineRule="exact"/>
        <w:jc w:val="center"/>
        <w:textAlignment w:val="auto"/>
        <w:outlineLvl w:val="0"/>
        <w:rPr>
          <w:rFonts w:hint="default" w:ascii="Times New Roman" w:hAnsi="Times New Roman" w:eastAsia="黑体" w:cs="Times New Roman"/>
          <w:color w:val="auto"/>
          <w:sz w:val="44"/>
          <w:szCs w:val="44"/>
          <w:highlight w:val="none"/>
        </w:rPr>
      </w:pPr>
      <w:r>
        <w:rPr>
          <w:rFonts w:hint="default" w:ascii="Times New Roman" w:hAnsi="Times New Roman" w:eastAsia="黑体" w:cs="Times New Roman"/>
          <w:color w:val="auto"/>
          <w:sz w:val="44"/>
          <w:szCs w:val="44"/>
          <w:highlight w:val="none"/>
        </w:rPr>
        <w:t>第</w:t>
      </w:r>
      <w:r>
        <w:rPr>
          <w:rFonts w:hint="default" w:ascii="Times New Roman" w:hAnsi="Times New Roman" w:eastAsia="黑体" w:cs="Times New Roman"/>
          <w:color w:val="auto"/>
          <w:sz w:val="44"/>
          <w:szCs w:val="44"/>
          <w:highlight w:val="none"/>
          <w:lang w:eastAsia="zh-CN"/>
        </w:rPr>
        <w:t>三</w:t>
      </w:r>
      <w:r>
        <w:rPr>
          <w:rFonts w:hint="default" w:ascii="Times New Roman" w:hAnsi="Times New Roman" w:eastAsia="黑体" w:cs="Times New Roman"/>
          <w:color w:val="auto"/>
          <w:sz w:val="44"/>
          <w:szCs w:val="44"/>
          <w:highlight w:val="none"/>
        </w:rPr>
        <w:t>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名词解释</w:t>
      </w:r>
      <w:bookmarkEnd w:id="73"/>
      <w:bookmarkEnd w:id="74"/>
      <w:bookmarkEnd w:id="75"/>
    </w:p>
    <w:p w14:paraId="41687623">
      <w:pPr>
        <w:pageBreakBefore w:val="0"/>
        <w:kinsoku/>
        <w:wordWrap/>
        <w:overflowPunct/>
        <w:topLinePunct w:val="0"/>
        <w:bidi w:val="0"/>
        <w:spacing w:line="576" w:lineRule="exact"/>
        <w:jc w:val="left"/>
        <w:textAlignment w:val="auto"/>
        <w:rPr>
          <w:rFonts w:hint="default" w:ascii="Times New Roman" w:hAnsi="Times New Roman" w:cs="Times New Roman"/>
          <w:b/>
          <w:color w:val="auto"/>
          <w:sz w:val="44"/>
          <w:szCs w:val="44"/>
          <w:highlight w:val="none"/>
        </w:rPr>
      </w:pPr>
    </w:p>
    <w:p w14:paraId="489530BE">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bookmarkStart w:id="76" w:name="_Toc15377226"/>
      <w:r>
        <w:rPr>
          <w:rFonts w:hint="default" w:ascii="Times New Roman" w:hAnsi="Times New Roman" w:eastAsia="仿宋_GB2312" w:cs="Times New Roman"/>
          <w:color w:val="000000"/>
          <w:sz w:val="32"/>
          <w:szCs w:val="32"/>
        </w:rPr>
        <w:t>1.财政拨款收入：指单位从同级财政部门取得的财政预算资金。</w:t>
      </w:r>
    </w:p>
    <w:p w14:paraId="47EFBB4F">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2.事业收入：指事业单位开展专业业务活动及辅助活动取得的收入。</w:t>
      </w:r>
    </w:p>
    <w:p w14:paraId="50C28D01">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3.经营收入：指事业单位在专业业务活动及其辅助活动之外开展非独立核算经营活动取得的收入</w:t>
      </w:r>
    </w:p>
    <w:p w14:paraId="2E70A234">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4.其他收入：指单位取得的除上述收入以外的各项收入。</w:t>
      </w:r>
    </w:p>
    <w:p w14:paraId="3F115D30">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029FC8B2">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6.年初结转和结余：指以前年度尚未完成、结转到本年按有关规定继续使用的资金。 </w:t>
      </w:r>
    </w:p>
    <w:p w14:paraId="0807D555">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7.结余分配：指事业单位按照事业单位会计制度的规定从非财政补助结余中分配的事业基金和职工福利基金等。</w:t>
      </w:r>
    </w:p>
    <w:p w14:paraId="52643BEB">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8.年末结转和结余：指单位按有关规定结转到下年或以后年度继续使用的资金。</w:t>
      </w:r>
    </w:p>
    <w:p w14:paraId="42DE6EE4">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9.公共安全支出（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）公安（</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）行政运行（</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）：反映行政单位（包括实行公务员管理的事业单位）的基本支出。</w:t>
      </w:r>
    </w:p>
    <w:p w14:paraId="69A73459">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10.公共安全支出（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）公安（</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）一般行政管理事务（</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）：反映行政单位（包括实行公务员管理的事业单位）未单独设置项级科目的其他项目支出。</w:t>
      </w:r>
    </w:p>
    <w:p w14:paraId="64E8F494">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11.公共安全支出（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）公安（</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）事业运行（</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）：反映事业单位的基本支岀，不包括行政单位（包括实行公务员管理的事业单位）后勤服务中心、医务室等附属事业单位。</w:t>
      </w:r>
    </w:p>
    <w:p w14:paraId="78F01641">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12.公共安全支出（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）公安（</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）其他公安支出（</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）：反映除上述项目以外其他用于公安方面的支出。</w:t>
      </w:r>
    </w:p>
    <w:p w14:paraId="4DEFF3E6">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13.社会保障和就业支出（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）行政事业单位养老支出（</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）机关事业单位基本养老保险缴费支出（</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）：反映机关事业单位实施养老保险制度由单位缴纳的基本养老保险费支出。</w:t>
      </w:r>
    </w:p>
    <w:p w14:paraId="061D8C4F">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14.社会保障和就业支出（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）行政事业单位养老支出（</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）机关事业单位职业年金缴费支出（</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）：反映机关事业单位实施养老保险制度由单位实际缴纳的职业年金支出。</w:t>
      </w:r>
    </w:p>
    <w:p w14:paraId="7FBDD5A5">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15.卫生健康支出（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）行政事业单位医疗（</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）行政单位医疗（</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）：反映财政部门安排的行政单位（包括实行公务员管理的事业单位，下同）基本医疗保险缴费经费，未参加医疗保险的行政单位的公费医疗经费，按国家规定享受离休人员、红军老战士待遇人员的医疗经费。</w:t>
      </w:r>
    </w:p>
    <w:p w14:paraId="59DFEE18">
      <w:pPr>
        <w:pageBreakBefore w:val="0"/>
        <w:widowControl w:val="0"/>
        <w:suppressAutoHyphen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16.卫生健康支出（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）行政事业单位医疗（</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）事业单位医疗（</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）：反映财政部门安排的事业单位基本医疗保险缴费经费，未参加医疗保险的事业单位的公费医疗经费，按国家规定享受离休人员待遇的医疗经费。</w:t>
      </w:r>
    </w:p>
    <w:p w14:paraId="2A1AEF89">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17.农林水支出（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）扶贫（</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）其他扶贫支出（</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）：反映除上述项目以外其他用于扶贫方面的支出。</w:t>
      </w:r>
    </w:p>
    <w:p w14:paraId="36783884">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18.住房保障支出（</w:t>
      </w:r>
      <w:r>
        <w:rPr>
          <w:rFonts w:hint="default" w:ascii="Times New Roman" w:hAnsi="Times New Roman" w:eastAsia="仿宋_GB2312" w:cs="Times New Roman"/>
          <w:color w:val="000000"/>
          <w:sz w:val="32"/>
          <w:szCs w:val="32"/>
          <w:lang w:val="en-US" w:eastAsia="zh-CN"/>
        </w:rPr>
        <w:t>类</w:t>
      </w:r>
      <w:r>
        <w:rPr>
          <w:rFonts w:hint="default" w:ascii="Times New Roman" w:hAnsi="Times New Roman" w:eastAsia="仿宋_GB2312" w:cs="Times New Roman"/>
          <w:color w:val="000000"/>
          <w:sz w:val="32"/>
          <w:szCs w:val="32"/>
        </w:rPr>
        <w:t>）住房改革支出（</w:t>
      </w:r>
      <w:r>
        <w:rPr>
          <w:rFonts w:hint="default" w:ascii="Times New Roman" w:hAnsi="Times New Roman" w:eastAsia="仿宋_GB2312" w:cs="Times New Roman"/>
          <w:color w:val="000000"/>
          <w:sz w:val="32"/>
          <w:szCs w:val="32"/>
          <w:lang w:val="en-US" w:eastAsia="zh-CN"/>
        </w:rPr>
        <w:t>款</w:t>
      </w:r>
      <w:r>
        <w:rPr>
          <w:rFonts w:hint="default" w:ascii="Times New Roman" w:hAnsi="Times New Roman" w:eastAsia="仿宋_GB2312" w:cs="Times New Roman"/>
          <w:color w:val="000000"/>
          <w:sz w:val="32"/>
          <w:szCs w:val="32"/>
        </w:rPr>
        <w:t>）住房公积金（</w:t>
      </w:r>
      <w:r>
        <w:rPr>
          <w:rFonts w:hint="default" w:ascii="Times New Roman" w:hAnsi="Times New Roman" w:eastAsia="仿宋_GB2312" w:cs="Times New Roman"/>
          <w:color w:val="000000"/>
          <w:sz w:val="32"/>
          <w:szCs w:val="32"/>
          <w:lang w:val="en-US" w:eastAsia="zh-CN"/>
        </w:rPr>
        <w:t>项</w:t>
      </w:r>
      <w:r>
        <w:rPr>
          <w:rFonts w:hint="default" w:ascii="Times New Roman" w:hAnsi="Times New Roman" w:eastAsia="仿宋_GB2312" w:cs="Times New Roman"/>
          <w:color w:val="000000"/>
          <w:sz w:val="32"/>
          <w:szCs w:val="32"/>
        </w:rPr>
        <w:t>）：反映行政事业单位按人力资源和社会保障部、财政部规定的基本工资和津贴补贴以及规定比例为职工缴纳的住房公积金。</w:t>
      </w:r>
    </w:p>
    <w:p w14:paraId="2BA62F86">
      <w:pPr>
        <w:pageBreakBefore w:val="0"/>
        <w:widowControl w:val="0"/>
        <w:suppressAutoHyphens/>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19.基本支出：指为保障机构正常运转、完成日常工作任务而发生的人员支出和公用支出。</w:t>
      </w:r>
    </w:p>
    <w:p w14:paraId="563A1FC7">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 xml:space="preserve">.项目支出：指在基本支出之外为完成特定行政任务和事业发展目标所发生的支出。 </w:t>
      </w:r>
    </w:p>
    <w:p w14:paraId="2EC26FC7">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.经营支出：指事业单位在专业业务活动及其辅助活动之外开展非独立核算经营活动发生的支出。</w:t>
      </w:r>
    </w:p>
    <w:p w14:paraId="2BE9FA92">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727B51A">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044EEEB">
      <w:pPr>
        <w:pageBreakBefore w:val="0"/>
        <w:widowControl w:val="0"/>
        <w:suppressAutoHyphens/>
        <w:kinsoku/>
        <w:wordWrap/>
        <w:overflowPunct/>
        <w:topLinePunct w:val="0"/>
        <w:autoSpaceDE/>
        <w:autoSpaceDN/>
        <w:bidi w:val="0"/>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.财政应返还额度：为行政事业单位会计核算科目，用于核算实行国库集中支付的行政事业单位应收财政返还的资金额度。</w:t>
      </w:r>
    </w:p>
    <w:p w14:paraId="1A5464A9">
      <w:pPr>
        <w:pageBreakBefore w:val="0"/>
        <w:kinsoku/>
        <w:wordWrap/>
        <w:overflowPunct/>
        <w:topLinePunct w:val="0"/>
        <w:bidi w:val="0"/>
        <w:spacing w:line="576" w:lineRule="exact"/>
        <w:jc w:val="center"/>
        <w:textAlignment w:val="auto"/>
        <w:rPr>
          <w:rStyle w:val="29"/>
          <w:rFonts w:hint="default" w:ascii="Times New Roman" w:hAnsi="Times New Roman" w:eastAsia="黑体" w:cs="Times New Roman"/>
          <w:b w:val="0"/>
          <w:color w:val="auto"/>
          <w:highlight w:val="none"/>
          <w:lang w:eastAsia="zh-CN"/>
        </w:rPr>
      </w:pPr>
      <w:r>
        <w:rPr>
          <w:rFonts w:hint="default" w:ascii="Times New Roman" w:hAnsi="Times New Roman" w:eastAsia="仿宋_GB2312" w:cs="Times New Roman"/>
          <w:color w:val="auto"/>
          <w:kern w:val="2"/>
          <w:sz w:val="32"/>
          <w:szCs w:val="32"/>
          <w:highlight w:val="none"/>
          <w:lang w:val="en-US" w:eastAsia="zh-CN" w:bidi="ar-SA"/>
        </w:rPr>
        <w:br w:type="page"/>
      </w:r>
      <w:bookmarkStart w:id="77" w:name="_Toc15396614"/>
      <w:r>
        <w:rPr>
          <w:rFonts w:hint="default" w:ascii="Times New Roman" w:hAnsi="Times New Roman" w:eastAsia="黑体" w:cs="Times New Roman"/>
          <w:color w:val="auto"/>
          <w:sz w:val="44"/>
          <w:szCs w:val="44"/>
          <w:highlight w:val="none"/>
        </w:rPr>
        <w:t>第四部分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 xml:space="preserve"> 附件</w:t>
      </w:r>
      <w:bookmarkEnd w:id="77"/>
    </w:p>
    <w:p w14:paraId="17F7B13A">
      <w:pPr>
        <w:keepNext w:val="0"/>
        <w:keepLines w:val="0"/>
        <w:pageBreakBefore w:val="0"/>
        <w:kinsoku/>
        <w:wordWrap/>
        <w:overflowPunct/>
        <w:topLinePunct w:val="0"/>
        <w:autoSpaceDE/>
        <w:autoSpaceDN/>
        <w:bidi w:val="0"/>
        <w:spacing w:line="576" w:lineRule="exact"/>
        <w:jc w:val="left"/>
        <w:textAlignment w:val="auto"/>
        <w:outlineLvl w:val="0"/>
        <w:rPr>
          <w:rFonts w:hint="default" w:ascii="Times New Roman" w:hAnsi="Times New Roman" w:eastAsia="黑体" w:cs="Times New Roman"/>
          <w:color w:val="FF0000"/>
          <w:sz w:val="32"/>
          <w:szCs w:val="32"/>
          <w:highlight w:val="none"/>
        </w:rPr>
      </w:pPr>
    </w:p>
    <w:p w14:paraId="41F31BA9">
      <w:pPr>
        <w:keepNext w:val="0"/>
        <w:keepLines w:val="0"/>
        <w:pageBreakBefore w:val="0"/>
        <w:kinsoku/>
        <w:wordWrap/>
        <w:overflowPunct/>
        <w:topLinePunct w:val="0"/>
        <w:autoSpaceDE/>
        <w:autoSpaceDN/>
        <w:bidi w:val="0"/>
        <w:spacing w:line="576" w:lineRule="exact"/>
        <w:jc w:val="left"/>
        <w:textAlignment w:val="auto"/>
        <w:outlineLvl w:val="0"/>
        <w:rPr>
          <w:rFonts w:hint="default" w:ascii="Times New Roman" w:hAnsi="Times New Roman" w:eastAsia="黑体" w:cs="Times New Roman"/>
          <w:color w:val="auto"/>
          <w:sz w:val="44"/>
          <w:szCs w:val="44"/>
          <w:highlight w:val="none"/>
          <w:lang w:val="en-US" w:eastAsia="zh-CN"/>
        </w:rPr>
      </w:pPr>
      <w:bookmarkStart w:id="78" w:name="_Toc24492"/>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1</w:t>
      </w:r>
      <w:bookmarkEnd w:id="78"/>
    </w:p>
    <w:p w14:paraId="5FB9602A">
      <w:pPr>
        <w:keepNext w:val="0"/>
        <w:keepLines w:val="0"/>
        <w:pageBreakBefore w:val="0"/>
        <w:widowControl/>
        <w:kinsoku/>
        <w:wordWrap/>
        <w:overflowPunct/>
        <w:topLinePunct w:val="0"/>
        <w:autoSpaceDE/>
        <w:autoSpaceDN/>
        <w:bidi w:val="0"/>
        <w:spacing w:line="576"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585586E0">
      <w:pPr>
        <w:keepNext w:val="0"/>
        <w:keepLines w:val="0"/>
        <w:pageBreakBefore w:val="0"/>
        <w:widowControl/>
        <w:kinsoku/>
        <w:wordWrap/>
        <w:overflowPunct/>
        <w:topLinePunct w:val="0"/>
        <w:autoSpaceDE/>
        <w:autoSpaceDN/>
        <w:bidi w:val="0"/>
        <w:spacing w:line="576"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default"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0B8BAAF3">
      <w:pPr>
        <w:keepNext w:val="0"/>
        <w:keepLines w:val="0"/>
        <w:pageBreakBefore w:val="0"/>
        <w:widowControl/>
        <w:kinsoku/>
        <w:wordWrap/>
        <w:overflowPunct/>
        <w:topLinePunct w:val="0"/>
        <w:autoSpaceDE/>
        <w:autoSpaceDN/>
        <w:bidi w:val="0"/>
        <w:adjustRightInd w:val="0"/>
        <w:snapToGrid w:val="0"/>
        <w:spacing w:line="576"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138F3B2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14:paraId="3633862A">
      <w:pPr>
        <w:pageBreakBefore w:val="0"/>
        <w:kinsoku/>
        <w:wordWrap/>
        <w:overflowPunct/>
        <w:topLinePunct w:val="0"/>
        <w:bidi w:val="0"/>
        <w:spacing w:line="576" w:lineRule="exact"/>
        <w:ind w:firstLine="803" w:firstLineChars="250"/>
        <w:textAlignment w:val="auto"/>
        <w:rPr>
          <w:rFonts w:hint="default" w:ascii="Times New Roman" w:hAnsi="Times New Roman" w:cs="Times New Roman"/>
          <w:szCs w:val="32"/>
        </w:rPr>
      </w:pPr>
      <w:r>
        <w:rPr>
          <w:rFonts w:hint="default" w:ascii="Times New Roman" w:hAnsi="Times New Roman" w:eastAsia="楷体_GB2312" w:cs="Times New Roman"/>
          <w:b/>
          <w:color w:val="auto"/>
          <w:sz w:val="32"/>
          <w:szCs w:val="32"/>
          <w:highlight w:val="none"/>
          <w:lang w:val="zh-CN"/>
        </w:rPr>
        <w:t>（一）机构组成。</w:t>
      </w:r>
      <w:r>
        <w:rPr>
          <w:rFonts w:hint="default" w:ascii="Times New Roman" w:hAnsi="Times New Roman" w:eastAsia="仿宋_GB2312" w:cs="Times New Roman"/>
          <w:color w:val="auto"/>
          <w:sz w:val="32"/>
          <w:szCs w:val="32"/>
          <w:highlight w:val="none"/>
        </w:rPr>
        <w:t>中国共产党茂县委员会政法委员会下属二级</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rPr>
        <w:t>单位</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个，其中行政单位</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个，参照公务员法管理的事业单位</w:t>
      </w:r>
      <w:r>
        <w:rPr>
          <w:rFonts w:hint="default" w:ascii="Times New Roman" w:hAnsi="Times New Roman" w:eastAsia="仿宋_GB2312" w:cs="Times New Roman"/>
          <w:bCs/>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个，其他事业单位</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个。</w:t>
      </w:r>
    </w:p>
    <w:p w14:paraId="54B76D94">
      <w:pPr>
        <w:pageBreakBefore w:val="0"/>
        <w:kinsoku/>
        <w:wordWrap/>
        <w:overflowPunct/>
        <w:topLinePunct w:val="0"/>
        <w:bidi w:val="0"/>
        <w:spacing w:line="576" w:lineRule="exact"/>
        <w:ind w:firstLine="643"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楷体_GB2312" w:cs="Times New Roman"/>
          <w:b/>
          <w:color w:val="auto"/>
          <w:sz w:val="32"/>
          <w:szCs w:val="32"/>
          <w:highlight w:val="none"/>
          <w:lang w:val="zh-CN"/>
        </w:rPr>
        <w:t>（二）机构职能。</w:t>
      </w: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bCs/>
          <w:sz w:val="32"/>
          <w:szCs w:val="32"/>
          <w:lang w:eastAsia="zh-CN"/>
        </w:rPr>
        <w:t>深入贯彻党的路线方针政策和决策部署，统一政法各部门思想和行动，坚持党对政法工作的绝对领导，坚决维护党中央权威和集中统一领导。</w:t>
      </w:r>
    </w:p>
    <w:p w14:paraId="08C9FCC8">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bCs/>
          <w:sz w:val="32"/>
          <w:szCs w:val="32"/>
          <w:lang w:eastAsia="zh-CN"/>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14:paraId="0628E56F">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bCs/>
          <w:sz w:val="32"/>
          <w:szCs w:val="32"/>
          <w:lang w:eastAsia="zh-CN"/>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14:paraId="37842C2C">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bCs/>
          <w:sz w:val="32"/>
          <w:szCs w:val="32"/>
          <w:lang w:eastAsia="zh-CN"/>
        </w:rPr>
        <w:t>加强对政法工作的督查，统筹协调维护政治安全、社会治安综合治理、维护社会稳定、反邪教有关法律法规政策的实施工作。指导全县政法系统网络安全和智能化建设工作。</w:t>
      </w:r>
    </w:p>
    <w:p w14:paraId="6B50F64E">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lang w:eastAsia="zh-CN"/>
        </w:rPr>
        <w:t>5.</w:t>
      </w:r>
      <w:r>
        <w:rPr>
          <w:rFonts w:hint="default" w:ascii="Times New Roman" w:hAnsi="Times New Roman" w:eastAsia="仿宋_GB2312" w:cs="Times New Roman"/>
          <w:bCs/>
          <w:sz w:val="32"/>
          <w:szCs w:val="32"/>
          <w:lang w:eastAsia="zh-CN"/>
        </w:rPr>
        <w:t>组织开展政法领域的调查研究，研究拟订全县政法工作的政策措施，及时向县委提出建议。</w:t>
      </w:r>
    </w:p>
    <w:p w14:paraId="0F2D26D1">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lang w:eastAsia="zh-CN"/>
        </w:rPr>
        <w:t>6.</w:t>
      </w:r>
      <w:r>
        <w:rPr>
          <w:rFonts w:hint="default" w:ascii="Times New Roman" w:hAnsi="Times New Roman" w:eastAsia="仿宋_GB2312" w:cs="Times New Roman"/>
          <w:bCs/>
          <w:sz w:val="32"/>
          <w:szCs w:val="32"/>
          <w:lang w:eastAsia="zh-CN"/>
        </w:rPr>
        <w:t>掌握分析政法舆情动态，指导协调政法部门媒体网络宣传工作，指导政法部门做好涉及政法工作的重大宣传和舆论引导工作。</w:t>
      </w:r>
    </w:p>
    <w:p w14:paraId="79C1AA59">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lang w:eastAsia="zh-CN"/>
        </w:rPr>
        <w:t>7.</w:t>
      </w:r>
      <w:r>
        <w:rPr>
          <w:rFonts w:hint="default" w:ascii="Times New Roman" w:hAnsi="Times New Roman" w:eastAsia="仿宋_GB2312" w:cs="Times New Roman"/>
          <w:bCs/>
          <w:sz w:val="32"/>
          <w:szCs w:val="32"/>
          <w:lang w:eastAsia="zh-CN"/>
        </w:rPr>
        <w:t>监督和支持政法各部门依法行使职权，指导和协调政法各部门密切配合，研究和协调重大疑难案件，推进严格执法、公正司法。</w:t>
      </w:r>
    </w:p>
    <w:p w14:paraId="6680AFB2">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lang w:eastAsia="zh-CN"/>
        </w:rPr>
        <w:t>8.</w:t>
      </w:r>
      <w:r>
        <w:rPr>
          <w:rFonts w:hint="default" w:ascii="Times New Roman" w:hAnsi="Times New Roman" w:eastAsia="仿宋_GB2312" w:cs="Times New Roman"/>
          <w:bCs/>
          <w:sz w:val="32"/>
          <w:szCs w:val="32"/>
          <w:lang w:eastAsia="zh-CN"/>
        </w:rPr>
        <w:t>组织研究政法改革中带有方向性、倾向性和普遍性的重大问题，深化政法改革。</w:t>
      </w:r>
    </w:p>
    <w:p w14:paraId="3509C4A9">
      <w:pPr>
        <w:pageBreakBefore w:val="0"/>
        <w:kinsoku/>
        <w:wordWrap/>
        <w:overflowPunct/>
        <w:topLinePunct w:val="0"/>
        <w:bidi w:val="0"/>
        <w:spacing w:line="576" w:lineRule="exact"/>
        <w:ind w:firstLine="640" w:firstLineChars="200"/>
        <w:textAlignment w:val="auto"/>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仿宋_GB2312" w:cs="Times New Roman"/>
          <w:sz w:val="32"/>
          <w:szCs w:val="32"/>
          <w:lang w:eastAsia="zh-CN"/>
        </w:rPr>
        <w:t>9.</w:t>
      </w:r>
      <w:r>
        <w:rPr>
          <w:rFonts w:hint="default" w:ascii="Times New Roman" w:hAnsi="Times New Roman" w:eastAsia="仿宋_GB2312" w:cs="Times New Roman"/>
          <w:bCs/>
          <w:sz w:val="32"/>
          <w:szCs w:val="32"/>
          <w:lang w:eastAsia="zh-CN"/>
        </w:rPr>
        <w:t>指导推动政法系统党的建设和政法队伍建设，协同县级有关职能部门管理监督政法领导干部。</w:t>
      </w:r>
    </w:p>
    <w:p w14:paraId="363988B4">
      <w:pPr>
        <w:pageBreakBefore w:val="0"/>
        <w:kinsoku/>
        <w:wordWrap/>
        <w:overflowPunct/>
        <w:topLinePunct w:val="0"/>
        <w:bidi w:val="0"/>
        <w:spacing w:line="576" w:lineRule="exact"/>
        <w:ind w:firstLine="643" w:firstLineChars="200"/>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（三）人员概况。</w:t>
      </w:r>
      <w:r>
        <w:rPr>
          <w:rFonts w:hint="default" w:ascii="Times New Roman" w:hAnsi="Times New Roman" w:eastAsia="仿宋_GB2312" w:cs="Times New Roman"/>
          <w:bCs/>
          <w:sz w:val="32"/>
          <w:szCs w:val="32"/>
          <w:lang w:eastAsia="zh-CN"/>
        </w:rPr>
        <w:t>截至2025年末，县委政法委总编制</w:t>
      </w:r>
      <w:r>
        <w:rPr>
          <w:rFonts w:hint="default" w:ascii="Times New Roman" w:hAnsi="Times New Roman" w:eastAsia="仿宋_GB2312" w:cs="Times New Roman"/>
          <w:bCs/>
          <w:sz w:val="32"/>
          <w:szCs w:val="32"/>
          <w:lang w:val="en-US" w:eastAsia="zh-CN"/>
        </w:rPr>
        <w:t>17</w:t>
      </w:r>
      <w:r>
        <w:rPr>
          <w:rFonts w:hint="default" w:ascii="Times New Roman" w:hAnsi="Times New Roman" w:eastAsia="仿宋_GB2312" w:cs="Times New Roman"/>
          <w:bCs/>
          <w:sz w:val="32"/>
          <w:szCs w:val="32"/>
          <w:lang w:eastAsia="zh-CN"/>
        </w:rPr>
        <w:t>名，其中：行政编制11名，行政工勤</w:t>
      </w:r>
      <w:r>
        <w:rPr>
          <w:rFonts w:hint="default" w:ascii="Times New Roman" w:hAnsi="Times New Roman" w:eastAsia="仿宋_GB2312" w:cs="Times New Roman"/>
          <w:bCs/>
          <w:sz w:val="32"/>
          <w:szCs w:val="32"/>
          <w:lang w:val="en-US" w:eastAsia="zh-CN"/>
        </w:rPr>
        <w:t>2人，</w:t>
      </w:r>
      <w:r>
        <w:rPr>
          <w:rFonts w:hint="default" w:ascii="Times New Roman" w:hAnsi="Times New Roman" w:eastAsia="仿宋_GB2312" w:cs="Times New Roman"/>
          <w:bCs/>
          <w:sz w:val="32"/>
          <w:szCs w:val="32"/>
          <w:lang w:eastAsia="zh-CN"/>
        </w:rPr>
        <w:t>其他事业编制4名。在职人员总数</w:t>
      </w:r>
      <w:r>
        <w:rPr>
          <w:rFonts w:hint="default" w:ascii="Times New Roman" w:hAnsi="Times New Roman" w:eastAsia="仿宋_GB2312" w:cs="Times New Roman"/>
          <w:bCs/>
          <w:sz w:val="32"/>
          <w:szCs w:val="32"/>
          <w:lang w:val="en-US" w:eastAsia="zh-CN"/>
        </w:rPr>
        <w:t>16</w:t>
      </w:r>
      <w:r>
        <w:rPr>
          <w:rFonts w:hint="default" w:ascii="Times New Roman" w:hAnsi="Times New Roman" w:eastAsia="仿宋_GB2312" w:cs="Times New Roman"/>
          <w:bCs/>
          <w:sz w:val="32"/>
          <w:szCs w:val="32"/>
          <w:lang w:eastAsia="zh-CN"/>
        </w:rPr>
        <w:t>人，其中：行政人员</w:t>
      </w:r>
      <w:r>
        <w:rPr>
          <w:rFonts w:hint="default" w:ascii="Times New Roman" w:hAnsi="Times New Roman" w:eastAsia="仿宋_GB2312" w:cs="Times New Roman"/>
          <w:bCs/>
          <w:sz w:val="32"/>
          <w:szCs w:val="32"/>
          <w:lang w:val="en-US" w:eastAsia="zh-CN"/>
        </w:rPr>
        <w:t>10</w:t>
      </w:r>
      <w:r>
        <w:rPr>
          <w:rFonts w:hint="default" w:ascii="Times New Roman" w:hAnsi="Times New Roman" w:eastAsia="仿宋_GB2312" w:cs="Times New Roman"/>
          <w:bCs/>
          <w:sz w:val="32"/>
          <w:szCs w:val="32"/>
          <w:lang w:eastAsia="zh-CN"/>
        </w:rPr>
        <w:t>人，机关行政工勤</w:t>
      </w:r>
      <w:r>
        <w:rPr>
          <w:rFonts w:hint="default" w:ascii="Times New Roman" w:hAnsi="Times New Roman" w:eastAsia="仿宋_GB2312" w:cs="Times New Roman"/>
          <w:bCs/>
          <w:sz w:val="32"/>
          <w:szCs w:val="32"/>
          <w:lang w:val="en-US" w:eastAsia="zh-CN"/>
        </w:rPr>
        <w:t>2人，</w:t>
      </w:r>
      <w:r>
        <w:rPr>
          <w:rFonts w:hint="default" w:ascii="Times New Roman" w:hAnsi="Times New Roman" w:eastAsia="仿宋_GB2312" w:cs="Times New Roman"/>
          <w:bCs/>
          <w:sz w:val="32"/>
          <w:szCs w:val="32"/>
          <w:lang w:eastAsia="zh-CN"/>
        </w:rPr>
        <w:t>事业人员</w:t>
      </w:r>
      <w:r>
        <w:rPr>
          <w:rFonts w:hint="default" w:ascii="Times New Roman" w:hAnsi="Times New Roman" w:eastAsia="仿宋_GB2312" w:cs="Times New Roman"/>
          <w:bCs/>
          <w:sz w:val="32"/>
          <w:szCs w:val="32"/>
          <w:lang w:val="en-US" w:eastAsia="zh-CN"/>
        </w:rPr>
        <w:t>4</w:t>
      </w:r>
      <w:r>
        <w:rPr>
          <w:rFonts w:hint="default" w:ascii="Times New Roman" w:hAnsi="Times New Roman" w:eastAsia="仿宋_GB2312" w:cs="Times New Roman"/>
          <w:bCs/>
          <w:sz w:val="32"/>
          <w:szCs w:val="32"/>
          <w:lang w:eastAsia="zh-CN"/>
        </w:rPr>
        <w:t>人，退休人员</w:t>
      </w:r>
      <w:r>
        <w:rPr>
          <w:rFonts w:hint="default" w:ascii="Times New Roman" w:hAnsi="Times New Roman" w:eastAsia="仿宋_GB2312" w:cs="Times New Roman"/>
          <w:bCs/>
          <w:sz w:val="32"/>
          <w:szCs w:val="32"/>
          <w:lang w:val="en-US" w:eastAsia="zh-CN"/>
        </w:rPr>
        <w:t>5</w:t>
      </w:r>
      <w:r>
        <w:rPr>
          <w:rFonts w:hint="default" w:ascii="Times New Roman" w:hAnsi="Times New Roman" w:eastAsia="仿宋_GB2312" w:cs="Times New Roman"/>
          <w:bCs/>
          <w:sz w:val="32"/>
          <w:szCs w:val="32"/>
          <w:lang w:eastAsia="zh-CN"/>
        </w:rPr>
        <w:t>人。</w:t>
      </w:r>
    </w:p>
    <w:p w14:paraId="55B0993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5E2293FA">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outlineLvl w:val="1"/>
        <w:rPr>
          <w:rFonts w:hint="default" w:ascii="Times New Roman" w:hAnsi="Times New Roman" w:eastAsia="仿宋_GB2312" w:cs="Times New Roman"/>
          <w:bCs/>
          <w:sz w:val="32"/>
          <w:szCs w:val="32"/>
          <w:lang w:eastAsia="zh-CN"/>
        </w:rPr>
      </w:pPr>
      <w:bookmarkStart w:id="79" w:name="_Toc8589"/>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r>
        <w:rPr>
          <w:rFonts w:hint="default" w:ascii="Times New Roman" w:hAnsi="Times New Roman" w:eastAsia="仿宋_GB2312" w:cs="Times New Roman"/>
          <w:bCs/>
          <w:sz w:val="32"/>
          <w:szCs w:val="32"/>
          <w:lang w:eastAsia="zh-CN"/>
        </w:rPr>
        <w:t>2025年年初预算收入本年收入合计</w:t>
      </w:r>
      <w:r>
        <w:rPr>
          <w:rFonts w:hint="default" w:ascii="Times New Roman" w:hAnsi="Times New Roman" w:eastAsia="仿宋_GB2312" w:cs="Times New Roman"/>
          <w:bCs/>
          <w:sz w:val="32"/>
          <w:szCs w:val="32"/>
          <w:lang w:val="en-US" w:eastAsia="zh-CN"/>
        </w:rPr>
        <w:t>364.97</w:t>
      </w:r>
      <w:r>
        <w:rPr>
          <w:rFonts w:hint="default" w:ascii="Times New Roman" w:hAnsi="Times New Roman" w:eastAsia="仿宋_GB2312" w:cs="Times New Roman"/>
          <w:bCs/>
          <w:sz w:val="32"/>
          <w:szCs w:val="32"/>
          <w:lang w:eastAsia="zh-CN"/>
        </w:rPr>
        <w:t>万元，其中：一般公共预算财政拨款收入</w:t>
      </w:r>
      <w:r>
        <w:rPr>
          <w:rFonts w:hint="default" w:ascii="Times New Roman" w:hAnsi="Times New Roman" w:eastAsia="仿宋_GB2312" w:cs="Times New Roman"/>
          <w:bCs/>
          <w:sz w:val="32"/>
          <w:szCs w:val="32"/>
          <w:lang w:val="en-US" w:eastAsia="zh-CN"/>
        </w:rPr>
        <w:t>364.97</w:t>
      </w:r>
      <w:r>
        <w:rPr>
          <w:rFonts w:hint="default" w:ascii="Times New Roman" w:hAnsi="Times New Roman" w:eastAsia="仿宋_GB2312" w:cs="Times New Roman"/>
          <w:bCs/>
          <w:sz w:val="32"/>
          <w:szCs w:val="32"/>
          <w:lang w:eastAsia="zh-CN"/>
        </w:rPr>
        <w:t>万元，占</w:t>
      </w:r>
      <w:r>
        <w:rPr>
          <w:rFonts w:hint="default" w:ascii="Times New Roman" w:hAnsi="Times New Roman" w:eastAsia="仿宋_GB2312" w:cs="Times New Roman"/>
          <w:bCs/>
          <w:sz w:val="32"/>
          <w:szCs w:val="32"/>
          <w:lang w:val="en-US" w:eastAsia="zh-CN"/>
        </w:rPr>
        <w:t>100</w:t>
      </w:r>
      <w:r>
        <w:rPr>
          <w:rFonts w:hint="default" w:ascii="Times New Roman" w:hAnsi="Times New Roman" w:eastAsia="仿宋_GB2312" w:cs="Times New Roman"/>
          <w:bCs/>
          <w:sz w:val="32"/>
          <w:szCs w:val="32"/>
          <w:lang w:eastAsia="zh-CN"/>
        </w:rPr>
        <w:t>%；年初结转和结余0万元。</w:t>
      </w:r>
      <w:r>
        <w:rPr>
          <w:rFonts w:hint="default" w:ascii="Times New Roman" w:hAnsi="Times New Roman" w:eastAsia="仿宋_GB2312" w:cs="Times New Roman"/>
          <w:sz w:val="32"/>
          <w:szCs w:val="32"/>
          <w:lang w:val="en-US" w:eastAsia="zh-CN"/>
        </w:rPr>
        <w:t>决算报表收入</w:t>
      </w:r>
      <w:r>
        <w:rPr>
          <w:rFonts w:hint="default" w:ascii="Times New Roman" w:hAnsi="Times New Roman" w:eastAsia="仿宋_GB2312" w:cs="Times New Roman"/>
          <w:color w:val="auto"/>
          <w:sz w:val="32"/>
          <w:szCs w:val="32"/>
          <w:highlight w:val="none"/>
          <w:lang w:eastAsia="zh-CN"/>
        </w:rPr>
        <w:t>合计</w:t>
      </w:r>
      <w:r>
        <w:rPr>
          <w:rFonts w:hint="default" w:ascii="Times New Roman" w:hAnsi="Times New Roman" w:eastAsia="仿宋_GB2312" w:cs="Times New Roman"/>
          <w:color w:val="auto"/>
          <w:sz w:val="32"/>
          <w:szCs w:val="32"/>
          <w:highlight w:val="none"/>
          <w:lang w:val="en-US" w:eastAsia="zh-CN"/>
        </w:rPr>
        <w:t>607.66</w:t>
      </w:r>
      <w:r>
        <w:rPr>
          <w:rFonts w:hint="default" w:ascii="Times New Roman" w:hAnsi="Times New Roman" w:eastAsia="仿宋_GB2312" w:cs="Times New Roman"/>
          <w:color w:val="auto"/>
          <w:sz w:val="32"/>
          <w:szCs w:val="32"/>
          <w:highlight w:val="none"/>
          <w:lang w:eastAsia="zh-CN"/>
        </w:rPr>
        <w:t>万元，其中：一般公共预算财政拨款收入</w:t>
      </w:r>
      <w:r>
        <w:rPr>
          <w:rFonts w:hint="default" w:ascii="Times New Roman" w:hAnsi="Times New Roman" w:eastAsia="仿宋_GB2312" w:cs="Times New Roman"/>
          <w:color w:val="auto"/>
          <w:sz w:val="32"/>
          <w:szCs w:val="32"/>
          <w:highlight w:val="none"/>
          <w:lang w:val="en-US" w:eastAsia="zh-CN"/>
        </w:rPr>
        <w:t>601.37</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color w:val="auto"/>
          <w:sz w:val="32"/>
          <w:szCs w:val="32"/>
          <w:highlight w:val="none"/>
          <w:lang w:val="en-US" w:eastAsia="zh-CN"/>
        </w:rPr>
        <w:t>98.96</w:t>
      </w:r>
      <w:r>
        <w:rPr>
          <w:rFonts w:hint="default" w:ascii="Times New Roman" w:hAnsi="Times New Roman" w:eastAsia="仿宋_GB2312" w:cs="Times New Roman"/>
          <w:color w:val="auto"/>
          <w:sz w:val="32"/>
          <w:szCs w:val="32"/>
          <w:highlight w:val="none"/>
          <w:lang w:eastAsia="zh-CN"/>
        </w:rPr>
        <w:t>%；其他收入</w:t>
      </w:r>
      <w:r>
        <w:rPr>
          <w:rFonts w:hint="default" w:ascii="Times New Roman" w:hAnsi="Times New Roman" w:eastAsia="仿宋_GB2312" w:cs="Times New Roman"/>
          <w:color w:val="auto"/>
          <w:sz w:val="32"/>
          <w:szCs w:val="32"/>
          <w:highlight w:val="none"/>
          <w:lang w:val="en-US" w:eastAsia="zh-CN"/>
        </w:rPr>
        <w:t>6.29</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color w:val="auto"/>
          <w:sz w:val="32"/>
          <w:szCs w:val="32"/>
          <w:highlight w:val="none"/>
          <w:lang w:val="en-US" w:eastAsia="zh-CN"/>
        </w:rPr>
        <w:t>1.04</w:t>
      </w:r>
      <w:r>
        <w:rPr>
          <w:rFonts w:hint="default" w:ascii="Times New Roman" w:hAnsi="Times New Roman" w:eastAsia="仿宋_GB2312" w:cs="Times New Roman"/>
          <w:color w:val="auto"/>
          <w:sz w:val="32"/>
          <w:szCs w:val="32"/>
          <w:highlight w:val="none"/>
          <w:lang w:eastAsia="zh-CN"/>
        </w:rPr>
        <w:t>%。</w:t>
      </w:r>
      <w:bookmarkEnd w:id="79"/>
    </w:p>
    <w:p w14:paraId="4CF8806B">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cs="Times New Roman"/>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r>
        <w:rPr>
          <w:rFonts w:hint="default" w:ascii="Times New Roman" w:hAnsi="Times New Roman" w:eastAsia="仿宋_GB2312" w:cs="Times New Roman"/>
          <w:bCs/>
          <w:sz w:val="32"/>
          <w:szCs w:val="32"/>
          <w:lang w:val="zh-CN" w:eastAsia="zh-CN"/>
        </w:rPr>
        <w:t>2025年年初预算支出合计364.97万元，其中：公共安全支出282.84万元，占77.50%；教育支出0万元；社会保障和就业支出37.60万元，占10.30%；医疗卫生支出18.54万元，占5.08%；住房保障支出25.99万元，占7.12%。</w:t>
      </w:r>
    </w:p>
    <w:p w14:paraId="17BB9B41">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仿宋_GB2312" w:cs="Times New Roman"/>
          <w:bCs/>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（三）结余分配和结转结余情况</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auto"/>
          <w:sz w:val="32"/>
          <w:szCs w:val="32"/>
          <w:highlight w:val="none"/>
        </w:rPr>
        <w:t>中国共产党茂县委员会政法委员会</w:t>
      </w:r>
      <w:r>
        <w:rPr>
          <w:rFonts w:hint="default" w:ascii="Times New Roman" w:hAnsi="Times New Roman" w:eastAsia="仿宋_GB2312" w:cs="Times New Roman"/>
          <w:bCs/>
          <w:sz w:val="32"/>
          <w:szCs w:val="32"/>
          <w:lang w:val="zh-CN" w:eastAsia="zh-CN"/>
        </w:rPr>
        <w:t>无</w:t>
      </w:r>
      <w:r>
        <w:rPr>
          <w:rFonts w:hint="eastAsia" w:eastAsia="仿宋_GB2312" w:cs="Times New Roman"/>
          <w:bCs/>
          <w:sz w:val="32"/>
          <w:szCs w:val="32"/>
          <w:lang w:val="zh-CN" w:eastAsia="zh-CN"/>
        </w:rPr>
        <w:t>结余结转。</w:t>
      </w:r>
    </w:p>
    <w:p w14:paraId="57CEC88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76109FC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仿宋_GB2312" w:cs="Times New Roman"/>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p>
    <w:p w14:paraId="180F5471">
      <w:pPr>
        <w:pageBreakBefore w:val="0"/>
        <w:kinsoku/>
        <w:wordWrap/>
        <w:overflowPunct/>
        <w:topLinePunct w:val="0"/>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楷体_GB2312" w:cs="Times New Roman"/>
          <w:color w:val="000000"/>
          <w:kern w:val="0"/>
          <w:sz w:val="32"/>
          <w:szCs w:val="32"/>
          <w:shd w:val="clear" w:color="auto" w:fill="FFFFFF"/>
        </w:rPr>
        <w:t>1.</w:t>
      </w:r>
      <w:r>
        <w:rPr>
          <w:rFonts w:hint="default" w:ascii="Times New Roman" w:hAnsi="Times New Roman" w:eastAsia="楷体_GB2312" w:cs="Times New Roman"/>
          <w:color w:val="000000"/>
          <w:kern w:val="0"/>
          <w:sz w:val="32"/>
          <w:szCs w:val="32"/>
          <w:shd w:val="clear" w:color="auto" w:fill="FFFFFF"/>
          <w:lang w:val="zh-CN"/>
        </w:rPr>
        <w:t>履职效能。</w:t>
      </w:r>
      <w:r>
        <w:rPr>
          <w:rFonts w:hint="default" w:ascii="Times New Roman" w:hAnsi="Times New Roman" w:eastAsia="仿宋_GB2312" w:cs="Times New Roman"/>
          <w:color w:val="000000"/>
          <w:kern w:val="0"/>
          <w:sz w:val="32"/>
          <w:szCs w:val="32"/>
          <w:shd w:val="clear" w:color="auto" w:fill="FFFFFF"/>
          <w:lang w:val="en-US" w:eastAsia="zh-CN"/>
        </w:rPr>
        <w:t>圆满完成维护政治安全、社会综合治理、政法队伍建设等核心职责，矛盾纠纷排查化解、平安建设宣传等工作成效显著，社会大局持续稳定。</w:t>
      </w:r>
    </w:p>
    <w:p w14:paraId="5944CD66">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楷体_GB2312" w:cs="Times New Roman"/>
          <w:color w:val="000000"/>
          <w:kern w:val="0"/>
          <w:sz w:val="32"/>
          <w:szCs w:val="32"/>
          <w:shd w:val="clear" w:color="auto" w:fill="FFFFFF"/>
        </w:rPr>
        <w:t>2.</w:t>
      </w:r>
      <w:r>
        <w:rPr>
          <w:rFonts w:hint="default" w:ascii="Times New Roman" w:hAnsi="Times New Roman" w:eastAsia="楷体_GB2312" w:cs="Times New Roman"/>
          <w:color w:val="000000"/>
          <w:kern w:val="0"/>
          <w:sz w:val="32"/>
          <w:szCs w:val="32"/>
          <w:shd w:val="clear" w:color="auto" w:fill="FFFFFF"/>
          <w:lang w:val="zh-CN"/>
        </w:rPr>
        <w:t>预算管理。</w:t>
      </w:r>
      <w:r>
        <w:rPr>
          <w:rFonts w:hint="default" w:ascii="Times New Roman" w:hAnsi="Times New Roman" w:eastAsia="仿宋_GB2312" w:cs="Times New Roman"/>
          <w:kern w:val="0"/>
          <w:sz w:val="32"/>
          <w:szCs w:val="32"/>
          <w:lang w:val="en-US" w:eastAsia="zh-CN"/>
        </w:rPr>
        <w:t>2025年预算管理紧扣提质增效、统筹管控要求，抓实绩效管控。预算编制科学规范，执行进度均衡，调整程序合规，预算完成率达98%以上，“三公”经费严格控制。</w:t>
      </w:r>
    </w:p>
    <w:p w14:paraId="02BD0CED">
      <w:pPr>
        <w:pageBreakBefore w:val="0"/>
        <w:kinsoku/>
        <w:wordWrap/>
        <w:overflowPunct/>
        <w:topLinePunct w:val="0"/>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kern w:val="0"/>
          <w:sz w:val="32"/>
          <w:szCs w:val="32"/>
          <w:lang w:val="zh-CN" w:eastAsia="zh-CN"/>
        </w:rPr>
      </w:pPr>
      <w:r>
        <w:rPr>
          <w:rFonts w:hint="default" w:ascii="Times New Roman" w:hAnsi="Times New Roman" w:eastAsia="楷体_GB2312" w:cs="Times New Roman"/>
          <w:color w:val="000000"/>
          <w:kern w:val="0"/>
          <w:sz w:val="32"/>
          <w:szCs w:val="32"/>
          <w:shd w:val="clear" w:color="auto" w:fill="FFFFFF"/>
        </w:rPr>
        <w:t>3.</w:t>
      </w:r>
      <w:r>
        <w:rPr>
          <w:rFonts w:hint="default" w:ascii="Times New Roman" w:hAnsi="Times New Roman" w:eastAsia="楷体_GB2312" w:cs="Times New Roman"/>
          <w:color w:val="000000"/>
          <w:kern w:val="0"/>
          <w:sz w:val="32"/>
          <w:szCs w:val="32"/>
          <w:shd w:val="clear" w:color="auto" w:fill="FFFFFF"/>
          <w:lang w:val="zh-CN"/>
        </w:rPr>
        <w:t>财务管理。</w:t>
      </w:r>
      <w:r>
        <w:rPr>
          <w:rFonts w:hint="default" w:ascii="Times New Roman" w:hAnsi="Times New Roman" w:eastAsia="仿宋_GB2312" w:cs="Times New Roman"/>
          <w:kern w:val="0"/>
          <w:sz w:val="32"/>
          <w:szCs w:val="32"/>
          <w:lang w:val="zh-CN" w:eastAsia="zh-CN"/>
        </w:rPr>
        <w:t>2025年政法委财务制度健全，资金使用合规，审批流程规范，无截留、挤占、挪用资金情况，财务监控有效，风险防控到位。</w:t>
      </w:r>
    </w:p>
    <w:p w14:paraId="1C8FABB0">
      <w:pPr>
        <w:pageBreakBefore w:val="0"/>
        <w:kinsoku/>
        <w:wordWrap/>
        <w:overflowPunct/>
        <w:topLinePunct w:val="0"/>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kern w:val="0"/>
          <w:sz w:val="32"/>
          <w:szCs w:val="32"/>
          <w:lang w:val="zh-CN" w:eastAsia="zh-CN"/>
        </w:rPr>
      </w:pPr>
      <w:r>
        <w:rPr>
          <w:rFonts w:hint="default" w:ascii="Times New Roman" w:hAnsi="Times New Roman" w:eastAsia="楷体_GB2312" w:cs="Times New Roman"/>
          <w:color w:val="000000"/>
          <w:kern w:val="0"/>
          <w:sz w:val="32"/>
          <w:szCs w:val="32"/>
          <w:shd w:val="clear" w:color="auto" w:fill="FFFFFF"/>
        </w:rPr>
        <w:t>4.</w:t>
      </w:r>
      <w:r>
        <w:rPr>
          <w:rFonts w:hint="default" w:ascii="Times New Roman" w:hAnsi="Times New Roman" w:eastAsia="楷体_GB2312" w:cs="Times New Roman"/>
          <w:color w:val="000000"/>
          <w:kern w:val="0"/>
          <w:sz w:val="32"/>
          <w:szCs w:val="32"/>
          <w:shd w:val="clear" w:color="auto" w:fill="FFFFFF"/>
          <w:lang w:val="zh-CN"/>
        </w:rPr>
        <w:t>资产管理。</w:t>
      </w:r>
      <w:r>
        <w:rPr>
          <w:rFonts w:hint="default" w:ascii="Times New Roman" w:hAnsi="Times New Roman" w:eastAsia="仿宋_GB2312" w:cs="Times New Roman"/>
          <w:color w:val="000000"/>
          <w:kern w:val="0"/>
          <w:sz w:val="32"/>
          <w:szCs w:val="32"/>
          <w:shd w:val="clear" w:color="auto" w:fill="FFFFFF"/>
          <w:lang w:val="zh-CN"/>
        </w:rPr>
        <w:t>人均资产无变化，科学合理分配使用资产，资产利用率</w:t>
      </w:r>
      <w:r>
        <w:rPr>
          <w:rFonts w:hint="default" w:ascii="Times New Roman" w:hAnsi="Times New Roman" w:eastAsia="仿宋_GB2312" w:cs="Times New Roman"/>
          <w:color w:val="000000"/>
          <w:kern w:val="0"/>
          <w:sz w:val="32"/>
          <w:szCs w:val="32"/>
          <w:shd w:val="clear" w:color="auto" w:fill="FFFFFF"/>
          <w:lang w:val="en-US" w:eastAsia="zh-CN"/>
        </w:rPr>
        <w:t>100%。</w:t>
      </w:r>
      <w:r>
        <w:rPr>
          <w:rFonts w:hint="default" w:ascii="Times New Roman" w:hAnsi="Times New Roman" w:eastAsia="仿宋_GB2312" w:cs="Times New Roman"/>
          <w:color w:val="000000"/>
          <w:kern w:val="0"/>
          <w:sz w:val="32"/>
          <w:szCs w:val="32"/>
          <w:shd w:val="clear" w:color="auto" w:fill="FFFFFF"/>
          <w:lang w:val="zh-CN"/>
        </w:rPr>
        <w:t>无闲置资产。</w:t>
      </w:r>
    </w:p>
    <w:p w14:paraId="44FDF345">
      <w:pPr>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楷体_GB2312" w:cs="Times New Roman"/>
          <w:color w:val="000000"/>
          <w:kern w:val="0"/>
          <w:sz w:val="32"/>
          <w:szCs w:val="32"/>
          <w:shd w:val="clear" w:color="auto" w:fill="FFFFFF"/>
        </w:rPr>
        <w:t>5.</w:t>
      </w:r>
      <w:r>
        <w:rPr>
          <w:rFonts w:hint="default" w:ascii="Times New Roman" w:hAnsi="Times New Roman" w:eastAsia="楷体_GB2312" w:cs="Times New Roman"/>
          <w:color w:val="000000"/>
          <w:kern w:val="0"/>
          <w:sz w:val="32"/>
          <w:szCs w:val="32"/>
          <w:shd w:val="clear" w:color="auto" w:fill="FFFFFF"/>
          <w:lang w:val="zh-CN"/>
        </w:rPr>
        <w:t>采购管理。</w:t>
      </w:r>
      <w:r>
        <w:rPr>
          <w:rFonts w:hint="default" w:ascii="Times New Roman" w:hAnsi="Times New Roman" w:eastAsia="仿宋_GB2312" w:cs="Times New Roman"/>
          <w:color w:val="000000"/>
          <w:kern w:val="0"/>
          <w:sz w:val="32"/>
          <w:szCs w:val="32"/>
          <w:shd w:val="clear" w:color="auto" w:fill="FFFFFF"/>
          <w:lang w:val="zh-CN" w:eastAsia="zh-CN"/>
        </w:rPr>
        <w:t>严格执行政府采购相关规定，采购流程规范，采购效率高，做到公开、公平、公正。</w:t>
      </w:r>
    </w:p>
    <w:p w14:paraId="4B67E99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77C16F3A">
      <w:pPr>
        <w:pageBreakBefore w:val="0"/>
        <w:kinsoku/>
        <w:wordWrap/>
        <w:overflowPunct/>
        <w:topLinePunct w:val="0"/>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rPr>
        <w:t>常年项目绩效分析。</w:t>
      </w:r>
      <w:r>
        <w:rPr>
          <w:rFonts w:hint="default" w:ascii="Times New Roman" w:hAnsi="Times New Roman" w:eastAsia="仿宋_GB2312" w:cs="Times New Roman"/>
          <w:color w:val="000000"/>
          <w:kern w:val="0"/>
          <w:sz w:val="32"/>
          <w:szCs w:val="32"/>
          <w:shd w:val="clear" w:color="auto" w:fill="FFFFFF"/>
          <w:lang w:val="zh-CN"/>
        </w:rPr>
        <w:t>该类项目总数</w:t>
      </w:r>
      <w:r>
        <w:rPr>
          <w:rFonts w:hint="eastAsia"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rPr>
        <w:t>个，涉及预算总金额</w:t>
      </w:r>
      <w:r>
        <w:rPr>
          <w:rFonts w:hint="eastAsia" w:eastAsia="仿宋_GB2312" w:cs="Times New Roman"/>
          <w:color w:val="000000"/>
          <w:kern w:val="0"/>
          <w:sz w:val="32"/>
          <w:szCs w:val="32"/>
          <w:shd w:val="clear" w:color="auto" w:fill="FFFFFF"/>
          <w:lang w:val="en-US" w:eastAsia="zh-CN"/>
        </w:rPr>
        <w:t>2.2</w:t>
      </w:r>
      <w:r>
        <w:rPr>
          <w:rFonts w:hint="default" w:ascii="Times New Roman" w:hAnsi="Times New Roman" w:eastAsia="仿宋_GB2312" w:cs="Times New Roman"/>
          <w:color w:val="000000"/>
          <w:kern w:val="0"/>
          <w:sz w:val="32"/>
          <w:szCs w:val="32"/>
          <w:shd w:val="clear" w:color="auto" w:fill="FFFFFF"/>
          <w:lang w:val="zh-CN"/>
        </w:rPr>
        <w:t>万元，1—1</w:t>
      </w:r>
      <w:r>
        <w:rPr>
          <w:rFonts w:hint="default" w:ascii="Times New Roman" w:hAnsi="Times New Roman" w:eastAsia="仿宋_GB2312" w:cs="Times New Roman"/>
          <w:color w:val="000000"/>
          <w:kern w:val="0"/>
          <w:sz w:val="32"/>
          <w:szCs w:val="32"/>
          <w:shd w:val="clear" w:color="auto" w:fill="FFFFFF"/>
        </w:rPr>
        <w:t>2</w:t>
      </w:r>
      <w:r>
        <w:rPr>
          <w:rFonts w:hint="default" w:ascii="Times New Roman" w:hAnsi="Times New Roman" w:eastAsia="仿宋_GB2312" w:cs="Times New Roman"/>
          <w:color w:val="000000"/>
          <w:kern w:val="0"/>
          <w:sz w:val="32"/>
          <w:szCs w:val="32"/>
          <w:shd w:val="clear" w:color="auto" w:fill="FFFFFF"/>
          <w:lang w:val="zh-CN"/>
        </w:rPr>
        <w:t>月预算执行总体进度为</w:t>
      </w:r>
      <w:r>
        <w:rPr>
          <w:rFonts w:hint="default" w:ascii="Times New Roman" w:hAnsi="Times New Roman" w:eastAsia="仿宋_GB2312" w:cs="Times New Roman"/>
          <w:color w:val="000000"/>
          <w:kern w:val="0"/>
          <w:sz w:val="32"/>
          <w:szCs w:val="32"/>
          <w:shd w:val="clear" w:color="auto" w:fill="FFFFFF"/>
          <w:lang w:val="en-US" w:eastAsia="zh-CN"/>
        </w:rPr>
        <w:t>100</w:t>
      </w:r>
      <w:r>
        <w:rPr>
          <w:rFonts w:hint="default" w:ascii="Times New Roman" w:hAnsi="Times New Roman" w:eastAsia="仿宋_GB2312" w:cs="Times New Roman"/>
          <w:color w:val="000000"/>
          <w:kern w:val="0"/>
          <w:sz w:val="32"/>
          <w:szCs w:val="32"/>
          <w:shd w:val="clear" w:color="auto" w:fill="FFFFFF"/>
          <w:lang w:val="zh-CN"/>
        </w:rPr>
        <w:t>%，其中：预算结余率大于</w:t>
      </w:r>
      <w:r>
        <w:rPr>
          <w:rFonts w:hint="default" w:ascii="Times New Roman" w:hAnsi="Times New Roman" w:eastAsia="仿宋_GB2312" w:cs="Times New Roman"/>
          <w:color w:val="000000"/>
          <w:kern w:val="0"/>
          <w:sz w:val="32"/>
          <w:szCs w:val="32"/>
          <w:shd w:val="clear" w:color="auto" w:fill="FFFFFF"/>
        </w:rPr>
        <w:t>10%</w:t>
      </w:r>
      <w:r>
        <w:rPr>
          <w:rFonts w:hint="default" w:ascii="Times New Roman" w:hAnsi="Times New Roman" w:eastAsia="仿宋_GB2312" w:cs="Times New Roman"/>
          <w:color w:val="000000"/>
          <w:kern w:val="0"/>
          <w:sz w:val="32"/>
          <w:szCs w:val="32"/>
          <w:shd w:val="clear" w:color="auto" w:fill="FFFFFF"/>
          <w:lang w:val="zh-CN"/>
        </w:rPr>
        <w:t>的项目共计</w:t>
      </w:r>
      <w:r>
        <w:rPr>
          <w:rFonts w:hint="default" w:ascii="Times New Roman" w:hAnsi="Times New Roman" w:eastAsia="仿宋_GB2312" w:cs="Times New Roman"/>
          <w:color w:val="000000"/>
          <w:kern w:val="0"/>
          <w:sz w:val="32"/>
          <w:szCs w:val="32"/>
          <w:shd w:val="clear" w:color="auto" w:fill="FFFFFF"/>
          <w:lang w:val="en-US" w:eastAsia="zh-CN"/>
        </w:rPr>
        <w:t>0</w:t>
      </w:r>
      <w:r>
        <w:rPr>
          <w:rFonts w:hint="default" w:ascii="Times New Roman" w:hAnsi="Times New Roman" w:eastAsia="仿宋_GB2312" w:cs="Times New Roman"/>
          <w:color w:val="000000"/>
          <w:kern w:val="0"/>
          <w:sz w:val="32"/>
          <w:szCs w:val="32"/>
          <w:shd w:val="clear" w:color="auto" w:fill="FFFFFF"/>
          <w:lang w:val="zh-CN"/>
        </w:rPr>
        <w:t>个。</w:t>
      </w:r>
    </w:p>
    <w:p w14:paraId="1F36ABB2">
      <w:pPr>
        <w:pageBreakBefore w:val="0"/>
        <w:kinsoku/>
        <w:wordWrap/>
        <w:overflowPunct/>
        <w:topLinePunct w:val="0"/>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rPr>
        <w:t>阶段（含一次性）项目绩效分析。</w:t>
      </w:r>
      <w:r>
        <w:rPr>
          <w:rFonts w:hint="default" w:ascii="Times New Roman" w:hAnsi="Times New Roman" w:eastAsia="仿宋_GB2312" w:cs="Times New Roman"/>
          <w:color w:val="000000"/>
          <w:kern w:val="0"/>
          <w:sz w:val="32"/>
          <w:szCs w:val="32"/>
          <w:shd w:val="clear" w:color="auto" w:fill="FFFFFF"/>
          <w:lang w:val="zh-CN"/>
        </w:rPr>
        <w:t>该类项目总数</w:t>
      </w:r>
      <w:r>
        <w:rPr>
          <w:rFonts w:hint="eastAsia" w:eastAsia="仿宋_GB2312" w:cs="Times New Roman"/>
          <w:color w:val="000000"/>
          <w:kern w:val="0"/>
          <w:sz w:val="32"/>
          <w:szCs w:val="32"/>
          <w:shd w:val="clear" w:color="auto" w:fill="FFFFFF"/>
          <w:lang w:val="en-US" w:eastAsia="zh-CN"/>
        </w:rPr>
        <w:t>3</w:t>
      </w:r>
      <w:r>
        <w:rPr>
          <w:rFonts w:hint="default" w:ascii="Times New Roman" w:hAnsi="Times New Roman" w:eastAsia="仿宋_GB2312" w:cs="Times New Roman"/>
          <w:color w:val="000000"/>
          <w:kern w:val="0"/>
          <w:sz w:val="32"/>
          <w:szCs w:val="32"/>
          <w:shd w:val="clear" w:color="auto" w:fill="FFFFFF"/>
          <w:lang w:val="zh-CN"/>
        </w:rPr>
        <w:t>个，涉及预算总金额</w:t>
      </w:r>
      <w:r>
        <w:rPr>
          <w:rFonts w:hint="eastAsia" w:eastAsia="仿宋_GB2312" w:cs="Times New Roman"/>
          <w:color w:val="000000"/>
          <w:kern w:val="0"/>
          <w:sz w:val="32"/>
          <w:szCs w:val="32"/>
          <w:shd w:val="clear" w:color="auto" w:fill="FFFFFF"/>
          <w:lang w:val="en-US" w:eastAsia="zh-CN"/>
        </w:rPr>
        <w:t>91.92</w:t>
      </w:r>
      <w:r>
        <w:rPr>
          <w:rFonts w:hint="default" w:ascii="Times New Roman" w:hAnsi="Times New Roman" w:eastAsia="仿宋_GB2312" w:cs="Times New Roman"/>
          <w:color w:val="000000"/>
          <w:kern w:val="0"/>
          <w:sz w:val="32"/>
          <w:szCs w:val="32"/>
          <w:shd w:val="clear" w:color="auto" w:fill="FFFFFF"/>
          <w:lang w:val="zh-CN"/>
        </w:rPr>
        <w:t>万元，1—1</w:t>
      </w:r>
      <w:r>
        <w:rPr>
          <w:rFonts w:hint="default" w:ascii="Times New Roman" w:hAnsi="Times New Roman" w:eastAsia="仿宋_GB2312" w:cs="Times New Roman"/>
          <w:color w:val="000000"/>
          <w:kern w:val="0"/>
          <w:sz w:val="32"/>
          <w:szCs w:val="32"/>
          <w:shd w:val="clear" w:color="auto" w:fill="FFFFFF"/>
        </w:rPr>
        <w:t>2</w:t>
      </w:r>
      <w:r>
        <w:rPr>
          <w:rFonts w:hint="default" w:ascii="Times New Roman" w:hAnsi="Times New Roman" w:eastAsia="仿宋_GB2312" w:cs="Times New Roman"/>
          <w:color w:val="000000"/>
          <w:kern w:val="0"/>
          <w:sz w:val="32"/>
          <w:szCs w:val="32"/>
          <w:shd w:val="clear" w:color="auto" w:fill="FFFFFF"/>
          <w:lang w:val="zh-CN"/>
        </w:rPr>
        <w:t>月预算执行总体进度为</w:t>
      </w:r>
      <w:r>
        <w:rPr>
          <w:rFonts w:hint="default" w:ascii="Times New Roman" w:hAnsi="Times New Roman" w:eastAsia="仿宋_GB2312" w:cs="Times New Roman"/>
          <w:color w:val="000000"/>
          <w:kern w:val="0"/>
          <w:sz w:val="32"/>
          <w:szCs w:val="32"/>
          <w:shd w:val="clear" w:color="auto" w:fill="FFFFFF"/>
          <w:lang w:val="en-US" w:eastAsia="zh-CN"/>
        </w:rPr>
        <w:t>100</w:t>
      </w:r>
      <w:r>
        <w:rPr>
          <w:rFonts w:hint="default" w:ascii="Times New Roman" w:hAnsi="Times New Roman" w:eastAsia="仿宋_GB2312" w:cs="Times New Roman"/>
          <w:color w:val="000000"/>
          <w:kern w:val="0"/>
          <w:sz w:val="32"/>
          <w:szCs w:val="32"/>
          <w:shd w:val="clear" w:color="auto" w:fill="FFFFFF"/>
          <w:lang w:val="zh-CN"/>
        </w:rPr>
        <w:t>%，其中：预算结余率大于</w:t>
      </w:r>
      <w:r>
        <w:rPr>
          <w:rFonts w:hint="default" w:ascii="Times New Roman" w:hAnsi="Times New Roman" w:eastAsia="仿宋_GB2312" w:cs="Times New Roman"/>
          <w:color w:val="000000"/>
          <w:kern w:val="0"/>
          <w:sz w:val="32"/>
          <w:szCs w:val="32"/>
          <w:shd w:val="clear" w:color="auto" w:fill="FFFFFF"/>
        </w:rPr>
        <w:t>10%</w:t>
      </w:r>
      <w:r>
        <w:rPr>
          <w:rFonts w:hint="default" w:ascii="Times New Roman" w:hAnsi="Times New Roman" w:eastAsia="仿宋_GB2312" w:cs="Times New Roman"/>
          <w:color w:val="000000"/>
          <w:kern w:val="0"/>
          <w:sz w:val="32"/>
          <w:szCs w:val="32"/>
          <w:shd w:val="clear" w:color="auto" w:fill="FFFFFF"/>
          <w:lang w:val="zh-CN"/>
        </w:rPr>
        <w:t>的项目共计</w:t>
      </w:r>
      <w:r>
        <w:rPr>
          <w:rFonts w:hint="default" w:ascii="Times New Roman" w:hAnsi="Times New Roman" w:eastAsia="仿宋_GB2312" w:cs="Times New Roman"/>
          <w:color w:val="000000"/>
          <w:kern w:val="0"/>
          <w:sz w:val="32"/>
          <w:szCs w:val="32"/>
          <w:shd w:val="clear" w:color="auto" w:fill="FFFFFF"/>
          <w:lang w:val="en-US" w:eastAsia="zh-CN"/>
        </w:rPr>
        <w:t>0</w:t>
      </w:r>
      <w:r>
        <w:rPr>
          <w:rFonts w:hint="default" w:ascii="Times New Roman" w:hAnsi="Times New Roman" w:eastAsia="仿宋_GB2312" w:cs="Times New Roman"/>
          <w:color w:val="000000"/>
          <w:kern w:val="0"/>
          <w:sz w:val="32"/>
          <w:szCs w:val="32"/>
          <w:shd w:val="clear" w:color="auto" w:fill="FFFFFF"/>
          <w:lang w:val="zh-CN"/>
        </w:rPr>
        <w:t>个。</w:t>
      </w:r>
    </w:p>
    <w:p w14:paraId="533CB014">
      <w:pPr>
        <w:pageBreakBefore w:val="0"/>
        <w:kinsoku/>
        <w:wordWrap/>
        <w:overflowPunct/>
        <w:topLinePunct w:val="0"/>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auto"/>
          <w:kern w:val="0"/>
          <w:sz w:val="32"/>
          <w:szCs w:val="32"/>
          <w:shd w:val="clear" w:color="auto" w:fill="FFFFFF"/>
          <w:lang w:val="zh-CN"/>
        </w:rPr>
      </w:pPr>
      <w:r>
        <w:rPr>
          <w:rFonts w:hint="default" w:ascii="Times New Roman" w:hAnsi="Times New Roman" w:eastAsia="楷体_GB2312" w:cs="Times New Roman"/>
          <w:color w:val="000000"/>
          <w:kern w:val="0"/>
          <w:sz w:val="32"/>
          <w:szCs w:val="32"/>
          <w:shd w:val="clear" w:color="auto" w:fill="FFFFFF"/>
        </w:rPr>
        <w:t>1.</w:t>
      </w:r>
      <w:r>
        <w:rPr>
          <w:rFonts w:hint="default" w:ascii="Times New Roman" w:hAnsi="Times New Roman" w:eastAsia="楷体_GB2312" w:cs="Times New Roman"/>
          <w:color w:val="000000"/>
          <w:kern w:val="0"/>
          <w:sz w:val="32"/>
          <w:szCs w:val="32"/>
          <w:shd w:val="clear" w:color="auto" w:fill="FFFFFF"/>
          <w:lang w:val="zh-CN"/>
        </w:rPr>
        <w:t>项目决策。</w:t>
      </w:r>
      <w:r>
        <w:rPr>
          <w:rFonts w:hint="default" w:ascii="Times New Roman" w:hAnsi="Times New Roman" w:eastAsia="仿宋_GB2312" w:cs="Times New Roman"/>
          <w:color w:val="auto"/>
          <w:kern w:val="0"/>
          <w:sz w:val="32"/>
          <w:szCs w:val="32"/>
          <w:shd w:val="clear" w:color="auto" w:fill="FFFFFF"/>
          <w:lang w:val="zh-CN"/>
        </w:rPr>
        <w:t>根据项目申报条件，单位班子成员及股室负责人或相关决策机构对项目评估报告进行审议后，向上级主管部分申报，同时由企业对项目目标设置后，待资金下达后，再撰写项目事前评估报告，项目入库申报。</w:t>
      </w:r>
    </w:p>
    <w:p w14:paraId="42F58F4D">
      <w:pPr>
        <w:pageBreakBefore w:val="0"/>
        <w:widowControl w:val="0"/>
        <w:kinsoku/>
        <w:wordWrap/>
        <w:overflowPunct/>
        <w:topLinePunct w:val="0"/>
        <w:bidi w:val="0"/>
        <w:spacing w:before="0" w:beforeLines="0" w:line="576" w:lineRule="exact"/>
        <w:ind w:left="0" w:leftChars="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en-US" w:eastAsia="zh-CN" w:bidi="ar-SA"/>
        </w:rPr>
      </w:pPr>
      <w:r>
        <w:rPr>
          <w:rFonts w:hint="default" w:ascii="Times New Roman" w:hAnsi="Times New Roman" w:eastAsia="楷体_GB2312" w:cs="Times New Roman"/>
          <w:color w:val="000000"/>
          <w:kern w:val="0"/>
          <w:sz w:val="32"/>
          <w:szCs w:val="32"/>
          <w:shd w:val="clear" w:color="auto" w:fill="FFFFFF"/>
          <w:lang w:val="en-US" w:eastAsia="zh-CN" w:bidi="ar-SA"/>
        </w:rPr>
        <w:t>2.项目执行</w:t>
      </w:r>
      <w:r>
        <w:rPr>
          <w:rFonts w:hint="default" w:ascii="Times New Roman" w:hAnsi="Times New Roman" w:eastAsia="楷体_GB2312" w:cs="Times New Roman"/>
          <w:color w:val="000000"/>
          <w:kern w:val="0"/>
          <w:sz w:val="32"/>
          <w:szCs w:val="32"/>
          <w:shd w:val="clear" w:color="auto" w:fill="FFFFFF"/>
          <w:lang w:val="zh-CN" w:eastAsia="zh-CN" w:bidi="ar-SA"/>
        </w:rPr>
        <w:t>。</w:t>
      </w:r>
    </w:p>
    <w:p w14:paraId="606E9701">
      <w:pPr>
        <w:pageBreakBefore w:val="0"/>
        <w:widowControl w:val="0"/>
        <w:kinsoku/>
        <w:wordWrap/>
        <w:overflowPunct/>
        <w:topLinePunct w:val="0"/>
        <w:bidi w:val="0"/>
        <w:spacing w:before="0" w:beforeLines="0" w:line="576" w:lineRule="exact"/>
        <w:ind w:left="0" w:leftChars="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en-US" w:eastAsia="zh-CN" w:bidi="ar-SA"/>
        </w:rPr>
      </w:pPr>
      <w:r>
        <w:rPr>
          <w:rFonts w:hint="default" w:ascii="Times New Roman" w:hAnsi="Times New Roman" w:eastAsia="仿宋_GB2312" w:cs="Times New Roman"/>
          <w:color w:val="000000"/>
          <w:kern w:val="0"/>
          <w:sz w:val="32"/>
          <w:szCs w:val="32"/>
          <w:shd w:val="clear" w:color="auto" w:fill="FFFFFF"/>
          <w:lang w:val="en-US" w:eastAsia="zh-CN" w:bidi="ar-SA"/>
        </w:rPr>
        <w:t>第三方调解中心房屋租金，预算数2.2万元，支付数2.20万元，执行进度100%。</w:t>
      </w:r>
    </w:p>
    <w:p w14:paraId="33676910">
      <w:pPr>
        <w:pageBreakBefore w:val="0"/>
        <w:widowControl w:val="0"/>
        <w:kinsoku/>
        <w:wordWrap/>
        <w:overflowPunct/>
        <w:topLinePunct w:val="0"/>
        <w:bidi w:val="0"/>
        <w:spacing w:before="0" w:beforeLines="0" w:line="576" w:lineRule="exact"/>
        <w:ind w:left="0" w:leftChars="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en-US" w:eastAsia="zh-CN" w:bidi="ar-SA"/>
        </w:rPr>
      </w:pPr>
      <w:r>
        <w:rPr>
          <w:rFonts w:hint="default" w:ascii="Times New Roman" w:hAnsi="Times New Roman" w:eastAsia="仿宋_GB2312" w:cs="Times New Roman"/>
          <w:color w:val="000000"/>
          <w:kern w:val="0"/>
          <w:sz w:val="32"/>
          <w:szCs w:val="32"/>
          <w:shd w:val="clear" w:color="auto" w:fill="FFFFFF"/>
          <w:lang w:val="en-US" w:eastAsia="zh-CN" w:bidi="ar-SA"/>
        </w:rPr>
        <w:t>茂县基层社会治理人员交流交融交往项目，预算数20.00万元，支付数20万元，执行进度100%。</w:t>
      </w:r>
    </w:p>
    <w:p w14:paraId="1476DD93">
      <w:pPr>
        <w:pageBreakBefore w:val="0"/>
        <w:widowControl w:val="0"/>
        <w:kinsoku/>
        <w:wordWrap/>
        <w:overflowPunct/>
        <w:topLinePunct w:val="0"/>
        <w:bidi w:val="0"/>
        <w:spacing w:before="0" w:beforeLines="0" w:line="576" w:lineRule="exact"/>
        <w:ind w:left="0" w:leftChars="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en-US" w:eastAsia="zh-CN" w:bidi="ar-SA"/>
        </w:rPr>
      </w:pPr>
      <w:r>
        <w:rPr>
          <w:rFonts w:hint="default" w:ascii="Times New Roman" w:hAnsi="Times New Roman" w:eastAsia="仿宋_GB2312" w:cs="Times New Roman"/>
          <w:color w:val="000000"/>
          <w:kern w:val="0"/>
          <w:sz w:val="32"/>
          <w:szCs w:val="32"/>
          <w:shd w:val="clear" w:color="auto" w:fill="FFFFFF"/>
          <w:lang w:val="en-US" w:eastAsia="zh-CN" w:bidi="ar-SA"/>
        </w:rPr>
        <w:t>茂县社会治安综合治理中心提升改造，预算数65.63万元，支付数65.63万元，执行进度100%。</w:t>
      </w:r>
    </w:p>
    <w:p w14:paraId="14A1C704">
      <w:pPr>
        <w:pageBreakBefore w:val="0"/>
        <w:widowControl w:val="0"/>
        <w:kinsoku/>
        <w:wordWrap/>
        <w:overflowPunct/>
        <w:topLinePunct w:val="0"/>
        <w:bidi w:val="0"/>
        <w:spacing w:before="0" w:beforeLines="0" w:line="576" w:lineRule="exact"/>
        <w:ind w:left="0" w:leftChars="0" w:firstLine="640" w:firstLineChars="200"/>
        <w:jc w:val="left"/>
        <w:textAlignment w:val="auto"/>
        <w:rPr>
          <w:rFonts w:hint="default" w:ascii="Times New Roman" w:hAnsi="Times New Roman" w:eastAsia="仿宋_GB2312" w:cs="Times New Roman"/>
          <w:kern w:val="2"/>
          <w:sz w:val="32"/>
          <w:szCs w:val="21"/>
          <w:lang w:val="zh-CN" w:eastAsia="zh-CN" w:bidi="ar-SA"/>
        </w:rPr>
      </w:pPr>
      <w:r>
        <w:rPr>
          <w:rFonts w:hint="default" w:ascii="Times New Roman" w:hAnsi="Times New Roman" w:eastAsia="仿宋_GB2312" w:cs="Times New Roman"/>
          <w:color w:val="000000"/>
          <w:kern w:val="0"/>
          <w:sz w:val="32"/>
          <w:szCs w:val="32"/>
          <w:shd w:val="clear" w:color="auto" w:fill="FFFFFF"/>
          <w:lang w:val="en-US" w:eastAsia="zh-CN" w:bidi="ar-SA"/>
        </w:rPr>
        <w:t>2025年茂县政法委维稳办公设备采购项目，预算数6.29万元，支付数6.29万元，执行进度100%。</w:t>
      </w:r>
    </w:p>
    <w:p w14:paraId="4A10DD1D">
      <w:pPr>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color w:val="000000"/>
          <w:kern w:val="0"/>
          <w:sz w:val="32"/>
          <w:szCs w:val="32"/>
          <w:shd w:val="clear" w:color="auto" w:fill="FFFFFF"/>
          <w:lang w:val="zh-CN" w:eastAsia="zh-CN" w:bidi="ar-SA"/>
        </w:rPr>
      </w:pPr>
      <w:r>
        <w:rPr>
          <w:rFonts w:hint="default" w:ascii="Times New Roman" w:hAnsi="Times New Roman" w:eastAsia="楷体_GB2312" w:cs="Times New Roman"/>
          <w:color w:val="000000"/>
          <w:kern w:val="0"/>
          <w:sz w:val="32"/>
          <w:szCs w:val="32"/>
          <w:shd w:val="clear" w:color="auto" w:fill="FFFFFF"/>
        </w:rPr>
        <w:t>3.</w:t>
      </w:r>
      <w:r>
        <w:rPr>
          <w:rFonts w:hint="default" w:ascii="Times New Roman" w:hAnsi="Times New Roman" w:eastAsia="楷体_GB2312" w:cs="Times New Roman"/>
          <w:color w:val="000000"/>
          <w:kern w:val="0"/>
          <w:sz w:val="32"/>
          <w:szCs w:val="32"/>
          <w:shd w:val="clear" w:color="auto" w:fill="FFFFFF"/>
          <w:lang w:val="zh-CN"/>
        </w:rPr>
        <w:t>目标实现。</w:t>
      </w:r>
      <w:r>
        <w:rPr>
          <w:rFonts w:hint="default" w:ascii="Times New Roman" w:hAnsi="Times New Roman" w:eastAsia="仿宋_GB2312" w:cs="Times New Roman"/>
          <w:color w:val="000000"/>
          <w:kern w:val="0"/>
          <w:sz w:val="32"/>
          <w:szCs w:val="32"/>
          <w:shd w:val="clear" w:color="auto" w:fill="FFFFFF"/>
          <w:lang w:val="zh-CN" w:eastAsia="zh-CN" w:bidi="ar-SA"/>
        </w:rPr>
        <w:t>各项既定绩效目标全部圆满达成，履职、预算、财务等核心指标均达到评价标准，有效保障了政法各项核心工作有序推进。</w:t>
      </w:r>
    </w:p>
    <w:p w14:paraId="4AA21D0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lang w:eastAsia="zh-CN"/>
        </w:rPr>
        <w:t>我单位无</w:t>
      </w:r>
      <w:r>
        <w:rPr>
          <w:rFonts w:hint="default" w:ascii="Times New Roman" w:hAnsi="Times New Roman" w:eastAsia="仿宋_GB2312" w:cs="Times New Roman"/>
          <w:sz w:val="32"/>
          <w:szCs w:val="32"/>
        </w:rPr>
        <w:t>省级部门对202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年度一般公共预算、政府性基金预算、国有资本经营预算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以及债券资金、政府购买服务。</w:t>
      </w:r>
    </w:p>
    <w:p w14:paraId="4BAD24D5">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default" w:ascii="Times New Roman" w:hAnsi="Times New Roman" w:eastAsia="仿宋_GB2312" w:cs="Times New Roman"/>
          <w:w w:val="95"/>
          <w:kern w:val="0"/>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default" w:ascii="Times New Roman" w:hAnsi="Times New Roman" w:eastAsia="仿宋_GB2312" w:cs="Times New Roman"/>
          <w:w w:val="95"/>
          <w:kern w:val="0"/>
          <w:sz w:val="32"/>
          <w:szCs w:val="32"/>
          <w:lang w:val="zh-CN" w:eastAsia="zh-CN"/>
        </w:rPr>
        <w:t>2025年我单位扎实推进预算绩效结果落地应用。将绩效结果与工作考核挂钩，优化资金配置；2025年县委政法委认真做好财政资金预算编制工作，强化资金统筹优化、明确开支范围、细化资金用途，有效保障部门职责任务完成和单位正常运转，降低行政运行成本，促进社会和谐稳定，充分发挥财政资金经济效益与社会效益。全年基本支出保障日常工作开展，项目支出支撑重点工作推进，整体完成年初设定绩效目标，自查自评结果良好，自评得分90分。针对薄弱环节及时整改，建立长效机制，切实提升绩效管控水平。</w:t>
      </w:r>
    </w:p>
    <w:p w14:paraId="159343E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091B370A">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仿宋_GB2312" w:cs="Times New Roman"/>
          <w:w w:val="95"/>
          <w:kern w:val="0"/>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default" w:ascii="Times New Roman" w:hAnsi="Times New Roman" w:eastAsia="仿宋_GB2312" w:cs="Times New Roman"/>
          <w:w w:val="95"/>
          <w:kern w:val="0"/>
          <w:sz w:val="32"/>
          <w:szCs w:val="32"/>
          <w:lang w:val="zh-CN" w:eastAsia="zh-CN"/>
        </w:rPr>
        <w:t>2025年县委政法委认真做好财政资金预算编制工作，强化资金统筹优化、明确开支范围、细化资金用途，有效保障部门职责任务完成和单位正常运转，降低行政运行成本，促进社会和谐稳定，充分发挥财政资金经济效益与社会效益。全年基本支出保障日常工作开展，项目支出支撑重点工作推进，整体完成年初设定绩效目标，自查自评结果良好，自评得分90分。</w:t>
      </w:r>
    </w:p>
    <w:p w14:paraId="17D126C4">
      <w:pPr>
        <w:pageBreakBefore w:val="0"/>
        <w:widowControl/>
        <w:kinsoku/>
        <w:wordWrap/>
        <w:overflowPunct/>
        <w:topLinePunct w:val="0"/>
        <w:bidi w:val="0"/>
        <w:adjustRightInd w:val="0"/>
        <w:snapToGrid w:val="0"/>
        <w:spacing w:line="576" w:lineRule="exact"/>
        <w:ind w:firstLine="643" w:firstLineChars="200"/>
        <w:contextualSpacing/>
        <w:jc w:val="left"/>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楷体_GB2312" w:cs="Times New Roman"/>
          <w:b/>
          <w:bCs/>
          <w:color w:val="000000"/>
          <w:kern w:val="0"/>
          <w:sz w:val="32"/>
          <w:szCs w:val="32"/>
          <w:shd w:val="clear" w:color="auto" w:fill="FFFFFF"/>
          <w:lang w:val="zh-CN"/>
        </w:rPr>
        <w:t>（二）存在问题。</w:t>
      </w:r>
      <w:r>
        <w:rPr>
          <w:rFonts w:hint="default" w:ascii="Times New Roman" w:hAnsi="Times New Roman" w:eastAsia="仿宋_GB2312" w:cs="Times New Roman"/>
          <w:kern w:val="0"/>
          <w:sz w:val="32"/>
          <w:szCs w:val="32"/>
          <w:lang w:val="zh-CN" w:eastAsia="zh-CN"/>
        </w:rPr>
        <w:t>一是预算编制精准度有待提升，部分项目测算不够细致。二是绩效结果应用不够深入，与预算安排、内部管理的联动约束性不强。</w:t>
      </w:r>
    </w:p>
    <w:p w14:paraId="54B2A204">
      <w:pPr>
        <w:keepNext w:val="0"/>
        <w:keepLines w:val="0"/>
        <w:pageBreakBefore w:val="0"/>
        <w:widowControl/>
        <w:suppressLineNumbers w:val="0"/>
        <w:kinsoku/>
        <w:wordWrap/>
        <w:overflowPunct/>
        <w:topLinePunct w:val="0"/>
        <w:bidi w:val="0"/>
        <w:spacing w:line="576" w:lineRule="exact"/>
        <w:ind w:firstLine="643"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楷体_GB2312" w:cs="Times New Roman"/>
          <w:b/>
          <w:bCs/>
          <w:color w:val="000000"/>
          <w:kern w:val="0"/>
          <w:sz w:val="32"/>
          <w:szCs w:val="32"/>
          <w:shd w:val="clear" w:color="auto" w:fill="FFFFFF"/>
          <w:lang w:val="zh-CN"/>
        </w:rPr>
        <w:t>（三）改进建议。</w:t>
      </w:r>
      <w:bookmarkStart w:id="80" w:name="_Hlk110546638"/>
      <w:r>
        <w:rPr>
          <w:rFonts w:hint="default" w:ascii="Times New Roman" w:hAnsi="Times New Roman" w:eastAsia="仿宋_GB2312" w:cs="Times New Roman"/>
          <w:kern w:val="0"/>
          <w:sz w:val="32"/>
          <w:szCs w:val="32"/>
          <w:lang w:val="en-US" w:eastAsia="zh-CN"/>
        </w:rPr>
        <w:t>一是严把预算编制关口，细化项目测算、强化前期论证，建立执行动态监控机制，保障收支均衡落地；二是深化绩效结果应用，将评价结果与预算分配、考核问责挂钩，压实整改责任，健全“评改促”长效机制。</w:t>
      </w:r>
      <w:bookmarkEnd w:id="80"/>
    </w:p>
    <w:p w14:paraId="6C863DE6">
      <w:pPr>
        <w:pStyle w:val="2"/>
        <w:rPr>
          <w:rFonts w:hint="default" w:ascii="Times New Roman" w:hAnsi="Times New Roman" w:eastAsia="仿宋_GB2312" w:cs="Times New Roman"/>
          <w:kern w:val="0"/>
          <w:sz w:val="32"/>
          <w:szCs w:val="32"/>
          <w:lang w:val="en-US" w:eastAsia="zh-CN"/>
        </w:rPr>
      </w:pPr>
    </w:p>
    <w:p w14:paraId="38B70464">
      <w:pPr>
        <w:rPr>
          <w:rFonts w:hint="default"/>
          <w:lang w:val="en-US" w:eastAsia="zh-CN"/>
        </w:rPr>
      </w:pPr>
    </w:p>
    <w:p w14:paraId="217635F0">
      <w:pPr>
        <w:rPr>
          <w:rFonts w:hint="default"/>
          <w:lang w:val="zh-CN" w:eastAsia="zh-CN"/>
        </w:rPr>
      </w:pPr>
    </w:p>
    <w:p w14:paraId="614C2851">
      <w:pPr>
        <w:pStyle w:val="8"/>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2"/>
          <w:sz w:val="32"/>
          <w:szCs w:val="32"/>
          <w:u w:val="none"/>
          <w:lang w:val="en-US" w:eastAsia="zh-CN" w:bidi="ar"/>
        </w:rPr>
      </w:pPr>
    </w:p>
    <w:p w14:paraId="4B45F2FD">
      <w:pPr>
        <w:pStyle w:val="8"/>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2"/>
          <w:sz w:val="32"/>
          <w:szCs w:val="32"/>
          <w:u w:val="none"/>
          <w:lang w:val="en-US" w:eastAsia="zh-CN" w:bidi="ar"/>
        </w:rPr>
      </w:pPr>
    </w:p>
    <w:p w14:paraId="14C18CB3">
      <w:pPr>
        <w:pStyle w:val="8"/>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2"/>
          <w:sz w:val="32"/>
          <w:szCs w:val="32"/>
          <w:u w:val="none"/>
          <w:lang w:val="en-US" w:eastAsia="zh-CN" w:bidi="ar"/>
        </w:rPr>
      </w:pPr>
    </w:p>
    <w:p w14:paraId="08DB31D0">
      <w:pPr>
        <w:pStyle w:val="8"/>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2"/>
          <w:sz w:val="32"/>
          <w:szCs w:val="32"/>
          <w:u w:val="none"/>
          <w:lang w:val="en-US" w:eastAsia="zh-CN" w:bidi="ar"/>
        </w:rPr>
      </w:pPr>
    </w:p>
    <w:p w14:paraId="4FAF975E">
      <w:pPr>
        <w:pStyle w:val="8"/>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2"/>
          <w:sz w:val="32"/>
          <w:szCs w:val="32"/>
          <w:u w:val="none"/>
          <w:lang w:val="en-US" w:eastAsia="zh-CN" w:bidi="ar"/>
        </w:rPr>
      </w:pPr>
    </w:p>
    <w:p w14:paraId="5B3DAE1A">
      <w:pPr>
        <w:pStyle w:val="8"/>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kern w:val="2"/>
          <w:sz w:val="32"/>
          <w:szCs w:val="32"/>
          <w:u w:val="none"/>
          <w:lang w:val="en-US" w:eastAsia="zh-CN" w:bidi="ar"/>
        </w:rPr>
      </w:pPr>
    </w:p>
    <w:p w14:paraId="3EB893FA">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default" w:ascii="Times New Roman" w:hAnsi="Times New Roman" w:eastAsia="仿宋_GB2312" w:cs="Times New Roman"/>
          <w:kern w:val="2"/>
          <w:sz w:val="32"/>
          <w:szCs w:val="32"/>
          <w:u w:val="none"/>
          <w:lang w:val="zh-CN" w:eastAsia="zh-CN" w:bidi="ar"/>
        </w:rPr>
      </w:pPr>
    </w:p>
    <w:p w14:paraId="1C4DF2A9">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p>
    <w:p w14:paraId="2C338725">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p>
    <w:p w14:paraId="720958AC">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p>
    <w:p w14:paraId="7073CD0E">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p>
    <w:p w14:paraId="2C832A3A">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p>
    <w:p w14:paraId="262FF5B0">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p>
    <w:p w14:paraId="0F044AA1">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p>
    <w:p w14:paraId="06481AD2">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bookmarkStart w:id="95" w:name="_GoBack"/>
      <w:bookmarkEnd w:id="95"/>
    </w:p>
    <w:p w14:paraId="4BD6AD5A">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p>
    <w:p w14:paraId="3B716D09">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eastAsia" w:ascii="方正小标宋简体" w:hAnsi="方正小标宋简体" w:eastAsia="方正小标宋简体" w:cs="方正小标宋简体"/>
          <w:kern w:val="2"/>
          <w:sz w:val="44"/>
          <w:szCs w:val="44"/>
          <w:u w:val="none"/>
          <w:lang w:val="en-US" w:eastAsia="zh-CN" w:bidi="ar"/>
        </w:rPr>
      </w:pPr>
      <w:r>
        <w:rPr>
          <w:rFonts w:hint="eastAsia" w:ascii="方正小标宋简体" w:hAnsi="方正小标宋简体" w:eastAsia="方正小标宋简体" w:cs="方正小标宋简体"/>
          <w:kern w:val="2"/>
          <w:sz w:val="44"/>
          <w:szCs w:val="44"/>
          <w:u w:val="none"/>
          <w:lang w:val="en-US" w:eastAsia="zh-CN" w:bidi="ar"/>
        </w:rPr>
        <w:t>部门预算项目支出绩效自评表（2025年度）</w:t>
      </w:r>
    </w:p>
    <w:tbl>
      <w:tblPr>
        <w:tblStyle w:val="17"/>
        <w:tblpPr w:leftFromText="181" w:rightFromText="181" w:vertAnchor="page" w:horzAnchor="page" w:tblpX="1409" w:tblpY="2843"/>
        <w:tblW w:w="53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6"/>
        <w:gridCol w:w="616"/>
        <w:gridCol w:w="566"/>
        <w:gridCol w:w="932"/>
        <w:gridCol w:w="416"/>
        <w:gridCol w:w="616"/>
        <w:gridCol w:w="516"/>
        <w:gridCol w:w="416"/>
        <w:gridCol w:w="13"/>
        <w:gridCol w:w="933"/>
        <w:gridCol w:w="417"/>
        <w:gridCol w:w="616"/>
        <w:gridCol w:w="416"/>
        <w:gridCol w:w="41"/>
        <w:gridCol w:w="416"/>
        <w:gridCol w:w="1651"/>
      </w:tblGrid>
      <w:tr w14:paraId="5746E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69" w:type="pct"/>
            <w:gridSpan w:val="2"/>
            <w:tcBorders>
              <w:top w:val="single" w:color="000000" w:sz="4" w:space="0"/>
              <w:left w:val="single" w:color="000000" w:sz="4" w:space="0"/>
              <w:bottom w:val="single" w:color="000000" w:sz="4" w:space="0"/>
              <w:right w:val="single" w:color="000000" w:sz="4" w:space="0"/>
            </w:tcBorders>
            <w:noWrap w:val="0"/>
            <w:vAlign w:val="center"/>
          </w:tcPr>
          <w:p w14:paraId="5718642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4330" w:type="pct"/>
            <w:gridSpan w:val="14"/>
            <w:tcBorders>
              <w:top w:val="single" w:color="000000" w:sz="4" w:space="0"/>
              <w:left w:val="single" w:color="000000" w:sz="4" w:space="0"/>
              <w:bottom w:val="single" w:color="000000" w:sz="4" w:space="0"/>
              <w:right w:val="single" w:color="000000" w:sz="4" w:space="0"/>
            </w:tcBorders>
            <w:noWrap w:val="0"/>
            <w:vAlign w:val="center"/>
          </w:tcPr>
          <w:p w14:paraId="555C95F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51322324T000010832453-第三方调解中心房屋租金</w:t>
            </w:r>
          </w:p>
        </w:tc>
      </w:tr>
      <w:tr w14:paraId="1E498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669" w:type="pct"/>
            <w:gridSpan w:val="2"/>
            <w:tcBorders>
              <w:top w:val="single" w:color="000000" w:sz="4" w:space="0"/>
              <w:left w:val="single" w:color="000000" w:sz="4" w:space="0"/>
              <w:bottom w:val="single" w:color="000000" w:sz="4" w:space="0"/>
              <w:right w:val="single" w:color="000000" w:sz="4" w:space="0"/>
            </w:tcBorders>
            <w:noWrap w:val="0"/>
            <w:vAlign w:val="center"/>
          </w:tcPr>
          <w:p w14:paraId="61FA231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主管部门</w:t>
            </w:r>
          </w:p>
        </w:tc>
        <w:tc>
          <w:tcPr>
            <w:tcW w:w="1889" w:type="pct"/>
            <w:gridSpan w:val="7"/>
            <w:tcBorders>
              <w:top w:val="single" w:color="000000" w:sz="4" w:space="0"/>
              <w:left w:val="single" w:color="000000" w:sz="4" w:space="0"/>
              <w:bottom w:val="single" w:color="000000" w:sz="4" w:space="0"/>
              <w:right w:val="single" w:color="000000" w:sz="4" w:space="0"/>
            </w:tcBorders>
            <w:noWrap w:val="0"/>
            <w:vAlign w:val="center"/>
          </w:tcPr>
          <w:p w14:paraId="5940F01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中国共产党茂县委员会政法委员会</w:t>
            </w:r>
          </w:p>
        </w:tc>
        <w:tc>
          <w:tcPr>
            <w:tcW w:w="733" w:type="pct"/>
            <w:gridSpan w:val="2"/>
            <w:tcBorders>
              <w:top w:val="single" w:color="000000" w:sz="4" w:space="0"/>
              <w:left w:val="single" w:color="000000" w:sz="4" w:space="0"/>
              <w:bottom w:val="single" w:color="000000" w:sz="4" w:space="0"/>
              <w:right w:val="single" w:color="000000" w:sz="4" w:space="0"/>
            </w:tcBorders>
            <w:noWrap w:val="0"/>
            <w:vAlign w:val="center"/>
          </w:tcPr>
          <w:p w14:paraId="44B17F5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实施单位 （盖章）</w:t>
            </w:r>
          </w:p>
        </w:tc>
        <w:tc>
          <w:tcPr>
            <w:tcW w:w="1707" w:type="pct"/>
            <w:gridSpan w:val="5"/>
            <w:tcBorders>
              <w:top w:val="single" w:color="000000" w:sz="4" w:space="0"/>
              <w:left w:val="single" w:color="000000" w:sz="4" w:space="0"/>
              <w:bottom w:val="single" w:color="000000" w:sz="4" w:space="0"/>
              <w:right w:val="single" w:color="000000" w:sz="4" w:space="0"/>
            </w:tcBorders>
            <w:noWrap w:val="0"/>
            <w:vAlign w:val="center"/>
          </w:tcPr>
          <w:p w14:paraId="40F5111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中国共产党茂县委员会政法委员会（行政）</w:t>
            </w:r>
          </w:p>
        </w:tc>
      </w:tr>
      <w:tr w14:paraId="6C9FC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2D7B0EC5">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项目基本情况</w:t>
            </w:r>
          </w:p>
        </w:tc>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4D2AE76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1.项目年度目标完成情况</w:t>
            </w:r>
          </w:p>
        </w:tc>
        <w:tc>
          <w:tcPr>
            <w:tcW w:w="1889" w:type="pct"/>
            <w:gridSpan w:val="7"/>
            <w:tcBorders>
              <w:top w:val="single" w:color="000000" w:sz="4" w:space="0"/>
              <w:left w:val="single" w:color="000000" w:sz="4" w:space="0"/>
              <w:bottom w:val="single" w:color="000000" w:sz="4" w:space="0"/>
              <w:right w:val="single" w:color="000000" w:sz="4" w:space="0"/>
            </w:tcBorders>
            <w:noWrap w:val="0"/>
            <w:vAlign w:val="center"/>
          </w:tcPr>
          <w:p w14:paraId="1EFCEDF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项目年度目标</w:t>
            </w:r>
          </w:p>
        </w:tc>
        <w:tc>
          <w:tcPr>
            <w:tcW w:w="2440" w:type="pct"/>
            <w:gridSpan w:val="7"/>
            <w:tcBorders>
              <w:top w:val="single" w:color="000000" w:sz="4" w:space="0"/>
              <w:left w:val="single" w:color="000000" w:sz="4" w:space="0"/>
              <w:bottom w:val="single" w:color="000000" w:sz="4" w:space="0"/>
              <w:right w:val="single" w:color="000000" w:sz="4" w:space="0"/>
            </w:tcBorders>
            <w:noWrap w:val="0"/>
            <w:vAlign w:val="center"/>
          </w:tcPr>
          <w:p w14:paraId="7859A56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年度目标完成情况</w:t>
            </w:r>
          </w:p>
        </w:tc>
      </w:tr>
      <w:tr w14:paraId="3C8C2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DE3141">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D6E77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889" w:type="pct"/>
            <w:gridSpan w:val="7"/>
            <w:tcBorders>
              <w:top w:val="single" w:color="000000" w:sz="4" w:space="0"/>
              <w:left w:val="single" w:color="000000" w:sz="4" w:space="0"/>
              <w:bottom w:val="single" w:color="000000" w:sz="4" w:space="0"/>
              <w:right w:val="single" w:color="000000" w:sz="4" w:space="0"/>
            </w:tcBorders>
            <w:noWrap w:val="0"/>
            <w:vAlign w:val="center"/>
          </w:tcPr>
          <w:p w14:paraId="469FA60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开展全县社会矛盾纠纷调解工作。</w:t>
            </w:r>
          </w:p>
        </w:tc>
        <w:tc>
          <w:tcPr>
            <w:tcW w:w="2440" w:type="pct"/>
            <w:gridSpan w:val="7"/>
            <w:tcBorders>
              <w:top w:val="single" w:color="000000" w:sz="4" w:space="0"/>
              <w:left w:val="single" w:color="000000" w:sz="4" w:space="0"/>
              <w:bottom w:val="single" w:color="000000" w:sz="4" w:space="0"/>
              <w:right w:val="single" w:color="000000" w:sz="4" w:space="0"/>
            </w:tcBorders>
            <w:noWrap w:val="0"/>
            <w:vAlign w:val="center"/>
          </w:tcPr>
          <w:p w14:paraId="23170F6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第三方调解中心房屋租金预算，保障调解办公场地正常使用，完成年度场地租赁，满足调解业务开展，年度目标全部落实到位。</w:t>
            </w:r>
          </w:p>
        </w:tc>
      </w:tr>
      <w:tr w14:paraId="1F2FF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C8C2379">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7E351F3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2.项目实施内容及过程概述</w:t>
            </w:r>
          </w:p>
        </w:tc>
        <w:tc>
          <w:tcPr>
            <w:tcW w:w="4330" w:type="pct"/>
            <w:gridSpan w:val="14"/>
            <w:tcBorders>
              <w:top w:val="single" w:color="000000" w:sz="4" w:space="0"/>
              <w:left w:val="single" w:color="000000" w:sz="4" w:space="0"/>
              <w:bottom w:val="single" w:color="000000" w:sz="4" w:space="0"/>
              <w:right w:val="single" w:color="000000" w:sz="4" w:space="0"/>
            </w:tcBorders>
            <w:noWrap w:val="0"/>
            <w:vAlign w:val="center"/>
          </w:tcPr>
          <w:p w14:paraId="610BB4F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落实第三方调解中心办公场地租赁，按合同按期支付租金，保障办公场所稳定，支撑调解业务有序开展。</w:t>
            </w:r>
          </w:p>
        </w:tc>
      </w:tr>
      <w:tr w14:paraId="7D071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486147E4">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预算执行情况（10分）</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F4C649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年度预算数（万元）</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5DE4BEE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年初预算</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240E126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调整后预算数</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49B3BA3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预算执行数</w:t>
            </w:r>
          </w:p>
        </w:tc>
        <w:tc>
          <w:tcPr>
            <w:tcW w:w="733" w:type="pct"/>
            <w:gridSpan w:val="2"/>
            <w:tcBorders>
              <w:top w:val="single" w:color="000000" w:sz="4" w:space="0"/>
              <w:left w:val="single" w:color="000000" w:sz="4" w:space="0"/>
              <w:bottom w:val="single" w:color="000000" w:sz="4" w:space="0"/>
              <w:right w:val="single" w:color="000000" w:sz="4" w:space="0"/>
            </w:tcBorders>
            <w:noWrap w:val="0"/>
            <w:vAlign w:val="center"/>
          </w:tcPr>
          <w:p w14:paraId="0688A98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预算执行率</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1C2C7E5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权重</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0588284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得分</w:t>
            </w:r>
          </w:p>
        </w:tc>
        <w:tc>
          <w:tcPr>
            <w:tcW w:w="1146" w:type="pct"/>
            <w:gridSpan w:val="3"/>
            <w:tcBorders>
              <w:top w:val="single" w:color="000000" w:sz="4" w:space="0"/>
              <w:left w:val="single" w:color="000000" w:sz="4" w:space="0"/>
              <w:bottom w:val="single" w:color="000000" w:sz="4" w:space="0"/>
              <w:right w:val="single" w:color="000000" w:sz="4" w:space="0"/>
            </w:tcBorders>
            <w:noWrap w:val="0"/>
            <w:vAlign w:val="center"/>
          </w:tcPr>
          <w:p w14:paraId="4C2927D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原因</w:t>
            </w:r>
          </w:p>
        </w:tc>
      </w:tr>
      <w:tr w14:paraId="5CB2E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DF35B8">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7D47ADC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总额</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FB66BB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5F99F2F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2.20</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634785A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2.20</w:t>
            </w:r>
          </w:p>
        </w:tc>
        <w:tc>
          <w:tcPr>
            <w:tcW w:w="733" w:type="pct"/>
            <w:gridSpan w:val="2"/>
            <w:tcBorders>
              <w:top w:val="single" w:color="000000" w:sz="4" w:space="0"/>
              <w:left w:val="single" w:color="000000" w:sz="4" w:space="0"/>
              <w:bottom w:val="single" w:color="000000" w:sz="4" w:space="0"/>
              <w:right w:val="single" w:color="000000" w:sz="4" w:space="0"/>
            </w:tcBorders>
            <w:noWrap w:val="0"/>
            <w:vAlign w:val="center"/>
          </w:tcPr>
          <w:p w14:paraId="503AE39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100.00%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7702E08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2570615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1146"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315BBE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5DBB4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2EE995">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B49DA7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其中：财政资金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BAA34D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650D76A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2.20</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551959E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2.20</w:t>
            </w:r>
          </w:p>
        </w:tc>
        <w:tc>
          <w:tcPr>
            <w:tcW w:w="733" w:type="pct"/>
            <w:gridSpan w:val="2"/>
            <w:tcBorders>
              <w:top w:val="single" w:color="000000" w:sz="4" w:space="0"/>
              <w:left w:val="single" w:color="000000" w:sz="4" w:space="0"/>
              <w:bottom w:val="single" w:color="000000" w:sz="4" w:space="0"/>
              <w:right w:val="single" w:color="000000" w:sz="4" w:space="0"/>
            </w:tcBorders>
            <w:noWrap w:val="0"/>
            <w:vAlign w:val="center"/>
          </w:tcPr>
          <w:p w14:paraId="3D91DC7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100.00%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7A9931D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6624759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1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46F99A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356F2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F64A6F">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87AA2D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财政专户管理资金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556A5F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2340AE6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53D19E4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733" w:type="pct"/>
            <w:gridSpan w:val="2"/>
            <w:tcBorders>
              <w:top w:val="single" w:color="000000" w:sz="4" w:space="0"/>
              <w:left w:val="single" w:color="000000" w:sz="4" w:space="0"/>
              <w:bottom w:val="single" w:color="000000" w:sz="4" w:space="0"/>
              <w:right w:val="single" w:color="000000" w:sz="4" w:space="0"/>
            </w:tcBorders>
            <w:noWrap w:val="0"/>
            <w:vAlign w:val="center"/>
          </w:tcPr>
          <w:p w14:paraId="03025CA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0808CE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0589D4C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1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6F08EA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6A98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E3188D">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A577C3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单位资金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2569010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604A186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460626E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733" w:type="pct"/>
            <w:gridSpan w:val="2"/>
            <w:tcBorders>
              <w:top w:val="single" w:color="000000" w:sz="4" w:space="0"/>
              <w:left w:val="single" w:color="000000" w:sz="4" w:space="0"/>
              <w:bottom w:val="single" w:color="000000" w:sz="4" w:space="0"/>
              <w:right w:val="single" w:color="000000" w:sz="4" w:space="0"/>
            </w:tcBorders>
            <w:noWrap w:val="0"/>
            <w:vAlign w:val="center"/>
          </w:tcPr>
          <w:p w14:paraId="71EE4F0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5A6F099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4C362C4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1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1EB60E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48C4B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937E37">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66D9D50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其他资金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4DAC2F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685B540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0C0BC8E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733" w:type="pct"/>
            <w:gridSpan w:val="2"/>
            <w:tcBorders>
              <w:top w:val="single" w:color="000000" w:sz="4" w:space="0"/>
              <w:left w:val="single" w:color="000000" w:sz="4" w:space="0"/>
              <w:bottom w:val="single" w:color="000000" w:sz="4" w:space="0"/>
              <w:right w:val="single" w:color="000000" w:sz="4" w:space="0"/>
            </w:tcBorders>
            <w:noWrap w:val="0"/>
            <w:vAlign w:val="center"/>
          </w:tcPr>
          <w:p w14:paraId="42B4561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254AB3D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217E3DA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146"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581EBF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52F2E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547814E9">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绩效指标（90分）</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0779E08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一级指标</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FA2891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二级指标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16A4E0A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三级指标</w:t>
            </w:r>
          </w:p>
        </w:tc>
        <w:tc>
          <w:tcPr>
            <w:tcW w:w="561" w:type="pct"/>
            <w:gridSpan w:val="2"/>
            <w:tcBorders>
              <w:top w:val="single" w:color="000000" w:sz="4" w:space="0"/>
              <w:left w:val="single" w:color="000000" w:sz="4" w:space="0"/>
              <w:bottom w:val="single" w:color="000000" w:sz="4" w:space="0"/>
              <w:right w:val="single" w:color="000000" w:sz="4" w:space="0"/>
            </w:tcBorders>
            <w:noWrap w:val="0"/>
            <w:vAlign w:val="center"/>
          </w:tcPr>
          <w:p w14:paraId="429E659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指标性质</w:t>
            </w:r>
          </w:p>
        </w:tc>
        <w:tc>
          <w:tcPr>
            <w:tcW w:w="280" w:type="pct"/>
            <w:tcBorders>
              <w:top w:val="single" w:color="000000" w:sz="4" w:space="0"/>
              <w:left w:val="single" w:color="000000" w:sz="4" w:space="0"/>
              <w:bottom w:val="single" w:color="000000" w:sz="4" w:space="0"/>
              <w:right w:val="single" w:color="000000" w:sz="4" w:space="0"/>
            </w:tcBorders>
            <w:noWrap w:val="0"/>
            <w:vAlign w:val="center"/>
          </w:tcPr>
          <w:p w14:paraId="1824483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指标值</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1A6C09E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度量单位</w:t>
            </w:r>
          </w:p>
        </w:tc>
        <w:tc>
          <w:tcPr>
            <w:tcW w:w="741" w:type="pct"/>
            <w:gridSpan w:val="3"/>
            <w:tcBorders>
              <w:top w:val="single" w:color="000000" w:sz="4" w:space="0"/>
              <w:left w:val="single" w:color="000000" w:sz="4" w:space="0"/>
              <w:bottom w:val="single" w:color="000000" w:sz="4" w:space="0"/>
              <w:right w:val="single" w:color="000000" w:sz="4" w:space="0"/>
            </w:tcBorders>
            <w:noWrap w:val="0"/>
            <w:vAlign w:val="center"/>
          </w:tcPr>
          <w:p w14:paraId="2C7010D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完成值</w:t>
            </w:r>
          </w:p>
        </w:tc>
        <w:tc>
          <w:tcPr>
            <w:tcW w:w="583" w:type="pct"/>
            <w:gridSpan w:val="3"/>
            <w:tcBorders>
              <w:top w:val="single" w:color="000000" w:sz="4" w:space="0"/>
              <w:left w:val="single" w:color="000000" w:sz="4" w:space="0"/>
              <w:bottom w:val="single" w:color="000000" w:sz="4" w:space="0"/>
              <w:right w:val="single" w:color="000000" w:sz="4" w:space="0"/>
            </w:tcBorders>
            <w:noWrap w:val="0"/>
            <w:vAlign w:val="center"/>
          </w:tcPr>
          <w:p w14:paraId="789DF12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权重</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15843BD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得分</w:t>
            </w: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2F563AE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未完成原因分析</w:t>
            </w:r>
          </w:p>
        </w:tc>
      </w:tr>
      <w:tr w14:paraId="7B41D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4E88C9">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5718F72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产出指标</w:t>
            </w:r>
          </w:p>
        </w:tc>
        <w:tc>
          <w:tcPr>
            <w:tcW w:w="307" w:type="pct"/>
            <w:vMerge w:val="restart"/>
            <w:tcBorders>
              <w:top w:val="single" w:color="000000" w:sz="4" w:space="0"/>
              <w:left w:val="single" w:color="000000" w:sz="4" w:space="0"/>
              <w:bottom w:val="single" w:color="000000" w:sz="4" w:space="0"/>
              <w:right w:val="single" w:color="000000" w:sz="4" w:space="0"/>
            </w:tcBorders>
            <w:noWrap w:val="0"/>
            <w:vAlign w:val="center"/>
          </w:tcPr>
          <w:p w14:paraId="2975146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数量指标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7B89C94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群众安全和谐</w:t>
            </w:r>
          </w:p>
        </w:tc>
        <w:tc>
          <w:tcPr>
            <w:tcW w:w="561" w:type="pct"/>
            <w:gridSpan w:val="2"/>
            <w:tcBorders>
              <w:top w:val="single" w:color="000000" w:sz="4" w:space="0"/>
              <w:left w:val="single" w:color="000000" w:sz="4" w:space="0"/>
              <w:bottom w:val="single" w:color="000000" w:sz="4" w:space="0"/>
              <w:right w:val="single" w:color="000000" w:sz="4" w:space="0"/>
            </w:tcBorders>
            <w:noWrap w:val="0"/>
            <w:vAlign w:val="center"/>
          </w:tcPr>
          <w:p w14:paraId="3FE15AB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80" w:type="pct"/>
            <w:tcBorders>
              <w:top w:val="single" w:color="000000" w:sz="4" w:space="0"/>
              <w:left w:val="single" w:color="000000" w:sz="4" w:space="0"/>
              <w:bottom w:val="single" w:color="000000" w:sz="4" w:space="0"/>
              <w:right w:val="single" w:color="000000" w:sz="4" w:space="0"/>
            </w:tcBorders>
            <w:noWrap w:val="0"/>
            <w:vAlign w:val="center"/>
          </w:tcPr>
          <w:p w14:paraId="774CF93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6DE6E7A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741" w:type="pct"/>
            <w:gridSpan w:val="3"/>
            <w:tcBorders>
              <w:top w:val="single" w:color="000000" w:sz="4" w:space="0"/>
              <w:left w:val="single" w:color="000000" w:sz="4" w:space="0"/>
              <w:bottom w:val="single" w:color="000000" w:sz="4" w:space="0"/>
              <w:right w:val="single" w:color="000000" w:sz="4" w:space="0"/>
            </w:tcBorders>
            <w:noWrap w:val="0"/>
            <w:vAlign w:val="center"/>
          </w:tcPr>
          <w:p w14:paraId="1D1D5A7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83" w:type="pct"/>
            <w:gridSpan w:val="3"/>
            <w:tcBorders>
              <w:top w:val="single" w:color="000000" w:sz="4" w:space="0"/>
              <w:left w:val="single" w:color="000000" w:sz="4" w:space="0"/>
              <w:bottom w:val="single" w:color="000000" w:sz="4" w:space="0"/>
              <w:right w:val="single" w:color="000000" w:sz="4" w:space="0"/>
            </w:tcBorders>
            <w:noWrap w:val="0"/>
            <w:vAlign w:val="center"/>
          </w:tcPr>
          <w:p w14:paraId="2D24E4C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61A4CE0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2B2E34C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557E9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46994E">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96849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6D0B6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4276288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完成矛盾纠纷事件调解</w:t>
            </w:r>
          </w:p>
        </w:tc>
        <w:tc>
          <w:tcPr>
            <w:tcW w:w="561" w:type="pct"/>
            <w:gridSpan w:val="2"/>
            <w:tcBorders>
              <w:top w:val="single" w:color="000000" w:sz="4" w:space="0"/>
              <w:left w:val="single" w:color="000000" w:sz="4" w:space="0"/>
              <w:bottom w:val="single" w:color="000000" w:sz="4" w:space="0"/>
              <w:right w:val="single" w:color="000000" w:sz="4" w:space="0"/>
            </w:tcBorders>
            <w:noWrap w:val="0"/>
            <w:vAlign w:val="center"/>
          </w:tcPr>
          <w:p w14:paraId="5544B27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80" w:type="pct"/>
            <w:tcBorders>
              <w:top w:val="single" w:color="000000" w:sz="4" w:space="0"/>
              <w:left w:val="single" w:color="000000" w:sz="4" w:space="0"/>
              <w:bottom w:val="single" w:color="000000" w:sz="4" w:space="0"/>
              <w:right w:val="single" w:color="000000" w:sz="4" w:space="0"/>
            </w:tcBorders>
            <w:noWrap w:val="0"/>
            <w:vAlign w:val="center"/>
          </w:tcPr>
          <w:p w14:paraId="786BAE4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7CF1A9F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件</w:t>
            </w:r>
          </w:p>
        </w:tc>
        <w:tc>
          <w:tcPr>
            <w:tcW w:w="741" w:type="pct"/>
            <w:gridSpan w:val="3"/>
            <w:tcBorders>
              <w:top w:val="single" w:color="000000" w:sz="4" w:space="0"/>
              <w:left w:val="single" w:color="000000" w:sz="4" w:space="0"/>
              <w:bottom w:val="single" w:color="000000" w:sz="4" w:space="0"/>
              <w:right w:val="single" w:color="000000" w:sz="4" w:space="0"/>
            </w:tcBorders>
            <w:noWrap w:val="0"/>
            <w:vAlign w:val="center"/>
          </w:tcPr>
          <w:p w14:paraId="5E1E14B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83" w:type="pct"/>
            <w:gridSpan w:val="3"/>
            <w:tcBorders>
              <w:top w:val="single" w:color="000000" w:sz="4" w:space="0"/>
              <w:left w:val="single" w:color="000000" w:sz="4" w:space="0"/>
              <w:bottom w:val="single" w:color="000000" w:sz="4" w:space="0"/>
              <w:right w:val="single" w:color="000000" w:sz="4" w:space="0"/>
            </w:tcBorders>
            <w:noWrap w:val="0"/>
            <w:vAlign w:val="center"/>
          </w:tcPr>
          <w:p w14:paraId="5186DE7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579CF12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04C1569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55CAE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E4B0909">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EDDC85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D85402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质量指标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3A77E69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社会事件采集</w:t>
            </w:r>
          </w:p>
        </w:tc>
        <w:tc>
          <w:tcPr>
            <w:tcW w:w="561" w:type="pct"/>
            <w:gridSpan w:val="2"/>
            <w:tcBorders>
              <w:top w:val="single" w:color="000000" w:sz="4" w:space="0"/>
              <w:left w:val="single" w:color="000000" w:sz="4" w:space="0"/>
              <w:bottom w:val="single" w:color="000000" w:sz="4" w:space="0"/>
              <w:right w:val="single" w:color="000000" w:sz="4" w:space="0"/>
            </w:tcBorders>
            <w:noWrap w:val="0"/>
            <w:vAlign w:val="center"/>
          </w:tcPr>
          <w:p w14:paraId="7E96A44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80" w:type="pct"/>
            <w:tcBorders>
              <w:top w:val="single" w:color="000000" w:sz="4" w:space="0"/>
              <w:left w:val="single" w:color="000000" w:sz="4" w:space="0"/>
              <w:bottom w:val="single" w:color="000000" w:sz="4" w:space="0"/>
              <w:right w:val="single" w:color="000000" w:sz="4" w:space="0"/>
            </w:tcBorders>
            <w:noWrap w:val="0"/>
            <w:vAlign w:val="center"/>
          </w:tcPr>
          <w:p w14:paraId="54FC4B0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79EA303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标准件</w:t>
            </w:r>
          </w:p>
        </w:tc>
        <w:tc>
          <w:tcPr>
            <w:tcW w:w="741" w:type="pct"/>
            <w:gridSpan w:val="3"/>
            <w:tcBorders>
              <w:top w:val="single" w:color="000000" w:sz="4" w:space="0"/>
              <w:left w:val="single" w:color="000000" w:sz="4" w:space="0"/>
              <w:bottom w:val="single" w:color="000000" w:sz="4" w:space="0"/>
              <w:right w:val="single" w:color="000000" w:sz="4" w:space="0"/>
            </w:tcBorders>
            <w:noWrap w:val="0"/>
            <w:vAlign w:val="center"/>
          </w:tcPr>
          <w:p w14:paraId="6C7871F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83" w:type="pct"/>
            <w:gridSpan w:val="3"/>
            <w:tcBorders>
              <w:top w:val="single" w:color="000000" w:sz="4" w:space="0"/>
              <w:left w:val="single" w:color="000000" w:sz="4" w:space="0"/>
              <w:bottom w:val="single" w:color="000000" w:sz="4" w:space="0"/>
              <w:right w:val="single" w:color="000000" w:sz="4" w:space="0"/>
            </w:tcBorders>
            <w:noWrap w:val="0"/>
            <w:vAlign w:val="center"/>
          </w:tcPr>
          <w:p w14:paraId="79575E1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0FED3C6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7447078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5CDE8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2C70D7E">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19F69FC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效益指标</w:t>
            </w:r>
          </w:p>
        </w:tc>
        <w:tc>
          <w:tcPr>
            <w:tcW w:w="307" w:type="pct"/>
            <w:vMerge w:val="restart"/>
            <w:tcBorders>
              <w:top w:val="single" w:color="000000" w:sz="4" w:space="0"/>
              <w:left w:val="single" w:color="000000" w:sz="4" w:space="0"/>
              <w:bottom w:val="single" w:color="000000" w:sz="4" w:space="0"/>
              <w:right w:val="single" w:color="000000" w:sz="4" w:space="0"/>
            </w:tcBorders>
            <w:noWrap w:val="0"/>
            <w:vAlign w:val="center"/>
          </w:tcPr>
          <w:p w14:paraId="68DA2D6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社会效益指标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2236EEA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社会群众解决问题</w:t>
            </w:r>
          </w:p>
        </w:tc>
        <w:tc>
          <w:tcPr>
            <w:tcW w:w="561" w:type="pct"/>
            <w:gridSpan w:val="2"/>
            <w:tcBorders>
              <w:top w:val="single" w:color="000000" w:sz="4" w:space="0"/>
              <w:left w:val="single" w:color="000000" w:sz="4" w:space="0"/>
              <w:bottom w:val="single" w:color="000000" w:sz="4" w:space="0"/>
              <w:right w:val="single" w:color="000000" w:sz="4" w:space="0"/>
            </w:tcBorders>
            <w:noWrap w:val="0"/>
            <w:vAlign w:val="center"/>
          </w:tcPr>
          <w:p w14:paraId="6F038B3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80" w:type="pct"/>
            <w:tcBorders>
              <w:top w:val="single" w:color="000000" w:sz="4" w:space="0"/>
              <w:left w:val="single" w:color="000000" w:sz="4" w:space="0"/>
              <w:bottom w:val="single" w:color="000000" w:sz="4" w:space="0"/>
              <w:right w:val="single" w:color="000000" w:sz="4" w:space="0"/>
            </w:tcBorders>
            <w:noWrap w:val="0"/>
            <w:vAlign w:val="center"/>
          </w:tcPr>
          <w:p w14:paraId="5092CC7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90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0BB1385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741" w:type="pct"/>
            <w:gridSpan w:val="3"/>
            <w:tcBorders>
              <w:top w:val="single" w:color="000000" w:sz="4" w:space="0"/>
              <w:left w:val="single" w:color="000000" w:sz="4" w:space="0"/>
              <w:bottom w:val="single" w:color="000000" w:sz="4" w:space="0"/>
              <w:right w:val="single" w:color="000000" w:sz="4" w:space="0"/>
            </w:tcBorders>
            <w:noWrap w:val="0"/>
            <w:vAlign w:val="center"/>
          </w:tcPr>
          <w:p w14:paraId="0DC43B4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83" w:type="pct"/>
            <w:gridSpan w:val="3"/>
            <w:tcBorders>
              <w:top w:val="single" w:color="000000" w:sz="4" w:space="0"/>
              <w:left w:val="single" w:color="000000" w:sz="4" w:space="0"/>
              <w:bottom w:val="single" w:color="000000" w:sz="4" w:space="0"/>
              <w:right w:val="single" w:color="000000" w:sz="4" w:space="0"/>
            </w:tcBorders>
            <w:noWrap w:val="0"/>
            <w:vAlign w:val="center"/>
          </w:tcPr>
          <w:p w14:paraId="495D550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473F9C8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37F4C2D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13C98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3D9F1A">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2DC92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C7E7DD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13D10F0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矛盾化解</w:t>
            </w:r>
          </w:p>
        </w:tc>
        <w:tc>
          <w:tcPr>
            <w:tcW w:w="561" w:type="pct"/>
            <w:gridSpan w:val="2"/>
            <w:tcBorders>
              <w:top w:val="single" w:color="000000" w:sz="4" w:space="0"/>
              <w:left w:val="single" w:color="000000" w:sz="4" w:space="0"/>
              <w:bottom w:val="single" w:color="000000" w:sz="4" w:space="0"/>
              <w:right w:val="single" w:color="000000" w:sz="4" w:space="0"/>
            </w:tcBorders>
            <w:noWrap w:val="0"/>
            <w:vAlign w:val="center"/>
          </w:tcPr>
          <w:p w14:paraId="30006E9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80" w:type="pct"/>
            <w:tcBorders>
              <w:top w:val="single" w:color="000000" w:sz="4" w:space="0"/>
              <w:left w:val="single" w:color="000000" w:sz="4" w:space="0"/>
              <w:bottom w:val="single" w:color="000000" w:sz="4" w:space="0"/>
              <w:right w:val="single" w:color="000000" w:sz="4" w:space="0"/>
            </w:tcBorders>
            <w:noWrap w:val="0"/>
            <w:vAlign w:val="center"/>
          </w:tcPr>
          <w:p w14:paraId="25413C5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1FD8EC5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起</w:t>
            </w:r>
          </w:p>
        </w:tc>
        <w:tc>
          <w:tcPr>
            <w:tcW w:w="741" w:type="pct"/>
            <w:gridSpan w:val="3"/>
            <w:tcBorders>
              <w:top w:val="single" w:color="000000" w:sz="4" w:space="0"/>
              <w:left w:val="single" w:color="000000" w:sz="4" w:space="0"/>
              <w:bottom w:val="single" w:color="000000" w:sz="4" w:space="0"/>
              <w:right w:val="single" w:color="000000" w:sz="4" w:space="0"/>
            </w:tcBorders>
            <w:noWrap w:val="0"/>
            <w:vAlign w:val="center"/>
          </w:tcPr>
          <w:p w14:paraId="2554A50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83" w:type="pct"/>
            <w:gridSpan w:val="3"/>
            <w:tcBorders>
              <w:top w:val="single" w:color="000000" w:sz="4" w:space="0"/>
              <w:left w:val="single" w:color="000000" w:sz="4" w:space="0"/>
              <w:bottom w:val="single" w:color="000000" w:sz="4" w:space="0"/>
              <w:right w:val="single" w:color="000000" w:sz="4" w:space="0"/>
            </w:tcBorders>
            <w:noWrap w:val="0"/>
            <w:vAlign w:val="center"/>
          </w:tcPr>
          <w:p w14:paraId="0DCF1C0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3EA39D8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58F3E50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1D91B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161FD2">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35B260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满意度指标</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204EF5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满意度指标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532FB16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群众满意度</w:t>
            </w:r>
          </w:p>
        </w:tc>
        <w:tc>
          <w:tcPr>
            <w:tcW w:w="561" w:type="pct"/>
            <w:gridSpan w:val="2"/>
            <w:tcBorders>
              <w:top w:val="single" w:color="000000" w:sz="4" w:space="0"/>
              <w:left w:val="single" w:color="000000" w:sz="4" w:space="0"/>
              <w:bottom w:val="single" w:color="000000" w:sz="4" w:space="0"/>
              <w:right w:val="single" w:color="000000" w:sz="4" w:space="0"/>
            </w:tcBorders>
            <w:noWrap w:val="0"/>
            <w:vAlign w:val="center"/>
          </w:tcPr>
          <w:p w14:paraId="50C52C3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280" w:type="pct"/>
            <w:tcBorders>
              <w:top w:val="single" w:color="000000" w:sz="4" w:space="0"/>
              <w:left w:val="single" w:color="000000" w:sz="4" w:space="0"/>
              <w:bottom w:val="single" w:color="000000" w:sz="4" w:space="0"/>
              <w:right w:val="single" w:color="000000" w:sz="4" w:space="0"/>
            </w:tcBorders>
            <w:noWrap w:val="0"/>
            <w:vAlign w:val="center"/>
          </w:tcPr>
          <w:p w14:paraId="68E596D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90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67185A0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741" w:type="pct"/>
            <w:gridSpan w:val="3"/>
            <w:tcBorders>
              <w:top w:val="single" w:color="000000" w:sz="4" w:space="0"/>
              <w:left w:val="single" w:color="000000" w:sz="4" w:space="0"/>
              <w:bottom w:val="single" w:color="000000" w:sz="4" w:space="0"/>
              <w:right w:val="single" w:color="000000" w:sz="4" w:space="0"/>
            </w:tcBorders>
            <w:noWrap w:val="0"/>
            <w:vAlign w:val="center"/>
          </w:tcPr>
          <w:p w14:paraId="40A648E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83" w:type="pct"/>
            <w:gridSpan w:val="3"/>
            <w:tcBorders>
              <w:top w:val="single" w:color="000000" w:sz="4" w:space="0"/>
              <w:left w:val="single" w:color="000000" w:sz="4" w:space="0"/>
              <w:bottom w:val="single" w:color="000000" w:sz="4" w:space="0"/>
              <w:right w:val="single" w:color="000000" w:sz="4" w:space="0"/>
            </w:tcBorders>
            <w:noWrap w:val="0"/>
            <w:vAlign w:val="center"/>
          </w:tcPr>
          <w:p w14:paraId="00CF879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175EAB2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5EA00EE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4DD48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292C9A">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54A9563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成本指标</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296916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社会成本指标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5E54629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社会治安违法犯罪减少</w:t>
            </w:r>
          </w:p>
        </w:tc>
        <w:tc>
          <w:tcPr>
            <w:tcW w:w="561" w:type="pct"/>
            <w:gridSpan w:val="2"/>
            <w:tcBorders>
              <w:top w:val="single" w:color="000000" w:sz="4" w:space="0"/>
              <w:left w:val="single" w:color="000000" w:sz="4" w:space="0"/>
              <w:bottom w:val="single" w:color="000000" w:sz="4" w:space="0"/>
              <w:right w:val="single" w:color="000000" w:sz="4" w:space="0"/>
            </w:tcBorders>
            <w:noWrap w:val="0"/>
            <w:vAlign w:val="center"/>
          </w:tcPr>
          <w:p w14:paraId="2A9E294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定性</w:t>
            </w:r>
          </w:p>
        </w:tc>
        <w:tc>
          <w:tcPr>
            <w:tcW w:w="280" w:type="pct"/>
            <w:tcBorders>
              <w:top w:val="single" w:color="000000" w:sz="4" w:space="0"/>
              <w:left w:val="single" w:color="000000" w:sz="4" w:space="0"/>
              <w:bottom w:val="single" w:color="000000" w:sz="4" w:space="0"/>
              <w:right w:val="single" w:color="000000" w:sz="4" w:space="0"/>
            </w:tcBorders>
            <w:noWrap w:val="0"/>
            <w:vAlign w:val="center"/>
          </w:tcPr>
          <w:p w14:paraId="498E6F8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10A4AC2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件</w:t>
            </w:r>
          </w:p>
        </w:tc>
        <w:tc>
          <w:tcPr>
            <w:tcW w:w="741" w:type="pct"/>
            <w:gridSpan w:val="3"/>
            <w:tcBorders>
              <w:top w:val="single" w:color="000000" w:sz="4" w:space="0"/>
              <w:left w:val="single" w:color="000000" w:sz="4" w:space="0"/>
              <w:bottom w:val="single" w:color="000000" w:sz="4" w:space="0"/>
              <w:right w:val="single" w:color="000000" w:sz="4" w:space="0"/>
            </w:tcBorders>
            <w:noWrap w:val="0"/>
            <w:vAlign w:val="center"/>
          </w:tcPr>
          <w:p w14:paraId="01E5042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83" w:type="pct"/>
            <w:gridSpan w:val="3"/>
            <w:tcBorders>
              <w:top w:val="single" w:color="000000" w:sz="4" w:space="0"/>
              <w:left w:val="single" w:color="000000" w:sz="4" w:space="0"/>
              <w:bottom w:val="single" w:color="000000" w:sz="4" w:space="0"/>
              <w:right w:val="single" w:color="000000" w:sz="4" w:space="0"/>
            </w:tcBorders>
            <w:noWrap w:val="0"/>
            <w:vAlign w:val="center"/>
          </w:tcPr>
          <w:p w14:paraId="3D9AC9C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0F0975B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897" w:type="pct"/>
            <w:tcBorders>
              <w:top w:val="single" w:color="000000" w:sz="4" w:space="0"/>
              <w:left w:val="single" w:color="000000" w:sz="4" w:space="0"/>
              <w:bottom w:val="single" w:color="000000" w:sz="4" w:space="0"/>
              <w:right w:val="single" w:color="000000" w:sz="4" w:space="0"/>
            </w:tcBorders>
            <w:noWrap w:val="0"/>
            <w:vAlign w:val="center"/>
          </w:tcPr>
          <w:p w14:paraId="7B2EE05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14307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4" w:type="pct"/>
            <w:tcBorders>
              <w:top w:val="single" w:color="000000" w:sz="4" w:space="0"/>
              <w:left w:val="single" w:color="000000" w:sz="4" w:space="0"/>
              <w:bottom w:val="single" w:color="000000" w:sz="4" w:space="0"/>
              <w:right w:val="single" w:color="000000" w:sz="4" w:space="0"/>
            </w:tcBorders>
            <w:noWrap w:val="0"/>
            <w:vAlign w:val="center"/>
          </w:tcPr>
          <w:p w14:paraId="56D5820C">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合计</w:t>
            </w:r>
          </w:p>
        </w:tc>
        <w:tc>
          <w:tcPr>
            <w:tcW w:w="1710" w:type="pct"/>
            <w:gridSpan w:val="5"/>
            <w:tcBorders>
              <w:top w:val="single" w:color="000000" w:sz="4" w:space="0"/>
              <w:left w:val="single" w:color="000000" w:sz="4" w:space="0"/>
              <w:bottom w:val="single" w:color="000000" w:sz="4" w:space="0"/>
              <w:right w:val="single" w:color="000000" w:sz="4" w:space="0"/>
            </w:tcBorders>
            <w:noWrap w:val="0"/>
            <w:vAlign w:val="center"/>
          </w:tcPr>
          <w:p w14:paraId="0EDA6F1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w:t>
            </w:r>
          </w:p>
        </w:tc>
        <w:tc>
          <w:tcPr>
            <w:tcW w:w="280" w:type="pct"/>
            <w:tcBorders>
              <w:top w:val="single" w:color="000000" w:sz="4" w:space="0"/>
              <w:left w:val="single" w:color="000000" w:sz="4" w:space="0"/>
              <w:bottom w:val="single" w:color="000000" w:sz="4" w:space="0"/>
              <w:right w:val="single" w:color="000000" w:sz="4" w:space="0"/>
            </w:tcBorders>
            <w:noWrap w:val="0"/>
            <w:vAlign w:val="center"/>
          </w:tcPr>
          <w:p w14:paraId="629C8F4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2674" w:type="pct"/>
            <w:gridSpan w:val="9"/>
            <w:tcBorders>
              <w:top w:val="single" w:color="000000" w:sz="4" w:space="0"/>
              <w:left w:val="single" w:color="000000" w:sz="4" w:space="0"/>
              <w:bottom w:val="single" w:color="000000" w:sz="4" w:space="0"/>
              <w:right w:val="single" w:color="000000" w:sz="4" w:space="0"/>
            </w:tcBorders>
            <w:noWrap w:val="0"/>
            <w:vAlign w:val="center"/>
          </w:tcPr>
          <w:p w14:paraId="3DABE8F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183AC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4" w:type="pct"/>
            <w:tcBorders>
              <w:top w:val="single" w:color="000000" w:sz="4" w:space="0"/>
              <w:left w:val="single" w:color="000000" w:sz="4" w:space="0"/>
              <w:bottom w:val="single" w:color="000000" w:sz="4" w:space="0"/>
              <w:right w:val="single" w:color="000000" w:sz="4" w:space="0"/>
            </w:tcBorders>
            <w:noWrap w:val="0"/>
            <w:vAlign w:val="center"/>
          </w:tcPr>
          <w:p w14:paraId="4556479C">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评价结论</w:t>
            </w:r>
          </w:p>
        </w:tc>
        <w:tc>
          <w:tcPr>
            <w:tcW w:w="4665" w:type="pct"/>
            <w:gridSpan w:val="15"/>
            <w:tcBorders>
              <w:top w:val="single" w:color="000000" w:sz="4" w:space="0"/>
              <w:left w:val="single" w:color="000000" w:sz="4" w:space="0"/>
              <w:bottom w:val="single" w:color="000000" w:sz="4" w:space="0"/>
              <w:right w:val="single" w:color="000000" w:sz="4" w:space="0"/>
            </w:tcBorders>
            <w:noWrap w:val="0"/>
            <w:vAlign w:val="center"/>
          </w:tcPr>
          <w:p w14:paraId="31C0DFE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落实第三方调解中心办公场地租赁，按合同按期支付租金，保障办公场所稳定，支撑调解业务有序开展。</w:t>
            </w:r>
          </w:p>
        </w:tc>
      </w:tr>
      <w:tr w14:paraId="26B0B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4" w:type="pct"/>
            <w:tcBorders>
              <w:top w:val="single" w:color="000000" w:sz="4" w:space="0"/>
              <w:left w:val="single" w:color="000000" w:sz="4" w:space="0"/>
              <w:bottom w:val="single" w:color="000000" w:sz="4" w:space="0"/>
              <w:right w:val="single" w:color="000000" w:sz="4" w:space="0"/>
            </w:tcBorders>
            <w:noWrap w:val="0"/>
            <w:vAlign w:val="center"/>
          </w:tcPr>
          <w:p w14:paraId="4DE33383">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存在问题</w:t>
            </w:r>
          </w:p>
        </w:tc>
        <w:tc>
          <w:tcPr>
            <w:tcW w:w="4665" w:type="pct"/>
            <w:gridSpan w:val="15"/>
            <w:tcBorders>
              <w:top w:val="single" w:color="000000" w:sz="4" w:space="0"/>
              <w:left w:val="single" w:color="000000" w:sz="4" w:space="0"/>
              <w:bottom w:val="single" w:color="000000" w:sz="4" w:space="0"/>
              <w:right w:val="single" w:color="000000" w:sz="4" w:space="0"/>
            </w:tcBorders>
            <w:noWrap w:val="0"/>
            <w:vAlign w:val="center"/>
          </w:tcPr>
          <w:p w14:paraId="4BDE23F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无</w:t>
            </w:r>
          </w:p>
        </w:tc>
      </w:tr>
      <w:tr w14:paraId="7C2DF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4" w:type="pct"/>
            <w:tcBorders>
              <w:top w:val="single" w:color="000000" w:sz="4" w:space="0"/>
              <w:left w:val="single" w:color="000000" w:sz="4" w:space="0"/>
              <w:bottom w:val="single" w:color="000000" w:sz="4" w:space="0"/>
              <w:right w:val="single" w:color="000000" w:sz="4" w:space="0"/>
            </w:tcBorders>
            <w:noWrap w:val="0"/>
            <w:vAlign w:val="center"/>
          </w:tcPr>
          <w:p w14:paraId="475D7B94">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改进措施</w:t>
            </w:r>
          </w:p>
        </w:tc>
        <w:tc>
          <w:tcPr>
            <w:tcW w:w="4665" w:type="pct"/>
            <w:gridSpan w:val="15"/>
            <w:tcBorders>
              <w:top w:val="single" w:color="000000" w:sz="4" w:space="0"/>
              <w:left w:val="single" w:color="000000" w:sz="4" w:space="0"/>
              <w:bottom w:val="single" w:color="000000" w:sz="4" w:space="0"/>
              <w:right w:val="single" w:color="000000" w:sz="4" w:space="0"/>
            </w:tcBorders>
            <w:noWrap w:val="0"/>
            <w:vAlign w:val="center"/>
          </w:tcPr>
          <w:p w14:paraId="3157CDB4">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无</w:t>
            </w:r>
          </w:p>
        </w:tc>
      </w:tr>
      <w:tr w14:paraId="074E1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84" w:type="pct"/>
            <w:gridSpan w:val="4"/>
            <w:tcBorders>
              <w:top w:val="single" w:color="000000" w:sz="4" w:space="0"/>
              <w:left w:val="single" w:color="000000" w:sz="4" w:space="0"/>
              <w:bottom w:val="single" w:color="000000" w:sz="4" w:space="0"/>
              <w:right w:val="single" w:color="000000" w:sz="4" w:space="0"/>
            </w:tcBorders>
            <w:noWrap w:val="0"/>
            <w:vAlign w:val="center"/>
          </w:tcPr>
          <w:p w14:paraId="7D78716F">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项目负责人：李燕均</w:t>
            </w:r>
          </w:p>
        </w:tc>
        <w:tc>
          <w:tcPr>
            <w:tcW w:w="3515" w:type="pct"/>
            <w:gridSpan w:val="12"/>
            <w:tcBorders>
              <w:top w:val="single" w:color="000000" w:sz="4" w:space="0"/>
              <w:left w:val="single" w:color="000000" w:sz="4" w:space="0"/>
              <w:bottom w:val="single" w:color="000000" w:sz="4" w:space="0"/>
              <w:right w:val="single" w:color="000000" w:sz="4" w:space="0"/>
            </w:tcBorders>
            <w:noWrap w:val="0"/>
            <w:vAlign w:val="center"/>
          </w:tcPr>
          <w:p w14:paraId="35410F00">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财务负责人：叶茂</w:t>
            </w:r>
          </w:p>
        </w:tc>
      </w:tr>
      <w:tr w14:paraId="25E93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69" w:type="pct"/>
            <w:gridSpan w:val="2"/>
            <w:tcBorders>
              <w:top w:val="single" w:color="000000" w:sz="4" w:space="0"/>
              <w:left w:val="single" w:color="000000" w:sz="4" w:space="0"/>
              <w:bottom w:val="single" w:color="000000" w:sz="4" w:space="0"/>
              <w:right w:val="single" w:color="000000" w:sz="4" w:space="0"/>
            </w:tcBorders>
            <w:noWrap w:val="0"/>
            <w:vAlign w:val="center"/>
          </w:tcPr>
          <w:p w14:paraId="6EDD61A0">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项目名称</w:t>
            </w:r>
          </w:p>
        </w:tc>
        <w:tc>
          <w:tcPr>
            <w:tcW w:w="4330" w:type="pct"/>
            <w:gridSpan w:val="14"/>
            <w:tcBorders>
              <w:top w:val="single" w:color="000000" w:sz="4" w:space="0"/>
              <w:left w:val="single" w:color="000000" w:sz="4" w:space="0"/>
              <w:bottom w:val="single" w:color="000000" w:sz="4" w:space="0"/>
              <w:right w:val="single" w:color="000000" w:sz="4" w:space="0"/>
            </w:tcBorders>
            <w:noWrap w:val="0"/>
            <w:vAlign w:val="center"/>
          </w:tcPr>
          <w:p w14:paraId="2932F08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51322324T000011917077-茂县基层社会治理人员交流交融交往项目</w:t>
            </w:r>
          </w:p>
        </w:tc>
      </w:tr>
      <w:tr w14:paraId="3E3D5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669" w:type="pct"/>
            <w:gridSpan w:val="2"/>
            <w:tcBorders>
              <w:top w:val="single" w:color="000000" w:sz="4" w:space="0"/>
              <w:left w:val="single" w:color="000000" w:sz="4" w:space="0"/>
              <w:bottom w:val="single" w:color="000000" w:sz="4" w:space="0"/>
              <w:right w:val="single" w:color="000000" w:sz="4" w:space="0"/>
            </w:tcBorders>
            <w:noWrap w:val="0"/>
            <w:vAlign w:val="center"/>
          </w:tcPr>
          <w:p w14:paraId="5D6DABDA">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主管部门</w:t>
            </w:r>
          </w:p>
        </w:tc>
        <w:tc>
          <w:tcPr>
            <w:tcW w:w="2623" w:type="pct"/>
            <w:gridSpan w:val="9"/>
            <w:tcBorders>
              <w:top w:val="single" w:color="000000" w:sz="4" w:space="0"/>
              <w:left w:val="single" w:color="000000" w:sz="4" w:space="0"/>
              <w:bottom w:val="single" w:color="000000" w:sz="4" w:space="0"/>
              <w:right w:val="single" w:color="000000" w:sz="4" w:space="0"/>
            </w:tcBorders>
            <w:noWrap w:val="0"/>
            <w:vAlign w:val="center"/>
          </w:tcPr>
          <w:p w14:paraId="3DB9345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中国共产党茂县委员会政法委员会</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25F0028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实施单位 （盖章）</w:t>
            </w: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045B644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中国共产党茂县委员会政法委员会（行政）</w:t>
            </w:r>
          </w:p>
        </w:tc>
      </w:tr>
      <w:tr w14:paraId="45A84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221A584A">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项目基本情况</w:t>
            </w:r>
          </w:p>
        </w:tc>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37698F77">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1.项目年度目标完成情况</w:t>
            </w:r>
          </w:p>
        </w:tc>
        <w:tc>
          <w:tcPr>
            <w:tcW w:w="2623" w:type="pct"/>
            <w:gridSpan w:val="9"/>
            <w:tcBorders>
              <w:top w:val="single" w:color="000000" w:sz="4" w:space="0"/>
              <w:left w:val="single" w:color="000000" w:sz="4" w:space="0"/>
              <w:bottom w:val="single" w:color="000000" w:sz="4" w:space="0"/>
              <w:right w:val="single" w:color="000000" w:sz="4" w:space="0"/>
            </w:tcBorders>
            <w:noWrap w:val="0"/>
            <w:vAlign w:val="center"/>
          </w:tcPr>
          <w:p w14:paraId="698B5C9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项目年度目标</w:t>
            </w:r>
          </w:p>
        </w:tc>
        <w:tc>
          <w:tcPr>
            <w:tcW w:w="1707" w:type="pct"/>
            <w:gridSpan w:val="5"/>
            <w:tcBorders>
              <w:top w:val="single" w:color="000000" w:sz="4" w:space="0"/>
              <w:left w:val="single" w:color="000000" w:sz="4" w:space="0"/>
              <w:bottom w:val="single" w:color="000000" w:sz="4" w:space="0"/>
              <w:right w:val="single" w:color="000000" w:sz="4" w:space="0"/>
            </w:tcBorders>
            <w:noWrap w:val="0"/>
            <w:vAlign w:val="center"/>
          </w:tcPr>
          <w:p w14:paraId="4AEF642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年度目标完成情况</w:t>
            </w:r>
          </w:p>
        </w:tc>
      </w:tr>
      <w:tr w14:paraId="493D6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1F926C">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E7BF34">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2623" w:type="pct"/>
            <w:gridSpan w:val="9"/>
            <w:tcBorders>
              <w:top w:val="single" w:color="000000" w:sz="4" w:space="0"/>
              <w:left w:val="single" w:color="000000" w:sz="4" w:space="0"/>
              <w:bottom w:val="single" w:color="000000" w:sz="4" w:space="0"/>
              <w:right w:val="single" w:color="000000" w:sz="4" w:space="0"/>
            </w:tcBorders>
            <w:noWrap w:val="0"/>
            <w:vAlign w:val="center"/>
          </w:tcPr>
          <w:p w14:paraId="7E03BA3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针对茂县基层社会治理人员学习交流活动。安排学习资金20万元，举办省外（浙江平湖）3期，30人，人均学习交流标准400元/天，场地及交通费710元/人/天，共计1110元/人/天，共计20万元。</w:t>
            </w:r>
          </w:p>
        </w:tc>
        <w:tc>
          <w:tcPr>
            <w:tcW w:w="1707" w:type="pct"/>
            <w:gridSpan w:val="5"/>
            <w:tcBorders>
              <w:top w:val="single" w:color="000000" w:sz="4" w:space="0"/>
              <w:left w:val="single" w:color="000000" w:sz="4" w:space="0"/>
              <w:bottom w:val="single" w:color="000000" w:sz="4" w:space="0"/>
              <w:right w:val="single" w:color="000000" w:sz="4" w:space="0"/>
            </w:tcBorders>
            <w:noWrap w:val="0"/>
            <w:vAlign w:val="center"/>
          </w:tcPr>
          <w:p w14:paraId="2C11B6A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有序开展基层治理人员交往交流交融活动，增进团结协作，提升基层治理能力，年度各项目标任务已按期完成，取得预期成效。</w:t>
            </w:r>
          </w:p>
        </w:tc>
      </w:tr>
      <w:tr w14:paraId="1CAC5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5BDA25">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2AB35477">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2.项目实施内容及过程概述</w:t>
            </w:r>
          </w:p>
        </w:tc>
        <w:tc>
          <w:tcPr>
            <w:tcW w:w="4330" w:type="pct"/>
            <w:gridSpan w:val="14"/>
            <w:tcBorders>
              <w:top w:val="single" w:color="000000" w:sz="4" w:space="0"/>
              <w:left w:val="single" w:color="000000" w:sz="4" w:space="0"/>
              <w:bottom w:val="single" w:color="000000" w:sz="4" w:space="0"/>
              <w:right w:val="single" w:color="000000" w:sz="4" w:space="0"/>
            </w:tcBorders>
            <w:noWrap w:val="0"/>
            <w:vAlign w:val="center"/>
          </w:tcPr>
          <w:p w14:paraId="0DF4D439">
            <w:pP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统筹组织基层治理人员开展学习交流，落实相关经费保障，有序推进各项活动，促进人员互学互通，助力基层社会治理提质增效。</w:t>
            </w:r>
          </w:p>
        </w:tc>
      </w:tr>
      <w:tr w14:paraId="11F52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7F3619B0">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预算执行情况（10分）</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1990C74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年度预算数（万元）</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3CE8DB9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年初预算</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239D22A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调整后预算数</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2BCAF66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预算执行数</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0807723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预算执行率</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75D65B3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权重</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0321C91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得分</w:t>
            </w: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6C8D049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原因</w:t>
            </w:r>
          </w:p>
        </w:tc>
      </w:tr>
      <w:tr w14:paraId="35E2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9A15FB">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75DD3F6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总额</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07CEC6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05A9598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20.00</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7901352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20.00</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6B77144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100.00%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515409D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5EA131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372" w:type="pct"/>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7779A3A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1D2D4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7D48A2A">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667F892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其中：财政资金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42E52B3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479DF3C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20.00</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03E5397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20.00</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61F73E5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100.00%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1BA7441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03820A3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372"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7410C1A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61000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00D6E9">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07CEB13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财政专户管理资金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1953B75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6B4813C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1CE8326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549AE41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6F480C9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16118EC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372"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254C317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71A58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28F044">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5CDF6FD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单位资金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09A48AF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40E9F1D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2024914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331A041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119409D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08A0379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372"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3831DC7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19618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8A602D">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CBC8ED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其他资金</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1572794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5C4698E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075" w:type="pct"/>
            <w:gridSpan w:val="5"/>
            <w:tcBorders>
              <w:top w:val="single" w:color="000000" w:sz="4" w:space="0"/>
              <w:left w:val="single" w:color="000000" w:sz="4" w:space="0"/>
              <w:bottom w:val="single" w:color="000000" w:sz="4" w:space="0"/>
              <w:right w:val="single" w:color="000000" w:sz="4" w:space="0"/>
            </w:tcBorders>
            <w:noWrap w:val="0"/>
            <w:vAlign w:val="center"/>
          </w:tcPr>
          <w:p w14:paraId="60BDC36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4790DAC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33085D1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B2BA2B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372"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6A4C9A4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5D9E1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59E543F9">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绩效指标（90分）</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0147C3E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一级指标</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7D21B32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二级指标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02946F7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三级指标</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1278EE9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指标性质</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EBB3B9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指标值</w:t>
            </w:r>
          </w:p>
        </w:tc>
        <w:tc>
          <w:tcPr>
            <w:tcW w:w="514" w:type="pct"/>
            <w:gridSpan w:val="3"/>
            <w:tcBorders>
              <w:top w:val="single" w:color="000000" w:sz="4" w:space="0"/>
              <w:left w:val="single" w:color="000000" w:sz="4" w:space="0"/>
              <w:bottom w:val="single" w:color="000000" w:sz="4" w:space="0"/>
              <w:right w:val="single" w:color="000000" w:sz="4" w:space="0"/>
            </w:tcBorders>
            <w:noWrap w:val="0"/>
            <w:vAlign w:val="center"/>
          </w:tcPr>
          <w:p w14:paraId="2538BCF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度量单位</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3506952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完成值</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74D3348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权重</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5097D46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得分</w:t>
            </w: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604E633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未完成原因分析</w:t>
            </w:r>
          </w:p>
        </w:tc>
      </w:tr>
      <w:tr w14:paraId="7043A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32DABD">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078550A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产出指标</w:t>
            </w: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8FBDEB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数量指标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35AE200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交流互访次数</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02CA7BD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4A348D2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w:t>
            </w:r>
          </w:p>
        </w:tc>
        <w:tc>
          <w:tcPr>
            <w:tcW w:w="514" w:type="pct"/>
            <w:gridSpan w:val="3"/>
            <w:tcBorders>
              <w:top w:val="single" w:color="000000" w:sz="4" w:space="0"/>
              <w:left w:val="single" w:color="000000" w:sz="4" w:space="0"/>
              <w:bottom w:val="single" w:color="000000" w:sz="4" w:space="0"/>
              <w:right w:val="single" w:color="000000" w:sz="4" w:space="0"/>
            </w:tcBorders>
            <w:noWrap w:val="0"/>
            <w:vAlign w:val="center"/>
          </w:tcPr>
          <w:p w14:paraId="155636F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人/次</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52DABEA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4342567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13D51FB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48E8D87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1598E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FC4027C">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130A7D">
            <w:pPr>
              <w:jc w:val="center"/>
              <w:rPr>
                <w:rFonts w:hint="default" w:ascii="Times New Roman" w:hAnsi="Times New Roman" w:eastAsia="宋体" w:cs="Times New Roman"/>
                <w:color w:val="000000"/>
                <w:kern w:val="0"/>
                <w:sz w:val="20"/>
                <w:szCs w:val="20"/>
                <w:lang w:val="en-US" w:eastAsia="zh-CN" w:bidi="ar-SA"/>
              </w:rPr>
            </w:pP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6F2739B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时效指标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1F4AE39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完成2024年浙江对口帮扶交流交往交融</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03094FC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1C9ED5B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2025</w:t>
            </w:r>
          </w:p>
        </w:tc>
        <w:tc>
          <w:tcPr>
            <w:tcW w:w="514" w:type="pct"/>
            <w:gridSpan w:val="3"/>
            <w:tcBorders>
              <w:top w:val="single" w:color="000000" w:sz="4" w:space="0"/>
              <w:left w:val="single" w:color="000000" w:sz="4" w:space="0"/>
              <w:bottom w:val="single" w:color="000000" w:sz="4" w:space="0"/>
              <w:right w:val="single" w:color="000000" w:sz="4" w:space="0"/>
            </w:tcBorders>
            <w:noWrap w:val="0"/>
            <w:vAlign w:val="center"/>
          </w:tcPr>
          <w:p w14:paraId="0AF615D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41E5649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60D0F42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69D7526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33B1C16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320F9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4819B57">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4A4E52B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效益指标</w:t>
            </w:r>
          </w:p>
        </w:tc>
        <w:tc>
          <w:tcPr>
            <w:tcW w:w="307" w:type="pct"/>
            <w:vMerge w:val="restart"/>
            <w:tcBorders>
              <w:top w:val="single" w:color="000000" w:sz="4" w:space="0"/>
              <w:left w:val="single" w:color="000000" w:sz="4" w:space="0"/>
              <w:bottom w:val="single" w:color="000000" w:sz="4" w:space="0"/>
              <w:right w:val="single" w:color="000000" w:sz="4" w:space="0"/>
            </w:tcBorders>
            <w:noWrap w:val="0"/>
            <w:vAlign w:val="center"/>
          </w:tcPr>
          <w:p w14:paraId="76F5702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社会效益指标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444FD86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参训人数</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6D9B5D0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257B827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30</w:t>
            </w:r>
          </w:p>
        </w:tc>
        <w:tc>
          <w:tcPr>
            <w:tcW w:w="514" w:type="pct"/>
            <w:gridSpan w:val="3"/>
            <w:tcBorders>
              <w:top w:val="single" w:color="000000" w:sz="4" w:space="0"/>
              <w:left w:val="single" w:color="000000" w:sz="4" w:space="0"/>
              <w:bottom w:val="single" w:color="000000" w:sz="4" w:space="0"/>
              <w:right w:val="single" w:color="000000" w:sz="4" w:space="0"/>
            </w:tcBorders>
            <w:noWrap w:val="0"/>
            <w:vAlign w:val="center"/>
          </w:tcPr>
          <w:p w14:paraId="67C7A6E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人</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65E5713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7A26518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63388D6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5BD35E3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69877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147487">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45172F">
            <w:pPr>
              <w:jc w:val="center"/>
              <w:rPr>
                <w:rFonts w:hint="default" w:ascii="Times New Roman" w:hAnsi="Times New Roman" w:eastAsia="宋体" w:cs="Times New Roman"/>
                <w:color w:val="000000"/>
                <w:kern w:val="0"/>
                <w:sz w:val="20"/>
                <w:szCs w:val="20"/>
                <w:lang w:val="en-US" w:eastAsia="zh-CN" w:bidi="ar-SA"/>
              </w:rPr>
            </w:pPr>
          </w:p>
        </w:tc>
        <w:tc>
          <w:tcPr>
            <w:tcW w:w="3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DD344D">
            <w:pPr>
              <w:jc w:val="center"/>
              <w:rPr>
                <w:rFonts w:hint="default" w:ascii="Times New Roman" w:hAnsi="Times New Roman" w:eastAsia="宋体" w:cs="Times New Roman"/>
                <w:color w:val="000000"/>
                <w:kern w:val="0"/>
                <w:sz w:val="20"/>
                <w:szCs w:val="20"/>
                <w:lang w:val="en-US" w:eastAsia="zh-CN" w:bidi="ar-SA"/>
              </w:rPr>
            </w:pP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706B17D1">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加强民族交流学习</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3CC26282">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定性</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2131C0F5">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优</w:t>
            </w:r>
          </w:p>
        </w:tc>
        <w:tc>
          <w:tcPr>
            <w:tcW w:w="514" w:type="pct"/>
            <w:gridSpan w:val="3"/>
            <w:tcBorders>
              <w:top w:val="single" w:color="000000" w:sz="4" w:space="0"/>
              <w:left w:val="single" w:color="000000" w:sz="4" w:space="0"/>
              <w:bottom w:val="single" w:color="000000" w:sz="4" w:space="0"/>
              <w:right w:val="single" w:color="000000" w:sz="4" w:space="0"/>
            </w:tcBorders>
            <w:noWrap w:val="0"/>
            <w:vAlign w:val="center"/>
          </w:tcPr>
          <w:p w14:paraId="0E85065C">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个</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3C98DE32">
            <w:pPr>
              <w:jc w:val="center"/>
              <w:rPr>
                <w:rFonts w:hint="default" w:ascii="Times New Roman" w:hAnsi="Times New Roman" w:eastAsia="宋体" w:cs="Times New Roman"/>
                <w:color w:val="000000"/>
                <w:kern w:val="0"/>
                <w:sz w:val="20"/>
                <w:szCs w:val="20"/>
                <w:lang w:val="en-US" w:eastAsia="zh-CN" w:bidi="ar-SA"/>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77B26F70">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0422F823">
            <w:pPr>
              <w:jc w:val="center"/>
              <w:rPr>
                <w:rFonts w:hint="default" w:ascii="Times New Roman" w:hAnsi="Times New Roman" w:eastAsia="宋体" w:cs="Times New Roman"/>
                <w:color w:val="000000"/>
                <w:kern w:val="0"/>
                <w:sz w:val="20"/>
                <w:szCs w:val="20"/>
                <w:lang w:val="en-US" w:eastAsia="zh-CN" w:bidi="ar-SA"/>
              </w:rPr>
            </w:pP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671FE3B1">
            <w:pPr>
              <w:jc w:val="center"/>
              <w:rPr>
                <w:rFonts w:hint="default" w:ascii="Times New Roman" w:hAnsi="Times New Roman" w:eastAsia="宋体" w:cs="Times New Roman"/>
                <w:color w:val="000000"/>
                <w:kern w:val="0"/>
                <w:sz w:val="20"/>
                <w:szCs w:val="20"/>
                <w:lang w:val="en-US" w:eastAsia="zh-CN" w:bidi="ar-SA"/>
              </w:rPr>
            </w:pPr>
          </w:p>
        </w:tc>
      </w:tr>
      <w:tr w14:paraId="20CFE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EF44BF">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AA08EB">
            <w:pPr>
              <w:jc w:val="center"/>
              <w:rPr>
                <w:rFonts w:hint="default" w:ascii="Times New Roman" w:hAnsi="Times New Roman" w:eastAsia="宋体" w:cs="Times New Roman"/>
                <w:color w:val="000000"/>
                <w:kern w:val="0"/>
                <w:sz w:val="20"/>
                <w:szCs w:val="20"/>
                <w:lang w:val="en-US" w:eastAsia="zh-CN" w:bidi="ar-SA"/>
              </w:rPr>
            </w:pPr>
          </w:p>
        </w:tc>
        <w:tc>
          <w:tcPr>
            <w:tcW w:w="307" w:type="pct"/>
            <w:tcBorders>
              <w:top w:val="single" w:color="000000" w:sz="4" w:space="0"/>
              <w:left w:val="single" w:color="000000" w:sz="4" w:space="0"/>
              <w:bottom w:val="single" w:color="000000" w:sz="4" w:space="0"/>
              <w:right w:val="single" w:color="000000" w:sz="4" w:space="0"/>
            </w:tcBorders>
            <w:noWrap w:val="0"/>
            <w:vAlign w:val="center"/>
          </w:tcPr>
          <w:p w14:paraId="5B3E593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可持续影响指标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0484B89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加强两地交流</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3CE0E4F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定性</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075DFA7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优</w:t>
            </w:r>
          </w:p>
        </w:tc>
        <w:tc>
          <w:tcPr>
            <w:tcW w:w="514" w:type="pct"/>
            <w:gridSpan w:val="3"/>
            <w:tcBorders>
              <w:top w:val="single" w:color="000000" w:sz="4" w:space="0"/>
              <w:left w:val="single" w:color="000000" w:sz="4" w:space="0"/>
              <w:bottom w:val="single" w:color="000000" w:sz="4" w:space="0"/>
              <w:right w:val="single" w:color="000000" w:sz="4" w:space="0"/>
            </w:tcBorders>
            <w:noWrap w:val="0"/>
            <w:vAlign w:val="center"/>
          </w:tcPr>
          <w:p w14:paraId="0DC23C4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个</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350607D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28F6491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24462ED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63B2BDF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r>
      <w:tr w14:paraId="5133F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0"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C5DAA6">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restart"/>
            <w:tcBorders>
              <w:top w:val="single" w:color="000000" w:sz="4" w:space="0"/>
              <w:left w:val="single" w:color="000000" w:sz="4" w:space="0"/>
              <w:bottom w:val="single" w:color="000000" w:sz="4" w:space="0"/>
              <w:right w:val="single" w:color="000000" w:sz="4" w:space="0"/>
            </w:tcBorders>
            <w:noWrap w:val="0"/>
            <w:vAlign w:val="center"/>
          </w:tcPr>
          <w:p w14:paraId="07BBCDE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成本指标</w:t>
            </w:r>
          </w:p>
        </w:tc>
        <w:tc>
          <w:tcPr>
            <w:tcW w:w="307" w:type="pct"/>
            <w:vMerge w:val="restart"/>
            <w:tcBorders>
              <w:top w:val="single" w:color="000000" w:sz="4" w:space="0"/>
              <w:left w:val="single" w:color="000000" w:sz="4" w:space="0"/>
              <w:bottom w:val="single" w:color="000000" w:sz="4" w:space="0"/>
              <w:right w:val="single" w:color="000000" w:sz="4" w:space="0"/>
            </w:tcBorders>
            <w:noWrap w:val="0"/>
            <w:vAlign w:val="center"/>
          </w:tcPr>
          <w:p w14:paraId="4F406F8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经济成本指标</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5B166CC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会务费、考察费</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70B6B28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13C0E73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20</w:t>
            </w:r>
          </w:p>
        </w:tc>
        <w:tc>
          <w:tcPr>
            <w:tcW w:w="514" w:type="pct"/>
            <w:gridSpan w:val="3"/>
            <w:tcBorders>
              <w:top w:val="single" w:color="000000" w:sz="4" w:space="0"/>
              <w:left w:val="single" w:color="000000" w:sz="4" w:space="0"/>
              <w:bottom w:val="single" w:color="000000" w:sz="4" w:space="0"/>
              <w:right w:val="single" w:color="000000" w:sz="4" w:space="0"/>
            </w:tcBorders>
            <w:noWrap w:val="0"/>
            <w:vAlign w:val="center"/>
          </w:tcPr>
          <w:p w14:paraId="24FB855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万元</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0152A3C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2F15389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3F8C912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65658A7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r>
      <w:tr w14:paraId="15765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trPr>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F28119">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3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D30340">
            <w:pPr>
              <w:jc w:val="center"/>
              <w:rPr>
                <w:rFonts w:hint="default" w:ascii="Times New Roman" w:hAnsi="Times New Roman" w:eastAsia="宋体" w:cs="Times New Roman"/>
                <w:color w:val="000000"/>
                <w:kern w:val="0"/>
                <w:sz w:val="20"/>
                <w:szCs w:val="20"/>
                <w:lang w:val="en-US" w:eastAsia="zh-CN" w:bidi="ar-SA"/>
              </w:rPr>
            </w:pPr>
          </w:p>
        </w:tc>
        <w:tc>
          <w:tcPr>
            <w:tcW w:w="3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33B19E">
            <w:pPr>
              <w:jc w:val="center"/>
              <w:rPr>
                <w:rFonts w:hint="default" w:ascii="Times New Roman" w:hAnsi="Times New Roman" w:eastAsia="宋体" w:cs="Times New Roman"/>
                <w:color w:val="000000"/>
                <w:kern w:val="0"/>
                <w:sz w:val="20"/>
                <w:szCs w:val="20"/>
                <w:lang w:val="en-US" w:eastAsia="zh-CN" w:bidi="ar-SA"/>
              </w:rPr>
            </w:pP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430422C2">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人员经费</w:t>
            </w: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7C86DAAA">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1E027A14">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1110</w:t>
            </w:r>
          </w:p>
        </w:tc>
        <w:tc>
          <w:tcPr>
            <w:tcW w:w="514" w:type="pct"/>
            <w:gridSpan w:val="3"/>
            <w:tcBorders>
              <w:top w:val="single" w:color="000000" w:sz="4" w:space="0"/>
              <w:left w:val="single" w:color="000000" w:sz="4" w:space="0"/>
              <w:bottom w:val="single" w:color="000000" w:sz="4" w:space="0"/>
              <w:right w:val="single" w:color="000000" w:sz="4" w:space="0"/>
            </w:tcBorders>
            <w:noWrap w:val="0"/>
            <w:vAlign w:val="center"/>
          </w:tcPr>
          <w:p w14:paraId="7DB9F9BB">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元/人·次</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47D0387F">
            <w:pPr>
              <w:jc w:val="center"/>
              <w:rPr>
                <w:rFonts w:hint="default" w:ascii="Times New Roman" w:hAnsi="Times New Roman" w:eastAsia="宋体" w:cs="Times New Roman"/>
                <w:color w:val="000000"/>
                <w:kern w:val="0"/>
                <w:sz w:val="20"/>
                <w:szCs w:val="20"/>
                <w:lang w:val="en-US" w:eastAsia="zh-CN" w:bidi="ar-SA"/>
              </w:rPr>
            </w:pPr>
          </w:p>
        </w:tc>
        <w:tc>
          <w:tcPr>
            <w:tcW w:w="226" w:type="pct"/>
            <w:tcBorders>
              <w:top w:val="single" w:color="000000" w:sz="4" w:space="0"/>
              <w:left w:val="single" w:color="000000" w:sz="4" w:space="0"/>
              <w:bottom w:val="single" w:color="000000" w:sz="4" w:space="0"/>
              <w:right w:val="single" w:color="000000" w:sz="4" w:space="0"/>
            </w:tcBorders>
            <w:noWrap w:val="0"/>
            <w:vAlign w:val="center"/>
          </w:tcPr>
          <w:p w14:paraId="690A36E6">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34" w:type="pct"/>
            <w:tcBorders>
              <w:top w:val="single" w:color="000000" w:sz="4" w:space="0"/>
              <w:left w:val="single" w:color="000000" w:sz="4" w:space="0"/>
              <w:bottom w:val="single" w:color="000000" w:sz="4" w:space="0"/>
              <w:right w:val="single" w:color="000000" w:sz="4" w:space="0"/>
            </w:tcBorders>
            <w:noWrap w:val="0"/>
            <w:vAlign w:val="center"/>
          </w:tcPr>
          <w:p w14:paraId="215BD354">
            <w:pPr>
              <w:jc w:val="center"/>
              <w:rPr>
                <w:rFonts w:hint="default" w:ascii="Times New Roman" w:hAnsi="Times New Roman" w:eastAsia="宋体" w:cs="Times New Roman"/>
                <w:color w:val="000000"/>
                <w:kern w:val="0"/>
                <w:sz w:val="20"/>
                <w:szCs w:val="20"/>
                <w:lang w:val="en-US" w:eastAsia="zh-CN" w:bidi="ar-SA"/>
              </w:rPr>
            </w:pPr>
          </w:p>
        </w:tc>
        <w:tc>
          <w:tcPr>
            <w:tcW w:w="1372" w:type="pct"/>
            <w:gridSpan w:val="4"/>
            <w:tcBorders>
              <w:top w:val="single" w:color="000000" w:sz="4" w:space="0"/>
              <w:left w:val="single" w:color="000000" w:sz="4" w:space="0"/>
              <w:bottom w:val="single" w:color="000000" w:sz="4" w:space="0"/>
              <w:right w:val="single" w:color="000000" w:sz="4" w:space="0"/>
            </w:tcBorders>
            <w:noWrap w:val="0"/>
            <w:vAlign w:val="center"/>
          </w:tcPr>
          <w:p w14:paraId="45B34538">
            <w:pPr>
              <w:jc w:val="center"/>
              <w:rPr>
                <w:rFonts w:hint="default" w:ascii="Times New Roman" w:hAnsi="Times New Roman" w:eastAsia="宋体" w:cs="Times New Roman"/>
                <w:color w:val="000000"/>
                <w:kern w:val="0"/>
                <w:sz w:val="20"/>
                <w:szCs w:val="20"/>
                <w:lang w:val="en-US" w:eastAsia="zh-CN" w:bidi="ar-SA"/>
              </w:rPr>
            </w:pPr>
          </w:p>
        </w:tc>
      </w:tr>
      <w:tr w14:paraId="5C901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4" w:type="pct"/>
            <w:tcBorders>
              <w:top w:val="single" w:color="000000" w:sz="4" w:space="0"/>
              <w:left w:val="single" w:color="000000" w:sz="4" w:space="0"/>
              <w:bottom w:val="single" w:color="000000" w:sz="4" w:space="0"/>
              <w:right w:val="single" w:color="000000" w:sz="4" w:space="0"/>
            </w:tcBorders>
            <w:noWrap w:val="0"/>
            <w:vAlign w:val="center"/>
          </w:tcPr>
          <w:p w14:paraId="7329B604">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合计</w:t>
            </w:r>
          </w:p>
        </w:tc>
        <w:tc>
          <w:tcPr>
            <w:tcW w:w="2224" w:type="pct"/>
            <w:gridSpan w:val="8"/>
            <w:tcBorders>
              <w:top w:val="single" w:color="000000" w:sz="4" w:space="0"/>
              <w:left w:val="single" w:color="000000" w:sz="4" w:space="0"/>
              <w:bottom w:val="single" w:color="000000" w:sz="4" w:space="0"/>
              <w:right w:val="single" w:color="000000" w:sz="4" w:space="0"/>
            </w:tcBorders>
            <w:noWrap w:val="0"/>
            <w:vAlign w:val="center"/>
          </w:tcPr>
          <w:p w14:paraId="1A450718">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100</w:t>
            </w:r>
          </w:p>
        </w:tc>
        <w:tc>
          <w:tcPr>
            <w:tcW w:w="507" w:type="pct"/>
            <w:tcBorders>
              <w:top w:val="single" w:color="000000" w:sz="4" w:space="0"/>
              <w:left w:val="single" w:color="000000" w:sz="4" w:space="0"/>
              <w:bottom w:val="single" w:color="000000" w:sz="4" w:space="0"/>
              <w:right w:val="single" w:color="000000" w:sz="4" w:space="0"/>
            </w:tcBorders>
            <w:noWrap w:val="0"/>
            <w:vAlign w:val="center"/>
          </w:tcPr>
          <w:p w14:paraId="69FC665C">
            <w:pPr>
              <w:widowControl/>
              <w:spacing w:line="240" w:lineRule="exact"/>
              <w:jc w:val="center"/>
              <w:textAlignment w:val="center"/>
              <w:rPr>
                <w:rFonts w:hint="default" w:ascii="Times New Roman" w:hAnsi="Times New Roman" w:eastAsia="宋体" w:cs="Times New Roman"/>
                <w:color w:val="000000"/>
                <w:kern w:val="0"/>
                <w:sz w:val="20"/>
                <w:szCs w:val="20"/>
              </w:rPr>
            </w:pPr>
          </w:p>
        </w:tc>
        <w:tc>
          <w:tcPr>
            <w:tcW w:w="1933" w:type="pct"/>
            <w:gridSpan w:val="6"/>
            <w:tcBorders>
              <w:top w:val="single" w:color="000000" w:sz="4" w:space="0"/>
              <w:left w:val="single" w:color="000000" w:sz="4" w:space="0"/>
              <w:bottom w:val="single" w:color="000000" w:sz="4" w:space="0"/>
              <w:right w:val="single" w:color="000000" w:sz="4" w:space="0"/>
            </w:tcBorders>
            <w:noWrap w:val="0"/>
            <w:vAlign w:val="center"/>
          </w:tcPr>
          <w:p w14:paraId="7EA628D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26DD4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4" w:type="pct"/>
            <w:tcBorders>
              <w:top w:val="single" w:color="000000" w:sz="4" w:space="0"/>
              <w:left w:val="single" w:color="000000" w:sz="4" w:space="0"/>
              <w:bottom w:val="single" w:color="000000" w:sz="4" w:space="0"/>
              <w:right w:val="single" w:color="000000" w:sz="4" w:space="0"/>
            </w:tcBorders>
            <w:noWrap w:val="0"/>
            <w:vAlign w:val="center"/>
          </w:tcPr>
          <w:p w14:paraId="6F7899AA">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评价结论</w:t>
            </w:r>
          </w:p>
        </w:tc>
        <w:tc>
          <w:tcPr>
            <w:tcW w:w="4665" w:type="pct"/>
            <w:gridSpan w:val="15"/>
            <w:tcBorders>
              <w:top w:val="single" w:color="000000" w:sz="4" w:space="0"/>
              <w:left w:val="single" w:color="000000" w:sz="4" w:space="0"/>
              <w:bottom w:val="single" w:color="000000" w:sz="4" w:space="0"/>
              <w:right w:val="single" w:color="000000" w:sz="4" w:space="0"/>
            </w:tcBorders>
            <w:noWrap w:val="0"/>
            <w:vAlign w:val="center"/>
          </w:tcPr>
          <w:p w14:paraId="007D6594">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bidi="ar-SA"/>
              </w:rPr>
              <w:t>统筹组织基层治理人员开展学习交流，落实相关经费保障，有序推进各项活动，促进人员互学互通，助力基层社会治理提质增效。</w:t>
            </w:r>
          </w:p>
        </w:tc>
      </w:tr>
      <w:tr w14:paraId="38A87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4" w:type="pct"/>
            <w:tcBorders>
              <w:top w:val="single" w:color="000000" w:sz="4" w:space="0"/>
              <w:left w:val="single" w:color="000000" w:sz="4" w:space="0"/>
              <w:bottom w:val="single" w:color="000000" w:sz="4" w:space="0"/>
              <w:right w:val="single" w:color="000000" w:sz="4" w:space="0"/>
            </w:tcBorders>
            <w:noWrap w:val="0"/>
            <w:vAlign w:val="center"/>
          </w:tcPr>
          <w:p w14:paraId="461BA145">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存在问题</w:t>
            </w:r>
          </w:p>
        </w:tc>
        <w:tc>
          <w:tcPr>
            <w:tcW w:w="4665" w:type="pct"/>
            <w:gridSpan w:val="15"/>
            <w:tcBorders>
              <w:top w:val="single" w:color="000000" w:sz="4" w:space="0"/>
              <w:left w:val="single" w:color="000000" w:sz="4" w:space="0"/>
              <w:bottom w:val="single" w:color="000000" w:sz="4" w:space="0"/>
              <w:right w:val="single" w:color="000000" w:sz="4" w:space="0"/>
            </w:tcBorders>
            <w:noWrap w:val="0"/>
            <w:vAlign w:val="center"/>
          </w:tcPr>
          <w:p w14:paraId="7136A9D0">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无</w:t>
            </w:r>
          </w:p>
        </w:tc>
      </w:tr>
      <w:tr w14:paraId="18F7F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4" w:type="pct"/>
            <w:tcBorders>
              <w:top w:val="single" w:color="000000" w:sz="4" w:space="0"/>
              <w:left w:val="single" w:color="000000" w:sz="4" w:space="0"/>
              <w:bottom w:val="single" w:color="000000" w:sz="4" w:space="0"/>
              <w:right w:val="single" w:color="000000" w:sz="4" w:space="0"/>
            </w:tcBorders>
            <w:noWrap w:val="0"/>
            <w:vAlign w:val="center"/>
          </w:tcPr>
          <w:p w14:paraId="3C4A327D">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改进措施</w:t>
            </w:r>
          </w:p>
        </w:tc>
        <w:tc>
          <w:tcPr>
            <w:tcW w:w="4665" w:type="pct"/>
            <w:gridSpan w:val="15"/>
            <w:tcBorders>
              <w:top w:val="single" w:color="000000" w:sz="4" w:space="0"/>
              <w:left w:val="single" w:color="000000" w:sz="4" w:space="0"/>
              <w:bottom w:val="single" w:color="000000" w:sz="4" w:space="0"/>
              <w:right w:val="single" w:color="000000" w:sz="4" w:space="0"/>
            </w:tcBorders>
            <w:noWrap w:val="0"/>
            <w:vAlign w:val="center"/>
          </w:tcPr>
          <w:p w14:paraId="0ECCAE16">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无</w:t>
            </w:r>
          </w:p>
        </w:tc>
      </w:tr>
      <w:tr w14:paraId="2582A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045" w:type="pct"/>
            <w:gridSpan w:val="6"/>
            <w:tcBorders>
              <w:top w:val="single" w:color="000000" w:sz="4" w:space="0"/>
              <w:left w:val="single" w:color="000000" w:sz="4" w:space="0"/>
              <w:bottom w:val="single" w:color="000000" w:sz="4" w:space="0"/>
              <w:right w:val="single" w:color="000000" w:sz="4" w:space="0"/>
            </w:tcBorders>
            <w:noWrap w:val="0"/>
            <w:vAlign w:val="center"/>
          </w:tcPr>
          <w:p w14:paraId="7CF712D0">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项目负责人：李燕均</w:t>
            </w:r>
          </w:p>
        </w:tc>
        <w:tc>
          <w:tcPr>
            <w:tcW w:w="2954" w:type="pct"/>
            <w:gridSpan w:val="10"/>
            <w:tcBorders>
              <w:top w:val="single" w:color="000000" w:sz="4" w:space="0"/>
              <w:left w:val="single" w:color="000000" w:sz="4" w:space="0"/>
              <w:bottom w:val="single" w:color="000000" w:sz="4" w:space="0"/>
              <w:right w:val="single" w:color="000000" w:sz="4" w:space="0"/>
            </w:tcBorders>
            <w:noWrap w:val="0"/>
            <w:vAlign w:val="center"/>
          </w:tcPr>
          <w:p w14:paraId="12A082E0">
            <w:pPr>
              <w:widowControl/>
              <w:spacing w:line="240" w:lineRule="exact"/>
              <w:jc w:val="center"/>
              <w:textAlignment w:val="center"/>
              <w:rPr>
                <w:rFonts w:hint="default"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lang w:val="en-US" w:eastAsia="zh-CN"/>
              </w:rPr>
              <w:t>财务负责人：叶茂</w:t>
            </w:r>
          </w:p>
        </w:tc>
      </w:tr>
    </w:tbl>
    <w:tbl>
      <w:tblPr>
        <w:tblStyle w:val="17"/>
        <w:tblpPr w:leftFromText="180" w:rightFromText="180" w:vertAnchor="text" w:horzAnchor="page" w:tblpX="1409" w:tblpY="98"/>
        <w:tblOverlap w:val="never"/>
        <w:tblW w:w="540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9"/>
        <w:gridCol w:w="624"/>
        <w:gridCol w:w="815"/>
        <w:gridCol w:w="1707"/>
        <w:gridCol w:w="635"/>
        <w:gridCol w:w="734"/>
        <w:gridCol w:w="677"/>
        <w:gridCol w:w="258"/>
        <w:gridCol w:w="307"/>
        <w:gridCol w:w="564"/>
        <w:gridCol w:w="677"/>
        <w:gridCol w:w="1743"/>
      </w:tblGrid>
      <w:tr w14:paraId="3728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98" w:type="pct"/>
            <w:gridSpan w:val="2"/>
            <w:tcBorders>
              <w:top w:val="single" w:color="000000" w:sz="4" w:space="0"/>
              <w:left w:val="single" w:color="000000" w:sz="4" w:space="0"/>
              <w:bottom w:val="single" w:color="000000" w:sz="4" w:space="0"/>
              <w:right w:val="single" w:color="000000" w:sz="4" w:space="0"/>
            </w:tcBorders>
            <w:noWrap w:val="0"/>
            <w:vAlign w:val="center"/>
          </w:tcPr>
          <w:p w14:paraId="66C658A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项目名称</w:t>
            </w:r>
          </w:p>
        </w:tc>
        <w:tc>
          <w:tcPr>
            <w:tcW w:w="4401" w:type="pct"/>
            <w:gridSpan w:val="10"/>
            <w:tcBorders>
              <w:top w:val="single" w:color="000000" w:sz="4" w:space="0"/>
              <w:left w:val="single" w:color="000000" w:sz="4" w:space="0"/>
              <w:bottom w:val="single" w:color="000000" w:sz="4" w:space="0"/>
              <w:right w:val="single" w:color="000000" w:sz="4" w:space="0"/>
            </w:tcBorders>
            <w:noWrap w:val="0"/>
            <w:vAlign w:val="center"/>
          </w:tcPr>
          <w:p w14:paraId="3541A90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51322325T000014023924-茂县社会治安综合治理中心提升改造</w:t>
            </w:r>
          </w:p>
        </w:tc>
      </w:tr>
      <w:tr w14:paraId="37AE7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98" w:type="pct"/>
            <w:gridSpan w:val="2"/>
            <w:tcBorders>
              <w:top w:val="single" w:color="000000" w:sz="4" w:space="0"/>
              <w:left w:val="single" w:color="000000" w:sz="4" w:space="0"/>
              <w:bottom w:val="single" w:color="000000" w:sz="4" w:space="0"/>
              <w:right w:val="single" w:color="000000" w:sz="4" w:space="0"/>
            </w:tcBorders>
            <w:noWrap w:val="0"/>
            <w:vAlign w:val="center"/>
          </w:tcPr>
          <w:p w14:paraId="6EA4F4F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主管部门</w:t>
            </w:r>
          </w:p>
        </w:tc>
        <w:tc>
          <w:tcPr>
            <w:tcW w:w="2617" w:type="pct"/>
            <w:gridSpan w:val="6"/>
            <w:tcBorders>
              <w:top w:val="single" w:color="000000" w:sz="4" w:space="0"/>
              <w:left w:val="single" w:color="000000" w:sz="4" w:space="0"/>
              <w:bottom w:val="single" w:color="000000" w:sz="4" w:space="0"/>
              <w:right w:val="single" w:color="000000" w:sz="4" w:space="0"/>
            </w:tcBorders>
            <w:noWrap w:val="0"/>
            <w:vAlign w:val="center"/>
          </w:tcPr>
          <w:p w14:paraId="6B85F72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中国共产党茂县委员会政法委员会</w:t>
            </w:r>
          </w:p>
        </w:tc>
        <w:tc>
          <w:tcPr>
            <w:tcW w:w="472" w:type="pct"/>
            <w:gridSpan w:val="2"/>
            <w:tcBorders>
              <w:top w:val="single" w:color="000000" w:sz="4" w:space="0"/>
              <w:left w:val="single" w:color="000000" w:sz="4" w:space="0"/>
              <w:bottom w:val="single" w:color="000000" w:sz="4" w:space="0"/>
              <w:right w:val="single" w:color="000000" w:sz="4" w:space="0"/>
            </w:tcBorders>
            <w:noWrap w:val="0"/>
            <w:vAlign w:val="center"/>
          </w:tcPr>
          <w:p w14:paraId="16C1737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实施单位 （盖章）</w:t>
            </w:r>
          </w:p>
        </w:tc>
        <w:tc>
          <w:tcPr>
            <w:tcW w:w="1312" w:type="pct"/>
            <w:gridSpan w:val="2"/>
            <w:tcBorders>
              <w:top w:val="single" w:color="000000" w:sz="4" w:space="0"/>
              <w:left w:val="single" w:color="000000" w:sz="4" w:space="0"/>
              <w:bottom w:val="single" w:color="000000" w:sz="4" w:space="0"/>
              <w:right w:val="single" w:color="000000" w:sz="4" w:space="0"/>
            </w:tcBorders>
            <w:noWrap w:val="0"/>
            <w:vAlign w:val="center"/>
          </w:tcPr>
          <w:p w14:paraId="6032192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中国共产党茂县委员会政法委员会（行政）</w:t>
            </w:r>
          </w:p>
        </w:tc>
      </w:tr>
      <w:tr w14:paraId="7F246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9" w:type="pct"/>
            <w:vMerge w:val="restart"/>
            <w:tcBorders>
              <w:top w:val="single" w:color="000000" w:sz="4" w:space="0"/>
              <w:left w:val="single" w:color="000000" w:sz="4" w:space="0"/>
              <w:bottom w:val="single" w:color="000000" w:sz="4" w:space="0"/>
              <w:right w:val="single" w:color="000000" w:sz="4" w:space="0"/>
            </w:tcBorders>
            <w:noWrap w:val="0"/>
            <w:vAlign w:val="center"/>
          </w:tcPr>
          <w:p w14:paraId="74CFEDF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项目基本情况</w:t>
            </w:r>
          </w:p>
        </w:tc>
        <w:tc>
          <w:tcPr>
            <w:tcW w:w="338" w:type="pct"/>
            <w:vMerge w:val="restart"/>
            <w:tcBorders>
              <w:top w:val="single" w:color="000000" w:sz="4" w:space="0"/>
              <w:left w:val="single" w:color="000000" w:sz="4" w:space="0"/>
              <w:bottom w:val="single" w:color="000000" w:sz="4" w:space="0"/>
              <w:right w:val="single" w:color="000000" w:sz="4" w:space="0"/>
            </w:tcBorders>
            <w:noWrap w:val="0"/>
            <w:vAlign w:val="center"/>
          </w:tcPr>
          <w:p w14:paraId="5327D31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1.项目年度目标完成情况</w:t>
            </w:r>
          </w:p>
        </w:tc>
        <w:tc>
          <w:tcPr>
            <w:tcW w:w="2617" w:type="pct"/>
            <w:gridSpan w:val="6"/>
            <w:tcBorders>
              <w:top w:val="single" w:color="000000" w:sz="4" w:space="0"/>
              <w:left w:val="single" w:color="000000" w:sz="4" w:space="0"/>
              <w:bottom w:val="single" w:color="000000" w:sz="4" w:space="0"/>
              <w:right w:val="single" w:color="000000" w:sz="4" w:space="0"/>
            </w:tcBorders>
            <w:noWrap w:val="0"/>
            <w:vAlign w:val="center"/>
          </w:tcPr>
          <w:p w14:paraId="4D1BAB3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项目年度目标</w:t>
            </w:r>
          </w:p>
        </w:tc>
        <w:tc>
          <w:tcPr>
            <w:tcW w:w="1784" w:type="pct"/>
            <w:gridSpan w:val="4"/>
            <w:tcBorders>
              <w:top w:val="single" w:color="000000" w:sz="4" w:space="0"/>
              <w:left w:val="single" w:color="000000" w:sz="4" w:space="0"/>
              <w:bottom w:val="single" w:color="000000" w:sz="4" w:space="0"/>
              <w:right w:val="single" w:color="000000" w:sz="4" w:space="0"/>
            </w:tcBorders>
            <w:noWrap w:val="0"/>
            <w:vAlign w:val="center"/>
          </w:tcPr>
          <w:p w14:paraId="4D18721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年度目标完成情况</w:t>
            </w:r>
          </w:p>
        </w:tc>
      </w:tr>
      <w:tr w14:paraId="4E21D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1B16E0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967A5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2617" w:type="pct"/>
            <w:gridSpan w:val="6"/>
            <w:tcBorders>
              <w:top w:val="single" w:color="000000" w:sz="4" w:space="0"/>
              <w:left w:val="single" w:color="000000" w:sz="4" w:space="0"/>
              <w:bottom w:val="single" w:color="000000" w:sz="4" w:space="0"/>
              <w:right w:val="single" w:color="000000" w:sz="4" w:space="0"/>
            </w:tcBorders>
            <w:noWrap w:val="0"/>
            <w:vAlign w:val="center"/>
          </w:tcPr>
          <w:p w14:paraId="242A011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茂县社会治安综合治理中心提升改造工作，包括场地提升改造和办公设施设备更新。</w:t>
            </w:r>
          </w:p>
        </w:tc>
        <w:tc>
          <w:tcPr>
            <w:tcW w:w="1784" w:type="pct"/>
            <w:gridSpan w:val="4"/>
            <w:tcBorders>
              <w:top w:val="single" w:color="000000" w:sz="4" w:space="0"/>
              <w:left w:val="single" w:color="000000" w:sz="4" w:space="0"/>
              <w:bottom w:val="single" w:color="000000" w:sz="4" w:space="0"/>
              <w:right w:val="single" w:color="000000" w:sz="4" w:space="0"/>
            </w:tcBorders>
            <w:noWrap w:val="0"/>
            <w:vAlign w:val="center"/>
          </w:tcPr>
          <w:p w14:paraId="7C7A9FB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完成综治中心场地提升改造，完善功能阵地，优化办公运行条件，夯实社会治安综合治理硬件基础，年度既定目标已基本实现。</w:t>
            </w:r>
          </w:p>
        </w:tc>
      </w:tr>
      <w:tr w14:paraId="55A92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1D493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0FCAFD5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2.项目实施内容及过程概述</w:t>
            </w:r>
          </w:p>
        </w:tc>
        <w:tc>
          <w:tcPr>
            <w:tcW w:w="4401" w:type="pct"/>
            <w:gridSpan w:val="10"/>
            <w:tcBorders>
              <w:top w:val="single" w:color="000000" w:sz="4" w:space="0"/>
              <w:left w:val="single" w:color="000000" w:sz="4" w:space="0"/>
              <w:bottom w:val="single" w:color="000000" w:sz="4" w:space="0"/>
              <w:right w:val="single" w:color="000000" w:sz="4" w:space="0"/>
            </w:tcBorders>
            <w:noWrap w:val="0"/>
            <w:vAlign w:val="center"/>
          </w:tcPr>
          <w:p w14:paraId="1945E983">
            <w:pP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推进综治中心场地改造修缮，落实项目经费，规范实施改造相关工作，完善配套设施，保障综治工作阵地正常运转。</w:t>
            </w:r>
          </w:p>
        </w:tc>
      </w:tr>
      <w:tr w14:paraId="4B4F3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59" w:type="pct"/>
            <w:vMerge w:val="restart"/>
            <w:tcBorders>
              <w:top w:val="single" w:color="000000" w:sz="4" w:space="0"/>
              <w:left w:val="single" w:color="000000" w:sz="4" w:space="0"/>
              <w:bottom w:val="single" w:color="000000" w:sz="4" w:space="0"/>
              <w:right w:val="single" w:color="000000" w:sz="4" w:space="0"/>
            </w:tcBorders>
            <w:noWrap w:val="0"/>
            <w:vAlign w:val="center"/>
          </w:tcPr>
          <w:p w14:paraId="3336F36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预算执行情况（10分）</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25710CD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年度预算数（万元）</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1713A7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年初预算</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0A0DE63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调整后预算数</w:t>
            </w:r>
          </w:p>
        </w:tc>
        <w:tc>
          <w:tcPr>
            <w:tcW w:w="1109" w:type="pct"/>
            <w:gridSpan w:val="3"/>
            <w:tcBorders>
              <w:top w:val="single" w:color="000000" w:sz="4" w:space="0"/>
              <w:left w:val="single" w:color="000000" w:sz="4" w:space="0"/>
              <w:bottom w:val="single" w:color="000000" w:sz="4" w:space="0"/>
              <w:right w:val="single" w:color="000000" w:sz="4" w:space="0"/>
            </w:tcBorders>
            <w:noWrap w:val="0"/>
            <w:vAlign w:val="center"/>
          </w:tcPr>
          <w:p w14:paraId="5B45D92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预算执行数</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19B0F7A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预算执行率</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6B365CB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权重</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2869AF4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得分</w:t>
            </w: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72EAEAB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原因</w:t>
            </w:r>
          </w:p>
        </w:tc>
      </w:tr>
      <w:tr w14:paraId="4062A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708AB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34DA35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总额</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E1C58B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24B1FFC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65.63</w:t>
            </w:r>
          </w:p>
        </w:tc>
        <w:tc>
          <w:tcPr>
            <w:tcW w:w="1109" w:type="pct"/>
            <w:gridSpan w:val="3"/>
            <w:tcBorders>
              <w:top w:val="single" w:color="000000" w:sz="4" w:space="0"/>
              <w:left w:val="single" w:color="000000" w:sz="4" w:space="0"/>
              <w:bottom w:val="single" w:color="000000" w:sz="4" w:space="0"/>
              <w:right w:val="single" w:color="000000" w:sz="4" w:space="0"/>
            </w:tcBorders>
            <w:noWrap w:val="0"/>
            <w:vAlign w:val="center"/>
          </w:tcPr>
          <w:p w14:paraId="57DEECF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65.63</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52DE4D2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100.00%</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2325A4F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19FBBEE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45" w:type="pct"/>
            <w:vMerge w:val="restart"/>
            <w:tcBorders>
              <w:top w:val="single" w:color="000000" w:sz="4" w:space="0"/>
              <w:left w:val="single" w:color="000000" w:sz="4" w:space="0"/>
              <w:bottom w:val="single" w:color="000000" w:sz="4" w:space="0"/>
              <w:right w:val="single" w:color="000000" w:sz="4" w:space="0"/>
            </w:tcBorders>
            <w:noWrap w:val="0"/>
            <w:vAlign w:val="center"/>
          </w:tcPr>
          <w:p w14:paraId="224DD24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1622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EF83A4">
            <w:pPr>
              <w:jc w:val="center"/>
              <w:rPr>
                <w:rFonts w:hint="default" w:ascii="Times New Roman" w:hAnsi="Times New Roman" w:eastAsia="宋体" w:cs="Times New Roman"/>
                <w:color w:val="000000"/>
                <w:kern w:val="0"/>
                <w:sz w:val="20"/>
                <w:szCs w:val="20"/>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534922F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其中：财政资金</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9A0FC0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67788EA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65.63</w:t>
            </w:r>
          </w:p>
        </w:tc>
        <w:tc>
          <w:tcPr>
            <w:tcW w:w="1109" w:type="pct"/>
            <w:gridSpan w:val="3"/>
            <w:tcBorders>
              <w:top w:val="single" w:color="000000" w:sz="4" w:space="0"/>
              <w:left w:val="single" w:color="000000" w:sz="4" w:space="0"/>
              <w:bottom w:val="single" w:color="000000" w:sz="4" w:space="0"/>
              <w:right w:val="single" w:color="000000" w:sz="4" w:space="0"/>
            </w:tcBorders>
            <w:noWrap w:val="0"/>
            <w:vAlign w:val="center"/>
          </w:tcPr>
          <w:p w14:paraId="4419E5A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65.63</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37D1E75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100.00%</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F3FCBE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5D9046C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94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4919C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5B3E9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A617F9">
            <w:pPr>
              <w:jc w:val="center"/>
              <w:rPr>
                <w:rFonts w:hint="default" w:ascii="Times New Roman" w:hAnsi="Times New Roman" w:eastAsia="宋体" w:cs="Times New Roman"/>
                <w:color w:val="000000"/>
                <w:kern w:val="0"/>
                <w:sz w:val="20"/>
                <w:szCs w:val="20"/>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69DB1E0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财政专户管理资金</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3BDE44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0EA8253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1109" w:type="pct"/>
            <w:gridSpan w:val="3"/>
            <w:tcBorders>
              <w:top w:val="single" w:color="000000" w:sz="4" w:space="0"/>
              <w:left w:val="single" w:color="000000" w:sz="4" w:space="0"/>
              <w:bottom w:val="single" w:color="000000" w:sz="4" w:space="0"/>
              <w:right w:val="single" w:color="000000" w:sz="4" w:space="0"/>
            </w:tcBorders>
            <w:noWrap w:val="0"/>
            <w:vAlign w:val="center"/>
          </w:tcPr>
          <w:p w14:paraId="47F4E2C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407F1A7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1409724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57FAD16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94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BC20C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75D8A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2DA792">
            <w:pPr>
              <w:jc w:val="center"/>
              <w:rPr>
                <w:rFonts w:hint="default" w:ascii="Times New Roman" w:hAnsi="Times New Roman" w:eastAsia="宋体" w:cs="Times New Roman"/>
                <w:color w:val="000000"/>
                <w:kern w:val="0"/>
                <w:sz w:val="20"/>
                <w:szCs w:val="20"/>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205484F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单位资金</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1A279C3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75D5507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1109" w:type="pct"/>
            <w:gridSpan w:val="3"/>
            <w:tcBorders>
              <w:top w:val="single" w:color="000000" w:sz="4" w:space="0"/>
              <w:left w:val="single" w:color="000000" w:sz="4" w:space="0"/>
              <w:bottom w:val="single" w:color="000000" w:sz="4" w:space="0"/>
              <w:right w:val="single" w:color="000000" w:sz="4" w:space="0"/>
            </w:tcBorders>
            <w:noWrap w:val="0"/>
            <w:vAlign w:val="center"/>
          </w:tcPr>
          <w:p w14:paraId="203CE16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5ED0F03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5FFE0F8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77DFC55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945"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37C94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675A3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790553">
            <w:pPr>
              <w:jc w:val="center"/>
              <w:rPr>
                <w:rFonts w:hint="default" w:ascii="Times New Roman" w:hAnsi="Times New Roman" w:eastAsia="宋体" w:cs="Times New Roman"/>
                <w:color w:val="000000"/>
                <w:kern w:val="0"/>
                <w:sz w:val="20"/>
                <w:szCs w:val="20"/>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140FB6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其他资金</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743CCE8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005AAF5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109" w:type="pct"/>
            <w:gridSpan w:val="3"/>
            <w:tcBorders>
              <w:top w:val="single" w:color="000000" w:sz="4" w:space="0"/>
              <w:left w:val="single" w:color="000000" w:sz="4" w:space="0"/>
              <w:bottom w:val="single" w:color="000000" w:sz="4" w:space="0"/>
              <w:right w:val="single" w:color="000000" w:sz="4" w:space="0"/>
            </w:tcBorders>
            <w:noWrap w:val="0"/>
            <w:vAlign w:val="center"/>
          </w:tcPr>
          <w:p w14:paraId="4147FB0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535920C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428277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4EFC57B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94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5E231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1EEF7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9" w:type="pct"/>
            <w:vMerge w:val="restart"/>
            <w:tcBorders>
              <w:top w:val="single" w:color="000000" w:sz="4" w:space="0"/>
              <w:left w:val="single" w:color="000000" w:sz="4" w:space="0"/>
              <w:bottom w:val="single" w:color="000000" w:sz="4" w:space="0"/>
              <w:right w:val="single" w:color="000000" w:sz="4" w:space="0"/>
            </w:tcBorders>
            <w:noWrap w:val="0"/>
            <w:vAlign w:val="center"/>
          </w:tcPr>
          <w:p w14:paraId="6E1D672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绩效指标（90分）</w:t>
            </w: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14CA5C4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一级指标</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207DAA7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二级指标</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69866F0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三级指标</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1A2EB22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指标性质</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662E849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指标值</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65B4351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度量单位</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447285F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完成值</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24BE68B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权重</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46F142E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得分</w:t>
            </w: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05159CA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未完成原因分析</w:t>
            </w:r>
          </w:p>
        </w:tc>
      </w:tr>
      <w:tr w14:paraId="6DB42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E63C91">
            <w:pPr>
              <w:jc w:val="center"/>
              <w:rPr>
                <w:rFonts w:hint="default" w:ascii="Times New Roman" w:hAnsi="Times New Roman" w:eastAsia="宋体" w:cs="Times New Roman"/>
                <w:color w:val="000000"/>
                <w:kern w:val="0"/>
                <w:sz w:val="20"/>
                <w:szCs w:val="20"/>
                <w:lang w:val="en-US" w:eastAsia="zh-CN" w:bidi="ar-SA"/>
              </w:rPr>
            </w:pPr>
          </w:p>
        </w:tc>
        <w:tc>
          <w:tcPr>
            <w:tcW w:w="338" w:type="pct"/>
            <w:vMerge w:val="restart"/>
            <w:tcBorders>
              <w:top w:val="single" w:color="000000" w:sz="4" w:space="0"/>
              <w:left w:val="single" w:color="000000" w:sz="4" w:space="0"/>
              <w:bottom w:val="single" w:color="000000" w:sz="4" w:space="0"/>
              <w:right w:val="single" w:color="000000" w:sz="4" w:space="0"/>
            </w:tcBorders>
            <w:noWrap w:val="0"/>
            <w:vAlign w:val="center"/>
          </w:tcPr>
          <w:p w14:paraId="4BF8812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产出指标</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6D5CA32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数量指标</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32FC458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网络攻击查处率</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4728868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026BFF7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95</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0B89CC3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2E1B702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6FA2606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47884C0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18E4202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41584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E11FF4">
            <w:pPr>
              <w:jc w:val="center"/>
              <w:rPr>
                <w:rFonts w:hint="default" w:ascii="Times New Roman" w:hAnsi="Times New Roman" w:eastAsia="宋体" w:cs="Times New Roman"/>
                <w:color w:val="000000"/>
                <w:kern w:val="0"/>
                <w:sz w:val="20"/>
                <w:szCs w:val="20"/>
                <w:lang w:val="en-US" w:eastAsia="zh-CN" w:bidi="ar-SA"/>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4CE4AB">
            <w:pPr>
              <w:jc w:val="center"/>
              <w:rPr>
                <w:rFonts w:hint="default" w:ascii="Times New Roman" w:hAnsi="Times New Roman" w:eastAsia="宋体" w:cs="Times New Roman"/>
                <w:color w:val="000000"/>
                <w:kern w:val="0"/>
                <w:sz w:val="20"/>
                <w:szCs w:val="20"/>
                <w:lang w:val="en-US" w:eastAsia="zh-CN" w:bidi="ar-SA"/>
              </w:rPr>
            </w:pP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0BE8BA6D">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质量指标</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22096B44">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综治重点工作完成</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6FC63BCC">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定性</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323D69D9">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优</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0065B991">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件</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42C87FF1">
            <w:pPr>
              <w:jc w:val="center"/>
              <w:rPr>
                <w:rFonts w:hint="default" w:ascii="Times New Roman" w:hAnsi="Times New Roman" w:eastAsia="宋体" w:cs="Times New Roman"/>
                <w:color w:val="000000"/>
                <w:kern w:val="0"/>
                <w:sz w:val="20"/>
                <w:szCs w:val="20"/>
                <w:lang w:val="en-US" w:eastAsia="zh-CN" w:bidi="ar-SA"/>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5F49538">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20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37C95827">
            <w:pPr>
              <w:jc w:val="center"/>
              <w:rPr>
                <w:rFonts w:hint="default" w:ascii="Times New Roman" w:hAnsi="Times New Roman" w:eastAsia="宋体" w:cs="Times New Roman"/>
                <w:color w:val="000000"/>
                <w:kern w:val="0"/>
                <w:sz w:val="20"/>
                <w:szCs w:val="20"/>
                <w:lang w:val="en-US" w:eastAsia="zh-CN" w:bidi="ar-SA"/>
              </w:rPr>
            </w:pP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138F3C3C">
            <w:pPr>
              <w:jc w:val="center"/>
              <w:rPr>
                <w:rFonts w:hint="default" w:ascii="Times New Roman" w:hAnsi="Times New Roman" w:eastAsia="宋体" w:cs="Times New Roman"/>
                <w:color w:val="000000"/>
                <w:kern w:val="0"/>
                <w:sz w:val="20"/>
                <w:szCs w:val="20"/>
                <w:lang w:val="en-US" w:eastAsia="zh-CN" w:bidi="ar-SA"/>
              </w:rPr>
            </w:pPr>
          </w:p>
        </w:tc>
      </w:tr>
      <w:tr w14:paraId="07B2D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1BAB37">
            <w:pPr>
              <w:jc w:val="center"/>
              <w:rPr>
                <w:rFonts w:hint="default" w:ascii="Times New Roman" w:hAnsi="Times New Roman" w:eastAsia="宋体" w:cs="Times New Roman"/>
                <w:color w:val="000000"/>
                <w:kern w:val="0"/>
                <w:sz w:val="20"/>
                <w:szCs w:val="20"/>
                <w:lang w:val="en-US" w:eastAsia="zh-CN" w:bidi="ar-SA"/>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FA80BC">
            <w:pPr>
              <w:jc w:val="center"/>
              <w:rPr>
                <w:rFonts w:hint="default" w:ascii="Times New Roman" w:hAnsi="Times New Roman" w:eastAsia="宋体" w:cs="Times New Roman"/>
                <w:color w:val="000000"/>
                <w:kern w:val="0"/>
                <w:sz w:val="20"/>
                <w:szCs w:val="20"/>
                <w:lang w:val="en-US" w:eastAsia="zh-CN" w:bidi="ar-SA"/>
              </w:rPr>
            </w:pP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5F49151A">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时效指标</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716A52C4">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项目提升改造完成时限</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21BD7572">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64CBCFAC">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2025</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65A11DBC">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年</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72E7B5A3">
            <w:pPr>
              <w:jc w:val="center"/>
              <w:rPr>
                <w:rFonts w:hint="default" w:ascii="Times New Roman" w:hAnsi="Times New Roman" w:eastAsia="宋体" w:cs="Times New Roman"/>
                <w:color w:val="000000"/>
                <w:kern w:val="0"/>
                <w:sz w:val="20"/>
                <w:szCs w:val="20"/>
                <w:lang w:val="en-US" w:eastAsia="zh-CN" w:bidi="ar-SA"/>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7793302F">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362F74C4">
            <w:pPr>
              <w:jc w:val="center"/>
              <w:rPr>
                <w:rFonts w:hint="default" w:ascii="Times New Roman" w:hAnsi="Times New Roman" w:eastAsia="宋体" w:cs="Times New Roman"/>
                <w:color w:val="000000"/>
                <w:kern w:val="0"/>
                <w:sz w:val="20"/>
                <w:szCs w:val="20"/>
                <w:lang w:val="en-US" w:eastAsia="zh-CN" w:bidi="ar-SA"/>
              </w:rPr>
            </w:pP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57CDA892">
            <w:pPr>
              <w:jc w:val="center"/>
              <w:rPr>
                <w:rFonts w:hint="default" w:ascii="Times New Roman" w:hAnsi="Times New Roman" w:eastAsia="宋体" w:cs="Times New Roman"/>
                <w:color w:val="000000"/>
                <w:kern w:val="0"/>
                <w:sz w:val="20"/>
                <w:szCs w:val="20"/>
                <w:lang w:val="en-US" w:eastAsia="zh-CN" w:bidi="ar-SA"/>
              </w:rPr>
            </w:pPr>
          </w:p>
        </w:tc>
      </w:tr>
      <w:tr w14:paraId="065AE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8E1929">
            <w:pPr>
              <w:jc w:val="center"/>
              <w:rPr>
                <w:rFonts w:hint="default" w:ascii="Times New Roman" w:hAnsi="Times New Roman" w:eastAsia="宋体" w:cs="Times New Roman"/>
                <w:color w:val="000000"/>
                <w:kern w:val="0"/>
                <w:sz w:val="20"/>
                <w:szCs w:val="20"/>
                <w:lang w:val="en-US" w:eastAsia="zh-CN" w:bidi="ar-SA"/>
              </w:rPr>
            </w:pPr>
          </w:p>
        </w:tc>
        <w:tc>
          <w:tcPr>
            <w:tcW w:w="338" w:type="pct"/>
            <w:vMerge w:val="restart"/>
            <w:tcBorders>
              <w:top w:val="single" w:color="000000" w:sz="4" w:space="0"/>
              <w:left w:val="single" w:color="000000" w:sz="4" w:space="0"/>
              <w:bottom w:val="single" w:color="000000" w:sz="4" w:space="0"/>
              <w:right w:val="single" w:color="000000" w:sz="4" w:space="0"/>
            </w:tcBorders>
            <w:noWrap w:val="0"/>
            <w:vAlign w:val="center"/>
          </w:tcPr>
          <w:p w14:paraId="7729331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效益指标</w:t>
            </w:r>
          </w:p>
        </w:tc>
        <w:tc>
          <w:tcPr>
            <w:tcW w:w="441" w:type="pct"/>
            <w:vMerge w:val="restart"/>
            <w:tcBorders>
              <w:top w:val="single" w:color="000000" w:sz="4" w:space="0"/>
              <w:left w:val="single" w:color="000000" w:sz="4" w:space="0"/>
              <w:bottom w:val="single" w:color="000000" w:sz="4" w:space="0"/>
              <w:right w:val="single" w:color="000000" w:sz="4" w:space="0"/>
            </w:tcBorders>
            <w:noWrap w:val="0"/>
            <w:vAlign w:val="center"/>
          </w:tcPr>
          <w:p w14:paraId="45C07F3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社会效益指标</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26FCDFB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矛盾纠纷调处率</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20FD5F2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5415526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90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63E6407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0805041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44CB87E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7855221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51A1256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r>
      <w:tr w14:paraId="138B7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62712E">
            <w:pPr>
              <w:jc w:val="center"/>
              <w:rPr>
                <w:rFonts w:hint="default" w:ascii="Times New Roman" w:hAnsi="Times New Roman" w:eastAsia="宋体" w:cs="Times New Roman"/>
                <w:color w:val="000000"/>
                <w:kern w:val="0"/>
                <w:sz w:val="20"/>
                <w:szCs w:val="20"/>
                <w:lang w:val="en-US" w:eastAsia="zh-CN" w:bidi="ar-SA"/>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F67E16">
            <w:pPr>
              <w:jc w:val="center"/>
              <w:rPr>
                <w:rFonts w:hint="default" w:ascii="Times New Roman" w:hAnsi="Times New Roman" w:eastAsia="宋体" w:cs="Times New Roman"/>
                <w:color w:val="000000"/>
                <w:kern w:val="0"/>
                <w:sz w:val="20"/>
                <w:szCs w:val="20"/>
                <w:lang w:val="en-US" w:eastAsia="zh-CN" w:bidi="ar-SA"/>
              </w:rPr>
            </w:pPr>
          </w:p>
        </w:tc>
        <w:tc>
          <w:tcPr>
            <w:tcW w:w="4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D122C4">
            <w:pPr>
              <w:jc w:val="center"/>
              <w:rPr>
                <w:rFonts w:hint="default" w:ascii="Times New Roman" w:hAnsi="Times New Roman" w:eastAsia="宋体" w:cs="Times New Roman"/>
                <w:color w:val="000000"/>
                <w:kern w:val="0"/>
                <w:sz w:val="20"/>
                <w:szCs w:val="20"/>
                <w:lang w:val="en-US" w:eastAsia="zh-CN" w:bidi="ar-SA"/>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7CE0E865">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群众投诉下降率</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1D5F67AB">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1705A09A">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90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521B0225">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238D2CEB">
            <w:pPr>
              <w:jc w:val="center"/>
              <w:rPr>
                <w:rFonts w:hint="default" w:ascii="Times New Roman" w:hAnsi="Times New Roman" w:eastAsia="宋体" w:cs="Times New Roman"/>
                <w:color w:val="000000"/>
                <w:kern w:val="0"/>
                <w:sz w:val="20"/>
                <w:szCs w:val="20"/>
                <w:lang w:val="en-US" w:eastAsia="zh-CN" w:bidi="ar-SA"/>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76CDF45E">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2EB92E49">
            <w:pPr>
              <w:jc w:val="center"/>
              <w:rPr>
                <w:rFonts w:hint="default" w:ascii="Times New Roman" w:hAnsi="Times New Roman" w:eastAsia="宋体" w:cs="Times New Roman"/>
                <w:color w:val="000000"/>
                <w:kern w:val="0"/>
                <w:sz w:val="20"/>
                <w:szCs w:val="20"/>
                <w:lang w:val="en-US" w:eastAsia="zh-CN" w:bidi="ar-SA"/>
              </w:rPr>
            </w:pP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365246E1">
            <w:pPr>
              <w:jc w:val="center"/>
              <w:rPr>
                <w:rFonts w:hint="default" w:ascii="Times New Roman" w:hAnsi="Times New Roman" w:eastAsia="宋体" w:cs="Times New Roman"/>
                <w:color w:val="000000"/>
                <w:kern w:val="0"/>
                <w:sz w:val="20"/>
                <w:szCs w:val="20"/>
                <w:lang w:val="en-US" w:eastAsia="zh-CN" w:bidi="ar-SA"/>
              </w:rPr>
            </w:pPr>
          </w:p>
        </w:tc>
      </w:tr>
      <w:tr w14:paraId="211F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9F5DE4">
            <w:pPr>
              <w:jc w:val="center"/>
              <w:rPr>
                <w:rFonts w:hint="default" w:ascii="Times New Roman" w:hAnsi="Times New Roman" w:eastAsia="宋体" w:cs="Times New Roman"/>
                <w:color w:val="000000"/>
                <w:kern w:val="0"/>
                <w:sz w:val="20"/>
                <w:szCs w:val="20"/>
                <w:lang w:val="en-US" w:eastAsia="zh-CN" w:bidi="ar-SA"/>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2F2784">
            <w:pPr>
              <w:jc w:val="center"/>
              <w:rPr>
                <w:rFonts w:hint="default" w:ascii="Times New Roman" w:hAnsi="Times New Roman" w:eastAsia="宋体" w:cs="Times New Roman"/>
                <w:color w:val="000000"/>
                <w:kern w:val="0"/>
                <w:sz w:val="20"/>
                <w:szCs w:val="20"/>
                <w:lang w:val="en-US" w:eastAsia="zh-CN" w:bidi="ar-SA"/>
              </w:rPr>
            </w:pPr>
          </w:p>
        </w:tc>
        <w:tc>
          <w:tcPr>
            <w:tcW w:w="44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8CE44A">
            <w:pPr>
              <w:jc w:val="center"/>
              <w:rPr>
                <w:rFonts w:hint="default" w:ascii="Times New Roman" w:hAnsi="Times New Roman" w:eastAsia="宋体" w:cs="Times New Roman"/>
                <w:color w:val="000000"/>
                <w:kern w:val="0"/>
                <w:sz w:val="20"/>
                <w:szCs w:val="20"/>
                <w:lang w:val="en-US" w:eastAsia="zh-CN" w:bidi="ar-SA"/>
              </w:rPr>
            </w:pP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0F25E967">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重大活动突发事件下降率</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6F03B6AB">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504A31BA">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90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1F2B904F">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09261719">
            <w:pPr>
              <w:jc w:val="center"/>
              <w:rPr>
                <w:rFonts w:hint="default" w:ascii="Times New Roman" w:hAnsi="Times New Roman" w:eastAsia="宋体" w:cs="Times New Roman"/>
                <w:color w:val="000000"/>
                <w:kern w:val="0"/>
                <w:sz w:val="20"/>
                <w:szCs w:val="20"/>
                <w:lang w:val="en-US" w:eastAsia="zh-CN" w:bidi="ar-SA"/>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787400AC">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72900009">
            <w:pPr>
              <w:jc w:val="center"/>
              <w:rPr>
                <w:rFonts w:hint="default" w:ascii="Times New Roman" w:hAnsi="Times New Roman" w:eastAsia="宋体" w:cs="Times New Roman"/>
                <w:color w:val="000000"/>
                <w:kern w:val="0"/>
                <w:sz w:val="20"/>
                <w:szCs w:val="20"/>
                <w:lang w:val="en-US" w:eastAsia="zh-CN" w:bidi="ar-SA"/>
              </w:rPr>
            </w:pP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59E98452">
            <w:pPr>
              <w:jc w:val="center"/>
              <w:rPr>
                <w:rFonts w:hint="default" w:ascii="Times New Roman" w:hAnsi="Times New Roman" w:eastAsia="宋体" w:cs="Times New Roman"/>
                <w:color w:val="000000"/>
                <w:kern w:val="0"/>
                <w:sz w:val="20"/>
                <w:szCs w:val="20"/>
                <w:lang w:val="en-US" w:eastAsia="zh-CN" w:bidi="ar-SA"/>
              </w:rPr>
            </w:pPr>
          </w:p>
        </w:tc>
      </w:tr>
      <w:tr w14:paraId="587CF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CFBF74">
            <w:pPr>
              <w:jc w:val="center"/>
              <w:rPr>
                <w:rFonts w:hint="default" w:ascii="Times New Roman" w:hAnsi="Times New Roman" w:eastAsia="宋体" w:cs="Times New Roman"/>
                <w:color w:val="000000"/>
                <w:kern w:val="0"/>
                <w:sz w:val="20"/>
                <w:szCs w:val="20"/>
                <w:lang w:val="en-US" w:eastAsia="zh-CN" w:bidi="ar-SA"/>
              </w:rPr>
            </w:pPr>
          </w:p>
        </w:tc>
        <w:tc>
          <w:tcPr>
            <w:tcW w:w="338" w:type="pct"/>
            <w:tcBorders>
              <w:top w:val="single" w:color="000000" w:sz="4" w:space="0"/>
              <w:left w:val="single" w:color="000000" w:sz="4" w:space="0"/>
              <w:bottom w:val="single" w:color="000000" w:sz="4" w:space="0"/>
              <w:right w:val="single" w:color="000000" w:sz="4" w:space="0"/>
            </w:tcBorders>
            <w:noWrap w:val="0"/>
            <w:vAlign w:val="center"/>
          </w:tcPr>
          <w:p w14:paraId="712C771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成本指标</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14:paraId="377D663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社会成本指标</w:t>
            </w:r>
          </w:p>
        </w:tc>
        <w:tc>
          <w:tcPr>
            <w:tcW w:w="925" w:type="pct"/>
            <w:tcBorders>
              <w:top w:val="single" w:color="000000" w:sz="4" w:space="0"/>
              <w:left w:val="single" w:color="000000" w:sz="4" w:space="0"/>
              <w:bottom w:val="single" w:color="000000" w:sz="4" w:space="0"/>
              <w:right w:val="single" w:color="000000" w:sz="4" w:space="0"/>
            </w:tcBorders>
            <w:noWrap w:val="0"/>
            <w:vAlign w:val="center"/>
          </w:tcPr>
          <w:p w14:paraId="214A5F6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网格服务宣传</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4BD090D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33D4C24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10000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14B0624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件</w:t>
            </w:r>
          </w:p>
        </w:tc>
        <w:tc>
          <w:tcPr>
            <w:tcW w:w="306" w:type="pct"/>
            <w:gridSpan w:val="2"/>
            <w:tcBorders>
              <w:top w:val="single" w:color="000000" w:sz="4" w:space="0"/>
              <w:left w:val="single" w:color="000000" w:sz="4" w:space="0"/>
              <w:bottom w:val="single" w:color="000000" w:sz="4" w:space="0"/>
              <w:right w:val="single" w:color="000000" w:sz="4" w:space="0"/>
            </w:tcBorders>
            <w:noWrap w:val="0"/>
            <w:vAlign w:val="center"/>
          </w:tcPr>
          <w:p w14:paraId="7D25C0A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1332949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49ECAE5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27DBEA0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r>
      <w:tr w14:paraId="385C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1" w:type="pct"/>
            <w:gridSpan w:val="9"/>
            <w:tcBorders>
              <w:top w:val="single" w:color="000000" w:sz="4" w:space="0"/>
              <w:left w:val="single" w:color="000000" w:sz="4" w:space="0"/>
              <w:bottom w:val="single" w:color="000000" w:sz="4" w:space="0"/>
              <w:right w:val="single" w:color="000000" w:sz="4" w:space="0"/>
            </w:tcBorders>
            <w:noWrap w:val="0"/>
            <w:vAlign w:val="center"/>
          </w:tcPr>
          <w:p w14:paraId="4501EFD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合计</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62198AB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w:t>
            </w:r>
          </w:p>
        </w:tc>
        <w:tc>
          <w:tcPr>
            <w:tcW w:w="367" w:type="pct"/>
            <w:tcBorders>
              <w:top w:val="single" w:color="000000" w:sz="4" w:space="0"/>
              <w:left w:val="single" w:color="000000" w:sz="4" w:space="0"/>
              <w:bottom w:val="single" w:color="000000" w:sz="4" w:space="0"/>
              <w:right w:val="single" w:color="000000" w:sz="4" w:space="0"/>
            </w:tcBorders>
            <w:noWrap w:val="0"/>
            <w:vAlign w:val="center"/>
          </w:tcPr>
          <w:p w14:paraId="2C5E873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45" w:type="pct"/>
            <w:tcBorders>
              <w:top w:val="single" w:color="000000" w:sz="4" w:space="0"/>
              <w:left w:val="single" w:color="000000" w:sz="4" w:space="0"/>
              <w:bottom w:val="single" w:color="000000" w:sz="4" w:space="0"/>
              <w:right w:val="single" w:color="000000" w:sz="4" w:space="0"/>
            </w:tcBorders>
            <w:noWrap w:val="0"/>
            <w:vAlign w:val="center"/>
          </w:tcPr>
          <w:p w14:paraId="40D6518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05226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59" w:type="pct"/>
            <w:tcBorders>
              <w:top w:val="single" w:color="000000" w:sz="4" w:space="0"/>
              <w:left w:val="single" w:color="000000" w:sz="4" w:space="0"/>
              <w:bottom w:val="single" w:color="000000" w:sz="4" w:space="0"/>
              <w:right w:val="single" w:color="000000" w:sz="4" w:space="0"/>
            </w:tcBorders>
            <w:noWrap w:val="0"/>
            <w:vAlign w:val="center"/>
          </w:tcPr>
          <w:p w14:paraId="64E5661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评价结论</w:t>
            </w:r>
          </w:p>
        </w:tc>
        <w:tc>
          <w:tcPr>
            <w:tcW w:w="4740" w:type="pct"/>
            <w:gridSpan w:val="11"/>
            <w:tcBorders>
              <w:top w:val="single" w:color="000000" w:sz="4" w:space="0"/>
              <w:left w:val="single" w:color="000000" w:sz="4" w:space="0"/>
              <w:bottom w:val="single" w:color="000000" w:sz="4" w:space="0"/>
              <w:right w:val="single" w:color="000000" w:sz="4" w:space="0"/>
            </w:tcBorders>
            <w:noWrap w:val="0"/>
            <w:vAlign w:val="center"/>
          </w:tcPr>
          <w:p w14:paraId="25E8866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推进综治中心场地改造修缮，落实项目经费，规范实施改造相关工作，完善配套设施，保障综治工作阵地正常运转。</w:t>
            </w:r>
          </w:p>
        </w:tc>
      </w:tr>
      <w:tr w14:paraId="59AD5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59" w:type="pct"/>
            <w:tcBorders>
              <w:top w:val="single" w:color="000000" w:sz="4" w:space="0"/>
              <w:left w:val="single" w:color="000000" w:sz="4" w:space="0"/>
              <w:bottom w:val="single" w:color="000000" w:sz="4" w:space="0"/>
              <w:right w:val="single" w:color="000000" w:sz="4" w:space="0"/>
            </w:tcBorders>
            <w:noWrap w:val="0"/>
            <w:vAlign w:val="center"/>
          </w:tcPr>
          <w:p w14:paraId="1854347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存在问题</w:t>
            </w:r>
          </w:p>
        </w:tc>
        <w:tc>
          <w:tcPr>
            <w:tcW w:w="4740" w:type="pct"/>
            <w:gridSpan w:val="11"/>
            <w:tcBorders>
              <w:top w:val="single" w:color="000000" w:sz="4" w:space="0"/>
              <w:left w:val="single" w:color="000000" w:sz="4" w:space="0"/>
              <w:bottom w:val="single" w:color="000000" w:sz="4" w:space="0"/>
              <w:right w:val="single" w:color="000000" w:sz="4" w:space="0"/>
            </w:tcBorders>
            <w:noWrap w:val="0"/>
            <w:vAlign w:val="center"/>
          </w:tcPr>
          <w:p w14:paraId="6B017F2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无</w:t>
            </w:r>
          </w:p>
        </w:tc>
      </w:tr>
      <w:tr w14:paraId="0943E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59" w:type="pct"/>
            <w:tcBorders>
              <w:top w:val="single" w:color="000000" w:sz="4" w:space="0"/>
              <w:left w:val="single" w:color="000000" w:sz="4" w:space="0"/>
              <w:bottom w:val="single" w:color="000000" w:sz="4" w:space="0"/>
              <w:right w:val="single" w:color="000000" w:sz="4" w:space="0"/>
            </w:tcBorders>
            <w:noWrap w:val="0"/>
            <w:vAlign w:val="center"/>
          </w:tcPr>
          <w:p w14:paraId="19F0AD9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改进措施</w:t>
            </w:r>
          </w:p>
        </w:tc>
        <w:tc>
          <w:tcPr>
            <w:tcW w:w="4740" w:type="pct"/>
            <w:gridSpan w:val="11"/>
            <w:tcBorders>
              <w:top w:val="single" w:color="000000" w:sz="4" w:space="0"/>
              <w:left w:val="single" w:color="000000" w:sz="4" w:space="0"/>
              <w:bottom w:val="single" w:color="000000" w:sz="4" w:space="0"/>
              <w:right w:val="single" w:color="000000" w:sz="4" w:space="0"/>
            </w:tcBorders>
            <w:noWrap w:val="0"/>
            <w:vAlign w:val="center"/>
          </w:tcPr>
          <w:p w14:paraId="4122C01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无</w:t>
            </w:r>
          </w:p>
        </w:tc>
      </w:tr>
      <w:tr w14:paraId="34A67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075" w:type="pct"/>
            <w:gridSpan w:val="7"/>
            <w:tcBorders>
              <w:top w:val="single" w:color="000000" w:sz="4" w:space="0"/>
              <w:left w:val="single" w:color="000000" w:sz="4" w:space="0"/>
              <w:bottom w:val="single" w:color="000000" w:sz="4" w:space="0"/>
              <w:right w:val="single" w:color="000000" w:sz="4" w:space="0"/>
            </w:tcBorders>
            <w:noWrap w:val="0"/>
            <w:vAlign w:val="center"/>
          </w:tcPr>
          <w:p w14:paraId="11642F2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项目负责人：马刚</w:t>
            </w:r>
          </w:p>
        </w:tc>
        <w:tc>
          <w:tcPr>
            <w:tcW w:w="1924" w:type="pct"/>
            <w:gridSpan w:val="5"/>
            <w:tcBorders>
              <w:top w:val="single" w:color="000000" w:sz="4" w:space="0"/>
              <w:left w:val="single" w:color="000000" w:sz="4" w:space="0"/>
              <w:bottom w:val="single" w:color="000000" w:sz="4" w:space="0"/>
              <w:right w:val="single" w:color="000000" w:sz="4" w:space="0"/>
            </w:tcBorders>
            <w:noWrap w:val="0"/>
            <w:vAlign w:val="center"/>
          </w:tcPr>
          <w:p w14:paraId="01A10A2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财务负责人：叶茂</w:t>
            </w:r>
          </w:p>
        </w:tc>
      </w:tr>
    </w:tbl>
    <w:tbl>
      <w:tblPr>
        <w:tblStyle w:val="17"/>
        <w:tblpPr w:leftFromText="180" w:rightFromText="180" w:vertAnchor="text" w:horzAnchor="page" w:tblpX="1428" w:tblpY="89"/>
        <w:tblOverlap w:val="never"/>
        <w:tblW w:w="537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8"/>
        <w:gridCol w:w="622"/>
        <w:gridCol w:w="971"/>
        <w:gridCol w:w="1411"/>
        <w:gridCol w:w="450"/>
        <w:gridCol w:w="128"/>
        <w:gridCol w:w="1199"/>
        <w:gridCol w:w="466"/>
        <w:gridCol w:w="227"/>
        <w:gridCol w:w="324"/>
        <w:gridCol w:w="459"/>
        <w:gridCol w:w="162"/>
        <w:gridCol w:w="592"/>
        <w:gridCol w:w="1773"/>
      </w:tblGrid>
      <w:tr w14:paraId="58F54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45" w:type="pct"/>
            <w:gridSpan w:val="2"/>
            <w:tcBorders>
              <w:top w:val="single" w:color="000000" w:sz="4" w:space="0"/>
              <w:left w:val="single" w:color="000000" w:sz="4" w:space="0"/>
              <w:bottom w:val="single" w:color="000000" w:sz="4" w:space="0"/>
              <w:right w:val="single" w:color="000000" w:sz="4" w:space="0"/>
            </w:tcBorders>
            <w:noWrap w:val="0"/>
            <w:vAlign w:val="center"/>
          </w:tcPr>
          <w:p w14:paraId="623CB79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项目名称</w:t>
            </w:r>
          </w:p>
        </w:tc>
        <w:tc>
          <w:tcPr>
            <w:tcW w:w="4454" w:type="pct"/>
            <w:gridSpan w:val="12"/>
            <w:tcBorders>
              <w:top w:val="single" w:color="000000" w:sz="4" w:space="0"/>
              <w:left w:val="single" w:color="000000" w:sz="4" w:space="0"/>
              <w:bottom w:val="single" w:color="000000" w:sz="4" w:space="0"/>
              <w:right w:val="single" w:color="000000" w:sz="4" w:space="0"/>
            </w:tcBorders>
            <w:noWrap w:val="0"/>
            <w:vAlign w:val="center"/>
          </w:tcPr>
          <w:p w14:paraId="0E15846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51322325T000014032013-2025年茂县政法委维稳办公设备采购项目</w:t>
            </w:r>
          </w:p>
        </w:tc>
      </w:tr>
      <w:tr w14:paraId="6E3AA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45" w:type="pct"/>
            <w:gridSpan w:val="2"/>
            <w:tcBorders>
              <w:top w:val="single" w:color="000000" w:sz="4" w:space="0"/>
              <w:left w:val="single" w:color="000000" w:sz="4" w:space="0"/>
              <w:bottom w:val="single" w:color="000000" w:sz="4" w:space="0"/>
              <w:right w:val="single" w:color="000000" w:sz="4" w:space="0"/>
            </w:tcBorders>
            <w:noWrap w:val="0"/>
            <w:vAlign w:val="center"/>
          </w:tcPr>
          <w:p w14:paraId="0D1F8ED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主管部门</w:t>
            </w:r>
          </w:p>
        </w:tc>
        <w:tc>
          <w:tcPr>
            <w:tcW w:w="2647" w:type="pct"/>
            <w:gridSpan w:val="7"/>
            <w:tcBorders>
              <w:top w:val="single" w:color="000000" w:sz="4" w:space="0"/>
              <w:left w:val="single" w:color="000000" w:sz="4" w:space="0"/>
              <w:bottom w:val="single" w:color="000000" w:sz="4" w:space="0"/>
              <w:right w:val="single" w:color="000000" w:sz="4" w:space="0"/>
            </w:tcBorders>
            <w:noWrap w:val="0"/>
            <w:vAlign w:val="center"/>
          </w:tcPr>
          <w:p w14:paraId="0121C50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中国共产党茂县委员会政法委员会</w:t>
            </w:r>
          </w:p>
        </w:tc>
        <w:tc>
          <w:tcPr>
            <w:tcW w:w="427" w:type="pct"/>
            <w:gridSpan w:val="2"/>
            <w:tcBorders>
              <w:top w:val="single" w:color="000000" w:sz="4" w:space="0"/>
              <w:left w:val="single" w:color="000000" w:sz="4" w:space="0"/>
              <w:bottom w:val="single" w:color="000000" w:sz="4" w:space="0"/>
              <w:right w:val="single" w:color="000000" w:sz="4" w:space="0"/>
            </w:tcBorders>
            <w:noWrap w:val="0"/>
            <w:vAlign w:val="center"/>
          </w:tcPr>
          <w:p w14:paraId="0054352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实施单位 （盖章）</w:t>
            </w:r>
          </w:p>
        </w:tc>
        <w:tc>
          <w:tcPr>
            <w:tcW w:w="1379" w:type="pct"/>
            <w:gridSpan w:val="3"/>
            <w:tcBorders>
              <w:top w:val="single" w:color="000000" w:sz="4" w:space="0"/>
              <w:left w:val="single" w:color="000000" w:sz="4" w:space="0"/>
              <w:bottom w:val="single" w:color="000000" w:sz="4" w:space="0"/>
              <w:right w:val="single" w:color="000000" w:sz="4" w:space="0"/>
            </w:tcBorders>
            <w:noWrap w:val="0"/>
            <w:vAlign w:val="center"/>
          </w:tcPr>
          <w:p w14:paraId="36F38E7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中国共产党茂县委员会政法委员会（行政）</w:t>
            </w:r>
          </w:p>
        </w:tc>
      </w:tr>
      <w:tr w14:paraId="45D4C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06" w:type="pct"/>
            <w:vMerge w:val="restart"/>
            <w:tcBorders>
              <w:top w:val="single" w:color="000000" w:sz="4" w:space="0"/>
              <w:left w:val="single" w:color="000000" w:sz="4" w:space="0"/>
              <w:bottom w:val="single" w:color="000000" w:sz="4" w:space="0"/>
              <w:right w:val="single" w:color="000000" w:sz="4" w:space="0"/>
            </w:tcBorders>
            <w:noWrap w:val="0"/>
            <w:vAlign w:val="center"/>
          </w:tcPr>
          <w:p w14:paraId="48D4B96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项目基本情况</w:t>
            </w:r>
          </w:p>
        </w:tc>
        <w:tc>
          <w:tcPr>
            <w:tcW w:w="339" w:type="pct"/>
            <w:vMerge w:val="restart"/>
            <w:tcBorders>
              <w:top w:val="single" w:color="000000" w:sz="4" w:space="0"/>
              <w:left w:val="single" w:color="000000" w:sz="4" w:space="0"/>
              <w:bottom w:val="single" w:color="000000" w:sz="4" w:space="0"/>
              <w:right w:val="single" w:color="000000" w:sz="4" w:space="0"/>
            </w:tcBorders>
            <w:noWrap w:val="0"/>
            <w:vAlign w:val="center"/>
          </w:tcPr>
          <w:p w14:paraId="763F84B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1.项目年度目标完成情况</w:t>
            </w:r>
          </w:p>
        </w:tc>
        <w:tc>
          <w:tcPr>
            <w:tcW w:w="2647" w:type="pct"/>
            <w:gridSpan w:val="7"/>
            <w:tcBorders>
              <w:top w:val="single" w:color="000000" w:sz="4" w:space="0"/>
              <w:left w:val="single" w:color="000000" w:sz="4" w:space="0"/>
              <w:bottom w:val="single" w:color="000000" w:sz="4" w:space="0"/>
              <w:right w:val="single" w:color="000000" w:sz="4" w:space="0"/>
            </w:tcBorders>
            <w:noWrap w:val="0"/>
            <w:vAlign w:val="center"/>
          </w:tcPr>
          <w:p w14:paraId="31A25F5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项目年度目标</w:t>
            </w:r>
          </w:p>
        </w:tc>
        <w:tc>
          <w:tcPr>
            <w:tcW w:w="1806" w:type="pct"/>
            <w:gridSpan w:val="5"/>
            <w:tcBorders>
              <w:top w:val="single" w:color="000000" w:sz="4" w:space="0"/>
              <w:left w:val="single" w:color="000000" w:sz="4" w:space="0"/>
              <w:bottom w:val="single" w:color="000000" w:sz="4" w:space="0"/>
              <w:right w:val="single" w:color="000000" w:sz="4" w:space="0"/>
            </w:tcBorders>
            <w:noWrap w:val="0"/>
            <w:vAlign w:val="center"/>
          </w:tcPr>
          <w:p w14:paraId="4857007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年度目标完成情况</w:t>
            </w:r>
          </w:p>
        </w:tc>
      </w:tr>
      <w:tr w14:paraId="2ADB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7DDF3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D554C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2647" w:type="pct"/>
            <w:gridSpan w:val="7"/>
            <w:tcBorders>
              <w:top w:val="single" w:color="000000" w:sz="4" w:space="0"/>
              <w:left w:val="single" w:color="000000" w:sz="4" w:space="0"/>
              <w:bottom w:val="single" w:color="000000" w:sz="4" w:space="0"/>
              <w:right w:val="single" w:color="000000" w:sz="4" w:space="0"/>
            </w:tcBorders>
            <w:noWrap w:val="0"/>
            <w:vAlign w:val="center"/>
          </w:tcPr>
          <w:p w14:paraId="5DDEAB9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维稳办公设备的采购是维护社会稳定，提升公共安全治理效能的重要保障。因我委现有设备不能满足于日常办公，为强化情报研判，预防风险隐患，提升应急处突响应能力，急需增加一批办公设备，用于开展相关工作。</w:t>
            </w:r>
          </w:p>
        </w:tc>
        <w:tc>
          <w:tcPr>
            <w:tcW w:w="1806" w:type="pct"/>
            <w:gridSpan w:val="5"/>
            <w:tcBorders>
              <w:top w:val="single" w:color="000000" w:sz="4" w:space="0"/>
              <w:left w:val="single" w:color="000000" w:sz="4" w:space="0"/>
              <w:bottom w:val="single" w:color="000000" w:sz="4" w:space="0"/>
              <w:right w:val="single" w:color="000000" w:sz="4" w:space="0"/>
            </w:tcBorders>
            <w:noWrap w:val="0"/>
            <w:vAlign w:val="center"/>
          </w:tcPr>
          <w:p w14:paraId="1DA6ACF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完成维稳办公设备采购配备，补齐业务设备缺口，改善办公条件，保障维稳相关工作开展。</w:t>
            </w:r>
          </w:p>
        </w:tc>
      </w:tr>
      <w:tr w14:paraId="7E969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630825E1">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6BA48A6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2.项目实施内容及过程概述</w:t>
            </w:r>
          </w:p>
        </w:tc>
        <w:tc>
          <w:tcPr>
            <w:tcW w:w="4454" w:type="pct"/>
            <w:gridSpan w:val="12"/>
            <w:tcBorders>
              <w:top w:val="single" w:color="000000" w:sz="4" w:space="0"/>
              <w:left w:val="single" w:color="000000" w:sz="4" w:space="0"/>
              <w:bottom w:val="single" w:color="000000" w:sz="4" w:space="0"/>
              <w:right w:val="single" w:color="000000" w:sz="4" w:space="0"/>
            </w:tcBorders>
            <w:noWrap w:val="0"/>
            <w:vAlign w:val="center"/>
          </w:tcPr>
          <w:p w14:paraId="1548A4B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按采购流程开展维稳办公设备购置，规范资金使用，完成设备验收配发，充实办公硬件，支撑维稳业务有序推进。</w:t>
            </w:r>
          </w:p>
        </w:tc>
      </w:tr>
      <w:tr w14:paraId="426F3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06" w:type="pct"/>
            <w:vMerge w:val="restart"/>
            <w:tcBorders>
              <w:top w:val="single" w:color="000000" w:sz="4" w:space="0"/>
              <w:left w:val="single" w:color="000000" w:sz="4" w:space="0"/>
              <w:bottom w:val="single" w:color="000000" w:sz="4" w:space="0"/>
              <w:right w:val="single" w:color="000000" w:sz="4" w:space="0"/>
            </w:tcBorders>
            <w:noWrap w:val="0"/>
            <w:vAlign w:val="center"/>
          </w:tcPr>
          <w:p w14:paraId="48A2C86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预算执行情况（10分）</w:t>
            </w: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4D49A64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年度预算数（万元）</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DA0222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年初预算</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47963E5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调整后预算数</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289C503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预算执行数</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3E6CD31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预算执行率</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7FCEB1E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权重</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441F9E2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得分</w:t>
            </w:r>
          </w:p>
        </w:tc>
        <w:tc>
          <w:tcPr>
            <w:tcW w:w="1629" w:type="pct"/>
            <w:gridSpan w:val="4"/>
            <w:tcBorders>
              <w:top w:val="single" w:color="000000" w:sz="4" w:space="0"/>
              <w:left w:val="single" w:color="000000" w:sz="4" w:space="0"/>
              <w:bottom w:val="single" w:color="000000" w:sz="4" w:space="0"/>
              <w:right w:val="single" w:color="000000" w:sz="4" w:space="0"/>
            </w:tcBorders>
            <w:noWrap w:val="0"/>
            <w:vAlign w:val="center"/>
          </w:tcPr>
          <w:p w14:paraId="1D2814E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原因</w:t>
            </w:r>
          </w:p>
        </w:tc>
      </w:tr>
      <w:tr w14:paraId="0F4AC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E84C0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64B29B8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总额</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3731C98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4A92B44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6.29</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5B5AC61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6.29</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525A970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100.00%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2AEEDA9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01F1A3D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629" w:type="pct"/>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5B3C69E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3097E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CD346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066727D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其中：财政资金</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3F7E2D7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1FF0760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562F7A2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4098504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3D11D95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328E546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629"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5175418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46C25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06BB91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6232CA3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财政专户管理资金</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104BBE8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4616B35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02BEB29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1F298F3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3F7140C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315CCC0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629"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51639DF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59EA4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218266">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7679C84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单位资金</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1F1B66D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0.00</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3179BBB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6.29</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267FFDC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6.29</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76138E9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100.00%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1AA8ECA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38A3BDF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1629"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64FC620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46CA5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B2D904">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1564C6D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其他资金</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127A7025">
            <w:pPr>
              <w:jc w:val="center"/>
              <w:rPr>
                <w:rFonts w:hint="default" w:ascii="Times New Roman" w:hAnsi="Times New Roman" w:eastAsia="宋体" w:cs="Times New Roman"/>
                <w:color w:val="000000"/>
                <w:kern w:val="0"/>
                <w:sz w:val="20"/>
                <w:szCs w:val="20"/>
                <w:lang w:val="en-US" w:eastAsia="zh-CN" w:bidi="ar-SA"/>
              </w:rPr>
            </w:pP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49E36DE5">
            <w:pPr>
              <w:jc w:val="center"/>
              <w:rPr>
                <w:rFonts w:hint="default" w:ascii="Times New Roman" w:hAnsi="Times New Roman" w:eastAsia="宋体" w:cs="Times New Roman"/>
                <w:color w:val="000000"/>
                <w:kern w:val="0"/>
                <w:sz w:val="20"/>
                <w:szCs w:val="20"/>
                <w:lang w:val="en-US" w:eastAsia="zh-CN" w:bidi="ar-SA"/>
              </w:rPr>
            </w:pP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4B257CCD">
            <w:pPr>
              <w:jc w:val="center"/>
              <w:rPr>
                <w:rFonts w:hint="default" w:ascii="Times New Roman" w:hAnsi="Times New Roman" w:eastAsia="宋体" w:cs="Times New Roman"/>
                <w:color w:val="000000"/>
                <w:kern w:val="0"/>
                <w:sz w:val="20"/>
                <w:szCs w:val="20"/>
                <w:lang w:val="en-US" w:eastAsia="zh-CN" w:bidi="ar-SA"/>
              </w:rPr>
            </w:pP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07E722E8">
            <w:pPr>
              <w:jc w:val="center"/>
              <w:rPr>
                <w:rFonts w:hint="default" w:ascii="Times New Roman" w:hAnsi="Times New Roman" w:eastAsia="宋体" w:cs="Times New Roman"/>
                <w:color w:val="000000"/>
                <w:kern w:val="0"/>
                <w:sz w:val="20"/>
                <w:szCs w:val="20"/>
                <w:lang w:val="en-US" w:eastAsia="zh-CN" w:bidi="ar-SA"/>
              </w:rPr>
            </w:pP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17B0F1E4">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1E486B6C">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1629"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309C1FB9">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r>
      <w:tr w14:paraId="6B694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06" w:type="pct"/>
            <w:vMerge w:val="restart"/>
            <w:tcBorders>
              <w:top w:val="single" w:color="000000" w:sz="4" w:space="0"/>
              <w:left w:val="single" w:color="000000" w:sz="4" w:space="0"/>
              <w:bottom w:val="single" w:color="000000" w:sz="4" w:space="0"/>
              <w:right w:val="single" w:color="000000" w:sz="4" w:space="0"/>
            </w:tcBorders>
            <w:noWrap w:val="0"/>
            <w:vAlign w:val="center"/>
          </w:tcPr>
          <w:p w14:paraId="61187CA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绩效指标（90分）</w:t>
            </w: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73ACD05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一级指标</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3B66345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二级指标</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75D5605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三级指标</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45D4A7C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指标性质</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3828495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指标值</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45665EC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度量单位</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72B3ECF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完成值</w:t>
            </w:r>
          </w:p>
        </w:tc>
        <w:tc>
          <w:tcPr>
            <w:tcW w:w="338" w:type="pct"/>
            <w:gridSpan w:val="2"/>
            <w:tcBorders>
              <w:top w:val="single" w:color="000000" w:sz="4" w:space="0"/>
              <w:left w:val="single" w:color="000000" w:sz="4" w:space="0"/>
              <w:bottom w:val="single" w:color="000000" w:sz="4" w:space="0"/>
              <w:right w:val="single" w:color="000000" w:sz="4" w:space="0"/>
            </w:tcBorders>
            <w:noWrap w:val="0"/>
            <w:vAlign w:val="center"/>
          </w:tcPr>
          <w:p w14:paraId="44F7FFD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权重</w:t>
            </w:r>
          </w:p>
        </w:tc>
        <w:tc>
          <w:tcPr>
            <w:tcW w:w="323" w:type="pct"/>
            <w:tcBorders>
              <w:top w:val="single" w:color="000000" w:sz="4" w:space="0"/>
              <w:left w:val="single" w:color="000000" w:sz="4" w:space="0"/>
              <w:bottom w:val="single" w:color="000000" w:sz="4" w:space="0"/>
              <w:right w:val="single" w:color="000000" w:sz="4" w:space="0"/>
            </w:tcBorders>
            <w:noWrap w:val="0"/>
            <w:vAlign w:val="center"/>
          </w:tcPr>
          <w:p w14:paraId="14B9143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得分</w:t>
            </w:r>
          </w:p>
        </w:tc>
        <w:tc>
          <w:tcPr>
            <w:tcW w:w="967" w:type="pct"/>
            <w:tcBorders>
              <w:top w:val="single" w:color="000000" w:sz="4" w:space="0"/>
              <w:left w:val="single" w:color="000000" w:sz="4" w:space="0"/>
              <w:bottom w:val="single" w:color="000000" w:sz="4" w:space="0"/>
              <w:right w:val="single" w:color="000000" w:sz="4" w:space="0"/>
            </w:tcBorders>
            <w:noWrap w:val="0"/>
            <w:vAlign w:val="center"/>
          </w:tcPr>
          <w:p w14:paraId="2A52F23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未完成原因分析</w:t>
            </w:r>
          </w:p>
        </w:tc>
      </w:tr>
      <w:tr w14:paraId="4B3F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C167A2">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vMerge w:val="restart"/>
            <w:tcBorders>
              <w:top w:val="single" w:color="000000" w:sz="4" w:space="0"/>
              <w:left w:val="single" w:color="000000" w:sz="4" w:space="0"/>
              <w:bottom w:val="single" w:color="000000" w:sz="4" w:space="0"/>
              <w:right w:val="single" w:color="000000" w:sz="4" w:space="0"/>
            </w:tcBorders>
            <w:noWrap w:val="0"/>
            <w:vAlign w:val="center"/>
          </w:tcPr>
          <w:p w14:paraId="1A47039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产出指标</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4A1BACC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数量指标</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7B0F292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需求计划采购覆盖率</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4B172C3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013143A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90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70F3B3F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35FAB1B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338" w:type="pct"/>
            <w:gridSpan w:val="2"/>
            <w:tcBorders>
              <w:top w:val="single" w:color="000000" w:sz="4" w:space="0"/>
              <w:left w:val="single" w:color="000000" w:sz="4" w:space="0"/>
              <w:bottom w:val="single" w:color="000000" w:sz="4" w:space="0"/>
              <w:right w:val="single" w:color="000000" w:sz="4" w:space="0"/>
            </w:tcBorders>
            <w:noWrap w:val="0"/>
            <w:vAlign w:val="center"/>
          </w:tcPr>
          <w:p w14:paraId="39D60BF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w:t>
            </w:r>
          </w:p>
        </w:tc>
        <w:tc>
          <w:tcPr>
            <w:tcW w:w="323" w:type="pct"/>
            <w:tcBorders>
              <w:top w:val="single" w:color="000000" w:sz="4" w:space="0"/>
              <w:left w:val="single" w:color="000000" w:sz="4" w:space="0"/>
              <w:bottom w:val="single" w:color="000000" w:sz="4" w:space="0"/>
              <w:right w:val="single" w:color="000000" w:sz="4" w:space="0"/>
            </w:tcBorders>
            <w:noWrap w:val="0"/>
            <w:vAlign w:val="center"/>
          </w:tcPr>
          <w:p w14:paraId="6AA5EBF1">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67" w:type="pct"/>
            <w:tcBorders>
              <w:top w:val="single" w:color="000000" w:sz="4" w:space="0"/>
              <w:left w:val="single" w:color="000000" w:sz="4" w:space="0"/>
              <w:bottom w:val="single" w:color="000000" w:sz="4" w:space="0"/>
              <w:right w:val="single" w:color="000000" w:sz="4" w:space="0"/>
            </w:tcBorders>
            <w:noWrap w:val="0"/>
            <w:vAlign w:val="center"/>
          </w:tcPr>
          <w:p w14:paraId="35C7D6F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27560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F44B9F">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332204">
            <w:pPr>
              <w:jc w:val="center"/>
              <w:rPr>
                <w:rFonts w:hint="default" w:ascii="Times New Roman" w:hAnsi="Times New Roman" w:eastAsia="宋体" w:cs="Times New Roman"/>
                <w:color w:val="000000"/>
                <w:kern w:val="0"/>
                <w:sz w:val="20"/>
                <w:szCs w:val="20"/>
                <w:lang w:val="en-US" w:eastAsia="zh-CN" w:bidi="ar-SA"/>
              </w:rPr>
            </w:pPr>
          </w:p>
        </w:tc>
        <w:tc>
          <w:tcPr>
            <w:tcW w:w="529" w:type="pct"/>
            <w:vMerge w:val="restart"/>
            <w:tcBorders>
              <w:top w:val="single" w:color="000000" w:sz="4" w:space="0"/>
              <w:left w:val="single" w:color="000000" w:sz="4" w:space="0"/>
              <w:bottom w:val="single" w:color="000000" w:sz="4" w:space="0"/>
              <w:right w:val="single" w:color="000000" w:sz="4" w:space="0"/>
            </w:tcBorders>
            <w:noWrap w:val="0"/>
            <w:vAlign w:val="center"/>
          </w:tcPr>
          <w:p w14:paraId="3F20E6A7">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质量指标</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1BADFE96">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采购任务按期完成率</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0A80F008">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33FFC51B">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2BEB68FC">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36CEAB04">
            <w:pPr>
              <w:jc w:val="center"/>
              <w:rPr>
                <w:rFonts w:hint="default" w:ascii="Times New Roman" w:hAnsi="Times New Roman" w:eastAsia="宋体" w:cs="Times New Roman"/>
                <w:color w:val="000000"/>
                <w:kern w:val="0"/>
                <w:sz w:val="20"/>
                <w:szCs w:val="20"/>
                <w:lang w:val="en-US" w:eastAsia="zh-CN" w:bidi="ar-SA"/>
              </w:rPr>
            </w:pPr>
          </w:p>
        </w:tc>
        <w:tc>
          <w:tcPr>
            <w:tcW w:w="338" w:type="pct"/>
            <w:gridSpan w:val="2"/>
            <w:tcBorders>
              <w:top w:val="single" w:color="000000" w:sz="4" w:space="0"/>
              <w:left w:val="single" w:color="000000" w:sz="4" w:space="0"/>
              <w:bottom w:val="single" w:color="000000" w:sz="4" w:space="0"/>
              <w:right w:val="single" w:color="000000" w:sz="4" w:space="0"/>
            </w:tcBorders>
            <w:noWrap w:val="0"/>
            <w:vAlign w:val="center"/>
          </w:tcPr>
          <w:p w14:paraId="6AC18739">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20</w:t>
            </w:r>
          </w:p>
        </w:tc>
        <w:tc>
          <w:tcPr>
            <w:tcW w:w="323" w:type="pct"/>
            <w:tcBorders>
              <w:top w:val="single" w:color="000000" w:sz="4" w:space="0"/>
              <w:left w:val="single" w:color="000000" w:sz="4" w:space="0"/>
              <w:bottom w:val="single" w:color="000000" w:sz="4" w:space="0"/>
              <w:right w:val="single" w:color="000000" w:sz="4" w:space="0"/>
            </w:tcBorders>
            <w:noWrap w:val="0"/>
            <w:vAlign w:val="center"/>
          </w:tcPr>
          <w:p w14:paraId="0B8737D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67" w:type="pct"/>
            <w:tcBorders>
              <w:top w:val="single" w:color="000000" w:sz="4" w:space="0"/>
              <w:left w:val="single" w:color="000000" w:sz="4" w:space="0"/>
              <w:bottom w:val="single" w:color="000000" w:sz="4" w:space="0"/>
              <w:right w:val="single" w:color="000000" w:sz="4" w:space="0"/>
            </w:tcBorders>
            <w:noWrap w:val="0"/>
            <w:vAlign w:val="center"/>
          </w:tcPr>
          <w:p w14:paraId="3EF7283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0CF5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3422E0">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ABE0DD">
            <w:pPr>
              <w:jc w:val="center"/>
              <w:rPr>
                <w:rFonts w:hint="default" w:ascii="Times New Roman" w:hAnsi="Times New Roman" w:eastAsia="宋体" w:cs="Times New Roman"/>
                <w:color w:val="000000"/>
                <w:kern w:val="0"/>
                <w:sz w:val="20"/>
                <w:szCs w:val="20"/>
                <w:lang w:val="en-US" w:eastAsia="zh-CN" w:bidi="ar-SA"/>
              </w:rPr>
            </w:pPr>
          </w:p>
        </w:tc>
        <w:tc>
          <w:tcPr>
            <w:tcW w:w="5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79E6D7">
            <w:pPr>
              <w:jc w:val="center"/>
              <w:rPr>
                <w:rFonts w:hint="default" w:ascii="Times New Roman" w:hAnsi="Times New Roman" w:eastAsia="宋体" w:cs="Times New Roman"/>
                <w:color w:val="000000"/>
                <w:kern w:val="0"/>
                <w:sz w:val="20"/>
                <w:szCs w:val="20"/>
                <w:lang w:val="en-US" w:eastAsia="zh-CN" w:bidi="ar-SA"/>
              </w:rPr>
            </w:pP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56D3C52C">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重点办公设备采购完成任务率</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37FAAAE8">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1C5D1F07">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12187A2D">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4B5E5CF2">
            <w:pPr>
              <w:jc w:val="center"/>
              <w:rPr>
                <w:rFonts w:hint="default" w:ascii="Times New Roman" w:hAnsi="Times New Roman" w:eastAsia="宋体" w:cs="Times New Roman"/>
                <w:color w:val="000000"/>
                <w:kern w:val="0"/>
                <w:sz w:val="20"/>
                <w:szCs w:val="20"/>
                <w:lang w:val="en-US" w:eastAsia="zh-CN" w:bidi="ar-SA"/>
              </w:rPr>
            </w:pPr>
          </w:p>
        </w:tc>
        <w:tc>
          <w:tcPr>
            <w:tcW w:w="338" w:type="pct"/>
            <w:gridSpan w:val="2"/>
            <w:tcBorders>
              <w:top w:val="single" w:color="000000" w:sz="4" w:space="0"/>
              <w:left w:val="single" w:color="000000" w:sz="4" w:space="0"/>
              <w:bottom w:val="single" w:color="000000" w:sz="4" w:space="0"/>
              <w:right w:val="single" w:color="000000" w:sz="4" w:space="0"/>
            </w:tcBorders>
            <w:noWrap w:val="0"/>
            <w:vAlign w:val="center"/>
          </w:tcPr>
          <w:p w14:paraId="1775111F">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23" w:type="pct"/>
            <w:tcBorders>
              <w:top w:val="single" w:color="000000" w:sz="4" w:space="0"/>
              <w:left w:val="single" w:color="000000" w:sz="4" w:space="0"/>
              <w:bottom w:val="single" w:color="000000" w:sz="4" w:space="0"/>
              <w:right w:val="single" w:color="000000" w:sz="4" w:space="0"/>
            </w:tcBorders>
            <w:noWrap w:val="0"/>
            <w:vAlign w:val="center"/>
          </w:tcPr>
          <w:p w14:paraId="62F5CFC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67" w:type="pct"/>
            <w:tcBorders>
              <w:top w:val="single" w:color="000000" w:sz="4" w:space="0"/>
              <w:left w:val="single" w:color="000000" w:sz="4" w:space="0"/>
              <w:bottom w:val="single" w:color="000000" w:sz="4" w:space="0"/>
              <w:right w:val="single" w:color="000000" w:sz="4" w:space="0"/>
            </w:tcBorders>
            <w:noWrap w:val="0"/>
            <w:vAlign w:val="center"/>
          </w:tcPr>
          <w:p w14:paraId="0ED02BE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30F8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096899">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F68DD3">
            <w:pPr>
              <w:jc w:val="center"/>
              <w:rPr>
                <w:rFonts w:hint="default" w:ascii="Times New Roman" w:hAnsi="Times New Roman" w:eastAsia="宋体" w:cs="Times New Roman"/>
                <w:color w:val="000000"/>
                <w:kern w:val="0"/>
                <w:sz w:val="20"/>
                <w:szCs w:val="20"/>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10452DA4">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时效指标</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48B464A6">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项目采购年限</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61DD98AC">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定性</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173E5305">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2025年9月30日前</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2CE7D5E4">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年</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26B3C6A2">
            <w:pPr>
              <w:jc w:val="center"/>
              <w:rPr>
                <w:rFonts w:hint="default" w:ascii="Times New Roman" w:hAnsi="Times New Roman" w:eastAsia="宋体" w:cs="Times New Roman"/>
                <w:color w:val="000000"/>
                <w:kern w:val="0"/>
                <w:sz w:val="20"/>
                <w:szCs w:val="20"/>
                <w:lang w:val="en-US" w:eastAsia="zh-CN" w:bidi="ar-SA"/>
              </w:rPr>
            </w:pPr>
          </w:p>
        </w:tc>
        <w:tc>
          <w:tcPr>
            <w:tcW w:w="338" w:type="pct"/>
            <w:gridSpan w:val="2"/>
            <w:tcBorders>
              <w:top w:val="single" w:color="000000" w:sz="4" w:space="0"/>
              <w:left w:val="single" w:color="000000" w:sz="4" w:space="0"/>
              <w:bottom w:val="single" w:color="000000" w:sz="4" w:space="0"/>
              <w:right w:val="single" w:color="000000" w:sz="4" w:space="0"/>
            </w:tcBorders>
            <w:noWrap w:val="0"/>
            <w:vAlign w:val="center"/>
          </w:tcPr>
          <w:p w14:paraId="75108ECF">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23" w:type="pct"/>
            <w:tcBorders>
              <w:top w:val="single" w:color="000000" w:sz="4" w:space="0"/>
              <w:left w:val="single" w:color="000000" w:sz="4" w:space="0"/>
              <w:bottom w:val="single" w:color="000000" w:sz="4" w:space="0"/>
              <w:right w:val="single" w:color="000000" w:sz="4" w:space="0"/>
            </w:tcBorders>
            <w:noWrap w:val="0"/>
            <w:vAlign w:val="center"/>
          </w:tcPr>
          <w:p w14:paraId="2A057E2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67" w:type="pct"/>
            <w:tcBorders>
              <w:top w:val="single" w:color="000000" w:sz="4" w:space="0"/>
              <w:left w:val="single" w:color="000000" w:sz="4" w:space="0"/>
              <w:bottom w:val="single" w:color="000000" w:sz="4" w:space="0"/>
              <w:right w:val="single" w:color="000000" w:sz="4" w:space="0"/>
            </w:tcBorders>
            <w:noWrap w:val="0"/>
            <w:vAlign w:val="center"/>
          </w:tcPr>
          <w:p w14:paraId="640B588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73780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F180EE">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0297595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效益指标</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3AB45A8B">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社会效益指标</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0037F16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采购过程安全事故发生率</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4686405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181B46D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77E0D1E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24E8C88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338" w:type="pct"/>
            <w:gridSpan w:val="2"/>
            <w:tcBorders>
              <w:top w:val="single" w:color="000000" w:sz="4" w:space="0"/>
              <w:left w:val="single" w:color="000000" w:sz="4" w:space="0"/>
              <w:bottom w:val="single" w:color="000000" w:sz="4" w:space="0"/>
              <w:right w:val="single" w:color="000000" w:sz="4" w:space="0"/>
            </w:tcBorders>
            <w:noWrap w:val="0"/>
            <w:vAlign w:val="center"/>
          </w:tcPr>
          <w:p w14:paraId="5AB081E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20</w:t>
            </w:r>
          </w:p>
        </w:tc>
        <w:tc>
          <w:tcPr>
            <w:tcW w:w="323" w:type="pct"/>
            <w:tcBorders>
              <w:top w:val="single" w:color="000000" w:sz="4" w:space="0"/>
              <w:left w:val="single" w:color="000000" w:sz="4" w:space="0"/>
              <w:bottom w:val="single" w:color="000000" w:sz="4" w:space="0"/>
              <w:right w:val="single" w:color="000000" w:sz="4" w:space="0"/>
            </w:tcBorders>
            <w:noWrap w:val="0"/>
            <w:vAlign w:val="center"/>
          </w:tcPr>
          <w:p w14:paraId="698FA25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67" w:type="pct"/>
            <w:tcBorders>
              <w:top w:val="single" w:color="000000" w:sz="4" w:space="0"/>
              <w:left w:val="single" w:color="000000" w:sz="4" w:space="0"/>
              <w:bottom w:val="single" w:color="000000" w:sz="4" w:space="0"/>
              <w:right w:val="single" w:color="000000" w:sz="4" w:space="0"/>
            </w:tcBorders>
            <w:noWrap w:val="0"/>
            <w:vAlign w:val="center"/>
          </w:tcPr>
          <w:p w14:paraId="15222CE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27176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2CF9F9">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1F3B602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满意度指标</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70C9AE2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满意度指标</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0560DE32">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使用部门对采购设备满意度</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14A5405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12AD497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90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3B6E689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7884B11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338" w:type="pct"/>
            <w:gridSpan w:val="2"/>
            <w:tcBorders>
              <w:top w:val="single" w:color="000000" w:sz="4" w:space="0"/>
              <w:left w:val="single" w:color="000000" w:sz="4" w:space="0"/>
              <w:bottom w:val="single" w:color="000000" w:sz="4" w:space="0"/>
              <w:right w:val="single" w:color="000000" w:sz="4" w:space="0"/>
            </w:tcBorders>
            <w:noWrap w:val="0"/>
            <w:vAlign w:val="center"/>
          </w:tcPr>
          <w:p w14:paraId="23AEDD5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23" w:type="pct"/>
            <w:tcBorders>
              <w:top w:val="single" w:color="000000" w:sz="4" w:space="0"/>
              <w:left w:val="single" w:color="000000" w:sz="4" w:space="0"/>
              <w:bottom w:val="single" w:color="000000" w:sz="4" w:space="0"/>
              <w:right w:val="single" w:color="000000" w:sz="4" w:space="0"/>
            </w:tcBorders>
            <w:noWrap w:val="0"/>
            <w:vAlign w:val="center"/>
          </w:tcPr>
          <w:p w14:paraId="0F75539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67" w:type="pct"/>
            <w:tcBorders>
              <w:top w:val="single" w:color="000000" w:sz="4" w:space="0"/>
              <w:left w:val="single" w:color="000000" w:sz="4" w:space="0"/>
              <w:bottom w:val="single" w:color="000000" w:sz="4" w:space="0"/>
              <w:right w:val="single" w:color="000000" w:sz="4" w:space="0"/>
            </w:tcBorders>
            <w:noWrap w:val="0"/>
            <w:vAlign w:val="center"/>
          </w:tcPr>
          <w:p w14:paraId="0C67BD5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6C179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0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7F5160">
            <w:pPr>
              <w:keepNext w:val="0"/>
              <w:keepLines w:val="0"/>
              <w:widowControl/>
              <w:suppressLineNumbers w:val="0"/>
              <w:jc w:val="center"/>
              <w:textAlignment w:val="center"/>
              <w:rPr>
                <w:rFonts w:hint="default" w:ascii="Times New Roman" w:hAnsi="Times New Roman" w:eastAsia="宋体" w:cs="Times New Roman"/>
                <w:color w:val="000000"/>
                <w:kern w:val="0"/>
                <w:sz w:val="20"/>
                <w:szCs w:val="20"/>
                <w:lang w:val="en-US" w:eastAsia="zh-CN" w:bidi="ar-SA"/>
              </w:rPr>
            </w:pPr>
          </w:p>
        </w:tc>
        <w:tc>
          <w:tcPr>
            <w:tcW w:w="339" w:type="pct"/>
            <w:tcBorders>
              <w:top w:val="single" w:color="000000" w:sz="4" w:space="0"/>
              <w:left w:val="single" w:color="000000" w:sz="4" w:space="0"/>
              <w:bottom w:val="single" w:color="000000" w:sz="4" w:space="0"/>
              <w:right w:val="single" w:color="000000" w:sz="4" w:space="0"/>
            </w:tcBorders>
            <w:noWrap w:val="0"/>
            <w:vAlign w:val="center"/>
          </w:tcPr>
          <w:p w14:paraId="2604E65D">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成本指标</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3D8C3788">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经济成本指标</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7A262983">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项目采购成本控制</w:t>
            </w:r>
          </w:p>
        </w:tc>
        <w:tc>
          <w:tcPr>
            <w:tcW w:w="315" w:type="pct"/>
            <w:gridSpan w:val="2"/>
            <w:tcBorders>
              <w:top w:val="single" w:color="000000" w:sz="4" w:space="0"/>
              <w:left w:val="single" w:color="000000" w:sz="4" w:space="0"/>
              <w:bottom w:val="single" w:color="000000" w:sz="4" w:space="0"/>
              <w:right w:val="single" w:color="000000" w:sz="4" w:space="0"/>
            </w:tcBorders>
            <w:noWrap w:val="0"/>
            <w:vAlign w:val="center"/>
          </w:tcPr>
          <w:p w14:paraId="019C2196">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14:paraId="764B19B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62896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14:paraId="0552B49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元</w:t>
            </w:r>
          </w:p>
        </w:tc>
        <w:tc>
          <w:tcPr>
            <w:tcW w:w="300" w:type="pct"/>
            <w:gridSpan w:val="2"/>
            <w:tcBorders>
              <w:top w:val="single" w:color="000000" w:sz="4" w:space="0"/>
              <w:left w:val="single" w:color="000000" w:sz="4" w:space="0"/>
              <w:bottom w:val="single" w:color="000000" w:sz="4" w:space="0"/>
              <w:right w:val="single" w:color="000000" w:sz="4" w:space="0"/>
            </w:tcBorders>
            <w:noWrap w:val="0"/>
            <w:vAlign w:val="center"/>
          </w:tcPr>
          <w:p w14:paraId="225222A0">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p>
        </w:tc>
        <w:tc>
          <w:tcPr>
            <w:tcW w:w="338" w:type="pct"/>
            <w:gridSpan w:val="2"/>
            <w:tcBorders>
              <w:top w:val="single" w:color="000000" w:sz="4" w:space="0"/>
              <w:left w:val="single" w:color="000000" w:sz="4" w:space="0"/>
              <w:bottom w:val="single" w:color="000000" w:sz="4" w:space="0"/>
              <w:right w:val="single" w:color="000000" w:sz="4" w:space="0"/>
            </w:tcBorders>
            <w:noWrap w:val="0"/>
            <w:vAlign w:val="center"/>
          </w:tcPr>
          <w:p w14:paraId="4F1064F9">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bidi="ar-SA"/>
              </w:rPr>
            </w:pPr>
            <w:r>
              <w:rPr>
                <w:rFonts w:hint="default" w:ascii="Times New Roman" w:hAnsi="Times New Roman" w:eastAsia="宋体" w:cs="Times New Roman"/>
                <w:color w:val="000000"/>
                <w:kern w:val="0"/>
                <w:sz w:val="20"/>
                <w:szCs w:val="20"/>
                <w:lang w:val="en-US" w:eastAsia="zh-CN" w:bidi="ar-SA"/>
              </w:rPr>
              <w:t>10</w:t>
            </w:r>
          </w:p>
        </w:tc>
        <w:tc>
          <w:tcPr>
            <w:tcW w:w="323" w:type="pct"/>
            <w:tcBorders>
              <w:top w:val="single" w:color="000000" w:sz="4" w:space="0"/>
              <w:left w:val="single" w:color="000000" w:sz="4" w:space="0"/>
              <w:bottom w:val="single" w:color="000000" w:sz="4" w:space="0"/>
              <w:right w:val="single" w:color="000000" w:sz="4" w:space="0"/>
            </w:tcBorders>
            <w:noWrap w:val="0"/>
            <w:vAlign w:val="center"/>
          </w:tcPr>
          <w:p w14:paraId="2F004AA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967" w:type="pct"/>
            <w:tcBorders>
              <w:top w:val="single" w:color="000000" w:sz="4" w:space="0"/>
              <w:left w:val="single" w:color="000000" w:sz="4" w:space="0"/>
              <w:bottom w:val="single" w:color="000000" w:sz="4" w:space="0"/>
              <w:right w:val="single" w:color="000000" w:sz="4" w:space="0"/>
            </w:tcBorders>
            <w:noWrap w:val="0"/>
            <w:vAlign w:val="center"/>
          </w:tcPr>
          <w:p w14:paraId="349A811E">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5C4A4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5" w:type="pct"/>
            <w:gridSpan w:val="3"/>
            <w:tcBorders>
              <w:top w:val="single" w:color="000000" w:sz="4" w:space="0"/>
              <w:left w:val="single" w:color="000000" w:sz="4" w:space="0"/>
              <w:bottom w:val="single" w:color="000000" w:sz="4" w:space="0"/>
              <w:right w:val="single" w:color="000000" w:sz="4" w:space="0"/>
            </w:tcBorders>
            <w:noWrap w:val="0"/>
            <w:vAlign w:val="center"/>
          </w:tcPr>
          <w:p w14:paraId="318B86E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合计</w:t>
            </w:r>
          </w:p>
        </w:tc>
        <w:tc>
          <w:tcPr>
            <w:tcW w:w="1085" w:type="pct"/>
            <w:gridSpan w:val="3"/>
            <w:tcBorders>
              <w:top w:val="single" w:color="000000" w:sz="4" w:space="0"/>
              <w:left w:val="single" w:color="000000" w:sz="4" w:space="0"/>
              <w:bottom w:val="single" w:color="000000" w:sz="4" w:space="0"/>
              <w:right w:val="single" w:color="000000" w:sz="4" w:space="0"/>
            </w:tcBorders>
            <w:noWrap w:val="0"/>
            <w:vAlign w:val="center"/>
          </w:tcPr>
          <w:p w14:paraId="58FDC62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100</w:t>
            </w:r>
          </w:p>
        </w:tc>
        <w:tc>
          <w:tcPr>
            <w:tcW w:w="1548" w:type="pct"/>
            <w:gridSpan w:val="6"/>
            <w:tcBorders>
              <w:top w:val="single" w:color="000000" w:sz="4" w:space="0"/>
              <w:left w:val="single" w:color="000000" w:sz="4" w:space="0"/>
              <w:bottom w:val="single" w:color="000000" w:sz="4" w:space="0"/>
              <w:right w:val="single" w:color="000000" w:sz="4" w:space="0"/>
            </w:tcBorders>
            <w:noWrap w:val="0"/>
            <w:vAlign w:val="center"/>
          </w:tcPr>
          <w:p w14:paraId="59B5E15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c>
          <w:tcPr>
            <w:tcW w:w="1290" w:type="pct"/>
            <w:gridSpan w:val="2"/>
            <w:tcBorders>
              <w:top w:val="single" w:color="000000" w:sz="4" w:space="0"/>
              <w:left w:val="single" w:color="000000" w:sz="4" w:space="0"/>
              <w:bottom w:val="single" w:color="000000" w:sz="4" w:space="0"/>
              <w:right w:val="single" w:color="000000" w:sz="4" w:space="0"/>
            </w:tcBorders>
            <w:noWrap w:val="0"/>
            <w:vAlign w:val="center"/>
          </w:tcPr>
          <w:p w14:paraId="049A5AE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p>
        </w:tc>
      </w:tr>
      <w:tr w14:paraId="662BF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06" w:type="pct"/>
            <w:tcBorders>
              <w:top w:val="single" w:color="000000" w:sz="4" w:space="0"/>
              <w:left w:val="single" w:color="000000" w:sz="4" w:space="0"/>
              <w:bottom w:val="single" w:color="000000" w:sz="4" w:space="0"/>
              <w:right w:val="single" w:color="000000" w:sz="4" w:space="0"/>
            </w:tcBorders>
            <w:noWrap w:val="0"/>
            <w:vAlign w:val="center"/>
          </w:tcPr>
          <w:p w14:paraId="463DB4B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评价结论</w:t>
            </w:r>
          </w:p>
        </w:tc>
        <w:tc>
          <w:tcPr>
            <w:tcW w:w="4793" w:type="pct"/>
            <w:gridSpan w:val="13"/>
            <w:tcBorders>
              <w:top w:val="single" w:color="000000" w:sz="4" w:space="0"/>
              <w:left w:val="single" w:color="000000" w:sz="4" w:space="0"/>
              <w:bottom w:val="single" w:color="000000" w:sz="4" w:space="0"/>
              <w:right w:val="single" w:color="000000" w:sz="4" w:space="0"/>
            </w:tcBorders>
            <w:noWrap w:val="0"/>
            <w:vAlign w:val="center"/>
          </w:tcPr>
          <w:p w14:paraId="10ACF64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按采购流程开展维稳办公设备购置，规范资金使用，完成设备验收配发，充实办公硬件，支撑维稳业务有序推进。</w:t>
            </w:r>
          </w:p>
        </w:tc>
      </w:tr>
      <w:tr w14:paraId="7009D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06" w:type="pct"/>
            <w:tcBorders>
              <w:top w:val="single" w:color="000000" w:sz="4" w:space="0"/>
              <w:left w:val="single" w:color="000000" w:sz="4" w:space="0"/>
              <w:bottom w:val="single" w:color="000000" w:sz="4" w:space="0"/>
              <w:right w:val="single" w:color="000000" w:sz="4" w:space="0"/>
            </w:tcBorders>
            <w:noWrap w:val="0"/>
            <w:vAlign w:val="center"/>
          </w:tcPr>
          <w:p w14:paraId="578B85A4">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存在问题</w:t>
            </w:r>
          </w:p>
        </w:tc>
        <w:tc>
          <w:tcPr>
            <w:tcW w:w="4793" w:type="pct"/>
            <w:gridSpan w:val="13"/>
            <w:tcBorders>
              <w:top w:val="single" w:color="000000" w:sz="4" w:space="0"/>
              <w:left w:val="single" w:color="000000" w:sz="4" w:space="0"/>
              <w:bottom w:val="single" w:color="000000" w:sz="4" w:space="0"/>
              <w:right w:val="single" w:color="000000" w:sz="4" w:space="0"/>
            </w:tcBorders>
            <w:noWrap w:val="0"/>
            <w:vAlign w:val="center"/>
          </w:tcPr>
          <w:p w14:paraId="2A9C46C7">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无</w:t>
            </w:r>
          </w:p>
        </w:tc>
      </w:tr>
      <w:tr w14:paraId="16C19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6" w:type="pct"/>
            <w:tcBorders>
              <w:top w:val="single" w:color="000000" w:sz="4" w:space="0"/>
              <w:left w:val="single" w:color="000000" w:sz="4" w:space="0"/>
              <w:bottom w:val="single" w:color="000000" w:sz="4" w:space="0"/>
              <w:right w:val="single" w:color="000000" w:sz="4" w:space="0"/>
            </w:tcBorders>
            <w:noWrap w:val="0"/>
            <w:vAlign w:val="center"/>
          </w:tcPr>
          <w:p w14:paraId="4042833C">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改进措施</w:t>
            </w:r>
          </w:p>
        </w:tc>
        <w:tc>
          <w:tcPr>
            <w:tcW w:w="4793" w:type="pct"/>
            <w:gridSpan w:val="13"/>
            <w:tcBorders>
              <w:top w:val="single" w:color="000000" w:sz="4" w:space="0"/>
              <w:left w:val="single" w:color="000000" w:sz="4" w:space="0"/>
              <w:bottom w:val="single" w:color="000000" w:sz="4" w:space="0"/>
              <w:right w:val="single" w:color="000000" w:sz="4" w:space="0"/>
            </w:tcBorders>
            <w:noWrap w:val="0"/>
            <w:vAlign w:val="center"/>
          </w:tcPr>
          <w:p w14:paraId="1B6FFC3A">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无</w:t>
            </w:r>
          </w:p>
        </w:tc>
      </w:tr>
      <w:tr w14:paraId="19C6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091" w:type="pct"/>
            <w:gridSpan w:val="5"/>
            <w:tcBorders>
              <w:top w:val="single" w:color="000000" w:sz="4" w:space="0"/>
              <w:left w:val="single" w:color="000000" w:sz="4" w:space="0"/>
              <w:bottom w:val="single" w:color="000000" w:sz="4" w:space="0"/>
              <w:right w:val="single" w:color="000000" w:sz="4" w:space="0"/>
            </w:tcBorders>
            <w:noWrap w:val="0"/>
            <w:vAlign w:val="center"/>
          </w:tcPr>
          <w:p w14:paraId="54DC04EF">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项目负责人：田玉冬</w:t>
            </w:r>
          </w:p>
        </w:tc>
        <w:tc>
          <w:tcPr>
            <w:tcW w:w="2908" w:type="pct"/>
            <w:gridSpan w:val="9"/>
            <w:tcBorders>
              <w:top w:val="single" w:color="000000" w:sz="4" w:space="0"/>
              <w:left w:val="single" w:color="000000" w:sz="4" w:space="0"/>
              <w:bottom w:val="single" w:color="000000" w:sz="4" w:space="0"/>
              <w:right w:val="single" w:color="000000" w:sz="4" w:space="0"/>
            </w:tcBorders>
            <w:noWrap w:val="0"/>
            <w:vAlign w:val="center"/>
          </w:tcPr>
          <w:p w14:paraId="2DDF5DD5">
            <w:pPr>
              <w:widowControl/>
              <w:spacing w:line="240" w:lineRule="exact"/>
              <w:jc w:val="center"/>
              <w:textAlignment w:val="center"/>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财务负责人：叶茂</w:t>
            </w:r>
          </w:p>
        </w:tc>
      </w:tr>
    </w:tbl>
    <w:p w14:paraId="0922725E">
      <w:pPr>
        <w:pStyle w:val="8"/>
        <w:keepNext w:val="0"/>
        <w:keepLines w:val="0"/>
        <w:pageBreakBefore w:val="0"/>
        <w:numPr>
          <w:ilvl w:val="0"/>
          <w:numId w:val="0"/>
        </w:numPr>
        <w:kinsoku/>
        <w:wordWrap/>
        <w:overflowPunct/>
        <w:topLinePunct w:val="0"/>
        <w:autoSpaceDE/>
        <w:autoSpaceDN/>
        <w:bidi w:val="0"/>
        <w:spacing w:line="576" w:lineRule="exact"/>
        <w:textAlignment w:val="auto"/>
        <w:rPr>
          <w:rFonts w:hint="default" w:ascii="Times New Roman" w:hAnsi="Times New Roman" w:eastAsia="仿宋_GB2312" w:cs="Times New Roman"/>
          <w:kern w:val="2"/>
          <w:sz w:val="32"/>
          <w:szCs w:val="32"/>
          <w:u w:val="none"/>
          <w:lang w:val="zh-CN" w:eastAsia="zh-CN" w:bidi="ar"/>
        </w:rPr>
      </w:pPr>
    </w:p>
    <w:p w14:paraId="43A84A2B">
      <w:pPr>
        <w:spacing w:line="600" w:lineRule="exact"/>
        <w:jc w:val="center"/>
        <w:outlineLvl w:val="0"/>
        <w:rPr>
          <w:rStyle w:val="29"/>
          <w:rFonts w:hint="default" w:ascii="Times New Roman" w:hAnsi="Times New Roman" w:eastAsia="黑体" w:cs="Times New Roman"/>
          <w:b w:val="0"/>
          <w:color w:val="auto"/>
          <w:highlight w:val="none"/>
        </w:rPr>
      </w:pPr>
    </w:p>
    <w:p w14:paraId="1FAF6D56">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default" w:ascii="Times New Roman" w:hAnsi="Times New Roman" w:cs="Times New Roman"/>
          <w:sz w:val="32"/>
          <w:szCs w:val="32"/>
          <w:highlight w:val="yellow"/>
          <w:lang w:val="zh-CN" w:eastAsia="zh-CN"/>
        </w:rPr>
      </w:pPr>
    </w:p>
    <w:p w14:paraId="3AB7B2A1">
      <w:pPr>
        <w:pStyle w:val="2"/>
        <w:rPr>
          <w:rFonts w:hint="default" w:ascii="Times New Roman" w:hAnsi="Times New Roman" w:cs="Times New Roman"/>
          <w:lang w:val="en-US" w:eastAsia="zh-CN"/>
        </w:rPr>
      </w:pPr>
    </w:p>
    <w:p w14:paraId="5181436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bookmarkStart w:id="81" w:name="_Toc15396618"/>
      <w:r>
        <w:rPr>
          <w:rFonts w:hint="default" w:ascii="Times New Roman" w:hAnsi="Times New Roman" w:eastAsia="仿宋_GB2312" w:cs="Times New Roman"/>
          <w:b w:val="0"/>
          <w:bCs w:val="0"/>
          <w:kern w:val="0"/>
          <w:position w:val="0"/>
          <w:sz w:val="32"/>
          <w:szCs w:val="32"/>
          <w:highlight w:val="none"/>
          <w:lang w:val="en-US" w:eastAsia="zh-CN" w:bidi="ar-SA"/>
        </w:rPr>
        <w:br w:type="page"/>
      </w:r>
    </w:p>
    <w:p w14:paraId="7BEA7FD9">
      <w:pPr>
        <w:widowControl/>
        <w:jc w:val="center"/>
        <w:rPr>
          <w:rFonts w:hint="default" w:ascii="Times New Roman" w:hAnsi="Times New Roman" w:eastAsia="仿宋" w:cs="Times New Roman"/>
          <w:b w:val="0"/>
          <w:color w:val="auto"/>
          <w:highlight w:val="none"/>
        </w:rPr>
      </w:pPr>
      <w:r>
        <w:rPr>
          <w:rFonts w:hint="default" w:ascii="Times New Roman" w:hAnsi="Times New Roman" w:eastAsia="黑体" w:cs="Times New Roman"/>
          <w:color w:val="auto"/>
          <w:sz w:val="44"/>
          <w:szCs w:val="44"/>
          <w:highlight w:val="none"/>
        </w:rPr>
        <w:t>第</w:t>
      </w:r>
      <w:r>
        <w:rPr>
          <w:rStyle w:val="29"/>
          <w:rFonts w:hint="default" w:ascii="Times New Roman" w:hAnsi="Times New Roman" w:eastAsia="黑体" w:cs="Times New Roman"/>
          <w:b w:val="0"/>
          <w:color w:val="auto"/>
          <w:highlight w:val="none"/>
        </w:rPr>
        <w:t>五部分 附表</w:t>
      </w:r>
      <w:bookmarkEnd w:id="76"/>
      <w:bookmarkEnd w:id="81"/>
      <w:bookmarkStart w:id="82" w:name="_Toc15396619"/>
    </w:p>
    <w:p w14:paraId="56F2A054">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p>
    <w:p w14:paraId="1DECB364">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一、收入支出决算总表</w:t>
      </w:r>
      <w:bookmarkEnd w:id="82"/>
    </w:p>
    <w:p w14:paraId="508499D4">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83" w:name="_Toc15396620"/>
      <w:r>
        <w:rPr>
          <w:rFonts w:hint="default" w:ascii="Times New Roman" w:hAnsi="Times New Roman" w:eastAsia="仿宋_GB2312" w:cs="Times New Roman"/>
          <w:color w:val="auto"/>
          <w:sz w:val="32"/>
          <w:szCs w:val="32"/>
          <w:highlight w:val="none"/>
        </w:rPr>
        <w:t>二、收入决算表</w:t>
      </w:r>
      <w:bookmarkEnd w:id="83"/>
    </w:p>
    <w:p w14:paraId="2EC03A2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84" w:name="_Toc15396621"/>
      <w:r>
        <w:rPr>
          <w:rFonts w:hint="default" w:ascii="Times New Roman" w:hAnsi="Times New Roman" w:eastAsia="仿宋_GB2312" w:cs="Times New Roman"/>
          <w:color w:val="auto"/>
          <w:sz w:val="32"/>
          <w:szCs w:val="32"/>
          <w:highlight w:val="none"/>
        </w:rPr>
        <w:t>三、支出决算表</w:t>
      </w:r>
      <w:bookmarkEnd w:id="84"/>
    </w:p>
    <w:p w14:paraId="39D205F4">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85" w:name="_Toc15396622"/>
      <w:r>
        <w:rPr>
          <w:rFonts w:hint="default" w:ascii="Times New Roman" w:hAnsi="Times New Roman" w:eastAsia="仿宋_GB2312" w:cs="Times New Roman"/>
          <w:color w:val="auto"/>
          <w:sz w:val="32"/>
          <w:szCs w:val="32"/>
          <w:highlight w:val="none"/>
        </w:rPr>
        <w:t>四、财政拨款收入支出决算总表</w:t>
      </w:r>
      <w:bookmarkEnd w:id="85"/>
    </w:p>
    <w:p w14:paraId="378FCE14">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86" w:name="_Toc15396623"/>
      <w:r>
        <w:rPr>
          <w:rFonts w:hint="default" w:ascii="Times New Roman" w:hAnsi="Times New Roman" w:eastAsia="仿宋_GB2312" w:cs="Times New Roman"/>
          <w:color w:val="auto"/>
          <w:sz w:val="32"/>
          <w:szCs w:val="32"/>
          <w:highlight w:val="none"/>
        </w:rPr>
        <w:t>五、财政拨款支出决算明细表</w:t>
      </w:r>
      <w:bookmarkEnd w:id="86"/>
      <w:bookmarkStart w:id="87" w:name="_Toc15396624"/>
    </w:p>
    <w:p w14:paraId="551C5CFA">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六、一般公共预算财政拨款支出决算表</w:t>
      </w:r>
      <w:bookmarkEnd w:id="87"/>
    </w:p>
    <w:p w14:paraId="02505734">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88" w:name="_Toc15396625"/>
      <w:r>
        <w:rPr>
          <w:rFonts w:hint="default" w:ascii="Times New Roman" w:hAnsi="Times New Roman" w:eastAsia="仿宋_GB2312" w:cs="Times New Roman"/>
          <w:color w:val="auto"/>
          <w:sz w:val="32"/>
          <w:szCs w:val="32"/>
          <w:highlight w:val="none"/>
        </w:rPr>
        <w:t>七、一般公共预算财政拨款支出决算明细表</w:t>
      </w:r>
      <w:bookmarkEnd w:id="88"/>
    </w:p>
    <w:p w14:paraId="30E65EB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89" w:name="_Toc15396626"/>
      <w:r>
        <w:rPr>
          <w:rFonts w:hint="default" w:ascii="Times New Roman" w:hAnsi="Times New Roman" w:eastAsia="仿宋_GB2312" w:cs="Times New Roman"/>
          <w:color w:val="auto"/>
          <w:sz w:val="32"/>
          <w:szCs w:val="32"/>
          <w:highlight w:val="none"/>
        </w:rPr>
        <w:t>八、一般公共预算财政拨款基本支出决算表</w:t>
      </w:r>
      <w:bookmarkEnd w:id="89"/>
    </w:p>
    <w:p w14:paraId="4D75B93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0" w:name="_Toc15396627"/>
      <w:r>
        <w:rPr>
          <w:rFonts w:hint="default" w:ascii="Times New Roman" w:hAnsi="Times New Roman" w:eastAsia="仿宋_GB2312" w:cs="Times New Roman"/>
          <w:color w:val="auto"/>
          <w:sz w:val="32"/>
          <w:szCs w:val="32"/>
          <w:highlight w:val="none"/>
        </w:rPr>
        <w:t>九、一般公共预算财政拨款项目支出决算表</w:t>
      </w:r>
      <w:bookmarkEnd w:id="90"/>
    </w:p>
    <w:p w14:paraId="5CB0F08A">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1" w:name="_Toc15396628"/>
      <w:r>
        <w:rPr>
          <w:rFonts w:hint="default" w:ascii="Times New Roman" w:hAnsi="Times New Roman" w:eastAsia="仿宋_GB2312" w:cs="Times New Roman"/>
          <w:color w:val="auto"/>
          <w:sz w:val="32"/>
          <w:szCs w:val="32"/>
          <w:highlight w:val="none"/>
        </w:rPr>
        <w:t>十、</w:t>
      </w:r>
      <w:bookmarkEnd w:id="91"/>
      <w:r>
        <w:rPr>
          <w:rFonts w:hint="default" w:ascii="Times New Roman" w:hAnsi="Times New Roman" w:eastAsia="仿宋_GB2312" w:cs="Times New Roman"/>
          <w:color w:val="auto"/>
          <w:sz w:val="32"/>
          <w:szCs w:val="32"/>
          <w:highlight w:val="none"/>
        </w:rPr>
        <w:t>政府性基金预算财政拨款收入支出决算表</w:t>
      </w:r>
    </w:p>
    <w:p w14:paraId="5968689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2" w:name="_Toc15396629"/>
      <w:r>
        <w:rPr>
          <w:rFonts w:hint="default" w:ascii="Times New Roman" w:hAnsi="Times New Roman" w:eastAsia="仿宋_GB2312" w:cs="Times New Roman"/>
          <w:color w:val="auto"/>
          <w:sz w:val="32"/>
          <w:szCs w:val="32"/>
          <w:highlight w:val="none"/>
        </w:rPr>
        <w:t>十一、</w:t>
      </w:r>
      <w:bookmarkEnd w:id="92"/>
      <w:r>
        <w:rPr>
          <w:rFonts w:hint="default" w:ascii="Times New Roman" w:hAnsi="Times New Roman" w:eastAsia="仿宋_GB2312" w:cs="Times New Roman"/>
          <w:color w:val="auto"/>
          <w:sz w:val="32"/>
          <w:szCs w:val="32"/>
          <w:highlight w:val="none"/>
        </w:rPr>
        <w:t>国有资本经营预算</w:t>
      </w:r>
      <w:r>
        <w:rPr>
          <w:rFonts w:hint="default" w:ascii="Times New Roman" w:hAnsi="Times New Roman" w:eastAsia="仿宋_GB2312" w:cs="Times New Roman"/>
          <w:color w:val="auto"/>
          <w:sz w:val="32"/>
          <w:szCs w:val="32"/>
          <w:highlight w:val="none"/>
          <w:lang w:eastAsia="zh-CN"/>
        </w:rPr>
        <w:t>财政拨款收入</w:t>
      </w:r>
      <w:r>
        <w:rPr>
          <w:rFonts w:hint="default" w:ascii="Times New Roman" w:hAnsi="Times New Roman" w:eastAsia="仿宋_GB2312" w:cs="Times New Roman"/>
          <w:color w:val="auto"/>
          <w:sz w:val="32"/>
          <w:szCs w:val="32"/>
          <w:highlight w:val="none"/>
        </w:rPr>
        <w:t>支出决算表</w:t>
      </w:r>
    </w:p>
    <w:p w14:paraId="41657D0A">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rPr>
      </w:pPr>
      <w:bookmarkStart w:id="93" w:name="_Toc15396630"/>
      <w:r>
        <w:rPr>
          <w:rFonts w:hint="default" w:ascii="Times New Roman" w:hAnsi="Times New Roman" w:eastAsia="仿宋_GB2312" w:cs="Times New Roman"/>
          <w:color w:val="auto"/>
          <w:sz w:val="32"/>
          <w:szCs w:val="32"/>
          <w:highlight w:val="none"/>
        </w:rPr>
        <w:t>十二、</w:t>
      </w:r>
      <w:bookmarkEnd w:id="93"/>
      <w:r>
        <w:rPr>
          <w:rFonts w:hint="default" w:ascii="Times New Roman" w:hAnsi="Times New Roman" w:eastAsia="仿宋_GB2312" w:cs="Times New Roman"/>
          <w:color w:val="auto"/>
          <w:sz w:val="32"/>
          <w:szCs w:val="32"/>
          <w:highlight w:val="none"/>
          <w:lang w:eastAsia="zh-CN"/>
        </w:rPr>
        <w:t>国有资本经营预算财政拨款支出决算表</w:t>
      </w:r>
    </w:p>
    <w:p w14:paraId="455BA99F">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auto"/>
          <w:sz w:val="32"/>
          <w:szCs w:val="32"/>
          <w:highlight w:val="none"/>
          <w:lang w:eastAsia="zh-CN"/>
        </w:rPr>
      </w:pPr>
      <w:bookmarkStart w:id="94" w:name="_Toc15396631"/>
      <w:r>
        <w:rPr>
          <w:rFonts w:hint="default" w:ascii="Times New Roman" w:hAnsi="Times New Roman" w:eastAsia="仿宋_GB2312" w:cs="Times New Roman"/>
          <w:color w:val="auto"/>
          <w:sz w:val="32"/>
          <w:szCs w:val="32"/>
          <w:highlight w:val="none"/>
        </w:rPr>
        <w:t>十三、</w:t>
      </w:r>
      <w:bookmarkEnd w:id="94"/>
      <w:r>
        <w:rPr>
          <w:rFonts w:hint="default" w:ascii="Times New Roman" w:hAnsi="Times New Roman" w:eastAsia="仿宋_GB2312" w:cs="Times New Roman"/>
          <w:color w:val="auto"/>
          <w:sz w:val="32"/>
          <w:szCs w:val="32"/>
          <w:highlight w:val="none"/>
          <w:lang w:eastAsia="zh-CN"/>
        </w:rPr>
        <w:t>财政拨款“三公”经费支出决算表</w:t>
      </w:r>
    </w:p>
    <w:p w14:paraId="026601B3">
      <w:pPr>
        <w:rPr>
          <w:rFonts w:hint="default" w:ascii="Times New Roman" w:hAnsi="Times New Roman" w:cs="Times New Roman"/>
          <w:lang w:eastAsia="zh-CN"/>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85379">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D67E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BBD67E4">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61D9C9C8">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A05FB">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4F2E6">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014F2E6">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428A4">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
    <w:nsid w:val="7A505F4F"/>
    <w:multiLevelType w:val="singleLevel"/>
    <w:tmpl w:val="7A505F4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kMDUyMWY0ZDI3OWI0YzJlYjUzMzc2Yzg0NDYzYz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993A16"/>
    <w:rsid w:val="01FB2F91"/>
    <w:rsid w:val="02317B1B"/>
    <w:rsid w:val="02FEBE30"/>
    <w:rsid w:val="048B418C"/>
    <w:rsid w:val="0535675D"/>
    <w:rsid w:val="061E35DE"/>
    <w:rsid w:val="066E0107"/>
    <w:rsid w:val="07996F6E"/>
    <w:rsid w:val="07DFD8BA"/>
    <w:rsid w:val="08AF5C17"/>
    <w:rsid w:val="08DB07E4"/>
    <w:rsid w:val="08FE129F"/>
    <w:rsid w:val="09867E8F"/>
    <w:rsid w:val="09F204B1"/>
    <w:rsid w:val="0A2032A3"/>
    <w:rsid w:val="0C6C4794"/>
    <w:rsid w:val="0CA8290A"/>
    <w:rsid w:val="0D35B1ED"/>
    <w:rsid w:val="0DE07E2B"/>
    <w:rsid w:val="0F98263C"/>
    <w:rsid w:val="101860EC"/>
    <w:rsid w:val="10C055FF"/>
    <w:rsid w:val="11772AA4"/>
    <w:rsid w:val="118107EC"/>
    <w:rsid w:val="126C687D"/>
    <w:rsid w:val="13D50BC4"/>
    <w:rsid w:val="14022904"/>
    <w:rsid w:val="152F2A07"/>
    <w:rsid w:val="15A72150"/>
    <w:rsid w:val="15ED6D1D"/>
    <w:rsid w:val="165E0673"/>
    <w:rsid w:val="16BB723D"/>
    <w:rsid w:val="186504BB"/>
    <w:rsid w:val="1938089F"/>
    <w:rsid w:val="19A445FC"/>
    <w:rsid w:val="1A3D3E6B"/>
    <w:rsid w:val="1AA65075"/>
    <w:rsid w:val="1B7D550C"/>
    <w:rsid w:val="1BE8440E"/>
    <w:rsid w:val="1C1737C4"/>
    <w:rsid w:val="1D155CEE"/>
    <w:rsid w:val="1D5A1D40"/>
    <w:rsid w:val="1E740ACF"/>
    <w:rsid w:val="1ED63AA6"/>
    <w:rsid w:val="1FF35744"/>
    <w:rsid w:val="1FF6BC77"/>
    <w:rsid w:val="21962A9E"/>
    <w:rsid w:val="21AE7C77"/>
    <w:rsid w:val="21E96E3C"/>
    <w:rsid w:val="2207551F"/>
    <w:rsid w:val="223842B3"/>
    <w:rsid w:val="22A30143"/>
    <w:rsid w:val="22BC3C41"/>
    <w:rsid w:val="23860B96"/>
    <w:rsid w:val="240371BF"/>
    <w:rsid w:val="24F44E2B"/>
    <w:rsid w:val="251A145E"/>
    <w:rsid w:val="260F557C"/>
    <w:rsid w:val="27D52B4D"/>
    <w:rsid w:val="27DF51F5"/>
    <w:rsid w:val="281408E2"/>
    <w:rsid w:val="281C69CE"/>
    <w:rsid w:val="284468C4"/>
    <w:rsid w:val="297D524A"/>
    <w:rsid w:val="29A9603F"/>
    <w:rsid w:val="29FD04D3"/>
    <w:rsid w:val="2A1E2046"/>
    <w:rsid w:val="2A225DF1"/>
    <w:rsid w:val="2ADC2444"/>
    <w:rsid w:val="2AF73F9E"/>
    <w:rsid w:val="2BFF7BC6"/>
    <w:rsid w:val="2C8A61B5"/>
    <w:rsid w:val="2D2E01CF"/>
    <w:rsid w:val="2DF04E50"/>
    <w:rsid w:val="2E9545B0"/>
    <w:rsid w:val="2EDE2C2F"/>
    <w:rsid w:val="2EE93382"/>
    <w:rsid w:val="2F040D46"/>
    <w:rsid w:val="2FAE5751"/>
    <w:rsid w:val="2FB1A395"/>
    <w:rsid w:val="2FD9A7D8"/>
    <w:rsid w:val="319F7F4E"/>
    <w:rsid w:val="321B2544"/>
    <w:rsid w:val="3304709D"/>
    <w:rsid w:val="33D57001"/>
    <w:rsid w:val="34281836"/>
    <w:rsid w:val="349D6851"/>
    <w:rsid w:val="35BA6CAF"/>
    <w:rsid w:val="362206BB"/>
    <w:rsid w:val="364D14C1"/>
    <w:rsid w:val="366A7C39"/>
    <w:rsid w:val="36721EAF"/>
    <w:rsid w:val="36AA5135"/>
    <w:rsid w:val="36BE0DA7"/>
    <w:rsid w:val="376B6AA6"/>
    <w:rsid w:val="376D39B2"/>
    <w:rsid w:val="37A602F2"/>
    <w:rsid w:val="37DC3439"/>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066399"/>
    <w:rsid w:val="3E412892"/>
    <w:rsid w:val="3E78745D"/>
    <w:rsid w:val="3EBC63BD"/>
    <w:rsid w:val="3F756DAC"/>
    <w:rsid w:val="3FF4CAE0"/>
    <w:rsid w:val="3FF7B227"/>
    <w:rsid w:val="40E54C45"/>
    <w:rsid w:val="42B5384F"/>
    <w:rsid w:val="43A407DF"/>
    <w:rsid w:val="44515BEA"/>
    <w:rsid w:val="44E268DA"/>
    <w:rsid w:val="453F7E5B"/>
    <w:rsid w:val="45D71D2E"/>
    <w:rsid w:val="47014B93"/>
    <w:rsid w:val="483762D2"/>
    <w:rsid w:val="486A6C7A"/>
    <w:rsid w:val="49176D9B"/>
    <w:rsid w:val="4A627F82"/>
    <w:rsid w:val="4B0E749A"/>
    <w:rsid w:val="4B35377F"/>
    <w:rsid w:val="4B4D2F01"/>
    <w:rsid w:val="4B4F25DA"/>
    <w:rsid w:val="4BDA0CFB"/>
    <w:rsid w:val="4BE068DB"/>
    <w:rsid w:val="4D3C0CCC"/>
    <w:rsid w:val="4D577224"/>
    <w:rsid w:val="4DBF1CEB"/>
    <w:rsid w:val="4DDA6F61"/>
    <w:rsid w:val="4EAB630A"/>
    <w:rsid w:val="4ECE2238"/>
    <w:rsid w:val="4F833267"/>
    <w:rsid w:val="4FE9BD67"/>
    <w:rsid w:val="4FFB052F"/>
    <w:rsid w:val="502838B2"/>
    <w:rsid w:val="50F1639A"/>
    <w:rsid w:val="52505342"/>
    <w:rsid w:val="53083A92"/>
    <w:rsid w:val="537E6D0A"/>
    <w:rsid w:val="53AF27A2"/>
    <w:rsid w:val="53F74C96"/>
    <w:rsid w:val="546C43B5"/>
    <w:rsid w:val="56E47B74"/>
    <w:rsid w:val="57BD3DD4"/>
    <w:rsid w:val="580A1AEF"/>
    <w:rsid w:val="5AF92295"/>
    <w:rsid w:val="5BDD79E6"/>
    <w:rsid w:val="5BF561CA"/>
    <w:rsid w:val="5BFF5DFC"/>
    <w:rsid w:val="5CAE513F"/>
    <w:rsid w:val="5CD71FC4"/>
    <w:rsid w:val="5D1F11B5"/>
    <w:rsid w:val="5DAE1B18"/>
    <w:rsid w:val="5DE7D9E5"/>
    <w:rsid w:val="5E1E62F4"/>
    <w:rsid w:val="5ECEC941"/>
    <w:rsid w:val="5F107586"/>
    <w:rsid w:val="5F493CB7"/>
    <w:rsid w:val="5FBF9FF3"/>
    <w:rsid w:val="5FCD4E2C"/>
    <w:rsid w:val="5FD15F49"/>
    <w:rsid w:val="5FEF394A"/>
    <w:rsid w:val="5FF67715"/>
    <w:rsid w:val="60126D95"/>
    <w:rsid w:val="61457824"/>
    <w:rsid w:val="62BF3928"/>
    <w:rsid w:val="635A6CC2"/>
    <w:rsid w:val="64497457"/>
    <w:rsid w:val="647F5392"/>
    <w:rsid w:val="660E4EA0"/>
    <w:rsid w:val="664B1D71"/>
    <w:rsid w:val="67AA3209"/>
    <w:rsid w:val="681C4F0D"/>
    <w:rsid w:val="69046D0F"/>
    <w:rsid w:val="698D0931"/>
    <w:rsid w:val="69FD14B4"/>
    <w:rsid w:val="6A993CED"/>
    <w:rsid w:val="6B053271"/>
    <w:rsid w:val="6B1B56A3"/>
    <w:rsid w:val="6B735ED1"/>
    <w:rsid w:val="6BCE6674"/>
    <w:rsid w:val="6C4A05C8"/>
    <w:rsid w:val="6C8742B8"/>
    <w:rsid w:val="6C8A170F"/>
    <w:rsid w:val="6CB54609"/>
    <w:rsid w:val="6D940381"/>
    <w:rsid w:val="6DBF5E93"/>
    <w:rsid w:val="6DFF077E"/>
    <w:rsid w:val="6E7E3605"/>
    <w:rsid w:val="6E7FDCC7"/>
    <w:rsid w:val="6ED6A62E"/>
    <w:rsid w:val="6EE00B15"/>
    <w:rsid w:val="6F3E2352"/>
    <w:rsid w:val="6F544B20"/>
    <w:rsid w:val="6F6FB3EB"/>
    <w:rsid w:val="6F784160"/>
    <w:rsid w:val="6F8731EA"/>
    <w:rsid w:val="6FCE6052"/>
    <w:rsid w:val="6FD57C00"/>
    <w:rsid w:val="6FEFFFD8"/>
    <w:rsid w:val="6FF5CC65"/>
    <w:rsid w:val="6FFB47EC"/>
    <w:rsid w:val="6FFF034A"/>
    <w:rsid w:val="70496804"/>
    <w:rsid w:val="70926DFA"/>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206C56"/>
    <w:rsid w:val="762D1373"/>
    <w:rsid w:val="76E3355F"/>
    <w:rsid w:val="76FF5125"/>
    <w:rsid w:val="776F6FFA"/>
    <w:rsid w:val="778769C8"/>
    <w:rsid w:val="77DC22F5"/>
    <w:rsid w:val="79086DAD"/>
    <w:rsid w:val="79974F09"/>
    <w:rsid w:val="79D7FD79"/>
    <w:rsid w:val="79EE12F1"/>
    <w:rsid w:val="79EE5BA4"/>
    <w:rsid w:val="7A894339"/>
    <w:rsid w:val="7AFF7572"/>
    <w:rsid w:val="7B6C7DFB"/>
    <w:rsid w:val="7BBFBED0"/>
    <w:rsid w:val="7BC3E394"/>
    <w:rsid w:val="7C1F3737"/>
    <w:rsid w:val="7CBFC87B"/>
    <w:rsid w:val="7CFE0F48"/>
    <w:rsid w:val="7D7EC23E"/>
    <w:rsid w:val="7D916348"/>
    <w:rsid w:val="7E8ADEBF"/>
    <w:rsid w:val="7EEC1BD6"/>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able of figures"/>
    <w:basedOn w:val="1"/>
    <w:next w:val="1"/>
    <w:unhideWhenUsed/>
    <w:qFormat/>
    <w:uiPriority w:val="0"/>
    <w:pPr>
      <w:ind w:left="200" w:leftChars="200" w:hanging="200" w:hangingChars="200"/>
    </w:pPr>
    <w:rPr>
      <w:rFonts w:hint="eastAsia"/>
      <w:sz w:val="32"/>
      <w:szCs w:val="21"/>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8"/>
    <w:link w:val="10"/>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spPr>
            <a:gradFill>
              <a:gsLst>
                <a:gs pos="50000">
                  <a:schemeClr val="accent1"/>
                </a:gs>
                <a:gs pos="0">
                  <a:schemeClr val="accent1">
                    <a:lumMod val="25000"/>
                    <a:lumOff val="75000"/>
                  </a:schemeClr>
                </a:gs>
                <a:gs pos="100000">
                  <a:schemeClr val="accent1">
                    <a:lumMod val="85000"/>
                  </a:schemeClr>
                </a:gs>
              </a:gsLst>
              <a:lin ang="5400000" scaled="1"/>
            </a:gradFill>
            <a:ln>
              <a:noFill/>
            </a:ln>
            <a:effectLst/>
          </c:spPr>
          <c:invertIfNegative val="0"/>
          <c:dLbls>
            <c:delete val="1"/>
          </c:dLbls>
          <c:cat>
            <c:strRef>
              <c:f>Sheet1!$D$11:$D$12</c:f>
              <c:strCache>
                <c:ptCount val="2"/>
                <c:pt idx="0">
                  <c:v>2024年</c:v>
                </c:pt>
                <c:pt idx="1">
                  <c:v>2025年</c:v>
                </c:pt>
              </c:strCache>
            </c:strRef>
          </c:cat>
          <c:val>
            <c:numRef>
              <c:f>Sheet1!$E$11:$E$12</c:f>
              <c:numCache>
                <c:formatCode>General</c:formatCode>
                <c:ptCount val="2"/>
                <c:pt idx="0">
                  <c:v>607.66</c:v>
                </c:pt>
                <c:pt idx="1">
                  <c:v>497.78</c:v>
                </c:pt>
              </c:numCache>
            </c:numRef>
          </c:val>
        </c:ser>
        <c:dLbls>
          <c:showLegendKey val="0"/>
          <c:showVal val="0"/>
          <c:showCatName val="0"/>
          <c:showSerName val="0"/>
          <c:showPercent val="0"/>
          <c:showBubbleSize val="0"/>
        </c:dLbls>
        <c:gapWidth val="246"/>
        <c:overlap val="-28"/>
        <c:axId val="739405926"/>
        <c:axId val="838797911"/>
      </c:barChart>
      <c:catAx>
        <c:axId val="7394059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8797911"/>
        <c:crosses val="autoZero"/>
        <c:auto val="1"/>
        <c:lblAlgn val="ctr"/>
        <c:lblOffset val="100"/>
        <c:noMultiLvlLbl val="0"/>
      </c:catAx>
      <c:valAx>
        <c:axId val="83879791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940592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[工作簿1]Sheet1!$D$23:$D$24</c:f>
              <c:strCache>
                <c:ptCount val="2"/>
                <c:pt idx="0">
                  <c:v>一般公共预算财政拨款收入</c:v>
                </c:pt>
                <c:pt idx="1">
                  <c:v>其他收入</c:v>
                </c:pt>
              </c:strCache>
            </c:strRef>
          </c:cat>
          <c:val>
            <c:numRef>
              <c:f>[工作簿1]Sheet1!$E$23:$E$24</c:f>
              <c:numCache>
                <c:formatCode>General</c:formatCode>
                <c:ptCount val="2"/>
                <c:pt idx="0">
                  <c:v>601.37</c:v>
                </c:pt>
                <c:pt idx="1">
                  <c:v>6.29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dPt>
          <c:dPt>
            <c:idx val="1"/>
            <c:bubble3D val="0"/>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dPt>
          <c:dLbls>
            <c:delete val="1"/>
          </c:dLbls>
          <c:cat>
            <c:strRef>
              <c:f>[工作簿1]Sheet1!$D$31:$D$32</c:f>
              <c:strCache>
                <c:ptCount val="2"/>
                <c:pt idx="0">
                  <c:v>基本支出</c:v>
                </c:pt>
                <c:pt idx="1">
                  <c:v>项目支出</c:v>
                </c:pt>
              </c:strCache>
            </c:strRef>
          </c:cat>
          <c:val>
            <c:numRef>
              <c:f>[工作簿1]Sheet1!$E$31:$E$32</c:f>
              <c:numCache>
                <c:formatCode>General</c:formatCode>
                <c:ptCount val="2"/>
                <c:pt idx="0">
                  <c:v>415.03</c:v>
                </c:pt>
                <c:pt idx="1">
                  <c:v>192.63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r>
              <a:t>财政拨款收、支决算总计变动情况</a:t>
            </a:r>
          </a:p>
        </c:rich>
      </c:tx>
      <c:layout>
        <c:manualLayout>
          <c:xMode val="edge"/>
          <c:yMode val="edge"/>
          <c:x val="0.106175878272544"/>
          <c:y val="0.044104134762634"/>
        </c:manualLayout>
      </c:layout>
      <c:overlay val="0"/>
      <c:spPr>
        <a:noFill/>
        <a:ln>
          <a:noFill/>
        </a:ln>
        <a:effectLst/>
      </c:spPr>
    </c:title>
    <c:autoTitleDeleted val="0"/>
    <c:plotArea>
      <c:layout/>
      <c:barChart>
        <c:barDir val="col"/>
        <c:grouping val="clustered"/>
        <c:varyColors val="0"/>
        <c:ser>
          <c:idx val="0"/>
          <c:order val="0"/>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delete val="1"/>
          </c:dLbls>
          <c:cat>
            <c:strRef>
              <c:f>[工作簿1]Sheet1!$D$45:$D$46</c:f>
              <c:strCache>
                <c:ptCount val="2"/>
                <c:pt idx="0">
                  <c:v>2025年</c:v>
                </c:pt>
                <c:pt idx="1">
                  <c:v>2024年</c:v>
                </c:pt>
              </c:strCache>
            </c:strRef>
          </c:cat>
          <c:val>
            <c:numRef>
              <c:f>[工作簿1]Sheet1!$E$45:$E$46</c:f>
              <c:numCache>
                <c:formatCode>General</c:formatCode>
                <c:ptCount val="2"/>
                <c:pt idx="0">
                  <c:v>601.37</c:v>
                </c:pt>
                <c:pt idx="1">
                  <c:v>497.78</c:v>
                </c:pt>
              </c:numCache>
            </c:numRef>
          </c:val>
        </c:ser>
        <c:dLbls>
          <c:showLegendKey val="0"/>
          <c:showVal val="0"/>
          <c:showCatName val="0"/>
          <c:showSerName val="0"/>
          <c:showPercent val="0"/>
          <c:showBubbleSize val="0"/>
        </c:dLbls>
        <c:gapWidth val="500"/>
        <c:overlap val="-50"/>
        <c:axId val="206488842"/>
        <c:axId val="526776365"/>
      </c:barChart>
      <c:catAx>
        <c:axId val="20648884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526776365"/>
        <c:crosses val="autoZero"/>
        <c:auto val="1"/>
        <c:lblAlgn val="ctr"/>
        <c:lblOffset val="100"/>
        <c:noMultiLvlLbl val="0"/>
      </c:catAx>
      <c:valAx>
        <c:axId val="52677636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206488842"/>
        <c:crosses val="autoZero"/>
        <c:crossBetween val="between"/>
      </c:valAx>
      <c:spPr>
        <a:noFill/>
        <a:ln>
          <a:noFill/>
        </a:ln>
        <a:effectLst/>
      </c:spPr>
    </c:plotArea>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111322443499664"/>
          <c:y val="0.0437978560490046"/>
        </c:manualLayout>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delete val="1"/>
          </c:dLbls>
          <c:cat>
            <c:strRef>
              <c:f>[工作簿1]Sheet1!$D$45:$D$46</c:f>
              <c:strCache>
                <c:ptCount val="2"/>
                <c:pt idx="0">
                  <c:v>2025年</c:v>
                </c:pt>
                <c:pt idx="1">
                  <c:v>2024年</c:v>
                </c:pt>
              </c:strCache>
            </c:strRef>
          </c:cat>
          <c:val>
            <c:numRef>
              <c:f>[工作簿1]Sheet1!$E$45:$E$46</c:f>
              <c:numCache>
                <c:formatCode>General</c:formatCode>
                <c:ptCount val="2"/>
                <c:pt idx="0">
                  <c:v>601.37</c:v>
                </c:pt>
                <c:pt idx="1">
                  <c:v>497.78</c:v>
                </c:pt>
              </c:numCache>
            </c:numRef>
          </c:val>
        </c:ser>
        <c:dLbls>
          <c:showLegendKey val="0"/>
          <c:showVal val="1"/>
          <c:showCatName val="0"/>
          <c:showSerName val="0"/>
          <c:showPercent val="0"/>
          <c:showBubbleSize val="0"/>
        </c:dLbls>
        <c:gapWidth val="246"/>
        <c:overlap val="-28"/>
        <c:axId val="206488842"/>
        <c:axId val="526776365"/>
      </c:barChart>
      <c:catAx>
        <c:axId val="20648884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6776365"/>
        <c:crosses val="autoZero"/>
        <c:auto val="1"/>
        <c:lblAlgn val="ctr"/>
        <c:lblOffset val="100"/>
        <c:noMultiLvlLbl val="0"/>
      </c:catAx>
      <c:valAx>
        <c:axId val="52677636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48884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000"/>
              <a:t>一般公共预算财政拨款支出决算结构</a:t>
            </a:r>
            <a:endParaRPr sz="1000"/>
          </a:p>
        </c:rich>
      </c:tx>
      <c:layout/>
      <c:overlay val="0"/>
      <c:spPr>
        <a:noFill/>
        <a:ln>
          <a:noFill/>
        </a:ln>
        <a:effectLst/>
      </c:spPr>
    </c:title>
    <c:autoTitleDeleted val="0"/>
    <c:plotArea>
      <c:layout/>
      <c:pieChart>
        <c:varyColors val="1"/>
        <c:ser>
          <c:idx val="0"/>
          <c:order val="0"/>
          <c:spPr/>
          <c:explosion val="0"/>
          <c:dPt>
            <c:idx val="0"/>
            <c:bubble3D val="0"/>
            <c:spPr>
              <a:gradFill>
                <a:gsLst>
                  <a:gs pos="0">
                    <a:schemeClr val="accent6">
                      <a:lumMod val="40000"/>
                      <a:lumOff val="60000"/>
                    </a:schemeClr>
                  </a:gs>
                  <a:gs pos="90000">
                    <a:schemeClr val="accent6"/>
                  </a:gs>
                </a:gsLst>
                <a:lin ang="5400000" scaled="0"/>
              </a:gradFill>
              <a:ln>
                <a:gradFill>
                  <a:gsLst>
                    <a:gs pos="0">
                      <a:schemeClr val="accent6"/>
                    </a:gs>
                    <a:gs pos="100000">
                      <a:schemeClr val="accent6">
                        <a:lumMod val="75000"/>
                      </a:schemeClr>
                    </a:gs>
                  </a:gsLst>
                  <a:lin ang="5400000" scaled="1"/>
                </a:gradFill>
              </a:ln>
              <a:effectLst>
                <a:outerShdw blurRad="76200" dist="25400" dir="2700000" algn="tl" rotWithShape="0">
                  <a:schemeClr val="accent6">
                    <a:lumMod val="50000"/>
                    <a:alpha val="30000"/>
                  </a:schemeClr>
                </a:outerShdw>
              </a:effectLst>
            </c:spPr>
          </c:dPt>
          <c:dPt>
            <c:idx val="1"/>
            <c:bubble3D val="0"/>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dPt>
          <c:dPt>
            <c:idx val="2"/>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dPt>
          <c:dPt>
            <c:idx val="3"/>
            <c:bubble3D val="0"/>
            <c:spPr>
              <a:gradFill>
                <a:gsLst>
                  <a:gs pos="0">
                    <a:schemeClr val="accent6">
                      <a:lumMod val="60000"/>
                      <a:lumMod val="40000"/>
                      <a:lumOff val="60000"/>
                    </a:schemeClr>
                  </a:gs>
                  <a:gs pos="90000">
                    <a:schemeClr val="accent6">
                      <a:lumMod val="60000"/>
                    </a:schemeClr>
                  </a:gs>
                </a:gsLst>
                <a:lin ang="5400000" scaled="0"/>
              </a:gradFill>
              <a:ln>
                <a:gradFill>
                  <a:gsLst>
                    <a:gs pos="0">
                      <a:schemeClr val="accent6">
                        <a:lumMod val="60000"/>
                      </a:schemeClr>
                    </a:gs>
                    <a:gs pos="100000">
                      <a:schemeClr val="accent6">
                        <a:lumMod val="60000"/>
                        <a:lumMod val="75000"/>
                      </a:schemeClr>
                    </a:gs>
                  </a:gsLst>
                  <a:lin ang="5400000" scaled="1"/>
                </a:gradFill>
              </a:ln>
              <a:effectLst>
                <a:outerShdw blurRad="76200" dist="25400" dir="2700000" algn="tl" rotWithShape="0">
                  <a:schemeClr val="accent6">
                    <a:lumMod val="60000"/>
                    <a:lumMod val="50000"/>
                    <a:alpha val="30000"/>
                  </a:schemeClr>
                </a:outerShdw>
              </a:effectLst>
            </c:spPr>
          </c:dPt>
          <c:dPt>
            <c:idx val="4"/>
            <c:bubble3D val="0"/>
            <c:spPr>
              <a:gradFill>
                <a:gsLst>
                  <a:gs pos="0">
                    <a:schemeClr val="accent5">
                      <a:lumMod val="60000"/>
                      <a:lumMod val="40000"/>
                      <a:lumOff val="60000"/>
                    </a:schemeClr>
                  </a:gs>
                  <a:gs pos="90000">
                    <a:schemeClr val="accent5">
                      <a:lumMod val="60000"/>
                    </a:schemeClr>
                  </a:gs>
                </a:gsLst>
                <a:lin ang="5400000" scaled="0"/>
              </a:gradFill>
              <a:ln>
                <a:gradFill>
                  <a:gsLst>
                    <a:gs pos="0">
                      <a:schemeClr val="accent5">
                        <a:lumMod val="60000"/>
                      </a:schemeClr>
                    </a:gs>
                    <a:gs pos="100000">
                      <a:schemeClr val="accent5">
                        <a:lumMod val="60000"/>
                        <a:lumMod val="75000"/>
                      </a:schemeClr>
                    </a:gs>
                  </a:gsLst>
                  <a:lin ang="5400000" scaled="1"/>
                </a:gradFill>
              </a:ln>
              <a:effectLst>
                <a:outerShdw blurRad="76200" dist="25400" dir="2700000" algn="tl" rotWithShape="0">
                  <a:schemeClr val="accent5">
                    <a:lumMod val="60000"/>
                    <a:lumMod val="50000"/>
                    <a:alpha val="30000"/>
                  </a:schemeClr>
                </a:outerShdw>
              </a:effectLst>
            </c:spPr>
          </c:dPt>
          <c:dLbls>
            <c:delete val="1"/>
          </c:dLbls>
          <c:cat>
            <c:strRef>
              <c:f>[工作簿1]Sheet1!$C$65:$C$69</c:f>
              <c:strCache>
                <c:ptCount val="5"/>
                <c:pt idx="0">
                  <c:v>公共安全支出支出</c:v>
                </c:pt>
                <c:pt idx="1">
                  <c:v>农林水支出</c:v>
                </c:pt>
                <c:pt idx="2">
                  <c:v>社会保障和就业支出</c:v>
                </c:pt>
                <c:pt idx="3">
                  <c:v>卫生健康支出</c:v>
                </c:pt>
                <c:pt idx="4">
                  <c:v>住房保障支出</c:v>
                </c:pt>
              </c:strCache>
            </c:strRef>
          </c:cat>
          <c:val>
            <c:numRef>
              <c:f>[工作簿1]Sheet1!$D$65:$D$69</c:f>
              <c:numCache>
                <c:formatCode>General</c:formatCode>
                <c:ptCount val="5"/>
                <c:pt idx="0">
                  <c:v>480.01</c:v>
                </c:pt>
                <c:pt idx="1">
                  <c:v>20</c:v>
                </c:pt>
                <c:pt idx="2">
                  <c:v>50.54</c:v>
                </c:pt>
                <c:pt idx="3">
                  <c:v>21.29</c:v>
                </c:pt>
                <c:pt idx="4">
                  <c:v>29.53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0553892215568862"/>
          <c:y val="0.161786900090552"/>
          <c:w val="0.902053036783576"/>
          <c:h val="0.23453063688499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rgbClr val="404040">
                    <a:lumMod val="75000"/>
                    <a:lumOff val="25000"/>
                  </a:srgbClr>
                </a:solidFill>
                <a:latin typeface="+mn-lt"/>
                <a:ea typeface="+mn-ea"/>
                <a:cs typeface="+mn-cs"/>
              </a:defRPr>
            </a:pPr>
            <a:r>
              <a:rPr sz="960"/>
              <a:t>“三公”经费财政拨款支出结构</a:t>
            </a:r>
            <a:endParaRPr sz="960"/>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a:solidFill>
                  <a:srgbClr val="FFFFFF"/>
                </a:solidFill>
              </a:ln>
              <a:effectLst/>
            </c:spPr>
          </c:dPt>
          <c:dPt>
            <c:idx val="1"/>
            <c:bubble3D val="0"/>
            <c:spPr>
              <a:solidFill>
                <a:srgbClr val="C0504D"/>
              </a:solidFill>
              <a:ln>
                <a:solidFill>
                  <a:srgbClr val="FFFFFF"/>
                </a:solidFill>
              </a:ln>
              <a:effectLst/>
            </c:spPr>
          </c:dPt>
          <c:dPt>
            <c:idx val="2"/>
            <c:bubble3D val="0"/>
            <c:spPr>
              <a:solidFill>
                <a:srgbClr val="9BBB59"/>
              </a:solidFill>
              <a:ln>
                <a:solidFill>
                  <a:srgbClr val="FFFFFF"/>
                </a:solidFill>
              </a:ln>
              <a:effectLst/>
            </c:spPr>
          </c:dPt>
          <c:dLbls>
            <c:delete val="1"/>
          </c:dLbls>
          <c:cat>
            <c:strRef>
              <c:f>[工作簿1]Sheet1!$C$79:$C$81</c:f>
              <c:strCache>
                <c:ptCount val="3"/>
                <c:pt idx="0">
                  <c:v>因公出国（境）费支出决算</c:v>
                </c:pt>
                <c:pt idx="1">
                  <c:v>公务用车购置及运行维护费支出决算</c:v>
                </c:pt>
                <c:pt idx="2">
                  <c:v>公务接待费支出决算</c:v>
                </c:pt>
              </c:strCache>
            </c:strRef>
          </c:cat>
          <c:val>
            <c:numRef>
              <c:f>[工作簿1]Sheet1!$D$79:$D$81</c:f>
              <c:numCache>
                <c:formatCode>General</c:formatCode>
                <c:ptCount val="3"/>
                <c:pt idx="0">
                  <c:v>0</c:v>
                </c:pt>
                <c:pt idx="1">
                  <c:v>0</c:v>
                </c:pt>
                <c:pt idx="2">
                  <c:v>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rgbClr val="595959">
                    <a:lumMod val="65000"/>
                    <a:lumOff val="35000"/>
                  </a:srgb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rgbClr val="595959">
                    <a:lumMod val="65000"/>
                    <a:lumOff val="35000"/>
                  </a:srgb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rgbClr val="595959">
                    <a:lumMod val="65000"/>
                    <a:lumOff val="35000"/>
                  </a:srgbClr>
                </a:solidFill>
                <a:latin typeface="+mn-lt"/>
                <a:ea typeface="+mn-ea"/>
                <a:cs typeface="+mn-cs"/>
              </a:defRPr>
            </a:pPr>
          </a:p>
        </c:txPr>
      </c:legendEntry>
      <c:layout>
        <c:manualLayout>
          <c:xMode val="edge"/>
          <c:yMode val="edge"/>
          <c:x val="0.182937459141425"/>
          <c:y val="0.12701762810612"/>
        </c:manualLayout>
      </c:layout>
      <c:overlay val="0"/>
      <c:spPr>
        <a:noFill/>
        <a:ln>
          <a:noFill/>
        </a:ln>
        <a:effectLst/>
      </c:spPr>
      <c:txPr>
        <a:bodyPr rot="0" spcFirstLastPara="0" vertOverflow="ellipsis" vert="horz" wrap="square" anchor="ctr" anchorCtr="1"/>
        <a:lstStyle/>
        <a:p>
          <a:pPr>
            <a:defRPr lang="zh-CN" sz="8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solidFill>
          <a:srgbClr val="FFFFFF"/>
        </a:solidFill>
      </a:ln>
      <a:effectLst/>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8">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7">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8398</Words>
  <Characters>9152</Characters>
  <Lines>61</Lines>
  <Paragraphs>17</Paragraphs>
  <TotalTime>1</TotalTime>
  <ScaleCrop>false</ScaleCrop>
  <LinksUpToDate>false</LinksUpToDate>
  <CharactersWithSpaces>9287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Administrator</cp:lastModifiedBy>
  <cp:lastPrinted>2026-08-03T09:27:00Z</cp:lastPrinted>
  <dcterms:modified xsi:type="dcterms:W3CDTF">2026-08-26T08:59:13Z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CA8F67634EFC4956926434FE014CC761_13</vt:lpwstr>
  </property>
  <property fmtid="{D5CDD505-2E9C-101B-9397-08002B2CF9AE}" pid="4" name="KSOTemplateDocerSaveRecord">
    <vt:lpwstr>eyJoZGlkIjoiNDVjNTFhNjZhYzViNzIyMmI2MTkwNTYxZGJjNjI4ZTgiLCJ1c2VySWQiOiI1MjkxMzY4OTcifQ==</vt:lpwstr>
  </property>
</Properties>
</file>