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b/>
          <w:sz w:val="72"/>
          <w:szCs w:val="72"/>
        </w:rPr>
      </w:pPr>
      <w:bookmarkStart w:id="0" w:name="_Toc15396597"/>
      <w:bookmarkStart w:id="1" w:name="_Toc15306267"/>
      <w:bookmarkStart w:id="2" w:name="_Toc15378441"/>
      <w:bookmarkStart w:id="3" w:name="_Toc15377193"/>
      <w:bookmarkStart w:id="4" w:name="_Toc15377425"/>
      <w:bookmarkStart w:id="5" w:name="_Toc15396475"/>
    </w:p>
    <w:p>
      <w:pPr>
        <w:pStyle w:val="2"/>
      </w:pPr>
    </w:p>
    <w:p>
      <w:pPr>
        <w:jc w:val="center"/>
        <w:rPr>
          <w:rFonts w:hint="eastAsia" w:ascii="宋体"/>
          <w:b/>
          <w:sz w:val="72"/>
          <w:szCs w:val="72"/>
        </w:rPr>
      </w:pPr>
      <w:r>
        <w:rPr>
          <w:rFonts w:hint="eastAsia" w:ascii="宋体"/>
          <w:b/>
          <w:sz w:val="72"/>
          <w:szCs w:val="72"/>
        </w:rPr>
        <w:t>2022</w:t>
      </w:r>
      <w:r>
        <w:rPr>
          <w:b/>
          <w:sz w:val="72"/>
        </w:rPr>
        <w:t>年度</w:t>
      </w:r>
      <w:bookmarkEnd w:id="0"/>
    </w:p>
    <w:bookmarkEnd w:id="1"/>
    <w:p>
      <w:pPr>
        <w:jc w:val="center"/>
        <w:rPr>
          <w:rFonts w:hint="eastAsia" w:ascii="宋体"/>
          <w:b/>
          <w:sz w:val="72"/>
          <w:szCs w:val="72"/>
        </w:rPr>
      </w:pPr>
      <w:bookmarkStart w:id="6" w:name="_Toc15378442"/>
      <w:bookmarkStart w:id="7" w:name="_Toc15377194"/>
      <w:bookmarkStart w:id="8" w:name="_Toc15306268"/>
      <w:bookmarkStart w:id="9" w:name="_Toc15377426"/>
      <w:bookmarkStart w:id="10" w:name="_Toc15396476"/>
      <w:bookmarkStart w:id="11" w:name="_Toc15396598"/>
      <w:r>
        <w:rPr>
          <w:rFonts w:hint="eastAsia" w:ascii="宋体"/>
          <w:b/>
          <w:sz w:val="72"/>
          <w:szCs w:val="72"/>
        </w:rPr>
        <w:t>中国共产党茂县委员会统一战线工作部部门决算</w:t>
      </w:r>
      <w:bookmarkEnd w:id="2"/>
      <w:r>
        <w:rPr>
          <w:rFonts w:hint="eastAsia" w:ascii="宋体"/>
          <w:b/>
          <w:sz w:val="72"/>
          <w:szCs w:val="72"/>
        </w:rPr>
        <w:t>编制说明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tabs>
          <w:tab w:val="left" w:pos="3600"/>
        </w:tabs>
      </w:pPr>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ind w:left="400"/>
        <w:jc w:val="left"/>
        <w:rPr>
          <w:rFonts w:hint="eastAsia" w:ascii="宋体"/>
          <w:sz w:val="32"/>
          <w:szCs w:val="32"/>
        </w:rPr>
      </w:pPr>
      <w:r>
        <w:rPr>
          <w:rFonts w:hint="eastAsia" w:ascii="宋体" w:cs="仿宋_GB2312"/>
          <w:sz w:val="32"/>
          <w:szCs w:val="32"/>
          <w:lang w:bidi="ar-SA"/>
        </w:rPr>
        <w:t>保密审查情况：已审查，内容审定</w:t>
      </w:r>
    </w:p>
    <w:p>
      <w:pPr>
        <w:ind w:left="400"/>
        <w:jc w:val="left"/>
        <w:rPr>
          <w:rFonts w:hint="eastAsia" w:ascii="宋体"/>
          <w:sz w:val="32"/>
          <w:szCs w:val="32"/>
        </w:rPr>
      </w:pPr>
      <w:r>
        <w:rPr>
          <w:rFonts w:hint="eastAsia" w:ascii="宋体" w:cs="仿宋_GB2312"/>
          <w:sz w:val="32"/>
          <w:szCs w:val="32"/>
          <w:lang w:bidi="ar-SA"/>
        </w:rPr>
        <w:t>部门主要负责人审签情况：已审签，同意对外公开</w:t>
      </w:r>
    </w:p>
    <w:p>
      <w:pPr>
        <w:widowControl/>
        <w:jc w:val="center"/>
        <w:rPr>
          <w:rFonts w:hint="eastAsia" w:ascii="黑体" w:eastAsia="黑体"/>
          <w:color w:val="000000"/>
          <w:sz w:val="48"/>
          <w:szCs w:val="48"/>
        </w:rPr>
      </w:pPr>
      <w:r>
        <w:rPr>
          <w:rFonts w:hint="eastAsia" w:ascii="方正小标宋简体" w:eastAsia="方正小标宋简体"/>
          <w:color w:val="000000"/>
          <w:sz w:val="36"/>
          <w:szCs w:val="36"/>
        </w:rPr>
        <w:br w:type="page" w:clear="all"/>
      </w:r>
      <w:r>
        <w:rPr>
          <w:rFonts w:hint="eastAsia" w:ascii="黑体" w:eastAsia="黑体"/>
          <w:color w:val="000000"/>
          <w:sz w:val="48"/>
          <w:szCs w:val="48"/>
        </w:rPr>
        <w:t>目录</w:t>
      </w:r>
      <w:bookmarkStart w:id="12" w:name="_Toc15377196"/>
    </w:p>
    <w:p>
      <w:pPr>
        <w:pStyle w:val="191"/>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rPr>
          <w:smallCaps/>
          <w:szCs w:val="20"/>
        </w:rPr>
        <w:fldChar w:fldCharType="begin"/>
      </w:r>
      <w:r>
        <w:rPr>
          <w:smallCaps/>
          <w:szCs w:val="20"/>
        </w:rPr>
        <w:instrText xml:space="preserve"> HYPERLINK \l _Toc23559 </w:instrText>
      </w:r>
      <w:r>
        <w:rPr>
          <w:smallCaps/>
          <w:szCs w:val="20"/>
        </w:rPr>
        <w:fldChar w:fldCharType="separate"/>
      </w:r>
      <w:r>
        <w:rPr>
          <w:rFonts w:hint="eastAsia" w:ascii="黑体" w:eastAsia="黑体" w:cs="黑体"/>
          <w:lang w:bidi="ar-SA"/>
        </w:rPr>
        <w:t>第一部分 部门概况</w:t>
      </w:r>
      <w:r>
        <w:tab/>
      </w:r>
      <w:r>
        <w:fldChar w:fldCharType="begin"/>
      </w:r>
      <w:r>
        <w:instrText xml:space="preserve"> PAGEREF _Toc23559 \h </w:instrText>
      </w:r>
      <w:r>
        <w:fldChar w:fldCharType="separate"/>
      </w:r>
      <w:r>
        <w:t>3</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_Toc16324 </w:instrText>
      </w:r>
      <w:r>
        <w:rPr>
          <w:smallCaps/>
          <w:szCs w:val="20"/>
        </w:rPr>
        <w:fldChar w:fldCharType="separate"/>
      </w:r>
      <w:r>
        <w:rPr>
          <w:rFonts w:hint="eastAsia" w:ascii="黑体" w:eastAsia="黑体"/>
        </w:rPr>
        <w:t>一、部门职责</w:t>
      </w:r>
      <w:r>
        <w:tab/>
      </w:r>
      <w:r>
        <w:fldChar w:fldCharType="begin"/>
      </w:r>
      <w:r>
        <w:instrText xml:space="preserve"> PAGEREF _Toc16324 \h </w:instrText>
      </w:r>
      <w:r>
        <w:fldChar w:fldCharType="separate"/>
      </w:r>
      <w:r>
        <w:t>3</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_Toc26065 </w:instrText>
      </w:r>
      <w:r>
        <w:rPr>
          <w:smallCaps/>
          <w:szCs w:val="20"/>
        </w:rPr>
        <w:fldChar w:fldCharType="separate"/>
      </w:r>
      <w:r>
        <w:rPr>
          <w:rFonts w:hint="eastAsia" w:ascii="黑体" w:eastAsia="黑体"/>
        </w:rPr>
        <w:t>二、机构设置</w:t>
      </w:r>
      <w:r>
        <w:tab/>
      </w:r>
      <w:r>
        <w:fldChar w:fldCharType="begin"/>
      </w:r>
      <w:r>
        <w:instrText xml:space="preserve"> PAGEREF _Toc26065 \h </w:instrText>
      </w:r>
      <w:r>
        <w:fldChar w:fldCharType="separate"/>
      </w:r>
      <w:r>
        <w:t>3</w:t>
      </w:r>
      <w:r>
        <w:fldChar w:fldCharType="end"/>
      </w:r>
      <w:r>
        <w:rPr>
          <w:smallCaps/>
          <w:szCs w:val="20"/>
        </w:rPr>
        <w:fldChar w:fldCharType="end"/>
      </w:r>
    </w:p>
    <w:p>
      <w:pPr>
        <w:pStyle w:val="191"/>
        <w:tabs>
          <w:tab w:val="right" w:leader="dot" w:pos="8306"/>
          <w:tab w:val="clear" w:pos="8296"/>
        </w:tabs>
      </w:pPr>
      <w:r>
        <w:rPr>
          <w:smallCaps/>
          <w:szCs w:val="20"/>
        </w:rPr>
        <w:fldChar w:fldCharType="begin"/>
      </w:r>
      <w:r>
        <w:rPr>
          <w:smallCaps/>
          <w:szCs w:val="20"/>
        </w:rPr>
        <w:instrText xml:space="preserve"> HYPERLINK \l _Toc25482 </w:instrText>
      </w:r>
      <w:r>
        <w:rPr>
          <w:smallCaps/>
          <w:szCs w:val="20"/>
        </w:rPr>
        <w:fldChar w:fldCharType="separate"/>
      </w:r>
      <w:r>
        <w:rPr>
          <w:rFonts w:hint="eastAsia" w:ascii="黑体" w:eastAsia="黑体" w:cs="黑体"/>
          <w:lang w:bidi="ar-SA"/>
        </w:rPr>
        <w:t>第二部分 2022年度部门决算情况说明</w:t>
      </w:r>
      <w:r>
        <w:tab/>
      </w:r>
      <w:r>
        <w:fldChar w:fldCharType="begin"/>
      </w:r>
      <w:r>
        <w:instrText xml:space="preserve"> PAGEREF _Toc25482 \h </w:instrText>
      </w:r>
      <w:r>
        <w:fldChar w:fldCharType="separate"/>
      </w:r>
      <w:r>
        <w:t>5</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_Toc12206 </w:instrText>
      </w:r>
      <w:r>
        <w:rPr>
          <w:smallCaps/>
          <w:szCs w:val="20"/>
        </w:rPr>
        <w:fldChar w:fldCharType="separate"/>
      </w:r>
      <w:r>
        <w:rPr>
          <w:rFonts w:hint="eastAsia" w:ascii="黑体" w:eastAsia="黑体"/>
        </w:rPr>
        <w:t>一、收入支出决算总体情况说明</w:t>
      </w:r>
      <w:r>
        <w:tab/>
      </w:r>
      <w:r>
        <w:fldChar w:fldCharType="begin"/>
      </w:r>
      <w:r>
        <w:instrText xml:space="preserve"> PAGEREF _Toc12206 \h </w:instrText>
      </w:r>
      <w:r>
        <w:fldChar w:fldCharType="separate"/>
      </w:r>
      <w:r>
        <w:t>5</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_Toc31880 </w:instrText>
      </w:r>
      <w:r>
        <w:rPr>
          <w:smallCaps/>
          <w:szCs w:val="20"/>
        </w:rPr>
        <w:fldChar w:fldCharType="separate"/>
      </w:r>
      <w:r>
        <w:rPr>
          <w:rFonts w:hint="eastAsia" w:ascii="黑体" w:eastAsia="黑体"/>
        </w:rPr>
        <w:t>二、收入决算情况说明</w:t>
      </w:r>
      <w:r>
        <w:tab/>
      </w:r>
      <w:r>
        <w:fldChar w:fldCharType="begin"/>
      </w:r>
      <w:r>
        <w:instrText xml:space="preserve"> PAGEREF _Toc31880 \h </w:instrText>
      </w:r>
      <w:r>
        <w:fldChar w:fldCharType="separate"/>
      </w:r>
      <w:r>
        <w:t>5</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_Toc16029 </w:instrText>
      </w:r>
      <w:r>
        <w:rPr>
          <w:smallCaps/>
          <w:szCs w:val="20"/>
        </w:rPr>
        <w:fldChar w:fldCharType="separate"/>
      </w:r>
      <w:r>
        <w:rPr>
          <w:rFonts w:hint="eastAsia" w:ascii="黑体" w:eastAsia="黑体"/>
        </w:rPr>
        <w:t>三、支出决算情况说明</w:t>
      </w:r>
      <w:r>
        <w:tab/>
      </w:r>
      <w:r>
        <w:fldChar w:fldCharType="begin"/>
      </w:r>
      <w:r>
        <w:instrText xml:space="preserve"> PAGEREF _Toc16029 \h </w:instrText>
      </w:r>
      <w:r>
        <w:fldChar w:fldCharType="separate"/>
      </w:r>
      <w:r>
        <w:t>6</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_Toc2342 </w:instrText>
      </w:r>
      <w:r>
        <w:rPr>
          <w:smallCaps/>
          <w:szCs w:val="20"/>
        </w:rPr>
        <w:fldChar w:fldCharType="separate"/>
      </w:r>
      <w:r>
        <w:rPr>
          <w:rFonts w:hint="eastAsia" w:ascii="黑体" w:eastAsia="黑体"/>
        </w:rPr>
        <w:t>四、财政拨款收入支出决算总体情况说明</w:t>
      </w:r>
      <w:r>
        <w:tab/>
      </w:r>
      <w:r>
        <w:fldChar w:fldCharType="begin"/>
      </w:r>
      <w:r>
        <w:instrText xml:space="preserve"> PAGEREF _Toc2342 \h </w:instrText>
      </w:r>
      <w:r>
        <w:fldChar w:fldCharType="separate"/>
      </w:r>
      <w:r>
        <w:t>7</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_Toc5924 </w:instrText>
      </w:r>
      <w:r>
        <w:rPr>
          <w:smallCaps/>
          <w:szCs w:val="20"/>
        </w:rPr>
        <w:fldChar w:fldCharType="separate"/>
      </w:r>
      <w:r>
        <w:rPr>
          <w:rFonts w:hint="eastAsia" w:ascii="黑体" w:eastAsia="黑体"/>
        </w:rPr>
        <w:t>五、一般公共预算财政拨款支出决算情况说明</w:t>
      </w:r>
      <w:r>
        <w:tab/>
      </w:r>
      <w:r>
        <w:fldChar w:fldCharType="begin"/>
      </w:r>
      <w:r>
        <w:instrText xml:space="preserve"> PAGEREF _Toc5924 \h </w:instrText>
      </w:r>
      <w:r>
        <w:fldChar w:fldCharType="separate"/>
      </w:r>
      <w:r>
        <w:t>8</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_Toc1161 </w:instrText>
      </w:r>
      <w:r>
        <w:rPr>
          <w:smallCaps/>
          <w:szCs w:val="20"/>
        </w:rPr>
        <w:fldChar w:fldCharType="separate"/>
      </w:r>
      <w:r>
        <w:rPr>
          <w:rFonts w:hint="eastAsia" w:ascii="黑体" w:eastAsia="黑体"/>
        </w:rPr>
        <w:t>六、一般公共预算财政拨款基本支出决算情况说明</w:t>
      </w:r>
      <w:r>
        <w:tab/>
      </w:r>
      <w:r>
        <w:fldChar w:fldCharType="begin"/>
      </w:r>
      <w:r>
        <w:instrText xml:space="preserve"> PAGEREF _Toc1161 \h </w:instrText>
      </w:r>
      <w:r>
        <w:fldChar w:fldCharType="separate"/>
      </w:r>
      <w:r>
        <w:t>11</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_Toc5544 </w:instrText>
      </w:r>
      <w:r>
        <w:rPr>
          <w:smallCaps/>
          <w:szCs w:val="20"/>
        </w:rPr>
        <w:fldChar w:fldCharType="separate"/>
      </w:r>
      <w:r>
        <w:rPr>
          <w:rFonts w:hint="eastAsia" w:ascii="黑体" w:eastAsia="黑体"/>
        </w:rPr>
        <w:t>七、“三公”经费财政拨款支出决算情况说明</w:t>
      </w:r>
      <w:r>
        <w:tab/>
      </w:r>
      <w:r>
        <w:fldChar w:fldCharType="begin"/>
      </w:r>
      <w:r>
        <w:instrText xml:space="preserve"> PAGEREF _Toc5544 \h </w:instrText>
      </w:r>
      <w:r>
        <w:fldChar w:fldCharType="separate"/>
      </w:r>
      <w:r>
        <w:t>11</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_Toc14358 </w:instrText>
      </w:r>
      <w:r>
        <w:rPr>
          <w:smallCaps/>
          <w:szCs w:val="20"/>
        </w:rPr>
        <w:fldChar w:fldCharType="separate"/>
      </w:r>
      <w:r>
        <w:rPr>
          <w:rFonts w:hint="eastAsia" w:ascii="黑体" w:eastAsia="黑体"/>
        </w:rPr>
        <w:t>八、政府性基金预算支出决算情况说明</w:t>
      </w:r>
      <w:r>
        <w:tab/>
      </w:r>
      <w:r>
        <w:fldChar w:fldCharType="begin"/>
      </w:r>
      <w:r>
        <w:instrText xml:space="preserve"> PAGEREF _Toc14358 \h </w:instrText>
      </w:r>
      <w:r>
        <w:fldChar w:fldCharType="separate"/>
      </w:r>
      <w:r>
        <w:t>13</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_Toc27229 </w:instrText>
      </w:r>
      <w:r>
        <w:rPr>
          <w:smallCaps/>
          <w:szCs w:val="20"/>
        </w:rPr>
        <w:fldChar w:fldCharType="separate"/>
      </w:r>
      <w:r>
        <w:rPr>
          <w:rFonts w:hint="eastAsia" w:ascii="黑体" w:eastAsia="黑体"/>
        </w:rPr>
        <w:t>九、国有资本经营预算支出决算情况说明</w:t>
      </w:r>
      <w:r>
        <w:tab/>
      </w:r>
      <w:r>
        <w:fldChar w:fldCharType="begin"/>
      </w:r>
      <w:r>
        <w:instrText xml:space="preserve"> PAGEREF _Toc27229 \h </w:instrText>
      </w:r>
      <w:r>
        <w:fldChar w:fldCharType="separate"/>
      </w:r>
      <w:r>
        <w:t>13</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_Toc30209 </w:instrText>
      </w:r>
      <w:r>
        <w:rPr>
          <w:smallCaps/>
          <w:szCs w:val="20"/>
        </w:rPr>
        <w:fldChar w:fldCharType="separate"/>
      </w:r>
      <w:r>
        <w:rPr>
          <w:rFonts w:hint="eastAsia" w:ascii="黑体" w:eastAsia="黑体"/>
        </w:rPr>
        <w:t>十、其他重要事项的情况说明</w:t>
      </w:r>
      <w:r>
        <w:tab/>
      </w:r>
      <w:r>
        <w:fldChar w:fldCharType="begin"/>
      </w:r>
      <w:r>
        <w:instrText xml:space="preserve"> PAGEREF _Toc30209 \h </w:instrText>
      </w:r>
      <w:r>
        <w:fldChar w:fldCharType="separate"/>
      </w:r>
      <w:r>
        <w:t>13</w:t>
      </w:r>
      <w:r>
        <w:fldChar w:fldCharType="end"/>
      </w:r>
      <w:r>
        <w:rPr>
          <w:smallCaps/>
          <w:szCs w:val="20"/>
        </w:rPr>
        <w:fldChar w:fldCharType="end"/>
      </w:r>
    </w:p>
    <w:p>
      <w:pPr>
        <w:pStyle w:val="191"/>
        <w:tabs>
          <w:tab w:val="right" w:leader="dot" w:pos="8306"/>
          <w:tab w:val="clear" w:pos="8296"/>
        </w:tabs>
      </w:pPr>
      <w:r>
        <w:rPr>
          <w:smallCaps/>
          <w:szCs w:val="20"/>
        </w:rPr>
        <w:fldChar w:fldCharType="begin"/>
      </w:r>
      <w:r>
        <w:rPr>
          <w:smallCaps/>
          <w:szCs w:val="20"/>
        </w:rPr>
        <w:instrText xml:space="preserve"> HYPERLINK \l _Toc24087 </w:instrText>
      </w:r>
      <w:r>
        <w:rPr>
          <w:smallCaps/>
          <w:szCs w:val="20"/>
        </w:rPr>
        <w:fldChar w:fldCharType="separate"/>
      </w:r>
      <w:r>
        <w:rPr>
          <w:rFonts w:hint="eastAsia" w:ascii="黑体" w:eastAsia="黑体" w:cs="黑体"/>
          <w:lang w:bidi="ar-SA"/>
        </w:rPr>
        <w:t>第三部分 名词解释</w:t>
      </w:r>
      <w:r>
        <w:tab/>
      </w:r>
      <w:r>
        <w:fldChar w:fldCharType="begin"/>
      </w:r>
      <w:r>
        <w:instrText xml:space="preserve"> PAGEREF _Toc24087 \h </w:instrText>
      </w:r>
      <w:r>
        <w:fldChar w:fldCharType="separate"/>
      </w:r>
      <w:r>
        <w:t>16</w:t>
      </w:r>
      <w:r>
        <w:fldChar w:fldCharType="end"/>
      </w:r>
      <w:r>
        <w:rPr>
          <w:smallCaps/>
          <w:szCs w:val="20"/>
        </w:rPr>
        <w:fldChar w:fldCharType="end"/>
      </w:r>
    </w:p>
    <w:p>
      <w:pPr>
        <w:pStyle w:val="191"/>
        <w:tabs>
          <w:tab w:val="right" w:leader="dot" w:pos="8306"/>
          <w:tab w:val="clear" w:pos="8296"/>
        </w:tabs>
      </w:pPr>
      <w:r>
        <w:rPr>
          <w:smallCaps/>
          <w:szCs w:val="20"/>
        </w:rPr>
        <w:fldChar w:fldCharType="begin"/>
      </w:r>
      <w:r>
        <w:rPr>
          <w:smallCaps/>
          <w:szCs w:val="20"/>
        </w:rPr>
        <w:instrText xml:space="preserve"> HYPERLINK \l _Toc28030 </w:instrText>
      </w:r>
      <w:r>
        <w:rPr>
          <w:smallCaps/>
          <w:szCs w:val="20"/>
        </w:rPr>
        <w:fldChar w:fldCharType="separate"/>
      </w:r>
      <w:r>
        <w:rPr>
          <w:rFonts w:hint="eastAsia" w:ascii="黑体" w:eastAsia="黑体" w:cs="黑体"/>
          <w:lang w:bidi="ar-SA"/>
        </w:rPr>
        <w:t>第四部分 附件</w:t>
      </w:r>
      <w:r>
        <w:tab/>
      </w:r>
      <w:r>
        <w:fldChar w:fldCharType="begin"/>
      </w:r>
      <w:r>
        <w:instrText xml:space="preserve"> PAGEREF _Toc28030 \h </w:instrText>
      </w:r>
      <w:r>
        <w:fldChar w:fldCharType="separate"/>
      </w:r>
      <w:r>
        <w:t>20</w:t>
      </w:r>
      <w:r>
        <w:fldChar w:fldCharType="end"/>
      </w:r>
      <w:r>
        <w:rPr>
          <w:smallCaps/>
          <w:szCs w:val="20"/>
        </w:rPr>
        <w:fldChar w:fldCharType="end"/>
      </w:r>
    </w:p>
    <w:p>
      <w:pPr>
        <w:pStyle w:val="191"/>
        <w:tabs>
          <w:tab w:val="right" w:leader="dot" w:pos="8306"/>
          <w:tab w:val="clear" w:pos="8296"/>
        </w:tabs>
      </w:pPr>
      <w:r>
        <w:rPr>
          <w:smallCaps/>
          <w:szCs w:val="20"/>
        </w:rPr>
        <w:fldChar w:fldCharType="begin"/>
      </w:r>
      <w:r>
        <w:rPr>
          <w:smallCaps/>
          <w:szCs w:val="20"/>
        </w:rPr>
        <w:instrText xml:space="preserve"> HYPERLINK \l _Toc28224 </w:instrText>
      </w:r>
      <w:r>
        <w:rPr>
          <w:smallCaps/>
          <w:szCs w:val="20"/>
        </w:rPr>
        <w:fldChar w:fldCharType="separate"/>
      </w:r>
      <w:r>
        <w:rPr>
          <w:rFonts w:hint="eastAsia" w:ascii="黑体" w:eastAsia="黑体" w:cs="黑体"/>
          <w:lang w:bidi="ar-SA"/>
        </w:rPr>
        <w:t>第五部分 附表</w:t>
      </w:r>
      <w:r>
        <w:tab/>
      </w:r>
      <w:r>
        <w:fldChar w:fldCharType="begin"/>
      </w:r>
      <w:r>
        <w:instrText xml:space="preserve"> PAGEREF _Toc28224 \h </w:instrText>
      </w:r>
      <w:r>
        <w:fldChar w:fldCharType="separate"/>
      </w:r>
      <w:r>
        <w:t>26</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_Toc3402 </w:instrText>
      </w:r>
      <w:r>
        <w:rPr>
          <w:smallCaps/>
          <w:szCs w:val="20"/>
        </w:rPr>
        <w:fldChar w:fldCharType="separate"/>
      </w:r>
      <w:r>
        <w:rPr>
          <w:rFonts w:hint="eastAsia" w:ascii="黑体" w:eastAsia="黑体"/>
        </w:rPr>
        <w:t>一、收入支出决算总表</w:t>
      </w:r>
      <w:r>
        <w:tab/>
      </w:r>
      <w:r>
        <w:fldChar w:fldCharType="begin"/>
      </w:r>
      <w:r>
        <w:instrText xml:space="preserve"> PAGEREF _Toc3402 \h </w:instrText>
      </w:r>
      <w:r>
        <w:fldChar w:fldCharType="separate"/>
      </w:r>
      <w:r>
        <w:t>26</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_Toc431 </w:instrText>
      </w:r>
      <w:r>
        <w:rPr>
          <w:smallCaps/>
          <w:szCs w:val="20"/>
        </w:rPr>
        <w:fldChar w:fldCharType="separate"/>
      </w:r>
      <w:r>
        <w:rPr>
          <w:rFonts w:hint="eastAsia" w:ascii="黑体" w:eastAsia="黑体"/>
        </w:rPr>
        <w:t>二、收入决算表</w:t>
      </w:r>
      <w:r>
        <w:tab/>
      </w:r>
      <w:r>
        <w:fldChar w:fldCharType="begin"/>
      </w:r>
      <w:r>
        <w:instrText xml:space="preserve"> PAGEREF _Toc431 \h </w:instrText>
      </w:r>
      <w:r>
        <w:fldChar w:fldCharType="separate"/>
      </w:r>
      <w:r>
        <w:t>26</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_Toc20387 </w:instrText>
      </w:r>
      <w:r>
        <w:rPr>
          <w:smallCaps/>
          <w:szCs w:val="20"/>
        </w:rPr>
        <w:fldChar w:fldCharType="separate"/>
      </w:r>
      <w:r>
        <w:rPr>
          <w:rFonts w:hint="eastAsia" w:ascii="黑体" w:eastAsia="黑体"/>
        </w:rPr>
        <w:t>三、支出决算表</w:t>
      </w:r>
      <w:r>
        <w:tab/>
      </w:r>
      <w:r>
        <w:fldChar w:fldCharType="begin"/>
      </w:r>
      <w:r>
        <w:instrText xml:space="preserve"> PAGEREF _Toc20387 \h </w:instrText>
      </w:r>
      <w:r>
        <w:fldChar w:fldCharType="separate"/>
      </w:r>
      <w:r>
        <w:t>26</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_Toc17740 </w:instrText>
      </w:r>
      <w:r>
        <w:rPr>
          <w:smallCaps/>
          <w:szCs w:val="20"/>
        </w:rPr>
        <w:fldChar w:fldCharType="separate"/>
      </w:r>
      <w:r>
        <w:rPr>
          <w:rFonts w:hint="eastAsia" w:ascii="黑体" w:eastAsia="黑体"/>
        </w:rPr>
        <w:t>四、财政拨款收入支出决算总表</w:t>
      </w:r>
      <w:r>
        <w:tab/>
      </w:r>
      <w:r>
        <w:fldChar w:fldCharType="begin"/>
      </w:r>
      <w:r>
        <w:instrText xml:space="preserve"> PAGEREF _Toc17740 \h </w:instrText>
      </w:r>
      <w:r>
        <w:fldChar w:fldCharType="separate"/>
      </w:r>
      <w:r>
        <w:t>26</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_Toc25329 </w:instrText>
      </w:r>
      <w:r>
        <w:rPr>
          <w:smallCaps/>
          <w:szCs w:val="20"/>
        </w:rPr>
        <w:fldChar w:fldCharType="separate"/>
      </w:r>
      <w:r>
        <w:rPr>
          <w:rFonts w:hint="eastAsia" w:ascii="黑体" w:eastAsia="黑体"/>
        </w:rPr>
        <w:t>五、财政拨款支出决算明细表</w:t>
      </w:r>
      <w:r>
        <w:tab/>
      </w:r>
      <w:r>
        <w:fldChar w:fldCharType="begin"/>
      </w:r>
      <w:r>
        <w:instrText xml:space="preserve"> PAGEREF _Toc25329 \h </w:instrText>
      </w:r>
      <w:r>
        <w:fldChar w:fldCharType="separate"/>
      </w:r>
      <w:r>
        <w:t>26</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_Toc30358 </w:instrText>
      </w:r>
      <w:r>
        <w:rPr>
          <w:smallCaps/>
          <w:szCs w:val="20"/>
        </w:rPr>
        <w:fldChar w:fldCharType="separate"/>
      </w:r>
      <w:r>
        <w:rPr>
          <w:rFonts w:hint="eastAsia" w:ascii="黑体" w:eastAsia="黑体"/>
        </w:rPr>
        <w:t>六、一般公共预算财政拨款支出决算表</w:t>
      </w:r>
      <w:r>
        <w:tab/>
      </w:r>
      <w:r>
        <w:fldChar w:fldCharType="begin"/>
      </w:r>
      <w:r>
        <w:instrText xml:space="preserve"> PAGEREF _Toc30358 \h </w:instrText>
      </w:r>
      <w:r>
        <w:fldChar w:fldCharType="separate"/>
      </w:r>
      <w:r>
        <w:t>26</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_Toc31905 </w:instrText>
      </w:r>
      <w:r>
        <w:rPr>
          <w:smallCaps/>
          <w:szCs w:val="20"/>
        </w:rPr>
        <w:fldChar w:fldCharType="separate"/>
      </w:r>
      <w:r>
        <w:rPr>
          <w:rFonts w:hint="eastAsia" w:ascii="黑体" w:eastAsia="黑体"/>
        </w:rPr>
        <w:t>七、一般公共预算财政拨款支出决算明细表</w:t>
      </w:r>
      <w:r>
        <w:tab/>
      </w:r>
      <w:r>
        <w:fldChar w:fldCharType="begin"/>
      </w:r>
      <w:r>
        <w:instrText xml:space="preserve"> PAGEREF _Toc31905 \h </w:instrText>
      </w:r>
      <w:r>
        <w:fldChar w:fldCharType="separate"/>
      </w:r>
      <w:r>
        <w:t>26</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_Toc21377 </w:instrText>
      </w:r>
      <w:r>
        <w:rPr>
          <w:smallCaps/>
          <w:szCs w:val="20"/>
        </w:rPr>
        <w:fldChar w:fldCharType="separate"/>
      </w:r>
      <w:r>
        <w:rPr>
          <w:rFonts w:hint="eastAsia" w:ascii="黑体" w:eastAsia="黑体"/>
        </w:rPr>
        <w:t>八、一般公共预算财政拨款基本支出决算表</w:t>
      </w:r>
      <w:r>
        <w:tab/>
      </w:r>
      <w:r>
        <w:fldChar w:fldCharType="begin"/>
      </w:r>
      <w:r>
        <w:instrText xml:space="preserve"> PAGEREF _Toc21377 \h </w:instrText>
      </w:r>
      <w:r>
        <w:fldChar w:fldCharType="separate"/>
      </w:r>
      <w:r>
        <w:t>26</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_Toc20491 </w:instrText>
      </w:r>
      <w:r>
        <w:rPr>
          <w:smallCaps/>
          <w:szCs w:val="20"/>
        </w:rPr>
        <w:fldChar w:fldCharType="separate"/>
      </w:r>
      <w:r>
        <w:rPr>
          <w:rFonts w:hint="eastAsia" w:ascii="黑体" w:eastAsia="黑体"/>
        </w:rPr>
        <w:t>九、一般公共预算财政拨款项目支出决算表</w:t>
      </w:r>
      <w:r>
        <w:tab/>
      </w:r>
      <w:r>
        <w:fldChar w:fldCharType="begin"/>
      </w:r>
      <w:r>
        <w:instrText xml:space="preserve"> PAGEREF _Toc20491 \h </w:instrText>
      </w:r>
      <w:r>
        <w:fldChar w:fldCharType="separate"/>
      </w:r>
      <w:r>
        <w:t>26</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_Toc25177 </w:instrText>
      </w:r>
      <w:r>
        <w:rPr>
          <w:smallCaps/>
          <w:szCs w:val="20"/>
        </w:rPr>
        <w:fldChar w:fldCharType="separate"/>
      </w:r>
      <w:r>
        <w:rPr>
          <w:rFonts w:hint="eastAsia" w:ascii="黑体" w:eastAsia="黑体"/>
        </w:rPr>
        <w:t>十、政府性基金预算财政拨款收入支出决算表</w:t>
      </w:r>
      <w:r>
        <w:tab/>
      </w:r>
      <w:r>
        <w:fldChar w:fldCharType="begin"/>
      </w:r>
      <w:r>
        <w:instrText xml:space="preserve"> PAGEREF _Toc25177 \h </w:instrText>
      </w:r>
      <w:r>
        <w:fldChar w:fldCharType="separate"/>
      </w:r>
      <w:r>
        <w:t>26</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_Toc12636 </w:instrText>
      </w:r>
      <w:r>
        <w:rPr>
          <w:smallCaps/>
          <w:szCs w:val="20"/>
        </w:rPr>
        <w:fldChar w:fldCharType="separate"/>
      </w:r>
      <w:r>
        <w:rPr>
          <w:rFonts w:hint="eastAsia" w:ascii="黑体" w:eastAsia="黑体"/>
        </w:rPr>
        <w:t>十一、国有资本经营预算财政拨款收入支出决算表</w:t>
      </w:r>
      <w:r>
        <w:tab/>
      </w:r>
      <w:r>
        <w:fldChar w:fldCharType="begin"/>
      </w:r>
      <w:r>
        <w:instrText xml:space="preserve"> PAGEREF _Toc12636 \h </w:instrText>
      </w:r>
      <w:r>
        <w:fldChar w:fldCharType="separate"/>
      </w:r>
      <w:r>
        <w:t>26</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_Toc6526 </w:instrText>
      </w:r>
      <w:r>
        <w:rPr>
          <w:smallCaps/>
          <w:szCs w:val="20"/>
        </w:rPr>
        <w:fldChar w:fldCharType="separate"/>
      </w:r>
      <w:r>
        <w:rPr>
          <w:rFonts w:hint="eastAsia" w:ascii="黑体" w:eastAsia="黑体"/>
        </w:rPr>
        <w:t>十二、国有资本经营预算财政拨款支出决算表</w:t>
      </w:r>
      <w:r>
        <w:tab/>
      </w:r>
      <w:r>
        <w:fldChar w:fldCharType="begin"/>
      </w:r>
      <w:r>
        <w:instrText xml:space="preserve"> PAGEREF _Toc6526 \h </w:instrText>
      </w:r>
      <w:r>
        <w:fldChar w:fldCharType="separate"/>
      </w:r>
      <w:r>
        <w:t>26</w:t>
      </w:r>
      <w:r>
        <w:fldChar w:fldCharType="end"/>
      </w:r>
      <w:r>
        <w:rPr>
          <w:smallCaps/>
          <w:szCs w:val="20"/>
        </w:rPr>
        <w:fldChar w:fldCharType="end"/>
      </w:r>
    </w:p>
    <w:p>
      <w:pPr>
        <w:pStyle w:val="193"/>
        <w:tabs>
          <w:tab w:val="right" w:leader="dot" w:pos="8306"/>
          <w:tab w:val="clear" w:pos="8296"/>
        </w:tabs>
      </w:pPr>
      <w:r>
        <w:rPr>
          <w:smallCaps/>
          <w:szCs w:val="20"/>
        </w:rPr>
        <w:fldChar w:fldCharType="begin"/>
      </w:r>
      <w:r>
        <w:rPr>
          <w:smallCaps/>
          <w:szCs w:val="20"/>
        </w:rPr>
        <w:instrText xml:space="preserve"> HYPERLINK \l _Toc27852 </w:instrText>
      </w:r>
      <w:r>
        <w:rPr>
          <w:smallCaps/>
          <w:szCs w:val="20"/>
        </w:rPr>
        <w:fldChar w:fldCharType="separate"/>
      </w:r>
      <w:r>
        <w:rPr>
          <w:rFonts w:hint="eastAsia" w:ascii="黑体" w:eastAsia="黑体"/>
        </w:rPr>
        <w:t>十三、财政拨款“三公”经费支出决算表</w:t>
      </w:r>
      <w:r>
        <w:tab/>
      </w:r>
      <w:r>
        <w:fldChar w:fldCharType="begin"/>
      </w:r>
      <w:r>
        <w:instrText xml:space="preserve"> PAGEREF _Toc27852 \h </w:instrText>
      </w:r>
      <w:r>
        <w:fldChar w:fldCharType="separate"/>
      </w:r>
      <w:r>
        <w:t>26</w:t>
      </w:r>
      <w:r>
        <w:fldChar w:fldCharType="end"/>
      </w:r>
      <w:r>
        <w:rPr>
          <w:smallCaps/>
          <w:szCs w:val="20"/>
        </w:rPr>
        <w:fldChar w:fldCharType="end"/>
      </w:r>
    </w:p>
    <w:p>
      <w:pPr>
        <w:pStyle w:val="2"/>
      </w:pPr>
      <w:r>
        <w:rPr>
          <w:smallCaps/>
          <w:szCs w:val="20"/>
        </w:rPr>
        <w:fldChar w:fldCharType="end"/>
      </w:r>
    </w:p>
    <w:p>
      <w:pPr>
        <w:pStyle w:val="181"/>
        <w:jc w:val="center"/>
        <w:rPr>
          <w:rFonts w:hint="eastAsia" w:ascii="黑体" w:eastAsia="黑体" w:cs="黑体"/>
          <w:b w:val="0"/>
          <w:bCs w:val="0"/>
          <w:lang w:bidi="ar-SA"/>
        </w:rPr>
      </w:pPr>
      <w:bookmarkStart w:id="13" w:name="_Toc23559"/>
      <w:bookmarkStart w:id="14" w:name="_Toc111208495"/>
      <w:r>
        <w:rPr>
          <w:rFonts w:hint="eastAsia" w:ascii="黑体" w:eastAsia="黑体" w:cs="黑体"/>
          <w:lang w:bidi="ar-SA"/>
        </w:rPr>
        <w:t xml:space="preserve">第一部分 </w:t>
      </w:r>
      <w:r>
        <w:rPr>
          <w:rStyle w:val="207"/>
          <w:rFonts w:hint="eastAsia" w:ascii="黑体" w:eastAsia="黑体" w:cs="黑体"/>
          <w:b w:val="0"/>
          <w:bCs w:val="0"/>
          <w:lang w:bidi="ar-SA"/>
        </w:rPr>
        <w:t>部门概况</w:t>
      </w:r>
      <w:bookmarkEnd w:id="3"/>
    </w:p>
    <w:p>
      <w:pPr>
        <w:pStyle w:val="182"/>
        <w:ind w:firstLine="640"/>
        <w:rPr>
          <w:rFonts w:hint="eastAsia" w:ascii="黑体" w:eastAsia="黑体"/>
          <w:bCs w:val="0"/>
          <w:color w:val="000000"/>
        </w:rPr>
      </w:pPr>
      <w:bookmarkStart w:id="15" w:name="_Toc111208496"/>
      <w:bookmarkStart w:id="16" w:name="_Toc15377197"/>
      <w:bookmarkStart w:id="17" w:name="_Toc16324"/>
      <w:r>
        <w:rPr>
          <w:rFonts w:hint="eastAsia" w:ascii="黑体" w:eastAsia="黑体"/>
          <w:bCs w:val="0"/>
          <w:color w:val="000000"/>
        </w:rPr>
        <w:t>一、</w:t>
      </w:r>
      <w:bookmarkEnd w:id="4"/>
      <w:bookmarkStart w:id="18" w:name="_Toc15378445"/>
      <w:bookmarkStart w:id="19" w:name="_Toc15377198"/>
      <w:r>
        <w:rPr>
          <w:rFonts w:hint="eastAsia" w:ascii="黑体" w:eastAsia="黑体"/>
          <w:bCs w:val="0"/>
          <w:color w:val="000000"/>
        </w:rPr>
        <w:t>部门职责</w:t>
      </w:r>
      <w:bookmarkEnd w:id="5"/>
    </w:p>
    <w:bookmarkEnd w:id="6"/>
    <w:p>
      <w:pPr>
        <w:rPr>
          <w:rFonts w:hint="eastAsia" w:ascii="仿宋" w:eastAsia="仿宋"/>
          <w:color w:val="000000"/>
          <w:sz w:val="32"/>
          <w:szCs w:val="32"/>
        </w:rPr>
      </w:pPr>
      <w:r>
        <w:rPr>
          <w:rFonts w:hint="eastAsia" w:ascii="仿宋" w:eastAsia="仿宋"/>
          <w:color w:val="000000"/>
          <w:sz w:val="32"/>
          <w:szCs w:val="32"/>
        </w:rPr>
        <w:t>一、基本职能及主要工作</w:t>
      </w:r>
    </w:p>
    <w:p>
      <w:pPr>
        <w:rPr>
          <w:rFonts w:hint="eastAsia" w:ascii="仿宋" w:eastAsia="仿宋"/>
          <w:color w:val="000000"/>
          <w:sz w:val="32"/>
          <w:szCs w:val="32"/>
        </w:rPr>
      </w:pPr>
      <w:r>
        <w:rPr>
          <w:rFonts w:hint="eastAsia" w:ascii="仿宋" w:eastAsia="仿宋"/>
          <w:color w:val="000000"/>
          <w:sz w:val="32"/>
          <w:szCs w:val="32"/>
        </w:rPr>
        <w:t>（一）主要职能</w:t>
      </w:r>
    </w:p>
    <w:p>
      <w:pPr>
        <w:rPr>
          <w:rFonts w:hint="eastAsia"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贯彻落实加强党对统一战线工作集中统一领导的要求，发挥县委在统战工作方面的参谋机构、组织协调机构、具体执行机构、督促检查机构作用，了解情况、掌握政策、协调关系、安排人事、增进共识、加强团结。</w:t>
      </w:r>
    </w:p>
    <w:p>
      <w:pPr>
        <w:rPr>
          <w:rFonts w:hint="eastAsia"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2.推动落实统一战线工作的政策，深入调查研究，向县委反映统一战线工作情况，提出开展统战工作的意见和建议；负责协调、监督全县统一战线工作。</w:t>
      </w:r>
      <w:r>
        <w:rPr>
          <w:rFonts w:hint="eastAsia" w:ascii="仿宋" w:eastAsia="仿宋"/>
          <w:color w:val="000000"/>
          <w:sz w:val="32"/>
          <w:szCs w:val="32"/>
        </w:rPr>
        <w:tab/>
      </w:r>
    </w:p>
    <w:p>
      <w:pPr>
        <w:rPr>
          <w:rFonts w:hint="eastAsia" w:ascii="仿宋" w:eastAsia="仿宋"/>
          <w:color w:val="000000"/>
          <w:sz w:val="32"/>
          <w:szCs w:val="32"/>
        </w:rPr>
      </w:pPr>
      <w:r>
        <w:rPr>
          <w:rFonts w:hint="eastAsia" w:ascii="仿宋" w:eastAsia="仿宋"/>
          <w:color w:val="000000"/>
          <w:sz w:val="32"/>
          <w:szCs w:val="32"/>
        </w:rPr>
        <w:t xml:space="preserve">  3.完成县委交办的其他任务。</w:t>
      </w:r>
    </w:p>
    <w:p>
      <w:pPr>
        <w:rPr>
          <w:rFonts w:hint="eastAsia" w:ascii="仿宋" w:eastAsia="仿宋"/>
          <w:color w:val="000000"/>
          <w:sz w:val="32"/>
          <w:szCs w:val="32"/>
        </w:rPr>
      </w:pPr>
      <w:r>
        <w:rPr>
          <w:rFonts w:hint="eastAsia" w:ascii="仿宋" w:eastAsia="仿宋"/>
          <w:color w:val="000000"/>
          <w:sz w:val="32"/>
          <w:szCs w:val="32"/>
        </w:rPr>
        <w:t>（二）2022重点工作完成情况</w:t>
      </w:r>
    </w:p>
    <w:p>
      <w:pPr>
        <w:rPr>
          <w:rFonts w:hint="eastAsia"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1.推动民族宗教事务依法管理。</w:t>
      </w:r>
    </w:p>
    <w:p>
      <w:pPr>
        <w:rPr>
          <w:rFonts w:hint="eastAsia"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2.严格落实“联寺联僧”制度。</w:t>
      </w:r>
    </w:p>
    <w:p>
      <w:pPr>
        <w:rPr>
          <w:rFonts w:hint="eastAsia"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3.巩固提升民族团结进步创建成果。</w:t>
      </w:r>
    </w:p>
    <w:p>
      <w:pPr>
        <w:rPr>
          <w:rFonts w:hint="eastAsia"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4.发挥党外知识分子和新的社会阶层人士积极作用。</w:t>
      </w:r>
      <w:bookmarkStart w:id="20" w:name="_Toc15377200"/>
    </w:p>
    <w:p>
      <w:pPr>
        <w:pStyle w:val="182"/>
        <w:ind w:firstLine="314"/>
        <w:rPr>
          <w:rFonts w:hint="eastAsia" w:ascii="黑体" w:eastAsia="黑体"/>
          <w:bCs w:val="0"/>
          <w:color w:val="000000"/>
        </w:rPr>
      </w:pPr>
      <w:bookmarkStart w:id="21" w:name="_Toc111208497"/>
      <w:bookmarkStart w:id="22" w:name="_Toc26065"/>
      <w:r>
        <w:rPr>
          <w:rFonts w:hint="eastAsia" w:ascii="黑体" w:eastAsia="黑体"/>
          <w:bCs w:val="0"/>
          <w:color w:val="000000"/>
        </w:rPr>
        <w:t>二、机构设置</w:t>
      </w:r>
      <w:bookmarkEnd w:id="7"/>
      <w:bookmarkEnd w:id="8"/>
      <w:bookmarkEnd w:id="9"/>
    </w:p>
    <w:p>
      <w:pPr>
        <w:ind w:firstLine="640"/>
        <w:rPr>
          <w:rFonts w:hint="eastAsia" w:ascii="仿宋" w:eastAsia="仿宋"/>
          <w:color w:val="000000"/>
          <w:sz w:val="32"/>
          <w:szCs w:val="32"/>
        </w:rPr>
      </w:pPr>
      <w:r>
        <w:rPr>
          <w:rFonts w:hint="eastAsia" w:ascii="仿宋" w:eastAsia="仿宋"/>
          <w:color w:val="000000"/>
          <w:sz w:val="32"/>
          <w:szCs w:val="32"/>
        </w:rPr>
        <w:t>中国共产党茂县委员会统一战线工作部属一级预算单位，下属二级单位0个，其中行政单位1个，参照公务员法管理事业单位0个，其他事业单位0个。</w:t>
      </w:r>
    </w:p>
    <w:p>
      <w:pPr>
        <w:widowControl/>
        <w:jc w:val="left"/>
        <w:rPr>
          <w:rFonts w:hint="eastAsia" w:ascii="仿宋_GB2312" w:eastAsia="仿宋_GB2312"/>
          <w:b/>
          <w:bCs/>
          <w:color w:val="000000"/>
          <w:sz w:val="44"/>
          <w:szCs w:val="44"/>
        </w:rPr>
      </w:pPr>
      <w:bookmarkStart w:id="23" w:name="_Toc15377204"/>
      <w:r>
        <w:rPr>
          <w:rFonts w:hint="eastAsia" w:ascii="仿宋_GB2312" w:eastAsia="仿宋_GB2312"/>
          <w:color w:val="000000"/>
        </w:rPr>
        <w:br w:type="page" w:clear="all"/>
      </w:r>
    </w:p>
    <w:p>
      <w:pPr>
        <w:pStyle w:val="181"/>
        <w:jc w:val="center"/>
        <w:rPr>
          <w:rFonts w:hint="eastAsia" w:ascii="黑体" w:eastAsia="黑体" w:cs="黑体"/>
          <w:lang w:bidi="ar-SA"/>
        </w:rPr>
      </w:pPr>
      <w:bookmarkStart w:id="24" w:name="_Toc111208498"/>
      <w:bookmarkStart w:id="25" w:name="_Toc25482"/>
      <w:r>
        <w:rPr>
          <w:rFonts w:hint="eastAsia" w:ascii="黑体" w:eastAsia="黑体" w:cs="黑体"/>
          <w:lang w:bidi="ar-SA"/>
        </w:rPr>
        <w:t>第二部分 2022年度部门决算情况说明</w:t>
      </w:r>
      <w:bookmarkEnd w:id="10"/>
      <w:bookmarkEnd w:id="11"/>
      <w:bookmarkEnd w:id="12"/>
    </w:p>
    <w:p>
      <w:pPr>
        <w:pStyle w:val="182"/>
        <w:ind w:firstLine="640"/>
        <w:rPr>
          <w:rFonts w:hint="eastAsia" w:ascii="黑体" w:eastAsia="黑体"/>
          <w:bCs w:val="0"/>
          <w:color w:val="000000"/>
        </w:rPr>
      </w:pPr>
      <w:bookmarkStart w:id="26" w:name="_Toc15377205"/>
      <w:bookmarkStart w:id="27" w:name="_Toc111208499"/>
      <w:bookmarkStart w:id="28" w:name="_Toc12206"/>
      <w:r>
        <w:rPr>
          <w:rFonts w:hint="eastAsia" w:ascii="黑体" w:eastAsia="黑体"/>
          <w:bCs w:val="0"/>
          <w:color w:val="000000"/>
        </w:rPr>
        <w:t>一、收入支出决算总体情况说</w:t>
      </w:r>
      <w:bookmarkEnd w:id="13"/>
      <w:r>
        <w:rPr>
          <w:rFonts w:hint="eastAsia" w:ascii="黑体" w:eastAsia="黑体"/>
          <w:bCs w:val="0"/>
          <w:color w:val="000000"/>
        </w:rPr>
        <w:t>明</w:t>
      </w:r>
      <w:bookmarkEnd w:id="14"/>
      <w:bookmarkEnd w:id="15"/>
    </w:p>
    <w:p>
      <w:pPr>
        <w:spacing w:line="600" w:lineRule="exact"/>
        <w:ind w:firstLine="640"/>
        <w:rPr>
          <w:rFonts w:hint="eastAsia" w:ascii="仿宋_GB2312" w:eastAsia="仿宋_GB2312"/>
          <w:color w:val="00B0F0"/>
          <w:sz w:val="32"/>
          <w:szCs w:val="32"/>
        </w:rPr>
      </w:pPr>
      <w:r>
        <w:rPr>
          <w:rFonts w:hint="eastAsia" w:ascii="仿宋" w:eastAsia="仿宋"/>
          <w:color w:val="000000"/>
          <w:sz w:val="32"/>
          <w:szCs w:val="32"/>
        </w:rPr>
        <w:t>2022年度收、支总计312.54万元。与2021年相比，收、支总计各增加7.56万元，增加2.48%。</w:t>
      </w:r>
      <w:r>
        <w:rPr>
          <w:rFonts w:hint="eastAsia" w:ascii="仿宋" w:eastAsia="仿宋"/>
          <w:color w:val="000000"/>
          <w:sz w:val="32"/>
        </w:rPr>
        <w:t>主要变动原因是工资标准增加，人员支出增加，社会保险福利支出增加。</w:t>
      </w:r>
    </w:p>
    <w:p>
      <w:pPr>
        <w:spacing w:line="600" w:lineRule="exact"/>
        <w:ind w:firstLine="640"/>
        <w:jc w:val="right"/>
        <w:rPr>
          <w:rFonts w:hint="eastAsia" w:ascii="仿宋_GB2312" w:eastAsia="仿宋_GB2312"/>
          <w:color w:val="000000"/>
          <w:sz w:val="28"/>
          <w:szCs w:val="28"/>
        </w:rPr>
      </w:pPr>
      <w:r>
        <w:rPr>
          <w:rFonts w:hint="eastAsia" w:ascii="仿宋" w:eastAsia="仿宋"/>
          <w:color w:val="000000"/>
          <w:sz w:val="32"/>
          <w:szCs w:val="32"/>
        </w:rPr>
        <w:t>（图1：收、支决算总计变动情况图）</w:t>
      </w:r>
    </w:p>
    <w:p>
      <w:pPr>
        <w:spacing w:line="600" w:lineRule="exact"/>
        <w:ind w:firstLine="560"/>
        <w:jc w:val="center"/>
        <w:rPr>
          <w:rFonts w:hint="eastAsia" w:ascii="仿宋_GB2312" w:eastAsia="仿宋_GB2312"/>
          <w:color w:val="000000"/>
          <w:sz w:val="28"/>
          <w:szCs w:val="28"/>
        </w:rPr>
      </w:pPr>
    </w:p>
    <w:p>
      <w:pPr>
        <w:pStyle w:val="2"/>
      </w:pPr>
      <w:r>
        <w:object>
          <v:shape id="_x0000_i1025" o:spt="75" type="#_x0000_t75" style="height:232.5pt;width:421.5pt;" o:ole="t" filled="f" o:preferrelative="t" stroked="f" coordsize="21600,21600">
            <v:path/>
            <v:fill on="f" focussize="0,0"/>
            <v:stroke on="f" joinstyle="miter"/>
            <v:imagedata r:id="rId6" o:title=""/>
            <o:lock v:ext="edit" rotation="t" aspectratio="t"/>
            <w10:wrap type="none"/>
            <w10:anchorlock/>
          </v:shape>
          <o:OLEObject Type="Embed" ProgID="" ShapeID="_x0000_i1025" DrawAspect="Content" ObjectID="_1468075725">
            <o:LockedField>false</o:LockedField>
          </o:OLEObject>
        </w:object>
      </w:r>
    </w:p>
    <w:p>
      <w:pPr>
        <w:pStyle w:val="182"/>
        <w:ind w:firstLine="640"/>
        <w:rPr>
          <w:rFonts w:hint="eastAsia" w:ascii="黑体" w:eastAsia="黑体"/>
          <w:bCs w:val="0"/>
          <w:color w:val="000000"/>
        </w:rPr>
      </w:pPr>
      <w:bookmarkStart w:id="29" w:name="_Toc111208500"/>
      <w:bookmarkStart w:id="30" w:name="_Toc31880"/>
      <w:bookmarkStart w:id="31" w:name="_Toc15377206"/>
      <w:r>
        <w:rPr>
          <w:rFonts w:hint="eastAsia" w:ascii="黑体" w:eastAsia="黑体"/>
          <w:bCs w:val="0"/>
          <w:color w:val="000000"/>
        </w:rPr>
        <w:t>二、收入决算情况说明</w:t>
      </w:r>
      <w:bookmarkEnd w:id="16"/>
      <w:bookmarkEnd w:id="17"/>
      <w:bookmarkEnd w:id="18"/>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2022</w:t>
      </w:r>
      <w:r>
        <w:rPr>
          <w:rFonts w:hint="eastAsia" w:ascii="仿宋" w:eastAsia="仿宋"/>
          <w:color w:val="000000"/>
          <w:sz w:val="32"/>
        </w:rPr>
        <w:t>年本年收入合计312.54万元，</w:t>
      </w:r>
      <w:r>
        <w:rPr>
          <w:rFonts w:hint="eastAsia" w:ascii="仿宋" w:eastAsia="仿宋"/>
          <w:color w:val="000000"/>
          <w:sz w:val="32"/>
          <w:szCs w:val="32"/>
        </w:rPr>
        <w:t>与2021年相比，收入增加7.56万元，增加2.48%。</w:t>
      </w:r>
      <w:r>
        <w:rPr>
          <w:rFonts w:hint="eastAsia" w:ascii="仿宋" w:eastAsia="仿宋"/>
          <w:color w:val="000000"/>
          <w:sz w:val="32"/>
        </w:rPr>
        <w:t>主要变动原因是工资标准增加，人员支出增加，社会保险福利支出增加。其中：一般公共预算财政拨款收入312.54万元，占100%；政府性基金预算财政拨款收入0万元；国有资本经营预算财政拨款收入0万元；上级补助收入0万元；事业收入0万元；经营收入0万元；附属单位上缴收入0万元；其他收入0万元。</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（图2：收入决算结构图）</w:t>
      </w:r>
    </w:p>
    <w:p>
      <w:pPr>
        <w:pStyle w:val="192"/>
        <w:jc w:val="center"/>
      </w:pPr>
      <w:r>
        <w:rPr>
          <w:rFonts w:ascii="仿宋_GB2312" w:eastAsia="仿宋_GB2312"/>
          <w:color w:val="FF0000"/>
          <w:sz w:val="32"/>
          <w:szCs w:val="32"/>
        </w:rPr>
        <w:object>
          <v:shape id="_x0000_i1026" o:spt="75" type="#_x0000_t75" style="height:268.5pt;width:421.5pt;" o:ole="t" filled="f" o:preferrelative="t" stroked="f" coordsize="21600,21600">
            <v:path/>
            <v:fill on="f" focussize="0,0"/>
            <v:stroke on="f" joinstyle="miter"/>
            <v:imagedata r:id="rId7" o:title=""/>
            <o:lock v:ext="edit" rotation="t" aspectratio="t"/>
            <w10:wrap type="none"/>
            <w10:anchorlock/>
          </v:shape>
          <o:OLEObject Type="Embed" ProgID="" ShapeID="_x0000_i1026" DrawAspect="Content" ObjectID="_1468075726">
            <o:LockedField>false</o:LockedField>
          </o:OLEObject>
        </w:object>
      </w:r>
    </w:p>
    <w:p>
      <w:pPr>
        <w:pStyle w:val="182"/>
        <w:ind w:firstLine="640"/>
        <w:rPr>
          <w:rFonts w:hint="eastAsia" w:ascii="黑体" w:eastAsia="黑体"/>
          <w:bCs w:val="0"/>
          <w:color w:val="000000"/>
        </w:rPr>
      </w:pPr>
      <w:bookmarkStart w:id="32" w:name="_Toc16029"/>
      <w:bookmarkStart w:id="33" w:name="_Toc15377207"/>
      <w:bookmarkStart w:id="34" w:name="_Toc111208501"/>
      <w:r>
        <w:rPr>
          <w:rFonts w:hint="eastAsia" w:ascii="黑体" w:eastAsia="黑体"/>
          <w:bCs w:val="0"/>
          <w:color w:val="000000"/>
        </w:rPr>
        <w:t>三、支出决算情况说明</w:t>
      </w:r>
      <w:bookmarkEnd w:id="19"/>
      <w:bookmarkEnd w:id="20"/>
      <w:bookmarkEnd w:id="21"/>
    </w:p>
    <w:p>
      <w:pPr>
        <w:pStyle w:val="2"/>
        <w:rPr>
          <w:rFonts w:hint="eastAsia" w:ascii="仿宋" w:eastAsia="仿宋"/>
          <w:color w:val="000000"/>
          <w:sz w:val="32"/>
          <w:szCs w:val="32"/>
        </w:rPr>
      </w:pPr>
      <w:r>
        <w:rPr>
          <w:rFonts w:hint="eastAsia" w:ascii="仿宋" w:eastAsia="仿宋"/>
          <w:color w:val="000000"/>
          <w:sz w:val="32"/>
          <w:szCs w:val="32"/>
        </w:rPr>
        <w:t>2022年本年支出合计312.54万元，与2021年相比，支出增加7.56万元，增加2.48%。</w:t>
      </w:r>
      <w:r>
        <w:rPr>
          <w:rFonts w:hint="eastAsia" w:ascii="仿宋" w:eastAsia="仿宋"/>
          <w:color w:val="000000"/>
          <w:sz w:val="32"/>
        </w:rPr>
        <w:t>主要变动原因是工资标准增加，人员支出增加，社会保险福利支出增加。</w:t>
      </w:r>
      <w:r>
        <w:rPr>
          <w:rFonts w:hint="eastAsia" w:ascii="仿宋" w:eastAsia="仿宋"/>
          <w:color w:val="000000"/>
          <w:sz w:val="32"/>
          <w:szCs w:val="32"/>
        </w:rPr>
        <w:t>其中：基本支出302.13万元，占96.67%；项目支出10.42万元，占3.33%；上缴上级支出0万元；经营支出0万元；对附属单位补助支出0万元。</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（图3：支出决算结构图）</w:t>
      </w:r>
    </w:p>
    <w:p>
      <w:pPr>
        <w:jc w:val="center"/>
        <w:rPr>
          <w:rFonts w:hint="eastAsia" w:ascii="仿宋_GB2312" w:eastAsia="仿宋_GB2312"/>
          <w:color w:val="FF0000"/>
          <w:sz w:val="32"/>
          <w:szCs w:val="32"/>
        </w:rPr>
      </w:pPr>
      <w:r>
        <w:rPr>
          <w:rFonts w:ascii="仿宋_GB2312" w:eastAsia="仿宋_GB2312"/>
          <w:color w:val="FF0000"/>
          <w:sz w:val="32"/>
          <w:szCs w:val="32"/>
        </w:rPr>
        <w:object>
          <v:shape id="_x0000_i1027" o:spt="75" type="#_x0000_t75" style="height:271.5pt;width:418.5pt;" o:ole="t" filled="f" o:preferrelative="t" stroked="f" coordsize="21600,21600">
            <v:path/>
            <v:fill on="f" focussize="0,0"/>
            <v:stroke on="f" joinstyle="miter"/>
            <v:imagedata r:id="rId8" o:title=""/>
            <o:lock v:ext="edit" rotation="t" aspectratio="t"/>
            <w10:wrap type="none"/>
            <w10:anchorlock/>
          </v:shape>
          <o:OLEObject Type="Embed" ProgID="" ShapeID="_x0000_i1027" DrawAspect="Content" ObjectID="_1468075727">
            <o:LockedField>false</o:LockedField>
          </o:OLEObject>
        </w:object>
      </w:r>
    </w:p>
    <w:p>
      <w:pPr>
        <w:pStyle w:val="2"/>
      </w:pPr>
    </w:p>
    <w:p>
      <w:pPr>
        <w:pStyle w:val="182"/>
        <w:ind w:firstLine="640"/>
        <w:rPr>
          <w:rFonts w:hint="eastAsia" w:ascii="黑体" w:eastAsia="黑体"/>
          <w:bCs w:val="0"/>
          <w:color w:val="000000"/>
        </w:rPr>
      </w:pPr>
      <w:bookmarkStart w:id="35" w:name="_Toc15377208"/>
      <w:bookmarkStart w:id="36" w:name="_Toc2342"/>
      <w:bookmarkStart w:id="37" w:name="_Toc111208502"/>
      <w:r>
        <w:rPr>
          <w:rFonts w:hint="eastAsia" w:ascii="黑体" w:eastAsia="黑体"/>
          <w:bCs w:val="0"/>
          <w:color w:val="000000"/>
        </w:rPr>
        <w:t>四、财政拨款收入支出决算总体情况说明</w:t>
      </w:r>
      <w:bookmarkEnd w:id="22"/>
      <w:bookmarkEnd w:id="23"/>
      <w:bookmarkEnd w:id="24"/>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2022</w:t>
      </w:r>
      <w:r>
        <w:rPr>
          <w:rFonts w:hint="eastAsia" w:ascii="仿宋" w:eastAsia="仿宋"/>
          <w:color w:val="000000"/>
          <w:sz w:val="32"/>
        </w:rPr>
        <w:t xml:space="preserve">年财政拨款收、支总计312.54万元。与2021年相比，财政拨款收、支总计各增加7.56万元，增加2.48%。主要变动原因是工资标准增加，人员支出增加，社会保险福利支出增加。 </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（图4：财政拨款收、支决算总计变动情况）</w:t>
      </w:r>
    </w:p>
    <w:p>
      <w:pPr>
        <w:pStyle w:val="2"/>
      </w:pPr>
    </w:p>
    <w:p>
      <w:pPr>
        <w:pStyle w:val="2"/>
        <w:jc w:val="left"/>
      </w:pPr>
      <w:r>
        <w:rPr>
          <w:rFonts w:ascii="仿宋_GB2312" w:eastAsia="仿宋_GB2312"/>
          <w:color w:val="000000"/>
          <w:sz w:val="32"/>
          <w:szCs w:val="32"/>
        </w:rPr>
        <w:object>
          <v:shape id="_x0000_i1028" o:spt="75" type="#_x0000_t75" style="height:250.5pt;width:393pt;" o:ole="t" filled="f" o:preferrelative="t" stroked="f" coordsize="21600,21600">
            <v:path/>
            <v:fill on="f" focussize="0,0"/>
            <v:stroke on="f" joinstyle="miter"/>
            <v:imagedata r:id="rId9" o:title=""/>
            <o:lock v:ext="edit" rotation="t" aspectratio="t"/>
            <w10:wrap type="none"/>
            <w10:anchorlock/>
          </v:shape>
          <o:OLEObject Type="Embed" ProgID="" ShapeID="_x0000_i1028" DrawAspect="Content" ObjectID="_1468075728">
            <o:LockedField>false</o:LockedField>
          </o:OLEObject>
        </w:object>
      </w:r>
    </w:p>
    <w:p>
      <w:pPr>
        <w:pStyle w:val="2"/>
        <w:jc w:val="center"/>
      </w:pPr>
    </w:p>
    <w:p>
      <w:pPr>
        <w:pStyle w:val="182"/>
        <w:ind w:firstLine="640"/>
        <w:rPr>
          <w:rFonts w:hint="eastAsia" w:ascii="黑体" w:eastAsia="黑体"/>
          <w:bCs w:val="0"/>
          <w:color w:val="000000"/>
        </w:rPr>
      </w:pPr>
      <w:bookmarkStart w:id="38" w:name="_Toc111208503"/>
      <w:bookmarkStart w:id="39" w:name="_Toc5924"/>
      <w:bookmarkStart w:id="40" w:name="_Toc15377209"/>
      <w:r>
        <w:rPr>
          <w:rFonts w:hint="eastAsia" w:ascii="黑体" w:eastAsia="黑体"/>
          <w:bCs w:val="0"/>
          <w:color w:val="000000"/>
        </w:rPr>
        <w:t>五、一般公共预算财政拨款支出决算情况说</w:t>
      </w:r>
      <w:bookmarkEnd w:id="25"/>
      <w:r>
        <w:rPr>
          <w:rFonts w:hint="eastAsia" w:ascii="黑体" w:eastAsia="黑体"/>
          <w:bCs w:val="0"/>
          <w:color w:val="000000"/>
        </w:rPr>
        <w:t>明</w:t>
      </w:r>
      <w:bookmarkEnd w:id="26"/>
      <w:bookmarkEnd w:id="27"/>
    </w:p>
    <w:p>
      <w:pPr>
        <w:spacing w:line="600" w:lineRule="exact"/>
        <w:ind w:firstLine="640"/>
        <w:outlineLvl w:val="2"/>
        <w:rPr>
          <w:rFonts w:hint="eastAsia" w:ascii="仿宋" w:eastAsia="仿宋"/>
          <w:b/>
          <w:color w:val="000000"/>
          <w:sz w:val="32"/>
          <w:szCs w:val="32"/>
        </w:rPr>
      </w:pPr>
      <w:bookmarkStart w:id="41" w:name="_Toc15377210"/>
      <w:r>
        <w:rPr>
          <w:rFonts w:hint="eastAsia" w:ascii="仿宋" w:eastAsia="仿宋"/>
          <w:b/>
          <w:color w:val="000000"/>
          <w:sz w:val="32"/>
          <w:szCs w:val="32"/>
        </w:rPr>
        <w:t>（一）一般公共预算财政拨款支出决算总体情况</w:t>
      </w:r>
      <w:bookmarkEnd w:id="28"/>
    </w:p>
    <w:p>
      <w:pPr>
        <w:spacing w:line="600" w:lineRule="exact"/>
        <w:ind w:firstLine="640"/>
        <w:rPr>
          <w:rFonts w:hint="eastAsia" w:ascii="仿宋_GB2312" w:eastAsia="仿宋_GB2312"/>
          <w:color w:val="000000"/>
          <w:sz w:val="32"/>
          <w:szCs w:val="32"/>
        </w:rPr>
      </w:pPr>
      <w:bookmarkStart w:id="42" w:name="_Toc15377211"/>
      <w:r>
        <w:rPr>
          <w:rFonts w:hint="eastAsia" w:ascii="仿宋" w:eastAsia="仿宋"/>
          <w:color w:val="000000"/>
          <w:sz w:val="32"/>
          <w:szCs w:val="32"/>
        </w:rPr>
        <w:t>2022</w:t>
      </w:r>
      <w:r>
        <w:rPr>
          <w:rFonts w:hint="eastAsia" w:ascii="仿宋" w:eastAsia="仿宋"/>
          <w:color w:val="000000"/>
          <w:sz w:val="32"/>
        </w:rPr>
        <w:t>年一般公共预算财政拨款支出312.54</w:t>
      </w:r>
      <w:r>
        <w:rPr>
          <w:rFonts w:hint="eastAsia" w:ascii="仿宋" w:eastAsia="仿宋"/>
          <w:color w:val="000000"/>
          <w:sz w:val="32"/>
          <w:szCs w:val="32"/>
        </w:rPr>
        <w:t>万元，占本年支出合计的</w:t>
      </w:r>
      <w:r>
        <w:rPr>
          <w:rFonts w:hint="eastAsia" w:ascii="仿宋" w:eastAsia="仿宋"/>
          <w:color w:val="000000"/>
          <w:sz w:val="32"/>
        </w:rPr>
        <w:t>100</w:t>
      </w:r>
      <w:r>
        <w:rPr>
          <w:rFonts w:hint="eastAsia" w:ascii="仿宋" w:eastAsia="仿宋"/>
          <w:color w:val="000000"/>
          <w:sz w:val="32"/>
          <w:szCs w:val="32"/>
        </w:rPr>
        <w:t>%。与2021年相比，支出增加7.56万元，增加2.48%。</w:t>
      </w:r>
      <w:r>
        <w:rPr>
          <w:rFonts w:hint="eastAsia" w:ascii="仿宋" w:eastAsia="仿宋"/>
          <w:color w:val="000000"/>
          <w:sz w:val="32"/>
        </w:rPr>
        <w:t>主要变动原因是工资标准增加，人员支出增加，社会保险福利支出增加。</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（图5：一般公共预算财政拨款支出决算变动情况）</w:t>
      </w:r>
    </w:p>
    <w:p>
      <w:pPr>
        <w:pStyle w:val="2"/>
        <w:rPr>
          <w:rFonts w:hint="eastAsia" w:ascii="仿宋_GB2312" w:eastAsia="仿宋_GB2312"/>
          <w:b/>
          <w:color w:val="000000"/>
          <w:sz w:val="32"/>
          <w:szCs w:val="32"/>
        </w:rPr>
      </w:pPr>
    </w:p>
    <w:p>
      <w:pPr>
        <w:pStyle w:val="2"/>
        <w:rPr>
          <w:rFonts w:hint="eastAsia" w:ascii="仿宋" w:eastAsia="仿宋"/>
          <w:b/>
          <w:color w:val="000000"/>
          <w:sz w:val="32"/>
          <w:szCs w:val="32"/>
        </w:rPr>
      </w:pPr>
      <w:r>
        <w:rPr>
          <w:rFonts w:ascii="仿宋_GB2312" w:eastAsia="仿宋_GB2312"/>
          <w:b/>
          <w:color w:val="000000"/>
          <w:sz w:val="32"/>
          <w:szCs w:val="32"/>
        </w:rPr>
        <w:object>
          <v:shape id="_x0000_i1029" o:spt="75" type="#_x0000_t75" style="height:282pt;width:387pt;" o:ole="t" filled="f" o:preferrelative="t" stroked="f" coordsize="21600,21600">
            <v:path/>
            <v:fill on="f" focussize="0,0"/>
            <v:stroke on="f" joinstyle="miter"/>
            <v:imagedata r:id="rId10" o:title=""/>
            <o:lock v:ext="edit" rotation="t" aspectratio="t"/>
            <w10:wrap type="none"/>
            <w10:anchorlock/>
          </v:shape>
          <o:OLEObject Type="Embed" ProgID="" ShapeID="_x0000_i1029" DrawAspect="Content" ObjectID="_1468075729">
            <o:LockedField>false</o:LockedField>
          </o:OLEObject>
        </w:object>
      </w:r>
      <w:r>
        <w:rPr>
          <w:rFonts w:hint="eastAsia" w:ascii="仿宋" w:eastAsia="仿宋"/>
          <w:b/>
          <w:color w:val="000000"/>
          <w:sz w:val="32"/>
          <w:szCs w:val="32"/>
        </w:rPr>
        <w:t>（二）一般公共预算财政拨款支出决算结构情况</w:t>
      </w:r>
      <w:bookmarkEnd w:id="29"/>
      <w:r>
        <w:rPr>
          <w:rFonts w:hint="eastAsia" w:ascii="仿宋" w:eastAsia="仿宋"/>
          <w:b/>
          <w:color w:val="000000"/>
          <w:sz w:val="32"/>
          <w:szCs w:val="32"/>
        </w:rPr>
        <w:t>（一般公共预算收支表）</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2022</w:t>
      </w:r>
      <w:r>
        <w:rPr>
          <w:rFonts w:hint="eastAsia" w:ascii="仿宋" w:eastAsia="仿宋"/>
          <w:color w:val="000000"/>
          <w:sz w:val="32"/>
        </w:rPr>
        <w:t>年一般公共预算财政拨款支出312.54</w:t>
      </w:r>
      <w:r>
        <w:rPr>
          <w:rFonts w:hint="eastAsia" w:ascii="仿宋" w:eastAsia="仿宋"/>
          <w:color w:val="000000"/>
          <w:sz w:val="32"/>
          <w:szCs w:val="32"/>
        </w:rPr>
        <w:t>万元，主要用于以下方面:</w:t>
      </w:r>
    </w:p>
    <w:p>
      <w:pPr>
        <w:spacing w:line="600" w:lineRule="exact"/>
        <w:ind w:firstLine="640"/>
        <w:rPr>
          <w:rFonts w:hint="eastAsia" w:ascii="仿宋_GB2312" w:eastAsia="仿宋_GB2312"/>
          <w:color w:val="000000"/>
          <w:sz w:val="32"/>
          <w:szCs w:val="32"/>
        </w:rPr>
      </w:pPr>
      <w:r>
        <w:rPr>
          <w:rFonts w:hint="eastAsia" w:ascii="仿宋" w:eastAsia="仿宋"/>
          <w:color w:val="000000"/>
          <w:sz w:val="32"/>
          <w:szCs w:val="32"/>
        </w:rPr>
        <w:t xml:space="preserve"> </w:t>
      </w:r>
      <w:r>
        <w:rPr>
          <w:rFonts w:hint="eastAsia" w:ascii="仿宋" w:eastAsia="仿宋"/>
          <w:color w:val="000000"/>
          <w:sz w:val="32"/>
        </w:rPr>
        <w:t>一般公共服务支出236.48万元，占75.66%；社会保障和就业支出33.08万元，占10.58%；卫生健康支出13.93万元，占4.46%；住房保障支出19.05万元，占6.10%；其他支出10.00万元，占3.20%。</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（图6：一般公共预算财政拨款支出决算结构）</w:t>
      </w:r>
      <w:bookmarkStart w:id="43" w:name="_Toc15377212"/>
    </w:p>
    <w:p>
      <w:pPr>
        <w:pStyle w:val="2"/>
      </w:pPr>
      <w:r>
        <w:object>
          <v:shape id="_x0000_i1030" o:spt="75" type="#_x0000_t75" style="height:228pt;width:342pt;" o:ole="t" filled="f" o:preferrelative="t" stroked="f" coordsize="21600,21600">
            <v:path/>
            <v:fill on="f" focussize="0,0"/>
            <v:stroke on="f" joinstyle="miter"/>
            <v:imagedata r:id="rId11" o:title=""/>
            <o:lock v:ext="edit" rotation="t" aspectratio="t"/>
            <w10:wrap type="none"/>
            <w10:anchorlock/>
          </v:shape>
          <o:OLEObject Type="Embed" ProgID="" ShapeID="_x0000_i1030" DrawAspect="Content" ObjectID="_1468075730">
            <o:LockedField>false</o:LockedField>
          </o:OLEObject>
        </w:object>
      </w:r>
    </w:p>
    <w:p>
      <w:pPr>
        <w:spacing w:line="600" w:lineRule="exact"/>
        <w:ind w:firstLine="640"/>
        <w:outlineLvl w:val="2"/>
        <w:rPr>
          <w:rFonts w:hint="eastAsia" w:ascii="仿宋" w:eastAsia="仿宋"/>
          <w:b/>
          <w:color w:val="000000"/>
          <w:sz w:val="32"/>
          <w:szCs w:val="32"/>
        </w:rPr>
      </w:pPr>
      <w:r>
        <w:rPr>
          <w:rFonts w:hint="eastAsia" w:ascii="仿宋" w:eastAsia="仿宋"/>
          <w:b/>
          <w:color w:val="000000"/>
          <w:sz w:val="32"/>
          <w:szCs w:val="32"/>
        </w:rPr>
        <w:t>（三）一般公共预算财政拨款支出决算具体情况</w:t>
      </w:r>
      <w:bookmarkEnd w:id="30"/>
    </w:p>
    <w:p>
      <w:pPr>
        <w:spacing w:line="600" w:lineRule="exact"/>
        <w:ind w:firstLine="640"/>
        <w:rPr>
          <w:rFonts w:hint="eastAsia" w:ascii="仿宋" w:eastAsia="仿宋"/>
          <w:color w:val="000000"/>
          <w:sz w:val="32"/>
          <w:szCs w:val="32"/>
        </w:rPr>
      </w:pPr>
      <w:bookmarkStart w:id="44" w:name="_Toc15378460"/>
      <w:bookmarkStart w:id="45" w:name="_Toc15377444"/>
      <w:bookmarkStart w:id="46" w:name="_Toc15377213"/>
      <w:r>
        <w:rPr>
          <w:rFonts w:hint="eastAsia" w:ascii="仿宋" w:eastAsia="仿宋"/>
          <w:color w:val="000000"/>
          <w:sz w:val="32"/>
          <w:szCs w:val="32"/>
        </w:rPr>
        <w:t>2022</w:t>
      </w:r>
      <w:r>
        <w:rPr>
          <w:rFonts w:hint="eastAsia" w:ascii="仿宋" w:eastAsia="仿宋"/>
          <w:color w:val="000000"/>
          <w:sz w:val="32"/>
        </w:rPr>
        <w:t>年一般公共预算支出决算数为312.54</w:t>
      </w:r>
      <w:r>
        <w:rPr>
          <w:rFonts w:hint="eastAsia" w:ascii="仿宋" w:eastAsia="仿宋"/>
          <w:color w:val="000000"/>
          <w:sz w:val="32"/>
          <w:szCs w:val="32"/>
        </w:rPr>
        <w:t>万元，完成预算100%。其中：</w:t>
      </w:r>
      <w:bookmarkEnd w:id="31"/>
      <w:bookmarkEnd w:id="32"/>
      <w:bookmarkEnd w:id="33"/>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1.一般公共服务支出（类）统战事务（款）行政运行（项）支出决算236.06万元，完成预算100%。</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 xml:space="preserve">    2.一般公共服务支出（类）统战事务（款）其他统战事务支出（项）支出决算0.42万元，完成预算100%。</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 xml:space="preserve">    3.社会保障和就业支出（类）行政事业单位养老支出（款）机关事业单位基本养老保险缴费支出（项）支出决算22.05万元，完成预算100%。</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 xml:space="preserve">    4.社会保障和就业支出（类）行政事业单位养老支出（款）机关事业单位职业年金缴费支出（项）支出决算11.03万元，完成预算100%。</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 xml:space="preserve">    5.卫生健康支出（类）行政事业单位医疗（款）行政单位医疗（项）支出决算13.93万元，完成预算100%。</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 xml:space="preserve">    6.住房保障支出（类）住房改革支出（款）住房公积金（项）支出决算17.84万元，完成预算100%。</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 xml:space="preserve">    7.住房保障支出（类）住房改革支出（款）购房补贴（项）支出决算1.22万元，完成预算100%。</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 xml:space="preserve">    8.其他支出（类）其他支出（款）其他支出（项）支出决算10.00万元，完成预算100%。</w:t>
      </w:r>
    </w:p>
    <w:p>
      <w:pPr>
        <w:pStyle w:val="182"/>
        <w:ind w:firstLine="640"/>
        <w:rPr>
          <w:rFonts w:hint="eastAsia" w:ascii="黑体" w:eastAsia="黑体"/>
          <w:b w:val="0"/>
          <w:color w:val="000000"/>
        </w:rPr>
      </w:pPr>
      <w:bookmarkStart w:id="47" w:name="_Toc111208504"/>
      <w:bookmarkStart w:id="48" w:name="_Toc15377214"/>
      <w:bookmarkStart w:id="49" w:name="_Toc1161"/>
      <w:r>
        <w:rPr>
          <w:rFonts w:hint="eastAsia" w:ascii="黑体" w:eastAsia="黑体"/>
          <w:bCs w:val="0"/>
          <w:color w:val="000000"/>
        </w:rPr>
        <w:t>六、一般公共预算财政拨款基本支出决算情况说</w:t>
      </w:r>
      <w:bookmarkEnd w:id="34"/>
      <w:r>
        <w:rPr>
          <w:rFonts w:hint="eastAsia" w:ascii="黑体" w:eastAsia="黑体"/>
          <w:bCs w:val="0"/>
          <w:color w:val="000000"/>
        </w:rPr>
        <w:t>明</w:t>
      </w:r>
      <w:bookmarkEnd w:id="35"/>
      <w:bookmarkEnd w:id="36"/>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2022</w:t>
      </w:r>
      <w:r>
        <w:rPr>
          <w:rFonts w:hint="eastAsia" w:ascii="仿宋" w:eastAsia="仿宋"/>
          <w:color w:val="000000"/>
          <w:sz w:val="32"/>
        </w:rPr>
        <w:t>年一般公共预算财政拨款基本支出302.13</w:t>
      </w:r>
      <w:r>
        <w:rPr>
          <w:rFonts w:hint="eastAsia" w:ascii="仿宋" w:eastAsia="仿宋"/>
          <w:color w:val="000000"/>
          <w:sz w:val="32"/>
          <w:szCs w:val="32"/>
        </w:rPr>
        <w:t>万元，其中：</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人员经费</w:t>
      </w:r>
      <w:r>
        <w:rPr>
          <w:rFonts w:hint="eastAsia" w:ascii="仿宋" w:eastAsia="仿宋"/>
          <w:color w:val="000000"/>
          <w:sz w:val="32"/>
        </w:rPr>
        <w:t>280.44</w:t>
      </w:r>
      <w:r>
        <w:rPr>
          <w:rFonts w:hint="eastAsia" w:ascii="仿宋" w:eastAsia="仿宋"/>
          <w:color w:val="000000"/>
          <w:sz w:val="32"/>
          <w:szCs w:val="32"/>
        </w:rPr>
        <w:t>万元，主要包括：</w:t>
      </w:r>
      <w:r>
        <w:rPr>
          <w:rFonts w:hint="eastAsia" w:ascii="仿宋" w:eastAsia="仿宋"/>
          <w:color w:val="000000"/>
          <w:sz w:val="32"/>
        </w:rPr>
        <w:t>基本工资64.39万元、津贴补贴51.32万元、奖金67.23万元、机关事业单位基本养老保险缴费22.05万元、职业年金缴费11.03万元、职工基本医疗保险缴费13.93万元、其他社会保障缴费3.13万元、住房公积金17.84万元、医疗费2.16万元、离休费14.92万元、生活补助12.29万元、医疗费补助0.17万元。</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公用经费</w:t>
      </w:r>
      <w:r>
        <w:rPr>
          <w:rFonts w:hint="eastAsia" w:ascii="仿宋" w:eastAsia="仿宋"/>
          <w:color w:val="000000"/>
          <w:sz w:val="32"/>
        </w:rPr>
        <w:t>21.68</w:t>
      </w:r>
      <w:r>
        <w:rPr>
          <w:rFonts w:hint="eastAsia" w:ascii="仿宋" w:eastAsia="仿宋"/>
          <w:color w:val="000000"/>
          <w:sz w:val="32"/>
          <w:szCs w:val="32"/>
        </w:rPr>
        <w:t>万元，主要包括：</w:t>
      </w:r>
      <w:r>
        <w:rPr>
          <w:rFonts w:hint="eastAsia" w:ascii="仿宋" w:eastAsia="仿宋"/>
          <w:color w:val="000000"/>
          <w:sz w:val="32"/>
        </w:rPr>
        <w:t>办公费6.00万元、邮电费0.77万元、差旅费3.50万元、公务接待费0.14万元、其他交通费用11.27万元</w:t>
      </w:r>
      <w:r>
        <w:rPr>
          <w:rFonts w:hint="eastAsia" w:ascii="仿宋" w:eastAsia="仿宋"/>
          <w:color w:val="000000"/>
          <w:sz w:val="32"/>
          <w:szCs w:val="32"/>
        </w:rPr>
        <w:t>。</w:t>
      </w:r>
    </w:p>
    <w:p>
      <w:pPr>
        <w:pStyle w:val="182"/>
        <w:ind w:firstLine="640"/>
        <w:rPr>
          <w:rFonts w:hint="eastAsia" w:ascii="黑体" w:eastAsia="黑体"/>
          <w:bCs w:val="0"/>
          <w:color w:val="000000"/>
        </w:rPr>
      </w:pPr>
      <w:bookmarkStart w:id="50" w:name="_Toc5544"/>
      <w:bookmarkStart w:id="51" w:name="_Toc111208505"/>
      <w:bookmarkStart w:id="52" w:name="_Toc15377215"/>
      <w:r>
        <w:rPr>
          <w:rFonts w:hint="eastAsia" w:ascii="黑体" w:eastAsia="黑体"/>
          <w:bCs w:val="0"/>
          <w:color w:val="000000"/>
        </w:rPr>
        <w:t>七、“三公”经费财政拨款支出决算情况说明</w:t>
      </w:r>
      <w:bookmarkEnd w:id="37"/>
      <w:bookmarkEnd w:id="38"/>
      <w:bookmarkEnd w:id="39"/>
    </w:p>
    <w:p>
      <w:pPr>
        <w:spacing w:line="600" w:lineRule="exact"/>
        <w:ind w:firstLine="640"/>
        <w:outlineLvl w:val="2"/>
        <w:rPr>
          <w:rFonts w:hint="eastAsia" w:ascii="仿宋" w:eastAsia="仿宋"/>
          <w:b/>
          <w:color w:val="000000"/>
          <w:sz w:val="32"/>
          <w:szCs w:val="32"/>
        </w:rPr>
      </w:pPr>
      <w:bookmarkStart w:id="53" w:name="_Toc15377216"/>
      <w:r>
        <w:rPr>
          <w:rFonts w:hint="eastAsia" w:ascii="仿宋" w:eastAsia="仿宋"/>
          <w:b/>
          <w:color w:val="000000"/>
          <w:sz w:val="32"/>
          <w:szCs w:val="32"/>
        </w:rPr>
        <w:t>（一）“三公”经费财政拨款支出决算总体情况说明</w:t>
      </w:r>
      <w:bookmarkEnd w:id="40"/>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2022</w:t>
      </w:r>
      <w:r>
        <w:rPr>
          <w:rFonts w:hint="eastAsia" w:ascii="仿宋" w:eastAsia="仿宋"/>
          <w:color w:val="000000"/>
          <w:sz w:val="32"/>
        </w:rPr>
        <w:t>年“三公”经费财政拨款支出决算为0.55</w:t>
      </w:r>
      <w:r>
        <w:rPr>
          <w:rFonts w:hint="eastAsia" w:ascii="仿宋" w:eastAsia="仿宋"/>
          <w:color w:val="000000"/>
          <w:sz w:val="32"/>
          <w:szCs w:val="32"/>
        </w:rPr>
        <w:t>万元，完成预算</w:t>
      </w:r>
      <w:r>
        <w:rPr>
          <w:rFonts w:hint="eastAsia" w:ascii="仿宋" w:eastAsia="仿宋"/>
          <w:color w:val="000000"/>
          <w:sz w:val="32"/>
        </w:rPr>
        <w:t>100</w:t>
      </w:r>
      <w:r>
        <w:rPr>
          <w:rFonts w:hint="eastAsia" w:ascii="仿宋" w:eastAsia="仿宋"/>
          <w:color w:val="000000"/>
          <w:sz w:val="32"/>
          <w:szCs w:val="32"/>
        </w:rPr>
        <w:t>%。</w:t>
      </w:r>
      <w:bookmarkStart w:id="54" w:name="_Toc15377217"/>
    </w:p>
    <w:p>
      <w:pPr>
        <w:spacing w:line="600" w:lineRule="exact"/>
        <w:ind w:firstLine="640"/>
        <w:outlineLvl w:val="2"/>
        <w:rPr>
          <w:rFonts w:hint="eastAsia" w:ascii="仿宋" w:eastAsia="仿宋"/>
          <w:b/>
          <w:color w:val="000000"/>
          <w:sz w:val="32"/>
          <w:szCs w:val="32"/>
        </w:rPr>
      </w:pPr>
      <w:r>
        <w:rPr>
          <w:rFonts w:hint="eastAsia" w:ascii="仿宋" w:eastAsia="仿宋"/>
          <w:b/>
          <w:color w:val="000000"/>
          <w:sz w:val="32"/>
          <w:szCs w:val="32"/>
        </w:rPr>
        <w:t>（二）“三公”经费财政拨款支出决算具体情况说明</w:t>
      </w:r>
      <w:bookmarkEnd w:id="41"/>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2022</w:t>
      </w:r>
      <w:r>
        <w:rPr>
          <w:rFonts w:hint="eastAsia" w:ascii="仿宋" w:eastAsia="仿宋"/>
          <w:color w:val="000000"/>
          <w:sz w:val="32"/>
        </w:rPr>
        <w:t>年“三公”经费财政拨款支出0.55</w:t>
      </w:r>
      <w:r>
        <w:rPr>
          <w:rFonts w:hint="eastAsia" w:ascii="仿宋" w:eastAsia="仿宋"/>
          <w:color w:val="000000"/>
          <w:sz w:val="32"/>
          <w:szCs w:val="32"/>
        </w:rPr>
        <w:t>万元，因公出国（境）费支出决算</w:t>
      </w:r>
      <w:r>
        <w:rPr>
          <w:rFonts w:hint="eastAsia" w:ascii="仿宋" w:eastAsia="仿宋"/>
          <w:color w:val="000000"/>
          <w:sz w:val="32"/>
        </w:rPr>
        <w:t>0</w:t>
      </w:r>
      <w:r>
        <w:rPr>
          <w:rFonts w:hint="eastAsia" w:ascii="仿宋" w:eastAsia="仿宋"/>
          <w:color w:val="000000"/>
          <w:sz w:val="32"/>
          <w:szCs w:val="32"/>
        </w:rPr>
        <w:t>万元；公务用车购置及运行维护费支出决算</w:t>
      </w:r>
      <w:r>
        <w:rPr>
          <w:rFonts w:hint="eastAsia" w:ascii="仿宋" w:eastAsia="仿宋"/>
          <w:color w:val="000000"/>
          <w:sz w:val="32"/>
        </w:rPr>
        <w:t>0</w:t>
      </w:r>
      <w:r>
        <w:rPr>
          <w:rFonts w:hint="eastAsia" w:ascii="仿宋" w:eastAsia="仿宋"/>
          <w:color w:val="000000"/>
          <w:sz w:val="32"/>
          <w:szCs w:val="32"/>
        </w:rPr>
        <w:t>万元；公务接待费支出决算</w:t>
      </w:r>
      <w:r>
        <w:rPr>
          <w:rFonts w:hint="eastAsia" w:ascii="仿宋" w:eastAsia="仿宋"/>
          <w:color w:val="000000"/>
          <w:sz w:val="32"/>
        </w:rPr>
        <w:t>0.55</w:t>
      </w:r>
      <w:r>
        <w:rPr>
          <w:rFonts w:hint="eastAsia" w:ascii="仿宋" w:eastAsia="仿宋"/>
          <w:color w:val="000000"/>
          <w:sz w:val="32"/>
          <w:szCs w:val="32"/>
        </w:rPr>
        <w:t>万元，占</w:t>
      </w:r>
      <w:r>
        <w:rPr>
          <w:rFonts w:hint="eastAsia" w:ascii="仿宋" w:eastAsia="仿宋"/>
          <w:color w:val="000000"/>
          <w:sz w:val="32"/>
        </w:rPr>
        <w:t>100</w:t>
      </w:r>
      <w:r>
        <w:rPr>
          <w:rFonts w:hint="eastAsia" w:ascii="仿宋" w:eastAsia="仿宋"/>
          <w:color w:val="000000"/>
          <w:sz w:val="32"/>
          <w:szCs w:val="32"/>
        </w:rPr>
        <w:t>%。具体情况如下：</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（图7：“三公”经费财政拨款支出结构）</w:t>
      </w:r>
    </w:p>
    <w:p>
      <w:pPr>
        <w:pStyle w:val="2"/>
        <w:rPr>
          <w:rFonts w:hint="eastAsia" w:ascii="仿宋_GB2312" w:eastAsia="仿宋_GB2312"/>
          <w:color w:val="000000"/>
          <w:sz w:val="32"/>
          <w:szCs w:val="32"/>
        </w:rPr>
      </w:pPr>
      <w:r>
        <w:object>
          <v:shape id="_x0000_i1031" o:spt="75" type="#_x0000_t75" style="height:228pt;width:342pt;" o:ole="t" filled="f" o:preferrelative="t" stroked="f" coordsize="21600,21600">
            <v:path/>
            <v:fill on="f" focussize="0,0"/>
            <v:stroke on="f" joinstyle="miter"/>
            <v:imagedata r:id="rId12" o:title=""/>
            <o:lock v:ext="edit" rotation="t" aspectratio="t"/>
            <w10:wrap type="none"/>
            <w10:anchorlock/>
          </v:shape>
          <o:OLEObject Type="Embed" ProgID="" ShapeID="_x0000_i1031" DrawAspect="Content" ObjectID="_1468075731">
            <o:LockedField>false</o:LockedField>
          </o:OLEObject>
        </w:objec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1.因公出国（境）经费支出</w:t>
      </w:r>
      <w:r>
        <w:rPr>
          <w:rFonts w:hint="eastAsia" w:ascii="仿宋" w:eastAsia="仿宋"/>
          <w:color w:val="000000"/>
          <w:sz w:val="32"/>
        </w:rPr>
        <w:t>0</w:t>
      </w:r>
      <w:r>
        <w:rPr>
          <w:rFonts w:hint="eastAsia" w:ascii="仿宋" w:eastAsia="仿宋"/>
          <w:color w:val="000000"/>
          <w:sz w:val="32"/>
          <w:szCs w:val="32"/>
        </w:rPr>
        <w:t>万元。</w:t>
      </w:r>
      <w:r>
        <w:rPr>
          <w:rFonts w:hint="eastAsia" w:ascii="仿宋" w:eastAsia="仿宋"/>
          <w:color w:val="000000"/>
          <w:sz w:val="32"/>
        </w:rPr>
        <w:t xml:space="preserve"> </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2.公务用车购置及运行维护费支出</w:t>
      </w:r>
      <w:r>
        <w:rPr>
          <w:rFonts w:hint="eastAsia" w:ascii="仿宋" w:eastAsia="仿宋"/>
          <w:color w:val="000000"/>
          <w:sz w:val="32"/>
        </w:rPr>
        <w:t>0</w:t>
      </w:r>
      <w:r>
        <w:rPr>
          <w:rFonts w:hint="eastAsia" w:ascii="仿宋" w:eastAsia="仿宋"/>
          <w:color w:val="000000"/>
          <w:sz w:val="32"/>
          <w:szCs w:val="32"/>
        </w:rPr>
        <w:t>万元。</w:t>
      </w:r>
      <w:r>
        <w:rPr>
          <w:rFonts w:hint="eastAsia" w:ascii="仿宋" w:eastAsia="仿宋"/>
          <w:color w:val="000000"/>
          <w:sz w:val="32"/>
        </w:rPr>
        <w:t xml:space="preserve"> </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其中：公务用车购置支出</w:t>
      </w:r>
      <w:r>
        <w:rPr>
          <w:rFonts w:hint="eastAsia" w:ascii="仿宋" w:eastAsia="仿宋"/>
          <w:color w:val="000000"/>
          <w:sz w:val="32"/>
        </w:rPr>
        <w:t>0万元。全年按规定更新购置公务用车0辆，其中：轿车0辆、金额0万元，越野车0辆、金额0万元，载客汽车0辆、金额0万元。截至</w:t>
      </w:r>
      <w:r>
        <w:rPr>
          <w:rFonts w:hint="eastAsia" w:ascii="仿宋" w:eastAsia="仿宋"/>
          <w:color w:val="000000"/>
          <w:sz w:val="32"/>
          <w:szCs w:val="32"/>
        </w:rPr>
        <w:t>2022年12月底，单位共有公务用车</w:t>
      </w:r>
      <w:r>
        <w:rPr>
          <w:rFonts w:hint="eastAsia" w:ascii="仿宋" w:eastAsia="仿宋"/>
          <w:color w:val="000000"/>
          <w:sz w:val="32"/>
        </w:rPr>
        <w:t>0</w:t>
      </w:r>
      <w:r>
        <w:rPr>
          <w:rFonts w:hint="eastAsia" w:ascii="仿宋" w:eastAsia="仿宋"/>
          <w:color w:val="000000"/>
          <w:sz w:val="32"/>
          <w:szCs w:val="32"/>
        </w:rPr>
        <w:t>辆，其中：轿车</w:t>
      </w:r>
      <w:r>
        <w:rPr>
          <w:rFonts w:hint="eastAsia" w:ascii="仿宋" w:eastAsia="仿宋"/>
          <w:color w:val="000000"/>
          <w:sz w:val="32"/>
        </w:rPr>
        <w:t>0辆、越野车0辆、载客汽车0辆。</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公务用车运行维护费支出</w:t>
      </w:r>
      <w:r>
        <w:rPr>
          <w:rFonts w:hint="eastAsia" w:ascii="仿宋" w:eastAsia="仿宋"/>
          <w:color w:val="000000"/>
          <w:sz w:val="32"/>
        </w:rPr>
        <w:t>0</w:t>
      </w:r>
      <w:r>
        <w:rPr>
          <w:rFonts w:hint="eastAsia" w:ascii="仿宋" w:eastAsia="仿宋"/>
          <w:color w:val="000000"/>
          <w:sz w:val="32"/>
          <w:szCs w:val="32"/>
        </w:rPr>
        <w:t>万元。</w:t>
      </w:r>
      <w:r>
        <w:rPr>
          <w:rFonts w:hint="eastAsia" w:ascii="仿宋" w:eastAsia="仿宋"/>
          <w:color w:val="000000"/>
          <w:sz w:val="32"/>
        </w:rPr>
        <w:t xml:space="preserve"> </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3.公务接待费支出</w:t>
      </w:r>
      <w:r>
        <w:rPr>
          <w:rFonts w:hint="eastAsia" w:ascii="仿宋" w:eastAsia="仿宋"/>
          <w:color w:val="000000"/>
          <w:sz w:val="32"/>
        </w:rPr>
        <w:t>0.55万元，完成预算100</w:t>
      </w:r>
      <w:r>
        <w:rPr>
          <w:rFonts w:hint="eastAsia" w:ascii="仿宋" w:eastAsia="仿宋"/>
          <w:color w:val="000000"/>
          <w:sz w:val="32"/>
          <w:szCs w:val="32"/>
        </w:rPr>
        <w:t>%。公务接待费支出决算比</w:t>
      </w:r>
      <w:r>
        <w:rPr>
          <w:rFonts w:hint="eastAsia" w:ascii="仿宋" w:eastAsia="仿宋"/>
          <w:color w:val="000000"/>
          <w:sz w:val="32"/>
        </w:rPr>
        <w:t>2021年减少0.15</w:t>
      </w:r>
      <w:r>
        <w:rPr>
          <w:rFonts w:hint="eastAsia" w:ascii="仿宋" w:eastAsia="仿宋"/>
          <w:color w:val="000000"/>
          <w:sz w:val="32"/>
          <w:szCs w:val="32"/>
        </w:rPr>
        <w:t>万元，</w:t>
      </w:r>
      <w:r>
        <w:rPr>
          <w:rFonts w:hint="eastAsia" w:ascii="仿宋" w:eastAsia="仿宋"/>
          <w:color w:val="000000"/>
          <w:sz w:val="32"/>
        </w:rPr>
        <w:t>减少26.85</w:t>
      </w:r>
      <w:r>
        <w:rPr>
          <w:rFonts w:hint="eastAsia" w:ascii="仿宋" w:eastAsia="仿宋"/>
          <w:color w:val="000000"/>
          <w:sz w:val="32"/>
          <w:szCs w:val="32"/>
        </w:rPr>
        <w:t>%。</w:t>
      </w:r>
      <w:bookmarkStart w:id="55" w:name="_Toc15377218"/>
      <w:r>
        <w:rPr>
          <w:rFonts w:hint="eastAsia" w:ascii="仿宋" w:eastAsia="仿宋"/>
          <w:color w:val="000000"/>
          <w:sz w:val="32"/>
          <w:szCs w:val="32"/>
        </w:rPr>
        <w:t xml:space="preserve">主要原因是缩减三公经费。 </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国内公务接待支出</w:t>
      </w:r>
      <w:r>
        <w:rPr>
          <w:rFonts w:hint="eastAsia" w:ascii="仿宋" w:eastAsia="仿宋"/>
          <w:color w:val="000000"/>
          <w:sz w:val="32"/>
        </w:rPr>
        <w:t>0.55万元。国内公务接待5批次，56人次（不包括陪同人员），共计支出0.55万元。</w:t>
      </w:r>
    </w:p>
    <w:p>
      <w:pPr>
        <w:pStyle w:val="2"/>
        <w:rPr>
          <w:rFonts w:hint="eastAsia" w:ascii="仿宋" w:eastAsia="仿宋"/>
          <w:color w:val="000000"/>
          <w:sz w:val="32"/>
          <w:szCs w:val="32"/>
        </w:rPr>
      </w:pPr>
      <w:r>
        <w:rPr>
          <w:rFonts w:hint="eastAsia" w:ascii="仿宋" w:eastAsia="仿宋"/>
          <w:color w:val="000000"/>
          <w:sz w:val="32"/>
          <w:szCs w:val="32"/>
        </w:rPr>
        <w:t>外事接待支出</w:t>
      </w:r>
      <w:r>
        <w:rPr>
          <w:rFonts w:hint="eastAsia" w:ascii="仿宋" w:eastAsia="仿宋"/>
          <w:color w:val="000000"/>
          <w:sz w:val="32"/>
        </w:rPr>
        <w:t>0万元，外事接待0批次，0人，共计支出0万元。</w:t>
      </w:r>
    </w:p>
    <w:p>
      <w:pPr>
        <w:pStyle w:val="182"/>
        <w:numPr>
          <w:ilvl w:val="0"/>
          <w:numId w:val="1"/>
        </w:numPr>
        <w:ind w:firstLine="640"/>
        <w:rPr>
          <w:rFonts w:hint="eastAsia" w:ascii="黑体" w:eastAsia="黑体"/>
          <w:bCs w:val="0"/>
          <w:color w:val="000000"/>
        </w:rPr>
      </w:pPr>
      <w:bookmarkStart w:id="56" w:name="_Toc14358"/>
      <w:bookmarkStart w:id="57" w:name="_Toc111208506"/>
      <w:r>
        <w:rPr>
          <w:rFonts w:hint="eastAsia" w:ascii="黑体" w:eastAsia="黑体"/>
          <w:bCs w:val="0"/>
          <w:color w:val="000000"/>
        </w:rPr>
        <w:t>政府性基金预算支出决算情况说明</w:t>
      </w:r>
      <w:bookmarkEnd w:id="42"/>
      <w:bookmarkEnd w:id="43"/>
      <w:bookmarkEnd w:id="44"/>
    </w:p>
    <w:p>
      <w:pPr>
        <w:pStyle w:val="182"/>
        <w:numPr>
          <w:numId w:val="0"/>
        </w:numPr>
        <w:ind w:firstLine="640" w:firstLineChars="200"/>
        <w:rPr>
          <w:rFonts w:hint="eastAsia" w:ascii="仿宋" w:hAnsi="Times New Roman" w:eastAsia="仿宋" w:cs="Times New Roman"/>
          <w:b w:val="0"/>
          <w:bCs w:val="0"/>
          <w:color w:val="000000"/>
          <w:sz w:val="32"/>
          <w:szCs w:val="24"/>
          <w:lang w:val="en-US" w:eastAsia="zh-CN" w:bidi="ar-SA"/>
        </w:rPr>
      </w:pPr>
      <w:r>
        <w:rPr>
          <w:rFonts w:hint="eastAsia" w:ascii="仿宋" w:hAnsi="Times New Roman" w:eastAsia="仿宋" w:cs="Times New Roman"/>
          <w:b w:val="0"/>
          <w:bCs w:val="0"/>
          <w:color w:val="000000"/>
          <w:sz w:val="32"/>
          <w:szCs w:val="24"/>
          <w:lang w:val="en-US" w:eastAsia="zh-CN" w:bidi="ar-SA"/>
        </w:rPr>
        <w:t>2022年政府性基金预算拨款支出0万元</w:t>
      </w:r>
      <w:bookmarkStart w:id="58" w:name="_Toc15377219"/>
      <w:r>
        <w:rPr>
          <w:rFonts w:hint="eastAsia" w:ascii="仿宋" w:hAnsi="Times New Roman" w:eastAsia="仿宋" w:cs="Times New Roman"/>
          <w:b w:val="0"/>
          <w:bCs w:val="0"/>
          <w:color w:val="000000"/>
          <w:sz w:val="32"/>
          <w:szCs w:val="24"/>
          <w:lang w:val="en-US" w:eastAsia="zh-CN" w:bidi="ar-SA"/>
        </w:rPr>
        <w:t>，因此表格为空。</w:t>
      </w:r>
    </w:p>
    <w:p>
      <w:pPr>
        <w:pStyle w:val="182"/>
        <w:ind w:firstLine="640"/>
        <w:rPr>
          <w:rFonts w:hint="eastAsia" w:ascii="黑体" w:eastAsia="黑体"/>
          <w:bCs w:val="0"/>
          <w:color w:val="000000"/>
        </w:rPr>
      </w:pPr>
      <w:bookmarkStart w:id="59" w:name="_Toc111208507"/>
      <w:bookmarkStart w:id="60" w:name="_Toc27229"/>
      <w:r>
        <w:rPr>
          <w:rFonts w:hint="eastAsia" w:ascii="黑体" w:eastAsia="黑体"/>
          <w:bCs w:val="0"/>
          <w:color w:val="000000"/>
        </w:rPr>
        <w:t>九、国有资本经营预算支出决算情况说明</w:t>
      </w:r>
      <w:bookmarkEnd w:id="45"/>
      <w:bookmarkEnd w:id="46"/>
      <w:bookmarkEnd w:id="47"/>
    </w:p>
    <w:p>
      <w:pPr>
        <w:pStyle w:val="182"/>
        <w:numPr>
          <w:ilvl w:val="0"/>
          <w:numId w:val="0"/>
        </w:numPr>
        <w:ind w:firstLine="640" w:firstLineChars="200"/>
        <w:rPr>
          <w:rFonts w:hint="eastAsia" w:ascii="仿宋" w:eastAsia="仿宋"/>
        </w:rPr>
      </w:pPr>
      <w:r>
        <w:rPr>
          <w:rFonts w:hint="eastAsia" w:ascii="仿宋" w:hAnsi="Times New Roman" w:eastAsia="仿宋" w:cs="Times New Roman"/>
          <w:b w:val="0"/>
          <w:bCs w:val="0"/>
          <w:color w:val="000000"/>
          <w:sz w:val="32"/>
          <w:szCs w:val="24"/>
          <w:lang w:val="en-US" w:eastAsia="zh-CN" w:bidi="ar-SA"/>
        </w:rPr>
        <w:t>2022年国有资本经营预算拨款支出0万元</w:t>
      </w:r>
      <w:r>
        <w:rPr>
          <w:rFonts w:hint="eastAsia" w:ascii="仿宋" w:hAnsi="Times New Roman" w:eastAsia="仿宋" w:cs="Times New Roman"/>
          <w:b w:val="0"/>
          <w:bCs w:val="0"/>
          <w:color w:val="000000"/>
          <w:sz w:val="32"/>
          <w:szCs w:val="24"/>
          <w:lang w:val="en-US" w:eastAsia="zh-CN" w:bidi="ar-SA"/>
        </w:rPr>
        <w:t>，因此表格为空。</w:t>
      </w:r>
    </w:p>
    <w:p>
      <w:pPr>
        <w:pStyle w:val="182"/>
        <w:ind w:firstLine="640"/>
        <w:rPr>
          <w:rFonts w:hint="eastAsia" w:ascii="黑体" w:eastAsia="黑体"/>
          <w:bCs w:val="0"/>
          <w:color w:val="000000"/>
        </w:rPr>
      </w:pPr>
      <w:bookmarkStart w:id="61" w:name="_Toc15377221"/>
      <w:bookmarkStart w:id="62" w:name="_Toc30209"/>
      <w:bookmarkStart w:id="63" w:name="_Toc111208508"/>
      <w:r>
        <w:rPr>
          <w:rFonts w:hint="eastAsia" w:ascii="黑体" w:eastAsia="黑体"/>
          <w:bCs w:val="0"/>
          <w:color w:val="000000"/>
        </w:rPr>
        <w:t>十、其他重要事项的情况说明</w:t>
      </w:r>
      <w:bookmarkEnd w:id="48"/>
      <w:bookmarkEnd w:id="49"/>
      <w:bookmarkEnd w:id="50"/>
    </w:p>
    <w:p>
      <w:pPr>
        <w:spacing w:line="600" w:lineRule="exact"/>
        <w:ind w:firstLine="640"/>
        <w:outlineLvl w:val="2"/>
        <w:rPr>
          <w:rFonts w:hint="eastAsia" w:ascii="仿宋" w:eastAsia="仿宋"/>
          <w:b/>
          <w:color w:val="000000"/>
          <w:sz w:val="32"/>
          <w:szCs w:val="32"/>
        </w:rPr>
      </w:pPr>
      <w:bookmarkStart w:id="64" w:name="_Toc15377222"/>
      <w:r>
        <w:rPr>
          <w:rFonts w:hint="eastAsia" w:ascii="仿宋" w:eastAsia="仿宋"/>
          <w:b/>
          <w:color w:val="000000"/>
          <w:sz w:val="32"/>
          <w:szCs w:val="32"/>
        </w:rPr>
        <w:t>（一）机关运行经费支出情况</w:t>
      </w:r>
      <w:bookmarkEnd w:id="51"/>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2022</w:t>
      </w:r>
      <w:r>
        <w:rPr>
          <w:rFonts w:hint="eastAsia" w:ascii="仿宋" w:eastAsia="仿宋"/>
          <w:color w:val="000000"/>
          <w:sz w:val="32"/>
        </w:rPr>
        <w:t>年，机关运行经费支出21.68</w:t>
      </w:r>
      <w:r>
        <w:rPr>
          <w:rFonts w:hint="eastAsia" w:ascii="仿宋" w:eastAsia="仿宋"/>
          <w:color w:val="000000"/>
          <w:sz w:val="32"/>
          <w:szCs w:val="32"/>
        </w:rPr>
        <w:t>万元，比</w:t>
      </w:r>
      <w:r>
        <w:rPr>
          <w:rFonts w:hint="eastAsia" w:ascii="仿宋" w:eastAsia="仿宋"/>
          <w:color w:val="000000"/>
          <w:sz w:val="32"/>
        </w:rPr>
        <w:t>2021年减少7.79</w:t>
      </w:r>
      <w:r>
        <w:rPr>
          <w:rFonts w:hint="eastAsia" w:ascii="仿宋" w:eastAsia="仿宋"/>
          <w:color w:val="000000"/>
          <w:sz w:val="32"/>
          <w:szCs w:val="32"/>
        </w:rPr>
        <w:t>万元，</w:t>
      </w:r>
      <w:r>
        <w:rPr>
          <w:rFonts w:hint="eastAsia" w:ascii="仿宋" w:eastAsia="仿宋"/>
          <w:color w:val="000000"/>
          <w:sz w:val="32"/>
        </w:rPr>
        <w:t xml:space="preserve">减少26.42 %。主要原因是运行经费增加。 </w:t>
      </w:r>
    </w:p>
    <w:p>
      <w:pPr>
        <w:spacing w:line="600" w:lineRule="exact"/>
        <w:ind w:firstLine="640"/>
        <w:outlineLvl w:val="2"/>
        <w:rPr>
          <w:rFonts w:hint="eastAsia" w:ascii="仿宋" w:eastAsia="仿宋"/>
          <w:b/>
          <w:color w:val="000000"/>
          <w:sz w:val="32"/>
          <w:szCs w:val="32"/>
        </w:rPr>
      </w:pPr>
      <w:bookmarkStart w:id="65" w:name="_Toc15377223"/>
      <w:r>
        <w:rPr>
          <w:rFonts w:hint="eastAsia" w:ascii="仿宋" w:eastAsia="仿宋"/>
          <w:b/>
          <w:color w:val="000000"/>
          <w:sz w:val="32"/>
          <w:szCs w:val="32"/>
        </w:rPr>
        <w:t>（二）政府采购支出情况</w:t>
      </w:r>
      <w:bookmarkEnd w:id="52"/>
      <w:r>
        <w:rPr>
          <w:rFonts w:hint="eastAsia" w:ascii="仿宋" w:eastAsia="仿宋"/>
          <w:b/>
          <w:color w:val="000000"/>
          <w:sz w:val="32"/>
          <w:szCs w:val="32"/>
        </w:rPr>
        <w:t>(机构运行信息表)</w:t>
      </w:r>
    </w:p>
    <w:p>
      <w:pPr>
        <w:spacing w:line="600" w:lineRule="exact"/>
        <w:ind w:firstLine="640"/>
        <w:rPr>
          <w:rFonts w:hint="eastAsia" w:ascii="仿宋_GB2312" w:eastAsia="仿宋_GB2312"/>
          <w:color w:val="000000"/>
          <w:sz w:val="32"/>
          <w:szCs w:val="32"/>
        </w:rPr>
      </w:pPr>
      <w:r>
        <w:rPr>
          <w:rFonts w:hint="eastAsia" w:ascii="仿宋" w:eastAsia="仿宋"/>
          <w:color w:val="000000"/>
          <w:sz w:val="32"/>
          <w:szCs w:val="32"/>
        </w:rPr>
        <w:t>2022</w:t>
      </w:r>
      <w:r>
        <w:rPr>
          <w:rFonts w:hint="eastAsia" w:ascii="仿宋" w:eastAsia="仿宋"/>
          <w:color w:val="000000"/>
          <w:sz w:val="32"/>
        </w:rPr>
        <w:t>年，政府采购支出总额0</w:t>
      </w:r>
      <w:r>
        <w:rPr>
          <w:rFonts w:hint="eastAsia" w:ascii="仿宋" w:eastAsia="仿宋"/>
          <w:color w:val="000000"/>
          <w:sz w:val="32"/>
          <w:szCs w:val="32"/>
        </w:rPr>
        <w:t>万元，其中：政府采购货物支出</w:t>
      </w:r>
      <w:r>
        <w:rPr>
          <w:rFonts w:hint="eastAsia" w:ascii="仿宋" w:eastAsia="仿宋"/>
          <w:color w:val="000000"/>
          <w:sz w:val="32"/>
        </w:rPr>
        <w:t>0</w:t>
      </w:r>
      <w:r>
        <w:rPr>
          <w:rFonts w:hint="eastAsia" w:ascii="仿宋" w:eastAsia="仿宋"/>
          <w:color w:val="000000"/>
          <w:sz w:val="32"/>
          <w:szCs w:val="32"/>
        </w:rPr>
        <w:t>万元、政府采购工程支出</w:t>
      </w:r>
      <w:r>
        <w:rPr>
          <w:rFonts w:hint="eastAsia" w:ascii="仿宋" w:eastAsia="仿宋"/>
          <w:color w:val="000000"/>
          <w:sz w:val="32"/>
        </w:rPr>
        <w:t>0</w:t>
      </w:r>
      <w:r>
        <w:rPr>
          <w:rFonts w:hint="eastAsia" w:ascii="仿宋" w:eastAsia="仿宋"/>
          <w:color w:val="000000"/>
          <w:sz w:val="32"/>
          <w:szCs w:val="32"/>
        </w:rPr>
        <w:t>万元、政府采购服务支出</w:t>
      </w:r>
      <w:r>
        <w:rPr>
          <w:rFonts w:hint="eastAsia" w:ascii="仿宋" w:eastAsia="仿宋"/>
          <w:color w:val="000000"/>
          <w:sz w:val="32"/>
        </w:rPr>
        <w:t>0</w:t>
      </w:r>
      <w:r>
        <w:rPr>
          <w:rFonts w:hint="eastAsia" w:ascii="仿宋" w:eastAsia="仿宋"/>
          <w:color w:val="000000"/>
          <w:sz w:val="32"/>
          <w:szCs w:val="32"/>
        </w:rPr>
        <w:t>万元。授予中小企业合同金额</w:t>
      </w:r>
      <w:r>
        <w:rPr>
          <w:rFonts w:hint="eastAsia" w:ascii="仿宋" w:eastAsia="仿宋"/>
          <w:color w:val="000000"/>
          <w:sz w:val="32"/>
        </w:rPr>
        <w:t>0</w:t>
      </w:r>
      <w:r>
        <w:rPr>
          <w:rFonts w:hint="eastAsia" w:ascii="仿宋" w:eastAsia="仿宋"/>
          <w:color w:val="000000"/>
          <w:sz w:val="32"/>
          <w:szCs w:val="32"/>
        </w:rPr>
        <w:t>万元，其中：授予小微企业合同金额</w:t>
      </w:r>
      <w:r>
        <w:rPr>
          <w:rFonts w:hint="eastAsia" w:ascii="仿宋" w:eastAsia="仿宋"/>
          <w:color w:val="000000"/>
          <w:sz w:val="32"/>
        </w:rPr>
        <w:t>0</w:t>
      </w:r>
      <w:r>
        <w:rPr>
          <w:rFonts w:hint="eastAsia" w:ascii="仿宋" w:eastAsia="仿宋"/>
          <w:color w:val="000000"/>
          <w:sz w:val="32"/>
          <w:szCs w:val="32"/>
        </w:rPr>
        <w:t>万元。</w:t>
      </w:r>
    </w:p>
    <w:p>
      <w:pPr>
        <w:spacing w:line="600" w:lineRule="exact"/>
        <w:ind w:firstLine="640"/>
        <w:outlineLvl w:val="2"/>
        <w:rPr>
          <w:rFonts w:hint="eastAsia" w:ascii="仿宋" w:eastAsia="仿宋"/>
          <w:b/>
          <w:color w:val="000000"/>
          <w:sz w:val="32"/>
          <w:szCs w:val="32"/>
        </w:rPr>
      </w:pPr>
      <w:bookmarkStart w:id="66" w:name="_Toc15377224"/>
      <w:r>
        <w:rPr>
          <w:rFonts w:hint="eastAsia" w:ascii="仿宋" w:eastAsia="仿宋"/>
          <w:b/>
          <w:color w:val="000000"/>
          <w:sz w:val="32"/>
          <w:szCs w:val="32"/>
        </w:rPr>
        <w:t>（三）国有资产占有使用情况</w:t>
      </w:r>
      <w:bookmarkEnd w:id="53"/>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截至</w:t>
      </w:r>
      <w:r>
        <w:rPr>
          <w:rFonts w:hint="eastAsia" w:ascii="仿宋" w:eastAsia="仿宋"/>
          <w:color w:val="000000"/>
          <w:sz w:val="32"/>
        </w:rPr>
        <w:t>2022年</w:t>
      </w:r>
      <w:r>
        <w:rPr>
          <w:rFonts w:hint="eastAsia" w:ascii="仿宋" w:eastAsia="仿宋"/>
          <w:color w:val="000000"/>
          <w:sz w:val="32"/>
          <w:szCs w:val="32"/>
        </w:rPr>
        <w:t>12月31日，共有车辆</w:t>
      </w:r>
      <w:r>
        <w:rPr>
          <w:rFonts w:hint="eastAsia" w:ascii="仿宋" w:eastAsia="仿宋"/>
          <w:color w:val="000000"/>
          <w:sz w:val="32"/>
        </w:rPr>
        <w:t>0辆，其中：主要领导干部用车0</w:t>
      </w:r>
      <w:r>
        <w:rPr>
          <w:rFonts w:hint="eastAsia" w:ascii="仿宋" w:eastAsia="仿宋"/>
          <w:color w:val="000000"/>
          <w:sz w:val="32"/>
          <w:szCs w:val="32"/>
        </w:rPr>
        <w:t>辆、机要通信用车</w:t>
      </w:r>
      <w:r>
        <w:rPr>
          <w:rFonts w:hint="eastAsia" w:ascii="仿宋" w:eastAsia="仿宋"/>
          <w:color w:val="000000"/>
          <w:sz w:val="32"/>
        </w:rPr>
        <w:t>0</w:t>
      </w:r>
      <w:r>
        <w:rPr>
          <w:rFonts w:hint="eastAsia" w:ascii="仿宋" w:eastAsia="仿宋"/>
          <w:color w:val="000000"/>
          <w:sz w:val="32"/>
          <w:szCs w:val="32"/>
        </w:rPr>
        <w:t>辆、应急保障用车</w:t>
      </w:r>
      <w:r>
        <w:rPr>
          <w:rFonts w:hint="eastAsia" w:ascii="仿宋" w:eastAsia="仿宋"/>
          <w:color w:val="000000"/>
          <w:sz w:val="32"/>
        </w:rPr>
        <w:t>0</w:t>
      </w:r>
      <w:r>
        <w:rPr>
          <w:rFonts w:hint="eastAsia" w:ascii="仿宋" w:eastAsia="仿宋"/>
          <w:color w:val="000000"/>
          <w:sz w:val="32"/>
          <w:szCs w:val="32"/>
        </w:rPr>
        <w:t>辆、其他用车</w:t>
      </w:r>
      <w:r>
        <w:rPr>
          <w:rFonts w:hint="eastAsia" w:ascii="仿宋" w:eastAsia="仿宋"/>
          <w:color w:val="000000"/>
          <w:sz w:val="32"/>
        </w:rPr>
        <w:t>0</w:t>
      </w:r>
      <w:r>
        <w:rPr>
          <w:rFonts w:hint="eastAsia" w:ascii="仿宋" w:eastAsia="仿宋"/>
          <w:color w:val="000000"/>
          <w:sz w:val="32"/>
          <w:szCs w:val="32"/>
        </w:rPr>
        <w:t>辆。单价50万元以上通用设备</w:t>
      </w:r>
      <w:r>
        <w:rPr>
          <w:rFonts w:hint="eastAsia" w:ascii="仿宋" w:eastAsia="仿宋"/>
          <w:color w:val="000000"/>
          <w:sz w:val="32"/>
        </w:rPr>
        <w:t>0</w:t>
      </w:r>
      <w:r>
        <w:rPr>
          <w:rFonts w:hint="eastAsia" w:ascii="仿宋" w:eastAsia="仿宋"/>
          <w:color w:val="000000"/>
          <w:sz w:val="32"/>
          <w:szCs w:val="32"/>
        </w:rPr>
        <w:t>台（套），单价100万元以上专用设备</w:t>
      </w:r>
      <w:r>
        <w:rPr>
          <w:rFonts w:hint="eastAsia" w:ascii="仿宋" w:eastAsia="仿宋"/>
          <w:color w:val="000000"/>
          <w:sz w:val="32"/>
        </w:rPr>
        <w:t>0</w:t>
      </w:r>
      <w:r>
        <w:rPr>
          <w:rFonts w:hint="eastAsia" w:ascii="仿宋" w:eastAsia="仿宋"/>
          <w:color w:val="000000"/>
          <w:sz w:val="32"/>
          <w:szCs w:val="32"/>
        </w:rPr>
        <w:t>台（套）。</w:t>
      </w:r>
    </w:p>
    <w:p>
      <w:pPr>
        <w:spacing w:line="600" w:lineRule="exact"/>
        <w:ind w:firstLine="640"/>
        <w:outlineLvl w:val="2"/>
        <w:rPr>
          <w:rFonts w:hint="eastAsia" w:ascii="仿宋" w:eastAsia="仿宋"/>
          <w:b/>
          <w:color w:val="000000"/>
          <w:sz w:val="32"/>
          <w:szCs w:val="32"/>
        </w:rPr>
      </w:pPr>
      <w:r>
        <w:rPr>
          <w:rFonts w:hint="eastAsia" w:ascii="仿宋" w:eastAsia="仿宋"/>
          <w:b/>
          <w:color w:val="000000"/>
          <w:sz w:val="32"/>
          <w:szCs w:val="32"/>
        </w:rPr>
        <w:t>（四）预算绩效管理情况</w:t>
      </w:r>
    </w:p>
    <w:p>
      <w:pPr>
        <w:pStyle w:val="204"/>
        <w:spacing w:line="576" w:lineRule="exact"/>
        <w:ind w:firstLine="640"/>
        <w:rPr>
          <w:rFonts w:hint="eastAsia" w:ascii="仿宋_GB2312" w:eastAsia="仿宋_GB2312"/>
          <w:sz w:val="32"/>
          <w:szCs w:val="32"/>
        </w:rPr>
      </w:pPr>
      <w:r>
        <w:rPr>
          <w:rFonts w:hint="eastAsia" w:ascii="仿宋_GB2312" w:eastAsia="仿宋_GB2312"/>
          <w:sz w:val="32"/>
          <w:szCs w:val="32"/>
        </w:rPr>
        <w:t>根据预算绩效管理要求，本单位在2022年度预算编制阶段，按要求对2022年部门整体支出开展绩效自评，从评价情况来看，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本部门整体绩效管理水平不断提升。根据职能职责，确定目标任务，积极发挥公共财政职能作用，推动落实稳增长、促改革、调结构、惠民生、防风险各项工作。按照2022年门预算编审要求，根据我单位职能职责，结合中长期规划和年度工作计划，明确了年度主要工作任务及年度内履职所要达到的总体产出和效果，认真填报了我单位整体支出绩效目标，设定了年</w:t>
      </w:r>
      <w:bookmarkStart w:id="67" w:name="_Toc24708_WPSOffice_Level2"/>
      <w:r>
        <w:rPr>
          <w:rFonts w:hint="eastAsia" w:ascii="仿宋_GB2312" w:eastAsia="仿宋_GB2312"/>
          <w:sz w:val="32"/>
          <w:szCs w:val="32"/>
        </w:rPr>
        <w:t>度绩效数量指标</w:t>
      </w:r>
      <w:bookmarkEnd w:id="54"/>
      <w:bookmarkEnd w:id="55"/>
      <w:r>
        <w:rPr>
          <w:rFonts w:hint="eastAsia" w:ascii="仿宋_GB2312" w:eastAsia="仿宋_GB2312"/>
          <w:sz w:val="32"/>
          <w:szCs w:val="32"/>
        </w:rPr>
        <w:t>、</w:t>
      </w:r>
      <w:bookmarkStart w:id="68" w:name="_Toc14356_WPSOffice_Level2"/>
      <w:r>
        <w:rPr>
          <w:rFonts w:hint="eastAsia" w:ascii="仿宋_GB2312" w:eastAsia="仿宋_GB2312"/>
          <w:sz w:val="32"/>
          <w:szCs w:val="32"/>
        </w:rPr>
        <w:t>成本指标效益指标等。</w:t>
      </w:r>
    </w:p>
    <w:p>
      <w:pPr>
        <w:pStyle w:val="204"/>
        <w:spacing w:line="576" w:lineRule="exact"/>
        <w:ind w:firstLine="640"/>
        <w:rPr>
          <w:rFonts w:hint="eastAsia" w:ascii="仿宋_GB2312" w:eastAsia="仿宋_GB2312"/>
          <w:sz w:val="32"/>
          <w:szCs w:val="32"/>
        </w:rPr>
      </w:pPr>
      <w:r>
        <w:rPr>
          <w:rFonts w:hint="eastAsia" w:ascii="仿宋_GB2312" w:eastAsia="仿宋_GB2312"/>
          <w:sz w:val="32"/>
          <w:szCs w:val="32"/>
        </w:rPr>
        <w:t>本</w:t>
      </w:r>
      <w:bookmarkEnd w:id="56"/>
      <w:r>
        <w:rPr>
          <w:rFonts w:hint="eastAsia" w:ascii="仿宋_GB2312" w:eastAsia="仿宋_GB2312"/>
          <w:sz w:val="32"/>
          <w:szCs w:val="32"/>
        </w:rPr>
        <w:t>单位无</w:t>
      </w:r>
      <w:bookmarkStart w:id="69" w:name="_Toc27045_WPSOffice_Level2"/>
      <w:r>
        <w:rPr>
          <w:rFonts w:hint="eastAsia" w:ascii="仿宋_GB2312" w:eastAsia="仿宋_GB2312"/>
          <w:sz w:val="32"/>
          <w:szCs w:val="32"/>
        </w:rPr>
        <w:t>专项预算项目，因此本单位未</w:t>
      </w:r>
      <w:bookmarkEnd w:id="57"/>
      <w:bookmarkEnd w:id="58"/>
      <w:r>
        <w:rPr>
          <w:rFonts w:hint="eastAsia" w:ascii="仿宋_GB2312" w:eastAsia="仿宋_GB2312"/>
          <w:sz w:val="32"/>
          <w:szCs w:val="32"/>
        </w:rPr>
        <w:t>组</w:t>
      </w:r>
      <w:bookmarkStart w:id="70" w:name="_Toc15961_WPSOffice_Level2"/>
      <w:r>
        <w:rPr>
          <w:rFonts w:hint="eastAsia" w:ascii="仿宋_GB2312" w:eastAsia="仿宋_GB2312"/>
          <w:sz w:val="32"/>
          <w:szCs w:val="32"/>
        </w:rPr>
        <w:t>织开展项目支出绩效评价。</w:t>
      </w:r>
    </w:p>
    <w:p>
      <w:pPr>
        <w:pStyle w:val="204"/>
        <w:spacing w:line="576" w:lineRule="exact"/>
        <w:ind w:firstLine="640"/>
        <w:rPr>
          <w:rFonts w:hint="eastAsia" w:ascii="仿宋_GB2312" w:eastAsia="仿宋_GB2312"/>
          <w:sz w:val="32"/>
          <w:szCs w:val="32"/>
        </w:rPr>
      </w:pPr>
      <w:r>
        <w:rPr>
          <w:rFonts w:hint="eastAsia" w:ascii="仿宋_GB2312" w:eastAsia="仿宋_GB2312"/>
          <w:sz w:val="32"/>
          <w:szCs w:val="32"/>
        </w:rPr>
        <w:t>部门绩效</w:t>
      </w:r>
      <w:bookmarkEnd w:id="59"/>
      <w:r>
        <w:rPr>
          <w:rFonts w:hint="eastAsia" w:ascii="仿宋_GB2312" w:eastAsia="仿宋_GB2312"/>
          <w:sz w:val="32"/>
          <w:szCs w:val="32"/>
        </w:rPr>
        <w:t>评</w:t>
      </w:r>
      <w:bookmarkStart w:id="71" w:name="_Toc32122_WPSOffice_Level2"/>
      <w:r>
        <w:rPr>
          <w:rFonts w:hint="eastAsia" w:ascii="仿宋_GB2312" w:eastAsia="仿宋_GB2312"/>
          <w:sz w:val="32"/>
          <w:szCs w:val="32"/>
        </w:rPr>
        <w:t>价结果：</w:t>
      </w:r>
    </w:p>
    <w:p>
      <w:pPr>
        <w:pStyle w:val="204"/>
        <w:spacing w:line="576" w:lineRule="exact"/>
        <w:ind w:firstLine="640"/>
        <w:rPr>
          <w:rFonts w:hint="eastAsia" w:ascii="仿宋_GB2312" w:eastAsia="仿宋_GB2312"/>
          <w:sz w:val="32"/>
          <w:szCs w:val="32"/>
        </w:rPr>
      </w:pPr>
      <w:r>
        <w:rPr>
          <w:rFonts w:hint="eastAsia" w:ascii="仿宋_GB2312" w:eastAsia="仿宋_GB2312"/>
          <w:sz w:val="32"/>
          <w:szCs w:val="32"/>
        </w:rPr>
        <w:t>本单位按要求对2022年部门</w:t>
      </w:r>
      <w:bookmarkEnd w:id="60"/>
      <w:bookmarkEnd w:id="61"/>
      <w:r>
        <w:rPr>
          <w:rFonts w:hint="eastAsia" w:ascii="仿宋_GB2312" w:eastAsia="仿宋_GB2312"/>
          <w:sz w:val="32"/>
          <w:szCs w:val="32"/>
        </w:rPr>
        <w:t>整</w:t>
      </w:r>
      <w:bookmarkStart w:id="72" w:name="_Toc587_WPSOffice_Level2"/>
      <w:r>
        <w:rPr>
          <w:rFonts w:hint="eastAsia" w:ascii="仿宋_GB2312" w:eastAsia="仿宋_GB2312"/>
          <w:sz w:val="32"/>
          <w:szCs w:val="32"/>
        </w:rPr>
        <w:t>体支出绩效评价情况开展自评，本单位整体</w:t>
      </w:r>
      <w:bookmarkEnd w:id="62"/>
      <w:bookmarkEnd w:id="63"/>
      <w:r>
        <w:rPr>
          <w:rFonts w:hint="eastAsia" w:ascii="仿宋_GB2312" w:eastAsia="仿宋_GB2312"/>
          <w:sz w:val="32"/>
          <w:szCs w:val="32"/>
        </w:rPr>
        <w:t>支</w:t>
      </w:r>
      <w:bookmarkStart w:id="73" w:name="_Toc622_WPSOffice_Level2"/>
      <w:r>
        <w:rPr>
          <w:rFonts w:hint="eastAsia" w:ascii="仿宋_GB2312" w:eastAsia="仿宋_GB2312"/>
          <w:sz w:val="32"/>
          <w:szCs w:val="32"/>
        </w:rPr>
        <w:t>出绩效评价自查自评结果良好，全年基本支</w:t>
      </w:r>
      <w:bookmarkEnd w:id="64"/>
      <w:bookmarkEnd w:id="65"/>
      <w:r>
        <w:rPr>
          <w:rFonts w:hint="eastAsia" w:ascii="仿宋_GB2312" w:eastAsia="仿宋_GB2312"/>
          <w:sz w:val="32"/>
          <w:szCs w:val="32"/>
        </w:rPr>
        <w:t>出</w:t>
      </w:r>
      <w:bookmarkStart w:id="74" w:name="_Toc5811_WPSOffice_Level2"/>
      <w:r>
        <w:rPr>
          <w:rFonts w:hint="eastAsia" w:ascii="仿宋_GB2312" w:eastAsia="仿宋_GB2312"/>
          <w:sz w:val="32"/>
          <w:szCs w:val="32"/>
        </w:rPr>
        <w:t>保证了部门的正常运行和日常工作的正常开展，达到</w:t>
      </w:r>
      <w:bookmarkEnd w:id="66"/>
      <w:r>
        <w:rPr>
          <w:rFonts w:hint="eastAsia" w:ascii="仿宋_GB2312" w:eastAsia="仿宋_GB2312"/>
          <w:sz w:val="32"/>
          <w:szCs w:val="32"/>
        </w:rPr>
        <w:t>预</w:t>
      </w:r>
      <w:bookmarkStart w:id="75" w:name="_Toc6789_WPSOffice_Level2"/>
      <w:r>
        <w:rPr>
          <w:rFonts w:hint="eastAsia" w:ascii="仿宋_GB2312" w:eastAsia="仿宋_GB2312"/>
          <w:sz w:val="32"/>
          <w:szCs w:val="32"/>
        </w:rPr>
        <w:t>期绩效目标，按照2022年部门整体支出绩效</w:t>
      </w:r>
      <w:bookmarkEnd w:id="67"/>
      <w:bookmarkEnd w:id="68"/>
      <w:r>
        <w:rPr>
          <w:rFonts w:hint="eastAsia" w:ascii="仿宋_GB2312" w:eastAsia="仿宋_GB2312"/>
          <w:sz w:val="32"/>
          <w:szCs w:val="32"/>
        </w:rPr>
        <w:t>评</w:t>
      </w:r>
      <w:bookmarkStart w:id="76" w:name="_Toc4383_WPSOffice_Level2"/>
      <w:r>
        <w:rPr>
          <w:rFonts w:hint="eastAsia" w:ascii="仿宋_GB2312" w:eastAsia="仿宋_GB2312"/>
          <w:sz w:val="32"/>
          <w:szCs w:val="32"/>
        </w:rPr>
        <w:t>价指标体系自评得分85分。《茂县县委统战部20</w:t>
      </w:r>
      <w:bookmarkEnd w:id="69"/>
      <w:r>
        <w:rPr>
          <w:rFonts w:hint="eastAsia" w:ascii="仿宋_GB2312" w:eastAsia="仿宋_GB2312"/>
          <w:sz w:val="32"/>
          <w:szCs w:val="32"/>
        </w:rPr>
        <w:t>22年</w:t>
      </w:r>
      <w:bookmarkStart w:id="77" w:name="_Toc6995_WPSOffice_Level2"/>
      <w:r>
        <w:rPr>
          <w:rFonts w:hint="eastAsia" w:ascii="仿宋_GB2312" w:eastAsia="仿宋_GB2312"/>
          <w:sz w:val="32"/>
          <w:szCs w:val="32"/>
        </w:rPr>
        <w:t>部门整体支出绩效评价报告》见附件</w:t>
      </w:r>
      <w:bookmarkEnd w:id="70"/>
      <w:bookmarkEnd w:id="71"/>
      <w:r>
        <w:rPr>
          <w:rFonts w:hint="eastAsia" w:ascii="仿宋_GB2312" w:eastAsia="仿宋_GB2312"/>
          <w:sz w:val="32"/>
          <w:szCs w:val="32"/>
        </w:rPr>
        <w:t>。</w:t>
      </w:r>
    </w:p>
    <w:p/>
    <w:p>
      <w:pPr>
        <w:widowControl/>
        <w:jc w:val="left"/>
        <w:rPr>
          <w:rFonts w:hint="eastAsia" w:ascii="仿宋_GB2312" w:eastAsia="仿宋_GB2312"/>
          <w:b/>
          <w:color w:val="000000"/>
          <w:sz w:val="32"/>
          <w:szCs w:val="32"/>
        </w:rPr>
      </w:pPr>
      <w:r>
        <w:rPr>
          <w:rFonts w:hint="eastAsia" w:ascii="仿宋_GB2312" w:eastAsia="仿宋_GB2312"/>
          <w:b/>
          <w:color w:val="000000"/>
          <w:sz w:val="32"/>
          <w:szCs w:val="32"/>
        </w:rPr>
        <w:br w:type="page" w:clear="all"/>
      </w:r>
    </w:p>
    <w:p>
      <w:pPr>
        <w:pStyle w:val="181"/>
        <w:jc w:val="center"/>
        <w:rPr>
          <w:rFonts w:hint="eastAsia" w:ascii="黑体" w:eastAsia="黑体" w:cs="黑体"/>
          <w:lang w:bidi="ar-SA"/>
        </w:rPr>
      </w:pPr>
      <w:bookmarkStart w:id="78" w:name="_Toc111208509"/>
      <w:bookmarkStart w:id="79" w:name="_Toc15377225"/>
      <w:bookmarkStart w:id="80" w:name="_Toc24087"/>
      <w:r>
        <w:rPr>
          <w:rFonts w:hint="eastAsia" w:ascii="黑体" w:eastAsia="黑体" w:cs="黑体"/>
          <w:lang w:bidi="ar-SA"/>
        </w:rPr>
        <w:t>第三部分 名词解释</w:t>
      </w:r>
      <w:bookmarkEnd w:id="72"/>
      <w:bookmarkEnd w:id="73"/>
      <w:bookmarkEnd w:id="74"/>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1.财政拨款收入：指单位从同级财政部门取得的财政预算资金。</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2.事业收入：指事业单位开展专业业务活动及辅助活动取得的收入。</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3.经营收入：指事业单位在专业业务活动及其辅助活动之外开展非独立核算经营活动取得的收入</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4.其他收入：指单位取得的除上述收入以外的各项收入。</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 xml:space="preserve">6.年初结转和结余：指以前年度尚未完成、结转到本年按有关规定继续使用的资金。 </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7.结余分配：指事业单位按照事业单位会计制度的规定从非财政补助结余中分配的事业基金和职工福利基金等。</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8.年末结转和结余：指单位按有关规定结转到下年或以后年度继续使用的资金。</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9.一般公共服务支出（类）统战事务（款）行政运行（项）：反映行政单位（包括实行公务员管理的事业单位）的基本支出。</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 xml:space="preserve">   10.一般公共服务支出（类）统战事务（款）其他统战事务支出（项）：反映除上述项目以外其他用于中国共产党统战部门的事务支出。</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 xml:space="preserve">   11.社会保障和就业支出（类）行政事业单位养老支出（款）机关事业单位基本养老保险缴费支出（项）：反映机关事业单位实施养老保险制度由单位缴纳的基本养老保险费支出。</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 xml:space="preserve">  12.社会保障和就业支出（类）行政事业单位养老支出（款）机关事业单位职业年金缴费支出（项）：反映机关事业单位实施养老保险制度由单位实际缴纳的职业年金支出。</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 xml:space="preserve">  13.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 xml:space="preserve">  14.住房保障支出（类）住房改革支出（款）住房公积金（项）：反映行政事业单位按人力资源和社会保障部、财政部规定的基本工资和津贴补贴以及规定比例为职工缴纳的住房公积金。</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 xml:space="preserve">  15.住房保障支出（类）住房改革支出（款）购房补贴（项）：反映按房改政策规定，行政事业单位向符合条件职工（含离退休人员）、军队（含武警）向转役复员离退休人员发放的用于购买住房的补贴。</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 xml:space="preserve">    16.其他支出（类）其他支出（款）其他支出（项）：无文字说明。</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17.基本支出：指为保障机构正常运转、完成日常工作任务而发生的人员支出和公用支出。</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 xml:space="preserve">25.项目支出：指在基本支出之外为完成特定行政任务和事业发展目标所发生的支出。 </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18.经营支出：指事业单位在专业业务活动及其辅助活动之外开展非独立核算经营活动发生的支出。</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仿宋_GB2312" w:eastAsia="仿宋_GB2312" w:cs="黑体"/>
          <w:sz w:val="32"/>
          <w:szCs w:val="32"/>
          <w:lang w:bidi="ar-SA"/>
        </w:rPr>
      </w:pPr>
      <w:r>
        <w:rPr>
          <w:rFonts w:hint="eastAsia" w:ascii="仿宋" w:eastAsia="仿宋"/>
          <w:color w:val="000000"/>
          <w:sz w:val="32"/>
          <w:szCs w:val="32"/>
        </w:rPr>
        <w:t>21.财政应返还额度：为行政事业单位会计核算科目，用于核算实行国库集中支付的行政事业单位应收财政返还的资金额度。</w:t>
      </w:r>
    </w:p>
    <w:p>
      <w:pPr>
        <w:widowControl/>
        <w:jc w:val="left"/>
        <w:rPr>
          <w:rStyle w:val="207"/>
          <w:rFonts w:hint="eastAsia" w:ascii="黑体" w:eastAsia="黑体"/>
        </w:rPr>
      </w:pPr>
      <w:r>
        <w:rPr>
          <w:rStyle w:val="207"/>
          <w:rFonts w:hint="eastAsia" w:ascii="黑体" w:eastAsia="黑体"/>
        </w:rPr>
        <w:br w:type="page" w:clear="all"/>
      </w:r>
    </w:p>
    <w:p>
      <w:pPr>
        <w:pStyle w:val="181"/>
        <w:jc w:val="center"/>
        <w:rPr>
          <w:rFonts w:hint="eastAsia" w:ascii="黑体" w:eastAsia="黑体" w:cs="黑体"/>
          <w:lang w:bidi="ar-SA"/>
        </w:rPr>
      </w:pPr>
      <w:bookmarkStart w:id="81" w:name="_Toc111208510"/>
      <w:bookmarkStart w:id="82" w:name="_Toc28030"/>
      <w:r>
        <w:rPr>
          <w:rFonts w:hint="eastAsia" w:ascii="黑体" w:eastAsia="黑体" w:cs="黑体"/>
          <w:lang w:bidi="ar-SA"/>
        </w:rPr>
        <w:t>第四部分 附件</w:t>
      </w:r>
      <w:bookmarkEnd w:id="75"/>
      <w:bookmarkEnd w:id="76"/>
    </w:p>
    <w:bookmarkEnd w:id="77"/>
    <w:bookmarkEnd w:id="78"/>
    <w:bookmarkEnd w:id="79"/>
    <w:p>
      <w:pPr>
        <w:pStyle w:val="206"/>
        <w:spacing w:line="576" w:lineRule="exact"/>
        <w:rPr>
          <w:rFonts w:hint="eastAsia" w:ascii="仿宋_GB2312" w:eastAsia="仿宋_GB2312"/>
          <w:sz w:val="32"/>
          <w:szCs w:val="32"/>
        </w:rPr>
      </w:pPr>
      <w:bookmarkStart w:id="83" w:name="_Toc79163631"/>
      <w:bookmarkStart w:id="84" w:name="_Toc18712_WPSOffice_Level3"/>
      <w:bookmarkStart w:id="85" w:name="_Toc23076_WPSOffice_Level1"/>
      <w:r>
        <w:rPr>
          <w:rFonts w:hint="eastAsia" w:ascii="仿宋_GB2312" w:eastAsia="仿宋_GB2312"/>
          <w:sz w:val="32"/>
          <w:szCs w:val="32"/>
        </w:rPr>
        <w:t>附件1</w:t>
      </w:r>
      <w:bookmarkEnd w:id="80"/>
      <w:bookmarkEnd w:id="81"/>
      <w:bookmarkEnd w:id="82"/>
      <w:bookmarkEnd w:id="83"/>
      <w:bookmarkEnd w:id="84"/>
    </w:p>
    <w:p>
      <w:pPr>
        <w:pStyle w:val="206"/>
        <w:spacing w:line="576" w:lineRule="exact"/>
        <w:ind w:firstLine="640"/>
        <w:jc w:val="center"/>
        <w:rPr>
          <w:rFonts w:hint="eastAsia" w:ascii="方正小标宋简体" w:eastAsia="方正小标宋简体"/>
          <w:sz w:val="32"/>
          <w:szCs w:val="32"/>
        </w:rPr>
      </w:pPr>
      <w:r>
        <w:rPr>
          <w:rFonts w:hint="eastAsia" w:ascii="方正小标宋简体" w:eastAsia="方正小标宋简体"/>
          <w:sz w:val="32"/>
          <w:szCs w:val="32"/>
        </w:rPr>
        <w:t>2022年统战部部门整体支出绩效评价报告</w:t>
      </w:r>
      <w:bookmarkEnd w:id="85"/>
    </w:p>
    <w:p>
      <w:pPr>
        <w:pStyle w:val="206"/>
        <w:spacing w:line="576" w:lineRule="exact"/>
        <w:ind w:firstLine="640"/>
        <w:rPr>
          <w:rFonts w:hint="eastAsia" w:ascii="仿宋_GB2312" w:eastAsia="仿宋_GB2312"/>
          <w:sz w:val="32"/>
          <w:szCs w:val="32"/>
        </w:rPr>
      </w:pPr>
    </w:p>
    <w:p>
      <w:pPr>
        <w:pStyle w:val="206"/>
        <w:spacing w:line="576" w:lineRule="exact"/>
        <w:ind w:firstLine="640"/>
        <w:rPr>
          <w:rFonts w:hint="eastAsia" w:ascii="黑体" w:eastAsia="黑体"/>
          <w:sz w:val="32"/>
          <w:szCs w:val="32"/>
        </w:rPr>
      </w:pPr>
      <w:r>
        <w:rPr>
          <w:rFonts w:hint="eastAsia" w:ascii="黑体" w:eastAsia="黑体"/>
          <w:sz w:val="32"/>
          <w:szCs w:val="32"/>
        </w:rPr>
        <w:t>一、部门(单位)基本情况</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（一）机构组成</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本单位是行政单位，属于一级预算单位，下设办公室、民族宗教股、党外干部股、非公有制经济股、党外知识分子与新的社会阶层人士股、港澳台统战工作股、侨务工作股、宣传文化股共8个股室。</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（二）机构职能和人员概况</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1.贯彻落实加强党对统一战线工作集中统一领导的要求，发挥县委在统战工作方面的参谋机构、组织协调机构、具体执行机构、督促检查机构作用，了解情况、掌握政策、协调关系、安排人事、增进共识、加强团结。</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2.推动落实统一战线工作的政策，深入调查研究，向县委反映统一战线工作情况，提出开展统战工作的意见和建议；负责协调、监督全县统一战线工作。</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3.完成县委交办的其他任务。</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4.本单位是行政单位，属一级预算单位，其中内设机构8个，县委统战部行政编制13名。其中：部长1名，副部长3名；股级领导职数8名，退休人员10名、离休人员1名。</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机关工勤人员事业编制1名。</w:t>
      </w:r>
    </w:p>
    <w:p>
      <w:pPr>
        <w:spacing w:line="576" w:lineRule="exact"/>
        <w:ind w:firstLine="640"/>
        <w:outlineLvl w:val="2"/>
        <w:rPr>
          <w:rFonts w:hint="eastAsia" w:ascii="仿宋_GB2312" w:eastAsia="仿宋_GB2312"/>
          <w:sz w:val="32"/>
          <w:szCs w:val="32"/>
        </w:rPr>
      </w:pPr>
      <w:r>
        <w:rPr>
          <w:rFonts w:hint="eastAsia" w:ascii="仿宋_GB2312" w:eastAsia="仿宋_GB2312"/>
          <w:sz w:val="32"/>
          <w:szCs w:val="32"/>
        </w:rPr>
        <w:t xml:space="preserve">（三）年度主要工作任务 </w:t>
      </w:r>
    </w:p>
    <w:p>
      <w:pPr>
        <w:spacing w:line="576" w:lineRule="exact"/>
        <w:ind w:firstLine="800"/>
        <w:outlineLvl w:val="2"/>
        <w:rPr>
          <w:rFonts w:hint="eastAsia" w:ascii="楷体_GB2312" w:eastAsia="楷体_GB2312"/>
          <w:b/>
          <w:sz w:val="32"/>
          <w:szCs w:val="32"/>
        </w:rPr>
      </w:pPr>
      <w:r>
        <w:rPr>
          <w:rFonts w:hint="eastAsia" w:ascii="仿宋" w:eastAsia="仿宋"/>
          <w:color w:val="000000"/>
          <w:sz w:val="32"/>
          <w:szCs w:val="32"/>
        </w:rPr>
        <w:t>1.推动民族宗教事务依法管理。</w:t>
      </w:r>
      <w:r>
        <w:rPr>
          <w:rFonts w:hint="eastAsia" w:ascii="仿宋" w:eastAsia="仿宋"/>
          <w:color w:val="000000"/>
          <w:sz w:val="32"/>
          <w:szCs w:val="32"/>
        </w:rPr>
        <w:br w:type="textWrapping" w:clear="all"/>
      </w:r>
      <w:r>
        <w:rPr>
          <w:rFonts w:hint="eastAsia" w:ascii="仿宋" w:eastAsia="仿宋"/>
          <w:color w:val="000000"/>
          <w:sz w:val="32"/>
          <w:szCs w:val="32"/>
        </w:rPr>
        <w:tab/>
      </w:r>
      <w:r>
        <w:rPr>
          <w:rFonts w:hint="eastAsia" w:ascii="仿宋" w:eastAsia="仿宋"/>
          <w:color w:val="000000"/>
          <w:sz w:val="32"/>
          <w:szCs w:val="32"/>
        </w:rPr>
        <w:t xml:space="preserve">  </w:t>
      </w:r>
      <w:r>
        <w:rPr>
          <w:rFonts w:hint="eastAsia" w:ascii="仿宋" w:eastAsia="仿宋"/>
          <w:color w:val="000000"/>
          <w:sz w:val="32"/>
          <w:szCs w:val="32"/>
        </w:rPr>
        <w:t>2.严格落实“联寺联僧”制度。</w:t>
      </w:r>
      <w:r>
        <w:rPr>
          <w:rFonts w:hint="eastAsia" w:ascii="仿宋" w:eastAsia="仿宋"/>
          <w:color w:val="000000"/>
          <w:sz w:val="32"/>
          <w:szCs w:val="32"/>
        </w:rPr>
        <w:br w:type="textWrapping" w:clear="all"/>
      </w:r>
      <w:r>
        <w:rPr>
          <w:rFonts w:hint="eastAsia" w:ascii="仿宋" w:eastAsia="仿宋"/>
          <w:color w:val="000000"/>
          <w:sz w:val="32"/>
          <w:szCs w:val="32"/>
        </w:rPr>
        <w:tab/>
      </w:r>
      <w:r>
        <w:rPr>
          <w:rFonts w:hint="eastAsia" w:ascii="仿宋" w:eastAsia="仿宋"/>
          <w:color w:val="000000"/>
          <w:sz w:val="32"/>
          <w:szCs w:val="32"/>
        </w:rPr>
        <w:t xml:space="preserve">  </w:t>
      </w:r>
      <w:r>
        <w:rPr>
          <w:rFonts w:hint="eastAsia" w:ascii="仿宋" w:eastAsia="仿宋"/>
          <w:color w:val="000000"/>
          <w:sz w:val="32"/>
          <w:szCs w:val="32"/>
        </w:rPr>
        <w:t>3.巩固提升民族团结进步创建成果。</w:t>
      </w:r>
      <w:r>
        <w:rPr>
          <w:rFonts w:hint="eastAsia" w:ascii="仿宋" w:eastAsia="仿宋"/>
          <w:color w:val="000000"/>
          <w:sz w:val="32"/>
          <w:szCs w:val="32"/>
        </w:rPr>
        <w:br w:type="textWrapping" w:clear="all"/>
      </w:r>
      <w:r>
        <w:rPr>
          <w:rFonts w:hint="eastAsia" w:ascii="仿宋" w:eastAsia="仿宋"/>
          <w:color w:val="000000"/>
          <w:sz w:val="32"/>
          <w:szCs w:val="32"/>
        </w:rPr>
        <w:tab/>
      </w:r>
      <w:r>
        <w:rPr>
          <w:rFonts w:hint="eastAsia" w:ascii="仿宋" w:eastAsia="仿宋"/>
          <w:color w:val="000000"/>
          <w:sz w:val="32"/>
          <w:szCs w:val="32"/>
        </w:rPr>
        <w:t xml:space="preserve">  4.发挥党外知识分子和新的社会阶层人士积极作用。</w:t>
      </w:r>
    </w:p>
    <w:p>
      <w:pPr>
        <w:widowControl/>
        <w:spacing w:line="580" w:lineRule="exact"/>
        <w:ind w:firstLine="480"/>
        <w:jc w:val="left"/>
        <w:rPr>
          <w:rFonts w:hint="eastAsia" w:ascii="仿宋" w:eastAsia="仿宋"/>
          <w:color w:val="000000"/>
          <w:sz w:val="32"/>
          <w:szCs w:val="32"/>
        </w:rPr>
      </w:pPr>
      <w:r>
        <w:rPr>
          <w:rFonts w:hint="eastAsia" w:ascii="仿宋" w:eastAsia="仿宋"/>
          <w:color w:val="000000"/>
          <w:sz w:val="32"/>
          <w:szCs w:val="32"/>
        </w:rPr>
        <w:t>（四）部门整体支出绩效目标</w:t>
      </w:r>
    </w:p>
    <w:p>
      <w:pPr>
        <w:widowControl/>
        <w:spacing w:line="576" w:lineRule="exact"/>
        <w:ind w:firstLine="480"/>
        <w:rPr>
          <w:rFonts w:hint="eastAsia" w:ascii="仿宋_GB2312" w:eastAsia="仿宋_GB2312" w:cs="仿宋"/>
          <w:color w:val="000000"/>
          <w:sz w:val="32"/>
          <w:szCs w:val="32"/>
          <w:lang w:bidi="ar-SA"/>
        </w:rPr>
      </w:pPr>
      <w:r>
        <w:rPr>
          <w:rFonts w:hint="eastAsia" w:ascii="仿宋_GB2312" w:eastAsia="仿宋_GB2312" w:cs="宋体"/>
          <w:b/>
          <w:color w:val="000000"/>
          <w:sz w:val="32"/>
          <w:szCs w:val="32"/>
          <w:shd w:val="clear" w:color="auto" w:fill="FFFFFF"/>
          <w:lang w:bidi="ar-SA"/>
        </w:rPr>
        <w:t xml:space="preserve"> </w:t>
      </w:r>
      <w:r>
        <w:rPr>
          <w:rFonts w:hint="eastAsia" w:ascii="仿宋" w:eastAsia="仿宋"/>
          <w:color w:val="000000"/>
          <w:sz w:val="32"/>
          <w:szCs w:val="32"/>
        </w:rPr>
        <w:t xml:space="preserve"> </w:t>
      </w:r>
      <w:r>
        <w:rPr>
          <w:rFonts w:hint="eastAsia" w:ascii="仿宋_GB2312" w:eastAsia="仿宋_GB2312" w:cs="仿宋_GB2312"/>
          <w:sz w:val="32"/>
          <w:szCs w:val="32"/>
          <w:lang w:bidi="ar-SA"/>
        </w:rPr>
        <w:t>本单位按要求对2022年部门整体支出开展绩效自评，从评价情况来看,2022年本单位部门整体支出绩效评价自查自评结果良好，全年基本支出保证了部门的正常运行和日常工作的正常开展，绩效目标得到较好实现，绩效管理水平不断提高，绩效指标体系逐渐丰富和完善.</w:t>
      </w:r>
    </w:p>
    <w:p>
      <w:pPr>
        <w:pStyle w:val="206"/>
        <w:spacing w:line="576" w:lineRule="exact"/>
        <w:ind w:firstLine="640"/>
        <w:rPr>
          <w:rFonts w:hint="eastAsia" w:ascii="黑体" w:eastAsia="黑体"/>
          <w:sz w:val="32"/>
          <w:szCs w:val="32"/>
        </w:rPr>
      </w:pPr>
      <w:r>
        <w:rPr>
          <w:rFonts w:hint="eastAsia" w:ascii="黑体" w:eastAsia="黑体"/>
          <w:sz w:val="32"/>
          <w:szCs w:val="32"/>
        </w:rPr>
        <w:t>二、部门财政资金收支情况</w:t>
      </w:r>
    </w:p>
    <w:p>
      <w:pPr>
        <w:pStyle w:val="206"/>
        <w:spacing w:line="576" w:lineRule="exact"/>
        <w:ind w:firstLine="640"/>
        <w:rPr>
          <w:rFonts w:hint="eastAsia" w:ascii="楷体_GB2312" w:eastAsia="楷体_GB2312"/>
          <w:b/>
          <w:sz w:val="32"/>
          <w:szCs w:val="32"/>
        </w:rPr>
      </w:pPr>
      <w:r>
        <w:rPr>
          <w:rFonts w:hint="eastAsia" w:ascii="楷体_GB2312" w:eastAsia="楷体_GB2312"/>
          <w:b/>
          <w:sz w:val="32"/>
          <w:szCs w:val="32"/>
        </w:rPr>
        <w:t>（一）部门财政资金收入情况</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2022年本单位财政拨款收入决算总额为312.54万元，</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其中：当年财政拨款收入312.54万元，均为一般公共预算财政拨款。</w:t>
      </w:r>
    </w:p>
    <w:p>
      <w:pPr>
        <w:pStyle w:val="206"/>
        <w:spacing w:line="576" w:lineRule="exact"/>
        <w:ind w:firstLine="640"/>
        <w:rPr>
          <w:rFonts w:hint="eastAsia" w:ascii="楷体_GB2312" w:eastAsia="楷体_GB2312"/>
          <w:b/>
          <w:sz w:val="32"/>
          <w:szCs w:val="32"/>
        </w:rPr>
      </w:pPr>
      <w:r>
        <w:rPr>
          <w:rFonts w:hint="eastAsia" w:ascii="楷体_GB2312" w:eastAsia="楷体_GB2312"/>
          <w:b/>
          <w:sz w:val="32"/>
          <w:szCs w:val="32"/>
        </w:rPr>
        <w:t>（二）部门财政资金支出情况</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2022年本单位财政拨款支出决算总额312.54万元。其中按功能分类，一般公共服务支出236.48万元，社会保障和就业支出33.08万元，医疗卫生与计划生育支出13.93万元，住房保障支出19.05万元；按支出性质分类，基本支出302.13万元，项目支出10.42万元；按经济分类工资福利支出253.07万元，商品服务支出32.10万元，对个人和家庭的补助27.37万元。</w:t>
      </w:r>
    </w:p>
    <w:p>
      <w:pPr>
        <w:widowControl/>
        <w:spacing w:line="580" w:lineRule="exact"/>
        <w:contextualSpacing/>
        <w:jc w:val="left"/>
        <w:rPr>
          <w:rFonts w:hint="eastAsia" w:ascii="仿宋_GB2312" w:eastAsia="仿宋_GB2312" w:cs="宋体"/>
          <w:b/>
          <w:color w:val="000000"/>
          <w:sz w:val="32"/>
          <w:szCs w:val="32"/>
          <w:shd w:val="clear" w:color="auto" w:fill="FFFFFF"/>
          <w:lang w:bidi="ar-SA"/>
        </w:rPr>
      </w:pPr>
      <w:r>
        <w:rPr>
          <w:rFonts w:hint="eastAsia" w:ascii="仿宋_GB2312" w:eastAsia="仿宋_GB2312" w:cs="宋体"/>
          <w:b/>
          <w:color w:val="000000"/>
          <w:sz w:val="32"/>
          <w:szCs w:val="32"/>
          <w:shd w:val="clear" w:color="auto" w:fill="FFFFFF"/>
          <w:lang w:bidi="ar-SA"/>
        </w:rPr>
        <w:t>三、部门整体预算绩效管理情况</w:t>
      </w:r>
    </w:p>
    <w:p>
      <w:pPr>
        <w:widowControl/>
        <w:spacing w:line="560" w:lineRule="exact"/>
        <w:jc w:val="left"/>
        <w:rPr>
          <w:rFonts w:hint="eastAsia" w:ascii="仿宋_GB2312" w:eastAsia="仿宋_GB2312" w:cs="宋体"/>
          <w:b/>
          <w:color w:val="000000"/>
          <w:sz w:val="32"/>
          <w:szCs w:val="32"/>
          <w:shd w:val="clear" w:color="auto" w:fill="FFFFFF"/>
          <w:lang w:val="zh-CN" w:eastAsia="zh-CN" w:bidi="ar-SA"/>
        </w:rPr>
      </w:pPr>
      <w:r>
        <w:rPr>
          <w:rFonts w:hint="eastAsia" w:ascii="仿宋_GB2312" w:eastAsia="仿宋_GB2312" w:cs="宋体"/>
          <w:b/>
          <w:color w:val="000000"/>
          <w:sz w:val="32"/>
          <w:szCs w:val="32"/>
          <w:shd w:val="clear" w:color="auto" w:fill="FFFFFF"/>
          <w:lang w:val="zh-CN" w:eastAsia="zh-CN" w:bidi="ar-SA"/>
        </w:rPr>
        <w:t>（一）部门预算项目绩效管理</w:t>
      </w:r>
    </w:p>
    <w:p>
      <w:pPr>
        <w:spacing w:line="560" w:lineRule="exact"/>
        <w:rPr>
          <w:rFonts w:hint="eastAsia" w:ascii="仿宋_GB2312" w:eastAsia="仿宋_GB2312"/>
          <w:b/>
          <w:sz w:val="32"/>
          <w:szCs w:val="32"/>
        </w:rPr>
      </w:pPr>
      <w:r>
        <w:rPr>
          <w:rFonts w:hint="eastAsia" w:ascii="仿宋_GB2312" w:eastAsia="仿宋_GB2312"/>
          <w:b/>
          <w:sz w:val="32"/>
          <w:szCs w:val="32"/>
        </w:rPr>
        <w:t>1.人员情况</w:t>
      </w:r>
    </w:p>
    <w:p>
      <w:pPr>
        <w:spacing w:line="560" w:lineRule="exact"/>
        <w:ind w:firstLine="640"/>
        <w:rPr>
          <w:rFonts w:hint="eastAsia" w:ascii="仿宋_GB2312" w:eastAsia="仿宋_GB2312"/>
          <w:sz w:val="32"/>
          <w:szCs w:val="32"/>
        </w:rPr>
      </w:pPr>
      <w:r>
        <w:rPr>
          <w:rFonts w:hint="eastAsia" w:ascii="仿宋_GB2312" w:eastAsia="仿宋_GB2312"/>
          <w:sz w:val="32"/>
          <w:szCs w:val="32"/>
        </w:rPr>
        <w:t>2022年9月预算时，本单位在职职工13人，其中：行政在职12人，机关工勤人员1人，事业人员0人，事业工勤在职0人。离退休人员11人，其中：退休10人；离休人员1人。</w:t>
      </w:r>
    </w:p>
    <w:p>
      <w:pPr>
        <w:spacing w:line="560" w:lineRule="exact"/>
        <w:ind w:firstLine="640"/>
        <w:rPr>
          <w:rFonts w:hint="eastAsia" w:ascii="仿宋_GB2312" w:eastAsia="仿宋_GB2312"/>
          <w:sz w:val="32"/>
          <w:szCs w:val="32"/>
        </w:rPr>
      </w:pPr>
      <w:r>
        <w:rPr>
          <w:rFonts w:hint="eastAsia" w:ascii="仿宋_GB2312" w:eastAsia="仿宋_GB2312"/>
          <w:sz w:val="32"/>
          <w:szCs w:val="32"/>
        </w:rPr>
        <w:t>2023年1-6月，本单位在职职工13人，其中：行政在职12人，机关工勤人员1人，事业人员0人，事业工勤在职0人。离退休人员10人，其中：退休9人；离休人员1人。</w:t>
      </w:r>
    </w:p>
    <w:p>
      <w:pPr>
        <w:spacing w:line="560" w:lineRule="exact"/>
        <w:rPr>
          <w:rFonts w:hint="eastAsia" w:ascii="仿宋_GB2312" w:eastAsia="仿宋_GB2312"/>
          <w:b/>
          <w:sz w:val="32"/>
          <w:szCs w:val="32"/>
        </w:rPr>
      </w:pPr>
      <w:r>
        <w:rPr>
          <w:rFonts w:hint="eastAsia" w:ascii="仿宋_GB2312" w:eastAsia="仿宋_GB2312"/>
          <w:b/>
          <w:sz w:val="32"/>
          <w:szCs w:val="32"/>
        </w:rPr>
        <w:t>2.收入情况：</w:t>
      </w:r>
    </w:p>
    <w:p>
      <w:pPr>
        <w:spacing w:line="560" w:lineRule="exact"/>
        <w:ind w:firstLine="640"/>
        <w:rPr>
          <w:rFonts w:hint="eastAsia" w:ascii="仿宋_GB2312" w:eastAsia="仿宋_GB2312"/>
          <w:sz w:val="32"/>
          <w:szCs w:val="32"/>
        </w:rPr>
      </w:pPr>
      <w:r>
        <w:rPr>
          <w:rFonts w:hint="eastAsia" w:ascii="仿宋_GB2312" w:eastAsia="仿宋_GB2312"/>
          <w:sz w:val="32"/>
          <w:szCs w:val="32"/>
        </w:rPr>
        <w:t>本单位除财政拨款外，无任何其他收入，2022年</w:t>
      </w:r>
      <w:r>
        <w:rPr>
          <w:rFonts w:hint="eastAsia" w:ascii="仿宋_GB2312" w:eastAsia="仿宋_GB2312"/>
          <w:color w:val="000000"/>
          <w:sz w:val="32"/>
          <w:szCs w:val="32"/>
        </w:rPr>
        <w:t>收入合计312.54万元，其中：一般公共预算财政拨款收入312.54万元，占100%；年初结转和结余0元；政府性基金预算财政拨款收入0万元</w:t>
      </w:r>
      <w:r>
        <w:rPr>
          <w:rFonts w:hint="eastAsia" w:ascii="仿宋_GB2312" w:eastAsia="仿宋_GB2312"/>
          <w:sz w:val="32"/>
          <w:szCs w:val="32"/>
        </w:rPr>
        <w:t>；2023年1月-6月收到164.57万元，其中：基本收入164.57万元，项目收入0万元.</w:t>
      </w:r>
    </w:p>
    <w:p>
      <w:pPr>
        <w:spacing w:line="560" w:lineRule="exact"/>
        <w:rPr>
          <w:rFonts w:hint="eastAsia" w:ascii="仿宋_GB2312" w:eastAsia="仿宋_GB2312"/>
          <w:b/>
          <w:sz w:val="32"/>
          <w:szCs w:val="32"/>
        </w:rPr>
      </w:pPr>
      <w:r>
        <w:rPr>
          <w:rFonts w:hint="eastAsia" w:ascii="仿宋_GB2312" w:eastAsia="仿宋_GB2312"/>
          <w:b/>
          <w:sz w:val="32"/>
          <w:szCs w:val="32"/>
        </w:rPr>
        <w:t>3.支出情况</w:t>
      </w:r>
    </w:p>
    <w:p>
      <w:pPr>
        <w:widowControl/>
        <w:spacing w:line="580" w:lineRule="exact"/>
        <w:ind w:firstLine="640"/>
        <w:contextualSpacing/>
        <w:jc w:val="left"/>
        <w:rPr>
          <w:rFonts w:hint="eastAsia" w:ascii="仿宋_GB2312" w:eastAsia="仿宋_GB2312"/>
          <w:color w:val="000000"/>
          <w:sz w:val="32"/>
          <w:szCs w:val="32"/>
        </w:rPr>
      </w:pPr>
      <w:r>
        <w:rPr>
          <w:rFonts w:hint="eastAsia" w:ascii="仿宋_GB2312" w:eastAsia="仿宋_GB2312"/>
          <w:color w:val="000000"/>
          <w:sz w:val="32"/>
          <w:szCs w:val="32"/>
        </w:rPr>
        <w:t>2022年本年支出合计312.54万元，其中：基本支出302.12万元，项目支出10.42万元；2023年1月-6月支出164.57万元，其中：基本支出164.57万元，项目支出0万元。</w:t>
      </w:r>
    </w:p>
    <w:p>
      <w:pPr>
        <w:spacing w:line="560" w:lineRule="exact"/>
        <w:rPr>
          <w:rFonts w:hint="eastAsia" w:ascii="仿宋_GB2312" w:eastAsia="仿宋_GB2312" w:cs="宋体"/>
          <w:b/>
          <w:color w:val="000000"/>
          <w:sz w:val="32"/>
          <w:szCs w:val="32"/>
          <w:shd w:val="clear" w:color="auto" w:fill="FFFFFF"/>
          <w:lang w:val="zh-CN" w:eastAsia="zh-CN" w:bidi="ar-SA"/>
        </w:rPr>
      </w:pPr>
      <w:r>
        <w:rPr>
          <w:rFonts w:hint="eastAsia" w:ascii="仿宋_GB2312" w:eastAsia="仿宋_GB2312" w:cs="宋体"/>
          <w:b/>
          <w:color w:val="000000"/>
          <w:sz w:val="32"/>
          <w:szCs w:val="32"/>
          <w:shd w:val="clear" w:color="auto" w:fill="FFFFFF"/>
          <w:lang w:val="zh-CN" w:eastAsia="zh-CN" w:bidi="ar-SA"/>
        </w:rPr>
        <w:t>（二）执行管理情况</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2021年“三公”经费财政拨款支出决算为0.55万元，2022年“三公”经费财政拨款支出决算中，公务用车购置及运行维护费支出决算0万元，公务接待费支出决算0.55万元，国内公务接待5批次，55人次（不包括陪同人员），共计支出0.55万元，具体内容包括：接待上级领导和部门到我单位指导工作。</w:t>
      </w:r>
    </w:p>
    <w:p>
      <w:pPr>
        <w:spacing w:line="560" w:lineRule="exact"/>
        <w:ind w:firstLine="640"/>
        <w:rPr>
          <w:rFonts w:hint="eastAsia" w:ascii="仿宋_GB2312" w:eastAsia="仿宋_GB2312"/>
          <w:sz w:val="32"/>
          <w:szCs w:val="32"/>
        </w:rPr>
      </w:pPr>
      <w:r>
        <w:rPr>
          <w:rFonts w:hint="eastAsia" w:ascii="仿宋_GB2312" w:eastAsia="仿宋_GB2312"/>
          <w:sz w:val="32"/>
          <w:szCs w:val="32"/>
        </w:rPr>
        <w:t>本单位2022年全年执行进度为100%，2023年1月-6月公务接待费0.19万元，公务用车运行维护费2.49万元；培训费0万元，办公费0.49万元，邮电费0.37万元，差旅费2.95万元，共计6.49万元。</w:t>
      </w:r>
    </w:p>
    <w:p>
      <w:pPr>
        <w:widowControl/>
        <w:spacing w:line="560" w:lineRule="exact"/>
        <w:jc w:val="left"/>
        <w:rPr>
          <w:rFonts w:hint="eastAsia" w:ascii="仿宋_GB2312" w:eastAsia="仿宋_GB2312" w:cs="宋体"/>
          <w:b/>
          <w:color w:val="000000"/>
          <w:sz w:val="32"/>
          <w:szCs w:val="32"/>
          <w:shd w:val="clear" w:color="auto" w:fill="FFFFFF"/>
          <w:lang w:val="zh-CN" w:eastAsia="zh-CN" w:bidi="ar-SA"/>
        </w:rPr>
      </w:pPr>
      <w:r>
        <w:rPr>
          <w:rFonts w:hint="eastAsia" w:ascii="仿宋_GB2312" w:eastAsia="仿宋_GB2312" w:cs="宋体"/>
          <w:b/>
          <w:color w:val="000000"/>
          <w:sz w:val="32"/>
          <w:szCs w:val="32"/>
          <w:shd w:val="clear" w:color="auto" w:fill="FFFFFF"/>
          <w:lang w:val="zh-CN" w:eastAsia="zh-CN" w:bidi="ar-SA"/>
        </w:rPr>
        <w:t>（三）综合管理情况</w:t>
      </w:r>
    </w:p>
    <w:p>
      <w:pPr>
        <w:widowControl/>
        <w:spacing w:line="560" w:lineRule="exact"/>
        <w:ind w:firstLine="720"/>
        <w:jc w:val="left"/>
        <w:rPr>
          <w:rFonts w:hint="eastAsia" w:ascii="仿宋_GB2312" w:eastAsia="仿宋_GB2312" w:cs="宋体"/>
          <w:b/>
          <w:color w:val="000000"/>
          <w:sz w:val="32"/>
          <w:szCs w:val="32"/>
          <w:shd w:val="clear" w:color="auto" w:fill="FFFFFF"/>
          <w:lang w:val="zh-CN" w:eastAsia="zh-CN" w:bidi="ar-SA"/>
        </w:rPr>
      </w:pPr>
      <w:r>
        <w:rPr>
          <w:rFonts w:hint="eastAsia" w:ascii="仿宋_GB2312" w:eastAsia="仿宋_GB2312"/>
          <w:sz w:val="32"/>
          <w:szCs w:val="32"/>
        </w:rPr>
        <w:t>2022年资产合计1.76万元，负债合计91.43万元，净资产合计-89.67万元；2021年资产合计2.78万元，负债91.43万元，净资产合计-88.64万元；相比有所减少，主要减少原因是2022年固定资产折旧增加</w:t>
      </w:r>
      <w:r>
        <w:rPr>
          <w:rFonts w:hint="eastAsia" w:ascii="仿宋_GB2312" w:eastAsia="仿宋_GB2312" w:cs="宋体"/>
          <w:b/>
          <w:color w:val="000000"/>
          <w:sz w:val="32"/>
          <w:szCs w:val="32"/>
          <w:shd w:val="clear" w:color="auto" w:fill="FFFFFF"/>
          <w:lang w:val="zh-CN" w:eastAsia="zh-CN" w:bidi="ar-SA"/>
        </w:rPr>
        <w:t>。</w:t>
      </w:r>
    </w:p>
    <w:p>
      <w:pPr>
        <w:widowControl/>
        <w:spacing w:line="480" w:lineRule="exact"/>
        <w:jc w:val="left"/>
        <w:rPr>
          <w:rFonts w:hint="eastAsia" w:ascii="仿宋_GB2312" w:eastAsia="仿宋_GB2312" w:cs="宋体"/>
          <w:color w:val="000000"/>
          <w:sz w:val="32"/>
          <w:szCs w:val="32"/>
          <w:lang w:val="zh-CN" w:eastAsia="zh-CN" w:bidi="ar-SA"/>
        </w:rPr>
      </w:pPr>
      <w:r>
        <w:rPr>
          <w:rFonts w:hint="eastAsia" w:ascii="仿宋_GB2312" w:eastAsia="仿宋_GB2312" w:cs="宋体"/>
          <w:b/>
          <w:color w:val="000000"/>
          <w:sz w:val="32"/>
          <w:szCs w:val="32"/>
          <w:lang w:val="zh-CN" w:eastAsia="zh-CN" w:bidi="ar-SA"/>
        </w:rPr>
        <w:t>（四）整体绩效</w:t>
      </w:r>
    </w:p>
    <w:p>
      <w:pPr>
        <w:widowControl/>
        <w:spacing w:line="576" w:lineRule="exact"/>
        <w:ind w:firstLine="480"/>
        <w:rPr>
          <w:rFonts w:hint="eastAsia" w:ascii="仿宋_GB2312" w:eastAsia="仿宋_GB2312" w:cs="仿宋"/>
          <w:color w:val="000000"/>
          <w:sz w:val="32"/>
          <w:szCs w:val="32"/>
          <w:lang w:bidi="ar-SA"/>
        </w:rPr>
      </w:pPr>
      <w:r>
        <w:rPr>
          <w:rFonts w:hint="eastAsia" w:ascii="仿宋_GB2312" w:eastAsia="仿宋_GB2312" w:cs="仿宋_GB2312"/>
          <w:sz w:val="32"/>
          <w:szCs w:val="32"/>
          <w:lang w:bidi="ar-SA"/>
        </w:rPr>
        <w:t>本单位按要求对2022年部门整体支出开展绩效自评，从评价情况来看,2022年我单位部门整体支出绩效评价自查自评结果良好，全年基本支出保证了部门的正常运行和日常工作的正常开展，绩效目标得到较好实现，绩效管理水平不断提高，绩效指标体系逐渐丰富和完善.</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 xml:space="preserve">本单位认真学习习近平新时代中国特色社会主义思想，自觉践行新发展理念，根据职能职责积极谋划，确定目标任务，积极发挥公共财政职能作用，推动落实稳增长、促改革、调结构、惠民生、防风险各项工作。 </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一是按照 2022年本单位预算编审要求，根据本单位职能职责，结合中长期规划和年度工作计划，明确了年度主要工作任务及年度内履职所要达到的总体产出和效果，认真填报了本单位整体支出绩效目标。</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 xml:space="preserve">二是按照《四川省省级预算绩效运行监控管理暂行办 法》要求，认真组织开展所属本单位的绩效监控工作，预算执行、投入产出、各项效益的阶段完成情况进行动保障了全县工会工作顺利开展。 </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三是按照财政部门统一部署，本单位于按要求公开绩效目标管理情况及部门整体支出绩效自评开展情况。</w:t>
      </w:r>
    </w:p>
    <w:p>
      <w:pPr>
        <w:pStyle w:val="206"/>
        <w:spacing w:line="576" w:lineRule="exact"/>
        <w:ind w:firstLine="640"/>
        <w:rPr>
          <w:rFonts w:hint="eastAsia" w:ascii="楷体_GB2312" w:eastAsia="楷体_GB2312"/>
          <w:b/>
          <w:sz w:val="32"/>
          <w:szCs w:val="32"/>
        </w:rPr>
      </w:pPr>
      <w:r>
        <w:rPr>
          <w:rFonts w:hint="eastAsia" w:ascii="楷体_GB2312" w:eastAsia="楷体_GB2312"/>
          <w:b/>
          <w:sz w:val="32"/>
          <w:szCs w:val="32"/>
        </w:rPr>
        <w:t>（二）结果应用情况</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本单位对部门预算绩效管理工作开展情况进行了自评。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本部门整体绩效管理水平不断提升。</w:t>
      </w:r>
    </w:p>
    <w:p>
      <w:pPr>
        <w:pStyle w:val="206"/>
        <w:spacing w:line="576" w:lineRule="exact"/>
        <w:ind w:firstLine="640"/>
        <w:rPr>
          <w:rFonts w:hint="eastAsia" w:ascii="黑体" w:eastAsia="黑体"/>
          <w:sz w:val="32"/>
          <w:szCs w:val="32"/>
        </w:rPr>
      </w:pPr>
      <w:r>
        <w:rPr>
          <w:rFonts w:hint="eastAsia" w:ascii="黑体" w:eastAsia="黑体"/>
          <w:sz w:val="32"/>
          <w:szCs w:val="32"/>
        </w:rPr>
        <w:t>四、评价结论及建议</w:t>
      </w:r>
    </w:p>
    <w:p>
      <w:pPr>
        <w:pStyle w:val="206"/>
        <w:spacing w:line="576" w:lineRule="exact"/>
        <w:ind w:firstLine="640"/>
        <w:rPr>
          <w:rFonts w:hint="eastAsia" w:ascii="楷体_GB2312" w:eastAsia="楷体_GB2312"/>
          <w:b/>
          <w:sz w:val="32"/>
          <w:szCs w:val="32"/>
        </w:rPr>
      </w:pPr>
      <w:r>
        <w:rPr>
          <w:rFonts w:hint="eastAsia" w:ascii="楷体_GB2312" w:eastAsia="楷体_GB2312"/>
          <w:b/>
          <w:sz w:val="32"/>
          <w:szCs w:val="32"/>
        </w:rPr>
        <w:t>（一）评价结论</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2022年本单位整体支出绩效评价自查自评结果良好，全年基本支出保证了单位的正常运行和日常工作的正常开展，项目支出保障了重点工作的开展，达到预期绩效目标。绩效评价指标体系自评得分85分。</w:t>
      </w:r>
    </w:p>
    <w:p>
      <w:pPr>
        <w:pStyle w:val="206"/>
        <w:spacing w:line="576" w:lineRule="exact"/>
        <w:ind w:firstLine="640"/>
        <w:rPr>
          <w:rFonts w:hint="eastAsia" w:ascii="楷体_GB2312" w:eastAsia="楷体_GB2312"/>
          <w:b/>
          <w:sz w:val="32"/>
          <w:szCs w:val="32"/>
        </w:rPr>
      </w:pPr>
      <w:r>
        <w:rPr>
          <w:rFonts w:hint="eastAsia" w:ascii="楷体_GB2312" w:eastAsia="楷体_GB2312"/>
          <w:b/>
          <w:sz w:val="32"/>
          <w:szCs w:val="32"/>
        </w:rPr>
        <w:t>（二）存在问题</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1.需更进一步规范财务报账资料。</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2.属于公务卡结算目录内的费用,应加大使用公务卡结算比例。</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3.需严格报账审批，切实履行各自职能职责，保障会计资料的真实性、完整性。</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4.财务核算和档案管理需进一步规范。</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5.完善管理制度，进一步加强资产管理</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6.绩效目标设定有待更科学更合理。</w:t>
      </w:r>
    </w:p>
    <w:p>
      <w:pPr>
        <w:pStyle w:val="206"/>
        <w:spacing w:line="576" w:lineRule="exact"/>
        <w:ind w:firstLine="640"/>
        <w:rPr>
          <w:rFonts w:hint="eastAsia" w:ascii="楷体_GB2312" w:eastAsia="楷体_GB2312"/>
          <w:b/>
          <w:sz w:val="32"/>
          <w:szCs w:val="32"/>
        </w:rPr>
      </w:pPr>
      <w:r>
        <w:rPr>
          <w:rFonts w:hint="eastAsia" w:ascii="楷体_GB2312" w:eastAsia="楷体_GB2312"/>
          <w:b/>
          <w:sz w:val="32"/>
          <w:szCs w:val="32"/>
        </w:rPr>
        <w:t>（三）改进建议</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1.进一步加强单位预算编制、支出执行、决算编制等工作的管理，特别是应加快专项资金的预算执行进度。</w:t>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2.在会计核算过程中，严格按照单位内控制度、财务管理制度，加强票据审核，报销凭证应为真实、合法、有效的票据；严禁超范围、超标准、进行报销。</w:t>
      </w:r>
      <w:r>
        <w:rPr>
          <w:rFonts w:hint="eastAsia" w:ascii="仿宋_GB2312" w:eastAsia="仿宋_GB2312"/>
          <w:sz w:val="32"/>
          <w:szCs w:val="32"/>
        </w:rPr>
        <w:tab/>
      </w:r>
    </w:p>
    <w:p>
      <w:pPr>
        <w:pStyle w:val="206"/>
        <w:spacing w:line="576" w:lineRule="exact"/>
        <w:ind w:firstLine="640"/>
        <w:rPr>
          <w:rFonts w:hint="eastAsia" w:ascii="仿宋_GB2312" w:eastAsia="仿宋_GB2312"/>
          <w:sz w:val="32"/>
          <w:szCs w:val="32"/>
        </w:rPr>
      </w:pPr>
      <w:r>
        <w:rPr>
          <w:rFonts w:hint="eastAsia" w:ascii="仿宋_GB2312" w:eastAsia="仿宋_GB2312"/>
          <w:sz w:val="32"/>
          <w:szCs w:val="32"/>
        </w:rPr>
        <w:t>3.针对存在的问题，我们将进一步科学设定绩效目标，加强预算执行管理。改进部门收支预算编制，务实预算基础工作，提高预算编制质量。</w:t>
      </w:r>
    </w:p>
    <w:p>
      <w:pPr>
        <w:ind w:firstLine="640"/>
      </w:pPr>
      <w:r>
        <w:rPr>
          <w:rFonts w:hint="eastAsia" w:ascii="仿宋_GB2312" w:eastAsia="仿宋_GB2312"/>
          <w:sz w:val="32"/>
          <w:szCs w:val="32"/>
        </w:rPr>
        <w:t>4.是落实预算执行分析，及时了解预算执行差异，合理调整、纠正预算执行偏差，切实提高部门预算收支管理水平。</w:t>
      </w:r>
    </w:p>
    <w:p>
      <w:pPr>
        <w:pageBreakBefore w:val="0"/>
        <w:spacing w:line="576" w:lineRule="exact"/>
        <w:jc w:val="center"/>
        <w:outlineLvl w:val="9"/>
      </w:pPr>
    </w:p>
    <w:p>
      <w:pPr>
        <w:pageBreakBefore w:val="0"/>
        <w:spacing w:line="576" w:lineRule="exact"/>
        <w:jc w:val="center"/>
        <w:outlineLvl w:val="9"/>
      </w:pPr>
    </w:p>
    <w:p>
      <w:pPr>
        <w:pageBreakBefore w:val="0"/>
        <w:spacing w:line="576" w:lineRule="exact"/>
        <w:jc w:val="center"/>
        <w:outlineLvl w:val="9"/>
        <w:rPr>
          <w:rFonts w:ascii="方正小标宋简体" w:hAnsi="Times New Roman" w:eastAsia="方正小标宋简体" w:cs="黑体"/>
          <w:sz w:val="44"/>
          <w:szCs w:val="44"/>
        </w:rPr>
      </w:pPr>
      <w:r>
        <w:t> </w:t>
      </w:r>
    </w:p>
    <w:p>
      <w:pPr>
        <w:pageBreakBefore w:val="0"/>
        <w:spacing w:line="576" w:lineRule="exact"/>
        <w:jc w:val="center"/>
        <w:outlineLvl w:val="0"/>
        <w:rPr>
          <w:rFonts w:ascii="方正小标宋简体" w:hAnsi="Times New Roman" w:eastAsia="方正小标宋简体" w:cs="黑体"/>
          <w:sz w:val="44"/>
          <w:szCs w:val="44"/>
        </w:rPr>
      </w:pPr>
      <w:bookmarkStart w:id="86" w:name="_Toc983"/>
      <w:r>
        <w:rPr>
          <w:rFonts w:ascii="方正小标宋简体" w:hAnsi="Times New Roman" w:eastAsia="方正小标宋简体" w:cs="黑体"/>
          <w:sz w:val="44"/>
          <w:szCs w:val="44"/>
        </w:rPr>
        <w:t>部门预算项目支出绩效自评表（2022年度）</w:t>
      </w:r>
      <w:bookmarkEnd w:id="86"/>
    </w:p>
    <w:p>
      <w:pPr>
        <w:pStyle w:val="208"/>
        <w:keepNext w:val="0"/>
        <w:keepLines w:val="0"/>
        <w:pageBreakBefore w:val="0"/>
        <w:widowControl/>
        <w:suppressLineNumbers w:val="0"/>
        <w:spacing w:line="576" w:lineRule="exact"/>
      </w:pPr>
      <w:bookmarkStart w:id="87" w:name="_GoBack"/>
      <w:bookmarkEnd w:id="87"/>
      <w:r>
        <w:t>附表</w:t>
      </w:r>
    </w:p>
    <w:tbl>
      <w:tblPr>
        <w:tblStyle w:val="29"/>
        <w:tblW w:w="0" w:type="dxa"/>
        <w:tblCellSpacing w:w="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715"/>
        <w:gridCol w:w="1000"/>
        <w:gridCol w:w="1421"/>
        <w:gridCol w:w="1038"/>
        <w:gridCol w:w="1077"/>
        <w:gridCol w:w="20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blCellSpacing w:w="0" w:type="dxa"/>
        </w:trPr>
        <w:tc>
          <w:tcPr>
            <w:tcW w:w="9570" w:type="dxa"/>
            <w:gridSpan w:val="6"/>
            <w:noWrap/>
            <w:vAlign w:val="center"/>
          </w:tcPr>
          <w:p>
            <w:pPr>
              <w:pStyle w:val="208"/>
              <w:keepNext w:val="0"/>
              <w:keepLines w:val="0"/>
              <w:pageBreakBefore w:val="0"/>
              <w:widowControl/>
              <w:suppressLineNumbers w:val="0"/>
              <w:spacing w:line="576" w:lineRule="exact"/>
              <w:jc w:val="center"/>
            </w:pPr>
            <w:r>
              <w:rPr>
                <w:rStyle w:val="194"/>
              </w:rPr>
              <w:t>2022年100万元以上（含）特定目标类部门预算项目绩效目标自评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blCellSpacing w:w="0" w:type="dxa"/>
        </w:trPr>
        <w:tc>
          <w:tcPr>
            <w:tcW w:w="3120" w:type="dxa"/>
            <w:gridSpan w:val="2"/>
            <w:noWrap/>
            <w:vAlign w:val="center"/>
          </w:tcPr>
          <w:p>
            <w:pPr>
              <w:pStyle w:val="208"/>
              <w:keepNext w:val="0"/>
              <w:keepLines w:val="0"/>
              <w:pageBreakBefore w:val="0"/>
              <w:widowControl/>
              <w:suppressLineNumbers w:val="0"/>
              <w:spacing w:line="576" w:lineRule="exact"/>
              <w:jc w:val="center"/>
            </w:pPr>
            <w:r>
              <w:t>主管部门及代码</w:t>
            </w:r>
          </w:p>
        </w:tc>
        <w:tc>
          <w:tcPr>
            <w:tcW w:w="2820" w:type="dxa"/>
            <w:gridSpan w:val="2"/>
            <w:noWrap/>
            <w:vAlign w:val="center"/>
          </w:tcPr>
          <w:p>
            <w:pPr>
              <w:pStyle w:val="208"/>
              <w:keepNext w:val="0"/>
              <w:keepLines w:val="0"/>
              <w:pageBreakBefore w:val="0"/>
              <w:widowControl/>
              <w:suppressLineNumbers w:val="0"/>
              <w:spacing w:line="576" w:lineRule="exact"/>
              <w:jc w:val="center"/>
            </w:pPr>
            <w:r>
              <w:t> </w:t>
            </w:r>
          </w:p>
        </w:tc>
        <w:tc>
          <w:tcPr>
            <w:tcW w:w="1230" w:type="dxa"/>
            <w:noWrap/>
            <w:vAlign w:val="center"/>
          </w:tcPr>
          <w:p>
            <w:pPr>
              <w:pStyle w:val="208"/>
              <w:keepNext w:val="0"/>
              <w:keepLines w:val="0"/>
              <w:pageBreakBefore w:val="0"/>
              <w:widowControl/>
              <w:suppressLineNumbers w:val="0"/>
              <w:spacing w:line="576" w:lineRule="exact"/>
              <w:jc w:val="center"/>
            </w:pPr>
            <w:r>
              <w:t>实施单位</w:t>
            </w:r>
          </w:p>
        </w:tc>
        <w:tc>
          <w:tcPr>
            <w:tcW w:w="2415" w:type="dxa"/>
            <w:noWrap/>
            <w:vAlign w:val="center"/>
          </w:tcPr>
          <w:p>
            <w:pPr>
              <w:pStyle w:val="208"/>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blCellSpacing w:w="0" w:type="dxa"/>
        </w:trPr>
        <w:tc>
          <w:tcPr>
            <w:tcW w:w="3120" w:type="dxa"/>
            <w:gridSpan w:val="2"/>
            <w:vMerge w:val="restart"/>
            <w:noWrap/>
            <w:vAlign w:val="center"/>
          </w:tcPr>
          <w:p>
            <w:pPr>
              <w:pStyle w:val="208"/>
              <w:keepNext w:val="0"/>
              <w:keepLines w:val="0"/>
              <w:pageBreakBefore w:val="0"/>
              <w:widowControl/>
              <w:suppressLineNumbers w:val="0"/>
              <w:spacing w:line="576" w:lineRule="exact"/>
              <w:jc w:val="center"/>
            </w:pPr>
            <w:r>
              <w:t>项目预算</w:t>
            </w:r>
          </w:p>
          <w:p>
            <w:pPr>
              <w:pStyle w:val="208"/>
              <w:keepNext w:val="0"/>
              <w:keepLines w:val="0"/>
              <w:pageBreakBefore w:val="0"/>
              <w:widowControl/>
              <w:suppressLineNumbers w:val="0"/>
              <w:spacing w:line="576" w:lineRule="exact"/>
              <w:jc w:val="center"/>
            </w:pPr>
            <w:r>
              <w:t>执行情况</w:t>
            </w:r>
          </w:p>
          <w:p>
            <w:pPr>
              <w:pStyle w:val="208"/>
              <w:keepNext w:val="0"/>
              <w:keepLines w:val="0"/>
              <w:pageBreakBefore w:val="0"/>
              <w:widowControl/>
              <w:suppressLineNumbers w:val="0"/>
              <w:spacing w:line="576" w:lineRule="exact"/>
              <w:jc w:val="center"/>
            </w:pPr>
            <w:r>
              <w:t>（万元）</w:t>
            </w:r>
          </w:p>
        </w:tc>
        <w:tc>
          <w:tcPr>
            <w:tcW w:w="1635" w:type="dxa"/>
            <w:noWrap/>
            <w:vAlign w:val="center"/>
          </w:tcPr>
          <w:p>
            <w:pPr>
              <w:pStyle w:val="208"/>
              <w:keepNext w:val="0"/>
              <w:keepLines w:val="0"/>
              <w:pageBreakBefore w:val="0"/>
              <w:widowControl/>
              <w:suppressLineNumbers w:val="0"/>
              <w:spacing w:line="576" w:lineRule="exact"/>
              <w:jc w:val="center"/>
            </w:pPr>
            <w:r>
              <w:t> 预算数：</w:t>
            </w:r>
          </w:p>
        </w:tc>
        <w:tc>
          <w:tcPr>
            <w:tcW w:w="1185" w:type="dxa"/>
            <w:noWrap/>
            <w:vAlign w:val="center"/>
          </w:tcPr>
          <w:p>
            <w:pPr>
              <w:pStyle w:val="208"/>
              <w:keepNext w:val="0"/>
              <w:keepLines w:val="0"/>
              <w:pageBreakBefore w:val="0"/>
              <w:widowControl/>
              <w:suppressLineNumbers w:val="0"/>
              <w:spacing w:line="576" w:lineRule="exact"/>
              <w:jc w:val="center"/>
            </w:pPr>
            <w:r>
              <w:t> </w:t>
            </w:r>
          </w:p>
        </w:tc>
        <w:tc>
          <w:tcPr>
            <w:tcW w:w="1230" w:type="dxa"/>
            <w:noWrap/>
            <w:vAlign w:val="center"/>
          </w:tcPr>
          <w:p>
            <w:pPr>
              <w:pStyle w:val="208"/>
              <w:keepNext w:val="0"/>
              <w:keepLines w:val="0"/>
              <w:pageBreakBefore w:val="0"/>
              <w:widowControl/>
              <w:suppressLineNumbers w:val="0"/>
              <w:spacing w:line="576" w:lineRule="exact"/>
              <w:jc w:val="center"/>
            </w:pPr>
            <w:r>
              <w:t> 执行数：</w:t>
            </w:r>
          </w:p>
        </w:tc>
        <w:tc>
          <w:tcPr>
            <w:tcW w:w="2415" w:type="dxa"/>
            <w:noWrap/>
            <w:vAlign w:val="center"/>
          </w:tcPr>
          <w:p>
            <w:pPr>
              <w:pStyle w:val="208"/>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blCellSpacing w:w="0" w:type="dxa"/>
        </w:trPr>
        <w:tc>
          <w:tcPr>
            <w:tcW w:w="3120" w:type="dxa"/>
            <w:gridSpan w:val="2"/>
            <w:vMerge w:val="continue"/>
            <w:noWrap/>
            <w:vAlign w:val="center"/>
          </w:tcPr>
          <w:p>
            <w:pPr>
              <w:pageBreakBefore w:val="0"/>
              <w:spacing w:line="576" w:lineRule="exact"/>
              <w:rPr>
                <w:rFonts w:hint="eastAsia" w:ascii="宋体"/>
                <w:sz w:val="24"/>
                <w:szCs w:val="24"/>
              </w:rPr>
            </w:pPr>
          </w:p>
        </w:tc>
        <w:tc>
          <w:tcPr>
            <w:tcW w:w="1635" w:type="dxa"/>
            <w:noWrap/>
            <w:vAlign w:val="center"/>
          </w:tcPr>
          <w:p>
            <w:pPr>
              <w:pStyle w:val="208"/>
              <w:keepNext w:val="0"/>
              <w:keepLines w:val="0"/>
              <w:pageBreakBefore w:val="0"/>
              <w:widowControl/>
              <w:suppressLineNumbers w:val="0"/>
              <w:spacing w:line="576" w:lineRule="exact"/>
              <w:jc w:val="center"/>
            </w:pPr>
            <w:r>
              <w:t>其中：</w:t>
            </w:r>
          </w:p>
          <w:p>
            <w:pPr>
              <w:pStyle w:val="208"/>
              <w:keepNext w:val="0"/>
              <w:keepLines w:val="0"/>
              <w:pageBreakBefore w:val="0"/>
              <w:widowControl/>
              <w:suppressLineNumbers w:val="0"/>
              <w:spacing w:line="576" w:lineRule="exact"/>
              <w:jc w:val="center"/>
            </w:pPr>
            <w:r>
              <w:t>财政拨款</w:t>
            </w:r>
          </w:p>
        </w:tc>
        <w:tc>
          <w:tcPr>
            <w:tcW w:w="1185" w:type="dxa"/>
            <w:noWrap/>
            <w:vAlign w:val="center"/>
          </w:tcPr>
          <w:p>
            <w:pPr>
              <w:pStyle w:val="208"/>
              <w:keepNext w:val="0"/>
              <w:keepLines w:val="0"/>
              <w:pageBreakBefore w:val="0"/>
              <w:widowControl/>
              <w:suppressLineNumbers w:val="0"/>
              <w:spacing w:line="576" w:lineRule="exact"/>
              <w:jc w:val="center"/>
            </w:pPr>
            <w:r>
              <w:t> </w:t>
            </w:r>
          </w:p>
        </w:tc>
        <w:tc>
          <w:tcPr>
            <w:tcW w:w="1230" w:type="dxa"/>
            <w:noWrap/>
            <w:vAlign w:val="center"/>
          </w:tcPr>
          <w:p>
            <w:pPr>
              <w:pStyle w:val="208"/>
              <w:keepNext w:val="0"/>
              <w:keepLines w:val="0"/>
              <w:pageBreakBefore w:val="0"/>
              <w:widowControl/>
              <w:suppressLineNumbers w:val="0"/>
              <w:spacing w:line="576" w:lineRule="exact"/>
              <w:jc w:val="center"/>
            </w:pPr>
            <w:r>
              <w:t>其中：</w:t>
            </w:r>
          </w:p>
          <w:p>
            <w:pPr>
              <w:pStyle w:val="208"/>
              <w:keepNext w:val="0"/>
              <w:keepLines w:val="0"/>
              <w:pageBreakBefore w:val="0"/>
              <w:widowControl/>
              <w:suppressLineNumbers w:val="0"/>
              <w:spacing w:line="576" w:lineRule="exact"/>
              <w:jc w:val="center"/>
            </w:pPr>
            <w:r>
              <w:t>财政拨款</w:t>
            </w:r>
          </w:p>
        </w:tc>
        <w:tc>
          <w:tcPr>
            <w:tcW w:w="2415" w:type="dxa"/>
            <w:noWrap/>
            <w:vAlign w:val="center"/>
          </w:tcPr>
          <w:p>
            <w:pPr>
              <w:pStyle w:val="208"/>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blCellSpacing w:w="0" w:type="dxa"/>
        </w:trPr>
        <w:tc>
          <w:tcPr>
            <w:tcW w:w="3120" w:type="dxa"/>
            <w:gridSpan w:val="2"/>
            <w:vMerge w:val="continue"/>
            <w:noWrap/>
            <w:vAlign w:val="center"/>
          </w:tcPr>
          <w:p>
            <w:pPr>
              <w:pageBreakBefore w:val="0"/>
              <w:spacing w:line="576" w:lineRule="exact"/>
              <w:rPr>
                <w:rFonts w:hint="eastAsia" w:ascii="宋体"/>
                <w:sz w:val="24"/>
                <w:szCs w:val="24"/>
              </w:rPr>
            </w:pPr>
          </w:p>
        </w:tc>
        <w:tc>
          <w:tcPr>
            <w:tcW w:w="1635" w:type="dxa"/>
            <w:noWrap/>
            <w:vAlign w:val="center"/>
          </w:tcPr>
          <w:p>
            <w:pPr>
              <w:pStyle w:val="208"/>
              <w:keepNext w:val="0"/>
              <w:keepLines w:val="0"/>
              <w:pageBreakBefore w:val="0"/>
              <w:widowControl/>
              <w:suppressLineNumbers w:val="0"/>
              <w:spacing w:line="576" w:lineRule="exact"/>
              <w:jc w:val="center"/>
            </w:pPr>
            <w:r>
              <w:t>其他资金</w:t>
            </w:r>
          </w:p>
        </w:tc>
        <w:tc>
          <w:tcPr>
            <w:tcW w:w="1185" w:type="dxa"/>
            <w:noWrap/>
            <w:vAlign w:val="center"/>
          </w:tcPr>
          <w:p>
            <w:pPr>
              <w:pStyle w:val="208"/>
              <w:keepNext w:val="0"/>
              <w:keepLines w:val="0"/>
              <w:pageBreakBefore w:val="0"/>
              <w:widowControl/>
              <w:suppressLineNumbers w:val="0"/>
              <w:spacing w:line="576" w:lineRule="exact"/>
              <w:jc w:val="center"/>
            </w:pPr>
            <w:r>
              <w:t> </w:t>
            </w:r>
          </w:p>
        </w:tc>
        <w:tc>
          <w:tcPr>
            <w:tcW w:w="1230" w:type="dxa"/>
            <w:noWrap/>
            <w:vAlign w:val="center"/>
          </w:tcPr>
          <w:p>
            <w:pPr>
              <w:pStyle w:val="208"/>
              <w:keepNext w:val="0"/>
              <w:keepLines w:val="0"/>
              <w:pageBreakBefore w:val="0"/>
              <w:widowControl/>
              <w:suppressLineNumbers w:val="0"/>
              <w:spacing w:line="576" w:lineRule="exact"/>
              <w:jc w:val="center"/>
            </w:pPr>
            <w:r>
              <w:t>其他资金</w:t>
            </w:r>
          </w:p>
        </w:tc>
        <w:tc>
          <w:tcPr>
            <w:tcW w:w="2415" w:type="dxa"/>
            <w:noWrap/>
            <w:vAlign w:val="center"/>
          </w:tcPr>
          <w:p>
            <w:pPr>
              <w:pStyle w:val="208"/>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blCellSpacing w:w="0" w:type="dxa"/>
        </w:trPr>
        <w:tc>
          <w:tcPr>
            <w:tcW w:w="1980" w:type="dxa"/>
            <w:vMerge w:val="restart"/>
            <w:noWrap/>
            <w:vAlign w:val="center"/>
          </w:tcPr>
          <w:p>
            <w:pPr>
              <w:pStyle w:val="208"/>
              <w:keepNext w:val="0"/>
              <w:keepLines w:val="0"/>
              <w:pageBreakBefore w:val="0"/>
              <w:widowControl/>
              <w:suppressLineNumbers w:val="0"/>
              <w:spacing w:line="576" w:lineRule="exact"/>
              <w:jc w:val="center"/>
            </w:pPr>
            <w:r>
              <w:t>年度总体目标</w:t>
            </w:r>
          </w:p>
          <w:p>
            <w:pPr>
              <w:pStyle w:val="208"/>
              <w:keepNext w:val="0"/>
              <w:keepLines w:val="0"/>
              <w:pageBreakBefore w:val="0"/>
              <w:widowControl/>
              <w:suppressLineNumbers w:val="0"/>
              <w:spacing w:line="576" w:lineRule="exact"/>
              <w:jc w:val="center"/>
            </w:pPr>
            <w:r>
              <w:t>完成情况</w:t>
            </w:r>
          </w:p>
        </w:tc>
        <w:tc>
          <w:tcPr>
            <w:tcW w:w="3960" w:type="dxa"/>
            <w:gridSpan w:val="3"/>
            <w:noWrap/>
            <w:vAlign w:val="center"/>
          </w:tcPr>
          <w:p>
            <w:pPr>
              <w:pStyle w:val="208"/>
              <w:keepNext w:val="0"/>
              <w:keepLines w:val="0"/>
              <w:pageBreakBefore w:val="0"/>
              <w:widowControl/>
              <w:suppressLineNumbers w:val="0"/>
              <w:spacing w:line="576" w:lineRule="exact"/>
              <w:jc w:val="center"/>
            </w:pPr>
            <w:r>
              <w:t>预期目标</w:t>
            </w:r>
          </w:p>
        </w:tc>
        <w:tc>
          <w:tcPr>
            <w:tcW w:w="3630" w:type="dxa"/>
            <w:gridSpan w:val="2"/>
            <w:noWrap/>
            <w:vAlign w:val="center"/>
          </w:tcPr>
          <w:p>
            <w:pPr>
              <w:pStyle w:val="208"/>
              <w:keepNext w:val="0"/>
              <w:keepLines w:val="0"/>
              <w:pageBreakBefore w:val="0"/>
              <w:widowControl/>
              <w:suppressLineNumbers w:val="0"/>
              <w:spacing w:line="576" w:lineRule="exact"/>
              <w:jc w:val="center"/>
            </w:pPr>
            <w:r>
              <w:t>目标实际完成情况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3960" w:type="dxa"/>
            <w:gridSpan w:val="3"/>
            <w:noWrap/>
            <w:vAlign w:val="center"/>
          </w:tcPr>
          <w:p>
            <w:pPr>
              <w:pStyle w:val="208"/>
              <w:keepNext w:val="0"/>
              <w:keepLines w:val="0"/>
              <w:pageBreakBefore w:val="0"/>
              <w:widowControl/>
              <w:suppressLineNumbers w:val="0"/>
              <w:spacing w:line="576" w:lineRule="exact"/>
              <w:jc w:val="center"/>
            </w:pPr>
            <w:r>
              <w:t> </w:t>
            </w:r>
          </w:p>
        </w:tc>
        <w:tc>
          <w:tcPr>
            <w:tcW w:w="3630" w:type="dxa"/>
            <w:gridSpan w:val="2"/>
            <w:noWrap/>
            <w:vAlign w:val="center"/>
          </w:tcPr>
          <w:p>
            <w:pPr>
              <w:pStyle w:val="208"/>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blCellSpacing w:w="0" w:type="dxa"/>
        </w:trPr>
        <w:tc>
          <w:tcPr>
            <w:tcW w:w="1980" w:type="dxa"/>
            <w:vMerge w:val="restart"/>
            <w:noWrap/>
            <w:vAlign w:val="center"/>
          </w:tcPr>
          <w:p>
            <w:pPr>
              <w:pStyle w:val="208"/>
              <w:keepNext w:val="0"/>
              <w:keepLines w:val="0"/>
              <w:pageBreakBefore w:val="0"/>
              <w:widowControl/>
              <w:suppressLineNumbers w:val="0"/>
              <w:spacing w:line="576" w:lineRule="exact"/>
              <w:jc w:val="center"/>
            </w:pPr>
            <w:r>
              <w:t>年度绩效指标完成情况</w:t>
            </w:r>
          </w:p>
        </w:tc>
        <w:tc>
          <w:tcPr>
            <w:tcW w:w="1140" w:type="dxa"/>
            <w:noWrap/>
            <w:vAlign w:val="center"/>
          </w:tcPr>
          <w:p>
            <w:pPr>
              <w:pStyle w:val="208"/>
              <w:keepNext w:val="0"/>
              <w:keepLines w:val="0"/>
              <w:pageBreakBefore w:val="0"/>
              <w:widowControl/>
              <w:suppressLineNumbers w:val="0"/>
              <w:spacing w:line="576" w:lineRule="exact"/>
              <w:jc w:val="center"/>
            </w:pPr>
            <w:r>
              <w:t>一级</w:t>
            </w:r>
          </w:p>
          <w:p>
            <w:pPr>
              <w:pStyle w:val="208"/>
              <w:keepNext w:val="0"/>
              <w:keepLines w:val="0"/>
              <w:pageBreakBefore w:val="0"/>
              <w:widowControl/>
              <w:suppressLineNumbers w:val="0"/>
              <w:spacing w:line="576" w:lineRule="exact"/>
              <w:jc w:val="center"/>
            </w:pPr>
            <w:r>
              <w:t>指标</w:t>
            </w:r>
          </w:p>
        </w:tc>
        <w:tc>
          <w:tcPr>
            <w:tcW w:w="1635" w:type="dxa"/>
            <w:noWrap/>
            <w:vAlign w:val="center"/>
          </w:tcPr>
          <w:p>
            <w:pPr>
              <w:pStyle w:val="208"/>
              <w:keepNext w:val="0"/>
              <w:keepLines w:val="0"/>
              <w:pageBreakBefore w:val="0"/>
              <w:widowControl/>
              <w:suppressLineNumbers w:val="0"/>
              <w:spacing w:line="576" w:lineRule="exact"/>
              <w:jc w:val="center"/>
            </w:pPr>
            <w:r>
              <w:t>二级</w:t>
            </w:r>
          </w:p>
          <w:p>
            <w:pPr>
              <w:pStyle w:val="208"/>
              <w:keepNext w:val="0"/>
              <w:keepLines w:val="0"/>
              <w:pageBreakBefore w:val="0"/>
              <w:widowControl/>
              <w:suppressLineNumbers w:val="0"/>
              <w:spacing w:line="576" w:lineRule="exact"/>
              <w:jc w:val="center"/>
            </w:pPr>
            <w:r>
              <w:t>指标</w:t>
            </w:r>
          </w:p>
        </w:tc>
        <w:tc>
          <w:tcPr>
            <w:tcW w:w="1185" w:type="dxa"/>
            <w:noWrap/>
            <w:vAlign w:val="center"/>
          </w:tcPr>
          <w:p>
            <w:pPr>
              <w:pStyle w:val="208"/>
              <w:keepNext w:val="0"/>
              <w:keepLines w:val="0"/>
              <w:pageBreakBefore w:val="0"/>
              <w:widowControl/>
              <w:suppressLineNumbers w:val="0"/>
              <w:spacing w:line="576" w:lineRule="exact"/>
              <w:jc w:val="center"/>
            </w:pPr>
            <w:r>
              <w:t>三级</w:t>
            </w:r>
          </w:p>
          <w:p>
            <w:pPr>
              <w:pStyle w:val="208"/>
              <w:keepNext w:val="0"/>
              <w:keepLines w:val="0"/>
              <w:pageBreakBefore w:val="0"/>
              <w:widowControl/>
              <w:suppressLineNumbers w:val="0"/>
              <w:spacing w:line="576" w:lineRule="exact"/>
              <w:jc w:val="center"/>
            </w:pPr>
            <w:r>
              <w:t>指标</w:t>
            </w:r>
          </w:p>
        </w:tc>
        <w:tc>
          <w:tcPr>
            <w:tcW w:w="1230" w:type="dxa"/>
            <w:noWrap/>
            <w:vAlign w:val="center"/>
          </w:tcPr>
          <w:p>
            <w:pPr>
              <w:pStyle w:val="208"/>
              <w:keepNext w:val="0"/>
              <w:keepLines w:val="0"/>
              <w:pageBreakBefore w:val="0"/>
              <w:widowControl/>
              <w:suppressLineNumbers w:val="0"/>
              <w:spacing w:line="576" w:lineRule="exact"/>
              <w:jc w:val="center"/>
            </w:pPr>
            <w:r>
              <w:t>预期指标值</w:t>
            </w:r>
          </w:p>
        </w:tc>
        <w:tc>
          <w:tcPr>
            <w:tcW w:w="2415" w:type="dxa"/>
            <w:noWrap/>
            <w:vAlign w:val="center"/>
          </w:tcPr>
          <w:p>
            <w:pPr>
              <w:pStyle w:val="208"/>
              <w:keepNext w:val="0"/>
              <w:keepLines w:val="0"/>
              <w:pageBreakBefore w:val="0"/>
              <w:widowControl/>
              <w:suppressLineNumbers w:val="0"/>
              <w:spacing w:line="576" w:lineRule="exact"/>
              <w:jc w:val="center"/>
            </w:pPr>
            <w:r>
              <w:t>实际完成指标值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vMerge w:val="restart"/>
            <w:noWrap/>
            <w:vAlign w:val="center"/>
          </w:tcPr>
          <w:p>
            <w:pPr>
              <w:pStyle w:val="208"/>
              <w:keepNext w:val="0"/>
              <w:keepLines w:val="0"/>
              <w:pageBreakBefore w:val="0"/>
              <w:widowControl/>
              <w:suppressLineNumbers w:val="0"/>
              <w:spacing w:line="576" w:lineRule="exact"/>
              <w:jc w:val="center"/>
            </w:pPr>
            <w:r>
              <w:t>完成</w:t>
            </w:r>
          </w:p>
          <w:p>
            <w:pPr>
              <w:pStyle w:val="208"/>
              <w:keepNext w:val="0"/>
              <w:keepLines w:val="0"/>
              <w:pageBreakBefore w:val="0"/>
              <w:widowControl/>
              <w:suppressLineNumbers w:val="0"/>
              <w:spacing w:line="576" w:lineRule="exact"/>
              <w:jc w:val="center"/>
            </w:pPr>
            <w:r>
              <w:t>指标</w:t>
            </w:r>
          </w:p>
        </w:tc>
        <w:tc>
          <w:tcPr>
            <w:tcW w:w="1635" w:type="dxa"/>
            <w:noWrap/>
            <w:vAlign w:val="center"/>
          </w:tcPr>
          <w:p>
            <w:pPr>
              <w:pStyle w:val="208"/>
              <w:keepNext w:val="0"/>
              <w:keepLines w:val="0"/>
              <w:pageBreakBefore w:val="0"/>
              <w:widowControl/>
              <w:suppressLineNumbers w:val="0"/>
              <w:spacing w:line="576" w:lineRule="exact"/>
              <w:jc w:val="center"/>
            </w:pPr>
            <w:r>
              <w:t>数量指标</w:t>
            </w:r>
          </w:p>
        </w:tc>
        <w:tc>
          <w:tcPr>
            <w:tcW w:w="1185" w:type="dxa"/>
            <w:noWrap/>
            <w:vAlign w:val="center"/>
          </w:tcPr>
          <w:p>
            <w:pPr>
              <w:pStyle w:val="208"/>
              <w:keepNext w:val="0"/>
              <w:keepLines w:val="0"/>
              <w:pageBreakBefore w:val="0"/>
              <w:widowControl/>
              <w:suppressLineNumbers w:val="0"/>
              <w:spacing w:line="576" w:lineRule="exact"/>
              <w:jc w:val="center"/>
            </w:pPr>
            <w:r>
              <w:t> </w:t>
            </w:r>
          </w:p>
        </w:tc>
        <w:tc>
          <w:tcPr>
            <w:tcW w:w="1230" w:type="dxa"/>
            <w:noWrap/>
            <w:vAlign w:val="center"/>
          </w:tcPr>
          <w:p>
            <w:pPr>
              <w:pStyle w:val="208"/>
              <w:keepNext w:val="0"/>
              <w:keepLines w:val="0"/>
              <w:pageBreakBefore w:val="0"/>
              <w:widowControl/>
              <w:suppressLineNumbers w:val="0"/>
              <w:spacing w:line="576" w:lineRule="exact"/>
              <w:jc w:val="center"/>
            </w:pPr>
            <w:r>
              <w:t> </w:t>
            </w:r>
          </w:p>
        </w:tc>
        <w:tc>
          <w:tcPr>
            <w:tcW w:w="2415" w:type="dxa"/>
            <w:noWrap/>
            <w:vAlign w:val="center"/>
          </w:tcPr>
          <w:p>
            <w:pPr>
              <w:pStyle w:val="208"/>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vMerge w:val="continue"/>
            <w:noWrap/>
            <w:vAlign w:val="center"/>
          </w:tcPr>
          <w:p>
            <w:pPr>
              <w:pageBreakBefore w:val="0"/>
              <w:spacing w:line="576" w:lineRule="exact"/>
              <w:rPr>
                <w:rFonts w:hint="eastAsia" w:ascii="宋体"/>
                <w:sz w:val="24"/>
                <w:szCs w:val="24"/>
              </w:rPr>
            </w:pPr>
          </w:p>
        </w:tc>
        <w:tc>
          <w:tcPr>
            <w:tcW w:w="1635" w:type="dxa"/>
            <w:noWrap/>
            <w:vAlign w:val="center"/>
          </w:tcPr>
          <w:p>
            <w:pPr>
              <w:pStyle w:val="208"/>
              <w:keepNext w:val="0"/>
              <w:keepLines w:val="0"/>
              <w:pageBreakBefore w:val="0"/>
              <w:widowControl/>
              <w:suppressLineNumbers w:val="0"/>
              <w:spacing w:line="576" w:lineRule="exact"/>
              <w:jc w:val="center"/>
            </w:pPr>
            <w:r>
              <w:t>质量指标</w:t>
            </w:r>
          </w:p>
        </w:tc>
        <w:tc>
          <w:tcPr>
            <w:tcW w:w="1185" w:type="dxa"/>
            <w:noWrap/>
            <w:vAlign w:val="center"/>
          </w:tcPr>
          <w:p>
            <w:pPr>
              <w:pStyle w:val="208"/>
              <w:keepNext w:val="0"/>
              <w:keepLines w:val="0"/>
              <w:pageBreakBefore w:val="0"/>
              <w:widowControl/>
              <w:suppressLineNumbers w:val="0"/>
              <w:spacing w:line="576" w:lineRule="exact"/>
              <w:jc w:val="center"/>
            </w:pPr>
            <w:r>
              <w:t> </w:t>
            </w:r>
          </w:p>
        </w:tc>
        <w:tc>
          <w:tcPr>
            <w:tcW w:w="1230" w:type="dxa"/>
            <w:noWrap/>
            <w:vAlign w:val="center"/>
          </w:tcPr>
          <w:p>
            <w:pPr>
              <w:pStyle w:val="208"/>
              <w:keepNext w:val="0"/>
              <w:keepLines w:val="0"/>
              <w:pageBreakBefore w:val="0"/>
              <w:widowControl/>
              <w:suppressLineNumbers w:val="0"/>
              <w:spacing w:line="576" w:lineRule="exact"/>
              <w:jc w:val="center"/>
            </w:pPr>
            <w:r>
              <w:t> </w:t>
            </w:r>
          </w:p>
        </w:tc>
        <w:tc>
          <w:tcPr>
            <w:tcW w:w="2415" w:type="dxa"/>
            <w:noWrap/>
            <w:vAlign w:val="center"/>
          </w:tcPr>
          <w:p>
            <w:pPr>
              <w:pStyle w:val="208"/>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vMerge w:val="continue"/>
            <w:noWrap/>
            <w:vAlign w:val="center"/>
          </w:tcPr>
          <w:p>
            <w:pPr>
              <w:pageBreakBefore w:val="0"/>
              <w:spacing w:line="576" w:lineRule="exact"/>
              <w:rPr>
                <w:rFonts w:hint="eastAsia" w:ascii="宋体"/>
                <w:sz w:val="24"/>
                <w:szCs w:val="24"/>
              </w:rPr>
            </w:pPr>
          </w:p>
        </w:tc>
        <w:tc>
          <w:tcPr>
            <w:tcW w:w="1635" w:type="dxa"/>
            <w:noWrap/>
            <w:vAlign w:val="center"/>
          </w:tcPr>
          <w:p>
            <w:pPr>
              <w:pStyle w:val="208"/>
              <w:keepNext w:val="0"/>
              <w:keepLines w:val="0"/>
              <w:pageBreakBefore w:val="0"/>
              <w:widowControl/>
              <w:suppressLineNumbers w:val="0"/>
              <w:spacing w:line="576" w:lineRule="exact"/>
              <w:jc w:val="center"/>
            </w:pPr>
            <w:r>
              <w:t>时效指标</w:t>
            </w:r>
          </w:p>
        </w:tc>
        <w:tc>
          <w:tcPr>
            <w:tcW w:w="1185" w:type="dxa"/>
            <w:noWrap/>
            <w:vAlign w:val="center"/>
          </w:tcPr>
          <w:p>
            <w:pPr>
              <w:pStyle w:val="208"/>
              <w:keepNext w:val="0"/>
              <w:keepLines w:val="0"/>
              <w:pageBreakBefore w:val="0"/>
              <w:widowControl/>
              <w:suppressLineNumbers w:val="0"/>
              <w:spacing w:line="576" w:lineRule="exact"/>
              <w:jc w:val="center"/>
            </w:pPr>
            <w:r>
              <w:t> </w:t>
            </w:r>
          </w:p>
        </w:tc>
        <w:tc>
          <w:tcPr>
            <w:tcW w:w="1230" w:type="dxa"/>
            <w:noWrap/>
            <w:vAlign w:val="center"/>
          </w:tcPr>
          <w:p>
            <w:pPr>
              <w:pStyle w:val="208"/>
              <w:keepNext w:val="0"/>
              <w:keepLines w:val="0"/>
              <w:pageBreakBefore w:val="0"/>
              <w:widowControl/>
              <w:suppressLineNumbers w:val="0"/>
              <w:spacing w:line="576" w:lineRule="exact"/>
              <w:jc w:val="center"/>
            </w:pPr>
            <w:r>
              <w:t> </w:t>
            </w:r>
          </w:p>
        </w:tc>
        <w:tc>
          <w:tcPr>
            <w:tcW w:w="2415" w:type="dxa"/>
            <w:noWrap/>
            <w:vAlign w:val="center"/>
          </w:tcPr>
          <w:p>
            <w:pPr>
              <w:pStyle w:val="208"/>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vMerge w:val="continue"/>
            <w:noWrap/>
            <w:vAlign w:val="center"/>
          </w:tcPr>
          <w:p>
            <w:pPr>
              <w:pageBreakBefore w:val="0"/>
              <w:spacing w:line="576" w:lineRule="exact"/>
              <w:rPr>
                <w:rFonts w:hint="eastAsia" w:ascii="宋体"/>
                <w:sz w:val="24"/>
                <w:szCs w:val="24"/>
              </w:rPr>
            </w:pPr>
          </w:p>
        </w:tc>
        <w:tc>
          <w:tcPr>
            <w:tcW w:w="1635" w:type="dxa"/>
            <w:noWrap/>
            <w:vAlign w:val="center"/>
          </w:tcPr>
          <w:p>
            <w:pPr>
              <w:pStyle w:val="208"/>
              <w:keepNext w:val="0"/>
              <w:keepLines w:val="0"/>
              <w:pageBreakBefore w:val="0"/>
              <w:widowControl/>
              <w:suppressLineNumbers w:val="0"/>
              <w:spacing w:line="576" w:lineRule="exact"/>
              <w:jc w:val="center"/>
            </w:pPr>
            <w:r>
              <w:t>成本指标</w:t>
            </w:r>
          </w:p>
        </w:tc>
        <w:tc>
          <w:tcPr>
            <w:tcW w:w="1185" w:type="dxa"/>
            <w:noWrap/>
            <w:vAlign w:val="center"/>
          </w:tcPr>
          <w:p>
            <w:pPr>
              <w:pStyle w:val="208"/>
              <w:keepNext w:val="0"/>
              <w:keepLines w:val="0"/>
              <w:pageBreakBefore w:val="0"/>
              <w:widowControl/>
              <w:suppressLineNumbers w:val="0"/>
              <w:spacing w:line="576" w:lineRule="exact"/>
              <w:jc w:val="center"/>
            </w:pPr>
            <w:r>
              <w:t> </w:t>
            </w:r>
          </w:p>
        </w:tc>
        <w:tc>
          <w:tcPr>
            <w:tcW w:w="1230" w:type="dxa"/>
            <w:noWrap/>
            <w:vAlign w:val="center"/>
          </w:tcPr>
          <w:p>
            <w:pPr>
              <w:pStyle w:val="208"/>
              <w:keepNext w:val="0"/>
              <w:keepLines w:val="0"/>
              <w:pageBreakBefore w:val="0"/>
              <w:widowControl/>
              <w:suppressLineNumbers w:val="0"/>
              <w:spacing w:line="576" w:lineRule="exact"/>
              <w:jc w:val="center"/>
            </w:pPr>
            <w:r>
              <w:t> </w:t>
            </w:r>
          </w:p>
        </w:tc>
        <w:tc>
          <w:tcPr>
            <w:tcW w:w="2415" w:type="dxa"/>
            <w:noWrap/>
            <w:vAlign w:val="center"/>
          </w:tcPr>
          <w:p>
            <w:pPr>
              <w:pStyle w:val="208"/>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vMerge w:val="restart"/>
            <w:noWrap/>
            <w:vAlign w:val="center"/>
          </w:tcPr>
          <w:p>
            <w:pPr>
              <w:pStyle w:val="208"/>
              <w:keepNext w:val="0"/>
              <w:keepLines w:val="0"/>
              <w:pageBreakBefore w:val="0"/>
              <w:widowControl/>
              <w:suppressLineNumbers w:val="0"/>
              <w:spacing w:line="576" w:lineRule="exact"/>
              <w:jc w:val="center"/>
            </w:pPr>
            <w:r>
              <w:t>效益</w:t>
            </w:r>
          </w:p>
          <w:p>
            <w:pPr>
              <w:pStyle w:val="208"/>
              <w:keepNext w:val="0"/>
              <w:keepLines w:val="0"/>
              <w:pageBreakBefore w:val="0"/>
              <w:widowControl/>
              <w:suppressLineNumbers w:val="0"/>
              <w:spacing w:line="576" w:lineRule="exact"/>
              <w:jc w:val="center"/>
            </w:pPr>
            <w:r>
              <w:t>指标</w:t>
            </w:r>
          </w:p>
        </w:tc>
        <w:tc>
          <w:tcPr>
            <w:tcW w:w="1635" w:type="dxa"/>
            <w:noWrap/>
            <w:vAlign w:val="center"/>
          </w:tcPr>
          <w:p>
            <w:pPr>
              <w:pStyle w:val="208"/>
              <w:keepNext w:val="0"/>
              <w:keepLines w:val="0"/>
              <w:pageBreakBefore w:val="0"/>
              <w:widowControl/>
              <w:suppressLineNumbers w:val="0"/>
              <w:spacing w:line="576" w:lineRule="exact"/>
              <w:jc w:val="center"/>
            </w:pPr>
            <w:r>
              <w:t>经济效益指标</w:t>
            </w:r>
          </w:p>
        </w:tc>
        <w:tc>
          <w:tcPr>
            <w:tcW w:w="1185" w:type="dxa"/>
            <w:noWrap/>
            <w:vAlign w:val="center"/>
          </w:tcPr>
          <w:p>
            <w:pPr>
              <w:pStyle w:val="208"/>
              <w:keepNext w:val="0"/>
              <w:keepLines w:val="0"/>
              <w:pageBreakBefore w:val="0"/>
              <w:widowControl/>
              <w:suppressLineNumbers w:val="0"/>
              <w:spacing w:line="576" w:lineRule="exact"/>
              <w:jc w:val="center"/>
            </w:pPr>
            <w:r>
              <w:t> </w:t>
            </w:r>
          </w:p>
        </w:tc>
        <w:tc>
          <w:tcPr>
            <w:tcW w:w="1230" w:type="dxa"/>
            <w:noWrap/>
            <w:vAlign w:val="center"/>
          </w:tcPr>
          <w:p>
            <w:pPr>
              <w:pStyle w:val="208"/>
              <w:keepNext w:val="0"/>
              <w:keepLines w:val="0"/>
              <w:pageBreakBefore w:val="0"/>
              <w:widowControl/>
              <w:suppressLineNumbers w:val="0"/>
              <w:spacing w:line="576" w:lineRule="exact"/>
              <w:jc w:val="center"/>
            </w:pPr>
            <w:r>
              <w:t> </w:t>
            </w:r>
          </w:p>
        </w:tc>
        <w:tc>
          <w:tcPr>
            <w:tcW w:w="2415" w:type="dxa"/>
            <w:noWrap/>
            <w:vAlign w:val="center"/>
          </w:tcPr>
          <w:p>
            <w:pPr>
              <w:pStyle w:val="208"/>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vMerge w:val="continue"/>
            <w:noWrap/>
            <w:vAlign w:val="center"/>
          </w:tcPr>
          <w:p>
            <w:pPr>
              <w:pageBreakBefore w:val="0"/>
              <w:spacing w:line="576" w:lineRule="exact"/>
              <w:rPr>
                <w:rFonts w:hint="eastAsia" w:ascii="宋体"/>
                <w:sz w:val="24"/>
                <w:szCs w:val="24"/>
              </w:rPr>
            </w:pPr>
          </w:p>
        </w:tc>
        <w:tc>
          <w:tcPr>
            <w:tcW w:w="1635" w:type="dxa"/>
            <w:noWrap/>
            <w:vAlign w:val="center"/>
          </w:tcPr>
          <w:p>
            <w:pPr>
              <w:pStyle w:val="208"/>
              <w:keepNext w:val="0"/>
              <w:keepLines w:val="0"/>
              <w:pageBreakBefore w:val="0"/>
              <w:widowControl/>
              <w:suppressLineNumbers w:val="0"/>
              <w:spacing w:line="576" w:lineRule="exact"/>
              <w:jc w:val="center"/>
            </w:pPr>
            <w:r>
              <w:t>社会效益指标</w:t>
            </w:r>
          </w:p>
        </w:tc>
        <w:tc>
          <w:tcPr>
            <w:tcW w:w="1185" w:type="dxa"/>
            <w:noWrap/>
            <w:vAlign w:val="center"/>
          </w:tcPr>
          <w:p>
            <w:pPr>
              <w:pStyle w:val="208"/>
              <w:keepNext w:val="0"/>
              <w:keepLines w:val="0"/>
              <w:pageBreakBefore w:val="0"/>
              <w:widowControl/>
              <w:suppressLineNumbers w:val="0"/>
              <w:spacing w:line="576" w:lineRule="exact"/>
              <w:jc w:val="center"/>
            </w:pPr>
            <w:r>
              <w:t> </w:t>
            </w:r>
          </w:p>
        </w:tc>
        <w:tc>
          <w:tcPr>
            <w:tcW w:w="1230" w:type="dxa"/>
            <w:noWrap/>
            <w:vAlign w:val="center"/>
          </w:tcPr>
          <w:p>
            <w:pPr>
              <w:pStyle w:val="208"/>
              <w:keepNext w:val="0"/>
              <w:keepLines w:val="0"/>
              <w:pageBreakBefore w:val="0"/>
              <w:widowControl/>
              <w:suppressLineNumbers w:val="0"/>
              <w:spacing w:line="576" w:lineRule="exact"/>
              <w:jc w:val="center"/>
            </w:pPr>
            <w:r>
              <w:t> </w:t>
            </w:r>
          </w:p>
        </w:tc>
        <w:tc>
          <w:tcPr>
            <w:tcW w:w="2415" w:type="dxa"/>
            <w:noWrap/>
            <w:vAlign w:val="center"/>
          </w:tcPr>
          <w:p>
            <w:pPr>
              <w:pStyle w:val="208"/>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vMerge w:val="continue"/>
            <w:noWrap/>
            <w:vAlign w:val="center"/>
          </w:tcPr>
          <w:p>
            <w:pPr>
              <w:pageBreakBefore w:val="0"/>
              <w:spacing w:line="576" w:lineRule="exact"/>
              <w:rPr>
                <w:rFonts w:hint="eastAsia" w:ascii="宋体"/>
                <w:sz w:val="24"/>
                <w:szCs w:val="24"/>
              </w:rPr>
            </w:pPr>
          </w:p>
        </w:tc>
        <w:tc>
          <w:tcPr>
            <w:tcW w:w="1635" w:type="dxa"/>
            <w:noWrap/>
            <w:vAlign w:val="center"/>
          </w:tcPr>
          <w:p>
            <w:pPr>
              <w:pStyle w:val="208"/>
              <w:keepNext w:val="0"/>
              <w:keepLines w:val="0"/>
              <w:pageBreakBefore w:val="0"/>
              <w:widowControl/>
              <w:suppressLineNumbers w:val="0"/>
              <w:spacing w:line="576" w:lineRule="exact"/>
              <w:ind w:left="423"/>
              <w:jc w:val="both"/>
            </w:pPr>
            <w:r>
              <w:t>生态效益指标</w:t>
            </w:r>
          </w:p>
        </w:tc>
        <w:tc>
          <w:tcPr>
            <w:tcW w:w="1185" w:type="dxa"/>
            <w:noWrap/>
            <w:vAlign w:val="center"/>
          </w:tcPr>
          <w:p>
            <w:pPr>
              <w:pStyle w:val="208"/>
              <w:keepNext w:val="0"/>
              <w:keepLines w:val="0"/>
              <w:pageBreakBefore w:val="0"/>
              <w:widowControl/>
              <w:suppressLineNumbers w:val="0"/>
              <w:spacing w:line="576" w:lineRule="exact"/>
              <w:jc w:val="center"/>
            </w:pPr>
            <w:r>
              <w:t> </w:t>
            </w:r>
          </w:p>
        </w:tc>
        <w:tc>
          <w:tcPr>
            <w:tcW w:w="1230" w:type="dxa"/>
            <w:noWrap/>
            <w:vAlign w:val="center"/>
          </w:tcPr>
          <w:p>
            <w:pPr>
              <w:pStyle w:val="208"/>
              <w:keepNext w:val="0"/>
              <w:keepLines w:val="0"/>
              <w:pageBreakBefore w:val="0"/>
              <w:widowControl/>
              <w:suppressLineNumbers w:val="0"/>
              <w:spacing w:line="576" w:lineRule="exact"/>
              <w:jc w:val="center"/>
            </w:pPr>
            <w:r>
              <w:t> </w:t>
            </w:r>
          </w:p>
        </w:tc>
        <w:tc>
          <w:tcPr>
            <w:tcW w:w="2415" w:type="dxa"/>
            <w:noWrap/>
            <w:vAlign w:val="center"/>
          </w:tcPr>
          <w:p>
            <w:pPr>
              <w:pStyle w:val="208"/>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vMerge w:val="continue"/>
            <w:noWrap/>
            <w:vAlign w:val="center"/>
          </w:tcPr>
          <w:p>
            <w:pPr>
              <w:pageBreakBefore w:val="0"/>
              <w:spacing w:line="576" w:lineRule="exact"/>
              <w:rPr>
                <w:rFonts w:hint="eastAsia" w:ascii="宋体"/>
                <w:sz w:val="24"/>
                <w:szCs w:val="24"/>
              </w:rPr>
            </w:pPr>
          </w:p>
        </w:tc>
        <w:tc>
          <w:tcPr>
            <w:tcW w:w="1635" w:type="dxa"/>
            <w:noWrap/>
            <w:vAlign w:val="center"/>
          </w:tcPr>
          <w:p>
            <w:pPr>
              <w:pStyle w:val="208"/>
              <w:keepNext w:val="0"/>
              <w:keepLines w:val="0"/>
              <w:pageBreakBefore w:val="0"/>
              <w:widowControl/>
              <w:suppressLineNumbers w:val="0"/>
              <w:spacing w:line="576" w:lineRule="exact"/>
              <w:jc w:val="center"/>
            </w:pPr>
            <w:r>
              <w:t>可持续影响指标</w:t>
            </w:r>
          </w:p>
        </w:tc>
        <w:tc>
          <w:tcPr>
            <w:tcW w:w="1185" w:type="dxa"/>
            <w:noWrap/>
            <w:vAlign w:val="center"/>
          </w:tcPr>
          <w:p>
            <w:pPr>
              <w:pStyle w:val="208"/>
              <w:keepNext w:val="0"/>
              <w:keepLines w:val="0"/>
              <w:pageBreakBefore w:val="0"/>
              <w:widowControl/>
              <w:suppressLineNumbers w:val="0"/>
              <w:spacing w:line="576" w:lineRule="exact"/>
              <w:jc w:val="center"/>
            </w:pPr>
            <w:r>
              <w:t> </w:t>
            </w:r>
          </w:p>
        </w:tc>
        <w:tc>
          <w:tcPr>
            <w:tcW w:w="1230" w:type="dxa"/>
            <w:noWrap/>
            <w:vAlign w:val="center"/>
          </w:tcPr>
          <w:p>
            <w:pPr>
              <w:pStyle w:val="208"/>
              <w:keepNext w:val="0"/>
              <w:keepLines w:val="0"/>
              <w:pageBreakBefore w:val="0"/>
              <w:widowControl/>
              <w:suppressLineNumbers w:val="0"/>
              <w:spacing w:line="576" w:lineRule="exact"/>
              <w:jc w:val="center"/>
            </w:pPr>
            <w:r>
              <w:t> </w:t>
            </w:r>
          </w:p>
        </w:tc>
        <w:tc>
          <w:tcPr>
            <w:tcW w:w="2415" w:type="dxa"/>
            <w:noWrap/>
            <w:vAlign w:val="center"/>
          </w:tcPr>
          <w:p>
            <w:pPr>
              <w:pStyle w:val="208"/>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noWrap/>
            <w:vAlign w:val="center"/>
          </w:tcPr>
          <w:p>
            <w:pPr>
              <w:pStyle w:val="208"/>
              <w:keepNext w:val="0"/>
              <w:keepLines w:val="0"/>
              <w:pageBreakBefore w:val="0"/>
              <w:widowControl/>
              <w:suppressLineNumbers w:val="0"/>
              <w:spacing w:line="576" w:lineRule="exact"/>
              <w:jc w:val="center"/>
            </w:pPr>
            <w:r>
              <w:t>满意</w:t>
            </w:r>
          </w:p>
          <w:p>
            <w:pPr>
              <w:pStyle w:val="208"/>
              <w:keepNext w:val="0"/>
              <w:keepLines w:val="0"/>
              <w:pageBreakBefore w:val="0"/>
              <w:widowControl/>
              <w:suppressLineNumbers w:val="0"/>
              <w:spacing w:line="576" w:lineRule="exact"/>
              <w:jc w:val="center"/>
            </w:pPr>
            <w:r>
              <w:t>度指标</w:t>
            </w:r>
          </w:p>
        </w:tc>
        <w:tc>
          <w:tcPr>
            <w:tcW w:w="1635" w:type="dxa"/>
            <w:noWrap/>
            <w:vAlign w:val="center"/>
          </w:tcPr>
          <w:p>
            <w:pPr>
              <w:pStyle w:val="208"/>
              <w:keepNext w:val="0"/>
              <w:keepLines w:val="0"/>
              <w:pageBreakBefore w:val="0"/>
              <w:widowControl/>
              <w:suppressLineNumbers w:val="0"/>
              <w:spacing w:line="576" w:lineRule="exact"/>
              <w:jc w:val="center"/>
            </w:pPr>
            <w:r>
              <w:t>满意度</w:t>
            </w:r>
          </w:p>
          <w:p>
            <w:pPr>
              <w:pStyle w:val="208"/>
              <w:keepNext w:val="0"/>
              <w:keepLines w:val="0"/>
              <w:pageBreakBefore w:val="0"/>
              <w:widowControl/>
              <w:suppressLineNumbers w:val="0"/>
              <w:spacing w:line="576" w:lineRule="exact"/>
              <w:jc w:val="center"/>
            </w:pPr>
            <w:r>
              <w:t>指标</w:t>
            </w:r>
          </w:p>
        </w:tc>
        <w:tc>
          <w:tcPr>
            <w:tcW w:w="1185" w:type="dxa"/>
            <w:noWrap/>
            <w:vAlign w:val="center"/>
          </w:tcPr>
          <w:p>
            <w:pPr>
              <w:pStyle w:val="208"/>
              <w:keepNext w:val="0"/>
              <w:keepLines w:val="0"/>
              <w:pageBreakBefore w:val="0"/>
              <w:widowControl/>
              <w:suppressLineNumbers w:val="0"/>
              <w:spacing w:line="576" w:lineRule="exact"/>
              <w:jc w:val="center"/>
            </w:pPr>
            <w:r>
              <w:t> </w:t>
            </w:r>
          </w:p>
        </w:tc>
        <w:tc>
          <w:tcPr>
            <w:tcW w:w="1230" w:type="dxa"/>
            <w:noWrap/>
            <w:vAlign w:val="center"/>
          </w:tcPr>
          <w:p>
            <w:pPr>
              <w:pStyle w:val="208"/>
              <w:keepNext w:val="0"/>
              <w:keepLines w:val="0"/>
              <w:pageBreakBefore w:val="0"/>
              <w:widowControl/>
              <w:suppressLineNumbers w:val="0"/>
              <w:spacing w:line="576" w:lineRule="exact"/>
              <w:jc w:val="center"/>
            </w:pPr>
            <w:r>
              <w:t> </w:t>
            </w:r>
          </w:p>
        </w:tc>
        <w:tc>
          <w:tcPr>
            <w:tcW w:w="2415" w:type="dxa"/>
            <w:noWrap/>
            <w:vAlign w:val="center"/>
          </w:tcPr>
          <w:p>
            <w:pPr>
              <w:pStyle w:val="208"/>
              <w:keepNext w:val="0"/>
              <w:keepLines w:val="0"/>
              <w:pageBreakBefore w:val="0"/>
              <w:widowControl/>
              <w:suppressLineNumbers w:val="0"/>
              <w:spacing w:line="576" w:lineRule="exact"/>
              <w:jc w:val="center"/>
            </w:pPr>
            <w:r>
              <w:t> </w:t>
            </w:r>
          </w:p>
        </w:tc>
      </w:tr>
    </w:tbl>
    <w:p>
      <w:pPr>
        <w:pStyle w:val="208"/>
        <w:keepNext w:val="0"/>
        <w:keepLines w:val="0"/>
        <w:pageBreakBefore w:val="0"/>
        <w:widowControl/>
        <w:suppressLineNumbers w:val="0"/>
        <w:spacing w:line="576" w:lineRule="exact"/>
        <w:jc w:val="left"/>
      </w:pPr>
      <w:r>
        <w:t>（注：有两个及以上100万元以上（含）特定目标类部门预算项目的，需分别开展绩效目标自评并填写附表）</w:t>
      </w:r>
    </w:p>
    <w:p>
      <w:pPr>
        <w:pStyle w:val="181"/>
        <w:jc w:val="center"/>
        <w:rPr>
          <w:rFonts w:hint="eastAsia" w:ascii="黑体" w:eastAsia="黑体" w:cs="黑体"/>
          <w:lang w:bidi="ar-SA"/>
        </w:rPr>
      </w:pPr>
      <w:r>
        <w:rPr>
          <w:rFonts w:hint="eastAsia" w:ascii="黑体" w:eastAsia="黑体" w:cs="黑体"/>
          <w:lang w:bidi="ar-SA"/>
        </w:rPr>
        <w:t>第五部分 附表</w:t>
      </w:r>
    </w:p>
    <w:p>
      <w:pPr>
        <w:pStyle w:val="182"/>
        <w:ind w:firstLine="640"/>
        <w:rPr>
          <w:rFonts w:hint="eastAsia" w:ascii="黑体" w:eastAsia="黑体"/>
          <w:bCs w:val="0"/>
          <w:color w:val="000000"/>
        </w:rPr>
      </w:pPr>
      <w:r>
        <w:rPr>
          <w:rFonts w:hint="eastAsia" w:ascii="黑体" w:eastAsia="黑体"/>
          <w:bCs w:val="0"/>
          <w:color w:val="000000"/>
        </w:rPr>
        <w:t>一、收入支出决算总表</w:t>
      </w:r>
    </w:p>
    <w:p>
      <w:pPr>
        <w:pStyle w:val="182"/>
        <w:ind w:firstLine="640"/>
        <w:rPr>
          <w:rFonts w:hint="eastAsia" w:ascii="黑体" w:eastAsia="黑体"/>
          <w:bCs w:val="0"/>
          <w:color w:val="000000"/>
        </w:rPr>
      </w:pPr>
      <w:r>
        <w:rPr>
          <w:rFonts w:hint="eastAsia" w:ascii="黑体" w:eastAsia="黑体"/>
          <w:bCs w:val="0"/>
          <w:color w:val="000000"/>
        </w:rPr>
        <w:t>二、收入决算表</w:t>
      </w:r>
    </w:p>
    <w:p>
      <w:pPr>
        <w:pStyle w:val="182"/>
        <w:ind w:firstLine="640"/>
        <w:rPr>
          <w:rFonts w:hint="eastAsia" w:ascii="黑体" w:eastAsia="黑体"/>
          <w:bCs w:val="0"/>
          <w:color w:val="000000"/>
        </w:rPr>
      </w:pPr>
      <w:r>
        <w:rPr>
          <w:rFonts w:hint="eastAsia" w:ascii="黑体" w:eastAsia="黑体"/>
          <w:bCs w:val="0"/>
          <w:color w:val="000000"/>
        </w:rPr>
        <w:t>三、支出决算表</w:t>
      </w:r>
    </w:p>
    <w:p>
      <w:pPr>
        <w:pStyle w:val="182"/>
        <w:ind w:firstLine="640"/>
        <w:rPr>
          <w:rFonts w:hint="eastAsia" w:ascii="黑体" w:eastAsia="黑体"/>
          <w:bCs w:val="0"/>
          <w:color w:val="000000"/>
        </w:rPr>
      </w:pPr>
      <w:r>
        <w:rPr>
          <w:rFonts w:hint="eastAsia" w:ascii="黑体" w:eastAsia="黑体"/>
          <w:bCs w:val="0"/>
          <w:color w:val="000000"/>
        </w:rPr>
        <w:t>四、财政拨款收入支出决算总表</w:t>
      </w:r>
    </w:p>
    <w:p>
      <w:pPr>
        <w:pStyle w:val="182"/>
        <w:ind w:firstLine="640"/>
        <w:rPr>
          <w:rFonts w:hint="eastAsia" w:ascii="黑体" w:eastAsia="黑体"/>
          <w:bCs w:val="0"/>
          <w:color w:val="000000"/>
        </w:rPr>
      </w:pPr>
      <w:r>
        <w:rPr>
          <w:rFonts w:hint="eastAsia" w:ascii="黑体" w:eastAsia="黑体"/>
          <w:bCs w:val="0"/>
          <w:color w:val="000000"/>
        </w:rPr>
        <w:t>五、财政拨款支出决算明细表</w:t>
      </w:r>
    </w:p>
    <w:p>
      <w:pPr>
        <w:pStyle w:val="182"/>
        <w:ind w:firstLine="640"/>
        <w:rPr>
          <w:rFonts w:hint="eastAsia" w:ascii="黑体" w:eastAsia="黑体"/>
          <w:bCs w:val="0"/>
          <w:color w:val="000000"/>
        </w:rPr>
      </w:pPr>
      <w:r>
        <w:rPr>
          <w:rFonts w:hint="eastAsia" w:ascii="黑体" w:eastAsia="黑体"/>
          <w:bCs w:val="0"/>
          <w:color w:val="000000"/>
        </w:rPr>
        <w:t>六、一般公共预算财政拨款支出决算表</w:t>
      </w:r>
    </w:p>
    <w:p>
      <w:pPr>
        <w:pStyle w:val="182"/>
        <w:ind w:firstLine="640"/>
        <w:rPr>
          <w:rFonts w:hint="eastAsia" w:ascii="黑体" w:eastAsia="黑体"/>
          <w:bCs w:val="0"/>
          <w:color w:val="000000"/>
        </w:rPr>
      </w:pPr>
      <w:r>
        <w:rPr>
          <w:rFonts w:hint="eastAsia" w:ascii="黑体" w:eastAsia="黑体"/>
          <w:bCs w:val="0"/>
          <w:color w:val="000000"/>
        </w:rPr>
        <w:t>七、一般公共预算财政拨款支出决算明细表</w:t>
      </w:r>
    </w:p>
    <w:p>
      <w:pPr>
        <w:pStyle w:val="182"/>
        <w:ind w:firstLine="640"/>
        <w:rPr>
          <w:rFonts w:hint="eastAsia" w:ascii="黑体" w:eastAsia="黑体"/>
          <w:bCs w:val="0"/>
          <w:color w:val="000000"/>
        </w:rPr>
      </w:pPr>
      <w:r>
        <w:rPr>
          <w:rFonts w:hint="eastAsia" w:ascii="黑体" w:eastAsia="黑体"/>
          <w:bCs w:val="0"/>
          <w:color w:val="000000"/>
        </w:rPr>
        <w:t>八、一般公共预算财政拨款基本支出决算表</w:t>
      </w:r>
    </w:p>
    <w:p>
      <w:pPr>
        <w:pStyle w:val="182"/>
        <w:ind w:firstLine="640"/>
        <w:rPr>
          <w:rFonts w:hint="eastAsia" w:ascii="黑体" w:eastAsia="黑体"/>
          <w:bCs w:val="0"/>
          <w:color w:val="000000"/>
        </w:rPr>
      </w:pPr>
      <w:r>
        <w:rPr>
          <w:rFonts w:hint="eastAsia" w:ascii="黑体" w:eastAsia="黑体"/>
          <w:bCs w:val="0"/>
          <w:color w:val="000000"/>
        </w:rPr>
        <w:t>九、一般公共预算财政拨款项目支出决算表</w:t>
      </w:r>
    </w:p>
    <w:p>
      <w:pPr>
        <w:pStyle w:val="182"/>
        <w:ind w:firstLine="640"/>
        <w:rPr>
          <w:rFonts w:hint="eastAsia" w:ascii="黑体" w:eastAsia="黑体"/>
          <w:bCs w:val="0"/>
          <w:color w:val="000000"/>
        </w:rPr>
      </w:pPr>
      <w:r>
        <w:rPr>
          <w:rFonts w:hint="eastAsia" w:ascii="黑体" w:eastAsia="黑体"/>
          <w:bCs w:val="0"/>
          <w:color w:val="000000"/>
        </w:rPr>
        <w:t>十、政府性基金预算财政拨款收入支出决算表</w:t>
      </w:r>
    </w:p>
    <w:p>
      <w:pPr>
        <w:pStyle w:val="182"/>
        <w:ind w:firstLine="640"/>
        <w:rPr>
          <w:rFonts w:hint="eastAsia" w:ascii="黑体" w:eastAsia="黑体"/>
          <w:bCs w:val="0"/>
          <w:color w:val="000000"/>
        </w:rPr>
      </w:pPr>
      <w:r>
        <w:rPr>
          <w:rFonts w:hint="eastAsia" w:ascii="黑体" w:eastAsia="黑体"/>
          <w:bCs w:val="0"/>
          <w:color w:val="000000"/>
        </w:rPr>
        <w:t>十一、国有资本经营预算财政拨款收入支出决算表</w:t>
      </w:r>
    </w:p>
    <w:p>
      <w:pPr>
        <w:pStyle w:val="182"/>
        <w:ind w:firstLine="640"/>
        <w:rPr>
          <w:rFonts w:hint="eastAsia" w:ascii="黑体" w:eastAsia="黑体"/>
          <w:bCs w:val="0"/>
          <w:color w:val="000000"/>
        </w:rPr>
      </w:pPr>
      <w:r>
        <w:rPr>
          <w:rFonts w:hint="eastAsia" w:ascii="黑体" w:eastAsia="黑体"/>
          <w:bCs w:val="0"/>
          <w:color w:val="000000"/>
        </w:rPr>
        <w:t>十二、国有资本经营预算财政拨款支出决算表</w:t>
      </w:r>
    </w:p>
    <w:p>
      <w:pPr>
        <w:pStyle w:val="182"/>
        <w:ind w:firstLine="640"/>
        <w:rPr>
          <w:rFonts w:hint="eastAsia" w:ascii="黑体" w:eastAsia="黑体"/>
          <w:bCs w:val="0"/>
          <w:color w:val="000000"/>
        </w:rPr>
      </w:pPr>
      <w:r>
        <w:rPr>
          <w:rFonts w:hint="eastAsia" w:ascii="黑体" w:eastAsia="黑体"/>
          <w:bCs w:val="0"/>
          <w:color w:val="000000"/>
        </w:rPr>
        <w:t>十三、财政拨款“三公”经费支出决算表</w:t>
      </w:r>
    </w:p>
    <w:sectPr>
      <w:headerReference r:id="rId3" w:type="default"/>
      <w:footerReference r:id="rId4" w:type="default"/>
      <w:pgSz w:w="11906" w:h="16838" w:orient="landscape"/>
      <w:pgMar w:top="1440" w:right="1800" w:bottom="1440" w:left="1800" w:header="851" w:footer="992" w:gutter="0"/>
      <w:pgNumType w:start="1"/>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9"/>
      <w:jc w:val="center"/>
    </w:pPr>
    <w:r>
      <w:fldChar w:fldCharType="begin"/>
    </w:r>
    <w:r>
      <w:instrText xml:space="preserve">PAGE   \* MERGEFORMAT</w:instrText>
    </w:r>
    <w:r>
      <w:fldChar w:fldCharType="separate"/>
    </w:r>
    <w:r>
      <w:rPr>
        <w:lang w:val="zh-CN"/>
      </w:rPr>
      <w:t>2</w:t>
    </w:r>
    <w:r>
      <w:fldChar w:fldCharType="end"/>
    </w:r>
  </w:p>
  <w:p>
    <w:pPr>
      <w:pStyle w:val="18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83F04"/>
    <w:multiLevelType w:val="singleLevel"/>
    <w:tmpl w:val="D2B83F0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2160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5"/>
    <w:qFormat/>
    <w:uiPriority w:val="0"/>
    <w:pPr>
      <w:widowControl w:val="0"/>
      <w:jc w:val="both"/>
    </w:pPr>
    <w:rPr>
      <w:rFonts w:hint="default" w:ascii="Times New Roman" w:hAnsi="Times New Roman" w:eastAsia="宋体" w:cs="Times New Roman"/>
      <w:sz w:val="20"/>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2">
    <w:name w:val="正文缩进1"/>
    <w:basedOn w:val="1"/>
    <w:uiPriority w:val="0"/>
    <w:pPr>
      <w:ind w:firstLine="20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79"/>
    <w:semiHidden/>
    <w:unhideWhenUsed/>
    <w:qFormat/>
    <w:uiPriority w:val="99"/>
    <w:pPr>
      <w:spacing w:after="0" w:line="240" w:lineRule="auto"/>
    </w:pPr>
    <w:rPr>
      <w:sz w:val="20"/>
    </w:rPr>
  </w:style>
  <w:style w:type="paragraph" w:styleId="18">
    <w:name w:val="footer"/>
    <w:basedOn w:val="1"/>
    <w:link w:val="52"/>
    <w:unhideWhenUsed/>
    <w:qFormat/>
    <w:uiPriority w:val="99"/>
    <w:pPr>
      <w:tabs>
        <w:tab w:val="center" w:pos="7143"/>
        <w:tab w:val="right" w:pos="14287"/>
      </w:tabs>
      <w:spacing w:after="0" w:line="240" w:lineRule="auto"/>
    </w:pPr>
  </w:style>
  <w:style w:type="paragraph" w:styleId="19">
    <w:name w:val="header"/>
    <w:basedOn w:val="1"/>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78"/>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2">
    <w:name w:val="endnote reference"/>
    <w:semiHidden/>
    <w:unhideWhenUsed/>
    <w:qFormat/>
    <w:uiPriority w:val="99"/>
    <w:rPr>
      <w:vertAlign w:val="superscript"/>
    </w:rPr>
  </w:style>
  <w:style w:type="character" w:styleId="33">
    <w:name w:val="Hyperlink"/>
    <w:unhideWhenUsed/>
    <w:qFormat/>
    <w:uiPriority w:val="99"/>
    <w:rPr>
      <w:color w:val="0000FF" w:themeColor="hyperlink"/>
      <w:u w:val="single"/>
    </w:rPr>
  </w:style>
  <w:style w:type="character" w:styleId="34">
    <w:name w:val="footnote reference"/>
    <w:unhideWhenUsed/>
    <w:qFormat/>
    <w:uiPriority w:val="99"/>
    <w:rPr>
      <w:vertAlign w:val="superscript"/>
    </w:rPr>
  </w:style>
  <w:style w:type="character" w:customStyle="1" w:styleId="35">
    <w:name w:val="Heading 1 Char"/>
    <w:link w:val="3"/>
    <w:qFormat/>
    <w:uiPriority w:val="9"/>
    <w:rPr>
      <w:rFonts w:ascii="等线" w:hAnsi="等线" w:eastAsia="等线" w:cs="等线"/>
      <w:sz w:val="40"/>
      <w:szCs w:val="40"/>
    </w:rPr>
  </w:style>
  <w:style w:type="character" w:customStyle="1" w:styleId="36">
    <w:name w:val="Heading 2 Char"/>
    <w:link w:val="4"/>
    <w:qFormat/>
    <w:uiPriority w:val="9"/>
    <w:rPr>
      <w:rFonts w:ascii="等线" w:hAnsi="等线" w:eastAsia="等线" w:cs="等线"/>
      <w:sz w:val="34"/>
    </w:rPr>
  </w:style>
  <w:style w:type="character" w:customStyle="1" w:styleId="37">
    <w:name w:val="Heading 3 Char"/>
    <w:link w:val="5"/>
    <w:qFormat/>
    <w:uiPriority w:val="9"/>
    <w:rPr>
      <w:rFonts w:ascii="等线" w:hAnsi="等线" w:eastAsia="等线" w:cs="等线"/>
      <w:sz w:val="30"/>
      <w:szCs w:val="30"/>
    </w:rPr>
  </w:style>
  <w:style w:type="character" w:customStyle="1" w:styleId="38">
    <w:name w:val="Heading 4 Char"/>
    <w:link w:val="6"/>
    <w:qFormat/>
    <w:uiPriority w:val="9"/>
    <w:rPr>
      <w:rFonts w:ascii="等线" w:hAnsi="等线" w:eastAsia="等线" w:cs="等线"/>
      <w:b/>
      <w:bCs/>
      <w:sz w:val="26"/>
      <w:szCs w:val="26"/>
    </w:rPr>
  </w:style>
  <w:style w:type="character" w:customStyle="1" w:styleId="39">
    <w:name w:val="Heading 5 Char"/>
    <w:link w:val="7"/>
    <w:qFormat/>
    <w:uiPriority w:val="9"/>
    <w:rPr>
      <w:rFonts w:ascii="等线" w:hAnsi="等线" w:eastAsia="等线" w:cs="等线"/>
      <w:b/>
      <w:bCs/>
      <w:sz w:val="24"/>
      <w:szCs w:val="24"/>
    </w:rPr>
  </w:style>
  <w:style w:type="character" w:customStyle="1" w:styleId="40">
    <w:name w:val="Heading 6 Char"/>
    <w:link w:val="8"/>
    <w:qFormat/>
    <w:uiPriority w:val="9"/>
    <w:rPr>
      <w:rFonts w:ascii="等线" w:hAnsi="等线" w:eastAsia="等线" w:cs="等线"/>
      <w:b/>
      <w:bCs/>
      <w:sz w:val="22"/>
      <w:szCs w:val="22"/>
    </w:rPr>
  </w:style>
  <w:style w:type="character" w:customStyle="1" w:styleId="41">
    <w:name w:val="Heading 7 Char"/>
    <w:link w:val="9"/>
    <w:qFormat/>
    <w:uiPriority w:val="9"/>
    <w:rPr>
      <w:rFonts w:ascii="等线" w:hAnsi="等线" w:eastAsia="等线" w:cs="等线"/>
      <w:b/>
      <w:bCs/>
      <w:i/>
      <w:iCs/>
      <w:sz w:val="22"/>
      <w:szCs w:val="22"/>
    </w:rPr>
  </w:style>
  <w:style w:type="character" w:customStyle="1" w:styleId="42">
    <w:name w:val="Heading 8 Char"/>
    <w:link w:val="10"/>
    <w:qFormat/>
    <w:uiPriority w:val="9"/>
    <w:rPr>
      <w:rFonts w:ascii="等线" w:hAnsi="等线" w:eastAsia="等线" w:cs="等线"/>
      <w:i/>
      <w:iCs/>
      <w:sz w:val="22"/>
      <w:szCs w:val="22"/>
    </w:rPr>
  </w:style>
  <w:style w:type="character" w:customStyle="1" w:styleId="43">
    <w:name w:val="Heading 9 Char"/>
    <w:link w:val="11"/>
    <w:qFormat/>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imes New Roman" w:hAnsi="Times New Roman" w:eastAsia="方正小标宋简体" w:cs="Times New Roman"/>
    </w:rPr>
  </w:style>
  <w:style w:type="character" w:customStyle="1" w:styleId="46">
    <w:name w:val="Title Char"/>
    <w:link w:val="28"/>
    <w:qFormat/>
    <w:uiPriority w:val="10"/>
    <w:rPr>
      <w:sz w:val="48"/>
      <w:szCs w:val="48"/>
    </w:rPr>
  </w:style>
  <w:style w:type="character" w:customStyle="1" w:styleId="47">
    <w:name w:val="Subtitle Char"/>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Caption Char"/>
    <w:link w:val="18"/>
    <w:qFormat/>
    <w:uiPriority w:val="99"/>
  </w:style>
  <w:style w:type="table" w:customStyle="1" w:styleId="53">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4">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3"/>
    <w:basedOn w:val="29"/>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4"/>
    <w:basedOn w:val="29"/>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5"/>
    <w:basedOn w:val="29"/>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3"/>
    <w:basedOn w:val="29"/>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 Accent 1"/>
    <w:basedOn w:val="2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2"/>
    <w:basedOn w:val="29"/>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3"/>
    <w:basedOn w:val="29"/>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4"/>
    <w:basedOn w:val="29"/>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5"/>
    <w:basedOn w:val="29"/>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6"/>
    <w:basedOn w:val="29"/>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5">
    <w:name w:val="Grid Table 6 Colorful - Accent 1"/>
    <w:basedOn w:val="29"/>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3"/>
    <w:basedOn w:val="29"/>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5"/>
    <w:basedOn w:val="29"/>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6"/>
    <w:basedOn w:val="29"/>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 Accent 1"/>
    <w:basedOn w:val="29"/>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2"/>
    <w:basedOn w:val="29"/>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3"/>
    <w:basedOn w:val="29"/>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4"/>
    <w:basedOn w:val="29"/>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5"/>
    <w:basedOn w:val="29"/>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6"/>
    <w:basedOn w:val="29"/>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08">
    <w:name w:val="List Table 1 Light"/>
    <w:basedOn w:val="29"/>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9">
    <w:name w:val="List Table 1 Light - Accent 1"/>
    <w:basedOn w:val="29"/>
    <w:qFormat/>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2"/>
    <w:basedOn w:val="29"/>
    <w:qFormat/>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3"/>
    <w:basedOn w:val="29"/>
    <w:qFormat/>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4"/>
    <w:basedOn w:val="29"/>
    <w:qFormat/>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5"/>
    <w:basedOn w:val="29"/>
    <w:qFormat/>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6"/>
    <w:basedOn w:val="29"/>
    <w:qFormat/>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 Accent 1"/>
    <w:basedOn w:val="29"/>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2"/>
    <w:basedOn w:val="2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3"/>
    <w:basedOn w:val="2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4"/>
    <w:basedOn w:val="29"/>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5"/>
    <w:basedOn w:val="29"/>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6"/>
    <w:basedOn w:val="29"/>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 Accent 1"/>
    <w:basedOn w:val="2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3"/>
    <w:basedOn w:val="29"/>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5"/>
    <w:basedOn w:val="2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6"/>
    <w:basedOn w:val="2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 Accent 1"/>
    <w:basedOn w:val="2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2"/>
    <w:basedOn w:val="29"/>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3"/>
    <w:basedOn w:val="29"/>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4"/>
    <w:basedOn w:val="29"/>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5"/>
    <w:basedOn w:val="29"/>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6"/>
    <w:basedOn w:val="29"/>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7">
    <w:name w:val="List Table 5 Dark - Accent 1"/>
    <w:basedOn w:val="29"/>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8">
    <w:name w:val="List Table 5 Dark - Accent 2"/>
    <w:basedOn w:val="29"/>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39">
    <w:name w:val="List Table 5 Dark - Accent 3"/>
    <w:basedOn w:val="29"/>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0">
    <w:name w:val="List Table 5 Dark - Accent 4"/>
    <w:basedOn w:val="29"/>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1">
    <w:name w:val="List Table 5 Dark - Accent 5"/>
    <w:basedOn w:val="29"/>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6"/>
    <w:basedOn w:val="29"/>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3">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4">
    <w:name w:val="List Table 6 Colorful - Accent 1"/>
    <w:basedOn w:val="29"/>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2"/>
    <w:basedOn w:val="29"/>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3"/>
    <w:basedOn w:val="29"/>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4"/>
    <w:basedOn w:val="29"/>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5"/>
    <w:basedOn w:val="29"/>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6"/>
    <w:basedOn w:val="29"/>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 Accent 1"/>
    <w:basedOn w:val="29"/>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2"/>
    <w:basedOn w:val="29"/>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3"/>
    <w:basedOn w:val="29"/>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4"/>
    <w:basedOn w:val="29"/>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5"/>
    <w:basedOn w:val="29"/>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6"/>
    <w:basedOn w:val="29"/>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7">
    <w:name w:val="Lined - Accent"/>
    <w:basedOn w:val="29"/>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8">
    <w:name w:val="Lined - Accent 1"/>
    <w:basedOn w:val="29"/>
    <w:qFormat/>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59">
    <w:name w:val="Lined - Accent 2"/>
    <w:basedOn w:val="29"/>
    <w:qFormat/>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0">
    <w:name w:val="Lined - Accent 3"/>
    <w:basedOn w:val="29"/>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1">
    <w:name w:val="Lined - Accent 4"/>
    <w:basedOn w:val="29"/>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5"/>
    <w:basedOn w:val="29"/>
    <w:qFormat/>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6"/>
    <w:basedOn w:val="29"/>
    <w:qFormat/>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4">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5">
    <w:name w:val="Bordered &amp; Lined - Accent 1"/>
    <w:basedOn w:val="29"/>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6">
    <w:name w:val="Bordered &amp; Lined - Accent 2"/>
    <w:basedOn w:val="2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7">
    <w:name w:val="Bordered &amp; Lined - Accent 3"/>
    <w:basedOn w:val="29"/>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8">
    <w:name w:val="Bordered &amp; Lined - Accent 4"/>
    <w:basedOn w:val="29"/>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5"/>
    <w:basedOn w:val="29"/>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6"/>
    <w:basedOn w:val="29"/>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1">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2">
    <w:name w:val="Bordered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8">
    <w:name w:val="Footnote Text Char"/>
    <w:link w:val="23"/>
    <w:qFormat/>
    <w:uiPriority w:val="99"/>
    <w:rPr>
      <w:sz w:val="18"/>
    </w:rPr>
  </w:style>
  <w:style w:type="character" w:customStyle="1" w:styleId="179">
    <w:name w:val="Endnote Text Char"/>
    <w:link w:val="17"/>
    <w:uiPriority w:val="99"/>
    <w:rPr>
      <w:sz w:val="20"/>
    </w:rPr>
  </w:style>
  <w:style w:type="paragraph" w:customStyle="1" w:styleId="180">
    <w:name w:val="TOC Heading"/>
    <w:unhideWhenUsed/>
    <w:qFormat/>
    <w:uiPriority w:val="39"/>
    <w:rPr>
      <w:rFonts w:hint="default" w:ascii="Times New Roman" w:hAnsi="Times New Roman" w:eastAsia="方正小标宋简体" w:cs="Times New Roman"/>
    </w:rPr>
  </w:style>
  <w:style w:type="paragraph" w:customStyle="1" w:styleId="181">
    <w:name w:val="标题 11"/>
    <w:basedOn w:val="1"/>
    <w:next w:val="1"/>
    <w:link w:val="207"/>
    <w:qFormat/>
    <w:uiPriority w:val="0"/>
    <w:pPr>
      <w:keepNext/>
      <w:keepLines/>
      <w:widowControl w:val="0"/>
      <w:spacing w:before="340" w:after="330" w:line="578" w:lineRule="auto"/>
      <w:outlineLvl w:val="0"/>
    </w:pPr>
    <w:rPr>
      <w:b/>
      <w:bCs/>
      <w:sz w:val="44"/>
      <w:szCs w:val="44"/>
    </w:rPr>
  </w:style>
  <w:style w:type="paragraph" w:customStyle="1" w:styleId="182">
    <w:name w:val="标题 21"/>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lang w:bidi="ar-SA"/>
    </w:rPr>
  </w:style>
  <w:style w:type="paragraph" w:customStyle="1" w:styleId="183">
    <w:name w:val="标题 31"/>
    <w:basedOn w:val="1"/>
    <w:next w:val="1"/>
    <w:qFormat/>
    <w:uiPriority w:val="0"/>
    <w:pPr>
      <w:keepNext/>
      <w:keepLines/>
      <w:widowControl w:val="0"/>
      <w:spacing w:before="260" w:after="260" w:line="415" w:lineRule="auto"/>
      <w:outlineLvl w:val="2"/>
    </w:pPr>
    <w:rPr>
      <w:b/>
      <w:bCs/>
      <w:sz w:val="32"/>
      <w:szCs w:val="32"/>
    </w:rPr>
  </w:style>
  <w:style w:type="character" w:customStyle="1" w:styleId="184">
    <w:name w:val="默认段落字体1"/>
    <w:link w:val="1"/>
    <w:uiPriority w:val="0"/>
  </w:style>
  <w:style w:type="paragraph" w:customStyle="1" w:styleId="185">
    <w:name w:val="批注文字1"/>
    <w:basedOn w:val="1"/>
    <w:uiPriority w:val="0"/>
    <w:pPr>
      <w:jc w:val="left"/>
    </w:pPr>
  </w:style>
  <w:style w:type="paragraph" w:customStyle="1" w:styleId="186">
    <w:name w:val="正文文本1"/>
    <w:basedOn w:val="1"/>
    <w:qFormat/>
    <w:uiPriority w:val="0"/>
    <w:pPr>
      <w:spacing w:before="30"/>
    </w:pPr>
    <w:rPr>
      <w:rFonts w:ascii="仿宋_GB2312" w:eastAsia="仿宋_GB2312"/>
      <w:sz w:val="24"/>
      <w:szCs w:val="20"/>
    </w:rPr>
  </w:style>
  <w:style w:type="paragraph" w:customStyle="1" w:styleId="187">
    <w:name w:val="目录 31"/>
    <w:basedOn w:val="1"/>
    <w:next w:val="1"/>
    <w:qFormat/>
    <w:uiPriority w:val="0"/>
    <w:pPr>
      <w:tabs>
        <w:tab w:val="right" w:leader="dot" w:pos="8296"/>
      </w:tabs>
      <w:ind w:left="400"/>
    </w:pPr>
  </w:style>
  <w:style w:type="paragraph" w:customStyle="1" w:styleId="188">
    <w:name w:val="批注框文本1"/>
    <w:basedOn w:val="1"/>
    <w:qFormat/>
    <w:uiPriority w:val="0"/>
    <w:rPr>
      <w:sz w:val="18"/>
      <w:szCs w:val="18"/>
    </w:rPr>
  </w:style>
  <w:style w:type="paragraph" w:customStyle="1" w:styleId="189">
    <w:name w:val="页脚1"/>
    <w:basedOn w:val="1"/>
    <w:qFormat/>
    <w:uiPriority w:val="0"/>
    <w:pPr>
      <w:tabs>
        <w:tab w:val="center" w:pos="4153"/>
        <w:tab w:val="right" w:pos="8306"/>
      </w:tabs>
      <w:jc w:val="left"/>
    </w:pPr>
    <w:rPr>
      <w:sz w:val="18"/>
      <w:szCs w:val="20"/>
    </w:rPr>
  </w:style>
  <w:style w:type="paragraph" w:customStyle="1" w:styleId="190">
    <w:name w:val="页眉1"/>
    <w:basedOn w:val="1"/>
    <w:uiPriority w:val="0"/>
    <w:pPr>
      <w:pBdr>
        <w:bottom w:val="single" w:color="000000" w:sz="6" w:space="1"/>
      </w:pBdr>
      <w:tabs>
        <w:tab w:val="center" w:pos="4153"/>
        <w:tab w:val="right" w:pos="8306"/>
      </w:tabs>
      <w:jc w:val="center"/>
    </w:pPr>
    <w:rPr>
      <w:sz w:val="18"/>
      <w:szCs w:val="20"/>
    </w:rPr>
  </w:style>
  <w:style w:type="paragraph" w:customStyle="1" w:styleId="191">
    <w:name w:val="目录 11"/>
    <w:basedOn w:val="1"/>
    <w:next w:val="1"/>
    <w:uiPriority w:val="0"/>
    <w:pPr>
      <w:tabs>
        <w:tab w:val="right" w:leader="dot" w:pos="8296"/>
      </w:tabs>
      <w:spacing w:before="93"/>
      <w:jc w:val="center"/>
    </w:pPr>
    <w:rPr>
      <w:rFonts w:ascii="仿宋" w:eastAsia="仿宋"/>
      <w:sz w:val="28"/>
      <w:szCs w:val="28"/>
    </w:rPr>
  </w:style>
  <w:style w:type="paragraph" w:customStyle="1" w:styleId="192">
    <w:name w:val="图表目录1"/>
    <w:basedOn w:val="1"/>
    <w:next w:val="1"/>
    <w:uiPriority w:val="0"/>
    <w:pPr>
      <w:ind w:left="400" w:hanging="200"/>
    </w:pPr>
  </w:style>
  <w:style w:type="paragraph" w:customStyle="1" w:styleId="193">
    <w:name w:val="目录 21"/>
    <w:basedOn w:val="1"/>
    <w:next w:val="1"/>
    <w:uiPriority w:val="0"/>
    <w:pPr>
      <w:tabs>
        <w:tab w:val="right" w:leader="dot" w:pos="8296"/>
      </w:tabs>
      <w:ind w:left="200"/>
    </w:pPr>
  </w:style>
  <w:style w:type="character" w:customStyle="1" w:styleId="194">
    <w:name w:val="要点1"/>
    <w:basedOn w:val="184"/>
    <w:link w:val="1"/>
    <w:uiPriority w:val="0"/>
    <w:rPr>
      <w:b/>
    </w:rPr>
  </w:style>
  <w:style w:type="character" w:customStyle="1" w:styleId="195">
    <w:name w:val="超链接1"/>
    <w:basedOn w:val="184"/>
    <w:link w:val="1"/>
    <w:uiPriority w:val="0"/>
    <w:rPr>
      <w:color w:val="0000FF"/>
      <w:u w:val="single"/>
    </w:rPr>
  </w:style>
  <w:style w:type="character" w:customStyle="1" w:styleId="196">
    <w:name w:val="批注引用1"/>
    <w:basedOn w:val="184"/>
    <w:link w:val="1"/>
    <w:uiPriority w:val="0"/>
    <w:rPr>
      <w:sz w:val="21"/>
      <w:szCs w:val="21"/>
    </w:rPr>
  </w:style>
  <w:style w:type="paragraph" w:customStyle="1" w:styleId="197">
    <w:name w:val="Default"/>
    <w:uiPriority w:val="0"/>
    <w:pPr>
      <w:widowControl w:val="0"/>
    </w:pPr>
    <w:rPr>
      <w:rFonts w:hint="default" w:ascii="仿宋" w:hAnsi="Times New Roman" w:eastAsia="仿宋" w:cs="仿宋"/>
      <w:color w:val="000000"/>
      <w:sz w:val="24"/>
      <w:szCs w:val="24"/>
      <w:lang w:val="en-US" w:eastAsia="zh-CN" w:bidi="ar-SA"/>
    </w:rPr>
  </w:style>
  <w:style w:type="character" w:customStyle="1" w:styleId="198">
    <w:name w:val="Header Char"/>
    <w:basedOn w:val="184"/>
    <w:link w:val="1"/>
    <w:uiPriority w:val="0"/>
    <w:rPr>
      <w:rFonts w:ascii="Times New Roman" w:hAnsi="Times New Roman"/>
      <w:sz w:val="18"/>
      <w:szCs w:val="18"/>
    </w:rPr>
  </w:style>
  <w:style w:type="character" w:customStyle="1" w:styleId="199">
    <w:name w:val="Footer Char"/>
    <w:basedOn w:val="184"/>
    <w:link w:val="1"/>
    <w:uiPriority w:val="0"/>
    <w:rPr>
      <w:rFonts w:ascii="Times New Roman" w:hAnsi="Times New Roman"/>
      <w:sz w:val="18"/>
      <w:szCs w:val="18"/>
    </w:rPr>
  </w:style>
  <w:style w:type="character" w:customStyle="1" w:styleId="200">
    <w:name w:val="页脚 字符"/>
    <w:link w:val="1"/>
    <w:uiPriority w:val="0"/>
    <w:rPr>
      <w:sz w:val="18"/>
    </w:rPr>
  </w:style>
  <w:style w:type="character" w:customStyle="1" w:styleId="201">
    <w:name w:val="Body Text Char"/>
    <w:basedOn w:val="184"/>
    <w:link w:val="1"/>
    <w:uiPriority w:val="0"/>
    <w:rPr>
      <w:rFonts w:ascii="Times New Roman" w:hAnsi="Times New Roman"/>
      <w:szCs w:val="24"/>
    </w:rPr>
  </w:style>
  <w:style w:type="paragraph" w:customStyle="1" w:styleId="202">
    <w:name w:val="列出段落"/>
    <w:basedOn w:val="1"/>
    <w:uiPriority w:val="0"/>
    <w:pPr>
      <w:ind w:firstLine="200"/>
    </w:pPr>
  </w:style>
  <w:style w:type="paragraph" w:customStyle="1" w:styleId="203">
    <w:name w:val="TOC 标题1"/>
    <w:basedOn w:val="181"/>
    <w:next w:val="1"/>
    <w:uiPriority w:val="0"/>
    <w:pPr>
      <w:keepNext/>
      <w:keepLines/>
      <w:widowControl/>
      <w:spacing w:before="480" w:after="0" w:line="276" w:lineRule="auto"/>
      <w:jc w:val="left"/>
      <w:outlineLvl w:val="9"/>
    </w:pPr>
    <w:rPr>
      <w:rFonts w:ascii="Cambria" w:hAnsi="Cambria" w:eastAsia="宋体" w:cs="Times New Roman"/>
      <w:color w:val="366091"/>
      <w:sz w:val="28"/>
      <w:szCs w:val="28"/>
      <w:lang w:bidi="ar-SA"/>
    </w:rPr>
  </w:style>
  <w:style w:type="paragraph" w:customStyle="1" w:styleId="204">
    <w:name w:val="Normal0"/>
    <w:qFormat/>
    <w:uiPriority w:val="0"/>
    <w:pPr>
      <w:widowControl w:val="0"/>
      <w:jc w:val="both"/>
    </w:pPr>
    <w:rPr>
      <w:rFonts w:hint="default" w:ascii="Times New Roman" w:hAnsi="Times New Roman" w:eastAsia="宋体" w:cs="Times New Roman"/>
      <w:sz w:val="20"/>
      <w:szCs w:val="24"/>
      <w:lang w:val="en-US" w:eastAsia="zh-CN" w:bidi="ar-SA"/>
    </w:rPr>
  </w:style>
  <w:style w:type="character" w:customStyle="1" w:styleId="205">
    <w:name w:val="页脚 Char1"/>
    <w:basedOn w:val="184"/>
    <w:link w:val="1"/>
    <w:qFormat/>
    <w:uiPriority w:val="0"/>
    <w:rPr>
      <w:sz w:val="18"/>
      <w:szCs w:val="18"/>
    </w:rPr>
  </w:style>
  <w:style w:type="paragraph" w:customStyle="1" w:styleId="206">
    <w:name w:val="Normal0af5f4aa"/>
    <w:uiPriority w:val="0"/>
    <w:pPr>
      <w:widowControl w:val="0"/>
      <w:jc w:val="both"/>
    </w:pPr>
    <w:rPr>
      <w:rFonts w:hint="default" w:ascii="Times New Roman" w:hAnsi="Times New Roman" w:eastAsia="宋体" w:cs="Times New Roman"/>
      <w:sz w:val="20"/>
      <w:szCs w:val="24"/>
      <w:lang w:val="en-US" w:eastAsia="zh-CN" w:bidi="ar-SA"/>
    </w:rPr>
  </w:style>
  <w:style w:type="character" w:customStyle="1" w:styleId="207">
    <w:name w:val="标题 1 Char"/>
    <w:basedOn w:val="184"/>
    <w:link w:val="181"/>
    <w:uiPriority w:val="0"/>
    <w:rPr>
      <w:rFonts w:ascii="Times New Roman" w:hAnsi="Times New Roman" w:eastAsia="宋体" w:cs="Times New Roman"/>
      <w:b/>
      <w:bCs/>
      <w:sz w:val="44"/>
      <w:szCs w:val="44"/>
    </w:rPr>
  </w:style>
  <w:style w:type="paragraph" w:customStyle="1" w:styleId="208">
    <w:name w:val="普通(网站)1"/>
    <w:basedOn w:val="1"/>
    <w:qFormat/>
    <w:uiPriority w:val="0"/>
    <w:pPr>
      <w:spacing w:before="100" w:beforeAutospacing="1" w:after="100" w:afterAutospacing="1"/>
      <w:ind w:left="0" w:right="0"/>
      <w:jc w:val="left"/>
    </w:pPr>
    <w:rPr>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TotalTime>1</TotalTime>
  <ScaleCrop>false</ScaleCrop>
  <LinksUpToDate>false</LinksUpToDate>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2023-09-07T02:55:00Z</dcterms:created>
  <dc:creator>pjf</dc:creator>
  <cp:lastModifiedBy>明戈</cp:lastModifiedBy>
  <dcterms:modified xsi:type="dcterms:W3CDTF">2024-08-14T01:35:37Z</dcterms:modified>
  <dc:title>四川省决算编制说明</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80965FE6A0B24E3F8A63E27903FE7B72</vt:lpwstr>
  </property>
</Properties>
</file>