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b/>
          <w:sz w:val="72"/>
          <w:szCs w:val="72"/>
        </w:rPr>
      </w:pPr>
      <w:bookmarkStart w:id="0" w:name="_Toc15377193"/>
      <w:bookmarkStart w:id="1" w:name="_Toc15396597"/>
      <w:bookmarkStart w:id="2" w:name="_Toc15377425"/>
      <w:bookmarkStart w:id="3" w:name="_Toc15396475"/>
      <w:bookmarkStart w:id="4" w:name="_Toc15378441"/>
      <w:bookmarkStart w:id="5" w:name="_Toc15306267"/>
      <w:bookmarkStart w:id="6" w:name="_GoBack"/>
      <w:bookmarkEnd w:id="6"/>
    </w:p>
    <w:p>
      <w:pPr>
        <w:pStyle w:val="15"/>
        <w:ind w:firstLine="0"/>
      </w:pPr>
    </w:p>
    <w:p>
      <w:pPr>
        <w:jc w:val="center"/>
        <w:rPr>
          <w:rFonts w:ascii="宋体" w:eastAsia="宋体"/>
          <w:b/>
          <w:sz w:val="72"/>
          <w:szCs w:val="72"/>
        </w:rPr>
      </w:pPr>
      <w:r>
        <w:rPr>
          <w:rFonts w:ascii="宋体" w:eastAsia="宋体" w:hint="eastAsia"/>
          <w:b/>
          <w:sz w:val="72"/>
          <w:szCs w:val="72"/>
        </w:rPr>
        <w:t>2021年度</w:t>
      </w:r>
      <w:bookmarkEnd w:id="0"/>
      <w:bookmarkEnd w:id="1"/>
      <w:bookmarkEnd w:id="2"/>
      <w:bookmarkEnd w:id="3"/>
      <w:bookmarkEnd w:id="4"/>
    </w:p>
    <w:p>
      <w:pPr>
        <w:jc w:val="center"/>
        <w:rPr>
          <w:rFonts w:ascii="宋体" w:eastAsia="宋体"/>
          <w:b/>
          <w:sz w:val="72"/>
          <w:szCs w:val="72"/>
        </w:rPr>
      </w:pPr>
      <w:bookmarkStart w:id="7" w:name="_Toc15377194"/>
      <w:bookmarkStart w:id="8" w:name="_Toc15396476"/>
      <w:bookmarkStart w:id="9" w:name="_Toc15377426"/>
      <w:bookmarkStart w:id="10" w:name="_Toc15378442"/>
      <w:bookmarkStart w:id="11" w:name="_Toc15396598"/>
      <w:bookmarkStart w:id="12" w:name="_Toc15306268"/>
      <w:bookmarkEnd w:id="5"/>
      <w:r>
        <w:rPr>
          <w:rFonts w:ascii="宋体" w:eastAsia="宋体"/>
          <w:b/>
          <w:sz w:val="72"/>
          <w:szCs w:val="72"/>
        </w:rPr>
        <w:t>阿坝州茂县总工会</w:t>
      </w:r>
      <w:r>
        <w:rPr>
          <w:rFonts w:ascii="宋体" w:eastAsia="宋体" w:hint="eastAsia"/>
          <w:b/>
          <w:sz w:val="72"/>
          <w:szCs w:val="72"/>
        </w:rPr>
        <w:t>部门决算</w:t>
      </w:r>
      <w:bookmarkEnd w:id="7"/>
      <w:bookmarkEnd w:id="8"/>
      <w:bookmarkEnd w:id="9"/>
      <w:bookmarkEnd w:id="10"/>
      <w:bookmarkEnd w:id="11"/>
      <w:bookmarkEnd w:id="12"/>
      <w:r>
        <w:rPr>
          <w:rFonts w:ascii="宋体" w:eastAsia="宋体" w:hint="eastAsia"/>
          <w:b/>
          <w:sz w:val="72"/>
          <w:szCs w:val="72"/>
        </w:rPr>
        <w:t>编制说明</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tabs>
          <w:tab w:val="left" w:pos="3600"/>
        </w:tabs>
      </w:pPr>
      <w:r>
        <w:tab/>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autoSpaceDE w:val="0"/>
        <w:autoSpaceDN w:val="0"/>
        <w:adjustRightInd w:val="0"/>
        <w:ind w:leftChars="200" w:left="420"/>
        <w:jc w:val="left"/>
        <w:rPr>
          <w:rFonts w:ascii="宋体"/>
          <w:sz w:val="32"/>
          <w:szCs w:val="32"/>
        </w:rPr>
      </w:pPr>
      <w:r>
        <w:rPr>
          <w:rFonts w:ascii="宋体" w:cs="仿宋_GB2312" w:hint="eastAsia"/>
          <w:sz w:val="32"/>
          <w:szCs w:val="32"/>
        </w:rPr>
        <w:t>保密审查情况：已审查，内容审定</w:t>
      </w:r>
    </w:p>
    <w:p>
      <w:pPr>
        <w:autoSpaceDE w:val="0"/>
        <w:autoSpaceDN w:val="0"/>
        <w:adjustRightInd w:val="0"/>
        <w:ind w:leftChars="200" w:left="420"/>
        <w:jc w:val="left"/>
        <w:rPr>
          <w:rFonts w:ascii="宋体"/>
          <w:sz w:val="32"/>
          <w:szCs w:val="32"/>
        </w:rPr>
      </w:pPr>
      <w:r>
        <w:rPr>
          <w:rFonts w:ascii="宋体" w:cs="仿宋_GB2312" w:hint="eastAsia"/>
          <w:sz w:val="32"/>
          <w:szCs w:val="32"/>
        </w:rPr>
        <w:t>部门主要负责人审签情况：已审签，同意对外公开</w:t>
      </w:r>
    </w:p>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黑体" w:eastAsia="黑体"/>
          <w:color w:val="000000"/>
          <w:sz w:val="48"/>
          <w:szCs w:val="48"/>
        </w:rPr>
      </w:pPr>
      <w:r>
        <w:rPr>
          <w:rFonts w:ascii="方正小标宋简体" w:eastAsia="方正小标宋简体"/>
          <w:color w:val="000000"/>
          <w:sz w:val="36"/>
          <w:szCs w:val="36"/>
        </w:rPr>
        <w:br w:type="page"/>
      </w:r>
      <w:r>
        <w:rPr>
          <w:rFonts w:ascii="黑体" w:eastAsia="黑体" w:hint="eastAsia"/>
          <w:color w:val="000000"/>
          <w:sz w:val="48"/>
          <w:szCs w:val="48"/>
        </w:rPr>
        <w:t>目录</w:t>
      </w:r>
      <w:bookmarkStart w:id="13" w:name="_Toc15377196"/>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fldChar w:fldCharType="begin"/>
      </w:r>
      <w:r>
        <w:instrText xml:space="preserve"> HYPERLINK \l "_Toc115102357" </w:instrText>
      </w:r>
      <w:r>
        <w:fldChar w:fldCharType="separate"/>
      </w:r>
      <w:r>
        <w:rPr>
          <w:rFonts w:ascii="黑体" w:eastAsia="黑体" w:cs="黑体" w:hint="eastAsia"/>
        </w:rPr>
        <w:t>第一部分</w:t>
      </w:r>
      <w:r>
        <w:rPr>
          <w:rFonts w:ascii="黑体" w:eastAsia="黑体" w:cs="黑体"/>
        </w:rPr>
        <w:t xml:space="preserve"> </w:t>
      </w:r>
      <w:r>
        <w:rPr>
          <w:rFonts w:ascii="黑体" w:eastAsia="黑体" w:cs="黑体" w:hint="eastAsia"/>
        </w:rPr>
        <w:t>部门概况</w:t>
      </w:r>
      <w:r>
        <w:tab/>
      </w:r>
      <w:r>
        <w:fldChar w:fldCharType="begin"/>
      </w:r>
      <w:r>
        <w:instrText xml:space="preserve"> PAGEREF _Toc115102357 \h </w:instrText>
      </w:r>
      <w:r>
        <w:fldChar w:fldCharType="separate"/>
      </w:r>
      <w:r>
        <w:t>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"_Toc115102358" </w:instrText>
      </w:r>
      <w:r>
        <w:fldChar w:fldCharType="separate"/>
      </w:r>
      <w:r>
        <w:rPr>
          <w:rFonts w:ascii="黑体" w:eastAsia="黑体" w:hint="eastAsia"/>
        </w:rPr>
        <w:t>一、基本职能及主要工作</w:t>
      </w:r>
      <w:r>
        <w:tab/>
      </w:r>
      <w:r>
        <w:fldChar w:fldCharType="begin"/>
      </w:r>
      <w:r>
        <w:instrText xml:space="preserve"> PAGEREF _Toc115102358 \h </w:instrText>
      </w:r>
      <w:r>
        <w:fldChar w:fldCharType="separate"/>
      </w:r>
      <w:r>
        <w:t>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"_Toc115102359" </w:instrText>
      </w:r>
      <w:r>
        <w:fldChar w:fldCharType="separate"/>
      </w:r>
      <w:r>
        <w:rPr>
          <w:rFonts w:ascii="黑体" w:eastAsia="黑体" w:hint="eastAsia"/>
        </w:rPr>
        <w:t>二、机构设置</w:t>
      </w:r>
      <w:r>
        <w:tab/>
      </w:r>
      <w:r>
        <w:fldChar w:fldCharType="begin"/>
      </w:r>
      <w:r>
        <w:instrText xml:space="preserve"> PAGEREF _Toc115102359 \h </w:instrText>
      </w:r>
      <w:r>
        <w:fldChar w:fldCharType="separate"/>
      </w:r>
      <w:r>
        <w:t>5</w:t>
      </w:r>
      <w:r>
        <w:fldChar w:fldCharType="end"/>
      </w:r>
      <w:r>
        <w:fldChar w:fldCharType="end"/>
      </w:r>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fldChar w:fldCharType="begin"/>
      </w:r>
      <w:r>
        <w:instrText xml:space="preserve"> HYPERLINK \l "_Toc115102360" </w:instrText>
      </w:r>
      <w:r>
        <w:fldChar w:fldCharType="separate"/>
      </w:r>
      <w:r>
        <w:rPr>
          <w:rFonts w:ascii="黑体" w:eastAsia="黑体" w:cs="黑体" w:hint="eastAsia"/>
        </w:rPr>
        <w:t>第二部分</w:t>
      </w:r>
      <w:r>
        <w:rPr>
          <w:rFonts w:ascii="黑体" w:eastAsia="黑体" w:cs="黑体"/>
        </w:rPr>
        <w:t>2021</w:t>
      </w:r>
      <w:r>
        <w:rPr>
          <w:rFonts w:ascii="黑体" w:eastAsia="黑体" w:cs="黑体" w:hint="eastAsia"/>
        </w:rPr>
        <w:t>年度部门决算情况说明</w:t>
      </w:r>
      <w:r>
        <w:tab/>
      </w:r>
      <w:r>
        <w:fldChar w:fldCharType="begin"/>
      </w:r>
      <w:r>
        <w:instrText xml:space="preserve"> PAGEREF _Toc115102360 \h </w:instrText>
      </w:r>
      <w:r>
        <w:fldChar w:fldCharType="separate"/>
      </w:r>
      <w:r>
        <w:t>6</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"_Toc115102361" </w:instrText>
      </w:r>
      <w:r>
        <w:fldChar w:fldCharType="separate"/>
      </w:r>
      <w:r>
        <w:rPr>
          <w:rFonts w:ascii="黑体" w:eastAsia="黑体" w:hint="eastAsia"/>
        </w:rPr>
        <w:t>一、收入支出决算总体情况说明</w:t>
      </w:r>
      <w:r>
        <w:tab/>
      </w:r>
      <w:r>
        <w:fldChar w:fldCharType="begin"/>
      </w:r>
      <w:r>
        <w:instrText xml:space="preserve"> PAGEREF _Toc115102361 \h </w:instrText>
      </w:r>
      <w:r>
        <w:fldChar w:fldCharType="separate"/>
      </w:r>
      <w:r>
        <w:t>6</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"_Toc115102362" </w:instrText>
      </w:r>
      <w:r>
        <w:fldChar w:fldCharType="separate"/>
      </w:r>
      <w:r>
        <w:rPr>
          <w:rFonts w:ascii="黑体" w:eastAsia="黑体" w:hint="eastAsia"/>
        </w:rPr>
        <w:t>二、收入决算情况说明</w:t>
      </w:r>
      <w:r>
        <w:tab/>
      </w:r>
      <w:r>
        <w:fldChar w:fldCharType="begin"/>
      </w:r>
      <w:r>
        <w:instrText xml:space="preserve"> PAGEREF _Toc115102362 \h </w:instrText>
      </w:r>
      <w:r>
        <w:fldChar w:fldCharType="separate"/>
      </w:r>
      <w:r>
        <w:t>6</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"_Toc115102363" </w:instrText>
      </w:r>
      <w:r>
        <w:fldChar w:fldCharType="separate"/>
      </w:r>
      <w:r>
        <w:rPr>
          <w:rFonts w:ascii="黑体" w:eastAsia="黑体" w:hint="eastAsia"/>
        </w:rPr>
        <w:t>三、支出决算情况说明</w:t>
      </w:r>
      <w:r>
        <w:tab/>
      </w:r>
      <w:r>
        <w:fldChar w:fldCharType="begin"/>
      </w:r>
      <w:r>
        <w:instrText xml:space="preserve"> PAGEREF _Toc115102363 \h </w:instrText>
      </w:r>
      <w:r>
        <w:fldChar w:fldCharType="separate"/>
      </w:r>
      <w:r>
        <w:t>7</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"_Toc115102364" </w:instrText>
      </w:r>
      <w:r>
        <w:fldChar w:fldCharType="separate"/>
      </w:r>
      <w:r>
        <w:rPr>
          <w:rFonts w:ascii="黑体" w:eastAsia="黑体" w:hint="eastAsia"/>
        </w:rPr>
        <w:t>四、财政拨款收入支出决算总体情况说明</w:t>
      </w:r>
      <w:r>
        <w:tab/>
      </w:r>
      <w:r>
        <w:fldChar w:fldCharType="begin"/>
      </w:r>
      <w:r>
        <w:instrText xml:space="preserve"> PAGEREF _Toc115102364 \h </w:instrText>
      </w:r>
      <w:r>
        <w:fldChar w:fldCharType="separate"/>
      </w:r>
      <w:r>
        <w:t>8</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"_Toc115102365" </w:instrText>
      </w:r>
      <w:r>
        <w:fldChar w:fldCharType="separate"/>
      </w:r>
      <w:r>
        <w:rPr>
          <w:rFonts w:ascii="黑体" w:eastAsia="黑体" w:hint="eastAsia"/>
        </w:rPr>
        <w:t>五、一般公共预算财政拨款支出决算情况说明</w:t>
      </w:r>
      <w:r>
        <w:tab/>
      </w:r>
      <w:r>
        <w:fldChar w:fldCharType="begin"/>
      </w:r>
      <w:r>
        <w:instrText xml:space="preserve"> PAGEREF _Toc115102365 \h </w:instrText>
      </w:r>
      <w:r>
        <w:fldChar w:fldCharType="separate"/>
      </w:r>
      <w:r>
        <w:t>9</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"_Toc115102366" </w:instrText>
      </w:r>
      <w:r>
        <w:fldChar w:fldCharType="separate"/>
      </w:r>
      <w:r>
        <w:rPr>
          <w:rFonts w:ascii="黑体" w:eastAsia="黑体" w:hint="eastAsia"/>
        </w:rPr>
        <w:t>六、一般公共预算财政拨款基本支出决算情况说明</w:t>
      </w:r>
      <w:r>
        <w:tab/>
      </w:r>
      <w:r>
        <w:fldChar w:fldCharType="begin"/>
      </w:r>
      <w:r>
        <w:instrText xml:space="preserve"> PAGEREF _Toc115102366 \h </w:instrText>
      </w:r>
      <w:r>
        <w:fldChar w:fldCharType="separate"/>
      </w:r>
      <w:r>
        <w:t>12</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"_Toc115102367" </w:instrText>
      </w:r>
      <w:r>
        <w:fldChar w:fldCharType="separate"/>
      </w:r>
      <w:r>
        <w:rPr>
          <w:rFonts w:ascii="黑体" w:eastAsia="黑体" w:hint="eastAsia"/>
        </w:rPr>
        <w:t>七、“三公”经费财政拨款支出决算情况说明</w:t>
      </w:r>
      <w:r>
        <w:tab/>
      </w:r>
      <w:r>
        <w:fldChar w:fldCharType="begin"/>
      </w:r>
      <w:r>
        <w:instrText xml:space="preserve"> PAGEREF _Toc115102367 \h </w:instrText>
      </w:r>
      <w:r>
        <w:fldChar w:fldCharType="separate"/>
      </w:r>
      <w:r>
        <w:t>12</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"_Toc115102368" </w:instrText>
      </w:r>
      <w:r>
        <w:fldChar w:fldCharType="separate"/>
      </w:r>
      <w:r>
        <w:rPr>
          <w:rFonts w:ascii="黑体" w:eastAsia="黑体" w:hint="eastAsia"/>
        </w:rPr>
        <w:t>八、政府性基金预算支出决算情况说明</w:t>
      </w:r>
      <w:r>
        <w:tab/>
      </w:r>
      <w:r>
        <w:fldChar w:fldCharType="begin"/>
      </w:r>
      <w:r>
        <w:instrText xml:space="preserve"> PAGEREF _Toc115102368 \h </w:instrText>
      </w:r>
      <w:r>
        <w:fldChar w:fldCharType="separate"/>
      </w:r>
      <w:r>
        <w:t>14</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"_Toc115102369" </w:instrText>
      </w:r>
      <w:r>
        <w:fldChar w:fldCharType="separate"/>
      </w:r>
      <w:r>
        <w:rPr>
          <w:rFonts w:ascii="黑体" w:eastAsia="黑体" w:hint="eastAsia"/>
        </w:rPr>
        <w:t>九、国有资本经营预算支出决算情况说明</w:t>
      </w:r>
      <w:r>
        <w:tab/>
      </w:r>
      <w:r>
        <w:fldChar w:fldCharType="begin"/>
      </w:r>
      <w:r>
        <w:instrText xml:space="preserve"> PAGEREF _Toc115102369 \h </w:instrText>
      </w:r>
      <w:r>
        <w:fldChar w:fldCharType="separate"/>
      </w:r>
      <w:r>
        <w:t>14</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"_Toc115102370" </w:instrText>
      </w:r>
      <w:r>
        <w:fldChar w:fldCharType="separate"/>
      </w:r>
      <w:r>
        <w:rPr>
          <w:rFonts w:ascii="黑体" w:eastAsia="黑体" w:hint="eastAsia"/>
        </w:rPr>
        <w:t>十、其他重要事项的情况说明</w:t>
      </w:r>
      <w:r>
        <w:tab/>
      </w:r>
      <w:r>
        <w:fldChar w:fldCharType="begin"/>
      </w:r>
      <w:r>
        <w:instrText xml:space="preserve"> PAGEREF _Toc115102370 \h </w:instrText>
      </w:r>
      <w:r>
        <w:fldChar w:fldCharType="separate"/>
      </w:r>
      <w:r>
        <w:t>14</w:t>
      </w:r>
      <w:r>
        <w:fldChar w:fldCharType="end"/>
      </w:r>
      <w:r>
        <w:fldChar w:fldCharType="end"/>
      </w:r>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fldChar w:fldCharType="begin"/>
      </w:r>
      <w:r>
        <w:instrText xml:space="preserve"> HYPERLINK \l "_Toc115102371" </w:instrText>
      </w:r>
      <w:r>
        <w:fldChar w:fldCharType="separate"/>
      </w:r>
      <w:r>
        <w:rPr>
          <w:rFonts w:ascii="黑体" w:eastAsia="黑体" w:cs="黑体" w:hint="eastAsia"/>
        </w:rPr>
        <w:t>第三部分</w:t>
      </w:r>
      <w:r>
        <w:rPr>
          <w:rFonts w:ascii="黑体" w:eastAsia="黑体" w:cs="黑体"/>
        </w:rPr>
        <w:t xml:space="preserve"> </w:t>
      </w:r>
      <w:r>
        <w:rPr>
          <w:rFonts w:ascii="黑体" w:eastAsia="黑体" w:cs="黑体" w:hint="eastAsia"/>
        </w:rPr>
        <w:t>名词解释</w:t>
      </w:r>
      <w:r>
        <w:tab/>
      </w:r>
      <w:r>
        <w:fldChar w:fldCharType="begin"/>
      </w:r>
      <w:r>
        <w:instrText xml:space="preserve"> PAGEREF _Toc115102371 \h </w:instrText>
      </w:r>
      <w:r>
        <w:fldChar w:fldCharType="separate"/>
      </w:r>
      <w:r>
        <w:t>16</w:t>
      </w:r>
      <w:r>
        <w:fldChar w:fldCharType="end"/>
      </w:r>
      <w:r>
        <w:fldChar w:fldCharType="end"/>
      </w:r>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fldChar w:fldCharType="begin"/>
      </w:r>
      <w:r>
        <w:instrText xml:space="preserve"> HYPERLINK \l "_Toc115102372" </w:instrText>
      </w:r>
      <w:r>
        <w:fldChar w:fldCharType="separate"/>
      </w:r>
      <w:r>
        <w:rPr>
          <w:rFonts w:ascii="黑体" w:eastAsia="黑体" w:cs="黑体" w:hint="eastAsia"/>
        </w:rPr>
        <w:t>第四部分 附件</w:t>
      </w:r>
      <w:r>
        <w:tab/>
      </w:r>
      <w:r>
        <w:fldChar w:fldCharType="begin"/>
      </w:r>
      <w:r>
        <w:instrText xml:space="preserve"> PAGEREF _Toc115102372 \h </w:instrText>
      </w:r>
      <w:r>
        <w:fldChar w:fldCharType="separate"/>
      </w:r>
      <w:r>
        <w:t>20</w:t>
      </w:r>
      <w:r>
        <w:fldChar w:fldCharType="end"/>
      </w:r>
      <w:r>
        <w:fldChar w:fldCharType="end"/>
      </w:r>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fldChar w:fldCharType="begin"/>
      </w:r>
      <w:r>
        <w:instrText xml:space="preserve"> HYPERLINK \l "_Toc115102373" </w:instrText>
      </w:r>
      <w:r>
        <w:fldChar w:fldCharType="separate"/>
      </w:r>
      <w:r>
        <w:rPr>
          <w:rFonts w:ascii="黑体" w:eastAsia="黑体" w:cs="黑体" w:hint="eastAsia"/>
        </w:rPr>
        <w:t>附件</w:t>
      </w:r>
      <w:r>
        <w:rPr>
          <w:rFonts w:ascii="黑体" w:eastAsia="黑体" w:cs="黑体"/>
        </w:rPr>
        <w:t>1</w:t>
      </w:r>
      <w:r>
        <w:tab/>
      </w:r>
      <w:r>
        <w:fldChar w:fldCharType="begin"/>
      </w:r>
      <w:r>
        <w:instrText xml:space="preserve"> PAGEREF _Toc115102373 \h </w:instrText>
      </w:r>
      <w:r>
        <w:fldChar w:fldCharType="separate"/>
      </w:r>
      <w:r>
        <w:t>20</w:t>
      </w:r>
      <w:r>
        <w:fldChar w:fldCharType="end"/>
      </w:r>
      <w:r>
        <w:fldChar w:fldCharType="end"/>
      </w:r>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fldChar w:fldCharType="begin"/>
      </w:r>
      <w:r>
        <w:instrText xml:space="preserve"> HYPERLINK \l "_Toc115102374" </w:instrText>
      </w:r>
      <w:r>
        <w:fldChar w:fldCharType="separate"/>
      </w:r>
      <w:r>
        <w:rPr>
          <w:rFonts w:ascii="方正小标宋简体" w:eastAsia="方正小标宋简体" w:hint="eastAsia"/>
          <w:kern w:val="0"/>
        </w:rPr>
        <w:t>茂县总工会</w:t>
      </w:r>
      <w:r>
        <w:rPr>
          <w:rFonts w:ascii="方正小标宋简体" w:eastAsia="方正小标宋简体" w:cs="黑体"/>
        </w:rPr>
        <w:t>2021</w:t>
      </w:r>
      <w:r>
        <w:rPr>
          <w:rFonts w:ascii="方正小标宋简体" w:eastAsia="方正小标宋简体" w:cs="黑体" w:hint="eastAsia"/>
        </w:rPr>
        <w:t>年部门整体支出绩效</w:t>
      </w:r>
      <w:r>
        <w:tab/>
      </w:r>
      <w:r>
        <w:fldChar w:fldCharType="begin"/>
      </w:r>
      <w:r>
        <w:instrText xml:space="preserve"> PAGEREF _Toc115102374 \h </w:instrText>
      </w:r>
      <w:r>
        <w:fldChar w:fldCharType="separate"/>
      </w:r>
      <w:r>
        <w:t>20</w:t>
      </w:r>
      <w:r>
        <w:fldChar w:fldCharType="end"/>
      </w:r>
      <w:r>
        <w:fldChar w:fldCharType="end"/>
      </w:r>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fldChar w:fldCharType="begin"/>
      </w:r>
      <w:r>
        <w:instrText xml:space="preserve"> HYPERLINK \l "_Toc115102375" </w:instrText>
      </w:r>
      <w:r>
        <w:fldChar w:fldCharType="separate"/>
      </w:r>
      <w:r>
        <w:rPr>
          <w:rFonts w:ascii="方正小标宋简体" w:eastAsia="方正小标宋简体" w:cs="黑体" w:hint="eastAsia"/>
        </w:rPr>
        <w:t>评价报告</w:t>
      </w:r>
      <w:r>
        <w:tab/>
      </w:r>
      <w:r>
        <w:fldChar w:fldCharType="begin"/>
      </w:r>
      <w:r>
        <w:instrText xml:space="preserve"> PAGEREF _Toc115102375 \h </w:instrText>
      </w:r>
      <w:r>
        <w:fldChar w:fldCharType="separate"/>
      </w:r>
      <w:r>
        <w:t>20</w:t>
      </w:r>
      <w:r>
        <w:fldChar w:fldCharType="end"/>
      </w:r>
      <w:r>
        <w:fldChar w:fldCharType="end"/>
      </w:r>
    </w:p>
    <w:p>
      <w:pPr>
        <w:pStyle w:val="22"/>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 w:val="21"/>
          <w:szCs w:val="22"/>
        </w:rPr>
      </w:pPr>
      <w:r>
        <w:fldChar w:fldCharType="begin"/>
      </w:r>
      <w:r>
        <w:instrText xml:space="preserve"> HYPERLINK \l "_Toc115102376" </w:instrText>
      </w:r>
      <w:r>
        <w:fldChar w:fldCharType="separate"/>
      </w:r>
      <w:r>
        <w:rPr>
          <w:rFonts w:ascii="黑体" w:eastAsia="黑体" w:cs="黑体" w:hint="eastAsia"/>
        </w:rPr>
        <w:t>第五部分</w:t>
      </w:r>
      <w:r>
        <w:rPr>
          <w:rFonts w:ascii="黑体" w:eastAsia="黑体" w:cs="黑体"/>
        </w:rPr>
        <w:t xml:space="preserve"> </w:t>
      </w:r>
      <w:r>
        <w:rPr>
          <w:rFonts w:ascii="黑体" w:eastAsia="黑体" w:cs="黑体" w:hint="eastAsia"/>
        </w:rPr>
        <w:t>附表</w:t>
      </w:r>
      <w:r>
        <w:tab/>
      </w:r>
      <w:r>
        <w:fldChar w:fldCharType="begin"/>
      </w:r>
      <w:r>
        <w:instrText xml:space="preserve"> PAGEREF _Toc115102376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"_Toc115102377" </w:instrText>
      </w:r>
      <w:r>
        <w:fldChar w:fldCharType="separate"/>
      </w:r>
      <w:r>
        <w:rPr>
          <w:rFonts w:ascii="黑体" w:eastAsia="黑体" w:hint="eastAsia"/>
        </w:rPr>
        <w:t>一、收入支出决算总表</w:t>
      </w:r>
      <w:r>
        <w:tab/>
      </w:r>
      <w:r>
        <w:fldChar w:fldCharType="begin"/>
      </w:r>
      <w:r>
        <w:instrText xml:space="preserve"> PAGEREF _Toc115102377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"_Toc115102378" </w:instrText>
      </w:r>
      <w:r>
        <w:fldChar w:fldCharType="separate"/>
      </w:r>
      <w:r>
        <w:rPr>
          <w:rFonts w:ascii="黑体" w:eastAsia="黑体" w:hint="eastAsia"/>
        </w:rPr>
        <w:t>二、收入决算表</w:t>
      </w:r>
      <w:r>
        <w:tab/>
      </w:r>
      <w:r>
        <w:fldChar w:fldCharType="begin"/>
      </w:r>
      <w:r>
        <w:instrText xml:space="preserve"> PAGEREF _Toc115102378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"_Toc115102379" </w:instrText>
      </w:r>
      <w:r>
        <w:fldChar w:fldCharType="separate"/>
      </w:r>
      <w:r>
        <w:rPr>
          <w:rFonts w:ascii="黑体" w:eastAsia="黑体" w:hint="eastAsia"/>
        </w:rPr>
        <w:t>三、支出决算表</w:t>
      </w:r>
      <w:r>
        <w:tab/>
      </w:r>
      <w:r>
        <w:fldChar w:fldCharType="begin"/>
      </w:r>
      <w:r>
        <w:instrText xml:space="preserve"> PAGEREF _Toc115102379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"_Toc115102380" </w:instrText>
      </w:r>
      <w:r>
        <w:fldChar w:fldCharType="separate"/>
      </w:r>
      <w:r>
        <w:rPr>
          <w:rFonts w:ascii="黑体" w:eastAsia="黑体" w:hint="eastAsia"/>
        </w:rPr>
        <w:t>四、财政拨款收入支出决算总表</w:t>
      </w:r>
      <w:r>
        <w:tab/>
      </w:r>
      <w:r>
        <w:fldChar w:fldCharType="begin"/>
      </w:r>
      <w:r>
        <w:instrText xml:space="preserve"> PAGEREF _Toc115102380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"_Toc115102381" </w:instrText>
      </w:r>
      <w:r>
        <w:fldChar w:fldCharType="separate"/>
      </w:r>
      <w:r>
        <w:rPr>
          <w:rFonts w:ascii="黑体" w:eastAsia="黑体" w:hint="eastAsia"/>
        </w:rPr>
        <w:t>五、财政拨款支出决算明细表</w:t>
      </w:r>
      <w:r>
        <w:tab/>
      </w:r>
      <w:r>
        <w:fldChar w:fldCharType="begin"/>
      </w:r>
      <w:r>
        <w:instrText xml:space="preserve"> PAGEREF _Toc115102381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"_Toc115102382" </w:instrText>
      </w:r>
      <w:r>
        <w:fldChar w:fldCharType="separate"/>
      </w:r>
      <w:r>
        <w:rPr>
          <w:rFonts w:ascii="黑体" w:eastAsia="黑体" w:hint="eastAsia"/>
        </w:rPr>
        <w:t>六、一般公共预算财政拨款支出决算表</w:t>
      </w:r>
      <w:r>
        <w:tab/>
      </w:r>
      <w:r>
        <w:fldChar w:fldCharType="begin"/>
      </w:r>
      <w:r>
        <w:instrText xml:space="preserve"> PAGEREF _Toc115102382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"_Toc115102383" </w:instrText>
      </w:r>
      <w:r>
        <w:fldChar w:fldCharType="separate"/>
      </w:r>
      <w:r>
        <w:rPr>
          <w:rFonts w:ascii="黑体" w:eastAsia="黑体" w:hint="eastAsia"/>
        </w:rPr>
        <w:t>七、一般公共预算财政拨款支出决算明细表</w:t>
      </w:r>
      <w:r>
        <w:tab/>
      </w:r>
      <w:r>
        <w:fldChar w:fldCharType="begin"/>
      </w:r>
      <w:r>
        <w:instrText xml:space="preserve"> PAGEREF _Toc115102383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"_Toc115102384" </w:instrText>
      </w:r>
      <w:r>
        <w:fldChar w:fldCharType="separate"/>
      </w:r>
      <w:r>
        <w:rPr>
          <w:rFonts w:ascii="黑体" w:eastAsia="黑体" w:hint="eastAsia"/>
        </w:rPr>
        <w:t>八、一般公共预算财政拨款基本支出决算表</w:t>
      </w:r>
      <w:r>
        <w:tab/>
      </w:r>
      <w:r>
        <w:fldChar w:fldCharType="begin"/>
      </w:r>
      <w:r>
        <w:instrText xml:space="preserve"> PAGEREF _Toc115102384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"_Toc115102385" </w:instrText>
      </w:r>
      <w:r>
        <w:fldChar w:fldCharType="separate"/>
      </w:r>
      <w:r>
        <w:rPr>
          <w:rFonts w:ascii="黑体" w:eastAsia="黑体" w:hint="eastAsia"/>
        </w:rPr>
        <w:t>九、一般公共预算财政拨款项目支出决算表</w:t>
      </w:r>
      <w:r>
        <w:tab/>
      </w:r>
      <w:r>
        <w:fldChar w:fldCharType="begin"/>
      </w:r>
      <w:r>
        <w:instrText xml:space="preserve"> PAGEREF _Toc115102385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4" w:lineRule="auto"/>
        <w:textAlignment w:val="auto"/>
        <w:rPr>
          <w:rFonts w:ascii="Calibri" w:eastAsia="宋体" w:cs="Arial" w:hAnsi="Calibri"/>
          <w:szCs w:val="22"/>
        </w:rPr>
      </w:pPr>
      <w:r>
        <w:fldChar w:fldCharType="begin"/>
      </w:r>
      <w:r>
        <w:instrText xml:space="preserve"> HYPERLINK \l "_Toc115102386" </w:instrText>
      </w:r>
      <w:r>
        <w:fldChar w:fldCharType="separate"/>
      </w:r>
      <w:r>
        <w:rPr>
          <w:rFonts w:ascii="黑体" w:eastAsia="黑体" w:hint="eastAsia"/>
        </w:rPr>
        <w:t>十、一般公共预算财政拨款“三公”经费支出决算表</w:t>
      </w:r>
      <w:r>
        <w:tab/>
      </w:r>
      <w:r>
        <w:fldChar w:fldCharType="begin"/>
      </w:r>
      <w:r>
        <w:instrText xml:space="preserve"> PAGEREF _Toc115102386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"_Toc115102387" </w:instrText>
      </w:r>
      <w:r>
        <w:fldChar w:fldCharType="separate"/>
      </w:r>
      <w:r>
        <w:rPr>
          <w:rFonts w:ascii="黑体" w:eastAsia="黑体" w:hint="eastAsia"/>
        </w:rPr>
        <w:t>十一、政府性基金预算财政拨款收入支出决算表</w:t>
      </w:r>
      <w:r>
        <w:tab/>
      </w:r>
      <w:r>
        <w:fldChar w:fldCharType="begin"/>
      </w:r>
      <w:r>
        <w:instrText xml:space="preserve"> PAGEREF _Toc115102387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"_Toc115102388" </w:instrText>
      </w:r>
      <w:r>
        <w:fldChar w:fldCharType="separate"/>
      </w:r>
      <w:r>
        <w:rPr>
          <w:rFonts w:ascii="黑体" w:eastAsia="黑体" w:hint="eastAsia"/>
        </w:rPr>
        <w:t>十二、政府性基金预算财政拨款“三公”经费支出决算表</w:t>
      </w:r>
      <w:r>
        <w:tab/>
      </w:r>
      <w:r>
        <w:fldChar w:fldCharType="begin"/>
      </w:r>
      <w:r>
        <w:instrText xml:space="preserve"> PAGEREF _Toc115102388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"_Toc115102389" </w:instrText>
      </w:r>
      <w:r>
        <w:fldChar w:fldCharType="separate"/>
      </w:r>
      <w:r>
        <w:rPr>
          <w:rFonts w:ascii="黑体" w:eastAsia="黑体" w:hint="eastAsia"/>
        </w:rPr>
        <w:t>十三、国有资本经营预算财政拨款收入支出决算表</w:t>
      </w:r>
      <w:r>
        <w:tab/>
      </w:r>
      <w:r>
        <w:fldChar w:fldCharType="begin"/>
      </w:r>
      <w:r>
        <w:instrText xml:space="preserve"> PAGEREF _Toc115102389 \h </w:instrText>
      </w:r>
      <w:r>
        <w:fldChar w:fldCharType="separate"/>
      </w:r>
      <w:r>
        <w:t>23</w:t>
      </w:r>
      <w:r>
        <w:fldChar w:fldCharType="end"/>
      </w:r>
      <w: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120" w:lineRule="auto"/>
        <w:textAlignment w:val="auto"/>
        <w:rPr>
          <w:rFonts w:ascii="Calibri" w:eastAsia="宋体" w:cs="Arial" w:hAnsi="Calibri"/>
          <w:szCs w:val="22"/>
        </w:rPr>
      </w:pPr>
      <w:r>
        <w:fldChar w:fldCharType="begin"/>
      </w:r>
      <w:r>
        <w:instrText xml:space="preserve"> HYPERLINK \l "_Toc115102390" </w:instrText>
      </w:r>
      <w:r>
        <w:fldChar w:fldCharType="separate"/>
      </w:r>
      <w:r>
        <w:rPr>
          <w:rFonts w:ascii="黑体" w:eastAsia="黑体" w:hint="eastAsia"/>
        </w:rPr>
        <w:t>十四、国有资本经营预算财政拨款支出决算表</w:t>
      </w:r>
      <w:r>
        <w:tab/>
      </w:r>
      <w:r>
        <w:fldChar w:fldCharType="begin"/>
      </w:r>
      <w:r>
        <w:instrText xml:space="preserve"> PAGEREF _Toc115102390 \h </w:instrText>
      </w:r>
      <w:r>
        <w:fldChar w:fldCharType="separate"/>
      </w:r>
      <w:r>
        <w:t>23</w:t>
      </w:r>
      <w:r>
        <w:fldChar w:fldCharType="end"/>
      </w:r>
      <w:r>
        <w:fldChar w:fldCharType="end"/>
      </w:r>
    </w:p>
    <w:p>
      <w:pPr>
        <w:pStyle w:val="15"/>
        <w:keepNext w:val="0"/>
        <w:keepLines w:val="0"/>
        <w:pageBreakBefore w:val="0"/>
        <w:widowControl w:val="0"/>
        <w:kinsoku/>
        <w:wordWrap/>
        <w:overflowPunct/>
        <w:topLinePunct w:val="0"/>
        <w:autoSpaceDE/>
        <w:autoSpaceDN/>
        <w:bidi w:val="0"/>
        <w:adjustRightInd/>
        <w:snapToGrid/>
        <w:spacing w:line="120" w:lineRule="auto"/>
        <w:textAlignment w:val="auto"/>
      </w:pPr>
      <w:r>
        <w:rPr>
          <w:caps w:val="0"/>
          <w:smallCaps/>
          <w:szCs w:val="20"/>
        </w:rPr>
        <w:fldChar w:fldCharType="end"/>
      </w:r>
    </w:p>
    <w:p>
      <w:pPr>
        <w:pStyle w:val="1"/>
        <w:jc w:val="center"/>
        <w:rPr>
          <w:rFonts w:ascii="黑体" w:eastAsia="黑体" w:cs="黑体"/>
          <w:b w:val="0"/>
          <w:bCs w:val="0"/>
        </w:rPr>
      </w:pPr>
      <w:bookmarkStart w:id="14" w:name="_Toc115102357"/>
      <w:bookmarkStart w:id="15" w:name="_Toc111208495"/>
      <w:r>
        <w:rPr>
          <w:rFonts w:ascii="黑体" w:eastAsia="黑体" w:cs="黑体" w:hint="eastAsia"/>
        </w:rPr>
        <w:t xml:space="preserve">第一部分 </w:t>
      </w:r>
      <w:r>
        <w:rPr>
          <w:rStyle w:val="1Char"/>
          <w:rFonts w:ascii="黑体" w:eastAsia="黑体" w:cs="黑体" w:hint="eastAsia"/>
          <w:b/>
          <w:bCs w:val="0"/>
        </w:rPr>
        <w:t>部门概况</w:t>
      </w:r>
      <w:bookmarkEnd w:id="13"/>
      <w:bookmarkEnd w:id="14"/>
      <w:bookmarkEnd w:id="15"/>
    </w:p>
    <w:p>
      <w:pPr>
        <w:pStyle w:val="2"/>
        <w:ind w:firstLineChars="200" w:firstLine="640"/>
        <w:rPr>
          <w:rFonts w:ascii="黑体" w:eastAsia="黑体" w:cs="Times New Roman"/>
          <w:bCs w:val="0"/>
          <w:color w:val="000000"/>
        </w:rPr>
      </w:pPr>
      <w:bookmarkStart w:id="16" w:name="_Toc15377197"/>
      <w:bookmarkStart w:id="17" w:name="_Toc115102358"/>
      <w:bookmarkStart w:id="18" w:name="_Toc111208496"/>
      <w:r>
        <w:rPr>
          <w:rFonts w:ascii="黑体" w:eastAsia="黑体" w:cs="Times New Roman" w:hint="eastAsia"/>
          <w:bCs w:val="0"/>
          <w:color w:val="000000"/>
        </w:rPr>
        <w:t>一、基本职能及主要工作</w:t>
      </w:r>
      <w:bookmarkStart w:id="19" w:name="_Toc15378445"/>
      <w:bookmarkStart w:id="20" w:name="_Toc15377198"/>
      <w:bookmarkEnd w:id="16"/>
      <w:bookmarkEnd w:id="17"/>
      <w:bookmarkEnd w:id="18"/>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（一）主要职能</w:t>
      </w:r>
      <w:bookmarkEnd w:id="19"/>
      <w:bookmarkEnd w:id="20"/>
    </w:p>
    <w:p>
      <w:pPr>
        <w:ind w:firstLineChars="200" w:firstLine="640"/>
      </w:pPr>
      <w:r>
        <w:rPr>
          <w:rFonts w:ascii="仿宋" w:eastAsia="仿宋"/>
          <w:color w:val="000000"/>
          <w:sz w:val="32"/>
          <w:szCs w:val="32"/>
        </w:rPr>
        <w:t>贯彻执行党的路线、方针、政策，根据县委、州总工会的布署，围绕县委中心工作，结合我县工会工作实际，确定工作的指导思想、目标和任务，领导全县工会工作，为基层工会开展工作营造外部环境。</w:t>
      </w:r>
    </w:p>
    <w:p>
      <w:pPr>
        <w:spacing w:line="600" w:lineRule="exact"/>
        <w:ind w:firstLineChars="200" w:firstLine="640"/>
        <w:outlineLvl w:val="2"/>
        <w:rPr>
          <w:rFonts w:ascii="仿宋" w:eastAsia="仿宋"/>
          <w:b/>
          <w:color w:val="000000"/>
          <w:sz w:val="32"/>
          <w:szCs w:val="32"/>
        </w:rPr>
      </w:pPr>
      <w:bookmarkStart w:id="21" w:name="_Toc15378446"/>
      <w:bookmarkStart w:id="22" w:name="_Toc15377199"/>
      <w:r>
        <w:rPr>
          <w:rFonts w:ascii="仿宋" w:eastAsia="仿宋" w:hint="eastAsia"/>
          <w:b/>
          <w:color w:val="000000"/>
          <w:sz w:val="32"/>
          <w:szCs w:val="32"/>
        </w:rPr>
        <w:t>（二）</w:t>
      </w:r>
      <w:r>
        <w:rPr>
          <w:rFonts w:ascii="仿宋" w:eastAsia="仿宋"/>
          <w:b/>
          <w:color w:val="000000"/>
          <w:sz w:val="32"/>
          <w:szCs w:val="32"/>
        </w:rPr>
        <w:t>2021</w:t>
      </w:r>
      <w:r>
        <w:rPr>
          <w:rFonts w:ascii="仿宋" w:eastAsia="仿宋" w:hint="eastAsia"/>
          <w:b/>
          <w:color w:val="000000"/>
          <w:sz w:val="32"/>
          <w:szCs w:val="32"/>
        </w:rPr>
        <w:t>重点工作完成情况</w:t>
      </w:r>
      <w:bookmarkStart w:id="23" w:name="_Toc15377200"/>
      <w:bookmarkEnd w:id="21"/>
      <w:bookmarkEnd w:id="22"/>
    </w:p>
    <w:p>
      <w:pPr>
        <w:numPr>
          <w:ilvl w:val="0"/>
          <w:numId w:val="1"/>
        </w:numPr>
        <w:ind w:left="0" w:firstLineChars="200" w:firstLine="640"/>
        <w:rPr>
          <w:rFonts w:ascii="仿宋" w:eastAsia="仿宋"/>
          <w:color w:val="000000"/>
          <w:sz w:val="32"/>
          <w:szCs w:val="32"/>
        </w:rPr>
      </w:pPr>
      <w:r>
        <w:rPr>
          <w:rFonts w:ascii="仿宋" w:eastAsia="仿宋"/>
          <w:color w:val="000000"/>
          <w:sz w:val="32"/>
          <w:szCs w:val="32"/>
        </w:rPr>
        <w:t>学习宣传贯彻落实十九大暨十九届六中全会精神，确保各项工作落实。把学习宣传贯彻落实十九大和十九届六中全会精神作为2022年重要政治任务，引导工会干部和职工群众切实增强对习近平新时代中国特色社会主义思想的认识，增强对坚持和完善中国特色社会主义制度，推进国家治理体系和治理能力现代化的认识，把思想和行动统一到县委县政府和州总的决策部署上来，立足岗位，甘于奉献。把智慧和力量凝聚到茂县“五地一中心”上来。</w:t>
      </w:r>
    </w:p>
    <w:p>
      <w:pPr>
        <w:numPr>
          <w:ilvl w:val="0"/>
          <w:numId w:val="1"/>
        </w:numPr>
        <w:ind w:left="0" w:firstLineChars="200" w:firstLine="640"/>
        <w:rPr>
          <w:rFonts w:ascii="仿宋" w:eastAsia="仿宋"/>
          <w:color w:val="000000"/>
          <w:sz w:val="32"/>
          <w:szCs w:val="32"/>
        </w:rPr>
      </w:pPr>
      <w:r>
        <w:rPr>
          <w:rFonts w:ascii="仿宋" w:eastAsia="仿宋"/>
          <w:color w:val="000000"/>
          <w:sz w:val="32"/>
          <w:szCs w:val="32"/>
        </w:rPr>
        <w:t>开展岗位竞技和劳动竞赛活动。积极组织全县基层工会开展劳动竞赛、技术创新和技能竞赛活动，引领职工建功立业，岗位练兵、技术比武、提合理化建议和技术改进。（三）努力提升职工素质，培养适应跨越发展的新型职工队伍。通过召开全委（扩大）会，采取以会代训的方式，对全县基层工会干部进行培训。并组织工会干部参加省、州总工会及县及部门组织的各类学习培训班，努力提高职工思想道德素质、技能素质和综合素质。</w:t>
      </w:r>
    </w:p>
    <w:p>
      <w:pPr>
        <w:ind w:firstLineChars="100" w:firstLine="320"/>
        <w:rPr>
          <w:rFonts w:ascii="仿宋" w:eastAsia="仿宋"/>
          <w:color w:val="000000"/>
          <w:sz w:val="32"/>
          <w:szCs w:val="32"/>
        </w:rPr>
      </w:pPr>
      <w:r>
        <w:rPr>
          <w:rFonts w:ascii="仿宋" w:eastAsia="仿宋"/>
          <w:color w:val="000000"/>
          <w:sz w:val="32"/>
          <w:szCs w:val="32"/>
        </w:rPr>
        <w:t>（四）切实维护职工合法权益，促进社会公平正义。1、加强源头参与，继续深化“两普”工作，指导全县企业普遍签订工资集体协商工作，进一步完善工资集体协商内容，引导企业逐步推行厂务公开，民主管理工作。2、切实做好普惠性服务工</w:t>
      </w:r>
      <w:r>
        <w:rPr>
          <w:rFonts w:ascii="仿宋" w:eastAsia="仿宋" w:hint="eastAsia"/>
          <w:color w:val="000000"/>
          <w:sz w:val="32"/>
          <w:szCs w:val="32"/>
          <w:lang w:eastAsia="zh-CN"/>
        </w:rPr>
        <w:t>作</w:t>
      </w:r>
      <w:r>
        <w:rPr>
          <w:rFonts w:ascii="仿宋" w:eastAsia="仿宋"/>
          <w:color w:val="000000"/>
          <w:sz w:val="32"/>
          <w:szCs w:val="32"/>
        </w:rPr>
        <w:t>，让会员充分享受普惠活动，提升</w:t>
      </w:r>
      <w:r>
        <w:rPr>
          <w:rFonts w:ascii="仿宋" w:eastAsia="仿宋" w:hint="eastAsia"/>
          <w:color w:val="000000"/>
          <w:sz w:val="32"/>
          <w:szCs w:val="32"/>
          <w:lang w:eastAsia="zh-CN"/>
        </w:rPr>
        <w:t>会员</w:t>
      </w:r>
      <w:r>
        <w:rPr>
          <w:rFonts w:ascii="仿宋" w:eastAsia="仿宋"/>
          <w:color w:val="000000"/>
          <w:sz w:val="32"/>
          <w:szCs w:val="32"/>
        </w:rPr>
        <w:t>获得感和幸福感。</w:t>
      </w:r>
    </w:p>
    <w:p>
      <w:pPr>
        <w:numPr>
          <w:ilvl w:val="0"/>
          <w:numId w:val="2"/>
        </w:numPr>
        <w:ind w:left="0" w:firstLineChars="200" w:firstLine="640"/>
        <w:rPr>
          <w:rFonts w:ascii="仿宋" w:eastAsia="仿宋"/>
          <w:color w:val="000000"/>
          <w:sz w:val="32"/>
          <w:szCs w:val="32"/>
        </w:rPr>
      </w:pPr>
      <w:r>
        <w:rPr>
          <w:rFonts w:ascii="仿宋" w:eastAsia="仿宋"/>
          <w:color w:val="000000"/>
          <w:sz w:val="32"/>
          <w:szCs w:val="32"/>
        </w:rPr>
        <w:t>加强困难职工帮扶，积极参与保障和改善民生</w:t>
      </w:r>
      <w:r>
        <w:rPr>
          <w:rFonts w:ascii="仿宋" w:eastAsia="仿宋" w:hint="eastAsia"/>
          <w:color w:val="000000"/>
          <w:sz w:val="32"/>
          <w:szCs w:val="32"/>
        </w:rPr>
        <w:t>。</w:t>
      </w:r>
      <w:r>
        <w:rPr>
          <w:rFonts w:ascii="仿宋" w:eastAsia="仿宋"/>
          <w:color w:val="000000"/>
          <w:sz w:val="32"/>
          <w:szCs w:val="32"/>
        </w:rPr>
        <w:t>1、“春送岗位”活动：配合县人事劳动和社会保障局等单位开展好“春风行动”，完成职工再就业培训。2、“夏送清凉”活动：整合工会经费，压缩“三公经费”支出，安排资金，在夏季高温季节对我县高温作业的企业的一线职工，环卫、养护工人等一线职工送高温防暑慰问品。3、“金秋助学”活动：积极争取中央、省、州财政资金、县总工会资金，在金秋时节对我县困难职工子女（农民工）进行助学帮扶。4、“冬送温暖”活动：争取上级工会资金补助和县总工会自筹资金，在冬季及元旦春节期间对我县困难职工（农民工）进行分期分批困难帮扶，开展送温暖活动。</w:t>
      </w:r>
      <w:r>
        <w:rPr>
          <w:rFonts w:ascii="仿宋" w:eastAsia="仿宋" w:hint="eastAsia"/>
          <w:color w:val="000000"/>
          <w:sz w:val="32"/>
          <w:szCs w:val="32"/>
          <w:lang w:val="en-US" w:eastAsia="zh-CN"/>
        </w:rPr>
        <w:t xml:space="preserve">    </w:t>
      </w:r>
      <w:r>
        <w:rPr>
          <w:rFonts w:ascii="仿宋" w:eastAsia="仿宋"/>
          <w:color w:val="000000"/>
          <w:sz w:val="32"/>
          <w:szCs w:val="32"/>
        </w:rPr>
        <w:t>5、开展“关爱行动”：安排资金对特困女职工进行关爱救助。6、推动工会自身建设，巩固“职工之家”建设成果，支持乡镇行政区划调整后的镇工会“职工之家”建设和提档升级工作。</w:t>
      </w:r>
    </w:p>
    <w:p>
      <w:pPr>
        <w:numPr>
          <w:ilvl w:val="0"/>
          <w:numId w:val="2"/>
        </w:numPr>
        <w:ind w:left="0" w:firstLineChars="200" w:firstLine="640"/>
        <w:rPr>
          <w:rFonts w:ascii="仿宋" w:eastAsia="仿宋"/>
          <w:color w:val="000000"/>
          <w:sz w:val="32"/>
          <w:szCs w:val="32"/>
        </w:rPr>
      </w:pPr>
      <w:r>
        <w:rPr>
          <w:rFonts w:ascii="仿宋" w:eastAsia="仿宋"/>
          <w:color w:val="000000"/>
          <w:sz w:val="32"/>
          <w:szCs w:val="32"/>
        </w:rPr>
        <w:t>为茂县“五地一中心”建功立业，积极开Z职工群众喜闻乐见的文娱体育活动。</w:t>
      </w:r>
    </w:p>
    <w:p>
      <w:pPr>
        <w:numPr>
          <w:ilvl w:val="0"/>
          <w:numId w:val="2"/>
        </w:numPr>
        <w:ind w:left="0" w:firstLineChars="200" w:firstLine="640"/>
        <w:rPr>
          <w:rFonts w:ascii="仿宋" w:eastAsia="仿宋"/>
          <w:color w:val="000000"/>
          <w:sz w:val="32"/>
          <w:szCs w:val="32"/>
        </w:rPr>
      </w:pPr>
      <w:r>
        <w:rPr>
          <w:rFonts w:ascii="仿宋" w:eastAsia="仿宋"/>
          <w:color w:val="000000"/>
          <w:sz w:val="32"/>
          <w:szCs w:val="32"/>
        </w:rPr>
        <w:t>加强工会经审工作，邀请三方审计工作组对基层工会经费进行审计，强化地税代征企业工会经费工作。</w:t>
      </w:r>
    </w:p>
    <w:p>
      <w:pPr>
        <w:numPr>
          <w:ilvl w:val="0"/>
          <w:numId w:val="2"/>
        </w:numPr>
        <w:ind w:left="0" w:firstLineChars="200" w:firstLine="640"/>
        <w:rPr>
          <w:rFonts w:ascii="仿宋" w:eastAsia="仿宋"/>
          <w:color w:val="000000"/>
          <w:sz w:val="32"/>
          <w:szCs w:val="32"/>
        </w:rPr>
      </w:pPr>
      <w:r>
        <w:rPr>
          <w:rFonts w:ascii="仿宋" w:eastAsia="仿宋"/>
          <w:color w:val="000000"/>
          <w:sz w:val="32"/>
          <w:szCs w:val="32"/>
        </w:rPr>
        <w:t>积极开展乡村振兴和“两联一进”工作。</w:t>
      </w:r>
    </w:p>
    <w:p>
      <w:pPr>
        <w:numPr>
          <w:ilvl w:val="0"/>
          <w:numId w:val="2"/>
        </w:numPr>
        <w:ind w:left="0" w:firstLineChars="200" w:firstLine="640"/>
        <w:rPr>
          <w:rFonts w:ascii="仿宋" w:eastAsia="仿宋"/>
          <w:color w:val="000000"/>
          <w:sz w:val="32"/>
          <w:szCs w:val="32"/>
        </w:rPr>
      </w:pPr>
      <w:r>
        <w:rPr>
          <w:rFonts w:ascii="仿宋" w:eastAsia="仿宋"/>
          <w:color w:val="000000"/>
          <w:sz w:val="32"/>
          <w:szCs w:val="32"/>
        </w:rPr>
        <w:t>发挥职工文化活动阵地的使用功能，管理好职工文化活动阵地的资产。</w:t>
      </w:r>
    </w:p>
    <w:p>
      <w:pPr>
        <w:numPr>
          <w:ilvl w:val="0"/>
          <w:numId w:val="2"/>
        </w:numPr>
        <w:ind w:left="0" w:firstLineChars="200" w:firstLine="640"/>
        <w:rPr>
          <w:rFonts w:ascii="仿宋" w:eastAsia="仿宋"/>
          <w:color w:val="000000"/>
          <w:sz w:val="32"/>
          <w:szCs w:val="32"/>
        </w:rPr>
      </w:pPr>
      <w:r>
        <w:rPr>
          <w:rFonts w:ascii="仿宋" w:eastAsia="仿宋"/>
          <w:color w:val="000000"/>
          <w:sz w:val="32"/>
          <w:szCs w:val="32"/>
        </w:rPr>
        <w:t>完成州总工会和县委县政府交办的工作。</w:t>
      </w:r>
    </w:p>
    <w:p>
      <w:pPr>
        <w:pStyle w:val="2"/>
        <w:ind w:firstLineChars="200" w:firstLine="640"/>
        <w:rPr>
          <w:rFonts w:ascii="黑体" w:eastAsia="黑体" w:cs="Times New Roman"/>
          <w:bCs w:val="0"/>
          <w:color w:val="000000"/>
        </w:rPr>
      </w:pPr>
      <w:bookmarkStart w:id="24" w:name="_Toc115102359"/>
      <w:bookmarkStart w:id="25" w:name="_Toc111208497"/>
      <w:r>
        <w:rPr>
          <w:rFonts w:ascii="黑体" w:eastAsia="黑体" w:cs="Times New Roman" w:hint="eastAsia"/>
          <w:bCs w:val="0"/>
          <w:color w:val="000000"/>
        </w:rPr>
        <w:t>二、机构设置</w:t>
      </w:r>
      <w:bookmarkEnd w:id="23"/>
      <w:bookmarkEnd w:id="24"/>
      <w:bookmarkEnd w:id="25"/>
    </w:p>
    <w:p>
      <w:pPr>
        <w:ind w:firstLineChars="200" w:firstLine="640"/>
        <w:rPr>
          <w:rFonts w:ascii="仿宋" w:eastAsia="仿宋"/>
          <w:color w:val="000000"/>
          <w:sz w:val="32"/>
          <w:szCs w:val="32"/>
        </w:rPr>
      </w:pPr>
      <w:r>
        <w:rPr>
          <w:rFonts w:ascii="仿宋" w:eastAsia="仿宋"/>
          <w:color w:val="000000"/>
          <w:sz w:val="32"/>
          <w:szCs w:val="32"/>
        </w:rPr>
        <w:t>茂县总工会下属二级单位0个，其中行政单位0个，参照公务员法管理的事业单位1个，其他事业单位0个。</w:t>
      </w:r>
    </w:p>
    <w:p>
      <w:pPr>
        <w:widowControl/>
        <w:jc w:val="left"/>
        <w:rPr>
          <w:rFonts w:ascii="仿宋_GB2312" w:eastAsia="仿宋_GB2312"/>
          <w:b/>
          <w:bCs/>
          <w:color w:val="000000"/>
          <w:kern w:val="44"/>
          <w:sz w:val="44"/>
          <w:szCs w:val="44"/>
        </w:rPr>
      </w:pPr>
      <w:bookmarkStart w:id="26" w:name="_Toc15377204"/>
      <w:r>
        <w:rPr>
          <w:rFonts w:ascii="仿宋_GB2312" w:eastAsia="仿宋_GB2312"/>
          <w:color w:val="000000"/>
        </w:rPr>
        <w:br w:type="page"/>
      </w:r>
    </w:p>
    <w:p>
      <w:pPr>
        <w:pStyle w:val="1"/>
        <w:jc w:val="center"/>
        <w:rPr>
          <w:rFonts w:ascii="黑体" w:eastAsia="黑体" w:cs="黑体"/>
        </w:rPr>
      </w:pPr>
      <w:bookmarkStart w:id="27" w:name="_Toc111208498"/>
      <w:bookmarkStart w:id="28" w:name="_Toc115102360"/>
      <w:r>
        <w:rPr>
          <w:rFonts w:ascii="黑体" w:eastAsia="黑体" w:cs="黑体" w:hint="eastAsia"/>
        </w:rPr>
        <w:t>第二部分2021年度部门决算情况说明</w:t>
      </w:r>
      <w:bookmarkEnd w:id="26"/>
      <w:bookmarkEnd w:id="27"/>
      <w:bookmarkEnd w:id="28"/>
    </w:p>
    <w:p>
      <w:pPr>
        <w:pStyle w:val="2"/>
        <w:ind w:firstLineChars="200" w:firstLine="640"/>
        <w:rPr>
          <w:rFonts w:ascii="黑体" w:eastAsia="黑体" w:cs="Times New Roman"/>
          <w:bCs w:val="0"/>
          <w:color w:val="000000"/>
        </w:rPr>
      </w:pPr>
      <w:bookmarkStart w:id="29" w:name="_Toc15377205"/>
      <w:bookmarkStart w:id="30" w:name="_Toc115102361"/>
      <w:bookmarkStart w:id="31" w:name="_Toc111208499"/>
      <w:r>
        <w:rPr>
          <w:rFonts w:ascii="黑体" w:eastAsia="黑体" w:cs="Times New Roman" w:hint="eastAsia"/>
          <w:bCs w:val="0"/>
          <w:color w:val="000000"/>
        </w:rPr>
        <w:t>一、收入支出决算总体情况说</w:t>
      </w:r>
      <w:bookmarkEnd w:id="29"/>
      <w:r>
        <w:rPr>
          <w:rFonts w:ascii="黑体" w:eastAsia="黑体" w:cs="Times New Roman" w:hint="eastAsia"/>
          <w:bCs w:val="0"/>
          <w:color w:val="000000"/>
        </w:rPr>
        <w:t>明</w:t>
      </w:r>
      <w:bookmarkEnd w:id="30"/>
      <w:bookmarkEnd w:id="31"/>
    </w:p>
    <w:p>
      <w:pPr>
        <w:spacing w:line="600" w:lineRule="exact"/>
        <w:ind w:firstLineChars="200" w:firstLine="640"/>
        <w:rPr>
          <w:rFonts w:ascii="仿宋_GB2312" w:eastAsia="仿宋_GB2312"/>
          <w:color w:val="00B0F0"/>
          <w:sz w:val="32"/>
          <w:szCs w:val="32"/>
        </w:rPr>
      </w:pPr>
      <w:r>
        <w:rPr>
          <w:rFonts w:ascii="仿宋" w:eastAsia="仿宋"/>
          <w:color w:val="000000"/>
          <w:sz w:val="32"/>
          <w:szCs w:val="32"/>
        </w:rPr>
        <w:t>2021</w:t>
      </w:r>
      <w:r>
        <w:rPr>
          <w:rFonts w:ascii="仿宋" w:eastAsia="仿宋" w:hint="eastAsia"/>
          <w:color w:val="000000"/>
          <w:sz w:val="32"/>
          <w:szCs w:val="32"/>
        </w:rPr>
        <w:t>年度收、支总计</w:t>
      </w:r>
      <w:r>
        <w:rPr>
          <w:rFonts w:ascii="仿宋" w:eastAsia="仿宋"/>
          <w:color w:val="000000"/>
          <w:sz w:val="32"/>
          <w:szCs w:val="32"/>
        </w:rPr>
        <w:t>755.87</w:t>
      </w:r>
      <w:r>
        <w:rPr>
          <w:rFonts w:ascii="仿宋" w:eastAsia="仿宋" w:hint="eastAsia"/>
          <w:color w:val="000000"/>
          <w:sz w:val="32"/>
          <w:szCs w:val="32"/>
        </w:rPr>
        <w:t>万元。与</w:t>
      </w:r>
      <w:r>
        <w:rPr>
          <w:rFonts w:ascii="仿宋" w:eastAsia="仿宋"/>
          <w:color w:val="000000"/>
          <w:sz w:val="32"/>
          <w:szCs w:val="32"/>
        </w:rPr>
        <w:t>2020</w:t>
      </w:r>
      <w:r>
        <w:rPr>
          <w:rFonts w:ascii="仿宋" w:eastAsia="仿宋" w:hint="eastAsia"/>
          <w:color w:val="000000"/>
          <w:sz w:val="32"/>
          <w:szCs w:val="32"/>
        </w:rPr>
        <w:t>年相比，收、支总计各</w:t>
      </w:r>
      <w:r>
        <w:rPr>
          <w:rFonts w:ascii="仿宋" w:eastAsia="仿宋"/>
          <w:color w:val="000000"/>
          <w:sz w:val="32"/>
          <w:szCs w:val="32"/>
        </w:rPr>
        <w:t>增加13.28</w:t>
      </w:r>
      <w:r>
        <w:rPr>
          <w:rFonts w:ascii="仿宋" w:eastAsia="仿宋" w:hint="eastAsia"/>
          <w:color w:val="000000"/>
          <w:sz w:val="32"/>
          <w:szCs w:val="32"/>
        </w:rPr>
        <w:t>万元，</w:t>
      </w:r>
      <w:r>
        <w:rPr>
          <w:rFonts w:ascii="仿宋" w:eastAsia="仿宋"/>
          <w:color w:val="000000"/>
          <w:sz w:val="32"/>
          <w:szCs w:val="32"/>
        </w:rPr>
        <w:t>增加1.79</w:t>
      </w:r>
      <w:r>
        <w:rPr>
          <w:rFonts w:ascii="仿宋" w:eastAsia="仿宋" w:hint="eastAsia"/>
          <w:color w:val="000000"/>
          <w:sz w:val="32"/>
          <w:szCs w:val="32"/>
        </w:rPr>
        <w:t xml:space="preserve"> %。 </w:t>
      </w:r>
    </w:p>
    <w:p>
      <w:pPr>
        <w:spacing w:line="600" w:lineRule="exact"/>
        <w:ind w:firstLineChars="200" w:firstLine="640"/>
        <w:rPr>
          <w:rFonts w:ascii="仿宋_GB2312" w:eastAsia="仿宋_GB2312"/>
          <w:color w:val="000000"/>
          <w:sz w:val="28"/>
          <w:szCs w:val="28"/>
        </w:rPr>
      </w:pPr>
      <w:r>
        <w:rPr>
          <w:rFonts w:ascii="仿宋" w:eastAsia="仿宋" w:hint="eastAsia"/>
          <w:color w:val="000000"/>
          <w:sz w:val="32"/>
          <w:szCs w:val="32"/>
        </w:rPr>
        <w:t>（图1：收、支决算总计变动情况图）</w:t>
      </w:r>
    </w:p>
    <w:p>
      <w:pPr>
        <w:spacing w:line="600" w:lineRule="exact"/>
        <w:ind w:firstLineChars="200" w:firstLine="560"/>
        <w:jc w:val="center"/>
        <w:rPr>
          <w:rFonts w:ascii="仿宋_GB2312" w:eastAsia="仿宋_GB2312"/>
          <w:color w:val="000000"/>
          <w:sz w:val="28"/>
          <w:szCs w:val="28"/>
        </w:rPr>
      </w:pPr>
    </w:p>
    <w:p>
      <w:pPr>
        <w:pStyle w:val="15"/>
      </w:pPr>
      <w:r>
        <w:drawing>
          <wp:inline distT="0" distB="0" distL="114300" distR="114300">
            <wp:extent cx="5343525" cy="2933700"/>
            <wp:effectExtent l="0" t="0" r="0" b="0"/>
            <wp:docPr id="1" name="图表 1"/>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2"/>
        <w:ind w:firstLineChars="200" w:firstLine="640"/>
        <w:rPr>
          <w:rFonts w:ascii="黑体" w:eastAsia="黑体" w:cs="Times New Roman"/>
          <w:bCs w:val="0"/>
          <w:color w:val="000000"/>
        </w:rPr>
      </w:pPr>
      <w:bookmarkStart w:id="32" w:name="_Toc111208500"/>
      <w:bookmarkStart w:id="33" w:name="_Toc115102362"/>
      <w:bookmarkStart w:id="34" w:name="_Toc15377206"/>
      <w:r>
        <w:rPr>
          <w:rFonts w:ascii="黑体" w:eastAsia="黑体" w:cs="Times New Roman" w:hint="eastAsia"/>
          <w:bCs w:val="0"/>
          <w:color w:val="000000"/>
        </w:rPr>
        <w:t>二、收入决算情况说明</w:t>
      </w:r>
      <w:bookmarkEnd w:id="32"/>
      <w:bookmarkEnd w:id="33"/>
      <w:bookmarkEnd w:id="34"/>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2021年本年收入合计755.63万元，其中：一般公共预算财政拨款收入755.63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（图2：收入决算结构图）</w:t>
      </w:r>
    </w:p>
    <w:p>
      <w:pPr>
        <w:pStyle w:val="23"/>
        <w:jc w:val="center"/>
      </w:pPr>
      <w:r>
        <w:rPr>
          <w:rFonts w:ascii="仿宋_GB2312" w:eastAsia="仿宋_GB2312" w:hint="eastAsia"/>
          <w:color w:val="FF0000"/>
          <w:sz w:val="32"/>
          <w:szCs w:val="32"/>
        </w:rPr>
        <w:drawing>
          <wp:inline distT="0" distB="0" distL="114300" distR="114300">
            <wp:extent cx="5332730" cy="3400425"/>
            <wp:effectExtent l="0" t="0" r="0" b="0"/>
            <wp:docPr id="2" name="图表 2"/>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
        <w:ind w:firstLineChars="200" w:firstLine="640"/>
        <w:rPr>
          <w:rFonts w:ascii="黑体" w:eastAsia="黑体" w:cs="Times New Roman"/>
          <w:bCs w:val="0"/>
          <w:color w:val="000000"/>
        </w:rPr>
      </w:pPr>
      <w:bookmarkStart w:id="35" w:name="_Toc15377207"/>
      <w:bookmarkStart w:id="36" w:name="_Toc115102363"/>
      <w:bookmarkStart w:id="37" w:name="_Toc111208501"/>
      <w:r>
        <w:rPr>
          <w:rFonts w:ascii="黑体" w:eastAsia="黑体" w:cs="Times New Roman" w:hint="eastAsia"/>
          <w:bCs w:val="0"/>
          <w:color w:val="000000"/>
        </w:rPr>
        <w:t>三、支出决算情况说明</w:t>
      </w:r>
      <w:bookmarkEnd w:id="35"/>
      <w:bookmarkEnd w:id="36"/>
      <w:bookmarkEnd w:id="37"/>
    </w:p>
    <w:p>
      <w:pPr>
        <w:pStyle w:val="15"/>
        <w:rPr>
          <w:rFonts w:ascii="仿宋" w:eastAsia="仿宋"/>
          <w:color w:val="000000"/>
          <w:sz w:val="32"/>
          <w:szCs w:val="32"/>
        </w:rPr>
      </w:pPr>
      <w:r>
        <w:rPr>
          <w:rFonts w:ascii="仿宋" w:eastAsia="仿宋" w:hint="eastAsia"/>
          <w:color w:val="000000"/>
          <w:sz w:val="32"/>
          <w:szCs w:val="32"/>
        </w:rPr>
        <w:t>2021</w:t>
      </w:r>
      <w:r>
        <w:rPr>
          <w:rFonts w:ascii="仿宋" w:eastAsia="仿宋"/>
          <w:color w:val="000000"/>
          <w:sz w:val="32"/>
          <w:szCs w:val="32"/>
        </w:rPr>
        <w:t>年本年支出合计</w:t>
      </w:r>
      <w:r>
        <w:rPr>
          <w:rFonts w:ascii="仿宋" w:eastAsia="仿宋" w:hint="eastAsia"/>
          <w:color w:val="000000"/>
          <w:sz w:val="32"/>
          <w:szCs w:val="32"/>
        </w:rPr>
        <w:t>755.87</w:t>
      </w:r>
      <w:r>
        <w:rPr>
          <w:rFonts w:ascii="仿宋" w:eastAsia="仿宋"/>
          <w:color w:val="000000"/>
          <w:sz w:val="32"/>
          <w:szCs w:val="32"/>
        </w:rPr>
        <w:t>万元，其中：基本支出</w:t>
      </w:r>
      <w:r>
        <w:rPr>
          <w:rFonts w:ascii="仿宋" w:eastAsia="仿宋" w:hint="eastAsia"/>
          <w:color w:val="000000"/>
          <w:sz w:val="32"/>
          <w:szCs w:val="32"/>
        </w:rPr>
        <w:t>155.39</w:t>
      </w:r>
      <w:r>
        <w:rPr>
          <w:rFonts w:ascii="仿宋" w:eastAsia="仿宋"/>
          <w:color w:val="000000"/>
          <w:sz w:val="32"/>
          <w:szCs w:val="32"/>
        </w:rPr>
        <w:t>万元，占</w:t>
      </w:r>
      <w:r>
        <w:rPr>
          <w:rFonts w:ascii="仿宋" w:eastAsia="仿宋" w:hint="eastAsia"/>
          <w:color w:val="000000"/>
          <w:sz w:val="32"/>
          <w:szCs w:val="32"/>
        </w:rPr>
        <w:t>20.56</w:t>
      </w:r>
      <w:r>
        <w:rPr>
          <w:rFonts w:ascii="仿宋" w:eastAsia="仿宋"/>
          <w:color w:val="000000"/>
          <w:sz w:val="32"/>
          <w:szCs w:val="32"/>
        </w:rPr>
        <w:t>%；项目支出</w:t>
      </w:r>
      <w:r>
        <w:rPr>
          <w:rFonts w:ascii="仿宋" w:eastAsia="仿宋" w:hint="eastAsia"/>
          <w:color w:val="000000"/>
          <w:sz w:val="32"/>
          <w:szCs w:val="32"/>
        </w:rPr>
        <w:t>600.48</w:t>
      </w:r>
      <w:r>
        <w:rPr>
          <w:rFonts w:ascii="仿宋" w:eastAsia="仿宋"/>
          <w:color w:val="000000"/>
          <w:sz w:val="32"/>
          <w:szCs w:val="32"/>
        </w:rPr>
        <w:t>万元，占</w:t>
      </w:r>
      <w:r>
        <w:rPr>
          <w:rFonts w:ascii="仿宋" w:eastAsia="仿宋" w:hint="eastAsia"/>
          <w:color w:val="000000"/>
          <w:sz w:val="32"/>
          <w:szCs w:val="32"/>
        </w:rPr>
        <w:t>79.44</w:t>
      </w:r>
      <w:r>
        <w:rPr>
          <w:rFonts w:ascii="仿宋" w:eastAsia="仿宋"/>
          <w:color w:val="000000"/>
          <w:sz w:val="32"/>
          <w:szCs w:val="32"/>
        </w:rPr>
        <w:t>%；上缴上级支出</w:t>
      </w:r>
      <w:r>
        <w:rPr>
          <w:rFonts w:ascii="仿宋" w:eastAsia="仿宋" w:hint="eastAsia"/>
          <w:color w:val="000000"/>
          <w:sz w:val="32"/>
          <w:szCs w:val="32"/>
        </w:rPr>
        <w:t>0.00</w:t>
      </w:r>
      <w:r>
        <w:rPr>
          <w:rFonts w:ascii="仿宋" w:eastAsia="仿宋"/>
          <w:color w:val="000000"/>
          <w:sz w:val="32"/>
          <w:szCs w:val="32"/>
        </w:rPr>
        <w:t>万元，占</w:t>
      </w:r>
      <w:r>
        <w:rPr>
          <w:rFonts w:ascii="仿宋" w:eastAsia="仿宋" w:hint="eastAsia"/>
          <w:color w:val="000000"/>
          <w:sz w:val="32"/>
          <w:szCs w:val="32"/>
        </w:rPr>
        <w:t>0.00</w:t>
      </w:r>
      <w:r>
        <w:rPr>
          <w:rFonts w:ascii="仿宋" w:eastAsia="仿宋"/>
          <w:color w:val="000000"/>
          <w:sz w:val="32"/>
          <w:szCs w:val="32"/>
        </w:rPr>
        <w:t>%；经营支出</w:t>
      </w:r>
      <w:r>
        <w:rPr>
          <w:rFonts w:ascii="仿宋" w:eastAsia="仿宋" w:hint="eastAsia"/>
          <w:color w:val="000000"/>
          <w:sz w:val="32"/>
          <w:szCs w:val="32"/>
        </w:rPr>
        <w:t>0.00</w:t>
      </w:r>
      <w:r>
        <w:rPr>
          <w:rFonts w:ascii="仿宋" w:eastAsia="仿宋"/>
          <w:color w:val="000000"/>
          <w:sz w:val="32"/>
          <w:szCs w:val="32"/>
        </w:rPr>
        <w:t>万元，占</w:t>
      </w:r>
      <w:r>
        <w:rPr>
          <w:rFonts w:ascii="仿宋" w:eastAsia="仿宋" w:hint="eastAsia"/>
          <w:color w:val="000000"/>
          <w:sz w:val="32"/>
          <w:szCs w:val="32"/>
        </w:rPr>
        <w:t>0.00</w:t>
      </w:r>
      <w:r>
        <w:rPr>
          <w:rFonts w:ascii="仿宋" w:eastAsia="仿宋"/>
          <w:color w:val="000000"/>
          <w:sz w:val="32"/>
          <w:szCs w:val="32"/>
        </w:rPr>
        <w:t>%；对附属单位补助支出</w:t>
      </w:r>
      <w:r>
        <w:rPr>
          <w:rFonts w:ascii="仿宋" w:eastAsia="仿宋" w:hint="eastAsia"/>
          <w:color w:val="000000"/>
          <w:sz w:val="32"/>
          <w:szCs w:val="32"/>
        </w:rPr>
        <w:t>0.00</w:t>
      </w:r>
      <w:r>
        <w:rPr>
          <w:rFonts w:ascii="仿宋" w:eastAsia="仿宋"/>
          <w:color w:val="000000"/>
          <w:sz w:val="32"/>
          <w:szCs w:val="32"/>
        </w:rPr>
        <w:t>万元，占</w:t>
      </w:r>
      <w:r>
        <w:rPr>
          <w:rFonts w:ascii="仿宋" w:eastAsia="仿宋" w:hint="eastAsia"/>
          <w:color w:val="000000"/>
          <w:sz w:val="32"/>
          <w:szCs w:val="32"/>
        </w:rPr>
        <w:t>0.00</w:t>
      </w:r>
      <w:r>
        <w:rPr>
          <w:rFonts w:ascii="仿宋" w:eastAsia="仿宋"/>
          <w:color w:val="000000"/>
          <w:sz w:val="32"/>
          <w:szCs w:val="32"/>
        </w:rPr>
        <w:t>%。</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（图3：支出决算结构图）</w:t>
      </w:r>
    </w:p>
    <w:p>
      <w:pPr>
        <w:jc w:val="center"/>
        <w:rPr>
          <w:rFonts w:ascii="仿宋_GB2312" w:eastAsia="仿宋_GB2312"/>
          <w:color w:val="FF0000"/>
          <w:sz w:val="32"/>
          <w:szCs w:val="32"/>
        </w:rPr>
      </w:pPr>
      <w:r>
        <w:rPr>
          <w:rFonts w:ascii="仿宋_GB2312" w:eastAsia="仿宋_GB2312" w:hint="eastAsia"/>
          <w:color w:val="FF0000"/>
          <w:sz w:val="32"/>
          <w:szCs w:val="32"/>
        </w:rPr>
        <w:drawing>
          <wp:inline distT="0" distB="0" distL="114300" distR="114300">
            <wp:extent cx="5304154" cy="3429000"/>
            <wp:effectExtent l="0" t="0" r="0" b="0"/>
            <wp:docPr id="3" name="图表 3"/>
            <wp:cNvGraphicFramePr>
              <a:graphicFrameLocks noChangeAspect="0"/>
            </wp:cNvGraphicFramePr>
            <a:graphic>
              <a:graphicData uri="http://schemas.openxmlformats.org/drawingml/2006/chart">
                <c:chart xmlns:c="http://schemas.openxmlformats.org/drawingml/2006/chart" r:id="rId6"/>
              </a:graphicData>
            </a:graphic>
          </wp:inline>
        </w:drawing>
      </w:r>
    </w:p>
    <w:p>
      <w:pPr>
        <w:pStyle w:val="15"/>
      </w:pPr>
    </w:p>
    <w:p>
      <w:pPr>
        <w:pStyle w:val="2"/>
        <w:ind w:firstLineChars="200" w:firstLine="640"/>
        <w:rPr>
          <w:rFonts w:ascii="黑体" w:eastAsia="黑体" w:cs="Times New Roman"/>
          <w:bCs w:val="0"/>
          <w:color w:val="000000"/>
        </w:rPr>
      </w:pPr>
      <w:bookmarkStart w:id="38" w:name="_Toc15377208"/>
      <w:bookmarkStart w:id="39" w:name="_Toc115102364"/>
      <w:bookmarkStart w:id="40" w:name="_Toc111208502"/>
      <w:r>
        <w:rPr>
          <w:rFonts w:ascii="黑体" w:eastAsia="黑体" w:cs="Times New Roman" w:hint="eastAsia"/>
          <w:bCs w:val="0"/>
          <w:color w:val="000000"/>
        </w:rPr>
        <w:t>四、财政拨款收入支出决算总体情况说明</w:t>
      </w:r>
      <w:bookmarkEnd w:id="38"/>
      <w:bookmarkEnd w:id="39"/>
      <w:bookmarkEnd w:id="40"/>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 xml:space="preserve">2021年财政拨款收、支总计755.87万元。与2020年相比，财政拨款收、支总计各增加13.28万元，增加1.79 %。 </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（图4：财政拨款收、支决算总计变动情况）</w:t>
      </w:r>
    </w:p>
    <w:p>
      <w:pPr>
        <w:pStyle w:val="15"/>
        <w:ind w:firstLine="0"/>
      </w:pPr>
    </w:p>
    <w:p>
      <w:pPr>
        <w:pStyle w:val="15"/>
        <w:jc w:val="left"/>
      </w:pPr>
      <w:r>
        <w:rPr>
          <w:rFonts w:ascii="仿宋_GB2312" w:eastAsia="仿宋_GB2312" w:hint="eastAsia"/>
          <w:color w:val="000000"/>
          <w:sz w:val="32"/>
          <w:szCs w:val="32"/>
        </w:rPr>
        <w:drawing>
          <wp:inline distT="0" distB="0" distL="0" distR="0">
            <wp:extent cx="4981575" cy="3171825"/>
            <wp:effectExtent l="0" t="0" r="0" b="0"/>
            <wp:docPr id="4" name="图表 12"/>
            <wp:cNvGraphicFramePr>
              <a:graphicFrameLocks noChangeAspect="0"/>
            </wp:cNvGraphicFramePr>
            <a:graphic>
              <a:graphicData uri="http://schemas.openxmlformats.org/drawingml/2006/chart">
                <c:chart xmlns:c="http://schemas.openxmlformats.org/drawingml/2006/chart" r:id="rId7"/>
              </a:graphicData>
            </a:graphic>
          </wp:inline>
        </w:drawing>
      </w:r>
    </w:p>
    <w:p>
      <w:pPr>
        <w:pStyle w:val="15"/>
        <w:jc w:val="center"/>
      </w:pPr>
    </w:p>
    <w:p>
      <w:pPr>
        <w:pStyle w:val="2"/>
        <w:ind w:firstLineChars="200" w:firstLine="640"/>
        <w:rPr>
          <w:rFonts w:ascii="黑体" w:eastAsia="黑体" w:cs="Times New Roman"/>
          <w:bCs w:val="0"/>
          <w:color w:val="000000"/>
        </w:rPr>
      </w:pPr>
      <w:bookmarkStart w:id="41" w:name="_Toc15377209"/>
      <w:bookmarkStart w:id="42" w:name="_Toc111208503"/>
      <w:bookmarkStart w:id="43" w:name="_Toc115102365"/>
      <w:r>
        <w:rPr>
          <w:rFonts w:ascii="黑体" w:eastAsia="黑体" w:cs="Times New Roman" w:hint="eastAsia"/>
          <w:bCs w:val="0"/>
          <w:color w:val="000000"/>
        </w:rPr>
        <w:t>五、一般公共预算财政拨款支出决算情况说</w:t>
      </w:r>
      <w:bookmarkEnd w:id="41"/>
      <w:r>
        <w:rPr>
          <w:rFonts w:ascii="黑体" w:eastAsia="黑体" w:cs="Times New Roman" w:hint="eastAsia"/>
          <w:bCs w:val="0"/>
          <w:color w:val="000000"/>
        </w:rPr>
        <w:t>明</w:t>
      </w:r>
      <w:bookmarkEnd w:id="42"/>
      <w:bookmarkEnd w:id="43"/>
    </w:p>
    <w:p>
      <w:pPr>
        <w:spacing w:line="600" w:lineRule="exact"/>
        <w:ind w:firstLineChars="200" w:firstLine="640"/>
        <w:outlineLvl w:val="2"/>
        <w:rPr>
          <w:rFonts w:ascii="仿宋" w:eastAsia="仿宋"/>
          <w:b/>
          <w:color w:val="000000"/>
          <w:sz w:val="32"/>
          <w:szCs w:val="32"/>
        </w:rPr>
      </w:pPr>
      <w:bookmarkStart w:id="44" w:name="_Toc15377210"/>
      <w:r>
        <w:rPr>
          <w:rFonts w:ascii="仿宋" w:eastAsia="仿宋" w:hint="eastAsia"/>
          <w:b/>
          <w:color w:val="000000"/>
          <w:sz w:val="32"/>
          <w:szCs w:val="32"/>
        </w:rPr>
        <w:t>（一）一般公共预算财政拨款支出决算总体情况</w:t>
      </w:r>
      <w:bookmarkEnd w:id="44"/>
    </w:p>
    <w:p>
      <w:pPr>
        <w:spacing w:line="600" w:lineRule="exact"/>
        <w:ind w:firstLineChars="200" w:firstLine="640"/>
        <w:rPr>
          <w:rFonts w:ascii="仿宋_GB2312" w:eastAsia="仿宋_GB2312"/>
          <w:color w:val="000000"/>
          <w:sz w:val="32"/>
          <w:szCs w:val="32"/>
        </w:rPr>
      </w:pPr>
      <w:bookmarkStart w:id="45" w:name="_Toc15377211"/>
      <w:r>
        <w:rPr>
          <w:rFonts w:ascii="仿宋" w:eastAsia="仿宋" w:hint="eastAsia"/>
          <w:color w:val="000000"/>
          <w:sz w:val="32"/>
          <w:szCs w:val="32"/>
        </w:rPr>
        <w:t xml:space="preserve">2021年一般公共预算财政拨款支出755.87万元，占本年支出合计的100.00%。与2020相比，一般公共预算财政拨款增加13.52万元，增加1.82 %。 </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（图5：一般公共预算财政拨款支出决算变动情况）</w:t>
      </w:r>
    </w:p>
    <w:p>
      <w:pPr>
        <w:pStyle w:val="15"/>
        <w:ind w:firstLine="0"/>
        <w:rPr>
          <w:rFonts w:ascii="仿宋_GB2312" w:eastAsia="仿宋_GB2312"/>
          <w:b/>
          <w:color w:val="000000"/>
          <w:sz w:val="32"/>
          <w:szCs w:val="32"/>
        </w:rPr>
      </w:pPr>
    </w:p>
    <w:p>
      <w:pPr>
        <w:pStyle w:val="15"/>
        <w:ind w:firstLine="0"/>
        <w:rPr>
          <w:rFonts w:ascii="仿宋_GB2312" w:eastAsia="仿宋_GB2312"/>
          <w:b/>
          <w:color w:val="000000"/>
          <w:sz w:val="32"/>
          <w:szCs w:val="32"/>
        </w:rPr>
      </w:pPr>
      <w:r>
        <w:rPr>
          <w:rFonts w:ascii="仿宋_GB2312" w:eastAsia="仿宋_GB2312" w:hint="eastAsia"/>
          <w:b/>
          <w:color w:val="000000"/>
          <w:sz w:val="32"/>
          <w:szCs w:val="32"/>
        </w:rPr>
        <w:drawing>
          <wp:inline distT="0" distB="0" distL="0" distR="0">
            <wp:extent cx="4905374" cy="3569970"/>
            <wp:effectExtent l="0" t="0" r="0" b="0"/>
            <wp:docPr id="5" name="图表 4"/>
            <wp:cNvGraphicFramePr>
              <a:graphicFrameLocks noChangeAspect="0"/>
            </wp:cNvGraphicFramePr>
            <a:graphic>
              <a:graphicData uri="http://schemas.openxmlformats.org/drawingml/2006/chart">
                <c:chart xmlns:c="http://schemas.openxmlformats.org/drawingml/2006/chart" r:id="rId8"/>
              </a:graphicData>
            </a:graphic>
          </wp:inline>
        </w:drawing>
      </w:r>
    </w:p>
    <w:p>
      <w:pPr>
        <w:pStyle w:val="15"/>
        <w:ind w:firstLine="0"/>
        <w:rPr>
          <w:rFonts w:ascii="仿宋_GB2312" w:eastAsia="仿宋_GB2312"/>
          <w:b/>
          <w:color w:val="000000"/>
          <w:sz w:val="32"/>
          <w:szCs w:val="32"/>
        </w:rPr>
      </w:pP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（二）一般公共预算财政拨款支出决算结构情况</w:t>
      </w:r>
      <w:bookmarkEnd w:id="45"/>
      <w:r>
        <w:rPr>
          <w:rFonts w:ascii="仿宋" w:eastAsia="仿宋" w:hint="eastAsia"/>
          <w:b/>
          <w:color w:val="000000"/>
          <w:sz w:val="32"/>
          <w:szCs w:val="32"/>
        </w:rPr>
        <w:t>（一般公共预算收支表）</w:t>
      </w:r>
    </w:p>
    <w:p>
      <w:pPr>
        <w:spacing w:line="600" w:lineRule="exact"/>
        <w:ind w:firstLineChars="200" w:firstLine="640"/>
        <w:rPr>
          <w:rFonts w:ascii="仿宋_GB2312" w:eastAsia="仿宋_GB2312"/>
          <w:color w:val="000000"/>
          <w:sz w:val="32"/>
          <w:szCs w:val="32"/>
        </w:rPr>
      </w:pPr>
      <w:r>
        <w:rPr>
          <w:rFonts w:ascii="仿宋" w:eastAsia="仿宋" w:hint="eastAsia"/>
          <w:color w:val="000000"/>
          <w:sz w:val="32"/>
          <w:szCs w:val="32"/>
        </w:rPr>
        <w:t>2021年一般公共预算财政拨款支出755.87万元，主要用于以下方面:一般公共服务支出726.77万元，占96.15%；社会保障和就业支出13.52万元，占1.79%；卫生健康支出6.41万元，占0.85%；住房保障支出9.17万元，占1.21%。</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（图6：一般公共预算财政拨款支出决算结构）</w:t>
      </w:r>
      <w:bookmarkStart w:id="46" w:name="_Toc15377212"/>
    </w:p>
    <w:p>
      <w:pPr>
        <w:pStyle w:val="15"/>
      </w:pPr>
      <w:r>
        <w:drawing>
          <wp:inline distT="0" distB="0" distL="0" distR="0">
            <wp:extent cx="4333240" cy="2886075"/>
            <wp:effectExtent l="0" t="0" r="0" b="0"/>
            <wp:docPr id="6" name="图表 1"/>
            <wp:cNvGraphicFramePr>
              <a:graphicFrameLocks noChangeAspect="0"/>
            </wp:cNvGraphicFramePr>
            <a:graphic>
              <a:graphicData uri="http://schemas.openxmlformats.org/drawingml/2006/chart">
                <c:chart xmlns:c="http://schemas.openxmlformats.org/drawingml/2006/chart" r:id="rId9"/>
              </a:graphicData>
            </a:graphic>
          </wp:inline>
        </w:drawing>
      </w: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（三）一般公共预算财政拨款支出决算具体情况</w:t>
      </w:r>
      <w:bookmarkEnd w:id="46"/>
    </w:p>
    <w:p>
      <w:pPr>
        <w:spacing w:line="600" w:lineRule="exact"/>
        <w:ind w:firstLine="640"/>
        <w:rPr>
          <w:rFonts w:ascii="仿宋" w:eastAsia="仿宋"/>
          <w:color w:val="000000"/>
          <w:sz w:val="32"/>
          <w:szCs w:val="32"/>
        </w:rPr>
      </w:pPr>
      <w:bookmarkStart w:id="47" w:name="_Toc15377213"/>
      <w:bookmarkStart w:id="48" w:name="_Toc15378460"/>
      <w:bookmarkStart w:id="49" w:name="_Toc15377444"/>
      <w:r>
        <w:rPr>
          <w:rFonts w:ascii="仿宋" w:eastAsia="仿宋" w:hint="eastAsia"/>
          <w:color w:val="000000"/>
          <w:sz w:val="32"/>
          <w:szCs w:val="32"/>
        </w:rPr>
        <w:t>2021年一般公共预算支出决算数为755.87万</w:t>
      </w:r>
      <w:r>
        <w:rPr>
          <w:rFonts w:ascii="仿宋" w:eastAsia="仿宋" w:hint="eastAsia"/>
          <w:color w:val="000000"/>
          <w:sz w:val="32"/>
          <w:szCs w:val="32"/>
          <w:lang w:eastAsia="zh-CN"/>
        </w:rPr>
        <w:t>元</w:t>
      </w:r>
      <w:r>
        <w:rPr>
          <w:rFonts w:ascii="仿宋" w:eastAsia="仿宋" w:hint="eastAsia"/>
          <w:color w:val="000000"/>
          <w:sz w:val="32"/>
          <w:szCs w:val="32"/>
        </w:rPr>
        <w:t>，完成预算100%。其中：</w:t>
      </w:r>
      <w:bookmarkEnd w:id="47"/>
      <w:bookmarkEnd w:id="48"/>
      <w:bookmarkEnd w:id="49"/>
    </w:p>
    <w:p>
      <w:pPr>
        <w:spacing w:line="600" w:lineRule="exact"/>
        <w:ind w:firstLine="640"/>
        <w:rPr>
          <w:rFonts w:ascii="仿宋" w:eastAsia="仿宋"/>
          <w:color w:val="000000"/>
          <w:sz w:val="32"/>
          <w:szCs w:val="32"/>
        </w:rPr>
      </w:pPr>
      <w:r>
        <w:rPr>
          <w:rFonts w:ascii="仿宋" w:eastAsia="仿宋" w:hint="eastAsia"/>
          <w:color w:val="000000"/>
          <w:sz w:val="32"/>
          <w:szCs w:val="32"/>
        </w:rPr>
        <w:t>1.一般公共服务支出（201）群众团体事务（20129）行政运行（2012901）支出决算126.77万元，完成预算100%。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2.一般公共服务支出（201）群众团体事务（20129）其他群众团体事务支出（2012999）支出决算600.00万元，完成预算100%。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3.社会保障和就业支出（208）行政事业单位养老支出（20805）机关事业单位基本养老保险缴费支出（2080505）支出决算8.70万元，完成预算100%。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4.社会保障和就业支出（208）行政事业单位养老支出（20805）机关事业单位职业年金缴费支出（2080506）支出决算4.35万元，完成预算100%。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5.社会保障和就业支出（208）退役军人管理事务（20828）拥军优属（2082804）支出决算0.48万元，完成预算100%。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6.卫生健康支出（210）行政事业单位医疗（21011）行政单位医疗（2101101）支出决算6.41万元，完成预算100%。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7.住房保障支出（221）住房改革支出（22102）住房公积金（2210201）支出决算9.17万元，完成预算100%。</w:t>
      </w:r>
    </w:p>
    <w:p>
      <w:pPr>
        <w:pStyle w:val="2"/>
        <w:ind w:firstLineChars="200" w:firstLine="640"/>
        <w:rPr>
          <w:rFonts w:ascii="黑体" w:eastAsia="黑体" w:cs="Times New Roman"/>
          <w:b w:val="0"/>
          <w:color w:val="000000"/>
        </w:rPr>
      </w:pPr>
      <w:bookmarkStart w:id="50" w:name="_Toc15377214"/>
      <w:bookmarkStart w:id="51" w:name="_Toc111208504"/>
      <w:bookmarkStart w:id="52" w:name="_Toc115102366"/>
      <w:r>
        <w:rPr>
          <w:rFonts w:ascii="黑体" w:eastAsia="黑体" w:cs="Times New Roman" w:hint="eastAsia"/>
          <w:bCs w:val="0"/>
          <w:color w:val="000000"/>
        </w:rPr>
        <w:t>六、一般公共预算财政拨款基本支出决算情况说</w:t>
      </w:r>
      <w:bookmarkEnd w:id="50"/>
      <w:r>
        <w:rPr>
          <w:rFonts w:ascii="黑体" w:eastAsia="黑体" w:cs="Times New Roman" w:hint="eastAsia"/>
          <w:bCs w:val="0"/>
          <w:color w:val="000000"/>
        </w:rPr>
        <w:t>明</w:t>
      </w:r>
      <w:bookmarkEnd w:id="51"/>
      <w:bookmarkEnd w:id="52"/>
    </w:p>
    <w:p>
      <w:pPr>
        <w:spacing w:line="600" w:lineRule="exact"/>
        <w:ind w:firstLine="640"/>
        <w:rPr>
          <w:rFonts w:ascii="仿宋" w:eastAsia="仿宋"/>
          <w:color w:val="000000"/>
          <w:sz w:val="32"/>
          <w:szCs w:val="32"/>
        </w:rPr>
      </w:pPr>
      <w:r>
        <w:rPr>
          <w:rFonts w:ascii="仿宋" w:eastAsia="仿宋" w:hint="eastAsia"/>
          <w:color w:val="000000"/>
          <w:sz w:val="32"/>
          <w:szCs w:val="32"/>
        </w:rPr>
        <w:t>2021年一般公共预算财政拨款基本支出155.39万元，其中：人员经费137.46万元，主要包括：基本工资29.49万元、津贴补贴25.14万元、奖金41.39万元、机关事业单位基本养老保险缴费8.70万元、职业年金缴费4.35万元、职工基本医疗保险缴费6.41万元、其他社会保障缴费0.21万元、住房公积金9.17万元、医疗费1.24万元、生活补助11.37万元。公用经费17.93万元，主要包括：办公费0.49万元、邮电费0.97万元、差旅费4.47万元、其他交通费用12.00万元。</w:t>
      </w:r>
    </w:p>
    <w:p>
      <w:pPr>
        <w:pStyle w:val="2"/>
        <w:ind w:firstLineChars="200" w:firstLine="640"/>
        <w:rPr>
          <w:rFonts w:ascii="黑体" w:eastAsia="黑体" w:cs="Times New Roman"/>
          <w:bCs w:val="0"/>
          <w:color w:val="000000"/>
        </w:rPr>
      </w:pPr>
      <w:bookmarkStart w:id="53" w:name="_Toc15377215"/>
      <w:bookmarkStart w:id="54" w:name="_Toc111208505"/>
      <w:bookmarkStart w:id="55" w:name="_Toc115102367"/>
      <w:r>
        <w:rPr>
          <w:rFonts w:ascii="黑体" w:eastAsia="黑体" w:cs="Times New Roman" w:hint="eastAsia"/>
          <w:bCs w:val="0"/>
          <w:color w:val="000000"/>
        </w:rPr>
        <w:t>七、“三公”经费财政拨款支出决算情况说明</w:t>
      </w:r>
      <w:bookmarkEnd w:id="53"/>
      <w:bookmarkEnd w:id="54"/>
      <w:bookmarkEnd w:id="55"/>
    </w:p>
    <w:p>
      <w:pPr>
        <w:spacing w:line="600" w:lineRule="exact"/>
        <w:ind w:firstLineChars="200" w:firstLine="640"/>
        <w:outlineLvl w:val="2"/>
        <w:rPr>
          <w:rFonts w:ascii="仿宋" w:eastAsia="仿宋"/>
          <w:b/>
          <w:color w:val="000000"/>
          <w:sz w:val="32"/>
          <w:szCs w:val="32"/>
        </w:rPr>
      </w:pPr>
      <w:bookmarkStart w:id="56" w:name="_Toc15377216"/>
      <w:r>
        <w:rPr>
          <w:rFonts w:ascii="仿宋" w:eastAsia="仿宋" w:hint="eastAsia"/>
          <w:b/>
          <w:color w:val="000000"/>
          <w:sz w:val="32"/>
          <w:szCs w:val="32"/>
        </w:rPr>
        <w:t>（一）“三公”经费财政拨款支出决算总体情况说明</w:t>
      </w:r>
      <w:bookmarkEnd w:id="56"/>
    </w:p>
    <w:p>
      <w:pPr>
        <w:spacing w:line="600" w:lineRule="exact"/>
        <w:ind w:firstLine="640"/>
        <w:rPr>
          <w:rFonts w:ascii="仿宋" w:eastAsia="仿宋"/>
          <w:color w:val="000000"/>
          <w:sz w:val="32"/>
          <w:szCs w:val="32"/>
        </w:rPr>
      </w:pPr>
      <w:r>
        <w:rPr>
          <w:rFonts w:ascii="仿宋" w:eastAsia="仿宋" w:hint="eastAsia"/>
          <w:color w:val="000000"/>
          <w:sz w:val="32"/>
          <w:szCs w:val="32"/>
        </w:rPr>
        <w:t>2021年“三公”经费财政拨款支出决算为0.00万元，完成预算0.00%。</w:t>
      </w:r>
      <w:bookmarkStart w:id="57" w:name="_Toc15377217"/>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（二）“三公”经费财政拨款支出决算具体情况说明</w:t>
      </w:r>
      <w:bookmarkEnd w:id="57"/>
    </w:p>
    <w:p>
      <w:pPr>
        <w:spacing w:line="600" w:lineRule="exact"/>
        <w:ind w:firstLine="640"/>
        <w:rPr>
          <w:rFonts w:ascii="仿宋" w:eastAsia="仿宋"/>
          <w:color w:val="000000"/>
          <w:sz w:val="32"/>
          <w:szCs w:val="32"/>
        </w:rPr>
      </w:pPr>
      <w:r>
        <w:rPr>
          <w:rFonts w:ascii="仿宋" w:eastAsia="仿宋" w:hint="eastAsia"/>
          <w:color w:val="000000"/>
          <w:sz w:val="32"/>
          <w:szCs w:val="32"/>
        </w:rPr>
        <w:t>2021年“三公”经费财政拨款支出0.00万</w:t>
      </w:r>
      <w:r>
        <w:rPr>
          <w:rFonts w:ascii="仿宋" w:eastAsia="仿宋" w:hint="eastAsia"/>
          <w:color w:val="000000"/>
          <w:sz w:val="32"/>
          <w:szCs w:val="32"/>
          <w:lang w:eastAsia="zh-CN"/>
        </w:rPr>
        <w:t>元</w:t>
      </w:r>
      <w:r>
        <w:rPr>
          <w:rFonts w:ascii="仿宋" w:eastAsia="仿宋" w:hint="eastAsia"/>
          <w:color w:val="000000"/>
          <w:sz w:val="32"/>
          <w:szCs w:val="32"/>
        </w:rPr>
        <w:t>，因公出国（境）费支出决算0.00万元，占0.00%；公务用车购置及运行维护费支出决算0.00万元，占0.00%；公务接待费支出决算0.00万元，占0.00%。具体情况如下：</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（图7：“三公”经费财政拨款支出结构）</w:t>
      </w:r>
    </w:p>
    <w:p>
      <w:pPr>
        <w:pStyle w:val="15"/>
        <w:rPr>
          <w:rFonts w:ascii="仿宋_GB2312" w:eastAsia="仿宋_GB2312"/>
          <w:color w:val="000000"/>
          <w:sz w:val="32"/>
          <w:szCs w:val="32"/>
        </w:rPr>
      </w:pPr>
      <w:r>
        <w:drawing>
          <wp:inline distT="0" distB="0" distL="0" distR="0">
            <wp:extent cx="4333240" cy="2886075"/>
            <wp:effectExtent l="0" t="0" r="0" b="0"/>
            <wp:docPr id="7" name="图表 6"/>
            <wp:cNvGraphicFramePr>
              <a:graphicFrameLocks noChangeAspect="0"/>
            </wp:cNvGraphicFramePr>
            <a:graphic>
              <a:graphicData uri="http://schemas.openxmlformats.org/drawingml/2006/chart">
                <c:chart xmlns:c="http://schemas.openxmlformats.org/drawingml/2006/chart" r:id="rId10"/>
              </a:graphicData>
            </a:graphic>
          </wp:inline>
        </w:drawing>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1.因公出国（境）经费支出0.00万元,完成预算100%。全年安排因公出国（境）团组0次，出国（境）0人。因公出国（境）支出决算比2020年增加0.00万元。 </w:t>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2.公务用车购置及运行维护费支出0.00万元,完成预算0.00%。公务用车购置及运行维护费支出决算比2020年增加0.00万元，增加0%。 </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其中：公务用车购置支出0.00万元。全年按规定更新购置公务用车0辆，其中：轿车0辆、金额0.00万元，越野车0辆、金额0.00万元，载客汽车0辆、金额0.00万元。截至</w:t>
      </w:r>
      <w:r>
        <w:rPr>
          <w:rFonts w:ascii="仿宋" w:eastAsia="仿宋"/>
          <w:color w:val="000000"/>
          <w:sz w:val="32"/>
          <w:szCs w:val="32"/>
        </w:rPr>
        <w:t>20</w:t>
      </w:r>
      <w:r>
        <w:rPr>
          <w:rFonts w:ascii="仿宋" w:eastAsia="仿宋" w:hint="eastAsia"/>
          <w:color w:val="000000"/>
          <w:sz w:val="32"/>
          <w:szCs w:val="32"/>
        </w:rPr>
        <w:t>21年</w:t>
      </w:r>
      <w:r>
        <w:rPr>
          <w:rFonts w:ascii="仿宋" w:eastAsia="仿宋"/>
          <w:color w:val="000000"/>
          <w:sz w:val="32"/>
          <w:szCs w:val="32"/>
        </w:rPr>
        <w:t>12</w:t>
      </w:r>
      <w:r>
        <w:rPr>
          <w:rFonts w:ascii="仿宋" w:eastAsia="仿宋" w:hint="eastAsia"/>
          <w:color w:val="000000"/>
          <w:sz w:val="32"/>
          <w:szCs w:val="32"/>
        </w:rPr>
        <w:t>月底，单位共有公务用车0辆，其中：轿车0辆、越野车0辆、载客汽车0辆。</w:t>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公务用车运行维护费支出0.00万元。 </w:t>
      </w:r>
    </w:p>
    <w:p>
      <w:pPr>
        <w:spacing w:line="600" w:lineRule="exact"/>
        <w:ind w:firstLine="640"/>
        <w:rPr>
          <w:rFonts w:ascii="仿宋" w:eastAsia="仿宋"/>
          <w:color w:val="000000"/>
          <w:sz w:val="32"/>
          <w:szCs w:val="32"/>
        </w:rPr>
      </w:pPr>
      <w:r>
        <w:rPr>
          <w:rFonts w:ascii="仿宋" w:eastAsia="仿宋" w:hint="eastAsia"/>
          <w:color w:val="000000"/>
          <w:sz w:val="32"/>
          <w:szCs w:val="32"/>
        </w:rPr>
        <w:t>3.公务接待费支出0.00万元，完成预算0.00%。公务接待费支出决算比2020年减少0.29万元，增加0.00</w:t>
      </w:r>
      <w:r>
        <w:rPr>
          <w:rFonts w:ascii="仿宋" w:eastAsia="仿宋"/>
          <w:color w:val="000000"/>
          <w:sz w:val="32"/>
          <w:szCs w:val="32"/>
        </w:rPr>
        <w:t>%</w:t>
      </w:r>
      <w:r>
        <w:rPr>
          <w:rFonts w:ascii="仿宋" w:eastAsia="仿宋" w:hint="eastAsia"/>
          <w:color w:val="000000"/>
          <w:sz w:val="32"/>
          <w:szCs w:val="32"/>
        </w:rPr>
        <w:t>。</w:t>
      </w:r>
      <w:bookmarkStart w:id="58" w:name="_Toc15377218"/>
      <w:r>
        <w:rPr>
          <w:rFonts w:ascii="仿宋" w:eastAsia="仿宋" w:hint="eastAsia"/>
          <w:color w:val="000000"/>
          <w:sz w:val="32"/>
          <w:szCs w:val="32"/>
        </w:rPr>
        <w:t xml:space="preserve">主要原因是今年没有公务接待费。 </w:t>
      </w:r>
    </w:p>
    <w:p>
      <w:pPr>
        <w:spacing w:line="600" w:lineRule="exact"/>
        <w:ind w:firstLine="640"/>
        <w:rPr>
          <w:rFonts w:ascii="仿宋" w:eastAsia="仿宋"/>
          <w:color w:val="000000"/>
          <w:sz w:val="32"/>
          <w:szCs w:val="32"/>
        </w:rPr>
      </w:pPr>
      <w:r>
        <w:rPr>
          <w:rFonts w:ascii="仿宋" w:eastAsia="仿宋" w:hint="eastAsia"/>
          <w:color w:val="000000"/>
          <w:sz w:val="32"/>
          <w:szCs w:val="32"/>
        </w:rPr>
        <w:t>国内公务接待支出0.00万元。国内公务接待0批次，0人次（不包括陪同人员），共计支出0.00万元。</w:t>
      </w:r>
    </w:p>
    <w:p>
      <w:pPr>
        <w:pStyle w:val="15"/>
        <w:rPr>
          <w:rFonts w:ascii="仿宋" w:eastAsia="仿宋"/>
          <w:color w:val="000000"/>
          <w:sz w:val="32"/>
          <w:szCs w:val="32"/>
        </w:rPr>
      </w:pPr>
      <w:r>
        <w:rPr>
          <w:rFonts w:ascii="仿宋" w:eastAsia="仿宋" w:hint="eastAsia"/>
          <w:color w:val="000000"/>
          <w:sz w:val="32"/>
          <w:szCs w:val="32"/>
        </w:rPr>
        <w:t>外事接待支出0.00万元，外事接待0批次，0人，共计支出0.00万元。</w:t>
      </w:r>
    </w:p>
    <w:p>
      <w:pPr>
        <w:pStyle w:val="2"/>
        <w:ind w:firstLineChars="200" w:firstLine="640"/>
        <w:rPr>
          <w:rFonts w:ascii="黑体" w:eastAsia="黑体" w:cs="Times New Roman"/>
          <w:bCs w:val="0"/>
          <w:color w:val="000000"/>
        </w:rPr>
      </w:pPr>
      <w:bookmarkStart w:id="59" w:name="_Toc115102368"/>
      <w:bookmarkStart w:id="60" w:name="_Toc111208506"/>
      <w:r>
        <w:rPr>
          <w:rFonts w:ascii="黑体" w:eastAsia="黑体" w:cs="Times New Roman" w:hint="eastAsia"/>
          <w:bCs w:val="0"/>
          <w:color w:val="000000"/>
        </w:rPr>
        <w:t>八、政府性基金预算支出决算情况说明</w:t>
      </w:r>
      <w:bookmarkEnd w:id="58"/>
      <w:bookmarkEnd w:id="59"/>
      <w:bookmarkEnd w:id="60"/>
    </w:p>
    <w:p>
      <w:pPr>
        <w:spacing w:line="600" w:lineRule="exact"/>
        <w:ind w:firstLine="640"/>
        <w:rPr>
          <w:rFonts w:ascii="仿宋" w:eastAsia="仿宋"/>
        </w:rPr>
      </w:pPr>
      <w:r>
        <w:rPr>
          <w:rFonts w:ascii="仿宋" w:eastAsia="仿宋" w:hint="eastAsia"/>
          <w:color w:val="000000"/>
          <w:sz w:val="32"/>
          <w:szCs w:val="32"/>
        </w:rPr>
        <w:t>2021年政府性基金预算拨款支出0.00万元。</w:t>
      </w:r>
      <w:bookmarkStart w:id="61" w:name="_Toc15377219"/>
    </w:p>
    <w:p>
      <w:pPr>
        <w:pStyle w:val="2"/>
        <w:ind w:firstLineChars="200" w:firstLine="640"/>
        <w:rPr>
          <w:rFonts w:ascii="黑体" w:eastAsia="黑体" w:cs="Times New Roman"/>
          <w:bCs w:val="0"/>
          <w:color w:val="000000"/>
        </w:rPr>
      </w:pPr>
      <w:bookmarkStart w:id="62" w:name="_Toc111208507"/>
      <w:bookmarkStart w:id="63" w:name="_Toc115102369"/>
      <w:r>
        <w:rPr>
          <w:rFonts w:ascii="黑体" w:eastAsia="黑体" w:cs="Times New Roman" w:hint="eastAsia"/>
          <w:bCs w:val="0"/>
          <w:color w:val="000000"/>
        </w:rPr>
        <w:t>九、国有资本经营预算支出决算情况说明</w:t>
      </w:r>
      <w:bookmarkEnd w:id="61"/>
      <w:bookmarkEnd w:id="62"/>
      <w:bookmarkEnd w:id="63"/>
    </w:p>
    <w:p>
      <w:pPr>
        <w:spacing w:line="600" w:lineRule="exact"/>
        <w:ind w:firstLine="640"/>
        <w:rPr>
          <w:rFonts w:ascii="仿宋" w:eastAsia="仿宋"/>
        </w:rPr>
      </w:pPr>
      <w:r>
        <w:rPr>
          <w:rFonts w:ascii="仿宋" w:eastAsia="仿宋" w:hint="eastAsia"/>
          <w:color w:val="000000"/>
          <w:sz w:val="32"/>
          <w:szCs w:val="32"/>
        </w:rPr>
        <w:t>2021年国有资本经营预算拨款支出0.00万元。</w:t>
      </w:r>
    </w:p>
    <w:p>
      <w:pPr>
        <w:pStyle w:val="2"/>
        <w:ind w:firstLineChars="200" w:firstLine="640"/>
        <w:rPr>
          <w:rFonts w:ascii="黑体" w:eastAsia="黑体" w:cs="Times New Roman"/>
          <w:bCs w:val="0"/>
          <w:color w:val="000000"/>
        </w:rPr>
      </w:pPr>
      <w:bookmarkStart w:id="64" w:name="_Toc15377221"/>
      <w:bookmarkStart w:id="65" w:name="_Toc111208508"/>
      <w:bookmarkStart w:id="66" w:name="_Toc115102370"/>
      <w:r>
        <w:rPr>
          <w:rFonts w:ascii="黑体" w:eastAsia="黑体" w:cs="Times New Roman" w:hint="eastAsia"/>
          <w:bCs w:val="0"/>
          <w:color w:val="000000"/>
        </w:rPr>
        <w:t>十、其他重要事项的情况说明</w:t>
      </w:r>
      <w:bookmarkEnd w:id="64"/>
      <w:bookmarkEnd w:id="65"/>
      <w:bookmarkEnd w:id="66"/>
    </w:p>
    <w:p>
      <w:pPr>
        <w:spacing w:line="600" w:lineRule="exact"/>
        <w:ind w:firstLineChars="200" w:firstLine="640"/>
        <w:outlineLvl w:val="2"/>
        <w:rPr>
          <w:rFonts w:ascii="仿宋" w:eastAsia="仿宋"/>
          <w:b/>
          <w:color w:val="000000"/>
          <w:sz w:val="32"/>
          <w:szCs w:val="32"/>
        </w:rPr>
      </w:pPr>
      <w:bookmarkStart w:id="67" w:name="_Toc15377222"/>
      <w:r>
        <w:rPr>
          <w:rFonts w:ascii="仿宋" w:eastAsia="仿宋" w:hint="eastAsia"/>
          <w:b/>
          <w:color w:val="000000"/>
          <w:sz w:val="32"/>
          <w:szCs w:val="32"/>
        </w:rPr>
        <w:t>（一）机关运行经费支出情况</w:t>
      </w:r>
      <w:bookmarkEnd w:id="67"/>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2021年，机关运行经费支出17.93万元，比2020年增加4.69万元，增加35.47 %。主要原因是人员增加，工资增加。 </w:t>
      </w:r>
    </w:p>
    <w:p>
      <w:pPr>
        <w:spacing w:line="600" w:lineRule="exact"/>
        <w:ind w:firstLineChars="200" w:firstLine="640"/>
        <w:outlineLvl w:val="2"/>
        <w:rPr>
          <w:rFonts w:ascii="仿宋" w:eastAsia="仿宋"/>
          <w:b/>
          <w:color w:val="000000"/>
          <w:sz w:val="32"/>
          <w:szCs w:val="32"/>
        </w:rPr>
      </w:pPr>
      <w:bookmarkStart w:id="68" w:name="_Toc15377223"/>
      <w:r>
        <w:rPr>
          <w:rFonts w:ascii="仿宋" w:eastAsia="仿宋" w:hint="eastAsia"/>
          <w:b/>
          <w:color w:val="000000"/>
          <w:sz w:val="32"/>
          <w:szCs w:val="32"/>
        </w:rPr>
        <w:t>（二）政府采购支出情况</w:t>
      </w:r>
      <w:bookmarkEnd w:id="68"/>
      <w:r>
        <w:rPr>
          <w:rFonts w:ascii="仿宋" w:eastAsia="仿宋" w:hint="eastAsia"/>
          <w:b/>
          <w:color w:val="000000"/>
          <w:sz w:val="32"/>
          <w:szCs w:val="32"/>
        </w:rPr>
        <w:t>(机构运行信息表)</w:t>
      </w:r>
    </w:p>
    <w:p>
      <w:pPr>
        <w:spacing w:line="600" w:lineRule="exact"/>
        <w:ind w:firstLineChars="200" w:firstLine="640"/>
        <w:rPr>
          <w:rFonts w:ascii="仿宋_GB2312" w:eastAsia="仿宋_GB2312"/>
          <w:color w:val="000000"/>
          <w:sz w:val="32"/>
          <w:szCs w:val="32"/>
        </w:rPr>
      </w:pPr>
      <w:r>
        <w:rPr>
          <w:rFonts w:ascii="仿宋" w:eastAsia="仿宋" w:hint="eastAsia"/>
          <w:color w:val="000000"/>
          <w:sz w:val="32"/>
          <w:szCs w:val="32"/>
        </w:rPr>
        <w:t>2021年，政府采购支出总额0.00万元，其中：政府采购货物支出0.00万元、政府采购工程支出0.00万元、政府采购服务支出0.00万元。授予中小企业合同金额0.00万元，其中：授予小微企业合同金额0.00万元，占总合同的0.00%。</w:t>
      </w:r>
    </w:p>
    <w:p>
      <w:pPr>
        <w:spacing w:line="600" w:lineRule="exact"/>
        <w:ind w:firstLineChars="200" w:firstLine="640"/>
        <w:outlineLvl w:val="2"/>
        <w:rPr>
          <w:rFonts w:ascii="仿宋" w:eastAsia="仿宋"/>
          <w:b/>
          <w:color w:val="000000"/>
          <w:sz w:val="32"/>
          <w:szCs w:val="32"/>
        </w:rPr>
      </w:pPr>
      <w:bookmarkStart w:id="69" w:name="_Toc15377224"/>
      <w:r>
        <w:rPr>
          <w:rFonts w:ascii="仿宋" w:eastAsia="仿宋" w:hint="eastAsia"/>
          <w:b/>
          <w:color w:val="000000"/>
          <w:sz w:val="32"/>
          <w:szCs w:val="32"/>
        </w:rPr>
        <w:t>（三）国有资产占有使用情况</w:t>
      </w:r>
      <w:bookmarkEnd w:id="69"/>
    </w:p>
    <w:p>
      <w:pPr>
        <w:spacing w:line="600" w:lineRule="exact"/>
        <w:ind w:firstLine="640"/>
        <w:rPr>
          <w:rFonts w:ascii="仿宋" w:eastAsia="仿宋"/>
          <w:color w:val="000000"/>
          <w:sz w:val="32"/>
          <w:szCs w:val="32"/>
        </w:rPr>
      </w:pPr>
      <w:r>
        <w:rPr>
          <w:rFonts w:ascii="仿宋" w:eastAsia="仿宋" w:hint="eastAsia"/>
          <w:color w:val="000000"/>
          <w:sz w:val="32"/>
          <w:szCs w:val="32"/>
        </w:rPr>
        <w:t>截至2021年</w:t>
      </w:r>
      <w:r>
        <w:rPr>
          <w:rFonts w:ascii="仿宋" w:eastAsia="仿宋"/>
          <w:color w:val="000000"/>
          <w:sz w:val="32"/>
          <w:szCs w:val="32"/>
        </w:rPr>
        <w:t>12</w:t>
      </w:r>
      <w:r>
        <w:rPr>
          <w:rFonts w:ascii="仿宋" w:eastAsia="仿宋" w:hint="eastAsia"/>
          <w:color w:val="000000"/>
          <w:sz w:val="32"/>
          <w:szCs w:val="32"/>
        </w:rPr>
        <w:t>月</w:t>
      </w:r>
      <w:r>
        <w:rPr>
          <w:rFonts w:ascii="仿宋" w:eastAsia="仿宋"/>
          <w:color w:val="000000"/>
          <w:sz w:val="32"/>
          <w:szCs w:val="32"/>
        </w:rPr>
        <w:t>31</w:t>
      </w:r>
      <w:r>
        <w:rPr>
          <w:rFonts w:ascii="仿宋" w:eastAsia="仿宋" w:hint="eastAsia"/>
          <w:color w:val="000000"/>
          <w:sz w:val="32"/>
          <w:szCs w:val="32"/>
        </w:rPr>
        <w:t>日，共有车辆0辆，其中：主要领导干部用车0辆、机要通信用车0辆、应急保障用车0辆、其他用车0辆。单价</w:t>
      </w:r>
      <w:r>
        <w:rPr>
          <w:rFonts w:ascii="仿宋" w:eastAsia="仿宋"/>
          <w:color w:val="000000"/>
          <w:sz w:val="32"/>
          <w:szCs w:val="32"/>
        </w:rPr>
        <w:t>50</w:t>
      </w:r>
      <w:r>
        <w:rPr>
          <w:rFonts w:ascii="仿宋" w:eastAsia="仿宋" w:hint="eastAsia"/>
          <w:color w:val="000000"/>
          <w:sz w:val="32"/>
          <w:szCs w:val="32"/>
        </w:rPr>
        <w:t>万元以上通用设备0台（套），单价</w:t>
      </w:r>
      <w:r>
        <w:rPr>
          <w:rFonts w:ascii="仿宋" w:eastAsia="仿宋"/>
          <w:color w:val="000000"/>
          <w:sz w:val="32"/>
          <w:szCs w:val="32"/>
        </w:rPr>
        <w:t>100</w:t>
      </w:r>
      <w:r>
        <w:rPr>
          <w:rFonts w:ascii="仿宋" w:eastAsia="仿宋" w:hint="eastAsia"/>
          <w:color w:val="000000"/>
          <w:sz w:val="32"/>
          <w:szCs w:val="32"/>
        </w:rPr>
        <w:t>万元以上专用设备0台（套）。</w:t>
      </w: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（四）预算绩效管理情况</w:t>
      </w:r>
    </w:p>
    <w:p>
      <w:pPr>
        <w:pStyle w:val="15"/>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1"/>
        <w:jc w:val="center"/>
        <w:rPr>
          <w:rFonts w:ascii="黑体" w:eastAsia="黑体" w:cs="黑体"/>
        </w:rPr>
      </w:pPr>
      <w:bookmarkStart w:id="70" w:name="_Toc15377225"/>
      <w:bookmarkStart w:id="71" w:name="_Toc111208509"/>
      <w:bookmarkStart w:id="72" w:name="_Toc115102371"/>
      <w:r>
        <w:rPr>
          <w:rFonts w:ascii="黑体" w:eastAsia="黑体" w:cs="黑体" w:hint="eastAsia"/>
        </w:rPr>
        <w:t>第三部分 名词解释</w:t>
      </w:r>
      <w:bookmarkEnd w:id="70"/>
      <w:bookmarkEnd w:id="71"/>
      <w:bookmarkEnd w:id="72"/>
    </w:p>
    <w:p>
      <w:pPr>
        <w:spacing w:line="600" w:lineRule="exact"/>
        <w:ind w:firstLine="640"/>
        <w:rPr>
          <w:rFonts w:ascii="仿宋" w:eastAsia="仿宋"/>
          <w:color w:val="000000"/>
          <w:sz w:val="32"/>
          <w:szCs w:val="32"/>
        </w:rPr>
      </w:pPr>
      <w:r>
        <w:rPr>
          <w:rFonts w:ascii="仿宋" w:eastAsia="仿宋"/>
          <w:color w:val="000000"/>
          <w:sz w:val="32"/>
          <w:szCs w:val="32"/>
        </w:rPr>
        <w:t>1.</w:t>
      </w:r>
      <w:r>
        <w:rPr>
          <w:rFonts w:ascii="仿宋" w:eastAsia="仿宋" w:hint="eastAsia"/>
          <w:color w:val="000000"/>
          <w:sz w:val="32"/>
          <w:szCs w:val="32"/>
        </w:rPr>
        <w:t>财政拨款收入：指单位从同级财政部门取得的财政预算资金。</w:t>
      </w:r>
    </w:p>
    <w:p>
      <w:pPr>
        <w:spacing w:line="600" w:lineRule="exact"/>
        <w:ind w:firstLine="640"/>
        <w:rPr>
          <w:rFonts w:ascii="仿宋" w:eastAsia="仿宋"/>
          <w:color w:val="000000"/>
          <w:sz w:val="32"/>
          <w:szCs w:val="32"/>
        </w:rPr>
      </w:pPr>
      <w:r>
        <w:rPr>
          <w:rFonts w:ascii="仿宋" w:eastAsia="仿宋"/>
          <w:color w:val="000000"/>
          <w:sz w:val="32"/>
          <w:szCs w:val="32"/>
        </w:rPr>
        <w:t>2.</w:t>
      </w:r>
      <w:r>
        <w:rPr>
          <w:rFonts w:ascii="仿宋" w:eastAsia="仿宋" w:hint="eastAsia"/>
          <w:color w:val="000000"/>
          <w:sz w:val="32"/>
          <w:szCs w:val="32"/>
        </w:rPr>
        <w:t>事业收入：指事业单位开展专业业务活动及辅助活动取得的收入。</w:t>
      </w:r>
    </w:p>
    <w:p>
      <w:pPr>
        <w:spacing w:line="600" w:lineRule="exact"/>
        <w:ind w:firstLine="640"/>
        <w:rPr>
          <w:rFonts w:ascii="仿宋" w:eastAsia="仿宋"/>
          <w:color w:val="000000"/>
          <w:sz w:val="32"/>
          <w:szCs w:val="32"/>
        </w:rPr>
      </w:pPr>
      <w:r>
        <w:rPr>
          <w:rFonts w:ascii="仿宋" w:eastAsia="仿宋"/>
          <w:color w:val="000000"/>
          <w:sz w:val="32"/>
          <w:szCs w:val="32"/>
        </w:rPr>
        <w:t>3.</w:t>
      </w:r>
      <w:r>
        <w:rPr>
          <w:rFonts w:ascii="仿宋" w:eastAsia="仿宋" w:hint="eastAsia"/>
          <w:color w:val="000000"/>
          <w:sz w:val="32"/>
          <w:szCs w:val="32"/>
        </w:rPr>
        <w:t>经营收入：指事业单位在专业业务活动及其辅助活动之外开展非独立核算经营活动取得的收入</w:t>
      </w:r>
    </w:p>
    <w:p>
      <w:pPr>
        <w:spacing w:line="600" w:lineRule="exact"/>
        <w:ind w:firstLine="640"/>
        <w:rPr>
          <w:rFonts w:ascii="仿宋" w:eastAsia="仿宋"/>
          <w:color w:val="000000"/>
          <w:sz w:val="32"/>
          <w:szCs w:val="32"/>
        </w:rPr>
      </w:pPr>
      <w:r>
        <w:rPr>
          <w:rFonts w:ascii="仿宋" w:eastAsia="仿宋"/>
          <w:color w:val="000000"/>
          <w:sz w:val="32"/>
          <w:szCs w:val="32"/>
        </w:rPr>
        <w:t>4.</w:t>
      </w:r>
      <w:r>
        <w:rPr>
          <w:rFonts w:ascii="仿宋" w:eastAsia="仿宋" w:hint="eastAsia"/>
          <w:color w:val="000000"/>
          <w:sz w:val="32"/>
          <w:szCs w:val="32"/>
        </w:rPr>
        <w:t>其他收入：指单位取得的除上述收入以外的各项收入。</w:t>
      </w:r>
    </w:p>
    <w:p>
      <w:pPr>
        <w:spacing w:line="600" w:lineRule="exact"/>
        <w:ind w:firstLine="640"/>
        <w:rPr>
          <w:rFonts w:ascii="仿宋" w:eastAsia="仿宋"/>
          <w:color w:val="000000"/>
          <w:sz w:val="32"/>
          <w:szCs w:val="32"/>
        </w:rPr>
      </w:pPr>
      <w:r>
        <w:rPr>
          <w:rFonts w:ascii="仿宋" w:eastAsia="仿宋"/>
          <w:color w:val="000000"/>
          <w:sz w:val="32"/>
          <w:szCs w:val="32"/>
        </w:rPr>
        <w:t>5.</w:t>
      </w:r>
      <w:r>
        <w:rPr>
          <w:rFonts w:ascii="仿宋" w:eastAsia="仿宋" w:hint="eastAsia"/>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600" w:lineRule="exact"/>
        <w:ind w:firstLine="640"/>
        <w:rPr>
          <w:rFonts w:ascii="仿宋" w:eastAsia="仿宋"/>
          <w:color w:val="000000"/>
          <w:sz w:val="32"/>
          <w:szCs w:val="32"/>
        </w:rPr>
      </w:pPr>
      <w:r>
        <w:rPr>
          <w:rFonts w:ascii="仿宋" w:eastAsia="仿宋"/>
          <w:color w:val="000000"/>
          <w:sz w:val="32"/>
          <w:szCs w:val="32"/>
        </w:rPr>
        <w:t>6.</w:t>
      </w:r>
      <w:r>
        <w:rPr>
          <w:rFonts w:ascii="仿宋" w:eastAsia="仿宋" w:hint="eastAsia"/>
          <w:color w:val="000000"/>
          <w:sz w:val="32"/>
          <w:szCs w:val="32"/>
        </w:rPr>
        <w:t>年初结转和结余：指以前年度尚未完成、结转到本年按有关规定继续使用的资金。</w:t>
      </w:r>
    </w:p>
    <w:p>
      <w:pPr>
        <w:spacing w:line="600" w:lineRule="exact"/>
        <w:ind w:firstLine="640"/>
        <w:rPr>
          <w:rFonts w:ascii="仿宋" w:eastAsia="仿宋"/>
          <w:color w:val="000000"/>
          <w:sz w:val="32"/>
          <w:szCs w:val="32"/>
        </w:rPr>
      </w:pPr>
      <w:r>
        <w:rPr>
          <w:rFonts w:ascii="仿宋" w:eastAsia="仿宋"/>
          <w:color w:val="000000"/>
          <w:sz w:val="32"/>
          <w:szCs w:val="32"/>
        </w:rPr>
        <w:t>7.</w:t>
      </w:r>
      <w:r>
        <w:rPr>
          <w:rFonts w:ascii="仿宋" w:eastAsia="仿宋" w:hint="eastAsia"/>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eastAsia="仿宋"/>
          <w:color w:val="000000"/>
          <w:sz w:val="32"/>
          <w:szCs w:val="32"/>
        </w:rPr>
      </w:pPr>
      <w:r>
        <w:rPr>
          <w:rFonts w:ascii="仿宋" w:eastAsia="仿宋"/>
          <w:color w:val="000000"/>
          <w:sz w:val="32"/>
          <w:szCs w:val="32"/>
        </w:rPr>
        <w:t>8</w:t>
      </w:r>
      <w:r>
        <w:rPr>
          <w:rFonts w:ascii="仿宋" w:eastAsia="仿宋" w:hint="eastAsia"/>
          <w:color w:val="000000"/>
          <w:sz w:val="32"/>
          <w:szCs w:val="32"/>
        </w:rPr>
        <w:t>.年末结转和结余：指单位按有关规定结转到下年或以后年度继续使用的资金。</w:t>
      </w:r>
    </w:p>
    <w:p>
      <w:pPr>
        <w:spacing w:line="600" w:lineRule="exact"/>
        <w:ind w:firstLine="640"/>
        <w:rPr>
          <w:rFonts w:ascii="仿宋" w:eastAsia="仿宋"/>
          <w:color w:val="000000"/>
          <w:sz w:val="32"/>
          <w:szCs w:val="32"/>
        </w:rPr>
      </w:pPr>
      <w:r>
        <w:rPr>
          <w:rFonts w:ascii="仿宋" w:eastAsia="仿宋" w:hint="eastAsia"/>
          <w:color w:val="000000"/>
          <w:sz w:val="32"/>
          <w:szCs w:val="32"/>
        </w:rPr>
        <w:t>9.一般公共服务支出（201）群众团体事务（20129）行政运行（2012901）：反映行政单位（包括实行公务员管理的事业单位）的基本支出。</w:t>
      </w:r>
    </w:p>
    <w:p>
      <w:pPr>
        <w:spacing w:line="600" w:lineRule="exact"/>
        <w:ind w:firstLine="640"/>
        <w:rPr>
          <w:rFonts w:ascii="仿宋" w:eastAsia="仿宋"/>
          <w:color w:val="000000"/>
          <w:sz w:val="32"/>
          <w:szCs w:val="32"/>
        </w:rPr>
      </w:pPr>
      <w:r>
        <w:rPr>
          <w:rFonts w:ascii="仿宋" w:eastAsia="仿宋" w:hint="eastAsia"/>
          <w:color w:val="000000"/>
          <w:sz w:val="32"/>
          <w:szCs w:val="32"/>
        </w:rPr>
        <w:tab/>
        <w:t>10.一般公共服务支出（201）群众团体事务（20129）其他群众团体事务支出（2012999）：反映除上述项目以外其他用于群众团体事务方面的支出反映党委办公厅（室）及相关机构的支出。。</w:t>
      </w:r>
    </w:p>
    <w:p>
      <w:pPr>
        <w:spacing w:line="600" w:lineRule="exact"/>
        <w:ind w:firstLine="640"/>
        <w:rPr>
          <w:rFonts w:ascii="仿宋" w:eastAsia="仿宋"/>
          <w:color w:val="000000"/>
          <w:sz w:val="32"/>
          <w:szCs w:val="32"/>
        </w:rPr>
      </w:pPr>
      <w:r>
        <w:rPr>
          <w:rFonts w:ascii="仿宋" w:eastAsia="仿宋" w:hint="eastAsia"/>
          <w:color w:val="000000"/>
          <w:sz w:val="32"/>
          <w:szCs w:val="32"/>
        </w:rPr>
        <w:tab/>
        <w:t>11.社会保障和就业支出（208）行政事业单位养老支出（20805）机关事业单位基本养老保险缴费支出（2080505）：反映机关事业单位实施养老保险制度由单位缴纳的基本养老保险费支出。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ascii="仿宋" w:eastAsia="仿宋"/>
          <w:color w:val="000000"/>
          <w:sz w:val="32"/>
          <w:szCs w:val="32"/>
        </w:rPr>
      </w:pPr>
      <w:r>
        <w:rPr>
          <w:rFonts w:ascii="仿宋" w:eastAsia="仿宋" w:hint="eastAsia"/>
          <w:color w:val="000000"/>
          <w:sz w:val="32"/>
          <w:szCs w:val="32"/>
        </w:rPr>
        <w:tab/>
        <w:t>12.社会保障和就业支出（208）行政事业单位养老支出（20805）机关事业单位职业年金缴费支出（2080506）：反映机关事业单位实施养老保险制度由单位实际缴纳的职业年金支出。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ascii="仿宋" w:eastAsia="仿宋"/>
          <w:color w:val="000000"/>
          <w:sz w:val="32"/>
          <w:szCs w:val="32"/>
        </w:rPr>
      </w:pPr>
      <w:r>
        <w:rPr>
          <w:rFonts w:ascii="仿宋" w:eastAsia="仿宋" w:hint="eastAsia"/>
          <w:color w:val="000000"/>
          <w:sz w:val="32"/>
          <w:szCs w:val="32"/>
        </w:rPr>
        <w:tab/>
        <w:t>13.社会保障和就业支出（208）退役军人管理事务（20828）拥军优属（2082804）：反映开展拥军优属活动的支出。</w:t>
      </w:r>
    </w:p>
    <w:p>
      <w:pPr>
        <w:spacing w:line="600" w:lineRule="exact"/>
        <w:ind w:firstLine="640"/>
        <w:rPr>
          <w:rFonts w:ascii="仿宋" w:eastAsia="仿宋"/>
          <w:color w:val="000000"/>
          <w:sz w:val="32"/>
          <w:szCs w:val="32"/>
        </w:rPr>
      </w:pPr>
      <w:r>
        <w:rPr>
          <w:rFonts w:ascii="仿宋" w:eastAsia="仿宋" w:hint="eastAsia"/>
          <w:color w:val="000000"/>
          <w:sz w:val="32"/>
          <w:szCs w:val="32"/>
        </w:rPr>
        <w:tab/>
        <w:t>14.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ascii="仿宋" w:eastAsia="仿宋"/>
          <w:color w:val="000000"/>
          <w:sz w:val="32"/>
          <w:szCs w:val="32"/>
        </w:rPr>
      </w:pPr>
      <w:r>
        <w:rPr>
          <w:rFonts w:ascii="仿宋" w:eastAsia="仿宋" w:hint="eastAsia"/>
          <w:color w:val="000000"/>
          <w:sz w:val="32"/>
          <w:szCs w:val="32"/>
        </w:rPr>
        <w:tab/>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eastAsia="仿宋"/>
          <w:color w:val="000000"/>
          <w:sz w:val="32"/>
          <w:szCs w:val="32"/>
        </w:rPr>
      </w:pPr>
      <w:r>
        <w:rPr>
          <w:rFonts w:ascii="仿宋" w:eastAsia="仿宋" w:hint="eastAsia"/>
          <w:color w:val="000000"/>
          <w:sz w:val="32"/>
          <w:szCs w:val="32"/>
        </w:rPr>
        <w:t>16.基本支出：指为保障机构正常运转、完成日常工作任务而发生的人员支出和公用支出。</w:t>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25.项目支出：指在基本支出之外为完成特定行政任务和事业发展目标所发生的支出。 </w:t>
      </w:r>
    </w:p>
    <w:p>
      <w:pPr>
        <w:spacing w:line="600" w:lineRule="exact"/>
        <w:ind w:firstLine="640"/>
        <w:rPr>
          <w:rFonts w:ascii="仿宋" w:eastAsia="仿宋"/>
          <w:color w:val="000000"/>
          <w:sz w:val="32"/>
          <w:szCs w:val="32"/>
        </w:rPr>
      </w:pPr>
      <w:r>
        <w:rPr>
          <w:rFonts w:ascii="仿宋" w:eastAsia="仿宋" w:hint="eastAsia"/>
          <w:color w:val="000000"/>
          <w:sz w:val="32"/>
          <w:szCs w:val="32"/>
        </w:rPr>
        <w:t>17.经营支出：指事业单位在专业业务活动及其辅助活动之外开展非独立核算经营活动发生的支出。</w:t>
      </w:r>
    </w:p>
    <w:p>
      <w:pPr>
        <w:spacing w:line="600" w:lineRule="exact"/>
        <w:ind w:firstLine="640"/>
        <w:rPr>
          <w:rFonts w:ascii="仿宋" w:eastAsia="仿宋"/>
          <w:color w:val="000000"/>
          <w:sz w:val="32"/>
          <w:szCs w:val="32"/>
        </w:rPr>
      </w:pPr>
      <w:r>
        <w:rPr>
          <w:rFonts w:ascii="仿宋" w:eastAsia="仿宋" w:hint="eastAsia"/>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eastAsia="仿宋"/>
          <w:color w:val="000000"/>
          <w:sz w:val="32"/>
          <w:szCs w:val="32"/>
        </w:rPr>
      </w:pPr>
      <w:r>
        <w:rPr>
          <w:rFonts w:ascii="仿宋" w:eastAsia="仿宋" w:hint="eastAsia"/>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ascii="仿宋" w:eastAsia="仿宋" w:hint="eastAsia"/>
          <w:color w:val="000000"/>
          <w:sz w:val="32"/>
          <w:szCs w:val="32"/>
        </w:rPr>
        <w:t>20.财政应返还额度：为行政事业单位会计核算科目，用于核算实行国库集中支付的行政事业单位应收财政返还的资金额度。</w:t>
      </w:r>
    </w:p>
    <w:p>
      <w:pPr>
        <w:widowControl/>
        <w:jc w:val="left"/>
        <w:rPr>
          <w:rStyle w:val="1Char"/>
          <w:rFonts w:ascii="黑体" w:eastAsia="黑体"/>
        </w:rPr>
      </w:pPr>
      <w:r>
        <w:rPr>
          <w:rStyle w:val="1Char"/>
          <w:rFonts w:ascii="黑体" w:eastAsia="黑体"/>
        </w:rPr>
        <w:br w:type="page"/>
      </w:r>
    </w:p>
    <w:p>
      <w:pPr>
        <w:pStyle w:val="1"/>
        <w:numPr>
          <w:ilvl w:val="0"/>
          <w:numId w:val="3"/>
        </w:numPr>
        <w:jc w:val="center"/>
        <w:rPr>
          <w:rFonts w:ascii="黑体" w:eastAsia="黑体" w:cs="黑体"/>
        </w:rPr>
      </w:pPr>
      <w:bookmarkStart w:id="73" w:name="_Toc111208510"/>
      <w:bookmarkStart w:id="74" w:name="_Toc115102372"/>
      <w:r>
        <w:rPr>
          <w:rFonts w:ascii="黑体" w:eastAsia="黑体" w:cs="黑体" w:hint="eastAsia"/>
        </w:rPr>
        <w:t>附件</w:t>
      </w:r>
      <w:bookmarkEnd w:id="73"/>
      <w:bookmarkEnd w:id="74"/>
    </w:p>
    <w:p>
      <w:pPr>
        <w:spacing w:line="600" w:lineRule="exact"/>
        <w:jc w:val="left"/>
        <w:outlineLvl w:val="0"/>
        <w:rPr>
          <w:rFonts w:ascii="方正小标宋简体" w:eastAsia="方正小标宋简体" w:cs="方正小标宋简体"/>
          <w:sz w:val="32"/>
          <w:szCs w:val="32"/>
        </w:rPr>
      </w:pPr>
      <w:bookmarkStart w:id="75" w:name="_Toc79163881"/>
      <w:bookmarkStart w:id="76" w:name="_Toc79163631"/>
      <w:bookmarkStart w:id="77" w:name="_Toc115102373"/>
      <w:r>
        <w:rPr>
          <w:rFonts w:ascii="黑体" w:eastAsia="黑体" w:cs="黑体" w:hint="eastAsia"/>
          <w:sz w:val="32"/>
          <w:szCs w:val="32"/>
        </w:rPr>
        <w:t>附件</w:t>
      </w:r>
      <w:r>
        <w:rPr>
          <w:rFonts w:ascii="黑体" w:eastAsia="黑体" w:cs="黑体"/>
          <w:sz w:val="32"/>
          <w:szCs w:val="32"/>
        </w:rPr>
        <w:t>1</w:t>
      </w:r>
      <w:bookmarkEnd w:id="75"/>
      <w:bookmarkEnd w:id="76"/>
      <w:bookmarkEnd w:id="77"/>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78" w:name="_Toc115102374"/>
      <w:bookmarkStart w:id="79" w:name="_Toc79163632"/>
      <w:bookmarkStart w:id="80" w:name="_Toc79163882"/>
      <w:r>
        <w:rPr>
          <w:rFonts w:ascii="方正小标宋简体" w:eastAsia="方正小标宋简体" w:hint="eastAsia"/>
          <w:color w:val="000000"/>
          <w:kern w:val="0"/>
          <w:sz w:val="44"/>
          <w:szCs w:val="44"/>
        </w:rPr>
        <w:t>茂县总工会</w:t>
      </w:r>
      <w:r>
        <w:rPr>
          <w:rFonts w:ascii="方正小标宋简体" w:eastAsia="方正小标宋简体" w:cs="黑体"/>
          <w:sz w:val="44"/>
          <w:szCs w:val="44"/>
        </w:rPr>
        <w:t>202</w:t>
      </w:r>
      <w:r>
        <w:rPr>
          <w:rFonts w:ascii="方正小标宋简体" w:eastAsia="方正小标宋简体" w:cs="黑体" w:hint="eastAsia"/>
          <w:sz w:val="44"/>
          <w:szCs w:val="44"/>
        </w:rPr>
        <w:t>1年部门整体支出绩效</w:t>
      </w:r>
      <w:bookmarkEnd w:id="78"/>
    </w:p>
    <w:p>
      <w:pPr>
        <w:spacing w:line="600" w:lineRule="exact"/>
        <w:jc w:val="center"/>
        <w:outlineLvl w:val="0"/>
        <w:rPr>
          <w:rFonts w:ascii="方正小标宋简体" w:eastAsia="方正小标宋简体" w:cs="黑体"/>
          <w:sz w:val="44"/>
          <w:szCs w:val="44"/>
        </w:rPr>
      </w:pPr>
      <w:bookmarkStart w:id="81" w:name="_Toc115102375"/>
      <w:r>
        <w:rPr>
          <w:rFonts w:ascii="方正小标宋简体" w:eastAsia="方正小标宋简体" w:cs="黑体" w:hint="eastAsia"/>
          <w:sz w:val="44"/>
          <w:szCs w:val="44"/>
        </w:rPr>
        <w:t>评价报告</w:t>
      </w:r>
      <w:bookmarkEnd w:id="79"/>
      <w:bookmarkEnd w:id="80"/>
      <w:bookmarkEnd w:id="81"/>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pPr>
        <w:ind w:firstLineChars="250" w:firstLine="800"/>
        <w:rPr>
          <w:rFonts w:ascii="仿宋_GB2312" w:eastAsia="仿宋_GB2312" w:cs="仿宋_GB2312"/>
          <w:sz w:val="32"/>
          <w:szCs w:val="32"/>
        </w:rPr>
      </w:pPr>
      <w:r>
        <w:rPr>
          <w:rFonts w:ascii="仿宋_GB2312" w:eastAsia="仿宋_GB2312" w:cs="宋体" w:hint="eastAsia"/>
          <w:color w:val="000000"/>
          <w:kern w:val="0"/>
          <w:sz w:val="32"/>
          <w:szCs w:val="32"/>
          <w:shd w:val="clear" w:color="auto" w:fill="FFFFFF"/>
          <w:lang w:val="zh-CN"/>
        </w:rPr>
        <w:t>（一）机构组成</w:t>
      </w:r>
      <w:r>
        <w:rPr>
          <w:rFonts w:ascii="仿宋_GB2312" w:eastAsia="仿宋_GB2312" w:cs="宋体" w:hint="eastAsia"/>
          <w:color w:val="000000"/>
          <w:kern w:val="0"/>
          <w:sz w:val="32"/>
          <w:szCs w:val="32"/>
          <w:shd w:val="clear" w:color="auto" w:fill="FFFFFF"/>
        </w:rPr>
        <w:t>,</w:t>
      </w:r>
      <w:r>
        <w:rPr>
          <w:rFonts w:ascii="仿宋_GB2312" w:eastAsia="仿宋_GB2312" w:cs="仿宋_GB2312" w:hint="eastAsia"/>
          <w:sz w:val="32"/>
          <w:szCs w:val="32"/>
        </w:rPr>
        <w:t>茂县总工会下属二级单位0个，其中行政单位1个，参照公务员法管理的事业单位</w:t>
      </w:r>
      <w:r>
        <w:rPr>
          <w:rFonts w:ascii="仿宋_GB2312" w:eastAsia="仿宋_GB2312" w:cs="仿宋_GB2312" w:hint="eastAsia"/>
          <w:bCs/>
          <w:sz w:val="32"/>
          <w:szCs w:val="32"/>
        </w:rPr>
        <w:t>0</w:t>
      </w:r>
      <w:r>
        <w:rPr>
          <w:rFonts w:ascii="仿宋_GB2312" w:eastAsia="仿宋_GB2312" w:cs="仿宋_GB2312" w:hint="eastAsia"/>
          <w:sz w:val="32"/>
          <w:szCs w:val="32"/>
        </w:rPr>
        <w:t>个，其他事业单位0个。</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（二）机构职能</w:t>
      </w:r>
      <w:r>
        <w:rPr>
          <w:rFonts w:ascii="仿宋_GB2312" w:eastAsia="仿宋_GB2312" w:cs="宋体" w:hint="eastAsia"/>
          <w:color w:val="000000"/>
          <w:kern w:val="0"/>
          <w:sz w:val="32"/>
          <w:szCs w:val="32"/>
          <w:shd w:val="clear" w:color="auto" w:fill="FFFFFF"/>
        </w:rPr>
        <w:t>,</w:t>
      </w:r>
      <w:r>
        <w:rPr>
          <w:rFonts w:ascii="仿宋_GB2312" w:eastAsia="仿宋_GB2312" w:cs="仿宋_GB2312" w:hint="eastAsia"/>
          <w:sz w:val="32"/>
          <w:szCs w:val="32"/>
        </w:rPr>
        <w:t>根据中国工会的性质和特点，维护县工会的基本职能，茂县总工会是全县基层工会和地方产业工会的领导机关。贯彻执行党的路线、方针、政策，根据县委、州总工会的布署，围绕县委中心工作，结合我县工会工作实际，确定工作的指导思想、目标和任务，领导全县工会工作，为基层工会开展工作营造外部环境</w:t>
      </w:r>
      <w:r>
        <w:rPr>
          <w:rFonts w:cs="宋体" w:hint="eastAsia"/>
          <w:sz w:val="32"/>
          <w:szCs w:val="32"/>
        </w:rPr>
        <w:t>。</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（三）人员概况。</w:t>
      </w:r>
      <w:r>
        <w:rPr>
          <w:rFonts w:ascii="仿宋" w:eastAsia="仿宋" w:cs="仿宋" w:hint="eastAsia"/>
          <w:sz w:val="32"/>
          <w:szCs w:val="32"/>
        </w:rPr>
        <w:t>茂县总工会编制6名，行政编制6名，实有在职职工6名，工勤人员1名</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（一）部门财政资金收入情况：</w:t>
      </w:r>
      <w:r>
        <w:rPr>
          <w:rFonts w:ascii="仿宋" w:eastAsia="仿宋"/>
          <w:color w:val="000000"/>
          <w:sz w:val="32"/>
          <w:szCs w:val="32"/>
        </w:rPr>
        <w:t>202</w:t>
      </w:r>
      <w:r>
        <w:rPr>
          <w:rFonts w:ascii="仿宋" w:eastAsia="仿宋" w:hint="eastAsia"/>
          <w:color w:val="000000"/>
          <w:sz w:val="32"/>
          <w:szCs w:val="32"/>
        </w:rPr>
        <w:t>1年本年收入合计755.63万元，其中：一般公共预算财政拨款收入755.63万元，占100</w:t>
      </w:r>
      <w:r>
        <w:rPr>
          <w:rFonts w:ascii="仿宋" w:eastAsia="仿宋"/>
          <w:color w:val="000000"/>
          <w:sz w:val="32"/>
          <w:szCs w:val="32"/>
        </w:rPr>
        <w:t>%</w:t>
      </w:r>
      <w:r>
        <w:rPr>
          <w:rFonts w:ascii="仿宋_GB2312" w:eastAsia="仿宋_GB2312" w:cs="宋体" w:hint="eastAsia"/>
          <w:color w:val="000000"/>
          <w:kern w:val="0"/>
          <w:sz w:val="32"/>
          <w:szCs w:val="32"/>
          <w:shd w:val="clear" w:color="auto" w:fill="FFFFFF"/>
          <w:lang w:val="zh-CN"/>
        </w:rPr>
        <w:t>。</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（二）部门财政资金支出情况：</w:t>
      </w:r>
      <w:r>
        <w:rPr>
          <w:rFonts w:ascii="仿宋_GB2312" w:eastAsia="仿宋_GB2312"/>
          <w:sz w:val="32"/>
          <w:szCs w:val="32"/>
        </w:rPr>
        <w:t>202</w:t>
      </w:r>
      <w:r>
        <w:rPr>
          <w:rFonts w:ascii="仿宋_GB2312" w:eastAsia="仿宋_GB2312" w:hint="eastAsia"/>
          <w:sz w:val="32"/>
          <w:szCs w:val="32"/>
        </w:rPr>
        <w:t>1年本年支出合计755.87万元，其中：基本支出155.39万元，占20.56</w:t>
      </w:r>
      <w:r>
        <w:rPr>
          <w:rFonts w:ascii="仿宋_GB2312" w:eastAsia="仿宋_GB2312"/>
          <w:sz w:val="32"/>
          <w:szCs w:val="32"/>
        </w:rPr>
        <w:t>%</w:t>
      </w:r>
      <w:r>
        <w:rPr>
          <w:rFonts w:ascii="仿宋_GB2312" w:eastAsia="仿宋_GB2312" w:hint="eastAsia"/>
          <w:sz w:val="32"/>
          <w:szCs w:val="32"/>
        </w:rPr>
        <w:t>；项目支出600.48万元，占79.44</w:t>
      </w:r>
      <w:r>
        <w:rPr>
          <w:rFonts w:ascii="仿宋_GB2312" w:eastAsia="仿宋_GB2312"/>
          <w:sz w:val="32"/>
          <w:szCs w:val="32"/>
        </w:rPr>
        <w:t>%</w:t>
      </w:r>
      <w:r>
        <w:rPr>
          <w:rFonts w:ascii="仿宋_GB2312" w:eastAsia="仿宋_GB2312" w:cs="宋体" w:hint="eastAsia"/>
          <w:color w:val="000000"/>
          <w:kern w:val="0"/>
          <w:sz w:val="32"/>
          <w:szCs w:val="32"/>
          <w:shd w:val="clear" w:color="auto" w:fill="FFFFFF"/>
          <w:lang w:val="zh-CN"/>
        </w:rPr>
        <w:t>。</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widowControl/>
        <w:adjustRightInd w:val="0"/>
        <w:snapToGrid w:val="0"/>
        <w:spacing w:line="580"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（一）部门预算管理。</w:t>
      </w:r>
      <w:r>
        <w:rPr>
          <w:rFonts w:ascii="仿宋_GB2312" w:eastAsia="仿宋_GB2312" w:cs="仿宋_GB2312" w:hint="eastAsia"/>
          <w:color w:val="000000"/>
          <w:kern w:val="0"/>
          <w:sz w:val="32"/>
          <w:szCs w:val="32"/>
          <w:shd w:val="clear" w:color="auto" w:fill="FFFFFF"/>
          <w:lang w:val="zh-CN"/>
        </w:rPr>
        <w:t>20</w:t>
      </w:r>
      <w:r>
        <w:rPr>
          <w:rFonts w:ascii="仿宋_GB2312" w:eastAsia="仿宋_GB2312" w:cs="仿宋_GB2312" w:hint="eastAsia"/>
          <w:color w:val="000000"/>
          <w:kern w:val="0"/>
          <w:sz w:val="32"/>
          <w:szCs w:val="32"/>
          <w:shd w:val="clear" w:color="auto" w:fill="FFFFFF"/>
        </w:rPr>
        <w:t>21</w:t>
      </w:r>
      <w:r>
        <w:rPr>
          <w:rFonts w:ascii="仿宋_GB2312" w:eastAsia="仿宋_GB2312" w:cs="仿宋_GB2312" w:hint="eastAsia"/>
          <w:color w:val="000000"/>
          <w:kern w:val="0"/>
          <w:sz w:val="32"/>
          <w:szCs w:val="32"/>
          <w:shd w:val="clear" w:color="auto" w:fill="FFFFFF"/>
          <w:lang w:val="zh-CN"/>
        </w:rPr>
        <w:t>年我单位部门预算收入总数为</w:t>
      </w:r>
      <w:r>
        <w:rPr>
          <w:rFonts w:ascii="仿宋_GB2312" w:eastAsia="仿宋_GB2312" w:cs="仿宋_GB2312" w:hint="eastAsia"/>
          <w:color w:val="000000"/>
          <w:kern w:val="0"/>
          <w:sz w:val="32"/>
          <w:szCs w:val="32"/>
          <w:shd w:val="clear" w:color="auto" w:fill="FFFFFF"/>
        </w:rPr>
        <w:t>755.63万</w:t>
      </w:r>
      <w:r>
        <w:rPr>
          <w:rFonts w:ascii="仿宋_GB2312" w:eastAsia="仿宋_GB2312" w:cs="仿宋_GB2312" w:hint="eastAsia"/>
          <w:color w:val="000000"/>
          <w:kern w:val="0"/>
          <w:sz w:val="32"/>
          <w:szCs w:val="32"/>
          <w:shd w:val="clear" w:color="auto" w:fill="FFFFFF"/>
          <w:lang w:val="zh-CN"/>
        </w:rPr>
        <w:t>元，20</w:t>
      </w:r>
      <w:r>
        <w:rPr>
          <w:rFonts w:ascii="仿宋_GB2312" w:eastAsia="仿宋_GB2312" w:cs="仿宋_GB2312" w:hint="eastAsia"/>
          <w:color w:val="000000"/>
          <w:kern w:val="0"/>
          <w:sz w:val="32"/>
          <w:szCs w:val="32"/>
          <w:shd w:val="clear" w:color="auto" w:fill="FFFFFF"/>
        </w:rPr>
        <w:t>21</w:t>
      </w:r>
      <w:r>
        <w:rPr>
          <w:rFonts w:ascii="仿宋_GB2312" w:eastAsia="仿宋_GB2312" w:cs="仿宋_GB2312" w:hint="eastAsia"/>
          <w:color w:val="000000"/>
          <w:kern w:val="0"/>
          <w:sz w:val="32"/>
          <w:szCs w:val="32"/>
          <w:shd w:val="clear" w:color="auto" w:fill="FFFFFF"/>
          <w:lang w:val="zh-CN"/>
        </w:rPr>
        <w:t>年总支出为</w:t>
      </w:r>
      <w:r>
        <w:rPr>
          <w:rFonts w:ascii="仿宋_GB2312" w:eastAsia="仿宋_GB2312" w:cs="仿宋_GB2312" w:hint="eastAsia"/>
          <w:color w:val="000000"/>
          <w:kern w:val="0"/>
          <w:sz w:val="32"/>
          <w:szCs w:val="32"/>
          <w:shd w:val="clear" w:color="auto" w:fill="FFFFFF"/>
        </w:rPr>
        <w:t>755.87万</w:t>
      </w:r>
      <w:r>
        <w:rPr>
          <w:rFonts w:ascii="仿宋_GB2312" w:eastAsia="仿宋_GB2312" w:cs="仿宋_GB2312" w:hint="eastAsia"/>
          <w:color w:val="000000"/>
          <w:kern w:val="0"/>
          <w:sz w:val="32"/>
          <w:szCs w:val="32"/>
          <w:shd w:val="clear" w:color="auto" w:fill="FFFFFF"/>
          <w:lang w:val="zh-CN"/>
        </w:rPr>
        <w:t>元，我单位在预算编制上做到认真、负责、按时按规定报送。</w:t>
      </w:r>
    </w:p>
    <w:p>
      <w:pPr>
        <w:widowControl/>
        <w:adjustRightInd w:val="0"/>
        <w:snapToGrid w:val="0"/>
        <w:spacing w:line="540" w:lineRule="exact"/>
        <w:ind w:firstLine="720"/>
        <w:jc w:val="left"/>
        <w:rPr>
          <w:rFonts w:ascii="仿宋_GB2312" w:eastAsia="仿宋_GB2312" w:cs="仿宋_GB2312"/>
          <w:color w:val="000000"/>
          <w:kern w:val="0"/>
          <w:sz w:val="32"/>
          <w:szCs w:val="32"/>
          <w:shd w:val="clear" w:color="auto" w:fill="FFFFFF"/>
        </w:rPr>
      </w:pPr>
      <w:r>
        <w:rPr>
          <w:rFonts w:ascii="仿宋_GB2312" w:eastAsia="仿宋_GB2312" w:cs="仿宋_GB2312" w:hint="eastAsia"/>
          <w:sz w:val="32"/>
          <w:szCs w:val="32"/>
        </w:rPr>
        <w:t>茂县总工会6月执行进度为50%，9月执行进度为63%，11月执行进度为78%。全年执行度为100%。我会严格按照“三公”经费支出，认真落实厉行节约相关规定。</w:t>
      </w:r>
    </w:p>
    <w:p>
      <w:pPr>
        <w:widowControl/>
        <w:adjustRightInd w:val="0"/>
        <w:snapToGrid w:val="0"/>
        <w:spacing w:line="540" w:lineRule="exact"/>
        <w:ind w:firstLine="720"/>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20</w:t>
      </w:r>
      <w:r>
        <w:rPr>
          <w:rFonts w:ascii="仿宋_GB2312" w:eastAsia="仿宋_GB2312" w:cs="仿宋_GB2312" w:hint="eastAsia"/>
          <w:color w:val="000000"/>
          <w:kern w:val="0"/>
          <w:sz w:val="32"/>
          <w:szCs w:val="32"/>
          <w:shd w:val="clear" w:color="auto" w:fill="FFFFFF"/>
        </w:rPr>
        <w:t>21</w:t>
      </w:r>
      <w:r>
        <w:rPr>
          <w:rFonts w:ascii="仿宋_GB2312" w:eastAsia="仿宋_GB2312" w:cs="仿宋_GB2312" w:hint="eastAsia"/>
          <w:color w:val="000000"/>
          <w:kern w:val="0"/>
          <w:sz w:val="32"/>
          <w:szCs w:val="32"/>
          <w:shd w:val="clear" w:color="auto" w:fill="FFFFFF"/>
          <w:lang w:val="zh-CN"/>
        </w:rPr>
        <w:t>年本级财政拨款总收入为</w:t>
      </w:r>
      <w:r>
        <w:rPr>
          <w:rFonts w:ascii="仿宋_GB2312" w:eastAsia="仿宋_GB2312" w:cs="仿宋_GB2312" w:hint="eastAsia"/>
          <w:color w:val="000000"/>
          <w:kern w:val="0"/>
          <w:sz w:val="32"/>
          <w:szCs w:val="32"/>
          <w:shd w:val="clear" w:color="auto" w:fill="FFFFFF"/>
        </w:rPr>
        <w:t>755.63万</w:t>
      </w:r>
      <w:r>
        <w:rPr>
          <w:rFonts w:ascii="仿宋_GB2312" w:eastAsia="仿宋_GB2312" w:cs="仿宋_GB2312" w:hint="eastAsia"/>
          <w:color w:val="000000"/>
          <w:kern w:val="0"/>
          <w:sz w:val="32"/>
          <w:szCs w:val="32"/>
          <w:shd w:val="clear" w:color="auto" w:fill="FFFFFF"/>
          <w:lang w:val="zh-CN"/>
        </w:rPr>
        <w:t>元，20</w:t>
      </w:r>
      <w:r>
        <w:rPr>
          <w:rFonts w:ascii="仿宋_GB2312" w:eastAsia="仿宋_GB2312" w:cs="仿宋_GB2312" w:hint="eastAsia"/>
          <w:color w:val="000000"/>
          <w:kern w:val="0"/>
          <w:sz w:val="32"/>
          <w:szCs w:val="32"/>
          <w:shd w:val="clear" w:color="auto" w:fill="FFFFFF"/>
        </w:rPr>
        <w:t>21</w:t>
      </w:r>
      <w:r>
        <w:rPr>
          <w:rFonts w:ascii="仿宋_GB2312" w:eastAsia="仿宋_GB2312" w:cs="仿宋_GB2312" w:hint="eastAsia"/>
          <w:color w:val="000000"/>
          <w:kern w:val="0"/>
          <w:sz w:val="32"/>
          <w:szCs w:val="32"/>
          <w:shd w:val="clear" w:color="auto" w:fill="FFFFFF"/>
          <w:lang w:val="zh-CN"/>
        </w:rPr>
        <w:t>年总支出为</w:t>
      </w:r>
      <w:r>
        <w:rPr>
          <w:rFonts w:ascii="仿宋_GB2312" w:eastAsia="仿宋_GB2312" w:cs="仿宋_GB2312" w:hint="eastAsia"/>
          <w:color w:val="000000"/>
          <w:kern w:val="0"/>
          <w:sz w:val="32"/>
          <w:szCs w:val="32"/>
          <w:shd w:val="clear" w:color="auto" w:fill="FFFFFF"/>
        </w:rPr>
        <w:t>755.87万</w:t>
      </w:r>
      <w:r>
        <w:rPr>
          <w:rFonts w:ascii="仿宋_GB2312" w:eastAsia="仿宋_GB2312" w:cs="仿宋_GB2312" w:hint="eastAsia"/>
          <w:color w:val="000000"/>
          <w:kern w:val="0"/>
          <w:sz w:val="32"/>
          <w:szCs w:val="32"/>
          <w:shd w:val="clear" w:color="auto" w:fill="FFFFFF"/>
          <w:lang w:val="zh-CN"/>
        </w:rPr>
        <w:t>元，</w:t>
      </w:r>
      <w:r>
        <w:rPr>
          <w:rFonts w:ascii="仿宋_GB2312" w:eastAsia="仿宋_GB2312" w:cs="仿宋_GB2312" w:hint="eastAsia"/>
          <w:color w:val="000000"/>
          <w:sz w:val="32"/>
          <w:szCs w:val="32"/>
        </w:rPr>
        <w:t>基本支出155.39万元，占</w:t>
      </w:r>
      <w:r>
        <w:rPr>
          <w:rFonts w:ascii="仿宋_GB2312" w:eastAsia="仿宋_GB2312" w:cs="仿宋_GB2312" w:hint="eastAsia"/>
          <w:color w:val="000000"/>
          <w:kern w:val="0"/>
          <w:sz w:val="32"/>
          <w:szCs w:val="32"/>
          <w:shd w:val="clear" w:color="auto" w:fill="FFFFFF"/>
          <w:lang w:val="zh-CN"/>
        </w:rPr>
        <w:t>总支出</w:t>
      </w:r>
      <w:r>
        <w:rPr>
          <w:rFonts w:ascii="仿宋_GB2312" w:eastAsia="仿宋_GB2312" w:cs="仿宋_GB2312" w:hint="eastAsia"/>
          <w:color w:val="000000"/>
          <w:sz w:val="32"/>
          <w:szCs w:val="32"/>
        </w:rPr>
        <w:t>20.56%；项目支出600.48万元，占</w:t>
      </w:r>
      <w:r>
        <w:rPr>
          <w:rFonts w:ascii="仿宋_GB2312" w:eastAsia="仿宋_GB2312" w:cs="仿宋_GB2312" w:hint="eastAsia"/>
          <w:color w:val="000000"/>
          <w:kern w:val="0"/>
          <w:sz w:val="32"/>
          <w:szCs w:val="32"/>
          <w:shd w:val="clear" w:color="auto" w:fill="FFFFFF"/>
          <w:lang w:val="zh-CN"/>
        </w:rPr>
        <w:t>总支出</w:t>
      </w:r>
      <w:r>
        <w:rPr>
          <w:rFonts w:ascii="仿宋_GB2312" w:eastAsia="仿宋_GB2312" w:cs="仿宋_GB2312" w:hint="eastAsia"/>
          <w:color w:val="000000"/>
          <w:sz w:val="32"/>
          <w:szCs w:val="32"/>
        </w:rPr>
        <w:t>79.44%</w:t>
      </w:r>
      <w:r>
        <w:rPr>
          <w:rFonts w:ascii="仿宋_GB2312" w:eastAsia="仿宋_GB2312" w:cs="仿宋_GB2312" w:hint="eastAsia"/>
          <w:color w:val="000000"/>
          <w:kern w:val="0"/>
          <w:sz w:val="32"/>
          <w:szCs w:val="32"/>
          <w:shd w:val="clear" w:color="auto" w:fill="FFFFFF"/>
          <w:lang w:val="zh-CN"/>
        </w:rPr>
        <w:t>，（其中：人员经费支出</w:t>
      </w:r>
      <w:r>
        <w:rPr>
          <w:rFonts w:ascii="仿宋_GB2312" w:eastAsia="仿宋_GB2312" w:cs="仿宋_GB2312" w:hint="eastAsia"/>
          <w:color w:val="000000"/>
          <w:sz w:val="32"/>
          <w:szCs w:val="32"/>
        </w:rPr>
        <w:t>137.46万元</w:t>
      </w:r>
      <w:r>
        <w:rPr>
          <w:rFonts w:ascii="仿宋_GB2312" w:eastAsia="仿宋_GB2312" w:cs="仿宋_GB2312" w:hint="eastAsia"/>
          <w:color w:val="000000"/>
          <w:kern w:val="0"/>
          <w:sz w:val="32"/>
          <w:szCs w:val="32"/>
          <w:shd w:val="clear" w:color="auto" w:fill="FFFFFF"/>
          <w:lang w:val="zh-CN"/>
        </w:rPr>
        <w:t>，日常公用经费支出</w:t>
      </w:r>
      <w:r>
        <w:rPr>
          <w:rFonts w:ascii="仿宋_GB2312" w:eastAsia="仿宋_GB2312" w:cs="仿宋_GB2312" w:hint="eastAsia"/>
          <w:color w:val="000000"/>
          <w:sz w:val="32"/>
          <w:szCs w:val="32"/>
        </w:rPr>
        <w:t>17.93万元</w:t>
      </w:r>
      <w:r>
        <w:rPr>
          <w:rFonts w:ascii="仿宋_GB2312" w:eastAsia="仿宋_GB2312" w:cs="仿宋_GB2312" w:hint="eastAsia"/>
          <w:color w:val="000000"/>
          <w:kern w:val="0"/>
          <w:sz w:val="32"/>
          <w:szCs w:val="32"/>
          <w:shd w:val="clear" w:color="auto" w:fill="FFFFFF"/>
          <w:lang w:val="zh-CN"/>
        </w:rPr>
        <w:t>）基本支出中，社会保障和就业</w:t>
      </w:r>
      <w:r>
        <w:rPr>
          <w:rFonts w:ascii="仿宋_GB2312" w:eastAsia="仿宋_GB2312" w:cs="仿宋_GB2312" w:hint="eastAsia"/>
          <w:color w:val="000000"/>
          <w:kern w:val="0"/>
          <w:sz w:val="32"/>
          <w:szCs w:val="32"/>
          <w:shd w:val="clear" w:color="auto" w:fill="FFFFFF"/>
        </w:rPr>
        <w:t>13.26万元</w:t>
      </w:r>
      <w:r>
        <w:rPr>
          <w:rFonts w:ascii="仿宋_GB2312" w:eastAsia="仿宋_GB2312" w:cs="仿宋_GB2312" w:hint="eastAsia"/>
          <w:color w:val="000000"/>
          <w:kern w:val="0"/>
          <w:sz w:val="32"/>
          <w:szCs w:val="32"/>
          <w:shd w:val="clear" w:color="auto" w:fill="FFFFFF"/>
          <w:lang w:val="zh-CN"/>
        </w:rPr>
        <w:t>，医疗卫生</w:t>
      </w:r>
      <w:r>
        <w:rPr>
          <w:rFonts w:ascii="仿宋_GB2312" w:eastAsia="仿宋_GB2312" w:cs="仿宋_GB2312" w:hint="eastAsia"/>
          <w:color w:val="000000"/>
          <w:kern w:val="0"/>
          <w:sz w:val="32"/>
          <w:szCs w:val="32"/>
          <w:shd w:val="clear" w:color="auto" w:fill="FFFFFF"/>
        </w:rPr>
        <w:t>7.65</w:t>
      </w:r>
      <w:r>
        <w:rPr>
          <w:rFonts w:ascii="仿宋_GB2312" w:eastAsia="仿宋_GB2312" w:cs="仿宋_GB2312" w:hint="eastAsia"/>
          <w:color w:val="000000"/>
          <w:sz w:val="32"/>
          <w:szCs w:val="32"/>
        </w:rPr>
        <w:t>万</w:t>
      </w:r>
      <w:r>
        <w:rPr>
          <w:rFonts w:ascii="仿宋_GB2312" w:eastAsia="仿宋_GB2312" w:cs="仿宋_GB2312" w:hint="eastAsia"/>
          <w:color w:val="000000"/>
          <w:kern w:val="0"/>
          <w:sz w:val="32"/>
          <w:szCs w:val="32"/>
          <w:shd w:val="clear" w:color="auto" w:fill="FFFFFF"/>
          <w:lang w:val="zh-CN"/>
        </w:rPr>
        <w:t>元，住房保障支出</w:t>
      </w:r>
      <w:r>
        <w:rPr>
          <w:rFonts w:ascii="仿宋_GB2312" w:eastAsia="仿宋_GB2312" w:cs="仿宋_GB2312" w:hint="eastAsia"/>
          <w:color w:val="000000"/>
          <w:kern w:val="0"/>
          <w:sz w:val="32"/>
          <w:szCs w:val="32"/>
          <w:shd w:val="clear" w:color="auto" w:fill="FFFFFF"/>
        </w:rPr>
        <w:t>9.17</w:t>
      </w:r>
      <w:r>
        <w:rPr>
          <w:rFonts w:ascii="仿宋_GB2312" w:eastAsia="仿宋_GB2312" w:cs="仿宋_GB2312" w:hint="eastAsia"/>
          <w:color w:val="000000"/>
          <w:sz w:val="32"/>
          <w:szCs w:val="32"/>
        </w:rPr>
        <w:t>万</w:t>
      </w:r>
      <w:r>
        <w:rPr>
          <w:rFonts w:ascii="仿宋_GB2312" w:eastAsia="仿宋_GB2312" w:cs="仿宋_GB2312" w:hint="eastAsia"/>
          <w:color w:val="000000"/>
          <w:kern w:val="0"/>
          <w:sz w:val="32"/>
          <w:szCs w:val="32"/>
          <w:shd w:val="clear" w:color="auto" w:fill="FFFFFF"/>
          <w:lang w:val="zh-CN"/>
        </w:rPr>
        <w:t>元。</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580"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（二）结果应用情况。</w:t>
      </w:r>
      <w:r>
        <w:rPr>
          <w:rFonts w:ascii="仿宋_GB2312" w:eastAsia="仿宋_GB2312" w:cs="仿宋_GB2312" w:hint="eastAsia"/>
          <w:color w:val="000000"/>
          <w:sz w:val="32"/>
          <w:szCs w:val="32"/>
          <w:shd w:val="clear" w:color="auto" w:fill="FFFFFF"/>
        </w:rPr>
        <w:t>建立激励与约束机制，强化评价结果在项目申报和预算编制中的有效应用</w:t>
      </w:r>
    </w:p>
    <w:p>
      <w:pPr>
        <w:widowControl/>
        <w:adjustRightInd w:val="0"/>
        <w:snapToGrid w:val="0"/>
        <w:spacing w:line="580" w:lineRule="exact"/>
        <w:ind w:firstLineChars="200" w:firstLine="640"/>
        <w:contextualSpacing/>
        <w:jc w:val="left"/>
        <w:rPr>
          <w:rFonts w:ascii="仿宋_GB2312" w:eastAsia="仿宋_GB2312" w:cs="仿宋_GB2312"/>
          <w:color w:val="000000"/>
          <w:sz w:val="32"/>
          <w:szCs w:val="32"/>
          <w:shd w:val="clear" w:color="auto" w:fill="FFFFFF"/>
        </w:rPr>
      </w:pP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四、评价结论及建议</w:t>
      </w:r>
    </w:p>
    <w:p>
      <w:pPr>
        <w:widowControl/>
        <w:adjustRightInd w:val="0"/>
        <w:snapToGrid w:val="0"/>
        <w:spacing w:line="580" w:lineRule="exact"/>
        <w:ind w:firstLineChars="200" w:firstLine="640"/>
        <w:contextualSpacing/>
        <w:jc w:val="left"/>
        <w:rPr>
          <w:rFonts w:ascii="仿宋_GB2312" w:eastAsia="仿宋_GB2312" w:cs="仿宋_GB2312"/>
          <w:color w:val="000000"/>
          <w:sz w:val="32"/>
          <w:szCs w:val="32"/>
          <w:shd w:val="clear" w:color="auto" w:fill="FFFFFF"/>
        </w:rPr>
      </w:pPr>
      <w:r>
        <w:rPr>
          <w:rFonts w:ascii="仿宋_GB2312" w:eastAsia="仿宋_GB2312" w:cs="宋体" w:hint="eastAsia"/>
          <w:color w:val="000000"/>
          <w:kern w:val="0"/>
          <w:sz w:val="32"/>
          <w:szCs w:val="32"/>
          <w:shd w:val="clear" w:color="auto" w:fill="FFFFFF"/>
          <w:lang w:val="zh-CN"/>
        </w:rPr>
        <w:t>（一）评价结论。</w:t>
      </w:r>
      <w:r>
        <w:rPr>
          <w:rFonts w:ascii="仿宋_GB2312" w:eastAsia="仿宋_GB2312" w:cs="仿宋_GB2312"/>
          <w:color w:val="000000"/>
          <w:sz w:val="32"/>
          <w:szCs w:val="32"/>
          <w:shd w:val="clear" w:color="auto" w:fill="FFFFFF"/>
        </w:rPr>
        <w:t>从整体情况来看，我</w:t>
      </w:r>
      <w:r>
        <w:rPr>
          <w:rFonts w:ascii="仿宋_GB2312" w:eastAsia="仿宋_GB2312" w:cs="仿宋_GB2312" w:hint="eastAsia"/>
          <w:color w:val="000000"/>
          <w:sz w:val="32"/>
          <w:szCs w:val="32"/>
          <w:shd w:val="clear" w:color="auto" w:fill="FFFFFF"/>
        </w:rPr>
        <w:t>会</w:t>
      </w:r>
      <w:r>
        <w:rPr>
          <w:rFonts w:ascii="仿宋_GB2312" w:eastAsia="仿宋_GB2312" w:cs="仿宋_GB2312"/>
          <w:color w:val="000000"/>
          <w:sz w:val="32"/>
          <w:szCs w:val="32"/>
          <w:shd w:val="clear" w:color="auto" w:fill="FFFFFF"/>
        </w:rPr>
        <w:t>严格按照年初预算进行部门整体支出。在支出过程中，能严格遵守各项规章制度</w:t>
      </w:r>
      <w:r>
        <w:rPr>
          <w:rFonts w:ascii="仿宋_GB2312" w:eastAsia="仿宋_GB2312" w:cs="仿宋_GB2312" w:hint="eastAsia"/>
          <w:color w:val="000000"/>
          <w:sz w:val="32"/>
          <w:szCs w:val="32"/>
          <w:shd w:val="clear" w:color="auto" w:fill="FFFFFF"/>
        </w:rPr>
        <w:t>。</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（二）存在问题。</w:t>
      </w:r>
      <w:r>
        <w:rPr>
          <w:rFonts w:ascii="仿宋_GB2312" w:eastAsia="仿宋_GB2312" w:cs="仿宋_GB2312"/>
          <w:color w:val="000000"/>
          <w:sz w:val="32"/>
          <w:szCs w:val="32"/>
          <w:shd w:val="clear" w:color="auto" w:fill="FFFFFF"/>
        </w:rPr>
        <w:t>20</w:t>
      </w:r>
      <w:r>
        <w:rPr>
          <w:rFonts w:ascii="仿宋_GB2312" w:eastAsia="仿宋_GB2312" w:cs="仿宋_GB2312" w:hint="eastAsia"/>
          <w:color w:val="000000"/>
          <w:sz w:val="32"/>
          <w:szCs w:val="32"/>
          <w:shd w:val="clear" w:color="auto" w:fill="FFFFFF"/>
        </w:rPr>
        <w:t>21年，我们还存在为职工服务功能较弱、合作共识不高、人才缺乏、资金短缺等问题</w:t>
      </w:r>
      <w:r>
        <w:rPr>
          <w:rFonts w:ascii="仿宋_GB2312" w:eastAsia="仿宋_GB2312" w:cs="仿宋_GB2312" w:hint="eastAsia"/>
          <w:color w:val="000000"/>
          <w:sz w:val="31"/>
          <w:szCs w:val="31"/>
          <w:shd w:val="clear" w:color="auto" w:fill="FFFFFF"/>
        </w:rPr>
        <w:t>。</w:t>
      </w:r>
    </w:p>
    <w:p>
      <w:pPr>
        <w:widowControl/>
        <w:adjustRightInd w:val="0"/>
        <w:snapToGrid w:val="0"/>
        <w:spacing w:line="580"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（三）改进建议。</w:t>
      </w:r>
      <w:r>
        <w:rPr>
          <w:rFonts w:ascii="仿宋_GB2312" w:eastAsia="仿宋_GB2312" w:cs="仿宋_GB2312" w:hint="eastAsia"/>
          <w:color w:val="000000"/>
          <w:kern w:val="0"/>
          <w:sz w:val="32"/>
          <w:szCs w:val="32"/>
          <w:shd w:val="clear" w:color="auto" w:fill="FFFFFF"/>
        </w:rPr>
        <w:t>1、</w:t>
      </w:r>
      <w:r>
        <w:rPr>
          <w:rFonts w:ascii="仿宋_GB2312" w:eastAsia="仿宋_GB2312" w:cs="仿宋_GB2312" w:hint="eastAsia"/>
          <w:color w:val="000000"/>
          <w:sz w:val="32"/>
          <w:szCs w:val="32"/>
          <w:shd w:val="clear" w:color="auto" w:fill="FFFFFF"/>
        </w:rPr>
        <w:t>细化预算编制工作，认真做好预算编制。严格按照预算编制的相关制度和要求进行预算编制，全面编制预算项目，优先保障固定性的相对刚性的费用支出项目，进一步提高预算编制的科学性、严谨性和可控性。2、加强内部权力制衡，规范内部权力运行。结合单位实际，科学设置内设机构、管理层级、岗位权限和权力运行规程，切实做到分事行权，分岗设权，分级授权。做到对经济和业务活动的决策、执行、监督明确分工、相互分离，防止职责混淆、权限交叉。</w:t>
      </w:r>
    </w:p>
    <w:p>
      <w:pPr>
        <w:spacing w:line="580" w:lineRule="exact"/>
        <w:ind w:firstLineChars="200" w:firstLine="640"/>
        <w:rPr>
          <w:rFonts w:ascii="仿宋_GB2312" w:eastAsia="仿宋_GB2312" w:cs="仿宋_GB2312"/>
          <w:sz w:val="32"/>
          <w:szCs w:val="32"/>
        </w:rPr>
      </w:pPr>
    </w:p>
    <w:p/>
    <w:p/>
    <w:p>
      <w:pPr>
        <w:pStyle w:val="15"/>
      </w:pPr>
    </w:p>
    <w:p>
      <w:pPr>
        <w:pStyle w:val="1"/>
        <w:jc w:val="center"/>
        <w:rPr>
          <w:rFonts w:ascii="黑体" w:eastAsia="黑体" w:cs="黑体"/>
        </w:rPr>
      </w:pPr>
      <w:bookmarkStart w:id="82" w:name="_Toc115102376"/>
      <w:bookmarkStart w:id="83" w:name="_Toc79163885"/>
      <w:bookmarkStart w:id="84" w:name="_Toc79163635"/>
      <w:bookmarkStart w:id="85" w:name="_Toc111208512"/>
      <w:r>
        <w:rPr>
          <w:rFonts w:ascii="黑体" w:eastAsia="黑体" w:cs="黑体" w:hint="eastAsia"/>
        </w:rPr>
        <w:t>第五部分 附表</w:t>
      </w:r>
      <w:bookmarkEnd w:id="82"/>
      <w:bookmarkEnd w:id="83"/>
      <w:bookmarkEnd w:id="84"/>
      <w:bookmarkEnd w:id="85"/>
    </w:p>
    <w:p>
      <w:pPr>
        <w:pStyle w:val="2"/>
        <w:ind w:firstLineChars="200" w:firstLine="640"/>
        <w:rPr>
          <w:rFonts w:ascii="黑体" w:eastAsia="黑体" w:cs="Times New Roman"/>
          <w:bCs w:val="0"/>
          <w:color w:val="000000"/>
        </w:rPr>
      </w:pPr>
      <w:bookmarkStart w:id="86" w:name="_Toc115102377"/>
      <w:bookmarkStart w:id="87" w:name="_Toc111208513"/>
      <w:bookmarkStart w:id="88" w:name="_Toc79163886"/>
      <w:bookmarkStart w:id="89" w:name="_Toc79163636"/>
      <w:r>
        <w:rPr>
          <w:rFonts w:ascii="黑体" w:eastAsia="黑体" w:cs="Times New Roman" w:hint="eastAsia"/>
          <w:bCs w:val="0"/>
          <w:color w:val="000000"/>
        </w:rPr>
        <w:t>一、收入支出决算总表</w:t>
      </w:r>
      <w:bookmarkEnd w:id="86"/>
      <w:bookmarkEnd w:id="87"/>
      <w:bookmarkEnd w:id="88"/>
      <w:bookmarkEnd w:id="89"/>
    </w:p>
    <w:p>
      <w:pPr>
        <w:pStyle w:val="2"/>
        <w:ind w:firstLineChars="200" w:firstLine="640"/>
        <w:rPr>
          <w:rFonts w:ascii="黑体" w:eastAsia="黑体" w:cs="Times New Roman"/>
          <w:bCs w:val="0"/>
          <w:color w:val="000000"/>
        </w:rPr>
      </w:pPr>
      <w:bookmarkStart w:id="90" w:name="_Toc111208514"/>
      <w:bookmarkStart w:id="91" w:name="_Toc79163637"/>
      <w:bookmarkStart w:id="92" w:name="_Toc79163887"/>
      <w:bookmarkStart w:id="93" w:name="_Toc115102378"/>
      <w:r>
        <w:rPr>
          <w:rFonts w:ascii="黑体" w:eastAsia="黑体" w:cs="Times New Roman" w:hint="eastAsia"/>
          <w:bCs w:val="0"/>
          <w:color w:val="000000"/>
        </w:rPr>
        <w:t>二、收入决算表</w:t>
      </w:r>
      <w:bookmarkEnd w:id="90"/>
      <w:bookmarkEnd w:id="91"/>
      <w:bookmarkEnd w:id="92"/>
      <w:bookmarkEnd w:id="93"/>
    </w:p>
    <w:p>
      <w:pPr>
        <w:pStyle w:val="2"/>
        <w:ind w:firstLineChars="200" w:firstLine="640"/>
        <w:rPr>
          <w:rFonts w:ascii="黑体" w:eastAsia="黑体" w:cs="Times New Roman"/>
          <w:b w:val="0"/>
          <w:color w:val="000000"/>
        </w:rPr>
      </w:pPr>
      <w:bookmarkStart w:id="94" w:name="_Toc79163638"/>
      <w:bookmarkStart w:id="95" w:name="_Toc79163888"/>
      <w:bookmarkStart w:id="96" w:name="_Toc111208515"/>
      <w:bookmarkStart w:id="97" w:name="_Toc115102379"/>
      <w:r>
        <w:rPr>
          <w:rFonts w:ascii="黑体" w:eastAsia="黑体" w:cs="Times New Roman" w:hint="eastAsia"/>
          <w:bCs w:val="0"/>
          <w:color w:val="000000"/>
        </w:rPr>
        <w:t>三、支出决算表</w:t>
      </w:r>
      <w:bookmarkEnd w:id="94"/>
      <w:bookmarkEnd w:id="95"/>
      <w:bookmarkEnd w:id="96"/>
      <w:bookmarkEnd w:id="97"/>
    </w:p>
    <w:p>
      <w:pPr>
        <w:pStyle w:val="2"/>
        <w:ind w:firstLineChars="200" w:firstLine="640"/>
        <w:rPr>
          <w:rFonts w:ascii="黑体" w:eastAsia="黑体" w:cs="Times New Roman"/>
          <w:bCs w:val="0"/>
          <w:color w:val="000000"/>
        </w:rPr>
      </w:pPr>
      <w:bookmarkStart w:id="98" w:name="_Toc79163889"/>
      <w:bookmarkStart w:id="99" w:name="_Toc79163639"/>
      <w:bookmarkStart w:id="100" w:name="_Toc111208516"/>
      <w:bookmarkStart w:id="101" w:name="_Toc115102380"/>
      <w:r>
        <w:rPr>
          <w:rFonts w:ascii="黑体" w:eastAsia="黑体" w:cs="Times New Roman" w:hint="eastAsia"/>
          <w:bCs w:val="0"/>
          <w:color w:val="000000"/>
        </w:rPr>
        <w:t>四、财政拨款收入支出决算总表</w:t>
      </w:r>
      <w:bookmarkEnd w:id="98"/>
      <w:bookmarkEnd w:id="99"/>
      <w:bookmarkEnd w:id="100"/>
      <w:bookmarkEnd w:id="101"/>
    </w:p>
    <w:p>
      <w:pPr>
        <w:pStyle w:val="2"/>
        <w:ind w:firstLineChars="200" w:firstLine="640"/>
        <w:rPr>
          <w:rFonts w:ascii="黑体" w:eastAsia="黑体" w:cs="Times New Roman"/>
          <w:bCs w:val="0"/>
          <w:color w:val="000000"/>
        </w:rPr>
      </w:pPr>
      <w:bookmarkStart w:id="102" w:name="_Toc115102381"/>
      <w:bookmarkStart w:id="103" w:name="_Toc111208517"/>
      <w:bookmarkStart w:id="104" w:name="_Toc79163640"/>
      <w:bookmarkStart w:id="105" w:name="_Toc79163890"/>
      <w:r>
        <w:rPr>
          <w:rFonts w:ascii="黑体" w:eastAsia="黑体" w:cs="Times New Roman" w:hint="eastAsia"/>
          <w:bCs w:val="0"/>
          <w:color w:val="000000"/>
        </w:rPr>
        <w:t>五、财政拨款支出决算明细表</w:t>
      </w:r>
      <w:bookmarkEnd w:id="102"/>
      <w:bookmarkEnd w:id="103"/>
      <w:bookmarkEnd w:id="104"/>
      <w:bookmarkEnd w:id="105"/>
    </w:p>
    <w:p>
      <w:pPr>
        <w:pStyle w:val="2"/>
        <w:ind w:firstLineChars="200" w:firstLine="640"/>
        <w:rPr>
          <w:rFonts w:ascii="黑体" w:eastAsia="黑体" w:cs="Times New Roman"/>
          <w:bCs w:val="0"/>
          <w:color w:val="000000"/>
        </w:rPr>
      </w:pPr>
      <w:bookmarkStart w:id="106" w:name="_Toc115102382"/>
      <w:bookmarkStart w:id="107" w:name="_Toc111208518"/>
      <w:bookmarkStart w:id="108" w:name="_Toc79163641"/>
      <w:bookmarkStart w:id="109" w:name="_Toc79163891"/>
      <w:r>
        <w:rPr>
          <w:rFonts w:ascii="黑体" w:eastAsia="黑体" w:cs="Times New Roman" w:hint="eastAsia"/>
          <w:bCs w:val="0"/>
          <w:color w:val="000000"/>
        </w:rPr>
        <w:t>六、一般公共预算财政拨款支出决算表</w:t>
      </w:r>
      <w:bookmarkEnd w:id="106"/>
      <w:bookmarkEnd w:id="107"/>
      <w:bookmarkEnd w:id="108"/>
      <w:bookmarkEnd w:id="109"/>
    </w:p>
    <w:p>
      <w:pPr>
        <w:pStyle w:val="2"/>
        <w:ind w:firstLineChars="200" w:firstLine="640"/>
        <w:rPr>
          <w:rFonts w:ascii="黑体" w:eastAsia="黑体" w:cs="Times New Roman"/>
          <w:bCs w:val="0"/>
          <w:color w:val="000000"/>
        </w:rPr>
      </w:pPr>
      <w:bookmarkStart w:id="110" w:name="_Toc79163642"/>
      <w:bookmarkStart w:id="111" w:name="_Toc79163892"/>
      <w:bookmarkStart w:id="112" w:name="_Toc115102383"/>
      <w:bookmarkStart w:id="113" w:name="_Toc111208519"/>
      <w:r>
        <w:rPr>
          <w:rFonts w:ascii="黑体" w:eastAsia="黑体" w:cs="Times New Roman" w:hint="eastAsia"/>
          <w:bCs w:val="0"/>
          <w:color w:val="000000"/>
        </w:rPr>
        <w:t>七、一般公共预算财政拨款支出决算明细表</w:t>
      </w:r>
      <w:bookmarkEnd w:id="110"/>
      <w:bookmarkEnd w:id="111"/>
      <w:bookmarkEnd w:id="112"/>
      <w:bookmarkEnd w:id="113"/>
    </w:p>
    <w:p>
      <w:pPr>
        <w:pStyle w:val="2"/>
        <w:ind w:firstLineChars="200" w:firstLine="640"/>
        <w:rPr>
          <w:rFonts w:ascii="黑体" w:eastAsia="黑体" w:cs="Times New Roman"/>
          <w:bCs w:val="0"/>
          <w:color w:val="000000"/>
        </w:rPr>
      </w:pPr>
      <w:bookmarkStart w:id="114" w:name="_Toc115102384"/>
      <w:bookmarkStart w:id="115" w:name="_Toc79163643"/>
      <w:bookmarkStart w:id="116" w:name="_Toc79163893"/>
      <w:bookmarkStart w:id="117" w:name="_Toc111208520"/>
      <w:r>
        <w:rPr>
          <w:rFonts w:ascii="黑体" w:eastAsia="黑体" w:cs="Times New Roman" w:hint="eastAsia"/>
          <w:bCs w:val="0"/>
          <w:color w:val="000000"/>
        </w:rPr>
        <w:t>八、一般公共预算财政拨款基本支出决算表</w:t>
      </w:r>
      <w:bookmarkEnd w:id="114"/>
      <w:bookmarkEnd w:id="115"/>
      <w:bookmarkEnd w:id="116"/>
      <w:bookmarkEnd w:id="117"/>
    </w:p>
    <w:p>
      <w:pPr>
        <w:pStyle w:val="2"/>
        <w:ind w:firstLineChars="200" w:firstLine="640"/>
        <w:rPr>
          <w:rFonts w:ascii="黑体" w:eastAsia="黑体" w:cs="Times New Roman"/>
          <w:bCs w:val="0"/>
          <w:color w:val="000000"/>
        </w:rPr>
      </w:pPr>
      <w:bookmarkStart w:id="118" w:name="_Toc79163644"/>
      <w:bookmarkStart w:id="119" w:name="_Toc79163894"/>
      <w:bookmarkStart w:id="120" w:name="_Toc111208521"/>
      <w:bookmarkStart w:id="121" w:name="_Toc115102385"/>
      <w:r>
        <w:rPr>
          <w:rFonts w:ascii="黑体" w:eastAsia="黑体" w:cs="Times New Roman" w:hint="eastAsia"/>
          <w:bCs w:val="0"/>
          <w:color w:val="000000"/>
        </w:rPr>
        <w:t>九、一般公共预算财政拨款项目支出决算表</w:t>
      </w:r>
      <w:bookmarkEnd w:id="118"/>
      <w:bookmarkEnd w:id="119"/>
      <w:bookmarkEnd w:id="120"/>
      <w:bookmarkEnd w:id="121"/>
    </w:p>
    <w:p>
      <w:pPr>
        <w:pStyle w:val="2"/>
        <w:ind w:firstLineChars="200" w:firstLine="640"/>
        <w:rPr>
          <w:rFonts w:ascii="黑体" w:eastAsia="黑体" w:cs="Times New Roman"/>
          <w:bCs w:val="0"/>
          <w:color w:val="000000"/>
        </w:rPr>
      </w:pPr>
      <w:bookmarkStart w:id="122" w:name="_Toc79163645"/>
      <w:bookmarkStart w:id="123" w:name="_Toc79163895"/>
      <w:bookmarkStart w:id="124" w:name="_Toc111208522"/>
      <w:bookmarkStart w:id="125" w:name="_Toc115102386"/>
      <w:r>
        <w:rPr>
          <w:rFonts w:ascii="黑体" w:eastAsia="黑体" w:cs="Times New Roman" w:hint="eastAsia"/>
          <w:bCs w:val="0"/>
          <w:color w:val="000000"/>
        </w:rPr>
        <w:t>十、一般公共预算财政拨款“三公”经费支出决算表</w:t>
      </w:r>
      <w:bookmarkEnd w:id="122"/>
      <w:bookmarkEnd w:id="123"/>
      <w:bookmarkEnd w:id="124"/>
      <w:bookmarkEnd w:id="125"/>
    </w:p>
    <w:p>
      <w:pPr>
        <w:pStyle w:val="2"/>
        <w:ind w:firstLineChars="200" w:firstLine="640"/>
        <w:rPr>
          <w:rFonts w:ascii="黑体" w:eastAsia="黑体" w:cs="Times New Roman"/>
          <w:bCs w:val="0"/>
          <w:color w:val="000000"/>
        </w:rPr>
      </w:pPr>
      <w:bookmarkStart w:id="126" w:name="_Toc79163646"/>
      <w:bookmarkStart w:id="127" w:name="_Toc79163896"/>
      <w:bookmarkStart w:id="128" w:name="_Toc111208523"/>
      <w:bookmarkStart w:id="129" w:name="_Toc115102387"/>
      <w:r>
        <w:rPr>
          <w:rFonts w:ascii="黑体" w:eastAsia="黑体" w:cs="Times New Roman" w:hint="eastAsia"/>
          <w:bCs w:val="0"/>
          <w:color w:val="000000"/>
        </w:rPr>
        <w:t>十一、政府性基金预算财政拨款收入支出决算表</w:t>
      </w:r>
      <w:bookmarkEnd w:id="126"/>
      <w:bookmarkEnd w:id="127"/>
      <w:bookmarkEnd w:id="128"/>
      <w:bookmarkEnd w:id="129"/>
    </w:p>
    <w:p>
      <w:pPr>
        <w:pStyle w:val="2"/>
        <w:ind w:firstLineChars="200" w:firstLine="640"/>
        <w:rPr>
          <w:rFonts w:ascii="黑体" w:eastAsia="黑体" w:cs="Times New Roman"/>
          <w:bCs w:val="0"/>
          <w:color w:val="000000"/>
        </w:rPr>
      </w:pPr>
      <w:bookmarkStart w:id="130" w:name="_Toc79163897"/>
      <w:bookmarkStart w:id="131" w:name="_Toc79163647"/>
      <w:bookmarkStart w:id="132" w:name="_Toc111208524"/>
      <w:bookmarkStart w:id="133" w:name="_Toc115102388"/>
      <w:r>
        <w:rPr>
          <w:rFonts w:ascii="黑体" w:eastAsia="黑体" w:cs="Times New Roman" w:hint="eastAsia"/>
          <w:bCs w:val="0"/>
          <w:color w:val="000000"/>
        </w:rPr>
        <w:t>十二、政府性基金预算财政拨款“三公”经费支出决算表</w:t>
      </w:r>
      <w:bookmarkEnd w:id="130"/>
      <w:bookmarkEnd w:id="131"/>
      <w:bookmarkEnd w:id="132"/>
      <w:bookmarkEnd w:id="133"/>
    </w:p>
    <w:p>
      <w:pPr>
        <w:pStyle w:val="2"/>
        <w:ind w:firstLineChars="200" w:firstLine="640"/>
        <w:rPr>
          <w:rFonts w:ascii="黑体" w:eastAsia="黑体" w:cs="Times New Roman"/>
          <w:bCs w:val="0"/>
          <w:color w:val="000000"/>
        </w:rPr>
      </w:pPr>
      <w:bookmarkStart w:id="134" w:name="_Toc79163898"/>
      <w:bookmarkStart w:id="135" w:name="_Toc79163648"/>
      <w:bookmarkStart w:id="136" w:name="_Toc111208525"/>
      <w:bookmarkStart w:id="137" w:name="_Toc115102389"/>
      <w:r>
        <w:rPr>
          <w:rFonts w:ascii="黑体" w:eastAsia="黑体" w:cs="Times New Roman" w:hint="eastAsia"/>
          <w:bCs w:val="0"/>
          <w:color w:val="000000"/>
        </w:rPr>
        <w:t>十三、</w:t>
      </w:r>
      <w:bookmarkEnd w:id="134"/>
      <w:bookmarkEnd w:id="135"/>
      <w:r>
        <w:rPr>
          <w:rFonts w:ascii="黑体" w:eastAsia="黑体" w:cs="Times New Roman" w:hint="eastAsia"/>
          <w:bCs w:val="0"/>
          <w:color w:val="000000"/>
        </w:rPr>
        <w:t>国有资本经营预算财政拨款收入支出决算表</w:t>
      </w:r>
      <w:bookmarkEnd w:id="136"/>
      <w:bookmarkEnd w:id="137"/>
    </w:p>
    <w:p>
      <w:pPr>
        <w:pStyle w:val="2"/>
        <w:ind w:firstLineChars="200" w:firstLine="640"/>
        <w:rPr>
          <w:rFonts w:ascii="黑体" w:eastAsia="黑体" w:cs="Times New Roman"/>
          <w:b w:val="0"/>
          <w:color w:val="000000"/>
        </w:rPr>
      </w:pPr>
      <w:bookmarkStart w:id="138" w:name="_Toc111208526"/>
      <w:bookmarkStart w:id="139" w:name="_Toc115102390"/>
      <w:r>
        <w:rPr>
          <w:rFonts w:ascii="黑体" w:eastAsia="黑体" w:cs="Times New Roman" w:hint="eastAsia"/>
          <w:bCs w:val="0"/>
          <w:color w:val="000000"/>
        </w:rPr>
        <w:t>十四、国有资本经营预算财政拨款支出决算表</w:t>
      </w:r>
      <w:bookmarkEnd w:id="138"/>
      <w:bookmarkEnd w:id="139"/>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方正小标宋简体">
    <w:altName w:val="黑体"/>
    <w:panose1 w:val="03000509000000000000"/>
    <w:charset w:val="86"/>
    <w:family w:val="script"/>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仿宋">
    <w:panose1 w:val="02010609060101010101"/>
    <w:charset w:val="86"/>
    <w:family w:val="modern"/>
    <w:pitch w:val="variable"/>
    <w:sig w:usb0="800002BF" w:usb1="38CF7CFA" w:usb2="00000016" w:usb3="00000000" w:csb0="00040001" w:csb1="00000000"/>
  </w:font>
  <w:font w:name="Cambria">
    <w:altName w:val="DejaVu Sans"/>
    <w:panose1 w:val="02040503050406030204"/>
    <w:charset w:val="00"/>
    <w:family w:val="roman"/>
    <w:pitch w:val="variable"/>
    <w:sig w:usb0="E00002FF" w:usb1="400004F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308891902"/>
    </w:sdtPr>
    <w:sdtContent>
      <w:p>
        <w:pPr>
          <w:pStyle w:val="20"/>
          <w:tabs>
            <w:tab w:val="center" w:pos="4153"/>
            <w:tab w:val="right" w:pos="8306"/>
          </w:tabs>
          <w:jc w:val="center"/>
        </w:pPr>
        <w:r>
          <w:fldChar w:fldCharType="begin"/>
        </w:r>
        <w:r>
          <w:instrText>PAGE   \* MERGEFORMAT</w:instrText>
        </w:r>
        <w:r>
          <w:fldChar w:fldCharType="separate"/>
        </w:r>
        <w:r>
          <w:rPr>
            <w:lang w:val="zh-CN"/>
          </w:rPr>
          <w:t>6</w:t>
        </w:r>
        <w:r>
          <w:fldChar w:fldCharType="end"/>
        </w:r>
      </w:p>
    </w:sdtContent>
  </w:sdt>
  <w:p>
    <w:pPr>
      <w:pStyle w:val="20"/>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B0FAFF7"/>
    <w:multiLevelType w:val="singleLevel"/>
    <w:tmpl w:val="BB0FAFF7"/>
    <w:lvl w:ilvl="0">
      <w:start w:val="1"/>
      <w:numFmt w:val="chineseCounting"/>
      <w:lvlRestart w:val="0"/>
      <w:suff w:val="nothing"/>
      <w:lvlText w:val="（%1）"/>
      <w:lvlJc w:val="left"/>
      <w:pPr>
        <w:ind w:left="0" w:hanging="0"/>
      </w:pPr>
      <w:rPr>
        <w:rFonts w:hint="eastAsia"/>
      </w:rPr>
    </w:lvl>
  </w:abstractNum>
  <w:abstractNum w:abstractNumId="1">
    <w:nsid w:val="F6A48E31"/>
    <w:multiLevelType w:val="singleLevel"/>
    <w:tmpl w:val="F6A48E31"/>
    <w:lvl w:ilvl="0">
      <w:start w:val="5"/>
      <w:numFmt w:val="chineseCounting"/>
      <w:lvlRestart w:val="0"/>
      <w:suff w:val="nothing"/>
      <w:lvlText w:val="（%1）"/>
      <w:lvlJc w:val="left"/>
      <w:pPr>
        <w:ind w:left="0" w:hanging="0"/>
      </w:pPr>
      <w:rPr>
        <w:rFonts w:hint="eastAsia"/>
      </w:rPr>
    </w:lvl>
  </w:abstractNum>
  <w:abstractNum w:abstractNumId="2">
    <w:nsid w:val="17A96E9E"/>
    <w:multiLevelType w:val="singleLevel"/>
    <w:tmpl w:val="17A96E9E"/>
    <w:lvl w:ilvl="0">
      <w:start w:val="4"/>
      <w:numFmt w:val="chineseCounting"/>
      <w:lvlRestart w:val="0"/>
      <w:suff w:val="space"/>
      <w:lvlText w:val="第%1部分"/>
      <w:lvlJc w:val="left"/>
      <w:pPr>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YmQ1NWFiMTBmMDAzZWExZGY4OGU4MjEzZmY5NTUxMT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pPr>
      <w:keepNext/>
      <w:keepLines/>
      <w:widowControl w:val="0"/>
      <w:spacing w:before="260" w:after="260" w:line="415" w:lineRule="auto"/>
      <w:outlineLvl w:val="1"/>
    </w:pPr>
    <w:rPr>
      <w:rFonts w:ascii="Cambria" w:eastAsia="宋体" w:cs="Times New Roman" w:hAnsi="Cambria"/>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ind w:firstLine="680"/>
    </w:pPr>
  </w:style>
  <w:style w:type="paragraph" w:styleId="16">
    <w:name w:val="annotation text"/>
    <w:basedOn w:val="0"/>
    <w:pPr>
      <w:jc w:val="left"/>
    </w:pPr>
  </w:style>
  <w:style w:type="paragraph" w:styleId="17">
    <w:name w:val="Body Text"/>
    <w:basedOn w:val="0"/>
    <w:pPr>
      <w:spacing w:beforeLines="30" w:before="30"/>
    </w:pPr>
    <w:rPr>
      <w:rFonts w:ascii="仿宋_GB2312" w:eastAsia="仿宋_GB2312"/>
      <w:kern w:val="0"/>
      <w:sz w:val="30"/>
    </w:rPr>
  </w:style>
  <w:style w:type="paragraph" w:styleId="18">
    <w:name w:val="toc 3"/>
    <w:basedOn w:val="0"/>
    <w:next w:val="0"/>
    <w:pPr>
      <w:tabs>
        <w:tab w:val="right" w:leader="dot" w:pos="8296"/>
      </w:tabs>
      <w:ind w:leftChars="400" w:left="400"/>
    </w:p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rFonts w:ascii="Calibri" w:hAnsi="Calibri"/>
      <w:kern w:val="0"/>
      <w:sz w:val="18"/>
      <w:szCs w:val="18"/>
    </w:rPr>
  </w:style>
  <w:style w:type="paragraph" w:styleId="21">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2">
    <w:name w:val="toc 1"/>
    <w:basedOn w:val="0"/>
    <w:next w:val="0"/>
    <w:pPr>
      <w:tabs>
        <w:tab w:val="right" w:leader="dot" w:pos="8296"/>
      </w:tabs>
      <w:spacing w:before="93"/>
      <w:jc w:val="center"/>
    </w:pPr>
    <w:rPr>
      <w:rFonts w:ascii="仿宋" w:eastAsia="仿宋"/>
      <w:sz w:val="28"/>
      <w:szCs w:val="28"/>
    </w:rPr>
  </w:style>
  <w:style w:type="paragraph" w:styleId="23">
    <w:name w:val="table of figures"/>
    <w:basedOn w:val="0"/>
    <w:next w:val="0"/>
    <w:pPr>
      <w:ind w:leftChars="200" w:left="400" w:hangingChars="200" w:hanging="200"/>
    </w:pPr>
  </w:style>
  <w:style w:type="paragraph" w:styleId="24">
    <w:name w:val="toc 2"/>
    <w:basedOn w:val="0"/>
    <w:next w:val="0"/>
    <w:pPr>
      <w:tabs>
        <w:tab w:val="right" w:leader="dot" w:pos="8296"/>
      </w:tabs>
      <w:ind w:leftChars="200" w:left="200"/>
    </w:pPr>
  </w:style>
  <w:style w:type="character" w:styleId="25">
    <w:name w:val="Strong"/>
    <w:basedOn w:val="10"/>
    <w:rPr>
      <w:b/>
    </w:rPr>
  </w:style>
  <w:style w:type="character" w:styleId="26">
    <w:name w:val="Hyperlink"/>
    <w:basedOn w:val="10"/>
    <w:rPr>
      <w:color w:val="0000FF"/>
      <w:u w:val="single"/>
    </w:rPr>
  </w:style>
  <w:style w:type="character" w:styleId="27">
    <w:name w:val="annotation reference"/>
    <w:basedOn w:val="10"/>
    <w:rPr>
      <w:sz w:val="21"/>
      <w:szCs w:val="21"/>
    </w:rPr>
  </w:style>
  <w:style w:type="paragraph" w:customStyle="1" w:styleId="28">
    <w:name w:val="Default"/>
    <w:pPr>
      <w:widowControl w:val="0"/>
      <w:autoSpaceDE w:val="0"/>
      <w:autoSpaceDN w:val="0"/>
      <w:adjustRightInd w:val="0"/>
    </w:pPr>
    <w:rPr>
      <w:rFonts w:ascii="仿宋" w:eastAsia="仿宋" w:cs="仿宋"/>
      <w:color w:val="000000"/>
      <w:sz w:val="24"/>
      <w:szCs w:val="24"/>
      <w:lang w:val="en-US" w:eastAsia="zh-CN" w:bidi="ar-SA"/>
    </w:rPr>
  </w:style>
  <w:style w:type="character" w:customStyle="1" w:styleId="29">
    <w:name w:val="Header Char"/>
    <w:basedOn w:val="10"/>
    <w:rPr>
      <w:rFonts w:ascii="Times New Roman" w:hAnsi="Times New Roman"/>
      <w:sz w:val="18"/>
      <w:szCs w:val="18"/>
    </w:rPr>
  </w:style>
  <w:style w:type="character" w:customStyle="1" w:styleId="30">
    <w:name w:val="Footer Char"/>
    <w:basedOn w:val="10"/>
    <w:rPr>
      <w:rFonts w:ascii="Times New Roman" w:hAnsi="Times New Roman"/>
      <w:sz w:val="18"/>
      <w:szCs w:val="18"/>
    </w:rPr>
  </w:style>
  <w:style w:type="character" w:customStyle="1" w:styleId="31">
    <w:name w:val="Body Text Char"/>
    <w:basedOn w:val="10"/>
    <w:rPr>
      <w:rFonts w:ascii="Times New Roman" w:hAnsi="Times New Roman"/>
      <w:szCs w:val="24"/>
    </w:rPr>
  </w:style>
  <w:style w:type="paragraph" w:styleId="32">
    <w:name w:val="List Paragraph"/>
    <w:basedOn w:val="0"/>
    <w:pPr>
      <w:ind w:firstLineChars="200" w:firstLine="200"/>
    </w:pPr>
  </w:style>
  <w:style w:type="paragraph" w:customStyle="1" w:styleId="33">
    <w:name w:val="TOC 标题1"/>
    <w:basedOn w:val="1"/>
    <w:next w:val="0"/>
    <w:pPr>
      <w:keepNext/>
      <w:keepLines/>
      <w:widowControl/>
      <w:spacing w:before="480" w:after="0" w:line="276" w:lineRule="auto"/>
      <w:jc w:val="left"/>
      <w:outlineLvl w:val="9"/>
    </w:pPr>
    <w:rPr>
      <w:rFonts w:ascii="Cambria" w:eastAsia="宋体" w:cs="Times New Roman" w:hAnsi="Cambria"/>
      <w:color w:val="366091"/>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收、支决算总计变动情况图</a:t>
            </a:r>
          </a:p>
        </c:rich>
      </c:tx>
      <c:layout/>
      <c:overlay val="0"/>
      <c:spPr>
        <a:ln>
          <a:noFill/>
        </a:ln>
      </c:spPr>
    </c:title>
    <c:autoTitleDeleted val="1"/>
    <c:plotArea>
      <c:layout>
        <c:manualLayout>
          <c:layoutTarget val="inner"/>
          <c:xMode val="edge"/>
          <c:yMode val="edge"/>
          <c:x val="0.05598162"/>
          <c:y val="0.24786511"/>
          <c:w val="0.800713"/>
          <c:h val="0.65402776"/>
        </c:manualLayout>
      </c:layout>
      <c:barChart>
        <c:barDir val="col"/>
        <c:grouping val="clustered"/>
        <c:varyColors val="0"/>
        <c:ser>
          <c:idx val="1"/>
          <c:order val="0"/>
          <c:tx>
            <c:v>收入</c:v>
          </c:tx>
          <c:spPr>
            <a:solidFill>
              <a:srgbClr val="C0504D"/>
            </a:solidFill>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742.59</c:v>
                </c:pt>
                <c:pt idx="1">
                  <c:v>755.87</c:v>
                </c:pt>
              </c:numCache>
            </c:numRef>
          </c:val>
        </c:ser>
        <c:ser>
          <c:idx val="2"/>
          <c:order val="1"/>
          <c:tx>
            <c:v>支出</c:v>
          </c:tx>
          <c:spPr>
            <a:solidFill>
              <a:srgbClr val="9BBB59"/>
            </a:solidFill>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742.59</c:v>
                </c:pt>
                <c:pt idx="1">
                  <c:v>755.87</c:v>
                </c:pt>
              </c:numCache>
            </c:numRef>
          </c:val>
        </c:ser>
        <c:gapWidth val="41"/>
        <c:axId val="0"/>
        <c:axId val="1"/>
      </c:barChart>
      <c:catAx>
        <c:axId val="0"/>
        <c:scaling>
          <c:orientation val="minMax"/>
        </c:scaling>
        <c:delete val="0"/>
        <c:axPos val="b"/>
        <c:numFmt formatCode="General" sourceLinked="0"/>
        <c:title>
          <c:tx>
            <c:rich>
              <a:bodyPr rot="0" vert="horz" anchor="t" anchorCtr="0"/>
              <a:lstStyle/>
              <a:p>
                <a:pPr>
                  <a:defRPr sz="1000" b="1" i="0" u="none" strike="noStrike" baseline="0">
                    <a:solidFill>
                      <a:srgbClr val="000000"/>
                    </a:solidFill>
                    <a:latin typeface="Times New Roman"/>
                    <a:ea typeface="宋体"/>
                    <a:cs typeface="Lucida Sans"/>
                  </a:defRPr>
                </a:pPr>
                <a:r>
                  <a:rPr lang="zh-CN"/>
                  <a:t>单位：万元</a:t>
                </a:r>
              </a:p>
            </c:rich>
          </c:tx>
          <c:layout/>
          <c:overlay val="0"/>
          <c:spPr>
            <a:ln>
              <a:noFill/>
            </a:ln>
          </c:spPr>
        </c:title>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1"/>
        <c:axPos val="l"/>
        <c:title>
          <c:tx>
            <c:rich>
              <a:bodyPr rot="-5400000" vert="horz" anchor="t" anchorCtr="0"/>
              <a:lstStyle/>
              <a:p>
                <a:pPr>
                  <a:defRPr sz="1000" b="1" i="0" u="none" strike="noStrike" baseline="0">
                    <a:solidFill>
                      <a:srgbClr val="000000"/>
                    </a:solidFill>
                    <a:latin typeface="Times New Roman"/>
                    <a:ea typeface="宋体"/>
                    <a:cs typeface="Lucida Sans"/>
                  </a:defRPr>
                </a:pPr>
                <a:r>
                  <a:rPr lang="zh-CN"/>
                  <a:t> </a:t>
                </a:r>
              </a:p>
            </c:rich>
          </c:tx>
          <c:layout/>
          <c:overlay val="0"/>
          <c:spPr>
            <a:ln>
              <a:noFill/>
            </a:ln>
          </c:spPr>
        </c:title>
        <c:numFmt formatCode="General" sourceLinked="1"/>
        <c:majorTickMark val="none"/>
        <c:minorTickMark val="none"/>
        <c:tickLblPos val="none"/>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收入决算结构图</a:t>
            </a:r>
          </a:p>
        </c:rich>
      </c:tx>
      <c:layout/>
      <c:overlay val="0"/>
      <c:spPr>
        <a:ln>
          <a:noFill/>
        </a:ln>
      </c:spPr>
    </c:title>
    <c:autoTitleDeleted val="1"/>
    <c:plotArea>
      <c:layout/>
      <c:pieChart>
        <c:varyColors val="1"/>
        <c:ser>
          <c:idx val="1"/>
          <c:order val="0"/>
          <c:spPr>
            <a:solidFill>
              <a:srgbClr val="C0504D"/>
            </a:solidFill>
          </c:spPr>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0"/>
            <c:showVal val="0"/>
            <c:showCatName val="0"/>
            <c:showSerName val="0"/>
            <c:showPercent val="1"/>
            <c:showBubbleSize val="0"/>
            <c:showLeaderLines val="1"/>
          </c:dLbls>
          <c:cat>
            <c:strLit>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Cache>
                <c:formatCode>General</c:formatCode>
                <c:ptCount val="8"/>
                <c:pt idx="0">
                  <c:v>7556303.3</c:v>
                </c:pt>
                <c:pt idx="1">
                  <c:v>0.0</c:v>
                </c:pt>
                <c:pt idx="2">
                  <c:v>0.0</c:v>
                </c:pt>
                <c:pt idx="3">
                  <c:v>0.0</c:v>
                </c:pt>
                <c:pt idx="4">
                  <c:v>0.0</c:v>
                </c:pt>
                <c:pt idx="5">
                  <c:v>0.0</c:v>
                </c:pt>
                <c:pt idx="6">
                  <c:v>0.0</c:v>
                </c:pt>
                <c:pt idx="7">
                  <c:v>0.0</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支出决算结构图</a:t>
            </a:r>
          </a:p>
        </c:rich>
      </c:tx>
      <c:layout/>
      <c:overlay val="0"/>
      <c:spPr>
        <a:ln>
          <a:noFill/>
        </a:ln>
      </c:spPr>
    </c:title>
    <c:autoTitleDeleted val="1"/>
    <c:plotArea>
      <c:layout/>
      <c:pieChart>
        <c:varyColors val="1"/>
        <c:ser>
          <c:idx val="1"/>
          <c:order val="0"/>
          <c:spPr>
            <a:solidFill>
              <a:srgbClr val="C0504D"/>
            </a:solidFill>
          </c:spPr>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0"/>
            <c:showVal val="0"/>
            <c:showCatName val="0"/>
            <c:showSerName val="0"/>
            <c:showPercent val="1"/>
            <c:showBubbleSize val="0"/>
            <c:showLeaderLines val="1"/>
          </c:dLbls>
          <c:cat>
            <c:strLit>
              <c:ptCount val="5"/>
              <c:pt idx="0">
                <c:v>基本支出</c:v>
              </c:pt>
              <c:pt idx="1">
                <c:v>项目支出</c:v>
              </c:pt>
              <c:pt idx="2">
                <c:v>上缴上级支出</c:v>
              </c:pt>
              <c:pt idx="3">
                <c:v>经营支出</c:v>
              </c:pt>
              <c:pt idx="4">
                <c:v>对附属单位补助支出</c:v>
              </c:pt>
            </c:strLit>
          </c:cat>
          <c:val>
            <c:numRef>
              <c:f/>
              <c:numCache>
                <c:formatCode>General</c:formatCode>
                <c:ptCount val="5"/>
                <c:pt idx="0">
                  <c:v>1553903.3</c:v>
                </c:pt>
                <c:pt idx="1">
                  <c:v>6004800.0</c:v>
                </c:pt>
                <c:pt idx="2">
                  <c:v>0.0</c:v>
                </c:pt>
                <c:pt idx="3">
                  <c:v>0.0</c:v>
                </c:pt>
                <c:pt idx="4">
                  <c:v>0.0</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1F497D"/>
                </a:solidFill>
                <a:latin typeface="Times New Roman"/>
                <a:ea typeface="宋体"/>
                <a:cs typeface="Lucida Sans"/>
              </a:defRPr>
            </a:pPr>
            <a:r>
              <a:rPr lang="zh-CN"/>
              <a:t>财政拨款收、支决算总计变动情况</a:t>
            </a:r>
          </a:p>
        </c:rich>
      </c:tx>
      <c:layout/>
      <c:overlay val="0"/>
      <c:spPr>
        <a:noFill/>
        <a:ln>
          <a:noFill/>
        </a:ln>
      </c:spPr>
    </c:title>
    <c:autoTitleDeleted val="1"/>
    <c:plotArea>
      <c:layout/>
      <c:barChart>
        <c:barDir val="col"/>
        <c:grouping val="clustered"/>
        <c:varyColors val="0"/>
        <c:ser>
          <c:idx val="1"/>
          <c:order val="0"/>
          <c:tx>
            <c:v>收入</c:v>
          </c:tx>
          <c:spPr>
            <a:solidFill>
              <a:srgbClr val="C0504D"/>
            </a:solidFill>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742.59</c:v>
                </c:pt>
                <c:pt idx="1">
                  <c:v>755.87</c:v>
                </c:pt>
              </c:numCache>
            </c:numRef>
          </c:val>
        </c:ser>
        <c:ser>
          <c:idx val="2"/>
          <c:order val="1"/>
          <c:tx>
            <c:v>支出</c:v>
          </c:tx>
          <c:spPr>
            <a:solidFill>
              <a:srgbClr val="9BBB59"/>
            </a:solidFill>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742.59</c:v>
                </c:pt>
                <c:pt idx="1">
                  <c:v>755.87</c:v>
                </c:pt>
              </c:numCache>
            </c:numRef>
          </c:val>
        </c:ser>
        <c:overlap val="-24"/>
        <c:gapWidth val="100"/>
        <c:axId val="0"/>
        <c:axId val="1"/>
      </c:barChart>
      <c:catAx>
        <c:axId val="0"/>
        <c:scaling>
          <c:orientation val="minMax"/>
        </c:scaling>
        <c:delete val="0"/>
        <c:axPos val="b"/>
        <c:numFmt formatCode="General" sourceLinked="0"/>
        <c:title>
          <c:tx>
            <c:rich>
              <a:bodyPr rot="0" vert="horz" anchor="t" anchorCtr="0"/>
              <a:lstStyle/>
              <a:p>
                <a:pPr>
                  <a:defRPr sz="1000" b="1" i="0" u="none" strike="noStrike" baseline="0">
                    <a:solidFill>
                      <a:srgbClr val="000000"/>
                    </a:solidFill>
                    <a:latin typeface="Times New Roman"/>
                    <a:ea typeface="宋体"/>
                    <a:cs typeface="Lucida Sans"/>
                  </a:defRPr>
                </a:pPr>
                <a:r>
                  <a:rPr lang="zh-CN"/>
                  <a:t>单位：万元</a:t>
                </a:r>
              </a:p>
            </c:rich>
          </c:tx>
          <c:layout/>
          <c:overlay val="0"/>
          <c:spPr>
            <a:ln>
              <a:noFill/>
            </a:ln>
          </c:spPr>
        </c:title>
        <c:majorTickMark val="none"/>
        <c:minorTickMark val="none"/>
        <c:tickLblPos val="nextTo"/>
        <c:spPr>
          <a:ln w="6350">
            <a:solidFill>
              <a:srgbClr val="D4E3F4"/>
            </a:solidFill>
            <a:prstDash val="solid"/>
          </a:ln>
        </c:spPr>
        <c:txPr>
          <a:bodyPr/>
          <a:lstStyle/>
          <a:p>
            <a:pPr>
              <a:defRPr sz="900" b="0" i="0" u="none" strike="noStrike" baseline="0">
                <a:solidFill>
                  <a:srgbClr val="1F497D"/>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4E3F4"/>
              </a:solidFill>
              <a:prstDash val="solid"/>
            </a:ln>
          </c:spPr>
        </c:majorGridlines>
        <c:title>
          <c:tx>
            <c:rich>
              <a:bodyPr rot="-5400000" vert="horz" anchor="t" anchorCtr="0"/>
              <a:lstStyle/>
              <a:p>
                <a:pPr>
                  <a:defRPr sz="1000" b="1" i="0" u="none" strike="noStrike" baseline="0">
                    <a:solidFill>
                      <a:srgbClr val="000000"/>
                    </a:solidFill>
                    <a:latin typeface="Times New Roman"/>
                    <a:ea typeface="宋体"/>
                    <a:cs typeface="Lucida Sans"/>
                  </a:defRPr>
                </a:pPr>
                <a:r>
                  <a:rPr lang="zh-CN"/>
                  <a:t> </a:t>
                </a:r>
              </a:p>
            </c:rich>
          </c:tx>
          <c:layout/>
          <c:overlay val="0"/>
          <c:spPr>
            <a:ln>
              <a:noFill/>
            </a:ln>
          </c:spPr>
        </c:title>
        <c:numFmt formatCode="General" sourceLinked="1"/>
        <c:majorTickMark val="none"/>
        <c:minorTickMark val="none"/>
        <c:tickLblPos val="nextTo"/>
        <c:spPr>
          <a:ln>
            <a:noFill/>
          </a:ln>
        </c:spPr>
        <c:txPr>
          <a:bodyPr/>
          <a:lstStyle/>
          <a:p>
            <a:pPr>
              <a:defRPr sz="900" b="0" i="0" u="none" strike="noStrike" baseline="0">
                <a:solidFill>
                  <a:srgbClr val="1F497D"/>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1F497D"/>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4E3F4"/>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595959"/>
                </a:solidFill>
                <a:latin typeface="Times New Roman"/>
                <a:ea typeface="宋体"/>
                <a:cs typeface="Lucida Sans"/>
              </a:defRPr>
            </a:pPr>
            <a:r>
              <a:rPr lang="zh-CN"/>
              <a:t>一般公共预算财政拨款支出</a:t>
            </a:r>
          </a:p>
        </c:rich>
      </c:tx>
      <c:layout/>
      <c:overlay val="0"/>
      <c:spPr>
        <a:noFill/>
        <a:ln>
          <a:noFill/>
        </a:ln>
      </c:spPr>
    </c:title>
    <c:autoTitleDeleted val="1"/>
    <c:plotArea>
      <c:layout>
        <c:manualLayout>
          <c:layoutTarget val="inner"/>
          <c:xMode val="edge"/>
          <c:yMode val="edge"/>
          <c:x val="0.07363331"/>
          <c:y val="0.19958287"/>
          <c:w val="0.76762366"/>
          <c:h val="0.7085065"/>
        </c:manualLayout>
      </c:layout>
      <c:barChart>
        <c:barDir val="col"/>
        <c:grouping val="clustered"/>
        <c:varyColors val="0"/>
        <c:ser>
          <c:idx val="1"/>
          <c:order val="0"/>
          <c:tx>
            <c:v>2020</c:v>
          </c:tx>
          <c:spPr>
            <a:solidFill>
              <a:srgbClr val="C0504D"/>
            </a:solidFill>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strLit>
              <c:ptCount val="1"/>
              <c:pt idx="0">
                <c:v>一般公共预算财政拨款支出</c:v>
              </c:pt>
            </c:strLit>
          </c:cat>
          <c:val>
            <c:numRef>
              <c:f/>
              <c:numCache>
                <c:formatCode>General</c:formatCode>
                <c:ptCount val="1"/>
                <c:pt idx="0">
                  <c:v>742.35</c:v>
                </c:pt>
              </c:numCache>
            </c:numRef>
          </c:val>
        </c:ser>
        <c:ser>
          <c:idx val="2"/>
          <c:order val="1"/>
          <c:tx>
            <c:v>2021</c:v>
          </c:tx>
          <c:spPr>
            <a:solidFill>
              <a:srgbClr val="9BBB59"/>
            </a:solidFill>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strLit>
              <c:ptCount val="1"/>
              <c:pt idx="0">
                <c:v>一般公共预算财政拨款支出</c:v>
              </c:pt>
            </c:strLit>
          </c:cat>
          <c:val>
            <c:numRef>
              <c:f/>
              <c:numCache>
                <c:formatCode>General</c:formatCode>
                <c:ptCount val="1"/>
                <c:pt idx="0">
                  <c:v>755.87</c:v>
                </c:pt>
              </c:numCache>
            </c:numRef>
          </c:val>
        </c:ser>
        <c:overlap val="-24"/>
        <c:gapWidth val="100"/>
        <c:axId val="0"/>
        <c:axId val="1"/>
      </c:barChart>
      <c:catAx>
        <c:axId val="0"/>
        <c:scaling>
          <c:orientation val="minMax"/>
        </c:scaling>
        <c:delete val="1"/>
        <c:axPos val="b"/>
        <c:numFmt formatCode="General" sourceLinked="0"/>
        <c:title>
          <c:tx>
            <c:rich>
              <a:bodyPr rot="0" vert="horz" anchor="t" anchorCtr="0"/>
              <a:lstStyle/>
              <a:p>
                <a:pPr>
                  <a:defRPr sz="1000" b="1" i="0" u="none" strike="noStrike" baseline="0">
                    <a:solidFill>
                      <a:srgbClr val="000000"/>
                    </a:solidFill>
                    <a:latin typeface="Times New Roman"/>
                    <a:ea typeface="宋体"/>
                    <a:cs typeface="Lucida Sans"/>
                  </a:defRPr>
                </a:pPr>
                <a:r>
                  <a:rPr lang="zh-CN"/>
                  <a:t>单位：万元</a:t>
                </a:r>
              </a:p>
            </c:rich>
          </c:tx>
          <c:layout/>
          <c:overlay val="0"/>
          <c:spPr>
            <a:ln>
              <a:noFill/>
            </a:ln>
          </c:spPr>
        </c:title>
        <c:majorTickMark val="none"/>
        <c:minorTickMark val="none"/>
        <c:tickLblPos val="none"/>
        <c:txPr>
          <a:bodyPr/>
          <a:lstStyle/>
          <a:p>
            <a:pPr>
              <a:defRPr sz="1000" b="0" i="0" u="none" strike="noStrike" baseline="0">
                <a:solidFill>
                  <a:srgbClr val="000000"/>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title>
          <c:tx>
            <c:rich>
              <a:bodyPr rot="-5400000" vert="horz" anchor="t" anchorCtr="0"/>
              <a:lstStyle/>
              <a:p>
                <a:pPr>
                  <a:defRPr sz="1000" b="1" i="0" u="none" strike="noStrike" baseline="0">
                    <a:solidFill>
                      <a:srgbClr val="000000"/>
                    </a:solidFill>
                    <a:latin typeface="Times New Roman"/>
                    <a:ea typeface="宋体"/>
                    <a:cs typeface="Lucida Sans"/>
                  </a:defRPr>
                </a:pPr>
                <a:r>
                  <a:rPr lang="zh-CN"/>
                  <a:t> </a:t>
                </a:r>
              </a:p>
            </c:rich>
          </c:tx>
          <c:layout/>
          <c:overlay val="0"/>
          <c:spPr>
            <a:ln>
              <a:noFill/>
            </a:ln>
          </c:spPr>
        </c:title>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一般公共预算财政拨款支出</a:t>
            </a:r>
          </a:p>
        </c:rich>
      </c:tx>
      <c:layout/>
      <c:overlay val="0"/>
      <c:spPr>
        <a:ln>
          <a:noFill/>
        </a:ln>
      </c:spPr>
    </c:title>
    <c:autoTitleDeleted val="1"/>
    <c:plotArea>
      <c:layout/>
      <c:pieChart>
        <c:varyColors val="1"/>
        <c:ser>
          <c:idx val="1"/>
          <c:order val="0"/>
          <c:spPr>
            <a:solidFill>
              <a:srgbClr val="C0504D"/>
            </a:solidFill>
          </c:spPr>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1"/>
            <c:showCatName val="0"/>
            <c:showSerName val="0"/>
            <c:showPercent val="0"/>
            <c:showBubbleSize val="0"/>
            <c:showLeaderLines val="1"/>
          </c:dLbls>
          <c:cat>
            <c:strLit>
              <c:ptCount val="4"/>
              <c:pt idx="0">
                <c:v>一般公共服务支出</c:v>
              </c:pt>
              <c:pt idx="1">
                <c:v>社会保障和就业支出</c:v>
              </c:pt>
              <c:pt idx="2">
                <c:v>卫生健康支出</c:v>
              </c:pt>
              <c:pt idx="3">
                <c:v>住房保障支出</c:v>
              </c:pt>
            </c:strLit>
          </c:cat>
          <c:val>
            <c:numRef>
              <c:f/>
              <c:numCache>
                <c:formatCode>General</c:formatCode>
                <c:ptCount val="4"/>
                <c:pt idx="0">
                  <c:v>726.77</c:v>
                </c:pt>
                <c:pt idx="1">
                  <c:v>13.52</c:v>
                </c:pt>
                <c:pt idx="2">
                  <c:v>6.41</c:v>
                </c:pt>
                <c:pt idx="3">
                  <c:v>9.17</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三公经费</a:t>
            </a:r>
          </a:p>
        </c:rich>
      </c:tx>
      <c:layout/>
      <c:overlay val="0"/>
      <c:spPr>
        <a:ln>
          <a:noFill/>
        </a:ln>
      </c:spPr>
    </c:title>
    <c:autoTitleDeleted val="1"/>
    <c:plotArea>
      <c:layout/>
      <c:pieChart>
        <c:varyColors val="1"/>
        <c:ser>
          <c:idx val="1"/>
          <c:order val="0"/>
          <c:spPr>
            <a:solidFill>
              <a:srgbClr val="C0504D"/>
            </a:solidFill>
          </c:spPr>
          <c:dPt>
            <c:idx val="0"/>
            <c:bubble3D val="0"/>
            <c:spPr>
              <a:solidFill>
                <a:srgbClr val="4F81BD"/>
              </a:solidFill>
            </c:spPr>
          </c:dPt>
          <c:dPt>
            <c:idx val="1"/>
            <c:bubble3D val="0"/>
            <c:spPr>
              <a:solidFill>
                <a:srgbClr val="C0504D"/>
              </a:solidFill>
            </c:spPr>
          </c:dPt>
          <c:dPt>
            <c:idx val="2"/>
            <c:bubble3D val="0"/>
            <c:spPr>
              <a:solidFill>
                <a:srgbClr val="9BBB59"/>
              </a:solidFill>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1"/>
            <c:showCatName val="0"/>
            <c:showSerName val="0"/>
            <c:showPercent val="0"/>
            <c:showBubbleSize val="0"/>
            <c:showLeaderLines val="1"/>
          </c:dLbls>
          <c:cat>
            <c:strLit>
              <c:ptCount val="3"/>
              <c:pt idx="0">
                <c:v>因公出国（境）费</c:v>
              </c:pt>
              <c:pt idx="1">
                <c:v>公务用车购置及运行维护费</c:v>
              </c:pt>
              <c:pt idx="2">
                <c:v>公务接待费</c:v>
              </c:pt>
            </c:strLit>
          </c:cat>
          <c:val>
            <c:numRef>
              <c:f/>
              <c:numCache>
                <c:formatCode>General</c:formatCode>
                <c:ptCount val="3"/>
                <c:pt idx="0">
                  <c:v>0.0</c:v>
                </c:pt>
                <c:pt idx="1">
                  <c:v>0.0</c:v>
                </c:pt>
                <c:pt idx="2">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12</TotalTime>
  <Application>Yozo_Office27021597764231179</Application>
  <Pages>23</Pages>
  <Words>6717</Words>
  <Characters>7609</Characters>
  <Lines>398</Lines>
  <Paragraphs>169</Paragraphs>
  <CharactersWithSpaces>7675</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四川省决算编制说明</dc:title>
  <dc:creator>lgk</dc:creator>
  <cp:lastModifiedBy>user</cp:lastModifiedBy>
  <cp:revision>304</cp:revision>
  <cp:lastPrinted>2022-09-29T07:46:55Z</cp:lastPrinted>
  <dcterms:created xsi:type="dcterms:W3CDTF">2022-08-17T01:31:00Z</dcterms:created>
  <dcterms:modified xsi:type="dcterms:W3CDTF">2026-04-21T08:16:35Z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2052-11.1.0.12358</vt:lpwstr>
  </property>
  <property fmtid="{D5CDD505-2E9C-101B-9397-08002B2CF9AE}" pid="3" name="ICV">
    <vt:lpwstr>B5650ADAB36B4000916A0EF84D823D6B</vt:lpwstr>
  </property>
</Properties>
</file>