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96597"/>
      <w:bookmarkStart w:id="1" w:name="_Toc15378441"/>
      <w:bookmarkStart w:id="2" w:name="_Toc15377193"/>
      <w:bookmarkStart w:id="3" w:name="_Toc15396475"/>
      <w:bookmarkStart w:id="4" w:name="_Toc15377425"/>
      <w:bookmarkStart w:id="5" w:name="_Toc15306267"/>
    </w:p>
    <w:p>
      <w:pPr>
        <w:pStyle w:val="8"/>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u w:color="auto"/>
        </w:rPr>
        <w:t>年度</w:t>
      </w:r>
      <w:bookmarkEnd w:id="0"/>
      <w:bookmarkEnd w:id="1"/>
      <w:bookmarkEnd w:id="2"/>
      <w:bookmarkEnd w:id="3"/>
      <w:bookmarkEnd w:id="4"/>
    </w:p>
    <w:bookmarkEnd w:id="5"/>
    <w:p>
      <w:pPr>
        <w:jc w:val="center"/>
        <w:rPr>
          <w:rFonts w:ascii="黑体" w:hAnsi="黑体" w:eastAsia="黑体" w:cs="黑体"/>
          <w:color w:val="000000"/>
          <w:sz w:val="44"/>
          <w:u w:color="auto"/>
        </w:rPr>
      </w:pPr>
      <w:bookmarkStart w:id="6" w:name="_Toc15396598"/>
      <w:bookmarkStart w:id="7" w:name="_Toc15378442"/>
      <w:bookmarkStart w:id="8" w:name="_Toc15306268"/>
      <w:bookmarkStart w:id="9" w:name="_Toc15396476"/>
      <w:bookmarkStart w:id="10" w:name="_Toc15377426"/>
      <w:bookmarkStart w:id="11" w:name="_Toc15377194"/>
      <w:r>
        <w:rPr>
          <w:rFonts w:hint="eastAsia" w:ascii="黑体" w:hAnsi="黑体" w:eastAsia="黑体" w:cs="黑体"/>
          <w:b w:val="0"/>
          <w:bCs/>
          <w:color w:val="000000" w:themeColor="text1"/>
          <w:sz w:val="44"/>
          <w:szCs w:val="44"/>
          <w14:textFill>
            <w14:solidFill>
              <w14:schemeClr w14:val="tx1"/>
            </w14:solidFill>
          </w14:textFill>
        </w:rPr>
        <w:t>茂县总工会</w:t>
      </w:r>
      <w:r>
        <w:rPr>
          <w:rFonts w:ascii="黑体" w:hAnsi="黑体" w:eastAsia="黑体" w:cs="黑体"/>
          <w:color w:val="000000"/>
          <w:sz w:val="44"/>
          <w:u w:color="auto"/>
        </w:rPr>
        <w:t>部门决算</w:t>
      </w:r>
      <w:bookmarkEnd w:id="6"/>
      <w:bookmarkEnd w:id="7"/>
      <w:bookmarkEnd w:id="8"/>
      <w:bookmarkEnd w:id="9"/>
      <w:bookmarkEnd w:id="10"/>
      <w:bookmarkEnd w:id="11"/>
    </w:p>
    <w:p>
      <w:pPr>
        <w:jc w:val="center"/>
        <w:rPr>
          <w:rFonts w:hint="eastAsia" w:ascii="黑体" w:hAnsi="黑体" w:eastAsia="黑体" w:cs="黑体"/>
          <w:b w:val="0"/>
          <w:bCs/>
          <w:color w:val="000000" w:themeColor="text1"/>
          <w:sz w:val="44"/>
          <w:szCs w:val="44"/>
          <w:lang w:val="en-US" w:eastAsia="zh-CN"/>
          <w14:textFill>
            <w14:solidFill>
              <w14:schemeClr w14:val="tx1"/>
            </w14:solidFill>
          </w14:textFill>
        </w:rPr>
      </w:pPr>
      <w:r>
        <w:rPr>
          <w:rFonts w:hint="eastAsia" w:ascii="黑体" w:hAnsi="黑体" w:eastAsia="黑体" w:cs="黑体"/>
          <w:color w:val="000000"/>
          <w:sz w:val="44"/>
          <w:u w:color="auto"/>
          <w:lang w:eastAsia="zh-CN"/>
        </w:rPr>
        <w:t>编制说明</w:t>
      </w: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6"/>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部门</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部门</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4</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5"/>
        <w:jc w:val="center"/>
        <w:rPr>
          <w:rFonts w:hint="eastAsia" w:ascii="黑体" w:hAnsi="黑体" w:eastAsia="黑体" w:cs="黑体"/>
        </w:rPr>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pPr>
        <w:pStyle w:val="5"/>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Style w:val="34"/>
          <w:rFonts w:hint="eastAsia" w:ascii="黑体" w:hAnsi="黑体" w:eastAsia="黑体" w:cs="黑体"/>
          <w:b w:val="0"/>
          <w:bCs w:val="0"/>
        </w:rPr>
        <w:t>部门</w:t>
      </w:r>
      <w:r>
        <w:rPr>
          <w:rStyle w:val="34"/>
          <w:rFonts w:ascii="黑体" w:hAnsi="黑体" w:eastAsia="黑体" w:cs="黑体"/>
          <w:b w:val="0"/>
          <w:bCs w:val="0"/>
          <w:u w:color="auto"/>
        </w:rPr>
        <w:t>概况</w:t>
      </w:r>
      <w:bookmarkEnd w:id="12"/>
      <w:bookmarkEnd w:id="13"/>
      <w:bookmarkEnd w:id="14"/>
    </w:p>
    <w:p>
      <w:pPr>
        <w:bidi w:val="0"/>
        <w:rPr>
          <w:rFonts w:hint="eastAsia" w:ascii="黑体" w:hAnsi="黑体" w:eastAsia="黑体" w:cs="黑体"/>
          <w:sz w:val="32"/>
          <w:szCs w:val="32"/>
          <w:lang w:val="en-US" w:eastAsia="zh-CN"/>
        </w:rPr>
      </w:pPr>
      <w:bookmarkStart w:id="15" w:name="_Toc113981010"/>
      <w:bookmarkStart w:id="16" w:name="_Toc28564"/>
      <w:bookmarkStart w:id="17" w:name="_Toc111208496"/>
      <w:bookmarkStart w:id="18" w:name="_Toc15377197"/>
      <w:bookmarkStart w:id="19" w:name="_Toc15377204"/>
      <w:r>
        <w:rPr>
          <w:rFonts w:hint="eastAsia" w:ascii="黑体" w:hAnsi="黑体" w:eastAsia="黑体" w:cs="黑体"/>
          <w:sz w:val="32"/>
          <w:szCs w:val="32"/>
        </w:rPr>
        <w:t>一、</w:t>
      </w:r>
      <w:bookmarkEnd w:id="15"/>
      <w:bookmarkEnd w:id="16"/>
      <w:bookmarkEnd w:id="17"/>
      <w:bookmarkEnd w:id="18"/>
      <w:bookmarkStart w:id="20" w:name="_Toc15377198"/>
      <w:bookmarkStart w:id="21" w:name="_Toc15378445"/>
      <w:r>
        <w:rPr>
          <w:rFonts w:hint="eastAsia" w:ascii="黑体" w:hAnsi="黑体" w:eastAsia="黑体" w:cs="黑体"/>
          <w:sz w:val="32"/>
          <w:szCs w:val="32"/>
          <w:lang w:val="en-US" w:eastAsia="zh-CN"/>
        </w:rPr>
        <w:t>部门职责</w:t>
      </w:r>
    </w:p>
    <w:bookmarkEnd w:id="20"/>
    <w:bookmarkEnd w:id="2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贯彻执行党的路线、方针、政策，根据县委、州总工会的布署，围绕县委中心工作，结合我县工会工作实际，确定工作的指导思想、目标和任务，领导全县工会工作，为基层工会开展工作营造外部环境。</w:t>
      </w:r>
    </w:p>
    <w:p>
      <w:pPr>
        <w:bidi w:val="0"/>
        <w:rPr>
          <w:rFonts w:hint="eastAsia" w:ascii="黑体" w:hAnsi="黑体" w:eastAsia="黑体" w:cs="黑体"/>
          <w:sz w:val="32"/>
          <w:szCs w:val="32"/>
        </w:rPr>
      </w:pPr>
      <w:bookmarkStart w:id="22" w:name="_Toc113981011"/>
      <w:bookmarkStart w:id="23" w:name="_Toc22056"/>
      <w:bookmarkStart w:id="24" w:name="_Toc111208497"/>
      <w:bookmarkStart w:id="25" w:name="_Toc15377200"/>
      <w:r>
        <w:rPr>
          <w:rFonts w:hint="eastAsia" w:ascii="黑体" w:hAnsi="黑体" w:eastAsia="黑体" w:cs="黑体"/>
          <w:sz w:val="32"/>
          <w:szCs w:val="32"/>
        </w:rPr>
        <w:t>二、机构设置</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color w:val="000000"/>
          <w:kern w:val="44"/>
          <w:sz w:val="32"/>
          <w:szCs w:val="32"/>
        </w:rPr>
      </w:pPr>
      <w:r>
        <w:rPr>
          <w:rFonts w:hint="eastAsia" w:ascii="仿宋_GB2312" w:hAnsi="仿宋_GB2312" w:eastAsia="仿宋_GB2312" w:cs="仿宋_GB2312"/>
          <w:color w:val="000000"/>
          <w:sz w:val="32"/>
          <w:szCs w:val="32"/>
        </w:rPr>
        <w:t>茂县总工会下属二级单位0个，其中行政单位0个，参照公务员法管理的事业单位1个，其他事业单位0个。</w:t>
      </w:r>
    </w:p>
    <w:p>
      <w:pPr>
        <w:pStyle w:val="5"/>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 xml:space="preserve">第二部分 </w:t>
      </w:r>
      <w:r>
        <w:rPr>
          <w:rFonts w:ascii="黑体" w:hAnsi="黑体" w:eastAsia="黑体" w:cs="黑体"/>
          <w:u w:color="auto"/>
        </w:rPr>
        <w:t>2024年度</w:t>
      </w:r>
      <w:r>
        <w:rPr>
          <w:rFonts w:hint="eastAsia" w:ascii="黑体" w:hAnsi="黑体" w:eastAsia="黑体" w:cs="黑体"/>
          <w:b w:val="0"/>
          <w:bCs w:val="0"/>
          <w:lang w:val="en-US" w:eastAsia="zh-CN"/>
        </w:rPr>
        <w:t>部门</w:t>
      </w:r>
      <w:r>
        <w:rPr>
          <w:rFonts w:hint="eastAsia" w:ascii="黑体" w:hAnsi="黑体" w:eastAsia="黑体" w:cs="黑体"/>
          <w:b w:val="0"/>
          <w:bCs w:val="0"/>
        </w:rPr>
        <w:t>决算情况说明</w:t>
      </w:r>
      <w:bookmarkEnd w:id="19"/>
      <w:bookmarkEnd w:id="26"/>
      <w:bookmarkEnd w:id="27"/>
    </w:p>
    <w:p>
      <w:pPr>
        <w:bidi w:val="0"/>
        <w:rPr>
          <w:rFonts w:hint="eastAsia" w:ascii="黑体" w:hAnsi="黑体" w:eastAsia="黑体" w:cs="黑体"/>
          <w:sz w:val="32"/>
          <w:szCs w:val="32"/>
        </w:rPr>
      </w:pPr>
      <w:bookmarkStart w:id="28" w:name="_Toc15377205"/>
      <w:bookmarkStart w:id="29" w:name="_Toc111208499"/>
      <w:bookmarkStart w:id="30" w:name="_Toc19710"/>
      <w:r>
        <w:rPr>
          <w:rFonts w:hint="eastAsia" w:ascii="黑体" w:hAnsi="黑体" w:eastAsia="黑体" w:cs="黑体"/>
          <w:sz w:val="32"/>
          <w:szCs w:val="32"/>
        </w:rPr>
        <w:t>一、收入支出决算总体情况说</w:t>
      </w:r>
      <w:bookmarkEnd w:id="28"/>
      <w:r>
        <w:rPr>
          <w:rFonts w:hint="eastAsia" w:ascii="黑体" w:hAnsi="黑体" w:eastAsia="黑体" w:cs="黑体"/>
          <w:sz w:val="32"/>
          <w:szCs w:val="32"/>
        </w:rPr>
        <w:t>明</w:t>
      </w:r>
      <w:bookmarkEnd w:id="29"/>
      <w:bookmarkEnd w:id="30"/>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u w:color="auto"/>
        </w:rPr>
        <w:t>年度收入、支出总计均为786.3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相比，收入、支出总计各</w:t>
      </w:r>
      <w:r>
        <w:rPr>
          <w:rFonts w:hint="eastAsia" w:ascii="仿宋_GB2312" w:hAnsi="仿宋_GB2312" w:eastAsia="仿宋_GB2312" w:cs="仿宋_GB2312"/>
          <w:color w:val="000000"/>
          <w:sz w:val="32"/>
          <w:u w:color="auto"/>
        </w:rPr>
        <w:t>减少27.8</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万元，下降3.4</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u w:color="auto"/>
          <w:lang w:eastAsia="zh-CN"/>
        </w:rPr>
        <w:t>主要变动原因是：</w:t>
      </w:r>
      <w:r>
        <w:rPr>
          <w:rFonts w:hint="eastAsia" w:ascii="仿宋_GB2312" w:hAnsi="仿宋_GB2312" w:eastAsia="仿宋_GB2312" w:cs="仿宋_GB2312"/>
          <w:color w:val="000000"/>
          <w:sz w:val="32"/>
          <w:u w:color="auto"/>
          <w:lang w:val="en-US" w:eastAsia="zh-CN"/>
        </w:rPr>
        <w:t>2024年没有车辆购置支出。</w:t>
      </w:r>
      <w:r>
        <w:rPr>
          <w:rFonts w:hint="eastAsia" w:ascii="仿宋_GB2312" w:hAnsi="仿宋_GB2312" w:eastAsia="仿宋_GB2312" w:cs="仿宋_GB2312"/>
          <w:color w:val="000000"/>
          <w:sz w:val="32"/>
          <w:u w:color="auto"/>
        </w:rPr>
        <w:t xml:space="preserve"> </w:t>
      </w:r>
    </w:p>
    <w:p>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bidi w:val="0"/>
        <w:rPr>
          <w:rFonts w:hint="eastAsia" w:ascii="黑体" w:hAnsi="黑体" w:eastAsia="黑体" w:cs="黑体"/>
          <w:sz w:val="32"/>
          <w:szCs w:val="32"/>
        </w:rPr>
      </w:pPr>
      <w:bookmarkStart w:id="31" w:name="_Toc8125"/>
      <w:bookmarkStart w:id="32" w:name="_Toc15377206"/>
      <w:bookmarkStart w:id="33" w:name="_Toc111208500"/>
      <w:r>
        <w:rPr>
          <w:rFonts w:hint="eastAsia" w:ascii="黑体" w:hAnsi="黑体" w:eastAsia="黑体" w:cs="黑体"/>
          <w:sz w:val="32"/>
          <w:szCs w:val="32"/>
        </w:rPr>
        <w:t>二、收入决算情况说明</w:t>
      </w:r>
      <w:bookmarkEnd w:id="31"/>
      <w:bookmarkEnd w:id="32"/>
      <w:bookmarkEnd w:id="3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rPr>
        <w:t>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，其中:一般公共预算财政拨款收入786.30万元，占100%</w:t>
      </w:r>
      <w:r>
        <w:rPr>
          <w:rFonts w:hint="eastAsia" w:ascii="仿宋_GB2312" w:hAnsi="仿宋_GB2312" w:eastAsia="仿宋_GB2312" w:cs="仿宋_GB2312"/>
          <w:color w:val="000000"/>
          <w:sz w:val="32"/>
          <w:szCs w:val="32"/>
        </w:rPr>
        <w:t>。</w:t>
      </w:r>
    </w:p>
    <w:p>
      <w:pPr>
        <w:pStyle w:val="17"/>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bidi w:val="0"/>
        <w:rPr>
          <w:rFonts w:hint="eastAsia" w:ascii="黑体" w:hAnsi="黑体" w:eastAsia="黑体" w:cs="黑体"/>
          <w:sz w:val="32"/>
          <w:szCs w:val="32"/>
        </w:rPr>
      </w:pPr>
      <w:bookmarkStart w:id="34" w:name="_Toc111208501"/>
      <w:bookmarkStart w:id="35" w:name="_Toc28283"/>
      <w:bookmarkStart w:id="36" w:name="_Toc15377207"/>
      <w:r>
        <w:rPr>
          <w:rFonts w:hint="eastAsia" w:ascii="黑体" w:hAnsi="黑体" w:eastAsia="黑体" w:cs="黑体"/>
          <w:sz w:val="32"/>
          <w:szCs w:val="32"/>
        </w:rPr>
        <w:t>三、支出决算情况说明</w:t>
      </w:r>
      <w:bookmarkEnd w:id="34"/>
      <w:bookmarkEnd w:id="35"/>
      <w:bookmarkEnd w:id="36"/>
    </w:p>
    <w:p>
      <w:pPr>
        <w:pStyle w:val="8"/>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rPr>
        <w:t>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，其中:基本支出136.30万元，占17.30%；项目支出650.00万元，占82.70%</w:t>
      </w:r>
      <w:r>
        <w:rPr>
          <w:rFonts w:hint="eastAsia" w:ascii="仿宋_GB2312" w:hAnsi="仿宋_GB2312" w:eastAsia="仿宋_GB2312" w:cs="仿宋_GB2312"/>
          <w:color w:val="000000"/>
          <w:sz w:val="32"/>
          <w:szCs w:val="32"/>
        </w:rPr>
        <w:t>。</w:t>
      </w:r>
    </w:p>
    <w:p>
      <w:pPr>
        <w:jc w:val="center"/>
        <w:rPr>
          <w:rFonts w:hint="eastAsia" w:ascii="仿宋" w:hAnsi="仿宋" w:eastAsia="仿宋" w:cs="仿宋"/>
          <w:color w:val="00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bidi w:val="0"/>
        <w:rPr>
          <w:rFonts w:hint="eastAsia" w:ascii="黑体" w:hAnsi="黑体" w:eastAsia="黑体" w:cs="黑体"/>
          <w:sz w:val="32"/>
          <w:szCs w:val="32"/>
        </w:rPr>
      </w:pPr>
      <w:bookmarkStart w:id="37" w:name="_Toc15377208"/>
      <w:bookmarkStart w:id="38" w:name="_Toc111208502"/>
      <w:bookmarkStart w:id="39" w:name="_Toc19521"/>
      <w:r>
        <w:rPr>
          <w:rFonts w:hint="eastAsia" w:ascii="黑体" w:hAnsi="黑体" w:eastAsia="黑体" w:cs="黑体"/>
          <w:sz w:val="32"/>
          <w:szCs w:val="32"/>
        </w:rPr>
        <w:t>四、财政拨款收入支出决算总体情况说明</w:t>
      </w:r>
      <w:bookmarkEnd w:id="37"/>
      <w:bookmarkEnd w:id="38"/>
      <w:bookmarkEnd w:id="39"/>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总计均为</w:t>
      </w:r>
      <w:r>
        <w:rPr>
          <w:rFonts w:hint="eastAsia" w:ascii="仿宋_GB2312" w:hAnsi="仿宋_GB2312" w:eastAsia="仿宋_GB2312" w:cs="仿宋_GB2312"/>
          <w:color w:val="000000"/>
          <w:sz w:val="32"/>
          <w:u w:color="auto"/>
        </w:rPr>
        <w:t>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万元。与2023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总计各</w:t>
      </w:r>
      <w:r>
        <w:rPr>
          <w:rFonts w:hint="eastAsia" w:ascii="仿宋_GB2312" w:hAnsi="仿宋_GB2312" w:eastAsia="仿宋_GB2312" w:cs="仿宋_GB2312"/>
          <w:color w:val="000000"/>
          <w:sz w:val="32"/>
          <w:u w:color="auto"/>
        </w:rPr>
        <w:t>减少27.8</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万元，下降3.4</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u w:color="auto"/>
          <w:lang w:eastAsia="zh-CN"/>
        </w:rPr>
        <w:t>主要变动原因是：</w:t>
      </w:r>
      <w:r>
        <w:rPr>
          <w:rFonts w:hint="eastAsia" w:ascii="仿宋_GB2312" w:hAnsi="仿宋_GB2312" w:eastAsia="仿宋_GB2312" w:cs="仿宋_GB2312"/>
          <w:color w:val="000000"/>
          <w:sz w:val="32"/>
          <w:u w:color="auto"/>
          <w:lang w:val="en-US" w:eastAsia="zh-CN"/>
        </w:rPr>
        <w:t>2024年没有车辆购置支出。</w:t>
      </w:r>
      <w:r>
        <w:rPr>
          <w:rFonts w:hint="eastAsia" w:ascii="仿宋_GB2312" w:hAnsi="仿宋_GB2312" w:eastAsia="仿宋_GB2312" w:cs="仿宋_GB2312"/>
          <w:color w:val="000000"/>
          <w:sz w:val="32"/>
          <w:u w:color="auto"/>
        </w:rPr>
        <w:t xml:space="preserve"> </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u w:color="auto"/>
        </w:rPr>
        <w:t xml:space="preserve"> </w:t>
      </w:r>
    </w:p>
    <w:p>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pPr>
        <w:pStyle w:val="8"/>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bidi w:val="0"/>
        <w:rPr>
          <w:rFonts w:hint="eastAsia" w:ascii="黑体" w:hAnsi="黑体" w:eastAsia="黑体" w:cs="黑体"/>
          <w:sz w:val="32"/>
          <w:szCs w:val="32"/>
        </w:rPr>
      </w:pPr>
      <w:bookmarkStart w:id="40" w:name="_Toc15377209"/>
      <w:bookmarkStart w:id="41" w:name="_Toc111208503"/>
      <w:bookmarkStart w:id="42" w:name="_Toc14368"/>
      <w:r>
        <w:rPr>
          <w:rFonts w:hint="eastAsia" w:ascii="黑体" w:hAnsi="黑体" w:eastAsia="黑体" w:cs="黑体"/>
          <w:sz w:val="32"/>
          <w:szCs w:val="32"/>
        </w:rPr>
        <w:t>五、一般公共预算财政拨款支出决算情况说</w:t>
      </w:r>
      <w:bookmarkEnd w:id="40"/>
      <w:r>
        <w:rPr>
          <w:rFonts w:hint="eastAsia" w:ascii="黑体" w:hAnsi="黑体" w:eastAsia="黑体" w:cs="黑体"/>
          <w:sz w:val="32"/>
          <w:szCs w:val="32"/>
        </w:rPr>
        <w:t>明</w:t>
      </w:r>
      <w:bookmarkEnd w:id="41"/>
      <w:bookmarkEnd w:id="42"/>
    </w:p>
    <w:p>
      <w:pPr>
        <w:spacing w:line="600" w:lineRule="exact"/>
        <w:ind w:firstLine="642" w:firstLineChars="200"/>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pPr>
        <w:spacing w:line="600" w:lineRule="exact"/>
        <w:ind w:firstLine="640" w:firstLineChars="200"/>
        <w:rPr>
          <w:rFonts w:hint="eastAsia" w:ascii="仿宋_GB2312" w:hAnsi="仿宋_GB2312" w:eastAsia="仿宋_GB2312" w:cs="仿宋_GB2312"/>
          <w:color w:val="000000"/>
          <w:sz w:val="32"/>
          <w:szCs w:val="32"/>
        </w:rPr>
      </w:pPr>
      <w:bookmarkStart w:id="44" w:name="_Toc15377211"/>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万元，占本年支出合计的100%。与2023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减少27.8</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万元，下降3.4</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u w:color="auto"/>
          <w:lang w:eastAsia="zh-CN"/>
        </w:rPr>
        <w:t>主要变动原因是：</w:t>
      </w:r>
      <w:r>
        <w:rPr>
          <w:rFonts w:hint="eastAsia" w:ascii="仿宋_GB2312" w:hAnsi="仿宋_GB2312" w:eastAsia="仿宋_GB2312" w:cs="仿宋_GB2312"/>
          <w:color w:val="000000"/>
          <w:sz w:val="32"/>
          <w:u w:color="auto"/>
          <w:lang w:val="en-US" w:eastAsia="zh-CN"/>
        </w:rPr>
        <w:t>2024年没有车辆购置支出。</w:t>
      </w:r>
      <w:r>
        <w:rPr>
          <w:rFonts w:hint="eastAsia" w:ascii="仿宋_GB2312" w:hAnsi="仿宋_GB2312" w:eastAsia="仿宋_GB2312" w:cs="仿宋_GB2312"/>
          <w:color w:val="000000"/>
          <w:sz w:val="32"/>
          <w:u w:color="auto"/>
        </w:rPr>
        <w:t xml:space="preserve"> </w:t>
      </w:r>
    </w:p>
    <w:p>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r>
        <w:rPr>
          <w:rFonts w:ascii="仿宋" w:hAnsi="仿宋" w:eastAsia="仿宋" w:cs="仿宋"/>
          <w:color w:val="000000"/>
          <w:sz w:val="32"/>
          <w:u w:color="auto"/>
        </w:rPr>
        <w:t xml:space="preserve"> </w:t>
      </w:r>
    </w:p>
    <w:p>
      <w:pPr>
        <w:pStyle w:val="8"/>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44"/>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万元，主要用于以下方面: 一般公共服务支出750.4</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万元，占95.4</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%；社会保障和就业支出17.88万元，占2.3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%；卫生健康支出8.37万元，占1.1</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%；住房保障支出9.65万元，占1.2</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p>
    <w:p>
      <w:pPr>
        <w:pStyle w:val="8"/>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pPr>
        <w:spacing w:line="600" w:lineRule="exact"/>
        <w:ind w:firstLine="640"/>
        <w:rPr>
          <w:rFonts w:hint="eastAsia" w:ascii="仿宋_GB2312" w:hAnsi="仿宋_GB2312" w:eastAsia="仿宋_GB2312" w:cs="仿宋_GB2312"/>
          <w:color w:val="000000"/>
          <w:sz w:val="32"/>
          <w:szCs w:val="32"/>
        </w:rPr>
      </w:pPr>
      <w:bookmarkStart w:id="46" w:name="_Toc15378460"/>
      <w:bookmarkStart w:id="47" w:name="_Toc15377444"/>
      <w:bookmarkStart w:id="48" w:name="_Toc15377213"/>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rPr>
        <w:t>786.3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万元，完成预算100%。</w:t>
      </w:r>
      <w:r>
        <w:rPr>
          <w:rFonts w:hint="eastAsia" w:ascii="仿宋_GB2312" w:hAnsi="仿宋_GB2312" w:eastAsia="仿宋_GB2312" w:cs="仿宋_GB2312"/>
          <w:color w:val="000000"/>
          <w:sz w:val="32"/>
          <w:u w:color="auto"/>
          <w:lang w:eastAsia="zh-CN"/>
        </w:rPr>
        <w:t>决算数与预算数持平。</w:t>
      </w:r>
      <w:r>
        <w:rPr>
          <w:rFonts w:hint="eastAsia" w:ascii="仿宋_GB2312" w:hAnsi="仿宋_GB2312" w:eastAsia="仿宋_GB2312" w:cs="仿宋_GB2312"/>
          <w:color w:val="000000"/>
          <w:sz w:val="32"/>
          <w:u w:color="auto"/>
        </w:rPr>
        <w:t>其中：</w:t>
      </w:r>
      <w:bookmarkEnd w:id="46"/>
      <w:bookmarkEnd w:id="47"/>
      <w:bookmarkEnd w:id="4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1.一般公共服务支出（</w:t>
      </w:r>
      <w:r>
        <w:rPr>
          <w:rFonts w:hint="eastAsia" w:ascii="仿宋_GB2312" w:hAnsi="仿宋_GB2312" w:eastAsia="仿宋_GB2312" w:cs="仿宋_GB2312"/>
          <w:color w:val="000000"/>
          <w:sz w:val="32"/>
          <w:szCs w:val="32"/>
          <w:lang w:val="en-US" w:eastAsia="zh-CN"/>
        </w:rPr>
        <w:t>201</w:t>
      </w:r>
      <w:r>
        <w:rPr>
          <w:rFonts w:hint="eastAsia" w:ascii="仿宋_GB2312" w:hAnsi="仿宋_GB2312" w:eastAsia="仿宋_GB2312" w:cs="仿宋_GB2312"/>
          <w:color w:val="000000"/>
          <w:sz w:val="32"/>
          <w:szCs w:val="32"/>
        </w:rPr>
        <w:t>）群众团体事务（</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）行政运行（</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）:支出决算100.4</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u w:color="auto"/>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2.一般公共服务支出（</w:t>
      </w:r>
      <w:r>
        <w:rPr>
          <w:rFonts w:hint="eastAsia" w:ascii="仿宋_GB2312" w:hAnsi="仿宋_GB2312" w:eastAsia="仿宋_GB2312" w:cs="仿宋_GB2312"/>
          <w:color w:val="000000"/>
          <w:sz w:val="32"/>
          <w:szCs w:val="32"/>
          <w:lang w:val="en-US" w:eastAsia="zh-CN"/>
        </w:rPr>
        <w:t>201</w:t>
      </w:r>
      <w:r>
        <w:rPr>
          <w:rFonts w:hint="eastAsia" w:ascii="仿宋_GB2312" w:hAnsi="仿宋_GB2312" w:eastAsia="仿宋_GB2312" w:cs="仿宋_GB2312"/>
          <w:color w:val="000000"/>
          <w:sz w:val="32"/>
          <w:szCs w:val="32"/>
        </w:rPr>
        <w:t>）群众团体事务（</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）其他群众团体事务支出（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）:支出决算650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u w:color="auto"/>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）:支出决算11.92万元，完成预算100%。</w:t>
      </w:r>
      <w:r>
        <w:rPr>
          <w:rFonts w:hint="eastAsia" w:ascii="仿宋_GB2312" w:hAnsi="仿宋_GB2312" w:eastAsia="仿宋_GB2312" w:cs="仿宋_GB2312"/>
          <w:color w:val="000000"/>
          <w:sz w:val="32"/>
          <w:u w:color="auto"/>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）:支出决算5.96万元，完成预算100%。</w:t>
      </w:r>
      <w:r>
        <w:rPr>
          <w:rFonts w:hint="eastAsia" w:ascii="仿宋_GB2312" w:hAnsi="仿宋_GB2312" w:eastAsia="仿宋_GB2312" w:cs="仿宋_GB2312"/>
          <w:color w:val="000000"/>
          <w:sz w:val="32"/>
          <w:u w:color="auto"/>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）行政单位医疗（</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）:支出决算8.37万元，完成预算100%。</w:t>
      </w:r>
      <w:r>
        <w:rPr>
          <w:rFonts w:hint="eastAsia" w:ascii="仿宋_GB2312" w:hAnsi="仿宋_GB2312" w:eastAsia="仿宋_GB2312" w:cs="仿宋_GB2312"/>
          <w:color w:val="000000"/>
          <w:sz w:val="32"/>
          <w:u w:color="auto"/>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6.住房保障支出（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）:支出决算9.65万元，完成预算100%。</w:t>
      </w:r>
      <w:r>
        <w:rPr>
          <w:rFonts w:hint="eastAsia" w:ascii="仿宋_GB2312" w:hAnsi="仿宋_GB2312" w:eastAsia="仿宋_GB2312" w:cs="仿宋_GB2312"/>
          <w:color w:val="000000"/>
          <w:sz w:val="32"/>
          <w:u w:color="auto"/>
          <w:lang w:eastAsia="zh-CN"/>
        </w:rPr>
        <w:t>决算数与预算数持平。</w:t>
      </w:r>
    </w:p>
    <w:p>
      <w:pPr>
        <w:bidi w:val="0"/>
        <w:rPr>
          <w:rFonts w:hint="eastAsia" w:ascii="黑体" w:hAnsi="黑体" w:eastAsia="黑体" w:cs="黑体"/>
          <w:sz w:val="32"/>
          <w:szCs w:val="32"/>
        </w:rPr>
      </w:pPr>
      <w:bookmarkStart w:id="49" w:name="_Toc15377214"/>
      <w:bookmarkStart w:id="50" w:name="_Toc31578"/>
      <w:bookmarkStart w:id="51" w:name="_Toc111208504"/>
      <w:r>
        <w:rPr>
          <w:rFonts w:hint="eastAsia" w:ascii="黑体" w:hAnsi="黑体" w:eastAsia="黑体" w:cs="黑体"/>
          <w:sz w:val="32"/>
          <w:szCs w:val="32"/>
        </w:rPr>
        <w:t>六、一般公共预算财政拨款基本支出决算情况说</w:t>
      </w:r>
      <w:bookmarkEnd w:id="49"/>
      <w:r>
        <w:rPr>
          <w:rFonts w:hint="eastAsia" w:ascii="黑体" w:hAnsi="黑体" w:eastAsia="黑体" w:cs="黑体"/>
          <w:sz w:val="32"/>
          <w:szCs w:val="32"/>
        </w:rPr>
        <w:t>明</w:t>
      </w:r>
      <w:bookmarkEnd w:id="50"/>
      <w:bookmarkEnd w:id="5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rPr>
        <w:t>136.3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万元，其中：</w:t>
      </w: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rPr>
        <w:t>127.44万元，主要包括：基本工资30.31万元、津贴补贴24.24万元、奖金29.3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机关事业单位基本养老保险缴费11.92万元、职业年金缴费5.96万元、职工基本医疗保险缴费5.99万元、公务员医疗补助缴费2.38万元、其他社会保障缴费1.41万元、住房公积金9.65万元、医疗费1.57万元、生活补助4.72万元。</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rPr>
        <w:t>8.85万元，主要包括：差旅费2.89万元、公务用车运行维护费5.97万元。</w:t>
      </w:r>
    </w:p>
    <w:p>
      <w:pPr>
        <w:bidi w:val="0"/>
        <w:rPr>
          <w:rFonts w:hint="eastAsia" w:ascii="黑体" w:hAnsi="黑体" w:eastAsia="黑体" w:cs="黑体"/>
          <w:sz w:val="32"/>
          <w:szCs w:val="32"/>
        </w:rPr>
      </w:pPr>
      <w:bookmarkStart w:id="52" w:name="_Toc6614"/>
      <w:bookmarkStart w:id="53" w:name="_Toc15377215"/>
      <w:bookmarkStart w:id="54" w:name="_Toc111208505"/>
      <w:r>
        <w:rPr>
          <w:rFonts w:hint="eastAsia" w:ascii="黑体" w:hAnsi="黑体" w:eastAsia="黑体" w:cs="黑体"/>
          <w:sz w:val="32"/>
          <w:szCs w:val="32"/>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rPr>
        <w:t>5.97万元，完成预算100%，较上年度减少22.56万元，下降79.1</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bookmarkStart w:id="56" w:name="_Toc15377217"/>
      <w:r>
        <w:rPr>
          <w:rFonts w:hint="eastAsia" w:ascii="仿宋_GB2312" w:hAnsi="仿宋_GB2312" w:eastAsia="仿宋_GB2312" w:cs="仿宋_GB2312"/>
          <w:color w:val="000000"/>
          <w:sz w:val="32"/>
          <w:u w:color="auto"/>
          <w:lang w:eastAsia="zh-CN"/>
        </w:rPr>
        <w:t>主要变动原因是：</w:t>
      </w:r>
      <w:r>
        <w:rPr>
          <w:rFonts w:hint="eastAsia" w:ascii="仿宋_GB2312" w:hAnsi="仿宋_GB2312" w:eastAsia="仿宋_GB2312" w:cs="仿宋_GB2312"/>
          <w:color w:val="000000"/>
          <w:sz w:val="32"/>
          <w:u w:color="auto"/>
          <w:lang w:val="en-US" w:eastAsia="zh-CN"/>
        </w:rPr>
        <w:t>2024年没有车辆购置支出。</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rPr>
        <w:t>5.97万元，因公出国（境）费支出决算0万元；公务用车购置及运行维护费支出决算5.97万元，占100%；公务接待费支出决算0万元。具体情况如下：</w:t>
      </w:r>
    </w:p>
    <w:p>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万元,因公出国（境）支出决算比2023年增加0万元，增长0%。</w:t>
      </w:r>
      <w:r>
        <w:rPr>
          <w:rFonts w:hint="eastAsia" w:ascii="仿宋_GB2312" w:hAnsi="仿宋_GB2312" w:eastAsia="仿宋_GB2312" w:cs="仿宋_GB2312"/>
          <w:color w:val="000000"/>
          <w:sz w:val="32"/>
          <w:u w:color="auto"/>
          <w:lang w:eastAsia="zh-CN"/>
        </w:rPr>
        <w:t>本单位无此类支出。</w:t>
      </w:r>
      <w:r>
        <w:rPr>
          <w:rFonts w:hint="eastAsia" w:ascii="仿宋_GB2312" w:hAnsi="仿宋_GB2312" w:eastAsia="仿宋_GB2312" w:cs="仿宋_GB2312"/>
          <w:color w:val="000000"/>
          <w:sz w:val="32"/>
          <w:u w:color="auto"/>
        </w:rPr>
        <w:t xml:space="preserve">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color w:val="000000"/>
          <w:sz w:val="32"/>
          <w:szCs w:val="32"/>
        </w:rPr>
        <w:t>5.97</w:t>
      </w:r>
      <w:r>
        <w:rPr>
          <w:rFonts w:hint="eastAsia" w:ascii="仿宋_GB2312" w:hAnsi="仿宋_GB2312" w:eastAsia="仿宋_GB2312" w:cs="仿宋_GB2312"/>
          <w:color w:val="000000"/>
          <w:sz w:val="32"/>
          <w:u w:color="auto"/>
        </w:rPr>
        <w:t>万元,完成预算100%。公务用车购置及运行维护费支出决算比2023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减少22.56</w:t>
      </w:r>
      <w:r>
        <w:rPr>
          <w:rFonts w:hint="eastAsia" w:ascii="仿宋_GB2312" w:hAnsi="仿宋_GB2312" w:eastAsia="仿宋_GB2312" w:cs="仿宋_GB2312"/>
          <w:color w:val="000000"/>
          <w:sz w:val="32"/>
          <w:u w:color="auto"/>
        </w:rPr>
        <w:t>万元，下降79.1</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u w:color="auto"/>
          <w:lang w:eastAsia="zh-CN"/>
        </w:rPr>
        <w:t>主要变动原因是：</w:t>
      </w:r>
      <w:r>
        <w:rPr>
          <w:rFonts w:hint="eastAsia" w:ascii="仿宋_GB2312" w:hAnsi="仿宋_GB2312" w:eastAsia="仿宋_GB2312" w:cs="仿宋_GB2312"/>
          <w:color w:val="000000"/>
          <w:sz w:val="32"/>
          <w:u w:color="auto"/>
          <w:lang w:val="en-US" w:eastAsia="zh-CN"/>
        </w:rPr>
        <w:t>2024年没有车辆购置支出。</w:t>
      </w:r>
      <w:r>
        <w:rPr>
          <w:rFonts w:hint="eastAsia" w:ascii="仿宋_GB2312" w:hAnsi="仿宋_GB2312" w:eastAsia="仿宋_GB2312" w:cs="仿宋_GB2312"/>
          <w:color w:val="000000"/>
          <w:sz w:val="32"/>
          <w:u w:color="auto"/>
        </w:rPr>
        <w:t xml:space="preserve"> </w:t>
      </w:r>
    </w:p>
    <w:p>
      <w:pPr>
        <w:spacing w:line="60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其中：</w:t>
      </w:r>
      <w:r>
        <w:rPr>
          <w:rFonts w:hint="eastAsia" w:ascii="仿宋_GB2312" w:hAnsi="仿宋_GB2312" w:eastAsia="仿宋_GB2312" w:cs="仿宋_GB2312"/>
          <w:b/>
          <w:bCs/>
          <w:color w:val="000000"/>
          <w:sz w:val="32"/>
          <w:szCs w:val="32"/>
          <w:highlight w:val="none"/>
        </w:rPr>
        <w:t>公务用车购置支出</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highlight w:val="none"/>
          <w:u w:color="auto"/>
        </w:rPr>
        <w:t>2024年12月</w:t>
      </w:r>
      <w:r>
        <w:rPr>
          <w:rFonts w:hint="eastAsia" w:ascii="仿宋_GB2312" w:hAnsi="仿宋_GB2312" w:eastAsia="仿宋_GB2312" w:cs="仿宋_GB2312"/>
          <w:color w:val="000000"/>
          <w:sz w:val="32"/>
          <w:szCs w:val="32"/>
          <w:highlight w:val="none"/>
          <w:lang w:val="en-US" w:eastAsia="zh-CN"/>
        </w:rPr>
        <w:t>31日</w:t>
      </w:r>
      <w:r>
        <w:rPr>
          <w:rFonts w:hint="eastAsia" w:ascii="仿宋_GB2312" w:hAnsi="仿宋_GB2312" w:eastAsia="仿宋_GB2312" w:cs="仿宋_GB2312"/>
          <w:color w:val="000000"/>
          <w:sz w:val="32"/>
          <w:szCs w:val="32"/>
          <w:highlight w:val="none"/>
        </w:rPr>
        <w:t>，单位共有公务用车</w:t>
      </w:r>
      <w:r>
        <w:rPr>
          <w:rFonts w:hint="eastAsia" w:ascii="仿宋_GB2312" w:hAnsi="仿宋_GB2312" w:eastAsia="仿宋_GB2312" w:cs="仿宋_GB2312"/>
          <w:color w:val="000000"/>
          <w:sz w:val="32"/>
          <w:highlight w:val="none"/>
          <w:u w:color="auto"/>
        </w:rPr>
        <w:t>1辆，其中：轿车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辆、越野车</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辆、载客汽车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w:t>
      </w:r>
      <w:r>
        <w:rPr>
          <w:rFonts w:hint="eastAsia" w:ascii="仿宋_GB2312" w:hAnsi="仿宋_GB2312" w:eastAsia="仿宋_GB2312" w:cs="仿宋_GB2312"/>
          <w:color w:val="000000"/>
          <w:sz w:val="32"/>
          <w:szCs w:val="32"/>
          <w:highlight w:val="none"/>
          <w:lang w:val="en-US" w:eastAsia="zh-CN"/>
        </w:rPr>
        <w:t>。</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rPr>
        <w:t>5.97</w:t>
      </w:r>
      <w:r>
        <w:rPr>
          <w:rFonts w:hint="eastAsia" w:ascii="仿宋_GB2312" w:hAnsi="仿宋_GB2312" w:eastAsia="仿宋_GB2312" w:cs="仿宋_GB2312"/>
          <w:color w:val="000000"/>
          <w:sz w:val="32"/>
          <w:u w:color="auto"/>
        </w:rPr>
        <w:t xml:space="preserve">万元。 </w:t>
      </w:r>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3.公务接待费支出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w:t>
      </w:r>
      <w:bookmarkStart w:id="57" w:name="_Toc15377218"/>
      <w:r>
        <w:rPr>
          <w:rFonts w:hint="eastAsia" w:ascii="仿宋_GB2312" w:hAnsi="仿宋_GB2312" w:eastAsia="仿宋_GB2312" w:cs="仿宋_GB2312"/>
          <w:color w:val="000000"/>
          <w:sz w:val="32"/>
          <w:szCs w:val="32"/>
        </w:rPr>
        <w:t xml:space="preserve">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国内公务接待支出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w:t>
      </w:r>
    </w:p>
    <w:p>
      <w:pPr>
        <w:pStyle w:val="8"/>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外事接待支出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w:t>
      </w:r>
    </w:p>
    <w:p>
      <w:pPr>
        <w:bidi w:val="0"/>
        <w:rPr>
          <w:rFonts w:hint="eastAsia" w:ascii="黑体" w:hAnsi="黑体" w:eastAsia="黑体" w:cs="黑体"/>
          <w:sz w:val="32"/>
          <w:szCs w:val="32"/>
        </w:rPr>
      </w:pPr>
      <w:bookmarkStart w:id="58" w:name="_Toc111208506"/>
      <w:bookmarkStart w:id="59" w:name="_Toc20439"/>
      <w:r>
        <w:rPr>
          <w:rFonts w:hint="eastAsia" w:ascii="黑体" w:hAnsi="黑体" w:eastAsia="黑体" w:cs="黑体"/>
          <w:sz w:val="32"/>
          <w:szCs w:val="32"/>
        </w:rPr>
        <w:t>八、政府性基金预算支出决算情况说明</w:t>
      </w:r>
      <w:bookmarkEnd w:id="57"/>
      <w:bookmarkEnd w:id="58"/>
      <w:bookmarkEnd w:id="59"/>
    </w:p>
    <w:p>
      <w:pPr>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年茂县总工会无政府性基金预算支出决算情况。</w:t>
      </w:r>
      <w:bookmarkStart w:id="60" w:name="_Toc15377219"/>
    </w:p>
    <w:p>
      <w:pPr>
        <w:bidi w:val="0"/>
        <w:rPr>
          <w:rFonts w:hint="eastAsia" w:ascii="黑体" w:hAnsi="黑体" w:eastAsia="黑体" w:cs="黑体"/>
          <w:sz w:val="32"/>
          <w:szCs w:val="32"/>
        </w:rPr>
      </w:pPr>
      <w:bookmarkStart w:id="61" w:name="_Toc111208507"/>
      <w:bookmarkStart w:id="62" w:name="_Toc23467"/>
      <w:r>
        <w:rPr>
          <w:rFonts w:hint="eastAsia" w:ascii="黑体" w:hAnsi="黑体" w:eastAsia="黑体" w:cs="黑体"/>
          <w:sz w:val="32"/>
          <w:szCs w:val="32"/>
        </w:rPr>
        <w:t>九、国有资本经营预算支出决算情况说明</w:t>
      </w:r>
      <w:bookmarkEnd w:id="60"/>
      <w:bookmarkEnd w:id="61"/>
      <w:bookmarkEnd w:id="62"/>
    </w:p>
    <w:p>
      <w:pPr>
        <w:spacing w:line="600" w:lineRule="exact"/>
        <w:ind w:firstLine="640"/>
        <w:rPr>
          <w:rFonts w:hint="eastAsia"/>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年茂县总工会无</w:t>
      </w:r>
      <w:r>
        <w:rPr>
          <w:rFonts w:hint="eastAsia" w:ascii="仿宋_GB2312" w:hAnsi="仿宋_GB2312" w:eastAsia="仿宋_GB2312" w:cs="仿宋_GB2312"/>
          <w:color w:val="000000"/>
          <w:sz w:val="32"/>
          <w:szCs w:val="32"/>
        </w:rPr>
        <w:t>国有资本经营预算</w:t>
      </w:r>
      <w:r>
        <w:rPr>
          <w:rFonts w:hint="eastAsia" w:ascii="仿宋_GB2312" w:hAnsi="仿宋_GB2312" w:eastAsia="仿宋_GB2312" w:cs="仿宋_GB2312"/>
          <w:color w:val="000000"/>
          <w:sz w:val="32"/>
          <w:szCs w:val="32"/>
          <w:lang w:val="en-US" w:eastAsia="zh-CN"/>
        </w:rPr>
        <w:t>支出决算情况。</w:t>
      </w:r>
      <w:r>
        <w:rPr>
          <w:rFonts w:ascii="仿宋" w:hAnsi="仿宋" w:eastAsia="仿宋" w:cs="仿宋"/>
          <w:color w:val="000000"/>
          <w:sz w:val="32"/>
          <w:u w:color="auto"/>
        </w:rPr>
        <w:t xml:space="preserve"> </w:t>
      </w:r>
    </w:p>
    <w:p>
      <w:pPr>
        <w:bidi w:val="0"/>
        <w:rPr>
          <w:rFonts w:hint="eastAsia" w:ascii="黑体" w:hAnsi="黑体" w:eastAsia="黑体" w:cs="黑体"/>
          <w:sz w:val="32"/>
          <w:szCs w:val="32"/>
        </w:rPr>
      </w:pPr>
      <w:bookmarkStart w:id="63" w:name="_Toc18455"/>
      <w:bookmarkStart w:id="64" w:name="_Toc15377221"/>
      <w:bookmarkStart w:id="65" w:name="_Toc111208508"/>
      <w:r>
        <w:rPr>
          <w:rFonts w:hint="eastAsia" w:ascii="黑体" w:hAnsi="黑体" w:eastAsia="黑体" w:cs="黑体"/>
          <w:sz w:val="32"/>
          <w:szCs w:val="32"/>
        </w:rPr>
        <w:t>十、其他重要事项的情况说明</w:t>
      </w:r>
      <w:bookmarkEnd w:id="63"/>
      <w:bookmarkEnd w:id="64"/>
      <w:bookmarkEnd w:id="65"/>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66" w:name="_Toc15377222"/>
      <w:r>
        <w:rPr>
          <w:rFonts w:hint="eastAsia" w:ascii="楷体" w:hAnsi="楷体" w:eastAsia="楷体" w:cs="楷体"/>
          <w:b/>
          <w:color w:val="000000"/>
          <w:sz w:val="32"/>
          <w:szCs w:val="32"/>
        </w:rPr>
        <w:t>（一）</w:t>
      </w:r>
      <w:r>
        <w:rPr>
          <w:rFonts w:hint="eastAsia" w:ascii="楷体_GB2312" w:hAnsi="楷体_GB2312" w:eastAsia="楷体_GB2312" w:cs="楷体_GB2312"/>
          <w:b/>
          <w:color w:val="000000"/>
          <w:sz w:val="32"/>
          <w:szCs w:val="32"/>
        </w:rPr>
        <w:t>机关运行经费支出情况</w:t>
      </w:r>
      <w:bookmarkEnd w:id="66"/>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茂县总工会机关运行经费支出8.85万元，比2023年减少3.02万元，下降34.1</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u w:color="auto"/>
          <w:lang w:eastAsia="zh-CN"/>
        </w:rPr>
        <w:t>主要变动原因：严格控制三公经费支出。</w:t>
      </w:r>
      <w:r>
        <w:rPr>
          <w:rFonts w:hint="eastAsia" w:ascii="仿宋_GB2312" w:hAnsi="仿宋_GB2312" w:eastAsia="仿宋_GB2312" w:cs="仿宋_GB2312"/>
          <w:color w:val="000000"/>
          <w:sz w:val="32"/>
          <w:u w:color="auto"/>
        </w:rPr>
        <w:t xml:space="preserve"> </w:t>
      </w:r>
    </w:p>
    <w:p>
      <w:pPr>
        <w:spacing w:line="600" w:lineRule="exact"/>
        <w:ind w:firstLine="642" w:firstLineChars="200"/>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w:t>
      </w:r>
      <w:r>
        <w:rPr>
          <w:rFonts w:hint="eastAsia" w:ascii="楷体_GB2312" w:hAnsi="楷体_GB2312" w:eastAsia="楷体_GB2312" w:cs="楷体_GB2312"/>
          <w:b/>
          <w:color w:val="000000"/>
          <w:sz w:val="32"/>
          <w:szCs w:val="32"/>
        </w:rPr>
        <w:t>政府采购支出情况</w:t>
      </w:r>
      <w:bookmarkEnd w:id="67"/>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茂县总工会</w:t>
      </w:r>
      <w:r>
        <w:rPr>
          <w:rFonts w:hint="eastAsia" w:ascii="仿宋_GB2312" w:hAnsi="仿宋_GB2312" w:eastAsia="仿宋_GB2312" w:cs="仿宋_GB2312"/>
          <w:color w:val="000000"/>
          <w:sz w:val="32"/>
          <w:u w:color="auto"/>
          <w:lang w:eastAsia="zh-CN"/>
        </w:rPr>
        <w:t>无</w:t>
      </w:r>
      <w:r>
        <w:rPr>
          <w:rFonts w:hint="eastAsia" w:ascii="仿宋_GB2312" w:hAnsi="仿宋_GB2312" w:eastAsia="仿宋_GB2312" w:cs="仿宋_GB2312"/>
          <w:color w:val="000000"/>
          <w:sz w:val="32"/>
          <w:u w:color="auto"/>
        </w:rPr>
        <w:t>政府采购支出</w:t>
      </w:r>
      <w:r>
        <w:rPr>
          <w:rFonts w:hint="eastAsia" w:ascii="仿宋_GB2312" w:hAnsi="仿宋_GB2312" w:eastAsia="仿宋_GB2312" w:cs="仿宋_GB2312"/>
          <w:color w:val="000000"/>
          <w:sz w:val="32"/>
          <w:u w:color="auto"/>
          <w:lang w:eastAsia="zh-CN"/>
        </w:rPr>
        <w:t>情况。</w:t>
      </w:r>
    </w:p>
    <w:p>
      <w:pPr>
        <w:spacing w:line="600" w:lineRule="exact"/>
        <w:ind w:firstLine="642"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w:t>
      </w:r>
      <w:r>
        <w:rPr>
          <w:rFonts w:hint="eastAsia" w:ascii="楷体_GB2312" w:hAnsi="楷体_GB2312" w:eastAsia="楷体_GB2312" w:cs="楷体_GB2312"/>
          <w:b/>
          <w:color w:val="000000"/>
          <w:sz w:val="32"/>
          <w:szCs w:val="32"/>
        </w:rPr>
        <w:t>国有资产占有使用情况</w:t>
      </w:r>
      <w:bookmarkEnd w:id="6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2024年12月31日，茂县总工会共有车辆1辆，其中：主要领导干部用车0辆、机要通信用车0辆、应急保障用车1辆、其他用车0辆。单价100万元以上专用设备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pPr>
        <w:spacing w:line="600" w:lineRule="exact"/>
        <w:ind w:firstLine="642" w:firstLineChars="200"/>
        <w:outlineLvl w:val="2"/>
        <w:rPr>
          <w:rFonts w:hint="eastAsia" w:ascii="楷体_GB2312" w:hAnsi="楷体_GB2312" w:eastAsia="楷体_GB2312" w:cs="楷体_GB2312"/>
          <w:b/>
          <w:color w:val="000000"/>
          <w:sz w:val="32"/>
          <w:szCs w:val="32"/>
        </w:rPr>
      </w:pPr>
      <w:r>
        <w:rPr>
          <w:rFonts w:hint="eastAsia" w:ascii="楷体" w:hAnsi="楷体" w:eastAsia="楷体" w:cs="楷体"/>
          <w:b/>
          <w:color w:val="000000"/>
          <w:sz w:val="32"/>
          <w:szCs w:val="32"/>
        </w:rPr>
        <w:t>（四）</w:t>
      </w:r>
      <w:r>
        <w:rPr>
          <w:rFonts w:hint="eastAsia" w:ascii="楷体_GB2312" w:hAnsi="楷体_GB2312" w:eastAsia="楷体_GB2312" w:cs="楷体_GB2312"/>
          <w:b/>
          <w:color w:val="000000"/>
          <w:sz w:val="32"/>
          <w:szCs w:val="32"/>
        </w:rPr>
        <w:t>预算绩效管理情况</w:t>
      </w:r>
    </w:p>
    <w:p>
      <w:pPr>
        <w:pStyle w:val="8"/>
        <w:rPr>
          <w:rFonts w:hint="eastAsia" w:ascii="思源黑体 CN Normal" w:hAnsi="思源黑体 CN Normal" w:eastAsia="思源黑体 CN Normal" w:cs="思源黑体 CN Normal"/>
          <w:b/>
          <w:color w:val="000000"/>
          <w:sz w:val="32"/>
          <w:szCs w:val="32"/>
        </w:rPr>
      </w:pPr>
      <w:r>
        <w:rPr>
          <w:rFonts w:hint="eastAsia" w:ascii="仿宋_GB2312" w:eastAsia="仿宋_GB2312"/>
          <w:sz w:val="32"/>
          <w:szCs w:val="32"/>
        </w:rPr>
        <w:t>本部门按要求对202</w:t>
      </w:r>
      <w:r>
        <w:rPr>
          <w:rFonts w:hint="eastAsia" w:ascii="仿宋_GB2312" w:eastAsia="仿宋_GB2312"/>
          <w:sz w:val="32"/>
          <w:szCs w:val="32"/>
          <w:lang w:val="en-US" w:eastAsia="zh-CN"/>
        </w:rPr>
        <w:t>4</w:t>
      </w:r>
      <w:r>
        <w:rPr>
          <w:rFonts w:hint="eastAsia" w:ascii="仿宋_GB2312" w:eastAsia="仿宋_GB2312"/>
          <w:sz w:val="32"/>
          <w:szCs w:val="32"/>
        </w:rPr>
        <w:t>年部门整体支出开展绩效自评，从评价情况来看,202</w:t>
      </w:r>
      <w:r>
        <w:rPr>
          <w:rFonts w:hint="eastAsia" w:ascii="仿宋_GB2312" w:eastAsia="仿宋_GB2312"/>
          <w:sz w:val="32"/>
          <w:szCs w:val="32"/>
          <w:lang w:val="en-US" w:eastAsia="zh-CN"/>
        </w:rPr>
        <w:t>4</w:t>
      </w:r>
      <w:r>
        <w:rPr>
          <w:rFonts w:hint="eastAsia" w:ascii="仿宋_GB2312" w:eastAsia="仿宋_GB2312"/>
          <w:sz w:val="32"/>
          <w:szCs w:val="32"/>
        </w:rPr>
        <w:t>年我会整体支出绩效评价自查自评结果良好，全年基本支出保证了部门的正常运行和日常工作的正常开展，绩效目标得到较好实现，绩效管理水平不断提高，绩效指标体系逐渐丰富和完善</w:t>
      </w:r>
      <w:r>
        <w:rPr>
          <w:rFonts w:hint="eastAsia" w:ascii="仿宋_GB2312" w:hAnsi="仿宋" w:eastAsia="仿宋_GB2312" w:cs="仿宋"/>
          <w:color w:val="000000"/>
          <w:kern w:val="0"/>
          <w:sz w:val="32"/>
          <w:szCs w:val="32"/>
        </w:rPr>
        <w:t>。</w:t>
      </w:r>
      <w:r>
        <w:rPr>
          <w:rFonts w:hint="eastAsia" w:ascii="仿宋" w:hAnsi="仿宋" w:eastAsia="仿宋" w:cs="仿宋"/>
          <w:sz w:val="32"/>
          <w:szCs w:val="32"/>
        </w:rPr>
        <w:t xml:space="preserve"> </w:t>
      </w:r>
      <w:r>
        <w:rPr>
          <w:rFonts w:hint="eastAsia" w:ascii="思源黑体 CN Normal" w:hAnsi="思源黑体 CN Normal" w:eastAsia="思源黑体 CN Normal" w:cs="思源黑体 CN Normal"/>
          <w:b/>
          <w:color w:val="000000"/>
          <w:sz w:val="32"/>
          <w:szCs w:val="32"/>
        </w:rPr>
        <w:br w:type="page"/>
      </w:r>
    </w:p>
    <w:p>
      <w:pPr>
        <w:pStyle w:val="5"/>
        <w:jc w:val="center"/>
        <w:rPr>
          <w:rFonts w:hint="eastAsia" w:ascii="黑体" w:hAnsi="黑体" w:eastAsia="黑体" w:cs="黑体"/>
          <w:b w:val="0"/>
          <w:bCs w:val="0"/>
        </w:rPr>
      </w:pPr>
      <w:bookmarkStart w:id="69" w:name="_Toc111208509"/>
      <w:bookmarkStart w:id="70" w:name="_Toc15377225"/>
      <w:bookmarkStart w:id="71" w:name="_Toc18122"/>
      <w:r>
        <w:rPr>
          <w:rFonts w:hint="eastAsia" w:ascii="黑体" w:hAnsi="黑体" w:eastAsia="黑体" w:cs="黑体"/>
          <w:b w:val="0"/>
          <w:bCs w:val="0"/>
        </w:rPr>
        <w:t>第三部分 名词解释</w:t>
      </w:r>
      <w:bookmarkEnd w:id="69"/>
      <w:bookmarkEnd w:id="70"/>
      <w:bookmarkEnd w:id="7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9.一般公共服务支出（类）群众团体事务（款）行政运行（项）:反映行政单位（包括实行公务员管理的事业单位）的基本支出。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10.一般公共服务支出（类）群众团体事务（款）其他群众团体事务支出（项）:反映除上述项目以外其他用于群众团体事务方面的支出反映党委办公厅（室）及相关机构的支出。。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w:t>
      </w:r>
      <w:r>
        <w:rPr>
          <w:rFonts w:hint="eastAsia" w:ascii="仿宋_GB2312" w:hAnsi="仿宋_GB2312" w:eastAsia="仿宋_GB2312" w:cs="仿宋_GB2312"/>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 w:hAnsi="仿宋" w:eastAsia="仿宋" w:cs="仿宋"/>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u w:color="auto"/>
        </w:rPr>
        <w:t>.财政应返还额度：为行政事业单位会计核算科目，用于核算实行国库集中支付的行政事业单位应收财政返还的资金额度。</w:t>
      </w:r>
    </w:p>
    <w:p>
      <w:pPr>
        <w:widowControl/>
        <w:jc w:val="left"/>
        <w:rPr>
          <w:rStyle w:val="34"/>
          <w:rFonts w:hint="eastAsia" w:ascii="思源黑体 CN Normal" w:hAnsi="思源黑体 CN Normal" w:eastAsia="思源黑体 CN Normal" w:cs="思源黑体 CN Normal"/>
        </w:rPr>
      </w:pPr>
      <w:r>
        <w:rPr>
          <w:rStyle w:val="34"/>
          <w:rFonts w:hint="eastAsia" w:ascii="思源黑体 CN Normal" w:hAnsi="思源黑体 CN Normal" w:eastAsia="思源黑体 CN Normal" w:cs="思源黑体 CN Normal"/>
        </w:rPr>
        <w:br w:type="page"/>
      </w:r>
    </w:p>
    <w:p>
      <w:pPr>
        <w:pStyle w:val="5"/>
        <w:jc w:val="center"/>
        <w:rPr>
          <w:rFonts w:hint="eastAsia" w:ascii="黑体" w:hAnsi="黑体" w:eastAsia="黑体" w:cs="黑体"/>
          <w:b w:val="0"/>
          <w:bCs w:val="0"/>
        </w:rPr>
      </w:pPr>
      <w:bookmarkStart w:id="72" w:name="_Toc25539"/>
      <w:bookmarkStart w:id="73" w:name="_Toc111208510"/>
      <w:r>
        <w:rPr>
          <w:rFonts w:hint="eastAsia" w:ascii="黑体" w:hAnsi="黑体" w:eastAsia="黑体" w:cs="黑体"/>
          <w:b w:val="0"/>
          <w:bCs w:val="0"/>
        </w:rPr>
        <w:t>第四部分 附件</w:t>
      </w:r>
      <w:bookmarkEnd w:id="72"/>
      <w:bookmarkEnd w:id="73"/>
    </w:p>
    <w:p>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eastAsia="zh-CN"/>
        </w:rPr>
        <w:t>茂县总工会</w:t>
      </w:r>
      <w:r>
        <w:rPr>
          <w:rFonts w:hint="eastAsia" w:eastAsia="方正小标宋简体"/>
          <w:bCs/>
          <w:sz w:val="44"/>
          <w:szCs w:val="44"/>
          <w:shd w:val="clear" w:color="auto" w:fill="FFFFFF"/>
          <w:lang w:val="en-US" w:eastAsia="zh-CN"/>
        </w:rPr>
        <w:t>2024年</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640" w:firstLineChars="200"/>
        <w:contextualSpacing/>
        <w:jc w:val="left"/>
        <w:rPr>
          <w:rFonts w:hint="eastAsia" w:ascii="黑体" w:hAnsi="黑体" w:eastAsia="黑体" w:cs="黑体"/>
          <w:b/>
          <w:bCs/>
          <w:sz w:val="32"/>
          <w:szCs w:val="32"/>
        </w:rPr>
      </w:pPr>
      <w:bookmarkStart w:id="74" w:name="_Toc79163635"/>
      <w:bookmarkStart w:id="75" w:name="_Toc111208512"/>
      <w:bookmarkStart w:id="76" w:name="_Toc79163885"/>
      <w:r>
        <w:rPr>
          <w:rFonts w:hint="eastAsia" w:ascii="黑体" w:hAnsi="黑体" w:eastAsia="黑体" w:cs="黑体"/>
          <w:b w:val="0"/>
          <w:bCs w:val="0"/>
          <w:color w:val="000000"/>
          <w:kern w:val="0"/>
          <w:sz w:val="32"/>
          <w:szCs w:val="32"/>
          <w:shd w:val="clear" w:color="auto" w:fill="FFFFFF"/>
          <w:lang w:val="zh-CN"/>
        </w:rPr>
        <w:t>一、</w:t>
      </w:r>
      <w:r>
        <w:rPr>
          <w:rFonts w:hint="eastAsia" w:ascii="黑体" w:hAnsi="黑体" w:eastAsia="黑体" w:cs="黑体"/>
          <w:b/>
          <w:bCs/>
          <w:color w:val="000000"/>
          <w:kern w:val="0"/>
          <w:sz w:val="32"/>
          <w:szCs w:val="32"/>
          <w:shd w:val="clear" w:color="auto" w:fill="FFFFFF"/>
          <w:lang w:val="zh-CN"/>
        </w:rPr>
        <w:t>部门（单位）基本情况</w:t>
      </w:r>
    </w:p>
    <w:p>
      <w:pPr>
        <w:spacing w:line="576" w:lineRule="atLeast"/>
        <w:ind w:firstLine="642" w:firstLineChars="200"/>
        <w:rPr>
          <w:rFonts w:hint="eastAsia" w:ascii="楷体_GB2312" w:hAnsi="楷体_GB2312" w:eastAsia="楷体_GB2312" w:cs="楷体_GB2312"/>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w:t>
      </w:r>
      <w:r>
        <w:rPr>
          <w:rFonts w:hint="eastAsia" w:ascii="楷体_GB2312" w:hAnsi="楷体_GB2312" w:eastAsia="楷体_GB2312" w:cs="楷体_GB2312"/>
          <w:b/>
          <w:bCs/>
          <w:color w:val="000000"/>
          <w:kern w:val="0"/>
          <w:sz w:val="32"/>
          <w:szCs w:val="32"/>
          <w:shd w:val="clear" w:color="auto" w:fill="FFFFFF"/>
          <w:lang w:val="zh-CN"/>
        </w:rPr>
        <w:t>机构组成</w:t>
      </w:r>
    </w:p>
    <w:p>
      <w:pPr>
        <w:spacing w:line="57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一级预算单位，下设综合办公室、经费审查办公室</w:t>
      </w:r>
      <w:r>
        <w:rPr>
          <w:rFonts w:hint="eastAsia" w:ascii="仿宋_GB2312" w:hAnsi="仿宋_GB2312" w:eastAsia="仿宋_GB2312" w:cs="仿宋_GB2312"/>
          <w:sz w:val="32"/>
          <w:szCs w:val="32"/>
        </w:rPr>
        <w:t>。</w:t>
      </w:r>
    </w:p>
    <w:p>
      <w:pPr>
        <w:ind w:firstLine="642" w:firstLineChars="200"/>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w:t>
      </w:r>
      <w:r>
        <w:rPr>
          <w:rFonts w:hint="eastAsia" w:ascii="楷体_GB2312" w:hAnsi="楷体_GB2312" w:eastAsia="楷体_GB2312" w:cs="楷体_GB2312"/>
          <w:b/>
          <w:bCs/>
          <w:color w:val="000000"/>
          <w:kern w:val="0"/>
          <w:sz w:val="32"/>
          <w:szCs w:val="32"/>
          <w:shd w:val="clear" w:color="auto" w:fill="FFFFFF"/>
          <w:lang w:val="zh-CN"/>
        </w:rPr>
        <w:t>机构职能</w:t>
      </w:r>
    </w:p>
    <w:p>
      <w:pPr>
        <w:ind w:firstLine="640" w:firstLineChars="200"/>
        <w:rPr>
          <w:rStyle w:val="40"/>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rPr>
        <w:t>1</w:t>
      </w:r>
      <w:r>
        <w:rPr>
          <w:rStyle w:val="40"/>
          <w:rFonts w:hint="eastAsia" w:ascii="仿宋_GB2312" w:hAnsi="仿宋_GB2312" w:eastAsia="仿宋_GB2312" w:cs="仿宋_GB2312"/>
          <w:b w:val="0"/>
          <w:bCs w:val="0"/>
          <w:color w:val="000000"/>
          <w:sz w:val="32"/>
          <w:szCs w:val="32"/>
        </w:rPr>
        <w:t>、维护职工的合法权益和民主权利； </w:t>
      </w:r>
    </w:p>
    <w:p>
      <w:pPr>
        <w:widowControl/>
        <w:spacing w:line="600" w:lineRule="exact"/>
        <w:ind w:firstLine="640" w:firstLineChars="200"/>
        <w:jc w:val="left"/>
        <w:rPr>
          <w:rStyle w:val="40"/>
          <w:rFonts w:hint="eastAsia" w:ascii="仿宋_GB2312" w:hAnsi="仿宋_GB2312" w:eastAsia="仿宋_GB2312" w:cs="仿宋_GB2312"/>
          <w:b w:val="0"/>
          <w:bCs w:val="0"/>
          <w:color w:val="000000"/>
          <w:sz w:val="32"/>
          <w:szCs w:val="32"/>
        </w:rPr>
      </w:pPr>
      <w:r>
        <w:rPr>
          <w:rStyle w:val="40"/>
          <w:rFonts w:hint="eastAsia" w:ascii="仿宋_GB2312" w:hAnsi="仿宋_GB2312" w:eastAsia="仿宋_GB2312" w:cs="仿宋_GB2312"/>
          <w:b w:val="0"/>
          <w:bCs w:val="0"/>
          <w:color w:val="000000"/>
          <w:sz w:val="32"/>
          <w:szCs w:val="32"/>
          <w:lang w:val="en-US"/>
        </w:rPr>
        <w:t>2</w:t>
      </w:r>
      <w:r>
        <w:rPr>
          <w:rStyle w:val="40"/>
          <w:rFonts w:hint="eastAsia" w:ascii="仿宋_GB2312" w:hAnsi="仿宋_GB2312" w:eastAsia="仿宋_GB2312" w:cs="仿宋_GB2312"/>
          <w:b w:val="0"/>
          <w:bCs w:val="0"/>
          <w:color w:val="000000"/>
          <w:sz w:val="32"/>
          <w:szCs w:val="32"/>
        </w:rPr>
        <w:t>、动员和组织全县职工积极参与建设和改革，完成经济和社会发展任务；</w:t>
      </w:r>
    </w:p>
    <w:p>
      <w:pPr>
        <w:widowControl/>
        <w:spacing w:line="600" w:lineRule="exact"/>
        <w:ind w:firstLine="640" w:firstLineChars="200"/>
        <w:jc w:val="left"/>
        <w:rPr>
          <w:rStyle w:val="40"/>
          <w:rFonts w:hint="eastAsia" w:ascii="仿宋_GB2312" w:hAnsi="仿宋_GB2312" w:eastAsia="仿宋_GB2312" w:cs="仿宋_GB2312"/>
          <w:b w:val="0"/>
          <w:bCs w:val="0"/>
          <w:color w:val="000000"/>
          <w:sz w:val="32"/>
          <w:szCs w:val="32"/>
        </w:rPr>
      </w:pPr>
      <w:r>
        <w:rPr>
          <w:rStyle w:val="40"/>
          <w:rFonts w:hint="eastAsia" w:ascii="仿宋_GB2312" w:hAnsi="仿宋_GB2312" w:eastAsia="仿宋_GB2312" w:cs="仿宋_GB2312"/>
          <w:b w:val="0"/>
          <w:bCs w:val="0"/>
          <w:color w:val="000000"/>
          <w:sz w:val="32"/>
          <w:szCs w:val="32"/>
          <w:lang w:val="en-US"/>
        </w:rPr>
        <w:t>3</w:t>
      </w:r>
      <w:r>
        <w:rPr>
          <w:rStyle w:val="40"/>
          <w:rFonts w:hint="eastAsia" w:ascii="仿宋_GB2312" w:hAnsi="仿宋_GB2312" w:eastAsia="仿宋_GB2312" w:cs="仿宋_GB2312"/>
          <w:b w:val="0"/>
          <w:bCs w:val="0"/>
          <w:color w:val="000000"/>
          <w:sz w:val="32"/>
          <w:szCs w:val="32"/>
        </w:rPr>
        <w:t>、代表和组织全县职工参与国家和社会事务管理，参与企业、事业和机关的民主管理；</w:t>
      </w:r>
    </w:p>
    <w:p>
      <w:pPr>
        <w:widowControl/>
        <w:spacing w:line="600" w:lineRule="exact"/>
        <w:ind w:firstLine="640" w:firstLineChars="200"/>
        <w:jc w:val="left"/>
        <w:rPr>
          <w:rFonts w:hint="eastAsia" w:ascii="仿宋_GB2312" w:hAnsi="仿宋_GB2312" w:eastAsia="仿宋_GB2312" w:cs="仿宋_GB2312"/>
          <w:b w:val="0"/>
          <w:bCs w:val="0"/>
          <w:sz w:val="32"/>
          <w:szCs w:val="32"/>
        </w:rPr>
      </w:pPr>
      <w:r>
        <w:rPr>
          <w:rStyle w:val="40"/>
          <w:rFonts w:hint="eastAsia" w:ascii="仿宋_GB2312" w:hAnsi="仿宋_GB2312" w:eastAsia="仿宋_GB2312" w:cs="仿宋_GB2312"/>
          <w:b w:val="0"/>
          <w:bCs w:val="0"/>
          <w:color w:val="000000"/>
          <w:sz w:val="32"/>
          <w:szCs w:val="32"/>
          <w:lang w:val="en-US"/>
        </w:rPr>
        <w:t>4</w:t>
      </w:r>
      <w:r>
        <w:rPr>
          <w:rStyle w:val="40"/>
          <w:rFonts w:hint="eastAsia" w:ascii="仿宋_GB2312" w:hAnsi="仿宋_GB2312" w:eastAsia="仿宋_GB2312" w:cs="仿宋_GB2312"/>
          <w:b w:val="0"/>
          <w:bCs w:val="0"/>
          <w:color w:val="000000"/>
          <w:sz w:val="32"/>
          <w:szCs w:val="32"/>
        </w:rPr>
        <w:t>、教育职工不断提高思想道德素质和科学文化素质，建设有理想、有道德、有文化、有纪律的职工队伍。</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Style w:val="40"/>
          <w:rFonts w:hint="eastAsia" w:ascii="仿宋_GB2312" w:hAnsi="仿宋_GB2312" w:eastAsia="仿宋_GB2312" w:cs="仿宋_GB2312"/>
          <w:b w:val="0"/>
          <w:bCs w:val="0"/>
          <w:color w:val="000000"/>
          <w:sz w:val="32"/>
          <w:szCs w:val="32"/>
          <w:lang w:val="en-US"/>
        </w:rPr>
        <w:t>5</w:t>
      </w:r>
      <w:r>
        <w:rPr>
          <w:rStyle w:val="4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rPr>
        <w:t>完成县委交办的其他任务。</w:t>
      </w:r>
    </w:p>
    <w:p>
      <w:pPr>
        <w:spacing w:line="576" w:lineRule="atLeast"/>
        <w:ind w:firstLine="642" w:firstLineChars="200"/>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（三）人员概况</w:t>
      </w:r>
    </w:p>
    <w:p>
      <w:pPr>
        <w:spacing w:line="57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年末，</w:t>
      </w:r>
      <w:r>
        <w:rPr>
          <w:rFonts w:hint="eastAsia" w:ascii="仿宋_GB2312" w:hAnsi="仿宋_GB2312" w:eastAsia="仿宋_GB2312" w:cs="仿宋_GB2312"/>
          <w:b w:val="0"/>
          <w:bCs w:val="0"/>
          <w:sz w:val="32"/>
          <w:szCs w:val="32"/>
        </w:rPr>
        <w:t>茂县总工会编制6名，行政编制6名，实有在职职工</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名，工勤人员1名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离退休人员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人，其中：退休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遗嘱补助人员1人。</w:t>
      </w:r>
    </w:p>
    <w:p>
      <w:pPr>
        <w:widowControl/>
        <w:adjustRightInd w:val="0"/>
        <w:snapToGrid w:val="0"/>
        <w:spacing w:line="578"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二、部门资金收支情况</w:t>
      </w:r>
    </w:p>
    <w:p>
      <w:pPr>
        <w:spacing w:line="600" w:lineRule="exact"/>
        <w:ind w:firstLine="642" w:firstLineChars="200"/>
        <w:outlineLvl w:val="1"/>
        <w:rPr>
          <w:rFonts w:hint="eastAsia" w:ascii="方正楷体_GBK" w:hAnsi="方正楷体_GBK" w:eastAsia="方正楷体_GBK" w:cs="方正楷体_GBK"/>
          <w:b/>
          <w:bCs/>
          <w:color w:val="000000"/>
          <w:kern w:val="0"/>
          <w:sz w:val="32"/>
          <w:szCs w:val="32"/>
          <w:shd w:val="clear" w:color="auto" w:fill="FFFFFF"/>
          <w:lang w:val="zh-CN"/>
        </w:rPr>
      </w:pPr>
      <w:bookmarkStart w:id="77" w:name="_Toc4097"/>
      <w:r>
        <w:rPr>
          <w:rFonts w:hint="eastAsia" w:ascii="方正楷体_GBK" w:hAnsi="方正楷体_GBK" w:eastAsia="方正楷体_GBK" w:cs="方正楷体_GBK"/>
          <w:b/>
          <w:bCs/>
          <w:color w:val="000000"/>
          <w:kern w:val="0"/>
          <w:sz w:val="32"/>
          <w:szCs w:val="32"/>
          <w:shd w:val="clear" w:color="auto" w:fill="FFFFFF"/>
          <w:lang w:val="zh-CN"/>
        </w:rPr>
        <w:t>（一）</w:t>
      </w:r>
      <w:r>
        <w:rPr>
          <w:rFonts w:hint="eastAsia" w:ascii="楷体_GB2312" w:hAnsi="楷体_GB2312" w:eastAsia="楷体_GB2312" w:cs="楷体_GB2312"/>
          <w:b/>
          <w:bCs/>
          <w:color w:val="000000"/>
          <w:kern w:val="0"/>
          <w:sz w:val="32"/>
          <w:szCs w:val="32"/>
          <w:shd w:val="clear" w:color="auto" w:fill="FFFFFF"/>
          <w:lang w:val="zh-CN"/>
        </w:rPr>
        <w:t>收入情况</w:t>
      </w:r>
    </w:p>
    <w:p>
      <w:pPr>
        <w:spacing w:line="600" w:lineRule="exact"/>
        <w:ind w:firstLine="640" w:firstLineChars="200"/>
        <w:outlineLvl w:val="1"/>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年初预算收入</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%；年初结转和结余</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%；年末结转和结余</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万元；上级补助收入0万元，占0%；事业收入0万元，占0%；经营收入0万元，占0%；附属单位上缴收入0万元，占0%；其他收入0万元，占0%。</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年决算报表收入</w:t>
      </w:r>
      <w:r>
        <w:rPr>
          <w:rFonts w:hint="eastAsia" w:ascii="仿宋_GB2312" w:hAnsi="仿宋_GB2312" w:eastAsia="仿宋_GB2312" w:cs="仿宋_GB2312"/>
          <w:sz w:val="32"/>
          <w:szCs w:val="32"/>
          <w:lang w:val="en-US" w:eastAsia="zh-CN"/>
        </w:rPr>
        <w:t>786.30万元</w:t>
      </w:r>
      <w:r>
        <w:rPr>
          <w:rFonts w:hint="eastAsia" w:ascii="仿宋_GB2312" w:hAnsi="仿宋_GB2312" w:eastAsia="仿宋_GB2312" w:cs="仿宋_GB2312"/>
          <w:sz w:val="32"/>
          <w:szCs w:val="32"/>
        </w:rPr>
        <w:t>。</w:t>
      </w:r>
    </w:p>
    <w:p>
      <w:pPr>
        <w:spacing w:line="600" w:lineRule="exact"/>
        <w:ind w:firstLine="642" w:firstLineChars="200"/>
        <w:outlineLvl w:val="1"/>
        <w:rPr>
          <w:rFonts w:hint="eastAsia" w:ascii="方正楷体_GBK" w:hAnsi="方正楷体_GBK" w:eastAsia="方正楷体_GBK" w:cs="方正楷体_GBK"/>
          <w:b/>
          <w:bCs/>
          <w:color w:val="000000"/>
          <w:kern w:val="0"/>
          <w:sz w:val="32"/>
          <w:szCs w:val="32"/>
          <w:shd w:val="clear" w:color="auto" w:fill="FFFFFF"/>
          <w:lang w:val="zh-CN"/>
        </w:rPr>
      </w:pPr>
      <w:bookmarkStart w:id="78" w:name="_Toc29880"/>
      <w:r>
        <w:rPr>
          <w:rFonts w:hint="eastAsia" w:ascii="方正楷体_GBK" w:hAnsi="方正楷体_GBK" w:eastAsia="方正楷体_GBK" w:cs="方正楷体_GBK"/>
          <w:b/>
          <w:bCs/>
          <w:color w:val="000000"/>
          <w:kern w:val="0"/>
          <w:sz w:val="32"/>
          <w:szCs w:val="32"/>
          <w:shd w:val="clear" w:color="auto" w:fill="FFFFFF"/>
          <w:lang w:val="zh-CN"/>
        </w:rPr>
        <w:t>（二）支出情况</w:t>
      </w:r>
    </w:p>
    <w:p>
      <w:pPr>
        <w:spacing w:line="600" w:lineRule="exact"/>
        <w:ind w:firstLine="640" w:firstLineChars="200"/>
        <w:outlineLvl w:val="1"/>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年初预算</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万元；上缴上级支出0万元，占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%；经营支出0万元，占0%；对附属单位补助支出0万元，占0%。</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年决算报表支出</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bookmarkEnd w:id="78"/>
    </w:p>
    <w:p>
      <w:pPr>
        <w:widowControl/>
        <w:numPr>
          <w:ilvl w:val="0"/>
          <w:numId w:val="0"/>
        </w:numPr>
        <w:adjustRightInd w:val="0"/>
        <w:snapToGrid w:val="0"/>
        <w:spacing w:line="578" w:lineRule="exact"/>
        <w:ind w:firstLine="642" w:firstLineChars="200"/>
        <w:contextualSpacing/>
        <w:jc w:val="left"/>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kern w:val="2"/>
          <w:sz w:val="32"/>
          <w:szCs w:val="32"/>
        </w:rPr>
        <w:t>（三）</w:t>
      </w:r>
      <w:r>
        <w:rPr>
          <w:rFonts w:hint="eastAsia" w:ascii="方正楷体_GBK" w:hAnsi="方正楷体_GBK" w:eastAsia="方正楷体_GBK" w:cs="方正楷体_GBK"/>
          <w:b/>
          <w:sz w:val="32"/>
          <w:szCs w:val="32"/>
        </w:rPr>
        <w:t>结余分配和结转结余情况</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年决算报表</w:t>
      </w:r>
      <w:r>
        <w:rPr>
          <w:rFonts w:hint="eastAsia" w:ascii="仿宋_GB2312" w:hAnsi="仿宋_GB2312" w:eastAsia="仿宋_GB2312" w:cs="仿宋_GB2312"/>
          <w:color w:val="000000"/>
          <w:kern w:val="0"/>
          <w:sz w:val="32"/>
          <w:szCs w:val="32"/>
          <w:shd w:val="clear" w:color="auto" w:fill="FFFFFF"/>
        </w:rPr>
        <w:t>结转结余</w:t>
      </w:r>
      <w:r>
        <w:rPr>
          <w:rFonts w:hint="eastAsia" w:ascii="仿宋_GB2312" w:hAnsi="仿宋_GB2312" w:eastAsia="仿宋_GB2312" w:cs="仿宋_GB2312"/>
          <w:color w:val="000000"/>
          <w:kern w:val="0"/>
          <w:sz w:val="32"/>
          <w:szCs w:val="32"/>
          <w:shd w:val="clear" w:color="auto" w:fill="FFFFFF"/>
          <w:lang w:val="en-US" w:eastAsia="zh-CN"/>
        </w:rPr>
        <w:t>0</w:t>
      </w:r>
      <w:r>
        <w:rPr>
          <w:rFonts w:hint="default" w:ascii="仿宋_GB2312" w:hAnsi="仿宋_GB2312" w:eastAsia="仿宋_GB2312" w:cs="仿宋_GB2312"/>
          <w:color w:val="000000"/>
          <w:kern w:val="0"/>
          <w:sz w:val="32"/>
          <w:szCs w:val="32"/>
          <w:shd w:val="clear" w:color="auto" w:fill="FFFFFF"/>
          <w:lang w:eastAsia="zh-CN"/>
        </w:rPr>
        <w:t>万元</w:t>
      </w:r>
      <w:r>
        <w:rPr>
          <w:rFonts w:hint="eastAsia" w:ascii="仿宋_GB2312" w:hAnsi="仿宋_GB2312" w:eastAsia="仿宋_GB2312" w:cs="仿宋_GB2312"/>
          <w:color w:val="000000"/>
          <w:kern w:val="0"/>
          <w:sz w:val="32"/>
          <w:szCs w:val="32"/>
          <w:shd w:val="clear" w:color="auto" w:fill="FFFFFF"/>
        </w:rPr>
        <w:t>。</w:t>
      </w:r>
    </w:p>
    <w:p>
      <w:pPr>
        <w:widowControl/>
        <w:adjustRightInd w:val="0"/>
        <w:snapToGrid w:val="0"/>
        <w:spacing w:line="578" w:lineRule="exact"/>
        <w:ind w:firstLine="640" w:firstLineChars="200"/>
        <w:contextualSpacing/>
        <w:jc w:val="left"/>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kern w:val="0"/>
          <w:sz w:val="32"/>
          <w:szCs w:val="32"/>
          <w:shd w:val="clear" w:color="auto" w:fill="FFFFFF"/>
        </w:rPr>
        <w:t>三、部门预算绩效分析</w:t>
      </w:r>
      <w:bookmarkStart w:id="94" w:name="_GoBack"/>
      <w:bookmarkEnd w:id="94"/>
    </w:p>
    <w:p>
      <w:pPr>
        <w:adjustRightInd w:val="0"/>
        <w:snapToGrid w:val="0"/>
        <w:spacing w:line="578" w:lineRule="exact"/>
        <w:ind w:firstLine="642"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（一）部门预算总体绩效分析</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eastAsia="仿宋_GB2312" w:cs="仿宋_GB2312"/>
          <w:b w:val="0"/>
          <w:bCs w:val="0"/>
          <w:color w:val="000000"/>
          <w:kern w:val="0"/>
          <w:sz w:val="32"/>
          <w:szCs w:val="32"/>
          <w:shd w:val="clear" w:color="auto" w:fill="FFFFFF"/>
          <w:lang w:val="zh-CN"/>
        </w:rPr>
        <w:t>一是</w:t>
      </w:r>
      <w:r>
        <w:rPr>
          <w:rFonts w:hint="eastAsia" w:ascii="仿宋_GB2312" w:hAnsi="仿宋_GB2312" w:eastAsia="仿宋_GB2312" w:cs="仿宋_GB2312"/>
          <w:b w:val="0"/>
          <w:bCs w:val="0"/>
          <w:color w:val="000000"/>
          <w:sz w:val="32"/>
          <w:szCs w:val="32"/>
        </w:rPr>
        <w:t>服务发展大局，增强工会工作先进性</w:t>
      </w:r>
      <w:r>
        <w:rPr>
          <w:rFonts w:hint="eastAsia" w:ascii="仿宋_GB2312" w:hAnsi="仿宋_GB2312" w:eastAsia="仿宋_GB2312" w:cs="仿宋_GB2312"/>
          <w:b w:val="0"/>
          <w:bCs w:val="0"/>
          <w:color w:val="000000"/>
          <w:sz w:val="32"/>
          <w:szCs w:val="32"/>
          <w:lang w:eastAsia="zh-CN"/>
        </w:rPr>
        <w:t>；二是</w:t>
      </w:r>
      <w:r>
        <w:rPr>
          <w:rFonts w:hint="eastAsia" w:ascii="仿宋_GB2312" w:hAnsi="仿宋_GB2312" w:eastAsia="仿宋_GB2312" w:cs="仿宋_GB2312"/>
          <w:b w:val="0"/>
          <w:bCs w:val="0"/>
          <w:color w:val="000000"/>
          <w:sz w:val="32"/>
          <w:szCs w:val="32"/>
        </w:rPr>
        <w:t>突出主责主业，增强工会工作群众性 </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bidi="ar-SA"/>
        </w:rPr>
        <w:t>服务职工，排忧解难，履行帮扶职能</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color w:val="000000"/>
          <w:sz w:val="32"/>
          <w:szCs w:val="32"/>
        </w:rPr>
        <w:t>抓住重点，依法维权职工合法权益</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多措并举</w:t>
      </w:r>
      <w:r>
        <w:rPr>
          <w:rFonts w:hint="eastAsia" w:ascii="仿宋_GB2312" w:hAnsi="仿宋_GB2312" w:eastAsia="仿宋_GB2312" w:cs="仿宋_GB2312"/>
          <w:b w:val="0"/>
          <w:bCs w:val="0"/>
          <w:kern w:val="0"/>
          <w:sz w:val="32"/>
          <w:szCs w:val="32"/>
          <w:lang w:bidi="ar-SA"/>
        </w:rPr>
        <w:t>，组织开展丰富多彩职工文体活动</w:t>
      </w:r>
      <w:r>
        <w:rPr>
          <w:rFonts w:hint="eastAsia" w:ascii="仿宋_GB2312" w:hAnsi="仿宋_GB2312" w:eastAsia="仿宋_GB2312" w:cs="仿宋_GB2312"/>
          <w:b w:val="0"/>
          <w:bCs w:val="0"/>
          <w:kern w:val="0"/>
          <w:sz w:val="32"/>
          <w:szCs w:val="32"/>
          <w:lang w:eastAsia="zh-CN" w:bidi="ar-SA"/>
        </w:rPr>
        <w:t>。三是</w:t>
      </w:r>
      <w:r>
        <w:rPr>
          <w:rFonts w:hint="eastAsia" w:ascii="仿宋_GB2312" w:hAnsi="仿宋_GB2312" w:eastAsia="仿宋_GB2312" w:cs="仿宋_GB2312"/>
          <w:b w:val="0"/>
          <w:bCs w:val="0"/>
          <w:sz w:val="32"/>
          <w:szCs w:val="32"/>
        </w:rPr>
        <w:t>夯实基础，强化工会组织建设</w:t>
      </w:r>
      <w:r>
        <w:rPr>
          <w:rFonts w:hint="eastAsia" w:ascii="仿宋_GB2312" w:hAnsi="仿宋_GB2312" w:eastAsia="仿宋_GB2312" w:cs="仿宋_GB2312"/>
          <w:b w:val="0"/>
          <w:bCs w:val="0"/>
          <w:sz w:val="32"/>
          <w:szCs w:val="32"/>
          <w:lang w:eastAsia="zh-CN"/>
        </w:rPr>
        <w:t>。</w:t>
      </w:r>
    </w:p>
    <w:p>
      <w:pPr>
        <w:widowControl/>
        <w:adjustRightInd w:val="0"/>
        <w:snapToGrid w:val="0"/>
        <w:spacing w:line="576" w:lineRule="exact"/>
        <w:ind w:firstLine="720"/>
        <w:jc w:val="left"/>
        <w:rPr>
          <w:rFonts w:hint="eastAsia" w:ascii="仿宋_GB2312" w:hAnsi="仿宋_GB2312" w:eastAsia="仿宋_GB2312" w:cs="仿宋_GB2312"/>
          <w:color w:val="000000"/>
          <w:kern w:val="0"/>
          <w:sz w:val="32"/>
          <w:szCs w:val="32"/>
          <w:shd w:val="clear" w:color="auto" w:fill="FFFFFF"/>
          <w:lang w:val="en-US"/>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r>
        <w:rPr>
          <w:rFonts w:hint="eastAsia" w:ascii="仿宋_GB2312" w:hAnsi="仿宋_GB2312" w:eastAsia="仿宋_GB2312" w:cs="仿宋_GB2312"/>
          <w:kern w:val="0"/>
          <w:sz w:val="32"/>
          <w:szCs w:val="32"/>
        </w:rPr>
        <w:t>根据《预算法》等法律法规的规定</w:t>
      </w:r>
      <w:r>
        <w:rPr>
          <w:rFonts w:hint="eastAsia" w:ascii="仿宋_GB2312" w:hAnsi="仿宋_GB2312" w:eastAsia="仿宋_GB2312" w:cs="仿宋_GB2312"/>
          <w:color w:val="000000"/>
          <w:kern w:val="0"/>
          <w:sz w:val="32"/>
          <w:szCs w:val="32"/>
          <w:shd w:val="clear" w:color="auto" w:fill="FFFFFF"/>
          <w:lang w:val="zh-CN" w:eastAsia="zh-CN"/>
        </w:rPr>
        <w:t>和本单位工作实际情况，严格按要求编制年初部门预算，确保年初预算编制的科学性和准确性。</w:t>
      </w:r>
      <w:r>
        <w:rPr>
          <w:rFonts w:hint="eastAsia" w:ascii="仿宋_GB2312" w:hAnsi="仿宋_GB2312" w:eastAsia="仿宋_GB2312" w:cs="仿宋_GB2312"/>
          <w:color w:val="000000"/>
          <w:kern w:val="0"/>
          <w:sz w:val="32"/>
          <w:szCs w:val="32"/>
          <w:shd w:val="clear" w:color="auto" w:fill="FFFFFF"/>
          <w:lang w:val="zh-CN"/>
        </w:rPr>
        <w:t>我单位在预决算编制上做到认真、负责、按时按规定报送。严格按要求编制本单位的部门预算，编制预算时做到有文件有依据，严格控制一般性支出。</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年初预算</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万元；上缴上级支出0万元，占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%；经营支出0万元，占0%；对附属单位补助支出0万元，占0%。</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年决算报表支出</w:t>
      </w:r>
      <w:r>
        <w:rPr>
          <w:rFonts w:hint="eastAsia" w:ascii="仿宋_GB2312" w:hAnsi="仿宋_GB2312" w:eastAsia="仿宋_GB2312" w:cs="仿宋_GB2312"/>
          <w:color w:val="000000"/>
          <w:sz w:val="32"/>
          <w:szCs w:val="32"/>
          <w:lang w:val="en-US" w:eastAsia="zh-CN"/>
        </w:rPr>
        <w:t>786.30</w:t>
      </w:r>
      <w:r>
        <w:rPr>
          <w:rFonts w:hint="eastAsia" w:ascii="仿宋_GB2312" w:hAnsi="仿宋_GB2312" w:eastAsia="仿宋_GB2312" w:cs="仿宋_GB2312"/>
          <w:sz w:val="32"/>
          <w:szCs w:val="32"/>
          <w:lang w:val="en-US" w:eastAsia="zh-CN"/>
        </w:rPr>
        <w:t>万元。</w:t>
      </w:r>
    </w:p>
    <w:p>
      <w:pPr>
        <w:widowControl/>
        <w:adjustRightInd w:val="0"/>
        <w:snapToGrid w:val="0"/>
        <w:spacing w:line="576"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财务管理。单位建立了相关的财务管理制度，设立了出纳和会计岗</w:t>
      </w:r>
      <w:r>
        <w:rPr>
          <w:rFonts w:hint="eastAsia"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lang w:val="zh-CN"/>
        </w:rPr>
        <w:t>配备了相应的财务人员。</w:t>
      </w:r>
      <w:r>
        <w:rPr>
          <w:rFonts w:hint="eastAsia" w:ascii="仿宋_GB2312" w:hAnsi="仿宋_GB2312" w:eastAsia="仿宋_GB2312" w:cs="仿宋_GB2312"/>
          <w:color w:val="000000"/>
          <w:sz w:val="32"/>
          <w:szCs w:val="32"/>
        </w:rPr>
        <w:t>在财务管理方面，经费支出实行</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rPr>
        <w:t>审批制度，严格预算原则。严格控制基本经费支出，加强对日常经费开支的管理。</w:t>
      </w:r>
      <w:r>
        <w:rPr>
          <w:rFonts w:hint="eastAsia" w:ascii="仿宋_GB2312" w:hAnsi="仿宋_GB2312" w:eastAsia="仿宋_GB2312" w:cs="仿宋_GB2312"/>
          <w:color w:val="000000"/>
          <w:sz w:val="32"/>
          <w:szCs w:val="32"/>
          <w:lang w:eastAsia="zh-CN"/>
        </w:rPr>
        <w:t>严禁超预算支出。</w:t>
      </w:r>
      <w:r>
        <w:rPr>
          <w:rFonts w:hint="eastAsia" w:ascii="仿宋_GB2312" w:hAnsi="仿宋_GB2312" w:eastAsia="仿宋_GB2312" w:cs="仿宋_GB2312"/>
          <w:color w:val="000000"/>
          <w:sz w:val="32"/>
          <w:szCs w:val="32"/>
        </w:rPr>
        <w:t>加大对公务卡的使用管理，要求工作人员严格按照公务卡结算目录的要求使用公务卡。</w:t>
      </w:r>
      <w:r>
        <w:rPr>
          <w:rFonts w:hint="eastAsia" w:ascii="仿宋_GB2312" w:hAnsi="仿宋_GB2312" w:eastAsia="仿宋_GB2312" w:cs="仿宋_GB2312"/>
          <w:color w:val="000000"/>
          <w:sz w:val="32"/>
          <w:szCs w:val="32"/>
          <w:lang w:eastAsia="zh-CN"/>
        </w:rPr>
        <w:t>资金使用符合相关的财务管理规定。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资产管理。人均资产无变化，科学合理分配使用资产，资产利用率</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无闲置资产。</w:t>
      </w:r>
    </w:p>
    <w:p>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5.</w:t>
      </w:r>
      <w:r>
        <w:rPr>
          <w:rFonts w:hint="eastAsia" w:ascii="仿宋_GB2312" w:hAnsi="仿宋_GB2312" w:eastAsia="仿宋_GB2312" w:cs="仿宋_GB2312"/>
          <w:color w:val="000000"/>
          <w:kern w:val="0"/>
          <w:sz w:val="32"/>
          <w:szCs w:val="32"/>
          <w:shd w:val="clear" w:color="auto" w:fill="FFFFFF"/>
          <w:lang w:val="zh-CN"/>
        </w:rPr>
        <w:t>采购管理。我单位的采购主要是采用询价的方式进行，采购严格按照相关的文件进行。围绕支持中小企业发展，我单位按要求发布询价公告进行实地询价，最后确定询价结果和中标公司并公示以及合同的签订，项目在单位的监管下按合同正常推进完成，采购执行率高。</w:t>
      </w:r>
    </w:p>
    <w:p>
      <w:pPr>
        <w:widowControl/>
        <w:adjustRightInd w:val="0"/>
        <w:snapToGrid w:val="0"/>
        <w:spacing w:line="578" w:lineRule="exact"/>
        <w:ind w:firstLine="642" w:firstLineChars="200"/>
        <w:contextualSpacing/>
        <w:jc w:val="left"/>
        <w:rPr>
          <w:rFonts w:hint="eastAsia" w:ascii="方正楷体_GBK" w:hAnsi="方正楷体_GBK" w:eastAsia="方正楷体_GBK" w:cs="方正楷体_GBK"/>
          <w:color w:val="000000"/>
          <w:kern w:val="0"/>
          <w:sz w:val="32"/>
          <w:szCs w:val="32"/>
          <w:shd w:val="clear" w:color="auto" w:fill="FFFFFF"/>
        </w:rPr>
      </w:pPr>
      <w:r>
        <w:rPr>
          <w:rFonts w:hint="eastAsia" w:ascii="方正楷体_GBK" w:hAnsi="方正楷体_GBK" w:eastAsia="方正楷体_GBK" w:cs="方正楷体_GBK"/>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常年项目绩效分析。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阶段（一次性）项目绩效分析。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650.00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项目决策。</w:t>
      </w:r>
      <w:r>
        <w:rPr>
          <w:rFonts w:hint="eastAsia" w:ascii="仿宋_GB2312" w:hAnsi="仿宋_GB2312" w:eastAsia="仿宋_GB2312" w:cs="仿宋_GB2312"/>
          <w:color w:val="auto"/>
          <w:kern w:val="0"/>
          <w:sz w:val="32"/>
          <w:szCs w:val="32"/>
          <w:shd w:val="clear" w:color="auto" w:fill="FFFFFF"/>
          <w:lang w:val="zh-CN"/>
        </w:rPr>
        <w:t>根据项目申报条件，单位班子成员及股室负责人或相关决策机构对项目评估报告进行审议后，向上级主管部分申报，同时由企业对项目目标设置后，待资金下达后，再撰写项目事前评估报告，项目入库申报。</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。围绕项目资金安排，各项目进展顺利，严格按照相关规定执行资金支付。</w:t>
      </w:r>
    </w:p>
    <w:p>
      <w:pPr>
        <w:pStyle w:val="17"/>
        <w:ind w:left="0" w:leftChars="0" w:firstLine="640" w:firstLineChars="20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2024年工会经费，预算数650.00万元，支付数650.00万元，执行进度100%。</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正常有序推动全县工会工作，维护职工合法权益，推动工会组织建设、参与社会管理，构建和谐劳动关系，强化工会帮扶、大力提升职工素质，进一步发挥好桥梁纽带作用，团结动员全县广大职工为“六个”茂县建功立业。</w:t>
      </w:r>
    </w:p>
    <w:p>
      <w:pPr>
        <w:widowControl/>
        <w:adjustRightInd w:val="0"/>
        <w:snapToGrid w:val="0"/>
        <w:spacing w:line="578" w:lineRule="exact"/>
        <w:ind w:firstLine="642"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（三）重点领域绩效分析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sz w:val="32"/>
          <w:szCs w:val="32"/>
          <w:lang w:eastAsia="zh-CN"/>
        </w:rPr>
        <w:t>我会2024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涉及国有资本、行政事业性国有资产、债券资金、政府采购和政府购买服务等重点领域</w:t>
      </w:r>
      <w:r>
        <w:rPr>
          <w:rFonts w:hint="eastAsia" w:ascii="仿宋_GB2312" w:hAnsi="仿宋_GB2312" w:eastAsia="仿宋_GB2312" w:cs="仿宋_GB2312"/>
          <w:sz w:val="32"/>
          <w:szCs w:val="32"/>
          <w:lang w:bidi="ar"/>
        </w:rPr>
        <w:t>。</w:t>
      </w:r>
    </w:p>
    <w:p>
      <w:pPr>
        <w:widowControl/>
        <w:numPr>
          <w:ilvl w:val="0"/>
          <w:numId w:val="0"/>
        </w:numPr>
        <w:adjustRightInd w:val="0"/>
        <w:snapToGrid w:val="0"/>
        <w:spacing w:line="578" w:lineRule="exact"/>
        <w:ind w:left="0" w:leftChars="0" w:firstLine="642" w:firstLineChars="200"/>
        <w:contextualSpacing/>
        <w:jc w:val="left"/>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kern w:val="2"/>
          <w:sz w:val="32"/>
          <w:szCs w:val="32"/>
        </w:rPr>
        <w:t>（四）</w:t>
      </w:r>
      <w:r>
        <w:rPr>
          <w:rFonts w:hint="eastAsia" w:ascii="方正楷体_GBK" w:hAnsi="方正楷体_GBK" w:eastAsia="方正楷体_GBK" w:cs="方正楷体_GBK"/>
          <w:b/>
          <w:bCs/>
          <w:sz w:val="32"/>
          <w:szCs w:val="32"/>
          <w:lang w:val="zh-CN"/>
        </w:rPr>
        <w:t>绩效结果应用情况</w:t>
      </w:r>
    </w:p>
    <w:p>
      <w:pPr>
        <w:widowControl/>
        <w:numPr>
          <w:ilvl w:val="0"/>
          <w:numId w:val="0"/>
        </w:numPr>
        <w:adjustRightInd w:val="0"/>
        <w:snapToGrid w:val="0"/>
        <w:spacing w:line="578" w:lineRule="exact"/>
        <w:ind w:left="0" w:leftChars="0" w:firstLine="640"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p>
      <w:pPr>
        <w:widowControl/>
        <w:adjustRightInd w:val="0"/>
        <w:snapToGrid w:val="0"/>
        <w:spacing w:line="578"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widowControl/>
        <w:adjustRightInd w:val="0"/>
        <w:snapToGrid w:val="0"/>
        <w:spacing w:line="578" w:lineRule="exact"/>
        <w:ind w:firstLine="642"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年我</w:t>
      </w:r>
      <w:r>
        <w:rPr>
          <w:rFonts w:hint="eastAsia" w:ascii="仿宋_GB2312" w:hAnsi="仿宋_GB2312" w:eastAsia="仿宋_GB2312" w:cs="仿宋_GB2312"/>
          <w:kern w:val="0"/>
          <w:sz w:val="32"/>
          <w:szCs w:val="32"/>
          <w:lang w:eastAsia="zh-CN"/>
        </w:rPr>
        <w:t>会</w:t>
      </w:r>
      <w:r>
        <w:rPr>
          <w:rFonts w:hint="eastAsia" w:ascii="仿宋_GB2312" w:hAnsi="仿宋_GB2312" w:eastAsia="仿宋_GB2312" w:cs="仿宋_GB2312"/>
          <w:kern w:val="0"/>
          <w:sz w:val="32"/>
          <w:szCs w:val="32"/>
        </w:rPr>
        <w:t>整体支出绩效评价自查自评结果良好，</w:t>
      </w:r>
      <w:r>
        <w:rPr>
          <w:rFonts w:hint="eastAsia" w:ascii="仿宋_GB2312" w:hAnsi="仿宋_GB2312" w:eastAsia="仿宋_GB2312" w:cs="仿宋_GB2312"/>
          <w:kern w:val="0"/>
          <w:sz w:val="32"/>
          <w:szCs w:val="32"/>
          <w:lang w:eastAsia="zh-CN"/>
        </w:rPr>
        <w:t>自评得分</w:t>
      </w:r>
      <w:r>
        <w:rPr>
          <w:rFonts w:hint="eastAsia" w:ascii="仿宋_GB2312" w:hAnsi="仿宋_GB2312" w:eastAsia="仿宋_GB2312" w:cs="仿宋_GB2312"/>
          <w:kern w:val="0"/>
          <w:sz w:val="32"/>
          <w:szCs w:val="32"/>
          <w:lang w:val="en-US" w:eastAsia="zh-CN"/>
        </w:rPr>
        <w:t>94分。</w:t>
      </w:r>
      <w:r>
        <w:rPr>
          <w:rFonts w:hint="eastAsia" w:ascii="仿宋_GB2312" w:hAnsi="仿宋_GB2312" w:eastAsia="仿宋_GB2312" w:cs="仿宋_GB2312"/>
          <w:kern w:val="0"/>
          <w:sz w:val="32"/>
          <w:szCs w:val="32"/>
        </w:rPr>
        <w:t>全年基本支出保证了部门的正常运行和日常工作的正常开展，项目支出保障了重点工作的开展，达到预期绩效目标。</w:t>
      </w:r>
    </w:p>
    <w:p>
      <w:pPr>
        <w:widowControl/>
        <w:adjustRightInd w:val="0"/>
        <w:snapToGrid w:val="0"/>
        <w:spacing w:line="578" w:lineRule="exact"/>
        <w:ind w:firstLine="642"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（二）存在问题</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w:t>
      </w:r>
      <w:r>
        <w:rPr>
          <w:rFonts w:hint="eastAsia" w:ascii="仿宋_GB2312" w:hAnsi="仿宋_GB2312" w:eastAsia="仿宋_GB2312" w:cs="仿宋_GB2312"/>
          <w:kern w:val="0"/>
          <w:sz w:val="32"/>
          <w:szCs w:val="32"/>
          <w:lang w:eastAsia="zh-CN"/>
        </w:rPr>
        <w:t>会</w:t>
      </w:r>
      <w:r>
        <w:rPr>
          <w:rFonts w:hint="eastAsia" w:ascii="仿宋_GB2312" w:hAnsi="仿宋_GB2312" w:eastAsia="仿宋_GB2312" w:cs="仿宋_GB2312"/>
          <w:sz w:val="32"/>
          <w:szCs w:val="32"/>
        </w:rPr>
        <w:t>财务人员</w:t>
      </w:r>
      <w:r>
        <w:rPr>
          <w:rFonts w:hint="eastAsia" w:ascii="仿宋_GB2312" w:hAnsi="仿宋_GB2312" w:eastAsia="仿宋_GB2312" w:cs="仿宋_GB2312"/>
          <w:sz w:val="32"/>
          <w:szCs w:val="32"/>
          <w:lang w:eastAsia="zh-CN"/>
        </w:rPr>
        <w:t>均为非财务专业</w:t>
      </w:r>
      <w:r>
        <w:rPr>
          <w:rFonts w:hint="eastAsia" w:ascii="仿宋_GB2312" w:hAnsi="仿宋_GB2312" w:eastAsia="仿宋_GB2312" w:cs="仿宋_GB2312"/>
          <w:sz w:val="32"/>
          <w:szCs w:val="32"/>
        </w:rPr>
        <w:t>的工作人员，所学的专业与财务工作无任何关联，没有从事</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工作的专业知识和技能，且年龄偏大。随着</w:t>
      </w:r>
      <w:r>
        <w:rPr>
          <w:rFonts w:hint="eastAsia" w:ascii="仿宋_GB2312" w:hAnsi="仿宋_GB2312" w:eastAsia="仿宋_GB2312" w:cs="仿宋_GB2312"/>
          <w:sz w:val="32"/>
          <w:szCs w:val="32"/>
          <w:lang w:eastAsia="zh-CN"/>
        </w:rPr>
        <w:t>财</w:t>
      </w:r>
      <w:r>
        <w:rPr>
          <w:rFonts w:hint="eastAsia" w:ascii="仿宋_GB2312" w:hAnsi="仿宋_GB2312" w:eastAsia="仿宋_GB2312" w:cs="仿宋_GB2312"/>
          <w:sz w:val="32"/>
          <w:szCs w:val="32"/>
        </w:rPr>
        <w:t>务工作电算化、网络化发展，财务管理工作要求的日益提高以及财务知识的不断更新和增加，接收财务管理新业务、新知识难度大，尤其是各种财务软件、财务信息系统的使用常常倍感压力，一知半解导致</w:t>
      </w:r>
      <w:r>
        <w:rPr>
          <w:rFonts w:hint="eastAsia" w:ascii="仿宋_GB2312" w:hAnsi="仿宋_GB2312" w:eastAsia="仿宋_GB2312" w:cs="仿宋_GB2312"/>
          <w:sz w:val="32"/>
          <w:szCs w:val="32"/>
          <w:lang w:eastAsia="zh-CN"/>
        </w:rPr>
        <w:t>工作难度较大，出现得过且过，疲于应付的工作状态</w:t>
      </w:r>
      <w:r>
        <w:rPr>
          <w:rFonts w:hint="eastAsia" w:ascii="仿宋_GB2312" w:hAnsi="仿宋_GB2312" w:eastAsia="仿宋_GB2312" w:cs="仿宋_GB2312"/>
          <w:sz w:val="32"/>
          <w:szCs w:val="32"/>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.基本支出经费保障水平偏低</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综合近几年我</w:t>
      </w:r>
      <w:r>
        <w:rPr>
          <w:rFonts w:hint="eastAsia" w:ascii="仿宋_GB2312" w:hAnsi="仿宋_GB2312" w:eastAsia="仿宋_GB2312" w:cs="仿宋_GB2312"/>
          <w:kern w:val="0"/>
          <w:sz w:val="32"/>
          <w:szCs w:val="32"/>
          <w:lang w:eastAsia="zh-CN"/>
        </w:rPr>
        <w:t>会</w:t>
      </w:r>
      <w:r>
        <w:rPr>
          <w:rFonts w:hint="eastAsia" w:ascii="仿宋_GB2312" w:hAnsi="仿宋_GB2312" w:eastAsia="仿宋_GB2312" w:cs="仿宋_GB2312"/>
          <w:kern w:val="0"/>
          <w:sz w:val="32"/>
          <w:szCs w:val="32"/>
        </w:rPr>
        <w:t>批复预算看，预算执行基本围绕保人员经费、保正常运转进行。从决算情况看，基本支出比重比较大。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（三）改进建议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sz w:val="32"/>
          <w:szCs w:val="32"/>
          <w:lang w:eastAsia="zh-CN"/>
        </w:rPr>
        <w:t>力争有财务专业的从事财务工作，从事财务工作的非财务专业的人员</w:t>
      </w:r>
      <w:r>
        <w:rPr>
          <w:rFonts w:hint="eastAsia" w:ascii="仿宋_GB2312" w:hAnsi="仿宋_GB2312" w:eastAsia="仿宋_GB2312" w:cs="仿宋_GB2312"/>
          <w:sz w:val="32"/>
          <w:szCs w:val="32"/>
        </w:rPr>
        <w:t>多参加和学习相关的财会培训，科学合理编制预、决算。加强政府会计制度的学习、交流和培训。</w:t>
      </w:r>
      <w:r>
        <w:rPr>
          <w:rFonts w:hint="eastAsia" w:ascii="仿宋_GB2312" w:hAnsi="仿宋_GB2312" w:eastAsia="仿宋_GB2312" w:cs="仿宋_GB2312"/>
          <w:kern w:val="0"/>
          <w:sz w:val="32"/>
          <w:szCs w:val="32"/>
        </w:rPr>
        <w:t>加强新《预算法》《行政单位会计制度》等学习培训，规范部门预算收支核算</w:t>
      </w:r>
      <w:r>
        <w:rPr>
          <w:rFonts w:hint="eastAsia" w:ascii="仿宋_GB2312" w:hAnsi="仿宋_GB2312" w:eastAsia="仿宋_GB2312" w:cs="仿宋_GB2312"/>
          <w:kern w:val="0"/>
          <w:sz w:val="32"/>
          <w:szCs w:val="32"/>
          <w:lang w:eastAsia="zh-CN"/>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lang w:val="en"/>
        </w:rPr>
      </w:pPr>
      <w:bookmarkStart w:id="79" w:name="_Hlk110546638"/>
    </w:p>
    <w:bookmarkEnd w:id="74"/>
    <w:bookmarkEnd w:id="79"/>
    <w:p>
      <w:pPr>
        <w:keepNext w:val="0"/>
        <w:keepLines w:val="0"/>
        <w:widowControl/>
        <w:suppressLineNumbers w:val="0"/>
        <w:suppressAutoHyphens/>
        <w:spacing w:before="0" w:beforeAutospacing="0" w:after="0" w:afterAutospacing="0"/>
        <w:ind w:left="0" w:right="0"/>
        <w:jc w:val="center"/>
        <w:rPr>
          <w:rFonts w:hint="eastAsia" w:ascii="黑体" w:hAnsi="宋体" w:eastAsia="黑体" w:cs="黑体"/>
          <w:kern w:val="2"/>
          <w:sz w:val="44"/>
          <w:szCs w:val="44"/>
          <w:lang w:val="en-US" w:eastAsia="zh-CN" w:bidi="ar"/>
        </w:rPr>
      </w:pP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黑体"/>
          <w:kern w:val="2"/>
          <w:sz w:val="44"/>
          <w:szCs w:val="44"/>
          <w:lang w:val="en-US" w:eastAsia="zh-CN" w:bidi="ar"/>
        </w:rPr>
      </w:pPr>
    </w:p>
    <w:p/>
    <w:p>
      <w:pPr>
        <w:rPr>
          <w:rStyle w:val="39"/>
          <w:rFonts w:hint="eastAsia" w:ascii="黑体" w:hAnsi="黑体" w:eastAsia="黑体"/>
          <w:b w:val="0"/>
          <w:color w:val="auto"/>
          <w:highlight w:val="none"/>
        </w:rPr>
      </w:pPr>
      <w:bookmarkStart w:id="80" w:name="_Toc21200"/>
      <w:r>
        <w:rPr>
          <w:rStyle w:val="39"/>
          <w:rFonts w:hint="eastAsia" w:ascii="黑体" w:hAnsi="黑体" w:eastAsia="黑体"/>
          <w:b w:val="0"/>
          <w:color w:val="auto"/>
          <w:highlight w:val="none"/>
        </w:rPr>
        <w:br w:type="page"/>
      </w:r>
    </w:p>
    <w:p>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9"/>
          <w:rFonts w:hint="eastAsia" w:ascii="黑体" w:hAnsi="黑体" w:eastAsia="黑体"/>
          <w:b w:val="0"/>
          <w:color w:val="auto"/>
          <w:highlight w:val="none"/>
        </w:rPr>
        <w:t>第五部分 附表</w:t>
      </w:r>
      <w:bookmarkEnd w:id="75"/>
      <w:bookmarkEnd w:id="76"/>
      <w:bookmarkEnd w:id="77"/>
      <w:bookmarkEnd w:id="80"/>
    </w:p>
    <w:p>
      <w:pPr>
        <w:pStyle w:val="6"/>
        <w:ind w:firstLine="640" w:firstLineChars="200"/>
        <w:rPr>
          <w:rFonts w:hint="eastAsia" w:ascii="仿宋" w:hAnsi="仿宋" w:eastAsia="仿宋" w:cs="仿宋"/>
          <w:b w:val="0"/>
          <w:bCs/>
          <w:color w:val="000000"/>
        </w:rPr>
      </w:pPr>
      <w:bookmarkStart w:id="81" w:name="_Toc16431"/>
      <w:r>
        <w:rPr>
          <w:rFonts w:hint="eastAsia" w:ascii="仿宋" w:hAnsi="仿宋" w:eastAsia="仿宋" w:cs="仿宋"/>
          <w:b w:val="0"/>
          <w:bCs/>
          <w:color w:val="000000"/>
        </w:rPr>
        <w:t>一、收入支出决算总表</w:t>
      </w:r>
      <w:bookmarkEnd w:id="81"/>
    </w:p>
    <w:p>
      <w:pPr>
        <w:pStyle w:val="6"/>
        <w:ind w:firstLine="640" w:firstLineChars="200"/>
        <w:rPr>
          <w:rFonts w:hint="eastAsia" w:ascii="仿宋" w:hAnsi="仿宋" w:eastAsia="仿宋" w:cs="仿宋"/>
          <w:b w:val="0"/>
          <w:bCs/>
          <w:color w:val="000000"/>
        </w:rPr>
      </w:pPr>
      <w:bookmarkStart w:id="82" w:name="_Toc25389"/>
      <w:r>
        <w:rPr>
          <w:rFonts w:hint="eastAsia" w:ascii="仿宋" w:hAnsi="仿宋" w:eastAsia="仿宋" w:cs="仿宋"/>
          <w:b w:val="0"/>
          <w:bCs/>
          <w:color w:val="000000"/>
        </w:rPr>
        <w:t>二、收入决算表</w:t>
      </w:r>
      <w:bookmarkEnd w:id="82"/>
    </w:p>
    <w:p>
      <w:pPr>
        <w:pStyle w:val="6"/>
        <w:ind w:firstLine="640" w:firstLineChars="200"/>
        <w:rPr>
          <w:rFonts w:hint="eastAsia" w:ascii="仿宋" w:hAnsi="仿宋" w:eastAsia="仿宋" w:cs="仿宋"/>
          <w:b w:val="0"/>
          <w:bCs/>
          <w:color w:val="000000"/>
        </w:rPr>
      </w:pPr>
      <w:bookmarkStart w:id="83" w:name="_Toc10450"/>
      <w:r>
        <w:rPr>
          <w:rFonts w:hint="eastAsia" w:ascii="仿宋" w:hAnsi="仿宋" w:eastAsia="仿宋" w:cs="仿宋"/>
          <w:b w:val="0"/>
          <w:bCs/>
          <w:color w:val="000000"/>
        </w:rPr>
        <w:t>三、支出决算表</w:t>
      </w:r>
      <w:bookmarkEnd w:id="83"/>
    </w:p>
    <w:p>
      <w:pPr>
        <w:pStyle w:val="6"/>
        <w:ind w:firstLine="640" w:firstLineChars="200"/>
        <w:rPr>
          <w:rFonts w:hint="eastAsia" w:ascii="仿宋" w:hAnsi="仿宋" w:eastAsia="仿宋" w:cs="仿宋"/>
          <w:b w:val="0"/>
          <w:bCs/>
          <w:color w:val="000000"/>
        </w:rPr>
      </w:pPr>
      <w:bookmarkStart w:id="84" w:name="_Toc15415"/>
      <w:r>
        <w:rPr>
          <w:rFonts w:hint="eastAsia" w:ascii="仿宋" w:hAnsi="仿宋" w:eastAsia="仿宋" w:cs="仿宋"/>
          <w:b w:val="0"/>
          <w:bCs/>
          <w:color w:val="000000"/>
        </w:rPr>
        <w:t>四、财政拨款收入支出决算总表</w:t>
      </w:r>
      <w:bookmarkEnd w:id="84"/>
    </w:p>
    <w:p>
      <w:pPr>
        <w:pStyle w:val="6"/>
        <w:ind w:firstLine="640" w:firstLineChars="200"/>
        <w:rPr>
          <w:rFonts w:hint="eastAsia" w:ascii="仿宋" w:hAnsi="仿宋" w:eastAsia="仿宋" w:cs="仿宋"/>
          <w:b w:val="0"/>
          <w:bCs/>
          <w:color w:val="000000"/>
        </w:rPr>
      </w:pPr>
      <w:bookmarkStart w:id="85" w:name="_Toc17530"/>
      <w:r>
        <w:rPr>
          <w:rFonts w:hint="eastAsia" w:ascii="仿宋" w:hAnsi="仿宋" w:eastAsia="仿宋" w:cs="仿宋"/>
          <w:b w:val="0"/>
          <w:bCs/>
          <w:color w:val="000000"/>
        </w:rPr>
        <w:t>五、财政拨款支出决算明细表</w:t>
      </w:r>
      <w:bookmarkEnd w:id="85"/>
    </w:p>
    <w:p>
      <w:pPr>
        <w:pStyle w:val="6"/>
        <w:ind w:firstLine="640" w:firstLineChars="200"/>
        <w:rPr>
          <w:rFonts w:hint="eastAsia" w:ascii="仿宋" w:hAnsi="仿宋" w:eastAsia="仿宋" w:cs="仿宋"/>
          <w:b w:val="0"/>
          <w:bCs/>
          <w:color w:val="000000"/>
        </w:rPr>
      </w:pPr>
      <w:bookmarkStart w:id="86" w:name="_Toc22032"/>
      <w:r>
        <w:rPr>
          <w:rFonts w:hint="eastAsia" w:ascii="仿宋" w:hAnsi="仿宋" w:eastAsia="仿宋" w:cs="仿宋"/>
          <w:b w:val="0"/>
          <w:bCs/>
          <w:color w:val="000000"/>
        </w:rPr>
        <w:t>六、一般公共预算财政拨款支出决算表</w:t>
      </w:r>
      <w:bookmarkEnd w:id="86"/>
    </w:p>
    <w:p>
      <w:pPr>
        <w:pStyle w:val="6"/>
        <w:ind w:firstLine="640" w:firstLineChars="200"/>
        <w:rPr>
          <w:rFonts w:hint="eastAsia" w:ascii="仿宋" w:hAnsi="仿宋" w:eastAsia="仿宋" w:cs="仿宋"/>
          <w:b w:val="0"/>
          <w:bCs/>
          <w:color w:val="000000"/>
        </w:rPr>
      </w:pPr>
      <w:bookmarkStart w:id="87" w:name="_Toc3364"/>
      <w:r>
        <w:rPr>
          <w:rFonts w:hint="eastAsia" w:ascii="仿宋" w:hAnsi="仿宋" w:eastAsia="仿宋" w:cs="仿宋"/>
          <w:b w:val="0"/>
          <w:bCs/>
          <w:color w:val="000000"/>
        </w:rPr>
        <w:t>七、一般公共预算财政拨款支出决算明细表</w:t>
      </w:r>
      <w:bookmarkEnd w:id="87"/>
    </w:p>
    <w:p>
      <w:pPr>
        <w:pStyle w:val="6"/>
        <w:ind w:firstLine="640" w:firstLineChars="200"/>
        <w:rPr>
          <w:rFonts w:hint="eastAsia" w:ascii="仿宋" w:hAnsi="仿宋" w:eastAsia="仿宋" w:cs="仿宋"/>
          <w:b w:val="0"/>
          <w:bCs/>
          <w:color w:val="000000"/>
        </w:rPr>
      </w:pPr>
      <w:bookmarkStart w:id="88" w:name="_Toc9110"/>
      <w:r>
        <w:rPr>
          <w:rFonts w:hint="eastAsia" w:ascii="仿宋" w:hAnsi="仿宋" w:eastAsia="仿宋" w:cs="仿宋"/>
          <w:b w:val="0"/>
          <w:bCs/>
          <w:color w:val="000000"/>
        </w:rPr>
        <w:t>八、一般公共预算财政拨款基本支出决算表</w:t>
      </w:r>
      <w:bookmarkEnd w:id="88"/>
    </w:p>
    <w:p>
      <w:pPr>
        <w:pStyle w:val="6"/>
        <w:ind w:firstLine="640" w:firstLineChars="200"/>
        <w:rPr>
          <w:rFonts w:hint="eastAsia" w:ascii="仿宋" w:hAnsi="仿宋" w:eastAsia="仿宋" w:cs="仿宋"/>
          <w:b w:val="0"/>
          <w:bCs/>
          <w:color w:val="000000"/>
        </w:rPr>
      </w:pPr>
      <w:bookmarkStart w:id="89" w:name="_Toc28582"/>
      <w:r>
        <w:rPr>
          <w:rFonts w:hint="eastAsia" w:ascii="仿宋" w:hAnsi="仿宋" w:eastAsia="仿宋" w:cs="仿宋"/>
          <w:b w:val="0"/>
          <w:bCs/>
          <w:color w:val="000000"/>
        </w:rPr>
        <w:t>九、一般公共预算财政拨款项目支出决算表</w:t>
      </w:r>
      <w:bookmarkEnd w:id="89"/>
    </w:p>
    <w:p>
      <w:pPr>
        <w:pStyle w:val="6"/>
        <w:ind w:firstLine="640" w:firstLineChars="200"/>
        <w:rPr>
          <w:rFonts w:hint="eastAsia" w:ascii="仿宋" w:hAnsi="仿宋" w:eastAsia="仿宋" w:cs="仿宋"/>
          <w:b w:val="0"/>
          <w:bCs/>
          <w:color w:val="000000"/>
        </w:rPr>
      </w:pPr>
      <w:bookmarkStart w:id="90" w:name="_Toc22001"/>
      <w:r>
        <w:rPr>
          <w:rFonts w:hint="eastAsia" w:ascii="仿宋" w:hAnsi="仿宋" w:eastAsia="仿宋" w:cs="仿宋"/>
          <w:b w:val="0"/>
          <w:bCs/>
          <w:color w:val="000000"/>
        </w:rPr>
        <w:t>十、政府性基金预算财政拨款收入支出决算表</w:t>
      </w:r>
      <w:bookmarkEnd w:id="90"/>
    </w:p>
    <w:p>
      <w:pPr>
        <w:pStyle w:val="6"/>
        <w:ind w:firstLine="640" w:firstLineChars="200"/>
        <w:rPr>
          <w:rFonts w:hint="eastAsia" w:ascii="仿宋" w:hAnsi="仿宋" w:eastAsia="仿宋" w:cs="仿宋"/>
          <w:b w:val="0"/>
          <w:bCs/>
          <w:color w:val="000000"/>
        </w:rPr>
      </w:pPr>
      <w:bookmarkStart w:id="91" w:name="_Toc6538"/>
      <w:r>
        <w:rPr>
          <w:rFonts w:hint="eastAsia" w:ascii="仿宋" w:hAnsi="仿宋" w:eastAsia="仿宋" w:cs="仿宋"/>
          <w:b w:val="0"/>
          <w:bCs/>
          <w:color w:val="000000"/>
        </w:rPr>
        <w:t>十一、国有资本经营预算财政拨款收入支出决算表</w:t>
      </w:r>
      <w:bookmarkEnd w:id="91"/>
    </w:p>
    <w:p>
      <w:pPr>
        <w:pStyle w:val="6"/>
        <w:ind w:firstLine="640" w:firstLineChars="200"/>
        <w:rPr>
          <w:rFonts w:hint="eastAsia" w:ascii="仿宋" w:hAnsi="仿宋" w:eastAsia="仿宋" w:cs="仿宋"/>
          <w:b w:val="0"/>
          <w:bCs/>
          <w:color w:val="000000"/>
        </w:rPr>
      </w:pPr>
      <w:bookmarkStart w:id="92" w:name="_Toc10625"/>
      <w:r>
        <w:rPr>
          <w:rFonts w:hint="eastAsia" w:ascii="仿宋" w:hAnsi="仿宋" w:eastAsia="仿宋" w:cs="仿宋"/>
          <w:b w:val="0"/>
          <w:bCs/>
          <w:color w:val="000000"/>
        </w:rPr>
        <w:t>十二、国有资本经营预算财政拨款支出决算表</w:t>
      </w:r>
      <w:bookmarkEnd w:id="92"/>
    </w:p>
    <w:p>
      <w:pPr>
        <w:pStyle w:val="6"/>
        <w:ind w:firstLine="640" w:firstLineChars="200"/>
        <w:rPr>
          <w:rFonts w:hint="eastAsia" w:ascii="仿宋" w:hAnsi="仿宋" w:eastAsia="仿宋" w:cs="仿宋"/>
          <w:b w:val="0"/>
          <w:bCs/>
          <w:color w:val="000000"/>
        </w:rPr>
      </w:pPr>
      <w:bookmarkStart w:id="93" w:name="_Toc28356"/>
      <w:r>
        <w:rPr>
          <w:rFonts w:hint="eastAsia" w:ascii="仿宋" w:hAnsi="仿宋" w:eastAsia="仿宋" w:cs="仿宋"/>
          <w:b w:val="0"/>
          <w:bCs/>
          <w:color w:val="000000"/>
        </w:rPr>
        <w:t>十三、财政拨款“三公”经费支出决算表</w:t>
      </w:r>
      <w:bookmarkEnd w:id="93"/>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76F5347"/>
    <w:rsid w:val="08417F5B"/>
    <w:rsid w:val="088F55D5"/>
    <w:rsid w:val="089C4B49"/>
    <w:rsid w:val="09081517"/>
    <w:rsid w:val="091B747D"/>
    <w:rsid w:val="092E626A"/>
    <w:rsid w:val="09A572B6"/>
    <w:rsid w:val="0A19737C"/>
    <w:rsid w:val="0B7218AA"/>
    <w:rsid w:val="0B99373B"/>
    <w:rsid w:val="0BA37CB5"/>
    <w:rsid w:val="0C040028"/>
    <w:rsid w:val="0C376559"/>
    <w:rsid w:val="0D0429D6"/>
    <w:rsid w:val="0D093B48"/>
    <w:rsid w:val="0D322E51"/>
    <w:rsid w:val="0D573E72"/>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88F4D22"/>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3A1DFC"/>
    <w:rsid w:val="244017F7"/>
    <w:rsid w:val="24534F10"/>
    <w:rsid w:val="24DF6C66"/>
    <w:rsid w:val="24F17BED"/>
    <w:rsid w:val="253D03DB"/>
    <w:rsid w:val="253F66D1"/>
    <w:rsid w:val="25A20B86"/>
    <w:rsid w:val="25B1070F"/>
    <w:rsid w:val="25BC6564"/>
    <w:rsid w:val="25DD571A"/>
    <w:rsid w:val="265C1D1F"/>
    <w:rsid w:val="26BB36DB"/>
    <w:rsid w:val="271C5A93"/>
    <w:rsid w:val="276F1834"/>
    <w:rsid w:val="27B459F9"/>
    <w:rsid w:val="27C51E91"/>
    <w:rsid w:val="280173B2"/>
    <w:rsid w:val="28513369"/>
    <w:rsid w:val="28BF6D42"/>
    <w:rsid w:val="28C822A0"/>
    <w:rsid w:val="292E058E"/>
    <w:rsid w:val="29E4176D"/>
    <w:rsid w:val="29FD04D3"/>
    <w:rsid w:val="2BBB31A5"/>
    <w:rsid w:val="2BC54E1B"/>
    <w:rsid w:val="2C1E1BB4"/>
    <w:rsid w:val="2CAE1BBE"/>
    <w:rsid w:val="2CCF04B2"/>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71C38A7"/>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0EA7211"/>
    <w:rsid w:val="4119235A"/>
    <w:rsid w:val="41677310"/>
    <w:rsid w:val="422C2C46"/>
    <w:rsid w:val="4251506E"/>
    <w:rsid w:val="42B75819"/>
    <w:rsid w:val="43684120"/>
    <w:rsid w:val="444F07DA"/>
    <w:rsid w:val="44601E28"/>
    <w:rsid w:val="45B8149C"/>
    <w:rsid w:val="472E4611"/>
    <w:rsid w:val="475E72DC"/>
    <w:rsid w:val="47F514AF"/>
    <w:rsid w:val="4839282C"/>
    <w:rsid w:val="48667CE0"/>
    <w:rsid w:val="48FD75BD"/>
    <w:rsid w:val="49243056"/>
    <w:rsid w:val="494C4A06"/>
    <w:rsid w:val="4A113668"/>
    <w:rsid w:val="4A1B536E"/>
    <w:rsid w:val="4A277A41"/>
    <w:rsid w:val="4A745623"/>
    <w:rsid w:val="4B187071"/>
    <w:rsid w:val="4B2B2DCB"/>
    <w:rsid w:val="4B6A5BC2"/>
    <w:rsid w:val="4B6D2BD3"/>
    <w:rsid w:val="4C60482B"/>
    <w:rsid w:val="4C7555EC"/>
    <w:rsid w:val="4D135D42"/>
    <w:rsid w:val="4D846266"/>
    <w:rsid w:val="4D8D78A2"/>
    <w:rsid w:val="4DF123A8"/>
    <w:rsid w:val="4E290981"/>
    <w:rsid w:val="4E832A53"/>
    <w:rsid w:val="4E9E44C2"/>
    <w:rsid w:val="4EBA683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D0674C"/>
    <w:rsid w:val="57D23F06"/>
    <w:rsid w:val="58BA52C3"/>
    <w:rsid w:val="58BC5D23"/>
    <w:rsid w:val="59177DCC"/>
    <w:rsid w:val="59E040FC"/>
    <w:rsid w:val="59E11CD3"/>
    <w:rsid w:val="5A857BDE"/>
    <w:rsid w:val="5B2A4567"/>
    <w:rsid w:val="5BE202E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255052"/>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464CAF"/>
    <w:rsid w:val="67C24194"/>
    <w:rsid w:val="67EB36EB"/>
    <w:rsid w:val="68DA2DB6"/>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3F04CF"/>
    <w:rsid w:val="764B35A7"/>
    <w:rsid w:val="769E6A57"/>
    <w:rsid w:val="77B238DE"/>
    <w:rsid w:val="78A4106B"/>
    <w:rsid w:val="79975481"/>
    <w:rsid w:val="79B4511D"/>
    <w:rsid w:val="79F60BE5"/>
    <w:rsid w:val="7A1B4027"/>
    <w:rsid w:val="7A965738"/>
    <w:rsid w:val="7ABC1C9C"/>
    <w:rsid w:val="7B022DCE"/>
    <w:rsid w:val="7B272834"/>
    <w:rsid w:val="7B8F0A21"/>
    <w:rsid w:val="7B8F71DF"/>
    <w:rsid w:val="7C09206C"/>
    <w:rsid w:val="7C1568F9"/>
    <w:rsid w:val="7CB023B6"/>
    <w:rsid w:val="7CB2612E"/>
    <w:rsid w:val="7CC25607"/>
    <w:rsid w:val="7DE859ED"/>
    <w:rsid w:val="7E4C610E"/>
    <w:rsid w:val="7ECA59B1"/>
    <w:rsid w:val="7F09108F"/>
    <w:rsid w:val="7F5E434B"/>
    <w:rsid w:val="7FDC49A0"/>
    <w:rsid w:val="7FFDBA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1"/>
    </w:rPr>
  </w:style>
  <w:style w:type="paragraph" w:styleId="5">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link w:val="40"/>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2"/>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ody Text Indent 2"/>
    <w:basedOn w:val="1"/>
    <w:qFormat/>
    <w:uiPriority w:val="0"/>
    <w:pPr>
      <w:spacing w:after="120" w:line="480" w:lineRule="auto"/>
      <w:ind w:left="420" w:leftChars="200"/>
    </w:pPr>
    <w:rPr>
      <w:szCs w:val="20"/>
    </w:rPr>
  </w:style>
  <w:style w:type="paragraph" w:styleId="13">
    <w:name w:val="Balloon Text"/>
    <w:basedOn w:val="1"/>
    <w:link w:val="37"/>
    <w:semiHidden/>
    <w:unhideWhenUsed/>
    <w:qFormat/>
    <w:uiPriority w:val="99"/>
    <w:rPr>
      <w:sz w:val="18"/>
      <w:szCs w:val="18"/>
    </w:rPr>
  </w:style>
  <w:style w:type="paragraph" w:styleId="14">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able of figures"/>
    <w:basedOn w:val="1"/>
    <w:next w:val="1"/>
    <w:qFormat/>
    <w:uiPriority w:val="0"/>
    <w:pPr>
      <w:ind w:left="200" w:leftChars="200" w:hanging="200" w:hangingChars="200"/>
    </w:pPr>
  </w:style>
  <w:style w:type="paragraph" w:styleId="18">
    <w:name w:val="toc 2"/>
    <w:basedOn w:val="1"/>
    <w:next w:val="1"/>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unhideWhenUsed/>
    <w:qFormat/>
    <w:uiPriority w:val="99"/>
    <w:pPr>
      <w:spacing w:before="100" w:beforeAutospacing="1" w:after="100" w:afterAutospacing="1"/>
      <w:jc w:val="left"/>
    </w:pPr>
    <w:rPr>
      <w:kern w:val="0"/>
      <w:sz w:val="24"/>
      <w:szCs w:val="24"/>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2"/>
    <w:semiHidden/>
    <w:qFormat/>
    <w:uiPriority w:val="99"/>
    <w:rPr>
      <w:rFonts w:ascii="Times New Roman" w:hAnsi="Times New Roman"/>
      <w:sz w:val="18"/>
      <w:szCs w:val="18"/>
    </w:rPr>
  </w:style>
  <w:style w:type="character" w:customStyle="1" w:styleId="28">
    <w:name w:val="页眉 字符"/>
    <w:link w:val="15"/>
    <w:semiHidden/>
    <w:qFormat/>
    <w:locked/>
    <w:uiPriority w:val="99"/>
    <w:rPr>
      <w:sz w:val="18"/>
    </w:rPr>
  </w:style>
  <w:style w:type="character" w:customStyle="1" w:styleId="29">
    <w:name w:val="Footer Char"/>
    <w:basedOn w:val="22"/>
    <w:semiHidden/>
    <w:qFormat/>
    <w:uiPriority w:val="99"/>
    <w:rPr>
      <w:rFonts w:ascii="Times New Roman" w:hAnsi="Times New Roman"/>
      <w:sz w:val="18"/>
      <w:szCs w:val="18"/>
    </w:rPr>
  </w:style>
  <w:style w:type="character" w:customStyle="1" w:styleId="30">
    <w:name w:val="页脚 字符"/>
    <w:link w:val="14"/>
    <w:qFormat/>
    <w:locked/>
    <w:uiPriority w:val="99"/>
    <w:rPr>
      <w:sz w:val="18"/>
    </w:rPr>
  </w:style>
  <w:style w:type="character" w:customStyle="1" w:styleId="31">
    <w:name w:val="Body Text Char"/>
    <w:basedOn w:val="22"/>
    <w:semiHidden/>
    <w:qFormat/>
    <w:uiPriority w:val="99"/>
    <w:rPr>
      <w:rFonts w:ascii="Times New Roman" w:hAnsi="Times New Roman"/>
      <w:szCs w:val="24"/>
    </w:rPr>
  </w:style>
  <w:style w:type="character" w:customStyle="1" w:styleId="32">
    <w:name w:val="正文文本 字符"/>
    <w:link w:val="10"/>
    <w:qFormat/>
    <w:locked/>
    <w:uiPriority w:val="99"/>
    <w:rPr>
      <w:rFonts w:ascii="仿宋_GB2312" w:hAnsi="Times New Roman" w:eastAsia="仿宋_GB2312"/>
      <w:sz w:val="24"/>
    </w:rPr>
  </w:style>
  <w:style w:type="paragraph" w:styleId="33">
    <w:name w:val="List Paragraph"/>
    <w:basedOn w:val="1"/>
    <w:qFormat/>
    <w:uiPriority w:val="34"/>
    <w:pPr>
      <w:ind w:firstLine="420" w:firstLineChars="200"/>
    </w:pPr>
  </w:style>
  <w:style w:type="character" w:customStyle="1" w:styleId="34">
    <w:name w:val="标题 1 字符"/>
    <w:basedOn w:val="22"/>
    <w:link w:val="5"/>
    <w:qFormat/>
    <w:uiPriority w:val="9"/>
    <w:rPr>
      <w:rFonts w:ascii="Times New Roman" w:hAnsi="Times New Roman"/>
      <w:b/>
      <w:bCs/>
      <w:kern w:val="44"/>
      <w:sz w:val="44"/>
      <w:szCs w:val="44"/>
    </w:rPr>
  </w:style>
  <w:style w:type="character" w:customStyle="1" w:styleId="35">
    <w:name w:val="标题 2 字符"/>
    <w:basedOn w:val="22"/>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2"/>
    <w:link w:val="13"/>
    <w:semiHidden/>
    <w:qFormat/>
    <w:uiPriority w:val="99"/>
    <w:rPr>
      <w:rFonts w:ascii="Times New Roman" w:hAnsi="Times New Roman"/>
      <w:kern w:val="2"/>
      <w:sz w:val="18"/>
      <w:szCs w:val="18"/>
    </w:rPr>
  </w:style>
  <w:style w:type="character" w:customStyle="1" w:styleId="38">
    <w:name w:val="标题 3 字符"/>
    <w:basedOn w:val="22"/>
    <w:link w:val="7"/>
    <w:qFormat/>
    <w:uiPriority w:val="9"/>
    <w:rPr>
      <w:rFonts w:ascii="Times New Roman" w:hAnsi="Times New Roman"/>
      <w:b/>
      <w:bCs/>
      <w:kern w:val="2"/>
      <w:sz w:val="32"/>
      <w:szCs w:val="32"/>
    </w:rPr>
  </w:style>
  <w:style w:type="character" w:customStyle="1" w:styleId="39">
    <w:name w:val="标题 1 Char"/>
    <w:basedOn w:val="22"/>
    <w:link w:val="5"/>
    <w:qFormat/>
    <w:uiPriority w:val="9"/>
    <w:rPr>
      <w:b/>
      <w:bCs/>
      <w:kern w:val="44"/>
      <w:sz w:val="44"/>
      <w:szCs w:val="44"/>
    </w:rPr>
  </w:style>
  <w:style w:type="character" w:customStyle="1" w:styleId="40">
    <w:name w:val="infodetail Char"/>
    <w:basedOn w:val="22"/>
    <w:link w:val="8"/>
    <w:qFormat/>
    <w:uiPriority w:val="0"/>
    <w:rPr>
      <w:rFonts w:ascii="宋体" w:hAnsi="Times New Roman" w:eastAsia="宋体" w:cs="Times New Roman"/>
      <w:sz w:val="21"/>
      <w:szCs w:val="21"/>
      <w:lang w:val="en-US" w:eastAsia="zh-CN" w:bidi="ar-SA"/>
    </w:rPr>
  </w:style>
  <w:style w:type="paragraph" w:customStyle="1" w:styleId="41">
    <w:name w:val="infodetail"/>
    <w:next w:val="1"/>
    <w:qFormat/>
    <w:uiPriority w:val="0"/>
    <w:pPr>
      <w:spacing w:before="100" w:beforeAutospacing="1" w:after="100" w:afterAutospacing="1" w:line="360" w:lineRule="auto"/>
    </w:pPr>
    <w:rPr>
      <w:rFonts w:ascii="宋体"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{814.1,786.3}</c:f>
              <c:numCache>
                <c:formatCode>General</c:formatCode>
                <c:ptCount val="2"/>
                <c:pt idx="0">
                  <c:v>814.1</c:v>
                </c:pt>
                <c:pt idx="1">
                  <c:v>786.3</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{786.3}</c:f>
              <c:numCache>
                <c:formatCode>General</c:formatCode>
                <c:ptCount val="1"/>
                <c:pt idx="0">
                  <c:v>786.3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{136.3,650}</c:f>
              <c:numCache>
                <c:formatCode>General</c:formatCode>
                <c:ptCount val="2"/>
                <c:pt idx="0">
                  <c:v>136.3</c:v>
                </c:pt>
                <c:pt idx="1">
                  <c:v>650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{814.1,786.3}</c:f>
              <c:numCache>
                <c:formatCode>General</c:formatCode>
                <c:ptCount val="2"/>
                <c:pt idx="0">
                  <c:v>814.1</c:v>
                </c:pt>
                <c:pt idx="1">
                  <c:v>786.3</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{814.1}</c:f>
              <c:numCache>
                <c:formatCode>General</c:formatCode>
                <c:ptCount val="1"/>
                <c:pt idx="0">
                  <c:v>814.1</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{786.3}</c:f>
              <c:numCache>
                <c:formatCode>General</c:formatCode>
                <c:ptCount val="1"/>
                <c:pt idx="0">
                  <c:v>786.3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{"一般公共服务支出","社会保障和就业支出","卫生健康支出","住房保障支出"}</c:f>
              <c:strCache>
                <c:ptCount val="4"/>
                <c:pt idx="0">
                  <c:v>一般公共服务支出</c:v>
                </c:pt>
                <c:pt idx="1">
                  <c:v>社会保障和就业支出</c:v>
                </c:pt>
                <c:pt idx="2">
                  <c:v>卫生健康支出</c:v>
                </c:pt>
                <c:pt idx="3">
                  <c:v>住房保障支出</c:v>
                </c:pt>
              </c:strCache>
            </c:strRef>
          </c:cat>
          <c:val>
            <c:numRef>
              <c:f>{750.4,17.88,8.37,9.65}</c:f>
              <c:numCache>
                <c:formatCode>General</c:formatCode>
                <c:ptCount val="4"/>
                <c:pt idx="0">
                  <c:v>750.4</c:v>
                </c:pt>
                <c:pt idx="1">
                  <c:v>17.88</c:v>
                </c:pt>
                <c:pt idx="2">
                  <c:v>8.37</c:v>
                </c:pt>
                <c:pt idx="3">
                  <c:v>9.65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{0,5.97,0}</c:f>
              <c:numCache>
                <c:formatCode>General</c:formatCode>
                <c:ptCount val="3"/>
                <c:pt idx="0">
                  <c:v>0</c:v>
                </c:pt>
                <c:pt idx="1">
                  <c:v>5.97</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6801</Words>
  <Characters>7411</Characters>
  <Lines>48</Lines>
  <Paragraphs>13</Paragraphs>
  <TotalTime>22</TotalTime>
  <ScaleCrop>false</ScaleCrop>
  <LinksUpToDate>false</LinksUpToDate>
  <CharactersWithSpaces>7514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2021-09-26T16:39:00Z</cp:lastPrinted>
  <dcterms:modified xsi:type="dcterms:W3CDTF">2025-09-18T08:59:36Z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B62B403A77BA43CD9F1D2577F9E803BA_13</vt:lpwstr>
  </property>
  <property fmtid="{D5CDD505-2E9C-101B-9397-08002B2CF9AE}" pid="4" name="KSOTemplateDocerSaveRecord">
    <vt:lpwstr>eyJoZGlkIjoiODdlMmMwMTEzZDViMTNlNzAxY2Y5YjkyZGM1ZjMzNWQiLCJ1c2VySWQiOiIzMzEzMTgxNzYifQ==</vt:lpwstr>
  </property>
</Properties>
</file>