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FFFFFF" w:themeColor="background1"/>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44"/>
          <w:szCs w:val="44"/>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96597"/>
      <w:bookmarkStart w:id="2" w:name="_Toc15377425"/>
      <w:bookmarkStart w:id="3" w:name="_Toc15396475"/>
      <w:bookmarkStart w:id="4" w:name="_Toc15377193"/>
      <w:bookmarkStart w:id="5" w:name="_Toc15378441"/>
      <w:r>
        <w:rPr>
          <w:rFonts w:hint="eastAsia" w:ascii="方正小标宋简体" w:hAnsi="方正小标宋简体" w:eastAsia="方正小标宋简体" w:cs="方正小标宋简体"/>
          <w:sz w:val="44"/>
          <w:szCs w:val="44"/>
        </w:rPr>
        <w:t>2019年度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5377426"/>
      <w:bookmarkStart w:id="7" w:name="_Toc15396476"/>
      <w:bookmarkStart w:id="8" w:name="_Toc15378442"/>
      <w:bookmarkStart w:id="9" w:name="_Toc15377194"/>
      <w:bookmarkStart w:id="10" w:name="_Toc15396598"/>
      <w:r>
        <w:rPr>
          <w:rFonts w:hint="eastAsia" w:ascii="方正小标宋简体" w:hAnsi="方正小标宋简体" w:eastAsia="方正小标宋简体" w:cs="方正小标宋简体"/>
          <w:sz w:val="44"/>
          <w:szCs w:val="44"/>
        </w:rPr>
        <w:t>四川省</w:t>
      </w:r>
      <w:bookmarkEnd w:id="0"/>
      <w:bookmarkStart w:id="11" w:name="_Toc15306268"/>
      <w:r>
        <w:rPr>
          <w:rFonts w:hint="eastAsia" w:ascii="方正小标宋简体" w:hAnsi="方正小标宋简体" w:eastAsia="方正小标宋简体" w:cs="方正小标宋简体"/>
          <w:sz w:val="44"/>
          <w:szCs w:val="44"/>
        </w:rPr>
        <w:t>阿坝州茂县编办部门决算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djustRightInd w:val="0"/>
        <w:snapToGrid w:val="0"/>
        <w:spacing w:line="360" w:lineRule="auto"/>
        <w:jc w:val="center"/>
        <w:outlineLvl w:val="0"/>
        <w:rPr>
          <w:rFonts w:ascii="方正小标宋简体" w:hAnsi="宋体" w:eastAsia="方正小标宋简体"/>
          <w:sz w:val="36"/>
          <w:szCs w:val="36"/>
        </w:rPr>
      </w:pPr>
    </w:p>
    <w:p>
      <w:pPr>
        <w:autoSpaceDE w:val="0"/>
        <w:autoSpaceDN w:val="0"/>
        <w:adjustRightInd w:val="0"/>
        <w:ind w:firstLine="1120" w:firstLineChars="350"/>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120" w:firstLineChars="350"/>
        <w:jc w:val="left"/>
        <w:rPr>
          <w:rFonts w:eastAsia="仿宋_GB2312"/>
          <w:sz w:val="32"/>
          <w:szCs w:val="32"/>
        </w:rPr>
      </w:pPr>
      <w:r>
        <w:rPr>
          <w:rFonts w:hint="eastAsia" w:ascii="仿宋_GB2312" w:eastAsia="仿宋_GB2312" w:cs="仿宋_GB2312"/>
          <w:sz w:val="32"/>
          <w:szCs w:val="32"/>
        </w:rPr>
        <w:t>部门主要负责人审签情况：已审签，同意对外公开</w:t>
      </w:r>
    </w:p>
    <w:p>
      <w:pPr>
        <w:adjustRightInd w:val="0"/>
        <w:snapToGrid w:val="0"/>
        <w:spacing w:line="360" w:lineRule="auto"/>
        <w:jc w:val="center"/>
        <w:outlineLvl w:val="0"/>
        <w:rPr>
          <w:rFonts w:ascii="黑体" w:hAnsi="黑体" w:eastAsia="黑体"/>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目录</w:t>
      </w:r>
    </w:p>
    <w:p>
      <w:pPr>
        <w:widowControl/>
        <w:jc w:val="center"/>
        <w:rPr>
          <w:rFonts w:ascii="黑体" w:hAnsi="黑体" w:eastAsia="黑体" w:cstheme="minorBidi"/>
          <w:sz w:val="28"/>
          <w:szCs w:val="28"/>
        </w:rPr>
      </w:pPr>
      <w:r>
        <w:rPr>
          <w:rFonts w:ascii="黑体" w:hAnsi="黑体" w:eastAsia="黑体"/>
          <w:sz w:val="48"/>
          <w:szCs w:val="48"/>
        </w:rPr>
        <w:fldChar w:fldCharType="begin"/>
      </w:r>
      <w:r>
        <w:rPr>
          <w:rFonts w:ascii="黑体" w:hAnsi="黑体" w:eastAsia="黑体"/>
          <w:sz w:val="48"/>
          <w:szCs w:val="48"/>
        </w:rPr>
        <w:instrText xml:space="preserve"> TOC \o "1-2" \h \z \u </w:instrText>
      </w:r>
      <w:r>
        <w:rPr>
          <w:rFonts w:ascii="黑体" w:hAnsi="黑体" w:eastAsia="黑体"/>
          <w:sz w:val="48"/>
          <w:szCs w:val="48"/>
        </w:rPr>
        <w:fldChar w:fldCharType="separate"/>
      </w:r>
    </w:p>
    <w:p/>
    <w:p>
      <w:pPr>
        <w:pStyle w:val="10"/>
        <w:rPr>
          <w:rFonts w:cstheme="minorBidi"/>
        </w:rPr>
      </w:pPr>
      <w:r>
        <w:fldChar w:fldCharType="begin"/>
      </w:r>
      <w:r>
        <w:instrText xml:space="preserve"> HYPERLINK \l "_Toc15396599" </w:instrText>
      </w:r>
      <w:r>
        <w:fldChar w:fldCharType="separate"/>
      </w:r>
      <w:r>
        <w:rPr>
          <w:rStyle w:val="16"/>
          <w:rFonts w:hint="eastAsia"/>
          <w:color w:val="auto"/>
        </w:rPr>
        <w:t>第一部分</w:t>
      </w:r>
      <w:r>
        <w:rPr>
          <w:rStyle w:val="16"/>
          <w:color w:val="auto"/>
        </w:rPr>
        <w:t xml:space="preserve"> </w:t>
      </w:r>
      <w:r>
        <w:rPr>
          <w:rStyle w:val="16"/>
          <w:rFonts w:hint="eastAsia"/>
          <w:color w:val="auto"/>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color w:val="auto"/>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color w:val="auto"/>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color w:val="auto"/>
        </w:rPr>
        <w:t>第二部分</w:t>
      </w:r>
      <w:r>
        <w:rPr>
          <w:rStyle w:val="16"/>
          <w:color w:val="auto"/>
        </w:rPr>
        <w:t xml:space="preserve"> 201</w:t>
      </w:r>
      <w:r>
        <w:rPr>
          <w:rStyle w:val="16"/>
          <w:rFonts w:hint="eastAsia"/>
          <w:color w:val="auto"/>
        </w:rPr>
        <w:t>9年度部门决算情况说明</w:t>
      </w:r>
      <w:r>
        <w:tab/>
      </w:r>
      <w:r>
        <w:fldChar w:fldCharType="begin"/>
      </w:r>
      <w:r>
        <w:instrText xml:space="preserve"> PAGEREF _Toc15396602 \h </w:instrText>
      </w:r>
      <w:r>
        <w:fldChar w:fldCharType="separate"/>
      </w:r>
      <w:r>
        <w:t>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color w:val="auto"/>
          <w:sz w:val="28"/>
          <w:szCs w:val="28"/>
        </w:rPr>
        <w:t>一、</w:t>
      </w:r>
      <w:r>
        <w:rPr>
          <w:rStyle w:val="16"/>
          <w:rFonts w:hint="eastAsia" w:ascii="仿宋" w:hAnsi="仿宋" w:eastAsia="仿宋"/>
          <w:color w:val="auto"/>
          <w:sz w:val="28"/>
          <w:szCs w:val="28"/>
        </w:rPr>
        <w:t>收</w:t>
      </w:r>
      <w:r>
        <w:rPr>
          <w:rStyle w:val="16"/>
          <w:rFonts w:hint="eastAsia" w:ascii="仿宋" w:hAnsi="仿宋" w:eastAsia="仿宋" w:cstheme="majorBidi"/>
          <w:bCs/>
          <w:color w:val="auto"/>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color w:val="auto"/>
          <w:sz w:val="28"/>
          <w:szCs w:val="28"/>
        </w:rPr>
        <w:t>二、</w:t>
      </w:r>
      <w:r>
        <w:rPr>
          <w:rStyle w:val="16"/>
          <w:rFonts w:hint="eastAsia" w:ascii="仿宋" w:hAnsi="仿宋" w:eastAsia="仿宋"/>
          <w:color w:val="auto"/>
          <w:sz w:val="28"/>
          <w:szCs w:val="28"/>
        </w:rPr>
        <w:t>收</w:t>
      </w:r>
      <w:r>
        <w:rPr>
          <w:rStyle w:val="16"/>
          <w:rFonts w:hint="eastAsia" w:ascii="仿宋" w:hAnsi="仿宋" w:eastAsia="仿宋" w:cstheme="majorBidi"/>
          <w:bCs/>
          <w:color w:val="auto"/>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color w:val="auto"/>
          <w:sz w:val="28"/>
          <w:szCs w:val="28"/>
        </w:rPr>
        <w:t>三、</w:t>
      </w:r>
      <w:r>
        <w:rPr>
          <w:rStyle w:val="16"/>
          <w:rFonts w:hint="eastAsia" w:ascii="仿宋" w:hAnsi="仿宋" w:eastAsia="仿宋"/>
          <w:color w:val="auto"/>
          <w:sz w:val="28"/>
          <w:szCs w:val="28"/>
        </w:rPr>
        <w:t>支</w:t>
      </w:r>
      <w:r>
        <w:rPr>
          <w:rStyle w:val="16"/>
          <w:rFonts w:hint="eastAsia" w:ascii="仿宋" w:hAnsi="仿宋" w:eastAsia="仿宋" w:cstheme="majorBidi"/>
          <w:bCs/>
          <w:color w:val="auto"/>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color w:val="auto"/>
          <w:sz w:val="28"/>
          <w:szCs w:val="28"/>
        </w:rPr>
        <w:t>四、财</w:t>
      </w:r>
      <w:r>
        <w:rPr>
          <w:rStyle w:val="16"/>
          <w:rFonts w:hint="eastAsia" w:ascii="仿宋" w:hAnsi="仿宋" w:eastAsia="仿宋" w:cstheme="majorBidi"/>
          <w:bCs/>
          <w:color w:val="auto"/>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color w:val="auto"/>
          <w:sz w:val="28"/>
          <w:szCs w:val="28"/>
        </w:rPr>
        <w:t>五、一</w:t>
      </w:r>
      <w:r>
        <w:rPr>
          <w:rStyle w:val="16"/>
          <w:rFonts w:hint="eastAsia" w:ascii="仿宋" w:hAnsi="仿宋" w:eastAsia="仿宋" w:cstheme="majorBidi"/>
          <w:bCs/>
          <w:color w:val="auto"/>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color w:val="auto"/>
          <w:sz w:val="28"/>
          <w:szCs w:val="28"/>
        </w:rPr>
        <w:t>六、一</w:t>
      </w:r>
      <w:r>
        <w:rPr>
          <w:rStyle w:val="16"/>
          <w:rFonts w:hint="eastAsia" w:ascii="仿宋" w:hAnsi="仿宋" w:eastAsia="仿宋" w:cstheme="majorBidi"/>
          <w:bCs/>
          <w:color w:val="auto"/>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color w:val="auto"/>
          <w:sz w:val="28"/>
          <w:szCs w:val="28"/>
        </w:rPr>
        <w:t>七、</w:t>
      </w:r>
      <w:r>
        <w:rPr>
          <w:rStyle w:val="16"/>
          <w:rFonts w:ascii="仿宋" w:hAnsi="仿宋" w:eastAsia="仿宋"/>
          <w:color w:val="auto"/>
          <w:sz w:val="28"/>
          <w:szCs w:val="28"/>
        </w:rPr>
        <w:t>“</w:t>
      </w:r>
      <w:r>
        <w:rPr>
          <w:rStyle w:val="16"/>
          <w:rFonts w:hint="eastAsia" w:ascii="仿宋" w:hAnsi="仿宋" w:eastAsia="仿宋" w:cstheme="majorBidi"/>
          <w:bCs/>
          <w:color w:val="auto"/>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5</w:t>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color w:val="auto"/>
          <w:sz w:val="28"/>
          <w:szCs w:val="28"/>
        </w:rPr>
        <w:t>八、</w:t>
      </w:r>
      <w:r>
        <w:rPr>
          <w:rStyle w:val="16"/>
          <w:rFonts w:hint="eastAsia" w:ascii="仿宋" w:hAnsi="仿宋" w:eastAsia="仿宋" w:cstheme="majorBidi"/>
          <w:bCs/>
          <w:color w:val="auto"/>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color w:val="auto"/>
          <w:sz w:val="28"/>
          <w:szCs w:val="28"/>
        </w:rPr>
        <w:t>九、</w:t>
      </w:r>
      <w:r>
        <w:rPr>
          <w:rStyle w:val="16"/>
          <w:rFonts w:hint="eastAsia" w:ascii="仿宋" w:hAnsi="仿宋" w:eastAsia="仿宋"/>
          <w:color w:val="auto"/>
          <w:sz w:val="28"/>
          <w:szCs w:val="28"/>
        </w:rPr>
        <w:t xml:space="preserve"> 国</w:t>
      </w:r>
      <w:r>
        <w:rPr>
          <w:rStyle w:val="16"/>
          <w:rFonts w:hint="eastAsia" w:ascii="仿宋" w:hAnsi="仿宋" w:eastAsia="仿宋" w:cstheme="majorBidi"/>
          <w:bCs/>
          <w:color w:val="auto"/>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color w:val="auto"/>
          <w:sz w:val="28"/>
          <w:szCs w:val="28"/>
        </w:rPr>
        <w:t>十</w:t>
      </w:r>
      <w:r>
        <w:rPr>
          <w:rStyle w:val="16"/>
          <w:rFonts w:hint="eastAsia" w:ascii="仿宋" w:hAnsi="仿宋" w:eastAsia="仿宋" w:cstheme="majorBidi"/>
          <w:bCs/>
          <w:color w:val="auto"/>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color w:val="auto"/>
          <w:kern w:val="44"/>
        </w:rPr>
        <w:t>第三部分</w:t>
      </w:r>
      <w:r>
        <w:rPr>
          <w:rStyle w:val="16"/>
          <w:rFonts w:hint="eastAsia"/>
          <w:color w:val="auto"/>
        </w:rPr>
        <w:t xml:space="preserve"> 名</w:t>
      </w:r>
      <w:r>
        <w:rPr>
          <w:rStyle w:val="16"/>
          <w:rFonts w:hint="eastAsia"/>
          <w:bCs/>
          <w:color w:val="auto"/>
          <w:kern w:val="44"/>
        </w:rPr>
        <w:t>词解释</w:t>
      </w:r>
      <w:r>
        <w:tab/>
      </w:r>
      <w:r>
        <w:fldChar w:fldCharType="begin"/>
      </w:r>
      <w:r>
        <w:instrText xml:space="preserve"> PAGEREF _Toc15396613 \h </w:instrText>
      </w:r>
      <w:r>
        <w:fldChar w:fldCharType="separate"/>
      </w:r>
      <w:r>
        <w:t>18</w:t>
      </w:r>
      <w:r>
        <w:fldChar w:fldCharType="end"/>
      </w:r>
      <w:r>
        <w:fldChar w:fldCharType="end"/>
      </w:r>
    </w:p>
    <w:p>
      <w:pPr>
        <w:pStyle w:val="10"/>
        <w:rPr>
          <w:rFonts w:hint="eastAsia"/>
        </w:rPr>
      </w:pPr>
      <w:r>
        <w:fldChar w:fldCharType="begin"/>
      </w:r>
      <w:r>
        <w:instrText xml:space="preserve"> HYPERLINK \l "_Toc15396614" </w:instrText>
      </w:r>
      <w:r>
        <w:fldChar w:fldCharType="separate"/>
      </w:r>
      <w:r>
        <w:rPr>
          <w:rStyle w:val="16"/>
          <w:rFonts w:hint="eastAsia"/>
          <w:color w:val="auto"/>
        </w:rPr>
        <w:t>第</w:t>
      </w:r>
      <w:r>
        <w:rPr>
          <w:rStyle w:val="16"/>
          <w:rFonts w:hint="eastAsia"/>
          <w:bCs/>
          <w:color w:val="auto"/>
          <w:kern w:val="44"/>
        </w:rPr>
        <w:t>四部分</w:t>
      </w:r>
      <w:r>
        <w:rPr>
          <w:rStyle w:val="16"/>
          <w:bCs/>
          <w:color w:val="auto"/>
          <w:kern w:val="44"/>
        </w:rPr>
        <w:t xml:space="preserve"> </w:t>
      </w:r>
      <w:r>
        <w:rPr>
          <w:rStyle w:val="16"/>
          <w:rFonts w:hint="eastAsia"/>
          <w:bCs/>
          <w:color w:val="auto"/>
          <w:kern w:val="44"/>
        </w:rPr>
        <w:t>附件</w:t>
      </w:r>
      <w:r>
        <w:tab/>
      </w:r>
      <w:r>
        <w:rPr>
          <w:rFonts w:hint="eastAsia"/>
        </w:rPr>
        <w:t>.</w:t>
      </w:r>
      <w:r>
        <w:fldChar w:fldCharType="begin"/>
      </w:r>
      <w:r>
        <w:instrText xml:space="preserve"> PAGEREF _Toc15396614 \h </w:instrText>
      </w:r>
      <w:r>
        <w:fldChar w:fldCharType="separate"/>
      </w:r>
      <w:r>
        <w:t>21</w:t>
      </w:r>
      <w:r>
        <w:fldChar w:fldCharType="end"/>
      </w:r>
      <w:r>
        <w:fldChar w:fldCharType="end"/>
      </w:r>
    </w:p>
    <w:p>
      <w:pPr>
        <w:rPr>
          <w:rStyle w:val="16"/>
          <w:rFonts w:ascii="仿宋" w:hAnsi="仿宋" w:eastAsia="仿宋" w:cstheme="majorBidi"/>
          <w:bCs/>
          <w:color w:val="auto"/>
          <w:sz w:val="28"/>
          <w:szCs w:val="28"/>
          <w:u w:val="none"/>
        </w:rPr>
      </w:pPr>
      <w:r>
        <w:rPr>
          <w:rFonts w:hint="eastAsia"/>
        </w:rPr>
        <w:t xml:space="preserve">     </w:t>
      </w:r>
      <w:r>
        <w:rPr>
          <w:rStyle w:val="16"/>
          <w:rFonts w:hint="eastAsia" w:ascii="仿宋" w:hAnsi="仿宋" w:eastAsia="仿宋" w:cstheme="majorBidi"/>
          <w:bCs/>
          <w:color w:val="auto"/>
          <w:sz w:val="28"/>
          <w:szCs w:val="28"/>
          <w:u w:val="none"/>
        </w:rPr>
        <w:t>编办2019年部门整体支出绩效评价报告................. .23</w:t>
      </w:r>
    </w:p>
    <w:p>
      <w:pPr>
        <w:pStyle w:val="10"/>
        <w:rPr>
          <w:rFonts w:cstheme="minorBidi"/>
        </w:rPr>
      </w:pPr>
      <w:r>
        <w:fldChar w:fldCharType="begin"/>
      </w:r>
      <w:r>
        <w:instrText xml:space="preserve"> HYPERLINK \l "_Toc15396618" </w:instrText>
      </w:r>
      <w:r>
        <w:fldChar w:fldCharType="separate"/>
      </w:r>
      <w:r>
        <w:rPr>
          <w:rStyle w:val="16"/>
          <w:rFonts w:hint="eastAsia"/>
          <w:color w:val="auto"/>
        </w:rPr>
        <w:t>第</w:t>
      </w:r>
      <w:r>
        <w:rPr>
          <w:rStyle w:val="16"/>
          <w:rFonts w:hint="eastAsia"/>
          <w:bCs/>
          <w:color w:val="auto"/>
          <w:kern w:val="44"/>
        </w:rPr>
        <w:t>五部分</w:t>
      </w:r>
      <w:r>
        <w:rPr>
          <w:rStyle w:val="16"/>
          <w:bCs/>
          <w:color w:val="auto"/>
          <w:kern w:val="44"/>
        </w:rPr>
        <w:t xml:space="preserve"> </w:t>
      </w:r>
      <w:r>
        <w:rPr>
          <w:rStyle w:val="16"/>
          <w:rFonts w:hint="eastAsia"/>
          <w:bCs/>
          <w:color w:val="auto"/>
          <w:kern w:val="44"/>
        </w:rPr>
        <w:t>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color w:val="auto"/>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color w:val="auto"/>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color w:val="auto"/>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color w:val="auto"/>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color w:val="auto"/>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color w:val="auto"/>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color w:val="auto"/>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8</w:t>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color w:val="auto"/>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color w:val="auto"/>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color w:val="auto"/>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color w:val="auto"/>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32"/>
          <w:szCs w:val="32"/>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color w:val="auto"/>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sz w:val="24"/>
        </w:rPr>
      </w:pPr>
      <w:r>
        <w:rPr>
          <w:rFonts w:ascii="仿宋" w:hAnsi="仿宋" w:eastAsia="仿宋"/>
          <w:sz w:val="24"/>
        </w:rPr>
        <w:fldChar w:fldCharType="end"/>
      </w:r>
    </w:p>
    <w:p>
      <w:pPr>
        <w:widowControl/>
        <w:jc w:val="left"/>
        <w:rPr>
          <w:rFonts w:ascii="黑体" w:hAnsi="黑体" w:eastAsia="黑体"/>
          <w:bCs/>
          <w:kern w:val="44"/>
          <w:sz w:val="44"/>
          <w:szCs w:val="44"/>
        </w:rPr>
      </w:pPr>
      <w:bookmarkStart w:id="12" w:name="_Toc15377196"/>
      <w:bookmarkStart w:id="13" w:name="_Toc15396599"/>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黑体" w:hAnsi="黑体" w:eastAsia="黑体"/>
          <w:sz w:val="44"/>
          <w:szCs w:val="44"/>
        </w:rPr>
      </w:pPr>
      <w:r>
        <w:rPr>
          <w:rFonts w:hint="eastAsia" w:ascii="方正小标宋简体" w:hAnsi="方正小标宋简体" w:eastAsia="方正小标宋简体" w:cs="方正小标宋简体"/>
          <w:sz w:val="44"/>
          <w:szCs w:val="44"/>
        </w:rPr>
        <w:t xml:space="preserve">第一部分 </w:t>
      </w:r>
      <w:r>
        <w:rPr>
          <w:rStyle w:val="25"/>
          <w:rFonts w:hint="eastAsia" w:ascii="方正小标宋简体" w:hAnsi="方正小标宋简体" w:eastAsia="方正小标宋简体" w:cs="方正小标宋简体"/>
          <w:b w:val="0"/>
          <w:bCs w:val="0"/>
        </w:rPr>
        <w:t>部门概况</w:t>
      </w:r>
      <w:bookmarkEnd w:id="12"/>
      <w:bookmarkEnd w:id="13"/>
    </w:p>
    <w:p>
      <w:pPr>
        <w:widowControl/>
        <w:spacing w:line="576" w:lineRule="exact"/>
        <w:jc w:val="left"/>
        <w:rPr>
          <w:rFonts w:ascii="黑体" w:eastAsia="黑体"/>
          <w:sz w:val="32"/>
          <w:szCs w:val="32"/>
        </w:rPr>
      </w:pPr>
    </w:p>
    <w:p>
      <w:pPr>
        <w:spacing w:line="576" w:lineRule="exact"/>
        <w:ind w:firstLine="640" w:firstLineChars="200"/>
        <w:rPr>
          <w:rFonts w:ascii="黑体" w:hAnsi="黑体" w:eastAsia="黑体"/>
          <w:sz w:val="32"/>
          <w:szCs w:val="32"/>
        </w:rPr>
      </w:pPr>
      <w:bookmarkStart w:id="14" w:name="_Toc15377198"/>
      <w:bookmarkStart w:id="15" w:name="_Toc15378445"/>
      <w:r>
        <w:rPr>
          <w:rFonts w:hint="eastAsia" w:ascii="黑体" w:hAnsi="黑体" w:eastAsia="黑体"/>
          <w:sz w:val="32"/>
          <w:szCs w:val="32"/>
        </w:rPr>
        <w:t>一、基本职能及主要工作</w:t>
      </w:r>
    </w:p>
    <w:bookmarkEnd w:id="14"/>
    <w:bookmarkEnd w:id="15"/>
    <w:p>
      <w:pPr>
        <w:spacing w:line="576" w:lineRule="exact"/>
        <w:ind w:firstLine="642" w:firstLineChars="200"/>
        <w:rPr>
          <w:rFonts w:ascii="楷体_GB2312" w:hAnsi="楷体_GB2312" w:eastAsia="楷体_GB2312" w:cs="楷体_GB2312"/>
          <w:b/>
          <w:sz w:val="32"/>
          <w:szCs w:val="32"/>
        </w:rPr>
      </w:pPr>
      <w:bookmarkStart w:id="16" w:name="_Toc15377199"/>
      <w:bookmarkStart w:id="17" w:name="_Toc15378446"/>
      <w:r>
        <w:rPr>
          <w:rFonts w:hint="eastAsia" w:ascii="楷体_GB2312" w:hAnsi="楷体_GB2312" w:eastAsia="楷体_GB2312" w:cs="楷体_GB2312"/>
          <w:b/>
          <w:sz w:val="32"/>
          <w:szCs w:val="32"/>
        </w:rPr>
        <w:t>（一）基本职能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p>
      <w:pPr>
        <w:spacing w:line="576"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w:t>
      </w:r>
      <w:bookmarkEnd w:id="16"/>
      <w:bookmarkEnd w:id="17"/>
      <w:bookmarkStart w:id="18" w:name="_Toc15377200"/>
      <w:bookmarkStart w:id="19" w:name="_Toc15396601"/>
      <w:r>
        <w:rPr>
          <w:rFonts w:hint="eastAsia" w:ascii="楷体_GB2312" w:hAnsi="楷体_GB2312" w:eastAsia="楷体_GB2312" w:cs="楷体_GB2312"/>
          <w:b/>
          <w:sz w:val="32"/>
          <w:szCs w:val="32"/>
        </w:rPr>
        <w:t>2019年重点工作完成情况</w:t>
      </w:r>
    </w:p>
    <w:p>
      <w:pPr>
        <w:spacing w:line="576"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1.励精图治，落实重点改革工作</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2019年茂县编办坚持以党的十九大精神为指引，认真学习贯彻习近平新时代中国特色社会主义思想，深刻分析和准确把握新时代机构编制工作面临的新形势新任务，找准新时代座标，明确机构编制工作的发力点，科学谋划机构编制工作布局，各项工作成效显著。</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（1）启动党政机构改革调研。</w:t>
      </w:r>
      <w:r>
        <w:rPr>
          <w:rFonts w:hint="eastAsia" w:ascii="仿宋_GB2312" w:hAnsi="仿宋_GB2312" w:eastAsia="仿宋_GB2312" w:cs="仿宋_GB2312"/>
          <w:sz w:val="32"/>
          <w:szCs w:val="32"/>
        </w:rPr>
        <w:t>组织学习十九届三中全会审议通过的《中共中央关于党和国家机构改革的决定》和《深化党和国家机构改革方案》精神，开展党政机构编制调查研究，认真梳理和总结历次改革中职能整合、机构撤并、编制配备等经验，摸清当前体制机制方面存在的突出矛盾和问题，研究提出了我县改革的总体思路和措施办法。</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（2）完善从严治党工作体系。</w:t>
      </w:r>
      <w:r>
        <w:rPr>
          <w:rFonts w:hint="eastAsia" w:ascii="仿宋_GB2312" w:hAnsi="仿宋_GB2312" w:eastAsia="仿宋_GB2312" w:cs="仿宋_GB2312"/>
          <w:sz w:val="32"/>
          <w:szCs w:val="32"/>
        </w:rPr>
        <w:t>完成监察体制改革，将县监察局、县人民检察院查处贪污贿赂、失职渎职以及预防职务犯罪等相关职能整合，成立县监察委员会（与纪委合署办公）落实人员编制，形成集中统一、权威高效的反腐体制。</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2.强基固本，推进日常管理工作</w:t>
      </w:r>
    </w:p>
    <w:p>
      <w:pPr>
        <w:spacing w:line="576" w:lineRule="exact"/>
        <w:ind w:firstLine="481"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（1）执行编制管理条例，严肃机构编制纪律。</w:t>
      </w:r>
      <w:r>
        <w:rPr>
          <w:rFonts w:hint="eastAsia" w:ascii="仿宋_GB2312" w:hAnsi="仿宋_GB2312" w:eastAsia="仿宋_GB2312" w:cs="仿宋_GB2312"/>
          <w:sz w:val="32"/>
          <w:szCs w:val="32"/>
        </w:rPr>
        <w:t>坚持严格贯彻执行《地方各级人民政府机构设置和编制管理条例》等3个文件精神，完善机构编制管理制度，树立编制工作权威，并结合省、州控编减编工作要求，强化对全县机关事业单位机构编制管理，严把编制关和进人关。通过规范使用《编制使用审批表》、空编空岗核实等多种方式强化人员调动管理，有效地控制编制和人员增长。同时通过实名制管理系统完善日常管理工作，确保编制管理准确到位。</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（2）按规定做好事业单位登记管理。</w:t>
      </w:r>
      <w:r>
        <w:rPr>
          <w:rFonts w:hint="eastAsia" w:ascii="仿宋_GB2312" w:hAnsi="仿宋_GB2312" w:eastAsia="仿宋_GB2312" w:cs="仿宋_GB2312"/>
          <w:sz w:val="32"/>
          <w:szCs w:val="32"/>
        </w:rPr>
        <w:t>根据《关于做好2019年度事业单位法人年度报告公示工作的通知》（阿编办〔2019〕177号）文件要求，全面完成事业单位法人年度报告公示任务的材料报送工作，于2019年1月1日至3月31日开展了2018年度全县事业单位法人网上年度报告公示工作。全县共有137个事业单位参加年度报告公示，11个事业单位办理了变更登记，137个单位年度报告公示合格，公示率100%，完成率100%。</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（3）统一社会信用代码赋码工作。</w:t>
      </w:r>
      <w:r>
        <w:rPr>
          <w:rFonts w:hint="eastAsia" w:ascii="仿宋_GB2312" w:hAnsi="仿宋_GB2312" w:eastAsia="仿宋_GB2312" w:cs="仿宋_GB2312"/>
          <w:sz w:val="32"/>
          <w:szCs w:val="32"/>
        </w:rPr>
        <w:t>全县机关单位61个、群团5个、垂管机关1个换发证书，完成率达100%。上半年1个机关单位办理了法人变更，1个机关单位办理名称、地址变更。</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（4）进一步完善实名制管理，及时更新实名制网络数据。</w:t>
      </w:r>
      <w:r>
        <w:rPr>
          <w:rFonts w:hint="eastAsia" w:ascii="仿宋_GB2312" w:hAnsi="仿宋_GB2312" w:eastAsia="仿宋_GB2312" w:cs="仿宋_GB2312"/>
          <w:sz w:val="32"/>
          <w:szCs w:val="32"/>
        </w:rPr>
        <w:t>为深入推进机构编制实名制管理，积极主动与组织、人事、财政等部门协调配合，实行“一编一人一账”，把机构编制、人员录用、工资审批等多个管理环节有机串联起来，确保具体机构设置与按规定审批的机构相一致，实有人员与批准的编制和领导职数一一对应，做到按编定员，人编结合，对机构编制实现全程管理，加强日常数据维护，实时更新台账，确保实名制数据的真实性和完整性。</w:t>
      </w:r>
    </w:p>
    <w:p>
      <w:pPr>
        <w:spacing w:line="576" w:lineRule="exact"/>
        <w:ind w:firstLine="481"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（5）规范工资审批工作。</w:t>
      </w:r>
      <w:r>
        <w:rPr>
          <w:rFonts w:hint="eastAsia" w:ascii="仿宋_GB2312" w:hAnsi="仿宋_GB2312" w:eastAsia="仿宋_GB2312" w:cs="仿宋_GB2312"/>
          <w:sz w:val="32"/>
          <w:szCs w:val="32"/>
        </w:rPr>
        <w:t>认真履行职责，不断健全规章制度，加强编制管理与财政支出管理相结合，对工资审核工作实行严格管理。坚持部门联动，编办、人社、财政三部门紧密配合，严格工作程序、严格审批标准、严明审批纪律、落实部门职责，做到工资基金增减有据，编制、人员、工资“三对口”，彻底杜绝了虚报冒领、“吃空饷”的现象，确保工资发放真实准确。</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（6）加强编办队伍建设，提升服务水平。</w:t>
      </w:r>
      <w:r>
        <w:rPr>
          <w:rFonts w:hint="eastAsia" w:ascii="仿宋_GB2312" w:hAnsi="仿宋_GB2312" w:eastAsia="仿宋_GB2312" w:cs="仿宋_GB2312"/>
          <w:sz w:val="32"/>
          <w:szCs w:val="32"/>
        </w:rPr>
        <w:t>认真贯彻落实党的十九大和中共中央关于党和国家机构改革精神，持续开展“两学一做”学习教育，制定了2019年“</w:t>
      </w:r>
      <w:bookmarkStart w:id="67" w:name="_GoBack"/>
      <w:bookmarkEnd w:id="67"/>
      <w:r>
        <w:rPr>
          <w:rFonts w:hint="eastAsia" w:ascii="仿宋_GB2312" w:hAnsi="仿宋_GB2312" w:eastAsia="仿宋_GB2312" w:cs="仿宋_GB2312"/>
          <w:sz w:val="32"/>
          <w:szCs w:val="32"/>
        </w:rPr>
        <w:t>两学一做”学习计划及具体实施措施，将活动落到实处。按照“三会一课”的学习要求，合理安排，深入学党章党规，学系列讲话及各项专题学习。使每位干部职工真正成为政策上的“明白人”、作风上的“带头人”、业务上的“内行人”、工作上的“能干人”、纪律上的“遵守人”，树立干部新形象，加强干部队伍建设，提升服务水平和质量，以新的思路、新的举措推动机构编制管理工作取得新成绩。</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（7）党风廉政和作风建设常抓不懈。</w:t>
      </w:r>
      <w:r>
        <w:rPr>
          <w:rFonts w:hint="eastAsia" w:ascii="仿宋_GB2312" w:hAnsi="仿宋_GB2312" w:eastAsia="仿宋_GB2312" w:cs="仿宋_GB2312"/>
          <w:sz w:val="32"/>
          <w:szCs w:val="32"/>
        </w:rPr>
        <w:t>严格落实党风廉政建设主体责任制和监督机制,加强党员特别是党员领导干部廉政教育,做到警钟常鸣。继续严格执行中央八项规定及省,州、县委相关规定不动摇,严格执行财务制度和财经纪律,严控“三公”经费支出。继续加强机关效能建设, 严格执行上下班签到外出登记备案等制度,坚持用制度管权,按制度办事,靠制度管人广大干部职工工作状态良好,精神饱满 工作效率日益提升。</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（8）脱贫攻坚工作。</w:t>
      </w:r>
      <w:r>
        <w:rPr>
          <w:rFonts w:hint="eastAsia" w:ascii="仿宋_GB2312" w:hAnsi="仿宋_GB2312" w:eastAsia="仿宋_GB2312" w:cs="仿宋_GB2312"/>
          <w:sz w:val="32"/>
          <w:szCs w:val="32"/>
        </w:rPr>
        <w:t>2019年是我县脱贫攻坚工作全县摘帽接受国家第三方评估机构验收之年，也是帮扶村三寨村退出贫困村之年。我办立足实际，主动与乡党委政府和相关部门联系沟通，深入贫困户宣传、慰问，积极帮扶指导，始终坚持在基础设施、产业发展和贫困户脱贫帮扶工作上真扶贫、扶真贫。编办领导和驻村工作组，定期不定期深入三寨村，调研产业发展情况，同村上一起制定发展规划、脱贫计划，实施帮扶措施，进一步激发贫困户发展产业、增收致富的积极性，切实增加了农民收入，实现贫困人口脱贫致富目标并顺利通过国家第三方评估机构验收。</w:t>
      </w:r>
    </w:p>
    <w:p>
      <w:pPr>
        <w:spacing w:line="576" w:lineRule="exact"/>
        <w:ind w:firstLine="640" w:firstLineChars="200"/>
        <w:rPr>
          <w:rStyle w:val="26"/>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26"/>
          <w:rFonts w:hint="eastAsia" w:ascii="黑体" w:hAnsi="黑体" w:eastAsia="黑体"/>
          <w:b w:val="0"/>
          <w:bCs w:val="0"/>
        </w:rPr>
        <w:t>构设置</w:t>
      </w:r>
      <w:bookmarkEnd w:id="18"/>
      <w:bookmarkEnd w:id="19"/>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编办下属二级单位0个，其中行政单位1个，内设机构1个（综合股），下属事业机构2个（事业单位登记管理局、实名制管理中心）。</w:t>
      </w:r>
      <w:bookmarkStart w:id="20" w:name="_Toc15377204"/>
      <w:bookmarkStart w:id="21" w:name="_Toc15396602"/>
    </w:p>
    <w:p>
      <w:pPr>
        <w:spacing w:line="576" w:lineRule="exact"/>
        <w:ind w:firstLine="640" w:firstLineChars="200"/>
        <w:rPr>
          <w:rFonts w:ascii="仿宋" w:hAnsi="仿宋" w:eastAsia="仿宋"/>
          <w:sz w:val="32"/>
          <w:szCs w:val="32"/>
        </w:rPr>
      </w:pPr>
    </w:p>
    <w:p>
      <w:pPr>
        <w:spacing w:line="576" w:lineRule="exact"/>
        <w:ind w:firstLine="640" w:firstLineChars="200"/>
        <w:rPr>
          <w:rFonts w:ascii="仿宋" w:hAnsi="仿宋" w:eastAsia="仿宋"/>
          <w:sz w:val="32"/>
          <w:szCs w:val="32"/>
        </w:rPr>
      </w:pPr>
    </w:p>
    <w:p>
      <w:pPr>
        <w:spacing w:line="576" w:lineRule="exact"/>
        <w:rPr>
          <w:rStyle w:val="25"/>
          <w:rFonts w:ascii="方正小标宋简体" w:hAnsi="方正小标宋简体" w:eastAsia="方正小标宋简体" w:cs="方正小标宋简体"/>
          <w:b w:val="0"/>
          <w:bCs w:val="0"/>
        </w:rPr>
      </w:pPr>
    </w:p>
    <w:p>
      <w:pPr>
        <w:spacing w:line="576" w:lineRule="exact"/>
        <w:jc w:val="center"/>
        <w:rPr>
          <w:rStyle w:val="25"/>
          <w:rFonts w:hint="eastAsia" w:ascii="方正小标宋简体" w:hAnsi="方正小标宋简体" w:eastAsia="方正小标宋简体" w:cs="方正小标宋简体"/>
          <w:b w:val="0"/>
          <w:bCs w:val="0"/>
        </w:rPr>
      </w:pPr>
    </w:p>
    <w:p>
      <w:pPr>
        <w:spacing w:line="576" w:lineRule="exact"/>
        <w:jc w:val="center"/>
        <w:rPr>
          <w:rStyle w:val="25"/>
          <w:rFonts w:ascii="方正小标宋简体" w:hAnsi="方正小标宋简体" w:eastAsia="方正小标宋简体" w:cs="方正小标宋简体"/>
          <w:b w:val="0"/>
          <w:bCs w:val="0"/>
        </w:rPr>
      </w:pPr>
      <w:r>
        <w:rPr>
          <w:rStyle w:val="25"/>
          <w:rFonts w:hint="eastAsia" w:ascii="方正小标宋简体" w:hAnsi="方正小标宋简体" w:eastAsia="方正小标宋简体" w:cs="方正小标宋简体"/>
          <w:b w:val="0"/>
          <w:bCs w:val="0"/>
        </w:rPr>
        <w:t>第二部分  2019年度部门决算情况说明</w:t>
      </w:r>
      <w:bookmarkEnd w:id="20"/>
      <w:bookmarkEnd w:id="21"/>
      <w:bookmarkStart w:id="22" w:name="_Toc15396603"/>
      <w:bookmarkStart w:id="23" w:name="_Toc15377205"/>
    </w:p>
    <w:p>
      <w:pPr>
        <w:spacing w:line="576" w:lineRule="exact"/>
        <w:rPr>
          <w:rStyle w:val="25"/>
          <w:rFonts w:ascii="方正小标宋简体" w:hAnsi="方正小标宋简体" w:eastAsia="方正小标宋简体" w:cs="方正小标宋简体"/>
          <w:b w:val="0"/>
          <w:bCs w:val="0"/>
        </w:rPr>
      </w:pPr>
    </w:p>
    <w:p>
      <w:pPr>
        <w:spacing w:line="576" w:lineRule="exact"/>
        <w:ind w:firstLine="640" w:firstLineChars="200"/>
        <w:rPr>
          <w:rStyle w:val="26"/>
          <w:rFonts w:ascii="黑体" w:hAnsi="黑体" w:eastAsia="黑体"/>
          <w:b w:val="0"/>
        </w:rPr>
      </w:pPr>
      <w:r>
        <w:rPr>
          <w:rFonts w:hint="eastAsia" w:ascii="黑体" w:hAnsi="黑体" w:eastAsia="黑体"/>
          <w:sz w:val="32"/>
          <w:szCs w:val="32"/>
        </w:rPr>
        <w:t>一、收</w:t>
      </w:r>
      <w:r>
        <w:rPr>
          <w:rStyle w:val="26"/>
          <w:rFonts w:hint="eastAsia" w:ascii="黑体" w:hAnsi="黑体" w:eastAsia="黑体"/>
          <w:b w:val="0"/>
        </w:rPr>
        <w:t>入支出决算总体情况说明</w:t>
      </w:r>
      <w:bookmarkEnd w:id="22"/>
      <w:bookmarkEnd w:id="23"/>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2019年度收、支总计189.35万元。与2018年相比收、支总计各增加12.10万元，增长6%。主要变动原因是本年职工工资及五险一金费用有所增加。 </w:t>
      </w:r>
      <w:r>
        <w:rPr>
          <w:rFonts w:hint="eastAsia" w:ascii="仿宋_GB2312" w:eastAsia="仿宋_GB2312"/>
          <w:sz w:val="32"/>
          <w:szCs w:val="32"/>
        </w:rPr>
        <w:t xml:space="preserve">                                  </w:t>
      </w:r>
      <w:r>
        <w:rPr>
          <w:rFonts w:hint="eastAsia"/>
        </w:rPr>
        <w:t xml:space="preserve"> </w:t>
      </w:r>
      <w:r>
        <w:rPr>
          <w:rFonts w:hint="eastAsia" w:ascii="仿宋_GB2312" w:eastAsia="仿宋_GB2312"/>
          <w:sz w:val="32"/>
          <w:szCs w:val="32"/>
        </w:rPr>
        <w:t xml:space="preserve">    </w:t>
      </w:r>
    </w:p>
    <w:p>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pPr>
        <w:jc w:val="center"/>
        <w:rPr>
          <w:rFonts w:ascii="仿宋_GB2312" w:eastAsia="仿宋_GB2312"/>
          <w:sz w:val="32"/>
          <w:szCs w:val="32"/>
        </w:rPr>
      </w:pPr>
      <w:r>
        <w:rPr>
          <w:rFonts w:hint="eastAsia" w:ascii="仿宋_GB2312" w:eastAsia="仿宋_GB2312"/>
          <w:sz w:val="32"/>
          <w:szCs w:val="32"/>
        </w:rPr>
        <w:drawing>
          <wp:inline distT="0" distB="0" distL="114300" distR="114300">
            <wp:extent cx="3937635" cy="2419985"/>
            <wp:effectExtent l="4445" t="4445" r="2032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24" w:name="_Toc15377206"/>
      <w:bookmarkStart w:id="25" w:name="_Toc15396604"/>
    </w:p>
    <w:p>
      <w:pPr>
        <w:ind w:firstLine="640" w:firstLineChars="200"/>
        <w:jc w:val="left"/>
        <w:rPr>
          <w:rFonts w:ascii="仿宋_GB2312" w:eastAsia="仿宋_GB2312"/>
          <w:sz w:val="32"/>
          <w:szCs w:val="32"/>
        </w:rPr>
      </w:pPr>
    </w:p>
    <w:p>
      <w:pPr>
        <w:spacing w:line="576" w:lineRule="exact"/>
        <w:ind w:firstLine="640" w:firstLineChars="200"/>
        <w:rPr>
          <w:rStyle w:val="26"/>
          <w:rFonts w:ascii="黑体" w:hAnsi="黑体" w:eastAsia="黑体" w:cs="黑体"/>
          <w:b w:val="0"/>
        </w:rPr>
      </w:pPr>
      <w:r>
        <w:rPr>
          <w:rFonts w:hint="eastAsia" w:ascii="黑体" w:hAnsi="黑体" w:eastAsia="黑体" w:cs="黑体"/>
          <w:sz w:val="32"/>
          <w:szCs w:val="32"/>
        </w:rPr>
        <w:t>二、收</w:t>
      </w:r>
      <w:r>
        <w:rPr>
          <w:rStyle w:val="26"/>
          <w:rFonts w:hint="eastAsia" w:ascii="黑体" w:hAnsi="黑体" w:eastAsia="黑体" w:cs="黑体"/>
          <w:b w:val="0"/>
        </w:rPr>
        <w:t>入决算情况说明</w:t>
      </w:r>
      <w:bookmarkEnd w:id="24"/>
      <w:bookmarkEnd w:id="25"/>
    </w:p>
    <w:p>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收入合计189.19万元，其中：一般公共预算财政拨款收入189.19万元，占100%；政府性基金预算财政拨款收入0万元，占0%；国有资本经营预算财政拨款收入0万元，占0%；事业收入0万元，占0%；经营收入0万元，占0%；附属单位上缴收入0万元，占0%；其他收入0万元，占0%。</w:t>
      </w:r>
    </w:p>
    <w:p>
      <w:pPr>
        <w:spacing w:line="576" w:lineRule="exact"/>
        <w:jc w:val="center"/>
        <w:rPr>
          <w:rFonts w:ascii="仿宋_GB2312" w:eastAsia="仿宋_GB2312"/>
          <w:b/>
          <w:bCs/>
          <w:sz w:val="32"/>
          <w:szCs w:val="32"/>
        </w:rPr>
      </w:pPr>
    </w:p>
    <w:p>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pPr>
        <w:jc w:val="center"/>
        <w:rPr>
          <w:rFonts w:ascii="仿宋_GB2312" w:eastAsia="仿宋_GB2312"/>
          <w:sz w:val="32"/>
          <w:szCs w:val="32"/>
        </w:rPr>
      </w:pPr>
      <w:r>
        <w:rPr>
          <w:rFonts w:hint="eastAsia" w:ascii="仿宋_GB2312" w:eastAsia="仿宋_GB2312"/>
          <w:sz w:val="32"/>
          <w:szCs w:val="32"/>
        </w:rPr>
        <w:drawing>
          <wp:inline distT="0" distB="0" distL="114300" distR="114300">
            <wp:extent cx="3517900" cy="2497455"/>
            <wp:effectExtent l="4445" t="4445" r="20955"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26" w:name="_Toc15377207"/>
      <w:bookmarkStart w:id="27" w:name="_Toc15396605"/>
    </w:p>
    <w:p>
      <w:pPr>
        <w:rPr>
          <w:rFonts w:ascii="仿宋_GB2312" w:eastAsia="仿宋_GB2312"/>
          <w:sz w:val="32"/>
          <w:szCs w:val="32"/>
        </w:rPr>
      </w:pPr>
    </w:p>
    <w:p>
      <w:pPr>
        <w:spacing w:line="576" w:lineRule="exact"/>
        <w:ind w:firstLine="640" w:firstLineChars="200"/>
        <w:rPr>
          <w:rStyle w:val="26"/>
          <w:rFonts w:ascii="黑体" w:hAnsi="黑体" w:eastAsia="黑体" w:cs="黑体"/>
          <w:b w:val="0"/>
        </w:rPr>
      </w:pPr>
      <w:r>
        <w:rPr>
          <w:rFonts w:hint="eastAsia" w:ascii="黑体" w:hAnsi="黑体" w:eastAsia="黑体" w:cs="黑体"/>
          <w:sz w:val="32"/>
          <w:szCs w:val="32"/>
        </w:rPr>
        <w:t>三、支</w:t>
      </w:r>
      <w:r>
        <w:rPr>
          <w:rStyle w:val="26"/>
          <w:rFonts w:hint="eastAsia" w:ascii="黑体" w:hAnsi="黑体" w:eastAsia="黑体" w:cs="黑体"/>
          <w:b w:val="0"/>
        </w:rPr>
        <w:t>出决算情况说明</w:t>
      </w:r>
      <w:bookmarkEnd w:id="26"/>
      <w:bookmarkEnd w:id="27"/>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2019年本年支出合计188.21万元，其中：基本支出188.03万元，占99.9%；项目支出0.18万元，占0.1%；上缴上级支出0万元，占0%；经营支出0万元，占0%；对附属单位补助支出0万元，占0%。</w:t>
      </w:r>
    </w:p>
    <w:p>
      <w:pPr>
        <w:ind w:firstLine="642" w:firstLineChars="200"/>
        <w:jc w:val="center"/>
        <w:rPr>
          <w:rStyle w:val="26"/>
          <w:rFonts w:ascii="黑体" w:hAnsi="黑体" w:eastAsia="黑体"/>
          <w:b w:val="0"/>
        </w:rPr>
      </w:pPr>
      <w:r>
        <w:rPr>
          <w:rFonts w:hint="eastAsia" w:ascii="仿宋" w:hAnsi="仿宋" w:eastAsia="仿宋"/>
          <w:b/>
          <w:bCs/>
          <w:sz w:val="32"/>
          <w:szCs w:val="32"/>
        </w:rPr>
        <w:t>图3：支出决算结构图</w:t>
      </w:r>
      <w:r>
        <w:rPr>
          <w:rFonts w:hint="eastAsia" w:ascii="仿宋_GB2312" w:eastAsia="仿宋_GB2312"/>
          <w:sz w:val="32"/>
          <w:szCs w:val="32"/>
        </w:rPr>
        <w:drawing>
          <wp:inline distT="0" distB="0" distL="114300" distR="114300">
            <wp:extent cx="3576320" cy="2757170"/>
            <wp:effectExtent l="4445" t="4445" r="19685" b="196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8" w:name="_Toc15377208"/>
      <w:bookmarkStart w:id="29" w:name="_Toc15396606"/>
    </w:p>
    <w:p>
      <w:pPr>
        <w:pStyle w:val="3"/>
        <w:spacing w:before="0" w:after="0" w:line="576" w:lineRule="exact"/>
        <w:ind w:firstLine="640" w:firstLineChars="200"/>
        <w:rPr>
          <w:rStyle w:val="26"/>
          <w:rFonts w:ascii="黑体" w:hAnsi="黑体" w:eastAsia="黑体"/>
          <w:b w:val="0"/>
          <w:bCs/>
        </w:rPr>
      </w:pPr>
      <w:r>
        <w:rPr>
          <w:rStyle w:val="26"/>
          <w:rFonts w:hint="eastAsia" w:ascii="黑体" w:hAnsi="黑体" w:eastAsia="黑体"/>
          <w:b w:val="0"/>
          <w:bCs/>
        </w:rPr>
        <w:t>四、财政拨款收入支出决算总体情况说明</w:t>
      </w:r>
      <w:bookmarkEnd w:id="28"/>
      <w:bookmarkEnd w:id="29"/>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2019年财政拨款收、支总计189.35万元。与2018年相比，财政拨款收、支总计都增加12.10万元，增长6%。主要变动原因是本年职工工资及五险一金费用有所增加。 </w:t>
      </w:r>
    </w:p>
    <w:p>
      <w:pPr>
        <w:snapToGrid w:val="0"/>
        <w:spacing w:line="576" w:lineRule="exact"/>
        <w:ind w:firstLine="640" w:firstLineChars="200"/>
        <w:rPr>
          <w:rFonts w:ascii="仿宋_GB2312" w:eastAsia="仿宋_GB2312"/>
          <w:sz w:val="32"/>
          <w:szCs w:val="32"/>
        </w:rPr>
      </w:pPr>
    </w:p>
    <w:p>
      <w:pPr>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pPr>
        <w:jc w:val="center"/>
        <w:rPr>
          <w:rFonts w:ascii="仿宋_GB2312" w:eastAsia="仿宋_GB2312"/>
          <w:sz w:val="32"/>
          <w:szCs w:val="32"/>
        </w:rPr>
      </w:pPr>
      <w:bookmarkStart w:id="30" w:name="_Toc15377209"/>
      <w:bookmarkStart w:id="31" w:name="_Toc15396607"/>
      <w:r>
        <w:rPr>
          <w:rFonts w:hint="eastAsia" w:ascii="仿宋_GB2312" w:eastAsia="仿宋_GB2312"/>
          <w:sz w:val="32"/>
          <w:szCs w:val="32"/>
        </w:rPr>
        <w:drawing>
          <wp:inline distT="0" distB="0" distL="114300" distR="114300">
            <wp:extent cx="4117975" cy="2512060"/>
            <wp:effectExtent l="4445" t="4445" r="7620"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黑体" w:hAnsi="黑体" w:eastAsia="黑体"/>
          <w:sz w:val="32"/>
          <w:szCs w:val="32"/>
        </w:rPr>
      </w:pPr>
    </w:p>
    <w:p>
      <w:pPr>
        <w:spacing w:line="576" w:lineRule="exact"/>
        <w:ind w:firstLine="640" w:firstLineChars="200"/>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0"/>
      <w:bookmarkEnd w:id="31"/>
      <w:bookmarkStart w:id="32" w:name="_Toc15377210"/>
    </w:p>
    <w:p>
      <w:pPr>
        <w:spacing w:line="576" w:lineRule="exact"/>
        <w:ind w:firstLine="642"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32"/>
    </w:p>
    <w:p>
      <w:pPr>
        <w:snapToGrid w:val="0"/>
        <w:spacing w:line="576"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2019年一般公共预算财政拨款支出188.21万元，占本年支出合计的100%。与2018年相比，一般公共预算财政拨款增加10.96万元，增长6.18%。主要变动原因是本年职工工资及五险一金费用有所增加。</w:t>
      </w:r>
      <w:r>
        <w:rPr>
          <w:rFonts w:hint="eastAsia" w:ascii="仿宋_GB2312" w:hAnsi="仿宋_GB2312" w:eastAsia="仿宋_GB2312" w:cs="仿宋_GB2312"/>
          <w:color w:val="FF0000"/>
          <w:sz w:val="32"/>
          <w:szCs w:val="32"/>
        </w:rPr>
        <w:t xml:space="preserve"> </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 xml:space="preserve"> </w:t>
      </w:r>
    </w:p>
    <w:p>
      <w:pPr>
        <w:spacing w:line="600" w:lineRule="exact"/>
        <w:rPr>
          <w:rFonts w:ascii="仿宋_GB2312" w:eastAsia="仿宋_GB2312"/>
          <w:b/>
          <w:bCs/>
          <w:sz w:val="32"/>
          <w:szCs w:val="32"/>
        </w:rPr>
      </w:pPr>
    </w:p>
    <w:p>
      <w:pPr>
        <w:spacing w:line="576" w:lineRule="exact"/>
        <w:jc w:val="center"/>
        <w:rPr>
          <w:rFonts w:hint="eastAsia" w:ascii="仿宋_GB2312" w:eastAsia="仿宋_GB2312"/>
          <w:b/>
          <w:bCs/>
          <w:sz w:val="32"/>
          <w:szCs w:val="32"/>
        </w:rPr>
      </w:pPr>
    </w:p>
    <w:p>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pPr>
        <w:jc w:val="center"/>
        <w:rPr>
          <w:rFonts w:ascii="仿宋_GB2312" w:eastAsia="仿宋_GB2312"/>
          <w:sz w:val="32"/>
          <w:szCs w:val="32"/>
        </w:rPr>
      </w:pPr>
      <w:r>
        <w:rPr>
          <w:rFonts w:hint="eastAsia" w:ascii="仿宋_GB2312" w:eastAsia="仿宋_GB2312"/>
          <w:sz w:val="32"/>
          <w:szCs w:val="32"/>
        </w:rPr>
        <w:drawing>
          <wp:inline distT="0" distB="0" distL="114300" distR="114300">
            <wp:extent cx="4205605" cy="2289175"/>
            <wp:effectExtent l="4445" t="4445" r="11430" b="762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6" w:lineRule="exact"/>
        <w:ind w:firstLine="640" w:firstLineChars="200"/>
        <w:rPr>
          <w:rFonts w:ascii="仿宋_GB2312" w:eastAsia="仿宋_GB2312"/>
          <w:sz w:val="32"/>
          <w:szCs w:val="32"/>
        </w:rPr>
      </w:pPr>
    </w:p>
    <w:p>
      <w:pPr>
        <w:spacing w:line="576" w:lineRule="exact"/>
        <w:ind w:firstLine="642" w:firstLineChars="200"/>
        <w:outlineLvl w:val="1"/>
        <w:rPr>
          <w:rFonts w:ascii="楷体_GB2312" w:hAnsi="楷体_GB2312" w:eastAsia="楷体_GB2312" w:cs="楷体_GB2312"/>
          <w:b/>
          <w:sz w:val="32"/>
          <w:szCs w:val="32"/>
        </w:rPr>
      </w:pPr>
      <w:bookmarkStart w:id="33" w:name="_Toc15377211"/>
      <w:r>
        <w:rPr>
          <w:rFonts w:hint="eastAsia" w:ascii="楷体_GB2312" w:hAnsi="楷体_GB2312" w:eastAsia="楷体_GB2312" w:cs="楷体_GB2312"/>
          <w:b/>
          <w:sz w:val="32"/>
          <w:szCs w:val="32"/>
        </w:rPr>
        <w:t>（二）一般公共预算财政拨款支出决算结构情况</w:t>
      </w:r>
      <w:bookmarkEnd w:id="33"/>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2019年一般公共预算财政拨款支出188.21万元，主要用于以下方面:</w:t>
      </w:r>
      <w:r>
        <w:rPr>
          <w:rFonts w:hint="eastAsia" w:ascii="仿宋_GB2312" w:hAnsi="仿宋_GB2312" w:eastAsia="仿宋_GB2312" w:cs="仿宋_GB2312"/>
          <w:bCs/>
          <w:sz w:val="32"/>
          <w:szCs w:val="32"/>
        </w:rPr>
        <w:t>一般公共服务（类）支出139.44万元，占74%；社会保障和就业（类）</w:t>
      </w:r>
      <w:r>
        <w:rPr>
          <w:rFonts w:hint="eastAsia" w:ascii="仿宋_GB2312" w:hAnsi="仿宋_GB2312" w:eastAsia="仿宋_GB2312" w:cs="仿宋_GB2312"/>
          <w:sz w:val="32"/>
          <w:szCs w:val="32"/>
        </w:rPr>
        <w:t>支出23.16万元，占12.31%；卫生健康（</w:t>
      </w:r>
      <w:r>
        <w:rPr>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）支出10.45万元，占5.55%；住房保障（</w:t>
      </w:r>
      <w:r>
        <w:rPr>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）支出14.98万元，占7.96%;农林水（类）支出0.18万元，占0.9%。</w:t>
      </w:r>
    </w:p>
    <w:p>
      <w:pPr>
        <w:spacing w:line="600" w:lineRule="exact"/>
        <w:jc w:val="center"/>
        <w:rPr>
          <w:rFonts w:ascii="仿宋" w:hAnsi="仿宋" w:eastAsia="仿宋"/>
          <w:b/>
          <w:bCs/>
          <w:sz w:val="32"/>
          <w:szCs w:val="32"/>
        </w:rPr>
      </w:pP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pPr>
        <w:jc w:val="center"/>
        <w:rPr>
          <w:rFonts w:ascii="仿宋" w:hAnsi="仿宋" w:eastAsia="仿宋"/>
          <w:sz w:val="32"/>
          <w:szCs w:val="32"/>
        </w:rPr>
      </w:pPr>
      <w:r>
        <w:rPr>
          <w:rFonts w:hint="eastAsia" w:ascii="仿宋" w:hAnsi="仿宋" w:eastAsia="仿宋"/>
          <w:sz w:val="32"/>
          <w:szCs w:val="32"/>
        </w:rPr>
        <w:drawing>
          <wp:inline distT="0" distB="0" distL="114300" distR="114300">
            <wp:extent cx="3797935" cy="2292985"/>
            <wp:effectExtent l="5080" t="4445" r="6985" b="190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6" w:lineRule="exact"/>
        <w:ind w:firstLine="642" w:firstLineChars="200"/>
        <w:outlineLvl w:val="1"/>
        <w:rPr>
          <w:rFonts w:ascii="楷体_GB2312" w:hAnsi="楷体_GB2312" w:eastAsia="楷体_GB2312" w:cs="楷体_GB2312"/>
          <w:b/>
          <w:sz w:val="32"/>
          <w:szCs w:val="32"/>
        </w:rPr>
      </w:pPr>
      <w:bookmarkStart w:id="34" w:name="_Toc15377212"/>
      <w:r>
        <w:rPr>
          <w:rFonts w:hint="eastAsia" w:ascii="楷体_GB2312" w:hAnsi="楷体_GB2312" w:eastAsia="楷体_GB2312" w:cs="楷体_GB2312"/>
          <w:b/>
          <w:sz w:val="32"/>
          <w:szCs w:val="32"/>
        </w:rPr>
        <w:t>（三）一般公共预算财政拨款支出决算具体情况</w:t>
      </w:r>
      <w:bookmarkEnd w:id="34"/>
    </w:p>
    <w:p>
      <w:pPr>
        <w:spacing w:line="576" w:lineRule="exact"/>
        <w:ind w:firstLine="640" w:firstLineChars="200"/>
        <w:outlineLvl w:val="2"/>
        <w:rPr>
          <w:rFonts w:ascii="仿宋_GB2312" w:hAnsi="仿宋_GB2312" w:eastAsia="仿宋_GB2312" w:cs="仿宋_GB2312"/>
          <w:sz w:val="32"/>
          <w:szCs w:val="32"/>
        </w:rPr>
      </w:pPr>
      <w:bookmarkStart w:id="35" w:name="_Toc15377444"/>
      <w:bookmarkStart w:id="36" w:name="_Toc15377213"/>
      <w:bookmarkStart w:id="37" w:name="_Toc15378460"/>
      <w:r>
        <w:rPr>
          <w:rFonts w:hint="eastAsia" w:ascii="仿宋_GB2312" w:hAnsi="仿宋_GB2312" w:eastAsia="仿宋_GB2312" w:cs="仿宋_GB2312"/>
          <w:bCs/>
          <w:sz w:val="32"/>
          <w:szCs w:val="32"/>
        </w:rPr>
        <w:t>2019年一般公共预算支出决算数为188.21万元，</w:t>
      </w:r>
      <w:r>
        <w:rPr>
          <w:rStyle w:val="14"/>
          <w:rFonts w:hint="eastAsia" w:ascii="仿宋_GB2312" w:hAnsi="仿宋_GB2312" w:eastAsia="仿宋_GB2312" w:cs="仿宋_GB2312"/>
          <w:b w:val="0"/>
          <w:bCs/>
          <w:sz w:val="32"/>
          <w:szCs w:val="32"/>
        </w:rPr>
        <w:t>完成预算99.4%。其中：</w:t>
      </w:r>
      <w:bookmarkEnd w:id="35"/>
      <w:bookmarkEnd w:id="36"/>
      <w:bookmarkEnd w:id="37"/>
    </w:p>
    <w:p>
      <w:pPr>
        <w:spacing w:line="576" w:lineRule="exact"/>
        <w:ind w:firstLine="642"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Cs/>
          <w:sz w:val="32"/>
          <w:szCs w:val="32"/>
        </w:rPr>
        <w:t>1.</w:t>
      </w:r>
      <w:r>
        <w:rPr>
          <w:rStyle w:val="14"/>
          <w:rFonts w:hint="eastAsia" w:ascii="仿宋_GB2312" w:hAnsi="仿宋_GB2312" w:eastAsia="仿宋_GB2312" w:cs="仿宋_GB2312"/>
          <w:b w:val="0"/>
          <w:sz w:val="32"/>
          <w:szCs w:val="32"/>
        </w:rPr>
        <w:t xml:space="preserve">一般公共服务（类）人力资源事务（款）行政运行（项）: </w:t>
      </w:r>
      <w:r>
        <w:rPr>
          <w:rStyle w:val="14"/>
          <w:rFonts w:hint="eastAsia" w:ascii="仿宋_GB2312" w:hAnsi="仿宋_GB2312" w:eastAsia="仿宋_GB2312" w:cs="仿宋_GB2312"/>
          <w:b w:val="0"/>
          <w:bCs/>
          <w:sz w:val="32"/>
          <w:szCs w:val="32"/>
        </w:rPr>
        <w:t>支出决算为87万元，完成预算99.5%，原因是资金结转下年继续使用。</w:t>
      </w:r>
    </w:p>
    <w:p>
      <w:pPr>
        <w:spacing w:line="576" w:lineRule="exact"/>
        <w:ind w:firstLine="642"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Cs/>
          <w:sz w:val="32"/>
          <w:szCs w:val="32"/>
        </w:rPr>
        <w:t>2.</w:t>
      </w:r>
      <w:r>
        <w:rPr>
          <w:rStyle w:val="14"/>
          <w:rFonts w:hint="eastAsia" w:ascii="仿宋_GB2312" w:hAnsi="仿宋_GB2312" w:eastAsia="仿宋_GB2312" w:cs="仿宋_GB2312"/>
          <w:b w:val="0"/>
          <w:sz w:val="32"/>
          <w:szCs w:val="32"/>
        </w:rPr>
        <w:t xml:space="preserve">一般公共服务（类）人力资源事务（款）事业运行（项）: </w:t>
      </w:r>
      <w:r>
        <w:rPr>
          <w:rStyle w:val="14"/>
          <w:rFonts w:hint="eastAsia" w:ascii="仿宋_GB2312" w:hAnsi="仿宋_GB2312" w:eastAsia="仿宋_GB2312" w:cs="仿宋_GB2312"/>
          <w:b w:val="0"/>
          <w:bCs/>
          <w:sz w:val="32"/>
          <w:szCs w:val="32"/>
        </w:rPr>
        <w:t>支出决算为52.43万元，完成预算98.7%。</w:t>
      </w:r>
    </w:p>
    <w:p>
      <w:pPr>
        <w:spacing w:line="576" w:lineRule="exact"/>
        <w:ind w:firstLine="642"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Cs/>
          <w:sz w:val="32"/>
          <w:szCs w:val="32"/>
        </w:rPr>
        <w:t>3.</w:t>
      </w:r>
      <w:r>
        <w:rPr>
          <w:rStyle w:val="14"/>
          <w:rFonts w:hint="eastAsia" w:ascii="仿宋_GB2312" w:hAnsi="仿宋_GB2312" w:eastAsia="仿宋_GB2312" w:cs="仿宋_GB2312"/>
          <w:b w:val="0"/>
          <w:sz w:val="32"/>
          <w:szCs w:val="32"/>
        </w:rPr>
        <w:t>社会保障和就业（类）行政事业单位离退休（款）机关事业单位基本养老保险（项）：</w:t>
      </w:r>
      <w:r>
        <w:rPr>
          <w:rStyle w:val="14"/>
          <w:rFonts w:hint="eastAsia" w:ascii="仿宋_GB2312" w:hAnsi="仿宋_GB2312" w:eastAsia="仿宋_GB2312" w:cs="仿宋_GB2312"/>
          <w:b w:val="0"/>
          <w:bCs/>
          <w:sz w:val="32"/>
          <w:szCs w:val="32"/>
        </w:rPr>
        <w:t>支出决算为15.83万元，完成预算100%。</w:t>
      </w:r>
    </w:p>
    <w:p>
      <w:pPr>
        <w:spacing w:line="576" w:lineRule="exact"/>
        <w:ind w:firstLine="642" w:firstLineChars="200"/>
        <w:rPr>
          <w:rStyle w:val="14"/>
          <w:rFonts w:ascii="仿宋_GB2312" w:hAnsi="仿宋_GB2312" w:eastAsia="仿宋_GB2312" w:cs="仿宋_GB2312"/>
          <w:b w:val="0"/>
          <w:sz w:val="32"/>
          <w:szCs w:val="32"/>
        </w:rPr>
      </w:pPr>
      <w:r>
        <w:rPr>
          <w:rStyle w:val="14"/>
          <w:rFonts w:hint="eastAsia" w:ascii="仿宋_GB2312" w:hAnsi="仿宋_GB2312" w:eastAsia="仿宋_GB2312" w:cs="仿宋_GB2312"/>
          <w:bCs/>
          <w:sz w:val="32"/>
          <w:szCs w:val="32"/>
        </w:rPr>
        <w:t>4.</w:t>
      </w:r>
      <w:r>
        <w:rPr>
          <w:rStyle w:val="14"/>
          <w:rFonts w:hint="eastAsia" w:ascii="仿宋_GB2312" w:hAnsi="仿宋_GB2312" w:eastAsia="仿宋_GB2312" w:cs="仿宋_GB2312"/>
          <w:b w:val="0"/>
          <w:sz w:val="32"/>
          <w:szCs w:val="32"/>
        </w:rPr>
        <w:t>社会保障和就业（类）行政事业单位离退休（款）机关事业单位职业年金（项）: 支出决算为7.33万元，完成预算100%。</w:t>
      </w:r>
    </w:p>
    <w:p>
      <w:pPr>
        <w:spacing w:line="576" w:lineRule="exact"/>
        <w:ind w:firstLine="642"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Cs/>
          <w:sz w:val="32"/>
          <w:szCs w:val="32"/>
        </w:rPr>
        <w:t>5.</w:t>
      </w:r>
      <w:r>
        <w:rPr>
          <w:rStyle w:val="14"/>
          <w:rFonts w:hint="eastAsia" w:ascii="仿宋_GB2312" w:hAnsi="仿宋_GB2312" w:eastAsia="仿宋_GB2312" w:cs="仿宋_GB2312"/>
          <w:b w:val="0"/>
          <w:sz w:val="32"/>
          <w:szCs w:val="32"/>
        </w:rPr>
        <w:t>卫生健康支出(类)</w:t>
      </w:r>
      <w:r>
        <w:rPr>
          <w:rFonts w:hint="eastAsia"/>
        </w:rPr>
        <w:t xml:space="preserve"> </w:t>
      </w:r>
      <w:r>
        <w:rPr>
          <w:rStyle w:val="14"/>
          <w:rFonts w:hint="eastAsia" w:ascii="仿宋_GB2312" w:hAnsi="仿宋_GB2312" w:eastAsia="仿宋_GB2312" w:cs="仿宋_GB2312"/>
          <w:b w:val="0"/>
          <w:sz w:val="32"/>
          <w:szCs w:val="32"/>
        </w:rPr>
        <w:t>行政事业单位医疗（款）行政单位医疗（项）: 支出决算为5.15万元，完成预算100%。</w:t>
      </w:r>
    </w:p>
    <w:p>
      <w:pPr>
        <w:spacing w:line="576" w:lineRule="exact"/>
        <w:ind w:firstLine="642" w:firstLineChars="200"/>
        <w:rPr>
          <w:rStyle w:val="14"/>
          <w:rFonts w:ascii="仿宋_GB2312" w:hAnsi="仿宋_GB2312" w:eastAsia="仿宋_GB2312" w:cs="仿宋_GB2312"/>
          <w:b w:val="0"/>
          <w:sz w:val="32"/>
          <w:szCs w:val="32"/>
        </w:rPr>
      </w:pPr>
      <w:r>
        <w:rPr>
          <w:rStyle w:val="14"/>
          <w:rFonts w:hint="eastAsia" w:ascii="仿宋_GB2312" w:hAnsi="仿宋_GB2312" w:eastAsia="仿宋_GB2312" w:cs="仿宋_GB2312"/>
          <w:bCs/>
          <w:sz w:val="32"/>
          <w:szCs w:val="32"/>
        </w:rPr>
        <w:t>6.</w:t>
      </w:r>
      <w:r>
        <w:rPr>
          <w:rStyle w:val="14"/>
          <w:rFonts w:hint="eastAsia" w:ascii="仿宋_GB2312" w:hAnsi="仿宋_GB2312" w:eastAsia="仿宋_GB2312" w:cs="仿宋_GB2312"/>
          <w:b w:val="0"/>
          <w:sz w:val="32"/>
          <w:szCs w:val="32"/>
        </w:rPr>
        <w:t>卫生健康支出(类)</w:t>
      </w:r>
      <w:r>
        <w:rPr>
          <w:rFonts w:hint="eastAsia"/>
        </w:rPr>
        <w:t xml:space="preserve"> </w:t>
      </w:r>
      <w:r>
        <w:rPr>
          <w:rStyle w:val="14"/>
          <w:rFonts w:hint="eastAsia" w:ascii="仿宋_GB2312" w:hAnsi="仿宋_GB2312" w:eastAsia="仿宋_GB2312" w:cs="仿宋_GB2312"/>
          <w:b w:val="0"/>
          <w:sz w:val="32"/>
          <w:szCs w:val="32"/>
        </w:rPr>
        <w:t>行政事业单位医疗（款）事业单位医疗（项）: 支出决算为5.3万元，完成预算100%。</w:t>
      </w:r>
    </w:p>
    <w:p>
      <w:pPr>
        <w:spacing w:line="576" w:lineRule="exact"/>
        <w:ind w:firstLine="642" w:firstLineChars="200"/>
        <w:rPr>
          <w:rStyle w:val="14"/>
          <w:rFonts w:ascii="仿宋_GB2312" w:hAnsi="仿宋_GB2312" w:eastAsia="仿宋_GB2312" w:cs="仿宋_GB2312"/>
          <w:b w:val="0"/>
          <w:sz w:val="32"/>
          <w:szCs w:val="32"/>
        </w:rPr>
      </w:pPr>
      <w:r>
        <w:rPr>
          <w:rStyle w:val="14"/>
          <w:rFonts w:hint="eastAsia" w:ascii="仿宋_GB2312" w:hAnsi="仿宋_GB2312" w:eastAsia="仿宋_GB2312" w:cs="仿宋_GB2312"/>
          <w:bCs/>
          <w:sz w:val="32"/>
          <w:szCs w:val="32"/>
        </w:rPr>
        <w:t>7.</w:t>
      </w:r>
      <w:r>
        <w:rPr>
          <w:rStyle w:val="14"/>
          <w:rFonts w:hint="eastAsia" w:ascii="仿宋_GB2312" w:hAnsi="仿宋_GB2312" w:eastAsia="仿宋_GB2312" w:cs="仿宋_GB2312"/>
          <w:b w:val="0"/>
          <w:sz w:val="32"/>
          <w:szCs w:val="32"/>
        </w:rPr>
        <w:t>住房保障支出（类）住房改革支出（款）住房公积金（项）: 支出决算为14.98万元，完成预算100%。</w:t>
      </w:r>
    </w:p>
    <w:p>
      <w:pPr>
        <w:spacing w:line="576" w:lineRule="exact"/>
        <w:ind w:firstLine="640" w:firstLineChars="200"/>
        <w:rPr>
          <w:rFonts w:ascii="仿宋_GB2312" w:hAnsi="仿宋_GB2312" w:eastAsia="仿宋_GB2312" w:cs="仿宋_GB2312"/>
          <w:sz w:val="32"/>
          <w:szCs w:val="32"/>
        </w:rPr>
      </w:pPr>
      <w:r>
        <w:rPr>
          <w:rStyle w:val="14"/>
          <w:rFonts w:hint="eastAsia" w:ascii="仿宋_GB2312" w:hAnsi="仿宋_GB2312" w:eastAsia="仿宋_GB2312" w:cs="仿宋_GB2312"/>
          <w:b w:val="0"/>
          <w:sz w:val="32"/>
          <w:szCs w:val="32"/>
        </w:rPr>
        <w:t>8.农林水支出（类）扶贫（款）其他扶贫支出（项）：支出决算为0.18万元，完成预算100%。</w:t>
      </w:r>
    </w:p>
    <w:p>
      <w:pPr>
        <w:pStyle w:val="3"/>
        <w:spacing w:before="0" w:after="0" w:line="576" w:lineRule="exact"/>
        <w:ind w:firstLine="642" w:firstLineChars="200"/>
        <w:rPr>
          <w:rStyle w:val="26"/>
          <w:b/>
          <w:bCs/>
        </w:rPr>
      </w:pPr>
      <w:bookmarkStart w:id="38" w:name="_Toc15396608"/>
      <w:bookmarkStart w:id="39" w:name="_Toc15377214"/>
      <w:r>
        <w:rPr>
          <w:rFonts w:hint="eastAsia" w:ascii="黑体" w:eastAsia="黑体"/>
        </w:rPr>
        <w:t>六、</w:t>
      </w:r>
      <w:r>
        <w:rPr>
          <w:rFonts w:hint="eastAsia" w:ascii="黑体" w:hAnsi="黑体" w:eastAsia="黑体"/>
        </w:rPr>
        <w:t>一</w:t>
      </w:r>
      <w:r>
        <w:rPr>
          <w:rStyle w:val="26"/>
          <w:rFonts w:hint="eastAsia" w:ascii="黑体" w:hAnsi="黑体" w:eastAsia="黑体"/>
          <w:b w:val="0"/>
          <w:bCs/>
        </w:rPr>
        <w:t>般公共预算财政拨款基本支出决算情况说明</w:t>
      </w:r>
      <w:bookmarkEnd w:id="38"/>
      <w:bookmarkEnd w:id="39"/>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2019年一般公共预算财政拨款基本支出188.02万元，其中：</w:t>
      </w:r>
    </w:p>
    <w:p>
      <w:pPr>
        <w:spacing w:line="576" w:lineRule="exact"/>
        <w:ind w:firstLine="645"/>
        <w:rPr>
          <w:rFonts w:ascii="仿宋" w:hAnsi="仿宋" w:eastAsia="仿宋"/>
          <w:color w:val="000000"/>
          <w:sz w:val="32"/>
          <w:szCs w:val="32"/>
        </w:rPr>
      </w:pPr>
      <w:r>
        <w:rPr>
          <w:rFonts w:hint="eastAsia" w:ascii="仿宋_GB2312" w:hAnsi="仿宋_GB2312" w:eastAsia="仿宋_GB2312" w:cs="仿宋_GB2312"/>
          <w:sz w:val="32"/>
          <w:szCs w:val="32"/>
        </w:rPr>
        <w:t>人员经费177.47万元，主要包括：</w:t>
      </w:r>
      <w:r>
        <w:rPr>
          <w:rFonts w:hint="eastAsia" w:ascii="仿宋" w:hAnsi="仿宋" w:eastAsia="仿宋"/>
          <w:color w:val="000000"/>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公用经费10.55万元，主要包括：</w:t>
      </w:r>
      <w:r>
        <w:rPr>
          <w:rFonts w:hint="eastAsia" w:ascii="仿宋" w:hAnsi="仿宋" w:eastAsia="仿宋"/>
          <w:color w:val="000000"/>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2019年“三公”经费财政拨款支出决算为0.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9万元，完成预算100%。</w:t>
      </w:r>
    </w:p>
    <w:p>
      <w:pPr>
        <w:spacing w:line="576" w:lineRule="exact"/>
        <w:ind w:firstLine="640"/>
        <w:rPr>
          <w:rFonts w:ascii="楷体_GB2312" w:eastAsia="楷体_GB2312"/>
          <w:b/>
          <w:sz w:val="32"/>
          <w:szCs w:val="32"/>
        </w:rPr>
      </w:pPr>
      <w:bookmarkStart w:id="40" w:name="_Toc15377217"/>
      <w:r>
        <w:rPr>
          <w:rFonts w:hint="eastAsia" w:ascii="楷体_GB2312" w:eastAsia="楷体_GB2312"/>
          <w:b/>
          <w:sz w:val="32"/>
          <w:szCs w:val="32"/>
        </w:rPr>
        <w:t>（二）“三公”经费财政拨款支出决算具体情况说明</w:t>
      </w:r>
      <w:bookmarkEnd w:id="40"/>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2019年“三公”经费财政拨款支出决算中，因公出国（境）费支出决算0万元；公务用车购置及运行维护费支出决算0万元；公务接待费支出决算0.09万元，占100%。具体情况如下：</w:t>
      </w:r>
    </w:p>
    <w:p>
      <w:pPr>
        <w:spacing w:line="576" w:lineRule="exact"/>
        <w:ind w:firstLine="640"/>
        <w:rPr>
          <w:rFonts w:ascii="仿宋" w:hAnsi="仿宋" w:eastAsia="仿宋"/>
          <w:sz w:val="32"/>
          <w:szCs w:val="32"/>
        </w:rPr>
      </w:pPr>
    </w:p>
    <w:p>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pPr>
        <w:jc w:val="center"/>
        <w:rPr>
          <w:rFonts w:ascii="仿宋" w:hAnsi="仿宋" w:eastAsia="仿宋"/>
          <w:sz w:val="32"/>
          <w:szCs w:val="32"/>
        </w:rPr>
      </w:pPr>
      <w:r>
        <w:rPr>
          <w:rFonts w:hint="eastAsia" w:ascii="仿宋" w:hAnsi="仿宋" w:eastAsia="仿宋"/>
          <w:sz w:val="32"/>
          <w:szCs w:val="32"/>
        </w:rPr>
        <w:drawing>
          <wp:inline distT="0" distB="0" distL="114300" distR="114300">
            <wp:extent cx="3595370" cy="2430145"/>
            <wp:effectExtent l="4445" t="4445" r="19685" b="2286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因公出国（境）经费支出0万元</w:t>
      </w:r>
      <w:r>
        <w:rPr>
          <w:rStyle w:val="14"/>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公务用车购置及运行维护费支出0万元</w:t>
      </w:r>
      <w:r>
        <w:rPr>
          <w:rStyle w:val="14"/>
          <w:rFonts w:hint="eastAsia" w:ascii="仿宋_GB2312" w:hAnsi="仿宋_GB2312" w:eastAsia="仿宋_GB2312" w:cs="仿宋_GB2312"/>
          <w:b w:val="0"/>
          <w:sz w:val="32"/>
          <w:szCs w:val="32"/>
        </w:rPr>
        <w:t>。无</w:t>
      </w:r>
      <w:r>
        <w:rPr>
          <w:rFonts w:hint="eastAsia" w:ascii="仿宋_GB2312" w:hAnsi="仿宋_GB2312" w:eastAsia="仿宋_GB2312" w:cs="仿宋_GB2312"/>
          <w:sz w:val="32"/>
          <w:szCs w:val="32"/>
        </w:rPr>
        <w:t>公务用车购置资产，全部为公务用车运行维护费支出。主要原因是单位日常工作等所需的公务用车燃料费、维修费、过路过桥费、保险费等支出有所增加。</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截至2019年12月底，编办共有公务用车0辆，其中：轿车0辆、越野车0辆、载客汽车0辆。</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公务接待费支出0.09万元，</w:t>
      </w:r>
      <w:r>
        <w:rPr>
          <w:rStyle w:val="14"/>
          <w:rFonts w:hint="eastAsia" w:ascii="仿宋_GB2312" w:hAnsi="仿宋_GB2312" w:eastAsia="仿宋_GB2312" w:cs="仿宋_GB2312"/>
          <w:b w:val="0"/>
          <w:sz w:val="32"/>
          <w:szCs w:val="32"/>
        </w:rPr>
        <w:t>完成预算100%。无外事接待支出，全部为国内公务接待支出。</w:t>
      </w:r>
      <w:r>
        <w:rPr>
          <w:rFonts w:hint="eastAsia" w:ascii="仿宋_GB2312" w:hAnsi="仿宋_GB2312" w:eastAsia="仿宋_GB2312" w:cs="仿宋_GB2312"/>
          <w:sz w:val="32"/>
          <w:szCs w:val="32"/>
        </w:rPr>
        <w:t>公务接待费支出决算比2018年增加0.04万元，上涨80%。主要原因是本年接待人次增加。国内公务接待支出，主要用于接受相关部门检查指导工作发生的用餐费等接待支出。编办国内公务接待2批次15人，共计支出0.09万元，具体内容包括：开展机构编制工作调研及对接扶贫工作。</w:t>
      </w:r>
    </w:p>
    <w:p>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编办2019年无政府性基金预算拨款支出。</w:t>
      </w:r>
    </w:p>
    <w:p>
      <w:pPr>
        <w:spacing w:line="576" w:lineRule="exact"/>
        <w:ind w:firstLine="640" w:firstLineChars="200"/>
        <w:rPr>
          <w:rStyle w:val="26"/>
          <w:rFonts w:ascii="黑体" w:hAnsi="黑体" w:eastAsia="黑体"/>
          <w:b w:val="0"/>
        </w:rPr>
      </w:pPr>
      <w:bookmarkStart w:id="41" w:name="_Toc15377219"/>
      <w:bookmarkStart w:id="42" w:name="_Toc15396611"/>
      <w:r>
        <w:rPr>
          <w:rStyle w:val="26"/>
          <w:rFonts w:hint="eastAsia" w:ascii="黑体" w:hAnsi="黑体" w:eastAsia="黑体"/>
          <w:b w:val="0"/>
        </w:rPr>
        <w:t>九、国有资本经营预算支出决算情况说明</w:t>
      </w:r>
      <w:bookmarkEnd w:id="41"/>
      <w:bookmarkEnd w:id="42"/>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w:t>
      </w:r>
      <w:r>
        <w:rPr>
          <w:rFonts w:ascii="仿宋_GB2312" w:eastAsia="仿宋_GB2312"/>
          <w:sz w:val="32"/>
          <w:szCs w:val="32"/>
        </w:rPr>
        <w:t>201</w:t>
      </w:r>
      <w:r>
        <w:rPr>
          <w:rFonts w:hint="eastAsia" w:ascii="仿宋_GB2312" w:eastAsia="仿宋_GB2312"/>
          <w:sz w:val="32"/>
          <w:szCs w:val="32"/>
        </w:rPr>
        <w:t>9年无国有资本经营预算拨款支出。</w:t>
      </w:r>
    </w:p>
    <w:p>
      <w:pPr>
        <w:spacing w:line="576" w:lineRule="exact"/>
        <w:ind w:firstLine="640" w:firstLineChars="200"/>
        <w:rPr>
          <w:rStyle w:val="26"/>
          <w:rFonts w:ascii="黑体" w:hAnsi="黑体" w:eastAsia="黑体"/>
        </w:rPr>
      </w:pPr>
      <w:r>
        <w:rPr>
          <w:rFonts w:hint="eastAsia" w:ascii="黑体" w:hAnsi="黑体" w:eastAsia="黑体"/>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p>
    <w:p>
      <w:pPr>
        <w:spacing w:line="576" w:lineRule="exact"/>
        <w:ind w:firstLine="642" w:firstLineChars="200"/>
        <w:outlineLvl w:val="1"/>
        <w:rPr>
          <w:rStyle w:val="26"/>
          <w:rFonts w:ascii="楷体" w:hAnsi="楷体" w:eastAsia="楷体" w:cs="楷体"/>
        </w:rPr>
      </w:pPr>
      <w:bookmarkStart w:id="43" w:name="_Toc15377222"/>
      <w:r>
        <w:rPr>
          <w:rStyle w:val="26"/>
          <w:rFonts w:hint="eastAsia" w:ascii="楷体" w:hAnsi="楷体" w:eastAsia="楷体" w:cs="楷体"/>
        </w:rPr>
        <w:t>（一）机关运行经费支出情况</w:t>
      </w:r>
      <w:bookmarkEnd w:id="43"/>
    </w:p>
    <w:p>
      <w:pPr>
        <w:spacing w:line="576"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9年，编办机关运行经费支出 10.55 万元，比</w:t>
      </w:r>
      <w:r>
        <w:rPr>
          <w:rFonts w:ascii="仿宋_GB2312" w:eastAsia="仿宋_GB2312"/>
          <w:sz w:val="32"/>
          <w:szCs w:val="32"/>
        </w:rPr>
        <w:t>201</w:t>
      </w:r>
      <w:r>
        <w:rPr>
          <w:rFonts w:hint="eastAsia" w:ascii="仿宋_GB2312" w:eastAsia="仿宋_GB2312"/>
          <w:sz w:val="32"/>
          <w:szCs w:val="32"/>
        </w:rPr>
        <w:t>8年减少2.84万元，下降26.91</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pPr>
        <w:spacing w:line="576" w:lineRule="exact"/>
        <w:ind w:firstLine="642" w:firstLineChars="200"/>
        <w:outlineLvl w:val="1"/>
        <w:rPr>
          <w:rFonts w:ascii="仿宋" w:hAnsi="仿宋" w:eastAsia="仿宋"/>
          <w:b/>
          <w:sz w:val="32"/>
          <w:szCs w:val="32"/>
        </w:rPr>
      </w:pPr>
      <w:bookmarkStart w:id="44" w:name="_Toc15377223"/>
      <w:r>
        <w:rPr>
          <w:rStyle w:val="26"/>
          <w:rFonts w:hint="eastAsia" w:ascii="楷体" w:hAnsi="楷体" w:eastAsia="楷体" w:cs="楷体"/>
        </w:rPr>
        <w:t>（二）政府采购支出情况</w:t>
      </w:r>
      <w:bookmarkEnd w:id="44"/>
    </w:p>
    <w:p>
      <w:pPr>
        <w:spacing w:line="576"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9年，编办无政府采购支出。</w:t>
      </w:r>
    </w:p>
    <w:p>
      <w:pPr>
        <w:spacing w:line="576" w:lineRule="exact"/>
        <w:ind w:firstLine="642" w:firstLineChars="200"/>
        <w:outlineLvl w:val="1"/>
        <w:rPr>
          <w:rStyle w:val="26"/>
          <w:rFonts w:ascii="楷体" w:hAnsi="楷体" w:eastAsia="楷体" w:cs="楷体"/>
        </w:rPr>
      </w:pPr>
      <w:bookmarkStart w:id="45" w:name="_Toc15377224"/>
      <w:r>
        <w:rPr>
          <w:rStyle w:val="26"/>
          <w:rFonts w:hint="eastAsia" w:ascii="楷体" w:hAnsi="楷体" w:eastAsia="楷体" w:cs="楷体"/>
        </w:rPr>
        <w:t>（三）国有资产占有使用情况</w:t>
      </w:r>
      <w:bookmarkEnd w:id="45"/>
    </w:p>
    <w:p>
      <w:pPr>
        <w:autoSpaceDE w:val="0"/>
        <w:autoSpaceDN w:val="0"/>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日，编办共有车辆0辆；无单价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pPr>
        <w:spacing w:line="576" w:lineRule="exact"/>
        <w:ind w:firstLine="640" w:firstLineChars="200"/>
        <w:rPr>
          <w:rStyle w:val="26"/>
          <w:rFonts w:ascii="黑体" w:hAnsi="黑体" w:eastAsia="黑体"/>
          <w:b w:val="0"/>
        </w:rPr>
      </w:pPr>
      <w:r>
        <w:rPr>
          <w:rStyle w:val="26"/>
          <w:rFonts w:hint="eastAsia" w:ascii="黑体" w:hAnsi="黑体" w:eastAsia="黑体"/>
          <w:b w:val="0"/>
        </w:rPr>
        <w:t>十一、预算绩效情况说明</w:t>
      </w:r>
    </w:p>
    <w:p>
      <w:pPr>
        <w:spacing w:line="576" w:lineRule="exact"/>
        <w:ind w:firstLine="642" w:firstLineChars="200"/>
        <w:outlineLvl w:val="1"/>
        <w:rPr>
          <w:rFonts w:ascii="楷体_GB2312" w:hAnsi="楷体_GB2312" w:eastAsia="楷体_GB2312" w:cs="楷体_GB2312"/>
          <w:b/>
          <w:bCs/>
          <w:sz w:val="32"/>
          <w:szCs w:val="32"/>
        </w:rPr>
      </w:pPr>
      <w:r>
        <w:rPr>
          <w:rStyle w:val="26"/>
          <w:rFonts w:hint="eastAsia" w:ascii="楷体_GB2312" w:hAnsi="楷体_GB2312" w:eastAsia="楷体_GB2312" w:cs="楷体_GB2312"/>
        </w:rPr>
        <w:t>（一）预算绩效管理工作开展情况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2019年部门整体支出开展绩效自评，从评价情况来看，2019年我办部门整体支出绩效评价自查自评结果良好，全面基本支出保证了部门的正常运行和日常工作的正常开展，绩效目标得到较好实现，绩效管理水平不断提高，绩效指标体系逐渐丰富和完善。</w:t>
      </w:r>
    </w:p>
    <w:p>
      <w:pPr>
        <w:spacing w:line="576" w:lineRule="exact"/>
        <w:ind w:firstLine="642" w:firstLineChars="200"/>
        <w:outlineLvl w:val="1"/>
        <w:rPr>
          <w:rStyle w:val="26"/>
          <w:rFonts w:ascii="楷体" w:hAnsi="楷体" w:eastAsia="楷体" w:cs="楷体"/>
        </w:rPr>
      </w:pPr>
      <w:r>
        <w:rPr>
          <w:rStyle w:val="26"/>
          <w:rFonts w:hint="eastAsia" w:ascii="楷体" w:hAnsi="楷体" w:eastAsia="楷体" w:cs="楷体"/>
        </w:rPr>
        <w:t>（二）项目绩效目标完成情况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本部门在2019年度部门决算中不涉及此内容。</w:t>
      </w:r>
    </w:p>
    <w:p>
      <w:pPr>
        <w:spacing w:line="576" w:lineRule="exact"/>
        <w:ind w:firstLine="642" w:firstLineChars="200"/>
        <w:outlineLvl w:val="1"/>
        <w:rPr>
          <w:rStyle w:val="26"/>
          <w:rFonts w:ascii="楷体" w:hAnsi="楷体" w:eastAsia="楷体" w:cs="楷体"/>
        </w:rPr>
      </w:pPr>
      <w:r>
        <w:rPr>
          <w:rStyle w:val="26"/>
          <w:rFonts w:hint="eastAsia" w:ascii="楷体" w:hAnsi="楷体" w:eastAsia="楷体" w:cs="楷体"/>
        </w:rPr>
        <w:t>（三）部门开展绩效评价结果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本部门按要求对2019年部门整体支出绩效评价情况开展自评。《编办2019年部门整体支出绩效评价报告》</w:t>
      </w:r>
      <w:bookmarkStart w:id="46" w:name="_Toc15396612"/>
      <w:bookmarkStart w:id="47" w:name="_Toc15377221"/>
      <w:r>
        <w:rPr>
          <w:rFonts w:hint="eastAsia" w:ascii="仿宋_GB2312" w:hAnsi="仿宋_GB2312" w:eastAsia="仿宋_GB2312" w:cs="仿宋_GB2312"/>
          <w:sz w:val="32"/>
          <w:szCs w:val="32"/>
        </w:rPr>
        <w:t>见附件。</w:t>
      </w:r>
    </w:p>
    <w:bookmarkEnd w:id="46"/>
    <w:bookmarkEnd w:id="47"/>
    <w:p>
      <w:pPr>
        <w:autoSpaceDE w:val="0"/>
        <w:autoSpaceDN w:val="0"/>
        <w:adjustRightInd w:val="0"/>
        <w:spacing w:line="576" w:lineRule="exact"/>
        <w:jc w:val="center"/>
        <w:rPr>
          <w:rFonts w:ascii="方正小标宋简体" w:hAnsi="方正小标宋简体" w:eastAsia="方正小标宋简体" w:cs="方正小标宋简体"/>
          <w:sz w:val="44"/>
          <w:szCs w:val="44"/>
        </w:rPr>
      </w:pPr>
      <w:bookmarkStart w:id="48" w:name="_Toc15396613"/>
      <w:bookmarkStart w:id="49" w:name="_Toc15377225"/>
      <w:r>
        <w:rPr>
          <w:rFonts w:hint="eastAsia" w:ascii="方正小标宋简体" w:hAnsi="方正小标宋简体" w:eastAsia="方正小标宋简体" w:cs="方正小标宋简体"/>
          <w:sz w:val="44"/>
          <w:szCs w:val="44"/>
        </w:rPr>
        <w:t>第三部分  名词解释</w:t>
      </w:r>
      <w:bookmarkEnd w:id="48"/>
      <w:bookmarkEnd w:id="49"/>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9.</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color w:val="auto"/>
          <w:sz w:val="32"/>
          <w:szCs w:val="32"/>
        </w:rPr>
      </w:pPr>
    </w:p>
    <w:p>
      <w:pPr>
        <w:spacing w:line="600" w:lineRule="exact"/>
        <w:outlineLvl w:val="0"/>
        <w:rPr>
          <w:rFonts w:ascii="方正小标宋简体" w:hAnsi="方正小标宋简体" w:eastAsia="方正小标宋简体" w:cs="方正小标宋简体"/>
          <w:sz w:val="44"/>
          <w:szCs w:val="44"/>
        </w:rPr>
      </w:pPr>
      <w:bookmarkStart w:id="50" w:name="_Toc15396614"/>
      <w:bookmarkStart w:id="51" w:name="_Toc15377226"/>
    </w:p>
    <w:p>
      <w:pPr>
        <w:spacing w:line="600" w:lineRule="exact"/>
        <w:outlineLvl w:val="0"/>
        <w:rPr>
          <w:rFonts w:ascii="方正小标宋简体" w:hAnsi="方正小标宋简体" w:eastAsia="方正小标宋简体" w:cs="方正小标宋简体"/>
          <w:sz w:val="44"/>
          <w:szCs w:val="44"/>
        </w:rPr>
      </w:pPr>
    </w:p>
    <w:p>
      <w:pPr>
        <w:spacing w:line="600" w:lineRule="exact"/>
        <w:outlineLvl w:val="0"/>
        <w:rPr>
          <w:rFonts w:ascii="方正小标宋简体" w:hAnsi="方正小标宋简体" w:eastAsia="方正小标宋简体" w:cs="方正小标宋简体"/>
          <w:sz w:val="44"/>
          <w:szCs w:val="44"/>
        </w:rPr>
      </w:pPr>
    </w:p>
    <w:p>
      <w:pPr>
        <w:spacing w:line="600" w:lineRule="exact"/>
        <w:outlineLvl w:val="0"/>
        <w:rPr>
          <w:rFonts w:ascii="方正小标宋简体" w:hAnsi="方正小标宋简体" w:eastAsia="方正小标宋简体" w:cs="方正小标宋简体"/>
          <w:sz w:val="44"/>
          <w:szCs w:val="44"/>
        </w:rPr>
      </w:pPr>
    </w:p>
    <w:p>
      <w:pPr>
        <w:spacing w:line="600" w:lineRule="exact"/>
        <w:outlineLvl w:val="0"/>
        <w:rPr>
          <w:rFonts w:ascii="方正小标宋简体" w:hAnsi="方正小标宋简体" w:eastAsia="方正小标宋简体" w:cs="方正小标宋简体"/>
          <w:sz w:val="44"/>
          <w:szCs w:val="44"/>
        </w:rPr>
      </w:pPr>
    </w:p>
    <w:p>
      <w:pPr>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附件</w:t>
      </w:r>
      <w:bookmarkEnd w:id="50"/>
    </w:p>
    <w:p>
      <w:pPr>
        <w:spacing w:line="576" w:lineRule="exact"/>
        <w:outlineLvl w:val="0"/>
        <w:rPr>
          <w:rFonts w:ascii="黑体" w:hAnsi="黑体" w:eastAsia="黑体" w:cs="方正小标宋简体"/>
          <w:sz w:val="36"/>
          <w:szCs w:val="36"/>
        </w:rPr>
      </w:pPr>
      <w:bookmarkStart w:id="52" w:name="_Toc15396616"/>
    </w:p>
    <w:p>
      <w:pPr>
        <w:spacing w:line="576"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编办2019年部门整体支出绩效评价报告</w:t>
      </w:r>
      <w:bookmarkEnd w:id="52"/>
    </w:p>
    <w:p>
      <w:pPr>
        <w:pStyle w:val="3"/>
        <w:spacing w:before="0" w:after="0" w:line="576" w:lineRule="exact"/>
        <w:ind w:firstLine="640" w:firstLineChars="200"/>
        <w:rPr>
          <w:b w:val="0"/>
          <w:bCs w:val="0"/>
        </w:rPr>
      </w:pPr>
      <w:r>
        <w:rPr>
          <w:rFonts w:hint="eastAsia" w:ascii="黑体" w:hAnsi="黑体" w:eastAsia="黑体" w:cs="黑体"/>
          <w:b w:val="0"/>
          <w:bCs w:val="0"/>
        </w:rPr>
        <w:t>一、部门概况</w:t>
      </w:r>
    </w:p>
    <w:p>
      <w:pPr>
        <w:spacing w:line="576" w:lineRule="exact"/>
        <w:ind w:firstLine="642" w:firstLineChars="200"/>
        <w:outlineLvl w:val="1"/>
        <w:rPr>
          <w:rStyle w:val="26"/>
          <w:rFonts w:ascii="楷体_GB2312" w:hAnsi="楷体_GB2312" w:eastAsia="楷体_GB2312" w:cs="楷体_GB2312"/>
        </w:rPr>
      </w:pPr>
      <w:r>
        <w:rPr>
          <w:rStyle w:val="26"/>
          <w:rFonts w:hint="eastAsia" w:ascii="楷体_GB2312" w:hAnsi="楷体_GB2312" w:eastAsia="楷体_GB2312" w:cs="楷体_GB2312"/>
        </w:rPr>
        <w:t>（一）机构组成</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编办下属二级单位0个，其中行政单位1个，参照公务员法管理的事业单位0个，其他事业单位0个</w:t>
      </w:r>
      <w:r>
        <w:rPr>
          <w:rFonts w:hint="eastAsia" w:ascii="仿宋" w:hAnsi="仿宋" w:eastAsia="仿宋"/>
          <w:sz w:val="32"/>
          <w:szCs w:val="32"/>
        </w:rPr>
        <w:t>。</w:t>
      </w:r>
    </w:p>
    <w:p>
      <w:pPr>
        <w:spacing w:line="576" w:lineRule="exact"/>
        <w:ind w:firstLine="642" w:firstLineChars="200"/>
        <w:outlineLvl w:val="1"/>
        <w:rPr>
          <w:rStyle w:val="26"/>
          <w:rFonts w:ascii="楷体_GB2312" w:hAnsi="楷体_GB2312" w:eastAsia="楷体_GB2312" w:cs="楷体_GB2312"/>
        </w:rPr>
      </w:pPr>
      <w:r>
        <w:rPr>
          <w:rStyle w:val="26"/>
          <w:rFonts w:hint="eastAsia" w:ascii="楷体_GB2312" w:hAnsi="楷体_GB2312" w:eastAsia="楷体_GB2312" w:cs="楷体_GB2312"/>
        </w:rPr>
        <w:t>（二）机构职能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承办县委、县人民政府和州机构编制委员会办公室交办的其他事项。</w:t>
      </w:r>
    </w:p>
    <w:p>
      <w:pPr>
        <w:spacing w:line="576" w:lineRule="exact"/>
        <w:ind w:firstLine="642" w:firstLineChars="200"/>
        <w:outlineLvl w:val="1"/>
        <w:rPr>
          <w:rStyle w:val="26"/>
          <w:rFonts w:ascii="楷体_GB2312" w:hAnsi="楷体_GB2312" w:eastAsia="楷体_GB2312" w:cs="楷体_GB2312"/>
        </w:rPr>
      </w:pPr>
      <w:r>
        <w:rPr>
          <w:rStyle w:val="26"/>
          <w:rFonts w:hint="eastAsia" w:ascii="楷体_GB2312" w:hAnsi="楷体_GB2312" w:eastAsia="楷体_GB2312" w:cs="楷体_GB231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2019年部门编制人数15名,其中:行政编制4名,参照公务员法管理的事业编制0名，行政工勤编制1名，事业编制 10名，事业工勤编制0名。年末在职人员实有人数13名，其中：行政人员5名，参照公务员法管理的事业人员 0 名，行政工勤人员1名，事业人员7名，退休人员0人。</w:t>
      </w:r>
    </w:p>
    <w:p>
      <w:pPr>
        <w:pStyle w:val="3"/>
        <w:spacing w:before="0" w:after="0" w:line="576" w:lineRule="exact"/>
        <w:ind w:firstLine="640" w:firstLineChars="200"/>
        <w:rPr>
          <w:rFonts w:ascii="仿宋" w:hAnsi="仿宋" w:eastAsia="仿宋"/>
          <w:b w:val="0"/>
          <w:bCs w:val="0"/>
        </w:rPr>
      </w:pPr>
      <w:r>
        <w:rPr>
          <w:rFonts w:ascii="黑体" w:hAnsi="黑体" w:eastAsia="黑体" w:cs="黑体"/>
          <w:b w:val="0"/>
          <w:bCs w:val="0"/>
        </w:rPr>
        <w:t>二、部门财政资金收支情况</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2019年本部门财政拨款收入决算总额为189.35万元，其中：当年财政拨款收入189.35万元，均为一般公共预算财政拨款。</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（二）部门财政资金支出情况</w:t>
      </w:r>
    </w:p>
    <w:p>
      <w:pPr>
        <w:spacing w:line="576" w:lineRule="exact"/>
        <w:ind w:firstLine="640"/>
        <w:rPr>
          <w:rFonts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2019年本部门财政拨款支出决算总额188.21万元。其中按功能分类:</w:t>
      </w:r>
      <w:r>
        <w:rPr>
          <w:rFonts w:hint="eastAsia" w:ascii="仿宋_GB2312" w:hAnsi="仿宋_GB2312" w:eastAsia="仿宋_GB2312" w:cs="仿宋_GB2312"/>
          <w:bCs/>
          <w:sz w:val="32"/>
          <w:szCs w:val="32"/>
        </w:rPr>
        <w:t>一般公共服务支出139.44万元、社会保障和就业</w:t>
      </w:r>
      <w:r>
        <w:rPr>
          <w:rFonts w:hint="eastAsia" w:ascii="仿宋_GB2312" w:hAnsi="仿宋_GB2312" w:eastAsia="仿宋_GB2312" w:cs="仿宋_GB2312"/>
          <w:sz w:val="32"/>
          <w:szCs w:val="32"/>
        </w:rPr>
        <w:t>支出23.16万元、医疗卫生支出10.45万元、住房保障支出14.98万元，农林水支出0.18万元；按支出性质分类，基本支出188.19万元，项目支出0万元；按经济分类，工资福利支出177.39万元，商品服务支出10.55万元，对个人和家庭的补助0.25万元。</w:t>
      </w:r>
    </w:p>
    <w:p>
      <w:pPr>
        <w:pStyle w:val="3"/>
        <w:spacing w:before="0" w:after="0" w:line="576" w:lineRule="exact"/>
        <w:ind w:firstLine="640" w:firstLineChars="200"/>
        <w:rPr>
          <w:rFonts w:ascii="黑体" w:hAnsi="黑体" w:eastAsia="黑体" w:cs="黑体"/>
          <w:b w:val="0"/>
          <w:bCs w:val="0"/>
        </w:rPr>
      </w:pPr>
      <w:r>
        <w:rPr>
          <w:rFonts w:ascii="黑体" w:hAnsi="黑体" w:eastAsia="黑体" w:cs="黑体"/>
          <w:b w:val="0"/>
          <w:bCs w:val="0"/>
        </w:rPr>
        <w:t>三、部门整体预算绩效管理情况</w:t>
      </w:r>
    </w:p>
    <w:p>
      <w:pPr>
        <w:spacing w:line="576" w:lineRule="exact"/>
        <w:ind w:firstLine="642" w:firstLineChars="200"/>
        <w:outlineLvl w:val="1"/>
        <w:rPr>
          <w:rStyle w:val="26"/>
          <w:rFonts w:ascii="楷体_GB2312" w:hAnsi="楷体_GB2312" w:eastAsia="楷体_GB2312" w:cs="楷体_GB2312"/>
        </w:rPr>
      </w:pPr>
      <w:r>
        <w:rPr>
          <w:rStyle w:val="26"/>
          <w:rFonts w:hint="eastAsia" w:ascii="楷体_GB2312" w:hAnsi="楷体_GB2312" w:eastAsia="楷体_GB2312" w:cs="楷体_GB2312"/>
        </w:rPr>
        <w:t>（一）部门预算管理</w:t>
      </w:r>
    </w:p>
    <w:p>
      <w:pPr>
        <w:widowControl/>
        <w:ind w:firstLine="620" w:firstLineChars="200"/>
        <w:jc w:val="left"/>
      </w:pPr>
      <w:r>
        <w:rPr>
          <w:rFonts w:hint="eastAsia" w:ascii="仿宋" w:hAnsi="仿宋" w:eastAsia="仿宋" w:cs="仿宋"/>
          <w:color w:val="000000"/>
          <w:kern w:val="0"/>
          <w:sz w:val="31"/>
          <w:szCs w:val="31"/>
        </w:rPr>
        <w:t xml:space="preserve">一是按照 2019 年部门预算编审要求，根据我办职能职责，结合中长期规划和年度工作计划，明确了年度主要工作 </w:t>
      </w:r>
    </w:p>
    <w:p>
      <w:pPr>
        <w:widowControl/>
        <w:jc w:val="left"/>
      </w:pPr>
      <w:r>
        <w:rPr>
          <w:rFonts w:hint="eastAsia" w:ascii="仿宋" w:hAnsi="仿宋" w:eastAsia="仿宋" w:cs="仿宋"/>
          <w:color w:val="000000"/>
          <w:kern w:val="0"/>
          <w:sz w:val="31"/>
          <w:szCs w:val="31"/>
        </w:rPr>
        <w:t xml:space="preserve">任务及年度内履职所要达到的总体产出和效果，认真填报了 </w:t>
      </w:r>
    </w:p>
    <w:p>
      <w:pPr>
        <w:widowControl/>
        <w:jc w:val="left"/>
      </w:pPr>
      <w:r>
        <w:rPr>
          <w:rFonts w:hint="eastAsia" w:ascii="仿宋" w:hAnsi="仿宋" w:eastAsia="仿宋" w:cs="仿宋"/>
          <w:color w:val="000000"/>
          <w:kern w:val="0"/>
          <w:sz w:val="31"/>
          <w:szCs w:val="31"/>
        </w:rPr>
        <w:t>我部门整体支出绩效目标。</w:t>
      </w:r>
    </w:p>
    <w:p>
      <w:pPr>
        <w:widowControl/>
        <w:ind w:firstLine="620" w:firstLineChars="200"/>
        <w:jc w:val="left"/>
      </w:pPr>
      <w:r>
        <w:rPr>
          <w:rFonts w:hint="eastAsia" w:ascii="仿宋" w:hAnsi="仿宋" w:eastAsia="仿宋" w:cs="仿宋"/>
          <w:kern w:val="0"/>
          <w:sz w:val="31"/>
          <w:szCs w:val="31"/>
        </w:rPr>
        <w:t>二是按照财政部门统一部署，我办于2020年6月24日按要求公开了本部门2019年预算；于2020年9月23日按要求公开了本部门 2019年决算。</w:t>
      </w:r>
    </w:p>
    <w:p>
      <w:pPr>
        <w:spacing w:line="576" w:lineRule="exact"/>
        <w:ind w:firstLine="642" w:firstLineChars="200"/>
        <w:outlineLvl w:val="1"/>
        <w:rPr>
          <w:rStyle w:val="26"/>
          <w:rFonts w:ascii="楷体_GB2312" w:hAnsi="楷体_GB2312" w:eastAsia="楷体_GB2312" w:cs="楷体_GB2312"/>
        </w:rPr>
      </w:pPr>
      <w:r>
        <w:rPr>
          <w:rStyle w:val="26"/>
          <w:rFonts w:hint="eastAsia" w:ascii="楷体_GB2312" w:hAnsi="楷体_GB2312" w:eastAsia="楷体_GB2312" w:cs="楷体_GB2312"/>
        </w:rPr>
        <w:t>（二）专项预算管理</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2019年，本部门无专项预算。</w:t>
      </w:r>
    </w:p>
    <w:p>
      <w:pPr>
        <w:spacing w:line="576" w:lineRule="exact"/>
        <w:ind w:firstLine="642" w:firstLineChars="200"/>
        <w:outlineLvl w:val="1"/>
        <w:rPr>
          <w:rStyle w:val="26"/>
          <w:rFonts w:ascii="楷体_GB2312" w:hAnsi="楷体_GB2312" w:eastAsia="楷体_GB2312" w:cs="楷体_GB2312"/>
        </w:rPr>
      </w:pPr>
      <w:r>
        <w:rPr>
          <w:rStyle w:val="26"/>
          <w:rFonts w:hint="eastAsia" w:ascii="楷体_GB2312" w:hAnsi="楷体_GB2312" w:eastAsia="楷体_GB2312" w:cs="楷体_GB2312"/>
        </w:rPr>
        <w:t>（三）结果应用情况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我办对部门预算绩效管理工作开展情况认真进行了自查自评。不断强化绩效理念，推动我办部门整体绩效管理水平不断提升。</w:t>
      </w:r>
    </w:p>
    <w:p>
      <w:pPr>
        <w:numPr>
          <w:ilvl w:val="0"/>
          <w:numId w:val="1"/>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评价结论及建议</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640" w:lineRule="exact"/>
        <w:ind w:right="-1" w:firstLine="640" w:firstLineChars="200"/>
        <w:jc w:val="left"/>
        <w:rPr>
          <w:rFonts w:ascii="仿宋" w:hAnsi="仿宋" w:eastAsia="仿宋" w:cs="仿宋_GB2312"/>
          <w:sz w:val="32"/>
          <w:szCs w:val="32"/>
        </w:rPr>
      </w:pPr>
      <w:r>
        <w:rPr>
          <w:rFonts w:hint="eastAsia" w:ascii="仿宋" w:hAnsi="仿宋" w:eastAsia="仿宋" w:cs="仿宋_GB2312"/>
          <w:sz w:val="32"/>
          <w:szCs w:val="32"/>
        </w:rPr>
        <w:t>2019年我部门整体支出绩效评价自查自评结果良好，全年基本支出保证了部门的正常运行和日常工作的正常开展，达到预期绩效目标。</w:t>
      </w:r>
      <w:r>
        <w:rPr>
          <w:rFonts w:ascii="仿宋" w:hAnsi="仿宋" w:eastAsia="仿宋" w:cs="仿宋"/>
          <w:color w:val="000000"/>
          <w:kern w:val="0"/>
          <w:sz w:val="31"/>
          <w:szCs w:val="31"/>
        </w:rPr>
        <w:t>按照《</w:t>
      </w:r>
      <w:r>
        <w:rPr>
          <w:rFonts w:hint="eastAsia" w:ascii="仿宋" w:hAnsi="仿宋" w:eastAsia="仿宋" w:cs="仿宋_GB2312"/>
          <w:sz w:val="32"/>
          <w:szCs w:val="32"/>
        </w:rPr>
        <w:t>茂县财政局关于开展2020年财政支出绩效评价工作的通知</w:t>
      </w:r>
      <w:r>
        <w:rPr>
          <w:rFonts w:hint="eastAsia" w:ascii="仿宋" w:hAnsi="仿宋" w:eastAsia="仿宋" w:cs="仿宋"/>
          <w:color w:val="000000"/>
          <w:kern w:val="0"/>
          <w:sz w:val="31"/>
          <w:szCs w:val="31"/>
        </w:rPr>
        <w:t>》（</w:t>
      </w:r>
      <w:r>
        <w:rPr>
          <w:rFonts w:hint="eastAsia" w:ascii="仿宋_GB2312" w:eastAsia="仿宋_GB2312"/>
          <w:color w:val="000000" w:themeColor="text1"/>
          <w:sz w:val="32"/>
          <w:szCs w:val="32"/>
        </w:rPr>
        <w:t>茂财发</w:t>
      </w:r>
      <w:r>
        <w:rPr>
          <w:rFonts w:hint="eastAsia" w:ascii="仿宋_GB2312" w:hAnsi="宋体" w:eastAsia="仿宋_GB2312"/>
          <w:color w:val="000000" w:themeColor="text1"/>
          <w:sz w:val="32"/>
          <w:szCs w:val="32"/>
        </w:rPr>
        <w:t>〔2020〕62号</w:t>
      </w:r>
      <w:r>
        <w:rPr>
          <w:rFonts w:hint="eastAsia" w:ascii="仿宋" w:hAnsi="仿宋" w:eastAsia="仿宋" w:cs="仿宋"/>
          <w:color w:val="000000"/>
          <w:kern w:val="0"/>
          <w:sz w:val="31"/>
          <w:szCs w:val="31"/>
        </w:rPr>
        <w:t xml:space="preserve">）新出台的绩效价指标体系自评得分 98分。 </w:t>
      </w:r>
    </w:p>
    <w:p>
      <w:pPr>
        <w:pStyle w:val="3"/>
        <w:spacing w:before="0" w:after="0" w:line="576" w:lineRule="exact"/>
        <w:ind w:firstLine="642" w:firstLineChars="200"/>
        <w:rPr>
          <w:rFonts w:ascii="楷体_GB2312" w:hAnsi="楷体_GB2312" w:eastAsia="楷体_GB2312" w:cs="楷体_GB2312"/>
        </w:rPr>
      </w:pPr>
      <w:r>
        <w:rPr>
          <w:rFonts w:hint="eastAsia" w:ascii="楷体_GB2312" w:hAnsi="楷体_GB2312" w:eastAsia="楷体_GB2312" w:cs="楷体_GB2312"/>
        </w:rPr>
        <w:t>（二）存在问题</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绩效目标设定有待更科学更合理。</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针对存在的问题，我们将进一步科学设定绩效目标，加强预算执行管理。改进部门收支预算编制，务实预算基础工作，提高预算编制质量。</w:t>
      </w:r>
    </w:p>
    <w:p>
      <w:pPr>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adjustRightInd w:val="0"/>
        <w:snapToGrid w:val="0"/>
        <w:spacing w:line="576" w:lineRule="exact"/>
        <w:outlineLvl w:val="0"/>
        <w:rPr>
          <w:rFonts w:ascii="仿宋_GB2312" w:eastAsia="仿宋_GB2312"/>
          <w:sz w:val="32"/>
          <w:szCs w:val="32"/>
        </w:rPr>
      </w:pPr>
      <w:bookmarkStart w:id="53" w:name="_Toc15396618"/>
    </w:p>
    <w:p>
      <w:pPr>
        <w:adjustRightInd w:val="0"/>
        <w:snapToGrid w:val="0"/>
        <w:spacing w:line="576" w:lineRule="exact"/>
        <w:outlineLvl w:val="0"/>
        <w:rPr>
          <w:rFonts w:ascii="仿宋_GB2312" w:eastAsia="仿宋_GB2312"/>
          <w:sz w:val="32"/>
          <w:szCs w:val="32"/>
        </w:rPr>
      </w:pPr>
    </w:p>
    <w:p>
      <w:pPr>
        <w:adjustRightInd w:val="0"/>
        <w:snapToGrid w:val="0"/>
        <w:spacing w:line="576" w:lineRule="exact"/>
        <w:outlineLvl w:val="0"/>
        <w:rPr>
          <w:rFonts w:ascii="仿宋_GB2312" w:eastAsia="仿宋_GB2312"/>
          <w:sz w:val="32"/>
          <w:szCs w:val="32"/>
        </w:rPr>
      </w:pPr>
    </w:p>
    <w:p>
      <w:pPr>
        <w:adjustRightInd w:val="0"/>
        <w:snapToGrid w:val="0"/>
        <w:spacing w:line="576" w:lineRule="exact"/>
        <w:outlineLvl w:val="0"/>
        <w:rPr>
          <w:rFonts w:ascii="仿宋_GB2312" w:eastAsia="仿宋_GB2312"/>
          <w:sz w:val="32"/>
          <w:szCs w:val="32"/>
        </w:rPr>
      </w:pPr>
    </w:p>
    <w:p>
      <w:pPr>
        <w:adjustRightInd w:val="0"/>
        <w:snapToGrid w:val="0"/>
        <w:spacing w:line="576" w:lineRule="exact"/>
        <w:outlineLvl w:val="0"/>
        <w:rPr>
          <w:rFonts w:ascii="仿宋_GB2312" w:eastAsia="仿宋_GB2312"/>
          <w:sz w:val="32"/>
          <w:szCs w:val="32"/>
        </w:rPr>
      </w:pPr>
    </w:p>
    <w:p>
      <w:pPr>
        <w:adjustRightInd w:val="0"/>
        <w:snapToGrid w:val="0"/>
        <w:spacing w:line="576" w:lineRule="exact"/>
        <w:outlineLvl w:val="0"/>
        <w:rPr>
          <w:rFonts w:ascii="仿宋_GB2312" w:eastAsia="仿宋_GB2312"/>
          <w:sz w:val="32"/>
          <w:szCs w:val="32"/>
        </w:rPr>
      </w:pPr>
    </w:p>
    <w:bookmarkEnd w:id="51"/>
    <w:bookmarkEnd w:id="53"/>
    <w:p>
      <w:pPr>
        <w:spacing w:line="600" w:lineRule="exact"/>
        <w:ind w:firstLine="2640" w:firstLineChars="600"/>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rPr>
        <w:t>五部分 附表</w:t>
      </w:r>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4"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4"/>
    </w:p>
    <w:p>
      <w:pPr>
        <w:pStyle w:val="3"/>
        <w:rPr>
          <w:rFonts w:ascii="仿宋" w:hAnsi="仿宋" w:eastAsia="仿宋"/>
          <w:color w:val="000000"/>
        </w:rPr>
      </w:pPr>
      <w:bookmarkStart w:id="55"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55"/>
    </w:p>
    <w:p>
      <w:pPr>
        <w:pStyle w:val="3"/>
        <w:rPr>
          <w:rFonts w:ascii="仿宋" w:hAnsi="仿宋" w:eastAsia="仿宋"/>
          <w:color w:val="000000"/>
        </w:rPr>
      </w:pPr>
      <w:bookmarkStart w:id="56"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56"/>
    </w:p>
    <w:p>
      <w:pPr>
        <w:pStyle w:val="3"/>
        <w:rPr>
          <w:rFonts w:ascii="仿宋" w:hAnsi="仿宋" w:eastAsia="仿宋"/>
          <w:b w:val="0"/>
          <w:color w:val="000000"/>
        </w:rPr>
      </w:pPr>
      <w:bookmarkStart w:id="57"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57"/>
    </w:p>
    <w:p>
      <w:pPr>
        <w:pStyle w:val="3"/>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58"/>
      <w:bookmarkStart w:id="59"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59"/>
    </w:p>
    <w:p>
      <w:pPr>
        <w:pStyle w:val="3"/>
        <w:rPr>
          <w:rFonts w:ascii="仿宋" w:hAnsi="仿宋" w:eastAsia="仿宋"/>
          <w:color w:val="000000"/>
        </w:rPr>
      </w:pPr>
      <w:bookmarkStart w:id="60"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0"/>
    </w:p>
    <w:p>
      <w:pPr>
        <w:pStyle w:val="3"/>
        <w:rPr>
          <w:rFonts w:ascii="仿宋" w:hAnsi="仿宋" w:eastAsia="仿宋"/>
          <w:color w:val="000000"/>
        </w:rPr>
      </w:pPr>
      <w:bookmarkStart w:id="61"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1"/>
    </w:p>
    <w:p>
      <w:pPr>
        <w:pStyle w:val="3"/>
        <w:rPr>
          <w:rFonts w:ascii="仿宋" w:hAnsi="仿宋" w:eastAsia="仿宋"/>
          <w:color w:val="000000"/>
        </w:rPr>
      </w:pPr>
      <w:bookmarkStart w:id="62"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2"/>
    </w:p>
    <w:p>
      <w:pPr>
        <w:pStyle w:val="3"/>
        <w:rPr>
          <w:rFonts w:ascii="仿宋" w:hAnsi="仿宋" w:eastAsia="仿宋"/>
          <w:color w:val="000000"/>
        </w:rPr>
      </w:pPr>
      <w:bookmarkStart w:id="63"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3"/>
    </w:p>
    <w:p>
      <w:pPr>
        <w:pStyle w:val="3"/>
        <w:rPr>
          <w:rFonts w:ascii="仿宋" w:hAnsi="仿宋" w:eastAsia="仿宋"/>
          <w:color w:val="000000"/>
        </w:rPr>
      </w:pPr>
      <w:bookmarkStart w:id="64"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4"/>
    </w:p>
    <w:p>
      <w:pPr>
        <w:pStyle w:val="3"/>
        <w:rPr>
          <w:rFonts w:ascii="仿宋" w:hAnsi="仿宋" w:eastAsia="仿宋"/>
          <w:color w:val="000000"/>
        </w:rPr>
      </w:pPr>
      <w:bookmarkStart w:id="65"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5"/>
    </w:p>
    <w:p>
      <w:pPr>
        <w:pStyle w:val="3"/>
        <w:rPr>
          <w:rFonts w:ascii="仿宋" w:hAnsi="仿宋" w:eastAsia="仿宋"/>
          <w:color w:val="000000" w:themeColor="text1"/>
        </w:rPr>
      </w:pPr>
      <w:bookmarkStart w:id="66"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66"/>
    </w:p>
    <w:p>
      <w:pPr>
        <w:adjustRightInd w:val="0"/>
        <w:snapToGrid w:val="0"/>
        <w:spacing w:line="576" w:lineRule="exact"/>
        <w:outlineLvl w:val="0"/>
        <w:rPr>
          <w:rFonts w:eastAsia="仿宋"/>
          <w:b/>
          <w:bCs/>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5D28C"/>
    <w:multiLevelType w:val="singleLevel"/>
    <w:tmpl w:val="24B5D28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06CC2"/>
    <w:rsid w:val="000222C6"/>
    <w:rsid w:val="00022EF4"/>
    <w:rsid w:val="0002549F"/>
    <w:rsid w:val="00055153"/>
    <w:rsid w:val="0006487A"/>
    <w:rsid w:val="00065F8F"/>
    <w:rsid w:val="00067B06"/>
    <w:rsid w:val="000768F2"/>
    <w:rsid w:val="0009184B"/>
    <w:rsid w:val="0009593C"/>
    <w:rsid w:val="000B047F"/>
    <w:rsid w:val="000B5923"/>
    <w:rsid w:val="000B5A48"/>
    <w:rsid w:val="000B6FF3"/>
    <w:rsid w:val="000C3467"/>
    <w:rsid w:val="000C3CA6"/>
    <w:rsid w:val="000D1267"/>
    <w:rsid w:val="000D1D50"/>
    <w:rsid w:val="000D5782"/>
    <w:rsid w:val="000E2F59"/>
    <w:rsid w:val="000E6613"/>
    <w:rsid w:val="000E7119"/>
    <w:rsid w:val="00114E9B"/>
    <w:rsid w:val="0012025D"/>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07A07"/>
    <w:rsid w:val="0021101A"/>
    <w:rsid w:val="00220536"/>
    <w:rsid w:val="002241EB"/>
    <w:rsid w:val="00235629"/>
    <w:rsid w:val="00236B74"/>
    <w:rsid w:val="00260C38"/>
    <w:rsid w:val="002616C0"/>
    <w:rsid w:val="002662AA"/>
    <w:rsid w:val="00280496"/>
    <w:rsid w:val="00295495"/>
    <w:rsid w:val="002B2613"/>
    <w:rsid w:val="002B519E"/>
    <w:rsid w:val="002C1145"/>
    <w:rsid w:val="002C4994"/>
    <w:rsid w:val="002D79FF"/>
    <w:rsid w:val="002F1818"/>
    <w:rsid w:val="002F567B"/>
    <w:rsid w:val="003216A9"/>
    <w:rsid w:val="00367163"/>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552EF"/>
    <w:rsid w:val="00471401"/>
    <w:rsid w:val="00473F31"/>
    <w:rsid w:val="0048263A"/>
    <w:rsid w:val="00487E5D"/>
    <w:rsid w:val="004A711F"/>
    <w:rsid w:val="004B199D"/>
    <w:rsid w:val="004B4690"/>
    <w:rsid w:val="004D25A6"/>
    <w:rsid w:val="004E0A2D"/>
    <w:rsid w:val="004E206B"/>
    <w:rsid w:val="004E6DF7"/>
    <w:rsid w:val="004F0FBD"/>
    <w:rsid w:val="00505A47"/>
    <w:rsid w:val="00512FDA"/>
    <w:rsid w:val="00520DA0"/>
    <w:rsid w:val="00535E57"/>
    <w:rsid w:val="0054025F"/>
    <w:rsid w:val="005664BB"/>
    <w:rsid w:val="0057481D"/>
    <w:rsid w:val="0058486E"/>
    <w:rsid w:val="005D1C8B"/>
    <w:rsid w:val="005D5CED"/>
    <w:rsid w:val="005F1A4C"/>
    <w:rsid w:val="00605688"/>
    <w:rsid w:val="006070AF"/>
    <w:rsid w:val="00607E6C"/>
    <w:rsid w:val="006101B1"/>
    <w:rsid w:val="00614E44"/>
    <w:rsid w:val="00622830"/>
    <w:rsid w:val="00627FAD"/>
    <w:rsid w:val="00630AEF"/>
    <w:rsid w:val="006325F8"/>
    <w:rsid w:val="00634C9A"/>
    <w:rsid w:val="006440E4"/>
    <w:rsid w:val="0066343B"/>
    <w:rsid w:val="00664777"/>
    <w:rsid w:val="006748A4"/>
    <w:rsid w:val="00683E73"/>
    <w:rsid w:val="006A3141"/>
    <w:rsid w:val="006A5E34"/>
    <w:rsid w:val="006B2422"/>
    <w:rsid w:val="006B2B9A"/>
    <w:rsid w:val="006C1937"/>
    <w:rsid w:val="006C255A"/>
    <w:rsid w:val="006C6A3A"/>
    <w:rsid w:val="006F020C"/>
    <w:rsid w:val="007127B7"/>
    <w:rsid w:val="00716A78"/>
    <w:rsid w:val="007416B6"/>
    <w:rsid w:val="00746F48"/>
    <w:rsid w:val="0075404D"/>
    <w:rsid w:val="00756BD3"/>
    <w:rsid w:val="0076182A"/>
    <w:rsid w:val="00767B7E"/>
    <w:rsid w:val="007770C3"/>
    <w:rsid w:val="00784D24"/>
    <w:rsid w:val="00785FBA"/>
    <w:rsid w:val="00786E4A"/>
    <w:rsid w:val="007875EB"/>
    <w:rsid w:val="0079426B"/>
    <w:rsid w:val="007B2F97"/>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8F37BD"/>
    <w:rsid w:val="00900B08"/>
    <w:rsid w:val="00902155"/>
    <w:rsid w:val="00902FA3"/>
    <w:rsid w:val="00913577"/>
    <w:rsid w:val="00922386"/>
    <w:rsid w:val="00923564"/>
    <w:rsid w:val="0092392E"/>
    <w:rsid w:val="009315F9"/>
    <w:rsid w:val="00946945"/>
    <w:rsid w:val="00951248"/>
    <w:rsid w:val="0095152F"/>
    <w:rsid w:val="00954C49"/>
    <w:rsid w:val="009701B1"/>
    <w:rsid w:val="0097099F"/>
    <w:rsid w:val="00971997"/>
    <w:rsid w:val="00971FFC"/>
    <w:rsid w:val="00974DD5"/>
    <w:rsid w:val="0098660A"/>
    <w:rsid w:val="009931C3"/>
    <w:rsid w:val="009A1953"/>
    <w:rsid w:val="009B2C43"/>
    <w:rsid w:val="009B4EAE"/>
    <w:rsid w:val="009B7573"/>
    <w:rsid w:val="009C22F4"/>
    <w:rsid w:val="009C2E98"/>
    <w:rsid w:val="009C670A"/>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92F"/>
    <w:rsid w:val="00A93B00"/>
    <w:rsid w:val="00A93C21"/>
    <w:rsid w:val="00AA4877"/>
    <w:rsid w:val="00AC3C6A"/>
    <w:rsid w:val="00AD5620"/>
    <w:rsid w:val="00AD7C1B"/>
    <w:rsid w:val="00AE16BA"/>
    <w:rsid w:val="00AE1EBE"/>
    <w:rsid w:val="00B03C9D"/>
    <w:rsid w:val="00B060AE"/>
    <w:rsid w:val="00B10517"/>
    <w:rsid w:val="00B13918"/>
    <w:rsid w:val="00B14E76"/>
    <w:rsid w:val="00B161B8"/>
    <w:rsid w:val="00B2048C"/>
    <w:rsid w:val="00B310B9"/>
    <w:rsid w:val="00B35F3F"/>
    <w:rsid w:val="00B36CBB"/>
    <w:rsid w:val="00B425E0"/>
    <w:rsid w:val="00B440AA"/>
    <w:rsid w:val="00B44B70"/>
    <w:rsid w:val="00B53C56"/>
    <w:rsid w:val="00B64D3A"/>
    <w:rsid w:val="00B77EA6"/>
    <w:rsid w:val="00B81598"/>
    <w:rsid w:val="00B838E2"/>
    <w:rsid w:val="00B841F1"/>
    <w:rsid w:val="00B944D6"/>
    <w:rsid w:val="00BB4DF0"/>
    <w:rsid w:val="00BC289F"/>
    <w:rsid w:val="00BC406E"/>
    <w:rsid w:val="00BC5361"/>
    <w:rsid w:val="00BC5460"/>
    <w:rsid w:val="00BC6B50"/>
    <w:rsid w:val="00BD0E25"/>
    <w:rsid w:val="00BF3654"/>
    <w:rsid w:val="00BF5BD6"/>
    <w:rsid w:val="00BF67A3"/>
    <w:rsid w:val="00C03E31"/>
    <w:rsid w:val="00C33E72"/>
    <w:rsid w:val="00C354B2"/>
    <w:rsid w:val="00C35554"/>
    <w:rsid w:val="00C42709"/>
    <w:rsid w:val="00C42D2D"/>
    <w:rsid w:val="00C533CC"/>
    <w:rsid w:val="00C5751C"/>
    <w:rsid w:val="00C61BFC"/>
    <w:rsid w:val="00C62B85"/>
    <w:rsid w:val="00C65438"/>
    <w:rsid w:val="00C91CBB"/>
    <w:rsid w:val="00C97111"/>
    <w:rsid w:val="00CB11F5"/>
    <w:rsid w:val="00CC09B6"/>
    <w:rsid w:val="00CC4729"/>
    <w:rsid w:val="00CC666F"/>
    <w:rsid w:val="00CD1E3F"/>
    <w:rsid w:val="00CE44F6"/>
    <w:rsid w:val="00CE49DA"/>
    <w:rsid w:val="00CE65B8"/>
    <w:rsid w:val="00CE7B61"/>
    <w:rsid w:val="00CF69AF"/>
    <w:rsid w:val="00D00095"/>
    <w:rsid w:val="00D20620"/>
    <w:rsid w:val="00D22BDC"/>
    <w:rsid w:val="00D26091"/>
    <w:rsid w:val="00D34E7C"/>
    <w:rsid w:val="00D35489"/>
    <w:rsid w:val="00D4725D"/>
    <w:rsid w:val="00D51276"/>
    <w:rsid w:val="00D7035F"/>
    <w:rsid w:val="00D75B89"/>
    <w:rsid w:val="00DA0143"/>
    <w:rsid w:val="00DA65AC"/>
    <w:rsid w:val="00DB1913"/>
    <w:rsid w:val="00DC410D"/>
    <w:rsid w:val="00DC68CA"/>
    <w:rsid w:val="00DC7CBA"/>
    <w:rsid w:val="00DD73B7"/>
    <w:rsid w:val="00DF1191"/>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B208A"/>
    <w:rsid w:val="00FD3CC1"/>
    <w:rsid w:val="00FD453F"/>
    <w:rsid w:val="00FF1E02"/>
    <w:rsid w:val="00FF30B4"/>
    <w:rsid w:val="01B337B6"/>
    <w:rsid w:val="03F167F5"/>
    <w:rsid w:val="07B415A4"/>
    <w:rsid w:val="09AC7767"/>
    <w:rsid w:val="0A3B176D"/>
    <w:rsid w:val="0CA85DF0"/>
    <w:rsid w:val="0DF71EAD"/>
    <w:rsid w:val="10656B53"/>
    <w:rsid w:val="10C055FF"/>
    <w:rsid w:val="119C6E6E"/>
    <w:rsid w:val="11F8677D"/>
    <w:rsid w:val="12DA71B9"/>
    <w:rsid w:val="16BB723D"/>
    <w:rsid w:val="177626B5"/>
    <w:rsid w:val="184257B1"/>
    <w:rsid w:val="1BB2048E"/>
    <w:rsid w:val="1C02671C"/>
    <w:rsid w:val="1FAD5C9A"/>
    <w:rsid w:val="212069CB"/>
    <w:rsid w:val="2331653C"/>
    <w:rsid w:val="23A548EC"/>
    <w:rsid w:val="240371BF"/>
    <w:rsid w:val="24112F1D"/>
    <w:rsid w:val="242A65BF"/>
    <w:rsid w:val="259F0ED8"/>
    <w:rsid w:val="26DF1A16"/>
    <w:rsid w:val="27221094"/>
    <w:rsid w:val="28834385"/>
    <w:rsid w:val="29D23E1C"/>
    <w:rsid w:val="29F81DC3"/>
    <w:rsid w:val="29FD04D3"/>
    <w:rsid w:val="2AEF4A38"/>
    <w:rsid w:val="2B7A4051"/>
    <w:rsid w:val="2F814C46"/>
    <w:rsid w:val="307A6FCE"/>
    <w:rsid w:val="319F7F4E"/>
    <w:rsid w:val="322B3CA5"/>
    <w:rsid w:val="32E97200"/>
    <w:rsid w:val="33214CE2"/>
    <w:rsid w:val="343D0D63"/>
    <w:rsid w:val="387E4819"/>
    <w:rsid w:val="39185991"/>
    <w:rsid w:val="39C90D8D"/>
    <w:rsid w:val="39D25A48"/>
    <w:rsid w:val="3A794809"/>
    <w:rsid w:val="3B2325DE"/>
    <w:rsid w:val="3DB84F47"/>
    <w:rsid w:val="3F5D18D8"/>
    <w:rsid w:val="3F6111B9"/>
    <w:rsid w:val="4280432F"/>
    <w:rsid w:val="438D1B9C"/>
    <w:rsid w:val="4429039F"/>
    <w:rsid w:val="44EC4180"/>
    <w:rsid w:val="455F57F6"/>
    <w:rsid w:val="46E80DE5"/>
    <w:rsid w:val="47BA5272"/>
    <w:rsid w:val="47C200BE"/>
    <w:rsid w:val="4A554C44"/>
    <w:rsid w:val="4A957666"/>
    <w:rsid w:val="4CE06F4B"/>
    <w:rsid w:val="4CF60BAA"/>
    <w:rsid w:val="4F672B6A"/>
    <w:rsid w:val="504B3876"/>
    <w:rsid w:val="518F0326"/>
    <w:rsid w:val="51A72A93"/>
    <w:rsid w:val="51E50911"/>
    <w:rsid w:val="5C5F4575"/>
    <w:rsid w:val="5EEB5084"/>
    <w:rsid w:val="5F482BB2"/>
    <w:rsid w:val="5F67059A"/>
    <w:rsid w:val="613056BA"/>
    <w:rsid w:val="61F643EB"/>
    <w:rsid w:val="63242451"/>
    <w:rsid w:val="63407ACA"/>
    <w:rsid w:val="660E4C11"/>
    <w:rsid w:val="6635712D"/>
    <w:rsid w:val="691E6E58"/>
    <w:rsid w:val="6DDB385B"/>
    <w:rsid w:val="6E876971"/>
    <w:rsid w:val="6E9D0D6A"/>
    <w:rsid w:val="728B001C"/>
    <w:rsid w:val="745B046E"/>
    <w:rsid w:val="7A936A8A"/>
    <w:rsid w:val="7B426F8D"/>
    <w:rsid w:val="7E295D6F"/>
    <w:rsid w:val="DDEE11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6.bin"/></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embeddings/oleObject7.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
                </c:pt>
              </c:strCache>
            </c:strRef>
          </c:tx>
          <c:spPr>
            <a:solidFill>
              <a:schemeClr val="accent1">
                <a:alpha val="7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Sheet1!$A$2:$A$3</c:f>
              <c:strCache>
                <c:ptCount val="2"/>
                <c:pt idx="0">
                  <c:v>2018年</c:v>
                </c:pt>
                <c:pt idx="1">
                  <c:v>2019年</c:v>
                </c:pt>
              </c:strCache>
            </c:strRef>
          </c:cat>
          <c:val>
            <c:numRef>
              <c:f>Sheet1!$B$2:$B$3</c:f>
              <c:numCache>
                <c:formatCode>General</c:formatCode>
                <c:ptCount val="2"/>
                <c:pt idx="0">
                  <c:v>177.25</c:v>
                </c:pt>
                <c:pt idx="1">
                  <c:v>189.35</c:v>
                </c:pt>
              </c:numCache>
            </c:numRef>
          </c:val>
        </c:ser>
        <c:ser>
          <c:idx val="1"/>
          <c:order val="1"/>
          <c:tx>
            <c:strRef>
              <c:f>Sheet1!#REF!</c:f>
              <c:strCache>
                <c:ptCount val="1"/>
                <c:pt idx="0">
                  <c:v/>
                </c:pt>
              </c:strCache>
            </c:strRef>
          </c:tx>
          <c:spPr>
            <a:solidFill>
              <a:schemeClr val="accent2">
                <a:alpha val="70000"/>
              </a:schemeClr>
            </a:solidFill>
            <a:ln>
              <a:noFill/>
            </a:ln>
            <a:effectLst/>
          </c:spPr>
          <c:invertIfNegative val="false"/>
          <c:dLbls>
            <c:delete val="true"/>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70000"/>
              </a:schemeClr>
            </a:solidFill>
            <a:ln>
              <a:noFill/>
            </a:ln>
            <a:effectLst/>
          </c:spPr>
          <c:invertIfNegative val="false"/>
          <c:dLbls>
            <c:delete val="true"/>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80"/>
        <c:overlap val="25"/>
        <c:axId val="62020224"/>
        <c:axId val="48587136"/>
      </c:barChart>
      <c:catAx>
        <c:axId val="62020224"/>
        <c:scaling>
          <c:orientation val="minMax"/>
        </c:scaling>
        <c:delete val="false"/>
        <c:axPos val="b"/>
        <c:majorTickMark val="none"/>
        <c:minorTickMark val="none"/>
        <c:tickLblPos val="nextTo"/>
        <c:spPr>
          <a:noFill/>
          <a:ln w="15875" cap="flat" cmpd="sng" algn="ctr">
            <a:solidFill>
              <a:schemeClr val="tx1">
                <a:lumMod val="25000"/>
                <a:lumOff val="75000"/>
              </a:schemeClr>
            </a:solidFill>
            <a:round/>
          </a:ln>
          <a:effectLst/>
        </c:spPr>
        <c:txPr>
          <a:bodyPr rot="-60000000" spcFirstLastPara="0" vertOverflow="ellipsis" vert="horz" wrap="square" anchor="ctr" anchorCtr="true"/>
          <a:lstStyle/>
          <a:p>
            <a:pPr>
              <a:defRPr lang="zh-CN" sz="900" b="0" i="0" u="none" strike="noStrike" kern="1200" cap="none" spc="20" normalizeH="0" baseline="0">
                <a:solidFill>
                  <a:schemeClr val="tx1">
                    <a:lumMod val="65000"/>
                    <a:lumOff val="35000"/>
                  </a:schemeClr>
                </a:solidFill>
                <a:latin typeface="+mn-lt"/>
                <a:ea typeface="+mn-ea"/>
                <a:cs typeface="+mn-cs"/>
              </a:defRPr>
            </a:pPr>
          </a:p>
        </c:txPr>
        <c:crossAx val="48587136"/>
        <c:crosses val="autoZero"/>
        <c:auto val="true"/>
        <c:lblAlgn val="ctr"/>
        <c:lblOffset val="100"/>
        <c:noMultiLvlLbl val="false"/>
      </c:catAx>
      <c:valAx>
        <c:axId val="48587136"/>
        <c:scaling>
          <c:orientation val="minMax"/>
        </c:scaling>
        <c:delete val="false"/>
        <c:axPos val="l"/>
        <c:majorGridlines>
          <c:spPr>
            <a:ln w="9525" cap="flat" cmpd="sng" algn="ctr">
              <a:solidFill>
                <a:schemeClr val="tx1">
                  <a:lumMod val="5000"/>
                  <a:lumOff val="9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spc="20" baseline="0">
                <a:solidFill>
                  <a:schemeClr val="tx1">
                    <a:lumMod val="65000"/>
                    <a:lumOff val="35000"/>
                  </a:schemeClr>
                </a:solidFill>
                <a:latin typeface="+mn-lt"/>
                <a:ea typeface="+mn-ea"/>
                <a:cs typeface="+mn-cs"/>
              </a:defRPr>
            </a:pPr>
          </a:p>
        </c:txPr>
        <c:crossAx val="62020224"/>
        <c:crosses val="autoZero"/>
        <c:crossBetween val="between"/>
      </c:valAx>
      <c:spPr>
        <a:noFill/>
        <a:ln>
          <a:noFill/>
        </a:ln>
        <a:effectLst/>
      </c:spPr>
    </c:plotArea>
    <c:plotVisOnly val="true"/>
    <c:dispBlanksAs val="gap"/>
    <c:showDLblsOverMax val="false"/>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本年收入189.19万元</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Lbls>
            <c:dLbl>
              <c:idx val="0"/>
              <c:layout>
                <c:manualLayout>
                  <c:x val="-0.00519182727996174"/>
                  <c:y val="-0.465972416999751"/>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69769856376536"/>
                      <c:h val="0.285881252921926"/>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一般公共预算财政拨款收入占</c:v>
                </c:pt>
              </c:strCache>
            </c:strRef>
          </c:cat>
          <c:val>
            <c:numRef>
              <c:f>Sheet1!$B$2</c:f>
              <c:numCache>
                <c:formatCode>0%</c:formatCode>
                <c:ptCount val="1"/>
                <c:pt idx="0">
                  <c:v>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Lbls>
            <c:dLbl>
              <c:idx val="0"/>
              <c:layout>
                <c:manualLayout>
                  <c:x val="-6.91422818428174e-7"/>
                  <c:y val="-0.515078163164876"/>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322143810795346"/>
                      <c:h val="0.153883732291158"/>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基本支出占</c:v>
                </c:pt>
              </c:strCache>
            </c:strRef>
          </c:cat>
          <c:val>
            <c:numRef>
              <c:f>Sheet1!$B$2</c:f>
              <c:numCache>
                <c:formatCode>0%</c:formatCode>
                <c:ptCount val="1"/>
                <c:pt idx="0">
                  <c:v>1</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
                </c:pt>
              </c:strCache>
            </c:strRef>
          </c:tx>
          <c:spPr>
            <a:solidFill>
              <a:schemeClr val="accent1">
                <a:alpha val="7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Sheet1!$A$2:$A$3</c:f>
              <c:strCache>
                <c:ptCount val="2"/>
                <c:pt idx="0">
                  <c:v>2018年</c:v>
                </c:pt>
                <c:pt idx="1">
                  <c:v>2019年</c:v>
                </c:pt>
              </c:strCache>
            </c:strRef>
          </c:cat>
          <c:val>
            <c:numRef>
              <c:f>Sheet1!$B$2:$B$3</c:f>
              <c:numCache>
                <c:formatCode>General</c:formatCode>
                <c:ptCount val="2"/>
                <c:pt idx="0">
                  <c:v>177.25</c:v>
                </c:pt>
                <c:pt idx="1">
                  <c:v>189.19</c:v>
                </c:pt>
              </c:numCache>
            </c:numRef>
          </c:val>
        </c:ser>
        <c:ser>
          <c:idx val="1"/>
          <c:order val="1"/>
          <c:tx>
            <c:strRef>
              <c:f>Sheet1!#REF!</c:f>
              <c:strCache>
                <c:ptCount val="1"/>
                <c:pt idx="0">
                  <c:v/>
                </c:pt>
              </c:strCache>
            </c:strRef>
          </c:tx>
          <c:spPr>
            <a:solidFill>
              <a:schemeClr val="accent2">
                <a:alpha val="70000"/>
              </a:schemeClr>
            </a:solidFill>
            <a:ln>
              <a:noFill/>
            </a:ln>
            <a:effectLst/>
          </c:spPr>
          <c:invertIfNegative val="false"/>
          <c:dLbls>
            <c:delete val="true"/>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70000"/>
              </a:schemeClr>
            </a:solidFill>
            <a:ln>
              <a:noFill/>
            </a:ln>
            <a:effectLst/>
          </c:spPr>
          <c:invertIfNegative val="false"/>
          <c:dLbls>
            <c:delete val="true"/>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80"/>
        <c:overlap val="25"/>
        <c:axId val="78617216"/>
        <c:axId val="78631296"/>
      </c:barChart>
      <c:catAx>
        <c:axId val="78617216"/>
        <c:scaling>
          <c:orientation val="minMax"/>
        </c:scaling>
        <c:delete val="false"/>
        <c:axPos val="b"/>
        <c:majorTickMark val="none"/>
        <c:minorTickMark val="none"/>
        <c:tickLblPos val="nextTo"/>
        <c:spPr>
          <a:noFill/>
          <a:ln w="15875" cap="flat" cmpd="sng" algn="ctr">
            <a:solidFill>
              <a:schemeClr val="tx1">
                <a:lumMod val="25000"/>
                <a:lumOff val="75000"/>
              </a:schemeClr>
            </a:solidFill>
            <a:round/>
          </a:ln>
          <a:effectLst/>
        </c:spPr>
        <c:txPr>
          <a:bodyPr rot="-60000000" spcFirstLastPara="0" vertOverflow="ellipsis" vert="horz" wrap="square" anchor="ctr" anchorCtr="true"/>
          <a:lstStyle/>
          <a:p>
            <a:pPr>
              <a:defRPr lang="zh-CN" sz="900" b="0" i="0" u="none" strike="noStrike" kern="1200" cap="none" spc="20" normalizeH="0" baseline="0">
                <a:solidFill>
                  <a:schemeClr val="tx1">
                    <a:lumMod val="65000"/>
                    <a:lumOff val="35000"/>
                  </a:schemeClr>
                </a:solidFill>
                <a:latin typeface="+mn-lt"/>
                <a:ea typeface="+mn-ea"/>
                <a:cs typeface="+mn-cs"/>
              </a:defRPr>
            </a:pPr>
          </a:p>
        </c:txPr>
        <c:crossAx val="78631296"/>
        <c:crosses val="autoZero"/>
        <c:auto val="true"/>
        <c:lblAlgn val="ctr"/>
        <c:lblOffset val="100"/>
        <c:noMultiLvlLbl val="false"/>
      </c:catAx>
      <c:valAx>
        <c:axId val="78631296"/>
        <c:scaling>
          <c:orientation val="minMax"/>
        </c:scaling>
        <c:delete val="false"/>
        <c:axPos val="l"/>
        <c:majorGridlines>
          <c:spPr>
            <a:ln w="9525" cap="flat" cmpd="sng" algn="ctr">
              <a:solidFill>
                <a:schemeClr val="tx1">
                  <a:lumMod val="5000"/>
                  <a:lumOff val="9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spc="20" baseline="0">
                <a:solidFill>
                  <a:schemeClr val="tx1">
                    <a:lumMod val="65000"/>
                    <a:lumOff val="35000"/>
                  </a:schemeClr>
                </a:solidFill>
                <a:latin typeface="+mn-lt"/>
                <a:ea typeface="+mn-ea"/>
                <a:cs typeface="+mn-cs"/>
              </a:defRPr>
            </a:pPr>
          </a:p>
        </c:txPr>
        <c:crossAx val="78617216"/>
        <c:crosses val="autoZero"/>
        <c:crossBetween val="between"/>
      </c:valAx>
      <c:spPr>
        <a:noFill/>
        <a:ln>
          <a:noFill/>
        </a:ln>
        <a:effectLst/>
      </c:spPr>
    </c:plotArea>
    <c:plotVisOnly val="true"/>
    <c:dispBlanksAs val="gap"/>
    <c:showDLblsOverMax val="false"/>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316574338870415"/>
          <c:y val="0.0370432450553135"/>
        </c:manualLayout>
      </c:layout>
      <c:overlay val="false"/>
      <c:spPr>
        <a:noFill/>
        <a:ln>
          <a:noFill/>
        </a:ln>
        <a:effectLst/>
      </c:spPr>
    </c:title>
    <c:autoTitleDeleted val="false"/>
    <c:plotArea>
      <c:layout>
        <c:manualLayout>
          <c:layoutTarget val="inner"/>
          <c:xMode val="edge"/>
          <c:yMode val="edge"/>
          <c:x val="0.171067998304345"/>
          <c:y val="0.169886087174007"/>
          <c:w val="0.824402332361516"/>
          <c:h val="0.733333333333334"/>
        </c:manualLayout>
      </c:layout>
      <c:barChart>
        <c:barDir val="col"/>
        <c:grouping val="clustered"/>
        <c:varyColors val="false"/>
        <c:ser>
          <c:idx val="0"/>
          <c:order val="0"/>
          <c:tx>
            <c:strRef>
              <c:f>Sheet1!$B$1</c:f>
              <c:strCache>
                <c:ptCount val="1"/>
                <c:pt idx="0">
                  <c:v>2018年</c:v>
                </c:pt>
              </c:strCache>
            </c:strRef>
          </c:tx>
          <c:spPr>
            <a:solidFill>
              <a:schemeClr val="accent1"/>
            </a:solidFill>
            <a:ln>
              <a:noFill/>
            </a:ln>
            <a:effectLst/>
          </c:spPr>
          <c:invertIfNegative val="false"/>
          <c:dLbls>
            <c:delete val="true"/>
          </c:dLbls>
          <c:cat>
            <c:strRef>
              <c:f>Sheet1!$A$2</c:f>
              <c:strCache>
                <c:ptCount val="1"/>
                <c:pt idx="0">
                  <c:v>一般公共预算财政拨款支出</c:v>
                </c:pt>
              </c:strCache>
            </c:strRef>
          </c:cat>
          <c:val>
            <c:numRef>
              <c:f>Sheet1!$B$2</c:f>
              <c:numCache>
                <c:formatCode>General</c:formatCode>
                <c:ptCount val="1"/>
                <c:pt idx="0">
                  <c:v>177.25</c:v>
                </c:pt>
              </c:numCache>
            </c:numRef>
          </c:val>
        </c:ser>
        <c:ser>
          <c:idx val="1"/>
          <c:order val="1"/>
          <c:tx>
            <c:strRef>
              <c:f>Sheet1!$C$1</c:f>
              <c:strCache>
                <c:ptCount val="1"/>
                <c:pt idx="0">
                  <c:v>2019年</c:v>
                </c:pt>
              </c:strCache>
            </c:strRef>
          </c:tx>
          <c:spPr>
            <a:solidFill>
              <a:schemeClr val="accent2"/>
            </a:solidFill>
            <a:ln>
              <a:noFill/>
            </a:ln>
            <a:effectLst/>
          </c:spPr>
          <c:invertIfNegative val="false"/>
          <c:dLbls>
            <c:delete val="true"/>
          </c:dLbls>
          <c:cat>
            <c:strRef>
              <c:f>Sheet1!$A$2</c:f>
              <c:strCache>
                <c:ptCount val="1"/>
                <c:pt idx="0">
                  <c:v>一般公共预算财政拨款支出</c:v>
                </c:pt>
              </c:strCache>
            </c:strRef>
          </c:cat>
          <c:val>
            <c:numRef>
              <c:f>Sheet1!$C$2</c:f>
              <c:numCache>
                <c:formatCode>General</c:formatCode>
                <c:ptCount val="1"/>
                <c:pt idx="0">
                  <c:v>188.21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78656256"/>
        <c:axId val="78657792"/>
      </c:barChart>
      <c:catAx>
        <c:axId val="78656256"/>
        <c:scaling>
          <c:orientation val="minMax"/>
        </c:scaling>
        <c:delete val="true"/>
        <c:axPos val="b"/>
        <c:majorTickMark val="none"/>
        <c:minorTickMark val="none"/>
        <c:tickLblPos val="none"/>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657792"/>
        <c:crosses val="autoZero"/>
        <c:auto val="true"/>
        <c:lblAlgn val="ctr"/>
        <c:lblOffset val="100"/>
        <c:noMultiLvlLbl val="false"/>
      </c:catAx>
      <c:valAx>
        <c:axId val="7865779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656256"/>
        <c:crosses val="autoZero"/>
        <c:crossBetween val="between"/>
      </c:valAx>
      <c:spPr>
        <a:noFill/>
        <a:ln>
          <a:noFill/>
        </a:ln>
        <a:effectLst/>
      </c:spPr>
    </c:plotArea>
    <c:legend>
      <c:legendPos val="b"/>
      <c:legendEntry>
        <c:idx val="2"/>
        <c:delete val="true"/>
      </c:legendEntry>
      <c:layout>
        <c:manualLayout>
          <c:xMode val="edge"/>
          <c:yMode val="edge"/>
          <c:x val="0.412350898384419"/>
          <c:y val="0.898751733703191"/>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c:v>
                </c:pt>
              </c:strCache>
            </c:strRef>
          </c:tx>
          <c:explosion val="0"/>
          <c:dPt>
            <c:idx val="0"/>
            <c:bubble3D val="false"/>
            <c:spPr>
              <a:solidFill>
                <a:schemeClr val="accent1"/>
              </a:solidFill>
              <a:ln>
                <a:noFill/>
              </a:ln>
              <a:effectLst/>
            </c:spPr>
          </c:dPt>
          <c:dPt>
            <c:idx val="1"/>
            <c:bubble3D val="false"/>
            <c:spPr>
              <a:solidFill>
                <a:schemeClr val="accent2"/>
              </a:solidFill>
              <a:ln>
                <a:noFill/>
              </a:ln>
              <a:effectLst/>
            </c:spPr>
          </c:dPt>
          <c:dPt>
            <c:idx val="2"/>
            <c:bubble3D val="false"/>
            <c:spPr>
              <a:solidFill>
                <a:schemeClr val="accent3"/>
              </a:solidFill>
              <a:ln>
                <a:noFill/>
              </a:ln>
              <a:effectLst/>
            </c:spPr>
          </c:dPt>
          <c:dPt>
            <c:idx val="3"/>
            <c:bubble3D val="false"/>
            <c:spPr>
              <a:solidFill>
                <a:schemeClr val="accent4"/>
              </a:solidFill>
              <a:ln>
                <a:noFill/>
              </a:ln>
              <a:effectLst/>
            </c:spPr>
          </c:dPt>
          <c:dPt>
            <c:idx val="4"/>
            <c:bubble3D val="false"/>
          </c:dPt>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4"/>
                <c:pt idx="0">
                  <c:v>一般公共服务支出</c:v>
                </c:pt>
                <c:pt idx="1">
                  <c:v>社会保障和就业支出</c:v>
                </c:pt>
                <c:pt idx="2">
                  <c:v>医疗卫生与计划生育支出</c:v>
                </c:pt>
                <c:pt idx="3">
                  <c:v>住房保障支出</c:v>
                </c:pt>
              </c:strCache>
            </c:strRef>
          </c:cat>
          <c:val>
            <c:numRef>
              <c:f>Sheet1!$B$2:$B$6</c:f>
              <c:numCache>
                <c:formatCode>0.00%</c:formatCode>
                <c:ptCount val="5"/>
                <c:pt idx="0">
                  <c:v>0.7189</c:v>
                </c:pt>
                <c:pt idx="1">
                  <c:v>0.145</c:v>
                </c:pt>
                <c:pt idx="2">
                  <c:v>0.0541</c:v>
                </c:pt>
                <c:pt idx="3">
                  <c:v>0.082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2019年三公经费</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gradFill rotWithShape="true">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a:effectLst>
                <a:outerShdw blurRad="40000" dist="23000" dir="5400000" rotWithShape="0">
                  <a:srgbClr val="000000">
                    <a:alpha val="35000"/>
                  </a:srgbClr>
                </a:outerShdw>
              </a:effectLst>
            </c:spPr>
          </c:dPt>
          <c:dPt>
            <c:idx val="2"/>
            <c:bubble3D val="false"/>
            <c:spPr>
              <a:gradFill rotWithShape="true">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false"/>
              </a:gra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c:v>0</c:v>
                </c:pt>
                <c:pt idx="1">
                  <c:v>0.09</c:v>
                </c:pt>
                <c:pt idx="2">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8686</Words>
  <Characters>2634</Characters>
  <Lines>21</Lines>
  <Paragraphs>22</Paragraphs>
  <TotalTime>4</TotalTime>
  <ScaleCrop>false</ScaleCrop>
  <LinksUpToDate>false</LinksUpToDate>
  <CharactersWithSpaces>11298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2020-09-25T16:02:00Z</dcterms:created>
  <dc:creator>张彬茜</dc:creator>
  <cp:lastModifiedBy>user</cp:lastModifiedBy>
  <cp:lastPrinted>2020-09-25T10:27:00Z</cp:lastPrinted>
  <dcterms:modified xsi:type="dcterms:W3CDTF">2022-05-05T17:14:00Z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B649287E76C94B51BDDD0E41F46CCE86</vt:lpwstr>
  </property>
</Properties>
</file>