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13D1">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5659196C">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42E3BD80">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2022年度</w:t>
      </w:r>
    </w:p>
    <w:p w14:paraId="76895D65">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p>
    <w:p w14:paraId="48734A92">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汇总部门决算</w:t>
      </w:r>
    </w:p>
    <w:p w14:paraId="0DDADE7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4550B9E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374411D">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54E856A2">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762B61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23F1A28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38F278BF">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2B5C89E9">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C117D87">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25175C7">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5866C354">
      <w:pPr>
        <w:pStyle w:val="20"/>
        <w:keepNext w:val="0"/>
        <w:keepLines w:val="0"/>
        <w:pageBreakBefore w:val="0"/>
        <w:widowControl/>
        <w:suppressLineNumbers w:val="0"/>
        <w:kinsoku/>
        <w:wordWrap/>
        <w:overflowPunct/>
        <w:topLinePunct w:val="0"/>
        <w:bidi w:val="0"/>
        <w:spacing w:line="576" w:lineRule="exact"/>
        <w:textAlignment w:val="auto"/>
      </w:pPr>
      <w:r>
        <w:t> </w:t>
      </w:r>
    </w:p>
    <w:p w14:paraId="73B9D916">
      <w:pPr>
        <w:pStyle w:val="20"/>
        <w:keepNext w:val="0"/>
        <w:keepLines w:val="0"/>
        <w:pageBreakBefore w:val="0"/>
        <w:widowControl/>
        <w:suppressLineNumbers w:val="0"/>
        <w:kinsoku/>
        <w:wordWrap/>
        <w:overflowPunct/>
        <w:topLinePunct w:val="0"/>
        <w:bidi w:val="0"/>
        <w:spacing w:line="576" w:lineRule="exact"/>
        <w:textAlignment w:val="auto"/>
      </w:pPr>
      <w:r>
        <w:t> </w:t>
      </w:r>
    </w:p>
    <w:p w14:paraId="0511DE02">
      <w:pPr>
        <w:pStyle w:val="20"/>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4C83A63">
      <w:pPr>
        <w:pStyle w:val="20"/>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7235888F">
      <w:pPr>
        <w:pStyle w:val="20"/>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9CEFA1A">
      <w:pPr>
        <w:pStyle w:val="20"/>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4370F877">
      <w:pPr>
        <w:pStyle w:val="20"/>
        <w:keepNext w:val="0"/>
        <w:keepLines w:val="0"/>
        <w:pageBreakBefore w:val="0"/>
        <w:widowControl/>
        <w:suppressLineNumbers w:val="0"/>
        <w:kinsoku/>
        <w:wordWrap/>
        <w:overflowPunct/>
        <w:topLinePunct w:val="0"/>
        <w:bidi w:val="0"/>
        <w:spacing w:line="576" w:lineRule="exact"/>
        <w:jc w:val="center"/>
        <w:textAlignment w:val="auto"/>
        <w:rPr>
          <w:rFonts w:hint="default" w:ascii="黑体" w:hAnsi="Times New Roman" w:eastAsia="黑体" w:cs="Times New Roman"/>
          <w:color w:val="000000"/>
          <w:sz w:val="48"/>
          <w:szCs w:val="48"/>
          <w:lang w:val="en-US" w:eastAsia="zh-CN"/>
        </w:rPr>
      </w:pPr>
      <w:r>
        <w:rPr>
          <w:rFonts w:ascii="方正小标宋简体" w:hAnsi="宋体" w:eastAsia="方正小标宋简体"/>
          <w:sz w:val="36"/>
          <w:szCs w:val="36"/>
        </w:rPr>
        <w:br w:type="page"/>
      </w:r>
      <w:bookmarkStart w:id="0" w:name="_Toc15377196"/>
      <w:bookmarkStart w:id="1" w:name="_Toc15396599"/>
      <w:r>
        <w:rPr>
          <w:rFonts w:hint="eastAsia" w:ascii="黑体" w:hAnsi="Times New Roman" w:eastAsia="黑体" w:cs="Times New Roman"/>
          <w:color w:val="000000"/>
          <w:sz w:val="48"/>
          <w:szCs w:val="48"/>
          <w:lang w:val="en-US" w:eastAsia="zh-CN"/>
        </w:rPr>
        <w:t>目录</w:t>
      </w:r>
    </w:p>
    <w:p w14:paraId="40D0C15C">
      <w:pPr>
        <w:pStyle w:val="14"/>
        <w:pageBreakBefore w:val="0"/>
        <w:kinsoku/>
        <w:wordWrap/>
        <w:overflowPunct/>
        <w:topLinePunct w:val="0"/>
        <w:bidi w:val="0"/>
        <w:spacing w:line="576" w:lineRule="exact"/>
        <w:jc w:val="center"/>
        <w:textAlignment w:val="auto"/>
      </w:pPr>
      <w:r>
        <w:rPr>
          <w:rFonts w:hint="eastAsia" w:hAnsi="Times New Roman" w:cs="Times New Roman"/>
          <w:b w:val="0"/>
          <w:bCs w:val="0"/>
          <w:sz w:val="24"/>
          <w:szCs w:val="24"/>
        </w:rPr>
        <w:t>公开时间：2023年</w:t>
      </w:r>
      <w:r>
        <w:rPr>
          <w:rFonts w:hint="eastAsia" w:hAnsi="Times New Roman" w:cs="Times New Roman"/>
          <w:b w:val="0"/>
          <w:bCs w:val="0"/>
          <w:sz w:val="24"/>
          <w:szCs w:val="24"/>
          <w:lang w:val="en-US" w:eastAsia="zh-CN"/>
        </w:rPr>
        <w:t>9</w:t>
      </w:r>
      <w:r>
        <w:rPr>
          <w:rFonts w:hint="eastAsia" w:hAnsi="Times New Roman" w:cs="Times New Roman"/>
          <w:b w:val="0"/>
          <w:bCs w:val="0"/>
          <w:sz w:val="24"/>
          <w:szCs w:val="24"/>
        </w:rPr>
        <w:t>月</w:t>
      </w:r>
      <w:r>
        <w:rPr>
          <w:rFonts w:hint="eastAsia" w:cs="Times New Roman"/>
          <w:b w:val="0"/>
          <w:bCs w:val="0"/>
          <w:sz w:val="24"/>
          <w:szCs w:val="24"/>
          <w:lang w:val="en-US" w:eastAsia="zh-CN"/>
        </w:rPr>
        <w:t>7</w:t>
      </w:r>
      <w:r>
        <w:rPr>
          <w:rFonts w:hint="eastAsia" w:hAnsi="Times New Roman" w:cs="Times New Roman"/>
          <w:b w:val="0"/>
          <w:bCs w:val="0"/>
          <w:sz w:val="24"/>
          <w:szCs w:val="24"/>
        </w:rPr>
        <w:t>日</w:t>
      </w:r>
    </w:p>
    <w:p w14:paraId="090D871F">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_Toc18791 </w:instrText>
      </w:r>
      <w:r>
        <w:fldChar w:fldCharType="separate"/>
      </w:r>
      <w:r>
        <w:rPr>
          <w:rFonts w:hint="eastAsia" w:ascii="黑体" w:hAnsi="Times New Roman" w:eastAsia="黑体" w:cs="Times New Roman"/>
          <w:szCs w:val="44"/>
          <w:lang w:bidi="ar-SA"/>
        </w:rPr>
        <w:t>第一部分 部门概况</w:t>
      </w:r>
      <w:r>
        <w:tab/>
      </w:r>
      <w:r>
        <w:rPr>
          <w:rFonts w:hint="eastAsia"/>
          <w:lang w:val="en-US" w:eastAsia="zh-CN"/>
        </w:rPr>
        <w:t>4</w:t>
      </w:r>
      <w:r>
        <w:fldChar w:fldCharType="end"/>
      </w:r>
    </w:p>
    <w:p w14:paraId="0252F822">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_Toc20800 </w:instrText>
      </w:r>
      <w:r>
        <w:fldChar w:fldCharType="separate"/>
      </w:r>
      <w:r>
        <w:rPr>
          <w:rFonts w:hint="eastAsia" w:ascii="黑体" w:hAnsi="Cambria" w:eastAsia="黑体" w:cs="Times New Roman"/>
          <w:kern w:val="2"/>
          <w:szCs w:val="32"/>
          <w:lang w:bidi="ar-SA"/>
        </w:rPr>
        <w:t>一、基本职能及主要工作</w:t>
      </w:r>
      <w:r>
        <w:tab/>
      </w:r>
      <w:r>
        <w:rPr>
          <w:rFonts w:hint="eastAsia"/>
          <w:lang w:val="en-US" w:eastAsia="zh-CN"/>
        </w:rPr>
        <w:t>4</w:t>
      </w:r>
      <w:r>
        <w:fldChar w:fldCharType="end"/>
      </w:r>
    </w:p>
    <w:p w14:paraId="4D5865D2">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_Toc27980 </w:instrText>
      </w:r>
      <w:r>
        <w:fldChar w:fldCharType="separate"/>
      </w:r>
      <w:r>
        <w:rPr>
          <w:rFonts w:hint="eastAsia" w:ascii="仿宋" w:eastAsia="仿宋"/>
          <w:bCs/>
          <w:szCs w:val="32"/>
        </w:rPr>
        <w:t>（一）主要职能</w:t>
      </w:r>
      <w:r>
        <w:tab/>
      </w:r>
      <w:r>
        <w:rPr>
          <w:rFonts w:hint="eastAsia"/>
          <w:lang w:val="en-US" w:eastAsia="zh-CN"/>
        </w:rPr>
        <w:t>4</w:t>
      </w:r>
      <w:r>
        <w:fldChar w:fldCharType="end"/>
      </w:r>
    </w:p>
    <w:p w14:paraId="13B01E17">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_Toc16142 </w:instrText>
      </w:r>
      <w:r>
        <w:fldChar w:fldCharType="separate"/>
      </w:r>
      <w:r>
        <w:rPr>
          <w:rFonts w:hint="eastAsia" w:ascii="仿宋" w:eastAsia="仿宋"/>
          <w:bCs/>
          <w:szCs w:val="32"/>
        </w:rPr>
        <w:t>（二）</w:t>
      </w:r>
      <w:r>
        <w:rPr>
          <w:rFonts w:ascii="仿宋" w:eastAsia="仿宋"/>
          <w:bCs/>
          <w:szCs w:val="32"/>
        </w:rPr>
        <w:t>2022</w:t>
      </w:r>
      <w:r>
        <w:rPr>
          <w:rFonts w:hint="eastAsia" w:ascii="仿宋" w:eastAsia="仿宋"/>
          <w:bCs/>
          <w:szCs w:val="32"/>
        </w:rPr>
        <w:t>年重点工作完成情况</w:t>
      </w:r>
      <w:r>
        <w:tab/>
      </w:r>
      <w:r>
        <w:rPr>
          <w:rFonts w:hint="eastAsia"/>
          <w:lang w:val="en-US" w:eastAsia="zh-CN"/>
        </w:rPr>
        <w:t>5</w:t>
      </w:r>
      <w:r>
        <w:fldChar w:fldCharType="end"/>
      </w:r>
    </w:p>
    <w:p w14:paraId="5982D77B">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_Toc22021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7</w:t>
      </w:r>
      <w:r>
        <w:fldChar w:fldCharType="end"/>
      </w:r>
    </w:p>
    <w:p w14:paraId="5D689A52">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_Toc12955 </w:instrText>
      </w:r>
      <w:r>
        <w:fldChar w:fldCharType="separate"/>
      </w:r>
      <w:r>
        <w:t>第二部分 2022年度部门决算情况说明</w:t>
      </w:r>
      <w:r>
        <w:tab/>
      </w:r>
      <w:r>
        <w:rPr>
          <w:rFonts w:hint="eastAsia"/>
          <w:lang w:val="en-US" w:eastAsia="zh-CN"/>
        </w:rPr>
        <w:t>8</w:t>
      </w:r>
      <w:r>
        <w:fldChar w:fldCharType="end"/>
      </w:r>
    </w:p>
    <w:p w14:paraId="3E517459">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_Toc9684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8</w:t>
      </w:r>
      <w:r>
        <w:fldChar w:fldCharType="end"/>
      </w:r>
    </w:p>
    <w:p w14:paraId="76D5648B">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_Toc10475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8</w:t>
      </w:r>
      <w:r>
        <w:fldChar w:fldCharType="end"/>
      </w:r>
    </w:p>
    <w:p w14:paraId="41204457">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_Toc25170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9</w:t>
      </w:r>
      <w:r>
        <w:fldChar w:fldCharType="end"/>
      </w:r>
    </w:p>
    <w:p w14:paraId="17469D4E">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_Toc9033 </w:instrText>
      </w:r>
      <w:r>
        <w:fldChar w:fldCharType="separate"/>
      </w:r>
      <w:r>
        <w:rPr>
          <w:rFonts w:hint="eastAsia" w:ascii="黑体" w:hAnsi="Times New Roman" w:eastAsia="黑体" w:cs="Times New Roman"/>
          <w:kern w:val="2"/>
          <w:szCs w:val="32"/>
          <w:lang w:val="en-US" w:eastAsia="zh-CN" w:bidi="ar-SA"/>
        </w:rPr>
        <w:t>四、财政拨款收入支出决算总体情况说明</w:t>
      </w:r>
      <w:r>
        <w:tab/>
      </w:r>
      <w:r>
        <w:rPr>
          <w:rFonts w:hint="eastAsia"/>
          <w:lang w:val="en-US" w:eastAsia="zh-CN"/>
        </w:rPr>
        <w:t>9</w:t>
      </w:r>
      <w:r>
        <w:fldChar w:fldCharType="end"/>
      </w:r>
    </w:p>
    <w:p w14:paraId="26B76439">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_Toc14667 </w:instrText>
      </w:r>
      <w:r>
        <w:fldChar w:fldCharType="separate"/>
      </w:r>
      <w:r>
        <w:rPr>
          <w:rFonts w:hint="eastAsia" w:ascii="黑体" w:hAnsi="Times New Roman" w:eastAsia="黑体" w:cs="Times New Roman"/>
          <w:kern w:val="2"/>
          <w:szCs w:val="32"/>
          <w:lang w:val="en-US" w:eastAsia="zh-CN" w:bidi="ar-SA"/>
        </w:rPr>
        <w:t>五、一般公共预算财政拨款支出决算情况说明</w:t>
      </w:r>
      <w:r>
        <w:tab/>
      </w:r>
      <w:r>
        <w:rPr>
          <w:rFonts w:hint="eastAsia"/>
          <w:lang w:val="en-US" w:eastAsia="zh-CN"/>
        </w:rPr>
        <w:t>1</w:t>
      </w:r>
      <w:r>
        <w:fldChar w:fldCharType="end"/>
      </w:r>
      <w:r>
        <w:rPr>
          <w:rFonts w:hint="eastAsia"/>
          <w:lang w:val="en-US" w:eastAsia="zh-CN"/>
        </w:rPr>
        <w:t>0</w:t>
      </w:r>
    </w:p>
    <w:p w14:paraId="50A8C38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_Toc19262 </w:instrText>
      </w:r>
      <w:r>
        <w:fldChar w:fldCharType="separate"/>
      </w:r>
      <w:r>
        <w:rPr>
          <w:rFonts w:hint="eastAsia" w:ascii="仿宋" w:hAnsi="Times New Roman" w:eastAsia="仿宋" w:cs="Times New Roman"/>
          <w:szCs w:val="32"/>
        </w:rPr>
        <w:t>（一）一般公共预算财政拨款支出决算总体情况</w:t>
      </w:r>
      <w:r>
        <w:tab/>
      </w:r>
      <w:r>
        <w:rPr>
          <w:rFonts w:hint="eastAsia"/>
          <w:lang w:val="en-US" w:eastAsia="zh-CN"/>
        </w:rPr>
        <w:t>1</w:t>
      </w:r>
      <w:r>
        <w:fldChar w:fldCharType="end"/>
      </w:r>
      <w:r>
        <w:rPr>
          <w:rFonts w:hint="eastAsia"/>
          <w:lang w:val="en-US" w:eastAsia="zh-CN"/>
        </w:rPr>
        <w:t>0</w:t>
      </w:r>
    </w:p>
    <w:p w14:paraId="61FE2CC0">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_Toc15725 </w:instrText>
      </w:r>
      <w:r>
        <w:fldChar w:fldCharType="separate"/>
      </w:r>
      <w:r>
        <w:rPr>
          <w:rFonts w:hint="eastAsia" w:ascii="仿宋" w:hAnsi="Times New Roman" w:eastAsia="仿宋" w:cs="Times New Roman"/>
          <w:szCs w:val="32"/>
        </w:rPr>
        <w:t>（二）一般公共预算财政拨款支出决算结构情况</w:t>
      </w:r>
      <w:r>
        <w:tab/>
      </w:r>
      <w:r>
        <w:rPr>
          <w:rFonts w:hint="eastAsia"/>
          <w:lang w:val="en-US" w:eastAsia="zh-CN"/>
        </w:rPr>
        <w:t>1</w:t>
      </w:r>
      <w:r>
        <w:fldChar w:fldCharType="end"/>
      </w:r>
      <w:r>
        <w:rPr>
          <w:rFonts w:hint="eastAsia"/>
          <w:lang w:val="en-US" w:eastAsia="zh-CN"/>
        </w:rPr>
        <w:t>1</w:t>
      </w:r>
    </w:p>
    <w:p w14:paraId="56A72847">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_Toc17147 </w:instrText>
      </w:r>
      <w:r>
        <w:fldChar w:fldCharType="separate"/>
      </w:r>
      <w:r>
        <w:t>（</w:t>
      </w:r>
      <w:r>
        <w:rPr>
          <w:rFonts w:hint="eastAsia" w:ascii="仿宋" w:hAnsi="Times New Roman" w:eastAsia="仿宋" w:cs="Times New Roman"/>
          <w:kern w:val="2"/>
          <w:szCs w:val="32"/>
          <w:lang w:val="en-US" w:eastAsia="zh-CN" w:bidi="ar-SA"/>
        </w:rPr>
        <w:t>三）一般公共预算财政拨款支出决算具体情况</w:t>
      </w:r>
      <w:r>
        <w:tab/>
      </w:r>
      <w:r>
        <w:rPr>
          <w:rFonts w:hint="eastAsia"/>
          <w:lang w:val="en-US" w:eastAsia="zh-CN"/>
        </w:rPr>
        <w:t>1</w:t>
      </w:r>
      <w:r>
        <w:fldChar w:fldCharType="end"/>
      </w:r>
      <w:r>
        <w:rPr>
          <w:rFonts w:hint="eastAsia"/>
          <w:lang w:val="en-US" w:eastAsia="zh-CN"/>
        </w:rPr>
        <w:t>1</w:t>
      </w:r>
    </w:p>
    <w:p w14:paraId="7FCD0728">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_Toc24946 </w:instrText>
      </w:r>
      <w:r>
        <w:fldChar w:fldCharType="separate"/>
      </w:r>
      <w:r>
        <w:rPr>
          <w:rFonts w:hint="eastAsia" w:ascii="黑体" w:hAnsi="Times New Roman" w:eastAsia="黑体" w:cs="Times New Roman"/>
          <w:kern w:val="2"/>
          <w:szCs w:val="32"/>
          <w:lang w:val="en-US" w:eastAsia="zh-CN" w:bidi="ar-SA"/>
        </w:rPr>
        <w:t>六、一般公共预算财政拨款基本支出决算情况说明   </w:t>
      </w:r>
      <w:r>
        <w:tab/>
      </w:r>
      <w:r>
        <w:rPr>
          <w:rFonts w:hint="eastAsia"/>
          <w:lang w:val="en-US" w:eastAsia="zh-CN"/>
        </w:rPr>
        <w:t>1</w:t>
      </w:r>
      <w:r>
        <w:fldChar w:fldCharType="end"/>
      </w:r>
      <w:r>
        <w:rPr>
          <w:rFonts w:hint="eastAsia"/>
          <w:lang w:val="en-US" w:eastAsia="zh-CN"/>
        </w:rPr>
        <w:t>2</w:t>
      </w:r>
    </w:p>
    <w:p w14:paraId="4B09AB88">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_Toc28247 </w:instrText>
      </w:r>
      <w:r>
        <w:fldChar w:fldCharType="separate"/>
      </w:r>
      <w:r>
        <w:rPr>
          <w:rFonts w:hint="eastAsia" w:ascii="黑体" w:hAnsi="Times New Roman" w:eastAsia="黑体" w:cs="Times New Roman"/>
          <w:szCs w:val="32"/>
        </w:rPr>
        <w:t>七、“三公”经费财政拨款支出决算情况说明</w:t>
      </w:r>
      <w:r>
        <w:tab/>
      </w:r>
      <w:r>
        <w:rPr>
          <w:rFonts w:hint="eastAsia"/>
          <w:lang w:val="en-US" w:eastAsia="zh-CN"/>
        </w:rPr>
        <w:t>1</w:t>
      </w:r>
      <w:r>
        <w:fldChar w:fldCharType="end"/>
      </w:r>
      <w:r>
        <w:rPr>
          <w:rFonts w:hint="eastAsia"/>
          <w:lang w:val="en-US" w:eastAsia="zh-CN"/>
        </w:rPr>
        <w:t>2</w:t>
      </w:r>
    </w:p>
    <w:p w14:paraId="47D8DCC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_Toc28087 </w:instrText>
      </w:r>
      <w:r>
        <w:fldChar w:fldCharType="separate"/>
      </w:r>
      <w:r>
        <w:rPr>
          <w:rFonts w:hint="eastAsia" w:ascii="仿宋" w:hAnsi="Times New Roman" w:eastAsia="仿宋" w:cs="Times New Roman"/>
          <w:szCs w:val="32"/>
        </w:rPr>
        <w:t>（一）“三公”经费财政拨款支出决算总体情况说明</w:t>
      </w:r>
      <w:r>
        <w:tab/>
      </w:r>
      <w:r>
        <w:rPr>
          <w:rFonts w:hint="eastAsia"/>
          <w:lang w:val="en-US" w:eastAsia="zh-CN"/>
        </w:rPr>
        <w:t>1</w:t>
      </w:r>
      <w:r>
        <w:fldChar w:fldCharType="end"/>
      </w:r>
      <w:r>
        <w:rPr>
          <w:rFonts w:hint="eastAsia"/>
          <w:lang w:val="en-US" w:eastAsia="zh-CN"/>
        </w:rPr>
        <w:t>3</w:t>
      </w:r>
    </w:p>
    <w:p w14:paraId="4F560793">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_Toc8348 </w:instrText>
      </w:r>
      <w:r>
        <w:fldChar w:fldCharType="separate"/>
      </w:r>
      <w:r>
        <w:rPr>
          <w:rFonts w:hint="eastAsia" w:ascii="仿宋" w:hAnsi="Times New Roman" w:eastAsia="仿宋" w:cs="Times New Roman"/>
          <w:szCs w:val="32"/>
        </w:rPr>
        <w:t>（二）“三公”经费财政拨款支出决算具体情况说明</w:t>
      </w:r>
      <w:r>
        <w:tab/>
      </w:r>
      <w:r>
        <w:rPr>
          <w:rFonts w:hint="eastAsia"/>
          <w:lang w:val="en-US" w:eastAsia="zh-CN"/>
        </w:rPr>
        <w:t>1</w:t>
      </w:r>
      <w:r>
        <w:fldChar w:fldCharType="end"/>
      </w:r>
      <w:r>
        <w:rPr>
          <w:rFonts w:hint="eastAsia"/>
          <w:lang w:val="en-US" w:eastAsia="zh-CN"/>
        </w:rPr>
        <w:t>3</w:t>
      </w:r>
    </w:p>
    <w:p w14:paraId="268E197D">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_Toc19284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4</w:t>
      </w:r>
    </w:p>
    <w:p w14:paraId="0E97BF64">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_Toc15780 </w:instrText>
      </w:r>
      <w:r>
        <w:fldChar w:fldCharType="separate"/>
      </w:r>
      <w:r>
        <w:rPr>
          <w:rFonts w:hint="eastAsia" w:ascii="黑体" w:hAnsi="Cambria" w:eastAsia="黑体" w:cs="Times New Roman"/>
          <w:kern w:val="2"/>
          <w:szCs w:val="32"/>
          <w:lang w:bidi="ar-SA"/>
        </w:rPr>
        <w:t>九、 国有资本经营预算支出决算情况说明</w:t>
      </w:r>
      <w:r>
        <w:tab/>
      </w:r>
      <w:r>
        <w:rPr>
          <w:rFonts w:hint="eastAsia"/>
          <w:lang w:val="en-US" w:eastAsia="zh-CN"/>
        </w:rPr>
        <w:t>1</w:t>
      </w:r>
      <w:r>
        <w:fldChar w:fldCharType="end"/>
      </w:r>
      <w:r>
        <w:rPr>
          <w:rFonts w:hint="eastAsia"/>
          <w:lang w:val="en-US" w:eastAsia="zh-CN"/>
        </w:rPr>
        <w:t>4</w:t>
      </w:r>
    </w:p>
    <w:p w14:paraId="0CD816ED">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_Toc6454 </w:instrText>
      </w:r>
      <w:r>
        <w:fldChar w:fldCharType="separate"/>
      </w:r>
      <w:r>
        <w:rPr>
          <w:rFonts w:hint="eastAsia" w:ascii="黑体" w:hAnsi="Times New Roman" w:eastAsia="黑体" w:cs="Times New Roman"/>
          <w:szCs w:val="32"/>
        </w:rPr>
        <w:t>十、其他重要事项的情况说明</w:t>
      </w:r>
      <w:r>
        <w:tab/>
      </w:r>
      <w:r>
        <w:rPr>
          <w:rFonts w:hint="eastAsia"/>
          <w:lang w:val="en-US" w:eastAsia="zh-CN"/>
        </w:rPr>
        <w:t>1</w:t>
      </w:r>
      <w:r>
        <w:fldChar w:fldCharType="end"/>
      </w:r>
      <w:r>
        <w:rPr>
          <w:rFonts w:hint="eastAsia"/>
          <w:lang w:val="en-US" w:eastAsia="zh-CN"/>
        </w:rPr>
        <w:t>4</w:t>
      </w:r>
    </w:p>
    <w:p w14:paraId="28B6C5CE">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_Toc4392 </w:instrText>
      </w:r>
      <w:r>
        <w:fldChar w:fldCharType="separate"/>
      </w:r>
      <w:r>
        <w:rPr>
          <w:rFonts w:hint="eastAsia" w:ascii="仿宋" w:hAnsi="Times New Roman" w:eastAsia="仿宋" w:cs="Times New Roman"/>
          <w:szCs w:val="32"/>
        </w:rPr>
        <w:t>（一）机关运行经费支出情况</w:t>
      </w:r>
      <w:r>
        <w:tab/>
      </w:r>
      <w:r>
        <w:rPr>
          <w:rFonts w:hint="eastAsia"/>
          <w:lang w:val="en-US" w:eastAsia="zh-CN"/>
        </w:rPr>
        <w:t>1</w:t>
      </w:r>
      <w:r>
        <w:fldChar w:fldCharType="end"/>
      </w:r>
      <w:r>
        <w:rPr>
          <w:rFonts w:hint="eastAsia"/>
          <w:lang w:val="en-US" w:eastAsia="zh-CN"/>
        </w:rPr>
        <w:t>4</w:t>
      </w:r>
    </w:p>
    <w:p w14:paraId="42C391FB">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_Toc25292 </w:instrText>
      </w:r>
      <w:r>
        <w:fldChar w:fldCharType="separate"/>
      </w:r>
      <w:r>
        <w:rPr>
          <w:rFonts w:hint="eastAsia" w:ascii="仿宋" w:hAnsi="Times New Roman" w:eastAsia="仿宋" w:cs="Times New Roman"/>
          <w:szCs w:val="32"/>
        </w:rPr>
        <w:t>（二）政府采购支出情况</w:t>
      </w:r>
      <w:r>
        <w:tab/>
      </w:r>
      <w:r>
        <w:rPr>
          <w:rFonts w:hint="eastAsia"/>
          <w:lang w:val="en-US" w:eastAsia="zh-CN"/>
        </w:rPr>
        <w:t>1</w:t>
      </w:r>
      <w:r>
        <w:fldChar w:fldCharType="end"/>
      </w:r>
      <w:r>
        <w:rPr>
          <w:rFonts w:hint="eastAsia"/>
          <w:lang w:val="en-US" w:eastAsia="zh-CN"/>
        </w:rPr>
        <w:t>4</w:t>
      </w:r>
    </w:p>
    <w:p w14:paraId="05AE6FD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_Toc29989 </w:instrText>
      </w:r>
      <w:r>
        <w:fldChar w:fldCharType="separate"/>
      </w:r>
      <w:r>
        <w:rPr>
          <w:rFonts w:hint="eastAsia" w:ascii="仿宋" w:hAnsi="Times New Roman" w:eastAsia="仿宋" w:cs="Times New Roman"/>
          <w:szCs w:val="32"/>
        </w:rPr>
        <w:t>（三）国有资产占有使用情况</w:t>
      </w:r>
      <w:r>
        <w:tab/>
      </w:r>
      <w:r>
        <w:rPr>
          <w:rFonts w:hint="eastAsia"/>
          <w:lang w:val="en-US" w:eastAsia="zh-CN"/>
        </w:rPr>
        <w:t>1</w:t>
      </w:r>
      <w:r>
        <w:fldChar w:fldCharType="end"/>
      </w:r>
      <w:r>
        <w:rPr>
          <w:rFonts w:hint="eastAsia"/>
          <w:lang w:val="en-US" w:eastAsia="zh-CN"/>
        </w:rPr>
        <w:t>4</w:t>
      </w:r>
    </w:p>
    <w:p w14:paraId="488DCC86">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_Toc19772 </w:instrText>
      </w:r>
      <w:r>
        <w:fldChar w:fldCharType="separate"/>
      </w:r>
      <w:r>
        <w:rPr>
          <w:rFonts w:hint="eastAsia" w:ascii="仿宋" w:hAnsi="Times New Roman" w:eastAsia="仿宋" w:cs="Times New Roman"/>
          <w:szCs w:val="32"/>
        </w:rPr>
        <w:t>（四）预算绩效管理情况</w:t>
      </w:r>
      <w:r>
        <w:tab/>
      </w:r>
      <w:r>
        <w:rPr>
          <w:rFonts w:hint="eastAsia"/>
          <w:lang w:val="en-US" w:eastAsia="zh-CN"/>
        </w:rPr>
        <w:t>1</w:t>
      </w:r>
      <w:r>
        <w:fldChar w:fldCharType="end"/>
      </w:r>
      <w:r>
        <w:rPr>
          <w:rFonts w:hint="eastAsia"/>
          <w:lang w:val="en-US" w:eastAsia="zh-CN"/>
        </w:rPr>
        <w:t>4</w:t>
      </w:r>
    </w:p>
    <w:p w14:paraId="1BE728AE">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_Toc26817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6</w:t>
      </w:r>
    </w:p>
    <w:p w14:paraId="6B52D6E3">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_Toc30535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9</w:t>
      </w:r>
    </w:p>
    <w:p w14:paraId="4140ABB6">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 HYPERLINK \l _Toc800 </w:instrText>
      </w:r>
      <w:r>
        <w:fldChar w:fldCharType="separate"/>
      </w:r>
      <w:r>
        <w:rPr>
          <w:rFonts w:hint="eastAsia" w:ascii="黑体" w:hAnsi="Times New Roman" w:eastAsia="黑体" w:cs="黑体"/>
          <w:szCs w:val="32"/>
        </w:rPr>
        <w:t>附件</w:t>
      </w:r>
      <w:r>
        <w:rPr>
          <w:rFonts w:hint="eastAsia" w:ascii="黑体" w:hAnsi="Times New Roman" w:eastAsia="黑体" w:cs="黑体"/>
          <w:szCs w:val="32"/>
          <w:lang w:val="en-US" w:eastAsia="zh-CN"/>
        </w:rPr>
        <w:t>1</w:t>
      </w:r>
      <w:r>
        <w:tab/>
      </w:r>
      <w:r>
        <w:fldChar w:fldCharType="begin"/>
      </w:r>
      <w:r>
        <w:instrText xml:space="preserve"> PAGEREF _Toc800 \h </w:instrText>
      </w:r>
      <w:r>
        <w:fldChar w:fldCharType="separate"/>
      </w:r>
      <w:r>
        <w:t>19</w:t>
      </w:r>
      <w:r>
        <w:fldChar w:fldCharType="end"/>
      </w:r>
      <w:r>
        <w:fldChar w:fldCharType="end"/>
      </w:r>
    </w:p>
    <w:p w14:paraId="1D0283D8">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_Toc26947 </w:instrText>
      </w:r>
      <w:r>
        <w:fldChar w:fldCharType="separate"/>
      </w:r>
      <w:r>
        <w:rPr>
          <w:rFonts w:ascii="方正小标宋简体" w:hAnsi="Times New Roman" w:eastAsia="方正小标宋简体" w:cs="黑体"/>
          <w:szCs w:val="44"/>
        </w:rPr>
        <w:t>2022年</w:t>
      </w:r>
      <w:r>
        <w:rPr>
          <w:rFonts w:hint="eastAsia" w:ascii="方正小标宋简体" w:eastAsia="方正小标宋简体" w:cs="黑体"/>
          <w:szCs w:val="44"/>
          <w:lang w:eastAsia="zh-CN"/>
        </w:rPr>
        <w:t>编办</w:t>
      </w:r>
      <w:r>
        <w:rPr>
          <w:rFonts w:ascii="方正小标宋简体" w:hAnsi="Times New Roman" w:eastAsia="方正小标宋简体" w:cs="黑体"/>
          <w:szCs w:val="44"/>
        </w:rPr>
        <w:t>部门整体绩效评价报告</w:t>
      </w:r>
      <w:r>
        <w:tab/>
      </w:r>
      <w:r>
        <w:rPr>
          <w:rFonts w:hint="eastAsia"/>
          <w:lang w:val="en-US" w:eastAsia="zh-CN"/>
        </w:rPr>
        <w:t>1</w:t>
      </w:r>
      <w:r>
        <w:fldChar w:fldCharType="end"/>
      </w:r>
      <w:r>
        <w:rPr>
          <w:rFonts w:hint="eastAsia"/>
          <w:lang w:val="en-US" w:eastAsia="zh-CN"/>
        </w:rPr>
        <w:t>9</w:t>
      </w:r>
    </w:p>
    <w:p w14:paraId="6A0C66CE">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_Toc7045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_Toc7045 \h </w:instrText>
      </w:r>
      <w:r>
        <w:fldChar w:fldCharType="separate"/>
      </w:r>
      <w:r>
        <w:t>25</w:t>
      </w:r>
      <w:r>
        <w:fldChar w:fldCharType="end"/>
      </w:r>
      <w:r>
        <w:fldChar w:fldCharType="end"/>
      </w:r>
    </w:p>
    <w:p w14:paraId="7657D5BD">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_Toc28912 </w:instrText>
      </w:r>
      <w:r>
        <w:fldChar w:fldCharType="separate"/>
      </w:r>
      <w:r>
        <w:rPr>
          <w:rFonts w:hint="eastAsia" w:ascii="仿宋" w:hAnsi="Cambria" w:eastAsia="仿宋" w:cs="Times New Roman"/>
          <w:kern w:val="2"/>
          <w:szCs w:val="32"/>
          <w:lang w:bidi="ar-SA"/>
        </w:rPr>
        <w:t>一、收入支出决算总表</w:t>
      </w:r>
      <w:r>
        <w:tab/>
      </w:r>
      <w:r>
        <w:fldChar w:fldCharType="begin"/>
      </w:r>
      <w:r>
        <w:instrText xml:space="preserve"> PAGEREF _Toc28912 \h </w:instrText>
      </w:r>
      <w:r>
        <w:fldChar w:fldCharType="separate"/>
      </w:r>
      <w:r>
        <w:t>25</w:t>
      </w:r>
      <w:r>
        <w:fldChar w:fldCharType="end"/>
      </w:r>
      <w:r>
        <w:fldChar w:fldCharType="end"/>
      </w:r>
    </w:p>
    <w:p w14:paraId="0639EA1E">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_Toc15691 </w:instrText>
      </w:r>
      <w:r>
        <w:fldChar w:fldCharType="separate"/>
      </w:r>
      <w:r>
        <w:rPr>
          <w:rFonts w:hint="eastAsia" w:ascii="仿宋" w:hAnsi="Cambria" w:eastAsia="仿宋" w:cs="Times New Roman"/>
          <w:kern w:val="2"/>
          <w:szCs w:val="32"/>
          <w:lang w:bidi="ar-SA"/>
        </w:rPr>
        <w:t>二、收入决算表</w:t>
      </w:r>
      <w:r>
        <w:tab/>
      </w:r>
      <w:r>
        <w:fldChar w:fldCharType="begin"/>
      </w:r>
      <w:r>
        <w:instrText xml:space="preserve"> PAGEREF _Toc15691 \h </w:instrText>
      </w:r>
      <w:r>
        <w:fldChar w:fldCharType="separate"/>
      </w:r>
      <w:r>
        <w:t>25</w:t>
      </w:r>
      <w:r>
        <w:fldChar w:fldCharType="end"/>
      </w:r>
      <w:r>
        <w:fldChar w:fldCharType="end"/>
      </w:r>
    </w:p>
    <w:p w14:paraId="6D0DB351">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_Toc11856 </w:instrText>
      </w:r>
      <w:r>
        <w:fldChar w:fldCharType="separate"/>
      </w:r>
      <w:r>
        <w:rPr>
          <w:rFonts w:hint="eastAsia" w:ascii="仿宋" w:hAnsi="Cambria" w:eastAsia="仿宋" w:cs="Times New Roman"/>
          <w:kern w:val="2"/>
          <w:szCs w:val="32"/>
          <w:lang w:bidi="ar-SA"/>
        </w:rPr>
        <w:t>三、支出决算表</w:t>
      </w:r>
      <w:r>
        <w:tab/>
      </w:r>
      <w:r>
        <w:fldChar w:fldCharType="begin"/>
      </w:r>
      <w:r>
        <w:instrText xml:space="preserve"> PAGEREF _Toc11856 \h </w:instrText>
      </w:r>
      <w:r>
        <w:fldChar w:fldCharType="separate"/>
      </w:r>
      <w:r>
        <w:t>25</w:t>
      </w:r>
      <w:r>
        <w:fldChar w:fldCharType="end"/>
      </w:r>
      <w:r>
        <w:fldChar w:fldCharType="end"/>
      </w:r>
    </w:p>
    <w:p w14:paraId="350EC99A">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_Toc25907 </w:instrText>
      </w:r>
      <w:r>
        <w:fldChar w:fldCharType="separate"/>
      </w:r>
      <w:r>
        <w:rPr>
          <w:rFonts w:hint="eastAsia" w:ascii="仿宋" w:hAnsi="Cambria" w:eastAsia="仿宋" w:cs="Times New Roman"/>
          <w:kern w:val="2"/>
          <w:szCs w:val="32"/>
          <w:lang w:bidi="ar-SA"/>
        </w:rPr>
        <w:t>四、财政拨款收入支出决算总表</w:t>
      </w:r>
      <w:r>
        <w:tab/>
      </w:r>
      <w:r>
        <w:fldChar w:fldCharType="begin"/>
      </w:r>
      <w:r>
        <w:instrText xml:space="preserve"> PAGEREF _Toc25907 \h </w:instrText>
      </w:r>
      <w:r>
        <w:fldChar w:fldCharType="separate"/>
      </w:r>
      <w:r>
        <w:t>25</w:t>
      </w:r>
      <w:r>
        <w:fldChar w:fldCharType="end"/>
      </w:r>
      <w:r>
        <w:fldChar w:fldCharType="end"/>
      </w:r>
    </w:p>
    <w:p w14:paraId="3CF555A3">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_Toc15912 </w:instrText>
      </w:r>
      <w:r>
        <w:fldChar w:fldCharType="separate"/>
      </w:r>
      <w:r>
        <w:rPr>
          <w:rFonts w:hint="eastAsia" w:ascii="仿宋" w:hAnsi="Cambria" w:eastAsia="仿宋" w:cs="Times New Roman"/>
          <w:kern w:val="2"/>
          <w:szCs w:val="32"/>
          <w:lang w:bidi="ar-SA"/>
        </w:rPr>
        <w:t>五、财政拨款支出决算明细表</w:t>
      </w:r>
      <w:r>
        <w:tab/>
      </w:r>
      <w:r>
        <w:fldChar w:fldCharType="begin"/>
      </w:r>
      <w:r>
        <w:instrText xml:space="preserve"> PAGEREF _Toc15912 \h </w:instrText>
      </w:r>
      <w:r>
        <w:fldChar w:fldCharType="separate"/>
      </w:r>
      <w:r>
        <w:t>25</w:t>
      </w:r>
      <w:r>
        <w:fldChar w:fldCharType="end"/>
      </w:r>
      <w:r>
        <w:fldChar w:fldCharType="end"/>
      </w:r>
    </w:p>
    <w:p w14:paraId="74BBCC38">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_Toc10267 </w:instrText>
      </w:r>
      <w:r>
        <w:fldChar w:fldCharType="separate"/>
      </w:r>
      <w:r>
        <w:rPr>
          <w:rFonts w:hint="eastAsia" w:ascii="仿宋" w:hAnsi="Cambria" w:eastAsia="仿宋" w:cs="Times New Roman"/>
          <w:kern w:val="2"/>
          <w:szCs w:val="32"/>
          <w:lang w:bidi="ar-SA"/>
        </w:rPr>
        <w:t>六、一般公共预算财政拨款支出决算表</w:t>
      </w:r>
      <w:r>
        <w:tab/>
      </w:r>
      <w:r>
        <w:fldChar w:fldCharType="begin"/>
      </w:r>
      <w:r>
        <w:instrText xml:space="preserve"> PAGEREF _Toc10267 \h </w:instrText>
      </w:r>
      <w:r>
        <w:fldChar w:fldCharType="separate"/>
      </w:r>
      <w:r>
        <w:t>25</w:t>
      </w:r>
      <w:r>
        <w:fldChar w:fldCharType="end"/>
      </w:r>
      <w:r>
        <w:fldChar w:fldCharType="end"/>
      </w:r>
    </w:p>
    <w:p w14:paraId="090AE469">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_Toc703 </w:instrText>
      </w:r>
      <w:r>
        <w:fldChar w:fldCharType="separate"/>
      </w:r>
      <w:r>
        <w:rPr>
          <w:rFonts w:hint="eastAsia" w:ascii="仿宋" w:hAnsi="Cambria" w:eastAsia="仿宋" w:cs="Times New Roman"/>
          <w:kern w:val="2"/>
          <w:szCs w:val="32"/>
          <w:lang w:bidi="ar-SA"/>
        </w:rPr>
        <w:t>七、一般公共预算财政拨款支出决算明细表</w:t>
      </w:r>
      <w:r>
        <w:tab/>
      </w:r>
      <w:r>
        <w:fldChar w:fldCharType="begin"/>
      </w:r>
      <w:r>
        <w:instrText xml:space="preserve"> PAGEREF _Toc703 \h </w:instrText>
      </w:r>
      <w:r>
        <w:fldChar w:fldCharType="separate"/>
      </w:r>
      <w:r>
        <w:t>25</w:t>
      </w:r>
      <w:r>
        <w:fldChar w:fldCharType="end"/>
      </w:r>
      <w:r>
        <w:fldChar w:fldCharType="end"/>
      </w:r>
    </w:p>
    <w:p w14:paraId="25867FDE">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_Toc1164 </w:instrText>
      </w:r>
      <w:r>
        <w:fldChar w:fldCharType="separate"/>
      </w:r>
      <w:r>
        <w:rPr>
          <w:rFonts w:hint="eastAsia" w:ascii="仿宋" w:hAnsi="Cambria" w:eastAsia="仿宋" w:cs="Times New Roman"/>
          <w:kern w:val="2"/>
          <w:szCs w:val="32"/>
          <w:lang w:bidi="ar-SA"/>
        </w:rPr>
        <w:t>八、一般公共预算财政拨款基本支出决算表</w:t>
      </w:r>
      <w:r>
        <w:tab/>
      </w:r>
      <w:r>
        <w:fldChar w:fldCharType="begin"/>
      </w:r>
      <w:r>
        <w:instrText xml:space="preserve"> PAGEREF _Toc1164 \h </w:instrText>
      </w:r>
      <w:r>
        <w:fldChar w:fldCharType="separate"/>
      </w:r>
      <w:r>
        <w:t>25</w:t>
      </w:r>
      <w:r>
        <w:fldChar w:fldCharType="end"/>
      </w:r>
      <w:r>
        <w:fldChar w:fldCharType="end"/>
      </w:r>
    </w:p>
    <w:p w14:paraId="40D399BD">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_Toc30827 </w:instrText>
      </w:r>
      <w:r>
        <w:fldChar w:fldCharType="separate"/>
      </w:r>
      <w:r>
        <w:rPr>
          <w:rFonts w:hint="eastAsia" w:ascii="仿宋" w:hAnsi="Cambria" w:eastAsia="仿宋" w:cs="Times New Roman"/>
          <w:kern w:val="2"/>
          <w:szCs w:val="32"/>
          <w:lang w:bidi="ar-SA"/>
        </w:rPr>
        <w:t>九、一般公共预算财政拨款项目支出决算表</w:t>
      </w:r>
      <w:r>
        <w:tab/>
      </w:r>
      <w:r>
        <w:fldChar w:fldCharType="begin"/>
      </w:r>
      <w:r>
        <w:instrText xml:space="preserve"> PAGEREF _Toc30827 \h </w:instrText>
      </w:r>
      <w:r>
        <w:fldChar w:fldCharType="separate"/>
      </w:r>
      <w:r>
        <w:t>25</w:t>
      </w:r>
      <w:r>
        <w:fldChar w:fldCharType="end"/>
      </w:r>
      <w:r>
        <w:fldChar w:fldCharType="end"/>
      </w:r>
    </w:p>
    <w:p w14:paraId="04D5EEE8">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_Toc26030 </w:instrText>
      </w:r>
      <w:r>
        <w:fldChar w:fldCharType="separate"/>
      </w:r>
      <w:r>
        <w:rPr>
          <w:rFonts w:hint="eastAsia" w:ascii="仿宋" w:hAnsi="Cambria" w:eastAsia="仿宋" w:cs="Times New Roman"/>
          <w:kern w:val="2"/>
          <w:szCs w:val="32"/>
          <w:lang w:bidi="ar-SA"/>
        </w:rPr>
        <w:t>十、政府性基金预算财政拨款收入支出决算表</w:t>
      </w:r>
      <w:r>
        <w:tab/>
      </w:r>
      <w:r>
        <w:fldChar w:fldCharType="begin"/>
      </w:r>
      <w:r>
        <w:instrText xml:space="preserve"> PAGEREF _Toc26030 \h </w:instrText>
      </w:r>
      <w:r>
        <w:fldChar w:fldCharType="separate"/>
      </w:r>
      <w:r>
        <w:t>25</w:t>
      </w:r>
      <w:r>
        <w:fldChar w:fldCharType="end"/>
      </w:r>
      <w:r>
        <w:fldChar w:fldCharType="end"/>
      </w:r>
    </w:p>
    <w:p w14:paraId="4B68C846">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_Toc25909 </w:instrText>
      </w:r>
      <w:r>
        <w:fldChar w:fldCharType="separate"/>
      </w:r>
      <w:r>
        <w:rPr>
          <w:rFonts w:hint="eastAsia" w:ascii="仿宋" w:hAnsi="Cambria" w:eastAsia="仿宋" w:cs="Times New Roman"/>
          <w:kern w:val="2"/>
          <w:szCs w:val="32"/>
          <w:lang w:bidi="ar-SA"/>
        </w:rPr>
        <w:t>十一、国有资本经营预算财政拨款收入支出决算表</w:t>
      </w:r>
      <w:r>
        <w:tab/>
      </w:r>
      <w:r>
        <w:fldChar w:fldCharType="begin"/>
      </w:r>
      <w:r>
        <w:instrText xml:space="preserve"> PAGEREF _Toc25909 \h </w:instrText>
      </w:r>
      <w:r>
        <w:fldChar w:fldCharType="separate"/>
      </w:r>
      <w:r>
        <w:t>25</w:t>
      </w:r>
      <w:r>
        <w:fldChar w:fldCharType="end"/>
      </w:r>
      <w:r>
        <w:fldChar w:fldCharType="end"/>
      </w:r>
    </w:p>
    <w:p w14:paraId="19865C03">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_Toc27357 </w:instrText>
      </w:r>
      <w:r>
        <w:fldChar w:fldCharType="separate"/>
      </w:r>
      <w:r>
        <w:rPr>
          <w:rFonts w:hint="eastAsia" w:ascii="仿宋" w:hAnsi="Cambria" w:eastAsia="仿宋" w:cs="Times New Roman"/>
          <w:kern w:val="2"/>
          <w:szCs w:val="32"/>
          <w:lang w:bidi="ar-SA"/>
        </w:rPr>
        <w:t>十二、国有资本经营预算财政拨款支出决算表</w:t>
      </w:r>
      <w:r>
        <w:tab/>
      </w:r>
      <w:r>
        <w:fldChar w:fldCharType="begin"/>
      </w:r>
      <w:r>
        <w:instrText xml:space="preserve"> PAGEREF _Toc27357 \h </w:instrText>
      </w:r>
      <w:r>
        <w:fldChar w:fldCharType="separate"/>
      </w:r>
      <w:r>
        <w:t>25</w:t>
      </w:r>
      <w:r>
        <w:fldChar w:fldCharType="end"/>
      </w:r>
      <w:r>
        <w:fldChar w:fldCharType="end"/>
      </w:r>
    </w:p>
    <w:p w14:paraId="1A6957B5">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_Toc32413 </w:instrText>
      </w:r>
      <w:r>
        <w:fldChar w:fldCharType="separate"/>
      </w:r>
      <w:r>
        <w:rPr>
          <w:rFonts w:hint="eastAsia" w:ascii="仿宋" w:hAnsi="Cambria" w:eastAsia="仿宋" w:cs="Times New Roman"/>
          <w:kern w:val="2"/>
          <w:szCs w:val="32"/>
          <w:lang w:bidi="ar-SA"/>
        </w:rPr>
        <w:t>十三、财政拨款“三公”经费支出决算表</w:t>
      </w:r>
      <w:r>
        <w:tab/>
      </w:r>
      <w:r>
        <w:fldChar w:fldCharType="begin"/>
      </w:r>
      <w:r>
        <w:instrText xml:space="preserve"> PAGEREF _Toc32413 \h </w:instrText>
      </w:r>
      <w:r>
        <w:fldChar w:fldCharType="separate"/>
      </w:r>
      <w:r>
        <w:t>25</w:t>
      </w:r>
      <w:r>
        <w:fldChar w:fldCharType="end"/>
      </w:r>
      <w:r>
        <w:fldChar w:fldCharType="end"/>
      </w:r>
    </w:p>
    <w:p w14:paraId="73CF4FC5">
      <w:pPr>
        <w:pageBreakBefore w:val="0"/>
        <w:kinsoku/>
        <w:wordWrap/>
        <w:overflowPunct/>
        <w:topLinePunct w:val="0"/>
        <w:bidi w:val="0"/>
        <w:spacing w:line="576" w:lineRule="exact"/>
        <w:textAlignment w:val="auto"/>
      </w:pPr>
      <w:r>
        <w:fldChar w:fldCharType="end"/>
      </w:r>
    </w:p>
    <w:p w14:paraId="04EF5444">
      <w:pPr>
        <w:adjustRightInd w:val="0"/>
        <w:snapToGrid w:val="0"/>
        <w:spacing w:line="576" w:lineRule="exact"/>
        <w:jc w:val="both"/>
        <w:outlineLvl w:val="0"/>
        <w:rPr>
          <w:rFonts w:hint="eastAsia" w:ascii="方正小标宋简体" w:hAnsi="方正小标宋简体" w:eastAsia="方正小标宋简体" w:cs="方正小标宋简体"/>
          <w:sz w:val="44"/>
          <w:szCs w:val="44"/>
        </w:rPr>
      </w:pPr>
      <w:bookmarkStart w:id="2" w:name="_Toc79163851"/>
      <w:bookmarkStart w:id="3" w:name="_Toc79163601"/>
    </w:p>
    <w:p w14:paraId="454BBDBD">
      <w:pPr>
        <w:adjustRightInd w:val="0"/>
        <w:snapToGrid w:val="0"/>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部门概况</w:t>
      </w:r>
      <w:bookmarkEnd w:id="0"/>
      <w:bookmarkEnd w:id="1"/>
      <w:bookmarkEnd w:id="2"/>
      <w:bookmarkEnd w:id="3"/>
    </w:p>
    <w:p w14:paraId="714CCF07">
      <w:pPr>
        <w:widowControl/>
        <w:jc w:val="left"/>
        <w:rPr>
          <w:rFonts w:ascii="黑体" w:eastAsia="黑体"/>
          <w:color w:val="000000"/>
          <w:sz w:val="32"/>
          <w:szCs w:val="32"/>
        </w:rPr>
      </w:pPr>
    </w:p>
    <w:p w14:paraId="53F316E2">
      <w:pPr>
        <w:spacing w:line="576" w:lineRule="exact"/>
        <w:ind w:firstLine="640" w:firstLineChars="200"/>
        <w:rPr>
          <w:rFonts w:ascii="黑体" w:hAnsi="黑体" w:eastAsia="黑体"/>
          <w:sz w:val="32"/>
          <w:szCs w:val="32"/>
        </w:rPr>
      </w:pPr>
      <w:bookmarkStart w:id="4" w:name="_Toc15378445"/>
      <w:bookmarkStart w:id="5" w:name="_Toc15377198"/>
      <w:r>
        <w:rPr>
          <w:rFonts w:hint="eastAsia" w:ascii="黑体" w:hAnsi="黑体" w:eastAsia="黑体"/>
          <w:sz w:val="32"/>
          <w:szCs w:val="32"/>
        </w:rPr>
        <w:t>一、基本职能及主要工作</w:t>
      </w:r>
    </w:p>
    <w:bookmarkEnd w:id="4"/>
    <w:bookmarkEnd w:id="5"/>
    <w:p w14:paraId="0BA97EA9">
      <w:pPr>
        <w:spacing w:line="576" w:lineRule="exact"/>
        <w:ind w:firstLine="643" w:firstLineChars="200"/>
        <w:rPr>
          <w:rFonts w:ascii="楷体_GB2312" w:hAnsi="楷体_GB2312" w:eastAsia="楷体_GB2312" w:cs="楷体_GB2312"/>
          <w:b/>
          <w:sz w:val="32"/>
          <w:szCs w:val="32"/>
        </w:rPr>
      </w:pPr>
      <w:bookmarkStart w:id="6" w:name="_Toc15378446"/>
      <w:bookmarkStart w:id="7" w:name="_Toc15377199"/>
      <w:r>
        <w:rPr>
          <w:rFonts w:hint="eastAsia" w:ascii="楷体_GB2312" w:hAnsi="楷体_GB2312" w:eastAsia="楷体_GB2312" w:cs="楷体_GB2312"/>
          <w:b/>
          <w:sz w:val="32"/>
          <w:szCs w:val="32"/>
        </w:rPr>
        <w:t>（一）主要职能</w:t>
      </w:r>
    </w:p>
    <w:p w14:paraId="7868B942">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3F84ACDB">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3A61C217">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5DDD2DB8">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FEA4CFE">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2B7112F6">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14:paraId="4A389B75">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3011AF54">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53D101C5">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14:paraId="28265657">
      <w:pPr>
        <w:spacing w:line="576" w:lineRule="exact"/>
        <w:ind w:firstLine="640" w:firstLineChars="200"/>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bookmarkEnd w:id="6"/>
    <w:bookmarkEnd w:id="7"/>
    <w:p w14:paraId="63859099">
      <w:pPr>
        <w:spacing w:line="576" w:lineRule="exact"/>
        <w:ind w:firstLine="643" w:firstLineChars="200"/>
        <w:rPr>
          <w:rFonts w:hint="eastAsia" w:ascii="楷体_GB2312" w:hAnsi="楷体_GB2312" w:eastAsia="楷体_GB2312" w:cs="楷体_GB2312"/>
          <w:b/>
          <w:sz w:val="32"/>
          <w:szCs w:val="32"/>
        </w:rPr>
      </w:pPr>
      <w:bookmarkStart w:id="8" w:name="_Toc15396601"/>
      <w:bookmarkStart w:id="9" w:name="_Toc15377200"/>
      <w:r>
        <w:rPr>
          <w:rFonts w:hint="eastAsia" w:ascii="楷体_GB2312" w:hAnsi="楷体_GB2312" w:eastAsia="楷体_GB2312" w:cs="楷体_GB2312"/>
          <w:b/>
          <w:sz w:val="32"/>
          <w:szCs w:val="32"/>
        </w:rPr>
        <w:t>（二）202</w:t>
      </w: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年重点工作完成情况</w:t>
      </w:r>
    </w:p>
    <w:p w14:paraId="5F548DA2">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bCs/>
          <w:sz w:val="32"/>
          <w:szCs w:val="32"/>
        </w:rPr>
        <w:t>狠抓政治建设不放松，在思想引领上下功夫</w:t>
      </w:r>
    </w:p>
    <w:p w14:paraId="4E0BCFD1">
      <w:pPr>
        <w:numPr>
          <w:ilvl w:val="0"/>
          <w:numId w:val="0"/>
        </w:numPr>
        <w:spacing w:line="576" w:lineRule="exact"/>
        <w:ind w:firstLine="321" w:firstLineChars="100"/>
        <w:rPr>
          <w:rFonts w:ascii="仿宋_GB2312" w:eastAsia="仿宋_GB2312"/>
          <w:color w:val="000000"/>
          <w:sz w:val="32"/>
          <w:szCs w:val="32"/>
        </w:rPr>
      </w:pPr>
      <w:r>
        <w:rPr>
          <w:rFonts w:hint="eastAsia" w:ascii="仿宋_GB2312" w:hAnsi="仿宋_GB2312" w:eastAsia="仿宋_GB2312" w:cs="仿宋_GB2312"/>
          <w:b/>
          <w:bCs/>
          <w:sz w:val="32"/>
          <w:szCs w:val="32"/>
        </w:rPr>
        <w:t>（1）</w:t>
      </w:r>
      <w:r>
        <w:rPr>
          <w:rFonts w:hint="eastAsia" w:ascii="仿宋_GB2312" w:hAnsi="楷体_GB2312" w:eastAsia="仿宋_GB2312" w:cs="楷体_GB2312"/>
          <w:b/>
          <w:bCs/>
          <w:sz w:val="32"/>
          <w:szCs w:val="32"/>
        </w:rPr>
        <w:t>强化理论学习。</w:t>
      </w:r>
      <w:r>
        <w:rPr>
          <w:rFonts w:hint="eastAsia" w:ascii="仿宋_GB2312" w:hAnsi="仿宋_GB2312" w:eastAsia="仿宋_GB2312" w:cs="仿宋_GB2312"/>
          <w:sz w:val="32"/>
          <w:szCs w:val="32"/>
        </w:rPr>
        <w:t>始终坚持把思想引领放在首位，组织职工集中收看党的二十大开幕大会，及时召开职工大会多场次深入学习党的二十大精神，开展党的十九届六中全会、省第十二次党代会、习近平总书记来川视察重要指示精神等专题学习，引导党员干部职工进一步增强“四个意识”、坚定“四个自信”、做到“两个维护”。</w:t>
      </w:r>
    </w:p>
    <w:p w14:paraId="7F0B598B">
      <w:pPr>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（2）</w:t>
      </w:r>
      <w:r>
        <w:rPr>
          <w:rFonts w:hint="eastAsia" w:ascii="仿宋_GB2312" w:hAnsi="Microsoft YaHei UI" w:eastAsia="仿宋_GB2312"/>
          <w:b/>
          <w:spacing w:val="8"/>
          <w:sz w:val="32"/>
          <w:szCs w:val="32"/>
          <w:shd w:val="clear" w:color="auto" w:fill="FFFFFF"/>
        </w:rPr>
        <w:t>强化意识形态工作。</w:t>
      </w:r>
      <w:r>
        <w:rPr>
          <w:rFonts w:hint="eastAsia" w:ascii="仿宋_GB2312" w:hAnsi="仿宋_GB2312" w:eastAsia="仿宋_GB2312" w:cs="仿宋_GB2312"/>
          <w:sz w:val="32"/>
          <w:szCs w:val="32"/>
        </w:rPr>
        <w:t>将意识形态工作列入年度工作要点、纳入重要议事日程，与中心工作紧密结合，同部署、同落实。</w:t>
      </w:r>
      <w:r>
        <w:rPr>
          <w:rFonts w:hint="eastAsia" w:ascii="仿宋_GB2312" w:hAnsi="Microsoft YaHei UI" w:eastAsia="仿宋_GB2312"/>
          <w:spacing w:val="8"/>
          <w:sz w:val="32"/>
          <w:szCs w:val="32"/>
          <w:shd w:val="clear" w:color="auto" w:fill="FFFFFF"/>
        </w:rPr>
        <w:t>建立完善“中心组引领学、党支部延伸学、党员重点学、职工自主学”的“四学联动”常态化学习机制，持续引导党员干部学思践悟、细照笃行，不断抓实意识形态工作。</w:t>
      </w:r>
    </w:p>
    <w:p w14:paraId="78D966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sz w:val="32"/>
          <w:szCs w:val="32"/>
        </w:rPr>
      </w:pPr>
      <w:r>
        <w:rPr>
          <w:rFonts w:hint="eastAsia" w:ascii="仿宋_GB2312" w:hAnsi="仿宋_GB2312" w:eastAsia="仿宋_GB2312" w:cs="仿宋_GB2312"/>
          <w:b/>
          <w:bCs/>
          <w:sz w:val="32"/>
          <w:szCs w:val="32"/>
        </w:rPr>
        <w:t>（3）全面落实廉政责任。</w:t>
      </w:r>
      <w:r>
        <w:rPr>
          <w:rFonts w:hint="eastAsia" w:ascii="仿宋_GB2312" w:hAnsi="仿宋_GB2312" w:eastAsia="仿宋_GB2312" w:cs="仿宋_GB2312"/>
          <w:bCs/>
          <w:sz w:val="32"/>
          <w:szCs w:val="32"/>
        </w:rPr>
        <w:t>严格落实中央八项规定，对贯彻党风廉政建设情况进行经常性的自查自纠。</w:t>
      </w:r>
      <w:r>
        <w:rPr>
          <w:rFonts w:hint="eastAsia" w:ascii="仿宋_GB2312" w:hAnsi="仿宋_GB2312" w:eastAsia="仿宋_GB2312" w:cs="仿宋_GB2312"/>
          <w:sz w:val="32"/>
          <w:szCs w:val="32"/>
        </w:rPr>
        <w:t>严肃财经纪律，严格执行县委“三重一大”制度，规范日常财务资金审批及管理流程，定期在职工大会公布经费开支使用情况，着力规范内部管理。建立健全机构编制工作重大事项报告制度，强化权力运行制约和监督。</w:t>
      </w:r>
    </w:p>
    <w:p w14:paraId="0CC623E4">
      <w:pPr>
        <w:numPr>
          <w:ilvl w:val="0"/>
          <w:numId w:val="0"/>
        </w:num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狠抓重点工作不懈怠，在攻坚破难上下功夫</w:t>
      </w:r>
    </w:p>
    <w:p w14:paraId="6C9E0376">
      <w:pPr>
        <w:numPr>
          <w:ilvl w:val="0"/>
          <w:numId w:val="0"/>
        </w:numPr>
        <w:spacing w:line="576"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（1</w:t>
      </w:r>
      <w:r>
        <w:rPr>
          <w:rFonts w:ascii="仿宋_GB2312" w:hAnsi="黑体" w:eastAsia="仿宋_GB2312"/>
          <w:b/>
          <w:sz w:val="32"/>
          <w:szCs w:val="32"/>
        </w:rPr>
        <w:t>）</w:t>
      </w:r>
      <w:r>
        <w:rPr>
          <w:rFonts w:hint="eastAsia" w:ascii="仿宋_GB2312" w:hAnsi="仿宋_GB2312" w:eastAsia="仿宋_GB2312" w:cs="仿宋_GB2312"/>
          <w:b/>
          <w:bCs/>
          <w:sz w:val="32"/>
          <w:szCs w:val="32"/>
        </w:rPr>
        <w:t>创新开展机构编制效益评估。</w:t>
      </w:r>
      <w:r>
        <w:rPr>
          <w:rFonts w:hint="eastAsia" w:ascii="仿宋_GB2312" w:hAnsi="仿宋_GB2312" w:eastAsia="仿宋_GB2312" w:cs="仿宋_GB2312"/>
          <w:sz w:val="32"/>
          <w:szCs w:val="32"/>
        </w:rPr>
        <w:t>创新</w:t>
      </w:r>
      <w:r>
        <w:rPr>
          <w:rFonts w:hint="eastAsia" w:ascii="仿宋_GB2312" w:hAnsi="仿宋_GB2312" w:eastAsia="仿宋_GB2312" w:cs="仿宋_GB2312"/>
          <w:kern w:val="0"/>
          <w:sz w:val="32"/>
          <w:szCs w:val="32"/>
        </w:rPr>
        <w:t>开展机构编制效益评估工作</w:t>
      </w:r>
      <w:r>
        <w:rPr>
          <w:rFonts w:hint="eastAsia" w:ascii="仿宋_GB2312" w:eastAsia="仿宋_GB2312"/>
          <w:sz w:val="32"/>
          <w:szCs w:val="32"/>
        </w:rPr>
        <w:t>，由班子成员带队，分别到全县</w:t>
      </w:r>
      <w:r>
        <w:rPr>
          <w:rFonts w:eastAsia="仿宋_GB2312"/>
          <w:sz w:val="32"/>
          <w:szCs w:val="32"/>
        </w:rPr>
        <w:t>11</w:t>
      </w:r>
      <w:r>
        <w:rPr>
          <w:rFonts w:hint="eastAsia" w:ascii="仿宋_GB2312" w:eastAsia="仿宋_GB2312"/>
          <w:sz w:val="32"/>
          <w:szCs w:val="32"/>
        </w:rPr>
        <w:t>镇和</w:t>
      </w:r>
      <w:r>
        <w:rPr>
          <w:rFonts w:eastAsia="仿宋_GB2312"/>
          <w:sz w:val="32"/>
          <w:szCs w:val="32"/>
        </w:rPr>
        <w:t>63</w:t>
      </w:r>
      <w:r>
        <w:rPr>
          <w:rFonts w:hint="eastAsia" w:ascii="仿宋_GB2312" w:eastAsia="仿宋_GB2312"/>
          <w:sz w:val="32"/>
          <w:szCs w:val="32"/>
        </w:rPr>
        <w:t>个部门（单位）进行调研评估，根据在评估中发现的问题提出用编建议，有力改善了部分单位人员结构老化的问题，确保编制资源用在刀刃上。</w:t>
      </w:r>
    </w:p>
    <w:p w14:paraId="701F519E">
      <w:pPr>
        <w:spacing w:line="576"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b/>
          <w:sz w:val="32"/>
          <w:szCs w:val="32"/>
        </w:rPr>
        <w:t>（</w:t>
      </w:r>
      <w:r>
        <w:rPr>
          <w:rFonts w:hint="eastAsia" w:ascii="仿宋_GB2312" w:hAnsi="黑体" w:eastAsia="仿宋_GB2312"/>
          <w:b/>
          <w:sz w:val="32"/>
          <w:szCs w:val="32"/>
          <w:lang w:val="en-US" w:eastAsia="zh-CN"/>
        </w:rPr>
        <w:t>2</w:t>
      </w:r>
      <w:r>
        <w:rPr>
          <w:rFonts w:hint="eastAsia" w:ascii="仿宋_GB2312" w:hAnsi="黑体" w:eastAsia="仿宋_GB2312"/>
          <w:b/>
          <w:sz w:val="32"/>
          <w:szCs w:val="32"/>
        </w:rPr>
        <w:t>）</w:t>
      </w:r>
      <w:r>
        <w:rPr>
          <w:rFonts w:hint="eastAsia" w:ascii="仿宋_GB2312" w:hAnsi="仿宋_GB2312" w:eastAsia="仿宋_GB2312" w:cs="仿宋_GB2312"/>
          <w:b/>
          <w:bCs/>
          <w:sz w:val="32"/>
          <w:szCs w:val="32"/>
        </w:rPr>
        <w:t>抓实事业单位管理。</w:t>
      </w:r>
      <w:r>
        <w:rPr>
          <w:rFonts w:hint="eastAsia" w:ascii="仿宋_GB2312" w:hAnsi="楷体_GB2312" w:eastAsia="仿宋_GB2312" w:cs="楷体_GB2312"/>
          <w:bCs/>
          <w:sz w:val="32"/>
          <w:szCs w:val="32"/>
        </w:rPr>
        <w:t>下发《关于做好全县事业单位法人年度报告公示工作的通知》，及时告知相关单位事业单位登记管理工作任务，提醒其及时办理相关业务。今年以来，</w:t>
      </w:r>
      <w:r>
        <w:rPr>
          <w:rFonts w:hint="eastAsia" w:ascii="仿宋_GB2312" w:hAnsi="仿宋_GB2312" w:eastAsia="仿宋_GB2312" w:cs="仿宋_GB2312"/>
          <w:sz w:val="32"/>
          <w:szCs w:val="32"/>
        </w:rPr>
        <w:t>全县</w:t>
      </w:r>
      <w:r>
        <w:rPr>
          <w:rFonts w:ascii="Times New Roman" w:hAnsi="Times New Roman" w:eastAsia="仿宋_GB2312"/>
          <w:sz w:val="32"/>
          <w:szCs w:val="32"/>
        </w:rPr>
        <w:t>129</w:t>
      </w:r>
      <w:r>
        <w:rPr>
          <w:rFonts w:hint="eastAsia" w:ascii="仿宋_GB2312" w:hAnsi="仿宋_GB2312" w:eastAsia="仿宋_GB2312" w:cs="仿宋_GB2312"/>
          <w:sz w:val="32"/>
          <w:szCs w:val="32"/>
        </w:rPr>
        <w:t>家法人事业单位全部完成上一年度法人事业单位报告，在规定的时间内实现了既定工作目标。</w:t>
      </w:r>
    </w:p>
    <w:p w14:paraId="4A7F0B6D">
      <w:pPr>
        <w:spacing w:line="540" w:lineRule="exact"/>
        <w:ind w:firstLine="643" w:firstLineChars="200"/>
        <w:contextualSpacing/>
        <w:outlineLvl w:val="1"/>
        <w:rPr>
          <w:rFonts w:hint="eastAsia" w:ascii="仿宋_GB2312" w:eastAsia="仿宋_GB2312"/>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扎实推进“联户联情”工作。</w:t>
      </w:r>
      <w:r>
        <w:rPr>
          <w:rFonts w:hint="eastAsia" w:ascii="仿宋_GB2312" w:hAnsi="仿宋_GB2312" w:eastAsia="仿宋_GB2312" w:cs="仿宋_GB2312"/>
          <w:sz w:val="32"/>
          <w:szCs w:val="32"/>
        </w:rPr>
        <w:t>以“常来常往、常联常亲”为总要求，</w:t>
      </w:r>
      <w:r>
        <w:rPr>
          <w:rFonts w:hint="eastAsia" w:ascii="仿宋_GB2312" w:eastAsia="仿宋_GB2312"/>
          <w:sz w:val="32"/>
          <w:szCs w:val="32"/>
        </w:rPr>
        <w:t>认真开展“联户联情”工作，定期在罗山村微信群发布“三防一安全”、防范电信网络诈骗、疫情防控、安全生产等信息。</w:t>
      </w:r>
    </w:p>
    <w:p w14:paraId="43ECB037">
      <w:pPr>
        <w:spacing w:line="540" w:lineRule="exact"/>
        <w:ind w:firstLine="643" w:firstLineChars="200"/>
        <w:contextualSpacing/>
        <w:outlineLvl w:val="1"/>
        <w:rPr>
          <w:rFonts w:hint="eastAsia" w:ascii="仿宋_GB2312" w:hAnsi="仿宋_GB2312" w:eastAsia="仿宋_GB2312" w:cs="仿宋_GB2312"/>
          <w:b/>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狠抓</w:t>
      </w:r>
      <w:r>
        <w:rPr>
          <w:rFonts w:hint="eastAsia" w:ascii="楷体_GB2312" w:hAnsi="楷体_GB2312" w:eastAsia="楷体_GB2312" w:cs="楷体_GB2312"/>
          <w:b/>
          <w:sz w:val="32"/>
          <w:szCs w:val="32"/>
        </w:rPr>
        <w:t>自身建设不松劲，在提升素质上下功夫</w:t>
      </w:r>
    </w:p>
    <w:p w14:paraId="023522C5">
      <w:pPr>
        <w:pStyle w:val="17"/>
        <w:keepNext w:val="0"/>
        <w:keepLines w:val="0"/>
        <w:pageBreakBefore w:val="0"/>
        <w:widowControl w:val="0"/>
        <w:kinsoku/>
        <w:wordWrap/>
        <w:overflowPunct/>
        <w:topLinePunct w:val="0"/>
        <w:autoSpaceDE/>
        <w:autoSpaceDN/>
        <w:bidi w:val="0"/>
        <w:adjustRightInd/>
        <w:snapToGrid/>
        <w:spacing w:line="560" w:lineRule="exact"/>
        <w:ind w:left="97" w:leftChars="46" w:firstLine="643" w:firstLineChars="200"/>
        <w:textAlignment w:val="auto"/>
        <w:rPr>
          <w:rFonts w:hint="eastAsia" w:ascii="仿宋_GB2312" w:eastAsia="仿宋_GB2312"/>
          <w:sz w:val="32"/>
          <w:szCs w:val="32"/>
        </w:rPr>
      </w:pPr>
      <w:r>
        <w:rPr>
          <w:rFonts w:hint="eastAsia" w:ascii="仿宋_GB2312" w:hAnsi="仿宋_GB2312" w:eastAsia="仿宋_GB2312" w:cs="仿宋_GB2312"/>
          <w:b/>
          <w:kern w:val="2"/>
          <w:sz w:val="32"/>
          <w:szCs w:val="32"/>
          <w:lang w:val="en-US" w:eastAsia="zh-CN" w:bidi="ar-SA"/>
        </w:rPr>
        <w:t>（1）</w:t>
      </w:r>
      <w:r>
        <w:rPr>
          <w:rFonts w:hint="eastAsia" w:ascii="仿宋_GB2312" w:hAnsi="仿宋_GB2312" w:eastAsia="仿宋_GB2312" w:cs="仿宋_GB2312"/>
          <w:b/>
          <w:sz w:val="32"/>
          <w:szCs w:val="32"/>
        </w:rPr>
        <w:t>加强干部作风教育整顿。</w:t>
      </w:r>
      <w:r>
        <w:rPr>
          <w:rFonts w:hint="eastAsia" w:ascii="仿宋_GB2312" w:eastAsia="仿宋_GB2312"/>
          <w:sz w:val="32"/>
          <w:szCs w:val="32"/>
        </w:rPr>
        <w:t>制定并印发《县委编办2022年干部作风教育整顿专项行动实施方案》，全面提升干部职工作风建设。</w:t>
      </w:r>
    </w:p>
    <w:p w14:paraId="3AAF1E1F">
      <w:pPr>
        <w:ind w:firstLine="643" w:firstLineChars="200"/>
        <w:rPr>
          <w:rFonts w:hint="eastAsia" w:ascii="仿宋_GB2312" w:hAnsi="宋体" w:eastAsia="仿宋_GB2312" w:cs="宋体"/>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提升干部队伍业务能力。</w:t>
      </w:r>
      <w:r>
        <w:rPr>
          <w:rFonts w:hint="eastAsia" w:ascii="仿宋_GB2312" w:hAnsi="宋体" w:eastAsia="仿宋_GB2312" w:cs="宋体"/>
          <w:sz w:val="32"/>
          <w:szCs w:val="32"/>
        </w:rPr>
        <w:t>举办《中国共产党机构编制工作条例》《</w:t>
      </w:r>
      <w:r>
        <w:rPr>
          <w:rFonts w:hint="eastAsia" w:ascii="仿宋_GB2312" w:hAnsi="仿宋_GB2312" w:eastAsia="仿宋_GB2312" w:cs="仿宋_GB2312"/>
          <w:sz w:val="32"/>
          <w:szCs w:val="32"/>
        </w:rPr>
        <w:t>机构编制违规违纪违法行为处理和问责规则（试行）</w:t>
      </w:r>
      <w:r>
        <w:rPr>
          <w:rFonts w:hint="eastAsia" w:ascii="仿宋_GB2312" w:hAnsi="宋体" w:eastAsia="仿宋_GB2312" w:cs="宋体"/>
          <w:sz w:val="32"/>
          <w:szCs w:val="32"/>
        </w:rPr>
        <w:t>》专题测试，对全体干部进行业务测试。</w:t>
      </w:r>
    </w:p>
    <w:p w14:paraId="66D71BA7">
      <w:pPr>
        <w:ind w:firstLine="643" w:firstLineChars="200"/>
        <w:rPr>
          <w:rFonts w:hint="eastAsia" w:ascii="仿宋_GB2312" w:hAnsi="宋体" w:eastAsia="仿宋_GB2312" w:cs="宋体"/>
          <w:kern w:val="2"/>
          <w:sz w:val="32"/>
          <w:szCs w:val="32"/>
          <w:lang w:val="en-US" w:eastAsia="zh-CN" w:bidi="ar-SA"/>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加大年轻干部培养。</w:t>
      </w:r>
      <w:r>
        <w:rPr>
          <w:rFonts w:hint="eastAsia" w:ascii="仿宋_GB2312" w:hAnsi="宋体" w:eastAsia="仿宋_GB2312" w:cs="宋体"/>
          <w:kern w:val="2"/>
          <w:sz w:val="32"/>
          <w:szCs w:val="32"/>
          <w:lang w:val="en-US" w:eastAsia="zh-CN" w:bidi="ar-SA"/>
        </w:rPr>
        <w:t>为加强对年轻干部的教育引</w:t>
      </w:r>
      <w:r>
        <w:rPr>
          <w:rFonts w:hint="eastAsia" w:ascii="仿宋_GB2312" w:hAnsi="仿宋_GB2312" w:eastAsia="仿宋_GB2312" w:cs="仿宋_GB2312"/>
          <w:sz w:val="32"/>
          <w:szCs w:val="32"/>
        </w:rPr>
        <w:t>导</w:t>
      </w:r>
      <w:r>
        <w:rPr>
          <w:rFonts w:hint="eastAsia" w:ascii="仿宋_GB2312" w:hAnsi="仿宋_GB2312" w:eastAsia="仿宋_GB2312" w:cs="仿宋_GB2312"/>
          <w:sz w:val="32"/>
          <w:szCs w:val="32"/>
          <w:lang w:eastAsia="zh-CN"/>
        </w:rPr>
        <w:t>，</w:t>
      </w:r>
      <w:r>
        <w:rPr>
          <w:rFonts w:hint="eastAsia" w:ascii="仿宋_GB2312" w:hAnsi="宋体" w:eastAsia="仿宋_GB2312" w:cs="宋体"/>
          <w:kern w:val="2"/>
          <w:sz w:val="32"/>
          <w:szCs w:val="32"/>
          <w:lang w:val="en-US" w:eastAsia="zh-CN" w:bidi="ar-SA"/>
        </w:rPr>
        <w:t>全面提升全办年轻干部综合素质，制定并印发《“师父帮带·青蓝出彩”实施方案》，4名班子成员共帮带6名职工。</w:t>
      </w:r>
    </w:p>
    <w:p w14:paraId="3DA908CD">
      <w:pPr>
        <w:spacing w:line="576" w:lineRule="exact"/>
        <w:ind w:firstLine="640" w:firstLineChars="200"/>
        <w:rPr>
          <w:rStyle w:val="40"/>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40"/>
          <w:rFonts w:hint="eastAsia" w:ascii="黑体" w:hAnsi="黑体" w:eastAsia="黑体"/>
          <w:b w:val="0"/>
          <w:bCs w:val="0"/>
        </w:rPr>
        <w:t>构设置</w:t>
      </w:r>
      <w:bookmarkEnd w:id="8"/>
      <w:bookmarkEnd w:id="9"/>
    </w:p>
    <w:p w14:paraId="124C037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p>
    <w:p w14:paraId="7583E4F6">
      <w:pPr>
        <w:widowControl/>
        <w:jc w:val="left"/>
        <w:rPr>
          <w:rFonts w:ascii="仿宋" w:hAnsi="仿宋" w:eastAsia="仿宋"/>
          <w:color w:val="000000"/>
          <w:kern w:val="0"/>
          <w:sz w:val="32"/>
          <w:szCs w:val="32"/>
        </w:rPr>
      </w:pPr>
    </w:p>
    <w:p w14:paraId="10587CCF">
      <w:pPr>
        <w:pStyle w:val="21"/>
      </w:pPr>
    </w:p>
    <w:p w14:paraId="74546E26">
      <w:pPr>
        <w:pStyle w:val="21"/>
      </w:pPr>
    </w:p>
    <w:p w14:paraId="637C3714">
      <w:pPr>
        <w:pStyle w:val="21"/>
      </w:pPr>
    </w:p>
    <w:p w14:paraId="19C57DF9">
      <w:pPr>
        <w:pStyle w:val="21"/>
      </w:pPr>
    </w:p>
    <w:p w14:paraId="321EE9D0">
      <w:pPr>
        <w:pStyle w:val="21"/>
      </w:pPr>
    </w:p>
    <w:p w14:paraId="09D70430">
      <w:pPr>
        <w:pStyle w:val="21"/>
      </w:pPr>
    </w:p>
    <w:p w14:paraId="55338273">
      <w:pPr>
        <w:pStyle w:val="21"/>
      </w:pPr>
    </w:p>
    <w:p w14:paraId="354E13BE">
      <w:pPr>
        <w:pStyle w:val="21"/>
      </w:pPr>
    </w:p>
    <w:p w14:paraId="0DF6D2C6">
      <w:pPr>
        <w:pStyle w:val="2"/>
        <w:ind w:right="440"/>
        <w:jc w:val="right"/>
        <w:rPr>
          <w:rStyle w:val="36"/>
          <w:rFonts w:ascii="方正小标宋简体" w:hAnsi="方正小标宋简体" w:eastAsia="方正小标宋简体" w:cs="方正小标宋简体"/>
          <w:b w:val="0"/>
          <w:bCs w:val="0"/>
        </w:rPr>
      </w:pPr>
      <w:bookmarkStart w:id="10" w:name="_Toc79163609"/>
      <w:bookmarkStart w:id="11" w:name="_Toc15396602"/>
      <w:bookmarkStart w:id="12" w:name="_Toc15377204"/>
      <w:bookmarkStart w:id="13" w:name="_Toc79163859"/>
      <w:r>
        <w:rPr>
          <w:rStyle w:val="36"/>
          <w:rFonts w:hint="eastAsia" w:ascii="方正小标宋简体" w:hAnsi="方正小标宋简体" w:eastAsia="方正小标宋简体" w:cs="方正小标宋简体"/>
          <w:b w:val="0"/>
          <w:bCs w:val="0"/>
        </w:rPr>
        <w:t>第二部分 202</w:t>
      </w:r>
      <w:r>
        <w:rPr>
          <w:rStyle w:val="36"/>
          <w:rFonts w:hint="eastAsia" w:ascii="方正小标宋简体" w:hAnsi="方正小标宋简体" w:eastAsia="方正小标宋简体" w:cs="方正小标宋简体"/>
          <w:b w:val="0"/>
          <w:bCs w:val="0"/>
          <w:lang w:val="en-US" w:eastAsia="zh-CN"/>
        </w:rPr>
        <w:t>2</w:t>
      </w:r>
      <w:r>
        <w:rPr>
          <w:rStyle w:val="36"/>
          <w:rFonts w:hint="eastAsia" w:ascii="方正小标宋简体" w:hAnsi="方正小标宋简体" w:eastAsia="方正小标宋简体" w:cs="方正小标宋简体"/>
          <w:b w:val="0"/>
          <w:bCs w:val="0"/>
        </w:rPr>
        <w:t>年度部门决算情况说明</w:t>
      </w:r>
      <w:bookmarkEnd w:id="10"/>
      <w:bookmarkEnd w:id="11"/>
      <w:bookmarkEnd w:id="12"/>
      <w:bookmarkEnd w:id="13"/>
    </w:p>
    <w:p w14:paraId="05363292"/>
    <w:p w14:paraId="74279A03">
      <w:pPr>
        <w:spacing w:line="576" w:lineRule="exact"/>
        <w:ind w:firstLine="640" w:firstLineChars="200"/>
        <w:rPr>
          <w:rStyle w:val="40"/>
          <w:rFonts w:ascii="黑体" w:hAnsi="黑体" w:eastAsia="黑体"/>
          <w:b w:val="0"/>
        </w:rPr>
      </w:pPr>
      <w:bookmarkStart w:id="14" w:name="_Toc79163613"/>
      <w:bookmarkStart w:id="15" w:name="_Toc79163863"/>
      <w:bookmarkStart w:id="16" w:name="_Toc15396606"/>
      <w:bookmarkStart w:id="17" w:name="_Toc15377208"/>
      <w:r>
        <w:rPr>
          <w:rFonts w:hint="eastAsia" w:ascii="黑体" w:hAnsi="黑体" w:eastAsia="黑体"/>
          <w:sz w:val="32"/>
          <w:szCs w:val="32"/>
        </w:rPr>
        <w:t>一、收</w:t>
      </w:r>
      <w:r>
        <w:rPr>
          <w:rStyle w:val="40"/>
          <w:rFonts w:hint="eastAsia" w:ascii="黑体" w:hAnsi="黑体" w:eastAsia="黑体"/>
          <w:b w:val="0"/>
        </w:rPr>
        <w:t>入支出决算总体情况说明</w:t>
      </w:r>
    </w:p>
    <w:p w14:paraId="2DCA9096">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 xml:space="preserve">%。主要变动原因是本年职工工资及五险一金费用有所增加。 </w:t>
      </w:r>
    </w:p>
    <w:p w14:paraId="13B4BFEF">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14:paraId="1D6F5CA8">
      <w:pPr>
        <w:jc w:val="center"/>
        <w:rPr>
          <w:rFonts w:ascii="仿宋_GB2312" w:eastAsia="仿宋_GB2312"/>
          <w:sz w:val="32"/>
          <w:szCs w:val="32"/>
        </w:rPr>
      </w:pPr>
      <w:bookmarkStart w:id="18" w:name="_Toc15377206"/>
      <w:bookmarkStart w:id="19" w:name="_Toc15396604"/>
      <w:r>
        <w:rPr>
          <w:rFonts w:ascii="仿宋_GB2312" w:eastAsia="仿宋_GB2312"/>
          <w:sz w:val="32"/>
          <w:szCs w:val="32"/>
        </w:rPr>
        <w:drawing>
          <wp:inline distT="0" distB="0" distL="0" distR="0">
            <wp:extent cx="4011930" cy="2385060"/>
            <wp:effectExtent l="19050" t="0" r="2633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AF00323">
      <w:pPr>
        <w:ind w:firstLine="640" w:firstLineChars="200"/>
        <w:jc w:val="left"/>
        <w:rPr>
          <w:rFonts w:ascii="仿宋_GB2312" w:eastAsia="仿宋_GB2312"/>
          <w:sz w:val="32"/>
          <w:szCs w:val="32"/>
        </w:rPr>
      </w:pPr>
    </w:p>
    <w:p w14:paraId="74B72A03">
      <w:pPr>
        <w:spacing w:line="576" w:lineRule="exact"/>
        <w:ind w:firstLine="640" w:firstLineChars="200"/>
        <w:rPr>
          <w:rStyle w:val="40"/>
          <w:rFonts w:ascii="黑体" w:hAnsi="黑体" w:eastAsia="黑体" w:cs="黑体"/>
          <w:b w:val="0"/>
        </w:rPr>
      </w:pPr>
      <w:r>
        <w:rPr>
          <w:rFonts w:hint="eastAsia" w:ascii="黑体" w:hAnsi="黑体" w:eastAsia="黑体" w:cs="黑体"/>
          <w:sz w:val="32"/>
          <w:szCs w:val="32"/>
        </w:rPr>
        <w:t>二、收</w:t>
      </w:r>
      <w:r>
        <w:rPr>
          <w:rStyle w:val="40"/>
          <w:rFonts w:hint="eastAsia" w:ascii="黑体" w:hAnsi="黑体" w:eastAsia="黑体" w:cs="黑体"/>
          <w:b w:val="0"/>
        </w:rPr>
        <w:t>入决算情况说明</w:t>
      </w:r>
      <w:bookmarkEnd w:id="18"/>
      <w:bookmarkEnd w:id="19"/>
    </w:p>
    <w:p w14:paraId="0916C085">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14:paraId="4546BEFF">
      <w:pPr>
        <w:spacing w:line="576" w:lineRule="exact"/>
        <w:jc w:val="center"/>
        <w:rPr>
          <w:rFonts w:ascii="仿宋_GB2312" w:eastAsia="仿宋_GB2312"/>
          <w:b/>
          <w:bCs/>
          <w:sz w:val="32"/>
          <w:szCs w:val="32"/>
        </w:rPr>
      </w:pPr>
    </w:p>
    <w:p w14:paraId="1AB528F4">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14:paraId="0B070716">
      <w:pPr>
        <w:jc w:val="center"/>
        <w:rPr>
          <w:rFonts w:ascii="仿宋_GB2312" w:eastAsia="仿宋_GB2312"/>
          <w:sz w:val="32"/>
          <w:szCs w:val="32"/>
        </w:rPr>
      </w:pPr>
      <w:bookmarkStart w:id="20" w:name="_Toc15396605"/>
      <w:bookmarkStart w:id="21" w:name="_Toc15377207"/>
      <w:r>
        <w:rPr>
          <w:rFonts w:ascii="仿宋_GB2312" w:eastAsia="仿宋_GB2312"/>
          <w:sz w:val="32"/>
          <w:szCs w:val="32"/>
        </w:rPr>
        <w:drawing>
          <wp:inline distT="0" distB="0" distL="0" distR="0">
            <wp:extent cx="3801110" cy="2273935"/>
            <wp:effectExtent l="19050" t="0" r="2763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F086C0">
      <w:pPr>
        <w:rPr>
          <w:rFonts w:ascii="仿宋_GB2312" w:eastAsia="仿宋_GB2312"/>
          <w:sz w:val="32"/>
          <w:szCs w:val="32"/>
        </w:rPr>
      </w:pPr>
    </w:p>
    <w:bookmarkEnd w:id="14"/>
    <w:bookmarkEnd w:id="15"/>
    <w:bookmarkEnd w:id="16"/>
    <w:bookmarkEnd w:id="17"/>
    <w:bookmarkEnd w:id="20"/>
    <w:bookmarkEnd w:id="21"/>
    <w:p w14:paraId="3F02FD02">
      <w:pPr>
        <w:spacing w:line="576" w:lineRule="exact"/>
        <w:ind w:firstLine="640" w:firstLineChars="200"/>
        <w:rPr>
          <w:rStyle w:val="40"/>
          <w:rFonts w:ascii="黑体" w:hAnsi="黑体" w:eastAsia="黑体" w:cs="黑体"/>
          <w:b w:val="0"/>
        </w:rPr>
      </w:pPr>
      <w:r>
        <w:rPr>
          <w:rFonts w:hint="eastAsia" w:ascii="黑体" w:hAnsi="黑体" w:eastAsia="黑体" w:cs="黑体"/>
          <w:sz w:val="32"/>
          <w:szCs w:val="32"/>
        </w:rPr>
        <w:t>三、支</w:t>
      </w:r>
      <w:r>
        <w:rPr>
          <w:rStyle w:val="40"/>
          <w:rFonts w:hint="eastAsia" w:ascii="黑体" w:hAnsi="黑体" w:eastAsia="黑体" w:cs="黑体"/>
          <w:b w:val="0"/>
        </w:rPr>
        <w:t>出决算情况说明</w:t>
      </w:r>
    </w:p>
    <w:p w14:paraId="566D7837">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231.31</w:t>
      </w:r>
      <w:r>
        <w:rPr>
          <w:rFonts w:hint="eastAsia" w:ascii="仿宋_GB2312" w:hAnsi="仿宋_GB2312" w:eastAsia="仿宋_GB2312" w:cs="仿宋_GB2312"/>
          <w:sz w:val="32"/>
          <w:szCs w:val="32"/>
        </w:rPr>
        <w:t>万元，占99.</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%；上缴上级支出0万元，占0%；经营支出0万元，占0%；对附属单位补助支出0万元，占0%。</w:t>
      </w:r>
    </w:p>
    <w:p w14:paraId="03D33E7C">
      <w:pPr>
        <w:ind w:firstLine="643" w:firstLineChars="200"/>
        <w:jc w:val="center"/>
        <w:rPr>
          <w:rStyle w:val="40"/>
          <w:rFonts w:ascii="黑体" w:hAnsi="黑体" w:eastAsia="黑体"/>
          <w:b w:val="0"/>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503295" cy="2345055"/>
            <wp:effectExtent l="19050" t="0" r="20872"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5D025">
      <w:pPr>
        <w:pStyle w:val="4"/>
        <w:spacing w:before="0" w:after="0" w:line="576" w:lineRule="exact"/>
        <w:ind w:firstLine="640" w:firstLineChars="200"/>
        <w:rPr>
          <w:rStyle w:val="40"/>
          <w:rFonts w:ascii="黑体" w:hAnsi="黑体" w:eastAsia="黑体"/>
          <w:b w:val="0"/>
          <w:bCs/>
        </w:rPr>
      </w:pPr>
      <w:r>
        <w:rPr>
          <w:rStyle w:val="40"/>
          <w:rFonts w:hint="eastAsia" w:ascii="黑体" w:hAnsi="黑体" w:eastAsia="黑体"/>
          <w:b w:val="0"/>
          <w:bCs/>
        </w:rPr>
        <w:t>四、财政拨款收入支出决算总体情况说明</w:t>
      </w:r>
    </w:p>
    <w:p w14:paraId="7C7AE1F1">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年相比，财政拨款收、支总计都</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 xml:space="preserve">%。主要变动原因是本年职工工资及五险一金费用有所增加。 </w:t>
      </w:r>
    </w:p>
    <w:p w14:paraId="1CAFEA77">
      <w:pPr>
        <w:snapToGrid w:val="0"/>
        <w:spacing w:line="576" w:lineRule="exact"/>
        <w:ind w:firstLine="640" w:firstLineChars="200"/>
        <w:rPr>
          <w:rFonts w:ascii="仿宋_GB2312" w:eastAsia="仿宋_GB2312"/>
          <w:sz w:val="32"/>
          <w:szCs w:val="32"/>
        </w:rPr>
      </w:pPr>
    </w:p>
    <w:p w14:paraId="2E303367">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14:paraId="1B9D8CBA">
      <w:pPr>
        <w:jc w:val="center"/>
        <w:rPr>
          <w:rFonts w:ascii="仿宋_GB2312" w:eastAsia="仿宋_GB2312"/>
          <w:sz w:val="32"/>
          <w:szCs w:val="32"/>
        </w:rPr>
      </w:pPr>
      <w:bookmarkStart w:id="22" w:name="_Toc15396607"/>
      <w:bookmarkStart w:id="23" w:name="_Toc15377209"/>
      <w:r>
        <w:rPr>
          <w:rFonts w:ascii="仿宋_GB2312" w:eastAsia="仿宋_GB2312"/>
          <w:sz w:val="32"/>
          <w:szCs w:val="32"/>
        </w:rPr>
        <w:drawing>
          <wp:inline distT="0" distB="0" distL="0" distR="0">
            <wp:extent cx="3775710" cy="2400935"/>
            <wp:effectExtent l="19050" t="0" r="1466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E4A5F7">
      <w:pPr>
        <w:rPr>
          <w:rFonts w:ascii="黑体" w:hAnsi="黑体" w:eastAsia="黑体"/>
          <w:sz w:val="32"/>
          <w:szCs w:val="32"/>
        </w:rPr>
      </w:pPr>
    </w:p>
    <w:p w14:paraId="583F17F2">
      <w:pPr>
        <w:spacing w:line="576" w:lineRule="exact"/>
        <w:ind w:firstLine="640" w:firstLineChars="200"/>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0"/>
          <w:rFonts w:hint="eastAsia" w:ascii="黑体" w:hAnsi="黑体" w:eastAsia="黑体"/>
          <w:b w:val="0"/>
        </w:rPr>
        <w:t>般公共预算财政拨款支出决算情况说明</w:t>
      </w:r>
      <w:bookmarkEnd w:id="22"/>
      <w:bookmarkEnd w:id="23"/>
      <w:bookmarkStart w:id="24" w:name="_Toc15377210"/>
    </w:p>
    <w:p w14:paraId="4CE42233">
      <w:pPr>
        <w:spacing w:line="576"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4"/>
    </w:p>
    <w:p w14:paraId="7292FC35">
      <w:pPr>
        <w:snapToGrid w:val="0"/>
        <w:spacing w:line="576" w:lineRule="exact"/>
        <w:ind w:firstLine="640" w:firstLineChars="200"/>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年相比，一般公共预算财政拨款</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0.19</w:t>
      </w:r>
      <w:r>
        <w:rPr>
          <w:rFonts w:hint="eastAsia" w:ascii="仿宋_GB2312" w:hAnsi="仿宋_GB2312" w:eastAsia="仿宋_GB2312" w:cs="仿宋_GB2312"/>
          <w:sz w:val="32"/>
          <w:szCs w:val="32"/>
        </w:rPr>
        <w:t>%。主要变动原因是本年职工工资及五险一金费用有所增加。</w:t>
      </w:r>
    </w:p>
    <w:p w14:paraId="2152F6D9">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14:paraId="1F1D0231">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14:paraId="477B55B3">
      <w:pPr>
        <w:jc w:val="center"/>
        <w:rPr>
          <w:rFonts w:ascii="仿宋_GB2312" w:eastAsia="仿宋_GB2312"/>
          <w:sz w:val="32"/>
          <w:szCs w:val="32"/>
        </w:rPr>
      </w:pPr>
      <w:r>
        <w:rPr>
          <w:rFonts w:ascii="仿宋_GB2312" w:eastAsia="仿宋_GB2312"/>
          <w:sz w:val="32"/>
          <w:szCs w:val="32"/>
        </w:rPr>
        <w:drawing>
          <wp:inline distT="0" distB="0" distL="0" distR="0">
            <wp:extent cx="3698240" cy="1637665"/>
            <wp:effectExtent l="19050" t="0" r="16095" b="332"/>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88FC3E">
      <w:pPr>
        <w:spacing w:line="576" w:lineRule="exact"/>
        <w:ind w:firstLine="643" w:firstLineChars="200"/>
        <w:outlineLvl w:val="1"/>
        <w:rPr>
          <w:rFonts w:ascii="楷体_GB2312" w:hAnsi="楷体_GB2312" w:eastAsia="楷体_GB2312" w:cs="楷体_GB2312"/>
          <w:b/>
          <w:sz w:val="32"/>
          <w:szCs w:val="32"/>
        </w:rPr>
      </w:pPr>
      <w:bookmarkStart w:id="25" w:name="_Toc15377211"/>
      <w:r>
        <w:rPr>
          <w:rFonts w:hint="eastAsia" w:ascii="楷体_GB2312" w:hAnsi="楷体_GB2312" w:eastAsia="楷体_GB2312" w:cs="楷体_GB2312"/>
          <w:b/>
          <w:sz w:val="32"/>
          <w:szCs w:val="32"/>
        </w:rPr>
        <w:t>（二）一般公共预算财政拨款支出决算结构情况</w:t>
      </w:r>
      <w:bookmarkEnd w:id="25"/>
    </w:p>
    <w:p w14:paraId="4C39E629">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231.58</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_GB2312" w:eastAsia="仿宋_GB2312" w:cs="仿宋_GB2312"/>
          <w:bCs/>
          <w:sz w:val="32"/>
          <w:szCs w:val="32"/>
          <w:lang w:val="en-US" w:eastAsia="zh-CN"/>
        </w:rPr>
        <w:t>174.18</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75.21</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28.40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12.26</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12.10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5.22</w:t>
      </w:r>
      <w:r>
        <w:rPr>
          <w:rFonts w:hint="eastAsia" w:ascii="仿宋_GB2312" w:hAnsi="仿宋_GB2312" w:eastAsia="仿宋_GB2312" w:cs="仿宋_GB2312"/>
          <w:sz w:val="32"/>
          <w:szCs w:val="32"/>
        </w:rPr>
        <w:t>%；住房保障( 221）支出</w:t>
      </w:r>
      <w:r>
        <w:rPr>
          <w:rFonts w:hint="eastAsia" w:ascii="仿宋_GB2312" w:hAnsi="仿宋_GB2312" w:eastAsia="仿宋_GB2312" w:cs="仿宋_GB2312"/>
          <w:sz w:val="32"/>
          <w:szCs w:val="32"/>
          <w:lang w:val="en-US" w:eastAsia="zh-CN"/>
        </w:rPr>
        <w:t>16.64</w:t>
      </w:r>
      <w:r>
        <w:rPr>
          <w:rFonts w:hint="eastAsia" w:ascii="仿宋_GB2312" w:hAnsi="仿宋_GB2312" w:eastAsia="仿宋_GB2312" w:cs="仿宋_GB2312"/>
          <w:sz w:val="32"/>
          <w:szCs w:val="32"/>
        </w:rPr>
        <w:t>万元，占7.</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%;农林水（213）支出0.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万元，占0.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14:paraId="0D111FFB">
      <w:pPr>
        <w:spacing w:line="600" w:lineRule="exact"/>
        <w:jc w:val="center"/>
        <w:rPr>
          <w:rFonts w:ascii="仿宋" w:hAnsi="仿宋" w:eastAsia="仿宋"/>
          <w:b/>
          <w:bCs/>
          <w:sz w:val="32"/>
          <w:szCs w:val="32"/>
        </w:rPr>
      </w:pPr>
    </w:p>
    <w:p w14:paraId="10D024FD">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14:paraId="317929DB">
      <w:pPr>
        <w:jc w:val="center"/>
        <w:rPr>
          <w:rFonts w:ascii="仿宋" w:hAnsi="仿宋" w:eastAsia="仿宋"/>
          <w:sz w:val="32"/>
          <w:szCs w:val="32"/>
        </w:rPr>
      </w:pPr>
      <w:r>
        <w:rPr>
          <w:rFonts w:ascii="仿宋" w:hAnsi="仿宋" w:eastAsia="仿宋"/>
          <w:sz w:val="32"/>
          <w:szCs w:val="32"/>
        </w:rPr>
        <w:drawing>
          <wp:inline distT="0" distB="0" distL="0" distR="0">
            <wp:extent cx="3941445" cy="2218055"/>
            <wp:effectExtent l="4445" t="4445" r="1651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38B484">
      <w:pPr>
        <w:pStyle w:val="21"/>
      </w:pPr>
    </w:p>
    <w:p w14:paraId="19BBEDE4">
      <w:pPr>
        <w:spacing w:line="576" w:lineRule="exact"/>
        <w:ind w:firstLine="643" w:firstLineChars="200"/>
        <w:outlineLvl w:val="1"/>
        <w:rPr>
          <w:rFonts w:ascii="楷体_GB2312" w:hAnsi="楷体_GB2312" w:eastAsia="楷体_GB2312" w:cs="楷体_GB2312"/>
          <w:b/>
          <w:sz w:val="32"/>
          <w:szCs w:val="32"/>
        </w:rPr>
      </w:pPr>
      <w:bookmarkStart w:id="26" w:name="_Toc15377212"/>
      <w:r>
        <w:rPr>
          <w:rFonts w:hint="eastAsia" w:ascii="楷体_GB2312" w:hAnsi="楷体_GB2312" w:eastAsia="楷体_GB2312" w:cs="楷体_GB2312"/>
          <w:b/>
          <w:sz w:val="32"/>
          <w:szCs w:val="32"/>
        </w:rPr>
        <w:t>（三）一般公共预算财政拨款支出决算具体情况</w:t>
      </w:r>
      <w:bookmarkEnd w:id="26"/>
    </w:p>
    <w:p w14:paraId="12F68CF6">
      <w:pPr>
        <w:spacing w:line="576" w:lineRule="exact"/>
        <w:ind w:firstLine="640" w:firstLineChars="200"/>
        <w:outlineLvl w:val="2"/>
        <w:rPr>
          <w:rFonts w:ascii="仿宋_GB2312" w:hAnsi="仿宋_GB2312" w:eastAsia="仿宋_GB2312" w:cs="仿宋_GB2312"/>
          <w:sz w:val="32"/>
          <w:szCs w:val="32"/>
        </w:rPr>
      </w:pPr>
      <w:bookmarkStart w:id="27" w:name="_Toc15378460"/>
      <w:bookmarkStart w:id="28" w:name="_Toc15377213"/>
      <w:bookmarkStart w:id="29" w:name="_Toc15377444"/>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231.58</w:t>
      </w:r>
      <w:r>
        <w:rPr>
          <w:rFonts w:hint="eastAsia" w:ascii="仿宋_GB2312" w:hAnsi="仿宋_GB2312" w:eastAsia="仿宋_GB2312" w:cs="仿宋_GB2312"/>
          <w:bCs/>
          <w:sz w:val="32"/>
          <w:szCs w:val="32"/>
        </w:rPr>
        <w:t>万元，</w:t>
      </w:r>
      <w:r>
        <w:rPr>
          <w:rStyle w:val="25"/>
          <w:rFonts w:hint="eastAsia" w:ascii="仿宋_GB2312" w:hAnsi="仿宋_GB2312" w:eastAsia="仿宋_GB2312" w:cs="仿宋_GB2312"/>
          <w:b w:val="0"/>
          <w:bCs/>
          <w:sz w:val="32"/>
          <w:szCs w:val="32"/>
        </w:rPr>
        <w:t>完成预算100%。其中：</w:t>
      </w:r>
      <w:bookmarkEnd w:id="27"/>
      <w:bookmarkEnd w:id="28"/>
      <w:bookmarkEnd w:id="29"/>
    </w:p>
    <w:p w14:paraId="40A5095F">
      <w:pPr>
        <w:spacing w:line="576" w:lineRule="exact"/>
        <w:ind w:firstLine="643"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1.</w:t>
      </w:r>
      <w:r>
        <w:rPr>
          <w:rStyle w:val="25"/>
          <w:rFonts w:hint="eastAsia" w:ascii="仿宋_GB2312" w:hAnsi="仿宋_GB2312" w:eastAsia="仿宋_GB2312" w:cs="仿宋_GB2312"/>
          <w:b w:val="0"/>
          <w:sz w:val="32"/>
          <w:szCs w:val="32"/>
        </w:rPr>
        <w:t xml:space="preserve">一般公共服务（201）组织事务（32）行政运行（01）: </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72.34</w:t>
      </w:r>
      <w:r>
        <w:rPr>
          <w:rStyle w:val="25"/>
          <w:rFonts w:hint="eastAsia" w:ascii="仿宋_GB2312" w:hAnsi="仿宋_GB2312" w:eastAsia="仿宋_GB2312" w:cs="仿宋_GB2312"/>
          <w:b w:val="0"/>
          <w:bCs/>
          <w:sz w:val="32"/>
          <w:szCs w:val="32"/>
        </w:rPr>
        <w:t>万元，完成预算100%。</w:t>
      </w:r>
    </w:p>
    <w:p w14:paraId="040C99F5">
      <w:pPr>
        <w:spacing w:line="576" w:lineRule="exact"/>
        <w:ind w:firstLine="643"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2.</w:t>
      </w:r>
      <w:r>
        <w:rPr>
          <w:rStyle w:val="25"/>
          <w:rFonts w:hint="eastAsia" w:ascii="仿宋_GB2312" w:hAnsi="仿宋_GB2312" w:eastAsia="仿宋_GB2312" w:cs="仿宋_GB2312"/>
          <w:b w:val="0"/>
          <w:sz w:val="32"/>
          <w:szCs w:val="32"/>
        </w:rPr>
        <w:t xml:space="preserve">一般公共服务（201）组织事务（32）事业运行（50）: </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101.84</w:t>
      </w:r>
      <w:r>
        <w:rPr>
          <w:rStyle w:val="25"/>
          <w:rFonts w:hint="eastAsia" w:ascii="仿宋_GB2312" w:hAnsi="仿宋_GB2312" w:eastAsia="仿宋_GB2312" w:cs="仿宋_GB2312"/>
          <w:b w:val="0"/>
          <w:bCs/>
          <w:sz w:val="32"/>
          <w:szCs w:val="32"/>
        </w:rPr>
        <w:t>万元，完成预算100%。</w:t>
      </w:r>
    </w:p>
    <w:p w14:paraId="64FE21EA">
      <w:pPr>
        <w:spacing w:line="576" w:lineRule="exact"/>
        <w:ind w:firstLine="643"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3.</w:t>
      </w:r>
      <w:r>
        <w:rPr>
          <w:rStyle w:val="25"/>
          <w:rFonts w:hint="eastAsia" w:ascii="仿宋_GB2312" w:hAnsi="仿宋_GB2312" w:eastAsia="仿宋_GB2312" w:cs="仿宋_GB2312"/>
          <w:b w:val="0"/>
          <w:sz w:val="32"/>
          <w:szCs w:val="32"/>
        </w:rPr>
        <w:t>社会保障和就业（208）行政事业单位离退休（05）机关事业单位基本养老保险（05）：</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18.93</w:t>
      </w:r>
      <w:r>
        <w:rPr>
          <w:rStyle w:val="25"/>
          <w:rFonts w:hint="eastAsia" w:ascii="仿宋_GB2312" w:hAnsi="仿宋_GB2312" w:eastAsia="仿宋_GB2312" w:cs="仿宋_GB2312"/>
          <w:b w:val="0"/>
          <w:bCs/>
          <w:sz w:val="32"/>
          <w:szCs w:val="32"/>
        </w:rPr>
        <w:t>万元，完成预算100%。</w:t>
      </w:r>
    </w:p>
    <w:p w14:paraId="5412E860">
      <w:pPr>
        <w:spacing w:line="576" w:lineRule="exact"/>
        <w:ind w:firstLine="643"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4.</w:t>
      </w:r>
      <w:r>
        <w:rPr>
          <w:rStyle w:val="25"/>
          <w:rFonts w:hint="eastAsia" w:ascii="仿宋_GB2312" w:hAnsi="仿宋_GB2312" w:eastAsia="仿宋_GB2312" w:cs="仿宋_GB2312"/>
          <w:b w:val="0"/>
          <w:sz w:val="32"/>
          <w:szCs w:val="32"/>
        </w:rPr>
        <w:t>社会保障和就业（208）行政事业单位离退休（05）机关事业单位职业年金（06）: 支出决算为</w:t>
      </w:r>
      <w:r>
        <w:rPr>
          <w:rStyle w:val="25"/>
          <w:rFonts w:hint="eastAsia" w:ascii="仿宋_GB2312" w:hAnsi="仿宋_GB2312" w:eastAsia="仿宋_GB2312" w:cs="仿宋_GB2312"/>
          <w:b w:val="0"/>
          <w:sz w:val="32"/>
          <w:szCs w:val="32"/>
          <w:lang w:val="en-US" w:eastAsia="zh-CN"/>
        </w:rPr>
        <w:t>9.47</w:t>
      </w:r>
      <w:r>
        <w:rPr>
          <w:rStyle w:val="25"/>
          <w:rFonts w:hint="eastAsia" w:ascii="仿宋_GB2312" w:hAnsi="仿宋_GB2312" w:eastAsia="仿宋_GB2312" w:cs="仿宋_GB2312"/>
          <w:b w:val="0"/>
          <w:sz w:val="32"/>
          <w:szCs w:val="32"/>
        </w:rPr>
        <w:t>万元，完成预算100%。</w:t>
      </w:r>
    </w:p>
    <w:p w14:paraId="3ECA1D71">
      <w:pPr>
        <w:spacing w:line="576" w:lineRule="exact"/>
        <w:ind w:firstLine="643"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5.</w:t>
      </w:r>
      <w:r>
        <w:rPr>
          <w:rStyle w:val="25"/>
          <w:rFonts w:hint="eastAsia" w:ascii="仿宋_GB2312" w:hAnsi="仿宋_GB2312" w:eastAsia="仿宋_GB2312" w:cs="仿宋_GB2312"/>
          <w:b w:val="0"/>
          <w:sz w:val="32"/>
          <w:szCs w:val="32"/>
        </w:rPr>
        <w:t>卫生健康支出(210)行政事业单位医疗（11）行政单位医疗（01）: 支出决算为4.</w:t>
      </w:r>
      <w:r>
        <w:rPr>
          <w:rStyle w:val="25"/>
          <w:rFonts w:hint="eastAsia" w:ascii="仿宋_GB2312" w:hAnsi="仿宋_GB2312" w:eastAsia="仿宋_GB2312" w:cs="仿宋_GB2312"/>
          <w:b w:val="0"/>
          <w:sz w:val="32"/>
          <w:szCs w:val="32"/>
          <w:lang w:val="en-US" w:eastAsia="zh-CN"/>
        </w:rPr>
        <w:t>73</w:t>
      </w:r>
      <w:r>
        <w:rPr>
          <w:rStyle w:val="25"/>
          <w:rFonts w:hint="eastAsia" w:ascii="仿宋_GB2312" w:hAnsi="仿宋_GB2312" w:eastAsia="仿宋_GB2312" w:cs="仿宋_GB2312"/>
          <w:b w:val="0"/>
          <w:sz w:val="32"/>
          <w:szCs w:val="32"/>
        </w:rPr>
        <w:t>万元，完成预算100%。</w:t>
      </w:r>
    </w:p>
    <w:p w14:paraId="2BCC8EB0">
      <w:pPr>
        <w:spacing w:line="576" w:lineRule="exact"/>
        <w:ind w:firstLine="643"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6.</w:t>
      </w:r>
      <w:r>
        <w:rPr>
          <w:rStyle w:val="25"/>
          <w:rFonts w:hint="eastAsia" w:ascii="仿宋_GB2312" w:hAnsi="仿宋_GB2312" w:eastAsia="仿宋_GB2312" w:cs="仿宋_GB2312"/>
          <w:b w:val="0"/>
          <w:sz w:val="32"/>
          <w:szCs w:val="32"/>
        </w:rPr>
        <w:t>卫生健康支出(210)行政事业单位医疗（11）事业单位医疗（02）: 支出决算为7.</w:t>
      </w:r>
      <w:r>
        <w:rPr>
          <w:rStyle w:val="25"/>
          <w:rFonts w:hint="eastAsia" w:ascii="仿宋_GB2312" w:hAnsi="仿宋_GB2312" w:eastAsia="仿宋_GB2312" w:cs="仿宋_GB2312"/>
          <w:b w:val="0"/>
          <w:sz w:val="32"/>
          <w:szCs w:val="32"/>
          <w:lang w:val="en-US" w:eastAsia="zh-CN"/>
        </w:rPr>
        <w:t>36</w:t>
      </w:r>
      <w:r>
        <w:rPr>
          <w:rStyle w:val="25"/>
          <w:rFonts w:hint="eastAsia" w:ascii="仿宋_GB2312" w:hAnsi="仿宋_GB2312" w:eastAsia="仿宋_GB2312" w:cs="仿宋_GB2312"/>
          <w:b w:val="0"/>
          <w:sz w:val="32"/>
          <w:szCs w:val="32"/>
        </w:rPr>
        <w:t>万元，完成预算100%。</w:t>
      </w:r>
    </w:p>
    <w:p w14:paraId="3761593B">
      <w:pPr>
        <w:spacing w:line="576" w:lineRule="exact"/>
        <w:ind w:firstLine="643"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7.</w:t>
      </w:r>
      <w:r>
        <w:rPr>
          <w:rStyle w:val="25"/>
          <w:rFonts w:hint="eastAsia" w:ascii="仿宋_GB2312" w:hAnsi="仿宋_GB2312" w:eastAsia="仿宋_GB2312" w:cs="仿宋_GB2312"/>
          <w:b w:val="0"/>
          <w:sz w:val="32"/>
          <w:szCs w:val="32"/>
        </w:rPr>
        <w:t>住房保障支出（221）住房改革支出（02）住房公积金（01）: 支出决算为</w:t>
      </w:r>
      <w:r>
        <w:rPr>
          <w:rStyle w:val="25"/>
          <w:rFonts w:hint="eastAsia" w:ascii="仿宋_GB2312" w:hAnsi="仿宋_GB2312" w:eastAsia="仿宋_GB2312" w:cs="仿宋_GB2312"/>
          <w:b w:val="0"/>
          <w:sz w:val="32"/>
          <w:szCs w:val="32"/>
          <w:lang w:val="en-US" w:eastAsia="zh-CN"/>
        </w:rPr>
        <w:t>16.64</w:t>
      </w:r>
      <w:r>
        <w:rPr>
          <w:rStyle w:val="25"/>
          <w:rFonts w:hint="eastAsia" w:ascii="仿宋_GB2312" w:hAnsi="仿宋_GB2312" w:eastAsia="仿宋_GB2312" w:cs="仿宋_GB2312"/>
          <w:b w:val="0"/>
          <w:sz w:val="32"/>
          <w:szCs w:val="32"/>
        </w:rPr>
        <w:t>元，完成预算100%。</w:t>
      </w:r>
    </w:p>
    <w:p w14:paraId="5B72017A">
      <w:pPr>
        <w:spacing w:line="576" w:lineRule="exact"/>
        <w:ind w:firstLine="643" w:firstLineChars="200"/>
        <w:rPr>
          <w:rFonts w:ascii="仿宋_GB2312" w:hAnsi="仿宋_GB2312" w:eastAsia="仿宋_GB2312" w:cs="仿宋_GB2312"/>
          <w:sz w:val="32"/>
          <w:szCs w:val="32"/>
        </w:rPr>
      </w:pPr>
      <w:r>
        <w:rPr>
          <w:rStyle w:val="25"/>
          <w:rFonts w:hint="eastAsia" w:ascii="仿宋_GB2312" w:hAnsi="仿宋_GB2312" w:eastAsia="仿宋_GB2312" w:cs="仿宋_GB2312"/>
          <w:bCs/>
          <w:sz w:val="32"/>
          <w:szCs w:val="32"/>
        </w:rPr>
        <w:t>8.</w:t>
      </w:r>
      <w:r>
        <w:rPr>
          <w:rStyle w:val="25"/>
          <w:rFonts w:hint="eastAsia" w:ascii="仿宋_GB2312" w:hAnsi="仿宋_GB2312" w:eastAsia="仿宋_GB2312" w:cs="仿宋_GB2312"/>
          <w:b w:val="0"/>
          <w:sz w:val="32"/>
          <w:szCs w:val="32"/>
        </w:rPr>
        <w:t>农林水支出（213）扶贫（05）其他扶贫支出（99）：支出决算为0.</w:t>
      </w:r>
      <w:r>
        <w:rPr>
          <w:rStyle w:val="25"/>
          <w:rFonts w:hint="eastAsia" w:ascii="仿宋_GB2312" w:hAnsi="仿宋_GB2312" w:eastAsia="仿宋_GB2312" w:cs="仿宋_GB2312"/>
          <w:b w:val="0"/>
          <w:sz w:val="32"/>
          <w:szCs w:val="32"/>
          <w:lang w:val="en-US" w:eastAsia="zh-CN"/>
        </w:rPr>
        <w:t>27</w:t>
      </w:r>
      <w:r>
        <w:rPr>
          <w:rStyle w:val="25"/>
          <w:rFonts w:hint="eastAsia" w:ascii="仿宋_GB2312" w:hAnsi="仿宋_GB2312" w:eastAsia="仿宋_GB2312" w:cs="仿宋_GB2312"/>
          <w:b w:val="0"/>
          <w:sz w:val="32"/>
          <w:szCs w:val="32"/>
        </w:rPr>
        <w:t>万元，完成预算100%。</w:t>
      </w:r>
    </w:p>
    <w:p w14:paraId="54DAC9DD">
      <w:pPr>
        <w:pStyle w:val="4"/>
        <w:spacing w:before="0" w:after="0" w:line="576" w:lineRule="exact"/>
        <w:ind w:firstLine="643" w:firstLineChars="200"/>
        <w:rPr>
          <w:rStyle w:val="40"/>
          <w:b/>
          <w:bCs/>
        </w:rPr>
      </w:pPr>
      <w:bookmarkStart w:id="30" w:name="_Toc15377214"/>
      <w:bookmarkStart w:id="31" w:name="_Toc15396608"/>
      <w:r>
        <w:rPr>
          <w:rFonts w:hint="eastAsia" w:ascii="黑体" w:eastAsia="黑体"/>
        </w:rPr>
        <w:t>六、</w:t>
      </w:r>
      <w:r>
        <w:rPr>
          <w:rFonts w:hint="eastAsia" w:ascii="黑体" w:hAnsi="黑体" w:eastAsia="黑体"/>
        </w:rPr>
        <w:t>一</w:t>
      </w:r>
      <w:r>
        <w:rPr>
          <w:rStyle w:val="40"/>
          <w:rFonts w:hint="eastAsia" w:ascii="黑体" w:hAnsi="黑体" w:eastAsia="黑体"/>
          <w:b w:val="0"/>
          <w:bCs/>
        </w:rPr>
        <w:t>般公共预算财政拨款基本支出决算情况说明</w:t>
      </w:r>
      <w:bookmarkEnd w:id="30"/>
      <w:bookmarkEnd w:id="31"/>
    </w:p>
    <w:p w14:paraId="29E6D8B1">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年一般公共预算财政拨款基本支出231.</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万元，其中：</w:t>
      </w:r>
    </w:p>
    <w:p w14:paraId="623B9A68">
      <w:pPr>
        <w:spacing w:line="576" w:lineRule="exact"/>
        <w:ind w:firstLine="645"/>
        <w:rPr>
          <w:rFonts w:ascii="仿宋" w:hAnsi="仿宋" w:eastAsia="仿宋"/>
          <w:sz w:val="32"/>
          <w:szCs w:val="32"/>
        </w:rPr>
      </w:pPr>
      <w:r>
        <w:rPr>
          <w:rFonts w:hint="eastAsia" w:ascii="仿宋_GB2312" w:hAnsi="仿宋_GB2312" w:eastAsia="仿宋_GB2312" w:cs="仿宋_GB2312"/>
          <w:sz w:val="32"/>
          <w:szCs w:val="32"/>
        </w:rPr>
        <w:t>人员经费21</w:t>
      </w:r>
      <w:r>
        <w:rPr>
          <w:rFonts w:hint="eastAsia" w:ascii="仿宋_GB2312" w:hAnsi="仿宋_GB2312" w:eastAsia="仿宋_GB2312" w:cs="仿宋_GB2312"/>
          <w:sz w:val="32"/>
          <w:szCs w:val="32"/>
          <w:lang w:val="en-US" w:eastAsia="zh-CN"/>
        </w:rPr>
        <w:t>8.27</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基本工资、津贴补贴、奖金、绩效工资、机关事业单位基本养老保险缴费、职业年金缴费、职工基本医疗保险缴费、其他社会保障缴费、住房公积金、医疗费、生活补助、奖励金。</w:t>
      </w:r>
    </w:p>
    <w:p w14:paraId="7721D9EE">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13.04</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办公费、邮电费、差旅费、培训费、公务接待费、公务用车运行维护费。</w:t>
      </w:r>
    </w:p>
    <w:p w14:paraId="775A5551">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14:paraId="0D327F5A">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14:paraId="124B572C">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2.82</w:t>
      </w:r>
      <w:r>
        <w:rPr>
          <w:rFonts w:hint="eastAsia" w:ascii="仿宋_GB2312" w:hAnsi="仿宋_GB2312" w:eastAsia="仿宋_GB2312" w:cs="仿宋_GB2312"/>
          <w:sz w:val="32"/>
          <w:szCs w:val="32"/>
        </w:rPr>
        <w:t>万元，完成预算100%。</w:t>
      </w:r>
    </w:p>
    <w:p w14:paraId="68E5A13B">
      <w:pPr>
        <w:spacing w:line="576" w:lineRule="exact"/>
        <w:ind w:firstLine="640"/>
        <w:rPr>
          <w:rFonts w:ascii="楷体_GB2312" w:eastAsia="楷体_GB2312"/>
          <w:b/>
          <w:sz w:val="32"/>
          <w:szCs w:val="32"/>
        </w:rPr>
      </w:pPr>
      <w:bookmarkStart w:id="32" w:name="_Toc15377217"/>
      <w:r>
        <w:rPr>
          <w:rFonts w:hint="eastAsia" w:ascii="楷体_GB2312" w:eastAsia="楷体_GB2312"/>
          <w:b/>
          <w:sz w:val="32"/>
          <w:szCs w:val="32"/>
        </w:rPr>
        <w:t>（二）“三公”经费财政拨款支出决算具体情况说明</w:t>
      </w:r>
      <w:bookmarkEnd w:id="32"/>
    </w:p>
    <w:p w14:paraId="06BF5242">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年“三公”经费财政拨款支出决算中，因公出国（境）费支出决算0万元；公务用车购置及运行维护费支出决算2.</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公务用车购置</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0元，公务用车</w:t>
      </w:r>
      <w:r>
        <w:rPr>
          <w:rFonts w:hint="eastAsia" w:ascii="仿宋_GB2312" w:hAnsi="仿宋_GB2312" w:eastAsia="仿宋_GB2312" w:cs="仿宋_GB2312"/>
          <w:sz w:val="32"/>
          <w:szCs w:val="32"/>
        </w:rPr>
        <w:t>运行维护费支出</w:t>
      </w:r>
      <w:r>
        <w:rPr>
          <w:rFonts w:hint="eastAsia" w:ascii="仿宋_GB2312" w:hAnsi="仿宋_GB2312" w:eastAsia="仿宋_GB2312" w:cs="仿宋_GB2312"/>
          <w:sz w:val="32"/>
          <w:szCs w:val="32"/>
          <w:lang w:val="en-US" w:eastAsia="zh-CN"/>
        </w:rPr>
        <w:t>2.82元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035E5896">
      <w:pPr>
        <w:spacing w:line="576" w:lineRule="exact"/>
        <w:ind w:firstLine="640"/>
        <w:rPr>
          <w:rFonts w:ascii="仿宋" w:hAnsi="仿宋" w:eastAsia="仿宋"/>
          <w:sz w:val="32"/>
          <w:szCs w:val="32"/>
        </w:rPr>
      </w:pPr>
    </w:p>
    <w:p w14:paraId="78ECC689">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14:paraId="68CA4191">
      <w:pPr>
        <w:jc w:val="center"/>
        <w:rPr>
          <w:rFonts w:ascii="仿宋" w:hAnsi="仿宋" w:eastAsia="仿宋"/>
          <w:sz w:val="32"/>
          <w:szCs w:val="32"/>
        </w:rPr>
      </w:pPr>
      <w:r>
        <w:rPr>
          <w:rFonts w:ascii="仿宋" w:hAnsi="仿宋" w:eastAsia="仿宋"/>
          <w:sz w:val="32"/>
          <w:szCs w:val="32"/>
        </w:rPr>
        <w:drawing>
          <wp:inline distT="0" distB="0" distL="0" distR="0">
            <wp:extent cx="3709035" cy="2218055"/>
            <wp:effectExtent l="19050" t="0" r="24654"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E37966">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因公出国（境）经费支出0万元</w:t>
      </w:r>
      <w:r>
        <w:rPr>
          <w:rStyle w:val="25"/>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bookmarkStart w:id="63" w:name="_GoBack"/>
      <w:bookmarkEnd w:id="63"/>
    </w:p>
    <w:p w14:paraId="69D7D421">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公务用车购置及运行维护费支出2.</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万元,</w:t>
      </w:r>
      <w:r>
        <w:rPr>
          <w:rStyle w:val="25"/>
          <w:rFonts w:hint="eastAsia" w:ascii="仿宋_GB2312" w:hAnsi="仿宋_GB2312" w:eastAsia="仿宋_GB2312" w:cs="仿宋_GB2312"/>
          <w:b w:val="0"/>
          <w:sz w:val="32"/>
          <w:szCs w:val="32"/>
        </w:rPr>
        <w:t>完成预算100%。无</w:t>
      </w:r>
      <w:r>
        <w:rPr>
          <w:rFonts w:hint="eastAsia" w:ascii="仿宋_GB2312" w:hAnsi="仿宋_GB2312" w:eastAsia="仿宋_GB2312" w:cs="仿宋_GB2312"/>
          <w:sz w:val="32"/>
          <w:szCs w:val="32"/>
        </w:rPr>
        <w:t>公务用车购置资产，全部为公务用车运行维护费支出。公务用车运行维护费支出决算比202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0.8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40.04</w:t>
      </w:r>
      <w:r>
        <w:rPr>
          <w:rFonts w:hint="eastAsia" w:ascii="仿宋_GB2312" w:hAnsi="仿宋_GB2312" w:eastAsia="仿宋_GB2312" w:cs="仿宋_GB2312"/>
          <w:sz w:val="32"/>
          <w:szCs w:val="32"/>
        </w:rPr>
        <w:t>%。主要原因是202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年我单位出差</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。公务用车运行维护费主要用于公务用车燃油费、维修费、过路费、保险费等支出。</w:t>
      </w:r>
    </w:p>
    <w:p w14:paraId="1F8F4721">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年12月底，编办共有公务用车1辆，其中：轿车0辆、越野车1辆、载客汽车0辆。</w:t>
      </w:r>
    </w:p>
    <w:p w14:paraId="2D5A28F1">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公务接待费支出</w:t>
      </w:r>
      <w:r>
        <w:rPr>
          <w:rStyle w:val="25"/>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公务接待费支出决算比202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年减少0.04万元，减少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%。主要原因是本年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接待。</w:t>
      </w:r>
    </w:p>
    <w:p w14:paraId="0FEB01E2">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14:paraId="4D656B55">
      <w:pPr>
        <w:spacing w:line="576" w:lineRule="exact"/>
        <w:ind w:firstLine="640" w:firstLineChars="200"/>
        <w:rPr>
          <w:rFonts w:ascii="仿宋_GB2312" w:eastAsia="仿宋_GB2312"/>
          <w:sz w:val="32"/>
          <w:szCs w:val="32"/>
        </w:rPr>
      </w:pPr>
      <w:r>
        <w:rPr>
          <w:rFonts w:hint="eastAsia" w:ascii="仿宋_GB2312" w:eastAsia="仿宋_GB2312"/>
          <w:sz w:val="32"/>
          <w:szCs w:val="32"/>
        </w:rPr>
        <w:t>编办202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年无政府性基金预算拨款支出。</w:t>
      </w:r>
    </w:p>
    <w:p w14:paraId="6F29674E">
      <w:pPr>
        <w:spacing w:line="576" w:lineRule="exact"/>
        <w:ind w:firstLine="640" w:firstLineChars="200"/>
        <w:rPr>
          <w:rStyle w:val="40"/>
          <w:rFonts w:ascii="黑体" w:hAnsi="黑体" w:eastAsia="黑体"/>
          <w:b w:val="0"/>
        </w:rPr>
      </w:pPr>
      <w:bookmarkStart w:id="33" w:name="_Toc15377219"/>
      <w:bookmarkStart w:id="34" w:name="_Toc15396611"/>
      <w:r>
        <w:rPr>
          <w:rStyle w:val="40"/>
          <w:rFonts w:hint="eastAsia" w:ascii="黑体" w:hAnsi="黑体" w:eastAsia="黑体"/>
          <w:b w:val="0"/>
        </w:rPr>
        <w:t>九、国有资本经营预算支出决算情况说明</w:t>
      </w:r>
      <w:bookmarkEnd w:id="33"/>
      <w:bookmarkEnd w:id="34"/>
    </w:p>
    <w:p w14:paraId="291F212A">
      <w:pPr>
        <w:spacing w:line="576" w:lineRule="exact"/>
        <w:ind w:firstLine="640" w:firstLineChars="200"/>
        <w:rPr>
          <w:rFonts w:ascii="仿宋_GB2312" w:eastAsia="仿宋_GB2312"/>
          <w:sz w:val="32"/>
          <w:szCs w:val="32"/>
        </w:rPr>
      </w:pP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年无国有资本经营预算拨款支出。</w:t>
      </w:r>
    </w:p>
    <w:p w14:paraId="0BCF8BF0">
      <w:pPr>
        <w:spacing w:line="576" w:lineRule="exact"/>
        <w:ind w:firstLine="640" w:firstLineChars="200"/>
        <w:rPr>
          <w:rStyle w:val="40"/>
          <w:rFonts w:ascii="黑体" w:hAnsi="黑体" w:eastAsia="黑体"/>
        </w:rPr>
      </w:pPr>
      <w:r>
        <w:rPr>
          <w:rFonts w:hint="eastAsia" w:ascii="黑体" w:hAnsi="黑体" w:eastAsia="黑体"/>
          <w:sz w:val="32"/>
          <w:szCs w:val="32"/>
        </w:rPr>
        <w:t>十</w:t>
      </w:r>
      <w:r>
        <w:rPr>
          <w:rStyle w:val="40"/>
          <w:rFonts w:hint="eastAsia" w:ascii="黑体" w:hAnsi="黑体" w:eastAsia="黑体"/>
        </w:rPr>
        <w:t>、</w:t>
      </w:r>
      <w:r>
        <w:rPr>
          <w:rStyle w:val="40"/>
          <w:rFonts w:hint="eastAsia" w:ascii="黑体" w:hAnsi="黑体" w:eastAsia="黑体"/>
          <w:b w:val="0"/>
        </w:rPr>
        <w:t>其他重要事项的情况说明</w:t>
      </w:r>
    </w:p>
    <w:p w14:paraId="1D0A1BB4">
      <w:pPr>
        <w:spacing w:line="576" w:lineRule="exact"/>
        <w:ind w:firstLine="643" w:firstLineChars="200"/>
        <w:outlineLvl w:val="1"/>
        <w:rPr>
          <w:rStyle w:val="40"/>
          <w:rFonts w:ascii="楷体" w:hAnsi="楷体" w:eastAsia="楷体" w:cs="楷体"/>
        </w:rPr>
      </w:pPr>
      <w:bookmarkStart w:id="35" w:name="_Toc15377222"/>
      <w:r>
        <w:rPr>
          <w:rStyle w:val="40"/>
          <w:rFonts w:hint="eastAsia" w:ascii="楷体" w:hAnsi="楷体" w:eastAsia="楷体" w:cs="楷体"/>
        </w:rPr>
        <w:t>（一）机关运行经费支出情况</w:t>
      </w:r>
      <w:bookmarkEnd w:id="35"/>
    </w:p>
    <w:p w14:paraId="45945EB1">
      <w:pPr>
        <w:spacing w:line="576" w:lineRule="exact"/>
        <w:ind w:firstLine="640" w:firstLineChars="200"/>
        <w:outlineLvl w:val="1"/>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年，编办机关运行经费支出</w:t>
      </w:r>
      <w:r>
        <w:rPr>
          <w:rFonts w:hint="eastAsia" w:ascii="仿宋_GB2312" w:eastAsia="仿宋_GB2312"/>
          <w:sz w:val="32"/>
          <w:szCs w:val="32"/>
          <w:lang w:val="en-US" w:eastAsia="zh-CN"/>
        </w:rPr>
        <w:t>7.02</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rPr>
        <w:t>4.0</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36.43</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14:paraId="24DA177B">
      <w:pPr>
        <w:spacing w:line="576" w:lineRule="exact"/>
        <w:ind w:firstLine="643" w:firstLineChars="200"/>
        <w:outlineLvl w:val="1"/>
        <w:rPr>
          <w:rFonts w:ascii="仿宋" w:hAnsi="仿宋" w:eastAsia="仿宋"/>
          <w:b/>
          <w:sz w:val="32"/>
          <w:szCs w:val="32"/>
        </w:rPr>
      </w:pPr>
      <w:r>
        <w:rPr>
          <w:rStyle w:val="40"/>
          <w:rFonts w:hint="eastAsia" w:ascii="楷体" w:hAnsi="楷体" w:eastAsia="楷体" w:cs="楷体"/>
        </w:rPr>
        <w:t>（二）政府采购支出情况</w:t>
      </w:r>
    </w:p>
    <w:p w14:paraId="39DC1244">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年，编办无政府采购支出。</w:t>
      </w:r>
    </w:p>
    <w:p w14:paraId="05F05103">
      <w:pPr>
        <w:spacing w:line="576" w:lineRule="exact"/>
        <w:ind w:firstLine="643" w:firstLineChars="200"/>
        <w:outlineLvl w:val="1"/>
        <w:rPr>
          <w:rStyle w:val="40"/>
          <w:rFonts w:ascii="楷体" w:hAnsi="楷体" w:eastAsia="楷体" w:cs="楷体"/>
        </w:rPr>
      </w:pPr>
      <w:r>
        <w:rPr>
          <w:rStyle w:val="40"/>
          <w:rFonts w:hint="eastAsia" w:ascii="楷体" w:hAnsi="楷体" w:eastAsia="楷体" w:cs="楷体"/>
        </w:rPr>
        <w:t>（三）国有资产占有使用情况</w:t>
      </w:r>
    </w:p>
    <w:p w14:paraId="3BFA20A2">
      <w:pPr>
        <w:autoSpaceDE w:val="0"/>
        <w:autoSpaceDN w:val="0"/>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14:paraId="48E64E15">
      <w:pPr>
        <w:spacing w:line="576" w:lineRule="exact"/>
        <w:ind w:firstLine="643" w:firstLineChars="200"/>
        <w:outlineLvl w:val="1"/>
        <w:rPr>
          <w:rFonts w:ascii="楷体_GB2312" w:hAnsi="楷体_GB2312" w:eastAsia="楷体_GB2312" w:cs="楷体_GB2312"/>
          <w:b/>
          <w:bCs/>
          <w:sz w:val="32"/>
          <w:szCs w:val="32"/>
        </w:rPr>
      </w:pPr>
      <w:r>
        <w:rPr>
          <w:rStyle w:val="40"/>
          <w:rFonts w:hint="eastAsia" w:ascii="楷体_GB2312" w:hAnsi="楷体_GB2312" w:eastAsia="楷体_GB2312" w:cs="楷体_GB2312"/>
        </w:rPr>
        <w:t>（四）预算绩效管理情况</w:t>
      </w:r>
    </w:p>
    <w:p w14:paraId="357E943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年部门整体支出开展绩效自评，从评价情况来看，202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年我办部门整体支出绩效评价自查自评结果良好，全面基本支出保证了部门的正常运行和日常工作的正常开展，绩效目标得到较好实现，绩效管理水平不断提高，绩效指标体系逐渐丰富和完善。</w:t>
      </w:r>
    </w:p>
    <w:p w14:paraId="04EA867E">
      <w:pPr>
        <w:spacing w:line="576" w:lineRule="exact"/>
        <w:ind w:firstLine="640" w:firstLineChars="200"/>
        <w:outlineLvl w:val="1"/>
        <w:rPr>
          <w:rStyle w:val="40"/>
          <w:rFonts w:ascii="楷体" w:hAnsi="楷体" w:eastAsia="楷体" w:cs="楷体"/>
          <w:b w:val="0"/>
          <w:bCs w:val="0"/>
        </w:rPr>
      </w:pPr>
      <w:r>
        <w:rPr>
          <w:rStyle w:val="40"/>
          <w:rFonts w:hint="eastAsia" w:ascii="楷体" w:hAnsi="楷体" w:eastAsia="楷体" w:cs="楷体"/>
          <w:b w:val="0"/>
          <w:bCs w:val="0"/>
        </w:rPr>
        <w:t>1.项目绩效目标完成情况</w:t>
      </w:r>
    </w:p>
    <w:p w14:paraId="34A4E60E">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年度部门决算中不涉及此内容。</w:t>
      </w:r>
    </w:p>
    <w:p w14:paraId="5BDE98FA">
      <w:pPr>
        <w:spacing w:line="576" w:lineRule="exact"/>
        <w:ind w:firstLine="640" w:firstLineChars="200"/>
        <w:outlineLvl w:val="1"/>
        <w:rPr>
          <w:rStyle w:val="40"/>
          <w:rFonts w:ascii="楷体" w:hAnsi="楷体" w:eastAsia="楷体" w:cs="楷体"/>
          <w:b w:val="0"/>
          <w:bCs w:val="0"/>
        </w:rPr>
      </w:pPr>
      <w:r>
        <w:rPr>
          <w:rStyle w:val="40"/>
          <w:rFonts w:hint="eastAsia" w:ascii="楷体" w:hAnsi="楷体" w:eastAsia="楷体" w:cs="楷体"/>
          <w:b w:val="0"/>
          <w:bCs w:val="0"/>
        </w:rPr>
        <w:t>2.部门开展绩效评价结果</w:t>
      </w:r>
    </w:p>
    <w:p w14:paraId="163115B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年部门整体支出绩效评价情况开展自评。《编办202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年部门整体支出绩效评价报告》</w:t>
      </w:r>
      <w:bookmarkStart w:id="36" w:name="_Toc15396612"/>
      <w:bookmarkStart w:id="37" w:name="_Toc15377221"/>
      <w:r>
        <w:rPr>
          <w:rFonts w:hint="eastAsia" w:ascii="仿宋_GB2312" w:hAnsi="仿宋_GB2312" w:eastAsia="仿宋_GB2312" w:cs="仿宋_GB2312"/>
          <w:sz w:val="32"/>
          <w:szCs w:val="32"/>
        </w:rPr>
        <w:t>见附件。</w:t>
      </w:r>
    </w:p>
    <w:p w14:paraId="4DA45A7F">
      <w:pPr>
        <w:pStyle w:val="21"/>
        <w:rPr>
          <w:rFonts w:ascii="仿宋_GB2312" w:hAnsi="仿宋_GB2312" w:eastAsia="仿宋_GB2312" w:cs="仿宋_GB2312"/>
        </w:rPr>
      </w:pPr>
    </w:p>
    <w:p w14:paraId="594DB226">
      <w:pPr>
        <w:pStyle w:val="21"/>
        <w:rPr>
          <w:rFonts w:ascii="仿宋_GB2312" w:hAnsi="仿宋_GB2312" w:eastAsia="仿宋_GB2312" w:cs="仿宋_GB2312"/>
        </w:rPr>
      </w:pPr>
    </w:p>
    <w:p w14:paraId="5BECCC40">
      <w:pPr>
        <w:pStyle w:val="21"/>
        <w:rPr>
          <w:rFonts w:ascii="仿宋_GB2312" w:hAnsi="仿宋_GB2312" w:eastAsia="仿宋_GB2312" w:cs="仿宋_GB2312"/>
        </w:rPr>
      </w:pPr>
    </w:p>
    <w:p w14:paraId="482C4A52">
      <w:pPr>
        <w:pStyle w:val="21"/>
        <w:jc w:val="both"/>
        <w:rPr>
          <w:rFonts w:ascii="仿宋_GB2312" w:hAnsi="仿宋_GB2312" w:eastAsia="仿宋_GB2312" w:cs="仿宋_GB2312"/>
        </w:rPr>
      </w:pPr>
    </w:p>
    <w:p w14:paraId="38191CE8">
      <w:pPr>
        <w:pStyle w:val="21"/>
        <w:jc w:val="both"/>
        <w:rPr>
          <w:rFonts w:ascii="仿宋_GB2312" w:hAnsi="仿宋_GB2312" w:eastAsia="仿宋_GB2312" w:cs="仿宋_GB2312"/>
        </w:rPr>
      </w:pPr>
    </w:p>
    <w:p w14:paraId="28906492">
      <w:pPr>
        <w:pStyle w:val="21"/>
        <w:jc w:val="both"/>
        <w:rPr>
          <w:rFonts w:ascii="仿宋_GB2312" w:hAnsi="仿宋_GB2312" w:eastAsia="仿宋_GB2312" w:cs="仿宋_GB2312"/>
        </w:rPr>
      </w:pPr>
    </w:p>
    <w:p w14:paraId="4720F9BA">
      <w:pPr>
        <w:pStyle w:val="21"/>
        <w:jc w:val="both"/>
        <w:rPr>
          <w:rFonts w:ascii="仿宋_GB2312" w:hAnsi="仿宋_GB2312" w:eastAsia="仿宋_GB2312" w:cs="仿宋_GB2312"/>
        </w:rPr>
      </w:pPr>
    </w:p>
    <w:p w14:paraId="49B78C4D">
      <w:pPr>
        <w:pStyle w:val="21"/>
        <w:jc w:val="both"/>
        <w:rPr>
          <w:rFonts w:ascii="仿宋_GB2312" w:hAnsi="仿宋_GB2312" w:eastAsia="仿宋_GB2312" w:cs="仿宋_GB2312"/>
        </w:rPr>
      </w:pPr>
    </w:p>
    <w:p w14:paraId="7F665D4E">
      <w:pPr>
        <w:pStyle w:val="21"/>
        <w:jc w:val="both"/>
        <w:rPr>
          <w:rFonts w:ascii="仿宋_GB2312" w:hAnsi="仿宋_GB2312" w:eastAsia="仿宋_GB2312" w:cs="仿宋_GB2312"/>
        </w:rPr>
      </w:pPr>
    </w:p>
    <w:bookmarkEnd w:id="36"/>
    <w:bookmarkEnd w:id="37"/>
    <w:p w14:paraId="4BFFB396">
      <w:pPr>
        <w:numPr>
          <w:ilvl w:val="0"/>
          <w:numId w:val="1"/>
        </w:numPr>
        <w:spacing w:line="600" w:lineRule="exact"/>
        <w:ind w:firstLine="660" w:firstLineChars="150"/>
        <w:jc w:val="center"/>
        <w:outlineLvl w:val="0"/>
        <w:rPr>
          <w:rStyle w:val="36"/>
          <w:rFonts w:ascii="方正小标宋简体" w:hAnsi="方正小标宋简体" w:eastAsia="方正小标宋简体" w:cs="方正小标宋简体"/>
          <w:b w:val="0"/>
        </w:rPr>
      </w:pPr>
      <w:bookmarkStart w:id="38" w:name="_Toc15396613"/>
      <w:bookmarkStart w:id="39" w:name="_Toc15377225"/>
      <w:bookmarkStart w:id="40" w:name="_Toc79163629"/>
      <w:bookmarkStart w:id="41" w:name="_Toc79163879"/>
      <w:r>
        <w:rPr>
          <w:rFonts w:hint="eastAsia" w:ascii="方正小标宋简体" w:hAnsi="方正小标宋简体" w:eastAsia="方正小标宋简体" w:cs="方正小标宋简体"/>
          <w:color w:val="000000"/>
          <w:sz w:val="44"/>
          <w:szCs w:val="44"/>
        </w:rPr>
        <w:t>名</w:t>
      </w:r>
      <w:r>
        <w:rPr>
          <w:rStyle w:val="36"/>
          <w:rFonts w:hint="eastAsia" w:ascii="方正小标宋简体" w:hAnsi="方正小标宋简体" w:eastAsia="方正小标宋简体" w:cs="方正小标宋简体"/>
          <w:b w:val="0"/>
        </w:rPr>
        <w:t>词解释</w:t>
      </w:r>
      <w:bookmarkEnd w:id="38"/>
      <w:bookmarkEnd w:id="39"/>
      <w:bookmarkEnd w:id="40"/>
      <w:bookmarkEnd w:id="41"/>
    </w:p>
    <w:p w14:paraId="0E3589CA">
      <w:pPr>
        <w:spacing w:line="600" w:lineRule="exact"/>
        <w:jc w:val="left"/>
        <w:rPr>
          <w:rFonts w:ascii="宋体"/>
          <w:b/>
          <w:color w:val="000000"/>
          <w:sz w:val="44"/>
          <w:szCs w:val="44"/>
        </w:rPr>
      </w:pPr>
    </w:p>
    <w:p w14:paraId="3E5F59A9">
      <w:pPr>
        <w:pStyle w:val="31"/>
        <w:spacing w:line="560" w:lineRule="exact"/>
        <w:ind w:firstLine="640" w:firstLineChars="200"/>
        <w:rPr>
          <w:rFonts w:ascii="仿宋_GB2312" w:eastAsia="仿宋_GB2312"/>
          <w:color w:val="auto"/>
          <w:sz w:val="32"/>
          <w:szCs w:val="32"/>
        </w:rPr>
      </w:pPr>
      <w:bookmarkStart w:id="4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B5582EB">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A526A88">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9E8985F">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4EF96AC">
      <w:pPr>
        <w:pStyle w:val="31"/>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55B357EA">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558B506">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3D11D410">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B10C7A7">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52E4D700">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207C3E3B">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00778839">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591C5EF7">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44628AF1">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2FAD2558">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73FD616C">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10463774">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0E612CD6">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3E2FE21">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B4D8C15">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E69C78F">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F60CAAD">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1A08B3">
      <w:pPr>
        <w:pStyle w:val="31"/>
        <w:spacing w:line="560" w:lineRule="exact"/>
        <w:ind w:firstLine="640" w:firstLineChars="200"/>
        <w:rPr>
          <w:rFonts w:ascii="仿宋_GB2312" w:eastAsia="仿宋_GB2312" w:cs="黑体"/>
          <w:color w:val="auto"/>
          <w:sz w:val="32"/>
          <w:szCs w:val="32"/>
        </w:rPr>
      </w:pPr>
    </w:p>
    <w:p w14:paraId="13504691">
      <w:pPr>
        <w:spacing w:line="600" w:lineRule="exact"/>
        <w:jc w:val="center"/>
        <w:outlineLvl w:val="0"/>
        <w:rPr>
          <w:rFonts w:ascii="方正小标宋简体" w:hAnsi="方正小标宋简体" w:eastAsia="方正小标宋简体" w:cs="方正小标宋简体"/>
          <w:sz w:val="44"/>
          <w:szCs w:val="44"/>
        </w:rPr>
      </w:pPr>
      <w:r>
        <w:rPr>
          <w:rFonts w:ascii="宋体"/>
          <w:b/>
          <w:color w:val="000000"/>
          <w:sz w:val="44"/>
          <w:szCs w:val="44"/>
        </w:rPr>
        <w:br w:type="page"/>
      </w:r>
      <w:bookmarkStart w:id="43" w:name="_Toc79163630"/>
      <w:bookmarkStart w:id="44" w:name="_Toc15396614"/>
      <w:bookmarkStart w:id="45" w:name="_Toc79163880"/>
      <w:r>
        <w:rPr>
          <w:rFonts w:hint="eastAsia" w:ascii="方正小标宋简体" w:hAnsi="方正小标宋简体" w:eastAsia="方正小标宋简体" w:cs="方正小标宋简体"/>
          <w:sz w:val="44"/>
          <w:szCs w:val="44"/>
        </w:rPr>
        <w:t>第四部分 附件</w:t>
      </w:r>
      <w:bookmarkEnd w:id="43"/>
      <w:bookmarkEnd w:id="44"/>
      <w:bookmarkEnd w:id="45"/>
    </w:p>
    <w:p w14:paraId="4CC40289">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bookmarkStart w:id="46" w:name="_Toc800"/>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bookmarkEnd w:id="46"/>
    </w:p>
    <w:p w14:paraId="4EFD6BF7">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p>
    <w:p w14:paraId="32D06C57">
      <w:pPr>
        <w:spacing w:line="600" w:lineRule="exact"/>
        <w:jc w:val="center"/>
        <w:outlineLvl w:val="0"/>
        <w:rPr>
          <w:rFonts w:ascii="方正小标宋简体" w:hAnsi="黑体" w:eastAsia="方正小标宋简体" w:cs="黑体"/>
          <w:sz w:val="44"/>
          <w:szCs w:val="44"/>
        </w:rPr>
      </w:pPr>
      <w:bookmarkStart w:id="47" w:name="_Toc79163882"/>
      <w:bookmarkStart w:id="48" w:name="_Toc79163632"/>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2</w:t>
      </w:r>
      <w:r>
        <w:rPr>
          <w:rFonts w:hint="eastAsia" w:ascii="方正小标宋简体" w:hAnsi="黑体" w:eastAsia="方正小标宋简体" w:cs="黑体"/>
          <w:sz w:val="44"/>
          <w:szCs w:val="44"/>
        </w:rPr>
        <w:t>年编办部门整体支出绩效评价报告</w:t>
      </w:r>
      <w:bookmarkEnd w:id="47"/>
      <w:bookmarkEnd w:id="48"/>
    </w:p>
    <w:p w14:paraId="79A9365A">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82155B7">
      <w:pPr>
        <w:pStyle w:val="4"/>
        <w:spacing w:before="0" w:after="0" w:line="576" w:lineRule="exact"/>
        <w:ind w:firstLine="640" w:firstLineChars="200"/>
        <w:rPr>
          <w:b w:val="0"/>
          <w:bCs w:val="0"/>
        </w:rPr>
      </w:pPr>
      <w:r>
        <w:rPr>
          <w:rFonts w:hint="eastAsia" w:ascii="黑体" w:hAnsi="黑体" w:eastAsia="黑体" w:cs="黑体"/>
          <w:b w:val="0"/>
          <w:bCs w:val="0"/>
        </w:rPr>
        <w:t>一、部门概况</w:t>
      </w:r>
    </w:p>
    <w:p w14:paraId="1E80134E">
      <w:pPr>
        <w:spacing w:line="576" w:lineRule="exact"/>
        <w:ind w:firstLine="643" w:firstLineChars="200"/>
        <w:outlineLvl w:val="1"/>
        <w:rPr>
          <w:rStyle w:val="40"/>
          <w:rFonts w:ascii="楷体_GB2312" w:hAnsi="楷体_GB2312" w:eastAsia="楷体_GB2312" w:cs="楷体_GB2312"/>
        </w:rPr>
      </w:pPr>
      <w:r>
        <w:rPr>
          <w:rStyle w:val="40"/>
          <w:rFonts w:hint="eastAsia" w:ascii="楷体_GB2312" w:hAnsi="楷体_GB2312" w:eastAsia="楷体_GB2312" w:cs="楷体_GB2312"/>
        </w:rPr>
        <w:t>（一）机构组成</w:t>
      </w:r>
    </w:p>
    <w:p w14:paraId="39768E39">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本单位属一级预算单位，无下属二级预算单位，其中：行政单位1个，内设机构1个（综合股），所属副科级事业机构1个，即事业单位登记管理局；股级事业单位1个，即机构编制实名制管理中心。</w:t>
      </w:r>
    </w:p>
    <w:p w14:paraId="0A67E2F0">
      <w:pPr>
        <w:spacing w:line="576" w:lineRule="exact"/>
        <w:ind w:firstLine="643" w:firstLineChars="200"/>
        <w:outlineLvl w:val="1"/>
        <w:rPr>
          <w:rStyle w:val="40"/>
          <w:rFonts w:ascii="楷体_GB2312" w:hAnsi="楷体_GB2312" w:eastAsia="楷体_GB2312" w:cs="楷体_GB2312"/>
        </w:rPr>
      </w:pPr>
      <w:r>
        <w:rPr>
          <w:rStyle w:val="40"/>
          <w:rFonts w:hint="eastAsia" w:ascii="楷体_GB2312" w:hAnsi="楷体_GB2312" w:eastAsia="楷体_GB2312" w:cs="楷体_GB2312"/>
        </w:rPr>
        <w:t>（二）机构职能</w:t>
      </w:r>
    </w:p>
    <w:p w14:paraId="70D446B0">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5704C25C">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0BC03DB2">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0D585CA5">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4F05AF2">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7332F5C6">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14:paraId="720BF7E8">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20668C60">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329EF538">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14:paraId="77CD1935">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承办县委、县人民政府和州机构编制委员会办公室交办的其他事项。</w:t>
      </w:r>
    </w:p>
    <w:p w14:paraId="46793C6D">
      <w:pPr>
        <w:spacing w:line="576" w:lineRule="exact"/>
        <w:ind w:firstLine="643" w:firstLineChars="200"/>
        <w:outlineLvl w:val="1"/>
        <w:rPr>
          <w:rStyle w:val="40"/>
          <w:rFonts w:ascii="楷体_GB2312" w:hAnsi="楷体_GB2312" w:eastAsia="楷体_GB2312" w:cs="楷体_GB2312"/>
        </w:rPr>
      </w:pPr>
      <w:r>
        <w:rPr>
          <w:rStyle w:val="40"/>
          <w:rFonts w:hint="eastAsia" w:ascii="楷体_GB2312" w:hAnsi="楷体_GB2312" w:eastAsia="楷体_GB2312" w:cs="楷体_GB2312"/>
        </w:rPr>
        <w:t>（三）人员概况</w:t>
      </w:r>
    </w:p>
    <w:p w14:paraId="2C4F0B1C">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年部门编制人数16名,其中:行政编制5名,参照公务员法管理的事业编制0名，行政工勤编制1名，事业编制 10名，事业工勤编制0名。年末在职人员实有人数1</w:t>
      </w:r>
      <w:r>
        <w:rPr>
          <w:rFonts w:hint="eastAsia" w:ascii="仿宋_GB2312" w:eastAsia="仿宋_GB2312"/>
          <w:sz w:val="32"/>
          <w:szCs w:val="32"/>
          <w:lang w:val="en-US" w:eastAsia="zh-CN"/>
        </w:rPr>
        <w:t>1</w:t>
      </w:r>
      <w:r>
        <w:rPr>
          <w:rFonts w:hint="eastAsia" w:ascii="仿宋_GB2312" w:eastAsia="仿宋_GB2312"/>
          <w:sz w:val="32"/>
          <w:szCs w:val="32"/>
        </w:rPr>
        <w:t>名，其中：行政人员</w:t>
      </w:r>
      <w:r>
        <w:rPr>
          <w:rFonts w:hint="eastAsia" w:ascii="仿宋_GB2312" w:eastAsia="仿宋_GB2312"/>
          <w:sz w:val="32"/>
          <w:szCs w:val="32"/>
          <w:lang w:val="en-US" w:eastAsia="zh-CN"/>
        </w:rPr>
        <w:t>3</w:t>
      </w:r>
      <w:r>
        <w:rPr>
          <w:rFonts w:hint="eastAsia" w:ascii="仿宋_GB2312" w:eastAsia="仿宋_GB2312"/>
          <w:sz w:val="32"/>
          <w:szCs w:val="32"/>
        </w:rPr>
        <w:t>名，参照公务员法管理的事业人员 0 名，行政工勤人员1名，事业人员</w:t>
      </w:r>
      <w:r>
        <w:rPr>
          <w:rFonts w:hint="eastAsia" w:ascii="仿宋_GB2312" w:eastAsia="仿宋_GB2312"/>
          <w:sz w:val="32"/>
          <w:szCs w:val="32"/>
          <w:lang w:val="en-US" w:eastAsia="zh-CN"/>
        </w:rPr>
        <w:t>7</w:t>
      </w:r>
      <w:r>
        <w:rPr>
          <w:rFonts w:hint="eastAsia" w:ascii="仿宋_GB2312" w:eastAsia="仿宋_GB2312"/>
          <w:sz w:val="32"/>
          <w:szCs w:val="32"/>
        </w:rPr>
        <w:t>名，退休人员0人。</w:t>
      </w:r>
    </w:p>
    <w:p w14:paraId="5875CC8E">
      <w:pPr>
        <w:spacing w:line="576" w:lineRule="exact"/>
        <w:ind w:firstLine="643" w:firstLineChars="200"/>
        <w:outlineLvl w:val="1"/>
        <w:rPr>
          <w:rStyle w:val="40"/>
          <w:rFonts w:hint="eastAsia" w:ascii="楷体_GB2312" w:hAnsi="楷体_GB2312" w:eastAsia="楷体_GB2312" w:cs="楷体_GB2312"/>
          <w:lang w:val="zh-CN"/>
        </w:rPr>
      </w:pPr>
      <w:r>
        <w:rPr>
          <w:rStyle w:val="40"/>
          <w:rFonts w:hint="eastAsia" w:ascii="楷体_GB2312" w:hAnsi="楷体_GB2312" w:eastAsia="楷体_GB2312" w:cs="楷体_GB2312"/>
          <w:lang w:val="zh-CN"/>
        </w:rPr>
        <w:t>（四）年度主要工作任务</w:t>
      </w:r>
    </w:p>
    <w:p w14:paraId="7757D204">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bCs/>
          <w:sz w:val="32"/>
          <w:szCs w:val="32"/>
        </w:rPr>
        <w:t>狠抓政治建设不放松，在思想引领上下功夫</w:t>
      </w:r>
    </w:p>
    <w:p w14:paraId="7D58CB67">
      <w:pPr>
        <w:numPr>
          <w:ilvl w:val="0"/>
          <w:numId w:val="0"/>
        </w:numPr>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（1）</w:t>
      </w:r>
      <w:r>
        <w:rPr>
          <w:rFonts w:hint="eastAsia" w:ascii="仿宋_GB2312" w:hAnsi="楷体_GB2312" w:eastAsia="仿宋_GB2312" w:cs="楷体_GB2312"/>
          <w:b/>
          <w:bCs/>
          <w:sz w:val="32"/>
          <w:szCs w:val="32"/>
        </w:rPr>
        <w:t>强化理论学习。</w:t>
      </w:r>
      <w:r>
        <w:rPr>
          <w:rFonts w:hint="eastAsia" w:ascii="仿宋_GB2312" w:hAnsi="仿宋_GB2312" w:eastAsia="仿宋_GB2312" w:cs="仿宋_GB2312"/>
          <w:sz w:val="32"/>
          <w:szCs w:val="32"/>
        </w:rPr>
        <w:t>始终坚持把思想引领放在首位，组织职工集中收看党的二十大开幕大会，及时召开职工大会多场次深入学习党的二十大精神，开展党的十九届六中全会、省第十二次党代会、习近平总书记来川视察重要指示精神等专题学习，引导党员干部职工进一步增强“四个意识”、坚定“四个自信”、做到“两个维护”。</w:t>
      </w:r>
    </w:p>
    <w:p w14:paraId="0BB81DAF">
      <w:pPr>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（2）</w:t>
      </w:r>
      <w:r>
        <w:rPr>
          <w:rFonts w:hint="eastAsia" w:ascii="仿宋_GB2312" w:hAnsi="Microsoft YaHei UI" w:eastAsia="仿宋_GB2312"/>
          <w:b/>
          <w:spacing w:val="8"/>
          <w:sz w:val="32"/>
          <w:szCs w:val="32"/>
          <w:shd w:val="clear" w:color="auto" w:fill="FFFFFF"/>
        </w:rPr>
        <w:t>强化意识形态工作。</w:t>
      </w:r>
      <w:r>
        <w:rPr>
          <w:rFonts w:hint="eastAsia" w:ascii="仿宋_GB2312" w:hAnsi="仿宋_GB2312" w:eastAsia="仿宋_GB2312" w:cs="仿宋_GB2312"/>
          <w:sz w:val="32"/>
          <w:szCs w:val="32"/>
        </w:rPr>
        <w:t>将意识形态工作列入年度工作要点、纳入重要议事日程，与中心工作紧密结合，同部署、同落实。</w:t>
      </w:r>
      <w:r>
        <w:rPr>
          <w:rFonts w:hint="eastAsia" w:ascii="仿宋_GB2312" w:hAnsi="Microsoft YaHei UI" w:eastAsia="仿宋_GB2312"/>
          <w:spacing w:val="8"/>
          <w:sz w:val="32"/>
          <w:szCs w:val="32"/>
          <w:shd w:val="clear" w:color="auto" w:fill="FFFFFF"/>
        </w:rPr>
        <w:t>建立完善“中心组引领学、党支部延伸学、党员重点学、职工自主学”的“四学联动”常态化学习机制，持续引导党员干部学思践悟、细照笃行，不断抓实意识形态工作。</w:t>
      </w:r>
    </w:p>
    <w:p w14:paraId="11D187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sz w:val="32"/>
          <w:szCs w:val="32"/>
        </w:rPr>
      </w:pPr>
      <w:r>
        <w:rPr>
          <w:rFonts w:hint="eastAsia" w:ascii="仿宋_GB2312" w:hAnsi="仿宋_GB2312" w:eastAsia="仿宋_GB2312" w:cs="仿宋_GB2312"/>
          <w:b/>
          <w:bCs/>
          <w:sz w:val="32"/>
          <w:szCs w:val="32"/>
        </w:rPr>
        <w:t>（3）全面落实廉政责任。</w:t>
      </w:r>
      <w:r>
        <w:rPr>
          <w:rFonts w:hint="eastAsia" w:ascii="仿宋_GB2312" w:hAnsi="仿宋_GB2312" w:eastAsia="仿宋_GB2312" w:cs="仿宋_GB2312"/>
          <w:bCs/>
          <w:sz w:val="32"/>
          <w:szCs w:val="32"/>
        </w:rPr>
        <w:t>严格落实中央八项规定，对贯彻党风廉政建设情况进行经常性的自查自纠。</w:t>
      </w:r>
      <w:r>
        <w:rPr>
          <w:rFonts w:hint="eastAsia" w:ascii="仿宋_GB2312" w:hAnsi="仿宋_GB2312" w:eastAsia="仿宋_GB2312" w:cs="仿宋_GB2312"/>
          <w:sz w:val="32"/>
          <w:szCs w:val="32"/>
        </w:rPr>
        <w:t>严肃财经纪律，严格执行县委“三重一大”制度，规范日常财务资金审批及管理流程，定期在职工大会公布经费开支使用情况，着力规范内部管理。建立健全机构编制工作重大事项报告制度，强化权力运行制约和监督。</w:t>
      </w:r>
    </w:p>
    <w:p w14:paraId="36F0CFFA">
      <w:pPr>
        <w:numPr>
          <w:ilvl w:val="0"/>
          <w:numId w:val="0"/>
        </w:num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狠抓重点工作不懈怠，在攻坚破难上下功夫</w:t>
      </w:r>
    </w:p>
    <w:p w14:paraId="3879DCA7">
      <w:pPr>
        <w:numPr>
          <w:ilvl w:val="0"/>
          <w:numId w:val="0"/>
        </w:numPr>
        <w:spacing w:line="576"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（1</w:t>
      </w:r>
      <w:r>
        <w:rPr>
          <w:rFonts w:ascii="仿宋_GB2312" w:hAnsi="黑体" w:eastAsia="仿宋_GB2312"/>
          <w:b/>
          <w:sz w:val="32"/>
          <w:szCs w:val="32"/>
        </w:rPr>
        <w:t>）</w:t>
      </w:r>
      <w:r>
        <w:rPr>
          <w:rFonts w:hint="eastAsia" w:ascii="仿宋_GB2312" w:hAnsi="仿宋_GB2312" w:eastAsia="仿宋_GB2312" w:cs="仿宋_GB2312"/>
          <w:b/>
          <w:bCs/>
          <w:sz w:val="32"/>
          <w:szCs w:val="32"/>
        </w:rPr>
        <w:t>创新开展机构编制效益评估。</w:t>
      </w:r>
      <w:r>
        <w:rPr>
          <w:rFonts w:hint="eastAsia" w:ascii="仿宋_GB2312" w:hAnsi="仿宋_GB2312" w:eastAsia="仿宋_GB2312" w:cs="仿宋_GB2312"/>
          <w:sz w:val="32"/>
          <w:szCs w:val="32"/>
        </w:rPr>
        <w:t>创新</w:t>
      </w:r>
      <w:r>
        <w:rPr>
          <w:rFonts w:hint="eastAsia" w:ascii="仿宋_GB2312" w:hAnsi="仿宋_GB2312" w:eastAsia="仿宋_GB2312" w:cs="仿宋_GB2312"/>
          <w:kern w:val="0"/>
          <w:sz w:val="32"/>
          <w:szCs w:val="32"/>
        </w:rPr>
        <w:t>开展机构编制效益评估工作</w:t>
      </w:r>
      <w:r>
        <w:rPr>
          <w:rFonts w:hint="eastAsia" w:ascii="仿宋_GB2312" w:eastAsia="仿宋_GB2312"/>
          <w:sz w:val="32"/>
          <w:szCs w:val="32"/>
        </w:rPr>
        <w:t>，由班子成员带队，分别到全县</w:t>
      </w:r>
      <w:r>
        <w:rPr>
          <w:rFonts w:eastAsia="仿宋_GB2312"/>
          <w:sz w:val="32"/>
          <w:szCs w:val="32"/>
        </w:rPr>
        <w:t>11</w:t>
      </w:r>
      <w:r>
        <w:rPr>
          <w:rFonts w:hint="eastAsia" w:ascii="仿宋_GB2312" w:eastAsia="仿宋_GB2312"/>
          <w:sz w:val="32"/>
          <w:szCs w:val="32"/>
        </w:rPr>
        <w:t>镇和</w:t>
      </w:r>
      <w:r>
        <w:rPr>
          <w:rFonts w:eastAsia="仿宋_GB2312"/>
          <w:sz w:val="32"/>
          <w:szCs w:val="32"/>
        </w:rPr>
        <w:t>63</w:t>
      </w:r>
      <w:r>
        <w:rPr>
          <w:rFonts w:hint="eastAsia" w:ascii="仿宋_GB2312" w:eastAsia="仿宋_GB2312"/>
          <w:sz w:val="32"/>
          <w:szCs w:val="32"/>
        </w:rPr>
        <w:t>个部门（单位）进行调研评估，根据在评估中发现的问题提出用编建议，有力改善了部分单位人员结构老化的问题，确保编制资源用在刀刃上。</w:t>
      </w:r>
    </w:p>
    <w:p w14:paraId="51A21A29">
      <w:pPr>
        <w:spacing w:line="576"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b/>
          <w:sz w:val="32"/>
          <w:szCs w:val="32"/>
        </w:rPr>
        <w:t>（</w:t>
      </w:r>
      <w:r>
        <w:rPr>
          <w:rFonts w:hint="eastAsia" w:ascii="仿宋_GB2312" w:hAnsi="黑体" w:eastAsia="仿宋_GB2312"/>
          <w:b/>
          <w:sz w:val="32"/>
          <w:szCs w:val="32"/>
          <w:lang w:val="en-US" w:eastAsia="zh-CN"/>
        </w:rPr>
        <w:t>2</w:t>
      </w:r>
      <w:r>
        <w:rPr>
          <w:rFonts w:hint="eastAsia" w:ascii="仿宋_GB2312" w:hAnsi="黑体" w:eastAsia="仿宋_GB2312"/>
          <w:b/>
          <w:sz w:val="32"/>
          <w:szCs w:val="32"/>
        </w:rPr>
        <w:t>）</w:t>
      </w:r>
      <w:r>
        <w:rPr>
          <w:rFonts w:hint="eastAsia" w:ascii="仿宋_GB2312" w:hAnsi="仿宋_GB2312" w:eastAsia="仿宋_GB2312" w:cs="仿宋_GB2312"/>
          <w:b/>
          <w:bCs/>
          <w:sz w:val="32"/>
          <w:szCs w:val="32"/>
        </w:rPr>
        <w:t>抓实事业单位管理。</w:t>
      </w:r>
      <w:r>
        <w:rPr>
          <w:rFonts w:hint="eastAsia" w:ascii="仿宋_GB2312" w:hAnsi="楷体_GB2312" w:eastAsia="仿宋_GB2312" w:cs="楷体_GB2312"/>
          <w:bCs/>
          <w:sz w:val="32"/>
          <w:szCs w:val="32"/>
        </w:rPr>
        <w:t>下发《关于做好全县事业单位法人年度报告公示工作的通知》，及时告知相关单位事业单位登记管理工作任务，提醒其及时办理相关业务。今年以来，</w:t>
      </w:r>
      <w:r>
        <w:rPr>
          <w:rFonts w:hint="eastAsia" w:ascii="仿宋_GB2312" w:hAnsi="仿宋_GB2312" w:eastAsia="仿宋_GB2312" w:cs="仿宋_GB2312"/>
          <w:sz w:val="32"/>
          <w:szCs w:val="32"/>
        </w:rPr>
        <w:t>全县</w:t>
      </w:r>
      <w:r>
        <w:rPr>
          <w:rFonts w:ascii="Times New Roman" w:hAnsi="Times New Roman" w:eastAsia="仿宋_GB2312"/>
          <w:sz w:val="32"/>
          <w:szCs w:val="32"/>
        </w:rPr>
        <w:t>129</w:t>
      </w:r>
      <w:r>
        <w:rPr>
          <w:rFonts w:hint="eastAsia" w:ascii="仿宋_GB2312" w:hAnsi="仿宋_GB2312" w:eastAsia="仿宋_GB2312" w:cs="仿宋_GB2312"/>
          <w:sz w:val="32"/>
          <w:szCs w:val="32"/>
        </w:rPr>
        <w:t>家法人事业单位全部完成上一年度法人事业单位报告，在规定的时间内实现了既定工作目标。</w:t>
      </w:r>
    </w:p>
    <w:p w14:paraId="5A67DE45">
      <w:pPr>
        <w:spacing w:line="540" w:lineRule="exact"/>
        <w:ind w:firstLine="643" w:firstLineChars="200"/>
        <w:contextualSpacing/>
        <w:outlineLvl w:val="1"/>
        <w:rPr>
          <w:rFonts w:hint="eastAsia" w:ascii="仿宋_GB2312" w:eastAsia="仿宋_GB2312"/>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扎实推进“联户联情”工作。</w:t>
      </w:r>
      <w:r>
        <w:rPr>
          <w:rFonts w:hint="eastAsia" w:ascii="仿宋_GB2312" w:hAnsi="仿宋_GB2312" w:eastAsia="仿宋_GB2312" w:cs="仿宋_GB2312"/>
          <w:sz w:val="32"/>
          <w:szCs w:val="32"/>
        </w:rPr>
        <w:t>以“常来常往、常联常亲”为总要求，</w:t>
      </w:r>
      <w:r>
        <w:rPr>
          <w:rFonts w:hint="eastAsia" w:ascii="仿宋_GB2312" w:eastAsia="仿宋_GB2312"/>
          <w:sz w:val="32"/>
          <w:szCs w:val="32"/>
        </w:rPr>
        <w:t>认真开展“联户联情”工作，定期在罗山村微信群发布“三防一安全”、防范电信网络诈骗、疫情防控、安全生产等信息。</w:t>
      </w:r>
    </w:p>
    <w:p w14:paraId="5F02819D">
      <w:pPr>
        <w:spacing w:line="540" w:lineRule="exact"/>
        <w:ind w:firstLine="643" w:firstLineChars="200"/>
        <w:contextualSpacing/>
        <w:outlineLvl w:val="1"/>
        <w:rPr>
          <w:rFonts w:hint="eastAsia" w:ascii="仿宋_GB2312" w:hAnsi="仿宋_GB2312" w:eastAsia="仿宋_GB2312" w:cs="仿宋_GB2312"/>
          <w:b/>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狠抓</w:t>
      </w:r>
      <w:r>
        <w:rPr>
          <w:rFonts w:hint="eastAsia" w:ascii="楷体_GB2312" w:hAnsi="楷体_GB2312" w:eastAsia="楷体_GB2312" w:cs="楷体_GB2312"/>
          <w:b/>
          <w:sz w:val="32"/>
          <w:szCs w:val="32"/>
        </w:rPr>
        <w:t>自身建设不松劲，在提升素质上下功夫</w:t>
      </w:r>
    </w:p>
    <w:p w14:paraId="217B4333">
      <w:pPr>
        <w:pStyle w:val="17"/>
        <w:keepNext w:val="0"/>
        <w:keepLines w:val="0"/>
        <w:pageBreakBefore w:val="0"/>
        <w:widowControl w:val="0"/>
        <w:kinsoku/>
        <w:wordWrap/>
        <w:overflowPunct/>
        <w:topLinePunct w:val="0"/>
        <w:autoSpaceDE/>
        <w:autoSpaceDN/>
        <w:bidi w:val="0"/>
        <w:adjustRightInd/>
        <w:snapToGrid/>
        <w:spacing w:line="560" w:lineRule="exact"/>
        <w:ind w:left="97" w:leftChars="46" w:firstLine="643" w:firstLineChars="200"/>
        <w:textAlignment w:val="auto"/>
        <w:rPr>
          <w:rFonts w:hint="eastAsia" w:ascii="仿宋_GB2312" w:eastAsia="仿宋_GB2312"/>
          <w:sz w:val="32"/>
          <w:szCs w:val="32"/>
        </w:rPr>
      </w:pPr>
      <w:r>
        <w:rPr>
          <w:rFonts w:hint="eastAsia" w:ascii="仿宋_GB2312" w:hAnsi="仿宋_GB2312" w:eastAsia="仿宋_GB2312" w:cs="仿宋_GB2312"/>
          <w:b/>
          <w:kern w:val="2"/>
          <w:sz w:val="32"/>
          <w:szCs w:val="32"/>
          <w:lang w:val="en-US" w:eastAsia="zh-CN" w:bidi="ar-SA"/>
        </w:rPr>
        <w:t>（1）</w:t>
      </w:r>
      <w:r>
        <w:rPr>
          <w:rFonts w:hint="eastAsia" w:ascii="仿宋_GB2312" w:hAnsi="仿宋_GB2312" w:eastAsia="仿宋_GB2312" w:cs="仿宋_GB2312"/>
          <w:b/>
          <w:sz w:val="32"/>
          <w:szCs w:val="32"/>
        </w:rPr>
        <w:t>加强干部作风教育整顿。</w:t>
      </w:r>
      <w:r>
        <w:rPr>
          <w:rFonts w:hint="eastAsia" w:ascii="仿宋_GB2312" w:eastAsia="仿宋_GB2312"/>
          <w:sz w:val="32"/>
          <w:szCs w:val="32"/>
        </w:rPr>
        <w:t>制定并印发《县委编办2022年干部作风教育整顿专项行动实施方案》，全面提升干部职工作风建设。</w:t>
      </w:r>
    </w:p>
    <w:p w14:paraId="6C2B453A">
      <w:pPr>
        <w:ind w:firstLine="643" w:firstLineChars="200"/>
        <w:rPr>
          <w:rFonts w:hint="eastAsia" w:ascii="仿宋_GB2312" w:hAnsi="宋体" w:eastAsia="仿宋_GB2312" w:cs="宋体"/>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提升干部队伍业务能力。</w:t>
      </w:r>
      <w:r>
        <w:rPr>
          <w:rFonts w:hint="eastAsia" w:ascii="仿宋_GB2312" w:hAnsi="宋体" w:eastAsia="仿宋_GB2312" w:cs="宋体"/>
          <w:sz w:val="32"/>
          <w:szCs w:val="32"/>
        </w:rPr>
        <w:t>举办《中国共产党机构编制工作条例》《</w:t>
      </w:r>
      <w:r>
        <w:rPr>
          <w:rFonts w:hint="eastAsia" w:ascii="仿宋_GB2312" w:hAnsi="仿宋_GB2312" w:eastAsia="仿宋_GB2312" w:cs="仿宋_GB2312"/>
          <w:sz w:val="32"/>
          <w:szCs w:val="32"/>
        </w:rPr>
        <w:t>机构编制违规违纪违法行为处理和问责规则（试行）</w:t>
      </w:r>
      <w:r>
        <w:rPr>
          <w:rFonts w:hint="eastAsia" w:ascii="仿宋_GB2312" w:hAnsi="宋体" w:eastAsia="仿宋_GB2312" w:cs="宋体"/>
          <w:sz w:val="32"/>
          <w:szCs w:val="32"/>
        </w:rPr>
        <w:t>》专题测试，对全体干部进行业务测试。</w:t>
      </w:r>
    </w:p>
    <w:p w14:paraId="65E01D26">
      <w:pPr>
        <w:ind w:firstLine="643" w:firstLineChars="200"/>
        <w:rPr>
          <w:rFonts w:hint="eastAsia" w:ascii="仿宋_GB2312" w:hAnsi="宋体" w:eastAsia="仿宋_GB2312" w:cs="宋体"/>
          <w:kern w:val="2"/>
          <w:sz w:val="32"/>
          <w:szCs w:val="32"/>
          <w:lang w:val="en-US" w:eastAsia="zh-CN" w:bidi="ar-SA"/>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加大年轻干部培养。</w:t>
      </w:r>
      <w:r>
        <w:rPr>
          <w:rFonts w:hint="eastAsia" w:ascii="仿宋_GB2312" w:hAnsi="宋体" w:eastAsia="仿宋_GB2312" w:cs="宋体"/>
          <w:kern w:val="2"/>
          <w:sz w:val="32"/>
          <w:szCs w:val="32"/>
          <w:lang w:val="en-US" w:eastAsia="zh-CN" w:bidi="ar-SA"/>
        </w:rPr>
        <w:t>为加强对年轻干部的教育引</w:t>
      </w:r>
      <w:r>
        <w:rPr>
          <w:rFonts w:hint="eastAsia" w:ascii="仿宋_GB2312" w:hAnsi="仿宋_GB2312" w:eastAsia="仿宋_GB2312" w:cs="仿宋_GB2312"/>
          <w:sz w:val="32"/>
          <w:szCs w:val="32"/>
        </w:rPr>
        <w:t>导</w:t>
      </w:r>
      <w:r>
        <w:rPr>
          <w:rFonts w:hint="eastAsia" w:ascii="仿宋_GB2312" w:hAnsi="仿宋_GB2312" w:eastAsia="仿宋_GB2312" w:cs="仿宋_GB2312"/>
          <w:sz w:val="32"/>
          <w:szCs w:val="32"/>
          <w:lang w:eastAsia="zh-CN"/>
        </w:rPr>
        <w:t>，</w:t>
      </w:r>
      <w:r>
        <w:rPr>
          <w:rFonts w:hint="eastAsia" w:ascii="仿宋_GB2312" w:hAnsi="宋体" w:eastAsia="仿宋_GB2312" w:cs="宋体"/>
          <w:kern w:val="2"/>
          <w:sz w:val="32"/>
          <w:szCs w:val="32"/>
          <w:lang w:val="en-US" w:eastAsia="zh-CN" w:bidi="ar-SA"/>
        </w:rPr>
        <w:t>全面提升全办年轻干部综合素质，制定并印发《“师父帮带·青蓝出彩”实施方案》，4名班子成员共帮带6名职工。</w:t>
      </w:r>
    </w:p>
    <w:p w14:paraId="6912E639">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zh-CN"/>
        </w:rPr>
        <w:t>（五）部门整体支出绩效目标。</w:t>
      </w:r>
    </w:p>
    <w:p w14:paraId="2BF5DD94">
      <w:pPr>
        <w:spacing w:line="576" w:lineRule="exact"/>
        <w:ind w:firstLine="640"/>
        <w:rPr>
          <w:rFonts w:hint="eastAsia" w:ascii="仿宋_GB2312" w:eastAsia="仿宋_GB2312"/>
          <w:sz w:val="32"/>
          <w:szCs w:val="32"/>
        </w:rPr>
      </w:pPr>
      <w:r>
        <w:rPr>
          <w:rFonts w:hint="eastAsia" w:ascii="仿宋_GB2312" w:hAnsi="仿宋_GB2312" w:eastAsia="仿宋_GB2312" w:cs="仿宋_GB2312"/>
          <w:bCs/>
          <w:sz w:val="32"/>
          <w:szCs w:val="32"/>
        </w:rPr>
        <w:t>我办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部门整体绩效管理水平不断提升。</w:t>
      </w:r>
    </w:p>
    <w:p w14:paraId="51BAC693">
      <w:pPr>
        <w:pStyle w:val="4"/>
        <w:spacing w:before="0" w:after="0" w:line="576" w:lineRule="exact"/>
        <w:ind w:firstLine="640" w:firstLineChars="200"/>
        <w:rPr>
          <w:rFonts w:ascii="仿宋" w:hAnsi="仿宋" w:eastAsia="仿宋"/>
          <w:b w:val="0"/>
          <w:bCs w:val="0"/>
        </w:rPr>
      </w:pPr>
      <w:r>
        <w:rPr>
          <w:rFonts w:ascii="黑体" w:hAnsi="黑体" w:eastAsia="黑体" w:cs="黑体"/>
          <w:b w:val="0"/>
          <w:bCs w:val="0"/>
        </w:rPr>
        <w:t>二、部门财政资金收支情况</w:t>
      </w:r>
    </w:p>
    <w:p w14:paraId="02182D8D">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（一）部门财政资金收入情况</w:t>
      </w:r>
    </w:p>
    <w:p w14:paraId="1706888D">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年单位财政资金收入共计23</w:t>
      </w:r>
      <w:r>
        <w:rPr>
          <w:rFonts w:hint="eastAsia" w:ascii="仿宋_GB2312" w:hAnsi="仿宋_GB2312" w:eastAsia="仿宋_GB2312" w:cs="仿宋_GB2312"/>
          <w:bCs/>
          <w:sz w:val="32"/>
          <w:szCs w:val="32"/>
          <w:lang w:val="en-US" w:eastAsia="zh-CN"/>
        </w:rPr>
        <w:t>1.58</w:t>
      </w:r>
      <w:r>
        <w:rPr>
          <w:rFonts w:hint="eastAsia" w:ascii="仿宋_GB2312" w:hAnsi="仿宋_GB2312" w:eastAsia="仿宋_GB2312" w:cs="仿宋_GB2312"/>
          <w:bCs/>
          <w:sz w:val="32"/>
          <w:szCs w:val="32"/>
        </w:rPr>
        <w:t>万</w:t>
      </w:r>
      <w:r>
        <w:rPr>
          <w:rFonts w:hint="eastAsia" w:ascii="仿宋_GB2312" w:hAnsi="仿宋_GB2312" w:eastAsia="仿宋_GB2312" w:cs="仿宋_GB2312"/>
          <w:bCs/>
          <w:sz w:val="32"/>
          <w:szCs w:val="32"/>
          <w:lang w:val="en-US" w:eastAsia="zh-CN"/>
        </w:rPr>
        <w:t>元</w:t>
      </w:r>
      <w:r>
        <w:rPr>
          <w:rFonts w:hint="eastAsia" w:ascii="仿宋_GB2312" w:hAnsi="仿宋_GB2312" w:eastAsia="仿宋_GB2312" w:cs="仿宋_GB2312"/>
          <w:bCs/>
          <w:sz w:val="32"/>
          <w:szCs w:val="32"/>
        </w:rPr>
        <w:t>，均为一般公共预算财政拨款收入，单位无上级补助收入、事业收入、经营收入等其他性质的经费收入。</w:t>
      </w:r>
    </w:p>
    <w:p w14:paraId="00F3D17B">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（二）部门财政资金支出情况</w:t>
      </w:r>
    </w:p>
    <w:p w14:paraId="556A5E27">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年单位财政资金支出决算数为23</w:t>
      </w:r>
      <w:r>
        <w:rPr>
          <w:rFonts w:hint="eastAsia" w:ascii="仿宋_GB2312" w:hAnsi="仿宋_GB2312" w:eastAsia="仿宋_GB2312" w:cs="仿宋_GB2312"/>
          <w:sz w:val="32"/>
          <w:szCs w:val="32"/>
          <w:lang w:val="en-US" w:eastAsia="zh-CN"/>
        </w:rPr>
        <w:t>1.58万</w:t>
      </w:r>
      <w:r>
        <w:rPr>
          <w:rFonts w:hint="eastAsia" w:ascii="仿宋_GB2312" w:hAnsi="仿宋_GB2312" w:eastAsia="仿宋_GB2312" w:cs="仿宋_GB2312"/>
          <w:sz w:val="32"/>
          <w:szCs w:val="32"/>
        </w:rPr>
        <w:t>元，均为财政补助支出，其中：</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174.18万元，主要用于本单位职工工资及</w:t>
      </w:r>
      <w:r>
        <w:rPr>
          <w:rFonts w:hint="eastAsia" w:ascii="仿宋_GB2312" w:hAnsi="仿宋_GB2312" w:eastAsia="仿宋_GB2312" w:cs="仿宋_GB2312"/>
          <w:sz w:val="32"/>
          <w:szCs w:val="32"/>
        </w:rPr>
        <w:t>保障日常运转以及为完成特定行政工作任务和事业发展目标而安排的年度项目支出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28.40万</w:t>
      </w:r>
      <w:r>
        <w:rPr>
          <w:rFonts w:hint="eastAsia" w:ascii="仿宋_GB2312" w:hAnsi="仿宋_GB2312" w:eastAsia="仿宋_GB2312" w:cs="仿宋_GB2312"/>
          <w:sz w:val="32"/>
          <w:szCs w:val="32"/>
        </w:rPr>
        <w:t>元，主要用于本单位人员工资按照规定标准为职工缴纳的机关事业单位养老保险和职业年金；卫生健康支出</w:t>
      </w:r>
      <w:r>
        <w:rPr>
          <w:rFonts w:hint="eastAsia" w:ascii="仿宋_GB2312" w:hAnsi="仿宋_GB2312" w:eastAsia="仿宋_GB2312" w:cs="仿宋_GB2312"/>
          <w:sz w:val="32"/>
          <w:szCs w:val="32"/>
          <w:lang w:val="en-US" w:eastAsia="zh-CN"/>
        </w:rPr>
        <w:t>12.10万</w:t>
      </w:r>
      <w:r>
        <w:rPr>
          <w:rFonts w:hint="eastAsia" w:ascii="仿宋_GB2312" w:hAnsi="仿宋_GB2312" w:eastAsia="仿宋_GB2312" w:cs="仿宋_GB2312"/>
          <w:sz w:val="32"/>
          <w:szCs w:val="32"/>
        </w:rPr>
        <w:t>元，主要用于事业单位按照规定标准为职工缴纳的基本医疗保险及公务员医疗补助等支出；住房保障支出</w:t>
      </w:r>
      <w:r>
        <w:rPr>
          <w:rFonts w:hint="eastAsia" w:ascii="仿宋_GB2312" w:hAnsi="仿宋_GB2312" w:eastAsia="仿宋_GB2312" w:cs="仿宋_GB2312"/>
          <w:sz w:val="32"/>
          <w:szCs w:val="32"/>
          <w:lang w:val="en-US" w:eastAsia="zh-CN"/>
        </w:rPr>
        <w:t>16.64万</w:t>
      </w:r>
      <w:r>
        <w:rPr>
          <w:rFonts w:hint="eastAsia" w:ascii="仿宋_GB2312" w:hAnsi="仿宋_GB2312" w:eastAsia="仿宋_GB2312" w:cs="仿宋_GB2312"/>
          <w:sz w:val="32"/>
          <w:szCs w:val="32"/>
        </w:rPr>
        <w:t>元，用于机关及下属事业单位按照规定标准为职工缴纳住房公积金等支出。农林水支出</w:t>
      </w:r>
      <w:r>
        <w:rPr>
          <w:rFonts w:hint="eastAsia" w:ascii="仿宋_GB2312" w:hAnsi="仿宋_GB2312" w:eastAsia="仿宋_GB2312" w:cs="仿宋_GB2312"/>
          <w:sz w:val="32"/>
          <w:szCs w:val="32"/>
          <w:lang w:val="en-US" w:eastAsia="zh-CN"/>
        </w:rPr>
        <w:t>0.27万</w:t>
      </w:r>
      <w:r>
        <w:rPr>
          <w:rFonts w:hint="eastAsia" w:ascii="仿宋_GB2312" w:hAnsi="仿宋_GB2312" w:eastAsia="仿宋_GB2312" w:cs="仿宋_GB2312"/>
          <w:sz w:val="32"/>
          <w:szCs w:val="32"/>
        </w:rPr>
        <w:t>元，主要用于单位第一书记乡镇临岗和乡镇工作补贴。</w:t>
      </w:r>
    </w:p>
    <w:p w14:paraId="2D9D801B">
      <w:pPr>
        <w:pStyle w:val="4"/>
        <w:spacing w:before="0" w:after="0" w:line="576" w:lineRule="exact"/>
        <w:ind w:firstLine="640" w:firstLineChars="200"/>
        <w:rPr>
          <w:rFonts w:ascii="黑体" w:hAnsi="黑体" w:eastAsia="黑体" w:cs="黑体"/>
          <w:b w:val="0"/>
          <w:bCs w:val="0"/>
        </w:rPr>
      </w:pPr>
      <w:r>
        <w:rPr>
          <w:rFonts w:ascii="黑体" w:hAnsi="黑体" w:eastAsia="黑体" w:cs="黑体"/>
          <w:b w:val="0"/>
          <w:bCs w:val="0"/>
        </w:rPr>
        <w:t>三、部门整体预算绩效管理情况</w:t>
      </w:r>
    </w:p>
    <w:p w14:paraId="03A11956">
      <w:pPr>
        <w:spacing w:line="576" w:lineRule="exact"/>
        <w:ind w:firstLine="643" w:firstLineChars="200"/>
        <w:outlineLvl w:val="1"/>
        <w:rPr>
          <w:rStyle w:val="40"/>
          <w:rFonts w:hint="eastAsia" w:ascii="楷体_GB2312" w:hAnsi="楷体_GB2312" w:eastAsia="楷体_GB2312" w:cs="楷体_GB2312"/>
        </w:rPr>
      </w:pPr>
      <w:r>
        <w:rPr>
          <w:rStyle w:val="40"/>
          <w:rFonts w:hint="eastAsia" w:ascii="楷体_GB2312" w:hAnsi="楷体_GB2312" w:eastAsia="楷体_GB2312" w:cs="楷体_GB2312"/>
        </w:rPr>
        <w:t>（一）</w:t>
      </w:r>
      <w:r>
        <w:rPr>
          <w:rStyle w:val="40"/>
          <w:rFonts w:hint="eastAsia" w:ascii="楷体_GB2312" w:hAnsi="楷体_GB2312" w:eastAsia="楷体_GB2312" w:cs="楷体_GB2312"/>
          <w:lang w:val="zh-CN"/>
        </w:rPr>
        <w:t>部门预算项目绩效管理</w:t>
      </w:r>
    </w:p>
    <w:p w14:paraId="4AAA8A59">
      <w:pPr>
        <w:spacing w:line="576" w:lineRule="exact"/>
        <w:ind w:firstLine="640" w:firstLineChars="200"/>
        <w:outlineLvl w:val="1"/>
        <w:rPr>
          <w:rStyle w:val="40"/>
          <w:rFonts w:ascii="楷体_GB2312" w:hAnsi="楷体_GB2312" w:eastAsia="楷体_GB2312" w:cs="楷体_GB2312"/>
        </w:rPr>
      </w:pPr>
      <w:r>
        <w:rPr>
          <w:rFonts w:hint="eastAsia" w:ascii="仿宋_GB2312" w:hAnsi="仿宋_GB2312" w:eastAsia="仿宋_GB2312" w:cs="仿宋_GB2312"/>
          <w:sz w:val="32"/>
          <w:szCs w:val="32"/>
        </w:rPr>
        <w:t>单位严格按照县财政部门预算编制通知和有关文件要求，秉承强化规划约束、坚持限额控制、实时滚动管理、强化绩效管理的基本编制原则在县财政部门规定的时间内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r>
        <w:rPr>
          <w:rStyle w:val="40"/>
          <w:rFonts w:hint="eastAsia" w:ascii="楷体_GB2312" w:hAnsi="楷体_GB2312" w:eastAsia="楷体_GB2312" w:cs="楷体_GB2312"/>
        </w:rPr>
        <w:t>（三）结果应用情况</w:t>
      </w:r>
    </w:p>
    <w:p w14:paraId="1A67DF64">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我办对部门预算绩效管理工作开展情况认真进行了自查自评。不断强化绩效理念，推动我办部门整体绩效管理水平不断提升。</w:t>
      </w:r>
    </w:p>
    <w:p w14:paraId="60D9F38A">
      <w:pPr>
        <w:numPr>
          <w:ilvl w:val="0"/>
          <w:numId w:val="2"/>
        </w:num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评价结论及建议</w:t>
      </w:r>
    </w:p>
    <w:p w14:paraId="688ED7E8">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14:paraId="69EB839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年度财政预决算绩效评价情况认为，我</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年部门整体支出情况良好，资金收入、支出管理均严格按照相关要求进行，全年收支平衡，有效保障了单位正常运转，圆满完成了单位目标任务。</w:t>
      </w:r>
    </w:p>
    <w:p w14:paraId="55D4CD6E">
      <w:pPr>
        <w:pStyle w:val="4"/>
        <w:spacing w:before="0" w:after="0" w:line="576" w:lineRule="exact"/>
        <w:ind w:firstLine="643" w:firstLineChars="200"/>
        <w:rPr>
          <w:rFonts w:ascii="楷体_GB2312" w:hAnsi="楷体_GB2312" w:eastAsia="楷体_GB2312" w:cs="楷体_GB2312"/>
        </w:rPr>
      </w:pPr>
      <w:r>
        <w:rPr>
          <w:rFonts w:hint="eastAsia" w:ascii="楷体_GB2312" w:hAnsi="楷体_GB2312" w:eastAsia="楷体_GB2312" w:cs="楷体_GB2312"/>
        </w:rPr>
        <w:t>（二）存在问题</w:t>
      </w:r>
    </w:p>
    <w:p w14:paraId="0B6F39DD">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绩效目标设定有待更科学更合理。</w:t>
      </w:r>
    </w:p>
    <w:p w14:paraId="0085FDE3">
      <w:pPr>
        <w:spacing w:line="576"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14:paraId="16D46D53">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针对存在的问题，我们将进一步科学设定绩效目标，加强预算执行管理。改进部门收支预算编制，务实预算基础工作，提高预算编制质量。</w:t>
      </w:r>
    </w:p>
    <w:p w14:paraId="1D44A25B">
      <w:pPr>
        <w:spacing w:line="580" w:lineRule="exact"/>
        <w:ind w:firstLine="640" w:firstLineChars="200"/>
        <w:rPr>
          <w:rFonts w:ascii="仿宋_GB2312" w:hAnsi="仿宋_GB2312" w:eastAsia="仿宋_GB2312" w:cs="仿宋_GB2312"/>
          <w:sz w:val="32"/>
          <w:szCs w:val="32"/>
        </w:rPr>
      </w:pPr>
    </w:p>
    <w:p w14:paraId="3B4B52FB">
      <w:pPr>
        <w:spacing w:line="580" w:lineRule="exact"/>
        <w:ind w:firstLine="640" w:firstLineChars="200"/>
        <w:rPr>
          <w:rFonts w:ascii="仿宋_GB2312" w:hAnsi="仿宋_GB2312" w:eastAsia="仿宋_GB2312" w:cs="仿宋_GB2312"/>
          <w:sz w:val="32"/>
          <w:szCs w:val="32"/>
        </w:rPr>
      </w:pPr>
    </w:p>
    <w:p w14:paraId="6D3ABAE5">
      <w:pPr>
        <w:pStyle w:val="21"/>
        <w:rPr>
          <w:rFonts w:ascii="仿宋_GB2312" w:hAnsi="仿宋_GB2312" w:eastAsia="仿宋_GB2312" w:cs="仿宋_GB2312"/>
        </w:rPr>
      </w:pPr>
    </w:p>
    <w:bookmarkEnd w:id="42"/>
    <w:p w14:paraId="2D265B88">
      <w:pPr>
        <w:pageBreakBefore w:val="0"/>
        <w:kinsoku/>
        <w:wordWrap/>
        <w:overflowPunct/>
        <w:topLinePunct w:val="0"/>
        <w:bidi w:val="0"/>
        <w:spacing w:line="576" w:lineRule="exact"/>
        <w:jc w:val="both"/>
        <w:textAlignment w:val="auto"/>
        <w:outlineLvl w:val="0"/>
        <w:rPr>
          <w:rFonts w:hint="eastAsia" w:ascii="黑体" w:hAnsi="Times New Roman" w:eastAsia="黑体" w:cs="Times New Roman"/>
          <w:color w:val="000000"/>
          <w:sz w:val="44"/>
          <w:szCs w:val="44"/>
        </w:rPr>
      </w:pPr>
      <w:bookmarkStart w:id="49" w:name="_Toc7045"/>
    </w:p>
    <w:p w14:paraId="5539BC0B">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49"/>
    </w:p>
    <w:p w14:paraId="4874F8A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0" w:name="_Toc28912"/>
      <w:r>
        <w:rPr>
          <w:rFonts w:hint="eastAsia" w:ascii="仿宋" w:hAnsi="Cambria" w:eastAsia="仿宋" w:cs="Times New Roman"/>
          <w:b w:val="0"/>
          <w:color w:val="000000"/>
          <w:kern w:val="2"/>
          <w:sz w:val="32"/>
          <w:szCs w:val="32"/>
          <w:lang w:bidi="ar-SA"/>
        </w:rPr>
        <w:t>一、收入支出决算总表</w:t>
      </w:r>
      <w:bookmarkEnd w:id="50"/>
    </w:p>
    <w:p w14:paraId="090E18E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1" w:name="_Toc15691"/>
      <w:r>
        <w:rPr>
          <w:rFonts w:hint="eastAsia" w:ascii="仿宋" w:hAnsi="Cambria" w:eastAsia="仿宋" w:cs="Times New Roman"/>
          <w:b w:val="0"/>
          <w:color w:val="000000"/>
          <w:kern w:val="2"/>
          <w:sz w:val="32"/>
          <w:szCs w:val="32"/>
          <w:lang w:bidi="ar-SA"/>
        </w:rPr>
        <w:t>二、收入决算表</w:t>
      </w:r>
      <w:bookmarkEnd w:id="51"/>
    </w:p>
    <w:p w14:paraId="5EAF9DD9">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1856"/>
      <w:r>
        <w:rPr>
          <w:rFonts w:hint="eastAsia" w:ascii="仿宋" w:hAnsi="Cambria" w:eastAsia="仿宋" w:cs="Times New Roman"/>
          <w:b w:val="0"/>
          <w:color w:val="000000"/>
          <w:kern w:val="2"/>
          <w:sz w:val="32"/>
          <w:szCs w:val="32"/>
          <w:lang w:bidi="ar-SA"/>
        </w:rPr>
        <w:t>三、支出决算表</w:t>
      </w:r>
      <w:bookmarkEnd w:id="52"/>
    </w:p>
    <w:p w14:paraId="1C28BBE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25907"/>
      <w:r>
        <w:rPr>
          <w:rFonts w:hint="eastAsia" w:ascii="仿宋" w:hAnsi="Cambria" w:eastAsia="仿宋" w:cs="Times New Roman"/>
          <w:b w:val="0"/>
          <w:color w:val="000000"/>
          <w:kern w:val="2"/>
          <w:sz w:val="32"/>
          <w:szCs w:val="32"/>
          <w:lang w:bidi="ar-SA"/>
        </w:rPr>
        <w:t>四、财政拨款收入支出决算总表</w:t>
      </w:r>
      <w:bookmarkEnd w:id="53"/>
    </w:p>
    <w:p w14:paraId="10CC007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15912"/>
      <w:r>
        <w:rPr>
          <w:rFonts w:hint="eastAsia" w:ascii="仿宋" w:hAnsi="Cambria" w:eastAsia="仿宋" w:cs="Times New Roman"/>
          <w:b w:val="0"/>
          <w:color w:val="000000"/>
          <w:kern w:val="2"/>
          <w:sz w:val="32"/>
          <w:szCs w:val="32"/>
          <w:lang w:bidi="ar-SA"/>
        </w:rPr>
        <w:t>五、财政拨款支出决算明细表</w:t>
      </w:r>
      <w:bookmarkEnd w:id="54"/>
    </w:p>
    <w:p w14:paraId="43B2CAD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0267"/>
      <w:r>
        <w:rPr>
          <w:rFonts w:hint="eastAsia" w:ascii="仿宋" w:hAnsi="Cambria" w:eastAsia="仿宋" w:cs="Times New Roman"/>
          <w:b w:val="0"/>
          <w:color w:val="000000"/>
          <w:kern w:val="2"/>
          <w:sz w:val="32"/>
          <w:szCs w:val="32"/>
          <w:lang w:bidi="ar-SA"/>
        </w:rPr>
        <w:t>六、一般公共预算财政拨款支出决算表</w:t>
      </w:r>
      <w:bookmarkEnd w:id="55"/>
    </w:p>
    <w:p w14:paraId="3B8C9A5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703"/>
      <w:r>
        <w:rPr>
          <w:rFonts w:hint="eastAsia" w:ascii="仿宋" w:hAnsi="Cambria" w:eastAsia="仿宋" w:cs="Times New Roman"/>
          <w:b w:val="0"/>
          <w:color w:val="000000"/>
          <w:kern w:val="2"/>
          <w:sz w:val="32"/>
          <w:szCs w:val="32"/>
          <w:lang w:bidi="ar-SA"/>
        </w:rPr>
        <w:t>七、一般公共预算财政拨款支出决算明细表</w:t>
      </w:r>
      <w:bookmarkEnd w:id="56"/>
    </w:p>
    <w:p w14:paraId="3E4930D0">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1164"/>
      <w:r>
        <w:rPr>
          <w:rFonts w:hint="eastAsia" w:ascii="仿宋" w:hAnsi="Cambria" w:eastAsia="仿宋" w:cs="Times New Roman"/>
          <w:b w:val="0"/>
          <w:color w:val="000000"/>
          <w:kern w:val="2"/>
          <w:sz w:val="32"/>
          <w:szCs w:val="32"/>
          <w:lang w:bidi="ar-SA"/>
        </w:rPr>
        <w:t>八、一般公共预算财政拨款基本支出决算表</w:t>
      </w:r>
      <w:bookmarkEnd w:id="57"/>
    </w:p>
    <w:p w14:paraId="046F5E6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30827"/>
      <w:r>
        <w:rPr>
          <w:rFonts w:hint="eastAsia" w:ascii="仿宋" w:hAnsi="Cambria" w:eastAsia="仿宋" w:cs="Times New Roman"/>
          <w:b w:val="0"/>
          <w:color w:val="000000"/>
          <w:kern w:val="2"/>
          <w:sz w:val="32"/>
          <w:szCs w:val="32"/>
          <w:lang w:bidi="ar-SA"/>
        </w:rPr>
        <w:t>九、一般公共预算财政拨款项目支出决算表</w:t>
      </w:r>
      <w:bookmarkEnd w:id="58"/>
    </w:p>
    <w:p w14:paraId="1007B8B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26030"/>
      <w:r>
        <w:rPr>
          <w:rFonts w:hint="eastAsia" w:ascii="仿宋" w:hAnsi="Cambria" w:eastAsia="仿宋" w:cs="Times New Roman"/>
          <w:b w:val="0"/>
          <w:color w:val="000000"/>
          <w:kern w:val="2"/>
          <w:sz w:val="32"/>
          <w:szCs w:val="32"/>
          <w:lang w:bidi="ar-SA"/>
        </w:rPr>
        <w:t>十、政府性基金预算财政拨款收入支出决算表</w:t>
      </w:r>
      <w:bookmarkEnd w:id="59"/>
    </w:p>
    <w:p w14:paraId="61F893CF">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25909"/>
      <w:r>
        <w:rPr>
          <w:rFonts w:hint="eastAsia" w:ascii="仿宋" w:hAnsi="Cambria" w:eastAsia="仿宋" w:cs="Times New Roman"/>
          <w:b w:val="0"/>
          <w:color w:val="000000"/>
          <w:kern w:val="2"/>
          <w:sz w:val="32"/>
          <w:szCs w:val="32"/>
          <w:lang w:bidi="ar-SA"/>
        </w:rPr>
        <w:t>十一、国有资本经营预算财政拨款收入支出决算表</w:t>
      </w:r>
      <w:bookmarkEnd w:id="60"/>
    </w:p>
    <w:p w14:paraId="034EA27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1" w:name="_Toc27357"/>
      <w:r>
        <w:rPr>
          <w:rFonts w:hint="eastAsia" w:ascii="仿宋" w:hAnsi="Cambria" w:eastAsia="仿宋" w:cs="Times New Roman"/>
          <w:b w:val="0"/>
          <w:color w:val="000000"/>
          <w:kern w:val="2"/>
          <w:sz w:val="32"/>
          <w:szCs w:val="32"/>
          <w:lang w:bidi="ar-SA"/>
        </w:rPr>
        <w:t>十二、国有资本经营预算财政拨款支出决算表</w:t>
      </w:r>
      <w:bookmarkEnd w:id="61"/>
    </w:p>
    <w:p w14:paraId="458C0D2A">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2" w:name="_Toc32413"/>
      <w:r>
        <w:rPr>
          <w:rFonts w:hint="eastAsia" w:ascii="仿宋" w:hAnsi="Cambria" w:eastAsia="仿宋" w:cs="Times New Roman"/>
          <w:b w:val="0"/>
          <w:color w:val="000000"/>
          <w:kern w:val="2"/>
          <w:sz w:val="32"/>
          <w:szCs w:val="32"/>
          <w:lang w:bidi="ar-SA"/>
        </w:rPr>
        <w:t>十三、财政拨款“三公”经费支出决算表</w:t>
      </w:r>
      <w:bookmarkEnd w:id="62"/>
    </w:p>
    <w:p w14:paraId="01159D39"/>
    <w:p w14:paraId="119D7FE2"/>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28EF">
    <w:pPr>
      <w:pStyle w:val="12"/>
      <w:jc w:val="center"/>
    </w:pPr>
    <w:r>
      <w:fldChar w:fldCharType="begin"/>
    </w:r>
    <w:r>
      <w:instrText xml:space="preserve">PAGE   \* MERGEFORMAT</w:instrText>
    </w:r>
    <w:r>
      <w:fldChar w:fldCharType="separate"/>
    </w:r>
    <w:r>
      <w:t>12</w:t>
    </w:r>
    <w:r>
      <w:fldChar w:fldCharType="end"/>
    </w:r>
  </w:p>
  <w:p w14:paraId="625486A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CC6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24B5D28C"/>
    <w:multiLevelType w:val="singleLevel"/>
    <w:tmpl w:val="24B5D28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2461"/>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4E85"/>
    <w:rsid w:val="001F7506"/>
    <w:rsid w:val="002006CD"/>
    <w:rsid w:val="00202B36"/>
    <w:rsid w:val="00204B7A"/>
    <w:rsid w:val="00204CDE"/>
    <w:rsid w:val="0021101A"/>
    <w:rsid w:val="00220536"/>
    <w:rsid w:val="00235629"/>
    <w:rsid w:val="00244D22"/>
    <w:rsid w:val="00256262"/>
    <w:rsid w:val="00260C38"/>
    <w:rsid w:val="002616C0"/>
    <w:rsid w:val="00265372"/>
    <w:rsid w:val="002662AA"/>
    <w:rsid w:val="0027224D"/>
    <w:rsid w:val="00280496"/>
    <w:rsid w:val="002924FD"/>
    <w:rsid w:val="00294DC9"/>
    <w:rsid w:val="00295495"/>
    <w:rsid w:val="002A31DE"/>
    <w:rsid w:val="002B2613"/>
    <w:rsid w:val="002B723E"/>
    <w:rsid w:val="002D6D05"/>
    <w:rsid w:val="002D762D"/>
    <w:rsid w:val="002F1818"/>
    <w:rsid w:val="002F567B"/>
    <w:rsid w:val="00306858"/>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1607"/>
    <w:rsid w:val="00406254"/>
    <w:rsid w:val="004223DE"/>
    <w:rsid w:val="0042273C"/>
    <w:rsid w:val="00423FD7"/>
    <w:rsid w:val="00434489"/>
    <w:rsid w:val="00437085"/>
    <w:rsid w:val="00443880"/>
    <w:rsid w:val="00445607"/>
    <w:rsid w:val="004464F4"/>
    <w:rsid w:val="00471401"/>
    <w:rsid w:val="00471E6C"/>
    <w:rsid w:val="00473F31"/>
    <w:rsid w:val="0048263A"/>
    <w:rsid w:val="00484C35"/>
    <w:rsid w:val="00487E5D"/>
    <w:rsid w:val="004A711F"/>
    <w:rsid w:val="004B199D"/>
    <w:rsid w:val="004B4690"/>
    <w:rsid w:val="004D02D1"/>
    <w:rsid w:val="004D04B9"/>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05328"/>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46C"/>
    <w:rsid w:val="008253BB"/>
    <w:rsid w:val="0083706E"/>
    <w:rsid w:val="008408F6"/>
    <w:rsid w:val="008423A5"/>
    <w:rsid w:val="00850625"/>
    <w:rsid w:val="0085066D"/>
    <w:rsid w:val="00853718"/>
    <w:rsid w:val="00855221"/>
    <w:rsid w:val="00860645"/>
    <w:rsid w:val="00871F71"/>
    <w:rsid w:val="00872FD8"/>
    <w:rsid w:val="00883836"/>
    <w:rsid w:val="00885AF4"/>
    <w:rsid w:val="0088763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ACF"/>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34EC"/>
    <w:rsid w:val="00B14E76"/>
    <w:rsid w:val="00B161B8"/>
    <w:rsid w:val="00B2048C"/>
    <w:rsid w:val="00B26A18"/>
    <w:rsid w:val="00B310B9"/>
    <w:rsid w:val="00B34006"/>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04C62"/>
    <w:rsid w:val="00C33E72"/>
    <w:rsid w:val="00C354B2"/>
    <w:rsid w:val="00C35554"/>
    <w:rsid w:val="00C42709"/>
    <w:rsid w:val="00C533CC"/>
    <w:rsid w:val="00C5751C"/>
    <w:rsid w:val="00C61BFC"/>
    <w:rsid w:val="00C61ECA"/>
    <w:rsid w:val="00C62B85"/>
    <w:rsid w:val="00C65438"/>
    <w:rsid w:val="00C87FD8"/>
    <w:rsid w:val="00C91381"/>
    <w:rsid w:val="00C91CBB"/>
    <w:rsid w:val="00C91D96"/>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2267"/>
    <w:rsid w:val="00E825DB"/>
    <w:rsid w:val="00E853CE"/>
    <w:rsid w:val="00E8567B"/>
    <w:rsid w:val="00E867B6"/>
    <w:rsid w:val="00EA010F"/>
    <w:rsid w:val="00EA68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2A4"/>
    <w:rsid w:val="00FC1AD8"/>
    <w:rsid w:val="00FC2607"/>
    <w:rsid w:val="00FD3CC1"/>
    <w:rsid w:val="00FE553C"/>
    <w:rsid w:val="00FF1E02"/>
    <w:rsid w:val="00FF30B4"/>
    <w:rsid w:val="013B4DBA"/>
    <w:rsid w:val="061B054F"/>
    <w:rsid w:val="09376339"/>
    <w:rsid w:val="0A2032A3"/>
    <w:rsid w:val="0A736F6D"/>
    <w:rsid w:val="10C055FF"/>
    <w:rsid w:val="118107EC"/>
    <w:rsid w:val="11FC5F65"/>
    <w:rsid w:val="1628756B"/>
    <w:rsid w:val="16BB723D"/>
    <w:rsid w:val="17C96E8C"/>
    <w:rsid w:val="189B292C"/>
    <w:rsid w:val="1BB47375"/>
    <w:rsid w:val="1D155CEE"/>
    <w:rsid w:val="1E90049B"/>
    <w:rsid w:val="21A77CC7"/>
    <w:rsid w:val="227839A9"/>
    <w:rsid w:val="240371BF"/>
    <w:rsid w:val="264552AC"/>
    <w:rsid w:val="26972D05"/>
    <w:rsid w:val="29CD4421"/>
    <w:rsid w:val="29FD04D3"/>
    <w:rsid w:val="2AE45A08"/>
    <w:rsid w:val="312B37AD"/>
    <w:rsid w:val="319F7F4E"/>
    <w:rsid w:val="32DF2AD1"/>
    <w:rsid w:val="3358176D"/>
    <w:rsid w:val="34202FEC"/>
    <w:rsid w:val="351A54EA"/>
    <w:rsid w:val="377601E8"/>
    <w:rsid w:val="39721065"/>
    <w:rsid w:val="399860D0"/>
    <w:rsid w:val="3F0D4532"/>
    <w:rsid w:val="42416A88"/>
    <w:rsid w:val="47883F28"/>
    <w:rsid w:val="48A15CA6"/>
    <w:rsid w:val="49802948"/>
    <w:rsid w:val="4A30697C"/>
    <w:rsid w:val="4CAD0A4B"/>
    <w:rsid w:val="4ECE2238"/>
    <w:rsid w:val="50C106B1"/>
    <w:rsid w:val="525717A0"/>
    <w:rsid w:val="53E755F7"/>
    <w:rsid w:val="560E52F8"/>
    <w:rsid w:val="5B092C41"/>
    <w:rsid w:val="5BDC543A"/>
    <w:rsid w:val="5D3F048D"/>
    <w:rsid w:val="6C4A05C8"/>
    <w:rsid w:val="6D4F02AD"/>
    <w:rsid w:val="6D6F26C8"/>
    <w:rsid w:val="701B1B3B"/>
    <w:rsid w:val="70D656D1"/>
    <w:rsid w:val="72734D90"/>
    <w:rsid w:val="74053257"/>
    <w:rsid w:val="7D9373AE"/>
    <w:rsid w:val="7F172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4"/>
    <w:qFormat/>
    <w:uiPriority w:val="99"/>
    <w:pPr>
      <w:spacing w:beforeLines="30"/>
    </w:pPr>
    <w:rPr>
      <w:rFonts w:ascii="仿宋_GB2312" w:eastAsia="仿宋_GB2312"/>
      <w:kern w:val="0"/>
      <w:sz w:val="24"/>
      <w:szCs w:val="20"/>
      <w:lang w:val="zh-CN"/>
    </w:rPr>
  </w:style>
  <w:style w:type="paragraph" w:styleId="7">
    <w:name w:val="Body Text Indent"/>
    <w:basedOn w:val="1"/>
    <w:qFormat/>
    <w:uiPriority w:val="0"/>
    <w:pPr>
      <w:tabs>
        <w:tab w:val="left" w:pos="960"/>
      </w:tabs>
      <w:spacing w:line="540" w:lineRule="exact"/>
      <w:ind w:firstLine="5440" w:firstLineChars="1700"/>
    </w:pPr>
    <w:rPr>
      <w:sz w:val="32"/>
      <w:szCs w:val="32"/>
    </w:rPr>
  </w:style>
  <w:style w:type="paragraph" w:styleId="8">
    <w:name w:val="toc 5"/>
    <w:basedOn w:val="1"/>
    <w:next w:val="1"/>
    <w:unhideWhenUsed/>
    <w:qFormat/>
    <w:uiPriority w:val="39"/>
    <w:pPr>
      <w:ind w:left="840"/>
      <w:jc w:val="left"/>
    </w:pPr>
    <w:rPr>
      <w:rFonts w:ascii="等线" w:eastAsia="等线"/>
      <w:sz w:val="18"/>
      <w:szCs w:val="18"/>
    </w:rPr>
  </w:style>
  <w:style w:type="paragraph" w:styleId="9">
    <w:name w:val="toc 3"/>
    <w:basedOn w:val="1"/>
    <w:next w:val="1"/>
    <w:unhideWhenUsed/>
    <w:qFormat/>
    <w:uiPriority w:val="39"/>
    <w:pPr>
      <w:ind w:left="420"/>
      <w:jc w:val="left"/>
    </w:pPr>
    <w:rPr>
      <w:rFonts w:ascii="等线" w:eastAsia="等线"/>
      <w:i/>
      <w:iCs/>
      <w:sz w:val="20"/>
      <w:szCs w:val="20"/>
    </w:rPr>
  </w:style>
  <w:style w:type="paragraph" w:styleId="10">
    <w:name w:val="toc 8"/>
    <w:basedOn w:val="1"/>
    <w:next w:val="1"/>
    <w:unhideWhenUsed/>
    <w:qFormat/>
    <w:uiPriority w:val="39"/>
    <w:pPr>
      <w:ind w:left="1470"/>
      <w:jc w:val="left"/>
    </w:pPr>
    <w:rPr>
      <w:rFonts w:ascii="等线" w:eastAsia="等线"/>
      <w:sz w:val="18"/>
      <w:szCs w:val="18"/>
    </w:rPr>
  </w:style>
  <w:style w:type="paragraph" w:styleId="11">
    <w:name w:val="Balloon Text"/>
    <w:basedOn w:val="1"/>
    <w:link w:val="37"/>
    <w:unhideWhenUsed/>
    <w:qFormat/>
    <w:uiPriority w:val="99"/>
    <w:rPr>
      <w:sz w:val="18"/>
      <w:szCs w:val="18"/>
    </w:rPr>
  </w:style>
  <w:style w:type="paragraph" w:styleId="12">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3">
    <w:name w:val="header"/>
    <w:basedOn w:val="1"/>
    <w:link w:val="4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unhideWhenUsed/>
    <w:qFormat/>
    <w:uiPriority w:val="39"/>
    <w:pPr>
      <w:spacing w:before="120" w:after="120"/>
      <w:jc w:val="left"/>
    </w:pPr>
    <w:rPr>
      <w:rFonts w:ascii="等线" w:eastAsia="等线"/>
      <w:b/>
      <w:bCs/>
      <w:caps/>
      <w:sz w:val="20"/>
      <w:szCs w:val="20"/>
    </w:rPr>
  </w:style>
  <w:style w:type="paragraph" w:styleId="15">
    <w:name w:val="toc 4"/>
    <w:basedOn w:val="1"/>
    <w:next w:val="1"/>
    <w:unhideWhenUsed/>
    <w:qFormat/>
    <w:uiPriority w:val="39"/>
    <w:pPr>
      <w:ind w:left="630"/>
      <w:jc w:val="left"/>
    </w:pPr>
    <w:rPr>
      <w:rFonts w:ascii="等线" w:eastAsia="等线"/>
      <w:sz w:val="18"/>
      <w:szCs w:val="18"/>
    </w:rPr>
  </w:style>
  <w:style w:type="paragraph" w:styleId="16">
    <w:name w:val="toc 6"/>
    <w:basedOn w:val="1"/>
    <w:next w:val="1"/>
    <w:unhideWhenUsed/>
    <w:qFormat/>
    <w:uiPriority w:val="39"/>
    <w:pPr>
      <w:ind w:left="1050"/>
      <w:jc w:val="left"/>
    </w:pPr>
    <w:rPr>
      <w:rFonts w:ascii="等线" w:eastAsia="等线"/>
      <w:sz w:val="18"/>
      <w:szCs w:val="18"/>
    </w:rPr>
  </w:style>
  <w:style w:type="paragraph" w:styleId="17">
    <w:name w:val="table of figures"/>
    <w:basedOn w:val="1"/>
    <w:next w:val="1"/>
    <w:qFormat/>
    <w:uiPriority w:val="99"/>
    <w:pPr>
      <w:ind w:left="200" w:leftChars="200" w:hanging="200" w:hangingChars="200"/>
    </w:pPr>
    <w:rPr>
      <w:rFonts w:ascii="Times New Roman" w:hAnsi="Times New Roman"/>
      <w:szCs w:val="24"/>
    </w:rPr>
  </w:style>
  <w:style w:type="paragraph" w:styleId="18">
    <w:name w:val="toc 2"/>
    <w:basedOn w:val="1"/>
    <w:next w:val="1"/>
    <w:unhideWhenUsed/>
    <w:qFormat/>
    <w:uiPriority w:val="39"/>
    <w:pPr>
      <w:ind w:left="210"/>
      <w:jc w:val="left"/>
    </w:pPr>
    <w:rPr>
      <w:rFonts w:ascii="等线" w:eastAsia="等线"/>
      <w:smallCaps/>
      <w:sz w:val="20"/>
      <w:szCs w:val="20"/>
    </w:rPr>
  </w:style>
  <w:style w:type="paragraph" w:styleId="19">
    <w:name w:val="toc 9"/>
    <w:basedOn w:val="1"/>
    <w:next w:val="1"/>
    <w:unhideWhenUsed/>
    <w:qFormat/>
    <w:uiPriority w:val="39"/>
    <w:pPr>
      <w:ind w:left="1680"/>
      <w:jc w:val="left"/>
    </w:pPr>
    <w:rPr>
      <w:rFonts w:ascii="等线" w:eastAsia="等线"/>
      <w:sz w:val="18"/>
      <w:szCs w:val="18"/>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qFormat/>
    <w:uiPriority w:val="0"/>
    <w:pPr>
      <w:spacing w:before="240" w:after="60"/>
      <w:jc w:val="center"/>
      <w:outlineLvl w:val="0"/>
    </w:pPr>
    <w:rPr>
      <w:rFonts w:ascii="Arial" w:hAnsi="Arial" w:cs="Arial"/>
      <w:b/>
      <w:bCs/>
      <w:sz w:val="32"/>
      <w:szCs w:val="32"/>
    </w:rPr>
  </w:style>
  <w:style w:type="paragraph" w:styleId="22">
    <w:name w:val="Body Text First Indent 2"/>
    <w:basedOn w:val="7"/>
    <w:qFormat/>
    <w:uiPriority w:val="0"/>
    <w:pPr>
      <w:ind w:firstLine="420" w:firstLineChars="200"/>
    </w:pPr>
  </w:style>
  <w:style w:type="character" w:styleId="25">
    <w:name w:val="Strong"/>
    <w:basedOn w:val="24"/>
    <w:qFormat/>
    <w:uiPriority w:val="99"/>
    <w:rPr>
      <w:rFonts w:cs="Times New Roman"/>
      <w:b/>
    </w:rPr>
  </w:style>
  <w:style w:type="character" w:styleId="26">
    <w:name w:val="page number"/>
    <w:basedOn w:val="24"/>
    <w:qFormat/>
    <w:uiPriority w:val="0"/>
  </w:style>
  <w:style w:type="character" w:styleId="27">
    <w:name w:val="Hyperlink"/>
    <w:basedOn w:val="24"/>
    <w:unhideWhenUsed/>
    <w:qFormat/>
    <w:uiPriority w:val="99"/>
    <w:rPr>
      <w:rFonts w:cs="Times New Roman"/>
      <w:color w:val="0000FF"/>
      <w:u w:val="single"/>
    </w:rPr>
  </w:style>
  <w:style w:type="paragraph" w:customStyle="1" w:styleId="28">
    <w:name w:val="列表段落1"/>
    <w:basedOn w:val="1"/>
    <w:qFormat/>
    <w:uiPriority w:val="34"/>
    <w:pPr>
      <w:ind w:firstLine="420" w:firstLineChars="200"/>
    </w:pPr>
  </w:style>
  <w:style w:type="paragraph" w:customStyle="1" w:styleId="29">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2">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3">
    <w:name w:val="标题 3 Char"/>
    <w:basedOn w:val="24"/>
    <w:link w:val="3"/>
    <w:qFormat/>
    <w:locked/>
    <w:uiPriority w:val="9"/>
    <w:rPr>
      <w:rFonts w:ascii="Times New Roman" w:hAnsi="Times New Roman" w:cs="Times New Roman"/>
      <w:b/>
      <w:bCs/>
      <w:kern w:val="2"/>
      <w:sz w:val="32"/>
      <w:szCs w:val="32"/>
    </w:rPr>
  </w:style>
  <w:style w:type="character" w:customStyle="1" w:styleId="34">
    <w:name w:val="正文文本 Char"/>
    <w:link w:val="6"/>
    <w:qFormat/>
    <w:locked/>
    <w:uiPriority w:val="99"/>
    <w:rPr>
      <w:rFonts w:ascii="仿宋_GB2312" w:hAnsi="Times New Roman" w:eastAsia="仿宋_GB2312"/>
      <w:sz w:val="24"/>
    </w:rPr>
  </w:style>
  <w:style w:type="character" w:customStyle="1" w:styleId="35">
    <w:name w:val="页脚 Char"/>
    <w:link w:val="12"/>
    <w:qFormat/>
    <w:locked/>
    <w:uiPriority w:val="99"/>
    <w:rPr>
      <w:sz w:val="18"/>
    </w:rPr>
  </w:style>
  <w:style w:type="character" w:customStyle="1" w:styleId="36">
    <w:name w:val="标题 1 Char"/>
    <w:basedOn w:val="24"/>
    <w:link w:val="2"/>
    <w:qFormat/>
    <w:locked/>
    <w:uiPriority w:val="9"/>
    <w:rPr>
      <w:rFonts w:ascii="Times New Roman" w:hAnsi="Times New Roman" w:cs="Times New Roman"/>
      <w:b/>
      <w:bCs/>
      <w:kern w:val="44"/>
      <w:sz w:val="44"/>
      <w:szCs w:val="44"/>
    </w:rPr>
  </w:style>
  <w:style w:type="character" w:customStyle="1" w:styleId="37">
    <w:name w:val="批注框文本 Char"/>
    <w:basedOn w:val="24"/>
    <w:link w:val="11"/>
    <w:semiHidden/>
    <w:qFormat/>
    <w:locked/>
    <w:uiPriority w:val="99"/>
    <w:rPr>
      <w:rFonts w:ascii="Times New Roman" w:hAnsi="Times New Roman" w:cs="Times New Roman"/>
      <w:kern w:val="2"/>
      <w:sz w:val="18"/>
      <w:szCs w:val="18"/>
    </w:rPr>
  </w:style>
  <w:style w:type="character" w:customStyle="1" w:styleId="38">
    <w:name w:val="Footer Char"/>
    <w:basedOn w:val="24"/>
    <w:semiHidden/>
    <w:qFormat/>
    <w:uiPriority w:val="99"/>
    <w:rPr>
      <w:rFonts w:ascii="Times New Roman" w:hAnsi="Times New Roman" w:cs="Times New Roman"/>
      <w:sz w:val="18"/>
      <w:szCs w:val="18"/>
    </w:rPr>
  </w:style>
  <w:style w:type="character" w:customStyle="1" w:styleId="39">
    <w:name w:val="Body Text Char"/>
    <w:basedOn w:val="24"/>
    <w:semiHidden/>
    <w:qFormat/>
    <w:uiPriority w:val="99"/>
    <w:rPr>
      <w:rFonts w:ascii="Times New Roman" w:hAnsi="Times New Roman" w:cs="Times New Roman"/>
      <w:sz w:val="24"/>
      <w:szCs w:val="24"/>
    </w:rPr>
  </w:style>
  <w:style w:type="character" w:customStyle="1" w:styleId="40">
    <w:name w:val="标题 2 Char"/>
    <w:basedOn w:val="24"/>
    <w:link w:val="4"/>
    <w:qFormat/>
    <w:locked/>
    <w:uiPriority w:val="9"/>
    <w:rPr>
      <w:rFonts w:ascii="Cambria" w:hAnsi="Cambria" w:eastAsia="宋体" w:cs="Times New Roman"/>
      <w:b/>
      <w:bCs/>
      <w:kern w:val="2"/>
      <w:sz w:val="32"/>
      <w:szCs w:val="32"/>
    </w:rPr>
  </w:style>
  <w:style w:type="character" w:customStyle="1" w:styleId="41">
    <w:name w:val="Header Char"/>
    <w:basedOn w:val="24"/>
    <w:semiHidden/>
    <w:qFormat/>
    <w:uiPriority w:val="99"/>
    <w:rPr>
      <w:rFonts w:ascii="Times New Roman" w:hAnsi="Times New Roman" w:cs="Times New Roman"/>
      <w:sz w:val="18"/>
      <w:szCs w:val="18"/>
    </w:rPr>
  </w:style>
  <w:style w:type="character" w:customStyle="1" w:styleId="42">
    <w:name w:val="页眉 Char"/>
    <w:link w:val="13"/>
    <w:semiHidden/>
    <w:qFormat/>
    <w:locked/>
    <w:uiPriority w:val="99"/>
    <w:rPr>
      <w:sz w:val="18"/>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232.02</c:v>
                </c:pt>
                <c:pt idx="1">
                  <c:v>231.58</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Sheet1!$C$2:$C$3</c:f>
              <c:numCache>
                <c:formatCode>General</c:formatCode>
                <c:ptCount val="2"/>
                <c:pt idx="0">
                  <c:v>232.02</c:v>
                </c:pt>
                <c:pt idx="1">
                  <c:v>231.58</c:v>
                </c:pt>
              </c:numCache>
            </c:numRef>
          </c:val>
        </c:ser>
        <c:ser>
          <c:idx val="2"/>
          <c:order val="2"/>
          <c:tx>
            <c:strRef>
              <c:f>Sheet1!$D$1</c:f>
              <c:strCache>
                <c:ptCount val="1"/>
                <c:pt idx="0">
                  <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Sheet1!$D$2:$D$3</c:f>
              <c:numCache>
                <c:formatCode>General</c:formatCode>
                <c:ptCount val="2"/>
              </c:numCache>
            </c:numRef>
          </c:val>
        </c:ser>
        <c:dLbls>
          <c:showLegendKey val="0"/>
          <c:showVal val="1"/>
          <c:showCatName val="0"/>
          <c:showSerName val="0"/>
          <c:showPercent val="0"/>
          <c:showBubbleSize val="0"/>
        </c:dLbls>
        <c:gapWidth val="75"/>
        <c:axId val="136941952"/>
        <c:axId val="136943488"/>
      </c:barChart>
      <c:catAx>
        <c:axId val="1369419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943488"/>
        <c:crosses val="autoZero"/>
        <c:auto val="1"/>
        <c:lblAlgn val="ctr"/>
        <c:lblOffset val="100"/>
        <c:noMultiLvlLbl val="0"/>
      </c:catAx>
      <c:valAx>
        <c:axId val="136943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9419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2022年本年收入</c:v>
                </c:pt>
              </c:strCache>
            </c:strRef>
          </c:tx>
          <c:explosion val="0"/>
          <c:dPt>
            <c:idx val="0"/>
            <c:bubble3D val="0"/>
          </c:dPt>
          <c:dLbls>
            <c:dLbl>
              <c:idx val="0"/>
              <c:layout>
                <c:manualLayout>
                  <c:x val="-0.00507981933738785"/>
                  <c:y val="-0.3106813587050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231.58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231.31</c:v>
                </c:pt>
                <c:pt idx="1">
                  <c:v>0.27</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232.02</c:v>
                </c:pt>
                <c:pt idx="1">
                  <c:v>231.58</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Sheet1!$C$2:$C$3</c:f>
              <c:numCache>
                <c:formatCode>General</c:formatCode>
                <c:ptCount val="2"/>
                <c:pt idx="0">
                  <c:v>232.02</c:v>
                </c:pt>
                <c:pt idx="1">
                  <c:v>231.58</c:v>
                </c:pt>
              </c:numCache>
            </c:numRef>
          </c:val>
        </c:ser>
        <c:dLbls>
          <c:showLegendKey val="0"/>
          <c:showVal val="1"/>
          <c:showCatName val="0"/>
          <c:showSerName val="0"/>
          <c:showPercent val="0"/>
          <c:showBubbleSize val="0"/>
        </c:dLbls>
        <c:gapWidth val="75"/>
        <c:axId val="67337600"/>
        <c:axId val="67343488"/>
      </c:barChart>
      <c:catAx>
        <c:axId val="67337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43488"/>
        <c:crosses val="autoZero"/>
        <c:auto val="1"/>
        <c:lblAlgn val="ctr"/>
        <c:lblOffset val="100"/>
        <c:noMultiLvlLbl val="0"/>
      </c:catAx>
      <c:valAx>
        <c:axId val="67343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3760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232.02</c:v>
                </c:pt>
                <c:pt idx="1">
                  <c:v>231.58</c:v>
                </c:pt>
              </c:numCache>
            </c:numRef>
          </c:val>
        </c:ser>
        <c:dLbls>
          <c:showLegendKey val="0"/>
          <c:showVal val="1"/>
          <c:showCatName val="0"/>
          <c:showSerName val="0"/>
          <c:showPercent val="0"/>
          <c:showBubbleSize val="0"/>
        </c:dLbls>
        <c:gapWidth val="75"/>
        <c:axId val="137389184"/>
        <c:axId val="137390720"/>
      </c:barChart>
      <c:catAx>
        <c:axId val="1373891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390720"/>
        <c:crosses val="autoZero"/>
        <c:auto val="1"/>
        <c:lblAlgn val="ctr"/>
        <c:lblOffset val="100"/>
        <c:noMultiLvlLbl val="0"/>
      </c:catAx>
      <c:valAx>
        <c:axId val="13739072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3891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174.18</c:v>
                </c:pt>
                <c:pt idx="1">
                  <c:v>28.4</c:v>
                </c:pt>
                <c:pt idx="2">
                  <c:v>12.1</c:v>
                </c:pt>
                <c:pt idx="3">
                  <c:v>16.64</c:v>
                </c:pt>
                <c:pt idx="4">
                  <c:v>0.27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1">
                  <c:v>2.82</c:v>
                </c:pt>
                <c:pt idx="2">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4C17-8599-4DF6-A8E4-EA489714059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8986</Words>
  <Characters>9566</Characters>
  <Lines>12</Lines>
  <Paragraphs>18</Paragraphs>
  <TotalTime>4</TotalTime>
  <ScaleCrop>false</ScaleCrop>
  <LinksUpToDate>false</LinksUpToDate>
  <CharactersWithSpaces>9648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2022-09-14T08:18:00Z</dcterms:created>
  <dc:creator>曹颖</dc:creator>
  <cp:lastModifiedBy>Administrator</cp:lastModifiedBy>
  <cp:lastPrinted>2023-09-13T08:47:00Z</cp:lastPrinted>
  <dcterms:modified xsi:type="dcterms:W3CDTF">2024-08-13T09:24:26Z</dcterms:modified>
  <dc:title>阿坝州部门决算说明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117C366B5C22448EBF690E52B1FAA4AB_13</vt:lpwstr>
  </property>
</Properties>
</file>