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72"/>
          <w:szCs w:val="72"/>
        </w:rPr>
      </w:pPr>
      <w:bookmarkStart w:id="80" w:name="_GoBack"/>
      <w:bookmarkEnd w:id="80"/>
      <w:bookmarkStart w:id="0" w:name="_Toc15378441"/>
      <w:bookmarkStart w:id="1" w:name="_Toc15377193"/>
      <w:bookmarkStart w:id="2" w:name="_Toc15396475"/>
      <w:bookmarkStart w:id="3" w:name="_Toc15396597"/>
      <w:bookmarkStart w:id="4" w:name="_Toc15377425"/>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79163601"/>
      <w:bookmarkStart w:id="6" w:name="_Toc15396599"/>
      <w:bookmarkStart w:id="7" w:name="_Toc15377196"/>
      <w:bookmarkStart w:id="8" w:name="_Toc79163851"/>
      <w:r>
        <w:rPr>
          <w:rFonts w:hint="eastAsia" w:ascii="方正小标宋简体" w:hAnsi="方正小标宋简体" w:eastAsia="方正小标宋简体" w:cs="方正小标宋简体"/>
          <w:sz w:val="48"/>
          <w:szCs w:val="48"/>
        </w:rPr>
        <w:t>2022年度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rPr>
        <w:t>部门决算</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pStyle w:val="20"/>
        <w:keepNext w:val="0"/>
        <w:keepLines w:val="0"/>
        <w:pageBreakBefore w:val="0"/>
        <w:widowControl/>
        <w:suppressLineNumbers w:val="0"/>
        <w:kinsoku/>
        <w:wordWrap/>
        <w:overflowPunct/>
        <w:topLinePunct w:val="0"/>
        <w:bidi w:val="0"/>
        <w:spacing w:line="576" w:lineRule="exact"/>
        <w:textAlignment w:val="auto"/>
      </w:pPr>
      <w:r>
        <w:t> </w:t>
      </w:r>
    </w:p>
    <w:p>
      <w:pPr>
        <w:pStyle w:val="20"/>
        <w:keepNext w:val="0"/>
        <w:keepLines w:val="0"/>
        <w:pageBreakBefore w:val="0"/>
        <w:widowControl/>
        <w:suppressLineNumbers w:val="0"/>
        <w:kinsoku/>
        <w:wordWrap/>
        <w:overflowPunct/>
        <w:topLinePunct w:val="0"/>
        <w:bidi w:val="0"/>
        <w:spacing w:line="576" w:lineRule="exact"/>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Style w:val="20"/>
        <w:keepNext w:val="0"/>
        <w:keepLines w:val="0"/>
        <w:pageBreakBefore w:val="0"/>
        <w:widowControl/>
        <w:suppressLineNumbers w:val="0"/>
        <w:kinsoku/>
        <w:wordWrap/>
        <w:overflowPunct/>
        <w:topLinePunct w:val="0"/>
        <w:bidi w:val="0"/>
        <w:spacing w:line="576" w:lineRule="exact"/>
        <w:textAlignment w:val="auto"/>
      </w:pPr>
      <w:r>
        <w:t> </w:t>
      </w:r>
    </w:p>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pPr>
        <w:pStyle w:val="14"/>
        <w:pageBreakBefore w:val="0"/>
        <w:kinsoku/>
        <w:wordWrap/>
        <w:overflowPunct/>
        <w:topLinePunct w:val="0"/>
        <w:bidi w:val="0"/>
        <w:spacing w:line="576" w:lineRule="exact"/>
        <w:jc w:val="center"/>
        <w:textAlignment w:val="auto"/>
      </w:pPr>
      <w:r>
        <w:rPr>
          <w:rFonts w:hint="eastAsia"/>
          <w:b w:val="0"/>
          <w:bCs w:val="0"/>
          <w:sz w:val="24"/>
          <w:szCs w:val="24"/>
        </w:rPr>
        <w:t>公开时间：202</w:t>
      </w:r>
      <w:r>
        <w:rPr>
          <w:b w:val="0"/>
          <w:bCs w:val="0"/>
          <w:sz w:val="24"/>
          <w:szCs w:val="24"/>
        </w:rPr>
        <w:t>3</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 xml:space="preserve"> 月</w:t>
      </w:r>
      <w:r>
        <w:rPr>
          <w:rFonts w:hint="eastAsia"/>
          <w:b w:val="0"/>
          <w:bCs w:val="0"/>
          <w:sz w:val="24"/>
          <w:szCs w:val="24"/>
          <w:lang w:val="en-US" w:eastAsia="zh-CN"/>
        </w:rPr>
        <w:t>7</w:t>
      </w:r>
      <w:r>
        <w:rPr>
          <w:rFonts w:hint="eastAsia"/>
          <w:b w:val="0"/>
          <w:bCs w:val="0"/>
          <w:sz w:val="24"/>
          <w:szCs w:val="24"/>
        </w:rPr>
        <w:t xml:space="preserve"> 日</w:t>
      </w:r>
    </w:p>
    <w:p>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一、主要职责</w:t>
      </w:r>
      <w:r>
        <w:tab/>
      </w:r>
      <w:r>
        <w:rPr>
          <w:rFonts w:hint="eastAsia"/>
          <w:lang w:val="en-US" w:eastAsia="zh-CN"/>
        </w:rPr>
        <w:t>4</w:t>
      </w:r>
      <w:r>
        <w:fldChar w:fldCharType="end"/>
      </w:r>
    </w:p>
    <w:p>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_Toc30733 </w:instrText>
      </w:r>
      <w:r>
        <w:fldChar w:fldCharType="separate"/>
      </w:r>
      <w:r>
        <w:rPr>
          <w:rFonts w:hint="eastAsia" w:ascii="仿宋" w:hAnsi="Times New Roman" w:eastAsia="仿宋" w:cs="Times New Roman"/>
          <w:bCs/>
          <w:szCs w:val="32"/>
        </w:rPr>
        <w:t>（一）主要职能</w:t>
      </w:r>
      <w:r>
        <w:tab/>
      </w:r>
      <w:r>
        <w:rPr>
          <w:rFonts w:hint="eastAsia"/>
          <w:lang w:val="en-US" w:eastAsia="zh-CN"/>
        </w:rPr>
        <w:t>4</w:t>
      </w:r>
      <w:r>
        <w:fldChar w:fldCharType="end"/>
      </w:r>
    </w:p>
    <w:p>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_Toc2091 </w:instrText>
      </w:r>
      <w:r>
        <w:fldChar w:fldCharType="separate"/>
      </w:r>
      <w:r>
        <w:rPr>
          <w:rFonts w:hint="eastAsia" w:ascii="仿宋" w:hAnsi="Times New Roman" w:eastAsia="仿宋" w:cs="Times New Roman"/>
          <w:bCs/>
          <w:szCs w:val="32"/>
        </w:rPr>
        <w:t>（二）2022年重点工作完成情况</w:t>
      </w:r>
      <w:r>
        <w:tab/>
      </w:r>
      <w:r>
        <w:rPr>
          <w:rFonts w:hint="eastAsia"/>
          <w:lang w:val="en-US" w:eastAsia="zh-CN"/>
        </w:rPr>
        <w:t>5</w:t>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7</w:t>
      </w:r>
      <w:r>
        <w:fldChar w:fldCharType="end"/>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2022年度单位决算情况说明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9</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9</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rPr>
          <w:rFonts w:hint="eastAsia"/>
          <w:lang w:val="en-US" w:eastAsia="zh-CN"/>
        </w:rPr>
        <w:t>1</w:t>
      </w:r>
      <w:r>
        <w:fldChar w:fldCharType="end"/>
      </w:r>
      <w:r>
        <w:rPr>
          <w:rFonts w:hint="eastAsia"/>
          <w:lang w:val="en-US" w:eastAsia="zh-CN"/>
        </w:rPr>
        <w:t>0</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_Toc3691 </w:instrText>
      </w:r>
      <w:r>
        <w:fldChar w:fldCharType="separate"/>
      </w:r>
      <w:r>
        <w:rPr>
          <w:rFonts w:hint="eastAsia" w:ascii="仿宋" w:hAnsi="Times New Roman" w:eastAsia="仿宋" w:cs="Times New Roman"/>
          <w:szCs w:val="32"/>
        </w:rPr>
        <w:t>（一）一般公共预算财政拨款支出决算总体情况</w:t>
      </w:r>
      <w:r>
        <w:tab/>
      </w:r>
      <w:r>
        <w:rPr>
          <w:rFonts w:hint="eastAsia"/>
          <w:lang w:val="en-US" w:eastAsia="zh-CN"/>
        </w:rPr>
        <w:t>1</w:t>
      </w:r>
      <w:r>
        <w:fldChar w:fldCharType="end"/>
      </w:r>
      <w:r>
        <w:rPr>
          <w:rFonts w:hint="eastAsia"/>
          <w:lang w:val="en-US" w:eastAsia="zh-CN"/>
        </w:rPr>
        <w:t>0</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_Toc26183 </w:instrText>
      </w:r>
      <w:r>
        <w:fldChar w:fldCharType="separate"/>
      </w:r>
      <w:r>
        <w:rPr>
          <w:rFonts w:hint="eastAsia" w:ascii="仿宋" w:hAnsi="Times New Roman" w:eastAsia="仿宋" w:cs="Times New Roman"/>
          <w:szCs w:val="32"/>
        </w:rPr>
        <w:t>（二）一般公共预算财政拨款支出决算结构情况</w:t>
      </w:r>
      <w:r>
        <w:tab/>
      </w:r>
      <w:r>
        <w:rPr>
          <w:rFonts w:hint="eastAsia"/>
          <w:lang w:val="en-US" w:eastAsia="zh-CN"/>
        </w:rPr>
        <w:t>1</w:t>
      </w:r>
      <w:r>
        <w:fldChar w:fldCharType="end"/>
      </w:r>
      <w:r>
        <w:rPr>
          <w:rFonts w:hint="eastAsia"/>
          <w:lang w:val="en-US" w:eastAsia="zh-CN"/>
        </w:rPr>
        <w:t>1</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_Toc29675 </w:instrText>
      </w:r>
      <w:r>
        <w:fldChar w:fldCharType="separate"/>
      </w:r>
      <w:r>
        <w:rPr>
          <w:rFonts w:hint="eastAsia" w:ascii="仿宋" w:hAnsi="Times New Roman" w:eastAsia="仿宋" w:cs="Times New Roman"/>
          <w:szCs w:val="32"/>
        </w:rPr>
        <w:t>（三）一般公共预算财政拨款支出决算具体情况</w:t>
      </w:r>
      <w:r>
        <w:tab/>
      </w:r>
      <w:r>
        <w:rPr>
          <w:rFonts w:hint="eastAsia"/>
          <w:lang w:val="en-US" w:eastAsia="zh-CN"/>
        </w:rPr>
        <w:t>1</w:t>
      </w:r>
      <w:r>
        <w:fldChar w:fldCharType="end"/>
      </w:r>
      <w:r>
        <w:rPr>
          <w:rFonts w:hint="eastAsia"/>
          <w:lang w:val="en-US" w:eastAsia="zh-CN"/>
        </w:rPr>
        <w:t>1</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rPr>
          <w:rFonts w:hint="eastAsia"/>
          <w:lang w:val="en-US" w:eastAsia="zh-CN"/>
        </w:rPr>
        <w:t>1</w:t>
      </w:r>
      <w:r>
        <w:fldChar w:fldCharType="end"/>
      </w:r>
      <w:r>
        <w:rPr>
          <w:rFonts w:hint="eastAsia"/>
          <w:lang w:val="en-US" w:eastAsia="zh-CN"/>
        </w:rPr>
        <w:t>2</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七、“三公”经费财政拨款支出决算情况说明</w:t>
      </w:r>
      <w:r>
        <w:tab/>
      </w:r>
      <w:r>
        <w:rPr>
          <w:rFonts w:hint="eastAsia"/>
          <w:lang w:val="en-US" w:eastAsia="zh-CN"/>
        </w:rPr>
        <w:t>1</w:t>
      </w:r>
      <w:r>
        <w:fldChar w:fldCharType="end"/>
      </w:r>
      <w:r>
        <w:rPr>
          <w:rFonts w:hint="eastAsia"/>
          <w:lang w:val="en-US" w:eastAsia="zh-CN"/>
        </w:rPr>
        <w:t>2</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_Toc22479 </w:instrText>
      </w:r>
      <w:r>
        <w:fldChar w:fldCharType="separate"/>
      </w:r>
      <w:r>
        <w:rPr>
          <w:rFonts w:hint="eastAsia" w:ascii="仿宋" w:hAnsi="Times New Roman" w:eastAsia="仿宋" w:cs="Times New Roman"/>
          <w:szCs w:val="32"/>
        </w:rPr>
        <w:t>（一）“三公”经费财政拨款支出决算总体情况说明</w:t>
      </w:r>
      <w:r>
        <w:tab/>
      </w:r>
      <w:r>
        <w:rPr>
          <w:rFonts w:hint="eastAsia"/>
          <w:lang w:val="en-US" w:eastAsia="zh-CN"/>
        </w:rPr>
        <w:t>1</w:t>
      </w:r>
      <w:r>
        <w:fldChar w:fldCharType="end"/>
      </w:r>
      <w:r>
        <w:rPr>
          <w:rFonts w:hint="eastAsia"/>
          <w:lang w:val="en-US" w:eastAsia="zh-CN"/>
        </w:rPr>
        <w:t>2</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_Toc30765 </w:instrText>
      </w:r>
      <w:r>
        <w:fldChar w:fldCharType="separate"/>
      </w:r>
      <w:r>
        <w:rPr>
          <w:rFonts w:hint="eastAsia" w:ascii="仿宋" w:hAnsi="Times New Roman" w:eastAsia="仿宋" w:cs="Times New Roman"/>
          <w:szCs w:val="32"/>
        </w:rPr>
        <w:t>（二）“三公”经费财政拨款支出决算具体情况说明</w:t>
      </w:r>
      <w:r>
        <w:tab/>
      </w:r>
      <w:r>
        <w:rPr>
          <w:rFonts w:hint="eastAsia"/>
          <w:lang w:val="en-US" w:eastAsia="zh-CN"/>
        </w:rPr>
        <w:t>1</w:t>
      </w:r>
      <w:r>
        <w:fldChar w:fldCharType="end"/>
      </w:r>
      <w:r>
        <w:rPr>
          <w:rFonts w:hint="eastAsia"/>
          <w:lang w:val="en-US" w:eastAsia="zh-CN"/>
        </w:rPr>
        <w:t>3</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4</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4</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4</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_Toc12341 </w:instrText>
      </w:r>
      <w:r>
        <w:fldChar w:fldCharType="separate"/>
      </w:r>
      <w:r>
        <w:rPr>
          <w:rFonts w:hint="eastAsia" w:ascii="仿宋" w:hAnsi="Times New Roman" w:eastAsia="仿宋" w:cs="Times New Roman"/>
          <w:szCs w:val="32"/>
        </w:rPr>
        <w:t>（一）机关运行经费支出情况</w:t>
      </w:r>
      <w:r>
        <w:tab/>
      </w:r>
      <w:r>
        <w:rPr>
          <w:rFonts w:hint="eastAsia"/>
          <w:lang w:val="en-US" w:eastAsia="zh-CN"/>
        </w:rPr>
        <w:t>1</w:t>
      </w:r>
      <w:r>
        <w:fldChar w:fldCharType="end"/>
      </w:r>
      <w:r>
        <w:rPr>
          <w:rFonts w:hint="eastAsia"/>
          <w:lang w:val="en-US" w:eastAsia="zh-CN"/>
        </w:rPr>
        <w:t>4</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_Toc9297 </w:instrText>
      </w:r>
      <w:r>
        <w:fldChar w:fldCharType="separate"/>
      </w:r>
      <w:r>
        <w:rPr>
          <w:rFonts w:hint="eastAsia" w:ascii="仿宋" w:hAnsi="Times New Roman" w:eastAsia="仿宋" w:cs="Times New Roman"/>
          <w:szCs w:val="32"/>
        </w:rPr>
        <w:t>（二）政府采购支出情况</w:t>
      </w:r>
      <w:r>
        <w:tab/>
      </w:r>
      <w:r>
        <w:rPr>
          <w:rFonts w:hint="eastAsia"/>
          <w:lang w:val="en-US" w:eastAsia="zh-CN"/>
        </w:rPr>
        <w:t>1</w:t>
      </w:r>
      <w:r>
        <w:fldChar w:fldCharType="end"/>
      </w:r>
      <w:r>
        <w:rPr>
          <w:rFonts w:hint="eastAsia"/>
          <w:lang w:val="en-US" w:eastAsia="zh-CN"/>
        </w:rPr>
        <w:t>4</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_Toc20536 </w:instrText>
      </w:r>
      <w:r>
        <w:fldChar w:fldCharType="separate"/>
      </w:r>
      <w:r>
        <w:rPr>
          <w:rFonts w:hint="eastAsia" w:ascii="仿宋" w:hAnsi="Times New Roman" w:eastAsia="仿宋" w:cs="Times New Roman"/>
          <w:szCs w:val="32"/>
        </w:rPr>
        <w:t>（三）国有资产占有使用情况</w:t>
      </w:r>
      <w:r>
        <w:tab/>
      </w:r>
      <w:r>
        <w:rPr>
          <w:rFonts w:hint="eastAsia"/>
          <w:lang w:val="en-US" w:eastAsia="zh-CN"/>
        </w:rPr>
        <w:t>1</w:t>
      </w:r>
      <w:r>
        <w:fldChar w:fldCharType="end"/>
      </w:r>
      <w:r>
        <w:rPr>
          <w:rFonts w:hint="eastAsia"/>
          <w:lang w:val="en-US" w:eastAsia="zh-CN"/>
        </w:rPr>
        <w:t>4</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_Toc27201 </w:instrText>
      </w:r>
      <w:r>
        <w:fldChar w:fldCharType="separate"/>
      </w:r>
      <w:r>
        <w:rPr>
          <w:rFonts w:hint="eastAsia" w:ascii="仿宋" w:hAnsi="Times New Roman" w:eastAsia="仿宋" w:cs="Times New Roman"/>
          <w:szCs w:val="32"/>
        </w:rPr>
        <w:t>（四）预算绩效管理情况</w:t>
      </w:r>
      <w:r>
        <w:tab/>
      </w:r>
      <w:r>
        <w:rPr>
          <w:rFonts w:hint="eastAsia"/>
          <w:lang w:val="en-US" w:eastAsia="zh-CN"/>
        </w:rPr>
        <w:t>1</w:t>
      </w:r>
      <w:r>
        <w:fldChar w:fldCharType="end"/>
      </w:r>
      <w:r>
        <w:rPr>
          <w:rFonts w:hint="eastAsia"/>
          <w:lang w:val="en-US" w:eastAsia="zh-CN"/>
        </w:rPr>
        <w:t>4</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5</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8</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_Toc983 </w:instrText>
      </w:r>
      <w:r>
        <w:fldChar w:fldCharType="separate"/>
      </w:r>
      <w:r>
        <w:rPr>
          <w:rFonts w:ascii="方正小标宋简体" w:hAnsi="Times New Roman" w:eastAsia="方正小标宋简体" w:cs="黑体"/>
          <w:szCs w:val="44"/>
        </w:rPr>
        <w:t>部门预算项目支出绩效自评表（2022年度）</w:t>
      </w:r>
      <w:r>
        <w:tab/>
      </w:r>
      <w:r>
        <w:rPr>
          <w:rFonts w:hint="eastAsia"/>
          <w:lang w:val="en-US" w:eastAsia="zh-CN"/>
        </w:rPr>
        <w:t>1</w:t>
      </w:r>
      <w:r>
        <w:fldChar w:fldCharType="end"/>
      </w:r>
      <w:r>
        <w:rPr>
          <w:rFonts w:hint="eastAsia"/>
          <w:lang w:val="en-US" w:eastAsia="zh-CN"/>
        </w:rPr>
        <w:t>8</w:t>
      </w:r>
    </w:p>
    <w:p>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_Toc9504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tab/>
      </w:r>
      <w:r>
        <w:fldChar w:fldCharType="begin"/>
      </w:r>
      <w:r>
        <w:instrText xml:space="preserve"> PAGEREF _Toc26370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tab/>
      </w:r>
      <w:r>
        <w:fldChar w:fldCharType="begin"/>
      </w:r>
      <w:r>
        <w:instrText xml:space="preserve"> PAGEREF _Toc13591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tab/>
      </w:r>
      <w:r>
        <w:fldChar w:fldCharType="begin"/>
      </w:r>
      <w:r>
        <w:instrText xml:space="preserve"> PAGEREF _Toc16600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tab/>
      </w:r>
      <w:r>
        <w:fldChar w:fldCharType="begin"/>
      </w:r>
      <w:r>
        <w:instrText xml:space="preserve"> PAGEREF _Toc26630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tab/>
      </w:r>
      <w:r>
        <w:fldChar w:fldCharType="begin"/>
      </w:r>
      <w:r>
        <w:instrText xml:space="preserve"> PAGEREF _Toc19934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tab/>
      </w:r>
      <w:r>
        <w:fldChar w:fldCharType="begin"/>
      </w:r>
      <w:r>
        <w:instrText xml:space="preserve"> PAGEREF _Toc6686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tab/>
      </w:r>
      <w:r>
        <w:fldChar w:fldCharType="begin"/>
      </w:r>
      <w:r>
        <w:instrText xml:space="preserve"> PAGEREF _Toc19514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tab/>
      </w:r>
      <w:r>
        <w:fldChar w:fldCharType="begin"/>
      </w:r>
      <w:r>
        <w:instrText xml:space="preserve"> PAGEREF _Toc191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tab/>
      </w:r>
      <w:r>
        <w:fldChar w:fldCharType="begin"/>
      </w:r>
      <w:r>
        <w:instrText xml:space="preserve"> PAGEREF _Toc5204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tab/>
      </w:r>
      <w:r>
        <w:fldChar w:fldCharType="begin"/>
      </w:r>
      <w:r>
        <w:instrText xml:space="preserve"> PAGEREF _Toc20756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tab/>
      </w:r>
      <w:r>
        <w:fldChar w:fldCharType="begin"/>
      </w:r>
      <w:r>
        <w:instrText xml:space="preserve"> PAGEREF _Toc21387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tab/>
      </w:r>
      <w:r>
        <w:fldChar w:fldCharType="begin"/>
      </w:r>
      <w:r>
        <w:instrText xml:space="preserve"> PAGEREF _Toc1140 \h </w:instrText>
      </w:r>
      <w:r>
        <w:fldChar w:fldCharType="separate"/>
      </w:r>
      <w:r>
        <w:t>20</w:t>
      </w:r>
      <w:r>
        <w:fldChar w:fldCharType="end"/>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tab/>
      </w:r>
      <w:r>
        <w:fldChar w:fldCharType="begin"/>
      </w:r>
      <w:r>
        <w:instrText xml:space="preserve"> PAGEREF _Toc24957 \h </w:instrText>
      </w:r>
      <w:r>
        <w:fldChar w:fldCharType="separate"/>
      </w:r>
      <w:r>
        <w:t>20</w:t>
      </w:r>
      <w:r>
        <w:fldChar w:fldCharType="end"/>
      </w:r>
      <w:r>
        <w:fldChar w:fldCharType="end"/>
      </w:r>
    </w:p>
    <w:p>
      <w:pPr>
        <w:pageBreakBefore w:val="0"/>
        <w:kinsoku/>
        <w:wordWrap/>
        <w:overflowPunct/>
        <w:topLinePunct w:val="0"/>
        <w:bidi w:val="0"/>
        <w:spacing w:line="576" w:lineRule="exact"/>
        <w:textAlignment w:val="auto"/>
      </w:pPr>
      <w:r>
        <w:fldChar w:fldCharType="end"/>
      </w:r>
    </w:p>
    <w:p>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5"/>
      <w:bookmarkEnd w:id="6"/>
      <w:bookmarkEnd w:id="7"/>
      <w:bookmarkEnd w:id="8"/>
    </w:p>
    <w:p>
      <w:pPr>
        <w:widowControl/>
        <w:jc w:val="left"/>
        <w:rPr>
          <w:rFonts w:ascii="黑体" w:eastAsia="黑体"/>
          <w:color w:val="000000"/>
          <w:sz w:val="32"/>
          <w:szCs w:val="32"/>
        </w:rPr>
      </w:pPr>
    </w:p>
    <w:p>
      <w:pPr>
        <w:spacing w:line="576" w:lineRule="exact"/>
        <w:ind w:firstLine="640" w:firstLineChars="200"/>
        <w:rPr>
          <w:rFonts w:hint="eastAsia" w:ascii="黑体" w:hAnsi="黑体" w:eastAsia="黑体"/>
          <w:sz w:val="32"/>
          <w:szCs w:val="32"/>
          <w:lang w:eastAsia="zh-CN"/>
        </w:rPr>
      </w:pPr>
      <w:bookmarkStart w:id="9" w:name="_Toc15377198"/>
      <w:bookmarkStart w:id="10" w:name="_Toc15378445"/>
      <w:r>
        <w:rPr>
          <w:rFonts w:hint="eastAsia" w:ascii="黑体" w:hAnsi="黑体" w:eastAsia="黑体"/>
          <w:sz w:val="32"/>
          <w:szCs w:val="32"/>
        </w:rPr>
        <w:t>一、基本职</w:t>
      </w:r>
      <w:r>
        <w:rPr>
          <w:rFonts w:hint="eastAsia" w:ascii="黑体" w:hAnsi="黑体" w:eastAsia="黑体"/>
          <w:sz w:val="32"/>
          <w:szCs w:val="32"/>
          <w:lang w:eastAsia="zh-CN"/>
        </w:rPr>
        <w:t>责</w:t>
      </w:r>
    </w:p>
    <w:bookmarkEnd w:id="9"/>
    <w:bookmarkEnd w:id="10"/>
    <w:p>
      <w:pPr>
        <w:spacing w:line="576" w:lineRule="exact"/>
        <w:ind w:firstLine="642" w:firstLineChars="200"/>
        <w:rPr>
          <w:rFonts w:ascii="楷体_GB2312" w:hAnsi="楷体_GB2312" w:eastAsia="楷体_GB2312" w:cs="楷体_GB2312"/>
          <w:b/>
          <w:sz w:val="32"/>
          <w:szCs w:val="32"/>
        </w:rPr>
      </w:pPr>
      <w:bookmarkStart w:id="11" w:name="_Toc15377199"/>
      <w:bookmarkStart w:id="12" w:name="_Toc15378446"/>
      <w:r>
        <w:rPr>
          <w:rFonts w:hint="eastAsia" w:ascii="楷体_GB2312" w:hAnsi="楷体_GB2312" w:eastAsia="楷体_GB2312" w:cs="楷体_GB2312"/>
          <w:b/>
          <w:sz w:val="32"/>
          <w:szCs w:val="32"/>
        </w:rPr>
        <w:t>（一）主要职能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p>
      <w:pPr>
        <w:spacing w:line="576"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bookmarkEnd w:id="11"/>
      <w:bookmarkEnd w:id="12"/>
      <w:bookmarkStart w:id="13" w:name="_Toc15396601"/>
      <w:bookmarkStart w:id="14" w:name="_Toc15377200"/>
      <w:r>
        <w:rPr>
          <w:rFonts w:hint="eastAsia" w:ascii="楷体_GB2312" w:hAnsi="楷体_GB2312" w:eastAsia="楷体_GB2312" w:cs="楷体_GB2312"/>
          <w:b/>
          <w:sz w:val="32"/>
          <w:szCs w:val="32"/>
        </w:rPr>
        <w:t>202</w:t>
      </w: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年重点工作完成情况</w:t>
      </w:r>
    </w:p>
    <w:p>
      <w:pPr>
        <w:spacing w:line="576"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bCs/>
          <w:sz w:val="32"/>
          <w:szCs w:val="32"/>
        </w:rPr>
        <w:t>狠抓政治建设不放松，在思想引领上下功夫</w:t>
      </w:r>
    </w:p>
    <w:p>
      <w:pPr>
        <w:numPr>
          <w:ilvl w:val="0"/>
          <w:numId w:val="0"/>
        </w:numPr>
        <w:spacing w:line="576" w:lineRule="exact"/>
        <w:ind w:firstLine="321" w:firstLineChars="100"/>
        <w:rPr>
          <w:rFonts w:ascii="仿宋_GB2312" w:eastAsia="仿宋_GB2312"/>
          <w:color w:val="000000"/>
          <w:sz w:val="32"/>
          <w:szCs w:val="32"/>
        </w:rPr>
      </w:pPr>
      <w:r>
        <w:rPr>
          <w:rFonts w:hint="eastAsia" w:ascii="仿宋_GB2312" w:hAnsi="仿宋_GB2312" w:eastAsia="仿宋_GB2312" w:cs="仿宋_GB2312"/>
          <w:b/>
          <w:bCs/>
          <w:sz w:val="32"/>
          <w:szCs w:val="32"/>
        </w:rPr>
        <w:t>（1）</w:t>
      </w:r>
      <w:r>
        <w:rPr>
          <w:rFonts w:hint="eastAsia" w:ascii="仿宋_GB2312" w:hAnsi="楷体_GB2312" w:eastAsia="仿宋_GB2312" w:cs="楷体_GB2312"/>
          <w:b/>
          <w:bCs/>
          <w:sz w:val="32"/>
          <w:szCs w:val="32"/>
        </w:rPr>
        <w:t>强化理论学习。</w:t>
      </w:r>
      <w:r>
        <w:rPr>
          <w:rFonts w:hint="eastAsia" w:ascii="仿宋_GB2312" w:hAnsi="仿宋_GB2312" w:eastAsia="仿宋_GB2312" w:cs="仿宋_GB2312"/>
          <w:sz w:val="32"/>
          <w:szCs w:val="32"/>
        </w:rPr>
        <w:t>始终坚持把思想引领放在首位，组织职工集中收看党的二十大开幕大会，及时召开职工大会多场次深入学习党的二十大精神，开展党的十九届六中全会、省第十二次党代会、习近平总书记来川视察重要指示精神等专题学习，引导党员干部职工进一步增强“四个意识”、坚定“四个自信”、做到“两个维护”。</w:t>
      </w:r>
    </w:p>
    <w:p>
      <w:pPr>
        <w:spacing w:line="576" w:lineRule="exact"/>
        <w:ind w:firstLine="642" w:firstLineChars="200"/>
        <w:rPr>
          <w:rFonts w:ascii="仿宋_GB2312" w:eastAsia="仿宋_GB2312"/>
          <w:color w:val="000000"/>
          <w:sz w:val="32"/>
          <w:szCs w:val="32"/>
        </w:rPr>
      </w:pPr>
      <w:r>
        <w:rPr>
          <w:rFonts w:hint="eastAsia" w:ascii="仿宋_GB2312" w:hAnsi="仿宋_GB2312" w:eastAsia="仿宋_GB2312" w:cs="仿宋_GB2312"/>
          <w:b/>
          <w:bCs/>
          <w:sz w:val="32"/>
          <w:szCs w:val="32"/>
        </w:rPr>
        <w:t>（2）</w:t>
      </w:r>
      <w:r>
        <w:rPr>
          <w:rFonts w:hint="eastAsia" w:ascii="仿宋_GB2312" w:hAnsi="Microsoft YaHei UI" w:eastAsia="仿宋_GB2312"/>
          <w:b/>
          <w:spacing w:val="8"/>
          <w:sz w:val="32"/>
          <w:szCs w:val="32"/>
          <w:shd w:val="clear" w:color="auto" w:fill="FFFFFF"/>
        </w:rPr>
        <w:t>强化意识形态工作。</w:t>
      </w:r>
      <w:r>
        <w:rPr>
          <w:rFonts w:hint="eastAsia" w:ascii="仿宋_GB2312" w:hAnsi="仿宋_GB2312" w:eastAsia="仿宋_GB2312" w:cs="仿宋_GB2312"/>
          <w:sz w:val="32"/>
          <w:szCs w:val="32"/>
        </w:rPr>
        <w:t>将意识形态工作列入年度工作要点、纳入重要议事日程，与中心工作紧密结合，同部署、同落实。</w:t>
      </w:r>
      <w:r>
        <w:rPr>
          <w:rFonts w:hint="eastAsia" w:ascii="仿宋_GB2312" w:hAnsi="Microsoft YaHei UI" w:eastAsia="仿宋_GB2312"/>
          <w:spacing w:val="8"/>
          <w:sz w:val="32"/>
          <w:szCs w:val="32"/>
          <w:shd w:val="clear" w:color="auto" w:fill="FFFFFF"/>
        </w:rPr>
        <w:t>建立完善“中心组引领学、党支部延伸学、党员重点学、职工自主学”的“四学联动”常态化学习机制，持续引导党员干部学思践悟、细照笃行，不断抓实意识形态工作。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color w:val="000000"/>
          <w:sz w:val="32"/>
          <w:szCs w:val="32"/>
        </w:rPr>
      </w:pPr>
      <w:r>
        <w:rPr>
          <w:rFonts w:hint="eastAsia" w:ascii="仿宋_GB2312" w:hAnsi="仿宋_GB2312" w:eastAsia="仿宋_GB2312" w:cs="仿宋_GB2312"/>
          <w:b/>
          <w:bCs/>
          <w:sz w:val="32"/>
          <w:szCs w:val="32"/>
        </w:rPr>
        <w:t>（3）全面落实廉政责任。</w:t>
      </w:r>
      <w:r>
        <w:rPr>
          <w:rFonts w:hint="default" w:ascii="仿宋_GB2312" w:hAnsi="仿宋_GB2312" w:eastAsia="仿宋_GB2312" w:cs="仿宋_GB2312"/>
          <w:bCs/>
          <w:sz w:val="32"/>
          <w:szCs w:val="32"/>
        </w:rPr>
        <w:t>严格落实中央八项规定精神</w:t>
      </w:r>
      <w:r>
        <w:rPr>
          <w:rFonts w:hint="eastAsia" w:ascii="仿宋_GB2312" w:hAnsi="仿宋_GB2312" w:eastAsia="仿宋_GB2312" w:cs="仿宋_GB2312"/>
          <w:bCs/>
          <w:sz w:val="32"/>
          <w:szCs w:val="32"/>
        </w:rPr>
        <w:t>，对贯彻党风廉政建设情况进行经常性的自查自纠。</w:t>
      </w:r>
      <w:r>
        <w:rPr>
          <w:rFonts w:hint="eastAsia" w:ascii="仿宋_GB2312" w:hAnsi="仿宋_GB2312" w:eastAsia="仿宋_GB2312" w:cs="仿宋_GB2312"/>
          <w:sz w:val="32"/>
          <w:szCs w:val="32"/>
        </w:rPr>
        <w:t>严肃财经纪律，严格执行县委“三重一大”制度，规范日常财务资金审批及管理流程，定期在职工大会公布经费开支使用情况，着力规范内部管理。建立健全机构编制工作重大事项报告制度，强化权力运行制约和监督。</w:t>
      </w:r>
    </w:p>
    <w:p>
      <w:pPr>
        <w:numPr>
          <w:ilvl w:val="0"/>
          <w:numId w:val="0"/>
        </w:numPr>
        <w:spacing w:line="576"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狠抓重点工作不懈怠，在攻坚破难上下功夫</w:t>
      </w:r>
    </w:p>
    <w:p>
      <w:pPr>
        <w:numPr>
          <w:ilvl w:val="0"/>
          <w:numId w:val="0"/>
        </w:numPr>
        <w:spacing w:line="576" w:lineRule="exact"/>
        <w:ind w:firstLine="642" w:firstLineChars="200"/>
        <w:rPr>
          <w:rFonts w:ascii="仿宋_GB2312" w:eastAsia="仿宋_GB2312"/>
          <w:color w:val="000000"/>
          <w:sz w:val="32"/>
          <w:szCs w:val="32"/>
        </w:rPr>
      </w:pPr>
      <w:r>
        <w:rPr>
          <w:rFonts w:hint="eastAsia" w:ascii="仿宋_GB2312" w:hAnsi="黑体" w:eastAsia="仿宋_GB2312"/>
          <w:b/>
          <w:sz w:val="32"/>
          <w:szCs w:val="32"/>
        </w:rPr>
        <w:t>（1</w:t>
      </w:r>
      <w:r>
        <w:rPr>
          <w:rFonts w:ascii="仿宋_GB2312" w:hAnsi="黑体" w:eastAsia="仿宋_GB2312"/>
          <w:b/>
          <w:sz w:val="32"/>
          <w:szCs w:val="32"/>
        </w:rPr>
        <w:t>）</w:t>
      </w:r>
      <w:r>
        <w:rPr>
          <w:rFonts w:hint="eastAsia" w:ascii="仿宋_GB2312" w:hAnsi="仿宋_GB2312" w:eastAsia="仿宋_GB2312" w:cs="仿宋_GB2312"/>
          <w:b/>
          <w:bCs/>
          <w:sz w:val="32"/>
          <w:szCs w:val="32"/>
        </w:rPr>
        <w:t>创新开展机构编制效益评估。</w:t>
      </w:r>
      <w:r>
        <w:rPr>
          <w:rFonts w:hint="eastAsia" w:ascii="仿宋_GB2312" w:hAnsi="仿宋_GB2312" w:eastAsia="仿宋_GB2312" w:cs="仿宋_GB2312"/>
          <w:sz w:val="32"/>
          <w:szCs w:val="32"/>
        </w:rPr>
        <w:t>创新</w:t>
      </w:r>
      <w:r>
        <w:rPr>
          <w:rFonts w:hint="eastAsia" w:ascii="仿宋_GB2312" w:hAnsi="仿宋_GB2312" w:eastAsia="仿宋_GB2312" w:cs="仿宋_GB2312"/>
          <w:kern w:val="0"/>
          <w:sz w:val="32"/>
          <w:szCs w:val="32"/>
        </w:rPr>
        <w:t>开展机构编制效益评估工作</w:t>
      </w:r>
      <w:r>
        <w:rPr>
          <w:rFonts w:hint="eastAsia" w:ascii="仿宋_GB2312" w:eastAsia="仿宋_GB2312"/>
          <w:sz w:val="32"/>
          <w:szCs w:val="32"/>
        </w:rPr>
        <w:t>，由班子成员带队，分别到全县</w:t>
      </w:r>
      <w:r>
        <w:rPr>
          <w:rFonts w:eastAsia="仿宋_GB2312"/>
          <w:sz w:val="32"/>
          <w:szCs w:val="32"/>
        </w:rPr>
        <w:t>11</w:t>
      </w:r>
      <w:r>
        <w:rPr>
          <w:rFonts w:hint="eastAsia" w:ascii="仿宋_GB2312" w:eastAsia="仿宋_GB2312"/>
          <w:sz w:val="32"/>
          <w:szCs w:val="32"/>
        </w:rPr>
        <w:t>镇和</w:t>
      </w:r>
      <w:r>
        <w:rPr>
          <w:rFonts w:eastAsia="仿宋_GB2312"/>
          <w:sz w:val="32"/>
          <w:szCs w:val="32"/>
        </w:rPr>
        <w:t>63</w:t>
      </w:r>
      <w:r>
        <w:rPr>
          <w:rFonts w:hint="eastAsia" w:ascii="仿宋_GB2312" w:eastAsia="仿宋_GB2312"/>
          <w:sz w:val="32"/>
          <w:szCs w:val="32"/>
        </w:rPr>
        <w:t>个部门（单位）进行调研评估，根据在评估中发现的问题提出用编建议，有力改善了部分单位人员结构老化的问题，确保编制资源用在刀刃上。</w:t>
      </w:r>
    </w:p>
    <w:p>
      <w:pPr>
        <w:spacing w:line="576" w:lineRule="exact"/>
        <w:ind w:firstLine="642" w:firstLineChars="200"/>
        <w:rPr>
          <w:rFonts w:hint="eastAsia" w:ascii="仿宋_GB2312" w:hAnsi="仿宋_GB2312" w:eastAsia="仿宋_GB2312" w:cs="仿宋_GB2312"/>
          <w:sz w:val="32"/>
          <w:szCs w:val="32"/>
        </w:rPr>
      </w:pPr>
      <w:r>
        <w:rPr>
          <w:rFonts w:hint="eastAsia" w:ascii="仿宋_GB2312" w:hAnsi="黑体" w:eastAsia="仿宋_GB2312"/>
          <w:b/>
          <w:sz w:val="32"/>
          <w:szCs w:val="32"/>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rPr>
        <w:t>）</w:t>
      </w:r>
      <w:r>
        <w:rPr>
          <w:rFonts w:hint="eastAsia" w:ascii="仿宋_GB2312" w:hAnsi="仿宋_GB2312" w:eastAsia="仿宋_GB2312" w:cs="仿宋_GB2312"/>
          <w:b/>
          <w:bCs/>
          <w:sz w:val="32"/>
          <w:szCs w:val="32"/>
        </w:rPr>
        <w:t>抓实事业单位管理。</w:t>
      </w:r>
      <w:r>
        <w:rPr>
          <w:rFonts w:hint="eastAsia" w:ascii="仿宋_GB2312" w:hAnsi="楷体_GB2312" w:eastAsia="仿宋_GB2312" w:cs="楷体_GB2312"/>
          <w:bCs/>
          <w:sz w:val="32"/>
          <w:szCs w:val="32"/>
        </w:rPr>
        <w:t>下发《关于做好全县事业单位法人年度报告公示工作的通知》，及时告知相关单位事业单位登记管理工作任务，提醒其及时办理相关业务。今年以来，</w:t>
      </w:r>
      <w:r>
        <w:rPr>
          <w:rFonts w:hint="eastAsia" w:ascii="仿宋_GB2312" w:hAnsi="仿宋_GB2312" w:eastAsia="仿宋_GB2312" w:cs="仿宋_GB2312"/>
          <w:sz w:val="32"/>
          <w:szCs w:val="32"/>
        </w:rPr>
        <w:t>全县</w:t>
      </w:r>
      <w:r>
        <w:rPr>
          <w:rFonts w:ascii="Times New Roman" w:hAnsi="Times New Roman" w:eastAsia="仿宋_GB2312"/>
          <w:sz w:val="32"/>
          <w:szCs w:val="32"/>
        </w:rPr>
        <w:t>129</w:t>
      </w:r>
      <w:r>
        <w:rPr>
          <w:rFonts w:hint="eastAsia" w:ascii="仿宋_GB2312" w:hAnsi="仿宋_GB2312" w:eastAsia="仿宋_GB2312" w:cs="仿宋_GB2312"/>
          <w:sz w:val="32"/>
          <w:szCs w:val="32"/>
        </w:rPr>
        <w:t>家法人事业单位全部完成上一年度法人事业单位报告，在规定的时间内实现了既定工作目标。</w:t>
      </w:r>
    </w:p>
    <w:p>
      <w:pPr>
        <w:spacing w:line="540" w:lineRule="exact"/>
        <w:ind w:firstLine="642" w:firstLineChars="200"/>
        <w:contextualSpacing/>
        <w:outlineLvl w:val="1"/>
        <w:rPr>
          <w:rFonts w:hint="eastAsia" w:ascii="仿宋_GB2312" w:eastAsia="仿宋_GB2312"/>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扎实推进“联户联情”工作。</w:t>
      </w:r>
      <w:r>
        <w:rPr>
          <w:rFonts w:hint="eastAsia" w:ascii="仿宋_GB2312" w:hAnsi="仿宋_GB2312" w:eastAsia="仿宋_GB2312" w:cs="仿宋_GB2312"/>
          <w:sz w:val="32"/>
          <w:szCs w:val="32"/>
        </w:rPr>
        <w:t>以“常来常往、常联常亲”为总要求，</w:t>
      </w:r>
      <w:r>
        <w:rPr>
          <w:rFonts w:hint="eastAsia" w:ascii="仿宋_GB2312" w:eastAsia="仿宋_GB2312"/>
          <w:sz w:val="32"/>
          <w:szCs w:val="32"/>
        </w:rPr>
        <w:t>认真开展“联户联情”工作，定期在罗山村微信群发布“三防一安全”、防范电信网络诈骗、疫情防控、安全生产等信息。</w:t>
      </w:r>
    </w:p>
    <w:p>
      <w:pPr>
        <w:spacing w:line="540" w:lineRule="exact"/>
        <w:ind w:firstLine="642" w:firstLineChars="200"/>
        <w:contextualSpacing/>
        <w:outlineLvl w:val="1"/>
        <w:rPr>
          <w:rFonts w:hint="eastAsia" w:ascii="楷体_GB2312" w:hAnsi="楷体_GB2312" w:eastAsia="楷体_GB2312" w:cs="楷体_GB2312"/>
          <w:b/>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狠抓</w:t>
      </w:r>
      <w:r>
        <w:rPr>
          <w:rFonts w:hint="eastAsia" w:ascii="楷体_GB2312" w:hAnsi="楷体_GB2312" w:eastAsia="楷体_GB2312" w:cs="楷体_GB2312"/>
          <w:b/>
          <w:sz w:val="32"/>
          <w:szCs w:val="32"/>
        </w:rPr>
        <w:t>自身建设不松劲，在提升素质上下功夫</w:t>
      </w:r>
    </w:p>
    <w:p>
      <w:pPr>
        <w:spacing w:line="540" w:lineRule="exact"/>
        <w:ind w:firstLine="642" w:firstLineChars="200"/>
        <w:contextualSpacing/>
        <w:outlineLvl w:val="1"/>
        <w:rPr>
          <w:rFonts w:hint="eastAsia" w:ascii="仿宋_GB2312" w:eastAsia="仿宋_GB2312"/>
          <w:sz w:val="32"/>
          <w:szCs w:val="32"/>
        </w:rPr>
      </w:pPr>
      <w:r>
        <w:rPr>
          <w:rFonts w:hint="eastAsia" w:ascii="仿宋_GB2312" w:hAnsi="仿宋_GB2312" w:eastAsia="仿宋_GB2312" w:cs="仿宋_GB2312"/>
          <w:b/>
          <w:kern w:val="2"/>
          <w:sz w:val="32"/>
          <w:szCs w:val="32"/>
          <w:lang w:val="en-US" w:eastAsia="zh-CN" w:bidi="ar-SA"/>
        </w:rPr>
        <w:t>（1）</w:t>
      </w:r>
      <w:r>
        <w:rPr>
          <w:rFonts w:hint="eastAsia" w:ascii="仿宋_GB2312" w:hAnsi="仿宋_GB2312" w:eastAsia="仿宋_GB2312" w:cs="仿宋_GB2312"/>
          <w:b/>
          <w:sz w:val="32"/>
          <w:szCs w:val="32"/>
        </w:rPr>
        <w:t>加强干部作风教育整顿</w:t>
      </w:r>
      <w:r>
        <w:rPr>
          <w:rFonts w:hint="eastAsia" w:ascii="仿宋_GB2312" w:hAnsi="仿宋_GB2312" w:eastAsia="仿宋_GB2312" w:cs="仿宋_GB2312"/>
          <w:b/>
          <w:sz w:val="32"/>
          <w:szCs w:val="32"/>
          <w:lang w:eastAsia="zh-CN"/>
        </w:rPr>
        <w:t>。</w:t>
      </w:r>
      <w:r>
        <w:rPr>
          <w:rFonts w:hint="eastAsia" w:ascii="仿宋_GB2312" w:eastAsia="仿宋_GB2312"/>
          <w:sz w:val="32"/>
          <w:szCs w:val="32"/>
        </w:rPr>
        <w:t>制定并印发《县委编办2022年干部作风教育整顿专项行动实施方案》，全面提升干部职工作风建设。</w:t>
      </w:r>
    </w:p>
    <w:p>
      <w:pPr>
        <w:ind w:firstLine="642" w:firstLineChars="200"/>
        <w:rPr>
          <w:rFonts w:hint="eastAsia" w:ascii="仿宋_GB2312" w:hAnsi="宋体" w:eastAsia="仿宋_GB2312" w:cs="宋体"/>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提升干部队伍业务能力。</w:t>
      </w:r>
      <w:r>
        <w:rPr>
          <w:rFonts w:hint="eastAsia" w:ascii="仿宋_GB2312" w:hAnsi="宋体" w:eastAsia="仿宋_GB2312" w:cs="宋体"/>
          <w:sz w:val="32"/>
          <w:szCs w:val="32"/>
        </w:rPr>
        <w:t>举办《中国共产党机构编制工作条例》《</w:t>
      </w:r>
      <w:r>
        <w:rPr>
          <w:rFonts w:hint="eastAsia" w:ascii="仿宋_GB2312" w:hAnsi="仿宋_GB2312" w:eastAsia="仿宋_GB2312" w:cs="仿宋_GB2312"/>
          <w:sz w:val="32"/>
          <w:szCs w:val="32"/>
        </w:rPr>
        <w:t>机构编制违规违纪违法行为处理和问责规则（试行）</w:t>
      </w:r>
      <w:r>
        <w:rPr>
          <w:rFonts w:hint="eastAsia" w:ascii="仿宋_GB2312" w:hAnsi="宋体" w:eastAsia="仿宋_GB2312" w:cs="宋体"/>
          <w:sz w:val="32"/>
          <w:szCs w:val="32"/>
        </w:rPr>
        <w:t>》专题测试，对全体干部进行业务测试。</w:t>
      </w:r>
    </w:p>
    <w:p>
      <w:pPr>
        <w:ind w:firstLine="642" w:firstLineChars="200"/>
        <w:rPr>
          <w:rFonts w:hint="eastAsia" w:ascii="仿宋_GB2312" w:hAnsi="宋体" w:eastAsia="仿宋_GB2312" w:cs="宋体"/>
          <w:kern w:val="2"/>
          <w:sz w:val="32"/>
          <w:szCs w:val="32"/>
          <w:lang w:val="en-US" w:eastAsia="zh-CN" w:bidi="ar-SA"/>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加大年轻干部培养。</w:t>
      </w:r>
      <w:r>
        <w:rPr>
          <w:rFonts w:hint="eastAsia" w:ascii="仿宋_GB2312" w:hAnsi="宋体" w:eastAsia="仿宋_GB2312" w:cs="宋体"/>
          <w:kern w:val="2"/>
          <w:sz w:val="32"/>
          <w:szCs w:val="32"/>
          <w:lang w:val="en-US" w:eastAsia="zh-CN" w:bidi="ar-SA"/>
        </w:rPr>
        <w:t>为加强对年轻干部的教育引导，全面提升全办年轻干部综合素质，制定并印发《“师父帮带·青蓝出彩”实施方案》，4名班子成员共帮带6名职工。</w:t>
      </w:r>
    </w:p>
    <w:p>
      <w:pPr>
        <w:spacing w:line="576" w:lineRule="exact"/>
        <w:ind w:firstLine="640" w:firstLineChars="200"/>
        <w:rPr>
          <w:rStyle w:val="40"/>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0"/>
          <w:rFonts w:hint="eastAsia" w:ascii="黑体" w:hAnsi="黑体" w:eastAsia="黑体"/>
          <w:b w:val="0"/>
          <w:bCs w:val="0"/>
        </w:rPr>
        <w:t>构设置</w:t>
      </w:r>
      <w:bookmarkEnd w:id="13"/>
      <w:bookmarkEnd w:id="14"/>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bookmarkStart w:id="15" w:name="_Toc15396602"/>
      <w:bookmarkStart w:id="16" w:name="_Toc15377204"/>
      <w:bookmarkStart w:id="17" w:name="_Toc79163859"/>
      <w:bookmarkStart w:id="18" w:name="_Toc79163609"/>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pStyle w:val="2"/>
        <w:ind w:right="440"/>
        <w:jc w:val="center"/>
        <w:rPr>
          <w:rStyle w:val="36"/>
          <w:rFonts w:ascii="方正小标宋简体" w:hAnsi="方正小标宋简体" w:eastAsia="方正小标宋简体" w:cs="方正小标宋简体"/>
          <w:b w:val="0"/>
          <w:bCs w:val="0"/>
        </w:rPr>
      </w:pPr>
      <w:r>
        <w:rPr>
          <w:rStyle w:val="36"/>
          <w:rFonts w:hint="eastAsia" w:ascii="方正小标宋简体" w:hAnsi="方正小标宋简体" w:eastAsia="方正小标宋简体" w:cs="方正小标宋简体"/>
          <w:b w:val="0"/>
          <w:bCs w:val="0"/>
        </w:rPr>
        <w:t>第二部分 202</w:t>
      </w:r>
      <w:r>
        <w:rPr>
          <w:rStyle w:val="36"/>
          <w:rFonts w:hint="eastAsia" w:ascii="方正小标宋简体" w:hAnsi="方正小标宋简体" w:eastAsia="方正小标宋简体" w:cs="方正小标宋简体"/>
          <w:b w:val="0"/>
          <w:bCs w:val="0"/>
          <w:lang w:val="en-US" w:eastAsia="zh-CN"/>
        </w:rPr>
        <w:t>2</w:t>
      </w:r>
      <w:r>
        <w:rPr>
          <w:rStyle w:val="36"/>
          <w:rFonts w:hint="eastAsia" w:ascii="方正小标宋简体" w:hAnsi="方正小标宋简体" w:eastAsia="方正小标宋简体" w:cs="方正小标宋简体"/>
          <w:b w:val="0"/>
          <w:bCs w:val="0"/>
        </w:rPr>
        <w:t>年度部门决算情况说明</w:t>
      </w:r>
      <w:bookmarkEnd w:id="15"/>
      <w:bookmarkEnd w:id="16"/>
      <w:bookmarkEnd w:id="17"/>
      <w:bookmarkEnd w:id="18"/>
    </w:p>
    <w:p/>
    <w:p>
      <w:pPr>
        <w:spacing w:line="576" w:lineRule="exact"/>
        <w:ind w:firstLine="640" w:firstLineChars="200"/>
        <w:rPr>
          <w:rStyle w:val="40"/>
          <w:rFonts w:ascii="黑体" w:hAnsi="黑体" w:eastAsia="黑体"/>
          <w:b w:val="0"/>
        </w:rPr>
      </w:pPr>
      <w:bookmarkStart w:id="19" w:name="_Toc15377208"/>
      <w:bookmarkStart w:id="20" w:name="_Toc79163613"/>
      <w:bookmarkStart w:id="21" w:name="_Toc15396606"/>
      <w:bookmarkStart w:id="22" w:name="_Toc79163863"/>
      <w:r>
        <w:rPr>
          <w:rFonts w:hint="eastAsia" w:ascii="黑体" w:hAnsi="黑体" w:eastAsia="黑体"/>
          <w:sz w:val="32"/>
          <w:szCs w:val="32"/>
        </w:rPr>
        <w:t>一、收</w:t>
      </w:r>
      <w:r>
        <w:rPr>
          <w:rStyle w:val="40"/>
          <w:rFonts w:hint="eastAsia" w:ascii="黑体" w:hAnsi="黑体" w:eastAsia="黑体"/>
          <w:b w:val="0"/>
        </w:rPr>
        <w:t>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年相比收、支总计各减少</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%。主要变动原因是本年职工</w:t>
      </w:r>
      <w:r>
        <w:rPr>
          <w:rFonts w:hint="eastAsia" w:ascii="仿宋_GB2312" w:hAnsi="仿宋_GB2312" w:eastAsia="仿宋_GB2312" w:cs="仿宋_GB2312"/>
          <w:sz w:val="32"/>
          <w:szCs w:val="32"/>
          <w:lang w:eastAsia="zh-CN"/>
        </w:rPr>
        <w:t>人数比上年有所</w:t>
      </w:r>
      <w:r>
        <w:rPr>
          <w:rFonts w:hint="eastAsia" w:ascii="仿宋_GB2312" w:hAnsi="仿宋_GB2312" w:eastAsia="仿宋_GB2312" w:cs="仿宋_GB2312"/>
          <w:sz w:val="32"/>
          <w:szCs w:val="32"/>
        </w:rPr>
        <w:t xml:space="preserve">减少。 </w:t>
      </w: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bookmarkStart w:id="23" w:name="_Toc15377206"/>
      <w:bookmarkStart w:id="24" w:name="_Toc15396604"/>
      <w:r>
        <w:rPr>
          <w:rFonts w:ascii="仿宋_GB2312" w:eastAsia="仿宋_GB2312"/>
          <w:sz w:val="32"/>
          <w:szCs w:val="32"/>
        </w:rPr>
        <w:drawing>
          <wp:inline distT="0" distB="0" distL="0" distR="0">
            <wp:extent cx="4048125" cy="2273935"/>
            <wp:effectExtent l="19050" t="0" r="2813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_GB2312" w:eastAsia="仿宋_GB2312"/>
          <w:sz w:val="32"/>
          <w:szCs w:val="32"/>
        </w:rPr>
      </w:pPr>
    </w:p>
    <w:p>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二、收</w:t>
      </w:r>
      <w:r>
        <w:rPr>
          <w:rStyle w:val="40"/>
          <w:rFonts w:hint="eastAsia" w:ascii="黑体" w:hAnsi="黑体" w:eastAsia="黑体" w:cs="黑体"/>
          <w:b w:val="0"/>
        </w:rPr>
        <w:t>入决算情况说明</w:t>
      </w:r>
      <w:bookmarkEnd w:id="23"/>
      <w:bookmarkEnd w:id="24"/>
    </w:p>
    <w:p>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pPr>
        <w:spacing w:line="576" w:lineRule="exact"/>
        <w:jc w:val="center"/>
        <w:rPr>
          <w:rFonts w:ascii="仿宋_GB2312" w:eastAsia="仿宋_GB2312"/>
          <w:b/>
          <w:bCs/>
          <w:sz w:val="32"/>
          <w:szCs w:val="32"/>
        </w:rPr>
      </w:pPr>
    </w:p>
    <w:p>
      <w:pPr>
        <w:spacing w:line="576" w:lineRule="exact"/>
        <w:jc w:val="center"/>
        <w:rPr>
          <w:rFonts w:hint="eastAsia" w:ascii="仿宋_GB2312" w:eastAsia="仿宋_GB2312"/>
          <w:b/>
          <w:bCs/>
          <w:sz w:val="32"/>
          <w:szCs w:val="32"/>
        </w:rPr>
      </w:pPr>
    </w:p>
    <w:p>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jc w:val="center"/>
        <w:rPr>
          <w:rFonts w:ascii="仿宋_GB2312" w:eastAsia="仿宋_GB2312"/>
          <w:sz w:val="32"/>
          <w:szCs w:val="32"/>
        </w:rPr>
      </w:pPr>
      <w:bookmarkStart w:id="25" w:name="_Toc15377207"/>
      <w:bookmarkStart w:id="26" w:name="_Toc15396605"/>
      <w:r>
        <w:rPr>
          <w:rFonts w:ascii="仿宋_GB2312" w:eastAsia="仿宋_GB2312"/>
          <w:sz w:val="32"/>
          <w:szCs w:val="32"/>
        </w:rPr>
        <w:drawing>
          <wp:inline distT="0" distB="0" distL="0" distR="0">
            <wp:extent cx="3689985" cy="2027555"/>
            <wp:effectExtent l="19050" t="0" r="2462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ascii="仿宋_GB2312" w:eastAsia="仿宋_GB2312"/>
          <w:sz w:val="32"/>
          <w:szCs w:val="32"/>
        </w:rPr>
      </w:pPr>
    </w:p>
    <w:bookmarkEnd w:id="19"/>
    <w:bookmarkEnd w:id="20"/>
    <w:bookmarkEnd w:id="21"/>
    <w:bookmarkEnd w:id="22"/>
    <w:bookmarkEnd w:id="25"/>
    <w:bookmarkEnd w:id="26"/>
    <w:p>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三、支</w:t>
      </w:r>
      <w:r>
        <w:rPr>
          <w:rStyle w:val="40"/>
          <w:rFonts w:hint="eastAsia" w:ascii="黑体" w:hAnsi="黑体" w:eastAsia="黑体" w:cs="黑体"/>
          <w:b w:val="0"/>
        </w:rPr>
        <w:t>出决算情况说明</w:t>
      </w:r>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94.73</w:t>
      </w:r>
      <w:r>
        <w:rPr>
          <w:rFonts w:hint="eastAsia" w:ascii="仿宋_GB2312" w:hAnsi="仿宋_GB2312" w:eastAsia="仿宋_GB2312" w:cs="仿宋_GB2312"/>
          <w:sz w:val="32"/>
          <w:szCs w:val="32"/>
        </w:rPr>
        <w:t>万元，占99.</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%；项目支出0.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%；上缴上级支出0万元，占0%；经营支出0万元，占0%；对附属单位补助支出0万元，占0%。</w:t>
      </w:r>
    </w:p>
    <w:p>
      <w:pPr>
        <w:ind w:firstLine="642" w:firstLineChars="200"/>
        <w:jc w:val="center"/>
        <w:rPr>
          <w:rStyle w:val="40"/>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87800" cy="2027555"/>
            <wp:effectExtent l="19050" t="0" r="12093"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spacing w:before="0" w:after="0" w:line="576" w:lineRule="exact"/>
        <w:ind w:firstLine="640" w:firstLineChars="200"/>
        <w:rPr>
          <w:rStyle w:val="40"/>
          <w:rFonts w:ascii="黑体" w:hAnsi="黑体" w:eastAsia="黑体"/>
          <w:b w:val="0"/>
          <w:bCs/>
        </w:rPr>
      </w:pPr>
      <w:r>
        <w:rPr>
          <w:rStyle w:val="40"/>
          <w:rFonts w:hint="eastAsia" w:ascii="黑体" w:hAnsi="黑体" w:eastAsia="黑体"/>
          <w:b w:val="0"/>
          <w:bCs/>
        </w:rPr>
        <w:t>四、财政拨款收入支出决算总体情况说明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年相比，财政拨款收、支总计减少</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%。主要变动原因是本年职工</w:t>
      </w:r>
      <w:r>
        <w:rPr>
          <w:rFonts w:hint="eastAsia" w:ascii="仿宋_GB2312" w:hAnsi="仿宋_GB2312" w:eastAsia="仿宋_GB2312" w:cs="仿宋_GB2312"/>
          <w:sz w:val="32"/>
          <w:szCs w:val="32"/>
          <w:lang w:eastAsia="zh-CN"/>
        </w:rPr>
        <w:t>人数比上年有所</w:t>
      </w:r>
      <w:r>
        <w:rPr>
          <w:rFonts w:hint="eastAsia" w:ascii="仿宋_GB2312" w:hAnsi="仿宋_GB2312" w:eastAsia="仿宋_GB2312" w:cs="仿宋_GB2312"/>
          <w:sz w:val="32"/>
          <w:szCs w:val="32"/>
        </w:rPr>
        <w:t xml:space="preserve">减少。 </w:t>
      </w:r>
    </w:p>
    <w:p>
      <w:pPr>
        <w:snapToGrid w:val="0"/>
        <w:spacing w:line="576" w:lineRule="exact"/>
        <w:ind w:firstLine="640" w:firstLineChars="200"/>
        <w:rPr>
          <w:rFonts w:ascii="仿宋_GB2312" w:eastAsia="仿宋_GB2312"/>
          <w:sz w:val="32"/>
          <w:szCs w:val="32"/>
        </w:rPr>
      </w:pP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pPr>
        <w:jc w:val="center"/>
        <w:rPr>
          <w:rFonts w:ascii="仿宋_GB2312" w:eastAsia="仿宋_GB2312"/>
          <w:sz w:val="32"/>
          <w:szCs w:val="32"/>
        </w:rPr>
      </w:pPr>
      <w:bookmarkStart w:id="27" w:name="_Toc15377209"/>
      <w:bookmarkStart w:id="28" w:name="_Toc15396607"/>
      <w:r>
        <w:rPr>
          <w:rFonts w:ascii="仿宋_GB2312" w:eastAsia="仿宋_GB2312"/>
          <w:sz w:val="32"/>
          <w:szCs w:val="32"/>
        </w:rPr>
        <w:drawing>
          <wp:inline distT="0" distB="0" distL="0" distR="0">
            <wp:extent cx="4011930" cy="2162175"/>
            <wp:effectExtent l="19050" t="0" r="26615" b="89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黑体" w:hAnsi="黑体" w:eastAsia="黑体"/>
          <w:sz w:val="32"/>
          <w:szCs w:val="32"/>
        </w:rPr>
      </w:pPr>
    </w:p>
    <w:p>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0"/>
          <w:rFonts w:hint="eastAsia" w:ascii="黑体" w:hAnsi="黑体" w:eastAsia="黑体"/>
          <w:b w:val="0"/>
        </w:rPr>
        <w:t>般公共预算财政拨款支出决算情况说明</w:t>
      </w:r>
      <w:bookmarkEnd w:id="27"/>
      <w:bookmarkEnd w:id="28"/>
      <w:bookmarkStart w:id="29" w:name="_Toc15377210"/>
    </w:p>
    <w:p>
      <w:pPr>
        <w:spacing w:line="576" w:lineRule="exact"/>
        <w:ind w:firstLine="642"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年相比，一般公共预算财政拨款减少</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%。主要变动原因是本年职工</w:t>
      </w:r>
      <w:r>
        <w:rPr>
          <w:rFonts w:hint="eastAsia" w:ascii="仿宋_GB2312" w:hAnsi="仿宋_GB2312" w:eastAsia="仿宋_GB2312" w:cs="仿宋_GB2312"/>
          <w:sz w:val="32"/>
          <w:szCs w:val="32"/>
          <w:lang w:eastAsia="zh-CN"/>
        </w:rPr>
        <w:t>人数比上年有所</w:t>
      </w:r>
      <w:r>
        <w:rPr>
          <w:rFonts w:hint="eastAsia" w:ascii="仿宋_GB2312" w:hAnsi="仿宋_GB2312" w:eastAsia="仿宋_GB2312" w:cs="仿宋_GB2312"/>
          <w:sz w:val="32"/>
          <w:szCs w:val="32"/>
        </w:rPr>
        <w:t xml:space="preserve">减少。 </w:t>
      </w:r>
    </w:p>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r>
        <w:rPr>
          <w:rFonts w:ascii="仿宋_GB2312" w:eastAsia="仿宋_GB2312"/>
          <w:sz w:val="32"/>
          <w:szCs w:val="32"/>
        </w:rPr>
        <w:drawing>
          <wp:inline distT="0" distB="0" distL="0" distR="0">
            <wp:extent cx="4067810" cy="2210435"/>
            <wp:effectExtent l="19050" t="0" r="2783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7"/>
      </w:pPr>
    </w:p>
    <w:p>
      <w:pPr>
        <w:spacing w:line="576" w:lineRule="exact"/>
        <w:ind w:firstLine="642" w:firstLineChars="200"/>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72.34</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76.15</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）支出4.</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万元，占4.</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%；住房保障（</w:t>
      </w:r>
      <w:r>
        <w:rPr>
          <w:rFonts w:hint="eastAsia" w:ascii="仿宋_GB2312" w:hAnsi="仿宋_GB2312" w:eastAsia="仿宋_GB2312" w:cs="仿宋_GB2312"/>
          <w:bCs/>
          <w:sz w:val="32"/>
          <w:szCs w:val="32"/>
        </w:rPr>
        <w:t>221</w:t>
      </w:r>
      <w:r>
        <w:rPr>
          <w:rFonts w:hint="eastAsia" w:ascii="仿宋_GB2312" w:hAnsi="仿宋_GB2312" w:eastAsia="仿宋_GB2312" w:cs="仿宋_GB2312"/>
          <w:sz w:val="32"/>
          <w:szCs w:val="32"/>
        </w:rPr>
        <w:t>）支出6.</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万元，占6.</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%;农林水（213）支出0.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p>
    <w:p>
      <w:pPr>
        <w:spacing w:line="600" w:lineRule="exact"/>
        <w:jc w:val="center"/>
        <w:rPr>
          <w:rFonts w:ascii="仿宋" w:hAnsi="仿宋" w:eastAsia="仿宋"/>
          <w:b/>
          <w:bCs/>
          <w:sz w:val="32"/>
          <w:szCs w:val="32"/>
        </w:rPr>
      </w:pP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ascii="仿宋" w:hAnsi="仿宋" w:eastAsia="仿宋"/>
          <w:sz w:val="32"/>
          <w:szCs w:val="32"/>
        </w:rPr>
      </w:pPr>
      <w:r>
        <w:rPr>
          <w:rFonts w:ascii="仿宋" w:hAnsi="仿宋" w:eastAsia="仿宋"/>
          <w:sz w:val="32"/>
          <w:szCs w:val="32"/>
        </w:rPr>
        <w:drawing>
          <wp:inline distT="0" distB="0" distL="0" distR="0">
            <wp:extent cx="4027805" cy="2440940"/>
            <wp:effectExtent l="4445" t="4445" r="6350"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1"/>
      </w:pPr>
    </w:p>
    <w:p>
      <w:pPr>
        <w:spacing w:line="576" w:lineRule="exact"/>
        <w:ind w:firstLine="642" w:firstLineChars="200"/>
        <w:outlineLvl w:val="1"/>
        <w:rPr>
          <w:rFonts w:ascii="楷体_GB2312" w:hAnsi="楷体_GB2312" w:eastAsia="楷体_GB2312" w:cs="楷体_GB2312"/>
          <w:b/>
          <w:sz w:val="32"/>
          <w:szCs w:val="32"/>
        </w:rPr>
      </w:pPr>
      <w:bookmarkStart w:id="31" w:name="_Toc15377212"/>
      <w:r>
        <w:rPr>
          <w:rFonts w:hint="eastAsia" w:ascii="楷体_GB2312" w:hAnsi="楷体_GB2312" w:eastAsia="楷体_GB2312" w:cs="楷体_GB2312"/>
          <w:b/>
          <w:sz w:val="32"/>
          <w:szCs w:val="32"/>
        </w:rPr>
        <w:t>（三）一般公共预算财政拨款支出决算具体情况</w:t>
      </w:r>
      <w:bookmarkEnd w:id="31"/>
    </w:p>
    <w:p>
      <w:pPr>
        <w:spacing w:line="576" w:lineRule="exact"/>
        <w:ind w:firstLine="640" w:firstLineChars="200"/>
        <w:outlineLvl w:val="2"/>
        <w:rPr>
          <w:rFonts w:ascii="仿宋_GB2312" w:hAnsi="仿宋_GB2312" w:eastAsia="仿宋_GB2312" w:cs="仿宋_GB2312"/>
          <w:sz w:val="32"/>
          <w:szCs w:val="32"/>
        </w:rPr>
      </w:pPr>
      <w:bookmarkStart w:id="32" w:name="_Toc15377213"/>
      <w:bookmarkStart w:id="33" w:name="_Toc15377444"/>
      <w:bookmarkStart w:id="34"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bCs/>
          <w:sz w:val="32"/>
          <w:szCs w:val="32"/>
        </w:rPr>
        <w:t>万元，</w:t>
      </w:r>
      <w:r>
        <w:rPr>
          <w:rStyle w:val="25"/>
          <w:rFonts w:hint="eastAsia" w:ascii="仿宋_GB2312" w:hAnsi="仿宋_GB2312" w:eastAsia="仿宋_GB2312" w:cs="仿宋_GB2312"/>
          <w:b w:val="0"/>
          <w:bCs/>
          <w:sz w:val="32"/>
          <w:szCs w:val="32"/>
        </w:rPr>
        <w:t>完成预算100%。其中：</w:t>
      </w:r>
      <w:bookmarkEnd w:id="32"/>
      <w:bookmarkEnd w:id="33"/>
      <w:bookmarkEnd w:id="34"/>
    </w:p>
    <w:p>
      <w:pPr>
        <w:spacing w:line="576" w:lineRule="exact"/>
        <w:ind w:firstLine="642"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1.</w:t>
      </w:r>
      <w:r>
        <w:rPr>
          <w:rStyle w:val="25"/>
          <w:rFonts w:hint="eastAsia" w:ascii="仿宋_GB2312" w:hAnsi="仿宋_GB2312" w:eastAsia="仿宋_GB2312" w:cs="仿宋_GB2312"/>
          <w:b w:val="0"/>
          <w:sz w:val="32"/>
          <w:szCs w:val="32"/>
        </w:rPr>
        <w:t xml:space="preserve">一般公共服务（201）组织事务（32）行政运行（01）: </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72.34</w:t>
      </w:r>
      <w:r>
        <w:rPr>
          <w:rStyle w:val="25"/>
          <w:rFonts w:hint="eastAsia" w:ascii="仿宋_GB2312" w:hAnsi="仿宋_GB2312" w:eastAsia="仿宋_GB2312" w:cs="仿宋_GB2312"/>
          <w:b w:val="0"/>
          <w:bCs/>
          <w:sz w:val="32"/>
          <w:szCs w:val="32"/>
        </w:rPr>
        <w:t>万元，完成预算100%。</w:t>
      </w:r>
    </w:p>
    <w:p>
      <w:pPr>
        <w:spacing w:line="576" w:lineRule="exact"/>
        <w:ind w:firstLine="642"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2.</w:t>
      </w:r>
      <w:r>
        <w:rPr>
          <w:rStyle w:val="25"/>
          <w:rFonts w:hint="eastAsia" w:ascii="仿宋_GB2312" w:hAnsi="仿宋_GB2312" w:eastAsia="仿宋_GB2312" w:cs="仿宋_GB2312"/>
          <w:b w:val="0"/>
          <w:sz w:val="32"/>
          <w:szCs w:val="32"/>
        </w:rPr>
        <w:t>社会保障和就业（208）行政事业单位离退休（05）机关事业单位基本养老保险（05）：</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7.56</w:t>
      </w:r>
      <w:r>
        <w:rPr>
          <w:rStyle w:val="25"/>
          <w:rFonts w:hint="eastAsia" w:ascii="仿宋_GB2312" w:hAnsi="仿宋_GB2312" w:eastAsia="仿宋_GB2312" w:cs="仿宋_GB2312"/>
          <w:b w:val="0"/>
          <w:bCs/>
          <w:sz w:val="32"/>
          <w:szCs w:val="32"/>
        </w:rPr>
        <w:t>万元，完成预算100%。</w:t>
      </w:r>
    </w:p>
    <w:p>
      <w:pPr>
        <w:spacing w:line="576" w:lineRule="exact"/>
        <w:ind w:firstLine="642"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3.</w:t>
      </w:r>
      <w:r>
        <w:rPr>
          <w:rStyle w:val="25"/>
          <w:rFonts w:hint="eastAsia" w:ascii="仿宋_GB2312" w:hAnsi="仿宋_GB2312" w:eastAsia="仿宋_GB2312" w:cs="仿宋_GB2312"/>
          <w:b w:val="0"/>
          <w:sz w:val="32"/>
          <w:szCs w:val="32"/>
        </w:rPr>
        <w:t>社会保障和就业（208）行政事业单位离退休（05）机关事业单位职业年金（06）: 支出决算为</w:t>
      </w:r>
      <w:r>
        <w:rPr>
          <w:rStyle w:val="25"/>
          <w:rFonts w:hint="eastAsia" w:ascii="仿宋_GB2312" w:hAnsi="仿宋_GB2312" w:eastAsia="仿宋_GB2312" w:cs="仿宋_GB2312"/>
          <w:b w:val="0"/>
          <w:sz w:val="32"/>
          <w:szCs w:val="32"/>
          <w:lang w:val="en-US" w:eastAsia="zh-CN"/>
        </w:rPr>
        <w:t>3.78</w:t>
      </w:r>
      <w:r>
        <w:rPr>
          <w:rStyle w:val="25"/>
          <w:rFonts w:hint="eastAsia" w:ascii="仿宋_GB2312" w:hAnsi="仿宋_GB2312" w:eastAsia="仿宋_GB2312" w:cs="仿宋_GB2312"/>
          <w:b w:val="0"/>
          <w:sz w:val="32"/>
          <w:szCs w:val="32"/>
        </w:rPr>
        <w:t>万元，完成预算100%。</w:t>
      </w:r>
    </w:p>
    <w:p>
      <w:pPr>
        <w:spacing w:line="576" w:lineRule="exact"/>
        <w:ind w:firstLine="642"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4.</w:t>
      </w:r>
      <w:r>
        <w:rPr>
          <w:rStyle w:val="25"/>
          <w:rFonts w:hint="eastAsia" w:ascii="仿宋_GB2312" w:hAnsi="仿宋_GB2312" w:eastAsia="仿宋_GB2312" w:cs="仿宋_GB2312"/>
          <w:b w:val="0"/>
          <w:sz w:val="32"/>
          <w:szCs w:val="32"/>
        </w:rPr>
        <w:t>卫生健康支出(210)行政事业单位医疗（11）行政单位医疗（01）: 支出决算为4.</w:t>
      </w:r>
      <w:r>
        <w:rPr>
          <w:rStyle w:val="25"/>
          <w:rFonts w:hint="eastAsia" w:ascii="仿宋_GB2312" w:hAnsi="仿宋_GB2312" w:eastAsia="仿宋_GB2312" w:cs="仿宋_GB2312"/>
          <w:b w:val="0"/>
          <w:sz w:val="32"/>
          <w:szCs w:val="32"/>
          <w:lang w:val="en-US" w:eastAsia="zh-CN"/>
        </w:rPr>
        <w:t>73</w:t>
      </w:r>
      <w:r>
        <w:rPr>
          <w:rStyle w:val="25"/>
          <w:rFonts w:hint="eastAsia" w:ascii="仿宋_GB2312" w:hAnsi="仿宋_GB2312" w:eastAsia="仿宋_GB2312" w:cs="仿宋_GB2312"/>
          <w:b w:val="0"/>
          <w:sz w:val="32"/>
          <w:szCs w:val="32"/>
        </w:rPr>
        <w:t>万元，完成预算100%。</w:t>
      </w:r>
    </w:p>
    <w:p>
      <w:pPr>
        <w:spacing w:line="576" w:lineRule="exact"/>
        <w:ind w:firstLine="642"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5.</w:t>
      </w:r>
      <w:r>
        <w:rPr>
          <w:rStyle w:val="25"/>
          <w:rFonts w:hint="eastAsia" w:ascii="仿宋_GB2312" w:hAnsi="仿宋_GB2312" w:eastAsia="仿宋_GB2312" w:cs="仿宋_GB2312"/>
          <w:b w:val="0"/>
          <w:sz w:val="32"/>
          <w:szCs w:val="32"/>
        </w:rPr>
        <w:t>住房保障支出（221）住房改革支出（02）住房公积金（01）: 支出决算为6.</w:t>
      </w:r>
      <w:r>
        <w:rPr>
          <w:rStyle w:val="25"/>
          <w:rFonts w:hint="eastAsia" w:ascii="仿宋_GB2312" w:hAnsi="仿宋_GB2312" w:eastAsia="仿宋_GB2312" w:cs="仿宋_GB2312"/>
          <w:b w:val="0"/>
          <w:sz w:val="32"/>
          <w:szCs w:val="32"/>
          <w:lang w:val="en-US" w:eastAsia="zh-CN"/>
        </w:rPr>
        <w:t>31</w:t>
      </w:r>
      <w:r>
        <w:rPr>
          <w:rStyle w:val="25"/>
          <w:rFonts w:hint="eastAsia" w:ascii="仿宋_GB2312" w:hAnsi="仿宋_GB2312" w:eastAsia="仿宋_GB2312" w:cs="仿宋_GB2312"/>
          <w:b w:val="0"/>
          <w:sz w:val="32"/>
          <w:szCs w:val="32"/>
        </w:rPr>
        <w:t>万元，完成预算100%。</w:t>
      </w:r>
    </w:p>
    <w:p>
      <w:pPr>
        <w:spacing w:line="576" w:lineRule="exact"/>
        <w:ind w:firstLine="642" w:firstLineChars="200"/>
        <w:rPr>
          <w:rFonts w:ascii="仿宋_GB2312" w:hAnsi="仿宋_GB2312" w:eastAsia="仿宋_GB2312" w:cs="仿宋_GB2312"/>
          <w:sz w:val="32"/>
          <w:szCs w:val="32"/>
        </w:rPr>
      </w:pPr>
      <w:r>
        <w:rPr>
          <w:rStyle w:val="25"/>
          <w:rFonts w:hint="eastAsia" w:ascii="仿宋_GB2312" w:hAnsi="仿宋_GB2312" w:eastAsia="仿宋_GB2312" w:cs="仿宋_GB2312"/>
          <w:bCs/>
          <w:sz w:val="32"/>
          <w:szCs w:val="32"/>
          <w:lang w:val="en-US" w:eastAsia="zh-CN"/>
        </w:rPr>
        <w:t>6.</w:t>
      </w:r>
      <w:r>
        <w:rPr>
          <w:rStyle w:val="25"/>
          <w:rFonts w:hint="eastAsia" w:ascii="仿宋_GB2312" w:hAnsi="仿宋_GB2312" w:eastAsia="仿宋_GB2312" w:cs="仿宋_GB2312"/>
          <w:b w:val="0"/>
          <w:sz w:val="32"/>
          <w:szCs w:val="32"/>
        </w:rPr>
        <w:t>农林水支出（213）扶贫（05）其他扶贫支出（99）：支出决算为0.</w:t>
      </w:r>
      <w:r>
        <w:rPr>
          <w:rStyle w:val="25"/>
          <w:rFonts w:hint="eastAsia" w:ascii="仿宋_GB2312" w:hAnsi="仿宋_GB2312" w:eastAsia="仿宋_GB2312" w:cs="仿宋_GB2312"/>
          <w:b w:val="0"/>
          <w:sz w:val="32"/>
          <w:szCs w:val="32"/>
          <w:lang w:val="en-US" w:eastAsia="zh-CN"/>
        </w:rPr>
        <w:t>27</w:t>
      </w:r>
      <w:r>
        <w:rPr>
          <w:rStyle w:val="25"/>
          <w:rFonts w:hint="eastAsia" w:ascii="仿宋_GB2312" w:hAnsi="仿宋_GB2312" w:eastAsia="仿宋_GB2312" w:cs="仿宋_GB2312"/>
          <w:b w:val="0"/>
          <w:sz w:val="32"/>
          <w:szCs w:val="32"/>
        </w:rPr>
        <w:t>万元，完成预算100%。</w:t>
      </w:r>
    </w:p>
    <w:p>
      <w:pPr>
        <w:pStyle w:val="3"/>
        <w:spacing w:before="0" w:after="0" w:line="576" w:lineRule="exact"/>
        <w:ind w:firstLine="642" w:firstLineChars="200"/>
        <w:rPr>
          <w:rStyle w:val="40"/>
          <w:b/>
          <w:bCs/>
        </w:rPr>
      </w:pPr>
      <w:bookmarkStart w:id="35" w:name="_Toc15396608"/>
      <w:bookmarkStart w:id="36" w:name="_Toc15377214"/>
      <w:r>
        <w:rPr>
          <w:rFonts w:hint="eastAsia" w:ascii="黑体" w:eastAsia="黑体"/>
        </w:rPr>
        <w:t>六、</w:t>
      </w:r>
      <w:r>
        <w:rPr>
          <w:rFonts w:hint="eastAsia" w:ascii="黑体" w:hAnsi="黑体" w:eastAsia="黑体"/>
        </w:rPr>
        <w:t>一</w:t>
      </w:r>
      <w:r>
        <w:rPr>
          <w:rStyle w:val="40"/>
          <w:rFonts w:hint="eastAsia" w:ascii="黑体" w:hAnsi="黑体" w:eastAsia="黑体"/>
          <w:b w:val="0"/>
          <w:bCs/>
        </w:rPr>
        <w:t>般公共预算财政拨款基本支出决算情况说明</w:t>
      </w:r>
      <w:bookmarkEnd w:id="35"/>
      <w:bookmarkEnd w:id="36"/>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万元，其中：</w:t>
      </w:r>
    </w:p>
    <w:p>
      <w:pPr>
        <w:spacing w:line="576" w:lineRule="exact"/>
        <w:ind w:firstLine="645"/>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87.71</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基本工资、津贴补贴、奖金、机关事业单位基本养老保险缴费、职业年金缴费、职工基本医疗保险缴费、其他社会保障缴费、住房公积金、医疗费、生活补助、奖励金。</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7.02</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办公费、邮电费、差旅费、公务接待费、公务用车运行维护费。</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rPr>
        <w:t>万元，完成预算100%。</w:t>
      </w:r>
    </w:p>
    <w:p>
      <w:pPr>
        <w:spacing w:line="576" w:lineRule="exact"/>
        <w:ind w:firstLine="640"/>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年“三公”经费财政拨款支出决算中，因公出国（境）费支出决算0万元；公务用车购置及运行维护费支出决算2.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576" w:lineRule="exact"/>
        <w:ind w:firstLine="640"/>
        <w:rPr>
          <w:rFonts w:ascii="仿宋" w:hAnsi="仿宋" w:eastAsia="仿宋"/>
          <w:sz w:val="32"/>
          <w:szCs w:val="32"/>
        </w:rPr>
      </w:pPr>
    </w:p>
    <w:p>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pPr>
        <w:jc w:val="center"/>
        <w:rPr>
          <w:rFonts w:ascii="仿宋" w:hAnsi="仿宋" w:eastAsia="仿宋"/>
          <w:sz w:val="32"/>
          <w:szCs w:val="32"/>
        </w:rPr>
      </w:pPr>
      <w:r>
        <w:rPr>
          <w:rFonts w:ascii="仿宋" w:hAnsi="仿宋" w:eastAsia="仿宋"/>
          <w:sz w:val="32"/>
          <w:szCs w:val="32"/>
        </w:rPr>
        <w:drawing>
          <wp:inline distT="0" distB="0" distL="0" distR="0">
            <wp:extent cx="3948430" cy="2210435"/>
            <wp:effectExtent l="4445" t="4445" r="952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2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公务用车购置及运行维护费支出2.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w:t>
      </w:r>
      <w:r>
        <w:rPr>
          <w:rStyle w:val="25"/>
          <w:rFonts w:hint="eastAsia" w:ascii="仿宋_GB2312" w:hAnsi="仿宋_GB2312" w:eastAsia="仿宋_GB2312" w:cs="仿宋_GB2312"/>
          <w:b w:val="0"/>
          <w:sz w:val="32"/>
          <w:szCs w:val="32"/>
        </w:rPr>
        <w:t>完成预算100%。</w:t>
      </w:r>
      <w:r>
        <w:rPr>
          <w:rStyle w:val="25"/>
          <w:rFonts w:hint="eastAsia" w:ascii="仿宋_GB2312" w:hAnsi="仿宋_GB2312" w:eastAsia="仿宋_GB2312" w:cs="仿宋_GB2312"/>
          <w:b w:val="0"/>
          <w:sz w:val="32"/>
          <w:szCs w:val="32"/>
          <w:lang w:eastAsia="zh-CN"/>
        </w:rPr>
        <w:t>无</w:t>
      </w:r>
      <w:r>
        <w:rPr>
          <w:rFonts w:hint="eastAsia" w:ascii="仿宋_GB2312" w:eastAsia="仿宋_GB2312" w:cs="仿宋_GB2312"/>
          <w:sz w:val="32"/>
          <w:szCs w:val="32"/>
          <w:highlight w:val="none"/>
        </w:rPr>
        <w:t>公务用车购置</w:t>
      </w:r>
      <w:r>
        <w:rPr>
          <w:rFonts w:hint="eastAsia" w:ascii="仿宋_GB2312" w:eastAsia="仿宋_GB2312" w:cs="仿宋_GB2312"/>
          <w:sz w:val="32"/>
          <w:szCs w:val="32"/>
          <w:highlight w:val="none"/>
          <w:lang w:eastAsia="zh-CN"/>
        </w:rPr>
        <w:t>资产，全部为</w:t>
      </w:r>
      <w:r>
        <w:rPr>
          <w:rFonts w:hint="eastAsia" w:ascii="仿宋_GB2312" w:eastAsia="仿宋_GB2312" w:cs="仿宋_GB2312"/>
          <w:sz w:val="32"/>
          <w:szCs w:val="32"/>
          <w:highlight w:val="none"/>
        </w:rPr>
        <w:t>公务用车</w:t>
      </w:r>
      <w:r>
        <w:rPr>
          <w:rFonts w:hint="eastAsia" w:ascii="仿宋_GB2312" w:hAnsi="仿宋_GB2312" w:eastAsia="仿宋_GB2312" w:cs="仿宋_GB2312"/>
          <w:sz w:val="32"/>
          <w:szCs w:val="32"/>
        </w:rPr>
        <w:t>运行维护费</w:t>
      </w:r>
      <w:r>
        <w:rPr>
          <w:rFonts w:hint="eastAsia" w:ascii="仿宋_GB2312" w:hAnsi="仿宋_GB2312" w:eastAsia="仿宋_GB2312" w:cs="仿宋_GB2312"/>
          <w:sz w:val="32"/>
          <w:szCs w:val="32"/>
          <w:lang w:eastAsia="zh-CN"/>
        </w:rPr>
        <w:t>支出。</w:t>
      </w:r>
      <w:r>
        <w:rPr>
          <w:rFonts w:hint="eastAsia" w:ascii="仿宋_GB2312" w:eastAsia="仿宋_GB2312" w:cs="仿宋_GB2312"/>
          <w:sz w:val="32"/>
          <w:szCs w:val="32"/>
          <w:highlight w:val="none"/>
        </w:rPr>
        <w:t>公务用车</w:t>
      </w:r>
      <w:r>
        <w:rPr>
          <w:rFonts w:hint="eastAsia" w:ascii="仿宋_GB2312" w:hAnsi="仿宋_GB2312" w:eastAsia="仿宋_GB2312" w:cs="仿宋_GB2312"/>
          <w:sz w:val="32"/>
          <w:szCs w:val="32"/>
        </w:rPr>
        <w:t>运行维护费</w:t>
      </w:r>
      <w:r>
        <w:rPr>
          <w:rFonts w:hint="eastAsia" w:ascii="仿宋_GB2312" w:hAnsi="仿宋_GB2312" w:eastAsia="仿宋_GB2312" w:cs="仿宋_GB2312"/>
          <w:sz w:val="32"/>
          <w:szCs w:val="32"/>
          <w:lang w:eastAsia="zh-CN"/>
        </w:rPr>
        <w:t>支出决算</w:t>
      </w:r>
      <w:r>
        <w:rPr>
          <w:rStyle w:val="25"/>
          <w:rFonts w:hint="eastAsia" w:ascii="仿宋_GB2312" w:hAnsi="仿宋_GB2312" w:eastAsia="仿宋_GB2312" w:cs="仿宋_GB2312"/>
          <w:b w:val="0"/>
          <w:sz w:val="32"/>
          <w:szCs w:val="32"/>
          <w:lang w:eastAsia="zh-CN"/>
        </w:rPr>
        <w:t>比</w:t>
      </w:r>
      <w:r>
        <w:rPr>
          <w:rStyle w:val="25"/>
          <w:rFonts w:hint="eastAsia" w:ascii="仿宋_GB2312" w:hAnsi="仿宋_GB2312" w:eastAsia="仿宋_GB2312" w:cs="仿宋_GB2312"/>
          <w:b w:val="0"/>
          <w:sz w:val="32"/>
          <w:szCs w:val="32"/>
          <w:lang w:val="en-US" w:eastAsia="zh-CN"/>
        </w:rPr>
        <w:t>2021年增加</w:t>
      </w:r>
      <w:r>
        <w:rPr>
          <w:rFonts w:hint="eastAsia" w:ascii="仿宋_GB2312" w:hAnsi="仿宋_GB2312" w:eastAsia="仿宋_GB2312" w:cs="仿宋_GB2312"/>
          <w:sz w:val="32"/>
          <w:szCs w:val="32"/>
        </w:rPr>
        <w:t>0.8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40.04</w:t>
      </w:r>
      <w:r>
        <w:rPr>
          <w:rFonts w:hint="eastAsia" w:ascii="仿宋_GB2312" w:hAnsi="仿宋_GB2312" w:eastAsia="仿宋_GB2312" w:cs="仿宋_GB2312"/>
          <w:sz w:val="32"/>
          <w:szCs w:val="32"/>
        </w:rPr>
        <w:t>%。主要原因是202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年我单位出差</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。公务用车运行维护费主要用于公务用车燃油费、维修费、过路费、保险费等支出。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年12月底，编办共有公务用车1辆，其中：轿车0辆、越野车1辆、载客汽车0辆。</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公务接待费支出</w:t>
      </w:r>
      <w:r>
        <w:rPr>
          <w:rStyle w:val="2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公务接待费支出决算比202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年减少0.04万元，减少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%。主要原因是本年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接待。</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年无政府性基金预算拨款支出。</w:t>
      </w:r>
    </w:p>
    <w:p>
      <w:pPr>
        <w:spacing w:line="576" w:lineRule="exact"/>
        <w:ind w:firstLine="640" w:firstLineChars="200"/>
        <w:rPr>
          <w:rStyle w:val="40"/>
          <w:rFonts w:ascii="黑体" w:hAnsi="黑体" w:eastAsia="黑体"/>
          <w:b w:val="0"/>
        </w:rPr>
      </w:pPr>
      <w:bookmarkStart w:id="38" w:name="_Toc15377219"/>
      <w:bookmarkStart w:id="39" w:name="_Toc15396611"/>
      <w:r>
        <w:rPr>
          <w:rStyle w:val="40"/>
          <w:rFonts w:hint="eastAsia" w:ascii="黑体" w:hAnsi="黑体" w:eastAsia="黑体"/>
          <w:b w:val="0"/>
        </w:rPr>
        <w:t>九、国有资本经营预算支出决算情况说明</w:t>
      </w:r>
      <w:bookmarkEnd w:id="38"/>
      <w:bookmarkEnd w:id="39"/>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年无国有资本经营预算拨款支出。</w:t>
      </w:r>
    </w:p>
    <w:p>
      <w:pPr>
        <w:spacing w:line="576" w:lineRule="exact"/>
        <w:ind w:firstLine="640" w:firstLineChars="200"/>
        <w:rPr>
          <w:rStyle w:val="40"/>
          <w:rFonts w:ascii="黑体" w:hAnsi="黑体" w:eastAsia="黑体"/>
        </w:rPr>
      </w:pPr>
      <w:r>
        <w:rPr>
          <w:rFonts w:hint="eastAsia" w:ascii="黑体" w:hAnsi="黑体" w:eastAsia="黑体"/>
          <w:sz w:val="32"/>
          <w:szCs w:val="32"/>
        </w:rPr>
        <w:t>十</w:t>
      </w:r>
      <w:r>
        <w:rPr>
          <w:rStyle w:val="40"/>
          <w:rFonts w:hint="eastAsia" w:ascii="黑体" w:hAnsi="黑体" w:eastAsia="黑体"/>
        </w:rPr>
        <w:t>、</w:t>
      </w:r>
      <w:r>
        <w:rPr>
          <w:rStyle w:val="40"/>
          <w:rFonts w:hint="eastAsia" w:ascii="黑体" w:hAnsi="黑体" w:eastAsia="黑体"/>
          <w:b w:val="0"/>
        </w:rPr>
        <w:t>其他重要事项的情况说明</w:t>
      </w:r>
    </w:p>
    <w:p>
      <w:pPr>
        <w:spacing w:line="576" w:lineRule="exact"/>
        <w:ind w:firstLine="642" w:firstLineChars="200"/>
        <w:outlineLvl w:val="1"/>
        <w:rPr>
          <w:rStyle w:val="40"/>
          <w:rFonts w:ascii="楷体" w:hAnsi="楷体" w:eastAsia="楷体" w:cs="楷体"/>
        </w:rPr>
      </w:pPr>
      <w:bookmarkStart w:id="40" w:name="_Toc15377222"/>
      <w:r>
        <w:rPr>
          <w:rStyle w:val="40"/>
          <w:rFonts w:hint="eastAsia" w:ascii="楷体" w:hAnsi="楷体" w:eastAsia="楷体" w:cs="楷体"/>
        </w:rPr>
        <w:t>（一）机关运行经费支出情况</w:t>
      </w:r>
      <w:bookmarkEnd w:id="40"/>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年，编办机关运行经费支出</w:t>
      </w:r>
      <w:r>
        <w:rPr>
          <w:rFonts w:hint="eastAsia" w:ascii="仿宋_GB2312" w:eastAsia="仿宋_GB2312"/>
          <w:sz w:val="32"/>
          <w:szCs w:val="32"/>
          <w:lang w:val="en-US" w:eastAsia="zh-CN"/>
        </w:rPr>
        <w:t>7.02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rPr>
        <w:t>4.0</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36.43</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pPr>
        <w:spacing w:line="576" w:lineRule="exact"/>
        <w:ind w:firstLine="642" w:firstLineChars="200"/>
        <w:outlineLvl w:val="1"/>
        <w:rPr>
          <w:rFonts w:ascii="仿宋" w:hAnsi="仿宋" w:eastAsia="仿宋"/>
          <w:b/>
          <w:sz w:val="32"/>
          <w:szCs w:val="32"/>
        </w:rPr>
      </w:pPr>
      <w:r>
        <w:rPr>
          <w:rStyle w:val="40"/>
          <w:rFonts w:hint="eastAsia" w:ascii="楷体" w:hAnsi="楷体" w:eastAsia="楷体" w:cs="楷体"/>
        </w:rPr>
        <w:t>（二）政府采购支出情况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年，编办无政府采购支出。</w:t>
      </w:r>
    </w:p>
    <w:p>
      <w:pPr>
        <w:spacing w:line="576" w:lineRule="exact"/>
        <w:ind w:firstLine="642" w:firstLineChars="200"/>
        <w:outlineLvl w:val="1"/>
        <w:rPr>
          <w:rStyle w:val="40"/>
          <w:rFonts w:ascii="楷体" w:hAnsi="楷体" w:eastAsia="楷体" w:cs="楷体"/>
        </w:rPr>
      </w:pPr>
      <w:r>
        <w:rPr>
          <w:rStyle w:val="40"/>
          <w:rFonts w:hint="eastAsia" w:ascii="楷体" w:hAnsi="楷体" w:eastAsia="楷体" w:cs="楷体"/>
        </w:rPr>
        <w:t>（三）国有资产占有使用情况</w:t>
      </w:r>
    </w:p>
    <w:p>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pPr>
        <w:spacing w:line="576" w:lineRule="exact"/>
        <w:ind w:firstLine="642" w:firstLineChars="200"/>
        <w:outlineLvl w:val="1"/>
        <w:rPr>
          <w:rFonts w:ascii="楷体_GB2312" w:hAnsi="楷体_GB2312" w:eastAsia="楷体_GB2312" w:cs="楷体_GB2312"/>
          <w:b/>
          <w:bCs/>
          <w:sz w:val="32"/>
          <w:szCs w:val="32"/>
        </w:rPr>
      </w:pPr>
      <w:r>
        <w:rPr>
          <w:rStyle w:val="40"/>
          <w:rFonts w:hint="eastAsia" w:ascii="楷体_GB2312" w:hAnsi="楷体_GB2312" w:eastAsia="楷体_GB2312" w:cs="楷体_GB2312"/>
        </w:rPr>
        <w:t>（四）预算绩效管理情况</w:t>
      </w:r>
    </w:p>
    <w:p>
      <w:pPr>
        <w:spacing w:line="576" w:lineRule="exact"/>
        <w:ind w:firstLine="640" w:firstLineChars="200"/>
        <w:rPr>
          <w:rFonts w:hint="eastAsia" w:ascii="仿宋_GB2312" w:hAnsi="仿宋_GB2312" w:eastAsia="仿宋_GB2312" w:cs="仿宋_GB2312"/>
          <w:sz w:val="32"/>
          <w:szCs w:val="32"/>
          <w:lang w:eastAsia="zh-CN"/>
        </w:rPr>
      </w:pPr>
      <w:bookmarkStart w:id="41" w:name="_Toc15396612"/>
      <w:bookmarkStart w:id="42" w:name="_Toc15377221"/>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pPr>
        <w:spacing w:line="576" w:lineRule="exact"/>
        <w:ind w:firstLine="640" w:firstLineChars="200"/>
        <w:rPr>
          <w:rFonts w:hint="eastAsia" w:ascii="仿宋_GB2312" w:hAnsi="仿宋_GB2312" w:eastAsia="仿宋_GB2312" w:cs="仿宋_GB2312"/>
          <w:sz w:val="32"/>
          <w:szCs w:val="32"/>
          <w:lang w:eastAsia="zh-CN"/>
        </w:rPr>
      </w:pPr>
    </w:p>
    <w:bookmarkEnd w:id="41"/>
    <w:bookmarkEnd w:id="42"/>
    <w:p>
      <w:pPr>
        <w:numPr>
          <w:ilvl w:val="0"/>
          <w:numId w:val="1"/>
        </w:numPr>
        <w:spacing w:line="600" w:lineRule="exact"/>
        <w:ind w:firstLine="660" w:firstLineChars="150"/>
        <w:jc w:val="center"/>
        <w:outlineLvl w:val="0"/>
        <w:rPr>
          <w:rStyle w:val="36"/>
          <w:rFonts w:ascii="方正小标宋简体" w:hAnsi="方正小标宋简体" w:eastAsia="方正小标宋简体" w:cs="方正小标宋简体"/>
          <w:b w:val="0"/>
        </w:rPr>
      </w:pPr>
      <w:bookmarkStart w:id="43" w:name="_Toc79163879"/>
      <w:bookmarkStart w:id="44" w:name="_Toc15396613"/>
      <w:bookmarkStart w:id="45" w:name="_Toc79163629"/>
      <w:bookmarkStart w:id="46" w:name="_Toc15377225"/>
      <w:r>
        <w:rPr>
          <w:rFonts w:hint="eastAsia" w:ascii="方正小标宋简体" w:hAnsi="方正小标宋简体" w:eastAsia="方正小标宋简体" w:cs="方正小标宋简体"/>
          <w:color w:val="000000"/>
          <w:sz w:val="44"/>
          <w:szCs w:val="44"/>
        </w:rPr>
        <w:t>名</w:t>
      </w:r>
      <w:r>
        <w:rPr>
          <w:rStyle w:val="36"/>
          <w:rFonts w:hint="eastAsia" w:ascii="方正小标宋简体" w:hAnsi="方正小标宋简体" w:eastAsia="方正小标宋简体" w:cs="方正小标宋简体"/>
          <w:b w:val="0"/>
        </w:rPr>
        <w:t>词解释</w:t>
      </w:r>
      <w:bookmarkEnd w:id="43"/>
      <w:bookmarkEnd w:id="44"/>
      <w:bookmarkEnd w:id="45"/>
      <w:bookmarkEnd w:id="46"/>
    </w:p>
    <w:p>
      <w:pPr>
        <w:spacing w:line="600" w:lineRule="exact"/>
        <w:jc w:val="left"/>
        <w:rPr>
          <w:rFonts w:ascii="宋体"/>
          <w:b/>
          <w:color w:val="000000"/>
          <w:sz w:val="44"/>
          <w:szCs w:val="44"/>
        </w:rPr>
      </w:pPr>
    </w:p>
    <w:p>
      <w:pPr>
        <w:pStyle w:val="31"/>
        <w:spacing w:line="560" w:lineRule="exact"/>
        <w:ind w:firstLine="640" w:firstLineChars="200"/>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1"/>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方正小标宋简体" w:hAnsi="方正小标宋简体" w:eastAsia="方正小标宋简体" w:cs="方正小标宋简体"/>
          <w:sz w:val="44"/>
          <w:szCs w:val="44"/>
        </w:rPr>
      </w:pPr>
      <w:r>
        <w:rPr>
          <w:rFonts w:ascii="宋体"/>
          <w:b/>
          <w:color w:val="000000"/>
          <w:sz w:val="44"/>
          <w:szCs w:val="44"/>
        </w:rPr>
        <w:br w:type="page"/>
      </w:r>
      <w:bookmarkStart w:id="48" w:name="_Toc79163630"/>
      <w:bookmarkStart w:id="49" w:name="_Toc15396614"/>
      <w:bookmarkStart w:id="50" w:name="_Toc79163880"/>
      <w:r>
        <w:rPr>
          <w:rFonts w:hint="eastAsia" w:ascii="方正小标宋简体" w:hAnsi="方正小标宋简体" w:eastAsia="方正小标宋简体" w:cs="方正小标宋简体"/>
          <w:sz w:val="44"/>
          <w:szCs w:val="44"/>
        </w:rPr>
        <w:t>第四部分 附件</w:t>
      </w:r>
      <w:bookmarkEnd w:id="48"/>
      <w:bookmarkEnd w:id="49"/>
      <w:bookmarkEnd w:id="50"/>
    </w:p>
    <w:p>
      <w:pPr>
        <w:spacing w:line="580" w:lineRule="exact"/>
        <w:jc w:val="center"/>
        <w:rPr>
          <w:rFonts w:ascii="方正小标宋简体" w:hAnsi="方正小标宋简体" w:eastAsia="方正小标宋简体" w:cs="方正小标宋简体"/>
          <w:sz w:val="44"/>
          <w:szCs w:val="44"/>
        </w:rPr>
      </w:pPr>
    </w:p>
    <w:bookmarkEnd w:id="47"/>
    <w:p>
      <w:pPr>
        <w:pageBreakBefore w:val="0"/>
        <w:kinsoku/>
        <w:wordWrap/>
        <w:overflowPunct/>
        <w:topLinePunct w:val="0"/>
        <w:bidi w:val="0"/>
        <w:spacing w:line="576" w:lineRule="exact"/>
        <w:jc w:val="center"/>
        <w:textAlignment w:val="auto"/>
        <w:outlineLvl w:val="0"/>
      </w:pPr>
      <w:bookmarkStart w:id="51" w:name="_Toc983"/>
      <w:r>
        <w:rPr>
          <w:rFonts w:ascii="方正小标宋简体" w:hAnsi="Times New Roman" w:eastAsia="方正小标宋简体" w:cs="黑体"/>
          <w:sz w:val="44"/>
          <w:szCs w:val="44"/>
        </w:rPr>
        <w:t>部门预算项目支出绩效自评表（2022年度）</w:t>
      </w:r>
      <w:bookmarkEnd w:id="51"/>
      <w:r>
        <w:t>  </w:t>
      </w:r>
    </w:p>
    <w:p>
      <w:pPr>
        <w:pStyle w:val="20"/>
        <w:keepNext w:val="0"/>
        <w:keepLines w:val="0"/>
        <w:pageBreakBefore w:val="0"/>
        <w:widowControl/>
        <w:suppressLineNumbers w:val="0"/>
        <w:kinsoku/>
        <w:wordWrap/>
        <w:overflowPunct/>
        <w:topLinePunct w:val="0"/>
        <w:bidi w:val="0"/>
        <w:spacing w:line="576" w:lineRule="exact"/>
        <w:textAlignment w:val="auto"/>
      </w:pPr>
      <w:r>
        <w:t>附表</w:t>
      </w:r>
    </w:p>
    <w:tbl>
      <w:tblPr>
        <w:tblStyle w:val="23"/>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12"/>
        <w:gridCol w:w="998"/>
        <w:gridCol w:w="1419"/>
        <w:gridCol w:w="1036"/>
        <w:gridCol w:w="1075"/>
        <w:gridCol w:w="2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570" w:type="dxa"/>
            <w:gridSpan w:val="6"/>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rPr>
                <w:rStyle w:val="25"/>
              </w:rPr>
              <w:t>2022年100万元以上（含）特定目标类部门预算项目绩效目标自评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主管部门及代码</w:t>
            </w:r>
          </w:p>
        </w:tc>
        <w:tc>
          <w:tcPr>
            <w:tcW w:w="2820" w:type="dxa"/>
            <w:gridSpan w:val="2"/>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实施单位</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项目预算</w:t>
            </w:r>
          </w:p>
          <w:p>
            <w:pPr>
              <w:pStyle w:val="20"/>
              <w:keepNext w:val="0"/>
              <w:keepLines w:val="0"/>
              <w:pageBreakBefore w:val="0"/>
              <w:widowControl/>
              <w:suppressLineNumbers w:val="0"/>
              <w:kinsoku/>
              <w:wordWrap/>
              <w:overflowPunct/>
              <w:topLinePunct w:val="0"/>
              <w:bidi w:val="0"/>
              <w:spacing w:line="576" w:lineRule="exact"/>
              <w:jc w:val="center"/>
              <w:textAlignment w:val="auto"/>
            </w:pPr>
            <w:r>
              <w:t>执行情况</w:t>
            </w:r>
          </w:p>
          <w:p>
            <w:pPr>
              <w:pStyle w:val="20"/>
              <w:keepNext w:val="0"/>
              <w:keepLines w:val="0"/>
              <w:pageBreakBefore w:val="0"/>
              <w:widowControl/>
              <w:suppressLineNumbers w:val="0"/>
              <w:kinsoku/>
              <w:wordWrap/>
              <w:overflowPunct/>
              <w:topLinePunct w:val="0"/>
              <w:bidi w:val="0"/>
              <w:spacing w:line="576" w:lineRule="exact"/>
              <w:jc w:val="center"/>
              <w:textAlignment w:val="auto"/>
            </w:pPr>
            <w:r>
              <w:t>（万元）</w:t>
            </w: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预算数：</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执行数：</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其中：</w:t>
            </w:r>
          </w:p>
          <w:p>
            <w:pPr>
              <w:pStyle w:val="20"/>
              <w:keepNext w:val="0"/>
              <w:keepLines w:val="0"/>
              <w:pageBreakBefore w:val="0"/>
              <w:widowControl/>
              <w:suppressLineNumbers w:val="0"/>
              <w:kinsoku/>
              <w:wordWrap/>
              <w:overflowPunct/>
              <w:topLinePunct w:val="0"/>
              <w:bidi w:val="0"/>
              <w:spacing w:line="576" w:lineRule="exact"/>
              <w:jc w:val="center"/>
              <w:textAlignment w:val="auto"/>
            </w:pPr>
            <w:r>
              <w:t>财政拨款</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其中：</w:t>
            </w:r>
          </w:p>
          <w:p>
            <w:pPr>
              <w:pStyle w:val="20"/>
              <w:keepNext w:val="0"/>
              <w:keepLines w:val="0"/>
              <w:pageBreakBefore w:val="0"/>
              <w:widowControl/>
              <w:suppressLineNumbers w:val="0"/>
              <w:kinsoku/>
              <w:wordWrap/>
              <w:overflowPunct/>
              <w:topLinePunct w:val="0"/>
              <w:bidi w:val="0"/>
              <w:spacing w:line="576" w:lineRule="exact"/>
              <w:jc w:val="center"/>
              <w:textAlignment w:val="auto"/>
            </w:pPr>
            <w:r>
              <w:t>财政拨款</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其他资金</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其他资金</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年度总体目标</w:t>
            </w:r>
          </w:p>
          <w:p>
            <w:pPr>
              <w:pStyle w:val="20"/>
              <w:keepNext w:val="0"/>
              <w:keepLines w:val="0"/>
              <w:pageBreakBefore w:val="0"/>
              <w:widowControl/>
              <w:suppressLineNumbers w:val="0"/>
              <w:kinsoku/>
              <w:wordWrap/>
              <w:overflowPunct/>
              <w:topLinePunct w:val="0"/>
              <w:bidi w:val="0"/>
              <w:spacing w:line="576" w:lineRule="exact"/>
              <w:jc w:val="center"/>
              <w:textAlignment w:val="auto"/>
            </w:pPr>
            <w:r>
              <w:t>完成情况</w:t>
            </w:r>
          </w:p>
        </w:tc>
        <w:tc>
          <w:tcPr>
            <w:tcW w:w="3960" w:type="dxa"/>
            <w:gridSpan w:val="3"/>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预期目标</w:t>
            </w:r>
          </w:p>
        </w:tc>
        <w:tc>
          <w:tcPr>
            <w:tcW w:w="3630" w:type="dxa"/>
            <w:gridSpan w:val="2"/>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3960" w:type="dxa"/>
            <w:gridSpan w:val="3"/>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3630" w:type="dxa"/>
            <w:gridSpan w:val="2"/>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年度绩效指标完成情况</w:t>
            </w:r>
          </w:p>
        </w:tc>
        <w:tc>
          <w:tcPr>
            <w:tcW w:w="114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一级</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二级</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三级</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预期指标值</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restart"/>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完成</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数量指标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质量指标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时效指标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成本指标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restart"/>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效益</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经济效益指标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社会效益指标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ind w:left="423"/>
              <w:jc w:val="both"/>
              <w:textAlignment w:val="auto"/>
            </w:pPr>
            <w:r>
              <w:t>生态效益指标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可持续影响指标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满意</w:t>
            </w:r>
          </w:p>
          <w:p>
            <w:pPr>
              <w:pStyle w:val="20"/>
              <w:keepNext w:val="0"/>
              <w:keepLines w:val="0"/>
              <w:pageBreakBefore w:val="0"/>
              <w:widowControl/>
              <w:suppressLineNumbers w:val="0"/>
              <w:kinsoku/>
              <w:wordWrap/>
              <w:overflowPunct/>
              <w:topLinePunct w:val="0"/>
              <w:bidi w:val="0"/>
              <w:spacing w:line="576" w:lineRule="exact"/>
              <w:jc w:val="center"/>
              <w:textAlignment w:val="auto"/>
            </w:pPr>
            <w:r>
              <w:t>度指标</w:t>
            </w:r>
          </w:p>
        </w:tc>
        <w:tc>
          <w:tcPr>
            <w:tcW w:w="163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满意度</w:t>
            </w:r>
          </w:p>
          <w:p>
            <w:pPr>
              <w:pStyle w:val="20"/>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18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0"/>
              <w:keepNext w:val="0"/>
              <w:keepLines w:val="0"/>
              <w:pageBreakBefore w:val="0"/>
              <w:widowControl/>
              <w:suppressLineNumbers w:val="0"/>
              <w:kinsoku/>
              <w:wordWrap/>
              <w:overflowPunct/>
              <w:topLinePunct w:val="0"/>
              <w:bidi w:val="0"/>
              <w:spacing w:line="576" w:lineRule="exact"/>
              <w:jc w:val="center"/>
              <w:textAlignment w:val="auto"/>
            </w:pPr>
            <w:r>
              <w:t> </w:t>
            </w:r>
          </w:p>
        </w:tc>
      </w:tr>
    </w:tbl>
    <w:p>
      <w:pPr>
        <w:pStyle w:val="20"/>
        <w:keepNext w:val="0"/>
        <w:keepLines w:val="0"/>
        <w:pageBreakBefore w:val="0"/>
        <w:widowControl/>
        <w:suppressLineNumbers w:val="0"/>
        <w:kinsoku/>
        <w:wordWrap/>
        <w:overflowPunct/>
        <w:topLinePunct w:val="0"/>
        <w:bidi w:val="0"/>
        <w:spacing w:line="576" w:lineRule="exact"/>
        <w:jc w:val="left"/>
        <w:textAlignment w:val="auto"/>
      </w:pPr>
      <w:r>
        <w:t>（注：有两个及以上100万元以上（含）特定目标类部门预算项目的，需分别开展绩效目标自评并填写附表）</w:t>
      </w: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p>
    <w:p>
      <w:pPr>
        <w:pStyle w:val="20"/>
        <w:keepNext w:val="0"/>
        <w:keepLines w:val="0"/>
        <w:pageBreakBefore w:val="0"/>
        <w:widowControl/>
        <w:suppressLineNumbers w:val="0"/>
        <w:kinsoku/>
        <w:wordWrap/>
        <w:overflowPunct/>
        <w:topLinePunct w:val="0"/>
        <w:bidi w:val="0"/>
        <w:spacing w:line="576" w:lineRule="exact"/>
        <w:textAlignment w:val="auto"/>
      </w:pPr>
      <w:r>
        <w:t> </w:t>
      </w:r>
    </w:p>
    <w:p>
      <w:pPr>
        <w:pStyle w:val="20"/>
        <w:keepNext w:val="0"/>
        <w:keepLines w:val="0"/>
        <w:pageBreakBefore w:val="0"/>
        <w:widowControl/>
        <w:suppressLineNumbers w:val="0"/>
        <w:kinsoku/>
        <w:wordWrap/>
        <w:overflowPunct/>
        <w:topLinePunct w:val="0"/>
        <w:bidi w:val="0"/>
        <w:spacing w:line="576" w:lineRule="exact"/>
        <w:jc w:val="left"/>
        <w:textAlignment w:val="auto"/>
      </w:pPr>
      <w:r>
        <w:t> </w:t>
      </w:r>
    </w:p>
    <w:p>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bookmarkStart w:id="52" w:name="_Toc9504"/>
      <w:bookmarkStart w:id="53" w:name="_Toc6196"/>
      <w:r>
        <w:rPr>
          <w:rFonts w:hint="eastAsia" w:ascii="黑体" w:hAnsi="Times New Roman" w:eastAsia="黑体" w:cs="Times New Roman"/>
          <w:color w:val="000000"/>
          <w:sz w:val="44"/>
          <w:szCs w:val="44"/>
        </w:rPr>
        <w:t>第五部分 附表</w:t>
      </w:r>
      <w:bookmarkEnd w:id="52"/>
      <w:bookmarkEnd w:id="53"/>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26370"/>
      <w:bookmarkStart w:id="55" w:name="_Toc12986"/>
      <w:r>
        <w:rPr>
          <w:rFonts w:hint="eastAsia" w:ascii="仿宋" w:hAnsi="Cambria" w:eastAsia="仿宋" w:cs="Times New Roman"/>
          <w:b w:val="0"/>
          <w:color w:val="000000"/>
          <w:kern w:val="2"/>
          <w:sz w:val="32"/>
          <w:szCs w:val="32"/>
          <w:lang w:bidi="ar-SA"/>
        </w:rPr>
        <w:t>一、收入支出决算总表</w:t>
      </w:r>
      <w:bookmarkEnd w:id="54"/>
      <w:bookmarkEnd w:id="55"/>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13591"/>
      <w:bookmarkStart w:id="57" w:name="_Toc13062"/>
      <w:r>
        <w:rPr>
          <w:rFonts w:hint="eastAsia" w:ascii="仿宋" w:hAnsi="Cambria" w:eastAsia="仿宋" w:cs="Times New Roman"/>
          <w:b w:val="0"/>
          <w:color w:val="000000"/>
          <w:kern w:val="2"/>
          <w:sz w:val="32"/>
          <w:szCs w:val="32"/>
          <w:lang w:bidi="ar-SA"/>
        </w:rPr>
        <w:t>二、收入决算表</w:t>
      </w:r>
      <w:bookmarkEnd w:id="56"/>
      <w:bookmarkEnd w:id="57"/>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29688"/>
      <w:bookmarkStart w:id="59" w:name="_Toc16600"/>
      <w:r>
        <w:rPr>
          <w:rFonts w:hint="eastAsia" w:ascii="仿宋" w:hAnsi="Cambria" w:eastAsia="仿宋" w:cs="Times New Roman"/>
          <w:b w:val="0"/>
          <w:color w:val="000000"/>
          <w:kern w:val="2"/>
          <w:sz w:val="32"/>
          <w:szCs w:val="32"/>
          <w:lang w:bidi="ar-SA"/>
        </w:rPr>
        <w:t>三、支出决算表</w:t>
      </w:r>
      <w:bookmarkEnd w:id="58"/>
      <w:bookmarkEnd w:id="59"/>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26630"/>
      <w:bookmarkStart w:id="61" w:name="_Toc5964"/>
      <w:r>
        <w:rPr>
          <w:rFonts w:hint="eastAsia" w:ascii="仿宋" w:hAnsi="Cambria" w:eastAsia="仿宋" w:cs="Times New Roman"/>
          <w:b w:val="0"/>
          <w:color w:val="000000"/>
          <w:kern w:val="2"/>
          <w:sz w:val="32"/>
          <w:szCs w:val="32"/>
          <w:lang w:bidi="ar-SA"/>
        </w:rPr>
        <w:t>四、财政拨款收入支出决算总表</w:t>
      </w:r>
      <w:bookmarkEnd w:id="60"/>
      <w:bookmarkEnd w:id="61"/>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2" w:name="_Toc14273"/>
      <w:bookmarkStart w:id="63" w:name="_Toc19934"/>
      <w:r>
        <w:rPr>
          <w:rFonts w:hint="eastAsia" w:ascii="仿宋" w:hAnsi="Cambria" w:eastAsia="仿宋" w:cs="Times New Roman"/>
          <w:b w:val="0"/>
          <w:color w:val="000000"/>
          <w:kern w:val="2"/>
          <w:sz w:val="32"/>
          <w:szCs w:val="32"/>
          <w:lang w:bidi="ar-SA"/>
        </w:rPr>
        <w:t>五、财政拨款支出决算明细表</w:t>
      </w:r>
      <w:bookmarkEnd w:id="62"/>
      <w:bookmarkEnd w:id="63"/>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4" w:name="_Toc6686"/>
      <w:bookmarkStart w:id="65" w:name="_Toc16449"/>
      <w:r>
        <w:rPr>
          <w:rFonts w:hint="eastAsia" w:ascii="仿宋" w:hAnsi="Cambria" w:eastAsia="仿宋" w:cs="Times New Roman"/>
          <w:b w:val="0"/>
          <w:color w:val="000000"/>
          <w:kern w:val="2"/>
          <w:sz w:val="32"/>
          <w:szCs w:val="32"/>
          <w:lang w:bidi="ar-SA"/>
        </w:rPr>
        <w:t>六、一般公共预算财政拨款支出决算表</w:t>
      </w:r>
      <w:bookmarkEnd w:id="64"/>
      <w:bookmarkEnd w:id="65"/>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6" w:name="_Toc3478"/>
      <w:bookmarkStart w:id="67" w:name="_Toc19514"/>
      <w:r>
        <w:rPr>
          <w:rFonts w:hint="eastAsia" w:ascii="仿宋" w:hAnsi="Cambria" w:eastAsia="仿宋" w:cs="Times New Roman"/>
          <w:b w:val="0"/>
          <w:color w:val="000000"/>
          <w:kern w:val="2"/>
          <w:sz w:val="32"/>
          <w:szCs w:val="32"/>
          <w:lang w:bidi="ar-SA"/>
        </w:rPr>
        <w:t>七、一般公共预算财政拨款支出决算明细表</w:t>
      </w:r>
      <w:bookmarkEnd w:id="66"/>
      <w:bookmarkEnd w:id="67"/>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8" w:name="_Toc191"/>
      <w:bookmarkStart w:id="69" w:name="_Toc17352"/>
      <w:r>
        <w:rPr>
          <w:rFonts w:hint="eastAsia" w:ascii="仿宋" w:hAnsi="Cambria" w:eastAsia="仿宋" w:cs="Times New Roman"/>
          <w:b w:val="0"/>
          <w:color w:val="000000"/>
          <w:kern w:val="2"/>
          <w:sz w:val="32"/>
          <w:szCs w:val="32"/>
          <w:lang w:bidi="ar-SA"/>
        </w:rPr>
        <w:t>八、一般公共预算财政拨款基本支出决算表</w:t>
      </w:r>
      <w:bookmarkEnd w:id="68"/>
      <w:bookmarkEnd w:id="69"/>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0" w:name="_Toc3726"/>
      <w:bookmarkStart w:id="71" w:name="_Toc5204"/>
      <w:r>
        <w:rPr>
          <w:rFonts w:hint="eastAsia" w:ascii="仿宋" w:hAnsi="Cambria" w:eastAsia="仿宋" w:cs="Times New Roman"/>
          <w:b w:val="0"/>
          <w:color w:val="000000"/>
          <w:kern w:val="2"/>
          <w:sz w:val="32"/>
          <w:szCs w:val="32"/>
          <w:lang w:bidi="ar-SA"/>
        </w:rPr>
        <w:t>九、一般公共预算财政拨款项目支出决算表</w:t>
      </w:r>
      <w:bookmarkEnd w:id="70"/>
      <w:bookmarkEnd w:id="71"/>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2" w:name="_Toc20056"/>
      <w:bookmarkStart w:id="73" w:name="_Toc20756"/>
      <w:r>
        <w:rPr>
          <w:rFonts w:hint="eastAsia" w:ascii="仿宋" w:hAnsi="Cambria" w:eastAsia="仿宋" w:cs="Times New Roman"/>
          <w:b w:val="0"/>
          <w:color w:val="000000"/>
          <w:kern w:val="2"/>
          <w:sz w:val="32"/>
          <w:szCs w:val="32"/>
          <w:lang w:bidi="ar-SA"/>
        </w:rPr>
        <w:t>十、政府性基金预算财政拨款收入支出决算表</w:t>
      </w:r>
      <w:bookmarkEnd w:id="72"/>
      <w:bookmarkEnd w:id="73"/>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4" w:name="_Toc21387"/>
      <w:bookmarkStart w:id="75" w:name="_Toc13849"/>
      <w:r>
        <w:rPr>
          <w:rFonts w:hint="eastAsia" w:ascii="仿宋" w:hAnsi="Cambria" w:eastAsia="仿宋" w:cs="Times New Roman"/>
          <w:b w:val="0"/>
          <w:color w:val="000000"/>
          <w:kern w:val="2"/>
          <w:sz w:val="32"/>
          <w:szCs w:val="32"/>
          <w:lang w:bidi="ar-SA"/>
        </w:rPr>
        <w:t>十一、国有资本经营预算财政拨款收入支出决算表</w:t>
      </w:r>
      <w:bookmarkEnd w:id="74"/>
      <w:bookmarkEnd w:id="75"/>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6" w:name="_Toc13099"/>
      <w:bookmarkStart w:id="77" w:name="_Toc1140"/>
      <w:r>
        <w:rPr>
          <w:rFonts w:hint="eastAsia" w:ascii="仿宋" w:hAnsi="Cambria" w:eastAsia="仿宋" w:cs="Times New Roman"/>
          <w:b w:val="0"/>
          <w:color w:val="000000"/>
          <w:kern w:val="2"/>
          <w:sz w:val="32"/>
          <w:szCs w:val="32"/>
          <w:lang w:bidi="ar-SA"/>
        </w:rPr>
        <w:t>十二、国有资本经营预算财政拨款支出决算表</w:t>
      </w:r>
      <w:bookmarkEnd w:id="76"/>
      <w:bookmarkEnd w:id="77"/>
    </w:p>
    <w:p>
      <w:pPr>
        <w:pStyle w:val="3"/>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8" w:name="_Toc25065"/>
      <w:bookmarkStart w:id="79" w:name="_Toc24957"/>
      <w:r>
        <w:rPr>
          <w:rFonts w:hint="eastAsia" w:ascii="仿宋" w:hAnsi="Cambria" w:eastAsia="仿宋" w:cs="Times New Roman"/>
          <w:b w:val="0"/>
          <w:color w:val="000000"/>
          <w:kern w:val="2"/>
          <w:sz w:val="32"/>
          <w:szCs w:val="32"/>
          <w:lang w:bidi="ar-SA"/>
        </w:rPr>
        <w:t>十三、财政拨款“三公”经费支出决算表</w:t>
      </w:r>
      <w:bookmarkEnd w:id="78"/>
      <w:bookmarkEnd w:id="79"/>
    </w:p>
    <w:p>
      <w:pPr>
        <w:pageBreakBefore w:val="0"/>
        <w:kinsoku/>
        <w:wordWrap/>
        <w:overflowPunct/>
        <w:topLinePunct w:val="0"/>
        <w:bidi w:val="0"/>
        <w:spacing w:line="576" w:lineRule="exact"/>
        <w:textAlignment w:val="auto"/>
      </w:pPr>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12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33177"/>
    <w:rsid w:val="000468DB"/>
    <w:rsid w:val="0006487A"/>
    <w:rsid w:val="00065F8F"/>
    <w:rsid w:val="00066436"/>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47A42"/>
    <w:rsid w:val="00157BAB"/>
    <w:rsid w:val="001654D1"/>
    <w:rsid w:val="00174518"/>
    <w:rsid w:val="0018106D"/>
    <w:rsid w:val="001877A7"/>
    <w:rsid w:val="00191536"/>
    <w:rsid w:val="00196687"/>
    <w:rsid w:val="001C0962"/>
    <w:rsid w:val="001C0FBF"/>
    <w:rsid w:val="001D7531"/>
    <w:rsid w:val="001E737D"/>
    <w:rsid w:val="001F0592"/>
    <w:rsid w:val="001F4E85"/>
    <w:rsid w:val="001F7506"/>
    <w:rsid w:val="002006CD"/>
    <w:rsid w:val="00202B36"/>
    <w:rsid w:val="00204B7A"/>
    <w:rsid w:val="00204CDE"/>
    <w:rsid w:val="0021101A"/>
    <w:rsid w:val="00220536"/>
    <w:rsid w:val="00225FF7"/>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1253D"/>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06DF"/>
    <w:rsid w:val="00406254"/>
    <w:rsid w:val="004223DE"/>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92F4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5237E"/>
    <w:rsid w:val="00661853"/>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95084"/>
    <w:rsid w:val="007B69FE"/>
    <w:rsid w:val="007D1682"/>
    <w:rsid w:val="007D2A8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F42"/>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0291"/>
    <w:rsid w:val="00923564"/>
    <w:rsid w:val="0092392E"/>
    <w:rsid w:val="009315F9"/>
    <w:rsid w:val="009321BA"/>
    <w:rsid w:val="00933499"/>
    <w:rsid w:val="009334D8"/>
    <w:rsid w:val="00935C98"/>
    <w:rsid w:val="00946945"/>
    <w:rsid w:val="00951248"/>
    <w:rsid w:val="0095152F"/>
    <w:rsid w:val="00954C49"/>
    <w:rsid w:val="00955E37"/>
    <w:rsid w:val="0095690A"/>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098F"/>
    <w:rsid w:val="00A13CC1"/>
    <w:rsid w:val="00A16847"/>
    <w:rsid w:val="00A237D8"/>
    <w:rsid w:val="00A268C4"/>
    <w:rsid w:val="00A307CD"/>
    <w:rsid w:val="00A331C8"/>
    <w:rsid w:val="00A373C1"/>
    <w:rsid w:val="00A40A00"/>
    <w:rsid w:val="00A4142F"/>
    <w:rsid w:val="00A422EB"/>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5889"/>
    <w:rsid w:val="00AE5D20"/>
    <w:rsid w:val="00B011E4"/>
    <w:rsid w:val="00B03C9D"/>
    <w:rsid w:val="00B060AE"/>
    <w:rsid w:val="00B10517"/>
    <w:rsid w:val="00B134EC"/>
    <w:rsid w:val="00B14E76"/>
    <w:rsid w:val="00B161B8"/>
    <w:rsid w:val="00B2048C"/>
    <w:rsid w:val="00B260E3"/>
    <w:rsid w:val="00B310B9"/>
    <w:rsid w:val="00B35F3F"/>
    <w:rsid w:val="00B36CBB"/>
    <w:rsid w:val="00B425E0"/>
    <w:rsid w:val="00B440AA"/>
    <w:rsid w:val="00B44B70"/>
    <w:rsid w:val="00B53C56"/>
    <w:rsid w:val="00B57DAF"/>
    <w:rsid w:val="00B655EC"/>
    <w:rsid w:val="00B720C5"/>
    <w:rsid w:val="00B77997"/>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E0CB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5DE1"/>
    <w:rsid w:val="00DA634F"/>
    <w:rsid w:val="00DA65AC"/>
    <w:rsid w:val="00DB1913"/>
    <w:rsid w:val="00DC410D"/>
    <w:rsid w:val="00DC5A81"/>
    <w:rsid w:val="00DC68CA"/>
    <w:rsid w:val="00DC74B0"/>
    <w:rsid w:val="00DC7CBA"/>
    <w:rsid w:val="00DD73B7"/>
    <w:rsid w:val="00DF28BC"/>
    <w:rsid w:val="00DF34B9"/>
    <w:rsid w:val="00DF62A7"/>
    <w:rsid w:val="00E00407"/>
    <w:rsid w:val="00E01053"/>
    <w:rsid w:val="00E028DD"/>
    <w:rsid w:val="00E057EE"/>
    <w:rsid w:val="00E07ACF"/>
    <w:rsid w:val="00E32CAD"/>
    <w:rsid w:val="00E331A1"/>
    <w:rsid w:val="00E33202"/>
    <w:rsid w:val="00E336A9"/>
    <w:rsid w:val="00E472B1"/>
    <w:rsid w:val="00E50624"/>
    <w:rsid w:val="00E568DF"/>
    <w:rsid w:val="00E64269"/>
    <w:rsid w:val="00E70975"/>
    <w:rsid w:val="00E82267"/>
    <w:rsid w:val="00E825DB"/>
    <w:rsid w:val="00E853CE"/>
    <w:rsid w:val="00E867B6"/>
    <w:rsid w:val="00EA010F"/>
    <w:rsid w:val="00EA6816"/>
    <w:rsid w:val="00ED1B63"/>
    <w:rsid w:val="00ED206B"/>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262"/>
    <w:rsid w:val="00FC1AD8"/>
    <w:rsid w:val="00FC2607"/>
    <w:rsid w:val="00FD3CC1"/>
    <w:rsid w:val="00FE553C"/>
    <w:rsid w:val="00FF1E02"/>
    <w:rsid w:val="00FF30B4"/>
    <w:rsid w:val="060D0FFA"/>
    <w:rsid w:val="06FC205C"/>
    <w:rsid w:val="09222E18"/>
    <w:rsid w:val="0A2032A3"/>
    <w:rsid w:val="0ACE41C5"/>
    <w:rsid w:val="0E9733D5"/>
    <w:rsid w:val="10C055FF"/>
    <w:rsid w:val="118107EC"/>
    <w:rsid w:val="11FC5F65"/>
    <w:rsid w:val="12F05672"/>
    <w:rsid w:val="16BB723D"/>
    <w:rsid w:val="173F5F3B"/>
    <w:rsid w:val="1C47468D"/>
    <w:rsid w:val="1D155CEE"/>
    <w:rsid w:val="205C26E7"/>
    <w:rsid w:val="223647AD"/>
    <w:rsid w:val="227839A9"/>
    <w:rsid w:val="240371BF"/>
    <w:rsid w:val="264552AC"/>
    <w:rsid w:val="29C40B22"/>
    <w:rsid w:val="29FD04D3"/>
    <w:rsid w:val="2AE45A08"/>
    <w:rsid w:val="2BA57831"/>
    <w:rsid w:val="2C2C0780"/>
    <w:rsid w:val="30525E3E"/>
    <w:rsid w:val="319F7F4E"/>
    <w:rsid w:val="33244D07"/>
    <w:rsid w:val="34202FEC"/>
    <w:rsid w:val="351A54EA"/>
    <w:rsid w:val="36D7532C"/>
    <w:rsid w:val="37900149"/>
    <w:rsid w:val="39721065"/>
    <w:rsid w:val="42416A88"/>
    <w:rsid w:val="440927C0"/>
    <w:rsid w:val="466972EF"/>
    <w:rsid w:val="48A15CA6"/>
    <w:rsid w:val="4ECE2238"/>
    <w:rsid w:val="4F0A45DA"/>
    <w:rsid w:val="4FEE5DDD"/>
    <w:rsid w:val="50C106B1"/>
    <w:rsid w:val="51A96F23"/>
    <w:rsid w:val="530B3237"/>
    <w:rsid w:val="53E755F7"/>
    <w:rsid w:val="56513D4B"/>
    <w:rsid w:val="5875185B"/>
    <w:rsid w:val="5A2802C1"/>
    <w:rsid w:val="5B092C41"/>
    <w:rsid w:val="5B6F4583"/>
    <w:rsid w:val="5CCB0F3D"/>
    <w:rsid w:val="5DBE68B4"/>
    <w:rsid w:val="629D0CF3"/>
    <w:rsid w:val="6BC807D2"/>
    <w:rsid w:val="6C4A05C8"/>
    <w:rsid w:val="71173F7E"/>
    <w:rsid w:val="72734D90"/>
    <w:rsid w:val="74053257"/>
    <w:rsid w:val="7B5A014B"/>
    <w:rsid w:val="7B937ECA"/>
    <w:rsid w:val="7BC27A35"/>
    <w:rsid w:val="7D98452B"/>
    <w:rsid w:val="7FEF1CB9"/>
    <w:rsid w:val="FFF4C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4"/>
    <w:qFormat/>
    <w:uiPriority w:val="99"/>
    <w:pPr>
      <w:spacing w:beforeLines="30"/>
    </w:pPr>
    <w:rPr>
      <w:rFonts w:ascii="仿宋_GB2312" w:eastAsia="仿宋_GB2312"/>
      <w:kern w:val="0"/>
      <w:sz w:val="24"/>
      <w:szCs w:val="20"/>
      <w:lang w:val="zh-CN"/>
    </w:rPr>
  </w:style>
  <w:style w:type="paragraph" w:styleId="7">
    <w:name w:val="Body Text Indent"/>
    <w:basedOn w:val="1"/>
    <w:qFormat/>
    <w:uiPriority w:val="0"/>
    <w:pPr>
      <w:tabs>
        <w:tab w:val="left" w:pos="960"/>
      </w:tabs>
      <w:spacing w:line="540" w:lineRule="exact"/>
      <w:ind w:firstLine="5440" w:firstLineChars="1700"/>
    </w:pPr>
    <w:rPr>
      <w:sz w:val="32"/>
      <w:szCs w:val="32"/>
    </w:rPr>
  </w:style>
  <w:style w:type="paragraph" w:styleId="8">
    <w:name w:val="toc 5"/>
    <w:basedOn w:val="1"/>
    <w:next w:val="1"/>
    <w:unhideWhenUsed/>
    <w:qFormat/>
    <w:uiPriority w:val="39"/>
    <w:pPr>
      <w:ind w:left="840"/>
      <w:jc w:val="left"/>
    </w:pPr>
    <w:rPr>
      <w:rFonts w:ascii="等线" w:eastAsia="等线"/>
      <w:sz w:val="18"/>
      <w:szCs w:val="18"/>
    </w:rPr>
  </w:style>
  <w:style w:type="paragraph" w:styleId="9">
    <w:name w:val="toc 3"/>
    <w:basedOn w:val="1"/>
    <w:next w:val="1"/>
    <w:unhideWhenUsed/>
    <w:qFormat/>
    <w:uiPriority w:val="39"/>
    <w:pPr>
      <w:ind w:left="420"/>
      <w:jc w:val="left"/>
    </w:pPr>
    <w:rPr>
      <w:rFonts w:ascii="等线" w:eastAsia="等线"/>
      <w:i/>
      <w:iCs/>
      <w:sz w:val="20"/>
      <w:szCs w:val="20"/>
    </w:rPr>
  </w:style>
  <w:style w:type="paragraph" w:styleId="10">
    <w:name w:val="toc 8"/>
    <w:basedOn w:val="1"/>
    <w:next w:val="1"/>
    <w:unhideWhenUsed/>
    <w:qFormat/>
    <w:uiPriority w:val="39"/>
    <w:pPr>
      <w:ind w:left="1470"/>
      <w:jc w:val="left"/>
    </w:pPr>
    <w:rPr>
      <w:rFonts w:ascii="等线" w:eastAsia="等线"/>
      <w:sz w:val="18"/>
      <w:szCs w:val="18"/>
    </w:rPr>
  </w:style>
  <w:style w:type="paragraph" w:styleId="11">
    <w:name w:val="Balloon Text"/>
    <w:basedOn w:val="1"/>
    <w:link w:val="37"/>
    <w:unhideWhenUsed/>
    <w:qFormat/>
    <w:uiPriority w:val="99"/>
    <w:rPr>
      <w:sz w:val="18"/>
      <w:szCs w:val="18"/>
    </w:rPr>
  </w:style>
  <w:style w:type="paragraph" w:styleId="12">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3">
    <w:name w:val="header"/>
    <w:basedOn w:val="1"/>
    <w:link w:val="4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unhideWhenUsed/>
    <w:qFormat/>
    <w:uiPriority w:val="39"/>
    <w:pPr>
      <w:spacing w:before="120" w:after="120"/>
      <w:jc w:val="left"/>
    </w:pPr>
    <w:rPr>
      <w:rFonts w:ascii="等线" w:eastAsia="等线"/>
      <w:b/>
      <w:bCs/>
      <w:caps/>
      <w:sz w:val="20"/>
      <w:szCs w:val="20"/>
    </w:rPr>
  </w:style>
  <w:style w:type="paragraph" w:styleId="15">
    <w:name w:val="toc 4"/>
    <w:basedOn w:val="1"/>
    <w:next w:val="1"/>
    <w:unhideWhenUsed/>
    <w:qFormat/>
    <w:uiPriority w:val="39"/>
    <w:pPr>
      <w:ind w:left="630"/>
      <w:jc w:val="left"/>
    </w:pPr>
    <w:rPr>
      <w:rFonts w:ascii="等线" w:eastAsia="等线"/>
      <w:sz w:val="18"/>
      <w:szCs w:val="18"/>
    </w:rPr>
  </w:style>
  <w:style w:type="paragraph" w:styleId="16">
    <w:name w:val="toc 6"/>
    <w:basedOn w:val="1"/>
    <w:next w:val="1"/>
    <w:unhideWhenUsed/>
    <w:qFormat/>
    <w:uiPriority w:val="39"/>
    <w:pPr>
      <w:ind w:left="1050"/>
      <w:jc w:val="left"/>
    </w:pPr>
    <w:rPr>
      <w:rFonts w:ascii="等线" w:eastAsia="等线"/>
      <w:sz w:val="18"/>
      <w:szCs w:val="18"/>
    </w:rPr>
  </w:style>
  <w:style w:type="paragraph" w:styleId="17">
    <w:name w:val="table of figures"/>
    <w:basedOn w:val="1"/>
    <w:next w:val="1"/>
    <w:qFormat/>
    <w:uiPriority w:val="99"/>
    <w:pPr>
      <w:ind w:left="200" w:leftChars="200" w:hanging="200" w:hangingChars="200"/>
    </w:pPr>
    <w:rPr>
      <w:rFonts w:ascii="Times New Roman" w:hAnsi="Times New Roman"/>
      <w:szCs w:val="24"/>
    </w:rPr>
  </w:style>
  <w:style w:type="paragraph" w:styleId="18">
    <w:name w:val="toc 2"/>
    <w:basedOn w:val="1"/>
    <w:next w:val="1"/>
    <w:unhideWhenUsed/>
    <w:qFormat/>
    <w:uiPriority w:val="39"/>
    <w:pPr>
      <w:ind w:left="210"/>
      <w:jc w:val="left"/>
    </w:pPr>
    <w:rPr>
      <w:rFonts w:ascii="等线" w:eastAsia="等线"/>
      <w:smallCaps/>
      <w:sz w:val="20"/>
      <w:szCs w:val="20"/>
    </w:rPr>
  </w:style>
  <w:style w:type="paragraph" w:styleId="19">
    <w:name w:val="toc 9"/>
    <w:basedOn w:val="1"/>
    <w:next w:val="1"/>
    <w:unhideWhenUsed/>
    <w:qFormat/>
    <w:uiPriority w:val="39"/>
    <w:pPr>
      <w:ind w:left="1680"/>
      <w:jc w:val="left"/>
    </w:pPr>
    <w:rPr>
      <w:rFonts w:ascii="等线" w:eastAsia="等线"/>
      <w:sz w:val="18"/>
      <w:szCs w:val="18"/>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qFormat/>
    <w:uiPriority w:val="0"/>
    <w:pPr>
      <w:spacing w:before="240" w:after="60"/>
      <w:jc w:val="center"/>
      <w:outlineLvl w:val="0"/>
    </w:pPr>
    <w:rPr>
      <w:rFonts w:ascii="Arial" w:hAnsi="Arial" w:cs="Arial"/>
      <w:b/>
      <w:bCs/>
      <w:sz w:val="32"/>
      <w:szCs w:val="32"/>
    </w:rPr>
  </w:style>
  <w:style w:type="paragraph" w:styleId="22">
    <w:name w:val="Body Text First Indent 2"/>
    <w:basedOn w:val="7"/>
    <w:qFormat/>
    <w:uiPriority w:val="0"/>
    <w:pPr>
      <w:ind w:firstLine="420" w:firstLineChars="200"/>
    </w:pPr>
  </w:style>
  <w:style w:type="character" w:styleId="25">
    <w:name w:val="Strong"/>
    <w:basedOn w:val="24"/>
    <w:qFormat/>
    <w:uiPriority w:val="99"/>
    <w:rPr>
      <w:rFonts w:cs="Times New Roman"/>
      <w:b/>
    </w:rPr>
  </w:style>
  <w:style w:type="character" w:styleId="26">
    <w:name w:val="page number"/>
    <w:basedOn w:val="24"/>
    <w:qFormat/>
    <w:uiPriority w:val="0"/>
  </w:style>
  <w:style w:type="character" w:styleId="27">
    <w:name w:val="Hyperlink"/>
    <w:basedOn w:val="24"/>
    <w:unhideWhenUsed/>
    <w:qFormat/>
    <w:uiPriority w:val="99"/>
    <w:rPr>
      <w:rFonts w:cs="Times New Roman"/>
      <w:color w:val="0000FF"/>
      <w:u w:val="single"/>
    </w:rPr>
  </w:style>
  <w:style w:type="paragraph" w:customStyle="1" w:styleId="28">
    <w:name w:val="列表段落1"/>
    <w:basedOn w:val="1"/>
    <w:qFormat/>
    <w:uiPriority w:val="34"/>
    <w:pPr>
      <w:ind w:firstLine="420" w:firstLineChars="200"/>
    </w:pPr>
  </w:style>
  <w:style w:type="paragraph" w:customStyle="1" w:styleId="29">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2">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3">
    <w:name w:val="标题 3 Char"/>
    <w:basedOn w:val="24"/>
    <w:link w:val="4"/>
    <w:qFormat/>
    <w:locked/>
    <w:uiPriority w:val="9"/>
    <w:rPr>
      <w:rFonts w:ascii="Times New Roman" w:hAnsi="Times New Roman" w:cs="Times New Roman"/>
      <w:b/>
      <w:bCs/>
      <w:kern w:val="2"/>
      <w:sz w:val="32"/>
      <w:szCs w:val="32"/>
    </w:rPr>
  </w:style>
  <w:style w:type="character" w:customStyle="1" w:styleId="34">
    <w:name w:val="正文文本 Char"/>
    <w:link w:val="6"/>
    <w:qFormat/>
    <w:locked/>
    <w:uiPriority w:val="99"/>
    <w:rPr>
      <w:rFonts w:ascii="仿宋_GB2312" w:hAnsi="Times New Roman" w:eastAsia="仿宋_GB2312"/>
      <w:sz w:val="24"/>
    </w:rPr>
  </w:style>
  <w:style w:type="character" w:customStyle="1" w:styleId="35">
    <w:name w:val="页脚 Char"/>
    <w:link w:val="12"/>
    <w:qFormat/>
    <w:locked/>
    <w:uiPriority w:val="99"/>
    <w:rPr>
      <w:sz w:val="18"/>
    </w:rPr>
  </w:style>
  <w:style w:type="character" w:customStyle="1" w:styleId="36">
    <w:name w:val="标题 1 Char"/>
    <w:basedOn w:val="24"/>
    <w:link w:val="2"/>
    <w:qFormat/>
    <w:locked/>
    <w:uiPriority w:val="9"/>
    <w:rPr>
      <w:rFonts w:ascii="Times New Roman" w:hAnsi="Times New Roman" w:cs="Times New Roman"/>
      <w:b/>
      <w:bCs/>
      <w:kern w:val="44"/>
      <w:sz w:val="44"/>
      <w:szCs w:val="44"/>
    </w:rPr>
  </w:style>
  <w:style w:type="character" w:customStyle="1" w:styleId="37">
    <w:name w:val="批注框文本 Char"/>
    <w:basedOn w:val="24"/>
    <w:link w:val="11"/>
    <w:semiHidden/>
    <w:qFormat/>
    <w:locked/>
    <w:uiPriority w:val="99"/>
    <w:rPr>
      <w:rFonts w:ascii="Times New Roman" w:hAnsi="Times New Roman" w:cs="Times New Roman"/>
      <w:kern w:val="2"/>
      <w:sz w:val="18"/>
      <w:szCs w:val="18"/>
    </w:rPr>
  </w:style>
  <w:style w:type="character" w:customStyle="1" w:styleId="38">
    <w:name w:val="Footer Char"/>
    <w:basedOn w:val="24"/>
    <w:semiHidden/>
    <w:qFormat/>
    <w:uiPriority w:val="99"/>
    <w:rPr>
      <w:rFonts w:ascii="Times New Roman" w:hAnsi="Times New Roman" w:cs="Times New Roman"/>
      <w:sz w:val="18"/>
      <w:szCs w:val="18"/>
    </w:rPr>
  </w:style>
  <w:style w:type="character" w:customStyle="1" w:styleId="39">
    <w:name w:val="Body Text Char"/>
    <w:basedOn w:val="24"/>
    <w:semiHidden/>
    <w:qFormat/>
    <w:uiPriority w:val="99"/>
    <w:rPr>
      <w:rFonts w:ascii="Times New Roman" w:hAnsi="Times New Roman" w:cs="Times New Roman"/>
      <w:sz w:val="24"/>
      <w:szCs w:val="24"/>
    </w:rPr>
  </w:style>
  <w:style w:type="character" w:customStyle="1" w:styleId="40">
    <w:name w:val="标题 2 Char"/>
    <w:basedOn w:val="24"/>
    <w:link w:val="3"/>
    <w:qFormat/>
    <w:locked/>
    <w:uiPriority w:val="9"/>
    <w:rPr>
      <w:rFonts w:ascii="Cambria" w:hAnsi="Cambria" w:eastAsia="宋体" w:cs="Times New Roman"/>
      <w:b/>
      <w:bCs/>
      <w:kern w:val="2"/>
      <w:sz w:val="32"/>
      <w:szCs w:val="32"/>
    </w:rPr>
  </w:style>
  <w:style w:type="character" w:customStyle="1" w:styleId="41">
    <w:name w:val="Header Char"/>
    <w:basedOn w:val="24"/>
    <w:semiHidden/>
    <w:qFormat/>
    <w:uiPriority w:val="99"/>
    <w:rPr>
      <w:rFonts w:ascii="Times New Roman" w:hAnsi="Times New Roman" w:cs="Times New Roman"/>
      <w:sz w:val="18"/>
      <w:szCs w:val="18"/>
    </w:rPr>
  </w:style>
  <w:style w:type="character" w:customStyle="1" w:styleId="42">
    <w:name w:val="页眉 Char"/>
    <w:link w:val="13"/>
    <w:semiHidden/>
    <w:qFormat/>
    <w:locked/>
    <w:uiPriority w:val="99"/>
    <w:rPr>
      <w:sz w:val="18"/>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96.09</c:v>
                </c:pt>
                <c:pt idx="1">
                  <c:v>95</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96.09</c:v>
                </c:pt>
                <c:pt idx="1">
                  <c:v>95</c:v>
                </c:pt>
              </c:numCache>
            </c:numRef>
          </c:val>
        </c:ser>
        <c:dLbls>
          <c:showLegendKey val="0"/>
          <c:showVal val="1"/>
          <c:showCatName val="0"/>
          <c:showSerName val="0"/>
          <c:showPercent val="0"/>
          <c:showBubbleSize val="0"/>
        </c:dLbls>
        <c:gapWidth val="75"/>
        <c:axId val="121352960"/>
        <c:axId val="121354496"/>
      </c:barChart>
      <c:catAx>
        <c:axId val="1213529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4496"/>
        <c:crosses val="autoZero"/>
        <c:auto val="1"/>
        <c:lblAlgn val="ctr"/>
        <c:lblOffset val="100"/>
        <c:noMultiLvlLbl val="0"/>
      </c:catAx>
      <c:valAx>
        <c:axId val="1213544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3529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95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94.73</c:v>
                </c:pt>
                <c:pt idx="1">
                  <c:v>0.27</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96.09</c:v>
                </c:pt>
                <c:pt idx="1">
                  <c:v>95</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96.09</c:v>
                </c:pt>
                <c:pt idx="1">
                  <c:v>95</c:v>
                </c:pt>
              </c:numCache>
            </c:numRef>
          </c:val>
        </c:ser>
        <c:dLbls>
          <c:showLegendKey val="0"/>
          <c:showVal val="1"/>
          <c:showCatName val="0"/>
          <c:showSerName val="0"/>
          <c:showPercent val="0"/>
          <c:showBubbleSize val="0"/>
        </c:dLbls>
        <c:gapWidth val="75"/>
        <c:axId val="65868160"/>
        <c:axId val="65869696"/>
      </c:barChart>
      <c:catAx>
        <c:axId val="658681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9696"/>
        <c:crosses val="autoZero"/>
        <c:auto val="1"/>
        <c:lblAlgn val="ctr"/>
        <c:lblOffset val="100"/>
        <c:noMultiLvlLbl val="0"/>
      </c:catAx>
      <c:valAx>
        <c:axId val="6586969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6816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96.09</c:v>
                </c:pt>
                <c:pt idx="1">
                  <c:v>95</c:v>
                </c:pt>
              </c:numCache>
            </c:numRef>
          </c:val>
        </c:ser>
        <c:dLbls>
          <c:showLegendKey val="0"/>
          <c:showVal val="1"/>
          <c:showCatName val="0"/>
          <c:showSerName val="0"/>
          <c:showPercent val="0"/>
          <c:showBubbleSize val="0"/>
        </c:dLbls>
        <c:gapWidth val="75"/>
        <c:axId val="65902080"/>
        <c:axId val="65903616"/>
      </c:barChart>
      <c:catAx>
        <c:axId val="659020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3616"/>
        <c:crosses val="autoZero"/>
        <c:auto val="1"/>
        <c:lblAlgn val="ctr"/>
        <c:lblOffset val="100"/>
        <c:noMultiLvlLbl val="0"/>
      </c:catAx>
      <c:valAx>
        <c:axId val="6590361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9020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72.34</c:v>
                </c:pt>
                <c:pt idx="1">
                  <c:v>11.34</c:v>
                </c:pt>
                <c:pt idx="2">
                  <c:v>4.73</c:v>
                </c:pt>
                <c:pt idx="3">
                  <c:v>6.31</c:v>
                </c:pt>
                <c:pt idx="4">
                  <c:v>0.27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2.82</c:v>
                </c:pt>
                <c:pt idx="2">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6179</Words>
  <Characters>6613</Characters>
  <Lines>11</Lines>
  <Paragraphs>18</Paragraphs>
  <TotalTime>1297</TotalTime>
  <ScaleCrop>false</ScaleCrop>
  <LinksUpToDate>false</LinksUpToDate>
  <CharactersWithSpaces>6740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2022-09-19T16:15:00Z</dcterms:created>
  <dc:creator>曹颖</dc:creator>
  <cp:lastModifiedBy>user</cp:lastModifiedBy>
  <cp:lastPrinted>2024-08-13T11:00:00Z</cp:lastPrinted>
  <dcterms:modified xsi:type="dcterms:W3CDTF">2026-05-08T15:32:31Z</dcterms:modified>
  <dc:title>阿坝州部门决算说明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90B19727F97A4F0FB53A86F5A527893C_13</vt:lpwstr>
  </property>
</Properties>
</file>