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3C52">
      <w:pPr>
        <w:jc w:val="center"/>
        <w:rPr>
          <w:rFonts w:ascii="方正小标宋简体" w:eastAsia="方正小标宋简体"/>
          <w:sz w:val="72"/>
          <w:szCs w:val="72"/>
        </w:rPr>
      </w:pPr>
      <w:bookmarkStart w:id="0" w:name="_Toc15377425"/>
      <w:bookmarkStart w:id="1" w:name="_Toc15396475"/>
      <w:bookmarkStart w:id="2" w:name="_Toc15378441"/>
      <w:bookmarkStart w:id="3" w:name="_Toc15377193"/>
      <w:bookmarkStart w:id="4" w:name="_Toc15396597"/>
    </w:p>
    <w:bookmarkEnd w:id="0"/>
    <w:bookmarkEnd w:id="1"/>
    <w:bookmarkEnd w:id="2"/>
    <w:bookmarkEnd w:id="3"/>
    <w:bookmarkEnd w:id="4"/>
    <w:p w14:paraId="51FBCA1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bookmarkStart w:id="5" w:name="_Toc15377196"/>
      <w:bookmarkStart w:id="6" w:name="_Toc15396599"/>
      <w:bookmarkStart w:id="7" w:name="_Toc79163851"/>
      <w:bookmarkStart w:id="8" w:name="_Toc79163601"/>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3</w:t>
      </w:r>
      <w:r>
        <w:rPr>
          <w:rFonts w:hint="eastAsia" w:ascii="方正小标宋简体" w:hAnsi="方正小标宋简体" w:eastAsia="方正小标宋简体" w:cs="方正小标宋简体"/>
          <w:sz w:val="48"/>
          <w:szCs w:val="48"/>
        </w:rPr>
        <w:t>年度</w:t>
      </w:r>
    </w:p>
    <w:p w14:paraId="6BE1F66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中共</w:t>
      </w: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县委机构编制委员会办公室</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lang w:eastAsia="zh-CN"/>
        </w:rPr>
        <w:t>单位</w:t>
      </w:r>
      <w:r>
        <w:rPr>
          <w:rFonts w:hint="eastAsia" w:ascii="方正小标宋简体" w:hAnsi="方正小标宋简体" w:eastAsia="方正小标宋简体" w:cs="方正小标宋简体"/>
          <w:sz w:val="48"/>
          <w:szCs w:val="48"/>
        </w:rPr>
        <w:t>决算</w:t>
      </w:r>
    </w:p>
    <w:p w14:paraId="488E566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5146810C">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219C24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7AF45426">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561FD075">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6532F9D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D158C31">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 </w:t>
      </w:r>
    </w:p>
    <w:p w14:paraId="37BE73D2">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14:paraId="0E2C1D2F">
      <w:pPr>
        <w:pStyle w:val="22"/>
        <w:keepNext w:val="0"/>
        <w:keepLines w:val="0"/>
        <w:pageBreakBefore w:val="0"/>
        <w:widowControl/>
        <w:suppressLineNumbers w:val="0"/>
        <w:kinsoku/>
        <w:wordWrap/>
        <w:overflowPunct/>
        <w:topLinePunct w:val="0"/>
        <w:bidi w:val="0"/>
        <w:spacing w:line="576" w:lineRule="exact"/>
        <w:textAlignment w:val="auto"/>
      </w:pPr>
      <w:r>
        <w:t> </w:t>
      </w:r>
    </w:p>
    <w:p w14:paraId="2399C48B">
      <w:pPr>
        <w:pStyle w:val="22"/>
        <w:keepNext w:val="0"/>
        <w:keepLines w:val="0"/>
        <w:pageBreakBefore w:val="0"/>
        <w:widowControl/>
        <w:suppressLineNumbers w:val="0"/>
        <w:kinsoku/>
        <w:wordWrap/>
        <w:overflowPunct/>
        <w:topLinePunct w:val="0"/>
        <w:bidi w:val="0"/>
        <w:spacing w:line="576" w:lineRule="exact"/>
        <w:textAlignment w:val="auto"/>
      </w:pPr>
      <w:r>
        <w:t> </w:t>
      </w:r>
    </w:p>
    <w:p w14:paraId="00D78CB8">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778FD855">
      <w:pPr>
        <w:pStyle w:val="22"/>
        <w:keepNext w:val="0"/>
        <w:keepLines w:val="0"/>
        <w:pageBreakBefore w:val="0"/>
        <w:widowControl/>
        <w:suppressLineNumbers w:val="0"/>
        <w:kinsoku/>
        <w:wordWrap/>
        <w:overflowPunct/>
        <w:topLinePunct w:val="0"/>
        <w:bidi w:val="0"/>
        <w:spacing w:line="576" w:lineRule="exact"/>
        <w:textAlignment w:val="auto"/>
      </w:pPr>
      <w:r>
        <w:t> </w:t>
      </w:r>
    </w:p>
    <w:p w14:paraId="0CDFC6D0">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3FE3DB4E">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hint="eastAsia" w:ascii="黑体" w:eastAsia="黑体"/>
          <w:color w:val="000000"/>
          <w:sz w:val="48"/>
          <w:szCs w:val="48"/>
        </w:rPr>
        <w:t>目录</w:t>
      </w:r>
    </w:p>
    <w:p w14:paraId="634775AB">
      <w:pPr>
        <w:pStyle w:val="16"/>
        <w:pageBreakBefore w:val="0"/>
        <w:kinsoku/>
        <w:wordWrap/>
        <w:overflowPunct/>
        <w:topLinePunct w:val="0"/>
        <w:bidi w:val="0"/>
        <w:spacing w:line="576" w:lineRule="exact"/>
        <w:jc w:val="center"/>
        <w:textAlignment w:val="auto"/>
      </w:pPr>
      <w:r>
        <w:rPr>
          <w:rFonts w:hint="eastAsia"/>
          <w:b w:val="0"/>
          <w:bCs w:val="0"/>
          <w:sz w:val="24"/>
          <w:szCs w:val="24"/>
        </w:rPr>
        <w:t>公开时间：202</w:t>
      </w:r>
      <w:r>
        <w:rPr>
          <w:rFonts w:hint="eastAsia"/>
          <w:b w:val="0"/>
          <w:bCs w:val="0"/>
          <w:sz w:val="24"/>
          <w:szCs w:val="24"/>
          <w:lang w:val="en-US" w:eastAsia="zh-CN"/>
        </w:rPr>
        <w:t>4</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 xml:space="preserve"> 月</w:t>
      </w:r>
      <w:r>
        <w:rPr>
          <w:rFonts w:hint="eastAsia"/>
          <w:b w:val="0"/>
          <w:bCs w:val="0"/>
          <w:sz w:val="24"/>
          <w:szCs w:val="24"/>
          <w:lang w:val="en-US" w:eastAsia="zh-CN"/>
        </w:rPr>
        <w:t>25</w:t>
      </w:r>
      <w:r>
        <w:rPr>
          <w:rFonts w:hint="eastAsia"/>
          <w:b w:val="0"/>
          <w:bCs w:val="0"/>
          <w:sz w:val="24"/>
          <w:szCs w:val="24"/>
        </w:rPr>
        <w:t xml:space="preserve"> 日</w:t>
      </w:r>
    </w:p>
    <w:p w14:paraId="64ED964C">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hAnsi="Times New Roman" w:eastAsia="黑体" w:cs="Times New Roman"/>
          <w:szCs w:val="44"/>
          <w:lang w:bidi="ar-SA"/>
        </w:rPr>
        <w:t>第一部分 单位概况</w:t>
      </w:r>
      <w:r>
        <w:tab/>
      </w:r>
      <w:r>
        <w:rPr>
          <w:rFonts w:hint="eastAsia"/>
          <w:lang w:val="en-US" w:eastAsia="zh-CN"/>
        </w:rPr>
        <w:t>4</w:t>
      </w:r>
      <w:r>
        <w:fldChar w:fldCharType="end"/>
      </w:r>
    </w:p>
    <w:p w14:paraId="06FEC4DA">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_Toc14656 </w:instrText>
      </w:r>
      <w:r>
        <w:fldChar w:fldCharType="separate"/>
      </w:r>
      <w:r>
        <w:rPr>
          <w:rFonts w:hint="eastAsia" w:ascii="黑体" w:hAnsi="Cambria" w:eastAsia="黑体" w:cs="Times New Roman"/>
          <w:kern w:val="2"/>
          <w:szCs w:val="32"/>
          <w:lang w:bidi="ar-SA"/>
        </w:rPr>
        <w:t>一、</w:t>
      </w:r>
      <w:r>
        <w:rPr>
          <w:rFonts w:hint="eastAsia" w:ascii="黑体" w:hAnsi="Cambria" w:eastAsia="黑体" w:cs="Times New Roman"/>
          <w:kern w:val="2"/>
          <w:szCs w:val="32"/>
          <w:lang w:eastAsia="zh-CN" w:bidi="ar-SA"/>
        </w:rPr>
        <w:t>主要</w:t>
      </w:r>
      <w:r>
        <w:rPr>
          <w:rFonts w:hint="eastAsia" w:ascii="黑体" w:hAnsi="Cambria" w:eastAsia="黑体" w:cs="Times New Roman"/>
          <w:kern w:val="2"/>
          <w:szCs w:val="32"/>
          <w:lang w:bidi="ar-SA"/>
        </w:rPr>
        <w:t>职责</w:t>
      </w:r>
      <w:r>
        <w:tab/>
      </w:r>
      <w:r>
        <w:rPr>
          <w:rFonts w:hint="eastAsia"/>
          <w:lang w:val="en-US" w:eastAsia="zh-CN"/>
        </w:rPr>
        <w:t>4</w:t>
      </w:r>
      <w:r>
        <w:fldChar w:fldCharType="end"/>
      </w:r>
    </w:p>
    <w:p w14:paraId="5C2EE433">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_Toc10669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5</w:t>
      </w:r>
      <w:r>
        <w:fldChar w:fldCharType="end"/>
      </w:r>
    </w:p>
    <w:p w14:paraId="54C4C0C5">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_Toc26951 </w:instrText>
      </w:r>
      <w:r>
        <w:fldChar w:fldCharType="separate"/>
      </w:r>
      <w:r>
        <w:rPr>
          <w:rFonts w:hint="eastAsia" w:ascii="黑体" w:hAnsi="Times New Roman" w:eastAsia="黑体" w:cs="Times New Roman"/>
          <w:szCs w:val="44"/>
          <w:lang w:bidi="ar-SA"/>
        </w:rPr>
        <w:t>第二部分 202</w:t>
      </w:r>
      <w:r>
        <w:rPr>
          <w:rFonts w:hint="eastAsia" w:ascii="黑体" w:eastAsia="黑体" w:cs="Times New Roman"/>
          <w:szCs w:val="44"/>
          <w:lang w:val="en-US" w:eastAsia="zh-CN" w:bidi="ar-SA"/>
        </w:rPr>
        <w:t>3</w:t>
      </w:r>
      <w:r>
        <w:rPr>
          <w:rFonts w:hint="eastAsia" w:ascii="黑体" w:hAnsi="Times New Roman" w:eastAsia="黑体" w:cs="Times New Roman"/>
          <w:szCs w:val="44"/>
          <w:lang w:bidi="ar-SA"/>
        </w:rPr>
        <w:t>年度单位决算情况说明</w:t>
      </w:r>
      <w:r>
        <w:tab/>
      </w:r>
      <w:r>
        <w:rPr>
          <w:rFonts w:hint="eastAsia"/>
          <w:lang w:val="en-US" w:eastAsia="zh-CN"/>
        </w:rPr>
        <w:t>6</w:t>
      </w:r>
      <w:r>
        <w:fldChar w:fldCharType="end"/>
      </w:r>
    </w:p>
    <w:p w14:paraId="4686A76A">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_Toc12554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6</w:t>
      </w:r>
      <w:r>
        <w:fldChar w:fldCharType="end"/>
      </w:r>
    </w:p>
    <w:p w14:paraId="52467CAE">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_Toc11583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6</w:t>
      </w:r>
      <w:r>
        <w:fldChar w:fldCharType="end"/>
      </w:r>
    </w:p>
    <w:p w14:paraId="2D592DD5">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_Toc18578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7</w:t>
      </w:r>
      <w:r>
        <w:fldChar w:fldCharType="end"/>
      </w:r>
    </w:p>
    <w:p w14:paraId="4D243C79">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_Toc26488 </w:instrText>
      </w:r>
      <w:r>
        <w:fldChar w:fldCharType="separate"/>
      </w:r>
      <w:r>
        <w:rPr>
          <w:rFonts w:hint="default" w:ascii="黑体" w:hAnsi="Times New Roman" w:eastAsia="黑体" w:cs="Times New Roman"/>
          <w:szCs w:val="32"/>
        </w:rPr>
        <w:t xml:space="preserve">四、 </w:t>
      </w:r>
      <w:r>
        <w:rPr>
          <w:rFonts w:hint="eastAsia" w:ascii="黑体" w:hAnsi="Times New Roman" w:eastAsia="黑体" w:cs="Times New Roman"/>
          <w:szCs w:val="32"/>
        </w:rPr>
        <w:t>财政拨款收入支出决算总体情况说明</w:t>
      </w:r>
      <w:r>
        <w:tab/>
      </w:r>
      <w:r>
        <w:fldChar w:fldCharType="end"/>
      </w:r>
      <w:r>
        <w:rPr>
          <w:rFonts w:hint="eastAsia"/>
          <w:lang w:val="en-US" w:eastAsia="zh-CN"/>
        </w:rPr>
        <w:t>7</w:t>
      </w:r>
    </w:p>
    <w:p w14:paraId="22468E5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_Toc5657 </w:instrText>
      </w:r>
      <w:r>
        <w:fldChar w:fldCharType="separate"/>
      </w:r>
      <w:r>
        <w:rPr>
          <w:rFonts w:hint="default" w:ascii="黑体" w:hAnsi="Times New Roman" w:eastAsia="黑体" w:cs="Times New Roman"/>
          <w:szCs w:val="32"/>
        </w:rPr>
        <w:t xml:space="preserve">五、 </w:t>
      </w:r>
      <w:r>
        <w:rPr>
          <w:rFonts w:hint="eastAsia" w:ascii="黑体" w:hAnsi="Times New Roman" w:eastAsia="黑体" w:cs="Times New Roman"/>
          <w:szCs w:val="32"/>
        </w:rPr>
        <w:t>一般公共预算财政拨款支出决算情况说明</w:t>
      </w:r>
      <w:r>
        <w:tab/>
      </w:r>
      <w:r>
        <w:fldChar w:fldCharType="end"/>
      </w:r>
      <w:r>
        <w:rPr>
          <w:rFonts w:hint="eastAsia"/>
          <w:lang w:val="en-US" w:eastAsia="zh-CN"/>
        </w:rPr>
        <w:t>8</w:t>
      </w:r>
    </w:p>
    <w:p w14:paraId="192A26CC">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_Toc17476 </w:instrText>
      </w:r>
      <w:r>
        <w:fldChar w:fldCharType="separate"/>
      </w:r>
      <w:r>
        <w:rPr>
          <w:rFonts w:hint="eastAsia" w:ascii="黑体" w:hAnsi="Times New Roman" w:eastAsia="黑体" w:cs="Times New Roman"/>
          <w:szCs w:val="32"/>
        </w:rPr>
        <w:t>六、一般公共预算财政拨款基本支出决算情况说明   </w:t>
      </w:r>
      <w:r>
        <w:tab/>
      </w:r>
      <w:r>
        <w:rPr>
          <w:rFonts w:hint="eastAsia"/>
          <w:lang w:val="en-US" w:eastAsia="zh-CN"/>
        </w:rPr>
        <w:t>1</w:t>
      </w:r>
      <w:r>
        <w:fldChar w:fldCharType="end"/>
      </w:r>
      <w:r>
        <w:rPr>
          <w:rFonts w:hint="eastAsia"/>
          <w:lang w:val="en-US" w:eastAsia="zh-CN"/>
        </w:rPr>
        <w:t>0</w:t>
      </w:r>
    </w:p>
    <w:p w14:paraId="3AF3891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_Toc31902 </w:instrText>
      </w:r>
      <w:r>
        <w:fldChar w:fldCharType="separate"/>
      </w:r>
      <w:r>
        <w:rPr>
          <w:rFonts w:hint="eastAsia" w:ascii="黑体" w:hAnsi="Times New Roman" w:eastAsia="黑体" w:cs="Times New Roman"/>
          <w:szCs w:val="32"/>
        </w:rPr>
        <w:t>七、财政拨款</w:t>
      </w:r>
      <w:r>
        <w:rPr>
          <w:rFonts w:hint="eastAsia" w:ascii="黑体" w:hAnsi="Times New Roman" w:eastAsia="黑体" w:cs="Times New Roman"/>
          <w:szCs w:val="32"/>
          <w:lang w:eastAsia="zh-CN"/>
        </w:rPr>
        <w:t>“</w:t>
      </w:r>
      <w:r>
        <w:rPr>
          <w:rFonts w:hint="eastAsia" w:ascii="黑体" w:hAnsi="Times New Roman" w:eastAsia="黑体" w:cs="Times New Roman"/>
          <w:szCs w:val="32"/>
        </w:rPr>
        <w:t>三公”经费支出决算情况说明</w:t>
      </w:r>
      <w:r>
        <w:tab/>
      </w:r>
      <w:r>
        <w:rPr>
          <w:rFonts w:hint="eastAsia"/>
          <w:lang w:val="en-US" w:eastAsia="zh-CN"/>
        </w:rPr>
        <w:t>1</w:t>
      </w:r>
      <w:r>
        <w:fldChar w:fldCharType="end"/>
      </w:r>
      <w:r>
        <w:rPr>
          <w:rFonts w:hint="eastAsia"/>
          <w:lang w:val="en-US" w:eastAsia="zh-CN"/>
        </w:rPr>
        <w:t>1</w:t>
      </w:r>
    </w:p>
    <w:p w14:paraId="03EA1F8E">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_Toc1331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2</w:t>
      </w:r>
    </w:p>
    <w:p w14:paraId="7FD139A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_Toc18417 </w:instrText>
      </w:r>
      <w:r>
        <w:fldChar w:fldCharType="separate"/>
      </w:r>
      <w:r>
        <w:rPr>
          <w:rFonts w:hint="eastAsia" w:ascii="黑体" w:hAnsi="Times New Roman" w:eastAsia="黑体" w:cs="Times New Roman"/>
          <w:szCs w:val="32"/>
        </w:rPr>
        <w:t>九、国有资本经营预算支出决算情况说明</w:t>
      </w:r>
      <w:r>
        <w:tab/>
      </w:r>
      <w:r>
        <w:rPr>
          <w:rFonts w:hint="eastAsia"/>
          <w:lang w:val="en-US" w:eastAsia="zh-CN"/>
        </w:rPr>
        <w:t>1</w:t>
      </w:r>
      <w:r>
        <w:fldChar w:fldCharType="end"/>
      </w:r>
      <w:r>
        <w:rPr>
          <w:rFonts w:hint="eastAsia"/>
          <w:lang w:val="en-US" w:eastAsia="zh-CN"/>
        </w:rPr>
        <w:t>2</w:t>
      </w:r>
    </w:p>
    <w:p w14:paraId="0658E5B1">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_Toc26033 </w:instrText>
      </w:r>
      <w:r>
        <w:fldChar w:fldCharType="separate"/>
      </w:r>
      <w:r>
        <w:rPr>
          <w:rFonts w:hint="eastAsia" w:ascii="黑体" w:hAnsi="Times New Roman" w:eastAsia="黑体" w:cs="Times New Roman"/>
          <w:kern w:val="2"/>
          <w:szCs w:val="32"/>
          <w:lang w:val="en-US" w:eastAsia="zh-CN" w:bidi="ar-SA"/>
        </w:rPr>
        <w:t>十、其他重要事项的情况说明</w:t>
      </w:r>
      <w:r>
        <w:tab/>
      </w:r>
      <w:r>
        <w:rPr>
          <w:rFonts w:hint="eastAsia"/>
          <w:lang w:val="en-US" w:eastAsia="zh-CN"/>
        </w:rPr>
        <w:t>1</w:t>
      </w:r>
      <w:r>
        <w:fldChar w:fldCharType="end"/>
      </w:r>
      <w:r>
        <w:rPr>
          <w:rFonts w:hint="eastAsia"/>
          <w:lang w:val="en-US" w:eastAsia="zh-CN"/>
        </w:rPr>
        <w:t>2</w:t>
      </w:r>
    </w:p>
    <w:p w14:paraId="12E4E818">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_Toc24473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4</w:t>
      </w:r>
    </w:p>
    <w:p w14:paraId="4A8338D8">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_Toc7978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7</w:t>
      </w:r>
    </w:p>
    <w:p w14:paraId="5EE0FA51">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_Toc9504 </w:instrText>
      </w:r>
      <w:r>
        <w:fldChar w:fldCharType="separate"/>
      </w:r>
      <w:r>
        <w:rPr>
          <w:rFonts w:hint="eastAsia" w:ascii="黑体" w:hAnsi="Times New Roman" w:eastAsia="黑体" w:cs="Times New Roman"/>
          <w:szCs w:val="44"/>
        </w:rPr>
        <w:t>第五部分 附表</w:t>
      </w:r>
      <w:r>
        <w:tab/>
      </w:r>
      <w:r>
        <w:fldChar w:fldCharType="begin"/>
      </w:r>
      <w:r>
        <w:instrText xml:space="preserve"> PAGEREF _Toc9504 \h </w:instrText>
      </w:r>
      <w:r>
        <w:fldChar w:fldCharType="separate"/>
      </w:r>
      <w:r>
        <w:t>18</w:t>
      </w:r>
      <w:r>
        <w:fldChar w:fldCharType="end"/>
      </w:r>
      <w:r>
        <w:fldChar w:fldCharType="end"/>
      </w:r>
    </w:p>
    <w:p w14:paraId="31DC5828">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_Toc26370 </w:instrText>
      </w:r>
      <w:r>
        <w:fldChar w:fldCharType="separate"/>
      </w:r>
      <w:r>
        <w:rPr>
          <w:rFonts w:hint="eastAsia" w:ascii="仿宋" w:hAnsi="Cambria" w:eastAsia="仿宋" w:cs="Times New Roman"/>
          <w:kern w:val="2"/>
          <w:szCs w:val="32"/>
          <w:lang w:bidi="ar-SA"/>
        </w:rPr>
        <w:t>一、收入支出决算总表</w:t>
      </w:r>
      <w:r>
        <w:fldChar w:fldCharType="end"/>
      </w:r>
    </w:p>
    <w:p w14:paraId="13DBB852">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_Toc13591 </w:instrText>
      </w:r>
      <w:r>
        <w:fldChar w:fldCharType="separate"/>
      </w:r>
      <w:r>
        <w:rPr>
          <w:rFonts w:hint="eastAsia" w:ascii="仿宋" w:hAnsi="Cambria" w:eastAsia="仿宋" w:cs="Times New Roman"/>
          <w:kern w:val="2"/>
          <w:szCs w:val="32"/>
          <w:lang w:bidi="ar-SA"/>
        </w:rPr>
        <w:t>二、收入决算表</w:t>
      </w:r>
      <w:r>
        <w:fldChar w:fldCharType="end"/>
      </w:r>
    </w:p>
    <w:p w14:paraId="3A255848">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_Toc16600 </w:instrText>
      </w:r>
      <w:r>
        <w:fldChar w:fldCharType="separate"/>
      </w:r>
      <w:r>
        <w:rPr>
          <w:rFonts w:hint="eastAsia" w:ascii="仿宋" w:hAnsi="Cambria" w:eastAsia="仿宋" w:cs="Times New Roman"/>
          <w:kern w:val="2"/>
          <w:szCs w:val="32"/>
          <w:lang w:bidi="ar-SA"/>
        </w:rPr>
        <w:t>三、支出决算表</w:t>
      </w:r>
      <w:r>
        <w:fldChar w:fldCharType="end"/>
      </w:r>
    </w:p>
    <w:p w14:paraId="16C60902">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_Toc26630 </w:instrText>
      </w:r>
      <w:r>
        <w:fldChar w:fldCharType="separate"/>
      </w:r>
      <w:r>
        <w:rPr>
          <w:rFonts w:hint="eastAsia" w:ascii="仿宋" w:hAnsi="Cambria" w:eastAsia="仿宋" w:cs="Times New Roman"/>
          <w:kern w:val="2"/>
          <w:szCs w:val="32"/>
          <w:lang w:bidi="ar-SA"/>
        </w:rPr>
        <w:t>四、财政拨款收入支出决算总表</w:t>
      </w:r>
      <w:r>
        <w:fldChar w:fldCharType="end"/>
      </w:r>
    </w:p>
    <w:p w14:paraId="5E3E0028">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_Toc19934 </w:instrText>
      </w:r>
      <w:r>
        <w:fldChar w:fldCharType="separate"/>
      </w:r>
      <w:r>
        <w:rPr>
          <w:rFonts w:hint="eastAsia" w:ascii="仿宋" w:hAnsi="Cambria" w:eastAsia="仿宋" w:cs="Times New Roman"/>
          <w:kern w:val="2"/>
          <w:szCs w:val="32"/>
          <w:lang w:bidi="ar-SA"/>
        </w:rPr>
        <w:t>五、财政拨款支出决算明细表</w:t>
      </w:r>
      <w:r>
        <w:fldChar w:fldCharType="end"/>
      </w:r>
    </w:p>
    <w:p w14:paraId="77F353C8">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_Toc6686 </w:instrText>
      </w:r>
      <w:r>
        <w:fldChar w:fldCharType="separate"/>
      </w:r>
      <w:r>
        <w:rPr>
          <w:rFonts w:hint="eastAsia" w:ascii="仿宋" w:hAnsi="Cambria" w:eastAsia="仿宋" w:cs="Times New Roman"/>
          <w:kern w:val="2"/>
          <w:szCs w:val="32"/>
          <w:lang w:bidi="ar-SA"/>
        </w:rPr>
        <w:t>六、一般公共预算财政拨款支出决算表</w:t>
      </w:r>
      <w:r>
        <w:fldChar w:fldCharType="end"/>
      </w:r>
    </w:p>
    <w:p w14:paraId="57B06E75">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_Toc19514 </w:instrText>
      </w:r>
      <w:r>
        <w:fldChar w:fldCharType="separate"/>
      </w:r>
      <w:r>
        <w:rPr>
          <w:rFonts w:hint="eastAsia" w:ascii="仿宋" w:hAnsi="Cambria" w:eastAsia="仿宋" w:cs="Times New Roman"/>
          <w:kern w:val="2"/>
          <w:szCs w:val="32"/>
          <w:lang w:bidi="ar-SA"/>
        </w:rPr>
        <w:t>七、一般公共预算财政拨款支出决算明细表</w:t>
      </w:r>
      <w:r>
        <w:fldChar w:fldCharType="end"/>
      </w:r>
    </w:p>
    <w:p w14:paraId="7B1D2C87">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_Toc191 </w:instrText>
      </w:r>
      <w:r>
        <w:fldChar w:fldCharType="separate"/>
      </w:r>
      <w:r>
        <w:rPr>
          <w:rFonts w:hint="eastAsia" w:ascii="仿宋" w:hAnsi="Cambria" w:eastAsia="仿宋" w:cs="Times New Roman"/>
          <w:kern w:val="2"/>
          <w:szCs w:val="32"/>
          <w:lang w:bidi="ar-SA"/>
        </w:rPr>
        <w:t>八、一般公共预算财政拨款基本支出决算表</w:t>
      </w:r>
      <w:r>
        <w:fldChar w:fldCharType="end"/>
      </w:r>
    </w:p>
    <w:p w14:paraId="7D81AA64">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_Toc5204 </w:instrText>
      </w:r>
      <w:r>
        <w:fldChar w:fldCharType="separate"/>
      </w:r>
      <w:r>
        <w:rPr>
          <w:rFonts w:hint="eastAsia" w:ascii="仿宋" w:hAnsi="Cambria" w:eastAsia="仿宋" w:cs="Times New Roman"/>
          <w:kern w:val="2"/>
          <w:szCs w:val="32"/>
          <w:lang w:bidi="ar-SA"/>
        </w:rPr>
        <w:t>九、一般公共预算财政拨款项目支出决算表</w:t>
      </w:r>
      <w:r>
        <w:fldChar w:fldCharType="end"/>
      </w:r>
    </w:p>
    <w:p w14:paraId="7B396A88">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_Toc20756 </w:instrText>
      </w:r>
      <w:r>
        <w:fldChar w:fldCharType="separate"/>
      </w:r>
      <w:r>
        <w:rPr>
          <w:rFonts w:hint="eastAsia" w:ascii="仿宋" w:hAnsi="Cambria" w:eastAsia="仿宋" w:cs="Times New Roman"/>
          <w:kern w:val="2"/>
          <w:szCs w:val="32"/>
          <w:lang w:bidi="ar-SA"/>
        </w:rPr>
        <w:t>十、政府性基金预算财政拨款收入支出决算表</w:t>
      </w:r>
      <w:r>
        <w:fldChar w:fldCharType="end"/>
      </w:r>
    </w:p>
    <w:p w14:paraId="7D3C9E4F">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_Toc21387 </w:instrText>
      </w:r>
      <w:r>
        <w:fldChar w:fldCharType="separate"/>
      </w:r>
      <w:r>
        <w:rPr>
          <w:rFonts w:hint="eastAsia" w:ascii="仿宋" w:hAnsi="Cambria" w:eastAsia="仿宋" w:cs="Times New Roman"/>
          <w:kern w:val="2"/>
          <w:szCs w:val="32"/>
          <w:lang w:bidi="ar-SA"/>
        </w:rPr>
        <w:t>十一、国有资本经营预算财政拨款收入支出决算表</w:t>
      </w:r>
      <w:r>
        <w:fldChar w:fldCharType="end"/>
      </w:r>
    </w:p>
    <w:p w14:paraId="71409780">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_Toc1140 </w:instrText>
      </w:r>
      <w:r>
        <w:fldChar w:fldCharType="separate"/>
      </w:r>
      <w:r>
        <w:rPr>
          <w:rFonts w:hint="eastAsia" w:ascii="仿宋" w:hAnsi="Cambria" w:eastAsia="仿宋" w:cs="Times New Roman"/>
          <w:kern w:val="2"/>
          <w:szCs w:val="32"/>
          <w:lang w:bidi="ar-SA"/>
        </w:rPr>
        <w:t>十二、国有资本经营预算财政拨款支出决算表</w:t>
      </w:r>
      <w:r>
        <w:fldChar w:fldCharType="end"/>
      </w:r>
    </w:p>
    <w:p w14:paraId="57E00E35">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_Toc24957 </w:instrText>
      </w:r>
      <w:r>
        <w:fldChar w:fldCharType="separate"/>
      </w:r>
      <w:r>
        <w:rPr>
          <w:rFonts w:hint="eastAsia" w:ascii="仿宋" w:hAnsi="Cambria" w:eastAsia="仿宋" w:cs="Times New Roman"/>
          <w:kern w:val="2"/>
          <w:szCs w:val="32"/>
          <w:lang w:bidi="ar-SA"/>
        </w:rPr>
        <w:t>十三、财政拨款“三公”经费支出决算表</w:t>
      </w:r>
      <w:r>
        <w:fldChar w:fldCharType="end"/>
      </w:r>
    </w:p>
    <w:p w14:paraId="3DB061F8">
      <w:pPr>
        <w:pageBreakBefore w:val="0"/>
        <w:kinsoku/>
        <w:wordWrap/>
        <w:overflowPunct/>
        <w:topLinePunct w:val="0"/>
        <w:bidi w:val="0"/>
        <w:spacing w:line="576" w:lineRule="exact"/>
        <w:textAlignment w:val="auto"/>
      </w:pPr>
      <w:r>
        <w:fldChar w:fldCharType="end"/>
      </w:r>
    </w:p>
    <w:p w14:paraId="266F66B4">
      <w:pPr>
        <w:pageBreakBefore w:val="0"/>
        <w:widowControl/>
        <w:kinsoku/>
        <w:wordWrap/>
        <w:overflowPunct/>
        <w:topLinePunct w:val="0"/>
        <w:bidi w:val="0"/>
        <w:adjustRightInd w:val="0"/>
        <w:snapToGrid w:val="0"/>
        <w:spacing w:line="576" w:lineRule="exact"/>
        <w:ind w:firstLine="1155" w:firstLineChars="550"/>
        <w:jc w:val="left"/>
        <w:textAlignment w:val="auto"/>
      </w:pPr>
    </w:p>
    <w:p w14:paraId="01883BF6">
      <w:pPr>
        <w:pageBreakBefore w:val="0"/>
        <w:widowControl/>
        <w:kinsoku/>
        <w:wordWrap/>
        <w:overflowPunct/>
        <w:topLinePunct w:val="0"/>
        <w:bidi w:val="0"/>
        <w:adjustRightInd w:val="0"/>
        <w:snapToGrid w:val="0"/>
        <w:spacing w:line="576" w:lineRule="exact"/>
        <w:ind w:firstLine="1155" w:firstLineChars="550"/>
        <w:jc w:val="left"/>
        <w:textAlignment w:val="auto"/>
      </w:pPr>
      <w:r>
        <w:t> </w:t>
      </w:r>
    </w:p>
    <w:p w14:paraId="5760D28B">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7EFA94E">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8934072">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68FFD86F">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18D60407">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5AAABDD5">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0FBDB89C">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0758654">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1CAECD7">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582AA7DB">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1C88C76F">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50B3998B">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1F3D676">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概况</w:t>
      </w:r>
      <w:bookmarkEnd w:id="5"/>
      <w:bookmarkEnd w:id="6"/>
      <w:bookmarkEnd w:id="7"/>
      <w:bookmarkEnd w:id="8"/>
    </w:p>
    <w:p w14:paraId="4A3008D4">
      <w:pPr>
        <w:keepNext w:val="0"/>
        <w:keepLines w:val="0"/>
        <w:pageBreakBefore w:val="0"/>
        <w:widowControl/>
        <w:kinsoku/>
        <w:wordWrap/>
        <w:overflowPunct/>
        <w:topLinePunct w:val="0"/>
        <w:autoSpaceDE/>
        <w:autoSpaceDN/>
        <w:bidi w:val="0"/>
        <w:spacing w:line="576" w:lineRule="exact"/>
        <w:jc w:val="left"/>
        <w:textAlignment w:val="auto"/>
        <w:rPr>
          <w:rFonts w:ascii="黑体" w:eastAsia="黑体"/>
          <w:color w:val="000000"/>
          <w:sz w:val="32"/>
          <w:szCs w:val="32"/>
        </w:rPr>
      </w:pPr>
    </w:p>
    <w:p w14:paraId="60AB4457">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sz w:val="32"/>
          <w:szCs w:val="32"/>
          <w:lang w:eastAsia="zh-CN"/>
        </w:rPr>
      </w:pPr>
      <w:bookmarkStart w:id="9" w:name="_Toc15377198"/>
      <w:bookmarkStart w:id="10" w:name="_Toc15378445"/>
      <w:r>
        <w:rPr>
          <w:rFonts w:hint="eastAsia" w:ascii="黑体" w:hAnsi="黑体" w:eastAsia="黑体"/>
          <w:sz w:val="32"/>
          <w:szCs w:val="32"/>
        </w:rPr>
        <w:t>一、</w:t>
      </w:r>
      <w:r>
        <w:rPr>
          <w:rFonts w:hint="eastAsia" w:ascii="黑体" w:hAnsi="黑体" w:eastAsia="黑体"/>
          <w:sz w:val="32"/>
          <w:szCs w:val="32"/>
          <w:lang w:eastAsia="zh-CN"/>
        </w:rPr>
        <w:t>主要</w:t>
      </w:r>
      <w:r>
        <w:rPr>
          <w:rFonts w:hint="eastAsia" w:ascii="黑体" w:hAnsi="黑体" w:eastAsia="黑体"/>
          <w:sz w:val="32"/>
          <w:szCs w:val="32"/>
        </w:rPr>
        <w:t>职</w:t>
      </w:r>
      <w:r>
        <w:rPr>
          <w:rFonts w:hint="eastAsia" w:ascii="黑体" w:hAnsi="黑体" w:eastAsia="黑体"/>
          <w:sz w:val="32"/>
          <w:szCs w:val="32"/>
          <w:lang w:eastAsia="zh-CN"/>
        </w:rPr>
        <w:t>责</w:t>
      </w:r>
    </w:p>
    <w:bookmarkEnd w:id="9"/>
    <w:bookmarkEnd w:id="10"/>
    <w:p w14:paraId="18205C78">
      <w:pPr>
        <w:keepNext w:val="0"/>
        <w:keepLines w:val="0"/>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sz w:val="32"/>
          <w:szCs w:val="32"/>
        </w:rPr>
      </w:pPr>
      <w:bookmarkStart w:id="11" w:name="_Toc15377199"/>
      <w:bookmarkStart w:id="12" w:name="_Toc15378446"/>
      <w:r>
        <w:rPr>
          <w:rFonts w:hint="eastAsia" w:ascii="楷体_GB2312" w:hAnsi="楷体_GB2312" w:eastAsia="楷体_GB2312" w:cs="楷体_GB2312"/>
          <w:b/>
          <w:sz w:val="32"/>
          <w:szCs w:val="32"/>
        </w:rPr>
        <w:t>（一）主要职能</w:t>
      </w:r>
    </w:p>
    <w:p w14:paraId="59920867">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14:paraId="689AFD17">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14:paraId="0905E793">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342FBE46">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79CBC0CD">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14:paraId="39B26763">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14:paraId="4E54D8FF">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14:paraId="48780E59">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14:paraId="6A0C930B">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14:paraId="529A537F">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承办县委、县人民政府和州机构编制委员会办公室交办的其他事项。</w:t>
      </w:r>
    </w:p>
    <w:bookmarkEnd w:id="11"/>
    <w:bookmarkEnd w:id="12"/>
    <w:p w14:paraId="23080318">
      <w:pPr>
        <w:keepNext w:val="0"/>
        <w:keepLines w:val="0"/>
        <w:pageBreakBefore w:val="0"/>
        <w:kinsoku/>
        <w:wordWrap/>
        <w:overflowPunct/>
        <w:topLinePunct w:val="0"/>
        <w:autoSpaceDE/>
        <w:autoSpaceDN/>
        <w:bidi w:val="0"/>
        <w:spacing w:line="576" w:lineRule="exact"/>
        <w:ind w:firstLine="640" w:firstLineChars="200"/>
        <w:textAlignment w:val="auto"/>
        <w:rPr>
          <w:rStyle w:val="41"/>
          <w:rFonts w:ascii="黑体" w:hAnsi="黑体" w:eastAsia="黑体"/>
          <w:b w:val="0"/>
          <w:bCs w:val="0"/>
        </w:rPr>
      </w:pPr>
      <w:bookmarkStart w:id="13" w:name="_Toc15377200"/>
      <w:bookmarkStart w:id="14" w:name="_Toc15396601"/>
      <w:r>
        <w:rPr>
          <w:rFonts w:hint="eastAsia" w:ascii="黑体" w:eastAsia="黑体"/>
          <w:sz w:val="32"/>
          <w:szCs w:val="32"/>
        </w:rPr>
        <w:t>二、</w:t>
      </w:r>
      <w:r>
        <w:rPr>
          <w:rFonts w:hint="eastAsia" w:ascii="黑体" w:hAnsi="黑体" w:eastAsia="黑体"/>
          <w:sz w:val="32"/>
          <w:szCs w:val="32"/>
        </w:rPr>
        <w:t>机</w:t>
      </w:r>
      <w:r>
        <w:rPr>
          <w:rStyle w:val="41"/>
          <w:rFonts w:hint="eastAsia" w:ascii="黑体" w:hAnsi="黑体" w:eastAsia="黑体"/>
          <w:b w:val="0"/>
          <w:bCs w:val="0"/>
        </w:rPr>
        <w:t>构设置</w:t>
      </w:r>
      <w:bookmarkEnd w:id="13"/>
      <w:bookmarkEnd w:id="14"/>
    </w:p>
    <w:p w14:paraId="6B39B50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编办列县委工作机关序列，属行政单位，其中内设机构1个（综合股），下属事业机构2个（事业单位登记管理局、机构编制实名制中心）。</w:t>
      </w:r>
      <w:bookmarkStart w:id="15" w:name="_Toc15396602"/>
      <w:bookmarkStart w:id="16" w:name="_Toc79163859"/>
      <w:bookmarkStart w:id="17" w:name="_Toc15377204"/>
      <w:bookmarkStart w:id="18" w:name="_Toc79163609"/>
    </w:p>
    <w:p w14:paraId="30A118AF">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p>
    <w:p w14:paraId="44B06E41">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p>
    <w:p w14:paraId="07C20CA9">
      <w:pPr>
        <w:spacing w:line="576" w:lineRule="exact"/>
        <w:ind w:firstLine="640" w:firstLineChars="200"/>
        <w:rPr>
          <w:rFonts w:hint="eastAsia" w:ascii="仿宋_GB2312" w:hAnsi="仿宋_GB2312" w:eastAsia="仿宋_GB2312" w:cs="仿宋_GB2312"/>
          <w:sz w:val="32"/>
          <w:szCs w:val="32"/>
        </w:rPr>
      </w:pPr>
    </w:p>
    <w:p w14:paraId="2F26D5A0">
      <w:pPr>
        <w:spacing w:line="576" w:lineRule="exact"/>
        <w:ind w:firstLine="640" w:firstLineChars="200"/>
        <w:rPr>
          <w:rFonts w:hint="eastAsia" w:ascii="仿宋_GB2312" w:hAnsi="仿宋_GB2312" w:eastAsia="仿宋_GB2312" w:cs="仿宋_GB2312"/>
          <w:sz w:val="32"/>
          <w:szCs w:val="32"/>
        </w:rPr>
      </w:pPr>
    </w:p>
    <w:p w14:paraId="48389F62">
      <w:pPr>
        <w:spacing w:line="576" w:lineRule="exact"/>
        <w:ind w:firstLine="640" w:firstLineChars="200"/>
        <w:rPr>
          <w:rFonts w:hint="eastAsia" w:ascii="仿宋_GB2312" w:hAnsi="仿宋_GB2312" w:eastAsia="仿宋_GB2312" w:cs="仿宋_GB2312"/>
          <w:sz w:val="32"/>
          <w:szCs w:val="32"/>
        </w:rPr>
      </w:pPr>
    </w:p>
    <w:p w14:paraId="119CBC1B">
      <w:pPr>
        <w:spacing w:line="576" w:lineRule="exact"/>
        <w:ind w:firstLine="640" w:firstLineChars="200"/>
        <w:rPr>
          <w:rFonts w:hint="eastAsia" w:ascii="仿宋_GB2312" w:hAnsi="仿宋_GB2312" w:eastAsia="仿宋_GB2312" w:cs="仿宋_GB2312"/>
          <w:sz w:val="32"/>
          <w:szCs w:val="32"/>
        </w:rPr>
      </w:pPr>
    </w:p>
    <w:p w14:paraId="17F21491">
      <w:pPr>
        <w:spacing w:line="576" w:lineRule="exact"/>
        <w:ind w:firstLine="640" w:firstLineChars="200"/>
        <w:rPr>
          <w:rFonts w:hint="eastAsia" w:ascii="仿宋_GB2312" w:hAnsi="仿宋_GB2312" w:eastAsia="仿宋_GB2312" w:cs="仿宋_GB2312"/>
          <w:sz w:val="32"/>
          <w:szCs w:val="32"/>
        </w:rPr>
      </w:pPr>
    </w:p>
    <w:p w14:paraId="76B479EF">
      <w:pPr>
        <w:spacing w:line="576" w:lineRule="exact"/>
        <w:ind w:firstLine="640" w:firstLineChars="200"/>
        <w:rPr>
          <w:rFonts w:hint="eastAsia" w:ascii="仿宋_GB2312" w:hAnsi="仿宋_GB2312" w:eastAsia="仿宋_GB2312" w:cs="仿宋_GB2312"/>
          <w:sz w:val="32"/>
          <w:szCs w:val="32"/>
        </w:rPr>
      </w:pPr>
    </w:p>
    <w:p w14:paraId="6F54321A">
      <w:pPr>
        <w:spacing w:line="576" w:lineRule="exact"/>
        <w:ind w:firstLine="640" w:firstLineChars="200"/>
        <w:rPr>
          <w:rFonts w:hint="eastAsia" w:ascii="仿宋_GB2312" w:hAnsi="仿宋_GB2312" w:eastAsia="仿宋_GB2312" w:cs="仿宋_GB2312"/>
          <w:sz w:val="32"/>
          <w:szCs w:val="32"/>
        </w:rPr>
      </w:pPr>
    </w:p>
    <w:p w14:paraId="242E4A7B">
      <w:pPr>
        <w:spacing w:line="576" w:lineRule="exact"/>
        <w:ind w:firstLine="640" w:firstLineChars="200"/>
        <w:rPr>
          <w:rFonts w:hint="eastAsia" w:ascii="仿宋_GB2312" w:hAnsi="仿宋_GB2312" w:eastAsia="仿宋_GB2312" w:cs="仿宋_GB2312"/>
          <w:sz w:val="32"/>
          <w:szCs w:val="32"/>
        </w:rPr>
      </w:pPr>
    </w:p>
    <w:p w14:paraId="05CDA601">
      <w:pPr>
        <w:spacing w:line="576" w:lineRule="exact"/>
        <w:ind w:firstLine="640" w:firstLineChars="200"/>
        <w:rPr>
          <w:rFonts w:hint="eastAsia" w:ascii="仿宋_GB2312" w:hAnsi="仿宋_GB2312" w:eastAsia="仿宋_GB2312" w:cs="仿宋_GB2312"/>
          <w:sz w:val="32"/>
          <w:szCs w:val="32"/>
        </w:rPr>
      </w:pPr>
    </w:p>
    <w:p w14:paraId="586E02F1">
      <w:pPr>
        <w:spacing w:line="576" w:lineRule="exact"/>
        <w:ind w:firstLine="640" w:firstLineChars="200"/>
        <w:rPr>
          <w:rFonts w:hint="eastAsia" w:ascii="仿宋_GB2312" w:hAnsi="仿宋_GB2312" w:eastAsia="仿宋_GB2312" w:cs="仿宋_GB2312"/>
          <w:sz w:val="32"/>
          <w:szCs w:val="32"/>
        </w:rPr>
      </w:pPr>
    </w:p>
    <w:p w14:paraId="336C509C">
      <w:pPr>
        <w:pStyle w:val="5"/>
        <w:pageBreakBefore w:val="0"/>
        <w:widowControl w:val="0"/>
        <w:kinsoku/>
        <w:wordWrap/>
        <w:overflowPunct/>
        <w:topLinePunct w:val="0"/>
        <w:autoSpaceDE/>
        <w:autoSpaceDN/>
        <w:bidi w:val="0"/>
        <w:adjustRightInd/>
        <w:spacing w:line="576" w:lineRule="exact"/>
        <w:ind w:right="440"/>
        <w:jc w:val="center"/>
        <w:textAlignment w:val="auto"/>
      </w:pPr>
      <w:r>
        <w:rPr>
          <w:rStyle w:val="37"/>
          <w:rFonts w:hint="eastAsia" w:ascii="方正小标宋简体" w:hAnsi="方正小标宋简体" w:eastAsia="方正小标宋简体" w:cs="方正小标宋简体"/>
          <w:b w:val="0"/>
          <w:bCs w:val="0"/>
        </w:rPr>
        <w:t>第二部分 202</w:t>
      </w:r>
      <w:r>
        <w:rPr>
          <w:rStyle w:val="37"/>
          <w:rFonts w:hint="eastAsia" w:ascii="方正小标宋简体" w:hAnsi="方正小标宋简体" w:eastAsia="方正小标宋简体" w:cs="方正小标宋简体"/>
          <w:b w:val="0"/>
          <w:bCs w:val="0"/>
          <w:lang w:val="en-US" w:eastAsia="zh-CN"/>
        </w:rPr>
        <w:t>3</w:t>
      </w:r>
      <w:r>
        <w:rPr>
          <w:rStyle w:val="37"/>
          <w:rFonts w:hint="eastAsia" w:ascii="方正小标宋简体" w:hAnsi="方正小标宋简体" w:eastAsia="方正小标宋简体" w:cs="方正小标宋简体"/>
          <w:b w:val="0"/>
          <w:bCs w:val="0"/>
        </w:rPr>
        <w:t>年度部门决算情况说明</w:t>
      </w:r>
      <w:bookmarkEnd w:id="15"/>
      <w:bookmarkEnd w:id="16"/>
      <w:bookmarkEnd w:id="17"/>
      <w:bookmarkEnd w:id="18"/>
    </w:p>
    <w:p w14:paraId="3599C41D">
      <w:pPr>
        <w:pageBreakBefore w:val="0"/>
        <w:widowControl w:val="0"/>
        <w:kinsoku/>
        <w:wordWrap/>
        <w:overflowPunct/>
        <w:topLinePunct w:val="0"/>
        <w:autoSpaceDE/>
        <w:autoSpaceDN/>
        <w:bidi w:val="0"/>
        <w:adjustRightInd/>
        <w:spacing w:line="576" w:lineRule="exact"/>
        <w:ind w:firstLine="640" w:firstLineChars="200"/>
        <w:textAlignment w:val="auto"/>
        <w:rPr>
          <w:rStyle w:val="41"/>
          <w:rFonts w:ascii="黑体" w:hAnsi="黑体" w:eastAsia="黑体"/>
          <w:b w:val="0"/>
        </w:rPr>
      </w:pPr>
      <w:bookmarkStart w:id="19" w:name="_Toc15396606"/>
      <w:bookmarkStart w:id="20" w:name="_Toc79163863"/>
      <w:bookmarkStart w:id="21" w:name="_Toc79163613"/>
      <w:bookmarkStart w:id="22" w:name="_Toc15377208"/>
      <w:r>
        <w:rPr>
          <w:rFonts w:hint="eastAsia" w:ascii="黑体" w:hAnsi="黑体" w:eastAsia="黑体"/>
          <w:sz w:val="32"/>
          <w:szCs w:val="32"/>
        </w:rPr>
        <w:t>一、收</w:t>
      </w:r>
      <w:r>
        <w:rPr>
          <w:rStyle w:val="41"/>
          <w:rFonts w:hint="eastAsia" w:ascii="黑体" w:hAnsi="黑体" w:eastAsia="黑体"/>
          <w:b w:val="0"/>
        </w:rPr>
        <w:t>入支出决算总体情况说明</w:t>
      </w:r>
    </w:p>
    <w:p w14:paraId="5A7C814C">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年相比收、支总计各减少</w:t>
      </w:r>
      <w:r>
        <w:rPr>
          <w:rFonts w:hint="eastAsia" w:ascii="仿宋_GB2312" w:hAnsi="仿宋_GB2312" w:eastAsia="仿宋_GB2312" w:cs="仿宋_GB2312"/>
          <w:sz w:val="32"/>
          <w:szCs w:val="32"/>
          <w:lang w:val="en-US" w:eastAsia="zh-CN"/>
        </w:rPr>
        <w:t>7.54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7.94</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 w:eastAsia="仿宋_GB2312" w:cs="仿宋"/>
          <w:sz w:val="32"/>
          <w:szCs w:val="32"/>
        </w:rPr>
        <w:t>。</w:t>
      </w:r>
    </w:p>
    <w:p w14:paraId="3D2D49DF">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0443C35">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14:paraId="7F2809C3">
      <w:pPr>
        <w:jc w:val="center"/>
        <w:rPr>
          <w:rFonts w:ascii="仿宋_GB2312" w:eastAsia="仿宋_GB2312"/>
          <w:sz w:val="32"/>
          <w:szCs w:val="32"/>
        </w:rPr>
      </w:pPr>
      <w:bookmarkStart w:id="23" w:name="_Toc15396604"/>
      <w:bookmarkStart w:id="24" w:name="_Toc15377206"/>
      <w:r>
        <w:rPr>
          <w:rFonts w:ascii="仿宋_GB2312" w:eastAsia="仿宋_GB2312"/>
          <w:sz w:val="32"/>
          <w:szCs w:val="32"/>
        </w:rPr>
        <w:drawing>
          <wp:inline distT="0" distB="0" distL="0" distR="0">
            <wp:extent cx="4048125" cy="2273935"/>
            <wp:effectExtent l="19050" t="0" r="28133"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286EAC9">
      <w:pPr>
        <w:ind w:firstLine="640" w:firstLineChars="200"/>
        <w:jc w:val="left"/>
        <w:rPr>
          <w:rFonts w:ascii="仿宋_GB2312" w:eastAsia="仿宋_GB2312"/>
          <w:sz w:val="32"/>
          <w:szCs w:val="32"/>
        </w:rPr>
      </w:pPr>
    </w:p>
    <w:p w14:paraId="204DE4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二、收</w:t>
      </w:r>
      <w:r>
        <w:rPr>
          <w:rStyle w:val="41"/>
          <w:rFonts w:hint="eastAsia" w:ascii="黑体" w:hAnsi="黑体" w:eastAsia="黑体" w:cs="黑体"/>
          <w:b w:val="0"/>
        </w:rPr>
        <w:t>入决算情况说明</w:t>
      </w:r>
      <w:bookmarkEnd w:id="23"/>
      <w:bookmarkEnd w:id="24"/>
    </w:p>
    <w:p w14:paraId="2C0793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eastAsia="仿宋_GB2312"/>
          <w:b/>
          <w:b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万元，占100%；政府性基金预算财政拨款收入0万元，占0%；国有资本经营预算财政拨款收入0万元，占0%；事业收入0万元，占0%；经营收入0万元，占0%；附属单位上缴收入0万元，占0%；其他收入0万元，占0%。</w:t>
      </w:r>
    </w:p>
    <w:p w14:paraId="7BA82381">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14:paraId="14ECB84F">
      <w:pPr>
        <w:jc w:val="center"/>
        <w:rPr>
          <w:rFonts w:ascii="仿宋_GB2312" w:eastAsia="仿宋_GB2312"/>
          <w:sz w:val="32"/>
          <w:szCs w:val="32"/>
        </w:rPr>
      </w:pPr>
      <w:bookmarkStart w:id="25" w:name="_Toc15396605"/>
      <w:bookmarkStart w:id="26" w:name="_Toc15377207"/>
      <w:r>
        <w:rPr>
          <w:rFonts w:ascii="仿宋_GB2312" w:eastAsia="仿宋_GB2312"/>
          <w:sz w:val="32"/>
          <w:szCs w:val="32"/>
        </w:rPr>
        <w:drawing>
          <wp:inline distT="0" distB="0" distL="0" distR="0">
            <wp:extent cx="3689985" cy="2027555"/>
            <wp:effectExtent l="19050" t="0" r="24627"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CC4BCE">
      <w:pPr>
        <w:rPr>
          <w:rFonts w:ascii="仿宋_GB2312" w:eastAsia="仿宋_GB2312"/>
          <w:sz w:val="32"/>
          <w:szCs w:val="32"/>
        </w:rPr>
      </w:pPr>
    </w:p>
    <w:bookmarkEnd w:id="19"/>
    <w:bookmarkEnd w:id="20"/>
    <w:bookmarkEnd w:id="21"/>
    <w:bookmarkEnd w:id="22"/>
    <w:bookmarkEnd w:id="25"/>
    <w:bookmarkEnd w:id="26"/>
    <w:p w14:paraId="71CF74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三、支</w:t>
      </w:r>
      <w:r>
        <w:rPr>
          <w:rStyle w:val="41"/>
          <w:rFonts w:hint="eastAsia" w:ascii="黑体" w:hAnsi="黑体" w:eastAsia="黑体" w:cs="黑体"/>
          <w:b w:val="0"/>
        </w:rPr>
        <w:t>出决算情况说明</w:t>
      </w:r>
    </w:p>
    <w:p w14:paraId="5798E00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%；上缴上级支出0万元，占0%；经营支出0万元，占0%；对附属单位补助支出0万元，占0%。</w:t>
      </w:r>
    </w:p>
    <w:p w14:paraId="4AF93BA1">
      <w:pPr>
        <w:pStyle w:val="2"/>
      </w:pPr>
    </w:p>
    <w:p w14:paraId="36372C42">
      <w:pPr>
        <w:ind w:firstLine="643" w:firstLineChars="200"/>
        <w:jc w:val="center"/>
        <w:rPr>
          <w:rFonts w:ascii="黑体" w:hAnsi="黑体" w:eastAsia="黑体"/>
          <w:bCs/>
          <w:sz w:val="32"/>
          <w:szCs w:val="32"/>
        </w:rPr>
      </w:pPr>
      <w:r>
        <w:rPr>
          <w:rFonts w:hint="eastAsia" w:ascii="仿宋" w:hAnsi="仿宋" w:eastAsia="仿宋"/>
          <w:b/>
          <w:bCs/>
          <w:sz w:val="32"/>
          <w:szCs w:val="32"/>
        </w:rPr>
        <w:t>图3：支出决算结构图</w:t>
      </w:r>
      <w:r>
        <w:rPr>
          <w:rFonts w:ascii="黑体" w:hAnsi="黑体" w:eastAsia="黑体"/>
          <w:bCs/>
          <w:sz w:val="32"/>
          <w:szCs w:val="32"/>
        </w:rPr>
        <w:drawing>
          <wp:inline distT="0" distB="0" distL="0" distR="0">
            <wp:extent cx="3987800" cy="2027555"/>
            <wp:effectExtent l="19050" t="0" r="12093"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9804AB">
      <w:pPr>
        <w:pStyle w:val="2"/>
      </w:pPr>
    </w:p>
    <w:p w14:paraId="366249EB">
      <w:pPr>
        <w:pStyle w:val="6"/>
        <w:pageBreakBefore w:val="0"/>
        <w:widowControl w:val="0"/>
        <w:kinsoku/>
        <w:wordWrap/>
        <w:overflowPunct/>
        <w:topLinePunct w:val="0"/>
        <w:autoSpaceDE/>
        <w:autoSpaceDN/>
        <w:bidi w:val="0"/>
        <w:adjustRightInd/>
        <w:spacing w:before="0" w:after="0" w:line="576" w:lineRule="exact"/>
        <w:ind w:firstLine="640" w:firstLineChars="200"/>
        <w:textAlignment w:val="auto"/>
        <w:rPr>
          <w:rStyle w:val="41"/>
          <w:rFonts w:ascii="黑体" w:hAnsi="黑体" w:eastAsia="黑体"/>
          <w:b w:val="0"/>
          <w:bCs/>
        </w:rPr>
      </w:pPr>
      <w:r>
        <w:rPr>
          <w:rStyle w:val="41"/>
          <w:rFonts w:hint="eastAsia" w:ascii="黑体" w:hAnsi="黑体" w:eastAsia="黑体"/>
          <w:b w:val="0"/>
          <w:bCs/>
        </w:rPr>
        <w:t>四、财政拨款收入支出决算总体情况说明</w:t>
      </w:r>
    </w:p>
    <w:p w14:paraId="74B30B6B">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年相比，财政拨款收、支总计减少</w:t>
      </w:r>
      <w:r>
        <w:rPr>
          <w:rFonts w:hint="eastAsia" w:ascii="仿宋_GB2312" w:hAnsi="仿宋_GB2312" w:eastAsia="仿宋_GB2312" w:cs="仿宋_GB2312"/>
          <w:sz w:val="32"/>
          <w:szCs w:val="32"/>
          <w:lang w:val="en-US" w:eastAsia="zh-CN"/>
        </w:rPr>
        <w:t>7.54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7.94</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 w:eastAsia="仿宋_GB2312" w:cs="仿宋"/>
          <w:sz w:val="32"/>
          <w:szCs w:val="32"/>
        </w:rPr>
        <w:t>。</w:t>
      </w:r>
    </w:p>
    <w:p w14:paraId="66F78B7A">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eastAsia="仿宋_GB2312"/>
          <w:sz w:val="32"/>
          <w:szCs w:val="32"/>
        </w:rPr>
      </w:pPr>
    </w:p>
    <w:p w14:paraId="4602608B">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14:paraId="6505A6A0">
      <w:pPr>
        <w:jc w:val="center"/>
        <w:rPr>
          <w:rFonts w:ascii="仿宋_GB2312" w:eastAsia="仿宋_GB2312"/>
          <w:sz w:val="32"/>
          <w:szCs w:val="32"/>
        </w:rPr>
      </w:pPr>
      <w:bookmarkStart w:id="27" w:name="_Toc15396607"/>
      <w:bookmarkStart w:id="28" w:name="_Toc15377209"/>
      <w:r>
        <w:rPr>
          <w:rFonts w:ascii="仿宋_GB2312" w:eastAsia="仿宋_GB2312"/>
          <w:sz w:val="32"/>
          <w:szCs w:val="32"/>
        </w:rPr>
        <w:drawing>
          <wp:inline distT="0" distB="0" distL="0" distR="0">
            <wp:extent cx="4011930" cy="2162175"/>
            <wp:effectExtent l="19050" t="0" r="26615" b="89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972C86">
      <w:pPr>
        <w:rPr>
          <w:rFonts w:ascii="黑体" w:hAnsi="黑体" w:eastAsia="黑体"/>
          <w:sz w:val="32"/>
          <w:szCs w:val="32"/>
        </w:rPr>
      </w:pPr>
    </w:p>
    <w:p w14:paraId="4AAA7D1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1"/>
          <w:rFonts w:hint="eastAsia" w:ascii="黑体" w:hAnsi="黑体" w:eastAsia="黑体"/>
          <w:b w:val="0"/>
        </w:rPr>
        <w:t>般公共预算财政拨款支出决算情况说明</w:t>
      </w:r>
      <w:bookmarkEnd w:id="27"/>
      <w:bookmarkEnd w:id="28"/>
      <w:bookmarkStart w:id="29" w:name="_Toc15377210"/>
    </w:p>
    <w:p w14:paraId="5135E40D">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9"/>
    </w:p>
    <w:p w14:paraId="7CFB97E7">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万元，占本年支出合计的100%。与202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年相比，一般公共预算财政拨款减少</w:t>
      </w:r>
      <w:r>
        <w:rPr>
          <w:rFonts w:hint="eastAsia" w:ascii="仿宋_GB2312" w:hAnsi="仿宋_GB2312" w:eastAsia="仿宋_GB2312" w:cs="仿宋_GB2312"/>
          <w:sz w:val="32"/>
          <w:szCs w:val="32"/>
          <w:lang w:val="en-US" w:eastAsia="zh-CN"/>
        </w:rPr>
        <w:t>7.54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7.94</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 w:eastAsia="仿宋_GB2312" w:cs="仿宋"/>
          <w:sz w:val="32"/>
          <w:szCs w:val="32"/>
        </w:rPr>
        <w:t>。</w:t>
      </w:r>
    </w:p>
    <w:p w14:paraId="7414CD82">
      <w:pPr>
        <w:pStyle w:val="2"/>
        <w:rPr>
          <w:rFonts w:hint="eastAsia" w:ascii="仿宋_GB2312" w:hAnsi="仿宋" w:eastAsia="仿宋_GB2312" w:cs="仿宋"/>
          <w:sz w:val="32"/>
          <w:szCs w:val="32"/>
        </w:rPr>
      </w:pPr>
    </w:p>
    <w:p w14:paraId="105D877C">
      <w:pPr>
        <w:pStyle w:val="3"/>
      </w:pPr>
    </w:p>
    <w:p w14:paraId="12DAFAB0">
      <w:pPr>
        <w:spacing w:line="576" w:lineRule="exact"/>
        <w:jc w:val="center"/>
        <w:rPr>
          <w:rFonts w:hint="eastAsia" w:ascii="仿宋_GB2312" w:eastAsia="仿宋_GB2312"/>
          <w:b/>
          <w:bCs/>
          <w:sz w:val="32"/>
          <w:szCs w:val="32"/>
        </w:rPr>
      </w:pPr>
    </w:p>
    <w:p w14:paraId="06606FFE">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14:paraId="7E8DC21C">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14:paraId="31C6BB52">
      <w:pPr>
        <w:jc w:val="center"/>
        <w:rPr>
          <w:rFonts w:ascii="仿宋_GB2312" w:eastAsia="仿宋_GB2312"/>
          <w:sz w:val="32"/>
          <w:szCs w:val="32"/>
        </w:rPr>
      </w:pPr>
      <w:r>
        <w:rPr>
          <w:rFonts w:ascii="仿宋_GB2312" w:eastAsia="仿宋_GB2312"/>
          <w:sz w:val="32"/>
          <w:szCs w:val="32"/>
        </w:rPr>
        <w:drawing>
          <wp:inline distT="0" distB="0" distL="0" distR="0">
            <wp:extent cx="4067810" cy="2210435"/>
            <wp:effectExtent l="19050" t="0" r="2783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30359C">
      <w:pPr>
        <w:pStyle w:val="19"/>
      </w:pPr>
    </w:p>
    <w:p w14:paraId="70C8D17B">
      <w:pPr>
        <w:spacing w:line="576" w:lineRule="exact"/>
        <w:ind w:firstLine="643" w:firstLineChars="200"/>
        <w:outlineLvl w:val="1"/>
        <w:rPr>
          <w:rFonts w:ascii="楷体_GB2312" w:hAnsi="楷体_GB2312" w:eastAsia="楷体_GB2312" w:cs="楷体_GB2312"/>
          <w:b/>
          <w:sz w:val="32"/>
          <w:szCs w:val="32"/>
        </w:rPr>
      </w:pPr>
      <w:bookmarkStart w:id="30" w:name="_Toc15377211"/>
      <w:r>
        <w:rPr>
          <w:rFonts w:hint="eastAsia" w:ascii="楷体_GB2312" w:hAnsi="楷体_GB2312" w:eastAsia="楷体_GB2312" w:cs="楷体_GB2312"/>
          <w:b/>
          <w:sz w:val="32"/>
          <w:szCs w:val="32"/>
        </w:rPr>
        <w:t>（二）一般公共预算财政拨款支出决算结构情况</w:t>
      </w:r>
      <w:bookmarkEnd w:id="30"/>
    </w:p>
    <w:p w14:paraId="633BFC3F">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 w:eastAsia="仿宋_GB2312"/>
          <w:sz w:val="32"/>
          <w:szCs w:val="32"/>
          <w:lang w:val="en-US" w:eastAsia="zh-CN"/>
        </w:rPr>
        <w:t>64.45</w:t>
      </w:r>
      <w:r>
        <w:rPr>
          <w:rFonts w:hint="eastAsia" w:ascii="仿宋_GB2312" w:hAnsi="仿宋_GB2312" w:eastAsia="仿宋_GB2312" w:cs="仿宋_GB2312"/>
          <w:bCs/>
          <w:sz w:val="32"/>
          <w:szCs w:val="32"/>
        </w:rPr>
        <w:t>万元，占</w:t>
      </w:r>
      <w:r>
        <w:rPr>
          <w:rFonts w:hint="eastAsia" w:ascii="仿宋_GB2312" w:hAnsi="仿宋" w:eastAsia="仿宋_GB2312"/>
          <w:sz w:val="32"/>
          <w:szCs w:val="32"/>
          <w:lang w:val="en-US" w:eastAsia="zh-CN"/>
        </w:rPr>
        <w:t>73.69</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13.71</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rPr>
        <w:t>%；住房保障（</w:t>
      </w:r>
      <w:r>
        <w:rPr>
          <w:rFonts w:hint="eastAsia" w:ascii="仿宋_GB2312" w:hAnsi="仿宋_GB2312" w:eastAsia="仿宋_GB2312" w:cs="仿宋_GB2312"/>
          <w:bCs/>
          <w:sz w:val="32"/>
          <w:szCs w:val="32"/>
        </w:rPr>
        <w:t>221</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5.91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6.76</w:t>
      </w:r>
      <w:r>
        <w:rPr>
          <w:rFonts w:hint="eastAsia" w:ascii="仿宋_GB2312" w:hAnsi="仿宋_GB2312" w:eastAsia="仿宋_GB2312" w:cs="仿宋_GB2312"/>
          <w:sz w:val="32"/>
          <w:szCs w:val="32"/>
        </w:rPr>
        <w:t>%。</w:t>
      </w:r>
    </w:p>
    <w:p w14:paraId="6AFBB1F0">
      <w:pPr>
        <w:spacing w:line="600" w:lineRule="exact"/>
        <w:jc w:val="center"/>
        <w:rPr>
          <w:rFonts w:ascii="仿宋" w:hAnsi="仿宋" w:eastAsia="仿宋"/>
          <w:b/>
          <w:bCs/>
          <w:sz w:val="32"/>
          <w:szCs w:val="32"/>
        </w:rPr>
      </w:pPr>
    </w:p>
    <w:p w14:paraId="1D15F7C2">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14:paraId="12D0B13F">
      <w:pPr>
        <w:jc w:val="center"/>
      </w:pPr>
      <w:r>
        <w:rPr>
          <w:rFonts w:ascii="仿宋" w:hAnsi="仿宋" w:eastAsia="仿宋"/>
          <w:sz w:val="32"/>
          <w:szCs w:val="32"/>
        </w:rPr>
        <w:drawing>
          <wp:inline distT="0" distB="0" distL="0" distR="0">
            <wp:extent cx="4027805" cy="2440940"/>
            <wp:effectExtent l="4445" t="4445" r="6350" b="1206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1B346F">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bookmarkStart w:id="31" w:name="_Toc15377212"/>
      <w:r>
        <w:rPr>
          <w:rFonts w:hint="eastAsia" w:ascii="楷体_GB2312" w:hAnsi="楷体_GB2312" w:eastAsia="楷体_GB2312" w:cs="楷体_GB2312"/>
          <w:b/>
          <w:sz w:val="32"/>
          <w:szCs w:val="32"/>
        </w:rPr>
        <w:t>（三）一般公共预算财政拨款支出决算具体情况</w:t>
      </w:r>
      <w:bookmarkEnd w:id="31"/>
    </w:p>
    <w:p w14:paraId="72FD9D26">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ascii="仿宋_GB2312" w:hAnsi="仿宋_GB2312" w:eastAsia="仿宋_GB2312" w:cs="仿宋_GB2312"/>
          <w:sz w:val="32"/>
          <w:szCs w:val="32"/>
        </w:rPr>
      </w:pPr>
      <w:bookmarkStart w:id="32" w:name="_Toc15377213"/>
      <w:bookmarkStart w:id="33" w:name="_Toc15377444"/>
      <w:bookmarkStart w:id="34" w:name="_Toc15378460"/>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年一般公共预算支出决算数为</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bCs/>
          <w:sz w:val="32"/>
          <w:szCs w:val="32"/>
        </w:rPr>
        <w:t>万元，</w:t>
      </w:r>
      <w:r>
        <w:rPr>
          <w:rStyle w:val="26"/>
          <w:rFonts w:hint="eastAsia" w:ascii="仿宋_GB2312" w:hAnsi="仿宋_GB2312" w:eastAsia="仿宋_GB2312" w:cs="仿宋_GB2312"/>
          <w:b w:val="0"/>
          <w:bCs/>
          <w:sz w:val="32"/>
          <w:szCs w:val="32"/>
        </w:rPr>
        <w:t>完成预算100%。其中：</w:t>
      </w:r>
      <w:bookmarkEnd w:id="32"/>
      <w:bookmarkEnd w:id="33"/>
      <w:bookmarkEnd w:id="34"/>
    </w:p>
    <w:p w14:paraId="097FE65E">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1.</w:t>
      </w:r>
      <w:r>
        <w:rPr>
          <w:rStyle w:val="26"/>
          <w:rFonts w:hint="eastAsia" w:ascii="仿宋_GB2312" w:hAnsi="仿宋_GB2312" w:eastAsia="仿宋_GB2312" w:cs="仿宋_GB2312"/>
          <w:b w:val="0"/>
          <w:sz w:val="32"/>
          <w:szCs w:val="32"/>
        </w:rPr>
        <w:t xml:space="preserve">一般公共服务（201）组织事务（32）行政运行（01）: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64.45</w:t>
      </w:r>
      <w:r>
        <w:rPr>
          <w:rStyle w:val="26"/>
          <w:rFonts w:hint="eastAsia" w:ascii="仿宋_GB2312" w:hAnsi="仿宋_GB2312" w:eastAsia="仿宋_GB2312" w:cs="仿宋_GB2312"/>
          <w:b w:val="0"/>
          <w:bCs/>
          <w:sz w:val="32"/>
          <w:szCs w:val="32"/>
        </w:rPr>
        <w:t>万元，完成预算100%。</w:t>
      </w:r>
    </w:p>
    <w:p w14:paraId="66A50624">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2.</w:t>
      </w:r>
      <w:r>
        <w:rPr>
          <w:rStyle w:val="26"/>
          <w:rFonts w:hint="eastAsia" w:ascii="仿宋_GB2312" w:hAnsi="仿宋_GB2312" w:eastAsia="仿宋_GB2312" w:cs="仿宋_GB2312"/>
          <w:b w:val="0"/>
          <w:sz w:val="32"/>
          <w:szCs w:val="32"/>
        </w:rPr>
        <w:t>社会保障和就业（208）行政事业单位</w:t>
      </w:r>
      <w:r>
        <w:rPr>
          <w:rStyle w:val="26"/>
          <w:rFonts w:hint="eastAsia" w:ascii="仿宋_GB2312" w:hAnsi="仿宋_GB2312" w:eastAsia="仿宋_GB2312" w:cs="仿宋_GB2312"/>
          <w:b w:val="0"/>
          <w:sz w:val="32"/>
          <w:szCs w:val="32"/>
          <w:lang w:eastAsia="zh-CN"/>
        </w:rPr>
        <w:t>养老</w:t>
      </w:r>
      <w:r>
        <w:rPr>
          <w:rStyle w:val="26"/>
          <w:rFonts w:hint="eastAsia" w:ascii="仿宋_GB2312" w:hAnsi="仿宋_GB2312" w:eastAsia="仿宋_GB2312" w:cs="仿宋_GB2312"/>
          <w:b w:val="0"/>
          <w:sz w:val="32"/>
          <w:szCs w:val="32"/>
        </w:rPr>
        <w:t>（05）机关事业单位基本养老保险（05）：</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7.99</w:t>
      </w:r>
      <w:r>
        <w:rPr>
          <w:rStyle w:val="26"/>
          <w:rFonts w:hint="eastAsia" w:ascii="仿宋_GB2312" w:hAnsi="仿宋_GB2312" w:eastAsia="仿宋_GB2312" w:cs="仿宋_GB2312"/>
          <w:b w:val="0"/>
          <w:bCs/>
          <w:sz w:val="32"/>
          <w:szCs w:val="32"/>
        </w:rPr>
        <w:t>万元，完成预算100%。</w:t>
      </w:r>
    </w:p>
    <w:p w14:paraId="7539D4C8">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3.</w:t>
      </w:r>
      <w:r>
        <w:rPr>
          <w:rStyle w:val="26"/>
          <w:rFonts w:hint="eastAsia" w:ascii="仿宋_GB2312" w:hAnsi="仿宋_GB2312" w:eastAsia="仿宋_GB2312" w:cs="仿宋_GB2312"/>
          <w:b w:val="0"/>
          <w:sz w:val="32"/>
          <w:szCs w:val="32"/>
        </w:rPr>
        <w:t>社会保障和就业（208）行政事业单位</w:t>
      </w:r>
      <w:r>
        <w:rPr>
          <w:rStyle w:val="26"/>
          <w:rFonts w:hint="eastAsia" w:ascii="仿宋_GB2312" w:hAnsi="仿宋_GB2312" w:eastAsia="仿宋_GB2312" w:cs="仿宋_GB2312"/>
          <w:b w:val="0"/>
          <w:sz w:val="32"/>
          <w:szCs w:val="32"/>
          <w:lang w:eastAsia="zh-CN"/>
        </w:rPr>
        <w:t>养老</w:t>
      </w:r>
      <w:r>
        <w:rPr>
          <w:rStyle w:val="26"/>
          <w:rFonts w:hint="eastAsia" w:ascii="仿宋_GB2312" w:hAnsi="仿宋_GB2312" w:eastAsia="仿宋_GB2312" w:cs="仿宋_GB2312"/>
          <w:b w:val="0"/>
          <w:sz w:val="32"/>
          <w:szCs w:val="32"/>
        </w:rPr>
        <w:t>（05）机关事业单位职业年金（06）: 支出决算为</w:t>
      </w:r>
      <w:r>
        <w:rPr>
          <w:rStyle w:val="26"/>
          <w:rFonts w:hint="eastAsia" w:ascii="仿宋_GB2312" w:hAnsi="仿宋_GB2312" w:eastAsia="仿宋_GB2312" w:cs="仿宋_GB2312"/>
          <w:b w:val="0"/>
          <w:sz w:val="32"/>
          <w:szCs w:val="32"/>
          <w:lang w:val="en-US" w:eastAsia="zh-CN"/>
        </w:rPr>
        <w:t>4.00</w:t>
      </w:r>
      <w:r>
        <w:rPr>
          <w:rStyle w:val="26"/>
          <w:rFonts w:hint="eastAsia" w:ascii="仿宋_GB2312" w:hAnsi="仿宋_GB2312" w:eastAsia="仿宋_GB2312" w:cs="仿宋_GB2312"/>
          <w:b w:val="0"/>
          <w:sz w:val="32"/>
          <w:szCs w:val="32"/>
        </w:rPr>
        <w:t>万元，完成预算100%。</w:t>
      </w:r>
    </w:p>
    <w:p w14:paraId="6DE38DA1">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4.</w:t>
      </w:r>
      <w:r>
        <w:rPr>
          <w:rStyle w:val="26"/>
          <w:rFonts w:hint="eastAsia" w:ascii="仿宋_GB2312" w:hAnsi="仿宋_GB2312" w:eastAsia="仿宋_GB2312" w:cs="仿宋_GB2312"/>
          <w:b w:val="0"/>
          <w:sz w:val="32"/>
          <w:szCs w:val="32"/>
        </w:rPr>
        <w:t>卫生健康支出(210)行政事业单位医疗（11）行政单位医疗（01）: 支出决算为</w:t>
      </w:r>
      <w:r>
        <w:rPr>
          <w:rStyle w:val="26"/>
          <w:rFonts w:hint="eastAsia" w:ascii="仿宋_GB2312" w:hAnsi="仿宋_GB2312" w:eastAsia="仿宋_GB2312" w:cs="仿宋_GB2312"/>
          <w:b w:val="0"/>
          <w:sz w:val="32"/>
          <w:szCs w:val="32"/>
          <w:lang w:val="en-US" w:eastAsia="zh-CN"/>
        </w:rPr>
        <w:t>5.11</w:t>
      </w:r>
      <w:r>
        <w:rPr>
          <w:rStyle w:val="26"/>
          <w:rFonts w:hint="eastAsia" w:ascii="仿宋_GB2312" w:hAnsi="仿宋_GB2312" w:eastAsia="仿宋_GB2312" w:cs="仿宋_GB2312"/>
          <w:b w:val="0"/>
          <w:sz w:val="32"/>
          <w:szCs w:val="32"/>
        </w:rPr>
        <w:t>万元，完成预算100%。</w:t>
      </w:r>
    </w:p>
    <w:p w14:paraId="21B7CCE8">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5.</w:t>
      </w:r>
      <w:r>
        <w:rPr>
          <w:rStyle w:val="26"/>
          <w:rFonts w:hint="eastAsia" w:ascii="仿宋_GB2312" w:hAnsi="仿宋_GB2312" w:eastAsia="仿宋_GB2312" w:cs="仿宋_GB2312"/>
          <w:b w:val="0"/>
          <w:sz w:val="32"/>
          <w:szCs w:val="32"/>
        </w:rPr>
        <w:t>住房保障支出（221）住房改革支出（02）住房公积金（01）: 支出决算为</w:t>
      </w:r>
      <w:r>
        <w:rPr>
          <w:rStyle w:val="26"/>
          <w:rFonts w:hint="eastAsia" w:ascii="仿宋_GB2312" w:hAnsi="仿宋_GB2312" w:eastAsia="仿宋_GB2312" w:cs="仿宋_GB2312"/>
          <w:b w:val="0"/>
          <w:sz w:val="32"/>
          <w:szCs w:val="32"/>
          <w:lang w:val="en-US" w:eastAsia="zh-CN"/>
        </w:rPr>
        <w:t>5.91</w:t>
      </w:r>
      <w:r>
        <w:rPr>
          <w:rStyle w:val="26"/>
          <w:rFonts w:hint="eastAsia" w:ascii="仿宋_GB2312" w:hAnsi="仿宋_GB2312" w:eastAsia="仿宋_GB2312" w:cs="仿宋_GB2312"/>
          <w:b w:val="0"/>
          <w:sz w:val="32"/>
          <w:szCs w:val="32"/>
        </w:rPr>
        <w:t>万元，完成预算100%。</w:t>
      </w:r>
    </w:p>
    <w:p w14:paraId="06C50F12">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Style w:val="41"/>
          <w:b/>
          <w:bCs/>
        </w:rPr>
      </w:pPr>
      <w:bookmarkStart w:id="35" w:name="_Toc15377214"/>
      <w:bookmarkStart w:id="36" w:name="_Toc15396608"/>
      <w:r>
        <w:rPr>
          <w:rFonts w:hint="eastAsia" w:ascii="黑体" w:eastAsia="黑体"/>
        </w:rPr>
        <w:t>六、</w:t>
      </w:r>
      <w:r>
        <w:rPr>
          <w:rFonts w:hint="eastAsia" w:ascii="黑体" w:hAnsi="黑体" w:eastAsia="黑体"/>
        </w:rPr>
        <w:t>一</w:t>
      </w:r>
      <w:r>
        <w:rPr>
          <w:rStyle w:val="41"/>
          <w:rFonts w:hint="eastAsia" w:ascii="黑体" w:hAnsi="黑体" w:eastAsia="黑体"/>
          <w:b w:val="0"/>
          <w:bCs/>
        </w:rPr>
        <w:t>般公共预算财政拨款基本支出决算情况说明</w:t>
      </w:r>
      <w:bookmarkEnd w:id="35"/>
      <w:bookmarkEnd w:id="36"/>
    </w:p>
    <w:p w14:paraId="2F0E7AF3">
      <w:pPr>
        <w:pageBreakBefore w:val="0"/>
        <w:widowControl w:val="0"/>
        <w:kinsoku/>
        <w:wordWrap/>
        <w:overflowPunct/>
        <w:topLinePunct w:val="0"/>
        <w:autoSpaceDE/>
        <w:autoSpaceDN/>
        <w:bidi w:val="0"/>
        <w:adjustRightInd/>
        <w:snapToGrid/>
        <w:spacing w:line="576"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万元，其中：</w:t>
      </w:r>
    </w:p>
    <w:p w14:paraId="5636F131">
      <w:pPr>
        <w:pageBreakBefore w:val="0"/>
        <w:widowControl w:val="0"/>
        <w:kinsoku/>
        <w:wordWrap/>
        <w:overflowPunct/>
        <w:topLinePunct w:val="0"/>
        <w:autoSpaceDE/>
        <w:autoSpaceDN/>
        <w:bidi w:val="0"/>
        <w:adjustRightInd/>
        <w:snapToGrid/>
        <w:spacing w:line="576" w:lineRule="exact"/>
        <w:ind w:firstLine="645"/>
        <w:textAlignment w:val="auto"/>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82.39</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基本工资、津贴补贴、奖金、机关事业单位基本养老保险缴费、职业年金缴费、职工基本医疗保险缴费、其他社会保障缴费、住房公积金、医疗费、生活补助、奖励金。</w:t>
      </w:r>
    </w:p>
    <w:p w14:paraId="63EFD372">
      <w:pPr>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5.07</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办公费、邮电费、差旅费、公务接待费、公务用车运行维护费。</w:t>
      </w:r>
    </w:p>
    <w:p w14:paraId="674DB0DF">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w:t>
      </w:r>
      <w:r>
        <w:rPr>
          <w:rStyle w:val="41"/>
          <w:rFonts w:hint="eastAsia" w:ascii="黑体" w:hAnsi="黑体" w:eastAsia="黑体"/>
          <w:b w:val="0"/>
          <w:color w:val="auto"/>
          <w:highlight w:val="none"/>
        </w:rPr>
        <w:t>财政拨款</w:t>
      </w:r>
      <w:r>
        <w:rPr>
          <w:rStyle w:val="41"/>
          <w:rFonts w:hint="eastAsia" w:ascii="黑体" w:hAnsi="黑体" w:eastAsia="黑体"/>
          <w:color w:val="auto"/>
          <w:highlight w:val="none"/>
        </w:rPr>
        <w:t>“</w:t>
      </w:r>
      <w:r>
        <w:rPr>
          <w:rStyle w:val="41"/>
          <w:rFonts w:hint="eastAsia" w:ascii="黑体" w:hAnsi="黑体" w:eastAsia="黑体"/>
          <w:b w:val="0"/>
          <w:color w:val="auto"/>
          <w:highlight w:val="none"/>
        </w:rPr>
        <w:t>三公”经费支出决算情况说明</w:t>
      </w:r>
    </w:p>
    <w:p w14:paraId="2A5012A3">
      <w:pPr>
        <w:pageBreakBefore w:val="0"/>
        <w:widowControl w:val="0"/>
        <w:kinsoku/>
        <w:wordWrap/>
        <w:overflowPunct/>
        <w:topLinePunct w:val="0"/>
        <w:autoSpaceDE/>
        <w:autoSpaceDN/>
        <w:bidi w:val="0"/>
        <w:adjustRightInd/>
        <w:snapToGrid/>
        <w:spacing w:line="576" w:lineRule="exact"/>
        <w:ind w:firstLine="640"/>
        <w:textAlignment w:val="auto"/>
        <w:rPr>
          <w:rFonts w:ascii="楷体_GB2312" w:eastAsia="楷体_GB2312"/>
          <w:b/>
          <w:sz w:val="32"/>
          <w:szCs w:val="32"/>
        </w:rPr>
      </w:pPr>
      <w:r>
        <w:rPr>
          <w:rFonts w:hint="eastAsia" w:ascii="楷体_GB2312" w:eastAsia="楷体_GB2312"/>
          <w:b/>
          <w:sz w:val="32"/>
          <w:szCs w:val="32"/>
        </w:rPr>
        <w:t>（一）“三公”经费财政拨款支出决算总体情况说明</w:t>
      </w:r>
    </w:p>
    <w:p w14:paraId="24A905AF">
      <w:pPr>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2.51</w:t>
      </w:r>
      <w:r>
        <w:rPr>
          <w:rFonts w:hint="eastAsia" w:ascii="仿宋_GB2312" w:hAnsi="仿宋_GB2312" w:eastAsia="仿宋_GB2312" w:cs="仿宋_GB2312"/>
          <w:sz w:val="32"/>
          <w:szCs w:val="32"/>
        </w:rPr>
        <w:t>万元，完成预算100%。</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减少0.30万元，下降10.77%。</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公务出差减少</w:t>
      </w:r>
      <w:r>
        <w:rPr>
          <w:rFonts w:hint="eastAsia" w:ascii="仿宋" w:hAnsi="仿宋" w:eastAsia="仿宋"/>
          <w:color w:val="auto"/>
          <w:sz w:val="32"/>
          <w:szCs w:val="32"/>
          <w:highlight w:val="none"/>
        </w:rPr>
        <w:t>。</w:t>
      </w:r>
      <w:bookmarkStart w:id="79" w:name="_GoBack"/>
      <w:bookmarkEnd w:id="79"/>
    </w:p>
    <w:p w14:paraId="13EC01E0">
      <w:pPr>
        <w:pageBreakBefore w:val="0"/>
        <w:widowControl w:val="0"/>
        <w:kinsoku/>
        <w:wordWrap/>
        <w:overflowPunct/>
        <w:topLinePunct w:val="0"/>
        <w:autoSpaceDE/>
        <w:autoSpaceDN/>
        <w:bidi w:val="0"/>
        <w:adjustRightInd/>
        <w:snapToGrid/>
        <w:spacing w:line="576" w:lineRule="exact"/>
        <w:ind w:firstLine="640"/>
        <w:textAlignment w:val="auto"/>
        <w:rPr>
          <w:rFonts w:ascii="楷体_GB2312" w:eastAsia="楷体_GB2312"/>
          <w:b/>
          <w:sz w:val="32"/>
          <w:szCs w:val="32"/>
        </w:rPr>
      </w:pPr>
      <w:bookmarkStart w:id="37" w:name="_Toc15377217"/>
      <w:r>
        <w:rPr>
          <w:rFonts w:hint="eastAsia" w:ascii="楷体_GB2312" w:eastAsia="楷体_GB2312"/>
          <w:b/>
          <w:sz w:val="32"/>
          <w:szCs w:val="32"/>
        </w:rPr>
        <w:t>（二）“三公”经费财政拨款支出决算具体情况说明</w:t>
      </w:r>
      <w:bookmarkEnd w:id="37"/>
    </w:p>
    <w:p w14:paraId="174DCBCF">
      <w:pPr>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94.02</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5.98</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B202EE0">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sz w:val="32"/>
          <w:szCs w:val="32"/>
        </w:rPr>
      </w:pPr>
    </w:p>
    <w:p w14:paraId="08CA19F7">
      <w:pPr>
        <w:spacing w:line="576"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图7：“三公”经费财政拨款支出结构（单位：万元）</w:t>
      </w:r>
    </w:p>
    <w:p w14:paraId="39A12609">
      <w:pPr>
        <w:jc w:val="center"/>
        <w:rPr>
          <w:rFonts w:ascii="仿宋" w:hAnsi="仿宋" w:eastAsia="仿宋"/>
          <w:sz w:val="32"/>
          <w:szCs w:val="32"/>
        </w:rPr>
      </w:pPr>
      <w:r>
        <w:rPr>
          <w:rFonts w:ascii="仿宋" w:hAnsi="仿宋" w:eastAsia="仿宋"/>
          <w:sz w:val="32"/>
          <w:szCs w:val="32"/>
        </w:rPr>
        <w:drawing>
          <wp:inline distT="0" distB="0" distL="0" distR="0">
            <wp:extent cx="3948430" cy="2210435"/>
            <wp:effectExtent l="4445" t="4445" r="9525"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117EF9">
      <w:pPr>
        <w:pStyle w:val="2"/>
      </w:pPr>
    </w:p>
    <w:p w14:paraId="20DF2DA8">
      <w:pPr>
        <w:keepNext w:val="0"/>
        <w:keepLines w:val="0"/>
        <w:pageBreakBefore w:val="0"/>
        <w:widowControl w:val="0"/>
        <w:kinsoku/>
        <w:wordWrap/>
        <w:overflowPunct/>
        <w:topLinePunct w:val="0"/>
        <w:bidi w:val="0"/>
        <w:snapToGrid/>
        <w:spacing w:line="576"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1.因公出国（境）经费支出0万元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全年安排因公出国（境）团组0次，出国（境）0人。</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w:t>
      </w:r>
      <w:r>
        <w:rPr>
          <w:rFonts w:hint="eastAsia" w:ascii="仿宋_GB2312" w:eastAsia="仿宋_GB2312"/>
          <w:color w:val="auto"/>
          <w:sz w:val="32"/>
          <w:szCs w:val="32"/>
          <w:highlight w:val="none"/>
          <w:lang w:val="en-US" w:eastAsia="zh-CN"/>
        </w:rPr>
        <w:t>2022年比较无增减</w:t>
      </w:r>
      <w:r>
        <w:rPr>
          <w:rFonts w:hint="eastAsia" w:ascii="仿宋_GB2312" w:eastAsia="仿宋_GB2312"/>
          <w:color w:val="auto"/>
          <w:sz w:val="32"/>
          <w:szCs w:val="32"/>
          <w:highlight w:val="none"/>
        </w:rPr>
        <w:t>。</w:t>
      </w:r>
    </w:p>
    <w:p w14:paraId="12C131F4">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b/>
          <w:color w:val="auto"/>
          <w:sz w:val="32"/>
          <w:szCs w:val="32"/>
          <w:highlight w:val="none"/>
        </w:rPr>
      </w:pPr>
      <w:r>
        <w:rPr>
          <w:rFonts w:hint="eastAsia" w:ascii="仿宋_GB2312" w:hAnsi="仿宋_GB2312" w:eastAsia="仿宋_GB2312" w:cs="仿宋_GB2312"/>
          <w:b/>
          <w:bCs/>
          <w:sz w:val="32"/>
          <w:szCs w:val="32"/>
        </w:rPr>
        <w:t>2.公务用车购置及运行维护费支出2.</w:t>
      </w:r>
      <w:r>
        <w:rPr>
          <w:rFonts w:hint="eastAsia" w:ascii="仿宋_GB2312" w:hAnsi="仿宋_GB2312" w:eastAsia="仿宋_GB2312" w:cs="仿宋_GB2312"/>
          <w:b/>
          <w:bCs/>
          <w:sz w:val="32"/>
          <w:szCs w:val="32"/>
          <w:lang w:val="en-US" w:eastAsia="zh-CN"/>
        </w:rPr>
        <w:t>36</w:t>
      </w:r>
      <w:r>
        <w:rPr>
          <w:rFonts w:hint="eastAsia" w:ascii="仿宋_GB2312" w:hAnsi="仿宋_GB2312" w:eastAsia="仿宋_GB2312" w:cs="仿宋_GB2312"/>
          <w:b/>
          <w:bCs/>
          <w:sz w:val="32"/>
          <w:szCs w:val="32"/>
        </w:rPr>
        <w:t>万元,</w:t>
      </w:r>
      <w:r>
        <w:rPr>
          <w:rStyle w:val="26"/>
          <w:rFonts w:hint="eastAsia" w:ascii="仿宋_GB2312" w:hAnsi="仿宋_GB2312" w:eastAsia="仿宋_GB2312" w:cs="仿宋_GB2312"/>
          <w:b w:val="0"/>
          <w:sz w:val="32"/>
          <w:szCs w:val="32"/>
        </w:rPr>
        <w:t>完成预算100%。</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0.46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公务出差减少</w:t>
      </w:r>
      <w:r>
        <w:rPr>
          <w:rFonts w:hint="eastAsia" w:ascii="仿宋_GB2312" w:eastAsia="仿宋_GB2312"/>
          <w:color w:val="auto"/>
          <w:sz w:val="32"/>
          <w:szCs w:val="32"/>
          <w:highlight w:val="none"/>
        </w:rPr>
        <w:t>。</w:t>
      </w:r>
    </w:p>
    <w:p w14:paraId="70B28B57">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2BE5D95">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2.36</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auto"/>
          <w:sz w:val="32"/>
          <w:szCs w:val="32"/>
        </w:rPr>
        <w:t>公务用车运行维护费主要用于公务用车燃油费、维修费、过路费、保险费等支出。</w:t>
      </w:r>
    </w:p>
    <w:p w14:paraId="3D727E4D">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100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_GB2312" w:eastAsia="仿宋_GB2312" w:cs="仿宋_GB2312"/>
          <w:sz w:val="32"/>
          <w:szCs w:val="32"/>
        </w:rPr>
        <w:t>接受相关部门检查指导工作发生的用餐费等接待支出</w:t>
      </w:r>
      <w:r>
        <w:rPr>
          <w:rFonts w:hint="eastAsia" w:ascii="仿宋_GB2312" w:eastAsia="仿宋_GB2312"/>
          <w:color w:val="auto"/>
          <w:sz w:val="32"/>
          <w:szCs w:val="32"/>
          <w:highlight w:val="none"/>
        </w:rPr>
        <w:t>。其中：</w:t>
      </w:r>
    </w:p>
    <w:p w14:paraId="42E23B70">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p>
    <w:p w14:paraId="1B3A9E95">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4CF5AA86">
      <w:pPr>
        <w:keepNext w:val="0"/>
        <w:keepLines w:val="0"/>
        <w:pageBreakBefore w:val="0"/>
        <w:widowControl w:val="0"/>
        <w:kinsoku/>
        <w:wordWrap/>
        <w:overflowPunct/>
        <w:topLinePunct w:val="0"/>
        <w:bidi w:val="0"/>
        <w:snapToGrid/>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八、政府性基金预算支出决算情况说明</w:t>
      </w:r>
    </w:p>
    <w:p w14:paraId="2516697A">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编办20</w:t>
      </w:r>
      <w:r>
        <w:rPr>
          <w:rFonts w:hint="eastAsia" w:ascii="仿宋_GB2312" w:eastAsia="仿宋_GB2312"/>
          <w:sz w:val="32"/>
          <w:szCs w:val="32"/>
          <w:lang w:val="en-US" w:eastAsia="zh-CN"/>
        </w:rPr>
        <w:t>23</w:t>
      </w:r>
      <w:r>
        <w:rPr>
          <w:rFonts w:hint="eastAsia" w:ascii="仿宋_GB2312" w:eastAsia="仿宋_GB2312"/>
          <w:sz w:val="32"/>
          <w:szCs w:val="32"/>
        </w:rPr>
        <w:t>年无政府性基金预算拨款支出。</w:t>
      </w:r>
    </w:p>
    <w:p w14:paraId="1649E674">
      <w:pPr>
        <w:keepNext w:val="0"/>
        <w:keepLines w:val="0"/>
        <w:pageBreakBefore w:val="0"/>
        <w:widowControl w:val="0"/>
        <w:kinsoku/>
        <w:wordWrap/>
        <w:overflowPunct/>
        <w:topLinePunct w:val="0"/>
        <w:bidi w:val="0"/>
        <w:snapToGrid/>
        <w:spacing w:line="576" w:lineRule="exact"/>
        <w:ind w:firstLine="640" w:firstLineChars="200"/>
        <w:textAlignment w:val="auto"/>
        <w:rPr>
          <w:rStyle w:val="41"/>
          <w:rFonts w:ascii="黑体" w:hAnsi="黑体" w:eastAsia="黑体"/>
          <w:b w:val="0"/>
        </w:rPr>
      </w:pPr>
      <w:bookmarkStart w:id="38" w:name="_Toc15396611"/>
      <w:bookmarkStart w:id="39" w:name="_Toc15377219"/>
      <w:r>
        <w:rPr>
          <w:rStyle w:val="41"/>
          <w:rFonts w:hint="eastAsia" w:ascii="黑体" w:hAnsi="黑体" w:eastAsia="黑体"/>
          <w:b w:val="0"/>
        </w:rPr>
        <w:t>九、国有资本经营预算支出决算情况说明</w:t>
      </w:r>
      <w:bookmarkEnd w:id="38"/>
      <w:bookmarkEnd w:id="39"/>
    </w:p>
    <w:p w14:paraId="113E4FB2">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编办</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年无国有资本经营预算拨款支出。</w:t>
      </w:r>
    </w:p>
    <w:p w14:paraId="47DD935E">
      <w:pPr>
        <w:keepNext w:val="0"/>
        <w:keepLines w:val="0"/>
        <w:pageBreakBefore w:val="0"/>
        <w:widowControl w:val="0"/>
        <w:kinsoku/>
        <w:wordWrap/>
        <w:overflowPunct/>
        <w:topLinePunct w:val="0"/>
        <w:bidi w:val="0"/>
        <w:snapToGrid/>
        <w:spacing w:line="576" w:lineRule="exact"/>
        <w:ind w:firstLine="640" w:firstLineChars="200"/>
        <w:textAlignment w:val="auto"/>
        <w:rPr>
          <w:rStyle w:val="41"/>
          <w:rFonts w:ascii="黑体" w:hAnsi="黑体" w:eastAsia="黑体"/>
        </w:rPr>
      </w:pPr>
      <w:r>
        <w:rPr>
          <w:rFonts w:hint="eastAsia" w:ascii="黑体" w:hAnsi="黑体" w:eastAsia="黑体"/>
          <w:sz w:val="32"/>
          <w:szCs w:val="32"/>
        </w:rPr>
        <w:t>十</w:t>
      </w:r>
      <w:r>
        <w:rPr>
          <w:rStyle w:val="41"/>
          <w:rFonts w:hint="eastAsia" w:ascii="黑体" w:hAnsi="黑体" w:eastAsia="黑体"/>
        </w:rPr>
        <w:t>、</w:t>
      </w:r>
      <w:r>
        <w:rPr>
          <w:rStyle w:val="41"/>
          <w:rFonts w:hint="eastAsia" w:ascii="黑体" w:hAnsi="黑体" w:eastAsia="黑体"/>
          <w:b w:val="0"/>
        </w:rPr>
        <w:t>其他重要事项的情况说明</w:t>
      </w:r>
    </w:p>
    <w:p w14:paraId="65306E62">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bookmarkStart w:id="40" w:name="_Toc15377222"/>
      <w:r>
        <w:rPr>
          <w:rStyle w:val="41"/>
          <w:rFonts w:hint="eastAsia" w:ascii="楷体" w:hAnsi="楷体" w:eastAsia="楷体" w:cs="楷体"/>
        </w:rPr>
        <w:t>（一）机关运行经费支出情况</w:t>
      </w:r>
      <w:bookmarkEnd w:id="40"/>
    </w:p>
    <w:p w14:paraId="44D7E5C1">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年，编办机关运行经费支出</w:t>
      </w:r>
      <w:r>
        <w:rPr>
          <w:rFonts w:hint="eastAsia" w:ascii="仿宋_GB2312" w:eastAsia="仿宋_GB2312"/>
          <w:sz w:val="32"/>
          <w:szCs w:val="32"/>
          <w:lang w:val="en-US" w:eastAsia="zh-CN"/>
        </w:rPr>
        <w:t>5.07</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1.95</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27.78</w:t>
      </w:r>
      <w:r>
        <w:rPr>
          <w:rFonts w:ascii="仿宋_GB2312" w:eastAsia="仿宋_GB2312"/>
          <w:sz w:val="32"/>
          <w:szCs w:val="32"/>
        </w:rPr>
        <w:t>%</w:t>
      </w:r>
      <w:r>
        <w:rPr>
          <w:rFonts w:hint="eastAsia" w:ascii="仿宋_GB2312" w:eastAsia="仿宋_GB2312"/>
          <w:sz w:val="32"/>
          <w:szCs w:val="32"/>
        </w:rPr>
        <w:t>。主要原因是继续积极贯彻落实中央八项规定及省委省政府十项规定要求，加强行政事业单位日常经费管理。</w:t>
      </w:r>
    </w:p>
    <w:p w14:paraId="15124D70">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仿宋" w:hAnsi="仿宋" w:eastAsia="仿宋"/>
          <w:b/>
          <w:sz w:val="32"/>
          <w:szCs w:val="32"/>
        </w:rPr>
      </w:pPr>
      <w:r>
        <w:rPr>
          <w:rStyle w:val="41"/>
          <w:rFonts w:hint="eastAsia" w:ascii="楷体" w:hAnsi="楷体" w:eastAsia="楷体" w:cs="楷体"/>
        </w:rPr>
        <w:t>（二）政府采购支出情况</w:t>
      </w:r>
    </w:p>
    <w:p w14:paraId="13A983A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年，编办无政府采购支出。</w:t>
      </w:r>
    </w:p>
    <w:p w14:paraId="1EEF3D74">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r>
        <w:rPr>
          <w:rStyle w:val="41"/>
          <w:rFonts w:hint="eastAsia" w:ascii="楷体" w:hAnsi="楷体" w:eastAsia="楷体" w:cs="楷体"/>
        </w:rPr>
        <w:t>（三）国有资产占有使用情况</w:t>
      </w:r>
    </w:p>
    <w:p w14:paraId="09140DC4">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日，编办共有车辆1辆，为一般公务用车；无单价</w:t>
      </w:r>
      <w:r>
        <w:rPr>
          <w:rFonts w:ascii="仿宋_GB2312" w:eastAsia="仿宋_GB2312"/>
          <w:sz w:val="32"/>
          <w:szCs w:val="32"/>
        </w:rPr>
        <w:t>50</w:t>
      </w:r>
      <w:r>
        <w:rPr>
          <w:rFonts w:hint="eastAsia" w:ascii="仿宋_GB2312" w:eastAsia="仿宋_GB2312"/>
          <w:sz w:val="32"/>
          <w:szCs w:val="32"/>
        </w:rPr>
        <w:t>万元以上通用设备和单价</w:t>
      </w:r>
      <w:r>
        <w:rPr>
          <w:rFonts w:ascii="仿宋_GB2312" w:eastAsia="仿宋_GB2312"/>
          <w:sz w:val="32"/>
          <w:szCs w:val="32"/>
        </w:rPr>
        <w:t>100</w:t>
      </w:r>
      <w:r>
        <w:rPr>
          <w:rFonts w:hint="eastAsia" w:ascii="仿宋_GB2312" w:eastAsia="仿宋_GB2312"/>
          <w:sz w:val="32"/>
          <w:szCs w:val="32"/>
        </w:rPr>
        <w:t>万元以上专用设备。</w:t>
      </w:r>
    </w:p>
    <w:p w14:paraId="0D42DD90">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楷体_GB2312" w:hAnsi="楷体_GB2312" w:eastAsia="楷体_GB2312" w:cs="楷体_GB2312"/>
          <w:b/>
          <w:bCs/>
          <w:sz w:val="32"/>
          <w:szCs w:val="32"/>
        </w:rPr>
      </w:pPr>
      <w:r>
        <w:rPr>
          <w:rStyle w:val="41"/>
          <w:rFonts w:hint="eastAsia" w:ascii="楷体_GB2312" w:hAnsi="楷体_GB2312" w:eastAsia="楷体_GB2312" w:cs="楷体_GB2312"/>
        </w:rPr>
        <w:t>（四）预算绩效管理情况</w:t>
      </w:r>
    </w:p>
    <w:p w14:paraId="713C28E3">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bookmarkStart w:id="41" w:name="_Toc15377221"/>
      <w:bookmarkStart w:id="42" w:name="_Toc15396612"/>
      <w:r>
        <w:rPr>
          <w:rFonts w:hint="eastAsia" w:ascii="仿宋_GB2312" w:hAnsi="仿宋_GB2312" w:eastAsia="仿宋_GB2312" w:cs="仿宋_GB2312"/>
          <w:sz w:val="32"/>
          <w:szCs w:val="32"/>
        </w:rPr>
        <w:t>根据预算绩效管理要求，本部门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度预算编制阶段，无项目预算编制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所以未组织对项目开展预算事前绩效评估及编制绩效目标。预算执行过程中未对项目开展绩效监控及绩效自评。</w:t>
      </w:r>
    </w:p>
    <w:p w14:paraId="3C6E3200">
      <w:pPr>
        <w:pStyle w:val="2"/>
        <w:rPr>
          <w:rFonts w:hint="eastAsia" w:ascii="仿宋_GB2312" w:hAnsi="仿宋_GB2312" w:eastAsia="仿宋_GB2312" w:cs="仿宋_GB2312"/>
          <w:sz w:val="32"/>
          <w:szCs w:val="32"/>
          <w:lang w:eastAsia="zh-CN"/>
        </w:rPr>
      </w:pPr>
    </w:p>
    <w:p w14:paraId="5CC58FC7">
      <w:pPr>
        <w:pStyle w:val="3"/>
        <w:rPr>
          <w:rFonts w:hint="eastAsia" w:ascii="仿宋_GB2312" w:hAnsi="仿宋_GB2312" w:eastAsia="仿宋_GB2312" w:cs="仿宋_GB2312"/>
          <w:sz w:val="32"/>
          <w:szCs w:val="32"/>
          <w:lang w:eastAsia="zh-CN"/>
        </w:rPr>
      </w:pPr>
    </w:p>
    <w:p w14:paraId="3F7C62EE">
      <w:pPr>
        <w:pStyle w:val="3"/>
        <w:rPr>
          <w:rFonts w:hint="eastAsia" w:ascii="仿宋_GB2312" w:hAnsi="仿宋_GB2312" w:eastAsia="仿宋_GB2312" w:cs="仿宋_GB2312"/>
          <w:sz w:val="32"/>
          <w:szCs w:val="32"/>
          <w:lang w:eastAsia="zh-CN"/>
        </w:rPr>
      </w:pPr>
    </w:p>
    <w:p w14:paraId="685C1CBD">
      <w:pPr>
        <w:pStyle w:val="3"/>
        <w:rPr>
          <w:rFonts w:hint="eastAsia" w:ascii="仿宋_GB2312" w:hAnsi="仿宋_GB2312" w:eastAsia="仿宋_GB2312" w:cs="仿宋_GB2312"/>
          <w:sz w:val="32"/>
          <w:szCs w:val="32"/>
          <w:lang w:eastAsia="zh-CN"/>
        </w:rPr>
      </w:pPr>
    </w:p>
    <w:p w14:paraId="335E2A72">
      <w:pPr>
        <w:pStyle w:val="3"/>
        <w:rPr>
          <w:rFonts w:hint="eastAsia" w:ascii="仿宋_GB2312" w:hAnsi="仿宋_GB2312" w:eastAsia="仿宋_GB2312" w:cs="仿宋_GB2312"/>
          <w:sz w:val="32"/>
          <w:szCs w:val="32"/>
          <w:lang w:eastAsia="zh-CN"/>
        </w:rPr>
      </w:pPr>
    </w:p>
    <w:p w14:paraId="29C7D1DC">
      <w:pPr>
        <w:pStyle w:val="3"/>
        <w:rPr>
          <w:rFonts w:hint="eastAsia" w:ascii="仿宋_GB2312" w:hAnsi="仿宋_GB2312" w:eastAsia="仿宋_GB2312" w:cs="仿宋_GB2312"/>
          <w:sz w:val="32"/>
          <w:szCs w:val="32"/>
          <w:lang w:eastAsia="zh-CN"/>
        </w:rPr>
      </w:pPr>
    </w:p>
    <w:p w14:paraId="26FD5F56">
      <w:pPr>
        <w:pStyle w:val="3"/>
        <w:rPr>
          <w:rFonts w:hint="eastAsia" w:ascii="仿宋_GB2312" w:hAnsi="仿宋_GB2312" w:eastAsia="仿宋_GB2312" w:cs="仿宋_GB2312"/>
          <w:sz w:val="32"/>
          <w:szCs w:val="32"/>
          <w:lang w:eastAsia="zh-CN"/>
        </w:rPr>
      </w:pPr>
    </w:p>
    <w:p w14:paraId="5C44F293">
      <w:pPr>
        <w:pStyle w:val="3"/>
        <w:rPr>
          <w:rFonts w:hint="eastAsia" w:ascii="仿宋_GB2312" w:hAnsi="仿宋_GB2312" w:eastAsia="仿宋_GB2312" w:cs="仿宋_GB2312"/>
          <w:sz w:val="32"/>
          <w:szCs w:val="32"/>
          <w:lang w:eastAsia="zh-CN"/>
        </w:rPr>
      </w:pPr>
    </w:p>
    <w:p w14:paraId="21C2CFD1">
      <w:pPr>
        <w:pStyle w:val="3"/>
        <w:rPr>
          <w:rFonts w:hint="eastAsia" w:ascii="仿宋_GB2312" w:hAnsi="仿宋_GB2312" w:eastAsia="仿宋_GB2312" w:cs="仿宋_GB2312"/>
          <w:sz w:val="32"/>
          <w:szCs w:val="32"/>
          <w:lang w:eastAsia="zh-CN"/>
        </w:rPr>
      </w:pPr>
    </w:p>
    <w:p w14:paraId="150582C3">
      <w:pPr>
        <w:pStyle w:val="3"/>
        <w:rPr>
          <w:rFonts w:hint="eastAsia" w:ascii="仿宋_GB2312" w:hAnsi="仿宋_GB2312" w:eastAsia="仿宋_GB2312" w:cs="仿宋_GB2312"/>
          <w:sz w:val="32"/>
          <w:szCs w:val="32"/>
          <w:lang w:eastAsia="zh-CN"/>
        </w:rPr>
      </w:pPr>
    </w:p>
    <w:p w14:paraId="7A176AA1">
      <w:pPr>
        <w:pStyle w:val="3"/>
        <w:rPr>
          <w:rFonts w:hint="eastAsia" w:ascii="仿宋_GB2312" w:hAnsi="仿宋_GB2312" w:eastAsia="仿宋_GB2312" w:cs="仿宋_GB2312"/>
          <w:sz w:val="32"/>
          <w:szCs w:val="32"/>
          <w:lang w:eastAsia="zh-CN"/>
        </w:rPr>
      </w:pPr>
    </w:p>
    <w:p w14:paraId="5582A023">
      <w:pPr>
        <w:spacing w:line="576" w:lineRule="exact"/>
        <w:rPr>
          <w:rFonts w:hint="eastAsia" w:ascii="仿宋_GB2312" w:hAnsi="仿宋_GB2312" w:eastAsia="仿宋_GB2312" w:cs="仿宋_GB2312"/>
          <w:sz w:val="32"/>
          <w:szCs w:val="32"/>
          <w:lang w:eastAsia="zh-CN"/>
        </w:rPr>
      </w:pPr>
    </w:p>
    <w:bookmarkEnd w:id="41"/>
    <w:bookmarkEnd w:id="42"/>
    <w:p w14:paraId="49181396">
      <w:pPr>
        <w:numPr>
          <w:ilvl w:val="0"/>
          <w:numId w:val="1"/>
        </w:numPr>
        <w:spacing w:line="600" w:lineRule="exact"/>
        <w:ind w:firstLine="660" w:firstLineChars="150"/>
        <w:jc w:val="center"/>
        <w:outlineLvl w:val="0"/>
        <w:rPr>
          <w:rStyle w:val="37"/>
          <w:rFonts w:ascii="方正小标宋简体" w:hAnsi="方正小标宋简体" w:eastAsia="方正小标宋简体" w:cs="方正小标宋简体"/>
          <w:b w:val="0"/>
        </w:rPr>
      </w:pPr>
      <w:bookmarkStart w:id="43" w:name="_Toc79163879"/>
      <w:bookmarkStart w:id="44" w:name="_Toc15396613"/>
      <w:bookmarkStart w:id="45" w:name="_Toc15377225"/>
      <w:bookmarkStart w:id="46" w:name="_Toc79163629"/>
      <w:r>
        <w:rPr>
          <w:rFonts w:hint="eastAsia" w:ascii="方正小标宋简体" w:hAnsi="方正小标宋简体" w:eastAsia="方正小标宋简体" w:cs="方正小标宋简体"/>
          <w:color w:val="000000"/>
          <w:sz w:val="44"/>
          <w:szCs w:val="44"/>
        </w:rPr>
        <w:t>名</w:t>
      </w:r>
      <w:r>
        <w:rPr>
          <w:rStyle w:val="37"/>
          <w:rFonts w:hint="eastAsia" w:ascii="方正小标宋简体" w:hAnsi="方正小标宋简体" w:eastAsia="方正小标宋简体" w:cs="方正小标宋简体"/>
          <w:b w:val="0"/>
        </w:rPr>
        <w:t>词解释</w:t>
      </w:r>
      <w:bookmarkEnd w:id="43"/>
      <w:bookmarkEnd w:id="44"/>
      <w:bookmarkEnd w:id="45"/>
      <w:bookmarkEnd w:id="46"/>
    </w:p>
    <w:p w14:paraId="1CF51116">
      <w:pPr>
        <w:spacing w:line="600" w:lineRule="exact"/>
        <w:jc w:val="left"/>
        <w:rPr>
          <w:rFonts w:ascii="宋体"/>
          <w:b/>
          <w:color w:val="000000"/>
          <w:sz w:val="44"/>
          <w:szCs w:val="44"/>
        </w:rPr>
      </w:pPr>
    </w:p>
    <w:p w14:paraId="09FB1AD8">
      <w:pPr>
        <w:pStyle w:val="32"/>
        <w:spacing w:line="560" w:lineRule="exact"/>
        <w:ind w:firstLine="640" w:firstLineChars="200"/>
        <w:rPr>
          <w:rFonts w:ascii="仿宋_GB2312" w:eastAsia="仿宋_GB2312"/>
          <w:color w:val="auto"/>
          <w:sz w:val="32"/>
          <w:szCs w:val="32"/>
        </w:rPr>
      </w:pPr>
      <w:bookmarkStart w:id="4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E9D853C">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0137410">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AF8881E">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0BC1310B">
      <w:pPr>
        <w:pStyle w:val="3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57C03432">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3AB057B0">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4A9D5C51">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59E4FE6">
      <w:pPr>
        <w:spacing w:line="576" w:lineRule="exact"/>
        <w:ind w:firstLine="636" w:firstLineChars="199"/>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14:paraId="668656DE">
      <w:pPr>
        <w:spacing w:line="576" w:lineRule="exact"/>
        <w:ind w:firstLine="636" w:firstLineChars="199"/>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14:paraId="1DB77A43">
      <w:pPr>
        <w:spacing w:line="576" w:lineRule="exact"/>
        <w:ind w:firstLine="636" w:firstLineChars="199"/>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14:paraId="496E07F6">
      <w:pPr>
        <w:spacing w:line="576" w:lineRule="exact"/>
        <w:ind w:firstLine="636" w:firstLineChars="199"/>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14:paraId="2F506BC2">
      <w:pPr>
        <w:spacing w:line="576" w:lineRule="exact"/>
        <w:ind w:firstLine="636" w:firstLineChars="199"/>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14:paraId="0D803E74">
      <w:pPr>
        <w:spacing w:line="576" w:lineRule="exact"/>
        <w:ind w:firstLine="636" w:firstLineChars="199"/>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14:paraId="7BCA816E">
      <w:pPr>
        <w:spacing w:line="576" w:lineRule="exact"/>
        <w:ind w:firstLine="636" w:firstLineChars="199"/>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14:paraId="00D55BB8">
      <w:pPr>
        <w:spacing w:line="576" w:lineRule="exact"/>
        <w:ind w:firstLine="636" w:firstLineChars="199"/>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14:paraId="54D8DABC">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14:paraId="37BC683E">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69B9EA1D">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6879A080">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BC3B81A">
      <w:pPr>
        <w:pStyle w:val="3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167B74">
      <w:pPr>
        <w:pStyle w:val="3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888DA3">
      <w:pPr>
        <w:pStyle w:val="32"/>
        <w:spacing w:line="560" w:lineRule="exact"/>
        <w:ind w:firstLine="640" w:firstLineChars="200"/>
        <w:rPr>
          <w:rFonts w:ascii="仿宋_GB2312" w:eastAsia="仿宋_GB2312" w:cs="黑体"/>
          <w:color w:val="auto"/>
          <w:sz w:val="32"/>
          <w:szCs w:val="32"/>
        </w:rPr>
      </w:pPr>
    </w:p>
    <w:p w14:paraId="5A2ADE40">
      <w:pPr>
        <w:spacing w:line="600" w:lineRule="exact"/>
        <w:jc w:val="center"/>
        <w:outlineLvl w:val="0"/>
        <w:rPr>
          <w:rFonts w:hint="eastAsia" w:ascii="方正小标宋简体" w:hAnsi="方正小标宋简体" w:eastAsia="方正小标宋简体" w:cs="方正小标宋简体"/>
          <w:sz w:val="44"/>
          <w:szCs w:val="44"/>
        </w:rPr>
      </w:pPr>
      <w:r>
        <w:rPr>
          <w:rFonts w:ascii="宋体"/>
          <w:b/>
          <w:color w:val="000000"/>
          <w:sz w:val="44"/>
          <w:szCs w:val="44"/>
        </w:rPr>
        <w:br w:type="page"/>
      </w:r>
      <w:bookmarkStart w:id="48" w:name="_Toc79163880"/>
      <w:bookmarkStart w:id="49" w:name="_Toc15396614"/>
      <w:bookmarkStart w:id="50" w:name="_Toc79163630"/>
      <w:r>
        <w:rPr>
          <w:rFonts w:hint="eastAsia" w:ascii="方正小标宋简体" w:hAnsi="方正小标宋简体" w:eastAsia="方正小标宋简体" w:cs="方正小标宋简体"/>
          <w:sz w:val="44"/>
          <w:szCs w:val="44"/>
        </w:rPr>
        <w:t>第四部分 附件</w:t>
      </w:r>
      <w:bookmarkEnd w:id="48"/>
      <w:bookmarkEnd w:id="49"/>
      <w:bookmarkEnd w:id="50"/>
    </w:p>
    <w:p w14:paraId="13C31348">
      <w:pPr>
        <w:pStyle w:val="2"/>
        <w:rPr>
          <w:rFonts w:hint="eastAsia"/>
        </w:rPr>
      </w:pPr>
    </w:p>
    <w:p w14:paraId="080BE34F">
      <w:pPr>
        <w:spacing w:line="600" w:lineRule="exact"/>
        <w:jc w:val="center"/>
        <w:outlineLvl w:val="0"/>
      </w:pPr>
      <w:r>
        <w:rPr>
          <w:rFonts w:hint="eastAsia" w:hAnsi="Times New Roman" w:cs="Times New Roman"/>
          <w:sz w:val="32"/>
          <w:szCs w:val="32"/>
          <w:highlight w:val="none"/>
          <w:lang w:val="en-US" w:eastAsia="zh-CN"/>
        </w:rPr>
        <w:t>单位预算项目支出绩效自评表（202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p>
    <w:p w14:paraId="307958D0">
      <w:pPr>
        <w:spacing w:line="600" w:lineRule="exact"/>
        <w:jc w:val="both"/>
        <w:outlineLvl w:val="0"/>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附表</w:t>
      </w:r>
    </w:p>
    <w:tbl>
      <w:tblPr>
        <w:tblStyle w:val="24"/>
        <w:tblpPr w:leftFromText="180" w:rightFromText="180" w:vertAnchor="text" w:horzAnchor="page" w:tblpX="642" w:tblpY="73"/>
        <w:tblOverlap w:val="never"/>
        <w:tblW w:w="10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810"/>
        <w:gridCol w:w="1198"/>
        <w:gridCol w:w="1228"/>
        <w:gridCol w:w="522"/>
        <w:gridCol w:w="624"/>
        <w:gridCol w:w="829"/>
        <w:gridCol w:w="1084"/>
        <w:gridCol w:w="510"/>
        <w:gridCol w:w="448"/>
        <w:gridCol w:w="1871"/>
      </w:tblGrid>
      <w:tr w14:paraId="18C1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4C16F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A73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5FC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D09299">
            <w:pPr>
              <w:rPr>
                <w:rFonts w:hint="eastAsia" w:ascii="宋体" w:hAnsi="宋体" w:eastAsia="宋体" w:cs="宋体"/>
                <w:i w:val="0"/>
                <w:iCs w:val="0"/>
                <w:color w:val="000000"/>
                <w:sz w:val="18"/>
                <w:szCs w:val="18"/>
                <w:u w:val="none"/>
              </w:rPr>
            </w:pPr>
          </w:p>
        </w:tc>
      </w:tr>
      <w:tr w14:paraId="69F3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927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32EE4">
            <w:pPr>
              <w:rPr>
                <w:rFonts w:hint="eastAsia" w:ascii="宋体" w:hAnsi="宋体" w:eastAsia="宋体" w:cs="宋体"/>
                <w:i w:val="0"/>
                <w:iCs w:val="0"/>
                <w:color w:val="000000"/>
                <w:sz w:val="18"/>
                <w:szCs w:val="18"/>
                <w:u w:val="none"/>
              </w:rPr>
            </w:pPr>
          </w:p>
        </w:tc>
        <w:tc>
          <w:tcPr>
            <w:tcW w:w="1084" w:type="dxa"/>
            <w:tcBorders>
              <w:top w:val="nil"/>
              <w:left w:val="nil"/>
              <w:bottom w:val="nil"/>
              <w:right w:val="nil"/>
            </w:tcBorders>
            <w:shd w:val="clear" w:color="auto" w:fill="auto"/>
            <w:vAlign w:val="center"/>
          </w:tcPr>
          <w:p w14:paraId="6A7750B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AB080">
            <w:pPr>
              <w:jc w:val="center"/>
              <w:rPr>
                <w:rFonts w:hint="eastAsia" w:ascii="宋体" w:hAnsi="宋体" w:eastAsia="宋体" w:cs="宋体"/>
                <w:i w:val="0"/>
                <w:iCs w:val="0"/>
                <w:color w:val="000000"/>
                <w:sz w:val="18"/>
                <w:szCs w:val="18"/>
                <w:u w:val="none"/>
              </w:rPr>
            </w:pPr>
          </w:p>
        </w:tc>
      </w:tr>
      <w:tr w14:paraId="54F8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1B3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B53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16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555C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EA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D2FD">
            <w:pPr>
              <w:rPr>
                <w:rFonts w:hint="eastAsia" w:ascii="宋体" w:hAnsi="宋体" w:eastAsia="宋体" w:cs="宋体"/>
                <w:i w:val="0"/>
                <w:iCs w:val="0"/>
                <w:color w:val="000000"/>
                <w:sz w:val="18"/>
                <w:szCs w:val="18"/>
                <w:u w:val="none"/>
              </w:rPr>
            </w:pP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1D00">
            <w:pPr>
              <w:rPr>
                <w:rFonts w:hint="eastAsia" w:ascii="宋体" w:hAnsi="宋体" w:eastAsia="宋体" w:cs="宋体"/>
                <w:i w:val="0"/>
                <w:iCs w:val="0"/>
                <w:color w:val="000000"/>
                <w:sz w:val="18"/>
                <w:szCs w:val="18"/>
                <w:u w:val="none"/>
              </w:rPr>
            </w:pPr>
          </w:p>
        </w:tc>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74D1B">
            <w:pPr>
              <w:rPr>
                <w:rFonts w:hint="eastAsia" w:ascii="宋体" w:hAnsi="宋体" w:eastAsia="宋体" w:cs="宋体"/>
                <w:i w:val="0"/>
                <w:iCs w:val="0"/>
                <w:color w:val="000000"/>
                <w:sz w:val="18"/>
                <w:szCs w:val="18"/>
                <w:u w:val="none"/>
              </w:rPr>
            </w:pP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890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854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7CFA">
            <w:pP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92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9038D0">
            <w:pPr>
              <w:rPr>
                <w:rFonts w:hint="eastAsia" w:ascii="宋体" w:hAnsi="宋体" w:eastAsia="宋体" w:cs="宋体"/>
                <w:i w:val="0"/>
                <w:iCs w:val="0"/>
                <w:color w:val="000000"/>
                <w:sz w:val="18"/>
                <w:szCs w:val="18"/>
                <w:u w:val="none"/>
              </w:rPr>
            </w:pPr>
          </w:p>
        </w:tc>
      </w:tr>
      <w:tr w14:paraId="297F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5A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2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4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1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7C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4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4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3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9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CF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DF029">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9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0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5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B6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9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BC32">
            <w:pPr>
              <w:jc w:val="center"/>
              <w:rPr>
                <w:rFonts w:hint="eastAsia" w:ascii="宋体" w:hAnsi="宋体" w:eastAsia="宋体" w:cs="宋体"/>
                <w:i w:val="0"/>
                <w:iCs w:val="0"/>
                <w:color w:val="000000"/>
                <w:sz w:val="18"/>
                <w:szCs w:val="18"/>
                <w:u w:val="none"/>
              </w:rPr>
            </w:pP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4C5C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E1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1695">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4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A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A5C">
            <w:pPr>
              <w:jc w:val="center"/>
              <w:rPr>
                <w:rFonts w:hint="eastAsia" w:ascii="宋体" w:hAnsi="宋体" w:eastAsia="宋体" w:cs="宋体"/>
                <w:i w:val="0"/>
                <w:iCs w:val="0"/>
                <w:color w:val="000000"/>
                <w:sz w:val="18"/>
                <w:szCs w:val="18"/>
                <w:u w:val="none"/>
              </w:rPr>
            </w:pP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31E46">
            <w:pPr>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0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4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4064">
            <w:pPr>
              <w:rPr>
                <w:rFonts w:hint="eastAsia" w:ascii="黑体" w:hAnsi="黑体" w:eastAsia="黑体" w:cs="黑体"/>
                <w:i/>
                <w:iCs/>
                <w:color w:val="000000"/>
                <w:sz w:val="18"/>
                <w:szCs w:val="18"/>
                <w:u w:val="none"/>
              </w:rPr>
            </w:pPr>
          </w:p>
        </w:tc>
      </w:tr>
      <w:tr w14:paraId="38FA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7224">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2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75B1">
            <w:pPr>
              <w:jc w:val="center"/>
              <w:rPr>
                <w:rFonts w:hint="eastAsia" w:ascii="宋体" w:hAnsi="宋体" w:eastAsia="宋体" w:cs="宋体"/>
                <w:i w:val="0"/>
                <w:iCs w:val="0"/>
                <w:color w:val="000000"/>
                <w:sz w:val="18"/>
                <w:szCs w:val="18"/>
                <w:u w:val="none"/>
              </w:rPr>
            </w:pP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A5DC8">
            <w:pPr>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B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4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6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0418">
            <w:pPr>
              <w:rPr>
                <w:rFonts w:hint="eastAsia" w:ascii="黑体" w:hAnsi="黑体" w:eastAsia="黑体" w:cs="黑体"/>
                <w:i/>
                <w:iCs/>
                <w:color w:val="000000"/>
                <w:sz w:val="18"/>
                <w:szCs w:val="18"/>
                <w:u w:val="none"/>
              </w:rPr>
            </w:pPr>
          </w:p>
        </w:tc>
      </w:tr>
      <w:tr w14:paraId="6619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CFF18">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C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FE9B">
            <w:pPr>
              <w:jc w:val="center"/>
              <w:rPr>
                <w:rFonts w:hint="eastAsia" w:ascii="宋体" w:hAnsi="宋体" w:eastAsia="宋体" w:cs="宋体"/>
                <w:i w:val="0"/>
                <w:iCs w:val="0"/>
                <w:color w:val="000000"/>
                <w:sz w:val="18"/>
                <w:szCs w:val="18"/>
                <w:u w:val="none"/>
              </w:rPr>
            </w:pP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82C49">
            <w:pPr>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8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6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79CF4">
            <w:pPr>
              <w:rPr>
                <w:rFonts w:hint="eastAsia" w:ascii="黑体" w:hAnsi="黑体" w:eastAsia="黑体" w:cs="黑体"/>
                <w:i/>
                <w:iCs/>
                <w:color w:val="000000"/>
                <w:sz w:val="18"/>
                <w:szCs w:val="18"/>
                <w:u w:val="none"/>
              </w:rPr>
            </w:pPr>
          </w:p>
        </w:tc>
      </w:tr>
      <w:tr w14:paraId="67F5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EA8A">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5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6783">
            <w:pPr>
              <w:jc w:val="center"/>
              <w:rPr>
                <w:rFonts w:hint="eastAsia" w:ascii="微软雅黑" w:hAnsi="微软雅黑" w:eastAsia="微软雅黑" w:cs="微软雅黑"/>
                <w:i/>
                <w:iCs/>
                <w:color w:val="000000"/>
                <w:sz w:val="16"/>
                <w:szCs w:val="16"/>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FC5D">
            <w:pPr>
              <w:jc w:val="center"/>
              <w:rPr>
                <w:rFonts w:hint="eastAsia" w:ascii="微软雅黑" w:hAnsi="微软雅黑" w:eastAsia="微软雅黑" w:cs="微软雅黑"/>
                <w:i/>
                <w:iCs/>
                <w:color w:val="000000"/>
                <w:sz w:val="16"/>
                <w:szCs w:val="16"/>
                <w:u w:val="none"/>
              </w:rPr>
            </w:pP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FFC27">
            <w:pPr>
              <w:jc w:val="center"/>
              <w:rPr>
                <w:rFonts w:hint="eastAsia" w:ascii="微软雅黑" w:hAnsi="微软雅黑" w:eastAsia="微软雅黑" w:cs="微软雅黑"/>
                <w:i/>
                <w:iCs/>
                <w:color w:val="000000"/>
                <w:sz w:val="16"/>
                <w:szCs w:val="16"/>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41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8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D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CDF4">
            <w:pPr>
              <w:rPr>
                <w:rFonts w:hint="eastAsia" w:ascii="黑体" w:hAnsi="黑体" w:eastAsia="黑体" w:cs="黑体"/>
                <w:i/>
                <w:iCs/>
                <w:color w:val="000000"/>
                <w:sz w:val="18"/>
                <w:szCs w:val="18"/>
                <w:u w:val="none"/>
              </w:rPr>
            </w:pPr>
          </w:p>
        </w:tc>
      </w:tr>
      <w:tr w14:paraId="2124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8E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A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6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5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9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D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4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8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A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C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B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12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B4BE">
            <w:pPr>
              <w:jc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B489">
            <w:pPr>
              <w:jc w:val="center"/>
              <w:rPr>
                <w:rFonts w:hint="eastAsia" w:ascii="宋体" w:hAnsi="宋体" w:eastAsia="宋体" w:cs="宋体"/>
                <w:i w:val="0"/>
                <w:iCs w:val="0"/>
                <w:color w:val="000000"/>
                <w:sz w:val="18"/>
                <w:szCs w:val="18"/>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1EEE">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80E4">
            <w:pPr>
              <w:jc w:val="center"/>
              <w:rPr>
                <w:rFonts w:hint="eastAsia" w:ascii="宋体" w:hAnsi="宋体" w:eastAsia="宋体" w:cs="宋体"/>
                <w:i w:val="0"/>
                <w:iCs w:val="0"/>
                <w:color w:val="000000"/>
                <w:sz w:val="18"/>
                <w:szCs w:val="18"/>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09E7">
            <w:pPr>
              <w:jc w:val="center"/>
              <w:rPr>
                <w:rFonts w:hint="eastAsia" w:ascii="宋体" w:hAnsi="宋体" w:eastAsia="宋体" w:cs="宋体"/>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7F2">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F400">
            <w:pPr>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E6B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EF74">
            <w:pPr>
              <w:jc w:val="center"/>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83D6">
            <w:pPr>
              <w:jc w:val="center"/>
              <w:rPr>
                <w:rFonts w:hint="eastAsia" w:ascii="宋体" w:hAnsi="宋体" w:eastAsia="宋体" w:cs="宋体"/>
                <w:i w:val="0"/>
                <w:iCs w:val="0"/>
                <w:color w:val="000000"/>
                <w:sz w:val="18"/>
                <w:szCs w:val="18"/>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36A4">
            <w:pPr>
              <w:jc w:val="center"/>
              <w:rPr>
                <w:rFonts w:hint="eastAsia" w:ascii="微软雅黑" w:hAnsi="微软雅黑" w:eastAsia="微软雅黑" w:cs="微软雅黑"/>
                <w:i/>
                <w:iCs/>
                <w:color w:val="000000"/>
                <w:sz w:val="16"/>
                <w:szCs w:val="16"/>
                <w:u w:val="none"/>
              </w:rPr>
            </w:pPr>
          </w:p>
        </w:tc>
      </w:tr>
      <w:tr w14:paraId="6241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00E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2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187A">
            <w:pPr>
              <w:rPr>
                <w:rFonts w:hint="eastAsia" w:ascii="宋体" w:hAnsi="宋体" w:eastAsia="宋体" w:cs="宋体"/>
                <w:i w:val="0"/>
                <w:iCs w:val="0"/>
                <w:color w:val="000000"/>
                <w:sz w:val="18"/>
                <w:szCs w:val="18"/>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8221">
            <w:pPr>
              <w:rPr>
                <w:rFonts w:hint="eastAsia" w:ascii="宋体" w:hAnsi="宋体" w:eastAsia="宋体" w:cs="宋体"/>
                <w:i w:val="0"/>
                <w:iCs w:val="0"/>
                <w:color w:val="000000"/>
                <w:sz w:val="18"/>
                <w:szCs w:val="18"/>
                <w:u w:val="none"/>
              </w:rPr>
            </w:pPr>
          </w:p>
        </w:tc>
      </w:tr>
      <w:tr w14:paraId="4290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5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06EA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052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0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86A6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A1C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7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7B88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2A4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047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3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A3D0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3CC323F">
      <w:pPr>
        <w:pStyle w:val="2"/>
      </w:pPr>
    </w:p>
    <w:bookmarkEnd w:id="47"/>
    <w:p w14:paraId="57712B01">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bookmarkStart w:id="51" w:name="_Toc9504"/>
      <w:bookmarkStart w:id="52" w:name="_Toc6196"/>
      <w:r>
        <w:rPr>
          <w:rFonts w:hint="eastAsia" w:ascii="黑体" w:hAnsi="Times New Roman" w:eastAsia="黑体" w:cs="Times New Roman"/>
          <w:color w:val="000000"/>
          <w:sz w:val="44"/>
          <w:szCs w:val="44"/>
        </w:rPr>
        <w:t>第五部分 附表</w:t>
      </w:r>
      <w:bookmarkEnd w:id="51"/>
      <w:bookmarkEnd w:id="52"/>
    </w:p>
    <w:p w14:paraId="12814527">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3" w:name="_Toc12986"/>
      <w:bookmarkStart w:id="54" w:name="_Toc26370"/>
      <w:r>
        <w:rPr>
          <w:rFonts w:hint="eastAsia" w:ascii="仿宋" w:hAnsi="Cambria" w:eastAsia="仿宋" w:cs="Times New Roman"/>
          <w:b w:val="0"/>
          <w:color w:val="000000"/>
          <w:kern w:val="2"/>
          <w:sz w:val="32"/>
          <w:szCs w:val="32"/>
          <w:lang w:bidi="ar-SA"/>
        </w:rPr>
        <w:t>一、收入支出决算总表</w:t>
      </w:r>
      <w:bookmarkEnd w:id="53"/>
      <w:bookmarkEnd w:id="54"/>
    </w:p>
    <w:p w14:paraId="2BE8235C">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5" w:name="_Toc13591"/>
      <w:bookmarkStart w:id="56" w:name="_Toc13062"/>
      <w:r>
        <w:rPr>
          <w:rFonts w:hint="eastAsia" w:ascii="仿宋" w:hAnsi="Cambria" w:eastAsia="仿宋" w:cs="Times New Roman"/>
          <w:b w:val="0"/>
          <w:color w:val="000000"/>
          <w:kern w:val="2"/>
          <w:sz w:val="32"/>
          <w:szCs w:val="32"/>
          <w:lang w:bidi="ar-SA"/>
        </w:rPr>
        <w:t>二、收入决算表</w:t>
      </w:r>
      <w:bookmarkEnd w:id="55"/>
      <w:bookmarkEnd w:id="56"/>
    </w:p>
    <w:p w14:paraId="67116918">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7" w:name="_Toc16600"/>
      <w:bookmarkStart w:id="58" w:name="_Toc29688"/>
      <w:r>
        <w:rPr>
          <w:rFonts w:hint="eastAsia" w:ascii="仿宋" w:hAnsi="Cambria" w:eastAsia="仿宋" w:cs="Times New Roman"/>
          <w:b w:val="0"/>
          <w:color w:val="000000"/>
          <w:kern w:val="2"/>
          <w:sz w:val="32"/>
          <w:szCs w:val="32"/>
          <w:lang w:bidi="ar-SA"/>
        </w:rPr>
        <w:t>三、支出决算表</w:t>
      </w:r>
      <w:bookmarkEnd w:id="57"/>
      <w:bookmarkEnd w:id="58"/>
    </w:p>
    <w:p w14:paraId="2FAF533C">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9" w:name="_Toc26630"/>
      <w:bookmarkStart w:id="60" w:name="_Toc5964"/>
      <w:r>
        <w:rPr>
          <w:rFonts w:hint="eastAsia" w:ascii="仿宋" w:hAnsi="Cambria" w:eastAsia="仿宋" w:cs="Times New Roman"/>
          <w:b w:val="0"/>
          <w:color w:val="000000"/>
          <w:kern w:val="2"/>
          <w:sz w:val="32"/>
          <w:szCs w:val="32"/>
          <w:lang w:bidi="ar-SA"/>
        </w:rPr>
        <w:t>四、财政拨款收入支出决算总表</w:t>
      </w:r>
      <w:bookmarkEnd w:id="59"/>
      <w:bookmarkEnd w:id="60"/>
    </w:p>
    <w:p w14:paraId="7383A1E0">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1" w:name="_Toc14273"/>
      <w:bookmarkStart w:id="62" w:name="_Toc19934"/>
      <w:r>
        <w:rPr>
          <w:rFonts w:hint="eastAsia" w:ascii="仿宋" w:hAnsi="Cambria" w:eastAsia="仿宋" w:cs="Times New Roman"/>
          <w:b w:val="0"/>
          <w:color w:val="000000"/>
          <w:kern w:val="2"/>
          <w:sz w:val="32"/>
          <w:szCs w:val="32"/>
          <w:lang w:bidi="ar-SA"/>
        </w:rPr>
        <w:t>五、财政拨款支出决算明细表</w:t>
      </w:r>
      <w:bookmarkEnd w:id="61"/>
      <w:bookmarkEnd w:id="62"/>
    </w:p>
    <w:p w14:paraId="48E610AE">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3" w:name="_Toc6686"/>
      <w:bookmarkStart w:id="64" w:name="_Toc16449"/>
      <w:r>
        <w:rPr>
          <w:rFonts w:hint="eastAsia" w:ascii="仿宋" w:hAnsi="Cambria" w:eastAsia="仿宋" w:cs="Times New Roman"/>
          <w:b w:val="0"/>
          <w:color w:val="000000"/>
          <w:kern w:val="2"/>
          <w:sz w:val="32"/>
          <w:szCs w:val="32"/>
          <w:lang w:bidi="ar-SA"/>
        </w:rPr>
        <w:t>六、一般公共预算财政拨款支出决算表</w:t>
      </w:r>
      <w:bookmarkEnd w:id="63"/>
      <w:bookmarkEnd w:id="64"/>
    </w:p>
    <w:p w14:paraId="33B6ACE5">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5" w:name="_Toc3478"/>
      <w:bookmarkStart w:id="66" w:name="_Toc19514"/>
      <w:r>
        <w:rPr>
          <w:rFonts w:hint="eastAsia" w:ascii="仿宋" w:hAnsi="Cambria" w:eastAsia="仿宋" w:cs="Times New Roman"/>
          <w:b w:val="0"/>
          <w:color w:val="000000"/>
          <w:kern w:val="2"/>
          <w:sz w:val="32"/>
          <w:szCs w:val="32"/>
          <w:lang w:bidi="ar-SA"/>
        </w:rPr>
        <w:t>七、一般公共预算财政拨款支出决算明细表</w:t>
      </w:r>
      <w:bookmarkEnd w:id="65"/>
      <w:bookmarkEnd w:id="66"/>
    </w:p>
    <w:p w14:paraId="675CC4F3">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7" w:name="_Toc17352"/>
      <w:bookmarkStart w:id="68" w:name="_Toc191"/>
      <w:r>
        <w:rPr>
          <w:rFonts w:hint="eastAsia" w:ascii="仿宋" w:hAnsi="Cambria" w:eastAsia="仿宋" w:cs="Times New Roman"/>
          <w:b w:val="0"/>
          <w:color w:val="000000"/>
          <w:kern w:val="2"/>
          <w:sz w:val="32"/>
          <w:szCs w:val="32"/>
          <w:lang w:bidi="ar-SA"/>
        </w:rPr>
        <w:t>八、一般公共预算财政拨款基本支出决算表</w:t>
      </w:r>
      <w:bookmarkEnd w:id="67"/>
      <w:bookmarkEnd w:id="68"/>
    </w:p>
    <w:p w14:paraId="45B3B599">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9" w:name="_Toc5204"/>
      <w:bookmarkStart w:id="70" w:name="_Toc3726"/>
      <w:r>
        <w:rPr>
          <w:rFonts w:hint="eastAsia" w:ascii="仿宋" w:hAnsi="Cambria" w:eastAsia="仿宋" w:cs="Times New Roman"/>
          <w:b w:val="0"/>
          <w:color w:val="000000"/>
          <w:kern w:val="2"/>
          <w:sz w:val="32"/>
          <w:szCs w:val="32"/>
          <w:lang w:bidi="ar-SA"/>
        </w:rPr>
        <w:t>九、一般公共预算财政拨款项目支出决算表</w:t>
      </w:r>
      <w:bookmarkEnd w:id="69"/>
      <w:bookmarkEnd w:id="70"/>
    </w:p>
    <w:p w14:paraId="4948C0CC">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1" w:name="_Toc20756"/>
      <w:bookmarkStart w:id="72" w:name="_Toc20056"/>
      <w:r>
        <w:rPr>
          <w:rFonts w:hint="eastAsia" w:ascii="仿宋" w:hAnsi="Cambria" w:eastAsia="仿宋" w:cs="Times New Roman"/>
          <w:b w:val="0"/>
          <w:color w:val="000000"/>
          <w:kern w:val="2"/>
          <w:sz w:val="32"/>
          <w:szCs w:val="32"/>
          <w:lang w:bidi="ar-SA"/>
        </w:rPr>
        <w:t>十、政府性基金预算财政拨款收入支出决算表</w:t>
      </w:r>
      <w:bookmarkEnd w:id="71"/>
      <w:bookmarkEnd w:id="72"/>
    </w:p>
    <w:p w14:paraId="3BBBB788">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3" w:name="_Toc13849"/>
      <w:bookmarkStart w:id="74" w:name="_Toc21387"/>
      <w:r>
        <w:rPr>
          <w:rFonts w:hint="eastAsia" w:ascii="仿宋" w:hAnsi="Cambria" w:eastAsia="仿宋" w:cs="Times New Roman"/>
          <w:b w:val="0"/>
          <w:color w:val="000000"/>
          <w:kern w:val="2"/>
          <w:sz w:val="32"/>
          <w:szCs w:val="32"/>
          <w:lang w:bidi="ar-SA"/>
        </w:rPr>
        <w:t>十一、国有资本经营预算财政拨款收入支出决算表</w:t>
      </w:r>
      <w:bookmarkEnd w:id="73"/>
      <w:bookmarkEnd w:id="74"/>
    </w:p>
    <w:p w14:paraId="2B348E7A">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5" w:name="_Toc1140"/>
      <w:bookmarkStart w:id="76" w:name="_Toc13099"/>
      <w:r>
        <w:rPr>
          <w:rFonts w:hint="eastAsia" w:ascii="仿宋" w:hAnsi="Cambria" w:eastAsia="仿宋" w:cs="Times New Roman"/>
          <w:b w:val="0"/>
          <w:color w:val="000000"/>
          <w:kern w:val="2"/>
          <w:sz w:val="32"/>
          <w:szCs w:val="32"/>
          <w:lang w:bidi="ar-SA"/>
        </w:rPr>
        <w:t>十二、国有资本经营预算财政拨款支出决算表</w:t>
      </w:r>
      <w:bookmarkEnd w:id="75"/>
      <w:bookmarkEnd w:id="76"/>
    </w:p>
    <w:p w14:paraId="5DF229CD">
      <w:pPr>
        <w:pStyle w:val="6"/>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7" w:name="_Toc25065"/>
      <w:bookmarkStart w:id="78" w:name="_Toc24957"/>
      <w:r>
        <w:rPr>
          <w:rFonts w:hint="eastAsia" w:ascii="仿宋" w:hAnsi="Cambria" w:eastAsia="仿宋" w:cs="Times New Roman"/>
          <w:b w:val="0"/>
          <w:color w:val="000000"/>
          <w:kern w:val="2"/>
          <w:sz w:val="32"/>
          <w:szCs w:val="32"/>
          <w:lang w:bidi="ar-SA"/>
        </w:rPr>
        <w:t>十三、财政拨款“三公”经费支出决算表</w:t>
      </w:r>
      <w:bookmarkEnd w:id="77"/>
      <w:bookmarkEnd w:id="78"/>
    </w:p>
    <w:p w14:paraId="7DCC0F62">
      <w:pPr>
        <w:pageBreakBefore w:val="0"/>
        <w:kinsoku/>
        <w:wordWrap/>
        <w:overflowPunct/>
        <w:topLinePunct w:val="0"/>
        <w:bidi w:val="0"/>
        <w:spacing w:line="576" w:lineRule="exact"/>
        <w:textAlignment w:val="auto"/>
      </w:pPr>
    </w:p>
    <w:p w14:paraId="263B3B14"/>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754E9">
    <w:pPr>
      <w:pStyle w:val="14"/>
      <w:jc w:val="center"/>
    </w:pPr>
    <w:r>
      <w:fldChar w:fldCharType="begin"/>
    </w:r>
    <w:r>
      <w:instrText xml:space="preserve">PAGE   \* MERGEFORMAT</w:instrText>
    </w:r>
    <w:r>
      <w:fldChar w:fldCharType="separate"/>
    </w:r>
    <w:r>
      <w:t>12</w:t>
    </w:r>
    <w:r>
      <w:fldChar w:fldCharType="end"/>
    </w:r>
  </w:p>
  <w:p w14:paraId="2A33A30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2847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2C6"/>
    <w:rsid w:val="0002549F"/>
    <w:rsid w:val="00033177"/>
    <w:rsid w:val="000468DB"/>
    <w:rsid w:val="0006487A"/>
    <w:rsid w:val="00065F8F"/>
    <w:rsid w:val="00066436"/>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47A42"/>
    <w:rsid w:val="00157BAB"/>
    <w:rsid w:val="001654D1"/>
    <w:rsid w:val="00174518"/>
    <w:rsid w:val="0018106D"/>
    <w:rsid w:val="001877A7"/>
    <w:rsid w:val="00191536"/>
    <w:rsid w:val="00196687"/>
    <w:rsid w:val="001C0962"/>
    <w:rsid w:val="001C0FBF"/>
    <w:rsid w:val="001D7531"/>
    <w:rsid w:val="001E737D"/>
    <w:rsid w:val="001F0592"/>
    <w:rsid w:val="001F4E85"/>
    <w:rsid w:val="001F7506"/>
    <w:rsid w:val="002006CD"/>
    <w:rsid w:val="00202B36"/>
    <w:rsid w:val="00204B7A"/>
    <w:rsid w:val="00204CDE"/>
    <w:rsid w:val="0021101A"/>
    <w:rsid w:val="00220536"/>
    <w:rsid w:val="00225FF7"/>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1253D"/>
    <w:rsid w:val="003216A9"/>
    <w:rsid w:val="00331E0C"/>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06DF"/>
    <w:rsid w:val="00406254"/>
    <w:rsid w:val="004223DE"/>
    <w:rsid w:val="00434489"/>
    <w:rsid w:val="00437085"/>
    <w:rsid w:val="00443880"/>
    <w:rsid w:val="00445607"/>
    <w:rsid w:val="004464F4"/>
    <w:rsid w:val="00471401"/>
    <w:rsid w:val="00473F31"/>
    <w:rsid w:val="0048263A"/>
    <w:rsid w:val="00484C35"/>
    <w:rsid w:val="00487E5D"/>
    <w:rsid w:val="004A711F"/>
    <w:rsid w:val="004B199D"/>
    <w:rsid w:val="004B4690"/>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92F4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5237E"/>
    <w:rsid w:val="00661853"/>
    <w:rsid w:val="0066343B"/>
    <w:rsid w:val="00664777"/>
    <w:rsid w:val="00671B27"/>
    <w:rsid w:val="006748A4"/>
    <w:rsid w:val="00681A31"/>
    <w:rsid w:val="00683E73"/>
    <w:rsid w:val="006A3141"/>
    <w:rsid w:val="006A5E34"/>
    <w:rsid w:val="006B2422"/>
    <w:rsid w:val="006B2B9A"/>
    <w:rsid w:val="006C1937"/>
    <w:rsid w:val="006F020C"/>
    <w:rsid w:val="007127B7"/>
    <w:rsid w:val="0071798E"/>
    <w:rsid w:val="007407BF"/>
    <w:rsid w:val="007416B6"/>
    <w:rsid w:val="00746F48"/>
    <w:rsid w:val="0075404D"/>
    <w:rsid w:val="0076182A"/>
    <w:rsid w:val="00767B7E"/>
    <w:rsid w:val="007770C3"/>
    <w:rsid w:val="00784D24"/>
    <w:rsid w:val="00785FBA"/>
    <w:rsid w:val="00786E4A"/>
    <w:rsid w:val="007875EB"/>
    <w:rsid w:val="0079426B"/>
    <w:rsid w:val="00795084"/>
    <w:rsid w:val="007B69FE"/>
    <w:rsid w:val="007D1682"/>
    <w:rsid w:val="007D2A8D"/>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F42"/>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0291"/>
    <w:rsid w:val="00923564"/>
    <w:rsid w:val="0092392E"/>
    <w:rsid w:val="009315F9"/>
    <w:rsid w:val="009321BA"/>
    <w:rsid w:val="00933499"/>
    <w:rsid w:val="009334D8"/>
    <w:rsid w:val="00935C98"/>
    <w:rsid w:val="00946945"/>
    <w:rsid w:val="00951248"/>
    <w:rsid w:val="0095152F"/>
    <w:rsid w:val="00954C49"/>
    <w:rsid w:val="00955E37"/>
    <w:rsid w:val="0095690A"/>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098F"/>
    <w:rsid w:val="00A13CC1"/>
    <w:rsid w:val="00A16847"/>
    <w:rsid w:val="00A237D8"/>
    <w:rsid w:val="00A268C4"/>
    <w:rsid w:val="00A307CD"/>
    <w:rsid w:val="00A331C8"/>
    <w:rsid w:val="00A373C1"/>
    <w:rsid w:val="00A40A00"/>
    <w:rsid w:val="00A4142F"/>
    <w:rsid w:val="00A422EB"/>
    <w:rsid w:val="00A45BB7"/>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AE5889"/>
    <w:rsid w:val="00AE5D20"/>
    <w:rsid w:val="00B011E4"/>
    <w:rsid w:val="00B03C9D"/>
    <w:rsid w:val="00B060AE"/>
    <w:rsid w:val="00B10517"/>
    <w:rsid w:val="00B134EC"/>
    <w:rsid w:val="00B14E76"/>
    <w:rsid w:val="00B161B8"/>
    <w:rsid w:val="00B2048C"/>
    <w:rsid w:val="00B260E3"/>
    <w:rsid w:val="00B310B9"/>
    <w:rsid w:val="00B35F3F"/>
    <w:rsid w:val="00B36CBB"/>
    <w:rsid w:val="00B425E0"/>
    <w:rsid w:val="00B440AA"/>
    <w:rsid w:val="00B44B70"/>
    <w:rsid w:val="00B53C56"/>
    <w:rsid w:val="00B57DAF"/>
    <w:rsid w:val="00B655EC"/>
    <w:rsid w:val="00B720C5"/>
    <w:rsid w:val="00B77997"/>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E0CB1"/>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5DE1"/>
    <w:rsid w:val="00DA634F"/>
    <w:rsid w:val="00DA65AC"/>
    <w:rsid w:val="00DB1913"/>
    <w:rsid w:val="00DC410D"/>
    <w:rsid w:val="00DC5A81"/>
    <w:rsid w:val="00DC68CA"/>
    <w:rsid w:val="00DC74B0"/>
    <w:rsid w:val="00DC7CBA"/>
    <w:rsid w:val="00DD73B7"/>
    <w:rsid w:val="00DF28BC"/>
    <w:rsid w:val="00DF34B9"/>
    <w:rsid w:val="00DF62A7"/>
    <w:rsid w:val="00E00407"/>
    <w:rsid w:val="00E01053"/>
    <w:rsid w:val="00E028DD"/>
    <w:rsid w:val="00E057EE"/>
    <w:rsid w:val="00E07ACF"/>
    <w:rsid w:val="00E32CAD"/>
    <w:rsid w:val="00E331A1"/>
    <w:rsid w:val="00E33202"/>
    <w:rsid w:val="00E336A9"/>
    <w:rsid w:val="00E472B1"/>
    <w:rsid w:val="00E50624"/>
    <w:rsid w:val="00E568DF"/>
    <w:rsid w:val="00E64269"/>
    <w:rsid w:val="00E70975"/>
    <w:rsid w:val="00E82267"/>
    <w:rsid w:val="00E825DB"/>
    <w:rsid w:val="00E853CE"/>
    <w:rsid w:val="00E867B6"/>
    <w:rsid w:val="00EA010F"/>
    <w:rsid w:val="00EA6816"/>
    <w:rsid w:val="00ED1B63"/>
    <w:rsid w:val="00ED206B"/>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4262"/>
    <w:rsid w:val="00FC1AD8"/>
    <w:rsid w:val="00FC2607"/>
    <w:rsid w:val="00FD3CC1"/>
    <w:rsid w:val="00FE553C"/>
    <w:rsid w:val="00FF1E02"/>
    <w:rsid w:val="00FF30B4"/>
    <w:rsid w:val="03276F2B"/>
    <w:rsid w:val="05DD6427"/>
    <w:rsid w:val="060D0FFA"/>
    <w:rsid w:val="06FC205C"/>
    <w:rsid w:val="086B6C06"/>
    <w:rsid w:val="09222E18"/>
    <w:rsid w:val="09557A13"/>
    <w:rsid w:val="09BB0D18"/>
    <w:rsid w:val="0A2032A3"/>
    <w:rsid w:val="0ACE41C5"/>
    <w:rsid w:val="0B1C3A38"/>
    <w:rsid w:val="0C96116D"/>
    <w:rsid w:val="0E9733D5"/>
    <w:rsid w:val="0F0A0D53"/>
    <w:rsid w:val="10C055FF"/>
    <w:rsid w:val="10D40911"/>
    <w:rsid w:val="118107EC"/>
    <w:rsid w:val="11FC5F65"/>
    <w:rsid w:val="12A52565"/>
    <w:rsid w:val="12F05672"/>
    <w:rsid w:val="165313A4"/>
    <w:rsid w:val="16BB723D"/>
    <w:rsid w:val="173F5F3B"/>
    <w:rsid w:val="18713C0E"/>
    <w:rsid w:val="19F923F3"/>
    <w:rsid w:val="1B324BB2"/>
    <w:rsid w:val="1C47468D"/>
    <w:rsid w:val="1C5405C7"/>
    <w:rsid w:val="1C6E7A47"/>
    <w:rsid w:val="1D155CEE"/>
    <w:rsid w:val="1D5030CD"/>
    <w:rsid w:val="1DFE521F"/>
    <w:rsid w:val="1E4C13FB"/>
    <w:rsid w:val="1E5A07E4"/>
    <w:rsid w:val="20407429"/>
    <w:rsid w:val="205C26E7"/>
    <w:rsid w:val="223647AD"/>
    <w:rsid w:val="227839A9"/>
    <w:rsid w:val="23953F30"/>
    <w:rsid w:val="240371BF"/>
    <w:rsid w:val="25BA5ED0"/>
    <w:rsid w:val="264552AC"/>
    <w:rsid w:val="294B046E"/>
    <w:rsid w:val="29C40B22"/>
    <w:rsid w:val="29FD04D3"/>
    <w:rsid w:val="2AE45A08"/>
    <w:rsid w:val="2BA57831"/>
    <w:rsid w:val="2C2C0780"/>
    <w:rsid w:val="2F677EE1"/>
    <w:rsid w:val="30525E3E"/>
    <w:rsid w:val="308767C5"/>
    <w:rsid w:val="30A239DD"/>
    <w:rsid w:val="31280191"/>
    <w:rsid w:val="319F7F4E"/>
    <w:rsid w:val="33244D07"/>
    <w:rsid w:val="34202FEC"/>
    <w:rsid w:val="351A54EA"/>
    <w:rsid w:val="35FE5964"/>
    <w:rsid w:val="36D7532C"/>
    <w:rsid w:val="37900149"/>
    <w:rsid w:val="387D5E09"/>
    <w:rsid w:val="39721065"/>
    <w:rsid w:val="3DBC3F4F"/>
    <w:rsid w:val="3E0755D2"/>
    <w:rsid w:val="42416A88"/>
    <w:rsid w:val="4315067C"/>
    <w:rsid w:val="438254A7"/>
    <w:rsid w:val="440927C0"/>
    <w:rsid w:val="4550160D"/>
    <w:rsid w:val="45672311"/>
    <w:rsid w:val="466972EF"/>
    <w:rsid w:val="46A33828"/>
    <w:rsid w:val="479C6D8B"/>
    <w:rsid w:val="48A15CA6"/>
    <w:rsid w:val="49BD21D3"/>
    <w:rsid w:val="4B7F49FA"/>
    <w:rsid w:val="4ECE2238"/>
    <w:rsid w:val="4F0A45DA"/>
    <w:rsid w:val="4FEE5DDD"/>
    <w:rsid w:val="508166BD"/>
    <w:rsid w:val="50C106B1"/>
    <w:rsid w:val="51473DB0"/>
    <w:rsid w:val="51A96F23"/>
    <w:rsid w:val="525F10E1"/>
    <w:rsid w:val="530B3237"/>
    <w:rsid w:val="53582700"/>
    <w:rsid w:val="53E755F7"/>
    <w:rsid w:val="56081D60"/>
    <w:rsid w:val="561072C2"/>
    <w:rsid w:val="56513D4B"/>
    <w:rsid w:val="5875185B"/>
    <w:rsid w:val="59CC5ACC"/>
    <w:rsid w:val="5A2802C1"/>
    <w:rsid w:val="5B092C41"/>
    <w:rsid w:val="5B6F4583"/>
    <w:rsid w:val="5CC05393"/>
    <w:rsid w:val="5CCB0F3D"/>
    <w:rsid w:val="5DBE68B4"/>
    <w:rsid w:val="5F2C4CE5"/>
    <w:rsid w:val="600C3036"/>
    <w:rsid w:val="61071465"/>
    <w:rsid w:val="629D0CF3"/>
    <w:rsid w:val="62A42E9F"/>
    <w:rsid w:val="634A2CEB"/>
    <w:rsid w:val="64137F7D"/>
    <w:rsid w:val="647E189B"/>
    <w:rsid w:val="64C42DBE"/>
    <w:rsid w:val="6A0B1E23"/>
    <w:rsid w:val="6BC807D2"/>
    <w:rsid w:val="6BCA297C"/>
    <w:rsid w:val="6C4A05C8"/>
    <w:rsid w:val="6D026547"/>
    <w:rsid w:val="6DD105A2"/>
    <w:rsid w:val="702D0ECC"/>
    <w:rsid w:val="71173F7E"/>
    <w:rsid w:val="7263043C"/>
    <w:rsid w:val="72734D90"/>
    <w:rsid w:val="73117D7E"/>
    <w:rsid w:val="73313BD5"/>
    <w:rsid w:val="73634A7D"/>
    <w:rsid w:val="74053257"/>
    <w:rsid w:val="752971A5"/>
    <w:rsid w:val="762603CC"/>
    <w:rsid w:val="76947089"/>
    <w:rsid w:val="775A5566"/>
    <w:rsid w:val="78202B67"/>
    <w:rsid w:val="7B5A014B"/>
    <w:rsid w:val="7B937ECA"/>
    <w:rsid w:val="7BC27A35"/>
    <w:rsid w:val="7BCE21B1"/>
    <w:rsid w:val="7D012C11"/>
    <w:rsid w:val="7D19211A"/>
    <w:rsid w:val="7D98452B"/>
    <w:rsid w:val="7FEF1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tabs>
        <w:tab w:val="left" w:pos="960"/>
      </w:tabs>
      <w:ind w:firstLine="420" w:firstLineChars="200"/>
    </w:pPr>
  </w:style>
  <w:style w:type="paragraph" w:styleId="4">
    <w:name w:val="Body Text Indent"/>
    <w:basedOn w:val="1"/>
    <w:next w:val="3"/>
    <w:qFormat/>
    <w:uiPriority w:val="0"/>
    <w:pPr>
      <w:tabs>
        <w:tab w:val="left" w:pos="960"/>
      </w:tabs>
      <w:spacing w:line="540" w:lineRule="exact"/>
      <w:ind w:firstLine="5440" w:firstLineChars="1700"/>
    </w:pPr>
    <w:rPr>
      <w:sz w:val="32"/>
      <w:szCs w:val="32"/>
    </w:rPr>
  </w:style>
  <w:style w:type="paragraph" w:styleId="8">
    <w:name w:val="toc 7"/>
    <w:basedOn w:val="1"/>
    <w:next w:val="1"/>
    <w:unhideWhenUsed/>
    <w:qFormat/>
    <w:uiPriority w:val="39"/>
    <w:pPr>
      <w:ind w:left="1260"/>
      <w:jc w:val="left"/>
    </w:pPr>
    <w:rPr>
      <w:rFonts w:ascii="等线" w:eastAsia="等线"/>
      <w:sz w:val="18"/>
      <w:szCs w:val="18"/>
    </w:rPr>
  </w:style>
  <w:style w:type="paragraph" w:styleId="9">
    <w:name w:val="Body Text"/>
    <w:basedOn w:val="1"/>
    <w:link w:val="35"/>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Balloon Text"/>
    <w:basedOn w:val="1"/>
    <w:link w:val="38"/>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4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等线" w:eastAsia="等线"/>
      <w:b/>
      <w:bCs/>
      <w:caps/>
      <w:sz w:val="20"/>
      <w:szCs w:val="20"/>
    </w:rPr>
  </w:style>
  <w:style w:type="paragraph" w:styleId="17">
    <w:name w:val="toc 4"/>
    <w:basedOn w:val="1"/>
    <w:next w:val="1"/>
    <w:unhideWhenUsed/>
    <w:qFormat/>
    <w:uiPriority w:val="39"/>
    <w:pPr>
      <w:ind w:left="630"/>
      <w:jc w:val="left"/>
    </w:pPr>
    <w:rPr>
      <w:rFonts w:ascii="等线" w:eastAsia="等线"/>
      <w:sz w:val="18"/>
      <w:szCs w:val="18"/>
    </w:rPr>
  </w:style>
  <w:style w:type="paragraph" w:styleId="18">
    <w:name w:val="toc 6"/>
    <w:basedOn w:val="1"/>
    <w:next w:val="1"/>
    <w:unhideWhenUsed/>
    <w:qFormat/>
    <w:uiPriority w:val="39"/>
    <w:pPr>
      <w:ind w:left="1050"/>
      <w:jc w:val="left"/>
    </w:pPr>
    <w:rPr>
      <w:rFonts w:ascii="等线" w:eastAsia="等线"/>
      <w:sz w:val="18"/>
      <w:szCs w:val="18"/>
    </w:rPr>
  </w:style>
  <w:style w:type="paragraph" w:styleId="19">
    <w:name w:val="table of figures"/>
    <w:basedOn w:val="1"/>
    <w:next w:val="1"/>
    <w:qFormat/>
    <w:uiPriority w:val="99"/>
    <w:pPr>
      <w:ind w:left="200" w:leftChars="200" w:hanging="200" w:hangingChars="200"/>
    </w:pPr>
    <w:rPr>
      <w:rFonts w:ascii="Times New Roman" w:hAnsi="Times New Roman"/>
      <w:szCs w:val="24"/>
    </w:rPr>
  </w:style>
  <w:style w:type="paragraph" w:styleId="20">
    <w:name w:val="toc 2"/>
    <w:basedOn w:val="1"/>
    <w:next w:val="1"/>
    <w:unhideWhenUsed/>
    <w:qFormat/>
    <w:uiPriority w:val="39"/>
    <w:pPr>
      <w:ind w:left="210"/>
      <w:jc w:val="left"/>
    </w:pPr>
    <w:rPr>
      <w:rFonts w:ascii="等线" w:eastAsia="等线"/>
      <w:smallCaps/>
      <w:sz w:val="20"/>
      <w:szCs w:val="20"/>
    </w:rPr>
  </w:style>
  <w:style w:type="paragraph" w:styleId="21">
    <w:name w:val="toc 9"/>
    <w:basedOn w:val="1"/>
    <w:next w:val="1"/>
    <w:unhideWhenUsed/>
    <w:qFormat/>
    <w:uiPriority w:val="39"/>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qFormat/>
    <w:uiPriority w:val="0"/>
    <w:pPr>
      <w:spacing w:before="240" w:after="60"/>
      <w:jc w:val="center"/>
      <w:outlineLvl w:val="0"/>
    </w:pPr>
    <w:rPr>
      <w:rFonts w:ascii="Arial" w:hAnsi="Arial" w:cs="Arial"/>
      <w:b/>
      <w:bCs/>
      <w:sz w:val="32"/>
      <w:szCs w:val="32"/>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paragraph" w:customStyle="1" w:styleId="29">
    <w:name w:val="列表段落1"/>
    <w:basedOn w:val="1"/>
    <w:qFormat/>
    <w:uiPriority w:val="34"/>
    <w:pPr>
      <w:ind w:firstLine="420" w:firstLineChars="200"/>
    </w:pPr>
  </w:style>
  <w:style w:type="paragraph" w:customStyle="1" w:styleId="30">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TOC 标题2"/>
    <w:basedOn w:val="5"/>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标题 3 Char"/>
    <w:basedOn w:val="25"/>
    <w:link w:val="7"/>
    <w:qFormat/>
    <w:locked/>
    <w:uiPriority w:val="9"/>
    <w:rPr>
      <w:rFonts w:ascii="Times New Roman" w:hAnsi="Times New Roman" w:cs="Times New Roman"/>
      <w:b/>
      <w:bCs/>
      <w:kern w:val="2"/>
      <w:sz w:val="32"/>
      <w:szCs w:val="32"/>
    </w:rPr>
  </w:style>
  <w:style w:type="character" w:customStyle="1" w:styleId="35">
    <w:name w:val="正文文本 Char"/>
    <w:link w:val="9"/>
    <w:qFormat/>
    <w:locked/>
    <w:uiPriority w:val="99"/>
    <w:rPr>
      <w:rFonts w:ascii="仿宋_GB2312" w:hAnsi="Times New Roman" w:eastAsia="仿宋_GB2312"/>
      <w:sz w:val="24"/>
    </w:rPr>
  </w:style>
  <w:style w:type="character" w:customStyle="1" w:styleId="36">
    <w:name w:val="页脚 Char"/>
    <w:link w:val="14"/>
    <w:qFormat/>
    <w:locked/>
    <w:uiPriority w:val="99"/>
    <w:rPr>
      <w:sz w:val="18"/>
    </w:rPr>
  </w:style>
  <w:style w:type="character" w:customStyle="1" w:styleId="37">
    <w:name w:val="标题 1 Char"/>
    <w:basedOn w:val="25"/>
    <w:link w:val="5"/>
    <w:qFormat/>
    <w:locked/>
    <w:uiPriority w:val="9"/>
    <w:rPr>
      <w:rFonts w:ascii="Times New Roman" w:hAnsi="Times New Roman" w:cs="Times New Roman"/>
      <w:b/>
      <w:bCs/>
      <w:kern w:val="44"/>
      <w:sz w:val="44"/>
      <w:szCs w:val="44"/>
    </w:rPr>
  </w:style>
  <w:style w:type="character" w:customStyle="1" w:styleId="38">
    <w:name w:val="批注框文本 Char"/>
    <w:basedOn w:val="25"/>
    <w:link w:val="13"/>
    <w:semiHidden/>
    <w:qFormat/>
    <w:locked/>
    <w:uiPriority w:val="99"/>
    <w:rPr>
      <w:rFonts w:ascii="Times New Roman" w:hAnsi="Times New Roman" w:cs="Times New Roman"/>
      <w:kern w:val="2"/>
      <w:sz w:val="18"/>
      <w:szCs w:val="18"/>
    </w:rPr>
  </w:style>
  <w:style w:type="character" w:customStyle="1" w:styleId="39">
    <w:name w:val="Footer Char"/>
    <w:basedOn w:val="25"/>
    <w:semiHidden/>
    <w:qFormat/>
    <w:uiPriority w:val="99"/>
    <w:rPr>
      <w:rFonts w:ascii="Times New Roman" w:hAnsi="Times New Roman" w:cs="Times New Roman"/>
      <w:sz w:val="18"/>
      <w:szCs w:val="18"/>
    </w:rPr>
  </w:style>
  <w:style w:type="character" w:customStyle="1" w:styleId="40">
    <w:name w:val="Body Text Char"/>
    <w:basedOn w:val="25"/>
    <w:semiHidden/>
    <w:qFormat/>
    <w:uiPriority w:val="99"/>
    <w:rPr>
      <w:rFonts w:ascii="Times New Roman" w:hAnsi="Times New Roman" w:cs="Times New Roman"/>
      <w:sz w:val="24"/>
      <w:szCs w:val="24"/>
    </w:rPr>
  </w:style>
  <w:style w:type="character" w:customStyle="1" w:styleId="41">
    <w:name w:val="标题 2 Char"/>
    <w:basedOn w:val="25"/>
    <w:link w:val="6"/>
    <w:qFormat/>
    <w:locked/>
    <w:uiPriority w:val="9"/>
    <w:rPr>
      <w:rFonts w:ascii="Cambria" w:hAnsi="Cambria" w:eastAsia="宋体" w:cs="Times New Roman"/>
      <w:b/>
      <w:bCs/>
      <w:kern w:val="2"/>
      <w:sz w:val="32"/>
      <w:szCs w:val="32"/>
    </w:rPr>
  </w:style>
  <w:style w:type="character" w:customStyle="1" w:styleId="42">
    <w:name w:val="Header Char"/>
    <w:basedOn w:val="25"/>
    <w:semiHidden/>
    <w:qFormat/>
    <w:uiPriority w:val="99"/>
    <w:rPr>
      <w:rFonts w:ascii="Times New Roman" w:hAnsi="Times New Roman" w:cs="Times New Roman"/>
      <w:sz w:val="18"/>
      <w:szCs w:val="18"/>
    </w:rPr>
  </w:style>
  <w:style w:type="character" w:customStyle="1" w:styleId="43">
    <w:name w:val="页眉 Char"/>
    <w:link w:val="15"/>
    <w:semiHidden/>
    <w:qFormat/>
    <w:locked/>
    <w:uiPriority w:val="99"/>
    <w:rPr>
      <w:sz w:val="1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95</c:v>
                </c:pt>
                <c:pt idx="1">
                  <c:v>87.46</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95</c:v>
                </c:pt>
                <c:pt idx="1">
                  <c:v>87.46</c:v>
                </c:pt>
              </c:numCache>
            </c:numRef>
          </c:val>
        </c:ser>
        <c:dLbls>
          <c:showLegendKey val="0"/>
          <c:showVal val="1"/>
          <c:showCatName val="0"/>
          <c:showSerName val="0"/>
          <c:showPercent val="0"/>
          <c:showBubbleSize val="0"/>
        </c:dLbls>
        <c:gapWidth val="75"/>
        <c:axId val="121352960"/>
        <c:axId val="121354496"/>
      </c:barChart>
      <c:catAx>
        <c:axId val="1213529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354496"/>
        <c:crosses val="autoZero"/>
        <c:auto val="1"/>
        <c:lblAlgn val="ctr"/>
        <c:lblOffset val="100"/>
        <c:noMultiLvlLbl val="0"/>
      </c:catAx>
      <c:valAx>
        <c:axId val="12135449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35296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e53adf8-855e-4417-a862-6c746d247fce}"/>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87.46</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0c63613f-f54f-4a35-8aa9-4ebb0b8c8850}"/>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87.46</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4dea9c9-4892-4ff8-8ed0-20c2d72eea50}"/>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95</c:v>
                </c:pt>
                <c:pt idx="1">
                  <c:v>87.46</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95</c:v>
                </c:pt>
                <c:pt idx="1">
                  <c:v>87.46</c:v>
                </c:pt>
              </c:numCache>
            </c:numRef>
          </c:val>
        </c:ser>
        <c:dLbls>
          <c:showLegendKey val="0"/>
          <c:showVal val="1"/>
          <c:showCatName val="0"/>
          <c:showSerName val="0"/>
          <c:showPercent val="0"/>
          <c:showBubbleSize val="0"/>
        </c:dLbls>
        <c:gapWidth val="75"/>
        <c:axId val="65868160"/>
        <c:axId val="65869696"/>
      </c:barChart>
      <c:catAx>
        <c:axId val="658681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69696"/>
        <c:crosses val="autoZero"/>
        <c:auto val="1"/>
        <c:lblAlgn val="ctr"/>
        <c:lblOffset val="100"/>
        <c:noMultiLvlLbl val="0"/>
      </c:catAx>
      <c:valAx>
        <c:axId val="6586969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6816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568da8e-f3d1-420a-870d-4e9e41fc506d}"/>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95</c:v>
                </c:pt>
                <c:pt idx="1">
                  <c:v>87.46</c:v>
                </c:pt>
              </c:numCache>
            </c:numRef>
          </c:val>
        </c:ser>
        <c:dLbls>
          <c:showLegendKey val="0"/>
          <c:showVal val="1"/>
          <c:showCatName val="0"/>
          <c:showSerName val="0"/>
          <c:showPercent val="0"/>
          <c:showBubbleSize val="0"/>
        </c:dLbls>
        <c:gapWidth val="75"/>
        <c:axId val="65902080"/>
        <c:axId val="65903616"/>
      </c:barChart>
      <c:catAx>
        <c:axId val="659020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903616"/>
        <c:crosses val="autoZero"/>
        <c:auto val="1"/>
        <c:lblAlgn val="ctr"/>
        <c:lblOffset val="100"/>
        <c:noMultiLvlLbl val="0"/>
      </c:catAx>
      <c:valAx>
        <c:axId val="6590361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9020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c6eb45-870e-4627-976e-261e1d131311}"/>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64.45</c:v>
                </c:pt>
                <c:pt idx="1">
                  <c:v>11.99</c:v>
                </c:pt>
                <c:pt idx="2">
                  <c:v>5.11</c:v>
                </c:pt>
                <c:pt idx="3">
                  <c:v>5.91</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96f2e43a-0531-4565-a606-b1b61d53d5b8}"/>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2.36</c:v>
                </c:pt>
                <c:pt idx="2">
                  <c:v>0.15</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12b052f2-70a4-47c2-8c74-c0dac992f278}"/>
      </c:ext>
    </c:extLst>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6660-6A15-4D1B-8C1D-5FCD4966344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5261</Words>
  <Characters>5768</Characters>
  <Lines>11</Lines>
  <Paragraphs>18</Paragraphs>
  <TotalTime>3</TotalTime>
  <ScaleCrop>false</ScaleCrop>
  <LinksUpToDate>false</LinksUpToDate>
  <CharactersWithSpaces>5825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2022-09-19T08:15:00Z</dcterms:created>
  <dc:creator>曹颖</dc:creator>
  <cp:lastModifiedBy>Darling </cp:lastModifiedBy>
  <cp:lastPrinted>2024-09-20T09:39:00Z</cp:lastPrinted>
  <dcterms:modified xsi:type="dcterms:W3CDTF">2026-01-27T09:03:53Z</dcterms:modified>
  <dc:title>阿坝州部门决算说明</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797D5C2EB3ED4175834338DF2EF1A661_13</vt:lpwstr>
  </property>
  <property fmtid="{D5CDD505-2E9C-101B-9397-08002B2CF9AE}" pid="4" name="KSOTemplateDocerSaveRecord">
    <vt:lpwstr>eyJoZGlkIjoiNWIxYmQxODM3YzQzMzNjYmI0ODczNWI1Y2Q5NmJlYmQiLCJ1c2VySWQiOiIxMTUzNjY4NDE4In0=</vt:lpwstr>
  </property>
</Properties>
</file>