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A1CC6">
      <w:pPr>
        <w:jc w:val="center"/>
        <w:rPr>
          <w:rFonts w:ascii="方正小标宋简体" w:eastAsia="方正小标宋简体"/>
          <w:sz w:val="72"/>
          <w:szCs w:val="72"/>
        </w:rPr>
      </w:pPr>
      <w:bookmarkStart w:id="0" w:name="_Toc15377425"/>
      <w:bookmarkStart w:id="1" w:name="_Toc15396597"/>
      <w:bookmarkStart w:id="2" w:name="_Toc15378441"/>
      <w:bookmarkStart w:id="3" w:name="_Toc15377193"/>
      <w:bookmarkStart w:id="4" w:name="_Toc15396475"/>
    </w:p>
    <w:bookmarkEnd w:id="0"/>
    <w:bookmarkEnd w:id="1"/>
    <w:bookmarkEnd w:id="2"/>
    <w:bookmarkEnd w:id="3"/>
    <w:bookmarkEnd w:id="4"/>
    <w:p w14:paraId="7B752DA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8"/>
          <w:szCs w:val="48"/>
        </w:rPr>
      </w:pPr>
      <w:bookmarkStart w:id="5" w:name="_Toc79163601"/>
      <w:bookmarkStart w:id="6" w:name="_Toc15396599"/>
      <w:bookmarkStart w:id="7" w:name="_Toc15377196"/>
      <w:bookmarkStart w:id="8" w:name="_Toc79163851"/>
      <w:r>
        <w:rPr>
          <w:rFonts w:hint="eastAsia" w:ascii="方正小标宋简体" w:hAnsi="方正小标宋简体" w:eastAsia="方正小标宋简体" w:cs="方正小标宋简体"/>
          <w:sz w:val="48"/>
          <w:szCs w:val="48"/>
        </w:rPr>
        <w:t>202</w:t>
      </w:r>
      <w:r>
        <w:rPr>
          <w:rFonts w:hint="eastAsia" w:ascii="方正小标宋简体" w:hAnsi="方正小标宋简体" w:eastAsia="方正小标宋简体" w:cs="方正小标宋简体"/>
          <w:sz w:val="48"/>
          <w:szCs w:val="48"/>
          <w:lang w:val="en-US" w:eastAsia="zh-CN"/>
        </w:rPr>
        <w:t>4</w:t>
      </w:r>
      <w:r>
        <w:rPr>
          <w:rFonts w:hint="eastAsia" w:ascii="方正小标宋简体" w:hAnsi="方正小标宋简体" w:eastAsia="方正小标宋简体" w:cs="方正小标宋简体"/>
          <w:sz w:val="48"/>
          <w:szCs w:val="48"/>
        </w:rPr>
        <w:t>年度</w:t>
      </w:r>
    </w:p>
    <w:p w14:paraId="1273B2B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rPr>
        <w:t>茂县</w:t>
      </w:r>
      <w:r>
        <w:rPr>
          <w:rFonts w:hint="eastAsia" w:ascii="方正小标宋简体" w:hAnsi="方正小标宋简体" w:eastAsia="方正小标宋简体" w:cs="方正小标宋简体"/>
          <w:sz w:val="48"/>
          <w:szCs w:val="48"/>
          <w:lang w:eastAsia="zh-CN"/>
        </w:rPr>
        <w:t>事业单位登记</w:t>
      </w:r>
      <w:r>
        <w:rPr>
          <w:rFonts w:hint="eastAsia" w:ascii="方正小标宋简体" w:hAnsi="方正小标宋简体" w:eastAsia="方正小标宋简体" w:cs="方正小标宋简体"/>
          <w:sz w:val="48"/>
          <w:szCs w:val="48"/>
          <w:lang w:val="en-US" w:eastAsia="zh-CN"/>
        </w:rPr>
        <w:t>管理</w:t>
      </w:r>
      <w:r>
        <w:rPr>
          <w:rFonts w:hint="eastAsia" w:ascii="方正小标宋简体" w:hAnsi="方正小标宋简体" w:eastAsia="方正小标宋简体" w:cs="方正小标宋简体"/>
          <w:sz w:val="48"/>
          <w:szCs w:val="48"/>
          <w:lang w:eastAsia="zh-CN"/>
        </w:rPr>
        <w:t>局</w:t>
      </w:r>
      <w:r>
        <w:rPr>
          <w:rFonts w:hint="eastAsia" w:ascii="方正小标宋简体" w:hAnsi="方正小标宋简体" w:eastAsia="方正小标宋简体" w:cs="方正小标宋简体"/>
          <w:sz w:val="48"/>
          <w:szCs w:val="48"/>
          <w:lang w:val="en-US" w:eastAsia="zh-CN"/>
        </w:rPr>
        <w:t xml:space="preserve"> </w:t>
      </w:r>
    </w:p>
    <w:p w14:paraId="4A00510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单位</w:t>
      </w:r>
      <w:r>
        <w:rPr>
          <w:rFonts w:hint="eastAsia" w:ascii="方正小标宋简体" w:hAnsi="方正小标宋简体" w:eastAsia="方正小标宋简体" w:cs="方正小标宋简体"/>
          <w:sz w:val="48"/>
          <w:szCs w:val="48"/>
        </w:rPr>
        <w:t>决算</w:t>
      </w:r>
    </w:p>
    <w:p w14:paraId="4D688325">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15FAE40B">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5E52F227">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1F83202A">
      <w:pPr>
        <w:pStyle w:val="22"/>
        <w:keepNext w:val="0"/>
        <w:keepLines w:val="0"/>
        <w:pageBreakBefore w:val="0"/>
        <w:widowControl/>
        <w:suppressLineNumbers w:val="0"/>
        <w:kinsoku/>
        <w:wordWrap/>
        <w:overflowPunct/>
        <w:topLinePunct w:val="0"/>
        <w:bidi w:val="0"/>
        <w:spacing w:line="576" w:lineRule="exact"/>
        <w:jc w:val="center"/>
        <w:textAlignment w:val="auto"/>
      </w:pPr>
    </w:p>
    <w:p w14:paraId="41DA5AFB">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045E9270">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230704BC">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12E4DDC9">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 </w:t>
      </w:r>
    </w:p>
    <w:p w14:paraId="4E80689B">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已经保密审查、内容审定，同意对外公开</w:t>
      </w:r>
    </w:p>
    <w:p w14:paraId="60DCC9B3">
      <w:pPr>
        <w:pStyle w:val="22"/>
        <w:keepNext w:val="0"/>
        <w:keepLines w:val="0"/>
        <w:pageBreakBefore w:val="0"/>
        <w:widowControl/>
        <w:suppressLineNumbers w:val="0"/>
        <w:kinsoku/>
        <w:wordWrap/>
        <w:overflowPunct/>
        <w:topLinePunct w:val="0"/>
        <w:bidi w:val="0"/>
        <w:spacing w:line="576" w:lineRule="exact"/>
        <w:textAlignment w:val="auto"/>
      </w:pPr>
      <w:r>
        <w:t> </w:t>
      </w:r>
    </w:p>
    <w:p w14:paraId="71F24187">
      <w:pPr>
        <w:pStyle w:val="22"/>
        <w:keepNext w:val="0"/>
        <w:keepLines w:val="0"/>
        <w:pageBreakBefore w:val="0"/>
        <w:widowControl/>
        <w:suppressLineNumbers w:val="0"/>
        <w:kinsoku/>
        <w:wordWrap/>
        <w:overflowPunct/>
        <w:topLinePunct w:val="0"/>
        <w:bidi w:val="0"/>
        <w:spacing w:line="576" w:lineRule="exact"/>
        <w:textAlignment w:val="auto"/>
      </w:pPr>
      <w:r>
        <w:t> </w:t>
      </w:r>
    </w:p>
    <w:p w14:paraId="7D286758">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1E92A24A">
      <w:pPr>
        <w:pStyle w:val="22"/>
        <w:keepNext w:val="0"/>
        <w:keepLines w:val="0"/>
        <w:pageBreakBefore w:val="0"/>
        <w:widowControl/>
        <w:suppressLineNumbers w:val="0"/>
        <w:kinsoku/>
        <w:wordWrap/>
        <w:overflowPunct/>
        <w:topLinePunct w:val="0"/>
        <w:bidi w:val="0"/>
        <w:spacing w:line="576" w:lineRule="exact"/>
        <w:textAlignment w:val="auto"/>
      </w:pPr>
      <w:r>
        <w:t>  </w:t>
      </w:r>
    </w:p>
    <w:p w14:paraId="1A70DAE1">
      <w:pPr>
        <w:pageBreakBefore w:val="0"/>
        <w:widowControl/>
        <w:kinsoku/>
        <w:wordWrap/>
        <w:overflowPunct/>
        <w:topLinePunct w:val="0"/>
        <w:bidi w:val="0"/>
        <w:spacing w:line="576" w:lineRule="exact"/>
        <w:jc w:val="center"/>
        <w:textAlignment w:val="auto"/>
        <w:rPr>
          <w:rFonts w:ascii="黑体" w:eastAsia="黑体"/>
          <w:color w:val="000000"/>
          <w:sz w:val="48"/>
          <w:szCs w:val="48"/>
        </w:rPr>
      </w:pPr>
      <w:r>
        <w:rPr>
          <w:rFonts w:hint="eastAsia" w:ascii="黑体" w:eastAsia="黑体"/>
          <w:color w:val="000000"/>
          <w:sz w:val="48"/>
          <w:szCs w:val="48"/>
        </w:rPr>
        <w:t>目录</w:t>
      </w:r>
    </w:p>
    <w:p w14:paraId="3E854B7F">
      <w:pPr>
        <w:pStyle w:val="16"/>
        <w:pageBreakBefore w:val="0"/>
        <w:kinsoku/>
        <w:wordWrap/>
        <w:overflowPunct/>
        <w:topLinePunct w:val="0"/>
        <w:bidi w:val="0"/>
        <w:spacing w:line="576" w:lineRule="exact"/>
        <w:jc w:val="center"/>
        <w:textAlignment w:val="auto"/>
      </w:pPr>
      <w:r>
        <w:rPr>
          <w:rFonts w:hint="eastAsia"/>
          <w:b w:val="0"/>
          <w:bCs w:val="0"/>
          <w:sz w:val="24"/>
          <w:szCs w:val="24"/>
        </w:rPr>
        <w:t>公开时间：202</w:t>
      </w:r>
      <w:r>
        <w:rPr>
          <w:rFonts w:hint="eastAsia"/>
          <w:b w:val="0"/>
          <w:bCs w:val="0"/>
          <w:sz w:val="24"/>
          <w:szCs w:val="24"/>
          <w:lang w:val="en-US" w:eastAsia="zh-CN"/>
        </w:rPr>
        <w:t>5</w:t>
      </w:r>
      <w:r>
        <w:rPr>
          <w:rFonts w:hint="eastAsia"/>
          <w:b w:val="0"/>
          <w:bCs w:val="0"/>
          <w:sz w:val="24"/>
          <w:szCs w:val="24"/>
        </w:rPr>
        <w:t xml:space="preserve">年 </w:t>
      </w:r>
      <w:r>
        <w:rPr>
          <w:rFonts w:hint="eastAsia"/>
          <w:b w:val="0"/>
          <w:bCs w:val="0"/>
          <w:sz w:val="24"/>
          <w:szCs w:val="24"/>
          <w:lang w:val="en-US" w:eastAsia="zh-CN"/>
        </w:rPr>
        <w:t>9</w:t>
      </w:r>
      <w:r>
        <w:rPr>
          <w:rFonts w:hint="eastAsia"/>
          <w:b w:val="0"/>
          <w:bCs w:val="0"/>
          <w:sz w:val="24"/>
          <w:szCs w:val="24"/>
        </w:rPr>
        <w:t>月</w:t>
      </w:r>
      <w:r>
        <w:rPr>
          <w:rFonts w:hint="eastAsia"/>
          <w:b w:val="0"/>
          <w:bCs w:val="0"/>
          <w:sz w:val="24"/>
          <w:szCs w:val="24"/>
          <w:lang w:val="en-US" w:eastAsia="zh-CN"/>
        </w:rPr>
        <w:t>25</w:t>
      </w:r>
      <w:r>
        <w:rPr>
          <w:rFonts w:hint="eastAsia"/>
          <w:b w:val="0"/>
          <w:bCs w:val="0"/>
          <w:sz w:val="24"/>
          <w:szCs w:val="24"/>
        </w:rPr>
        <w:t>日</w:t>
      </w:r>
    </w:p>
    <w:p w14:paraId="11F5BA63">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TOC \o "1-3" \h \u </w:instrText>
      </w:r>
      <w:r>
        <w:fldChar w:fldCharType="separate"/>
      </w:r>
      <w:r>
        <w:fldChar w:fldCharType="begin"/>
      </w:r>
      <w:r>
        <w:instrText xml:space="preserve"> HYPERLINK \l _Toc23324 </w:instrText>
      </w:r>
      <w:r>
        <w:fldChar w:fldCharType="separate"/>
      </w:r>
      <w:r>
        <w:rPr>
          <w:rFonts w:hint="eastAsia" w:ascii="黑体" w:hAnsi="Times New Roman" w:eastAsia="黑体" w:cs="Times New Roman"/>
          <w:szCs w:val="44"/>
          <w:lang w:bidi="ar-SA"/>
        </w:rPr>
        <w:t xml:space="preserve">第一部分 </w:t>
      </w:r>
      <w:r>
        <w:rPr>
          <w:rFonts w:hint="eastAsia" w:ascii="黑体" w:eastAsia="黑体" w:cs="Times New Roman"/>
          <w:szCs w:val="44"/>
          <w:lang w:val="en-US" w:eastAsia="zh-CN" w:bidi="ar-SA"/>
        </w:rPr>
        <w:t>部门</w:t>
      </w:r>
      <w:r>
        <w:rPr>
          <w:rFonts w:hint="eastAsia" w:ascii="黑体" w:hAnsi="Times New Roman" w:eastAsia="黑体" w:cs="Times New Roman"/>
          <w:szCs w:val="44"/>
          <w:lang w:bidi="ar-SA"/>
        </w:rPr>
        <w:t>概况</w:t>
      </w:r>
      <w:r>
        <w:tab/>
      </w:r>
      <w:r>
        <w:rPr>
          <w:rFonts w:hint="eastAsia"/>
          <w:lang w:val="en-US" w:eastAsia="zh-CN"/>
        </w:rPr>
        <w:t>4</w:t>
      </w:r>
      <w:r>
        <w:fldChar w:fldCharType="end"/>
      </w:r>
    </w:p>
    <w:p w14:paraId="1F215C4F">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_Toc14656 </w:instrText>
      </w:r>
      <w:r>
        <w:fldChar w:fldCharType="separate"/>
      </w:r>
      <w:r>
        <w:rPr>
          <w:rFonts w:hint="eastAsia" w:ascii="黑体" w:hAnsi="Cambria" w:eastAsia="黑体" w:cs="Times New Roman"/>
          <w:kern w:val="2"/>
          <w:szCs w:val="32"/>
          <w:lang w:bidi="ar-SA"/>
        </w:rPr>
        <w:t>一、</w:t>
      </w:r>
      <w:r>
        <w:rPr>
          <w:rFonts w:hint="eastAsia" w:ascii="黑体" w:hAnsi="Cambria" w:eastAsia="黑体" w:cs="Times New Roman"/>
          <w:kern w:val="2"/>
          <w:szCs w:val="32"/>
          <w:lang w:eastAsia="zh-CN" w:bidi="ar-SA"/>
        </w:rPr>
        <w:t>部门</w:t>
      </w:r>
      <w:r>
        <w:rPr>
          <w:rFonts w:hint="eastAsia" w:ascii="黑体" w:hAnsi="Cambria" w:eastAsia="黑体" w:cs="Times New Roman"/>
          <w:kern w:val="2"/>
          <w:szCs w:val="32"/>
          <w:lang w:bidi="ar-SA"/>
        </w:rPr>
        <w:t>职责</w:t>
      </w:r>
      <w:r>
        <w:tab/>
      </w:r>
      <w:r>
        <w:rPr>
          <w:rFonts w:hint="eastAsia"/>
          <w:lang w:val="en-US" w:eastAsia="zh-CN"/>
        </w:rPr>
        <w:t>4</w:t>
      </w:r>
      <w:r>
        <w:fldChar w:fldCharType="end"/>
      </w:r>
    </w:p>
    <w:p w14:paraId="6E3688FF">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_Toc10669 </w:instrText>
      </w:r>
      <w:r>
        <w:fldChar w:fldCharType="separate"/>
      </w:r>
      <w:r>
        <w:rPr>
          <w:rFonts w:hint="eastAsia" w:ascii="黑体" w:hAnsi="Cambria" w:eastAsia="黑体" w:cs="Times New Roman"/>
          <w:kern w:val="2"/>
          <w:szCs w:val="32"/>
          <w:lang w:bidi="ar-SA"/>
        </w:rPr>
        <w:t>二、机构设置</w:t>
      </w:r>
      <w:r>
        <w:tab/>
      </w:r>
      <w:r>
        <w:rPr>
          <w:rFonts w:hint="eastAsia"/>
          <w:lang w:val="en-US" w:eastAsia="zh-CN"/>
        </w:rPr>
        <w:t>4</w:t>
      </w:r>
      <w:r>
        <w:fldChar w:fldCharType="end"/>
      </w:r>
    </w:p>
    <w:p w14:paraId="49D8579F">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_Toc26951 </w:instrText>
      </w:r>
      <w:r>
        <w:fldChar w:fldCharType="separate"/>
      </w:r>
      <w:r>
        <w:rPr>
          <w:rFonts w:hint="eastAsia" w:ascii="黑体" w:hAnsi="Times New Roman" w:eastAsia="黑体" w:cs="Times New Roman"/>
          <w:szCs w:val="44"/>
          <w:lang w:bidi="ar-SA"/>
        </w:rPr>
        <w:t>第二部分 202</w:t>
      </w:r>
      <w:r>
        <w:rPr>
          <w:rFonts w:hint="eastAsia" w:ascii="黑体" w:eastAsia="黑体" w:cs="Times New Roman"/>
          <w:szCs w:val="44"/>
          <w:lang w:val="en-US" w:eastAsia="zh-CN" w:bidi="ar-SA"/>
        </w:rPr>
        <w:t>4</w:t>
      </w:r>
      <w:r>
        <w:rPr>
          <w:rFonts w:hint="eastAsia" w:ascii="黑体" w:hAnsi="Times New Roman" w:eastAsia="黑体" w:cs="Times New Roman"/>
          <w:szCs w:val="44"/>
          <w:lang w:bidi="ar-SA"/>
        </w:rPr>
        <w:t>年度单位决算情况说明</w:t>
      </w:r>
      <w:r>
        <w:tab/>
      </w:r>
      <w:r>
        <w:rPr>
          <w:rFonts w:hint="eastAsia"/>
          <w:lang w:val="en-US" w:eastAsia="zh-CN"/>
        </w:rPr>
        <w:t>5</w:t>
      </w:r>
      <w:r>
        <w:fldChar w:fldCharType="end"/>
      </w:r>
    </w:p>
    <w:p w14:paraId="76A235C7">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_Toc12554 </w:instrText>
      </w:r>
      <w:r>
        <w:fldChar w:fldCharType="separate"/>
      </w:r>
      <w:r>
        <w:rPr>
          <w:rFonts w:hint="default" w:ascii="黑体" w:hAnsi="Times New Roman" w:eastAsia="黑体" w:cs="Times New Roman"/>
          <w:szCs w:val="32"/>
        </w:rPr>
        <w:t xml:space="preserve">一、 </w:t>
      </w:r>
      <w:r>
        <w:rPr>
          <w:rFonts w:hint="eastAsia" w:ascii="黑体" w:hAnsi="Times New Roman" w:eastAsia="黑体" w:cs="Times New Roman"/>
          <w:szCs w:val="32"/>
        </w:rPr>
        <w:t>收入支出决算总体情况说明</w:t>
      </w:r>
      <w:r>
        <w:tab/>
      </w:r>
      <w:r>
        <w:rPr>
          <w:rFonts w:hint="eastAsia"/>
          <w:lang w:val="en-US" w:eastAsia="zh-CN"/>
        </w:rPr>
        <w:t>5</w:t>
      </w:r>
      <w:r>
        <w:fldChar w:fldCharType="end"/>
      </w:r>
    </w:p>
    <w:p w14:paraId="47CE7C66">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_Toc11583 </w:instrText>
      </w:r>
      <w:r>
        <w:fldChar w:fldCharType="separate"/>
      </w:r>
      <w:r>
        <w:rPr>
          <w:rFonts w:hint="default" w:ascii="黑体" w:hAnsi="Times New Roman" w:eastAsia="黑体" w:cs="Times New Roman"/>
          <w:szCs w:val="32"/>
        </w:rPr>
        <w:t xml:space="preserve">二、 </w:t>
      </w:r>
      <w:r>
        <w:rPr>
          <w:rFonts w:hint="eastAsia" w:ascii="黑体" w:hAnsi="Times New Roman" w:eastAsia="黑体" w:cs="Times New Roman"/>
          <w:szCs w:val="32"/>
        </w:rPr>
        <w:t>收入决算情况说明</w:t>
      </w:r>
      <w:r>
        <w:tab/>
      </w:r>
      <w:r>
        <w:rPr>
          <w:rFonts w:hint="eastAsia"/>
          <w:lang w:val="en-US" w:eastAsia="zh-CN"/>
        </w:rPr>
        <w:t>5</w:t>
      </w:r>
      <w:r>
        <w:fldChar w:fldCharType="end"/>
      </w:r>
    </w:p>
    <w:p w14:paraId="63E1D8CA">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_Toc18578 </w:instrText>
      </w:r>
      <w:r>
        <w:fldChar w:fldCharType="separate"/>
      </w:r>
      <w:r>
        <w:rPr>
          <w:rFonts w:hint="default" w:ascii="黑体" w:hAnsi="Times New Roman" w:eastAsia="黑体" w:cs="Times New Roman"/>
          <w:szCs w:val="32"/>
        </w:rPr>
        <w:t xml:space="preserve">三、 </w:t>
      </w:r>
      <w:r>
        <w:rPr>
          <w:rFonts w:hint="eastAsia" w:ascii="黑体" w:hAnsi="Times New Roman" w:eastAsia="黑体" w:cs="Times New Roman"/>
          <w:szCs w:val="32"/>
        </w:rPr>
        <w:t>支出决算情况说明</w:t>
      </w:r>
      <w:r>
        <w:tab/>
      </w:r>
      <w:r>
        <w:rPr>
          <w:rFonts w:hint="eastAsia"/>
          <w:lang w:val="en-US" w:eastAsia="zh-CN"/>
        </w:rPr>
        <w:t>6</w:t>
      </w:r>
      <w:r>
        <w:fldChar w:fldCharType="end"/>
      </w:r>
    </w:p>
    <w:p w14:paraId="6F0E4454">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_Toc26488 </w:instrText>
      </w:r>
      <w:r>
        <w:fldChar w:fldCharType="separate"/>
      </w:r>
      <w:r>
        <w:rPr>
          <w:rFonts w:hint="default" w:ascii="黑体" w:hAnsi="Times New Roman" w:eastAsia="黑体" w:cs="Times New Roman"/>
          <w:szCs w:val="32"/>
        </w:rPr>
        <w:t xml:space="preserve">四、 </w:t>
      </w:r>
      <w:r>
        <w:rPr>
          <w:rFonts w:hint="eastAsia" w:ascii="黑体" w:hAnsi="Times New Roman" w:eastAsia="黑体" w:cs="Times New Roman"/>
          <w:szCs w:val="32"/>
        </w:rPr>
        <w:t>财政拨款收入支出决算总体情况说明</w:t>
      </w:r>
      <w:r>
        <w:tab/>
      </w:r>
      <w:r>
        <w:fldChar w:fldCharType="end"/>
      </w:r>
      <w:r>
        <w:rPr>
          <w:rFonts w:hint="eastAsia"/>
          <w:lang w:val="en-US" w:eastAsia="zh-CN"/>
        </w:rPr>
        <w:t>6</w:t>
      </w:r>
    </w:p>
    <w:p w14:paraId="7048DE2E">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_Toc5657 </w:instrText>
      </w:r>
      <w:r>
        <w:fldChar w:fldCharType="separate"/>
      </w:r>
      <w:r>
        <w:rPr>
          <w:rFonts w:hint="default" w:ascii="黑体" w:hAnsi="Times New Roman" w:eastAsia="黑体" w:cs="Times New Roman"/>
          <w:szCs w:val="32"/>
        </w:rPr>
        <w:t xml:space="preserve">五、 </w:t>
      </w:r>
      <w:r>
        <w:rPr>
          <w:rFonts w:hint="eastAsia" w:ascii="黑体" w:hAnsi="Times New Roman" w:eastAsia="黑体" w:cs="Times New Roman"/>
          <w:szCs w:val="32"/>
        </w:rPr>
        <w:t>一般公共预算财政拨款支出决算情况说明</w:t>
      </w:r>
      <w:r>
        <w:tab/>
      </w:r>
      <w:r>
        <w:rPr>
          <w:rFonts w:hint="eastAsia"/>
          <w:lang w:val="en-US" w:eastAsia="zh-CN"/>
        </w:rPr>
        <w:t>6</w:t>
      </w:r>
      <w:r>
        <w:fldChar w:fldCharType="end"/>
      </w:r>
    </w:p>
    <w:p w14:paraId="650FADF5">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_Toc17476 </w:instrText>
      </w:r>
      <w:r>
        <w:fldChar w:fldCharType="separate"/>
      </w:r>
      <w:r>
        <w:rPr>
          <w:rFonts w:hint="eastAsia" w:ascii="黑体" w:hAnsi="Times New Roman" w:eastAsia="黑体" w:cs="Times New Roman"/>
          <w:szCs w:val="32"/>
        </w:rPr>
        <w:t>六、一般公共预算财政拨款基本支出决算情况说明   </w:t>
      </w:r>
      <w:r>
        <w:tab/>
      </w:r>
      <w:r>
        <w:fldChar w:fldCharType="end"/>
      </w:r>
      <w:r>
        <w:rPr>
          <w:rFonts w:hint="eastAsia"/>
          <w:lang w:val="en-US" w:eastAsia="zh-CN"/>
        </w:rPr>
        <w:t>8</w:t>
      </w:r>
    </w:p>
    <w:p w14:paraId="485DC813">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_Toc31902 </w:instrText>
      </w:r>
      <w:r>
        <w:fldChar w:fldCharType="separate"/>
      </w:r>
      <w:r>
        <w:rPr>
          <w:rFonts w:hint="eastAsia" w:ascii="黑体" w:hAnsi="Times New Roman" w:eastAsia="黑体" w:cs="Times New Roman"/>
          <w:szCs w:val="32"/>
        </w:rPr>
        <w:t>七、财政拨款</w:t>
      </w:r>
      <w:r>
        <w:rPr>
          <w:rFonts w:hint="eastAsia" w:ascii="黑体" w:hAnsi="Times New Roman" w:eastAsia="黑体" w:cs="Times New Roman"/>
          <w:szCs w:val="32"/>
          <w:lang w:eastAsia="zh-CN"/>
        </w:rPr>
        <w:t>“</w:t>
      </w:r>
      <w:r>
        <w:rPr>
          <w:rFonts w:hint="eastAsia" w:ascii="黑体" w:hAnsi="Times New Roman" w:eastAsia="黑体" w:cs="Times New Roman"/>
          <w:szCs w:val="32"/>
        </w:rPr>
        <w:t>三公”经费支出决算情况说明</w:t>
      </w:r>
      <w:r>
        <w:tab/>
      </w:r>
      <w:r>
        <w:rPr>
          <w:rFonts w:hint="eastAsia"/>
          <w:lang w:val="en-US" w:eastAsia="zh-CN"/>
        </w:rPr>
        <w:t>9</w:t>
      </w:r>
      <w:r>
        <w:fldChar w:fldCharType="end"/>
      </w:r>
    </w:p>
    <w:p w14:paraId="194F7D94">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_Toc1331 </w:instrText>
      </w:r>
      <w:r>
        <w:fldChar w:fldCharType="separate"/>
      </w:r>
      <w:r>
        <w:rPr>
          <w:rFonts w:hint="eastAsia" w:ascii="黑体" w:hAnsi="Times New Roman" w:eastAsia="黑体" w:cs="Times New Roman"/>
          <w:szCs w:val="32"/>
        </w:rPr>
        <w:t>八、政府性基金预算支出决算情况说明</w:t>
      </w:r>
      <w:r>
        <w:tab/>
      </w:r>
      <w:r>
        <w:rPr>
          <w:rFonts w:hint="eastAsia"/>
          <w:lang w:val="en-US" w:eastAsia="zh-CN"/>
        </w:rPr>
        <w:t>1</w:t>
      </w:r>
      <w:r>
        <w:fldChar w:fldCharType="end"/>
      </w:r>
      <w:r>
        <w:rPr>
          <w:rFonts w:hint="eastAsia"/>
          <w:lang w:val="en-US" w:eastAsia="zh-CN"/>
        </w:rPr>
        <w:t>0</w:t>
      </w:r>
    </w:p>
    <w:p w14:paraId="339D5518">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_Toc18417 </w:instrText>
      </w:r>
      <w:r>
        <w:fldChar w:fldCharType="separate"/>
      </w:r>
      <w:r>
        <w:rPr>
          <w:rFonts w:hint="eastAsia" w:ascii="黑体" w:hAnsi="Times New Roman" w:eastAsia="黑体" w:cs="Times New Roman"/>
          <w:szCs w:val="32"/>
        </w:rPr>
        <w:t>九、国有资本经营预算支出决算情况说明</w:t>
      </w:r>
      <w:r>
        <w:tab/>
      </w:r>
      <w:r>
        <w:rPr>
          <w:rFonts w:hint="eastAsia"/>
          <w:lang w:val="en-US" w:eastAsia="zh-CN"/>
        </w:rPr>
        <w:t>1</w:t>
      </w:r>
      <w:r>
        <w:fldChar w:fldCharType="end"/>
      </w:r>
      <w:r>
        <w:rPr>
          <w:rFonts w:hint="eastAsia"/>
          <w:lang w:val="en-US" w:eastAsia="zh-CN"/>
        </w:rPr>
        <w:t>0</w:t>
      </w:r>
    </w:p>
    <w:p w14:paraId="1F1FE890">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_Toc26033 </w:instrText>
      </w:r>
      <w:r>
        <w:fldChar w:fldCharType="separate"/>
      </w:r>
      <w:r>
        <w:rPr>
          <w:rFonts w:hint="eastAsia" w:ascii="黑体" w:hAnsi="Times New Roman" w:eastAsia="黑体" w:cs="Times New Roman"/>
          <w:kern w:val="2"/>
          <w:szCs w:val="32"/>
          <w:lang w:val="en-US" w:eastAsia="zh-CN" w:bidi="ar-SA"/>
        </w:rPr>
        <w:t>十、其他重要事项的情况说明</w:t>
      </w:r>
      <w:r>
        <w:tab/>
      </w:r>
      <w:r>
        <w:rPr>
          <w:rFonts w:hint="eastAsia"/>
          <w:lang w:val="en-US" w:eastAsia="zh-CN"/>
        </w:rPr>
        <w:t>1</w:t>
      </w:r>
      <w:r>
        <w:fldChar w:fldCharType="end"/>
      </w:r>
      <w:r>
        <w:rPr>
          <w:rFonts w:hint="eastAsia"/>
          <w:lang w:val="en-US" w:eastAsia="zh-CN"/>
        </w:rPr>
        <w:t>0</w:t>
      </w:r>
    </w:p>
    <w:p w14:paraId="66483AC9">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_Toc24473 </w:instrText>
      </w:r>
      <w:r>
        <w:fldChar w:fldCharType="separate"/>
      </w:r>
      <w:r>
        <w:rPr>
          <w:rFonts w:hint="eastAsia" w:ascii="黑体" w:hAnsi="Times New Roman" w:eastAsia="黑体" w:cs="Times New Roman"/>
          <w:szCs w:val="44"/>
        </w:rPr>
        <w:t>第三部分 名词解释</w:t>
      </w:r>
      <w:r>
        <w:tab/>
      </w:r>
      <w:r>
        <w:rPr>
          <w:rFonts w:hint="eastAsia"/>
          <w:lang w:val="en-US" w:eastAsia="zh-CN"/>
        </w:rPr>
        <w:t>1</w:t>
      </w:r>
      <w:r>
        <w:fldChar w:fldCharType="end"/>
      </w:r>
      <w:r>
        <w:rPr>
          <w:rFonts w:hint="eastAsia"/>
          <w:lang w:val="en-US" w:eastAsia="zh-CN"/>
        </w:rPr>
        <w:t>2</w:t>
      </w:r>
    </w:p>
    <w:p w14:paraId="4E0A90C9">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_Toc7978 </w:instrText>
      </w:r>
      <w:r>
        <w:fldChar w:fldCharType="separate"/>
      </w:r>
      <w:r>
        <w:rPr>
          <w:rFonts w:hint="eastAsia" w:ascii="黑体" w:hAnsi="Times New Roman" w:eastAsia="黑体" w:cs="Times New Roman"/>
          <w:kern w:val="2"/>
          <w:szCs w:val="44"/>
          <w:lang w:val="en-US" w:eastAsia="zh-CN" w:bidi="ar-SA"/>
        </w:rPr>
        <w:t>第四部分 附件</w:t>
      </w:r>
      <w:r>
        <w:tab/>
      </w:r>
      <w:r>
        <w:rPr>
          <w:rFonts w:hint="eastAsia"/>
          <w:lang w:val="en-US" w:eastAsia="zh-CN"/>
        </w:rPr>
        <w:t>1</w:t>
      </w:r>
      <w:r>
        <w:fldChar w:fldCharType="end"/>
      </w:r>
      <w:r>
        <w:rPr>
          <w:rFonts w:hint="eastAsia"/>
          <w:lang w:val="en-US" w:eastAsia="zh-CN"/>
        </w:rPr>
        <w:t>5</w:t>
      </w:r>
    </w:p>
    <w:p w14:paraId="14D61325">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_Toc9504 </w:instrText>
      </w:r>
      <w:r>
        <w:fldChar w:fldCharType="separate"/>
      </w:r>
      <w:r>
        <w:rPr>
          <w:rFonts w:hint="eastAsia" w:ascii="黑体" w:hAnsi="Times New Roman" w:eastAsia="黑体" w:cs="Times New Roman"/>
          <w:szCs w:val="44"/>
        </w:rPr>
        <w:t>第五部分 附表</w:t>
      </w:r>
      <w:r>
        <w:tab/>
      </w:r>
      <w:r>
        <w:rPr>
          <w:rFonts w:hint="eastAsia"/>
          <w:lang w:val="en-US" w:eastAsia="zh-CN"/>
        </w:rPr>
        <w:t>1</w:t>
      </w:r>
      <w:r>
        <w:fldChar w:fldCharType="end"/>
      </w:r>
      <w:r>
        <w:rPr>
          <w:rFonts w:hint="eastAsia"/>
          <w:lang w:val="en-US" w:eastAsia="zh-CN"/>
        </w:rPr>
        <w:t>6</w:t>
      </w:r>
    </w:p>
    <w:p w14:paraId="1B074206">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_Toc26370 </w:instrText>
      </w:r>
      <w:r>
        <w:fldChar w:fldCharType="separate"/>
      </w:r>
      <w:r>
        <w:rPr>
          <w:rFonts w:hint="eastAsia" w:ascii="仿宋" w:hAnsi="Cambria" w:eastAsia="仿宋" w:cs="Times New Roman"/>
          <w:kern w:val="2"/>
          <w:szCs w:val="32"/>
          <w:lang w:bidi="ar-SA"/>
        </w:rPr>
        <w:t>一、收入支出决算总表</w:t>
      </w:r>
      <w:r>
        <w:fldChar w:fldCharType="end"/>
      </w:r>
      <w:r>
        <w:rPr>
          <w:rFonts w:hint="eastAsia"/>
          <w:lang w:val="en-US" w:eastAsia="zh-CN"/>
        </w:rPr>
        <w:t>..................................................................................................................16</w:t>
      </w:r>
    </w:p>
    <w:p w14:paraId="51D3804B">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_Toc13591 </w:instrText>
      </w:r>
      <w:r>
        <w:fldChar w:fldCharType="separate"/>
      </w:r>
      <w:r>
        <w:rPr>
          <w:rFonts w:hint="eastAsia" w:ascii="仿宋" w:hAnsi="Cambria" w:eastAsia="仿宋" w:cs="Times New Roman"/>
          <w:kern w:val="2"/>
          <w:szCs w:val="32"/>
          <w:lang w:bidi="ar-SA"/>
        </w:rPr>
        <w:t>二、收入决算表</w:t>
      </w:r>
      <w:r>
        <w:fldChar w:fldCharType="end"/>
      </w:r>
      <w:r>
        <w:rPr>
          <w:rFonts w:hint="eastAsia"/>
          <w:lang w:val="en-US" w:eastAsia="zh-CN"/>
        </w:rPr>
        <w:t>..............................................................................................................................16</w:t>
      </w:r>
    </w:p>
    <w:p w14:paraId="43D1BB86">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_Toc16600 </w:instrText>
      </w:r>
      <w:r>
        <w:fldChar w:fldCharType="separate"/>
      </w:r>
      <w:r>
        <w:rPr>
          <w:rFonts w:hint="eastAsia" w:ascii="仿宋" w:hAnsi="Cambria" w:eastAsia="仿宋" w:cs="Times New Roman"/>
          <w:kern w:val="2"/>
          <w:szCs w:val="32"/>
          <w:lang w:bidi="ar-SA"/>
        </w:rPr>
        <w:t>三、支出决算表</w:t>
      </w:r>
      <w:r>
        <w:fldChar w:fldCharType="end"/>
      </w:r>
      <w:r>
        <w:rPr>
          <w:rFonts w:hint="eastAsia"/>
          <w:lang w:val="en-US" w:eastAsia="zh-CN"/>
        </w:rPr>
        <w:t>.............................................................................................................................16</w:t>
      </w:r>
    </w:p>
    <w:p w14:paraId="480F339B">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_Toc26630 </w:instrText>
      </w:r>
      <w:r>
        <w:fldChar w:fldCharType="separate"/>
      </w:r>
      <w:r>
        <w:rPr>
          <w:rFonts w:hint="eastAsia" w:ascii="仿宋" w:hAnsi="Cambria" w:eastAsia="仿宋" w:cs="Times New Roman"/>
          <w:kern w:val="2"/>
          <w:szCs w:val="32"/>
          <w:lang w:bidi="ar-SA"/>
        </w:rPr>
        <w:t>四、财政拨款收入支出决算总表</w:t>
      </w:r>
      <w:r>
        <w:fldChar w:fldCharType="end"/>
      </w:r>
      <w:r>
        <w:rPr>
          <w:rFonts w:hint="eastAsia"/>
          <w:lang w:val="en-US" w:eastAsia="zh-CN"/>
        </w:rPr>
        <w:t>.................................................................................................16</w:t>
      </w:r>
    </w:p>
    <w:p w14:paraId="61C46182">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_Toc19934 </w:instrText>
      </w:r>
      <w:r>
        <w:fldChar w:fldCharType="separate"/>
      </w:r>
      <w:r>
        <w:rPr>
          <w:rFonts w:hint="eastAsia" w:ascii="仿宋" w:hAnsi="Cambria" w:eastAsia="仿宋" w:cs="Times New Roman"/>
          <w:kern w:val="2"/>
          <w:szCs w:val="32"/>
          <w:lang w:bidi="ar-SA"/>
        </w:rPr>
        <w:t>五、财政拨款支出决算明细表</w:t>
      </w:r>
      <w:r>
        <w:fldChar w:fldCharType="end"/>
      </w:r>
      <w:r>
        <w:rPr>
          <w:rFonts w:hint="eastAsia"/>
          <w:lang w:val="en-US" w:eastAsia="zh-CN"/>
        </w:rPr>
        <w:t>.....................................................................................................16</w:t>
      </w:r>
    </w:p>
    <w:p w14:paraId="1232F3D0">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_Toc6686 </w:instrText>
      </w:r>
      <w:r>
        <w:fldChar w:fldCharType="separate"/>
      </w:r>
      <w:r>
        <w:rPr>
          <w:rFonts w:hint="eastAsia" w:ascii="仿宋" w:hAnsi="Cambria" w:eastAsia="仿宋" w:cs="Times New Roman"/>
          <w:kern w:val="2"/>
          <w:szCs w:val="32"/>
          <w:lang w:bidi="ar-SA"/>
        </w:rPr>
        <w:t>六、一般公共预算财政拨款支出决算表</w:t>
      </w:r>
      <w:r>
        <w:fldChar w:fldCharType="end"/>
      </w:r>
      <w:r>
        <w:rPr>
          <w:rFonts w:hint="eastAsia"/>
          <w:lang w:val="en-US" w:eastAsia="zh-CN"/>
        </w:rPr>
        <w:t>.....................................................................................16</w:t>
      </w:r>
    </w:p>
    <w:p w14:paraId="5CF0B6B5">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_Toc19514 </w:instrText>
      </w:r>
      <w:r>
        <w:fldChar w:fldCharType="separate"/>
      </w:r>
      <w:r>
        <w:rPr>
          <w:rFonts w:hint="eastAsia" w:ascii="仿宋" w:hAnsi="Cambria" w:eastAsia="仿宋" w:cs="Times New Roman"/>
          <w:kern w:val="2"/>
          <w:szCs w:val="32"/>
          <w:lang w:bidi="ar-SA"/>
        </w:rPr>
        <w:t>七、一般公共预算财政拨款支出决算明细表</w:t>
      </w:r>
      <w:r>
        <w:fldChar w:fldCharType="end"/>
      </w:r>
      <w:r>
        <w:rPr>
          <w:rFonts w:hint="eastAsia"/>
          <w:lang w:val="en-US" w:eastAsia="zh-CN"/>
        </w:rPr>
        <w:t>.............................................................................16</w:t>
      </w:r>
    </w:p>
    <w:p w14:paraId="1242A03B">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_Toc191 </w:instrText>
      </w:r>
      <w:r>
        <w:fldChar w:fldCharType="separate"/>
      </w:r>
      <w:r>
        <w:rPr>
          <w:rFonts w:hint="eastAsia" w:ascii="仿宋" w:hAnsi="Cambria" w:eastAsia="仿宋" w:cs="Times New Roman"/>
          <w:kern w:val="2"/>
          <w:szCs w:val="32"/>
          <w:lang w:bidi="ar-SA"/>
        </w:rPr>
        <w:t>八、一般公共预算财政拨款基本支出决算表</w:t>
      </w:r>
      <w:r>
        <w:fldChar w:fldCharType="end"/>
      </w:r>
      <w:r>
        <w:rPr>
          <w:rFonts w:hint="eastAsia"/>
          <w:lang w:val="en-US" w:eastAsia="zh-CN"/>
        </w:rPr>
        <w:t>.............................................................................16</w:t>
      </w:r>
    </w:p>
    <w:p w14:paraId="69D4E26A">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_Toc5204 </w:instrText>
      </w:r>
      <w:r>
        <w:fldChar w:fldCharType="separate"/>
      </w:r>
      <w:r>
        <w:rPr>
          <w:rFonts w:hint="eastAsia" w:ascii="仿宋" w:hAnsi="Cambria" w:eastAsia="仿宋" w:cs="Times New Roman"/>
          <w:kern w:val="2"/>
          <w:szCs w:val="32"/>
          <w:lang w:bidi="ar-SA"/>
        </w:rPr>
        <w:t>九、一般公共预算财政拨款项目支出决算表</w:t>
      </w:r>
      <w:r>
        <w:fldChar w:fldCharType="end"/>
      </w:r>
      <w:r>
        <w:rPr>
          <w:rFonts w:hint="eastAsia"/>
          <w:lang w:val="en-US" w:eastAsia="zh-CN"/>
        </w:rPr>
        <w:t>.............................................................................16</w:t>
      </w:r>
    </w:p>
    <w:p w14:paraId="49B650AB">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_Toc20756 </w:instrText>
      </w:r>
      <w:r>
        <w:fldChar w:fldCharType="separate"/>
      </w:r>
      <w:r>
        <w:rPr>
          <w:rFonts w:hint="eastAsia" w:ascii="仿宋" w:hAnsi="Cambria" w:eastAsia="仿宋" w:cs="Times New Roman"/>
          <w:kern w:val="2"/>
          <w:szCs w:val="32"/>
          <w:lang w:bidi="ar-SA"/>
        </w:rPr>
        <w:t>十、政府性基金预算财政拨款收入支出决算表</w:t>
      </w:r>
      <w:r>
        <w:fldChar w:fldCharType="end"/>
      </w:r>
      <w:r>
        <w:rPr>
          <w:rFonts w:hint="eastAsia"/>
          <w:lang w:val="en-US" w:eastAsia="zh-CN"/>
        </w:rPr>
        <w:t>.........................................................................16</w:t>
      </w:r>
    </w:p>
    <w:p w14:paraId="17BAD226">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_Toc21387 </w:instrText>
      </w:r>
      <w:r>
        <w:fldChar w:fldCharType="separate"/>
      </w:r>
      <w:r>
        <w:rPr>
          <w:rFonts w:hint="eastAsia" w:ascii="仿宋" w:hAnsi="Cambria" w:eastAsia="仿宋" w:cs="Times New Roman"/>
          <w:kern w:val="2"/>
          <w:szCs w:val="32"/>
          <w:lang w:bidi="ar-SA"/>
        </w:rPr>
        <w:t>十一、国有资本经营预算财政拨款收入支出决算表</w:t>
      </w:r>
      <w:r>
        <w:fldChar w:fldCharType="end"/>
      </w:r>
      <w:r>
        <w:rPr>
          <w:rFonts w:hint="eastAsia"/>
          <w:lang w:val="en-US" w:eastAsia="zh-CN"/>
        </w:rPr>
        <w:t>.................................................................16</w:t>
      </w:r>
    </w:p>
    <w:p w14:paraId="12A19E90">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_Toc1140 </w:instrText>
      </w:r>
      <w:r>
        <w:fldChar w:fldCharType="separate"/>
      </w:r>
      <w:r>
        <w:rPr>
          <w:rFonts w:hint="eastAsia" w:ascii="仿宋" w:hAnsi="Cambria" w:eastAsia="仿宋" w:cs="Times New Roman"/>
          <w:kern w:val="2"/>
          <w:szCs w:val="32"/>
          <w:lang w:bidi="ar-SA"/>
        </w:rPr>
        <w:t>十二、国有资本经营预算财政拨款支出决算表</w:t>
      </w:r>
      <w:r>
        <w:fldChar w:fldCharType="end"/>
      </w:r>
      <w:r>
        <w:rPr>
          <w:rFonts w:hint="eastAsia"/>
          <w:lang w:val="en-US" w:eastAsia="zh-CN"/>
        </w:rPr>
        <w:t>.........................................................................16</w:t>
      </w:r>
    </w:p>
    <w:p w14:paraId="78DF88F0">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_Toc24957 </w:instrText>
      </w:r>
      <w:r>
        <w:fldChar w:fldCharType="separate"/>
      </w:r>
      <w:r>
        <w:rPr>
          <w:rFonts w:hint="eastAsia" w:ascii="仿宋" w:hAnsi="Cambria" w:eastAsia="仿宋" w:cs="Times New Roman"/>
          <w:kern w:val="2"/>
          <w:szCs w:val="32"/>
          <w:lang w:bidi="ar-SA"/>
        </w:rPr>
        <w:t>十三、财政拨款“三公”经费支出决算表</w:t>
      </w:r>
      <w:r>
        <w:fldChar w:fldCharType="end"/>
      </w:r>
      <w:r>
        <w:rPr>
          <w:rFonts w:hint="eastAsia"/>
          <w:lang w:val="en-US" w:eastAsia="zh-CN"/>
        </w:rPr>
        <w:t>.................................................................................16</w:t>
      </w:r>
    </w:p>
    <w:p w14:paraId="43B87C40">
      <w:pPr>
        <w:pageBreakBefore w:val="0"/>
        <w:kinsoku/>
        <w:wordWrap/>
        <w:overflowPunct/>
        <w:topLinePunct w:val="0"/>
        <w:bidi w:val="0"/>
        <w:spacing w:line="576" w:lineRule="exact"/>
        <w:textAlignment w:val="auto"/>
      </w:pPr>
      <w:r>
        <w:fldChar w:fldCharType="end"/>
      </w:r>
    </w:p>
    <w:p w14:paraId="46685AC6">
      <w:pPr>
        <w:pageBreakBefore w:val="0"/>
        <w:widowControl/>
        <w:kinsoku/>
        <w:wordWrap/>
        <w:overflowPunct/>
        <w:topLinePunct w:val="0"/>
        <w:bidi w:val="0"/>
        <w:adjustRightInd w:val="0"/>
        <w:snapToGrid w:val="0"/>
        <w:spacing w:line="576" w:lineRule="exact"/>
        <w:ind w:firstLine="1155" w:firstLineChars="550"/>
        <w:jc w:val="left"/>
        <w:textAlignment w:val="auto"/>
      </w:pPr>
      <w:r>
        <w:t> </w:t>
      </w:r>
    </w:p>
    <w:p w14:paraId="6309B705">
      <w:pPr>
        <w:pStyle w:val="2"/>
      </w:pPr>
    </w:p>
    <w:p w14:paraId="72540ECF">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63772376">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2BA36513">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110F0E40">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78335406">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78D78F1D">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43B71236">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63E8F500">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2116A53B">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4C28DAD1">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288B3479">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7CA68E6E">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75554D82">
      <w:pPr>
        <w:pageBreakBefore w:val="0"/>
        <w:kinsoku/>
        <w:wordWrap/>
        <w:overflowPunct/>
        <w:topLinePunct w:val="0"/>
        <w:autoSpaceDE/>
        <w:autoSpaceDN/>
        <w:bidi w:val="0"/>
        <w:adjustRightInd w:val="0"/>
        <w:snapToGrid w:val="0"/>
        <w:spacing w:line="576"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第一部分 </w:t>
      </w:r>
      <w:r>
        <w:rPr>
          <w:rFonts w:hint="eastAsia" w:ascii="Times New Roman" w:hAnsi="Times New Roman" w:eastAsia="方正小标宋简体" w:cs="方正小标宋简体"/>
          <w:b w:val="0"/>
          <w:color w:val="auto"/>
          <w:highlight w:val="none"/>
        </w:rPr>
        <w:t xml:space="preserve"> </w:t>
      </w:r>
      <w:r>
        <w:rPr>
          <w:rStyle w:val="37"/>
          <w:rFonts w:hint="eastAsia" w:ascii="Times New Roman" w:hAnsi="Times New Roman" w:eastAsia="方正小标宋简体" w:cs="方正小标宋简体"/>
          <w:b w:val="0"/>
          <w:bCs w:val="0"/>
          <w:color w:val="auto"/>
          <w:highlight w:val="none"/>
        </w:rPr>
        <w:t>部门</w:t>
      </w:r>
      <w:r>
        <w:rPr>
          <w:rFonts w:hint="eastAsia" w:ascii="方正小标宋简体" w:hAnsi="方正小标宋简体" w:eastAsia="方正小标宋简体" w:cs="方正小标宋简体"/>
          <w:sz w:val="44"/>
          <w:szCs w:val="44"/>
        </w:rPr>
        <w:t>概况</w:t>
      </w:r>
      <w:bookmarkEnd w:id="5"/>
      <w:bookmarkEnd w:id="6"/>
      <w:bookmarkEnd w:id="7"/>
      <w:bookmarkEnd w:id="8"/>
    </w:p>
    <w:p w14:paraId="0EAE5EC0">
      <w:pPr>
        <w:pageBreakBefore w:val="0"/>
        <w:widowControl/>
        <w:kinsoku/>
        <w:wordWrap/>
        <w:overflowPunct/>
        <w:topLinePunct w:val="0"/>
        <w:autoSpaceDE/>
        <w:autoSpaceDN/>
        <w:bidi w:val="0"/>
        <w:spacing w:line="576" w:lineRule="exact"/>
        <w:jc w:val="left"/>
        <w:textAlignment w:val="auto"/>
        <w:rPr>
          <w:rFonts w:ascii="黑体" w:eastAsia="黑体"/>
          <w:color w:val="000000"/>
          <w:sz w:val="32"/>
          <w:szCs w:val="32"/>
        </w:rPr>
      </w:pPr>
    </w:p>
    <w:p w14:paraId="28637C5B">
      <w:pPr>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sz w:val="32"/>
          <w:szCs w:val="32"/>
          <w:lang w:eastAsia="zh-CN"/>
        </w:rPr>
      </w:pPr>
      <w:bookmarkStart w:id="9" w:name="_Toc15378445"/>
      <w:bookmarkStart w:id="10" w:name="_Toc15377198"/>
      <w:r>
        <w:rPr>
          <w:rFonts w:hint="eastAsia" w:ascii="黑体" w:hAnsi="黑体" w:eastAsia="黑体"/>
          <w:sz w:val="32"/>
          <w:szCs w:val="32"/>
        </w:rPr>
        <w:t>一、</w:t>
      </w:r>
      <w:r>
        <w:rPr>
          <w:rFonts w:hint="eastAsia" w:ascii="黑体" w:hAnsi="黑体" w:eastAsia="黑体"/>
          <w:sz w:val="32"/>
          <w:szCs w:val="32"/>
          <w:lang w:eastAsia="zh-CN"/>
        </w:rPr>
        <w:t>部门职责</w:t>
      </w:r>
    </w:p>
    <w:bookmarkEnd w:id="9"/>
    <w:bookmarkEnd w:id="10"/>
    <w:p w14:paraId="5340E6E3">
      <w:pPr>
        <w:pageBreakBefore w:val="0"/>
        <w:kinsoku/>
        <w:wordWrap/>
        <w:overflowPunct/>
        <w:topLinePunct w:val="0"/>
        <w:autoSpaceDE/>
        <w:autoSpaceDN/>
        <w:bidi w:val="0"/>
        <w:spacing w:line="576" w:lineRule="exact"/>
        <w:ind w:firstLine="643" w:firstLineChars="200"/>
        <w:textAlignment w:val="auto"/>
        <w:rPr>
          <w:rFonts w:ascii="楷体_GB2312" w:hAnsi="楷体_GB2312" w:eastAsia="楷体_GB2312" w:cs="楷体_GB2312"/>
          <w:b/>
          <w:sz w:val="32"/>
          <w:szCs w:val="32"/>
        </w:rPr>
      </w:pPr>
      <w:bookmarkStart w:id="11" w:name="_Toc15378446"/>
      <w:bookmarkStart w:id="12" w:name="_Toc15377199"/>
      <w:r>
        <w:rPr>
          <w:rFonts w:hint="eastAsia" w:ascii="楷体_GB2312" w:hAnsi="楷体_GB2312" w:eastAsia="楷体_GB2312" w:cs="楷体_GB2312"/>
          <w:b/>
          <w:sz w:val="32"/>
          <w:szCs w:val="32"/>
        </w:rPr>
        <w:t>（一）主要职能</w:t>
      </w:r>
    </w:p>
    <w:bookmarkEnd w:id="11"/>
    <w:bookmarkEnd w:id="12"/>
    <w:p w14:paraId="4B97F56D">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bookmarkStart w:id="13" w:name="_Toc15396601"/>
      <w:bookmarkStart w:id="14" w:name="_Toc15377200"/>
      <w:r>
        <w:rPr>
          <w:rFonts w:hint="eastAsia" w:ascii="仿宋_GB2312" w:hAnsi="仿宋_GB2312" w:eastAsia="仿宋_GB2312" w:cs="仿宋_GB2312"/>
          <w:sz w:val="32"/>
          <w:szCs w:val="32"/>
        </w:rPr>
        <w:t>负责全县事业单位登记</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工作，建立和实施事业单位登记管理制度；研究拟登记管理的政策、措施并组织实施；承担乡镇、县直事业单位的登记管理和年度检验</w:t>
      </w:r>
      <w:r>
        <w:rPr>
          <w:rFonts w:hint="eastAsia" w:ascii="仿宋_GB2312" w:hAnsi="仿宋_GB2312" w:eastAsia="仿宋_GB2312" w:cs="仿宋_GB2312"/>
          <w:sz w:val="32"/>
          <w:szCs w:val="32"/>
          <w:lang w:eastAsia="zh-CN"/>
        </w:rPr>
        <w:t>事务性</w:t>
      </w:r>
      <w:r>
        <w:rPr>
          <w:rFonts w:hint="eastAsia" w:ascii="仿宋_GB2312" w:hAnsi="仿宋_GB2312" w:eastAsia="仿宋_GB2312" w:cs="仿宋_GB2312"/>
          <w:sz w:val="32"/>
          <w:szCs w:val="32"/>
        </w:rPr>
        <w:t>工作；依法保护核准登记的事业单位有关登记事项的合法权益；监督检查事业单位执行《事业单位登记管理暂行条例》的情况，查处违规行为；负责全县事业单位登记管理信息统计。</w:t>
      </w:r>
    </w:p>
    <w:p w14:paraId="49CB7DCF">
      <w:pPr>
        <w:pageBreakBefore w:val="0"/>
        <w:kinsoku/>
        <w:wordWrap/>
        <w:overflowPunct/>
        <w:topLinePunct w:val="0"/>
        <w:autoSpaceDE/>
        <w:autoSpaceDN/>
        <w:bidi w:val="0"/>
        <w:spacing w:line="576" w:lineRule="exact"/>
        <w:ind w:firstLine="640" w:firstLineChars="200"/>
        <w:textAlignment w:val="auto"/>
        <w:rPr>
          <w:rStyle w:val="41"/>
          <w:rFonts w:ascii="黑体" w:hAnsi="黑体" w:eastAsia="黑体"/>
          <w:b w:val="0"/>
          <w:bCs w:val="0"/>
        </w:rPr>
      </w:pPr>
      <w:r>
        <w:rPr>
          <w:rFonts w:hint="eastAsia" w:ascii="黑体" w:eastAsia="黑体"/>
          <w:sz w:val="32"/>
          <w:szCs w:val="32"/>
        </w:rPr>
        <w:t>二、</w:t>
      </w:r>
      <w:r>
        <w:rPr>
          <w:rFonts w:hint="eastAsia" w:ascii="黑体" w:hAnsi="黑体" w:eastAsia="黑体"/>
          <w:sz w:val="32"/>
          <w:szCs w:val="32"/>
        </w:rPr>
        <w:t>机</w:t>
      </w:r>
      <w:r>
        <w:rPr>
          <w:rStyle w:val="41"/>
          <w:rFonts w:hint="eastAsia" w:ascii="黑体" w:hAnsi="黑体" w:eastAsia="黑体"/>
          <w:b w:val="0"/>
          <w:bCs w:val="0"/>
        </w:rPr>
        <w:t>构设置</w:t>
      </w:r>
      <w:bookmarkEnd w:id="13"/>
      <w:bookmarkEnd w:id="14"/>
    </w:p>
    <w:p w14:paraId="355BF836">
      <w:pPr>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lang w:eastAsia="zh-CN"/>
        </w:rPr>
        <w:t>茂县</w:t>
      </w:r>
      <w:r>
        <w:rPr>
          <w:rFonts w:hint="eastAsia" w:ascii="仿宋_GB2312" w:eastAsia="仿宋_GB2312"/>
          <w:sz w:val="32"/>
          <w:szCs w:val="32"/>
        </w:rPr>
        <w:t>事业</w:t>
      </w:r>
      <w:r>
        <w:rPr>
          <w:rFonts w:hint="eastAsia" w:ascii="仿宋_GB2312" w:eastAsia="仿宋_GB2312"/>
          <w:sz w:val="32"/>
          <w:szCs w:val="32"/>
          <w:lang w:eastAsia="zh-CN"/>
        </w:rPr>
        <w:t>单位</w:t>
      </w:r>
      <w:r>
        <w:rPr>
          <w:rFonts w:hint="eastAsia" w:ascii="仿宋_GB2312" w:eastAsia="仿宋_GB2312"/>
          <w:sz w:val="32"/>
          <w:szCs w:val="32"/>
        </w:rPr>
        <w:t>登记</w:t>
      </w:r>
      <w:r>
        <w:rPr>
          <w:rFonts w:hint="eastAsia" w:ascii="仿宋_GB2312" w:eastAsia="仿宋_GB2312"/>
          <w:sz w:val="32"/>
          <w:szCs w:val="32"/>
          <w:lang w:eastAsia="zh-CN"/>
        </w:rPr>
        <w:t>管理</w:t>
      </w:r>
      <w:r>
        <w:rPr>
          <w:rFonts w:hint="eastAsia" w:ascii="仿宋_GB2312" w:eastAsia="仿宋_GB2312"/>
          <w:sz w:val="32"/>
          <w:szCs w:val="32"/>
        </w:rPr>
        <w:t>局</w:t>
      </w:r>
      <w:r>
        <w:rPr>
          <w:rFonts w:hint="eastAsia" w:ascii="仿宋_GB2312" w:eastAsia="仿宋_GB2312"/>
          <w:sz w:val="32"/>
          <w:szCs w:val="32"/>
          <w:lang w:eastAsia="zh-CN"/>
        </w:rPr>
        <w:t>为县委</w:t>
      </w:r>
      <w:r>
        <w:rPr>
          <w:rFonts w:hint="eastAsia" w:ascii="仿宋_GB2312" w:hAnsi="仿宋_GB2312" w:eastAsia="仿宋_GB2312" w:cs="仿宋_GB2312"/>
          <w:sz w:val="32"/>
          <w:szCs w:val="32"/>
        </w:rPr>
        <w:t>编办</w:t>
      </w:r>
      <w:r>
        <w:rPr>
          <w:rFonts w:hint="eastAsia" w:ascii="仿宋_GB2312" w:hAnsi="仿宋_GB2312" w:eastAsia="仿宋_GB2312" w:cs="仿宋_GB2312"/>
          <w:sz w:val="32"/>
          <w:szCs w:val="32"/>
          <w:lang w:eastAsia="zh-CN"/>
        </w:rPr>
        <w:t>所</w:t>
      </w:r>
      <w:r>
        <w:rPr>
          <w:rFonts w:hint="eastAsia" w:ascii="仿宋_GB2312" w:hAnsi="仿宋_GB2312" w:eastAsia="仿宋_GB2312" w:cs="仿宋_GB2312"/>
          <w:sz w:val="32"/>
          <w:szCs w:val="32"/>
        </w:rPr>
        <w:t>属事业机构。</w:t>
      </w:r>
    </w:p>
    <w:p w14:paraId="00F1B1FC">
      <w:pPr>
        <w:pStyle w:val="23"/>
        <w:pageBreakBefore w:val="0"/>
        <w:kinsoku/>
        <w:wordWrap/>
        <w:overflowPunct/>
        <w:topLinePunct w:val="0"/>
        <w:autoSpaceDE/>
        <w:autoSpaceDN/>
        <w:bidi w:val="0"/>
        <w:spacing w:line="576" w:lineRule="exact"/>
        <w:jc w:val="both"/>
        <w:textAlignment w:val="auto"/>
      </w:pPr>
    </w:p>
    <w:p w14:paraId="270E7E01">
      <w:pPr>
        <w:pStyle w:val="23"/>
        <w:pageBreakBefore w:val="0"/>
        <w:kinsoku/>
        <w:wordWrap/>
        <w:overflowPunct/>
        <w:topLinePunct w:val="0"/>
        <w:autoSpaceDE/>
        <w:autoSpaceDN/>
        <w:bidi w:val="0"/>
        <w:spacing w:line="576" w:lineRule="exact"/>
        <w:jc w:val="both"/>
        <w:textAlignment w:val="auto"/>
      </w:pPr>
    </w:p>
    <w:p w14:paraId="0691ED61">
      <w:pPr>
        <w:pStyle w:val="23"/>
        <w:pageBreakBefore w:val="0"/>
        <w:kinsoku/>
        <w:wordWrap/>
        <w:overflowPunct/>
        <w:topLinePunct w:val="0"/>
        <w:autoSpaceDE/>
        <w:autoSpaceDN/>
        <w:bidi w:val="0"/>
        <w:spacing w:line="576" w:lineRule="exact"/>
        <w:jc w:val="both"/>
        <w:textAlignment w:val="auto"/>
      </w:pPr>
    </w:p>
    <w:p w14:paraId="79B0BC92">
      <w:pPr>
        <w:pStyle w:val="23"/>
        <w:pageBreakBefore w:val="0"/>
        <w:kinsoku/>
        <w:wordWrap/>
        <w:overflowPunct/>
        <w:topLinePunct w:val="0"/>
        <w:autoSpaceDE/>
        <w:autoSpaceDN/>
        <w:bidi w:val="0"/>
        <w:spacing w:line="576" w:lineRule="exact"/>
        <w:jc w:val="both"/>
        <w:textAlignment w:val="auto"/>
      </w:pPr>
    </w:p>
    <w:p w14:paraId="43C70625">
      <w:pPr>
        <w:pStyle w:val="23"/>
        <w:pageBreakBefore w:val="0"/>
        <w:kinsoku/>
        <w:wordWrap/>
        <w:overflowPunct/>
        <w:topLinePunct w:val="0"/>
        <w:autoSpaceDE/>
        <w:autoSpaceDN/>
        <w:bidi w:val="0"/>
        <w:spacing w:line="576" w:lineRule="exact"/>
        <w:jc w:val="both"/>
        <w:textAlignment w:val="auto"/>
      </w:pPr>
    </w:p>
    <w:p w14:paraId="531DEAB3">
      <w:pPr>
        <w:pStyle w:val="23"/>
        <w:pageBreakBefore w:val="0"/>
        <w:kinsoku/>
        <w:wordWrap/>
        <w:overflowPunct/>
        <w:topLinePunct w:val="0"/>
        <w:autoSpaceDE/>
        <w:autoSpaceDN/>
        <w:bidi w:val="0"/>
        <w:spacing w:line="576" w:lineRule="exact"/>
        <w:jc w:val="both"/>
        <w:textAlignment w:val="auto"/>
      </w:pPr>
    </w:p>
    <w:p w14:paraId="3F49E6C6">
      <w:pPr>
        <w:pStyle w:val="23"/>
        <w:pageBreakBefore w:val="0"/>
        <w:kinsoku/>
        <w:wordWrap/>
        <w:overflowPunct/>
        <w:topLinePunct w:val="0"/>
        <w:autoSpaceDE/>
        <w:autoSpaceDN/>
        <w:bidi w:val="0"/>
        <w:spacing w:line="576" w:lineRule="exact"/>
        <w:jc w:val="both"/>
        <w:textAlignment w:val="auto"/>
      </w:pPr>
    </w:p>
    <w:p w14:paraId="0E4D5CEC">
      <w:pPr>
        <w:pStyle w:val="23"/>
        <w:pageBreakBefore w:val="0"/>
        <w:kinsoku/>
        <w:wordWrap/>
        <w:overflowPunct/>
        <w:topLinePunct w:val="0"/>
        <w:autoSpaceDE/>
        <w:autoSpaceDN/>
        <w:bidi w:val="0"/>
        <w:spacing w:line="576" w:lineRule="exact"/>
        <w:jc w:val="both"/>
        <w:textAlignment w:val="auto"/>
      </w:pPr>
    </w:p>
    <w:p w14:paraId="17B5D48D">
      <w:pPr>
        <w:pStyle w:val="5"/>
        <w:pageBreakBefore w:val="0"/>
        <w:kinsoku/>
        <w:wordWrap/>
        <w:overflowPunct/>
        <w:topLinePunct w:val="0"/>
        <w:autoSpaceDE/>
        <w:autoSpaceDN/>
        <w:bidi w:val="0"/>
        <w:spacing w:line="576" w:lineRule="exact"/>
        <w:ind w:right="440"/>
        <w:jc w:val="right"/>
        <w:textAlignment w:val="auto"/>
      </w:pPr>
      <w:bookmarkStart w:id="15" w:name="_Toc15377204"/>
      <w:bookmarkStart w:id="16" w:name="_Toc79163859"/>
      <w:bookmarkStart w:id="17" w:name="_Toc15396602"/>
      <w:bookmarkStart w:id="18" w:name="_Toc79163609"/>
      <w:r>
        <w:rPr>
          <w:rStyle w:val="37"/>
          <w:rFonts w:hint="eastAsia" w:ascii="方正小标宋简体" w:hAnsi="方正小标宋简体" w:eastAsia="方正小标宋简体" w:cs="方正小标宋简体"/>
          <w:b w:val="0"/>
          <w:bCs w:val="0"/>
        </w:rPr>
        <w:t>第二部分 202</w:t>
      </w:r>
      <w:r>
        <w:rPr>
          <w:rStyle w:val="37"/>
          <w:rFonts w:hint="eastAsia" w:ascii="方正小标宋简体" w:hAnsi="方正小标宋简体" w:eastAsia="方正小标宋简体" w:cs="方正小标宋简体"/>
          <w:b w:val="0"/>
          <w:bCs w:val="0"/>
          <w:lang w:val="en-US" w:eastAsia="zh-CN"/>
        </w:rPr>
        <w:t>4</w:t>
      </w:r>
      <w:r>
        <w:rPr>
          <w:rStyle w:val="37"/>
          <w:rFonts w:hint="eastAsia" w:ascii="方正小标宋简体" w:hAnsi="方正小标宋简体" w:eastAsia="方正小标宋简体" w:cs="方正小标宋简体"/>
          <w:b w:val="0"/>
          <w:bCs w:val="0"/>
        </w:rPr>
        <w:t>年度</w:t>
      </w:r>
      <w:r>
        <w:rPr>
          <w:rStyle w:val="37"/>
          <w:rFonts w:hint="eastAsia" w:ascii="方正小标宋简体" w:hAnsi="方正小标宋简体" w:eastAsia="方正小标宋简体" w:cs="方正小标宋简体"/>
          <w:b w:val="0"/>
          <w:bCs w:val="0"/>
          <w:lang w:eastAsia="zh-CN"/>
        </w:rPr>
        <w:t>部门</w:t>
      </w:r>
      <w:r>
        <w:rPr>
          <w:rStyle w:val="37"/>
          <w:rFonts w:hint="eastAsia" w:ascii="方正小标宋简体" w:hAnsi="方正小标宋简体" w:eastAsia="方正小标宋简体" w:cs="方正小标宋简体"/>
          <w:b w:val="0"/>
          <w:bCs w:val="0"/>
        </w:rPr>
        <w:t>决算情况说明</w:t>
      </w:r>
      <w:bookmarkEnd w:id="15"/>
      <w:bookmarkEnd w:id="16"/>
      <w:bookmarkEnd w:id="17"/>
      <w:bookmarkEnd w:id="18"/>
    </w:p>
    <w:p w14:paraId="0FCC2F28">
      <w:pPr>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sz w:val="32"/>
          <w:szCs w:val="32"/>
        </w:rPr>
      </w:pPr>
      <w:bookmarkStart w:id="19" w:name="_Toc79163863"/>
      <w:bookmarkStart w:id="20" w:name="_Toc79163613"/>
      <w:bookmarkStart w:id="21" w:name="_Toc15377208"/>
      <w:bookmarkStart w:id="22" w:name="_Toc15396606"/>
    </w:p>
    <w:p w14:paraId="7F0E8379">
      <w:pPr>
        <w:pageBreakBefore w:val="0"/>
        <w:kinsoku/>
        <w:wordWrap/>
        <w:overflowPunct/>
        <w:topLinePunct w:val="0"/>
        <w:autoSpaceDE/>
        <w:autoSpaceDN/>
        <w:bidi w:val="0"/>
        <w:spacing w:line="576" w:lineRule="exact"/>
        <w:ind w:firstLine="640" w:firstLineChars="200"/>
        <w:textAlignment w:val="auto"/>
        <w:rPr>
          <w:rStyle w:val="41"/>
          <w:rFonts w:ascii="黑体" w:hAnsi="黑体" w:eastAsia="黑体"/>
          <w:b w:val="0"/>
        </w:rPr>
      </w:pPr>
      <w:r>
        <w:rPr>
          <w:rFonts w:hint="eastAsia" w:ascii="黑体" w:hAnsi="黑体" w:eastAsia="黑体"/>
          <w:sz w:val="32"/>
          <w:szCs w:val="32"/>
        </w:rPr>
        <w:t>一、收</w:t>
      </w:r>
      <w:r>
        <w:rPr>
          <w:rStyle w:val="41"/>
          <w:rFonts w:hint="eastAsia" w:ascii="黑体" w:hAnsi="黑体" w:eastAsia="黑体"/>
          <w:b w:val="0"/>
        </w:rPr>
        <w:t>入支出决算总体情况说明</w:t>
      </w:r>
    </w:p>
    <w:p w14:paraId="35387962">
      <w:pPr>
        <w:pageBreakBefore w:val="0"/>
        <w:widowControl w:val="0"/>
        <w:kinsoku/>
        <w:wordWrap/>
        <w:overflowPunct/>
        <w:topLinePunct w:val="0"/>
        <w:autoSpaceDE/>
        <w:autoSpaceDN/>
        <w:bidi w:val="0"/>
        <w:adjustRightInd/>
        <w:snapToGrid w:val="0"/>
        <w:spacing w:line="576" w:lineRule="exact"/>
        <w:ind w:firstLine="640" w:firstLineChars="200"/>
        <w:textAlignment w:val="auto"/>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、支</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159.88万元。与202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年相比收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、支</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rPr>
        <w:t>总计各</w:t>
      </w:r>
      <w:r>
        <w:rPr>
          <w:rFonts w:hint="eastAsia" w:ascii="Times New Roman" w:hAnsi="Times New Roman" w:eastAsia="仿宋_GB2312" w:cs="仿宋_GB2312"/>
          <w:color w:val="auto"/>
          <w:sz w:val="32"/>
          <w:szCs w:val="32"/>
          <w:highlight w:val="none"/>
        </w:rPr>
        <w:t>增加</w:t>
      </w:r>
      <w:r>
        <w:rPr>
          <w:rFonts w:hint="eastAsia" w:ascii="仿宋_GB2312" w:hAnsi="仿宋_GB2312" w:eastAsia="仿宋_GB2312" w:cs="仿宋_GB2312"/>
          <w:sz w:val="32"/>
          <w:szCs w:val="32"/>
          <w:lang w:val="en-US" w:eastAsia="zh-CN"/>
        </w:rPr>
        <w:t>23.68</w:t>
      </w:r>
      <w:r>
        <w:rPr>
          <w:rFonts w:hint="eastAsia" w:ascii="仿宋_GB2312" w:hAnsi="仿宋_GB2312" w:eastAsia="仿宋_GB2312" w:cs="仿宋_GB2312"/>
          <w:sz w:val="32"/>
          <w:szCs w:val="32"/>
        </w:rPr>
        <w:t>万元，</w:t>
      </w:r>
      <w:r>
        <w:rPr>
          <w:rFonts w:hint="eastAsia" w:ascii="Times New Roman" w:hAnsi="Times New Roman" w:eastAsia="仿宋_GB2312" w:cs="仿宋_GB2312"/>
          <w:color w:val="auto"/>
          <w:sz w:val="32"/>
          <w:szCs w:val="32"/>
          <w:highlight w:val="none"/>
        </w:rPr>
        <w:t>增长</w:t>
      </w:r>
      <w:r>
        <w:rPr>
          <w:rFonts w:hint="eastAsia" w:ascii="仿宋_GB2312" w:hAnsi="仿宋_GB2312" w:eastAsia="仿宋_GB2312" w:cs="仿宋_GB2312"/>
          <w:sz w:val="32"/>
          <w:szCs w:val="32"/>
          <w:lang w:val="en-US" w:eastAsia="zh-CN"/>
        </w:rPr>
        <w:t>17.39</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w:t>
      </w:r>
      <w:r>
        <w:rPr>
          <w:rFonts w:hint="eastAsia" w:ascii="仿宋_GB2312" w:hAnsi="仿宋" w:eastAsia="仿宋_GB2312" w:cs="仿宋"/>
          <w:sz w:val="32"/>
          <w:szCs w:val="32"/>
          <w:lang w:val="en-US" w:eastAsia="zh-CN"/>
        </w:rPr>
        <w:t>人员工资、保险有所增加。</w:t>
      </w:r>
    </w:p>
    <w:p w14:paraId="59A14B0D">
      <w:pPr>
        <w:jc w:val="center"/>
        <w:rPr>
          <w:rFonts w:ascii="仿宋_GB2312" w:eastAsia="仿宋_GB2312"/>
          <w:sz w:val="32"/>
          <w:szCs w:val="32"/>
        </w:rPr>
      </w:pPr>
      <w:bookmarkStart w:id="23" w:name="_Toc15396604"/>
      <w:bookmarkStart w:id="24" w:name="_Toc15377206"/>
      <w:r>
        <w:rPr>
          <w:rFonts w:ascii="仿宋_GB2312" w:eastAsia="仿宋_GB2312"/>
          <w:sz w:val="32"/>
          <w:szCs w:val="32"/>
        </w:rPr>
        <w:drawing>
          <wp:inline distT="0" distB="0" distL="0" distR="0">
            <wp:extent cx="4336415" cy="2169795"/>
            <wp:effectExtent l="4445" t="4445" r="21590" b="1651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7EDCA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41"/>
          <w:rFonts w:ascii="黑体" w:hAnsi="黑体" w:eastAsia="黑体" w:cs="黑体"/>
          <w:b w:val="0"/>
        </w:rPr>
      </w:pPr>
      <w:r>
        <w:rPr>
          <w:rFonts w:hint="eastAsia" w:ascii="黑体" w:hAnsi="黑体" w:eastAsia="黑体" w:cs="黑体"/>
          <w:sz w:val="32"/>
          <w:szCs w:val="32"/>
        </w:rPr>
        <w:t>二、收</w:t>
      </w:r>
      <w:r>
        <w:rPr>
          <w:rStyle w:val="41"/>
          <w:rFonts w:hint="eastAsia" w:ascii="黑体" w:hAnsi="黑体" w:eastAsia="黑体" w:cs="黑体"/>
          <w:b w:val="0"/>
        </w:rPr>
        <w:t>入决算情况说明</w:t>
      </w:r>
      <w:bookmarkEnd w:id="23"/>
      <w:bookmarkEnd w:id="24"/>
    </w:p>
    <w:p w14:paraId="3865F6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年本年收入合计</w:t>
      </w:r>
      <w:r>
        <w:rPr>
          <w:rFonts w:hint="eastAsia" w:ascii="仿宋_GB2312" w:hAnsi="仿宋_GB2312" w:eastAsia="仿宋_GB2312" w:cs="仿宋_GB2312"/>
          <w:sz w:val="32"/>
          <w:szCs w:val="32"/>
          <w:lang w:val="en-US" w:eastAsia="zh-CN"/>
        </w:rPr>
        <w:t>159.88</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159.88</w:t>
      </w:r>
      <w:r>
        <w:rPr>
          <w:rFonts w:hint="eastAsia" w:ascii="仿宋_GB2312" w:hAnsi="仿宋_GB2312" w:eastAsia="仿宋_GB2312" w:cs="仿宋_GB2312"/>
          <w:sz w:val="32"/>
          <w:szCs w:val="32"/>
        </w:rPr>
        <w:t>万元，占100%；政府性基金预算财政拨款收入0万元，占0%。</w:t>
      </w:r>
    </w:p>
    <w:p w14:paraId="1CE6A06D">
      <w:pPr>
        <w:pStyle w:val="2"/>
      </w:pPr>
    </w:p>
    <w:p w14:paraId="1FC5849D">
      <w:pPr>
        <w:jc w:val="center"/>
        <w:rPr>
          <w:rFonts w:ascii="仿宋_GB2312" w:eastAsia="仿宋_GB2312"/>
          <w:sz w:val="32"/>
          <w:szCs w:val="32"/>
        </w:rPr>
      </w:pPr>
      <w:bookmarkStart w:id="25" w:name="_Toc15377207"/>
      <w:bookmarkStart w:id="26" w:name="_Toc15396605"/>
      <w:r>
        <w:rPr>
          <w:rFonts w:ascii="仿宋_GB2312" w:eastAsia="仿宋_GB2312"/>
          <w:sz w:val="32"/>
          <w:szCs w:val="32"/>
        </w:rPr>
        <w:drawing>
          <wp:inline distT="0" distB="0" distL="0" distR="0">
            <wp:extent cx="3376930" cy="2027555"/>
            <wp:effectExtent l="19050" t="0" r="13445"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bookmarkEnd w:id="19"/>
    <w:bookmarkEnd w:id="20"/>
    <w:bookmarkEnd w:id="21"/>
    <w:bookmarkEnd w:id="22"/>
    <w:bookmarkEnd w:id="25"/>
    <w:bookmarkEnd w:id="26"/>
    <w:p w14:paraId="231AB1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41"/>
          <w:rFonts w:ascii="黑体" w:hAnsi="黑体" w:eastAsia="黑体" w:cs="黑体"/>
          <w:b w:val="0"/>
        </w:rPr>
      </w:pPr>
      <w:r>
        <w:rPr>
          <w:rFonts w:hint="eastAsia" w:ascii="黑体" w:hAnsi="黑体" w:eastAsia="黑体" w:cs="黑体"/>
          <w:sz w:val="32"/>
          <w:szCs w:val="32"/>
        </w:rPr>
        <w:t>三、支</w:t>
      </w:r>
      <w:r>
        <w:rPr>
          <w:rStyle w:val="41"/>
          <w:rFonts w:hint="eastAsia" w:ascii="黑体" w:hAnsi="黑体" w:eastAsia="黑体" w:cs="黑体"/>
          <w:b w:val="0"/>
        </w:rPr>
        <w:t>出决算情况说明</w:t>
      </w:r>
    </w:p>
    <w:p w14:paraId="3E8FA949">
      <w:pPr>
        <w:keepNext w:val="0"/>
        <w:keepLines w:val="0"/>
        <w:pageBreakBefore w:val="0"/>
        <w:widowControl w:val="0"/>
        <w:kinsoku/>
        <w:wordWrap/>
        <w:overflowPunct/>
        <w:topLinePunct w:val="0"/>
        <w:autoSpaceDE/>
        <w:autoSpaceDN/>
        <w:bidi w:val="0"/>
        <w:adjustRightInd/>
        <w:snapToGrid/>
        <w:spacing w:line="576" w:lineRule="exact"/>
        <w:ind w:firstLine="640"/>
        <w:textAlignment w:val="auto"/>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年本年支出合计</w:t>
      </w:r>
      <w:r>
        <w:rPr>
          <w:rFonts w:hint="eastAsia" w:ascii="仿宋_GB2312" w:hAnsi="仿宋_GB2312" w:eastAsia="仿宋_GB2312" w:cs="仿宋_GB2312"/>
          <w:sz w:val="32"/>
          <w:szCs w:val="32"/>
          <w:lang w:val="en-US" w:eastAsia="zh-CN"/>
        </w:rPr>
        <w:t>159.88</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159.88</w:t>
      </w:r>
      <w:r>
        <w:rPr>
          <w:rFonts w:hint="eastAsia" w:ascii="仿宋_GB2312" w:hAnsi="仿宋_GB2312" w:eastAsia="仿宋_GB2312" w:cs="仿宋_GB2312"/>
          <w:sz w:val="32"/>
          <w:szCs w:val="32"/>
        </w:rPr>
        <w:t>万元，占100%；项目支出0万元，占0%。</w:t>
      </w:r>
    </w:p>
    <w:p w14:paraId="2DEF1872">
      <w:pPr>
        <w:ind w:firstLine="640" w:firstLineChars="200"/>
        <w:jc w:val="center"/>
      </w:pPr>
      <w:r>
        <w:rPr>
          <w:rFonts w:ascii="黑体" w:hAnsi="黑体" w:eastAsia="黑体"/>
          <w:bCs/>
          <w:sz w:val="32"/>
          <w:szCs w:val="32"/>
        </w:rPr>
        <w:drawing>
          <wp:inline distT="0" distB="0" distL="0" distR="0">
            <wp:extent cx="3900805" cy="2027555"/>
            <wp:effectExtent l="19050" t="0" r="23357"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6CDDD6">
      <w:pPr>
        <w:pStyle w:val="6"/>
        <w:pageBreakBefore w:val="0"/>
        <w:widowControl w:val="0"/>
        <w:kinsoku/>
        <w:wordWrap/>
        <w:overflowPunct/>
        <w:topLinePunct w:val="0"/>
        <w:autoSpaceDE/>
        <w:autoSpaceDN/>
        <w:bidi w:val="0"/>
        <w:adjustRightInd/>
        <w:spacing w:before="0" w:after="0" w:line="576" w:lineRule="exact"/>
        <w:ind w:firstLine="640" w:firstLineChars="200"/>
        <w:textAlignment w:val="auto"/>
        <w:rPr>
          <w:rStyle w:val="41"/>
          <w:rFonts w:ascii="黑体" w:hAnsi="黑体" w:eastAsia="黑体"/>
          <w:b w:val="0"/>
          <w:bCs/>
        </w:rPr>
      </w:pPr>
      <w:r>
        <w:rPr>
          <w:rStyle w:val="41"/>
          <w:rFonts w:hint="eastAsia" w:ascii="黑体" w:hAnsi="黑体" w:eastAsia="黑体"/>
          <w:b w:val="0"/>
          <w:bCs/>
        </w:rPr>
        <w:t>四、财政拨款收入支出决算总体情况说明</w:t>
      </w:r>
    </w:p>
    <w:p w14:paraId="61FD591D">
      <w:pPr>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年财政拨款</w:t>
      </w:r>
      <w:r>
        <w:rPr>
          <w:rFonts w:hint="eastAsia" w:ascii="Times New Roman" w:hAnsi="Times New Roman" w:eastAsia="仿宋_GB2312" w:cs="仿宋_GB2312"/>
          <w:color w:val="auto"/>
          <w:kern w:val="2"/>
          <w:sz w:val="32"/>
          <w:szCs w:val="32"/>
          <w:highlight w:val="none"/>
          <w:lang w:val="en-US" w:eastAsia="zh-CN" w:bidi="ar-SA"/>
        </w:rPr>
        <w:t>收入、支出</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159.88</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年相比，财政拨款</w:t>
      </w:r>
      <w:r>
        <w:rPr>
          <w:rFonts w:hint="eastAsia" w:ascii="Times New Roman" w:hAnsi="Times New Roman" w:eastAsia="仿宋_GB2312" w:cs="仿宋_GB2312"/>
          <w:color w:val="auto"/>
          <w:kern w:val="2"/>
          <w:sz w:val="32"/>
          <w:szCs w:val="32"/>
          <w:highlight w:val="none"/>
          <w:lang w:val="en-US" w:eastAsia="zh-CN" w:bidi="ar-SA"/>
        </w:rPr>
        <w:t>收入、支出总计各增加</w:t>
      </w:r>
      <w:r>
        <w:rPr>
          <w:rFonts w:hint="eastAsia" w:ascii="仿宋_GB2312" w:hAnsi="仿宋_GB2312" w:eastAsia="仿宋_GB2312" w:cs="仿宋_GB2312"/>
          <w:sz w:val="32"/>
          <w:szCs w:val="32"/>
          <w:lang w:val="en-US" w:eastAsia="zh-CN"/>
        </w:rPr>
        <w:t>23.68</w:t>
      </w:r>
      <w:r>
        <w:rPr>
          <w:rFonts w:hint="eastAsia" w:ascii="仿宋_GB2312" w:hAnsi="仿宋_GB2312" w:eastAsia="仿宋_GB2312" w:cs="仿宋_GB2312"/>
          <w:sz w:val="32"/>
          <w:szCs w:val="32"/>
        </w:rPr>
        <w:t>万元，</w:t>
      </w:r>
      <w:r>
        <w:rPr>
          <w:rFonts w:hint="eastAsia" w:ascii="Times New Roman" w:hAnsi="Times New Roman" w:eastAsia="仿宋_GB2312" w:cs="仿宋_GB2312"/>
          <w:color w:val="auto"/>
          <w:sz w:val="32"/>
          <w:szCs w:val="32"/>
          <w:highlight w:val="none"/>
        </w:rPr>
        <w:t>增长</w:t>
      </w:r>
      <w:r>
        <w:rPr>
          <w:rFonts w:hint="eastAsia" w:ascii="仿宋_GB2312" w:hAnsi="仿宋_GB2312" w:eastAsia="仿宋_GB2312" w:cs="仿宋_GB2312"/>
          <w:sz w:val="32"/>
          <w:szCs w:val="32"/>
          <w:lang w:val="en-US" w:eastAsia="zh-CN"/>
        </w:rPr>
        <w:t>17.39</w:t>
      </w:r>
      <w:r>
        <w:rPr>
          <w:rFonts w:hint="eastAsia" w:ascii="仿宋_GB2312" w:hAnsi="仿宋_GB2312" w:eastAsia="仿宋_GB2312" w:cs="仿宋_GB2312"/>
          <w:sz w:val="32"/>
          <w:szCs w:val="32"/>
        </w:rPr>
        <w:t>%。主要变动原因是</w:t>
      </w:r>
      <w:r>
        <w:rPr>
          <w:rFonts w:hint="eastAsia" w:ascii="仿宋_GB2312" w:hAnsi="仿宋" w:eastAsia="仿宋_GB2312" w:cs="仿宋"/>
          <w:sz w:val="32"/>
          <w:szCs w:val="32"/>
          <w:lang w:eastAsia="zh-CN"/>
        </w:rPr>
        <w:t>：</w:t>
      </w:r>
      <w:r>
        <w:rPr>
          <w:rFonts w:hint="eastAsia" w:ascii="仿宋_GB2312" w:hAnsi="仿宋_GB2312" w:eastAsia="仿宋_GB2312" w:cs="仿宋_GB2312"/>
          <w:sz w:val="32"/>
          <w:szCs w:val="32"/>
          <w:lang w:val="en-US" w:eastAsia="zh-CN"/>
        </w:rPr>
        <w:t>2024年</w:t>
      </w:r>
      <w:r>
        <w:rPr>
          <w:rFonts w:hint="eastAsia" w:ascii="仿宋_GB2312" w:hAnsi="仿宋" w:eastAsia="仿宋_GB2312" w:cs="仿宋"/>
          <w:sz w:val="32"/>
          <w:szCs w:val="32"/>
          <w:lang w:val="en-US" w:eastAsia="zh-CN"/>
        </w:rPr>
        <w:t>人员工资、保险有所增加。</w:t>
      </w:r>
    </w:p>
    <w:p w14:paraId="50AA2C79">
      <w:pPr>
        <w:jc w:val="center"/>
        <w:rPr>
          <w:rFonts w:ascii="仿宋_GB2312" w:eastAsia="仿宋_GB2312"/>
          <w:sz w:val="32"/>
          <w:szCs w:val="32"/>
        </w:rPr>
      </w:pPr>
      <w:bookmarkStart w:id="27" w:name="_Toc15396607"/>
      <w:bookmarkStart w:id="28" w:name="_Toc15377209"/>
      <w:r>
        <w:rPr>
          <w:rFonts w:ascii="仿宋_GB2312" w:eastAsia="仿宋_GB2312"/>
          <w:sz w:val="32"/>
          <w:szCs w:val="32"/>
        </w:rPr>
        <w:drawing>
          <wp:inline distT="0" distB="0" distL="0" distR="0">
            <wp:extent cx="4335145" cy="2234565"/>
            <wp:effectExtent l="4445" t="4445" r="22860" b="889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A302BD">
      <w:pPr>
        <w:pStyle w:val="2"/>
      </w:pPr>
    </w:p>
    <w:p w14:paraId="6B3BCC49">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仿宋" w:hAnsi="仿宋" w:eastAsia="仿宋"/>
          <w:bCs/>
          <w:sz w:val="32"/>
          <w:szCs w:val="32"/>
        </w:rPr>
      </w:pPr>
      <w:r>
        <w:rPr>
          <w:rFonts w:hint="eastAsia" w:ascii="黑体" w:hAnsi="黑体" w:eastAsia="黑体"/>
          <w:sz w:val="32"/>
          <w:szCs w:val="32"/>
        </w:rPr>
        <w:t>五、</w:t>
      </w:r>
      <w:r>
        <w:rPr>
          <w:rFonts w:hint="eastAsia" w:ascii="黑体" w:hAnsi="黑体" w:eastAsia="黑体"/>
          <w:b/>
          <w:sz w:val="32"/>
          <w:szCs w:val="32"/>
        </w:rPr>
        <w:t>一</w:t>
      </w:r>
      <w:r>
        <w:rPr>
          <w:rStyle w:val="41"/>
          <w:rFonts w:hint="eastAsia" w:ascii="黑体" w:hAnsi="黑体" w:eastAsia="黑体"/>
          <w:b w:val="0"/>
        </w:rPr>
        <w:t>般公共预算财政拨款支出决算情况说明</w:t>
      </w:r>
      <w:bookmarkEnd w:id="27"/>
      <w:bookmarkEnd w:id="28"/>
      <w:bookmarkStart w:id="29" w:name="_Toc15377210"/>
    </w:p>
    <w:p w14:paraId="5F723326">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（一）一般公共预算财政拨款支出决算总体情况</w:t>
      </w:r>
      <w:bookmarkEnd w:id="29"/>
    </w:p>
    <w:p w14:paraId="7CC2FF24">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159.88</w:t>
      </w:r>
      <w:r>
        <w:rPr>
          <w:rFonts w:hint="eastAsia" w:ascii="仿宋_GB2312" w:hAnsi="仿宋_GB2312" w:eastAsia="仿宋_GB2312" w:cs="仿宋_GB2312"/>
          <w:sz w:val="32"/>
          <w:szCs w:val="32"/>
        </w:rPr>
        <w:t>万元，占本年支出合计的100%。与202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年相比，一般公共预算财政拨款</w:t>
      </w:r>
      <w:r>
        <w:rPr>
          <w:rFonts w:hint="eastAsia" w:ascii="Times New Roman" w:hAnsi="Times New Roman" w:eastAsia="仿宋_GB2312" w:cs="仿宋_GB2312"/>
          <w:color w:val="auto"/>
          <w:kern w:val="2"/>
          <w:sz w:val="32"/>
          <w:szCs w:val="32"/>
          <w:highlight w:val="none"/>
          <w:lang w:val="en-US" w:eastAsia="zh-CN" w:bidi="ar-SA"/>
        </w:rPr>
        <w:t>增加</w:t>
      </w:r>
      <w:r>
        <w:rPr>
          <w:rFonts w:hint="eastAsia" w:ascii="仿宋_GB2312" w:hAnsi="仿宋_GB2312" w:eastAsia="仿宋_GB2312" w:cs="仿宋_GB2312"/>
          <w:sz w:val="32"/>
          <w:szCs w:val="32"/>
          <w:lang w:val="en-US" w:eastAsia="zh-CN"/>
        </w:rPr>
        <w:t>23.68</w:t>
      </w:r>
      <w:r>
        <w:rPr>
          <w:rFonts w:hint="eastAsia" w:ascii="仿宋_GB2312" w:hAnsi="仿宋" w:eastAsia="仿宋_GB2312" w:cs="仿宋"/>
          <w:sz w:val="32"/>
          <w:szCs w:val="32"/>
        </w:rPr>
        <w:t>万元，</w:t>
      </w:r>
      <w:r>
        <w:rPr>
          <w:rFonts w:hint="eastAsia" w:ascii="Times New Roman" w:hAnsi="Times New Roman" w:eastAsia="仿宋_GB2312" w:cs="仿宋_GB2312"/>
          <w:color w:val="auto"/>
          <w:sz w:val="32"/>
          <w:szCs w:val="32"/>
          <w:highlight w:val="none"/>
        </w:rPr>
        <w:t>增长</w:t>
      </w:r>
      <w:r>
        <w:rPr>
          <w:rFonts w:hint="eastAsia" w:ascii="仿宋_GB2312" w:hAnsi="仿宋_GB2312" w:eastAsia="仿宋_GB2312" w:cs="仿宋_GB2312"/>
          <w:sz w:val="32"/>
          <w:szCs w:val="32"/>
          <w:lang w:val="en-US" w:eastAsia="zh-CN"/>
        </w:rPr>
        <w:t>17.39</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预算时公用经费比</w:t>
      </w:r>
      <w:r>
        <w:rPr>
          <w:rFonts w:hint="eastAsia" w:ascii="仿宋_GB2312" w:hAnsi="仿宋_GB2312" w:eastAsia="仿宋_GB2312" w:cs="仿宋_GB2312"/>
          <w:sz w:val="32"/>
          <w:szCs w:val="32"/>
          <w:lang w:val="en-US" w:eastAsia="zh-CN"/>
        </w:rPr>
        <w:t>2023年有所增加</w:t>
      </w:r>
      <w:r>
        <w:rPr>
          <w:rFonts w:hint="eastAsia" w:ascii="仿宋_GB2312" w:hAnsi="仿宋_GB2312" w:eastAsia="仿宋_GB2312" w:cs="仿宋_GB2312"/>
          <w:sz w:val="32"/>
          <w:szCs w:val="32"/>
        </w:rPr>
        <w:t>。</w:t>
      </w:r>
    </w:p>
    <w:p w14:paraId="0D7CE87C">
      <w:pPr>
        <w:jc w:val="center"/>
        <w:rPr>
          <w:rFonts w:ascii="仿宋_GB2312" w:eastAsia="仿宋_GB2312"/>
          <w:sz w:val="32"/>
          <w:szCs w:val="32"/>
        </w:rPr>
      </w:pPr>
      <w:r>
        <w:rPr>
          <w:rFonts w:ascii="仿宋_GB2312" w:eastAsia="仿宋_GB2312"/>
          <w:sz w:val="32"/>
          <w:szCs w:val="32"/>
        </w:rPr>
        <w:drawing>
          <wp:inline distT="0" distB="0" distL="0" distR="0">
            <wp:extent cx="3726180" cy="2171065"/>
            <wp:effectExtent l="4445" t="4445" r="22225" b="1524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15F54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1"/>
        <w:rPr>
          <w:rFonts w:ascii="楷体_GB2312" w:hAnsi="楷体_GB2312" w:eastAsia="楷体_GB2312" w:cs="楷体_GB2312"/>
          <w:b/>
          <w:sz w:val="32"/>
          <w:szCs w:val="32"/>
        </w:rPr>
      </w:pPr>
      <w:bookmarkStart w:id="30" w:name="_Toc15377211"/>
      <w:r>
        <w:rPr>
          <w:rFonts w:hint="eastAsia" w:ascii="楷体_GB2312" w:hAnsi="楷体_GB2312" w:eastAsia="楷体_GB2312" w:cs="楷体_GB2312"/>
          <w:b/>
          <w:sz w:val="32"/>
          <w:szCs w:val="32"/>
        </w:rPr>
        <w:t>（二）一般公共预算财政拨款支出决算结构情况</w:t>
      </w:r>
      <w:bookmarkEnd w:id="30"/>
    </w:p>
    <w:p w14:paraId="79626044">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159.88</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Cs/>
          <w:sz w:val="32"/>
          <w:szCs w:val="32"/>
        </w:rPr>
        <w:t>一般公共服务（201）支出</w:t>
      </w:r>
      <w:r>
        <w:rPr>
          <w:rFonts w:hint="eastAsia" w:ascii="仿宋_GB2312" w:hAnsi="仿宋" w:eastAsia="仿宋_GB2312"/>
          <w:sz w:val="32"/>
          <w:szCs w:val="32"/>
          <w:lang w:val="en-US" w:eastAsia="zh-CN"/>
        </w:rPr>
        <w:t>116.31</w:t>
      </w:r>
      <w:r>
        <w:rPr>
          <w:rFonts w:hint="eastAsia" w:ascii="仿宋_GB2312" w:hAnsi="仿宋_GB2312" w:eastAsia="仿宋_GB2312" w:cs="仿宋_GB2312"/>
          <w:bCs/>
          <w:sz w:val="32"/>
          <w:szCs w:val="32"/>
        </w:rPr>
        <w:t>万元，占</w:t>
      </w:r>
      <w:r>
        <w:rPr>
          <w:rFonts w:hint="eastAsia" w:ascii="仿宋_GB2312" w:hAnsi="仿宋" w:eastAsia="仿宋_GB2312"/>
          <w:sz w:val="32"/>
          <w:szCs w:val="32"/>
          <w:lang w:val="en-US" w:eastAsia="zh-CN"/>
        </w:rPr>
        <w:t>72.75</w:t>
      </w:r>
      <w:r>
        <w:rPr>
          <w:rFonts w:hint="eastAsia" w:ascii="仿宋_GB2312" w:hAnsi="仿宋_GB2312" w:eastAsia="仿宋_GB2312" w:cs="仿宋_GB2312"/>
          <w:bCs/>
          <w:sz w:val="32"/>
          <w:szCs w:val="32"/>
        </w:rPr>
        <w:t>%；社会保障和就业（208）</w:t>
      </w:r>
      <w:r>
        <w:rPr>
          <w:rFonts w:hint="eastAsia" w:ascii="仿宋_GB2312" w:hAnsi="仿宋_GB2312" w:eastAsia="仿宋_GB2312" w:cs="仿宋_GB2312"/>
          <w:sz w:val="32"/>
          <w:szCs w:val="32"/>
        </w:rPr>
        <w:t>支出</w:t>
      </w:r>
      <w:r>
        <w:rPr>
          <w:rFonts w:hint="eastAsia" w:ascii="仿宋_GB2312" w:hAnsi="仿宋" w:eastAsia="仿宋_GB2312"/>
          <w:sz w:val="32"/>
          <w:szCs w:val="32"/>
          <w:lang w:val="en-US" w:eastAsia="zh-CN"/>
        </w:rPr>
        <w:t>22.20</w:t>
      </w:r>
      <w:r>
        <w:rPr>
          <w:rFonts w:hint="eastAsia" w:ascii="仿宋_GB2312" w:hAnsi="仿宋_GB2312" w:eastAsia="仿宋_GB2312" w:cs="仿宋_GB2312"/>
          <w:sz w:val="32"/>
          <w:szCs w:val="32"/>
        </w:rPr>
        <w:t>万元，占</w:t>
      </w:r>
      <w:r>
        <w:rPr>
          <w:rFonts w:hint="eastAsia" w:ascii="仿宋_GB2312" w:hAnsi="仿宋" w:eastAsia="仿宋_GB2312"/>
          <w:sz w:val="32"/>
          <w:szCs w:val="32"/>
          <w:lang w:val="en-US" w:eastAsia="zh-CN"/>
        </w:rPr>
        <w:t>13.89</w:t>
      </w:r>
      <w:r>
        <w:rPr>
          <w:rFonts w:hint="eastAsia" w:ascii="仿宋_GB2312" w:hAnsi="仿宋_GB2312" w:eastAsia="仿宋_GB2312" w:cs="仿宋_GB2312"/>
          <w:sz w:val="32"/>
          <w:szCs w:val="32"/>
        </w:rPr>
        <w:t>%；卫生健康（</w:t>
      </w:r>
      <w:r>
        <w:rPr>
          <w:rFonts w:hint="eastAsia" w:ascii="仿宋_GB2312" w:hAnsi="仿宋_GB2312" w:eastAsia="仿宋_GB2312" w:cs="仿宋_GB2312"/>
          <w:bCs/>
          <w:sz w:val="32"/>
          <w:szCs w:val="32"/>
        </w:rPr>
        <w:t>210</w:t>
      </w:r>
      <w:r>
        <w:rPr>
          <w:rFonts w:hint="eastAsia" w:ascii="仿宋_GB2312" w:hAnsi="仿宋_GB2312" w:eastAsia="仿宋_GB2312" w:cs="仿宋_GB2312"/>
          <w:sz w:val="32"/>
          <w:szCs w:val="32"/>
        </w:rPr>
        <w:t>）支出</w:t>
      </w:r>
      <w:r>
        <w:rPr>
          <w:rFonts w:hint="eastAsia" w:ascii="仿宋_GB2312" w:hAnsi="仿宋" w:eastAsia="仿宋_GB2312"/>
          <w:sz w:val="32"/>
          <w:szCs w:val="32"/>
          <w:lang w:val="en-US" w:eastAsia="zh-CN"/>
        </w:rPr>
        <w:t>9.47</w:t>
      </w:r>
      <w:r>
        <w:rPr>
          <w:rFonts w:hint="eastAsia" w:ascii="仿宋_GB2312" w:hAnsi="仿宋_GB2312" w:eastAsia="仿宋_GB2312" w:cs="仿宋_GB2312"/>
          <w:sz w:val="32"/>
          <w:szCs w:val="32"/>
        </w:rPr>
        <w:t>万元，占5.</w:t>
      </w: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rPr>
        <w:t>%；住房保障( 221）支出</w:t>
      </w:r>
      <w:r>
        <w:rPr>
          <w:rFonts w:hint="eastAsia" w:ascii="仿宋_GB2312" w:hAnsi="仿宋" w:eastAsia="仿宋_GB2312"/>
          <w:sz w:val="32"/>
          <w:szCs w:val="32"/>
          <w:lang w:val="en-US" w:eastAsia="zh-CN"/>
        </w:rPr>
        <w:t>11.90</w:t>
      </w:r>
      <w:r>
        <w:rPr>
          <w:rFonts w:hint="eastAsia" w:ascii="仿宋_GB2312" w:hAnsi="仿宋_GB2312" w:eastAsia="仿宋_GB2312" w:cs="仿宋_GB2312"/>
          <w:sz w:val="32"/>
          <w:szCs w:val="32"/>
        </w:rPr>
        <w:t>万元，占</w:t>
      </w:r>
      <w:r>
        <w:rPr>
          <w:rFonts w:hint="eastAsia" w:ascii="仿宋_GB2312" w:hAnsi="仿宋" w:eastAsia="仿宋_GB2312"/>
          <w:sz w:val="32"/>
          <w:szCs w:val="32"/>
          <w:lang w:val="en-US" w:eastAsia="zh-CN"/>
        </w:rPr>
        <w:t>7.44</w:t>
      </w:r>
      <w:r>
        <w:rPr>
          <w:rFonts w:hint="eastAsia" w:ascii="仿宋_GB2312" w:hAnsi="仿宋" w:eastAsia="仿宋_GB2312"/>
          <w:sz w:val="32"/>
          <w:szCs w:val="32"/>
        </w:rPr>
        <w:t>%</w:t>
      </w:r>
      <w:r>
        <w:rPr>
          <w:rFonts w:hint="eastAsia" w:ascii="仿宋_GB2312" w:hAnsi="仿宋_GB2312" w:eastAsia="仿宋_GB2312" w:cs="仿宋_GB2312"/>
          <w:sz w:val="32"/>
          <w:szCs w:val="32"/>
        </w:rPr>
        <w:t>。</w:t>
      </w:r>
    </w:p>
    <w:p w14:paraId="22943424">
      <w:pPr>
        <w:pStyle w:val="2"/>
        <w:rPr>
          <w:rFonts w:hint="eastAsia"/>
        </w:rPr>
      </w:pPr>
    </w:p>
    <w:p w14:paraId="53CD27B9">
      <w:pPr>
        <w:pStyle w:val="2"/>
      </w:pPr>
    </w:p>
    <w:p w14:paraId="29FEBBE9">
      <w:pPr>
        <w:jc w:val="center"/>
        <w:rPr>
          <w:rFonts w:ascii="仿宋" w:hAnsi="仿宋" w:eastAsia="仿宋"/>
          <w:sz w:val="32"/>
          <w:szCs w:val="32"/>
        </w:rPr>
      </w:pPr>
      <w:r>
        <w:rPr>
          <w:rFonts w:ascii="仿宋" w:hAnsi="仿宋" w:eastAsia="仿宋"/>
          <w:sz w:val="32"/>
          <w:szCs w:val="32"/>
        </w:rPr>
        <w:drawing>
          <wp:inline distT="0" distB="0" distL="0" distR="0">
            <wp:extent cx="4142740" cy="2281555"/>
            <wp:effectExtent l="4445" t="4445" r="5715" b="1905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31" w:name="_Toc15377212"/>
    </w:p>
    <w:p w14:paraId="409DFB3F">
      <w:pPr>
        <w:pStyle w:val="2"/>
        <w:rPr>
          <w:rFonts w:hint="eastAsia"/>
        </w:rPr>
      </w:pPr>
    </w:p>
    <w:p w14:paraId="71B48065">
      <w:pPr>
        <w:pStyle w:val="3"/>
        <w:rPr>
          <w:rFonts w:hint="eastAsia"/>
        </w:rPr>
      </w:pPr>
    </w:p>
    <w:p w14:paraId="6C517114">
      <w:pPr>
        <w:pageBreakBefore w:val="0"/>
        <w:widowControl w:val="0"/>
        <w:kinsoku/>
        <w:wordWrap/>
        <w:overflowPunct/>
        <w:topLinePunct w:val="0"/>
        <w:autoSpaceDE/>
        <w:autoSpaceDN/>
        <w:bidi w:val="0"/>
        <w:adjustRightInd/>
        <w:snapToGrid/>
        <w:spacing w:line="576" w:lineRule="exact"/>
        <w:ind w:firstLine="643" w:firstLineChars="200"/>
        <w:textAlignment w:val="auto"/>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（三）一般公共预算财政拨款支出决算具体情况</w:t>
      </w:r>
      <w:bookmarkEnd w:id="31"/>
    </w:p>
    <w:p w14:paraId="0C00B663">
      <w:pPr>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ascii="仿宋_GB2312" w:hAnsi="仿宋_GB2312" w:eastAsia="仿宋_GB2312" w:cs="仿宋_GB2312"/>
          <w:sz w:val="32"/>
          <w:szCs w:val="32"/>
        </w:rPr>
      </w:pPr>
      <w:bookmarkStart w:id="32" w:name="_Toc15377444"/>
      <w:bookmarkStart w:id="33" w:name="_Toc15378460"/>
      <w:bookmarkStart w:id="34" w:name="_Toc15377213"/>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年一般公共预算支出决算数为</w:t>
      </w:r>
      <w:r>
        <w:rPr>
          <w:rFonts w:hint="eastAsia" w:ascii="仿宋_GB2312" w:hAnsi="仿宋_GB2312" w:eastAsia="仿宋_GB2312" w:cs="仿宋_GB2312"/>
          <w:bCs/>
          <w:sz w:val="32"/>
          <w:szCs w:val="32"/>
          <w:lang w:val="en-US" w:eastAsia="zh-CN"/>
        </w:rPr>
        <w:t>159.88</w:t>
      </w:r>
      <w:r>
        <w:rPr>
          <w:rFonts w:hint="eastAsia" w:ascii="仿宋_GB2312" w:hAnsi="仿宋_GB2312" w:eastAsia="仿宋_GB2312" w:cs="仿宋_GB2312"/>
          <w:bCs/>
          <w:sz w:val="32"/>
          <w:szCs w:val="32"/>
        </w:rPr>
        <w:t>万元，</w:t>
      </w:r>
      <w:r>
        <w:rPr>
          <w:rStyle w:val="26"/>
          <w:rFonts w:hint="eastAsia" w:ascii="仿宋_GB2312" w:hAnsi="仿宋_GB2312" w:eastAsia="仿宋_GB2312" w:cs="仿宋_GB2312"/>
          <w:b w:val="0"/>
          <w:bCs/>
          <w:sz w:val="32"/>
          <w:szCs w:val="32"/>
        </w:rPr>
        <w:t>完成预算100%。其中：</w:t>
      </w:r>
      <w:bookmarkEnd w:id="32"/>
      <w:bookmarkEnd w:id="33"/>
      <w:bookmarkEnd w:id="34"/>
    </w:p>
    <w:p w14:paraId="49BD55B6">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bCs/>
          <w:sz w:val="32"/>
          <w:szCs w:val="32"/>
        </w:rPr>
      </w:pPr>
      <w:r>
        <w:rPr>
          <w:rStyle w:val="26"/>
          <w:rFonts w:hint="eastAsia" w:ascii="仿宋_GB2312" w:hAnsi="仿宋_GB2312" w:eastAsia="仿宋_GB2312" w:cs="仿宋_GB2312"/>
          <w:bCs/>
          <w:sz w:val="32"/>
          <w:szCs w:val="32"/>
        </w:rPr>
        <w:t>1.</w:t>
      </w:r>
      <w:r>
        <w:rPr>
          <w:rStyle w:val="26"/>
          <w:rFonts w:hint="eastAsia" w:ascii="仿宋_GB2312" w:hAnsi="仿宋_GB2312" w:eastAsia="仿宋_GB2312" w:cs="仿宋_GB2312"/>
          <w:b w:val="0"/>
          <w:sz w:val="32"/>
          <w:szCs w:val="32"/>
        </w:rPr>
        <w:t xml:space="preserve">一般公共服务（201）组织事务（32）事业运行（50）: </w:t>
      </w:r>
      <w:r>
        <w:rPr>
          <w:rStyle w:val="26"/>
          <w:rFonts w:hint="eastAsia" w:ascii="仿宋_GB2312" w:hAnsi="仿宋_GB2312" w:eastAsia="仿宋_GB2312" w:cs="仿宋_GB2312"/>
          <w:b w:val="0"/>
          <w:bCs/>
          <w:sz w:val="32"/>
          <w:szCs w:val="32"/>
        </w:rPr>
        <w:t>支出决算为</w:t>
      </w:r>
      <w:r>
        <w:rPr>
          <w:rStyle w:val="26"/>
          <w:rFonts w:hint="eastAsia" w:ascii="仿宋_GB2312" w:hAnsi="仿宋_GB2312" w:eastAsia="仿宋_GB2312" w:cs="仿宋_GB2312"/>
          <w:b w:val="0"/>
          <w:bCs/>
          <w:sz w:val="32"/>
          <w:szCs w:val="32"/>
          <w:lang w:val="en-US" w:eastAsia="zh-CN"/>
        </w:rPr>
        <w:t>116.31</w:t>
      </w:r>
      <w:r>
        <w:rPr>
          <w:rStyle w:val="26"/>
          <w:rFonts w:hint="eastAsia" w:ascii="仿宋_GB2312" w:hAnsi="仿宋_GB2312" w:eastAsia="仿宋_GB2312" w:cs="仿宋_GB2312"/>
          <w:b w:val="0"/>
          <w:bCs/>
          <w:sz w:val="32"/>
          <w:szCs w:val="32"/>
        </w:rPr>
        <w:t>万元，完成预算100%</w:t>
      </w:r>
      <w:r>
        <w:rPr>
          <w:rStyle w:val="26"/>
          <w:rFonts w:hint="eastAsia" w:ascii="仿宋_GB2312" w:hAnsi="仿宋_GB2312" w:eastAsia="仿宋_GB2312" w:cs="仿宋_GB2312"/>
          <w:b w:val="0"/>
          <w:bCs/>
          <w:sz w:val="32"/>
          <w:szCs w:val="32"/>
          <w:lang w:eastAsia="zh-CN"/>
        </w:rPr>
        <w:t>，决算数与预算数持平。</w:t>
      </w:r>
    </w:p>
    <w:p w14:paraId="0307D95A">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bCs/>
          <w:sz w:val="32"/>
          <w:szCs w:val="32"/>
        </w:rPr>
      </w:pPr>
      <w:r>
        <w:rPr>
          <w:rStyle w:val="26"/>
          <w:rFonts w:hint="eastAsia" w:ascii="仿宋_GB2312" w:hAnsi="仿宋_GB2312" w:eastAsia="仿宋_GB2312" w:cs="仿宋_GB2312"/>
          <w:bCs/>
          <w:sz w:val="32"/>
          <w:szCs w:val="32"/>
        </w:rPr>
        <w:t>2.</w:t>
      </w:r>
      <w:r>
        <w:rPr>
          <w:rStyle w:val="26"/>
          <w:rFonts w:hint="eastAsia" w:ascii="仿宋_GB2312" w:hAnsi="仿宋_GB2312" w:eastAsia="仿宋_GB2312" w:cs="仿宋_GB2312"/>
          <w:b w:val="0"/>
          <w:sz w:val="32"/>
          <w:szCs w:val="32"/>
        </w:rPr>
        <w:t>社会保障和就业（208）行政事业单位离退休（05）机关事业单位基本养老保险（05）：</w:t>
      </w:r>
      <w:r>
        <w:rPr>
          <w:rStyle w:val="26"/>
          <w:rFonts w:hint="eastAsia" w:ascii="仿宋_GB2312" w:hAnsi="仿宋_GB2312" w:eastAsia="仿宋_GB2312" w:cs="仿宋_GB2312"/>
          <w:b w:val="0"/>
          <w:bCs/>
          <w:sz w:val="32"/>
          <w:szCs w:val="32"/>
        </w:rPr>
        <w:t>支出决算为</w:t>
      </w:r>
      <w:r>
        <w:rPr>
          <w:rStyle w:val="26"/>
          <w:rFonts w:hint="eastAsia" w:ascii="仿宋_GB2312" w:hAnsi="仿宋_GB2312" w:eastAsia="仿宋_GB2312" w:cs="仿宋_GB2312"/>
          <w:b w:val="0"/>
          <w:bCs/>
          <w:sz w:val="32"/>
          <w:szCs w:val="32"/>
          <w:lang w:val="en-US" w:eastAsia="zh-CN"/>
        </w:rPr>
        <w:t>14.80</w:t>
      </w:r>
      <w:r>
        <w:rPr>
          <w:rStyle w:val="26"/>
          <w:rFonts w:hint="eastAsia" w:ascii="仿宋_GB2312" w:hAnsi="仿宋_GB2312" w:eastAsia="仿宋_GB2312" w:cs="仿宋_GB2312"/>
          <w:b w:val="0"/>
          <w:bCs/>
          <w:sz w:val="32"/>
          <w:szCs w:val="32"/>
        </w:rPr>
        <w:t>万元，完成预算100%</w:t>
      </w:r>
      <w:r>
        <w:rPr>
          <w:rStyle w:val="26"/>
          <w:rFonts w:hint="eastAsia" w:ascii="仿宋_GB2312" w:hAnsi="仿宋_GB2312" w:eastAsia="仿宋_GB2312" w:cs="仿宋_GB2312"/>
          <w:b w:val="0"/>
          <w:bCs/>
          <w:sz w:val="32"/>
          <w:szCs w:val="32"/>
          <w:lang w:eastAsia="zh-CN"/>
        </w:rPr>
        <w:t>，决算数与预算数持平。</w:t>
      </w:r>
    </w:p>
    <w:p w14:paraId="4D78BCFC">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hint="eastAsia" w:ascii="仿宋_GB2312" w:hAnsi="仿宋_GB2312" w:eastAsia="仿宋_GB2312" w:cs="仿宋_GB2312"/>
          <w:b w:val="0"/>
          <w:sz w:val="32"/>
          <w:szCs w:val="32"/>
          <w:lang w:eastAsia="zh-CN"/>
        </w:rPr>
      </w:pPr>
      <w:r>
        <w:rPr>
          <w:rStyle w:val="26"/>
          <w:rFonts w:hint="eastAsia" w:ascii="仿宋_GB2312" w:hAnsi="仿宋_GB2312" w:eastAsia="仿宋_GB2312" w:cs="仿宋_GB2312"/>
          <w:bCs/>
          <w:sz w:val="32"/>
          <w:szCs w:val="32"/>
        </w:rPr>
        <w:t>3.</w:t>
      </w:r>
      <w:r>
        <w:rPr>
          <w:rStyle w:val="26"/>
          <w:rFonts w:hint="eastAsia" w:ascii="仿宋_GB2312" w:hAnsi="仿宋_GB2312" w:eastAsia="仿宋_GB2312" w:cs="仿宋_GB2312"/>
          <w:b w:val="0"/>
          <w:sz w:val="32"/>
          <w:szCs w:val="32"/>
        </w:rPr>
        <w:t>社会保障和就业（208）行政事业单位离退休（05）机关事业单位职业年金（06）: 支出决算为</w:t>
      </w:r>
      <w:r>
        <w:rPr>
          <w:rStyle w:val="26"/>
          <w:rFonts w:hint="eastAsia" w:ascii="仿宋_GB2312" w:hAnsi="仿宋_GB2312" w:eastAsia="仿宋_GB2312" w:cs="仿宋_GB2312"/>
          <w:b w:val="0"/>
          <w:sz w:val="32"/>
          <w:szCs w:val="32"/>
          <w:lang w:val="en-US" w:eastAsia="zh-CN"/>
        </w:rPr>
        <w:t>7.40</w:t>
      </w:r>
      <w:r>
        <w:rPr>
          <w:rStyle w:val="26"/>
          <w:rFonts w:hint="eastAsia" w:ascii="仿宋_GB2312" w:hAnsi="仿宋_GB2312" w:eastAsia="仿宋_GB2312" w:cs="仿宋_GB2312"/>
          <w:b w:val="0"/>
          <w:sz w:val="32"/>
          <w:szCs w:val="32"/>
        </w:rPr>
        <w:t>万元，完成预算100%</w:t>
      </w:r>
      <w:r>
        <w:rPr>
          <w:rStyle w:val="26"/>
          <w:rFonts w:hint="eastAsia" w:ascii="仿宋_GB2312" w:hAnsi="仿宋_GB2312" w:eastAsia="仿宋_GB2312" w:cs="仿宋_GB2312"/>
          <w:b w:val="0"/>
          <w:sz w:val="32"/>
          <w:szCs w:val="32"/>
          <w:lang w:eastAsia="zh-CN"/>
        </w:rPr>
        <w:t>，</w:t>
      </w:r>
      <w:r>
        <w:rPr>
          <w:rStyle w:val="26"/>
          <w:rFonts w:hint="eastAsia" w:ascii="仿宋_GB2312" w:hAnsi="仿宋_GB2312" w:eastAsia="仿宋_GB2312" w:cs="仿宋_GB2312"/>
          <w:b w:val="0"/>
          <w:bCs/>
          <w:sz w:val="32"/>
          <w:szCs w:val="32"/>
          <w:lang w:eastAsia="zh-CN"/>
        </w:rPr>
        <w:t>，决算数与预算数持平。</w:t>
      </w:r>
    </w:p>
    <w:p w14:paraId="3DCAE80A">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hint="eastAsia" w:ascii="仿宋_GB2312" w:hAnsi="仿宋_GB2312" w:eastAsia="仿宋_GB2312" w:cs="仿宋_GB2312"/>
          <w:b w:val="0"/>
          <w:sz w:val="32"/>
          <w:szCs w:val="32"/>
          <w:lang w:eastAsia="zh-CN"/>
        </w:rPr>
      </w:pPr>
      <w:r>
        <w:rPr>
          <w:rStyle w:val="26"/>
          <w:rFonts w:hint="eastAsia" w:ascii="仿宋_GB2312" w:hAnsi="仿宋_GB2312" w:eastAsia="仿宋_GB2312" w:cs="仿宋_GB2312"/>
          <w:bCs/>
          <w:sz w:val="32"/>
          <w:szCs w:val="32"/>
        </w:rPr>
        <w:t>4.</w:t>
      </w:r>
      <w:r>
        <w:rPr>
          <w:rStyle w:val="26"/>
          <w:rFonts w:hint="eastAsia" w:ascii="仿宋_GB2312" w:hAnsi="仿宋_GB2312" w:eastAsia="仿宋_GB2312" w:cs="仿宋_GB2312"/>
          <w:b w:val="0"/>
          <w:sz w:val="32"/>
          <w:szCs w:val="32"/>
        </w:rPr>
        <w:t>卫生健康支出(210)行政事业单位医疗（11）事业单位医疗（02）: 支出决算为</w:t>
      </w:r>
      <w:r>
        <w:rPr>
          <w:rStyle w:val="26"/>
          <w:rFonts w:hint="eastAsia" w:ascii="仿宋_GB2312" w:hAnsi="仿宋_GB2312" w:eastAsia="仿宋_GB2312" w:cs="仿宋_GB2312"/>
          <w:b w:val="0"/>
          <w:sz w:val="32"/>
          <w:szCs w:val="32"/>
          <w:lang w:val="en-US" w:eastAsia="zh-CN"/>
        </w:rPr>
        <w:t>9.47</w:t>
      </w:r>
      <w:r>
        <w:rPr>
          <w:rStyle w:val="26"/>
          <w:rFonts w:hint="eastAsia" w:ascii="仿宋_GB2312" w:hAnsi="仿宋_GB2312" w:eastAsia="仿宋_GB2312" w:cs="仿宋_GB2312"/>
          <w:b w:val="0"/>
          <w:sz w:val="32"/>
          <w:szCs w:val="32"/>
        </w:rPr>
        <w:t>万元，完成预算100%</w:t>
      </w:r>
      <w:r>
        <w:rPr>
          <w:rStyle w:val="26"/>
          <w:rFonts w:hint="eastAsia" w:ascii="仿宋_GB2312" w:hAnsi="仿宋_GB2312" w:eastAsia="仿宋_GB2312" w:cs="仿宋_GB2312"/>
          <w:b w:val="0"/>
          <w:sz w:val="32"/>
          <w:szCs w:val="32"/>
          <w:lang w:eastAsia="zh-CN"/>
        </w:rPr>
        <w:t>，</w:t>
      </w:r>
      <w:r>
        <w:rPr>
          <w:rStyle w:val="26"/>
          <w:rFonts w:hint="eastAsia" w:ascii="仿宋_GB2312" w:hAnsi="仿宋_GB2312" w:eastAsia="仿宋_GB2312" w:cs="仿宋_GB2312"/>
          <w:b w:val="0"/>
          <w:bCs/>
          <w:sz w:val="32"/>
          <w:szCs w:val="32"/>
          <w:lang w:eastAsia="zh-CN"/>
        </w:rPr>
        <w:t>，决算数与预算数持平。</w:t>
      </w:r>
    </w:p>
    <w:p w14:paraId="69E43186">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hint="eastAsia" w:ascii="仿宋_GB2312" w:hAnsi="仿宋_GB2312" w:eastAsia="仿宋_GB2312" w:cs="仿宋_GB2312"/>
          <w:b w:val="0"/>
          <w:sz w:val="32"/>
          <w:szCs w:val="32"/>
          <w:lang w:eastAsia="zh-CN"/>
        </w:rPr>
      </w:pPr>
      <w:r>
        <w:rPr>
          <w:rStyle w:val="26"/>
          <w:rFonts w:hint="eastAsia" w:ascii="仿宋_GB2312" w:hAnsi="仿宋_GB2312" w:eastAsia="仿宋_GB2312" w:cs="仿宋_GB2312"/>
          <w:bCs/>
          <w:sz w:val="32"/>
          <w:szCs w:val="32"/>
        </w:rPr>
        <w:t>5.</w:t>
      </w:r>
      <w:r>
        <w:rPr>
          <w:rStyle w:val="26"/>
          <w:rFonts w:hint="eastAsia" w:ascii="仿宋_GB2312" w:hAnsi="仿宋_GB2312" w:eastAsia="仿宋_GB2312" w:cs="仿宋_GB2312"/>
          <w:b w:val="0"/>
          <w:sz w:val="32"/>
          <w:szCs w:val="32"/>
        </w:rPr>
        <w:t>住房保障支出（221）住房改革支出（02）住房公积金（01）: 支出决算为</w:t>
      </w:r>
      <w:r>
        <w:rPr>
          <w:rStyle w:val="26"/>
          <w:rFonts w:hint="eastAsia" w:ascii="仿宋_GB2312" w:hAnsi="仿宋_GB2312" w:eastAsia="仿宋_GB2312" w:cs="仿宋_GB2312"/>
          <w:b w:val="0"/>
          <w:sz w:val="32"/>
          <w:szCs w:val="32"/>
          <w:lang w:val="en-US" w:eastAsia="zh-CN"/>
        </w:rPr>
        <w:t>11.90</w:t>
      </w:r>
      <w:r>
        <w:rPr>
          <w:rStyle w:val="26"/>
          <w:rFonts w:hint="eastAsia" w:ascii="仿宋_GB2312" w:hAnsi="仿宋_GB2312" w:eastAsia="仿宋_GB2312" w:cs="仿宋_GB2312"/>
          <w:b w:val="0"/>
          <w:sz w:val="32"/>
          <w:szCs w:val="32"/>
        </w:rPr>
        <w:t>万元，完成预算100%</w:t>
      </w:r>
      <w:r>
        <w:rPr>
          <w:rStyle w:val="26"/>
          <w:rFonts w:hint="eastAsia" w:ascii="仿宋_GB2312" w:hAnsi="仿宋_GB2312" w:eastAsia="仿宋_GB2312" w:cs="仿宋_GB2312"/>
          <w:b w:val="0"/>
          <w:sz w:val="32"/>
          <w:szCs w:val="32"/>
          <w:lang w:eastAsia="zh-CN"/>
        </w:rPr>
        <w:t>，</w:t>
      </w:r>
      <w:r>
        <w:rPr>
          <w:rStyle w:val="26"/>
          <w:rFonts w:hint="eastAsia" w:ascii="仿宋_GB2312" w:hAnsi="仿宋_GB2312" w:eastAsia="仿宋_GB2312" w:cs="仿宋_GB2312"/>
          <w:b w:val="0"/>
          <w:bCs/>
          <w:sz w:val="32"/>
          <w:szCs w:val="32"/>
          <w:lang w:eastAsia="zh-CN"/>
        </w:rPr>
        <w:t>决算数与预算数持平。</w:t>
      </w:r>
    </w:p>
    <w:p w14:paraId="20839852">
      <w:pPr>
        <w:pStyle w:val="6"/>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Style w:val="41"/>
          <w:b/>
          <w:bCs/>
        </w:rPr>
      </w:pPr>
      <w:bookmarkStart w:id="35" w:name="_Toc15377214"/>
      <w:bookmarkStart w:id="36" w:name="_Toc15396608"/>
      <w:r>
        <w:rPr>
          <w:rFonts w:hint="eastAsia" w:ascii="黑体" w:eastAsia="黑体"/>
        </w:rPr>
        <w:t>六、</w:t>
      </w:r>
      <w:r>
        <w:rPr>
          <w:rFonts w:hint="eastAsia" w:ascii="黑体" w:hAnsi="黑体" w:eastAsia="黑体"/>
        </w:rPr>
        <w:t>一</w:t>
      </w:r>
      <w:r>
        <w:rPr>
          <w:rStyle w:val="41"/>
          <w:rFonts w:hint="eastAsia" w:ascii="黑体" w:hAnsi="黑体" w:eastAsia="黑体"/>
          <w:b w:val="0"/>
          <w:bCs/>
        </w:rPr>
        <w:t>般公共预算财政拨款基本支出决算情况说明</w:t>
      </w:r>
      <w:bookmarkEnd w:id="35"/>
      <w:bookmarkEnd w:id="36"/>
    </w:p>
    <w:p w14:paraId="04013933">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年一般公共预算财政拨款基本支出</w:t>
      </w:r>
      <w:r>
        <w:rPr>
          <w:rFonts w:hint="eastAsia" w:ascii="仿宋_GB2312" w:hAnsi="仿宋_GB2312" w:eastAsia="仿宋_GB2312" w:cs="仿宋_GB2312"/>
          <w:sz w:val="32"/>
          <w:szCs w:val="32"/>
          <w:lang w:val="en-US" w:eastAsia="zh-CN"/>
        </w:rPr>
        <w:t>159.88</w:t>
      </w:r>
      <w:r>
        <w:rPr>
          <w:rFonts w:hint="eastAsia" w:ascii="仿宋_GB2312" w:hAnsi="仿宋_GB2312" w:eastAsia="仿宋_GB2312" w:cs="仿宋_GB2312"/>
          <w:sz w:val="32"/>
          <w:szCs w:val="32"/>
        </w:rPr>
        <w:t>万元，其中：</w:t>
      </w:r>
    </w:p>
    <w:p w14:paraId="45E9FD48">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154.21</w:t>
      </w:r>
      <w:r>
        <w:rPr>
          <w:rFonts w:hint="eastAsia" w:ascii="仿宋_GB2312" w:hAnsi="仿宋_GB2312" w:eastAsia="仿宋_GB2312" w:cs="仿宋_GB2312"/>
          <w:sz w:val="32"/>
          <w:szCs w:val="32"/>
        </w:rPr>
        <w:t>万元，主要包括：</w:t>
      </w:r>
      <w:r>
        <w:rPr>
          <w:rFonts w:hint="eastAsia" w:ascii="仿宋" w:hAnsi="仿宋" w:eastAsia="仿宋"/>
          <w:sz w:val="32"/>
          <w:szCs w:val="32"/>
        </w:rPr>
        <w:t>基本工资、津贴补贴、绩效工资、机关事业单位基本养老保险缴费、职业年金缴费、职工基本医疗保险缴费、其他社会保障缴费、住房公积金、医疗费、奖励金。</w:t>
      </w:r>
    </w:p>
    <w:p w14:paraId="2AAA5800">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5.67</w:t>
      </w:r>
      <w:r>
        <w:rPr>
          <w:rFonts w:hint="eastAsia" w:ascii="仿宋_GB2312" w:hAnsi="仿宋_GB2312" w:eastAsia="仿宋_GB2312" w:cs="仿宋_GB2312"/>
          <w:sz w:val="32"/>
          <w:szCs w:val="32"/>
        </w:rPr>
        <w:t>万元，主要包括：</w:t>
      </w:r>
      <w:r>
        <w:rPr>
          <w:rFonts w:hint="eastAsia" w:ascii="仿宋" w:hAnsi="仿宋" w:eastAsia="仿宋"/>
          <w:sz w:val="32"/>
          <w:szCs w:val="32"/>
        </w:rPr>
        <w:t>办公费、邮电费、差旅费、培训费、公务接待费。</w:t>
      </w:r>
    </w:p>
    <w:p w14:paraId="5972223A">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七、</w:t>
      </w:r>
      <w:r>
        <w:rPr>
          <w:rStyle w:val="41"/>
          <w:rFonts w:hint="eastAsia" w:ascii="黑体" w:hAnsi="黑体" w:eastAsia="黑体"/>
          <w:b w:val="0"/>
          <w:color w:val="auto"/>
          <w:highlight w:val="none"/>
        </w:rPr>
        <w:t>财政拨款</w:t>
      </w:r>
      <w:r>
        <w:rPr>
          <w:rStyle w:val="41"/>
          <w:rFonts w:hint="eastAsia" w:ascii="黑体" w:hAnsi="黑体" w:eastAsia="黑体"/>
          <w:color w:val="auto"/>
          <w:highlight w:val="none"/>
        </w:rPr>
        <w:t>“</w:t>
      </w:r>
      <w:r>
        <w:rPr>
          <w:rStyle w:val="41"/>
          <w:rFonts w:hint="eastAsia" w:ascii="黑体" w:hAnsi="黑体" w:eastAsia="黑体"/>
          <w:b w:val="0"/>
          <w:color w:val="auto"/>
          <w:highlight w:val="none"/>
        </w:rPr>
        <w:t>三公”经费支出决算情况说明</w:t>
      </w:r>
    </w:p>
    <w:p w14:paraId="1A1DCD2C">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eastAsia="楷体_GB2312"/>
          <w:b/>
          <w:sz w:val="32"/>
          <w:szCs w:val="32"/>
        </w:rPr>
      </w:pPr>
      <w:r>
        <w:rPr>
          <w:rFonts w:hint="eastAsia" w:ascii="楷体_GB2312" w:eastAsia="楷体_GB2312"/>
          <w:b/>
          <w:sz w:val="32"/>
          <w:szCs w:val="32"/>
        </w:rPr>
        <w:t>（一）“三公”经费财政拨款支出决算总体情况说明</w:t>
      </w:r>
    </w:p>
    <w:p w14:paraId="17A51064">
      <w:pPr>
        <w:pageBreakBefore w:val="0"/>
        <w:widowControl w:val="0"/>
        <w:kinsoku/>
        <w:wordWrap/>
        <w:overflowPunct/>
        <w:topLinePunct w:val="0"/>
        <w:autoSpaceDE/>
        <w:autoSpaceDN/>
        <w:bidi w:val="0"/>
        <w:adjustRightInd/>
        <w:snapToGrid/>
        <w:spacing w:line="576" w:lineRule="exact"/>
        <w:ind w:firstLine="640"/>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年“三公”经费财政拨款支出决算为</w:t>
      </w:r>
      <w:r>
        <w:rPr>
          <w:rFonts w:hint="eastAsia" w:ascii="仿宋_GB2312" w:hAnsi="仿宋_GB2312" w:eastAsia="仿宋_GB2312" w:cs="仿宋_GB2312"/>
          <w:sz w:val="32"/>
          <w:szCs w:val="32"/>
          <w:lang w:val="en-US" w:eastAsia="zh-CN"/>
        </w:rPr>
        <w:t>0.07</w:t>
      </w:r>
      <w:r>
        <w:rPr>
          <w:rFonts w:hint="eastAsia" w:ascii="仿宋_GB2312" w:hAnsi="仿宋_GB2312" w:eastAsia="仿宋_GB2312" w:cs="仿宋_GB2312"/>
          <w:sz w:val="32"/>
          <w:szCs w:val="32"/>
        </w:rPr>
        <w:t>万元，完成预算100%</w:t>
      </w:r>
      <w:r>
        <w:rPr>
          <w:rFonts w:hint="eastAsia" w:ascii="仿宋_GB2312" w:hAnsi="仿宋_GB2312" w:eastAsia="仿宋_GB2312" w:cs="仿宋_GB2312"/>
          <w:sz w:val="32"/>
          <w:szCs w:val="32"/>
          <w:lang w:eastAsia="zh-CN"/>
        </w:rPr>
        <w:t>，</w:t>
      </w:r>
      <w:r>
        <w:rPr>
          <w:rFonts w:hint="eastAsia" w:ascii="仿宋" w:hAnsi="仿宋" w:eastAsia="仿宋"/>
          <w:color w:val="auto"/>
          <w:sz w:val="32"/>
          <w:szCs w:val="32"/>
          <w:highlight w:val="none"/>
          <w:lang w:eastAsia="zh-CN"/>
        </w:rPr>
        <w:t>与</w:t>
      </w:r>
      <w:r>
        <w:rPr>
          <w:rFonts w:hint="eastAsia" w:ascii="仿宋" w:hAnsi="仿宋" w:eastAsia="仿宋"/>
          <w:color w:val="auto"/>
          <w:sz w:val="32"/>
          <w:szCs w:val="32"/>
          <w:highlight w:val="none"/>
          <w:lang w:val="en-US" w:eastAsia="zh-CN"/>
        </w:rPr>
        <w:t>2023年相比</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0.01万元，下降12.5%。</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eastAsia="zh-CN"/>
        </w:rPr>
        <w:t>：公务出差减少</w:t>
      </w:r>
      <w:r>
        <w:rPr>
          <w:rFonts w:hint="eastAsia" w:ascii="仿宋" w:hAnsi="仿宋" w:eastAsia="仿宋"/>
          <w:color w:val="auto"/>
          <w:sz w:val="32"/>
          <w:szCs w:val="32"/>
          <w:highlight w:val="none"/>
        </w:rPr>
        <w:t>。</w:t>
      </w:r>
    </w:p>
    <w:p w14:paraId="4167FBDD">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eastAsia="楷体_GB2312"/>
          <w:b/>
          <w:sz w:val="32"/>
          <w:szCs w:val="32"/>
        </w:rPr>
      </w:pPr>
      <w:bookmarkStart w:id="37" w:name="_Toc15377217"/>
      <w:r>
        <w:rPr>
          <w:rFonts w:hint="eastAsia" w:ascii="楷体_GB2312" w:eastAsia="楷体_GB2312"/>
          <w:b/>
          <w:sz w:val="32"/>
          <w:szCs w:val="32"/>
        </w:rPr>
        <w:t>（二）“三公”经费财政拨款支出决算具体情况说明</w:t>
      </w:r>
      <w:bookmarkEnd w:id="37"/>
    </w:p>
    <w:p w14:paraId="594FC6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lang w:eastAsia="zh-CN"/>
        </w:rPr>
        <w:t>年“三公”经费财</w:t>
      </w:r>
      <w:r>
        <w:rPr>
          <w:rFonts w:hint="eastAsia" w:ascii="仿宋_GB2312" w:hAnsi="仿宋_GB2312" w:eastAsia="仿宋_GB2312" w:cs="仿宋_GB2312"/>
          <w:sz w:val="32"/>
          <w:szCs w:val="32"/>
        </w:rPr>
        <w:t>政拨款支出决算中，因公出国（境）费支出决算0万元</w:t>
      </w:r>
      <w:r>
        <w:rPr>
          <w:rFonts w:hint="eastAsia" w:ascii="仿宋_GB2312" w:hAnsi="仿宋_GB2312" w:eastAsia="仿宋_GB2312" w:cs="仿宋_GB2312"/>
          <w:sz w:val="32"/>
          <w:szCs w:val="32"/>
          <w:lang w:eastAsia="zh-CN"/>
        </w:rPr>
        <w:t>，</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_GB2312" w:hAnsi="仿宋_GB2312" w:eastAsia="仿宋_GB2312" w:cs="仿宋_GB2312"/>
          <w:sz w:val="32"/>
          <w:szCs w:val="32"/>
        </w:rPr>
        <w:t>；公务用车购置及运行维护费支出决算0万元，占0%；公务接待费支出决算</w:t>
      </w:r>
      <w:r>
        <w:rPr>
          <w:rFonts w:hint="eastAsia" w:ascii="仿宋_GB2312" w:hAnsi="仿宋_GB2312" w:eastAsia="仿宋_GB2312" w:cs="仿宋_GB2312"/>
          <w:sz w:val="32"/>
          <w:szCs w:val="32"/>
          <w:lang w:val="en-US" w:eastAsia="zh-CN"/>
        </w:rPr>
        <w:t>0.07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%。具体情况如下：</w:t>
      </w:r>
    </w:p>
    <w:p w14:paraId="2D9521D8">
      <w:pPr>
        <w:pStyle w:val="19"/>
        <w:rPr>
          <w:rFonts w:hint="eastAsia"/>
        </w:rPr>
      </w:pPr>
    </w:p>
    <w:p w14:paraId="5009ACE7">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ascii="仿宋" w:hAnsi="仿宋" w:eastAsia="仿宋"/>
          <w:sz w:val="32"/>
          <w:szCs w:val="32"/>
        </w:rPr>
      </w:pPr>
      <w:r>
        <w:rPr>
          <w:rFonts w:ascii="仿宋" w:hAnsi="仿宋" w:eastAsia="仿宋"/>
          <w:sz w:val="32"/>
          <w:szCs w:val="32"/>
        </w:rPr>
        <w:drawing>
          <wp:inline distT="0" distB="0" distL="0" distR="0">
            <wp:extent cx="3798570" cy="2083435"/>
            <wp:effectExtent l="4445" t="4445" r="6985" b="762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6FA03B">
      <w:pPr>
        <w:pStyle w:val="2"/>
        <w:rPr>
          <w:rFonts w:hint="eastAsia"/>
          <w:lang w:eastAsia="zh-CN"/>
        </w:rPr>
      </w:pPr>
    </w:p>
    <w:p w14:paraId="70F8F3B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1.因公出国（境）经费支出</w:t>
      </w:r>
      <w:r>
        <w:rPr>
          <w:rFonts w:hint="eastAsia" w:ascii="仿宋_GB2312" w:eastAsia="仿宋_GB2312"/>
          <w:color w:val="auto"/>
          <w:sz w:val="32"/>
          <w:szCs w:val="32"/>
          <w:highlight w:val="none"/>
          <w:lang w:val="en-US" w:eastAsia="zh-CN"/>
        </w:rPr>
        <w:t>0万元，</w:t>
      </w:r>
      <w:r>
        <w:rPr>
          <w:rFonts w:hint="eastAsia" w:ascii="仿宋_GB2312" w:hAnsi="仿宋_GB2312" w:eastAsia="仿宋_GB2312" w:cs="仿宋_GB2312"/>
          <w:sz w:val="32"/>
          <w:szCs w:val="32"/>
        </w:rPr>
        <w:t>全年安排因公出国（境）团组0次，出国（境）0人。</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度相比无变化</w:t>
      </w:r>
      <w:r>
        <w:rPr>
          <w:rFonts w:hint="eastAsia" w:ascii="仿宋_GB2312" w:eastAsia="仿宋_GB2312"/>
          <w:color w:val="auto"/>
          <w:sz w:val="32"/>
          <w:szCs w:val="32"/>
          <w:highlight w:val="none"/>
        </w:rPr>
        <w:t>。</w:t>
      </w:r>
    </w:p>
    <w:p w14:paraId="5D700CE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color w:val="auto"/>
          <w:sz w:val="32"/>
          <w:szCs w:val="32"/>
          <w:highlight w:val="none"/>
        </w:rPr>
      </w:pPr>
      <w:r>
        <w:rPr>
          <w:rFonts w:hint="eastAsia" w:ascii="仿宋_GB2312" w:hAnsi="仿宋_GB2312" w:eastAsia="仿宋_GB2312" w:cs="仿宋_GB2312"/>
          <w:b/>
          <w:bCs/>
          <w:sz w:val="32"/>
          <w:szCs w:val="32"/>
        </w:rPr>
        <w:t>2.公务用车购置及运行维护费支出</w:t>
      </w:r>
      <w:r>
        <w:rPr>
          <w:rFonts w:hint="eastAsia" w:ascii="仿宋_GB2312" w:eastAsia="仿宋_GB2312"/>
          <w:color w:val="auto"/>
          <w:sz w:val="32"/>
          <w:szCs w:val="32"/>
          <w:highlight w:val="none"/>
          <w:lang w:val="en-US" w:eastAsia="zh-CN"/>
        </w:rPr>
        <w:t>0万元</w:t>
      </w:r>
      <w:r>
        <w:rPr>
          <w:rFonts w:hint="eastAsia" w:ascii="仿宋_GB2312" w:hAnsi="仿宋_GB2312" w:eastAsia="仿宋_GB2312" w:cs="仿宋_GB2312"/>
          <w:sz w:val="32"/>
          <w:szCs w:val="32"/>
        </w:rPr>
        <w:t>,</w:t>
      </w:r>
      <w:r>
        <w:rPr>
          <w:rStyle w:val="26"/>
          <w:rFonts w:hint="eastAsia" w:ascii="仿宋" w:hAnsi="仿宋" w:eastAsia="仿宋"/>
          <w:b w:val="0"/>
          <w:bCs/>
          <w:color w:val="auto"/>
          <w:sz w:val="32"/>
          <w:szCs w:val="32"/>
          <w:highlight w:val="none"/>
        </w:rPr>
        <w:t>完成预算</w:t>
      </w:r>
      <w:r>
        <w:rPr>
          <w:rStyle w:val="26"/>
          <w:rFonts w:hint="eastAsia" w:ascii="仿宋" w:hAnsi="仿宋" w:eastAsia="仿宋"/>
          <w:b w:val="0"/>
          <w:bCs/>
          <w:color w:val="auto"/>
          <w:sz w:val="32"/>
          <w:szCs w:val="32"/>
          <w:highlight w:val="none"/>
          <w:lang w:val="en-US" w:eastAsia="zh-CN"/>
        </w:rPr>
        <w:t>0</w:t>
      </w:r>
      <w:r>
        <w:rPr>
          <w:rStyle w:val="26"/>
          <w:rFonts w:ascii="仿宋" w:hAnsi="仿宋" w:eastAsia="仿宋"/>
          <w:b w:val="0"/>
          <w:bCs/>
          <w:color w:val="auto"/>
          <w:sz w:val="32"/>
          <w:szCs w:val="32"/>
          <w:highlight w:val="none"/>
        </w:rPr>
        <w:t>%</w:t>
      </w:r>
      <w:r>
        <w:rPr>
          <w:rStyle w:val="2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度相比无</w:t>
      </w:r>
      <w:r>
        <w:rPr>
          <w:rFonts w:hint="eastAsia" w:ascii="仿宋_GB2312" w:eastAsia="仿宋_GB2312"/>
          <w:color w:val="auto"/>
          <w:sz w:val="32"/>
          <w:szCs w:val="32"/>
          <w:highlight w:val="none"/>
        </w:rPr>
        <w:t>增减。其中：</w:t>
      </w:r>
    </w:p>
    <w:p w14:paraId="70B28B5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rPr>
        <w:t>公务用车购置支</w:t>
      </w:r>
      <w:r>
        <w:rPr>
          <w:rFonts w:hint="eastAsia" w:ascii="仿宋_GB2312" w:hAnsi="仿宋_GB2312" w:eastAsia="仿宋_GB2312" w:cs="仿宋_GB2312"/>
          <w:b/>
          <w:bCs/>
          <w:sz w:val="32"/>
          <w:szCs w:val="32"/>
        </w:rPr>
        <w:t>出</w:t>
      </w:r>
      <w:r>
        <w:rPr>
          <w:rFonts w:hint="eastAsia" w:ascii="仿宋_GB2312" w:eastAsia="仿宋_GB2312"/>
          <w:color w:val="auto"/>
          <w:sz w:val="32"/>
          <w:szCs w:val="32"/>
          <w:highlight w:val="none"/>
          <w:lang w:val="en-US" w:eastAsia="zh-CN"/>
        </w:rPr>
        <w:t>0万元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2D33813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0万元。</w:t>
      </w:r>
    </w:p>
    <w:p w14:paraId="3D727E4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eastAsia="仿宋_GB2312"/>
          <w:color w:val="auto"/>
          <w:sz w:val="32"/>
          <w:szCs w:val="32"/>
          <w:highlight w:val="none"/>
        </w:rPr>
      </w:pPr>
      <w:r>
        <w:rPr>
          <w:rFonts w:hint="eastAsia" w:ascii="仿宋_GB2312" w:hAnsi="仿宋_GB2312" w:eastAsia="仿宋_GB2312" w:cs="仿宋_GB2312"/>
          <w:b/>
          <w:bCs/>
          <w:sz w:val="32"/>
          <w:szCs w:val="32"/>
        </w:rPr>
        <w:t>3.公务接待费支出</w:t>
      </w:r>
      <w:r>
        <w:rPr>
          <w:rFonts w:hint="eastAsia" w:ascii="仿宋_GB2312" w:eastAsia="仿宋_GB2312"/>
          <w:color w:val="auto"/>
          <w:sz w:val="32"/>
          <w:szCs w:val="32"/>
          <w:highlight w:val="none"/>
          <w:lang w:val="en-US" w:eastAsia="zh-CN"/>
        </w:rPr>
        <w:t>0.07万元，</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度相比减少</w:t>
      </w:r>
      <w:r>
        <w:rPr>
          <w:rFonts w:hint="eastAsia" w:ascii="仿宋_GB2312" w:eastAsia="仿宋_GB2312"/>
          <w:color w:val="auto"/>
          <w:sz w:val="32"/>
          <w:szCs w:val="32"/>
          <w:highlight w:val="none"/>
          <w:lang w:val="en-US" w:eastAsia="zh-CN"/>
        </w:rPr>
        <w:t>0.01</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12.5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sz w:val="32"/>
          <w:szCs w:val="32"/>
        </w:rPr>
        <w:t>接受相关部门检查指导工作发生的接待支出</w:t>
      </w:r>
      <w:r>
        <w:rPr>
          <w:rFonts w:hint="eastAsia" w:ascii="仿宋_GB2312" w:hAnsi="仿宋_GB2312" w:eastAsia="仿宋_GB2312" w:cs="仿宋_GB2312"/>
          <w:sz w:val="32"/>
          <w:szCs w:val="32"/>
          <w:lang w:eastAsia="zh-CN"/>
        </w:rPr>
        <w:t>减少</w:t>
      </w:r>
      <w:r>
        <w:rPr>
          <w:rFonts w:hint="eastAsia" w:ascii="仿宋_GB2312" w:eastAsia="仿宋_GB2312"/>
          <w:color w:val="auto"/>
          <w:sz w:val="32"/>
          <w:szCs w:val="32"/>
          <w:highlight w:val="none"/>
        </w:rPr>
        <w:t>。其中：</w:t>
      </w:r>
    </w:p>
    <w:p w14:paraId="42E23B7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_GB2312" w:eastAsia="仿宋_GB2312"/>
          <w:color w:val="auto"/>
          <w:sz w:val="32"/>
          <w:szCs w:val="32"/>
          <w:highlight w:val="none"/>
          <w:lang w:val="en-US" w:eastAsia="zh-CN"/>
        </w:rPr>
        <w:t>0.07</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人次（不包括陪同人员）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0.07</w:t>
      </w:r>
      <w:r>
        <w:rPr>
          <w:rFonts w:hint="eastAsia" w:ascii="仿宋_GB2312" w:eastAsia="仿宋_GB2312"/>
          <w:color w:val="auto"/>
          <w:sz w:val="32"/>
          <w:szCs w:val="32"/>
          <w:highlight w:val="none"/>
        </w:rPr>
        <w:t>万元。</w:t>
      </w:r>
    </w:p>
    <w:p w14:paraId="1289A99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14:paraId="63658D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eastAsia="黑体"/>
          <w:sz w:val="32"/>
          <w:szCs w:val="32"/>
        </w:rPr>
        <w:t>八、政府性基金预算支出决算情况说明</w:t>
      </w:r>
    </w:p>
    <w:p w14:paraId="3A7601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茂县</w:t>
      </w:r>
      <w:r>
        <w:rPr>
          <w:rFonts w:hint="eastAsia" w:ascii="仿宋_GB2312" w:eastAsia="仿宋_GB2312"/>
          <w:sz w:val="32"/>
          <w:szCs w:val="32"/>
        </w:rPr>
        <w:t>事业</w:t>
      </w:r>
      <w:r>
        <w:rPr>
          <w:rFonts w:hint="eastAsia" w:ascii="仿宋_GB2312" w:eastAsia="仿宋_GB2312"/>
          <w:sz w:val="32"/>
          <w:szCs w:val="32"/>
          <w:lang w:eastAsia="zh-CN"/>
        </w:rPr>
        <w:t>单位</w:t>
      </w:r>
      <w:r>
        <w:rPr>
          <w:rFonts w:hint="eastAsia" w:ascii="仿宋_GB2312" w:eastAsia="仿宋_GB2312"/>
          <w:sz w:val="32"/>
          <w:szCs w:val="32"/>
        </w:rPr>
        <w:t>登记</w:t>
      </w:r>
      <w:r>
        <w:rPr>
          <w:rFonts w:hint="eastAsia" w:ascii="仿宋_GB2312" w:eastAsia="仿宋_GB2312"/>
          <w:sz w:val="32"/>
          <w:szCs w:val="32"/>
          <w:lang w:eastAsia="zh-CN"/>
        </w:rPr>
        <w:t>管理</w:t>
      </w:r>
      <w:r>
        <w:rPr>
          <w:rFonts w:hint="eastAsia" w:ascii="仿宋_GB2312" w:eastAsia="仿宋_GB2312"/>
          <w:sz w:val="32"/>
          <w:szCs w:val="32"/>
        </w:rPr>
        <w:t>局202</w:t>
      </w:r>
      <w:r>
        <w:rPr>
          <w:rFonts w:hint="eastAsia" w:ascii="仿宋_GB2312" w:eastAsia="仿宋_GB2312"/>
          <w:sz w:val="32"/>
          <w:szCs w:val="32"/>
          <w:lang w:val="en-US" w:eastAsia="zh-CN"/>
        </w:rPr>
        <w:t>4</w:t>
      </w:r>
      <w:r>
        <w:rPr>
          <w:rFonts w:hint="eastAsia" w:ascii="仿宋_GB2312" w:eastAsia="仿宋_GB2312"/>
          <w:sz w:val="32"/>
          <w:szCs w:val="32"/>
        </w:rPr>
        <w:t>年无政府性基金预算拨款支出。</w:t>
      </w:r>
    </w:p>
    <w:p w14:paraId="58FCB8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41"/>
          <w:rFonts w:ascii="黑体" w:hAnsi="黑体" w:eastAsia="黑体"/>
          <w:b w:val="0"/>
        </w:rPr>
      </w:pPr>
      <w:bookmarkStart w:id="38" w:name="_Toc15377219"/>
      <w:bookmarkStart w:id="39" w:name="_Toc15396611"/>
      <w:r>
        <w:rPr>
          <w:rStyle w:val="41"/>
          <w:rFonts w:hint="eastAsia" w:ascii="黑体" w:hAnsi="黑体" w:eastAsia="黑体"/>
          <w:b w:val="0"/>
        </w:rPr>
        <w:t>九、国有资本经营预算支出决算情况说明</w:t>
      </w:r>
      <w:bookmarkEnd w:id="38"/>
      <w:bookmarkEnd w:id="39"/>
    </w:p>
    <w:p w14:paraId="23ABDA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茂县</w:t>
      </w:r>
      <w:r>
        <w:rPr>
          <w:rFonts w:hint="eastAsia" w:ascii="仿宋_GB2312" w:eastAsia="仿宋_GB2312"/>
          <w:sz w:val="32"/>
          <w:szCs w:val="32"/>
        </w:rPr>
        <w:t>事业</w:t>
      </w:r>
      <w:r>
        <w:rPr>
          <w:rFonts w:hint="eastAsia" w:ascii="仿宋_GB2312" w:eastAsia="仿宋_GB2312"/>
          <w:sz w:val="32"/>
          <w:szCs w:val="32"/>
          <w:lang w:eastAsia="zh-CN"/>
        </w:rPr>
        <w:t>单位</w:t>
      </w:r>
      <w:r>
        <w:rPr>
          <w:rFonts w:hint="eastAsia" w:ascii="仿宋_GB2312" w:eastAsia="仿宋_GB2312"/>
          <w:sz w:val="32"/>
          <w:szCs w:val="32"/>
        </w:rPr>
        <w:t>登记</w:t>
      </w:r>
      <w:r>
        <w:rPr>
          <w:rFonts w:hint="eastAsia" w:ascii="仿宋_GB2312" w:eastAsia="仿宋_GB2312"/>
          <w:sz w:val="32"/>
          <w:szCs w:val="32"/>
          <w:lang w:eastAsia="zh-CN"/>
        </w:rPr>
        <w:t>管理</w:t>
      </w:r>
      <w:r>
        <w:rPr>
          <w:rFonts w:hint="eastAsia" w:ascii="仿宋_GB2312" w:eastAsia="仿宋_GB2312"/>
          <w:sz w:val="32"/>
          <w:szCs w:val="32"/>
        </w:rPr>
        <w:t>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年无国有资本经营预算拨款支出。</w:t>
      </w:r>
    </w:p>
    <w:p w14:paraId="36DD96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41"/>
          <w:rFonts w:ascii="黑体" w:hAnsi="黑体" w:eastAsia="黑体"/>
        </w:rPr>
      </w:pPr>
      <w:r>
        <w:rPr>
          <w:rFonts w:hint="eastAsia" w:ascii="黑体" w:hAnsi="黑体" w:eastAsia="黑体"/>
          <w:sz w:val="32"/>
          <w:szCs w:val="32"/>
        </w:rPr>
        <w:t>十</w:t>
      </w:r>
      <w:r>
        <w:rPr>
          <w:rStyle w:val="41"/>
          <w:rFonts w:hint="eastAsia" w:ascii="黑体" w:hAnsi="黑体" w:eastAsia="黑体"/>
        </w:rPr>
        <w:t>、</w:t>
      </w:r>
      <w:r>
        <w:rPr>
          <w:rStyle w:val="41"/>
          <w:rFonts w:hint="eastAsia" w:ascii="黑体" w:hAnsi="黑体" w:eastAsia="黑体"/>
          <w:b w:val="0"/>
        </w:rPr>
        <w:t>其他重要事项的情况说明</w:t>
      </w:r>
    </w:p>
    <w:p w14:paraId="452193FD">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Style w:val="41"/>
          <w:rFonts w:ascii="楷体" w:hAnsi="楷体" w:eastAsia="楷体" w:cs="楷体"/>
        </w:rPr>
      </w:pPr>
      <w:bookmarkStart w:id="40" w:name="_Toc15377222"/>
      <w:r>
        <w:rPr>
          <w:rStyle w:val="41"/>
          <w:rFonts w:hint="eastAsia" w:ascii="楷体" w:hAnsi="楷体" w:eastAsia="楷体" w:cs="楷体"/>
        </w:rPr>
        <w:t>（一）机关运行经费支出情况</w:t>
      </w:r>
      <w:bookmarkEnd w:id="40"/>
    </w:p>
    <w:p w14:paraId="0850A731">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eastAsia="zh-CN"/>
        </w:rPr>
        <w:t>茂县</w:t>
      </w:r>
      <w:r>
        <w:rPr>
          <w:rFonts w:hint="eastAsia" w:ascii="仿宋_GB2312" w:eastAsia="仿宋_GB2312"/>
          <w:sz w:val="32"/>
          <w:szCs w:val="32"/>
        </w:rPr>
        <w:t>事业</w:t>
      </w:r>
      <w:r>
        <w:rPr>
          <w:rFonts w:hint="eastAsia" w:ascii="仿宋_GB2312" w:eastAsia="仿宋_GB2312"/>
          <w:sz w:val="32"/>
          <w:szCs w:val="32"/>
          <w:lang w:eastAsia="zh-CN"/>
        </w:rPr>
        <w:t>单位</w:t>
      </w:r>
      <w:r>
        <w:rPr>
          <w:rFonts w:hint="eastAsia" w:ascii="仿宋_GB2312" w:eastAsia="仿宋_GB2312"/>
          <w:sz w:val="32"/>
          <w:szCs w:val="32"/>
        </w:rPr>
        <w:t>登记</w:t>
      </w:r>
      <w:r>
        <w:rPr>
          <w:rFonts w:hint="eastAsia" w:ascii="仿宋_GB2312" w:eastAsia="仿宋_GB2312"/>
          <w:sz w:val="32"/>
          <w:szCs w:val="32"/>
          <w:lang w:eastAsia="zh-CN"/>
        </w:rPr>
        <w:t>管理</w:t>
      </w:r>
      <w:r>
        <w:rPr>
          <w:rFonts w:hint="eastAsia" w:ascii="仿宋_GB2312" w:eastAsia="仿宋_GB2312"/>
          <w:sz w:val="32"/>
          <w:szCs w:val="32"/>
        </w:rPr>
        <w:t>局</w:t>
      </w:r>
      <w:r>
        <w:rPr>
          <w:rFonts w:hint="eastAsia" w:ascii="仿宋_GB2312" w:eastAsia="仿宋_GB2312"/>
          <w:sz w:val="32"/>
          <w:szCs w:val="32"/>
          <w:lang w:eastAsia="zh-CN"/>
        </w:rPr>
        <w:t>无</w:t>
      </w:r>
      <w:r>
        <w:rPr>
          <w:rFonts w:hint="eastAsia" w:ascii="仿宋_GB2312" w:eastAsia="仿宋_GB2312"/>
          <w:sz w:val="32"/>
          <w:szCs w:val="32"/>
        </w:rPr>
        <w:t>机关运行经费支出。</w:t>
      </w:r>
    </w:p>
    <w:p w14:paraId="69E96526">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Fonts w:ascii="仿宋" w:hAnsi="仿宋" w:eastAsia="仿宋"/>
          <w:b/>
          <w:sz w:val="32"/>
          <w:szCs w:val="32"/>
        </w:rPr>
      </w:pPr>
      <w:r>
        <w:rPr>
          <w:rStyle w:val="41"/>
          <w:rFonts w:hint="eastAsia" w:ascii="楷体" w:hAnsi="楷体" w:eastAsia="楷体" w:cs="楷体"/>
        </w:rPr>
        <w:t>（二）政府采购支出情况</w:t>
      </w:r>
    </w:p>
    <w:p w14:paraId="7D5FFAB9">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eastAsia="zh-CN"/>
        </w:rPr>
        <w:t>茂县</w:t>
      </w:r>
      <w:r>
        <w:rPr>
          <w:rFonts w:hint="eastAsia" w:ascii="仿宋_GB2312" w:eastAsia="仿宋_GB2312"/>
          <w:sz w:val="32"/>
          <w:szCs w:val="32"/>
        </w:rPr>
        <w:t>事业</w:t>
      </w:r>
      <w:r>
        <w:rPr>
          <w:rFonts w:hint="eastAsia" w:ascii="仿宋_GB2312" w:eastAsia="仿宋_GB2312"/>
          <w:sz w:val="32"/>
          <w:szCs w:val="32"/>
          <w:lang w:eastAsia="zh-CN"/>
        </w:rPr>
        <w:t>单位</w:t>
      </w:r>
      <w:r>
        <w:rPr>
          <w:rFonts w:hint="eastAsia" w:ascii="仿宋_GB2312" w:eastAsia="仿宋_GB2312"/>
          <w:sz w:val="32"/>
          <w:szCs w:val="32"/>
        </w:rPr>
        <w:t>登记</w:t>
      </w:r>
      <w:r>
        <w:rPr>
          <w:rFonts w:hint="eastAsia" w:ascii="仿宋_GB2312" w:eastAsia="仿宋_GB2312"/>
          <w:sz w:val="32"/>
          <w:szCs w:val="32"/>
          <w:lang w:eastAsia="zh-CN"/>
        </w:rPr>
        <w:t>管理</w:t>
      </w:r>
      <w:r>
        <w:rPr>
          <w:rFonts w:hint="eastAsia" w:ascii="仿宋_GB2312" w:eastAsia="仿宋_GB2312"/>
          <w:sz w:val="32"/>
          <w:szCs w:val="32"/>
        </w:rPr>
        <w:t>局无政府采购支出。</w:t>
      </w:r>
    </w:p>
    <w:p w14:paraId="786C69A3">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Style w:val="41"/>
          <w:rFonts w:ascii="楷体" w:hAnsi="楷体" w:eastAsia="楷体" w:cs="楷体"/>
        </w:rPr>
      </w:pPr>
      <w:r>
        <w:rPr>
          <w:rStyle w:val="41"/>
          <w:rFonts w:hint="eastAsia" w:ascii="楷体" w:hAnsi="楷体" w:eastAsia="楷体" w:cs="楷体"/>
        </w:rPr>
        <w:t>（三）国有资产占有使用情况</w:t>
      </w:r>
    </w:p>
    <w:p w14:paraId="2E1A608A">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茂县</w:t>
      </w:r>
      <w:r>
        <w:rPr>
          <w:rFonts w:hint="eastAsia" w:ascii="仿宋_GB2312" w:eastAsia="仿宋_GB2312"/>
          <w:sz w:val="32"/>
          <w:szCs w:val="32"/>
        </w:rPr>
        <w:t>事业</w:t>
      </w:r>
      <w:r>
        <w:rPr>
          <w:rFonts w:hint="eastAsia" w:ascii="仿宋_GB2312" w:eastAsia="仿宋_GB2312"/>
          <w:sz w:val="32"/>
          <w:szCs w:val="32"/>
          <w:lang w:eastAsia="zh-CN"/>
        </w:rPr>
        <w:t>单位</w:t>
      </w:r>
      <w:r>
        <w:rPr>
          <w:rFonts w:hint="eastAsia" w:ascii="仿宋_GB2312" w:eastAsia="仿宋_GB2312"/>
          <w:sz w:val="32"/>
          <w:szCs w:val="32"/>
        </w:rPr>
        <w:t>登记</w:t>
      </w:r>
      <w:r>
        <w:rPr>
          <w:rFonts w:hint="eastAsia" w:ascii="仿宋_GB2312" w:eastAsia="仿宋_GB2312"/>
          <w:sz w:val="32"/>
          <w:szCs w:val="32"/>
          <w:lang w:eastAsia="zh-CN"/>
        </w:rPr>
        <w:t>管理</w:t>
      </w:r>
      <w:r>
        <w:rPr>
          <w:rFonts w:hint="eastAsia" w:ascii="仿宋_GB2312" w:eastAsia="仿宋_GB2312"/>
          <w:sz w:val="32"/>
          <w:szCs w:val="32"/>
        </w:rPr>
        <w:t>局无车辆。</w:t>
      </w:r>
    </w:p>
    <w:p w14:paraId="69F061EC">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Fonts w:ascii="楷体_GB2312" w:hAnsi="楷体_GB2312" w:eastAsia="楷体_GB2312" w:cs="楷体_GB2312"/>
          <w:b/>
          <w:bCs/>
          <w:sz w:val="32"/>
          <w:szCs w:val="32"/>
        </w:rPr>
      </w:pPr>
      <w:r>
        <w:rPr>
          <w:rStyle w:val="41"/>
          <w:rFonts w:hint="eastAsia" w:ascii="楷体_GB2312" w:hAnsi="楷体_GB2312" w:eastAsia="楷体_GB2312" w:cs="楷体_GB2312"/>
        </w:rPr>
        <w:t>（四）预算绩效管理情况</w:t>
      </w:r>
    </w:p>
    <w:p w14:paraId="157CA440">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根据预算绩效管理要求，本部门</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度预算编制阶段，无项目预算编制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所以未组织对项目开展预算事前绩效评估及编制绩效目标。预算执行过程中未对项目开展绩效监控及绩效自评。</w:t>
      </w:r>
      <w:bookmarkStart w:id="41" w:name="_Toc15377221"/>
      <w:bookmarkStart w:id="42" w:name="_Toc15396612"/>
    </w:p>
    <w:p w14:paraId="5D012996">
      <w:pPr>
        <w:pStyle w:val="2"/>
        <w:rPr>
          <w:rFonts w:hint="eastAsia" w:ascii="仿宋_GB2312" w:hAnsi="仿宋_GB2312" w:eastAsia="仿宋_GB2312" w:cs="仿宋_GB2312"/>
          <w:sz w:val="32"/>
          <w:szCs w:val="32"/>
          <w:lang w:eastAsia="zh-CN"/>
        </w:rPr>
      </w:pPr>
    </w:p>
    <w:p w14:paraId="550C11A4">
      <w:pPr>
        <w:pStyle w:val="3"/>
        <w:rPr>
          <w:rFonts w:hint="eastAsia" w:ascii="仿宋_GB2312" w:hAnsi="仿宋_GB2312" w:eastAsia="仿宋_GB2312" w:cs="仿宋_GB2312"/>
          <w:sz w:val="32"/>
          <w:szCs w:val="32"/>
          <w:lang w:eastAsia="zh-CN"/>
        </w:rPr>
      </w:pPr>
    </w:p>
    <w:p w14:paraId="60562009">
      <w:pPr>
        <w:pStyle w:val="3"/>
        <w:rPr>
          <w:rFonts w:hint="eastAsia" w:ascii="仿宋_GB2312" w:hAnsi="仿宋_GB2312" w:eastAsia="仿宋_GB2312" w:cs="仿宋_GB2312"/>
          <w:sz w:val="32"/>
          <w:szCs w:val="32"/>
          <w:lang w:eastAsia="zh-CN"/>
        </w:rPr>
      </w:pPr>
    </w:p>
    <w:p w14:paraId="6A255C0C">
      <w:pPr>
        <w:pStyle w:val="3"/>
        <w:rPr>
          <w:rFonts w:hint="eastAsia" w:ascii="仿宋_GB2312" w:hAnsi="仿宋_GB2312" w:eastAsia="仿宋_GB2312" w:cs="仿宋_GB2312"/>
          <w:sz w:val="32"/>
          <w:szCs w:val="32"/>
          <w:lang w:eastAsia="zh-CN"/>
        </w:rPr>
      </w:pPr>
    </w:p>
    <w:p w14:paraId="25F8ED9C">
      <w:pPr>
        <w:pStyle w:val="3"/>
        <w:rPr>
          <w:rFonts w:hint="eastAsia" w:ascii="仿宋_GB2312" w:hAnsi="仿宋_GB2312" w:eastAsia="仿宋_GB2312" w:cs="仿宋_GB2312"/>
          <w:sz w:val="32"/>
          <w:szCs w:val="32"/>
          <w:lang w:eastAsia="zh-CN"/>
        </w:rPr>
      </w:pPr>
    </w:p>
    <w:p w14:paraId="4A689143">
      <w:pPr>
        <w:pStyle w:val="3"/>
        <w:rPr>
          <w:rFonts w:hint="eastAsia" w:ascii="仿宋_GB2312" w:hAnsi="仿宋_GB2312" w:eastAsia="仿宋_GB2312" w:cs="仿宋_GB2312"/>
          <w:sz w:val="32"/>
          <w:szCs w:val="32"/>
          <w:lang w:eastAsia="zh-CN"/>
        </w:rPr>
      </w:pPr>
    </w:p>
    <w:p w14:paraId="0AD43D64">
      <w:pPr>
        <w:pStyle w:val="3"/>
        <w:rPr>
          <w:rFonts w:hint="eastAsia" w:ascii="仿宋_GB2312" w:hAnsi="仿宋_GB2312" w:eastAsia="仿宋_GB2312" w:cs="仿宋_GB2312"/>
          <w:sz w:val="32"/>
          <w:szCs w:val="32"/>
          <w:lang w:eastAsia="zh-CN"/>
        </w:rPr>
      </w:pPr>
    </w:p>
    <w:p w14:paraId="2B57512E">
      <w:pPr>
        <w:pStyle w:val="3"/>
        <w:rPr>
          <w:rFonts w:hint="eastAsia" w:ascii="仿宋_GB2312" w:hAnsi="仿宋_GB2312" w:eastAsia="仿宋_GB2312" w:cs="仿宋_GB2312"/>
          <w:sz w:val="32"/>
          <w:szCs w:val="32"/>
          <w:lang w:eastAsia="zh-CN"/>
        </w:rPr>
      </w:pPr>
    </w:p>
    <w:p w14:paraId="04D6B134">
      <w:pPr>
        <w:pStyle w:val="3"/>
        <w:rPr>
          <w:rFonts w:hint="eastAsia" w:ascii="仿宋_GB2312" w:hAnsi="仿宋_GB2312" w:eastAsia="仿宋_GB2312" w:cs="仿宋_GB2312"/>
          <w:sz w:val="32"/>
          <w:szCs w:val="32"/>
          <w:lang w:eastAsia="zh-CN"/>
        </w:rPr>
      </w:pPr>
    </w:p>
    <w:p w14:paraId="20A6A443">
      <w:pPr>
        <w:pStyle w:val="3"/>
        <w:rPr>
          <w:rFonts w:hint="eastAsia" w:ascii="仿宋_GB2312" w:hAnsi="仿宋_GB2312" w:eastAsia="仿宋_GB2312" w:cs="仿宋_GB2312"/>
          <w:sz w:val="32"/>
          <w:szCs w:val="32"/>
          <w:lang w:eastAsia="zh-CN"/>
        </w:rPr>
      </w:pPr>
    </w:p>
    <w:p w14:paraId="0DFA31BF">
      <w:pPr>
        <w:pStyle w:val="3"/>
        <w:rPr>
          <w:rFonts w:hint="eastAsia" w:ascii="仿宋_GB2312" w:hAnsi="仿宋_GB2312" w:eastAsia="仿宋_GB2312" w:cs="仿宋_GB2312"/>
          <w:sz w:val="32"/>
          <w:szCs w:val="32"/>
          <w:lang w:eastAsia="zh-CN"/>
        </w:rPr>
      </w:pPr>
    </w:p>
    <w:p w14:paraId="34B3BEF7">
      <w:pPr>
        <w:pStyle w:val="3"/>
        <w:rPr>
          <w:rFonts w:hint="eastAsia" w:ascii="仿宋_GB2312" w:hAnsi="仿宋_GB2312" w:eastAsia="仿宋_GB2312" w:cs="仿宋_GB2312"/>
          <w:sz w:val="32"/>
          <w:szCs w:val="32"/>
          <w:lang w:eastAsia="zh-CN"/>
        </w:rPr>
      </w:pPr>
    </w:p>
    <w:p w14:paraId="6588CE71">
      <w:pPr>
        <w:pStyle w:val="3"/>
        <w:rPr>
          <w:rFonts w:hint="eastAsia" w:ascii="仿宋_GB2312" w:hAnsi="仿宋_GB2312" w:eastAsia="仿宋_GB2312" w:cs="仿宋_GB2312"/>
          <w:sz w:val="32"/>
          <w:szCs w:val="32"/>
          <w:lang w:eastAsia="zh-CN"/>
        </w:rPr>
      </w:pPr>
    </w:p>
    <w:p w14:paraId="547927A3">
      <w:pPr>
        <w:pStyle w:val="3"/>
        <w:rPr>
          <w:rFonts w:hint="eastAsia" w:ascii="仿宋_GB2312" w:hAnsi="仿宋_GB2312" w:eastAsia="仿宋_GB2312" w:cs="仿宋_GB2312"/>
          <w:sz w:val="32"/>
          <w:szCs w:val="32"/>
          <w:lang w:eastAsia="zh-CN"/>
        </w:rPr>
      </w:pPr>
    </w:p>
    <w:p w14:paraId="29AB09FE">
      <w:pPr>
        <w:pStyle w:val="3"/>
        <w:rPr>
          <w:rFonts w:hint="eastAsia" w:ascii="仿宋_GB2312" w:hAnsi="仿宋_GB2312" w:eastAsia="仿宋_GB2312" w:cs="仿宋_GB2312"/>
          <w:sz w:val="32"/>
          <w:szCs w:val="32"/>
          <w:lang w:eastAsia="zh-CN"/>
        </w:rPr>
      </w:pPr>
    </w:p>
    <w:p w14:paraId="071E0505">
      <w:pPr>
        <w:pStyle w:val="3"/>
        <w:rPr>
          <w:rFonts w:hint="eastAsia" w:ascii="仿宋_GB2312" w:hAnsi="仿宋_GB2312" w:eastAsia="仿宋_GB2312" w:cs="仿宋_GB2312"/>
          <w:sz w:val="32"/>
          <w:szCs w:val="32"/>
          <w:lang w:eastAsia="zh-CN"/>
        </w:rPr>
      </w:pPr>
    </w:p>
    <w:p w14:paraId="37963B22">
      <w:pPr>
        <w:pStyle w:val="3"/>
        <w:ind w:left="0" w:leftChars="0" w:firstLine="0" w:firstLineChars="0"/>
        <w:rPr>
          <w:rFonts w:hint="eastAsia" w:ascii="仿宋_GB2312" w:hAnsi="仿宋_GB2312" w:eastAsia="仿宋_GB2312" w:cs="仿宋_GB2312"/>
          <w:sz w:val="32"/>
          <w:szCs w:val="32"/>
          <w:lang w:eastAsia="zh-CN"/>
        </w:rPr>
      </w:pPr>
    </w:p>
    <w:p w14:paraId="4F471277">
      <w:pPr>
        <w:pStyle w:val="3"/>
        <w:ind w:left="0" w:leftChars="0" w:firstLine="0" w:firstLineChars="0"/>
        <w:rPr>
          <w:rFonts w:hint="eastAsia" w:ascii="仿宋_GB2312" w:hAnsi="仿宋_GB2312" w:eastAsia="仿宋_GB2312" w:cs="仿宋_GB2312"/>
          <w:sz w:val="32"/>
          <w:szCs w:val="32"/>
          <w:lang w:eastAsia="zh-CN"/>
        </w:rPr>
      </w:pPr>
      <w:bookmarkStart w:id="78" w:name="_GoBack"/>
      <w:bookmarkEnd w:id="78"/>
    </w:p>
    <w:bookmarkEnd w:id="41"/>
    <w:bookmarkEnd w:id="42"/>
    <w:p w14:paraId="74F2CDFE">
      <w:pPr>
        <w:keepNext w:val="0"/>
        <w:keepLines w:val="0"/>
        <w:pageBreakBefore w:val="0"/>
        <w:widowControl w:val="0"/>
        <w:numPr>
          <w:ilvl w:val="0"/>
          <w:numId w:val="1"/>
        </w:numPr>
        <w:kinsoku/>
        <w:wordWrap/>
        <w:overflowPunct/>
        <w:topLinePunct w:val="0"/>
        <w:bidi w:val="0"/>
        <w:snapToGrid/>
        <w:spacing w:line="576" w:lineRule="exact"/>
        <w:ind w:firstLine="880" w:firstLineChars="200"/>
        <w:jc w:val="center"/>
        <w:textAlignment w:val="auto"/>
        <w:outlineLvl w:val="0"/>
        <w:rPr>
          <w:rStyle w:val="37"/>
          <w:rFonts w:ascii="方正小标宋简体" w:hAnsi="方正小标宋简体" w:eastAsia="方正小标宋简体" w:cs="方正小标宋简体"/>
          <w:b w:val="0"/>
        </w:rPr>
      </w:pPr>
      <w:bookmarkStart w:id="43" w:name="_Toc79163879"/>
      <w:bookmarkStart w:id="44" w:name="_Toc15377225"/>
      <w:bookmarkStart w:id="45" w:name="_Toc15396613"/>
      <w:bookmarkStart w:id="46" w:name="_Toc79163629"/>
      <w:r>
        <w:rPr>
          <w:rFonts w:hint="eastAsia" w:ascii="方正小标宋简体" w:hAnsi="方正小标宋简体" w:eastAsia="方正小标宋简体" w:cs="方正小标宋简体"/>
          <w:color w:val="000000"/>
          <w:sz w:val="44"/>
          <w:szCs w:val="44"/>
        </w:rPr>
        <w:t>名</w:t>
      </w:r>
      <w:r>
        <w:rPr>
          <w:rStyle w:val="37"/>
          <w:rFonts w:hint="eastAsia" w:ascii="方正小标宋简体" w:hAnsi="方正小标宋简体" w:eastAsia="方正小标宋简体" w:cs="方正小标宋简体"/>
          <w:b w:val="0"/>
        </w:rPr>
        <w:t>词解释</w:t>
      </w:r>
      <w:bookmarkEnd w:id="43"/>
      <w:bookmarkEnd w:id="44"/>
      <w:bookmarkEnd w:id="45"/>
      <w:bookmarkEnd w:id="46"/>
    </w:p>
    <w:p w14:paraId="1C99D3FE">
      <w:pPr>
        <w:keepNext w:val="0"/>
        <w:keepLines w:val="0"/>
        <w:pageBreakBefore w:val="0"/>
        <w:widowControl w:val="0"/>
        <w:kinsoku/>
        <w:wordWrap/>
        <w:overflowPunct/>
        <w:topLinePunct w:val="0"/>
        <w:bidi w:val="0"/>
        <w:snapToGrid/>
        <w:spacing w:line="576" w:lineRule="exact"/>
        <w:ind w:firstLine="883" w:firstLineChars="200"/>
        <w:jc w:val="left"/>
        <w:textAlignment w:val="auto"/>
        <w:rPr>
          <w:rFonts w:ascii="宋体"/>
          <w:b/>
          <w:color w:val="000000"/>
          <w:sz w:val="44"/>
          <w:szCs w:val="44"/>
        </w:rPr>
      </w:pPr>
    </w:p>
    <w:p w14:paraId="02B959F5">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bookmarkStart w:id="47"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D926FBE">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12CB21CC">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39650A42">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58BD4798">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14:paraId="6CDD16A4">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14:paraId="17F571C4">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14:paraId="27178658">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31D9900F">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9.</w:t>
      </w:r>
      <w:r>
        <w:rPr>
          <w:rFonts w:hint="eastAsia" w:ascii="仿宋_GB2312" w:eastAsia="仿宋_GB2312" w:cs="仿宋"/>
          <w:kern w:val="0"/>
          <w:sz w:val="32"/>
          <w:szCs w:val="32"/>
        </w:rPr>
        <w:t>一般公共服务（类）人力资源事务（款）行政运行（项）：</w:t>
      </w:r>
      <w:r>
        <w:rPr>
          <w:rFonts w:hint="eastAsia" w:ascii="仿宋_GB2312" w:eastAsia="仿宋_GB2312"/>
          <w:sz w:val="32"/>
          <w:szCs w:val="32"/>
        </w:rPr>
        <w:t>指反映行政单位（包括实行公务员管理的事业单位）的基本支出。</w:t>
      </w:r>
    </w:p>
    <w:p w14:paraId="23AFFCD3">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b/>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cs="仿宋"/>
          <w:kern w:val="0"/>
          <w:sz w:val="32"/>
          <w:szCs w:val="32"/>
        </w:rPr>
        <w:t>一般公共服务（类）人力资源事务（款）事业运行（项）：</w:t>
      </w:r>
      <w:r>
        <w:rPr>
          <w:rFonts w:hint="eastAsia" w:ascii="仿宋_GB2312" w:eastAsia="仿宋_GB2312"/>
          <w:sz w:val="32"/>
          <w:szCs w:val="32"/>
        </w:rPr>
        <w:t>指反映事业单位基本支出，不包括行政单位（包括实行公务员管理的事业单位）后勤服务中心、医务室等附属事业单位。</w:t>
      </w:r>
    </w:p>
    <w:p w14:paraId="37B9CC45">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11</w:t>
      </w:r>
      <w:r>
        <w:rPr>
          <w:rFonts w:hint="eastAsia" w:ascii="仿宋_GB2312" w:eastAsia="仿宋_GB2312"/>
          <w:b/>
          <w:sz w:val="32"/>
          <w:szCs w:val="32"/>
        </w:rPr>
        <w:t>.</w:t>
      </w:r>
      <w:r>
        <w:rPr>
          <w:rFonts w:hint="eastAsia" w:ascii="仿宋_GB2312" w:eastAsia="仿宋_GB2312"/>
          <w:sz w:val="32"/>
          <w:szCs w:val="32"/>
        </w:rPr>
        <w:t>社会保障和就业（类）行政事业单位离退休（款）机关事业单位基本养老保险缴费支出（项）：指部门实施养老保险制度由单位缴纳的基本养老保险费支出。</w:t>
      </w:r>
    </w:p>
    <w:p w14:paraId="7C09B184">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12.</w:t>
      </w:r>
      <w:r>
        <w:rPr>
          <w:rFonts w:hint="eastAsia" w:ascii="仿宋_GB2312" w:eastAsia="仿宋_GB2312"/>
          <w:sz w:val="32"/>
          <w:szCs w:val="32"/>
        </w:rPr>
        <w:t>社会保障和就业（类）行政事业单位离退休（款）机关事业单位职业年金（项）：指部门实施养老保险制度由单位缴纳的职业年金支出。</w:t>
      </w:r>
    </w:p>
    <w:p w14:paraId="12DF8129">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13</w:t>
      </w:r>
      <w:r>
        <w:rPr>
          <w:rFonts w:hint="eastAsia" w:ascii="仿宋_GB2312" w:eastAsia="仿宋_GB2312"/>
          <w:b/>
          <w:sz w:val="32"/>
          <w:szCs w:val="32"/>
        </w:rPr>
        <w:t>.</w:t>
      </w:r>
      <w:r>
        <w:rPr>
          <w:rFonts w:hint="eastAsia" w:ascii="仿宋_GB2312" w:eastAsia="仿宋_GB2312"/>
          <w:sz w:val="32"/>
          <w:szCs w:val="32"/>
        </w:rPr>
        <w:t>医疗卫生与计划生育(类)行政事业单位医疗（款）行政单位医疗（项）:指行政单位用于缴纳单位基本医疗保险支出。</w:t>
      </w:r>
    </w:p>
    <w:p w14:paraId="79E651F7">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14.</w:t>
      </w:r>
      <w:r>
        <w:rPr>
          <w:rFonts w:hint="eastAsia" w:ascii="仿宋_GB2312" w:eastAsia="仿宋_GB2312"/>
          <w:sz w:val="32"/>
          <w:szCs w:val="32"/>
        </w:rPr>
        <w:t>医疗卫生与计划生育(类)行政事业单位医疗（款）事业单位医疗（项）:指事业单位用于缴纳单位基本医疗保险支出。</w:t>
      </w:r>
    </w:p>
    <w:p w14:paraId="7F743F7F">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15</w:t>
      </w:r>
      <w:r>
        <w:rPr>
          <w:rFonts w:hint="eastAsia" w:ascii="仿宋_GB2312" w:eastAsia="仿宋_GB2312"/>
          <w:b/>
          <w:sz w:val="32"/>
          <w:szCs w:val="32"/>
        </w:rPr>
        <w:t>.</w:t>
      </w:r>
      <w:r>
        <w:rPr>
          <w:rFonts w:hint="eastAsia" w:ascii="仿宋_GB2312" w:eastAsia="仿宋_GB2312"/>
          <w:sz w:val="32"/>
          <w:szCs w:val="32"/>
        </w:rPr>
        <w:t>住房保障支出（类）住房改革支出（款）住房公积金（项）：指反映行政事业单位按规定为职工缴纳的住房公积金。</w:t>
      </w:r>
    </w:p>
    <w:p w14:paraId="5778E2FA">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16.</w:t>
      </w:r>
      <w:r>
        <w:rPr>
          <w:rFonts w:hint="eastAsia" w:ascii="仿宋_GB2312" w:eastAsia="仿宋_GB2312"/>
          <w:sz w:val="32"/>
          <w:szCs w:val="32"/>
        </w:rPr>
        <w:t>住房保障支出（类）住房改革支出（款）购房补贴（项）：指根据房改政策规定的标准，向符合条件职工发放的用于购买住房的补贴。</w:t>
      </w:r>
    </w:p>
    <w:p w14:paraId="3FC32A5D">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农林水支出（类）扶贫（款）其他扶贫支出（项）：指反映上述项目以外其他用于扶贫方面的支出。</w:t>
      </w:r>
    </w:p>
    <w:p w14:paraId="548CBBB9">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59B03BBD">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14:paraId="0F3C1864">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6813A757">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F9F3A86">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325400D">
      <w:pPr>
        <w:pStyle w:val="32"/>
        <w:spacing w:line="560" w:lineRule="exact"/>
        <w:ind w:firstLine="640" w:firstLineChars="200"/>
        <w:rPr>
          <w:rFonts w:ascii="仿宋_GB2312" w:eastAsia="仿宋_GB2312" w:cs="黑体"/>
          <w:color w:val="auto"/>
          <w:sz w:val="32"/>
          <w:szCs w:val="32"/>
        </w:rPr>
      </w:pPr>
    </w:p>
    <w:p w14:paraId="733A42D4">
      <w:pPr>
        <w:pStyle w:val="22"/>
        <w:keepNext w:val="0"/>
        <w:keepLines w:val="0"/>
        <w:pageBreakBefore w:val="0"/>
        <w:widowControl/>
        <w:suppressLineNumbers w:val="0"/>
        <w:kinsoku/>
        <w:wordWrap/>
        <w:overflowPunct/>
        <w:topLinePunct w:val="0"/>
        <w:bidi w:val="0"/>
        <w:spacing w:line="576" w:lineRule="exact"/>
        <w:jc w:val="center"/>
        <w:textAlignment w:val="auto"/>
        <w:outlineLvl w:val="0"/>
      </w:pPr>
      <w:r>
        <w:rPr>
          <w:rFonts w:ascii="宋体"/>
          <w:b/>
          <w:color w:val="000000"/>
          <w:sz w:val="44"/>
          <w:szCs w:val="44"/>
        </w:rPr>
        <w:br w:type="page"/>
      </w:r>
      <w:bookmarkEnd w:id="47"/>
      <w:bookmarkStart w:id="48" w:name="_Toc7978"/>
      <w:bookmarkStart w:id="49" w:name="_Toc19088"/>
      <w:r>
        <w:rPr>
          <w:rStyle w:val="37"/>
          <w:rFonts w:hint="eastAsia" w:ascii="方正小标宋简体" w:hAnsi="方正小标宋简体" w:eastAsia="方正小标宋简体" w:cs="方正小标宋简体"/>
          <w:b w:val="0"/>
          <w:sz w:val="48"/>
          <w:szCs w:val="48"/>
          <w:lang w:val="en-US" w:eastAsia="zh-CN" w:bidi="ar"/>
        </w:rPr>
        <w:t>第四部分 附件</w:t>
      </w:r>
      <w:bookmarkEnd w:id="48"/>
      <w:bookmarkEnd w:id="49"/>
      <w:r>
        <w:t> </w:t>
      </w:r>
    </w:p>
    <w:tbl>
      <w:tblPr>
        <w:tblStyle w:val="24"/>
        <w:tblpPr w:leftFromText="180" w:rightFromText="180" w:vertAnchor="text" w:horzAnchor="page" w:tblpX="571" w:tblpY="1224"/>
        <w:tblOverlap w:val="never"/>
        <w:tblW w:w="108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809"/>
        <w:gridCol w:w="1197"/>
        <w:gridCol w:w="1227"/>
        <w:gridCol w:w="521"/>
        <w:gridCol w:w="623"/>
        <w:gridCol w:w="828"/>
        <w:gridCol w:w="1083"/>
        <w:gridCol w:w="510"/>
        <w:gridCol w:w="448"/>
        <w:gridCol w:w="1999"/>
      </w:tblGrid>
      <w:tr w14:paraId="219F8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82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8F3AF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755D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470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8840BD">
            <w:pPr>
              <w:rPr>
                <w:rFonts w:hint="eastAsia" w:ascii="宋体" w:hAnsi="宋体" w:eastAsia="宋体" w:cs="宋体"/>
                <w:i w:val="0"/>
                <w:iCs w:val="0"/>
                <w:color w:val="000000"/>
                <w:sz w:val="18"/>
                <w:szCs w:val="18"/>
                <w:u w:val="none"/>
              </w:rPr>
            </w:pPr>
          </w:p>
        </w:tc>
      </w:tr>
      <w:tr w14:paraId="56BF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707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8E1F29">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69AFF99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329BD">
            <w:pPr>
              <w:jc w:val="center"/>
              <w:rPr>
                <w:rFonts w:hint="eastAsia" w:ascii="宋体" w:hAnsi="宋体" w:eastAsia="宋体" w:cs="宋体"/>
                <w:i w:val="0"/>
                <w:iCs w:val="0"/>
                <w:color w:val="000000"/>
                <w:sz w:val="18"/>
                <w:szCs w:val="18"/>
                <w:u w:val="none"/>
              </w:rPr>
            </w:pPr>
          </w:p>
        </w:tc>
      </w:tr>
      <w:tr w14:paraId="2675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A44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967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B59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F4C39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0BDA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560E5">
            <w:pPr>
              <w:rPr>
                <w:rFonts w:hint="eastAsia" w:ascii="宋体" w:hAnsi="宋体" w:eastAsia="宋体" w:cs="宋体"/>
                <w:i w:val="0"/>
                <w:iCs w:val="0"/>
                <w:color w:val="000000"/>
                <w:sz w:val="18"/>
                <w:szCs w:val="18"/>
                <w:u w:val="none"/>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65058">
            <w:pPr>
              <w:rPr>
                <w:rFonts w:hint="eastAsia" w:ascii="宋体" w:hAnsi="宋体" w:eastAsia="宋体" w:cs="宋体"/>
                <w:i w:val="0"/>
                <w:iCs w:val="0"/>
                <w:color w:val="000000"/>
                <w:sz w:val="18"/>
                <w:szCs w:val="18"/>
                <w:u w:val="none"/>
              </w:rPr>
            </w:pPr>
          </w:p>
        </w:tc>
        <w:tc>
          <w:tcPr>
            <w:tcW w:w="44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454844">
            <w:pPr>
              <w:rPr>
                <w:rFonts w:hint="eastAsia" w:ascii="宋体" w:hAnsi="宋体" w:eastAsia="宋体" w:cs="宋体"/>
                <w:i w:val="0"/>
                <w:iCs w:val="0"/>
                <w:color w:val="000000"/>
                <w:sz w:val="18"/>
                <w:szCs w:val="18"/>
                <w:u w:val="none"/>
              </w:rPr>
            </w:pPr>
          </w:p>
        </w:tc>
        <w:tc>
          <w:tcPr>
            <w:tcW w:w="4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8C7DD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999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0C937">
            <w:pPr>
              <w:rPr>
                <w:rFonts w:hint="eastAsia" w:ascii="宋体" w:hAnsi="宋体" w:eastAsia="宋体" w:cs="宋体"/>
                <w:i w:val="0"/>
                <w:iCs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08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DA695B">
            <w:pPr>
              <w:rPr>
                <w:rFonts w:hint="eastAsia" w:ascii="宋体" w:hAnsi="宋体" w:eastAsia="宋体" w:cs="宋体"/>
                <w:i w:val="0"/>
                <w:iCs w:val="0"/>
                <w:color w:val="000000"/>
                <w:sz w:val="18"/>
                <w:szCs w:val="18"/>
                <w:u w:val="none"/>
              </w:rPr>
            </w:pPr>
          </w:p>
        </w:tc>
      </w:tr>
      <w:tr w14:paraId="6BD14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AE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3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0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C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28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C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3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D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9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AC4D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CCB42">
            <w:pPr>
              <w:jc w:val="center"/>
              <w:rPr>
                <w:rFonts w:hint="eastAsia" w:ascii="宋体" w:hAnsi="宋体" w:eastAsia="宋体" w:cs="宋体"/>
                <w:i w:val="0"/>
                <w:iCs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0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D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9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F8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4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F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94DF">
            <w:pPr>
              <w:jc w:val="center"/>
              <w:rPr>
                <w:rFonts w:hint="eastAsia" w:ascii="宋体" w:hAnsi="宋体" w:eastAsia="宋体" w:cs="宋体"/>
                <w:i w:val="0"/>
                <w:iCs w:val="0"/>
                <w:color w:val="000000"/>
                <w:sz w:val="18"/>
                <w:szCs w:val="18"/>
                <w:u w:val="none"/>
              </w:rPr>
            </w:pPr>
          </w:p>
        </w:tc>
        <w:tc>
          <w:tcPr>
            <w:tcW w:w="2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E339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93D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9D1C9">
            <w:pPr>
              <w:jc w:val="center"/>
              <w:rPr>
                <w:rFonts w:hint="eastAsia" w:ascii="宋体" w:hAnsi="宋体" w:eastAsia="宋体" w:cs="宋体"/>
                <w:i w:val="0"/>
                <w:iCs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3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D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88C3">
            <w:pPr>
              <w:jc w:val="center"/>
              <w:rPr>
                <w:rFonts w:hint="eastAsia" w:ascii="宋体" w:hAnsi="宋体" w:eastAsia="宋体" w:cs="宋体"/>
                <w:i w:val="0"/>
                <w:iCs w:val="0"/>
                <w:color w:val="000000"/>
                <w:sz w:val="18"/>
                <w:szCs w:val="18"/>
                <w:u w:val="none"/>
              </w:rPr>
            </w:pP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CFA6A">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9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A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D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81E22">
            <w:pPr>
              <w:rPr>
                <w:rFonts w:hint="eastAsia" w:ascii="黑体" w:hAnsi="黑体" w:eastAsia="黑体" w:cs="黑体"/>
                <w:i/>
                <w:iCs/>
                <w:color w:val="000000"/>
                <w:sz w:val="18"/>
                <w:szCs w:val="18"/>
                <w:u w:val="none"/>
              </w:rPr>
            </w:pPr>
          </w:p>
        </w:tc>
      </w:tr>
      <w:tr w14:paraId="6793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8BA69">
            <w:pPr>
              <w:jc w:val="center"/>
              <w:rPr>
                <w:rFonts w:hint="eastAsia" w:ascii="宋体" w:hAnsi="宋体" w:eastAsia="宋体" w:cs="宋体"/>
                <w:i w:val="0"/>
                <w:iCs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9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8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9EBD">
            <w:pPr>
              <w:jc w:val="center"/>
              <w:rPr>
                <w:rFonts w:hint="eastAsia" w:ascii="宋体" w:hAnsi="宋体" w:eastAsia="宋体" w:cs="宋体"/>
                <w:i w:val="0"/>
                <w:iCs w:val="0"/>
                <w:color w:val="000000"/>
                <w:sz w:val="18"/>
                <w:szCs w:val="18"/>
                <w:u w:val="none"/>
              </w:rPr>
            </w:pP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D06C4">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E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1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4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96E30">
            <w:pPr>
              <w:rPr>
                <w:rFonts w:hint="eastAsia" w:ascii="黑体" w:hAnsi="黑体" w:eastAsia="黑体" w:cs="黑体"/>
                <w:i/>
                <w:iCs/>
                <w:color w:val="000000"/>
                <w:sz w:val="18"/>
                <w:szCs w:val="18"/>
                <w:u w:val="none"/>
              </w:rPr>
            </w:pPr>
          </w:p>
        </w:tc>
      </w:tr>
      <w:tr w14:paraId="34433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3D7E0">
            <w:pPr>
              <w:jc w:val="center"/>
              <w:rPr>
                <w:rFonts w:hint="eastAsia" w:ascii="宋体" w:hAnsi="宋体" w:eastAsia="宋体" w:cs="宋体"/>
                <w:i w:val="0"/>
                <w:iCs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0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A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0BE7">
            <w:pPr>
              <w:jc w:val="center"/>
              <w:rPr>
                <w:rFonts w:hint="eastAsia" w:ascii="宋体" w:hAnsi="宋体" w:eastAsia="宋体" w:cs="宋体"/>
                <w:i w:val="0"/>
                <w:iCs w:val="0"/>
                <w:color w:val="000000"/>
                <w:sz w:val="18"/>
                <w:szCs w:val="18"/>
                <w:u w:val="none"/>
              </w:rPr>
            </w:pP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76E31B">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5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8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B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9C2F7">
            <w:pPr>
              <w:rPr>
                <w:rFonts w:hint="eastAsia" w:ascii="黑体" w:hAnsi="黑体" w:eastAsia="黑体" w:cs="黑体"/>
                <w:i/>
                <w:iCs/>
                <w:color w:val="000000"/>
                <w:sz w:val="18"/>
                <w:szCs w:val="18"/>
                <w:u w:val="none"/>
              </w:rPr>
            </w:pPr>
          </w:p>
        </w:tc>
      </w:tr>
      <w:tr w14:paraId="369C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2FDB">
            <w:pPr>
              <w:jc w:val="center"/>
              <w:rPr>
                <w:rFonts w:hint="eastAsia" w:ascii="宋体" w:hAnsi="宋体" w:eastAsia="宋体" w:cs="宋体"/>
                <w:i w:val="0"/>
                <w:iCs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2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2E6A">
            <w:pPr>
              <w:jc w:val="center"/>
              <w:rPr>
                <w:rFonts w:hint="eastAsia" w:ascii="微软雅黑" w:hAnsi="微软雅黑" w:eastAsia="微软雅黑" w:cs="微软雅黑"/>
                <w:i/>
                <w:iCs/>
                <w:color w:val="000000"/>
                <w:sz w:val="16"/>
                <w:szCs w:val="16"/>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4F2E">
            <w:pPr>
              <w:jc w:val="center"/>
              <w:rPr>
                <w:rFonts w:hint="eastAsia" w:ascii="微软雅黑" w:hAnsi="微软雅黑" w:eastAsia="微软雅黑" w:cs="微软雅黑"/>
                <w:i/>
                <w:iCs/>
                <w:color w:val="000000"/>
                <w:sz w:val="16"/>
                <w:szCs w:val="16"/>
                <w:u w:val="none"/>
              </w:rPr>
            </w:pP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75F8E">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F746">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5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3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28D35">
            <w:pPr>
              <w:rPr>
                <w:rFonts w:hint="eastAsia" w:ascii="黑体" w:hAnsi="黑体" w:eastAsia="黑体" w:cs="黑体"/>
                <w:i/>
                <w:iCs/>
                <w:color w:val="000000"/>
                <w:sz w:val="18"/>
                <w:szCs w:val="18"/>
                <w:u w:val="none"/>
              </w:rPr>
            </w:pPr>
          </w:p>
        </w:tc>
      </w:tr>
      <w:tr w14:paraId="49A5D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8A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9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4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F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6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E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E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F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8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8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9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B83C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FF4B9">
            <w:pPr>
              <w:jc w:val="center"/>
              <w:rPr>
                <w:rFonts w:hint="eastAsia" w:ascii="宋体" w:hAnsi="宋体" w:eastAsia="宋体" w:cs="宋体"/>
                <w:i w:val="0"/>
                <w:iCs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AD9B">
            <w:pPr>
              <w:jc w:val="center"/>
              <w:rPr>
                <w:rFonts w:hint="eastAsia" w:ascii="宋体" w:hAnsi="宋体" w:eastAsia="宋体" w:cs="宋体"/>
                <w:i w:val="0"/>
                <w:iCs w:val="0"/>
                <w:color w:val="000000"/>
                <w:sz w:val="18"/>
                <w:szCs w:val="18"/>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0E45">
            <w:pPr>
              <w:jc w:val="center"/>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1C8A">
            <w:pPr>
              <w:jc w:val="center"/>
              <w:rPr>
                <w:rFonts w:hint="eastAsia" w:ascii="宋体" w:hAnsi="宋体" w:eastAsia="宋体" w:cs="宋体"/>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246E">
            <w:pPr>
              <w:jc w:val="center"/>
              <w:rPr>
                <w:rFonts w:hint="eastAsia" w:ascii="宋体" w:hAnsi="宋体" w:eastAsia="宋体" w:cs="宋体"/>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7C71">
            <w:pPr>
              <w:jc w:val="center"/>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68D4">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30FB">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3201">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D676">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6986">
            <w:pPr>
              <w:jc w:val="center"/>
              <w:rPr>
                <w:rFonts w:hint="eastAsia" w:ascii="微软雅黑" w:hAnsi="微软雅黑" w:eastAsia="微软雅黑" w:cs="微软雅黑"/>
                <w:i/>
                <w:iCs/>
                <w:color w:val="000000"/>
                <w:sz w:val="16"/>
                <w:szCs w:val="16"/>
                <w:u w:val="none"/>
              </w:rPr>
            </w:pPr>
          </w:p>
        </w:tc>
      </w:tr>
      <w:tr w14:paraId="0B0B9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5EC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8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3D4A">
            <w:pP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6DF0">
            <w:pPr>
              <w:rPr>
                <w:rFonts w:hint="eastAsia" w:ascii="宋体" w:hAnsi="宋体" w:eastAsia="宋体" w:cs="宋体"/>
                <w:i w:val="0"/>
                <w:iCs w:val="0"/>
                <w:color w:val="000000"/>
                <w:sz w:val="18"/>
                <w:szCs w:val="18"/>
                <w:u w:val="none"/>
              </w:rPr>
            </w:pPr>
          </w:p>
        </w:tc>
      </w:tr>
      <w:tr w14:paraId="1FC7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6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3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60231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F1E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E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3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8E22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4F89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9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3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4C374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924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6683B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7B034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080BE34F">
      <w:pPr>
        <w:spacing w:line="600" w:lineRule="exact"/>
        <w:jc w:val="center"/>
        <w:outlineLvl w:val="0"/>
      </w:pPr>
      <w:r>
        <w:rPr>
          <w:rFonts w:hint="eastAsia" w:hAnsi="Times New Roman" w:cs="Times New Roman"/>
          <w:sz w:val="32"/>
          <w:szCs w:val="32"/>
          <w:highlight w:val="none"/>
          <w:lang w:val="en-US" w:eastAsia="zh-CN"/>
        </w:rPr>
        <w:t>单位预算项目支出绩效自评表（202</w:t>
      </w:r>
      <w:r>
        <w:rPr>
          <w:rFonts w:hint="eastAsia" w:cs="Times New Roman"/>
          <w:sz w:val="32"/>
          <w:szCs w:val="32"/>
          <w:highlight w:val="none"/>
          <w:lang w:val="en-US" w:eastAsia="zh-CN"/>
        </w:rPr>
        <w:t>4</w:t>
      </w:r>
      <w:r>
        <w:rPr>
          <w:rFonts w:hint="eastAsia" w:hAnsi="Times New Roman" w:cs="Times New Roman"/>
          <w:sz w:val="32"/>
          <w:szCs w:val="32"/>
          <w:highlight w:val="none"/>
          <w:lang w:val="en-US" w:eastAsia="zh-CN"/>
        </w:rPr>
        <w:t>年度）</w:t>
      </w:r>
    </w:p>
    <w:p w14:paraId="307958D0">
      <w:pPr>
        <w:spacing w:line="600" w:lineRule="exact"/>
        <w:jc w:val="both"/>
        <w:outlineLvl w:val="0"/>
        <w:rPr>
          <w:rFonts w:hint="eastAsia" w:hAnsi="Times New Roman" w:cs="Times New Roman"/>
          <w:sz w:val="32"/>
          <w:szCs w:val="32"/>
          <w:highlight w:val="none"/>
          <w:lang w:val="en-US" w:eastAsia="zh-CN"/>
        </w:rPr>
      </w:pPr>
      <w:bookmarkStart w:id="50" w:name="_Toc9504"/>
      <w:bookmarkStart w:id="51" w:name="_Toc6196"/>
      <w:r>
        <w:rPr>
          <w:rFonts w:hint="eastAsia" w:hAnsi="Times New Roman" w:cs="Times New Roman"/>
          <w:sz w:val="32"/>
          <w:szCs w:val="32"/>
          <w:highlight w:val="none"/>
          <w:lang w:val="en-US" w:eastAsia="zh-CN"/>
        </w:rPr>
        <w:t>附表</w:t>
      </w:r>
    </w:p>
    <w:p w14:paraId="75BC4C44">
      <w:pPr>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黑体" w:hAnsi="Times New Roman" w:eastAsia="黑体" w:cs="Times New Roman"/>
          <w:color w:val="000000"/>
          <w:sz w:val="44"/>
          <w:szCs w:val="44"/>
        </w:rPr>
      </w:pPr>
      <w:r>
        <w:rPr>
          <w:rFonts w:hint="eastAsia" w:ascii="黑体" w:hAnsi="Times New Roman" w:eastAsia="黑体" w:cs="Times New Roman"/>
          <w:color w:val="000000"/>
          <w:sz w:val="44"/>
          <w:szCs w:val="44"/>
        </w:rPr>
        <w:t>第五部分 附表</w:t>
      </w:r>
      <w:bookmarkEnd w:id="50"/>
      <w:bookmarkEnd w:id="51"/>
    </w:p>
    <w:p w14:paraId="6C6B7284">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2" w:name="_Toc12986"/>
      <w:bookmarkStart w:id="53" w:name="_Toc26370"/>
      <w:r>
        <w:rPr>
          <w:rFonts w:hint="eastAsia" w:ascii="仿宋" w:hAnsi="Cambria" w:eastAsia="仿宋" w:cs="Times New Roman"/>
          <w:b w:val="0"/>
          <w:color w:val="000000"/>
          <w:kern w:val="2"/>
          <w:sz w:val="32"/>
          <w:szCs w:val="32"/>
          <w:lang w:bidi="ar-SA"/>
        </w:rPr>
        <w:t>一、收入支出决算总表</w:t>
      </w:r>
      <w:bookmarkEnd w:id="52"/>
      <w:bookmarkEnd w:id="53"/>
    </w:p>
    <w:p w14:paraId="24D06EAF">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4" w:name="_Toc13591"/>
      <w:bookmarkStart w:id="55" w:name="_Toc13062"/>
      <w:r>
        <w:rPr>
          <w:rFonts w:hint="eastAsia" w:ascii="仿宋" w:hAnsi="Cambria" w:eastAsia="仿宋" w:cs="Times New Roman"/>
          <w:b w:val="0"/>
          <w:color w:val="000000"/>
          <w:kern w:val="2"/>
          <w:sz w:val="32"/>
          <w:szCs w:val="32"/>
          <w:lang w:bidi="ar-SA"/>
        </w:rPr>
        <w:t>二、收入决算表</w:t>
      </w:r>
      <w:bookmarkEnd w:id="54"/>
      <w:bookmarkEnd w:id="55"/>
    </w:p>
    <w:p w14:paraId="74FF8D9E">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6" w:name="_Toc16600"/>
      <w:bookmarkStart w:id="57" w:name="_Toc29688"/>
      <w:r>
        <w:rPr>
          <w:rFonts w:hint="eastAsia" w:ascii="仿宋" w:hAnsi="Cambria" w:eastAsia="仿宋" w:cs="Times New Roman"/>
          <w:b w:val="0"/>
          <w:color w:val="000000"/>
          <w:kern w:val="2"/>
          <w:sz w:val="32"/>
          <w:szCs w:val="32"/>
          <w:lang w:bidi="ar-SA"/>
        </w:rPr>
        <w:t>三、支出决算表</w:t>
      </w:r>
      <w:bookmarkEnd w:id="56"/>
      <w:bookmarkEnd w:id="57"/>
    </w:p>
    <w:p w14:paraId="26A58729">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8" w:name="_Toc5964"/>
      <w:bookmarkStart w:id="59" w:name="_Toc26630"/>
      <w:r>
        <w:rPr>
          <w:rFonts w:hint="eastAsia" w:ascii="仿宋" w:hAnsi="Cambria" w:eastAsia="仿宋" w:cs="Times New Roman"/>
          <w:b w:val="0"/>
          <w:color w:val="000000"/>
          <w:kern w:val="2"/>
          <w:sz w:val="32"/>
          <w:szCs w:val="32"/>
          <w:lang w:bidi="ar-SA"/>
        </w:rPr>
        <w:t>四、财政拨款收入支出决算总表</w:t>
      </w:r>
      <w:bookmarkEnd w:id="58"/>
      <w:bookmarkEnd w:id="59"/>
    </w:p>
    <w:p w14:paraId="7DB3FD6B">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0" w:name="_Toc19934"/>
      <w:bookmarkStart w:id="61" w:name="_Toc14273"/>
      <w:r>
        <w:rPr>
          <w:rFonts w:hint="eastAsia" w:ascii="仿宋" w:hAnsi="Cambria" w:eastAsia="仿宋" w:cs="Times New Roman"/>
          <w:b w:val="0"/>
          <w:color w:val="000000"/>
          <w:kern w:val="2"/>
          <w:sz w:val="32"/>
          <w:szCs w:val="32"/>
          <w:lang w:bidi="ar-SA"/>
        </w:rPr>
        <w:t>五、财政拨款支出决算明细表</w:t>
      </w:r>
      <w:bookmarkEnd w:id="60"/>
      <w:bookmarkEnd w:id="61"/>
    </w:p>
    <w:p w14:paraId="4E7F6998">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2" w:name="_Toc6686"/>
      <w:bookmarkStart w:id="63" w:name="_Toc16449"/>
      <w:r>
        <w:rPr>
          <w:rFonts w:hint="eastAsia" w:ascii="仿宋" w:hAnsi="Cambria" w:eastAsia="仿宋" w:cs="Times New Roman"/>
          <w:b w:val="0"/>
          <w:color w:val="000000"/>
          <w:kern w:val="2"/>
          <w:sz w:val="32"/>
          <w:szCs w:val="32"/>
          <w:lang w:bidi="ar-SA"/>
        </w:rPr>
        <w:t>六、一般公共预算财政拨款支出决算表</w:t>
      </w:r>
      <w:bookmarkEnd w:id="62"/>
      <w:bookmarkEnd w:id="63"/>
    </w:p>
    <w:p w14:paraId="0B85686E">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4" w:name="_Toc3478"/>
      <w:bookmarkStart w:id="65" w:name="_Toc19514"/>
      <w:r>
        <w:rPr>
          <w:rFonts w:hint="eastAsia" w:ascii="仿宋" w:hAnsi="Cambria" w:eastAsia="仿宋" w:cs="Times New Roman"/>
          <w:b w:val="0"/>
          <w:color w:val="000000"/>
          <w:kern w:val="2"/>
          <w:sz w:val="32"/>
          <w:szCs w:val="32"/>
          <w:lang w:bidi="ar-SA"/>
        </w:rPr>
        <w:t>七、一般公共预算财政拨款支出决算明细表</w:t>
      </w:r>
      <w:bookmarkEnd w:id="64"/>
      <w:bookmarkEnd w:id="65"/>
    </w:p>
    <w:p w14:paraId="7FD457CB">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6" w:name="_Toc17352"/>
      <w:bookmarkStart w:id="67" w:name="_Toc191"/>
      <w:r>
        <w:rPr>
          <w:rFonts w:hint="eastAsia" w:ascii="仿宋" w:hAnsi="Cambria" w:eastAsia="仿宋" w:cs="Times New Roman"/>
          <w:b w:val="0"/>
          <w:color w:val="000000"/>
          <w:kern w:val="2"/>
          <w:sz w:val="32"/>
          <w:szCs w:val="32"/>
          <w:lang w:bidi="ar-SA"/>
        </w:rPr>
        <w:t>八、一般公共预算财政拨款基本支出决算表</w:t>
      </w:r>
      <w:bookmarkEnd w:id="66"/>
      <w:bookmarkEnd w:id="67"/>
    </w:p>
    <w:p w14:paraId="28A36D87">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8" w:name="_Toc3726"/>
      <w:bookmarkStart w:id="69" w:name="_Toc5204"/>
      <w:r>
        <w:rPr>
          <w:rFonts w:hint="eastAsia" w:ascii="仿宋" w:hAnsi="Cambria" w:eastAsia="仿宋" w:cs="Times New Roman"/>
          <w:b w:val="0"/>
          <w:color w:val="000000"/>
          <w:kern w:val="2"/>
          <w:sz w:val="32"/>
          <w:szCs w:val="32"/>
          <w:lang w:bidi="ar-SA"/>
        </w:rPr>
        <w:t>九、一般公共预算财政拨款项目支出决算表</w:t>
      </w:r>
      <w:bookmarkEnd w:id="68"/>
      <w:bookmarkEnd w:id="69"/>
    </w:p>
    <w:p w14:paraId="7BC96BD4">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0" w:name="_Toc20756"/>
      <w:bookmarkStart w:id="71" w:name="_Toc20056"/>
      <w:r>
        <w:rPr>
          <w:rFonts w:hint="eastAsia" w:ascii="仿宋" w:hAnsi="Cambria" w:eastAsia="仿宋" w:cs="Times New Roman"/>
          <w:b w:val="0"/>
          <w:color w:val="000000"/>
          <w:kern w:val="2"/>
          <w:sz w:val="32"/>
          <w:szCs w:val="32"/>
          <w:lang w:bidi="ar-SA"/>
        </w:rPr>
        <w:t>十、政府性基金预算财政拨款收入支出决算表</w:t>
      </w:r>
      <w:bookmarkEnd w:id="70"/>
      <w:bookmarkEnd w:id="71"/>
    </w:p>
    <w:p w14:paraId="6576A11D">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2" w:name="_Toc21387"/>
      <w:bookmarkStart w:id="73" w:name="_Toc13849"/>
      <w:r>
        <w:rPr>
          <w:rFonts w:hint="eastAsia" w:ascii="仿宋" w:hAnsi="Cambria" w:eastAsia="仿宋" w:cs="Times New Roman"/>
          <w:b w:val="0"/>
          <w:color w:val="000000"/>
          <w:kern w:val="2"/>
          <w:sz w:val="32"/>
          <w:szCs w:val="32"/>
          <w:lang w:bidi="ar-SA"/>
        </w:rPr>
        <w:t>十一、国有资本经营预算财政拨款收入支出决算表</w:t>
      </w:r>
      <w:bookmarkEnd w:id="72"/>
      <w:bookmarkEnd w:id="73"/>
    </w:p>
    <w:p w14:paraId="10CDA3AB">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4" w:name="_Toc1140"/>
      <w:bookmarkStart w:id="75" w:name="_Toc13099"/>
      <w:r>
        <w:rPr>
          <w:rFonts w:hint="eastAsia" w:ascii="仿宋" w:hAnsi="Cambria" w:eastAsia="仿宋" w:cs="Times New Roman"/>
          <w:b w:val="0"/>
          <w:color w:val="000000"/>
          <w:kern w:val="2"/>
          <w:sz w:val="32"/>
          <w:szCs w:val="32"/>
          <w:lang w:bidi="ar-SA"/>
        </w:rPr>
        <w:t>十二、国有资本经营预算财政拨款支出决算表</w:t>
      </w:r>
      <w:bookmarkEnd w:id="74"/>
      <w:bookmarkEnd w:id="75"/>
    </w:p>
    <w:p w14:paraId="6E7C5E03">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6" w:name="_Toc24957"/>
      <w:bookmarkStart w:id="77" w:name="_Toc25065"/>
      <w:r>
        <w:rPr>
          <w:rFonts w:hint="eastAsia" w:ascii="仿宋" w:hAnsi="Cambria" w:eastAsia="仿宋" w:cs="Times New Roman"/>
          <w:b w:val="0"/>
          <w:color w:val="000000"/>
          <w:kern w:val="2"/>
          <w:sz w:val="32"/>
          <w:szCs w:val="32"/>
          <w:lang w:bidi="ar-SA"/>
        </w:rPr>
        <w:t>十三、财政拨款“三公”经费支出决算表</w:t>
      </w:r>
      <w:bookmarkEnd w:id="76"/>
      <w:bookmarkEnd w:id="77"/>
    </w:p>
    <w:p w14:paraId="58B0F3B9">
      <w:pPr>
        <w:pageBreakBefore w:val="0"/>
        <w:widowControl w:val="0"/>
        <w:kinsoku/>
        <w:wordWrap/>
        <w:overflowPunct/>
        <w:topLinePunct w:val="0"/>
        <w:autoSpaceDE/>
        <w:autoSpaceDN/>
        <w:bidi w:val="0"/>
        <w:adjustRightInd/>
        <w:snapToGrid/>
        <w:spacing w:line="576" w:lineRule="exact"/>
        <w:textAlignment w:val="auto"/>
      </w:pPr>
    </w:p>
    <w:p w14:paraId="64A60F44">
      <w:pPr>
        <w:pageBreakBefore w:val="0"/>
        <w:widowControl w:val="0"/>
        <w:kinsoku/>
        <w:wordWrap/>
        <w:overflowPunct/>
        <w:topLinePunct w:val="0"/>
        <w:autoSpaceDE/>
        <w:autoSpaceDN/>
        <w:bidi w:val="0"/>
        <w:adjustRightInd/>
        <w:snapToGrid/>
        <w:spacing w:line="576" w:lineRule="exact"/>
        <w:textAlignment w:val="auto"/>
      </w:pP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1B731">
    <w:pPr>
      <w:pStyle w:val="14"/>
      <w:jc w:val="center"/>
    </w:pPr>
    <w:r>
      <w:fldChar w:fldCharType="begin"/>
    </w:r>
    <w:r>
      <w:instrText xml:space="preserve">PAGE   \* MERGEFORMAT</w:instrText>
    </w:r>
    <w:r>
      <w:fldChar w:fldCharType="separate"/>
    </w:r>
    <w:r>
      <w:t>2</w:t>
    </w:r>
    <w:r>
      <w:fldChar w:fldCharType="end"/>
    </w:r>
  </w:p>
  <w:p w14:paraId="2C71977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13662">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YjVhZDVkOTI5M2RiZmQyYWMwYjgxMjc2NTUwM2EifQ=="/>
  </w:docVars>
  <w:rsids>
    <w:rsidRoot w:val="00F1361C"/>
    <w:rsid w:val="0002219A"/>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7F31"/>
    <w:rsid w:val="00114E9B"/>
    <w:rsid w:val="00115301"/>
    <w:rsid w:val="001319E1"/>
    <w:rsid w:val="00142216"/>
    <w:rsid w:val="00144D6A"/>
    <w:rsid w:val="0014729F"/>
    <w:rsid w:val="00157BAB"/>
    <w:rsid w:val="001654D1"/>
    <w:rsid w:val="00174518"/>
    <w:rsid w:val="0018106D"/>
    <w:rsid w:val="001877A7"/>
    <w:rsid w:val="00191536"/>
    <w:rsid w:val="00196687"/>
    <w:rsid w:val="00196E63"/>
    <w:rsid w:val="001A7226"/>
    <w:rsid w:val="001A73F7"/>
    <w:rsid w:val="001C0962"/>
    <w:rsid w:val="001D7531"/>
    <w:rsid w:val="001E737D"/>
    <w:rsid w:val="001F0592"/>
    <w:rsid w:val="001F4E85"/>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76688"/>
    <w:rsid w:val="00280496"/>
    <w:rsid w:val="0028363B"/>
    <w:rsid w:val="00294DC9"/>
    <w:rsid w:val="00295495"/>
    <w:rsid w:val="002A31DE"/>
    <w:rsid w:val="002B2613"/>
    <w:rsid w:val="002D21B4"/>
    <w:rsid w:val="002D6D05"/>
    <w:rsid w:val="002F1818"/>
    <w:rsid w:val="002F567B"/>
    <w:rsid w:val="00305796"/>
    <w:rsid w:val="003216A9"/>
    <w:rsid w:val="00330421"/>
    <w:rsid w:val="00331E0C"/>
    <w:rsid w:val="00335A74"/>
    <w:rsid w:val="0036561B"/>
    <w:rsid w:val="0037013F"/>
    <w:rsid w:val="00380C92"/>
    <w:rsid w:val="00391FB4"/>
    <w:rsid w:val="003A484F"/>
    <w:rsid w:val="003A4883"/>
    <w:rsid w:val="003B0BE0"/>
    <w:rsid w:val="003B0C1B"/>
    <w:rsid w:val="003B39EA"/>
    <w:rsid w:val="003B688C"/>
    <w:rsid w:val="003C0291"/>
    <w:rsid w:val="003C39AE"/>
    <w:rsid w:val="003C5E26"/>
    <w:rsid w:val="003C7B60"/>
    <w:rsid w:val="003D0C0F"/>
    <w:rsid w:val="003D1FB2"/>
    <w:rsid w:val="003D66DA"/>
    <w:rsid w:val="003E1310"/>
    <w:rsid w:val="003E6F55"/>
    <w:rsid w:val="003E6FE4"/>
    <w:rsid w:val="003F08F7"/>
    <w:rsid w:val="00406254"/>
    <w:rsid w:val="004223DE"/>
    <w:rsid w:val="00423FD7"/>
    <w:rsid w:val="00434489"/>
    <w:rsid w:val="00437085"/>
    <w:rsid w:val="00443880"/>
    <w:rsid w:val="00445607"/>
    <w:rsid w:val="004464F4"/>
    <w:rsid w:val="00471401"/>
    <w:rsid w:val="00473F31"/>
    <w:rsid w:val="0048263A"/>
    <w:rsid w:val="00484C35"/>
    <w:rsid w:val="00487E5D"/>
    <w:rsid w:val="004A711F"/>
    <w:rsid w:val="004B199D"/>
    <w:rsid w:val="004B4690"/>
    <w:rsid w:val="004D5479"/>
    <w:rsid w:val="004D5D38"/>
    <w:rsid w:val="004E0A2D"/>
    <w:rsid w:val="004E206B"/>
    <w:rsid w:val="004E6DF7"/>
    <w:rsid w:val="004F0FBD"/>
    <w:rsid w:val="00505A47"/>
    <w:rsid w:val="00512FDA"/>
    <w:rsid w:val="00520DA0"/>
    <w:rsid w:val="005269A7"/>
    <w:rsid w:val="005269D7"/>
    <w:rsid w:val="00537A94"/>
    <w:rsid w:val="0054336D"/>
    <w:rsid w:val="005664BB"/>
    <w:rsid w:val="00566FFA"/>
    <w:rsid w:val="0057481D"/>
    <w:rsid w:val="00574CA6"/>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599F"/>
    <w:rsid w:val="00630AEF"/>
    <w:rsid w:val="006325F8"/>
    <w:rsid w:val="00633463"/>
    <w:rsid w:val="00634C9A"/>
    <w:rsid w:val="006440E4"/>
    <w:rsid w:val="00645F81"/>
    <w:rsid w:val="0066343B"/>
    <w:rsid w:val="00664777"/>
    <w:rsid w:val="00671B27"/>
    <w:rsid w:val="006748A4"/>
    <w:rsid w:val="00681A31"/>
    <w:rsid w:val="00683E73"/>
    <w:rsid w:val="006A3141"/>
    <w:rsid w:val="006A5E34"/>
    <w:rsid w:val="006B2422"/>
    <w:rsid w:val="006B2B9A"/>
    <w:rsid w:val="006C1937"/>
    <w:rsid w:val="006F020C"/>
    <w:rsid w:val="007127B7"/>
    <w:rsid w:val="0071798E"/>
    <w:rsid w:val="007407BF"/>
    <w:rsid w:val="007416B6"/>
    <w:rsid w:val="00746F48"/>
    <w:rsid w:val="0075404D"/>
    <w:rsid w:val="0076182A"/>
    <w:rsid w:val="00767B7E"/>
    <w:rsid w:val="007770C3"/>
    <w:rsid w:val="00780966"/>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5111"/>
    <w:rsid w:val="008673E8"/>
    <w:rsid w:val="00871F71"/>
    <w:rsid w:val="00872FD8"/>
    <w:rsid w:val="00885AF4"/>
    <w:rsid w:val="00892977"/>
    <w:rsid w:val="008939CD"/>
    <w:rsid w:val="008B768C"/>
    <w:rsid w:val="008C4DB1"/>
    <w:rsid w:val="008C4EAF"/>
    <w:rsid w:val="008C5176"/>
    <w:rsid w:val="008C7FD0"/>
    <w:rsid w:val="008E1DE7"/>
    <w:rsid w:val="008E31B4"/>
    <w:rsid w:val="008E68E9"/>
    <w:rsid w:val="008E707C"/>
    <w:rsid w:val="00900B08"/>
    <w:rsid w:val="00902155"/>
    <w:rsid w:val="00902FA3"/>
    <w:rsid w:val="00917D9D"/>
    <w:rsid w:val="00923564"/>
    <w:rsid w:val="0092392E"/>
    <w:rsid w:val="009315F9"/>
    <w:rsid w:val="00933499"/>
    <w:rsid w:val="009334D8"/>
    <w:rsid w:val="00935C98"/>
    <w:rsid w:val="00946945"/>
    <w:rsid w:val="00951248"/>
    <w:rsid w:val="0095152F"/>
    <w:rsid w:val="00954C49"/>
    <w:rsid w:val="00955E37"/>
    <w:rsid w:val="00962656"/>
    <w:rsid w:val="0097099F"/>
    <w:rsid w:val="009713A8"/>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2AD9"/>
    <w:rsid w:val="00A45BB7"/>
    <w:rsid w:val="00A56045"/>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34EC"/>
    <w:rsid w:val="00B14E76"/>
    <w:rsid w:val="00B161B8"/>
    <w:rsid w:val="00B2048C"/>
    <w:rsid w:val="00B310B9"/>
    <w:rsid w:val="00B35F3F"/>
    <w:rsid w:val="00B36CBB"/>
    <w:rsid w:val="00B425E0"/>
    <w:rsid w:val="00B440AA"/>
    <w:rsid w:val="00B44B70"/>
    <w:rsid w:val="00B53C56"/>
    <w:rsid w:val="00B57DAF"/>
    <w:rsid w:val="00B720C5"/>
    <w:rsid w:val="00B77EA6"/>
    <w:rsid w:val="00B81598"/>
    <w:rsid w:val="00B841F1"/>
    <w:rsid w:val="00B90E4E"/>
    <w:rsid w:val="00B93355"/>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97815"/>
    <w:rsid w:val="00CB4E70"/>
    <w:rsid w:val="00CC09B6"/>
    <w:rsid w:val="00CC666F"/>
    <w:rsid w:val="00CD1E3F"/>
    <w:rsid w:val="00CE44F6"/>
    <w:rsid w:val="00CE49DA"/>
    <w:rsid w:val="00CE7B61"/>
    <w:rsid w:val="00D00095"/>
    <w:rsid w:val="00D114F0"/>
    <w:rsid w:val="00D20620"/>
    <w:rsid w:val="00D23F33"/>
    <w:rsid w:val="00D25339"/>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A32"/>
    <w:rsid w:val="00DC7CBA"/>
    <w:rsid w:val="00DD73B7"/>
    <w:rsid w:val="00DF28BC"/>
    <w:rsid w:val="00DF34B9"/>
    <w:rsid w:val="00E00407"/>
    <w:rsid w:val="00E01053"/>
    <w:rsid w:val="00E07ACF"/>
    <w:rsid w:val="00E32CAD"/>
    <w:rsid w:val="00E331A1"/>
    <w:rsid w:val="00E33202"/>
    <w:rsid w:val="00E336A9"/>
    <w:rsid w:val="00E472B1"/>
    <w:rsid w:val="00E50624"/>
    <w:rsid w:val="00E568DF"/>
    <w:rsid w:val="00E64269"/>
    <w:rsid w:val="00E70975"/>
    <w:rsid w:val="00E8038C"/>
    <w:rsid w:val="00E82267"/>
    <w:rsid w:val="00E825DB"/>
    <w:rsid w:val="00E853CE"/>
    <w:rsid w:val="00E8567B"/>
    <w:rsid w:val="00E863B7"/>
    <w:rsid w:val="00E867B6"/>
    <w:rsid w:val="00EA010F"/>
    <w:rsid w:val="00EA0891"/>
    <w:rsid w:val="00EA6816"/>
    <w:rsid w:val="00ED1B63"/>
    <w:rsid w:val="00ED2162"/>
    <w:rsid w:val="00ED3C1F"/>
    <w:rsid w:val="00ED4085"/>
    <w:rsid w:val="00ED420E"/>
    <w:rsid w:val="00ED6FBE"/>
    <w:rsid w:val="00EE2F57"/>
    <w:rsid w:val="00EF4C34"/>
    <w:rsid w:val="00EF60EF"/>
    <w:rsid w:val="00EF77C6"/>
    <w:rsid w:val="00F05438"/>
    <w:rsid w:val="00F1361C"/>
    <w:rsid w:val="00F156F0"/>
    <w:rsid w:val="00F160C7"/>
    <w:rsid w:val="00F1682A"/>
    <w:rsid w:val="00F2408F"/>
    <w:rsid w:val="00F240E9"/>
    <w:rsid w:val="00F33386"/>
    <w:rsid w:val="00F36D8F"/>
    <w:rsid w:val="00F417B1"/>
    <w:rsid w:val="00F45853"/>
    <w:rsid w:val="00F602DF"/>
    <w:rsid w:val="00F754A1"/>
    <w:rsid w:val="00F81FD9"/>
    <w:rsid w:val="00F841AA"/>
    <w:rsid w:val="00F84A94"/>
    <w:rsid w:val="00F87E96"/>
    <w:rsid w:val="00FA23E8"/>
    <w:rsid w:val="00FC1AD8"/>
    <w:rsid w:val="00FC2607"/>
    <w:rsid w:val="00FD3CC1"/>
    <w:rsid w:val="00FE553C"/>
    <w:rsid w:val="00FF1E02"/>
    <w:rsid w:val="00FF30B4"/>
    <w:rsid w:val="02A92B78"/>
    <w:rsid w:val="03E72B61"/>
    <w:rsid w:val="04971BA0"/>
    <w:rsid w:val="04B74C29"/>
    <w:rsid w:val="079B711B"/>
    <w:rsid w:val="07D27450"/>
    <w:rsid w:val="07EC4BEA"/>
    <w:rsid w:val="090E2EFD"/>
    <w:rsid w:val="094C7564"/>
    <w:rsid w:val="0969226A"/>
    <w:rsid w:val="0A2032A3"/>
    <w:rsid w:val="0AB202CC"/>
    <w:rsid w:val="0F9A13CF"/>
    <w:rsid w:val="1045133B"/>
    <w:rsid w:val="10C055FF"/>
    <w:rsid w:val="118107EC"/>
    <w:rsid w:val="11FC5F65"/>
    <w:rsid w:val="153C6A85"/>
    <w:rsid w:val="15841A39"/>
    <w:rsid w:val="159B682A"/>
    <w:rsid w:val="15FD6214"/>
    <w:rsid w:val="16BB723D"/>
    <w:rsid w:val="176C49AE"/>
    <w:rsid w:val="177C27F2"/>
    <w:rsid w:val="18A36ABF"/>
    <w:rsid w:val="1A2553E4"/>
    <w:rsid w:val="1ABF1101"/>
    <w:rsid w:val="1B144D1E"/>
    <w:rsid w:val="1BB370F8"/>
    <w:rsid w:val="1BEC6423"/>
    <w:rsid w:val="1BFB7BAC"/>
    <w:rsid w:val="1CC11852"/>
    <w:rsid w:val="1D155CEE"/>
    <w:rsid w:val="1E67783A"/>
    <w:rsid w:val="1E6E5F01"/>
    <w:rsid w:val="1F784B5D"/>
    <w:rsid w:val="1FC1646E"/>
    <w:rsid w:val="1FCC7674"/>
    <w:rsid w:val="1FE26589"/>
    <w:rsid w:val="209D487B"/>
    <w:rsid w:val="20E67A12"/>
    <w:rsid w:val="21FF71DF"/>
    <w:rsid w:val="222D1C2F"/>
    <w:rsid w:val="227839A9"/>
    <w:rsid w:val="23324604"/>
    <w:rsid w:val="23A2194B"/>
    <w:rsid w:val="23CF0C6C"/>
    <w:rsid w:val="240371BF"/>
    <w:rsid w:val="24945F95"/>
    <w:rsid w:val="25382DC5"/>
    <w:rsid w:val="264552AC"/>
    <w:rsid w:val="266A54DF"/>
    <w:rsid w:val="26D43CBB"/>
    <w:rsid w:val="272C4BAB"/>
    <w:rsid w:val="277C1233"/>
    <w:rsid w:val="27BF157B"/>
    <w:rsid w:val="28797341"/>
    <w:rsid w:val="29FD04D3"/>
    <w:rsid w:val="2A10729A"/>
    <w:rsid w:val="2AE45A08"/>
    <w:rsid w:val="2CEC4D8F"/>
    <w:rsid w:val="2D6261EF"/>
    <w:rsid w:val="2DC21DC5"/>
    <w:rsid w:val="2F234AE5"/>
    <w:rsid w:val="2F544C9F"/>
    <w:rsid w:val="2FA44EB5"/>
    <w:rsid w:val="2FE83639"/>
    <w:rsid w:val="30006BD5"/>
    <w:rsid w:val="319F7F4E"/>
    <w:rsid w:val="329D4BAF"/>
    <w:rsid w:val="337B013A"/>
    <w:rsid w:val="34202FEC"/>
    <w:rsid w:val="34AE30A3"/>
    <w:rsid w:val="350D451A"/>
    <w:rsid w:val="351A54EA"/>
    <w:rsid w:val="354258EB"/>
    <w:rsid w:val="37225683"/>
    <w:rsid w:val="39721065"/>
    <w:rsid w:val="3AD458E2"/>
    <w:rsid w:val="3AF115FB"/>
    <w:rsid w:val="3BAC7C11"/>
    <w:rsid w:val="3CFE679F"/>
    <w:rsid w:val="3E057A17"/>
    <w:rsid w:val="3E454BFA"/>
    <w:rsid w:val="3EA177D5"/>
    <w:rsid w:val="423946B7"/>
    <w:rsid w:val="42416A88"/>
    <w:rsid w:val="426A038A"/>
    <w:rsid w:val="463C05A2"/>
    <w:rsid w:val="4674127B"/>
    <w:rsid w:val="48652695"/>
    <w:rsid w:val="48A15CA6"/>
    <w:rsid w:val="496C43B8"/>
    <w:rsid w:val="4A525E27"/>
    <w:rsid w:val="4ABF102E"/>
    <w:rsid w:val="4B685902"/>
    <w:rsid w:val="4B71754C"/>
    <w:rsid w:val="4BB66C32"/>
    <w:rsid w:val="4BFA0524"/>
    <w:rsid w:val="4C7B3413"/>
    <w:rsid w:val="4ECE2238"/>
    <w:rsid w:val="50C106B1"/>
    <w:rsid w:val="52EA2E76"/>
    <w:rsid w:val="53B65679"/>
    <w:rsid w:val="53E755F7"/>
    <w:rsid w:val="54304728"/>
    <w:rsid w:val="544124BA"/>
    <w:rsid w:val="54A43723"/>
    <w:rsid w:val="54A47238"/>
    <w:rsid w:val="55102912"/>
    <w:rsid w:val="55E203F1"/>
    <w:rsid w:val="566A5E1C"/>
    <w:rsid w:val="56F74D33"/>
    <w:rsid w:val="57121136"/>
    <w:rsid w:val="5742647E"/>
    <w:rsid w:val="58382B00"/>
    <w:rsid w:val="59A0270B"/>
    <w:rsid w:val="5A307F33"/>
    <w:rsid w:val="5B092C41"/>
    <w:rsid w:val="5D086F45"/>
    <w:rsid w:val="5F096FA4"/>
    <w:rsid w:val="602776E2"/>
    <w:rsid w:val="61740ADC"/>
    <w:rsid w:val="639037F0"/>
    <w:rsid w:val="649E3CEB"/>
    <w:rsid w:val="64C24C4F"/>
    <w:rsid w:val="653559E5"/>
    <w:rsid w:val="65D5369F"/>
    <w:rsid w:val="670A38BA"/>
    <w:rsid w:val="6764746E"/>
    <w:rsid w:val="69050650"/>
    <w:rsid w:val="6C4A05C8"/>
    <w:rsid w:val="6CB860E5"/>
    <w:rsid w:val="6D4C5855"/>
    <w:rsid w:val="6EED41CD"/>
    <w:rsid w:val="6EED7D49"/>
    <w:rsid w:val="72734D90"/>
    <w:rsid w:val="732577E8"/>
    <w:rsid w:val="74053257"/>
    <w:rsid w:val="74D55507"/>
    <w:rsid w:val="75465218"/>
    <w:rsid w:val="76517E72"/>
    <w:rsid w:val="77C6037C"/>
    <w:rsid w:val="79E85243"/>
    <w:rsid w:val="7A9B61C0"/>
    <w:rsid w:val="7AE119CA"/>
    <w:rsid w:val="7BD06A28"/>
    <w:rsid w:val="7BD443D6"/>
    <w:rsid w:val="7D3F7B63"/>
    <w:rsid w:val="7D77070D"/>
    <w:rsid w:val="7DE4010B"/>
    <w:rsid w:val="7E665422"/>
    <w:rsid w:val="7E8D2F61"/>
    <w:rsid w:val="7F6009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paragraph" w:styleId="7">
    <w:name w:val="heading 3"/>
    <w:basedOn w:val="1"/>
    <w:next w:val="1"/>
    <w:link w:val="34"/>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qFormat/>
    <w:uiPriority w:val="0"/>
    <w:pPr>
      <w:tabs>
        <w:tab w:val="left" w:pos="960"/>
      </w:tabs>
      <w:ind w:firstLine="420" w:firstLineChars="200"/>
    </w:pPr>
  </w:style>
  <w:style w:type="paragraph" w:styleId="4">
    <w:name w:val="Body Text Indent"/>
    <w:basedOn w:val="1"/>
    <w:next w:val="3"/>
    <w:qFormat/>
    <w:uiPriority w:val="0"/>
    <w:pPr>
      <w:tabs>
        <w:tab w:val="left" w:pos="960"/>
      </w:tabs>
      <w:spacing w:line="540" w:lineRule="exact"/>
      <w:ind w:firstLine="5440" w:firstLineChars="1700"/>
    </w:pPr>
    <w:rPr>
      <w:sz w:val="32"/>
      <w:szCs w:val="32"/>
    </w:rPr>
  </w:style>
  <w:style w:type="paragraph" w:styleId="8">
    <w:name w:val="toc 7"/>
    <w:basedOn w:val="1"/>
    <w:next w:val="1"/>
    <w:unhideWhenUsed/>
    <w:qFormat/>
    <w:uiPriority w:val="39"/>
    <w:pPr>
      <w:ind w:left="1260"/>
      <w:jc w:val="left"/>
    </w:pPr>
    <w:rPr>
      <w:rFonts w:ascii="等线" w:eastAsia="等线"/>
      <w:sz w:val="18"/>
      <w:szCs w:val="18"/>
    </w:rPr>
  </w:style>
  <w:style w:type="paragraph" w:styleId="9">
    <w:name w:val="Body Text"/>
    <w:basedOn w:val="1"/>
    <w:link w:val="35"/>
    <w:qFormat/>
    <w:uiPriority w:val="99"/>
    <w:pPr>
      <w:spacing w:beforeLines="30"/>
    </w:pPr>
    <w:rPr>
      <w:rFonts w:ascii="仿宋_GB2312" w:eastAsia="仿宋_GB2312"/>
      <w:kern w:val="0"/>
      <w:sz w:val="24"/>
      <w:szCs w:val="20"/>
      <w:lang w:val="zh-CN"/>
    </w:rPr>
  </w:style>
  <w:style w:type="paragraph" w:styleId="10">
    <w:name w:val="toc 5"/>
    <w:basedOn w:val="1"/>
    <w:next w:val="1"/>
    <w:unhideWhenUsed/>
    <w:qFormat/>
    <w:uiPriority w:val="39"/>
    <w:pPr>
      <w:ind w:left="840"/>
      <w:jc w:val="left"/>
    </w:pPr>
    <w:rPr>
      <w:rFonts w:ascii="等线" w:eastAsia="等线"/>
      <w:sz w:val="18"/>
      <w:szCs w:val="18"/>
    </w:rPr>
  </w:style>
  <w:style w:type="paragraph" w:styleId="11">
    <w:name w:val="toc 3"/>
    <w:basedOn w:val="1"/>
    <w:next w:val="1"/>
    <w:unhideWhenUsed/>
    <w:qFormat/>
    <w:uiPriority w:val="39"/>
    <w:pPr>
      <w:ind w:left="420"/>
      <w:jc w:val="left"/>
    </w:pPr>
    <w:rPr>
      <w:rFonts w:ascii="等线" w:eastAsia="等线"/>
      <w:i/>
      <w:iCs/>
      <w:sz w:val="20"/>
      <w:szCs w:val="20"/>
    </w:rPr>
  </w:style>
  <w:style w:type="paragraph" w:styleId="12">
    <w:name w:val="toc 8"/>
    <w:basedOn w:val="1"/>
    <w:next w:val="1"/>
    <w:unhideWhenUsed/>
    <w:qFormat/>
    <w:uiPriority w:val="39"/>
    <w:pPr>
      <w:ind w:left="1470"/>
      <w:jc w:val="left"/>
    </w:pPr>
    <w:rPr>
      <w:rFonts w:ascii="等线" w:eastAsia="等线"/>
      <w:sz w:val="18"/>
      <w:szCs w:val="18"/>
    </w:rPr>
  </w:style>
  <w:style w:type="paragraph" w:styleId="13">
    <w:name w:val="Balloon Text"/>
    <w:basedOn w:val="1"/>
    <w:link w:val="38"/>
    <w:unhideWhenUsed/>
    <w:qFormat/>
    <w:uiPriority w:val="99"/>
    <w:rPr>
      <w:sz w:val="18"/>
      <w:szCs w:val="18"/>
    </w:rPr>
  </w:style>
  <w:style w:type="paragraph" w:styleId="14">
    <w:name w:val="footer"/>
    <w:basedOn w:val="1"/>
    <w:link w:val="36"/>
    <w:qFormat/>
    <w:uiPriority w:val="99"/>
    <w:pPr>
      <w:tabs>
        <w:tab w:val="center" w:pos="4153"/>
        <w:tab w:val="right" w:pos="8306"/>
      </w:tabs>
      <w:snapToGrid w:val="0"/>
      <w:jc w:val="left"/>
    </w:pPr>
    <w:rPr>
      <w:rFonts w:ascii="Calibri" w:hAnsi="Calibri"/>
      <w:kern w:val="0"/>
      <w:sz w:val="18"/>
      <w:szCs w:val="20"/>
      <w:lang w:val="zh-CN"/>
    </w:rPr>
  </w:style>
  <w:style w:type="paragraph" w:styleId="15">
    <w:name w:val="header"/>
    <w:basedOn w:val="1"/>
    <w:link w:val="43"/>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6">
    <w:name w:val="toc 1"/>
    <w:basedOn w:val="1"/>
    <w:next w:val="1"/>
    <w:unhideWhenUsed/>
    <w:qFormat/>
    <w:uiPriority w:val="39"/>
    <w:pPr>
      <w:spacing w:before="120" w:after="120"/>
      <w:jc w:val="left"/>
    </w:pPr>
    <w:rPr>
      <w:rFonts w:ascii="等线" w:eastAsia="等线"/>
      <w:b/>
      <w:bCs/>
      <w:caps/>
      <w:sz w:val="20"/>
      <w:szCs w:val="20"/>
    </w:rPr>
  </w:style>
  <w:style w:type="paragraph" w:styleId="17">
    <w:name w:val="toc 4"/>
    <w:basedOn w:val="1"/>
    <w:next w:val="1"/>
    <w:unhideWhenUsed/>
    <w:qFormat/>
    <w:uiPriority w:val="39"/>
    <w:pPr>
      <w:ind w:left="630"/>
      <w:jc w:val="left"/>
    </w:pPr>
    <w:rPr>
      <w:rFonts w:ascii="等线" w:eastAsia="等线"/>
      <w:sz w:val="18"/>
      <w:szCs w:val="18"/>
    </w:rPr>
  </w:style>
  <w:style w:type="paragraph" w:styleId="18">
    <w:name w:val="toc 6"/>
    <w:basedOn w:val="1"/>
    <w:next w:val="1"/>
    <w:unhideWhenUsed/>
    <w:qFormat/>
    <w:uiPriority w:val="39"/>
    <w:pPr>
      <w:ind w:left="1050"/>
      <w:jc w:val="left"/>
    </w:pPr>
    <w:rPr>
      <w:rFonts w:ascii="等线" w:eastAsia="等线"/>
      <w:sz w:val="18"/>
      <w:szCs w:val="18"/>
    </w:rPr>
  </w:style>
  <w:style w:type="paragraph" w:styleId="19">
    <w:name w:val="table of figures"/>
    <w:basedOn w:val="1"/>
    <w:next w:val="1"/>
    <w:qFormat/>
    <w:uiPriority w:val="99"/>
    <w:pPr>
      <w:ind w:left="200" w:leftChars="200" w:hanging="200" w:hangingChars="200"/>
    </w:pPr>
    <w:rPr>
      <w:rFonts w:ascii="Times New Roman" w:hAnsi="Times New Roman"/>
      <w:szCs w:val="24"/>
    </w:rPr>
  </w:style>
  <w:style w:type="paragraph" w:styleId="20">
    <w:name w:val="toc 2"/>
    <w:basedOn w:val="1"/>
    <w:next w:val="1"/>
    <w:unhideWhenUsed/>
    <w:qFormat/>
    <w:uiPriority w:val="39"/>
    <w:pPr>
      <w:ind w:left="210"/>
      <w:jc w:val="left"/>
    </w:pPr>
    <w:rPr>
      <w:rFonts w:ascii="等线" w:eastAsia="等线"/>
      <w:smallCaps/>
      <w:sz w:val="20"/>
      <w:szCs w:val="20"/>
    </w:rPr>
  </w:style>
  <w:style w:type="paragraph" w:styleId="21">
    <w:name w:val="toc 9"/>
    <w:basedOn w:val="1"/>
    <w:next w:val="1"/>
    <w:unhideWhenUsed/>
    <w:qFormat/>
    <w:uiPriority w:val="39"/>
    <w:pPr>
      <w:ind w:left="1680"/>
      <w:jc w:val="left"/>
    </w:pPr>
    <w:rPr>
      <w:rFonts w:ascii="等线" w:eastAsia="等线"/>
      <w:sz w:val="18"/>
      <w:szCs w:val="18"/>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Title"/>
    <w:basedOn w:val="1"/>
    <w:qFormat/>
    <w:uiPriority w:val="0"/>
    <w:pPr>
      <w:spacing w:before="240" w:after="60"/>
      <w:jc w:val="center"/>
      <w:outlineLvl w:val="0"/>
    </w:pPr>
    <w:rPr>
      <w:rFonts w:ascii="Arial" w:hAnsi="Arial" w:cs="Arial"/>
      <w:b/>
      <w:bCs/>
      <w:sz w:val="32"/>
      <w:szCs w:val="32"/>
    </w:rPr>
  </w:style>
  <w:style w:type="character" w:styleId="26">
    <w:name w:val="Strong"/>
    <w:basedOn w:val="25"/>
    <w:qFormat/>
    <w:uiPriority w:val="99"/>
    <w:rPr>
      <w:rFonts w:cs="Times New Roman"/>
      <w:b/>
    </w:rPr>
  </w:style>
  <w:style w:type="character" w:styleId="27">
    <w:name w:val="page number"/>
    <w:basedOn w:val="25"/>
    <w:qFormat/>
    <w:uiPriority w:val="0"/>
  </w:style>
  <w:style w:type="character" w:styleId="28">
    <w:name w:val="Hyperlink"/>
    <w:basedOn w:val="25"/>
    <w:unhideWhenUsed/>
    <w:qFormat/>
    <w:uiPriority w:val="99"/>
    <w:rPr>
      <w:rFonts w:cs="Times New Roman"/>
      <w:color w:val="0000FF"/>
      <w:u w:val="single"/>
    </w:rPr>
  </w:style>
  <w:style w:type="paragraph" w:customStyle="1" w:styleId="29">
    <w:name w:val="列表段落1"/>
    <w:basedOn w:val="1"/>
    <w:qFormat/>
    <w:uiPriority w:val="34"/>
    <w:pPr>
      <w:ind w:firstLine="420" w:firstLineChars="200"/>
    </w:pPr>
  </w:style>
  <w:style w:type="paragraph" w:customStyle="1" w:styleId="30">
    <w:name w:val="TOC 标题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3">
    <w:name w:val="TOC 标题2"/>
    <w:basedOn w:val="5"/>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4">
    <w:name w:val="标题 3 Char"/>
    <w:basedOn w:val="25"/>
    <w:link w:val="7"/>
    <w:qFormat/>
    <w:locked/>
    <w:uiPriority w:val="9"/>
    <w:rPr>
      <w:rFonts w:ascii="Times New Roman" w:hAnsi="Times New Roman" w:cs="Times New Roman"/>
      <w:b/>
      <w:bCs/>
      <w:kern w:val="2"/>
      <w:sz w:val="32"/>
      <w:szCs w:val="32"/>
    </w:rPr>
  </w:style>
  <w:style w:type="character" w:customStyle="1" w:styleId="35">
    <w:name w:val="正文文本 Char"/>
    <w:link w:val="9"/>
    <w:qFormat/>
    <w:locked/>
    <w:uiPriority w:val="99"/>
    <w:rPr>
      <w:rFonts w:ascii="仿宋_GB2312" w:hAnsi="Times New Roman" w:eastAsia="仿宋_GB2312"/>
      <w:sz w:val="24"/>
    </w:rPr>
  </w:style>
  <w:style w:type="character" w:customStyle="1" w:styleId="36">
    <w:name w:val="页脚 Char"/>
    <w:link w:val="14"/>
    <w:qFormat/>
    <w:locked/>
    <w:uiPriority w:val="99"/>
    <w:rPr>
      <w:sz w:val="18"/>
    </w:rPr>
  </w:style>
  <w:style w:type="character" w:customStyle="1" w:styleId="37">
    <w:name w:val="标题 1 Char"/>
    <w:basedOn w:val="25"/>
    <w:link w:val="5"/>
    <w:qFormat/>
    <w:locked/>
    <w:uiPriority w:val="9"/>
    <w:rPr>
      <w:rFonts w:ascii="Times New Roman" w:hAnsi="Times New Roman" w:cs="Times New Roman"/>
      <w:b/>
      <w:bCs/>
      <w:kern w:val="44"/>
      <w:sz w:val="44"/>
      <w:szCs w:val="44"/>
    </w:rPr>
  </w:style>
  <w:style w:type="character" w:customStyle="1" w:styleId="38">
    <w:name w:val="批注框文本 Char"/>
    <w:basedOn w:val="25"/>
    <w:link w:val="13"/>
    <w:semiHidden/>
    <w:qFormat/>
    <w:locked/>
    <w:uiPriority w:val="99"/>
    <w:rPr>
      <w:rFonts w:ascii="Times New Roman" w:hAnsi="Times New Roman" w:cs="Times New Roman"/>
      <w:kern w:val="2"/>
      <w:sz w:val="18"/>
      <w:szCs w:val="18"/>
    </w:rPr>
  </w:style>
  <w:style w:type="character" w:customStyle="1" w:styleId="39">
    <w:name w:val="Footer Char"/>
    <w:basedOn w:val="25"/>
    <w:semiHidden/>
    <w:qFormat/>
    <w:uiPriority w:val="99"/>
    <w:rPr>
      <w:rFonts w:ascii="Times New Roman" w:hAnsi="Times New Roman" w:cs="Times New Roman"/>
      <w:sz w:val="18"/>
      <w:szCs w:val="18"/>
    </w:rPr>
  </w:style>
  <w:style w:type="character" w:customStyle="1" w:styleId="40">
    <w:name w:val="Body Text Char"/>
    <w:basedOn w:val="25"/>
    <w:semiHidden/>
    <w:qFormat/>
    <w:uiPriority w:val="99"/>
    <w:rPr>
      <w:rFonts w:ascii="Times New Roman" w:hAnsi="Times New Roman" w:cs="Times New Roman"/>
      <w:sz w:val="24"/>
      <w:szCs w:val="24"/>
    </w:rPr>
  </w:style>
  <w:style w:type="character" w:customStyle="1" w:styleId="41">
    <w:name w:val="标题 2 Char"/>
    <w:basedOn w:val="25"/>
    <w:link w:val="6"/>
    <w:qFormat/>
    <w:locked/>
    <w:uiPriority w:val="9"/>
    <w:rPr>
      <w:rFonts w:ascii="Cambria" w:hAnsi="Cambria" w:eastAsia="宋体" w:cs="Times New Roman"/>
      <w:b/>
      <w:bCs/>
      <w:kern w:val="2"/>
      <w:sz w:val="32"/>
      <w:szCs w:val="32"/>
    </w:rPr>
  </w:style>
  <w:style w:type="character" w:customStyle="1" w:styleId="42">
    <w:name w:val="Header Char"/>
    <w:basedOn w:val="25"/>
    <w:semiHidden/>
    <w:qFormat/>
    <w:uiPriority w:val="99"/>
    <w:rPr>
      <w:rFonts w:ascii="Times New Roman" w:hAnsi="Times New Roman" w:cs="Times New Roman"/>
      <w:sz w:val="18"/>
      <w:szCs w:val="18"/>
    </w:rPr>
  </w:style>
  <w:style w:type="character" w:customStyle="1" w:styleId="43">
    <w:name w:val="页眉 Char"/>
    <w:link w:val="15"/>
    <w:semiHidden/>
    <w:qFormat/>
    <w:locked/>
    <w:uiPriority w:val="99"/>
    <w:rPr>
      <w:sz w:val="18"/>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 w:type="paragraph" w:customStyle="1" w:styleId="46">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manualLayout>
          <c:xMode val="edge"/>
          <c:yMode val="edge"/>
          <c:x val="0.293820471518524"/>
          <c:y val="0.0424348844015218"/>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136.2</c:v>
                </c:pt>
                <c:pt idx="1">
                  <c:v>159.88</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136.2</c:v>
                </c:pt>
                <c:pt idx="1">
                  <c:v>159.88</c:v>
                </c:pt>
              </c:numCache>
            </c:numRef>
          </c:val>
        </c:ser>
        <c:dLbls>
          <c:showLegendKey val="0"/>
          <c:showVal val="1"/>
          <c:showCatName val="0"/>
          <c:showSerName val="0"/>
          <c:showPercent val="0"/>
          <c:showBubbleSize val="0"/>
        </c:dLbls>
        <c:gapWidth val="260"/>
        <c:overlap val="-32"/>
        <c:axId val="119656832"/>
        <c:axId val="119658368"/>
      </c:barChart>
      <c:catAx>
        <c:axId val="1196568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658368"/>
        <c:crosses val="autoZero"/>
        <c:auto val="1"/>
        <c:lblAlgn val="ctr"/>
        <c:lblOffset val="100"/>
        <c:noMultiLvlLbl val="0"/>
      </c:catAx>
      <c:valAx>
        <c:axId val="119658368"/>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656832"/>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9d7238e-b343-42ae-9920-6bce8f8faf9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159.88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e40dd876-9cef-47d8-9fe3-07169437e92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159.88</c:v>
                </c:pt>
                <c:pt idx="1">
                  <c:v>0</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44d61984-9597-4a10-b8e7-b557c0b15df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136.2</c:v>
                </c:pt>
                <c:pt idx="1">
                  <c:v>159.88</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136.2</c:v>
                </c:pt>
                <c:pt idx="1">
                  <c:v>159.88</c:v>
                </c:pt>
              </c:numCache>
            </c:numRef>
          </c:val>
        </c:ser>
        <c:dLbls>
          <c:showLegendKey val="0"/>
          <c:showVal val="1"/>
          <c:showCatName val="0"/>
          <c:showSerName val="0"/>
          <c:showPercent val="0"/>
          <c:showBubbleSize val="0"/>
        </c:dLbls>
        <c:gapWidth val="260"/>
        <c:overlap val="-32"/>
        <c:axId val="121793920"/>
        <c:axId val="121799808"/>
      </c:barChart>
      <c:catAx>
        <c:axId val="1217939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1799808"/>
        <c:crosses val="autoZero"/>
        <c:auto val="1"/>
        <c:lblAlgn val="ctr"/>
        <c:lblOffset val="100"/>
        <c:noMultiLvlLbl val="0"/>
      </c:catAx>
      <c:valAx>
        <c:axId val="121799808"/>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1793920"/>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fd9b430-df96-43be-a474-a1363e7c0b6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136.2</c:v>
                </c:pt>
                <c:pt idx="1">
                  <c:v>159.88</c:v>
                </c:pt>
              </c:numCache>
            </c:numRef>
          </c:val>
        </c:ser>
        <c:dLbls>
          <c:showLegendKey val="0"/>
          <c:showVal val="1"/>
          <c:showCatName val="0"/>
          <c:showSerName val="0"/>
          <c:showPercent val="0"/>
          <c:showBubbleSize val="0"/>
        </c:dLbls>
        <c:gapWidth val="260"/>
        <c:overlap val="-32"/>
        <c:axId val="68654208"/>
        <c:axId val="68655744"/>
      </c:barChart>
      <c:catAx>
        <c:axId val="686542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655744"/>
        <c:crosses val="autoZero"/>
        <c:auto val="1"/>
        <c:lblAlgn val="ctr"/>
        <c:lblOffset val="100"/>
        <c:noMultiLvlLbl val="0"/>
      </c:catAx>
      <c:valAx>
        <c:axId val="6865574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65420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10db28a-a3ea-4779-a340-6bdc082931c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一般公共服务（201）支出</c:v>
                </c:pt>
                <c:pt idx="1">
                  <c:v>社会保障和就业支出</c:v>
                </c:pt>
                <c:pt idx="2">
                  <c:v>卫生健康支出</c:v>
                </c:pt>
                <c:pt idx="3">
                  <c:v>住房保障支出</c:v>
                </c:pt>
              </c:strCache>
            </c:strRef>
          </c:cat>
          <c:val>
            <c:numRef>
              <c:f>Sheet1!$B$2:$B$5</c:f>
              <c:numCache>
                <c:formatCode>General</c:formatCode>
                <c:ptCount val="4"/>
                <c:pt idx="0">
                  <c:v>116.31</c:v>
                </c:pt>
                <c:pt idx="1">
                  <c:v>22.2</c:v>
                </c:pt>
                <c:pt idx="2">
                  <c:v>9.47</c:v>
                </c:pt>
                <c:pt idx="3">
                  <c:v>11.9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07d4d0ea-83b1-4519-b33b-8cd7e32e369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“三公”经费财政拨款支出结构图</a:t>
            </a:r>
          </a:p>
        </c:rich>
      </c:tx>
      <c:layout/>
      <c:overlay val="0"/>
      <c:spPr>
        <a:noFill/>
        <a:ln>
          <a:noFill/>
        </a:ln>
        <a:effectLst/>
      </c:sp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2">
                  <c:v>0.07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e331ef17-7338-461f-8b42-a05f5c3602c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4.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5.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6.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7.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16</Pages>
  <Words>4547</Words>
  <Characters>6176</Characters>
  <Lines>11</Lines>
  <Paragraphs>17</Paragraphs>
  <TotalTime>4</TotalTime>
  <ScaleCrop>false</ScaleCrop>
  <LinksUpToDate>false</LinksUpToDate>
  <CharactersWithSpaces>6233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2022-09-20T02:52:00Z</dcterms:created>
  <dc:creator>曹颖</dc:creator>
  <cp:lastModifiedBy>Darling </cp:lastModifiedBy>
  <cp:lastPrinted>2025-09-23T01:07:00Z</cp:lastPrinted>
  <dcterms:modified xsi:type="dcterms:W3CDTF">2025-09-26T08:45:38Z</dcterms:modified>
  <dc:title>阿坝州部门决算说明</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7F65BF8212F84B4894AFA0FAAC0F7F02_13</vt:lpwstr>
  </property>
  <property fmtid="{D5CDD505-2E9C-101B-9397-08002B2CF9AE}" pid="4" name="KSOTemplateDocerSaveRecord">
    <vt:lpwstr>eyJoZGlkIjoiNWIxYmQxODM3YzQzMzNjYmI0ODczNWI1Y2Q5NmJlYmQiLCJ1c2VySWQiOiIxMTUzNjY4NDE4In0=</vt:lpwstr>
  </property>
</Properties>
</file>