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13C52">
      <w:pPr>
        <w:jc w:val="center"/>
        <w:rPr>
          <w:rFonts w:hint="default" w:ascii="方正小标宋简体" w:eastAsia="方正小标宋简体"/>
          <w:sz w:val="72"/>
          <w:szCs w:val="72"/>
          <w:lang w:val="en-US" w:eastAsia="zh-CN"/>
        </w:rPr>
      </w:pPr>
      <w:bookmarkStart w:id="0" w:name="_Toc15377193"/>
      <w:bookmarkStart w:id="1" w:name="_Toc15396597"/>
      <w:bookmarkStart w:id="2" w:name="_Toc15396475"/>
      <w:bookmarkStart w:id="3" w:name="_Toc15377425"/>
      <w:bookmarkStart w:id="4" w:name="_Toc15378441"/>
      <w:r>
        <w:rPr>
          <w:rFonts w:hint="eastAsia" w:ascii="方正小标宋简体" w:eastAsia="方正小标宋简体"/>
          <w:sz w:val="72"/>
          <w:szCs w:val="72"/>
          <w:lang w:val="en-US" w:eastAsia="zh-CN"/>
        </w:rPr>
        <w:t xml:space="preserve">                                                                                                                                                             </w:t>
      </w:r>
    </w:p>
    <w:bookmarkEnd w:id="0"/>
    <w:bookmarkEnd w:id="1"/>
    <w:bookmarkEnd w:id="2"/>
    <w:bookmarkEnd w:id="3"/>
    <w:bookmarkEnd w:id="4"/>
    <w:p w14:paraId="51FBCA1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rPr>
      </w:pPr>
      <w:bookmarkStart w:id="5" w:name="_Toc15377196"/>
      <w:bookmarkStart w:id="6" w:name="_Toc15396599"/>
      <w:bookmarkStart w:id="7" w:name="_Toc79163601"/>
      <w:bookmarkStart w:id="8" w:name="_Toc79163851"/>
      <w:r>
        <w:rPr>
          <w:rFonts w:hint="eastAsia" w:ascii="方正小标宋简体" w:hAnsi="方正小标宋简体" w:eastAsia="方正小标宋简体" w:cs="方正小标宋简体"/>
          <w:sz w:val="48"/>
          <w:szCs w:val="48"/>
        </w:rPr>
        <w:t>202</w:t>
      </w:r>
      <w:r>
        <w:rPr>
          <w:rFonts w:hint="eastAsia" w:ascii="方正小标宋简体" w:hAnsi="方正小标宋简体" w:eastAsia="方正小标宋简体" w:cs="方正小标宋简体"/>
          <w:sz w:val="48"/>
          <w:szCs w:val="48"/>
          <w:lang w:val="en-US" w:eastAsia="zh-CN"/>
        </w:rPr>
        <w:t>4</w:t>
      </w:r>
      <w:r>
        <w:rPr>
          <w:rFonts w:hint="eastAsia" w:ascii="方正小标宋简体" w:hAnsi="方正小标宋简体" w:eastAsia="方正小标宋简体" w:cs="方正小标宋简体"/>
          <w:sz w:val="48"/>
          <w:szCs w:val="48"/>
        </w:rPr>
        <w:t>年度</w:t>
      </w:r>
    </w:p>
    <w:p w14:paraId="6BE1F66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中共</w:t>
      </w:r>
      <w:r>
        <w:rPr>
          <w:rFonts w:hint="eastAsia" w:ascii="方正小标宋简体" w:hAnsi="方正小标宋简体" w:eastAsia="方正小标宋简体" w:cs="方正小标宋简体"/>
          <w:sz w:val="48"/>
          <w:szCs w:val="48"/>
        </w:rPr>
        <w:t>茂县</w:t>
      </w:r>
      <w:r>
        <w:rPr>
          <w:rFonts w:hint="eastAsia" w:ascii="方正小标宋简体" w:hAnsi="方正小标宋简体" w:eastAsia="方正小标宋简体" w:cs="方正小标宋简体"/>
          <w:sz w:val="48"/>
          <w:szCs w:val="48"/>
          <w:lang w:eastAsia="zh-CN"/>
        </w:rPr>
        <w:t>县委机构编制委员会办公室</w:t>
      </w:r>
      <w:r>
        <w:rPr>
          <w:rFonts w:hint="eastAsia" w:ascii="方正小标宋简体" w:hAnsi="方正小标宋简体" w:eastAsia="方正小标宋简体" w:cs="方正小标宋简体"/>
          <w:sz w:val="48"/>
          <w:szCs w:val="48"/>
          <w:lang w:val="en-US" w:eastAsia="zh-CN"/>
        </w:rPr>
        <w:t xml:space="preserve"> </w:t>
      </w:r>
      <w:r>
        <w:rPr>
          <w:rFonts w:hint="eastAsia" w:ascii="方正小标宋简体" w:hAnsi="方正小标宋简体" w:eastAsia="方正小标宋简体" w:cs="方正小标宋简体"/>
          <w:sz w:val="48"/>
          <w:szCs w:val="48"/>
          <w:lang w:eastAsia="zh-CN"/>
        </w:rPr>
        <w:t>单位</w:t>
      </w:r>
      <w:r>
        <w:rPr>
          <w:rFonts w:hint="eastAsia" w:ascii="方正小标宋简体" w:hAnsi="方正小标宋简体" w:eastAsia="方正小标宋简体" w:cs="方正小标宋简体"/>
          <w:sz w:val="48"/>
          <w:szCs w:val="48"/>
        </w:rPr>
        <w:t>决算</w:t>
      </w:r>
    </w:p>
    <w:p w14:paraId="488E566B">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5146810C">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219C24B">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7AF45426">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561FD075">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6532F9DB">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D158C31">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 </w:t>
      </w:r>
    </w:p>
    <w:p w14:paraId="37BE73D2">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14:paraId="0E2C1D2F">
      <w:pPr>
        <w:pStyle w:val="22"/>
        <w:keepNext w:val="0"/>
        <w:keepLines w:val="0"/>
        <w:pageBreakBefore w:val="0"/>
        <w:widowControl/>
        <w:suppressLineNumbers w:val="0"/>
        <w:kinsoku/>
        <w:wordWrap/>
        <w:overflowPunct/>
        <w:topLinePunct w:val="0"/>
        <w:bidi w:val="0"/>
        <w:spacing w:line="576" w:lineRule="exact"/>
        <w:textAlignment w:val="auto"/>
      </w:pPr>
      <w:r>
        <w:t> </w:t>
      </w:r>
    </w:p>
    <w:p w14:paraId="2399C48B">
      <w:pPr>
        <w:pStyle w:val="22"/>
        <w:keepNext w:val="0"/>
        <w:keepLines w:val="0"/>
        <w:pageBreakBefore w:val="0"/>
        <w:widowControl/>
        <w:suppressLineNumbers w:val="0"/>
        <w:kinsoku/>
        <w:wordWrap/>
        <w:overflowPunct/>
        <w:topLinePunct w:val="0"/>
        <w:bidi w:val="0"/>
        <w:spacing w:line="576" w:lineRule="exact"/>
        <w:textAlignment w:val="auto"/>
      </w:pPr>
      <w:r>
        <w:t> </w:t>
      </w:r>
    </w:p>
    <w:p w14:paraId="00D78CB8">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778FD855">
      <w:pPr>
        <w:pStyle w:val="22"/>
        <w:keepNext w:val="0"/>
        <w:keepLines w:val="0"/>
        <w:pageBreakBefore w:val="0"/>
        <w:widowControl/>
        <w:suppressLineNumbers w:val="0"/>
        <w:kinsoku/>
        <w:wordWrap/>
        <w:overflowPunct/>
        <w:topLinePunct w:val="0"/>
        <w:bidi w:val="0"/>
        <w:spacing w:line="576" w:lineRule="exact"/>
        <w:textAlignment w:val="auto"/>
      </w:pPr>
      <w:r>
        <w:t> </w:t>
      </w:r>
    </w:p>
    <w:p w14:paraId="0CDFC6D0">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3FE3DB4E">
      <w:pPr>
        <w:pageBreakBefore w:val="0"/>
        <w:widowControl/>
        <w:kinsoku/>
        <w:wordWrap/>
        <w:overflowPunct/>
        <w:topLinePunct w:val="0"/>
        <w:bidi w:val="0"/>
        <w:spacing w:line="576" w:lineRule="exact"/>
        <w:jc w:val="center"/>
        <w:textAlignment w:val="auto"/>
        <w:rPr>
          <w:rFonts w:ascii="黑体" w:eastAsia="黑体"/>
          <w:color w:val="000000"/>
          <w:sz w:val="48"/>
          <w:szCs w:val="48"/>
        </w:rPr>
      </w:pPr>
      <w:r>
        <w:rPr>
          <w:rFonts w:hint="eastAsia" w:ascii="黑体" w:eastAsia="黑体"/>
          <w:color w:val="000000"/>
          <w:sz w:val="48"/>
          <w:szCs w:val="48"/>
        </w:rPr>
        <w:t>目录</w:t>
      </w:r>
    </w:p>
    <w:p w14:paraId="634775AB">
      <w:pPr>
        <w:pStyle w:val="16"/>
        <w:pageBreakBefore w:val="0"/>
        <w:kinsoku/>
        <w:wordWrap/>
        <w:overflowPunct/>
        <w:topLinePunct w:val="0"/>
        <w:bidi w:val="0"/>
        <w:spacing w:line="576" w:lineRule="exact"/>
        <w:jc w:val="center"/>
        <w:textAlignment w:val="auto"/>
      </w:pPr>
      <w:r>
        <w:rPr>
          <w:rFonts w:hint="eastAsia"/>
          <w:b w:val="0"/>
          <w:bCs w:val="0"/>
          <w:sz w:val="24"/>
          <w:szCs w:val="24"/>
        </w:rPr>
        <w:t>公开时间：202</w:t>
      </w:r>
      <w:r>
        <w:rPr>
          <w:rFonts w:hint="eastAsia"/>
          <w:b w:val="0"/>
          <w:bCs w:val="0"/>
          <w:sz w:val="24"/>
          <w:szCs w:val="24"/>
          <w:lang w:val="en-US" w:eastAsia="zh-CN"/>
        </w:rPr>
        <w:t>5</w:t>
      </w:r>
      <w:r>
        <w:rPr>
          <w:rFonts w:hint="eastAsia"/>
          <w:b w:val="0"/>
          <w:bCs w:val="0"/>
          <w:sz w:val="24"/>
          <w:szCs w:val="24"/>
        </w:rPr>
        <w:t>年</w:t>
      </w:r>
      <w:r>
        <w:rPr>
          <w:rFonts w:hint="eastAsia"/>
          <w:b w:val="0"/>
          <w:bCs w:val="0"/>
          <w:sz w:val="24"/>
          <w:szCs w:val="24"/>
          <w:lang w:val="en-US" w:eastAsia="zh-CN"/>
        </w:rPr>
        <w:t>9</w:t>
      </w:r>
      <w:r>
        <w:rPr>
          <w:rFonts w:hint="eastAsia"/>
          <w:b w:val="0"/>
          <w:bCs w:val="0"/>
          <w:sz w:val="24"/>
          <w:szCs w:val="24"/>
        </w:rPr>
        <w:t xml:space="preserve"> 月</w:t>
      </w:r>
      <w:r>
        <w:rPr>
          <w:rFonts w:hint="eastAsia"/>
          <w:b w:val="0"/>
          <w:bCs w:val="0"/>
          <w:sz w:val="24"/>
          <w:szCs w:val="24"/>
          <w:lang w:val="en-US" w:eastAsia="zh-CN"/>
        </w:rPr>
        <w:t>25</w:t>
      </w:r>
      <w:r>
        <w:rPr>
          <w:rFonts w:hint="eastAsia"/>
          <w:b w:val="0"/>
          <w:bCs w:val="0"/>
          <w:sz w:val="24"/>
          <w:szCs w:val="24"/>
        </w:rPr>
        <w:t xml:space="preserve"> 日</w:t>
      </w:r>
    </w:p>
    <w:p w14:paraId="64ED964C">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TOC \o "1-3" \h \u </w:instrText>
      </w:r>
      <w:r>
        <w:fldChar w:fldCharType="separate"/>
      </w:r>
      <w:r>
        <w:fldChar w:fldCharType="begin"/>
      </w:r>
      <w:r>
        <w:instrText xml:space="preserve"> HYPERLINK \l _Toc23324 </w:instrText>
      </w:r>
      <w:r>
        <w:fldChar w:fldCharType="separate"/>
      </w:r>
      <w:r>
        <w:rPr>
          <w:rFonts w:hint="eastAsia" w:ascii="黑体" w:hAnsi="Times New Roman" w:eastAsia="黑体" w:cs="Times New Roman"/>
          <w:szCs w:val="44"/>
          <w:lang w:bidi="ar-SA"/>
        </w:rPr>
        <w:t>第一部分 单位概况</w:t>
      </w:r>
      <w:r>
        <w:tab/>
      </w:r>
      <w:r>
        <w:rPr>
          <w:rFonts w:hint="eastAsia"/>
          <w:lang w:val="en-US" w:eastAsia="zh-CN"/>
        </w:rPr>
        <w:t>4</w:t>
      </w:r>
      <w:r>
        <w:fldChar w:fldCharType="end"/>
      </w:r>
    </w:p>
    <w:p w14:paraId="06FEC4DA">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_Toc14656 </w:instrText>
      </w:r>
      <w:r>
        <w:fldChar w:fldCharType="separate"/>
      </w:r>
      <w:r>
        <w:rPr>
          <w:rFonts w:hint="eastAsia" w:ascii="黑体" w:hAnsi="Cambria" w:eastAsia="黑体" w:cs="Times New Roman"/>
          <w:kern w:val="2"/>
          <w:szCs w:val="32"/>
          <w:lang w:bidi="ar-SA"/>
        </w:rPr>
        <w:t>一、</w:t>
      </w:r>
      <w:r>
        <w:rPr>
          <w:rFonts w:hint="eastAsia" w:ascii="黑体" w:hAnsi="Cambria" w:eastAsia="黑体" w:cs="Times New Roman"/>
          <w:kern w:val="2"/>
          <w:szCs w:val="32"/>
          <w:lang w:eastAsia="zh-CN" w:bidi="ar-SA"/>
        </w:rPr>
        <w:t>主要</w:t>
      </w:r>
      <w:r>
        <w:rPr>
          <w:rFonts w:hint="eastAsia" w:ascii="黑体" w:hAnsi="Cambria" w:eastAsia="黑体" w:cs="Times New Roman"/>
          <w:kern w:val="2"/>
          <w:szCs w:val="32"/>
          <w:lang w:bidi="ar-SA"/>
        </w:rPr>
        <w:t>职责</w:t>
      </w:r>
      <w:r>
        <w:tab/>
      </w:r>
      <w:r>
        <w:rPr>
          <w:rFonts w:hint="eastAsia"/>
          <w:lang w:val="en-US" w:eastAsia="zh-CN"/>
        </w:rPr>
        <w:t>4</w:t>
      </w:r>
      <w:r>
        <w:fldChar w:fldCharType="end"/>
      </w:r>
    </w:p>
    <w:p w14:paraId="5C2EE433">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_Toc10669 </w:instrText>
      </w:r>
      <w:r>
        <w:fldChar w:fldCharType="separate"/>
      </w:r>
      <w:r>
        <w:rPr>
          <w:rFonts w:hint="eastAsia" w:ascii="黑体" w:hAnsi="Cambria" w:eastAsia="黑体" w:cs="Times New Roman"/>
          <w:kern w:val="2"/>
          <w:szCs w:val="32"/>
          <w:lang w:bidi="ar-SA"/>
        </w:rPr>
        <w:t>二、机构设置</w:t>
      </w:r>
      <w:r>
        <w:tab/>
      </w:r>
      <w:r>
        <w:rPr>
          <w:rFonts w:hint="eastAsia"/>
          <w:lang w:val="en-US" w:eastAsia="zh-CN"/>
        </w:rPr>
        <w:t>5</w:t>
      </w:r>
      <w:r>
        <w:fldChar w:fldCharType="end"/>
      </w:r>
    </w:p>
    <w:p w14:paraId="54C4C0C5">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_Toc26951 </w:instrText>
      </w:r>
      <w:r>
        <w:fldChar w:fldCharType="separate"/>
      </w:r>
      <w:r>
        <w:rPr>
          <w:rFonts w:hint="eastAsia" w:ascii="黑体" w:hAnsi="Times New Roman" w:eastAsia="黑体" w:cs="Times New Roman"/>
          <w:szCs w:val="44"/>
          <w:lang w:bidi="ar-SA"/>
        </w:rPr>
        <w:t>第二部分 202</w:t>
      </w:r>
      <w:r>
        <w:rPr>
          <w:rFonts w:hint="eastAsia" w:ascii="黑体" w:eastAsia="黑体" w:cs="Times New Roman"/>
          <w:szCs w:val="44"/>
          <w:lang w:val="en-US" w:eastAsia="zh-CN" w:bidi="ar-SA"/>
        </w:rPr>
        <w:t>4</w:t>
      </w:r>
      <w:r>
        <w:rPr>
          <w:rFonts w:hint="eastAsia" w:ascii="黑体" w:hAnsi="Times New Roman" w:eastAsia="黑体" w:cs="Times New Roman"/>
          <w:szCs w:val="44"/>
          <w:lang w:bidi="ar-SA"/>
        </w:rPr>
        <w:t>年度单位决算情况说明</w:t>
      </w:r>
      <w:r>
        <w:tab/>
      </w:r>
      <w:r>
        <w:rPr>
          <w:rFonts w:hint="eastAsia"/>
          <w:lang w:val="en-US" w:eastAsia="zh-CN"/>
        </w:rPr>
        <w:t>6</w:t>
      </w:r>
      <w:r>
        <w:fldChar w:fldCharType="end"/>
      </w:r>
    </w:p>
    <w:p w14:paraId="4686A76A">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_Toc12554 </w:instrText>
      </w:r>
      <w:r>
        <w:fldChar w:fldCharType="separate"/>
      </w:r>
      <w:r>
        <w:rPr>
          <w:rFonts w:hint="default" w:ascii="黑体" w:hAnsi="Times New Roman" w:eastAsia="黑体" w:cs="Times New Roman"/>
          <w:szCs w:val="32"/>
        </w:rPr>
        <w:t xml:space="preserve">一、 </w:t>
      </w:r>
      <w:r>
        <w:rPr>
          <w:rFonts w:hint="eastAsia" w:ascii="黑体" w:hAnsi="Times New Roman" w:eastAsia="黑体" w:cs="Times New Roman"/>
          <w:szCs w:val="32"/>
        </w:rPr>
        <w:t>收入支出决算总体情况说明</w:t>
      </w:r>
      <w:r>
        <w:tab/>
      </w:r>
      <w:r>
        <w:rPr>
          <w:rFonts w:hint="eastAsia"/>
          <w:lang w:val="en-US" w:eastAsia="zh-CN"/>
        </w:rPr>
        <w:t>6</w:t>
      </w:r>
      <w:r>
        <w:fldChar w:fldCharType="end"/>
      </w:r>
    </w:p>
    <w:p w14:paraId="52467CAE">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_Toc11583 </w:instrText>
      </w:r>
      <w:r>
        <w:fldChar w:fldCharType="separate"/>
      </w:r>
      <w:r>
        <w:rPr>
          <w:rFonts w:hint="default" w:ascii="黑体" w:hAnsi="Times New Roman" w:eastAsia="黑体" w:cs="Times New Roman"/>
          <w:szCs w:val="32"/>
        </w:rPr>
        <w:t xml:space="preserve">二、 </w:t>
      </w:r>
      <w:r>
        <w:rPr>
          <w:rFonts w:hint="eastAsia" w:ascii="黑体" w:hAnsi="Times New Roman" w:eastAsia="黑体" w:cs="Times New Roman"/>
          <w:szCs w:val="32"/>
        </w:rPr>
        <w:t>收入决算情况说明</w:t>
      </w:r>
      <w:r>
        <w:tab/>
      </w:r>
      <w:r>
        <w:rPr>
          <w:rFonts w:hint="eastAsia"/>
          <w:lang w:val="en-US" w:eastAsia="zh-CN"/>
        </w:rPr>
        <w:t>6</w:t>
      </w:r>
      <w:r>
        <w:fldChar w:fldCharType="end"/>
      </w:r>
    </w:p>
    <w:p w14:paraId="2D592DD5">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_Toc18578 </w:instrText>
      </w:r>
      <w:r>
        <w:fldChar w:fldCharType="separate"/>
      </w:r>
      <w:r>
        <w:rPr>
          <w:rFonts w:hint="default" w:ascii="黑体" w:hAnsi="Times New Roman" w:eastAsia="黑体" w:cs="Times New Roman"/>
          <w:szCs w:val="32"/>
        </w:rPr>
        <w:t xml:space="preserve">三、 </w:t>
      </w:r>
      <w:r>
        <w:rPr>
          <w:rFonts w:hint="eastAsia" w:ascii="黑体" w:hAnsi="Times New Roman" w:eastAsia="黑体" w:cs="Times New Roman"/>
          <w:szCs w:val="32"/>
        </w:rPr>
        <w:t>支出决算情况说明</w:t>
      </w:r>
      <w:r>
        <w:tab/>
      </w:r>
      <w:r>
        <w:rPr>
          <w:rFonts w:hint="eastAsia"/>
          <w:lang w:val="en-US" w:eastAsia="zh-CN"/>
        </w:rPr>
        <w:t>7</w:t>
      </w:r>
      <w:r>
        <w:fldChar w:fldCharType="end"/>
      </w:r>
    </w:p>
    <w:p w14:paraId="4D243C79">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_Toc26488 </w:instrText>
      </w:r>
      <w:r>
        <w:fldChar w:fldCharType="separate"/>
      </w:r>
      <w:r>
        <w:rPr>
          <w:rFonts w:hint="default" w:ascii="黑体" w:hAnsi="Times New Roman" w:eastAsia="黑体" w:cs="Times New Roman"/>
          <w:szCs w:val="32"/>
        </w:rPr>
        <w:t xml:space="preserve">四、 </w:t>
      </w:r>
      <w:r>
        <w:rPr>
          <w:rFonts w:hint="eastAsia" w:ascii="黑体" w:hAnsi="Times New Roman" w:eastAsia="黑体" w:cs="Times New Roman"/>
          <w:szCs w:val="32"/>
        </w:rPr>
        <w:t>财政拨款收入支出决算总体情况说明</w:t>
      </w:r>
      <w:r>
        <w:tab/>
      </w:r>
      <w:r>
        <w:fldChar w:fldCharType="end"/>
      </w:r>
      <w:r>
        <w:rPr>
          <w:rFonts w:hint="eastAsia"/>
          <w:lang w:val="en-US" w:eastAsia="zh-CN"/>
        </w:rPr>
        <w:t>7</w:t>
      </w:r>
    </w:p>
    <w:p w14:paraId="22468E5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_Toc5657 </w:instrText>
      </w:r>
      <w:r>
        <w:fldChar w:fldCharType="separate"/>
      </w:r>
      <w:r>
        <w:rPr>
          <w:rFonts w:hint="default" w:ascii="黑体" w:hAnsi="Times New Roman" w:eastAsia="黑体" w:cs="Times New Roman"/>
          <w:szCs w:val="32"/>
        </w:rPr>
        <w:t xml:space="preserve">五、 </w:t>
      </w:r>
      <w:r>
        <w:rPr>
          <w:rFonts w:hint="eastAsia" w:ascii="黑体" w:hAnsi="Times New Roman" w:eastAsia="黑体" w:cs="Times New Roman"/>
          <w:szCs w:val="32"/>
        </w:rPr>
        <w:t>一般公共预算财政拨款支出决算情况说明</w:t>
      </w:r>
      <w:r>
        <w:tab/>
      </w:r>
      <w:r>
        <w:fldChar w:fldCharType="end"/>
      </w:r>
      <w:r>
        <w:rPr>
          <w:rFonts w:hint="eastAsia"/>
          <w:lang w:val="en-US" w:eastAsia="zh-CN"/>
        </w:rPr>
        <w:t>7</w:t>
      </w:r>
    </w:p>
    <w:p w14:paraId="192A26CC">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_Toc17476 </w:instrText>
      </w:r>
      <w:r>
        <w:fldChar w:fldCharType="separate"/>
      </w:r>
      <w:r>
        <w:rPr>
          <w:rFonts w:hint="eastAsia" w:ascii="黑体" w:hAnsi="Times New Roman" w:eastAsia="黑体" w:cs="Times New Roman"/>
          <w:szCs w:val="32"/>
        </w:rPr>
        <w:t>六、一般公共预算财政拨款基本支出决算情况说明   </w:t>
      </w:r>
      <w:r>
        <w:tab/>
      </w:r>
      <w:r>
        <w:rPr>
          <w:rFonts w:hint="eastAsia"/>
          <w:lang w:val="en-US" w:eastAsia="zh-CN"/>
        </w:rPr>
        <w:t>0</w:t>
      </w:r>
      <w:r>
        <w:fldChar w:fldCharType="end"/>
      </w:r>
      <w:r>
        <w:rPr>
          <w:rFonts w:hint="eastAsia"/>
          <w:lang w:val="en-US" w:eastAsia="zh-CN"/>
        </w:rPr>
        <w:t>9</w:t>
      </w:r>
    </w:p>
    <w:p w14:paraId="3AF3891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_Toc31902 </w:instrText>
      </w:r>
      <w:r>
        <w:fldChar w:fldCharType="separate"/>
      </w:r>
      <w:r>
        <w:rPr>
          <w:rFonts w:hint="eastAsia" w:ascii="黑体" w:hAnsi="Times New Roman" w:eastAsia="黑体" w:cs="Times New Roman"/>
          <w:szCs w:val="32"/>
        </w:rPr>
        <w:t>七、财政拨款</w:t>
      </w:r>
      <w:r>
        <w:rPr>
          <w:rFonts w:hint="eastAsia" w:ascii="黑体" w:hAnsi="Times New Roman" w:eastAsia="黑体" w:cs="Times New Roman"/>
          <w:szCs w:val="32"/>
          <w:lang w:eastAsia="zh-CN"/>
        </w:rPr>
        <w:t>“</w:t>
      </w:r>
      <w:r>
        <w:rPr>
          <w:rFonts w:hint="eastAsia" w:ascii="黑体" w:hAnsi="Times New Roman" w:eastAsia="黑体" w:cs="Times New Roman"/>
          <w:szCs w:val="32"/>
        </w:rPr>
        <w:t>三公”经费支出决算情况说明</w:t>
      </w:r>
      <w:r>
        <w:tab/>
      </w:r>
      <w:r>
        <w:rPr>
          <w:rFonts w:hint="eastAsia"/>
          <w:lang w:val="en-US" w:eastAsia="zh-CN"/>
        </w:rPr>
        <w:t>1</w:t>
      </w:r>
      <w:r>
        <w:fldChar w:fldCharType="end"/>
      </w:r>
      <w:r>
        <w:rPr>
          <w:rFonts w:hint="eastAsia"/>
          <w:lang w:val="en-US" w:eastAsia="zh-CN"/>
        </w:rPr>
        <w:t>0</w:t>
      </w:r>
    </w:p>
    <w:p w14:paraId="03EA1F8E">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_Toc1331 </w:instrText>
      </w:r>
      <w:r>
        <w:fldChar w:fldCharType="separate"/>
      </w:r>
      <w:r>
        <w:rPr>
          <w:rFonts w:hint="eastAsia" w:ascii="黑体" w:hAnsi="Times New Roman" w:eastAsia="黑体" w:cs="Times New Roman"/>
          <w:szCs w:val="32"/>
        </w:rPr>
        <w:t>八、政府性基金预算支出决算情况说明</w:t>
      </w:r>
      <w:r>
        <w:tab/>
      </w:r>
      <w:r>
        <w:rPr>
          <w:rFonts w:hint="eastAsia"/>
          <w:lang w:val="en-US" w:eastAsia="zh-CN"/>
        </w:rPr>
        <w:t>1</w:t>
      </w:r>
      <w:r>
        <w:fldChar w:fldCharType="end"/>
      </w:r>
      <w:r>
        <w:rPr>
          <w:rFonts w:hint="eastAsia"/>
          <w:lang w:val="en-US" w:eastAsia="zh-CN"/>
        </w:rPr>
        <w:t>1</w:t>
      </w:r>
    </w:p>
    <w:p w14:paraId="7FD139A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_Toc18417 </w:instrText>
      </w:r>
      <w:r>
        <w:fldChar w:fldCharType="separate"/>
      </w:r>
      <w:r>
        <w:rPr>
          <w:rFonts w:hint="eastAsia" w:ascii="黑体" w:hAnsi="Times New Roman" w:eastAsia="黑体" w:cs="Times New Roman"/>
          <w:szCs w:val="32"/>
        </w:rPr>
        <w:t>九、国有资本经营预算支出决算情况说明</w:t>
      </w:r>
      <w:r>
        <w:tab/>
      </w:r>
      <w:r>
        <w:rPr>
          <w:rFonts w:hint="eastAsia"/>
          <w:lang w:val="en-US" w:eastAsia="zh-CN"/>
        </w:rPr>
        <w:t>1</w:t>
      </w:r>
      <w:r>
        <w:fldChar w:fldCharType="end"/>
      </w:r>
      <w:r>
        <w:rPr>
          <w:rFonts w:hint="eastAsia"/>
          <w:lang w:val="en-US" w:eastAsia="zh-CN"/>
        </w:rPr>
        <w:t>1</w:t>
      </w:r>
    </w:p>
    <w:p w14:paraId="0658E5B1">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_Toc26033 </w:instrText>
      </w:r>
      <w:r>
        <w:fldChar w:fldCharType="separate"/>
      </w:r>
      <w:r>
        <w:rPr>
          <w:rFonts w:hint="eastAsia" w:ascii="黑体" w:hAnsi="Times New Roman" w:eastAsia="黑体" w:cs="Times New Roman"/>
          <w:kern w:val="2"/>
          <w:szCs w:val="32"/>
          <w:lang w:val="en-US" w:eastAsia="zh-CN" w:bidi="ar-SA"/>
        </w:rPr>
        <w:t>十、其他重要事项的情况说明</w:t>
      </w:r>
      <w:r>
        <w:tab/>
      </w:r>
      <w:r>
        <w:rPr>
          <w:rFonts w:hint="eastAsia"/>
          <w:lang w:val="en-US" w:eastAsia="zh-CN"/>
        </w:rPr>
        <w:t>1</w:t>
      </w:r>
      <w:r>
        <w:fldChar w:fldCharType="end"/>
      </w:r>
      <w:r>
        <w:rPr>
          <w:rFonts w:hint="eastAsia"/>
          <w:lang w:val="en-US" w:eastAsia="zh-CN"/>
        </w:rPr>
        <w:t>1</w:t>
      </w:r>
    </w:p>
    <w:p w14:paraId="12E4E818">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_Toc24473 </w:instrText>
      </w:r>
      <w:r>
        <w:fldChar w:fldCharType="separate"/>
      </w:r>
      <w:r>
        <w:rPr>
          <w:rFonts w:hint="eastAsia" w:ascii="黑体" w:hAnsi="Times New Roman" w:eastAsia="黑体" w:cs="Times New Roman"/>
          <w:szCs w:val="44"/>
        </w:rPr>
        <w:t>第三部分 名词解释</w:t>
      </w:r>
      <w:r>
        <w:tab/>
      </w:r>
      <w:r>
        <w:rPr>
          <w:rFonts w:hint="eastAsia"/>
          <w:lang w:val="en-US" w:eastAsia="zh-CN"/>
        </w:rPr>
        <w:t>1</w:t>
      </w:r>
      <w:r>
        <w:fldChar w:fldCharType="end"/>
      </w:r>
      <w:r>
        <w:rPr>
          <w:rFonts w:hint="eastAsia"/>
          <w:lang w:val="en-US" w:eastAsia="zh-CN"/>
        </w:rPr>
        <w:t>3</w:t>
      </w:r>
    </w:p>
    <w:p w14:paraId="4A8338D8">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_Toc7978 </w:instrText>
      </w:r>
      <w:r>
        <w:fldChar w:fldCharType="separate"/>
      </w:r>
      <w:r>
        <w:rPr>
          <w:rFonts w:hint="eastAsia" w:ascii="黑体" w:hAnsi="Times New Roman" w:eastAsia="黑体" w:cs="Times New Roman"/>
          <w:kern w:val="2"/>
          <w:szCs w:val="44"/>
          <w:lang w:val="en-US" w:eastAsia="zh-CN" w:bidi="ar-SA"/>
        </w:rPr>
        <w:t>第四部分 附件</w:t>
      </w:r>
      <w:r>
        <w:tab/>
      </w:r>
      <w:r>
        <w:rPr>
          <w:rFonts w:hint="eastAsia"/>
          <w:lang w:val="en-US" w:eastAsia="zh-CN"/>
        </w:rPr>
        <w:t>1</w:t>
      </w:r>
      <w:r>
        <w:fldChar w:fldCharType="end"/>
      </w:r>
      <w:r>
        <w:rPr>
          <w:rFonts w:hint="eastAsia"/>
          <w:lang w:val="en-US" w:eastAsia="zh-CN"/>
        </w:rPr>
        <w:t>6</w:t>
      </w:r>
    </w:p>
    <w:p w14:paraId="5EE0FA51">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_Toc9504 </w:instrText>
      </w:r>
      <w:r>
        <w:fldChar w:fldCharType="separate"/>
      </w:r>
      <w:r>
        <w:rPr>
          <w:rFonts w:hint="eastAsia" w:ascii="黑体" w:hAnsi="Times New Roman" w:eastAsia="黑体" w:cs="Times New Roman"/>
          <w:szCs w:val="44"/>
        </w:rPr>
        <w:t>第五部分 附表</w:t>
      </w:r>
      <w:r>
        <w:tab/>
      </w:r>
      <w:r>
        <w:fldChar w:fldCharType="begin"/>
      </w:r>
      <w:r>
        <w:instrText xml:space="preserve"> PAGEREF _Toc9504 \h </w:instrText>
      </w:r>
      <w:r>
        <w:fldChar w:fldCharType="separate"/>
      </w:r>
      <w:r>
        <w:t>17</w:t>
      </w:r>
      <w:r>
        <w:fldChar w:fldCharType="end"/>
      </w:r>
      <w:r>
        <w:fldChar w:fldCharType="end"/>
      </w:r>
    </w:p>
    <w:p w14:paraId="31DC5828">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_Toc26370 </w:instrText>
      </w:r>
      <w:r>
        <w:fldChar w:fldCharType="separate"/>
      </w:r>
      <w:r>
        <w:rPr>
          <w:rFonts w:hint="eastAsia" w:ascii="仿宋" w:hAnsi="Cambria" w:eastAsia="仿宋" w:cs="Times New Roman"/>
          <w:kern w:val="2"/>
          <w:szCs w:val="32"/>
          <w:lang w:bidi="ar-SA"/>
        </w:rPr>
        <w:t>一、收入支出决算总表</w:t>
      </w:r>
      <w:r>
        <w:fldChar w:fldCharType="end"/>
      </w:r>
      <w:r>
        <w:rPr>
          <w:rFonts w:hint="eastAsia"/>
          <w:lang w:val="en-US" w:eastAsia="zh-CN"/>
        </w:rPr>
        <w:t>..................................................................................................................17</w:t>
      </w:r>
    </w:p>
    <w:p w14:paraId="13DBB852">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_Toc13591 </w:instrText>
      </w:r>
      <w:r>
        <w:fldChar w:fldCharType="separate"/>
      </w:r>
      <w:r>
        <w:rPr>
          <w:rFonts w:hint="eastAsia" w:ascii="仿宋" w:hAnsi="Cambria" w:eastAsia="仿宋" w:cs="Times New Roman"/>
          <w:kern w:val="2"/>
          <w:szCs w:val="32"/>
          <w:lang w:bidi="ar-SA"/>
        </w:rPr>
        <w:t>二、收入决算表</w:t>
      </w:r>
      <w:r>
        <w:fldChar w:fldCharType="end"/>
      </w:r>
      <w:r>
        <w:rPr>
          <w:rFonts w:hint="eastAsia"/>
          <w:lang w:val="en-US" w:eastAsia="zh-CN"/>
        </w:rPr>
        <w:t>..............................................................................................................................17</w:t>
      </w:r>
    </w:p>
    <w:p w14:paraId="3A255848">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_Toc16600 </w:instrText>
      </w:r>
      <w:r>
        <w:fldChar w:fldCharType="separate"/>
      </w:r>
      <w:r>
        <w:rPr>
          <w:rFonts w:hint="eastAsia" w:ascii="仿宋" w:hAnsi="Cambria" w:eastAsia="仿宋" w:cs="Times New Roman"/>
          <w:kern w:val="2"/>
          <w:szCs w:val="32"/>
          <w:lang w:bidi="ar-SA"/>
        </w:rPr>
        <w:t>三、支出决算表</w:t>
      </w:r>
      <w:r>
        <w:fldChar w:fldCharType="end"/>
      </w:r>
      <w:r>
        <w:rPr>
          <w:rFonts w:hint="eastAsia"/>
          <w:lang w:val="en-US" w:eastAsia="zh-CN"/>
        </w:rPr>
        <w:t>..............................................................................................................................17</w:t>
      </w:r>
    </w:p>
    <w:p w14:paraId="16C60902">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_Toc26630 </w:instrText>
      </w:r>
      <w:r>
        <w:fldChar w:fldCharType="separate"/>
      </w:r>
      <w:r>
        <w:rPr>
          <w:rFonts w:hint="eastAsia" w:ascii="仿宋" w:hAnsi="Cambria" w:eastAsia="仿宋" w:cs="Times New Roman"/>
          <w:kern w:val="2"/>
          <w:szCs w:val="32"/>
          <w:lang w:bidi="ar-SA"/>
        </w:rPr>
        <w:t>四、财政拨款收入支出决算总表</w:t>
      </w:r>
      <w:r>
        <w:fldChar w:fldCharType="end"/>
      </w:r>
      <w:r>
        <w:rPr>
          <w:rFonts w:hint="eastAsia"/>
          <w:lang w:val="en-US" w:eastAsia="zh-CN"/>
        </w:rPr>
        <w:t>..................................................................................................17</w:t>
      </w:r>
    </w:p>
    <w:p w14:paraId="5E3E0028">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_Toc19934 </w:instrText>
      </w:r>
      <w:r>
        <w:fldChar w:fldCharType="separate"/>
      </w:r>
      <w:r>
        <w:rPr>
          <w:rFonts w:hint="eastAsia" w:ascii="仿宋" w:hAnsi="Cambria" w:eastAsia="仿宋" w:cs="Times New Roman"/>
          <w:kern w:val="2"/>
          <w:szCs w:val="32"/>
          <w:lang w:bidi="ar-SA"/>
        </w:rPr>
        <w:t>五、财政拨款支出决算明细表</w:t>
      </w:r>
      <w:r>
        <w:fldChar w:fldCharType="end"/>
      </w:r>
      <w:r>
        <w:rPr>
          <w:rFonts w:hint="eastAsia"/>
          <w:lang w:val="en-US" w:eastAsia="zh-CN"/>
        </w:rPr>
        <w:t>....................................................................................................17</w:t>
      </w:r>
    </w:p>
    <w:p w14:paraId="77F353C8">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_Toc6686 </w:instrText>
      </w:r>
      <w:r>
        <w:fldChar w:fldCharType="separate"/>
      </w:r>
      <w:r>
        <w:rPr>
          <w:rFonts w:hint="eastAsia" w:ascii="仿宋" w:hAnsi="Cambria" w:eastAsia="仿宋" w:cs="Times New Roman"/>
          <w:kern w:val="2"/>
          <w:szCs w:val="32"/>
          <w:lang w:bidi="ar-SA"/>
        </w:rPr>
        <w:t>六、一般公共预算财政拨款支出决算表</w:t>
      </w:r>
      <w:r>
        <w:fldChar w:fldCharType="end"/>
      </w:r>
      <w:r>
        <w:rPr>
          <w:rFonts w:hint="eastAsia"/>
          <w:lang w:val="en-US" w:eastAsia="zh-CN"/>
        </w:rPr>
        <w:t>....................................................................................17</w:t>
      </w:r>
    </w:p>
    <w:p w14:paraId="57B06E75">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_Toc19514 </w:instrText>
      </w:r>
      <w:r>
        <w:fldChar w:fldCharType="separate"/>
      </w:r>
      <w:r>
        <w:rPr>
          <w:rFonts w:hint="eastAsia" w:ascii="仿宋" w:hAnsi="Cambria" w:eastAsia="仿宋" w:cs="Times New Roman"/>
          <w:kern w:val="2"/>
          <w:szCs w:val="32"/>
          <w:lang w:bidi="ar-SA"/>
        </w:rPr>
        <w:t>七、一般公共预算财政拨款支出决算明细表</w:t>
      </w:r>
      <w:r>
        <w:fldChar w:fldCharType="end"/>
      </w:r>
      <w:r>
        <w:rPr>
          <w:rFonts w:hint="eastAsia"/>
          <w:lang w:val="en-US" w:eastAsia="zh-CN"/>
        </w:rPr>
        <w:t>............................................................................17</w:t>
      </w:r>
    </w:p>
    <w:p w14:paraId="7B1D2C87">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_Toc191 </w:instrText>
      </w:r>
      <w:r>
        <w:fldChar w:fldCharType="separate"/>
      </w:r>
      <w:r>
        <w:rPr>
          <w:rFonts w:hint="eastAsia" w:ascii="仿宋" w:hAnsi="Cambria" w:eastAsia="仿宋" w:cs="Times New Roman"/>
          <w:kern w:val="2"/>
          <w:szCs w:val="32"/>
          <w:lang w:bidi="ar-SA"/>
        </w:rPr>
        <w:t>八、一般公共预算财政拨款基本支出决算表</w:t>
      </w:r>
      <w:r>
        <w:fldChar w:fldCharType="end"/>
      </w:r>
      <w:r>
        <w:rPr>
          <w:rFonts w:hint="eastAsia"/>
          <w:lang w:val="en-US" w:eastAsia="zh-CN"/>
        </w:rPr>
        <w:t>............................................................................17</w:t>
      </w:r>
    </w:p>
    <w:p w14:paraId="7D81AA64">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_Toc5204 </w:instrText>
      </w:r>
      <w:r>
        <w:fldChar w:fldCharType="separate"/>
      </w:r>
      <w:r>
        <w:rPr>
          <w:rFonts w:hint="eastAsia" w:ascii="仿宋" w:hAnsi="Cambria" w:eastAsia="仿宋" w:cs="Times New Roman"/>
          <w:kern w:val="2"/>
          <w:szCs w:val="32"/>
          <w:lang w:bidi="ar-SA"/>
        </w:rPr>
        <w:t>九、一般公共预算财政拨款项目支出决算表</w:t>
      </w:r>
      <w:r>
        <w:fldChar w:fldCharType="end"/>
      </w:r>
      <w:r>
        <w:rPr>
          <w:rFonts w:hint="eastAsia"/>
          <w:lang w:val="en-US" w:eastAsia="zh-CN"/>
        </w:rPr>
        <w:t>............................................................................17</w:t>
      </w:r>
    </w:p>
    <w:p w14:paraId="7B396A88">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_Toc20756 </w:instrText>
      </w:r>
      <w:r>
        <w:fldChar w:fldCharType="separate"/>
      </w:r>
      <w:r>
        <w:rPr>
          <w:rFonts w:hint="eastAsia" w:ascii="仿宋" w:hAnsi="Cambria" w:eastAsia="仿宋" w:cs="Times New Roman"/>
          <w:kern w:val="2"/>
          <w:szCs w:val="32"/>
          <w:lang w:bidi="ar-SA"/>
        </w:rPr>
        <w:t>十、政府性基金预算财政拨款收入支出决算表</w:t>
      </w:r>
      <w:r>
        <w:fldChar w:fldCharType="end"/>
      </w:r>
      <w:r>
        <w:rPr>
          <w:rFonts w:hint="eastAsia"/>
          <w:lang w:val="en-US" w:eastAsia="zh-CN"/>
        </w:rPr>
        <w:t>........................................................................17</w:t>
      </w:r>
    </w:p>
    <w:p w14:paraId="7D3C9E4F">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_Toc21387 </w:instrText>
      </w:r>
      <w:r>
        <w:fldChar w:fldCharType="separate"/>
      </w:r>
      <w:r>
        <w:rPr>
          <w:rFonts w:hint="eastAsia" w:ascii="仿宋" w:hAnsi="Cambria" w:eastAsia="仿宋" w:cs="Times New Roman"/>
          <w:kern w:val="2"/>
          <w:szCs w:val="32"/>
          <w:lang w:bidi="ar-SA"/>
        </w:rPr>
        <w:t>十一、国有资本经营预算财政拨款收入支出决算表</w:t>
      </w:r>
      <w:r>
        <w:fldChar w:fldCharType="end"/>
      </w:r>
      <w:r>
        <w:rPr>
          <w:rFonts w:hint="eastAsia"/>
          <w:lang w:val="en-US" w:eastAsia="zh-CN"/>
        </w:rPr>
        <w:t>................................................................17</w:t>
      </w:r>
    </w:p>
    <w:p w14:paraId="71409780">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_Toc1140 </w:instrText>
      </w:r>
      <w:r>
        <w:fldChar w:fldCharType="separate"/>
      </w:r>
      <w:r>
        <w:rPr>
          <w:rFonts w:hint="eastAsia" w:ascii="仿宋" w:hAnsi="Cambria" w:eastAsia="仿宋" w:cs="Times New Roman"/>
          <w:kern w:val="2"/>
          <w:szCs w:val="32"/>
          <w:lang w:bidi="ar-SA"/>
        </w:rPr>
        <w:t>十二、国有资本经营预算财政拨款支出决算表</w:t>
      </w:r>
      <w:r>
        <w:fldChar w:fldCharType="end"/>
      </w:r>
      <w:r>
        <w:rPr>
          <w:rFonts w:hint="eastAsia"/>
          <w:lang w:val="en-US" w:eastAsia="zh-CN"/>
        </w:rPr>
        <w:t>........................................................................17</w:t>
      </w:r>
    </w:p>
    <w:p w14:paraId="57E00E35">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_Toc24957 </w:instrText>
      </w:r>
      <w:r>
        <w:fldChar w:fldCharType="separate"/>
      </w:r>
      <w:r>
        <w:rPr>
          <w:rFonts w:hint="eastAsia" w:ascii="仿宋" w:hAnsi="Cambria" w:eastAsia="仿宋" w:cs="Times New Roman"/>
          <w:kern w:val="2"/>
          <w:szCs w:val="32"/>
          <w:lang w:bidi="ar-SA"/>
        </w:rPr>
        <w:t>十三、财政拨款“三公”经费支出决算表</w:t>
      </w:r>
      <w:r>
        <w:fldChar w:fldCharType="end"/>
      </w:r>
      <w:r>
        <w:rPr>
          <w:rFonts w:hint="eastAsia"/>
          <w:lang w:val="en-US" w:eastAsia="zh-CN"/>
        </w:rPr>
        <w:t>................................................................................17</w:t>
      </w:r>
    </w:p>
    <w:p w14:paraId="3DB061F8">
      <w:pPr>
        <w:pageBreakBefore w:val="0"/>
        <w:kinsoku/>
        <w:wordWrap/>
        <w:overflowPunct/>
        <w:topLinePunct w:val="0"/>
        <w:bidi w:val="0"/>
        <w:spacing w:line="576" w:lineRule="exact"/>
        <w:textAlignment w:val="auto"/>
      </w:pPr>
      <w:r>
        <w:fldChar w:fldCharType="end"/>
      </w:r>
    </w:p>
    <w:p w14:paraId="266F66B4">
      <w:pPr>
        <w:pageBreakBefore w:val="0"/>
        <w:widowControl/>
        <w:kinsoku/>
        <w:wordWrap/>
        <w:overflowPunct/>
        <w:topLinePunct w:val="0"/>
        <w:bidi w:val="0"/>
        <w:adjustRightInd w:val="0"/>
        <w:snapToGrid w:val="0"/>
        <w:spacing w:line="576" w:lineRule="exact"/>
        <w:ind w:firstLine="1155" w:firstLineChars="550"/>
        <w:jc w:val="left"/>
        <w:textAlignment w:val="auto"/>
      </w:pPr>
    </w:p>
    <w:p w14:paraId="01883BF6">
      <w:pPr>
        <w:pageBreakBefore w:val="0"/>
        <w:widowControl/>
        <w:kinsoku/>
        <w:wordWrap/>
        <w:overflowPunct/>
        <w:topLinePunct w:val="0"/>
        <w:bidi w:val="0"/>
        <w:adjustRightInd w:val="0"/>
        <w:snapToGrid w:val="0"/>
        <w:spacing w:line="576" w:lineRule="exact"/>
        <w:ind w:firstLine="1155" w:firstLineChars="550"/>
        <w:jc w:val="left"/>
        <w:textAlignment w:val="auto"/>
      </w:pPr>
      <w:r>
        <w:t> </w:t>
      </w:r>
    </w:p>
    <w:p w14:paraId="5760D28B">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57EFA94E">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8934072">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68FFD86F">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18D60407">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5AAABDD5">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0FBDB89C">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20758654">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1CAECD7">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582AA7DB">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1C88C76F">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50B3998B">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21F3D676">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第一部分 </w:t>
      </w:r>
      <w:r>
        <w:rPr>
          <w:rFonts w:hint="eastAsia" w:ascii="方正小标宋简体" w:hAnsi="方正小标宋简体" w:eastAsia="方正小标宋简体" w:cs="方正小标宋简体"/>
          <w:sz w:val="44"/>
          <w:szCs w:val="44"/>
          <w:lang w:val="en-US" w:eastAsia="zh-CN"/>
        </w:rPr>
        <w:t>部门</w:t>
      </w:r>
      <w:r>
        <w:rPr>
          <w:rFonts w:hint="eastAsia" w:ascii="方正小标宋简体" w:hAnsi="方正小标宋简体" w:eastAsia="方正小标宋简体" w:cs="方正小标宋简体"/>
          <w:sz w:val="44"/>
          <w:szCs w:val="44"/>
        </w:rPr>
        <w:t>概况</w:t>
      </w:r>
      <w:bookmarkEnd w:id="5"/>
      <w:bookmarkEnd w:id="6"/>
      <w:bookmarkEnd w:id="7"/>
      <w:bookmarkEnd w:id="8"/>
    </w:p>
    <w:p w14:paraId="4A3008D4">
      <w:pPr>
        <w:keepNext w:val="0"/>
        <w:keepLines w:val="0"/>
        <w:pageBreakBefore w:val="0"/>
        <w:widowControl/>
        <w:kinsoku/>
        <w:wordWrap/>
        <w:overflowPunct/>
        <w:topLinePunct w:val="0"/>
        <w:autoSpaceDE/>
        <w:autoSpaceDN/>
        <w:bidi w:val="0"/>
        <w:spacing w:line="576" w:lineRule="exact"/>
        <w:jc w:val="left"/>
        <w:textAlignment w:val="auto"/>
        <w:rPr>
          <w:rFonts w:ascii="黑体" w:eastAsia="黑体"/>
          <w:color w:val="000000"/>
          <w:sz w:val="32"/>
          <w:szCs w:val="32"/>
        </w:rPr>
      </w:pPr>
    </w:p>
    <w:p w14:paraId="60AB4457">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sz w:val="32"/>
          <w:szCs w:val="32"/>
          <w:lang w:eastAsia="zh-CN"/>
        </w:rPr>
      </w:pPr>
      <w:bookmarkStart w:id="9" w:name="_Toc15378445"/>
      <w:bookmarkStart w:id="10" w:name="_Toc15377198"/>
      <w:r>
        <w:rPr>
          <w:rFonts w:hint="eastAsia" w:ascii="黑体" w:hAnsi="黑体" w:eastAsia="黑体"/>
          <w:sz w:val="32"/>
          <w:szCs w:val="32"/>
        </w:rPr>
        <w:t>一、</w:t>
      </w:r>
      <w:r>
        <w:rPr>
          <w:rFonts w:hint="eastAsia" w:ascii="黑体" w:hAnsi="黑体" w:eastAsia="黑体"/>
          <w:sz w:val="32"/>
          <w:szCs w:val="32"/>
          <w:lang w:val="en-US" w:eastAsia="zh-CN"/>
        </w:rPr>
        <w:t>部门</w:t>
      </w:r>
      <w:r>
        <w:rPr>
          <w:rFonts w:hint="eastAsia" w:ascii="黑体" w:hAnsi="黑体" w:eastAsia="黑体"/>
          <w:sz w:val="32"/>
          <w:szCs w:val="32"/>
        </w:rPr>
        <w:t>职</w:t>
      </w:r>
      <w:r>
        <w:rPr>
          <w:rFonts w:hint="eastAsia" w:ascii="黑体" w:hAnsi="黑体" w:eastAsia="黑体"/>
          <w:sz w:val="32"/>
          <w:szCs w:val="32"/>
          <w:lang w:eastAsia="zh-CN"/>
        </w:rPr>
        <w:t>责</w:t>
      </w:r>
    </w:p>
    <w:bookmarkEnd w:id="9"/>
    <w:bookmarkEnd w:id="10"/>
    <w:p w14:paraId="59920867">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bookmarkStart w:id="11" w:name="_Toc15377199"/>
      <w:bookmarkStart w:id="12" w:name="_Toc15378446"/>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14:paraId="689AFD17">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14:paraId="0905E793">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14:paraId="342FBE46">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14:paraId="79CBC0CD">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14:paraId="39B26763">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sz w:val="32"/>
          <w:szCs w:val="32"/>
        </w:rPr>
        <w:t>承担全县行政机关和全额拨款事业单位统一发放工资的人员编制和实有人数的审核工作。</w:t>
      </w:r>
    </w:p>
    <w:p w14:paraId="4E54D8FF">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14:paraId="48780E59">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14:paraId="6A0C930B">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sz w:val="32"/>
          <w:szCs w:val="32"/>
        </w:rPr>
        <w:t>负责全县行政审批制度改革工作；推进机构编制法制建设。</w:t>
      </w:r>
    </w:p>
    <w:p w14:paraId="529A537F">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10</w:t>
      </w:r>
      <w:r>
        <w:rPr>
          <w:rFonts w:hint="eastAsia" w:ascii="仿宋_GB2312" w:eastAsia="仿宋_GB2312"/>
          <w:b/>
          <w:sz w:val="32"/>
          <w:szCs w:val="32"/>
        </w:rPr>
        <w:t>.</w:t>
      </w:r>
      <w:r>
        <w:rPr>
          <w:rFonts w:hint="eastAsia" w:ascii="仿宋_GB2312" w:eastAsia="仿宋_GB2312"/>
          <w:sz w:val="32"/>
          <w:szCs w:val="32"/>
        </w:rPr>
        <w:t>承办县委、县政府和州机构编制委员会办公室交办的其他事项。</w:t>
      </w:r>
    </w:p>
    <w:bookmarkEnd w:id="11"/>
    <w:bookmarkEnd w:id="12"/>
    <w:p w14:paraId="23080318">
      <w:pPr>
        <w:keepNext w:val="0"/>
        <w:keepLines w:val="0"/>
        <w:pageBreakBefore w:val="0"/>
        <w:kinsoku/>
        <w:wordWrap/>
        <w:overflowPunct/>
        <w:topLinePunct w:val="0"/>
        <w:autoSpaceDE/>
        <w:autoSpaceDN/>
        <w:bidi w:val="0"/>
        <w:spacing w:line="576" w:lineRule="exact"/>
        <w:ind w:firstLine="640" w:firstLineChars="200"/>
        <w:textAlignment w:val="auto"/>
        <w:rPr>
          <w:rStyle w:val="41"/>
          <w:rFonts w:ascii="黑体" w:hAnsi="黑体" w:eastAsia="黑体"/>
          <w:b w:val="0"/>
          <w:bCs w:val="0"/>
        </w:rPr>
      </w:pPr>
      <w:bookmarkStart w:id="13" w:name="_Toc15377200"/>
      <w:bookmarkStart w:id="14" w:name="_Toc15396601"/>
      <w:r>
        <w:rPr>
          <w:rFonts w:hint="eastAsia" w:ascii="黑体" w:eastAsia="黑体"/>
          <w:sz w:val="32"/>
          <w:szCs w:val="32"/>
        </w:rPr>
        <w:t>二、</w:t>
      </w:r>
      <w:r>
        <w:rPr>
          <w:rFonts w:hint="eastAsia" w:ascii="黑体" w:hAnsi="黑体" w:eastAsia="黑体"/>
          <w:sz w:val="32"/>
          <w:szCs w:val="32"/>
        </w:rPr>
        <w:t>机</w:t>
      </w:r>
      <w:r>
        <w:rPr>
          <w:rStyle w:val="41"/>
          <w:rFonts w:hint="eastAsia" w:ascii="黑体" w:hAnsi="黑体" w:eastAsia="黑体"/>
          <w:b w:val="0"/>
          <w:bCs w:val="0"/>
        </w:rPr>
        <w:t>构设置</w:t>
      </w:r>
      <w:bookmarkEnd w:id="13"/>
      <w:bookmarkEnd w:id="14"/>
    </w:p>
    <w:p w14:paraId="416F5214">
      <w:pPr>
        <w:ind w:firstLine="800" w:firstLineChars="250"/>
        <w:rPr>
          <w:rFonts w:hint="eastAsia" w:ascii="Times New Roman" w:hAnsi="Times New Roman" w:eastAsia="仿宋_GB2312" w:cs="仿宋_GB2312"/>
          <w:color w:val="auto"/>
          <w:sz w:val="32"/>
          <w:szCs w:val="32"/>
          <w:highlight w:val="none"/>
        </w:rPr>
      </w:pPr>
      <w:bookmarkStart w:id="15" w:name="_Toc15396602"/>
      <w:bookmarkStart w:id="16" w:name="_Toc79163609"/>
      <w:bookmarkStart w:id="17" w:name="_Toc15377204"/>
      <w:bookmarkStart w:id="18" w:name="_Toc79163859"/>
      <w:r>
        <w:rPr>
          <w:rFonts w:hint="eastAsia" w:ascii="仿宋_GB2312" w:hAnsi="仿宋_GB2312" w:eastAsia="仿宋_GB2312" w:cs="仿宋_GB2312"/>
          <w:color w:val="auto"/>
          <w:sz w:val="32"/>
          <w:szCs w:val="32"/>
          <w:highlight w:val="none"/>
        </w:rPr>
        <w:t>中共茂县县委机构编制委员会办公室（本级）</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ascii="Times New Roman" w:hAnsi="Times New Roman"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5863736B">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p>
    <w:p w14:paraId="44B06E41">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p>
    <w:p w14:paraId="07C20CA9">
      <w:pPr>
        <w:spacing w:line="576" w:lineRule="exact"/>
        <w:ind w:firstLine="640" w:firstLineChars="200"/>
        <w:rPr>
          <w:rFonts w:hint="eastAsia" w:ascii="仿宋_GB2312" w:hAnsi="仿宋_GB2312" w:eastAsia="仿宋_GB2312" w:cs="仿宋_GB2312"/>
          <w:sz w:val="32"/>
          <w:szCs w:val="32"/>
        </w:rPr>
      </w:pPr>
    </w:p>
    <w:p w14:paraId="2F26D5A0">
      <w:pPr>
        <w:spacing w:line="576" w:lineRule="exact"/>
        <w:ind w:firstLine="640" w:firstLineChars="200"/>
        <w:rPr>
          <w:rFonts w:hint="eastAsia" w:ascii="仿宋_GB2312" w:hAnsi="仿宋_GB2312" w:eastAsia="仿宋_GB2312" w:cs="仿宋_GB2312"/>
          <w:sz w:val="32"/>
          <w:szCs w:val="32"/>
        </w:rPr>
      </w:pPr>
    </w:p>
    <w:p w14:paraId="48389F62">
      <w:pPr>
        <w:spacing w:line="576" w:lineRule="exact"/>
        <w:ind w:firstLine="640" w:firstLineChars="200"/>
        <w:rPr>
          <w:rFonts w:hint="eastAsia" w:ascii="仿宋_GB2312" w:hAnsi="仿宋_GB2312" w:eastAsia="仿宋_GB2312" w:cs="仿宋_GB2312"/>
          <w:sz w:val="32"/>
          <w:szCs w:val="32"/>
        </w:rPr>
      </w:pPr>
    </w:p>
    <w:p w14:paraId="119CBC1B">
      <w:pPr>
        <w:spacing w:line="576" w:lineRule="exact"/>
        <w:ind w:firstLine="640" w:firstLineChars="200"/>
        <w:rPr>
          <w:rFonts w:hint="eastAsia" w:ascii="仿宋_GB2312" w:hAnsi="仿宋_GB2312" w:eastAsia="仿宋_GB2312" w:cs="仿宋_GB2312"/>
          <w:sz w:val="32"/>
          <w:szCs w:val="32"/>
        </w:rPr>
      </w:pPr>
    </w:p>
    <w:p w14:paraId="17F21491">
      <w:pPr>
        <w:spacing w:line="576" w:lineRule="exact"/>
        <w:ind w:firstLine="640" w:firstLineChars="200"/>
        <w:rPr>
          <w:rFonts w:hint="eastAsia" w:ascii="仿宋_GB2312" w:hAnsi="仿宋_GB2312" w:eastAsia="仿宋_GB2312" w:cs="仿宋_GB2312"/>
          <w:sz w:val="32"/>
          <w:szCs w:val="32"/>
        </w:rPr>
      </w:pPr>
    </w:p>
    <w:p w14:paraId="76B479EF">
      <w:pPr>
        <w:spacing w:line="576" w:lineRule="exact"/>
        <w:ind w:firstLine="640" w:firstLineChars="200"/>
        <w:rPr>
          <w:rFonts w:hint="eastAsia" w:ascii="仿宋_GB2312" w:hAnsi="仿宋_GB2312" w:eastAsia="仿宋_GB2312" w:cs="仿宋_GB2312"/>
          <w:sz w:val="32"/>
          <w:szCs w:val="32"/>
        </w:rPr>
      </w:pPr>
    </w:p>
    <w:p w14:paraId="6F54321A">
      <w:pPr>
        <w:spacing w:line="576" w:lineRule="exact"/>
        <w:ind w:firstLine="640" w:firstLineChars="200"/>
        <w:rPr>
          <w:rFonts w:hint="eastAsia" w:ascii="仿宋_GB2312" w:hAnsi="仿宋_GB2312" w:eastAsia="仿宋_GB2312" w:cs="仿宋_GB2312"/>
          <w:sz w:val="32"/>
          <w:szCs w:val="32"/>
        </w:rPr>
      </w:pPr>
    </w:p>
    <w:p w14:paraId="242E4A7B">
      <w:pPr>
        <w:spacing w:line="576" w:lineRule="exact"/>
        <w:ind w:firstLine="640" w:firstLineChars="200"/>
        <w:rPr>
          <w:rFonts w:hint="eastAsia" w:ascii="仿宋_GB2312" w:hAnsi="仿宋_GB2312" w:eastAsia="仿宋_GB2312" w:cs="仿宋_GB2312"/>
          <w:sz w:val="32"/>
          <w:szCs w:val="32"/>
        </w:rPr>
      </w:pPr>
    </w:p>
    <w:p w14:paraId="05CDA601">
      <w:pPr>
        <w:spacing w:line="576" w:lineRule="exact"/>
        <w:ind w:firstLine="640" w:firstLineChars="200"/>
        <w:rPr>
          <w:rFonts w:hint="eastAsia" w:ascii="仿宋_GB2312" w:hAnsi="仿宋_GB2312" w:eastAsia="仿宋_GB2312" w:cs="仿宋_GB2312"/>
          <w:sz w:val="32"/>
          <w:szCs w:val="32"/>
        </w:rPr>
      </w:pPr>
    </w:p>
    <w:p w14:paraId="586E02F1">
      <w:pPr>
        <w:spacing w:line="576" w:lineRule="exact"/>
        <w:ind w:firstLine="640" w:firstLineChars="200"/>
        <w:rPr>
          <w:rFonts w:hint="eastAsia" w:ascii="仿宋_GB2312" w:hAnsi="仿宋_GB2312" w:eastAsia="仿宋_GB2312" w:cs="仿宋_GB2312"/>
          <w:sz w:val="32"/>
          <w:szCs w:val="32"/>
        </w:rPr>
      </w:pPr>
    </w:p>
    <w:bookmarkEnd w:id="15"/>
    <w:bookmarkEnd w:id="16"/>
    <w:bookmarkEnd w:id="17"/>
    <w:bookmarkEnd w:id="18"/>
    <w:p w14:paraId="58F83591">
      <w:pPr>
        <w:pStyle w:val="5"/>
        <w:jc w:val="center"/>
        <w:rPr>
          <w:rFonts w:hint="eastAsia" w:ascii="Times New Roman" w:hAnsi="Times New Roman" w:eastAsia="方正小标宋简体" w:cs="方正小标宋简体"/>
          <w:b w:val="0"/>
          <w:color w:val="auto"/>
          <w:highlight w:val="none"/>
        </w:rPr>
      </w:pPr>
      <w:bookmarkStart w:id="19" w:name="_Toc15396606"/>
      <w:bookmarkStart w:id="20" w:name="_Toc79163863"/>
      <w:bookmarkStart w:id="21" w:name="_Toc79163613"/>
      <w:bookmarkStart w:id="22" w:name="_Toc15377208"/>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p>
    <w:p w14:paraId="3599C41D">
      <w:pPr>
        <w:pageBreakBefore w:val="0"/>
        <w:widowControl w:val="0"/>
        <w:kinsoku/>
        <w:wordWrap/>
        <w:overflowPunct/>
        <w:topLinePunct w:val="0"/>
        <w:autoSpaceDE/>
        <w:autoSpaceDN/>
        <w:bidi w:val="0"/>
        <w:adjustRightInd/>
        <w:spacing w:line="576" w:lineRule="exact"/>
        <w:ind w:firstLine="640" w:firstLineChars="200"/>
        <w:textAlignment w:val="auto"/>
        <w:rPr>
          <w:rStyle w:val="41"/>
          <w:rFonts w:ascii="黑体" w:hAnsi="黑体" w:eastAsia="黑体"/>
          <w:b w:val="0"/>
        </w:rPr>
      </w:pPr>
      <w:r>
        <w:rPr>
          <w:rFonts w:hint="eastAsia" w:ascii="黑体" w:hAnsi="黑体" w:eastAsia="黑体"/>
          <w:sz w:val="32"/>
          <w:szCs w:val="32"/>
        </w:rPr>
        <w:t>一、收</w:t>
      </w:r>
      <w:r>
        <w:rPr>
          <w:rStyle w:val="41"/>
          <w:rFonts w:hint="eastAsia" w:ascii="黑体" w:hAnsi="黑体" w:eastAsia="黑体"/>
          <w:b w:val="0"/>
        </w:rPr>
        <w:t>入支出决算总体情况说明</w:t>
      </w:r>
    </w:p>
    <w:p w14:paraId="21ED1F18">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91.39</w:t>
      </w:r>
      <w:r>
        <w:rPr>
          <w:rFonts w:hint="eastAsia" w:ascii="Times New Roman" w:hAnsi="Times New Roman" w:eastAsia="仿宋_GB2312" w:cs="仿宋_GB2312"/>
          <w:color w:val="auto"/>
          <w:sz w:val="32"/>
          <w:szCs w:val="32"/>
          <w:highlight w:val="none"/>
        </w:rPr>
        <w:t>万元</w:t>
      </w:r>
      <w:r>
        <w:rPr>
          <w:rFonts w:hint="eastAsia" w:ascii="仿宋_GB2312" w:hAnsi="仿宋_GB2312" w:eastAsia="仿宋_GB2312" w:cs="仿宋_GB2312"/>
          <w:sz w:val="32"/>
          <w:szCs w:val="32"/>
        </w:rPr>
        <w:t>。与202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年相比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总计</w:t>
      </w:r>
      <w:r>
        <w:rPr>
          <w:rFonts w:hint="eastAsia" w:ascii="Times New Roman" w:hAnsi="Times New Roman" w:eastAsia="仿宋_GB2312" w:cs="仿宋_GB2312"/>
          <w:color w:val="auto"/>
          <w:sz w:val="32"/>
          <w:szCs w:val="32"/>
          <w:highlight w:val="none"/>
        </w:rPr>
        <w:t>各增加</w:t>
      </w:r>
      <w:r>
        <w:rPr>
          <w:rFonts w:hint="eastAsia" w:ascii="仿宋_GB2312" w:hAnsi="仿宋_GB2312" w:eastAsia="仿宋_GB2312" w:cs="仿宋_GB2312"/>
          <w:sz w:val="32"/>
          <w:szCs w:val="32"/>
          <w:lang w:val="en-US" w:eastAsia="zh-CN"/>
        </w:rPr>
        <w:t>3.93</w:t>
      </w:r>
      <w:r>
        <w:rPr>
          <w:rFonts w:hint="eastAsia" w:ascii="仿宋_GB2312" w:hAnsi="仿宋_GB2312" w:eastAsia="仿宋_GB2312" w:cs="仿宋_GB2312"/>
          <w:sz w:val="32"/>
          <w:szCs w:val="32"/>
        </w:rPr>
        <w:t>万元，</w:t>
      </w:r>
      <w:r>
        <w:rPr>
          <w:rFonts w:hint="eastAsia" w:ascii="Times New Roman" w:hAnsi="Times New Roman" w:eastAsia="仿宋_GB2312" w:cs="仿宋_GB2312"/>
          <w:color w:val="auto"/>
          <w:sz w:val="32"/>
          <w:szCs w:val="32"/>
          <w:highlight w:val="none"/>
        </w:rPr>
        <w:t>增长</w:t>
      </w:r>
      <w:r>
        <w:rPr>
          <w:rFonts w:hint="eastAsia" w:ascii="仿宋_GB2312" w:hAnsi="仿宋_GB2312" w:eastAsia="仿宋_GB2312" w:cs="仿宋_GB2312"/>
          <w:sz w:val="32"/>
          <w:szCs w:val="32"/>
          <w:lang w:val="en-US" w:eastAsia="zh-CN"/>
        </w:rPr>
        <w:t>4.48</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w:t>
      </w:r>
      <w:r>
        <w:rPr>
          <w:rFonts w:hint="eastAsia" w:ascii="仿宋_GB2312" w:hAnsi="仿宋" w:eastAsia="仿宋_GB2312" w:cs="仿宋"/>
          <w:sz w:val="32"/>
          <w:szCs w:val="32"/>
          <w:lang w:val="en-US" w:eastAsia="zh-CN"/>
        </w:rPr>
        <w:t>2024年人员工资保险有所增加</w:t>
      </w:r>
      <w:r>
        <w:rPr>
          <w:rFonts w:hint="eastAsia" w:ascii="仿宋_GB2312" w:hAnsi="仿宋" w:eastAsia="仿宋_GB2312" w:cs="仿宋"/>
          <w:sz w:val="32"/>
          <w:szCs w:val="32"/>
        </w:rPr>
        <w:t>。</w:t>
      </w:r>
    </w:p>
    <w:p w14:paraId="07491959">
      <w:pPr>
        <w:pStyle w:val="2"/>
      </w:pPr>
    </w:p>
    <w:p w14:paraId="2286EAC9">
      <w:pPr>
        <w:jc w:val="center"/>
        <w:rPr>
          <w:rFonts w:ascii="仿宋_GB2312" w:eastAsia="仿宋_GB2312"/>
          <w:sz w:val="32"/>
          <w:szCs w:val="32"/>
        </w:rPr>
      </w:pPr>
      <w:bookmarkStart w:id="23" w:name="_Toc15396604"/>
      <w:bookmarkStart w:id="24" w:name="_Toc15377206"/>
      <w:r>
        <w:rPr>
          <w:rFonts w:ascii="仿宋_GB2312" w:eastAsia="仿宋_GB2312"/>
          <w:sz w:val="32"/>
          <w:szCs w:val="32"/>
        </w:rPr>
        <w:drawing>
          <wp:inline distT="0" distB="0" distL="0" distR="0">
            <wp:extent cx="4048125" cy="2273935"/>
            <wp:effectExtent l="4445" t="4445" r="5080"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04DE4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cs="黑体"/>
          <w:b w:val="0"/>
        </w:rPr>
      </w:pPr>
      <w:r>
        <w:rPr>
          <w:rFonts w:hint="eastAsia" w:ascii="黑体" w:hAnsi="黑体" w:eastAsia="黑体" w:cs="黑体"/>
          <w:sz w:val="32"/>
          <w:szCs w:val="32"/>
        </w:rPr>
        <w:t>二、收</w:t>
      </w:r>
      <w:r>
        <w:rPr>
          <w:rStyle w:val="41"/>
          <w:rFonts w:hint="eastAsia" w:ascii="黑体" w:hAnsi="黑体" w:eastAsia="黑体" w:cs="黑体"/>
          <w:b w:val="0"/>
        </w:rPr>
        <w:t>入决算情况说明</w:t>
      </w:r>
      <w:bookmarkEnd w:id="23"/>
      <w:bookmarkEnd w:id="24"/>
    </w:p>
    <w:p w14:paraId="34C4F5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年本年收入合计91.39万元，其中：一般公共预算财政拨款收入91.39万元，占100%；政府性基金预算财政拨款收入0万元，占0%。</w:t>
      </w:r>
    </w:p>
    <w:p w14:paraId="0E7BD3CD">
      <w:pPr>
        <w:pStyle w:val="3"/>
        <w:ind w:left="0" w:leftChars="0" w:firstLine="0" w:firstLineChars="0"/>
        <w:rPr>
          <w:rFonts w:hint="eastAsia"/>
        </w:rPr>
      </w:pPr>
    </w:p>
    <w:p w14:paraId="6ECC4BCE">
      <w:pPr>
        <w:jc w:val="center"/>
        <w:rPr>
          <w:rFonts w:ascii="仿宋_GB2312" w:eastAsia="仿宋_GB2312"/>
          <w:sz w:val="32"/>
          <w:szCs w:val="32"/>
        </w:rPr>
      </w:pPr>
      <w:bookmarkStart w:id="25" w:name="_Toc15396605"/>
      <w:bookmarkStart w:id="26" w:name="_Toc15377207"/>
      <w:r>
        <w:rPr>
          <w:rFonts w:ascii="仿宋_GB2312" w:eastAsia="仿宋_GB2312"/>
          <w:sz w:val="32"/>
          <w:szCs w:val="32"/>
        </w:rPr>
        <w:drawing>
          <wp:inline distT="0" distB="0" distL="0" distR="0">
            <wp:extent cx="3459480" cy="1924685"/>
            <wp:effectExtent l="5080" t="4445" r="21590"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bookmarkEnd w:id="19"/>
    <w:bookmarkEnd w:id="20"/>
    <w:bookmarkEnd w:id="21"/>
    <w:bookmarkEnd w:id="22"/>
    <w:bookmarkEnd w:id="25"/>
    <w:bookmarkEnd w:id="26"/>
    <w:p w14:paraId="71CF74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cs="黑体"/>
          <w:b w:val="0"/>
        </w:rPr>
      </w:pPr>
      <w:r>
        <w:rPr>
          <w:rFonts w:hint="eastAsia" w:ascii="黑体" w:hAnsi="黑体" w:eastAsia="黑体" w:cs="黑体"/>
          <w:sz w:val="32"/>
          <w:szCs w:val="32"/>
        </w:rPr>
        <w:t>三、支</w:t>
      </w:r>
      <w:r>
        <w:rPr>
          <w:rStyle w:val="41"/>
          <w:rFonts w:hint="eastAsia" w:ascii="黑体" w:hAnsi="黑体" w:eastAsia="黑体" w:cs="黑体"/>
          <w:b w:val="0"/>
        </w:rPr>
        <w:t>出决算情况说明</w:t>
      </w:r>
    </w:p>
    <w:p w14:paraId="5798E008">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年本年支出合计91.39万元，其中：基本支出91.39万元，占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4AF93BA1">
      <w:pPr>
        <w:pStyle w:val="2"/>
      </w:pPr>
    </w:p>
    <w:p w14:paraId="36372C42">
      <w:pPr>
        <w:ind w:firstLine="640" w:firstLineChars="200"/>
        <w:jc w:val="center"/>
        <w:rPr>
          <w:rFonts w:ascii="黑体" w:hAnsi="黑体" w:eastAsia="黑体"/>
          <w:bCs/>
          <w:sz w:val="32"/>
          <w:szCs w:val="32"/>
        </w:rPr>
      </w:pPr>
      <w:r>
        <w:rPr>
          <w:rFonts w:ascii="黑体" w:hAnsi="黑体" w:eastAsia="黑体"/>
          <w:bCs/>
          <w:sz w:val="32"/>
          <w:szCs w:val="32"/>
        </w:rPr>
        <w:drawing>
          <wp:inline distT="0" distB="0" distL="0" distR="0">
            <wp:extent cx="3987800" cy="2027555"/>
            <wp:effectExtent l="4445" t="4445" r="8255" b="63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9804AB">
      <w:pPr>
        <w:pStyle w:val="2"/>
      </w:pPr>
    </w:p>
    <w:p w14:paraId="366249EB">
      <w:pPr>
        <w:pStyle w:val="6"/>
        <w:pageBreakBefore w:val="0"/>
        <w:widowControl w:val="0"/>
        <w:kinsoku/>
        <w:wordWrap/>
        <w:overflowPunct/>
        <w:topLinePunct w:val="0"/>
        <w:autoSpaceDE/>
        <w:autoSpaceDN/>
        <w:bidi w:val="0"/>
        <w:adjustRightInd/>
        <w:spacing w:before="0" w:after="0" w:line="576" w:lineRule="exact"/>
        <w:ind w:firstLine="640" w:firstLineChars="200"/>
        <w:textAlignment w:val="auto"/>
        <w:rPr>
          <w:rStyle w:val="41"/>
          <w:rFonts w:ascii="黑体" w:hAnsi="黑体" w:eastAsia="黑体"/>
          <w:b w:val="0"/>
          <w:bCs/>
        </w:rPr>
      </w:pPr>
      <w:r>
        <w:rPr>
          <w:rStyle w:val="41"/>
          <w:rFonts w:hint="eastAsia" w:ascii="黑体" w:hAnsi="黑体" w:eastAsia="黑体"/>
          <w:b w:val="0"/>
          <w:bCs/>
        </w:rPr>
        <w:t>四、财政拨款收入支出决算总体情况说明</w:t>
      </w:r>
    </w:p>
    <w:p w14:paraId="59EEBE79">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年财政拨款收、支总计</w:t>
      </w:r>
      <w:r>
        <w:rPr>
          <w:rFonts w:hint="eastAsia" w:ascii="仿宋_GB2312" w:hAnsi="仿宋_GB2312" w:eastAsia="仿宋_GB2312" w:cs="仿宋_GB2312"/>
          <w:sz w:val="32"/>
          <w:szCs w:val="32"/>
          <w:lang w:val="en-US" w:eastAsia="zh-CN"/>
        </w:rPr>
        <w:t>均为</w:t>
      </w:r>
      <w:r>
        <w:rPr>
          <w:rFonts w:hint="eastAsia" w:ascii="仿宋_GB2312" w:hAnsi="仿宋_GB2312" w:eastAsia="仿宋_GB2312" w:cs="仿宋_GB2312"/>
          <w:sz w:val="32"/>
          <w:szCs w:val="32"/>
        </w:rPr>
        <w:t>91.39万元。与202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年相比，财政拨款收、支总计</w:t>
      </w:r>
      <w:r>
        <w:rPr>
          <w:rFonts w:hint="eastAsia" w:ascii="仿宋_GB2312" w:hAnsi="仿宋_GB2312" w:eastAsia="仿宋_GB2312" w:cs="仿宋_GB2312"/>
          <w:sz w:val="32"/>
          <w:szCs w:val="32"/>
          <w:lang w:eastAsia="zh-CN"/>
        </w:rPr>
        <w:t>各</w:t>
      </w:r>
      <w:r>
        <w:rPr>
          <w:rFonts w:hint="eastAsia" w:ascii="Times New Roman" w:hAnsi="Times New Roman" w:eastAsia="仿宋_GB2312" w:cs="仿宋_GB2312"/>
          <w:color w:val="auto"/>
          <w:sz w:val="32"/>
          <w:szCs w:val="32"/>
          <w:highlight w:val="none"/>
        </w:rPr>
        <w:t>增加</w:t>
      </w:r>
      <w:r>
        <w:rPr>
          <w:rFonts w:hint="eastAsia" w:ascii="仿宋_GB2312" w:hAnsi="仿宋_GB2312" w:eastAsia="仿宋_GB2312" w:cs="仿宋_GB2312"/>
          <w:sz w:val="32"/>
          <w:szCs w:val="32"/>
          <w:lang w:val="en-US" w:eastAsia="zh-CN"/>
        </w:rPr>
        <w:t>3.93</w:t>
      </w:r>
      <w:r>
        <w:rPr>
          <w:rFonts w:hint="eastAsia" w:ascii="仿宋_GB2312" w:hAnsi="仿宋_GB2312" w:eastAsia="仿宋_GB2312" w:cs="仿宋_GB2312"/>
          <w:sz w:val="32"/>
          <w:szCs w:val="32"/>
        </w:rPr>
        <w:t>万元，</w:t>
      </w:r>
      <w:r>
        <w:rPr>
          <w:rFonts w:hint="eastAsia" w:ascii="Times New Roman" w:hAnsi="Times New Roman" w:eastAsia="仿宋_GB2312" w:cs="仿宋_GB2312"/>
          <w:color w:val="auto"/>
          <w:sz w:val="32"/>
          <w:szCs w:val="32"/>
          <w:highlight w:val="none"/>
        </w:rPr>
        <w:t>增长</w:t>
      </w:r>
      <w:r>
        <w:rPr>
          <w:rFonts w:hint="eastAsia" w:ascii="仿宋_GB2312" w:hAnsi="仿宋_GB2312" w:eastAsia="仿宋_GB2312" w:cs="仿宋_GB2312"/>
          <w:sz w:val="32"/>
          <w:szCs w:val="32"/>
          <w:lang w:val="en-US" w:eastAsia="zh-CN"/>
        </w:rPr>
        <w:t>4.48</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w:t>
      </w:r>
      <w:r>
        <w:rPr>
          <w:rFonts w:hint="eastAsia" w:ascii="仿宋_GB2312" w:hAnsi="仿宋" w:eastAsia="仿宋_GB2312" w:cs="仿宋"/>
          <w:sz w:val="32"/>
          <w:szCs w:val="32"/>
          <w:lang w:val="en-US" w:eastAsia="zh-CN"/>
        </w:rPr>
        <w:t>2024年人员工资保险有所增加</w:t>
      </w:r>
      <w:r>
        <w:rPr>
          <w:rFonts w:hint="eastAsia" w:ascii="仿宋_GB2312" w:hAnsi="仿宋" w:eastAsia="仿宋_GB2312" w:cs="仿宋"/>
          <w:sz w:val="32"/>
          <w:szCs w:val="32"/>
        </w:rPr>
        <w:t>。</w:t>
      </w:r>
    </w:p>
    <w:p w14:paraId="110438E9">
      <w:pPr>
        <w:pStyle w:val="2"/>
      </w:pPr>
    </w:p>
    <w:p w14:paraId="63972C86">
      <w:pPr>
        <w:jc w:val="center"/>
        <w:rPr>
          <w:rFonts w:ascii="仿宋_GB2312" w:eastAsia="仿宋_GB2312"/>
          <w:sz w:val="32"/>
          <w:szCs w:val="32"/>
        </w:rPr>
      </w:pPr>
      <w:bookmarkStart w:id="27" w:name="_Toc15377209"/>
      <w:bookmarkStart w:id="28" w:name="_Toc15396607"/>
      <w:r>
        <w:rPr>
          <w:rFonts w:ascii="仿宋_GB2312" w:eastAsia="仿宋_GB2312"/>
          <w:sz w:val="32"/>
          <w:szCs w:val="32"/>
        </w:rPr>
        <w:drawing>
          <wp:inline distT="0" distB="0" distL="0" distR="0">
            <wp:extent cx="4011930" cy="2162175"/>
            <wp:effectExtent l="19050" t="0" r="26615" b="89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E866E0">
      <w:pPr>
        <w:pStyle w:val="2"/>
      </w:pPr>
    </w:p>
    <w:p w14:paraId="4AAA7D18">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仿宋" w:hAnsi="仿宋" w:eastAsia="仿宋"/>
          <w:bCs/>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41"/>
          <w:rFonts w:hint="eastAsia" w:ascii="黑体" w:hAnsi="黑体" w:eastAsia="黑体"/>
          <w:b w:val="0"/>
        </w:rPr>
        <w:t>般公共预算财政拨款支出决算情况说明</w:t>
      </w:r>
      <w:bookmarkEnd w:id="27"/>
      <w:bookmarkEnd w:id="28"/>
      <w:bookmarkStart w:id="29" w:name="_Toc15377210"/>
    </w:p>
    <w:p w14:paraId="5135E40D">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29"/>
    </w:p>
    <w:p w14:paraId="1E19334B">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91.39</w:t>
      </w:r>
      <w:r>
        <w:rPr>
          <w:rFonts w:hint="eastAsia" w:ascii="仿宋_GB2312" w:hAnsi="仿宋_GB2312" w:eastAsia="仿宋_GB2312" w:cs="仿宋_GB2312"/>
          <w:sz w:val="32"/>
          <w:szCs w:val="32"/>
        </w:rPr>
        <w:t>万元，占本年支出合计的100%。与202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年相比，财政拨款支</w:t>
      </w:r>
      <w:r>
        <w:rPr>
          <w:rFonts w:hint="eastAsia" w:ascii="仿宋_GB2312" w:hAnsi="仿宋_GB2312" w:eastAsia="仿宋_GB2312" w:cs="仿宋_GB2312"/>
          <w:sz w:val="32"/>
          <w:szCs w:val="32"/>
          <w:lang w:eastAsia="zh-CN"/>
        </w:rPr>
        <w:t>出</w:t>
      </w:r>
      <w:r>
        <w:rPr>
          <w:rFonts w:hint="eastAsia" w:ascii="Times New Roman" w:hAnsi="Times New Roman" w:eastAsia="仿宋_GB2312" w:cs="仿宋_GB2312"/>
          <w:color w:val="auto"/>
          <w:sz w:val="32"/>
          <w:szCs w:val="32"/>
          <w:highlight w:val="none"/>
        </w:rPr>
        <w:t>增加</w:t>
      </w:r>
      <w:r>
        <w:rPr>
          <w:rFonts w:hint="eastAsia" w:ascii="仿宋_GB2312" w:hAnsi="仿宋_GB2312" w:eastAsia="仿宋_GB2312" w:cs="仿宋_GB2312"/>
          <w:sz w:val="32"/>
          <w:szCs w:val="32"/>
          <w:lang w:val="en-US" w:eastAsia="zh-CN"/>
        </w:rPr>
        <w:t>3.93</w:t>
      </w:r>
      <w:r>
        <w:rPr>
          <w:rFonts w:hint="eastAsia" w:ascii="仿宋_GB2312" w:hAnsi="仿宋_GB2312" w:eastAsia="仿宋_GB2312" w:cs="仿宋_GB2312"/>
          <w:sz w:val="32"/>
          <w:szCs w:val="32"/>
        </w:rPr>
        <w:t>万元，</w:t>
      </w:r>
      <w:r>
        <w:rPr>
          <w:rFonts w:hint="eastAsia" w:ascii="Times New Roman" w:hAnsi="Times New Roman" w:eastAsia="仿宋_GB2312" w:cs="仿宋_GB2312"/>
          <w:color w:val="auto"/>
          <w:sz w:val="32"/>
          <w:szCs w:val="32"/>
          <w:highlight w:val="none"/>
        </w:rPr>
        <w:t>增长</w:t>
      </w:r>
      <w:r>
        <w:rPr>
          <w:rFonts w:hint="eastAsia" w:ascii="仿宋_GB2312" w:hAnsi="仿宋_GB2312" w:eastAsia="仿宋_GB2312" w:cs="仿宋_GB2312"/>
          <w:sz w:val="32"/>
          <w:szCs w:val="32"/>
          <w:lang w:val="en-US" w:eastAsia="zh-CN"/>
        </w:rPr>
        <w:t>4.48</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w:t>
      </w:r>
      <w:r>
        <w:rPr>
          <w:rFonts w:hint="eastAsia" w:ascii="仿宋_GB2312" w:hAnsi="仿宋" w:eastAsia="仿宋_GB2312" w:cs="仿宋"/>
          <w:sz w:val="32"/>
          <w:szCs w:val="32"/>
          <w:lang w:val="en-US" w:eastAsia="zh-CN"/>
        </w:rPr>
        <w:t>2024年人员工资保险有所增加</w:t>
      </w:r>
      <w:r>
        <w:rPr>
          <w:rFonts w:hint="eastAsia" w:ascii="仿宋_GB2312" w:hAnsi="仿宋" w:eastAsia="仿宋_GB2312" w:cs="仿宋"/>
          <w:sz w:val="32"/>
          <w:szCs w:val="32"/>
        </w:rPr>
        <w:t>。</w:t>
      </w:r>
    </w:p>
    <w:p w14:paraId="06AD40E5">
      <w:pPr>
        <w:pStyle w:val="2"/>
      </w:pPr>
    </w:p>
    <w:p w14:paraId="31C6BB52">
      <w:pPr>
        <w:jc w:val="center"/>
        <w:rPr>
          <w:rFonts w:ascii="仿宋_GB2312" w:eastAsia="仿宋_GB2312"/>
          <w:sz w:val="32"/>
          <w:szCs w:val="32"/>
        </w:rPr>
      </w:pPr>
      <w:r>
        <w:rPr>
          <w:rFonts w:ascii="仿宋_GB2312" w:eastAsia="仿宋_GB2312"/>
          <w:sz w:val="32"/>
          <w:szCs w:val="32"/>
        </w:rPr>
        <w:drawing>
          <wp:inline distT="0" distB="0" distL="0" distR="0">
            <wp:extent cx="3632200" cy="1893570"/>
            <wp:effectExtent l="4445" t="4445" r="20955"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30359C">
      <w:pPr>
        <w:pStyle w:val="19"/>
        <w:ind w:left="0" w:leftChars="0" w:firstLine="0" w:firstLineChars="0"/>
      </w:pPr>
    </w:p>
    <w:p w14:paraId="70C8D17B">
      <w:pPr>
        <w:spacing w:line="576" w:lineRule="exact"/>
        <w:ind w:firstLine="643" w:firstLineChars="200"/>
        <w:outlineLvl w:val="1"/>
        <w:rPr>
          <w:rFonts w:ascii="楷体_GB2312" w:hAnsi="楷体_GB2312" w:eastAsia="楷体_GB2312" w:cs="楷体_GB2312"/>
          <w:b/>
          <w:sz w:val="32"/>
          <w:szCs w:val="32"/>
        </w:rPr>
      </w:pPr>
      <w:bookmarkStart w:id="30" w:name="_Toc15377211"/>
      <w:r>
        <w:rPr>
          <w:rFonts w:hint="eastAsia" w:ascii="楷体_GB2312" w:hAnsi="楷体_GB2312" w:eastAsia="楷体_GB2312" w:cs="楷体_GB2312"/>
          <w:b/>
          <w:sz w:val="32"/>
          <w:szCs w:val="32"/>
        </w:rPr>
        <w:t>（二）一般公共预算财政拨款支出决算结构情况</w:t>
      </w:r>
      <w:bookmarkEnd w:id="30"/>
    </w:p>
    <w:p w14:paraId="6AFBB1F0">
      <w:pPr>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91.39</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Cs/>
          <w:sz w:val="32"/>
          <w:szCs w:val="32"/>
        </w:rPr>
        <w:t>一般公共服务（201）支出</w:t>
      </w:r>
      <w:r>
        <w:rPr>
          <w:rFonts w:hint="eastAsia" w:ascii="仿宋_GB2312" w:hAnsi="仿宋" w:eastAsia="仿宋_GB2312"/>
          <w:sz w:val="32"/>
          <w:szCs w:val="32"/>
          <w:lang w:val="en-US" w:eastAsia="zh-CN"/>
        </w:rPr>
        <w:t>67.79</w:t>
      </w:r>
      <w:r>
        <w:rPr>
          <w:rFonts w:hint="eastAsia" w:ascii="仿宋_GB2312" w:hAnsi="仿宋_GB2312" w:eastAsia="仿宋_GB2312" w:cs="仿宋_GB2312"/>
          <w:bCs/>
          <w:sz w:val="32"/>
          <w:szCs w:val="32"/>
        </w:rPr>
        <w:t>万元，占</w:t>
      </w:r>
      <w:r>
        <w:rPr>
          <w:rFonts w:hint="eastAsia" w:ascii="仿宋_GB2312" w:hAnsi="仿宋" w:eastAsia="仿宋_GB2312"/>
          <w:sz w:val="32"/>
          <w:szCs w:val="32"/>
          <w:lang w:val="en-US" w:eastAsia="zh-CN"/>
        </w:rPr>
        <w:t>74.18</w:t>
      </w:r>
      <w:r>
        <w:rPr>
          <w:rFonts w:hint="eastAsia" w:ascii="仿宋_GB2312" w:hAnsi="仿宋_GB2312" w:eastAsia="仿宋_GB2312" w:cs="仿宋_GB2312"/>
          <w:bCs/>
          <w:sz w:val="32"/>
          <w:szCs w:val="32"/>
        </w:rPr>
        <w:t>%；社会保障和就业（208）</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11.93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13.05</w:t>
      </w:r>
      <w:r>
        <w:rPr>
          <w:rFonts w:hint="eastAsia" w:ascii="仿宋_GB2312" w:hAnsi="仿宋_GB2312" w:eastAsia="仿宋_GB2312" w:cs="仿宋_GB2312"/>
          <w:sz w:val="32"/>
          <w:szCs w:val="32"/>
        </w:rPr>
        <w:t>%；卫生健康（</w:t>
      </w:r>
      <w:r>
        <w:rPr>
          <w:rFonts w:hint="eastAsia" w:ascii="仿宋_GB2312" w:hAnsi="仿宋_GB2312" w:eastAsia="仿宋_GB2312" w:cs="仿宋_GB2312"/>
          <w:bCs/>
          <w:sz w:val="32"/>
          <w:szCs w:val="32"/>
        </w:rPr>
        <w:t>210</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5.21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5.70</w:t>
      </w:r>
      <w:r>
        <w:rPr>
          <w:rFonts w:hint="eastAsia" w:ascii="仿宋_GB2312" w:hAnsi="仿宋_GB2312" w:eastAsia="仿宋_GB2312" w:cs="仿宋_GB2312"/>
          <w:sz w:val="32"/>
          <w:szCs w:val="32"/>
        </w:rPr>
        <w:t>%；住房保障（</w:t>
      </w:r>
      <w:r>
        <w:rPr>
          <w:rFonts w:hint="eastAsia" w:ascii="仿宋_GB2312" w:hAnsi="仿宋_GB2312" w:eastAsia="仿宋_GB2312" w:cs="仿宋_GB2312"/>
          <w:bCs/>
          <w:sz w:val="32"/>
          <w:szCs w:val="32"/>
        </w:rPr>
        <w:t>221</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6.46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7.07</w:t>
      </w:r>
      <w:r>
        <w:rPr>
          <w:rFonts w:hint="eastAsia" w:ascii="仿宋_GB2312" w:hAnsi="仿宋_GB2312" w:eastAsia="仿宋_GB2312" w:cs="仿宋_GB2312"/>
          <w:sz w:val="32"/>
          <w:szCs w:val="32"/>
        </w:rPr>
        <w:t>%。</w:t>
      </w:r>
    </w:p>
    <w:p w14:paraId="5FA855AE">
      <w:pPr>
        <w:pStyle w:val="2"/>
      </w:pPr>
    </w:p>
    <w:p w14:paraId="12D0B13F">
      <w:pPr>
        <w:jc w:val="center"/>
        <w:rPr>
          <w:rFonts w:ascii="仿宋" w:hAnsi="仿宋" w:eastAsia="仿宋"/>
          <w:sz w:val="32"/>
          <w:szCs w:val="32"/>
        </w:rPr>
      </w:pPr>
      <w:r>
        <w:rPr>
          <w:rFonts w:ascii="仿宋" w:hAnsi="仿宋" w:eastAsia="仿宋"/>
          <w:sz w:val="32"/>
          <w:szCs w:val="32"/>
        </w:rPr>
        <w:drawing>
          <wp:inline distT="0" distB="0" distL="0" distR="0">
            <wp:extent cx="4027805" cy="2440940"/>
            <wp:effectExtent l="4445" t="4445" r="6350" b="1206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AF0FA6">
      <w:pPr>
        <w:pStyle w:val="2"/>
      </w:pPr>
    </w:p>
    <w:p w14:paraId="361B346F">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hAnsi="楷体_GB2312" w:eastAsia="楷体_GB2312" w:cs="楷体_GB2312"/>
          <w:b/>
          <w:sz w:val="32"/>
          <w:szCs w:val="32"/>
        </w:rPr>
      </w:pPr>
      <w:bookmarkStart w:id="31" w:name="_Toc15377212"/>
      <w:r>
        <w:rPr>
          <w:rFonts w:hint="eastAsia" w:ascii="楷体_GB2312" w:hAnsi="楷体_GB2312" w:eastAsia="楷体_GB2312" w:cs="楷体_GB2312"/>
          <w:b/>
          <w:sz w:val="32"/>
          <w:szCs w:val="32"/>
        </w:rPr>
        <w:t>（三）一般公共预算财政拨款支出决算具体情况</w:t>
      </w:r>
      <w:bookmarkEnd w:id="31"/>
    </w:p>
    <w:p w14:paraId="72FD9D26">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ascii="仿宋_GB2312" w:hAnsi="仿宋_GB2312" w:eastAsia="仿宋_GB2312" w:cs="仿宋_GB2312"/>
          <w:sz w:val="32"/>
          <w:szCs w:val="32"/>
        </w:rPr>
      </w:pPr>
      <w:bookmarkStart w:id="32" w:name="_Toc15377444"/>
      <w:bookmarkStart w:id="33" w:name="_Toc15377213"/>
      <w:bookmarkStart w:id="34" w:name="_Toc15378460"/>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年一般公共预算支出决算数为</w:t>
      </w:r>
      <w:r>
        <w:rPr>
          <w:rFonts w:hint="eastAsia" w:ascii="仿宋_GB2312" w:hAnsi="仿宋_GB2312" w:eastAsia="仿宋_GB2312" w:cs="仿宋_GB2312"/>
          <w:sz w:val="32"/>
          <w:szCs w:val="32"/>
          <w:lang w:val="en-US" w:eastAsia="zh-CN"/>
        </w:rPr>
        <w:t>91.39</w:t>
      </w:r>
      <w:r>
        <w:rPr>
          <w:rFonts w:hint="eastAsia" w:ascii="仿宋_GB2312" w:hAnsi="仿宋_GB2312" w:eastAsia="仿宋_GB2312" w:cs="仿宋_GB2312"/>
          <w:bCs/>
          <w:sz w:val="32"/>
          <w:szCs w:val="32"/>
        </w:rPr>
        <w:t>万元，</w:t>
      </w:r>
      <w:r>
        <w:rPr>
          <w:rStyle w:val="26"/>
          <w:rFonts w:hint="eastAsia" w:ascii="仿宋_GB2312" w:hAnsi="仿宋_GB2312" w:eastAsia="仿宋_GB2312" w:cs="仿宋_GB2312"/>
          <w:b w:val="0"/>
          <w:bCs/>
          <w:sz w:val="32"/>
          <w:szCs w:val="32"/>
        </w:rPr>
        <w:t>完成预算100%。其中：</w:t>
      </w:r>
      <w:bookmarkEnd w:id="32"/>
      <w:bookmarkEnd w:id="33"/>
      <w:bookmarkEnd w:id="34"/>
    </w:p>
    <w:p w14:paraId="097FE65E">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bCs/>
          <w:sz w:val="32"/>
          <w:szCs w:val="32"/>
          <w:lang w:eastAsia="zh-CN"/>
        </w:rPr>
      </w:pPr>
      <w:r>
        <w:rPr>
          <w:rStyle w:val="26"/>
          <w:rFonts w:hint="eastAsia" w:ascii="仿宋_GB2312" w:hAnsi="仿宋_GB2312" w:eastAsia="仿宋_GB2312" w:cs="仿宋_GB2312"/>
          <w:bCs/>
          <w:sz w:val="32"/>
          <w:szCs w:val="32"/>
        </w:rPr>
        <w:t>1.</w:t>
      </w:r>
      <w:r>
        <w:rPr>
          <w:rStyle w:val="26"/>
          <w:rFonts w:hint="eastAsia" w:ascii="仿宋_GB2312" w:hAnsi="仿宋_GB2312" w:eastAsia="仿宋_GB2312" w:cs="仿宋_GB2312"/>
          <w:b w:val="0"/>
          <w:sz w:val="32"/>
          <w:szCs w:val="32"/>
        </w:rPr>
        <w:t xml:space="preserve">一般公共服务（201）组织事务（32）行政运行（01）: </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67.79</w:t>
      </w:r>
      <w:r>
        <w:rPr>
          <w:rStyle w:val="26"/>
          <w:rFonts w:hint="eastAsia" w:ascii="仿宋_GB2312" w:hAnsi="仿宋_GB2312" w:eastAsia="仿宋_GB2312" w:cs="仿宋_GB2312"/>
          <w:b w:val="0"/>
          <w:bCs/>
          <w:sz w:val="32"/>
          <w:szCs w:val="32"/>
        </w:rPr>
        <w:t>万元，完成预算100%</w:t>
      </w:r>
      <w:r>
        <w:rPr>
          <w:rStyle w:val="26"/>
          <w:rFonts w:hint="eastAsia" w:ascii="仿宋_GB2312" w:hAnsi="仿宋_GB2312" w:eastAsia="仿宋_GB2312" w:cs="仿宋_GB2312"/>
          <w:b w:val="0"/>
          <w:bCs/>
          <w:sz w:val="32"/>
          <w:szCs w:val="32"/>
          <w:lang w:eastAsia="zh-CN"/>
        </w:rPr>
        <w:t>，决算数与预算数持平。</w:t>
      </w:r>
    </w:p>
    <w:p w14:paraId="66A50624">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bCs/>
          <w:sz w:val="32"/>
          <w:szCs w:val="32"/>
          <w:lang w:eastAsia="zh-CN"/>
        </w:rPr>
      </w:pPr>
      <w:r>
        <w:rPr>
          <w:rStyle w:val="26"/>
          <w:rFonts w:hint="eastAsia" w:ascii="仿宋_GB2312" w:hAnsi="仿宋_GB2312" w:eastAsia="仿宋_GB2312" w:cs="仿宋_GB2312"/>
          <w:bCs/>
          <w:sz w:val="32"/>
          <w:szCs w:val="32"/>
        </w:rPr>
        <w:t>2.</w:t>
      </w:r>
      <w:r>
        <w:rPr>
          <w:rStyle w:val="26"/>
          <w:rFonts w:hint="eastAsia" w:ascii="仿宋_GB2312" w:hAnsi="仿宋_GB2312" w:eastAsia="仿宋_GB2312" w:cs="仿宋_GB2312"/>
          <w:b w:val="0"/>
          <w:sz w:val="32"/>
          <w:szCs w:val="32"/>
        </w:rPr>
        <w:t>社会保障和就业（208）行政事业单位离退休（05）机关事业单位基本养老保险（05）：</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7.96</w:t>
      </w:r>
      <w:r>
        <w:rPr>
          <w:rStyle w:val="26"/>
          <w:rFonts w:hint="eastAsia" w:ascii="仿宋_GB2312" w:hAnsi="仿宋_GB2312" w:eastAsia="仿宋_GB2312" w:cs="仿宋_GB2312"/>
          <w:b w:val="0"/>
          <w:bCs/>
          <w:sz w:val="32"/>
          <w:szCs w:val="32"/>
        </w:rPr>
        <w:t>万元，完成预算100%</w:t>
      </w:r>
      <w:r>
        <w:rPr>
          <w:rStyle w:val="26"/>
          <w:rFonts w:hint="eastAsia" w:ascii="仿宋_GB2312" w:hAnsi="仿宋_GB2312" w:eastAsia="仿宋_GB2312" w:cs="仿宋_GB2312"/>
          <w:b w:val="0"/>
          <w:bCs/>
          <w:sz w:val="32"/>
          <w:szCs w:val="32"/>
          <w:lang w:eastAsia="zh-CN"/>
        </w:rPr>
        <w:t>，决算数与预算数持平。</w:t>
      </w:r>
    </w:p>
    <w:p w14:paraId="7539D4C8">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sz w:val="32"/>
          <w:szCs w:val="32"/>
          <w:lang w:eastAsia="zh-CN"/>
        </w:rPr>
      </w:pPr>
      <w:r>
        <w:rPr>
          <w:rStyle w:val="26"/>
          <w:rFonts w:hint="eastAsia" w:ascii="仿宋_GB2312" w:hAnsi="仿宋_GB2312" w:eastAsia="仿宋_GB2312" w:cs="仿宋_GB2312"/>
          <w:bCs/>
          <w:sz w:val="32"/>
          <w:szCs w:val="32"/>
        </w:rPr>
        <w:t>3.</w:t>
      </w:r>
      <w:r>
        <w:rPr>
          <w:rStyle w:val="26"/>
          <w:rFonts w:hint="eastAsia" w:ascii="仿宋_GB2312" w:hAnsi="仿宋_GB2312" w:eastAsia="仿宋_GB2312" w:cs="仿宋_GB2312"/>
          <w:b w:val="0"/>
          <w:sz w:val="32"/>
          <w:szCs w:val="32"/>
        </w:rPr>
        <w:t>社会保障和就业（208）行政事业单位离退休（05）机关事业单位职业年金（06）: 支出决算为</w:t>
      </w:r>
      <w:r>
        <w:rPr>
          <w:rStyle w:val="26"/>
          <w:rFonts w:hint="eastAsia" w:ascii="仿宋_GB2312" w:hAnsi="仿宋_GB2312" w:eastAsia="仿宋_GB2312" w:cs="仿宋_GB2312"/>
          <w:b w:val="0"/>
          <w:sz w:val="32"/>
          <w:szCs w:val="32"/>
          <w:lang w:val="en-US" w:eastAsia="zh-CN"/>
        </w:rPr>
        <w:t>3.98</w:t>
      </w:r>
      <w:r>
        <w:rPr>
          <w:rStyle w:val="26"/>
          <w:rFonts w:hint="eastAsia" w:ascii="仿宋_GB2312" w:hAnsi="仿宋_GB2312" w:eastAsia="仿宋_GB2312" w:cs="仿宋_GB2312"/>
          <w:b w:val="0"/>
          <w:sz w:val="32"/>
          <w:szCs w:val="32"/>
        </w:rPr>
        <w:t>万元，完成预算100%</w:t>
      </w:r>
      <w:r>
        <w:rPr>
          <w:rStyle w:val="26"/>
          <w:rFonts w:hint="eastAsia" w:ascii="仿宋_GB2312" w:hAnsi="仿宋_GB2312" w:eastAsia="仿宋_GB2312" w:cs="仿宋_GB2312"/>
          <w:b w:val="0"/>
          <w:sz w:val="32"/>
          <w:szCs w:val="32"/>
          <w:lang w:eastAsia="zh-CN"/>
        </w:rPr>
        <w:t>，</w:t>
      </w:r>
      <w:r>
        <w:rPr>
          <w:rStyle w:val="26"/>
          <w:rFonts w:hint="eastAsia" w:ascii="仿宋_GB2312" w:hAnsi="仿宋_GB2312" w:eastAsia="仿宋_GB2312" w:cs="仿宋_GB2312"/>
          <w:b w:val="0"/>
          <w:bCs/>
          <w:sz w:val="32"/>
          <w:szCs w:val="32"/>
          <w:lang w:eastAsia="zh-CN"/>
        </w:rPr>
        <w:t>决算数与预算数持平。</w:t>
      </w:r>
    </w:p>
    <w:p w14:paraId="6DE38DA1">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bCs/>
          <w:sz w:val="32"/>
          <w:szCs w:val="32"/>
          <w:lang w:eastAsia="zh-CN"/>
        </w:rPr>
      </w:pPr>
      <w:r>
        <w:rPr>
          <w:rStyle w:val="26"/>
          <w:rFonts w:hint="eastAsia" w:ascii="仿宋_GB2312" w:hAnsi="仿宋_GB2312" w:eastAsia="仿宋_GB2312" w:cs="仿宋_GB2312"/>
          <w:bCs/>
          <w:sz w:val="32"/>
          <w:szCs w:val="32"/>
        </w:rPr>
        <w:t>4.</w:t>
      </w:r>
      <w:r>
        <w:rPr>
          <w:rStyle w:val="26"/>
          <w:rFonts w:hint="eastAsia" w:ascii="仿宋_GB2312" w:hAnsi="仿宋_GB2312" w:eastAsia="仿宋_GB2312" w:cs="仿宋_GB2312"/>
          <w:b w:val="0"/>
          <w:sz w:val="32"/>
          <w:szCs w:val="32"/>
        </w:rPr>
        <w:t>卫生健康支出(210)行政事业单位医疗（11）行政单位医疗（01）: 支出决算为</w:t>
      </w:r>
      <w:r>
        <w:rPr>
          <w:rStyle w:val="26"/>
          <w:rFonts w:hint="eastAsia" w:ascii="仿宋_GB2312" w:hAnsi="仿宋_GB2312" w:eastAsia="仿宋_GB2312" w:cs="仿宋_GB2312"/>
          <w:b w:val="0"/>
          <w:sz w:val="32"/>
          <w:szCs w:val="32"/>
          <w:lang w:val="en-US" w:eastAsia="zh-CN"/>
        </w:rPr>
        <w:t>5.21</w:t>
      </w:r>
      <w:r>
        <w:rPr>
          <w:rStyle w:val="26"/>
          <w:rFonts w:hint="eastAsia" w:ascii="仿宋_GB2312" w:hAnsi="仿宋_GB2312" w:eastAsia="仿宋_GB2312" w:cs="仿宋_GB2312"/>
          <w:b w:val="0"/>
          <w:sz w:val="32"/>
          <w:szCs w:val="32"/>
        </w:rPr>
        <w:t>万元，完成预算100%</w:t>
      </w:r>
      <w:r>
        <w:rPr>
          <w:rStyle w:val="26"/>
          <w:rFonts w:hint="eastAsia" w:ascii="仿宋_GB2312" w:hAnsi="仿宋_GB2312" w:eastAsia="仿宋_GB2312" w:cs="仿宋_GB2312"/>
          <w:b w:val="0"/>
          <w:sz w:val="32"/>
          <w:szCs w:val="32"/>
          <w:lang w:eastAsia="zh-CN"/>
        </w:rPr>
        <w:t>，</w:t>
      </w:r>
      <w:r>
        <w:rPr>
          <w:rStyle w:val="26"/>
          <w:rFonts w:hint="eastAsia" w:ascii="仿宋_GB2312" w:hAnsi="仿宋_GB2312" w:eastAsia="仿宋_GB2312" w:cs="仿宋_GB2312"/>
          <w:b w:val="0"/>
          <w:bCs/>
          <w:sz w:val="32"/>
          <w:szCs w:val="32"/>
          <w:lang w:eastAsia="zh-CN"/>
        </w:rPr>
        <w:t>决算数与预算数持平。</w:t>
      </w:r>
    </w:p>
    <w:p w14:paraId="21B7CCE8">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sz w:val="32"/>
          <w:szCs w:val="32"/>
          <w:lang w:eastAsia="zh-CN"/>
        </w:rPr>
      </w:pPr>
      <w:r>
        <w:rPr>
          <w:rStyle w:val="26"/>
          <w:rFonts w:hint="eastAsia" w:ascii="仿宋_GB2312" w:hAnsi="仿宋_GB2312" w:eastAsia="仿宋_GB2312" w:cs="仿宋_GB2312"/>
          <w:bCs/>
          <w:sz w:val="32"/>
          <w:szCs w:val="32"/>
        </w:rPr>
        <w:t>5.</w:t>
      </w:r>
      <w:r>
        <w:rPr>
          <w:rStyle w:val="26"/>
          <w:rFonts w:hint="eastAsia" w:ascii="仿宋_GB2312" w:hAnsi="仿宋_GB2312" w:eastAsia="仿宋_GB2312" w:cs="仿宋_GB2312"/>
          <w:b w:val="0"/>
          <w:sz w:val="32"/>
          <w:szCs w:val="32"/>
        </w:rPr>
        <w:t>住房保障支出（221）住房改革支出（02）住房公积金（01）: 支出决算为</w:t>
      </w:r>
      <w:r>
        <w:rPr>
          <w:rStyle w:val="26"/>
          <w:rFonts w:hint="eastAsia" w:ascii="仿宋_GB2312" w:hAnsi="仿宋_GB2312" w:eastAsia="仿宋_GB2312" w:cs="仿宋_GB2312"/>
          <w:b w:val="0"/>
          <w:sz w:val="32"/>
          <w:szCs w:val="32"/>
          <w:lang w:val="en-US" w:eastAsia="zh-CN"/>
        </w:rPr>
        <w:t>6.46</w:t>
      </w:r>
      <w:r>
        <w:rPr>
          <w:rStyle w:val="26"/>
          <w:rFonts w:hint="eastAsia" w:ascii="仿宋_GB2312" w:hAnsi="仿宋_GB2312" w:eastAsia="仿宋_GB2312" w:cs="仿宋_GB2312"/>
          <w:b w:val="0"/>
          <w:sz w:val="32"/>
          <w:szCs w:val="32"/>
        </w:rPr>
        <w:t>万元，完成预算100%</w:t>
      </w:r>
      <w:r>
        <w:rPr>
          <w:rStyle w:val="26"/>
          <w:rFonts w:hint="eastAsia" w:ascii="仿宋_GB2312" w:hAnsi="仿宋_GB2312" w:eastAsia="仿宋_GB2312" w:cs="仿宋_GB2312"/>
          <w:b w:val="0"/>
          <w:sz w:val="32"/>
          <w:szCs w:val="32"/>
          <w:lang w:eastAsia="zh-CN"/>
        </w:rPr>
        <w:t>，</w:t>
      </w:r>
      <w:r>
        <w:rPr>
          <w:rStyle w:val="26"/>
          <w:rFonts w:hint="eastAsia" w:ascii="仿宋_GB2312" w:hAnsi="仿宋_GB2312" w:eastAsia="仿宋_GB2312" w:cs="仿宋_GB2312"/>
          <w:b w:val="0"/>
          <w:bCs/>
          <w:sz w:val="32"/>
          <w:szCs w:val="32"/>
          <w:lang w:eastAsia="zh-CN"/>
        </w:rPr>
        <w:t>决算数与预算数持平。</w:t>
      </w:r>
    </w:p>
    <w:p w14:paraId="06C50F12">
      <w:pPr>
        <w:pStyle w:val="6"/>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Style w:val="41"/>
          <w:b/>
          <w:bCs/>
        </w:rPr>
      </w:pPr>
      <w:bookmarkStart w:id="35" w:name="_Toc15377214"/>
      <w:bookmarkStart w:id="36" w:name="_Toc15396608"/>
      <w:r>
        <w:rPr>
          <w:rFonts w:hint="eastAsia" w:ascii="黑体" w:eastAsia="黑体"/>
        </w:rPr>
        <w:t>六、</w:t>
      </w:r>
      <w:r>
        <w:rPr>
          <w:rFonts w:hint="eastAsia" w:ascii="黑体" w:hAnsi="黑体" w:eastAsia="黑体"/>
        </w:rPr>
        <w:t>一</w:t>
      </w:r>
      <w:r>
        <w:rPr>
          <w:rStyle w:val="41"/>
          <w:rFonts w:hint="eastAsia" w:ascii="黑体" w:hAnsi="黑体" w:eastAsia="黑体"/>
          <w:b w:val="0"/>
          <w:bCs/>
        </w:rPr>
        <w:t>般公共预算财政拨款基本支出决算情况说明</w:t>
      </w:r>
      <w:bookmarkEnd w:id="35"/>
      <w:bookmarkEnd w:id="36"/>
    </w:p>
    <w:p w14:paraId="2F0E7AF3">
      <w:pPr>
        <w:pageBreakBefore w:val="0"/>
        <w:widowControl w:val="0"/>
        <w:kinsoku/>
        <w:wordWrap/>
        <w:overflowPunct/>
        <w:topLinePunct w:val="0"/>
        <w:autoSpaceDE/>
        <w:autoSpaceDN/>
        <w:bidi w:val="0"/>
        <w:adjustRightInd/>
        <w:snapToGrid/>
        <w:spacing w:line="576"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91.39</w:t>
      </w:r>
      <w:r>
        <w:rPr>
          <w:rFonts w:hint="eastAsia" w:ascii="仿宋_GB2312" w:hAnsi="仿宋_GB2312" w:eastAsia="仿宋_GB2312" w:cs="仿宋_GB2312"/>
          <w:sz w:val="32"/>
          <w:szCs w:val="32"/>
        </w:rPr>
        <w:t>万元，其中：</w:t>
      </w:r>
    </w:p>
    <w:p w14:paraId="5636F131">
      <w:pPr>
        <w:pageBreakBefore w:val="0"/>
        <w:widowControl w:val="0"/>
        <w:kinsoku/>
        <w:wordWrap/>
        <w:overflowPunct/>
        <w:topLinePunct w:val="0"/>
        <w:autoSpaceDE/>
        <w:autoSpaceDN/>
        <w:bidi w:val="0"/>
        <w:adjustRightInd/>
        <w:snapToGrid/>
        <w:spacing w:line="576" w:lineRule="exact"/>
        <w:ind w:firstLine="645"/>
        <w:textAlignment w:val="auto"/>
        <w:rPr>
          <w:rFonts w:ascii="仿宋" w:hAnsi="仿宋" w:eastAsia="仿宋"/>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85.02</w:t>
      </w:r>
      <w:r>
        <w:rPr>
          <w:rFonts w:hint="eastAsia" w:ascii="仿宋_GB2312" w:hAnsi="仿宋_GB2312" w:eastAsia="仿宋_GB2312" w:cs="仿宋_GB2312"/>
          <w:sz w:val="32"/>
          <w:szCs w:val="32"/>
        </w:rPr>
        <w:t>万元，主要包括：</w:t>
      </w:r>
      <w:r>
        <w:rPr>
          <w:rFonts w:hint="eastAsia" w:ascii="仿宋" w:hAnsi="仿宋" w:eastAsia="仿宋"/>
          <w:sz w:val="32"/>
          <w:szCs w:val="32"/>
        </w:rPr>
        <w:t>基本工资、津贴补贴、奖金、机关事业单位基本养老保险缴费、职业年金缴费、职工基本医疗保险缴费、其他社会保障缴费、住房公积金、医疗费、生活补助、奖励金。</w:t>
      </w:r>
    </w:p>
    <w:p w14:paraId="63EFD372">
      <w:pPr>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6.37</w:t>
      </w:r>
      <w:r>
        <w:rPr>
          <w:rFonts w:hint="eastAsia" w:ascii="仿宋_GB2312" w:hAnsi="仿宋_GB2312" w:eastAsia="仿宋_GB2312" w:cs="仿宋_GB2312"/>
          <w:sz w:val="32"/>
          <w:szCs w:val="32"/>
        </w:rPr>
        <w:t>万元，主要包括：</w:t>
      </w:r>
      <w:r>
        <w:rPr>
          <w:rFonts w:hint="eastAsia" w:ascii="仿宋" w:hAnsi="仿宋" w:eastAsia="仿宋"/>
          <w:sz w:val="32"/>
          <w:szCs w:val="32"/>
        </w:rPr>
        <w:t>办公费、邮电费、差旅费、公务接待费、公务用车运行维护费。</w:t>
      </w:r>
    </w:p>
    <w:p w14:paraId="674DB0DF">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七、</w:t>
      </w:r>
      <w:r>
        <w:rPr>
          <w:rStyle w:val="41"/>
          <w:rFonts w:hint="eastAsia" w:ascii="黑体" w:hAnsi="黑体" w:eastAsia="黑体"/>
          <w:b w:val="0"/>
          <w:color w:val="auto"/>
          <w:highlight w:val="none"/>
        </w:rPr>
        <w:t>财政拨款</w:t>
      </w:r>
      <w:r>
        <w:rPr>
          <w:rStyle w:val="41"/>
          <w:rFonts w:hint="eastAsia" w:ascii="黑体" w:hAnsi="黑体" w:eastAsia="黑体"/>
          <w:color w:val="auto"/>
          <w:highlight w:val="none"/>
        </w:rPr>
        <w:t>“</w:t>
      </w:r>
      <w:r>
        <w:rPr>
          <w:rStyle w:val="41"/>
          <w:rFonts w:hint="eastAsia" w:ascii="黑体" w:hAnsi="黑体" w:eastAsia="黑体"/>
          <w:b w:val="0"/>
          <w:color w:val="auto"/>
          <w:highlight w:val="none"/>
        </w:rPr>
        <w:t>三公”经费支出决算情况说明</w:t>
      </w:r>
    </w:p>
    <w:p w14:paraId="2A5012A3">
      <w:pPr>
        <w:pageBreakBefore w:val="0"/>
        <w:widowControl w:val="0"/>
        <w:kinsoku/>
        <w:wordWrap/>
        <w:overflowPunct/>
        <w:topLinePunct w:val="0"/>
        <w:autoSpaceDE/>
        <w:autoSpaceDN/>
        <w:bidi w:val="0"/>
        <w:adjustRightInd/>
        <w:snapToGrid/>
        <w:spacing w:line="576" w:lineRule="exact"/>
        <w:ind w:firstLine="640"/>
        <w:textAlignment w:val="auto"/>
        <w:rPr>
          <w:rFonts w:ascii="楷体_GB2312" w:eastAsia="楷体_GB2312"/>
          <w:b/>
          <w:sz w:val="32"/>
          <w:szCs w:val="32"/>
        </w:rPr>
      </w:pPr>
      <w:r>
        <w:rPr>
          <w:rFonts w:hint="eastAsia" w:ascii="楷体_GB2312" w:eastAsia="楷体_GB2312"/>
          <w:b/>
          <w:sz w:val="32"/>
          <w:szCs w:val="32"/>
        </w:rPr>
        <w:t>（一）“三公”经费财政拨款支出决算总体情况说明</w:t>
      </w:r>
    </w:p>
    <w:p w14:paraId="24A905AF">
      <w:pPr>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3.60</w:t>
      </w:r>
      <w:r>
        <w:rPr>
          <w:rFonts w:hint="eastAsia" w:ascii="仿宋_GB2312" w:hAnsi="仿宋_GB2312" w:eastAsia="仿宋_GB2312" w:cs="仿宋_GB2312"/>
          <w:sz w:val="32"/>
          <w:szCs w:val="32"/>
        </w:rPr>
        <w:t>万元，完成预算100%。</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lang w:val="en-US" w:eastAsia="zh-CN"/>
        </w:rPr>
        <w:t>2023年相比增加1.09万元，</w:t>
      </w:r>
      <w:r>
        <w:rPr>
          <w:rFonts w:hint="eastAsia" w:ascii="Times New Roman" w:hAnsi="Times New Roman" w:eastAsia="仿宋_GB2312" w:cs="仿宋_GB2312"/>
          <w:color w:val="auto"/>
          <w:kern w:val="2"/>
          <w:sz w:val="32"/>
          <w:szCs w:val="32"/>
          <w:highlight w:val="none"/>
          <w:lang w:val="en-US" w:eastAsia="zh-CN" w:bidi="ar-SA"/>
        </w:rPr>
        <w:t>增长</w:t>
      </w:r>
      <w:r>
        <w:rPr>
          <w:rFonts w:hint="eastAsia" w:eastAsia="仿宋_GB2312" w:cs="仿宋_GB2312"/>
          <w:color w:val="auto"/>
          <w:kern w:val="2"/>
          <w:sz w:val="32"/>
          <w:szCs w:val="32"/>
          <w:highlight w:val="none"/>
          <w:lang w:val="en-US" w:eastAsia="zh-CN" w:bidi="ar-SA"/>
        </w:rPr>
        <w:t>43.43</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：公务出差增加</w:t>
      </w:r>
      <w:r>
        <w:rPr>
          <w:rFonts w:hint="eastAsia" w:ascii="仿宋" w:hAnsi="仿宋" w:eastAsia="仿宋"/>
          <w:color w:val="auto"/>
          <w:sz w:val="32"/>
          <w:szCs w:val="32"/>
          <w:highlight w:val="none"/>
        </w:rPr>
        <w:t>。</w:t>
      </w:r>
    </w:p>
    <w:p w14:paraId="13EC01E0">
      <w:pPr>
        <w:pageBreakBefore w:val="0"/>
        <w:widowControl w:val="0"/>
        <w:kinsoku/>
        <w:wordWrap/>
        <w:overflowPunct/>
        <w:topLinePunct w:val="0"/>
        <w:autoSpaceDE/>
        <w:autoSpaceDN/>
        <w:bidi w:val="0"/>
        <w:adjustRightInd/>
        <w:snapToGrid/>
        <w:spacing w:line="576" w:lineRule="exact"/>
        <w:ind w:firstLine="640"/>
        <w:textAlignment w:val="auto"/>
        <w:rPr>
          <w:rFonts w:ascii="楷体_GB2312" w:eastAsia="楷体_GB2312"/>
          <w:b/>
          <w:sz w:val="32"/>
          <w:szCs w:val="32"/>
        </w:rPr>
      </w:pPr>
      <w:bookmarkStart w:id="37" w:name="_Toc15377217"/>
      <w:r>
        <w:rPr>
          <w:rFonts w:hint="eastAsia" w:ascii="楷体_GB2312" w:eastAsia="楷体_GB2312"/>
          <w:b/>
          <w:sz w:val="32"/>
          <w:szCs w:val="32"/>
        </w:rPr>
        <w:t>（二）“三公”经费财政拨款支出决算具体情况说明</w:t>
      </w:r>
      <w:bookmarkEnd w:id="37"/>
    </w:p>
    <w:p w14:paraId="174DCBCF">
      <w:pPr>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sz w:val="32"/>
          <w:szCs w:val="32"/>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98.33</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1.67</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9A12609">
      <w:pPr>
        <w:jc w:val="center"/>
        <w:rPr>
          <w:rFonts w:ascii="仿宋" w:hAnsi="仿宋" w:eastAsia="仿宋"/>
          <w:sz w:val="32"/>
          <w:szCs w:val="32"/>
        </w:rPr>
      </w:pPr>
      <w:r>
        <w:rPr>
          <w:rFonts w:ascii="仿宋" w:hAnsi="仿宋" w:eastAsia="仿宋"/>
          <w:sz w:val="32"/>
          <w:szCs w:val="32"/>
        </w:rPr>
        <w:drawing>
          <wp:inline distT="0" distB="0" distL="0" distR="0">
            <wp:extent cx="3948430" cy="2210435"/>
            <wp:effectExtent l="4445" t="4445" r="9525"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117EF9">
      <w:pPr>
        <w:pStyle w:val="2"/>
      </w:pPr>
    </w:p>
    <w:p w14:paraId="20DF2DA8">
      <w:pPr>
        <w:keepNext w:val="0"/>
        <w:keepLines w:val="0"/>
        <w:pageBreakBefore w:val="0"/>
        <w:widowControl w:val="0"/>
        <w:kinsoku/>
        <w:wordWrap/>
        <w:overflowPunct/>
        <w:topLinePunct w:val="0"/>
        <w:bidi w:val="0"/>
        <w:snapToGrid/>
        <w:spacing w:line="576"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1.因公出国（境）经费支出0万元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全年安排因公出国（境）团组0次，出国（境）0人。</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与</w:t>
      </w:r>
      <w:r>
        <w:rPr>
          <w:rFonts w:hint="eastAsia" w:ascii="仿宋_GB2312" w:eastAsia="仿宋_GB2312"/>
          <w:color w:val="auto"/>
          <w:sz w:val="32"/>
          <w:szCs w:val="32"/>
          <w:highlight w:val="none"/>
          <w:lang w:val="en-US" w:eastAsia="zh-CN"/>
        </w:rPr>
        <w:t>2023年相比较无变化</w:t>
      </w:r>
      <w:r>
        <w:rPr>
          <w:rFonts w:hint="eastAsia" w:ascii="仿宋_GB2312" w:eastAsia="仿宋_GB2312"/>
          <w:color w:val="auto"/>
          <w:sz w:val="32"/>
          <w:szCs w:val="32"/>
          <w:highlight w:val="none"/>
        </w:rPr>
        <w:t>。</w:t>
      </w:r>
    </w:p>
    <w:p w14:paraId="12C131F4">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b/>
          <w:color w:val="auto"/>
          <w:sz w:val="32"/>
          <w:szCs w:val="32"/>
          <w:highlight w:val="none"/>
        </w:rPr>
      </w:pPr>
      <w:r>
        <w:rPr>
          <w:rFonts w:hint="eastAsia" w:ascii="仿宋_GB2312" w:hAnsi="仿宋_GB2312"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3.54</w:t>
      </w:r>
      <w:r>
        <w:rPr>
          <w:rFonts w:hint="eastAsia" w:ascii="仿宋_GB2312" w:hAnsi="仿宋_GB2312" w:eastAsia="仿宋_GB2312" w:cs="仿宋_GB2312"/>
          <w:b/>
          <w:bCs/>
          <w:sz w:val="32"/>
          <w:szCs w:val="32"/>
        </w:rPr>
        <w:t>万元,</w:t>
      </w:r>
      <w:r>
        <w:rPr>
          <w:rStyle w:val="26"/>
          <w:rFonts w:hint="eastAsia" w:ascii="仿宋_GB2312" w:hAnsi="仿宋_GB2312" w:eastAsia="仿宋_GB2312" w:cs="仿宋_GB2312"/>
          <w:b w:val="0"/>
          <w:sz w:val="32"/>
          <w:szCs w:val="32"/>
        </w:rPr>
        <w:t>完成预算100%。</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度相比增加</w:t>
      </w:r>
      <w:r>
        <w:rPr>
          <w:rFonts w:hint="eastAsia" w:ascii="仿宋_GB2312" w:eastAsia="仿宋_GB2312"/>
          <w:color w:val="auto"/>
          <w:sz w:val="32"/>
          <w:szCs w:val="32"/>
          <w:highlight w:val="none"/>
          <w:lang w:val="en-US" w:eastAsia="zh-CN"/>
        </w:rPr>
        <w:t>1.18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50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：公务出差增加</w:t>
      </w:r>
      <w:r>
        <w:rPr>
          <w:rFonts w:hint="eastAsia" w:ascii="仿宋_GB2312" w:eastAsia="仿宋_GB2312"/>
          <w:color w:val="auto"/>
          <w:sz w:val="32"/>
          <w:szCs w:val="32"/>
          <w:highlight w:val="none"/>
        </w:rPr>
        <w:t>。</w:t>
      </w:r>
    </w:p>
    <w:p w14:paraId="70B28B57">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72BE5D95">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3.54</w:t>
      </w:r>
      <w:r>
        <w:rPr>
          <w:rFonts w:hint="eastAsia" w:ascii="仿宋_GB2312" w:eastAsia="仿宋_GB2312"/>
          <w:color w:val="auto"/>
          <w:sz w:val="32"/>
          <w:szCs w:val="32"/>
          <w:highlight w:val="none"/>
        </w:rPr>
        <w:t>万元。</w:t>
      </w:r>
      <w:r>
        <w:rPr>
          <w:rFonts w:hint="eastAsia" w:ascii="仿宋_GB2312" w:hAnsi="仿宋_GB2312" w:eastAsia="仿宋_GB2312" w:cs="仿宋_GB2312"/>
          <w:color w:val="auto"/>
          <w:sz w:val="32"/>
          <w:szCs w:val="32"/>
        </w:rPr>
        <w:t>主要用于公务用车燃油费、维修费、过路费、保险费等支出。</w:t>
      </w:r>
    </w:p>
    <w:p w14:paraId="3D727E4D">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0.06</w:t>
      </w:r>
      <w:r>
        <w:rPr>
          <w:rFonts w:hint="eastAsia" w:ascii="仿宋_GB2312" w:eastAsia="仿宋_GB2312"/>
          <w:color w:val="auto"/>
          <w:sz w:val="32"/>
          <w:szCs w:val="32"/>
          <w:highlight w:val="none"/>
        </w:rPr>
        <w:t>万元，</w:t>
      </w:r>
      <w:r>
        <w:rPr>
          <w:rStyle w:val="26"/>
          <w:rFonts w:hint="eastAsia" w:ascii="仿宋" w:hAnsi="仿宋" w:eastAsia="仿宋"/>
          <w:b w:val="0"/>
          <w:bCs/>
          <w:color w:val="auto"/>
          <w:sz w:val="32"/>
          <w:szCs w:val="32"/>
          <w:highlight w:val="none"/>
        </w:rPr>
        <w:t>完成预算</w:t>
      </w:r>
      <w:r>
        <w:rPr>
          <w:rStyle w:val="26"/>
          <w:rFonts w:hint="eastAsia" w:ascii="仿宋" w:hAnsi="仿宋" w:eastAsia="仿宋"/>
          <w:b w:val="0"/>
          <w:bCs/>
          <w:color w:val="auto"/>
          <w:sz w:val="32"/>
          <w:szCs w:val="32"/>
          <w:highlight w:val="none"/>
          <w:lang w:val="en-US" w:eastAsia="zh-CN"/>
        </w:rPr>
        <w:t>100</w:t>
      </w:r>
      <w:r>
        <w:rPr>
          <w:rStyle w:val="26"/>
          <w:rFonts w:ascii="仿宋" w:hAnsi="仿宋" w:eastAsia="仿宋"/>
          <w:b w:val="0"/>
          <w:bCs/>
          <w:color w:val="auto"/>
          <w:sz w:val="32"/>
          <w:szCs w:val="32"/>
          <w:highlight w:val="none"/>
        </w:rPr>
        <w:t>%</w:t>
      </w:r>
      <w:r>
        <w:rPr>
          <w:rStyle w:val="2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度相比减少</w:t>
      </w:r>
      <w:r>
        <w:rPr>
          <w:rFonts w:hint="eastAsia" w:ascii="仿宋_GB2312" w:eastAsia="仿宋_GB2312"/>
          <w:color w:val="auto"/>
          <w:sz w:val="32"/>
          <w:szCs w:val="32"/>
          <w:highlight w:val="none"/>
          <w:lang w:val="en-US" w:eastAsia="zh-CN"/>
        </w:rPr>
        <w:t>0.09</w:t>
      </w:r>
      <w:r>
        <w:rPr>
          <w:rFonts w:hint="eastAsia" w:ascii="仿宋_GB2312" w:eastAsia="仿宋_GB2312"/>
          <w:color w:val="auto"/>
          <w:sz w:val="32"/>
          <w:szCs w:val="32"/>
          <w:highlight w:val="none"/>
        </w:rPr>
        <w:t>万元，</w:t>
      </w:r>
      <w:r>
        <w:rPr>
          <w:rFonts w:hint="eastAsia" w:ascii="Times New Roman" w:hAnsi="Times New Roman" w:eastAsia="仿宋_GB2312" w:cs="仿宋_GB2312"/>
          <w:color w:val="auto"/>
          <w:kern w:val="2"/>
          <w:sz w:val="32"/>
          <w:szCs w:val="32"/>
          <w:highlight w:val="none"/>
          <w:lang w:val="en-US" w:eastAsia="zh-CN" w:bidi="ar-SA"/>
        </w:rPr>
        <w:t>下降</w:t>
      </w:r>
      <w:r>
        <w:rPr>
          <w:rFonts w:hint="eastAsia" w:ascii="仿宋_GB2312" w:eastAsia="仿宋_GB2312"/>
          <w:color w:val="auto"/>
          <w:sz w:val="32"/>
          <w:szCs w:val="32"/>
          <w:highlight w:val="none"/>
          <w:lang w:val="en-US" w:eastAsia="zh-CN"/>
        </w:rPr>
        <w:t>60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sz w:val="32"/>
          <w:szCs w:val="32"/>
        </w:rPr>
        <w:t>接受相关部门检查指导工作发生的接待支出</w:t>
      </w:r>
      <w:r>
        <w:rPr>
          <w:rFonts w:hint="eastAsia" w:ascii="仿宋_GB2312" w:hAnsi="仿宋_GB2312" w:eastAsia="仿宋_GB2312" w:cs="仿宋_GB2312"/>
          <w:sz w:val="32"/>
          <w:szCs w:val="32"/>
          <w:lang w:eastAsia="zh-CN"/>
        </w:rPr>
        <w:t>减少</w:t>
      </w:r>
      <w:r>
        <w:rPr>
          <w:rFonts w:hint="eastAsia" w:ascii="仿宋_GB2312" w:eastAsia="仿宋_GB2312"/>
          <w:color w:val="auto"/>
          <w:sz w:val="32"/>
          <w:szCs w:val="32"/>
          <w:highlight w:val="none"/>
        </w:rPr>
        <w:t>。其中：</w:t>
      </w:r>
    </w:p>
    <w:p w14:paraId="42E23B70">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0.06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0.06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p>
    <w:p w14:paraId="1B3A9E95">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4CF5AA86">
      <w:pPr>
        <w:keepNext w:val="0"/>
        <w:keepLines w:val="0"/>
        <w:pageBreakBefore w:val="0"/>
        <w:widowControl w:val="0"/>
        <w:kinsoku/>
        <w:wordWrap/>
        <w:overflowPunct/>
        <w:topLinePunct w:val="0"/>
        <w:bidi w:val="0"/>
        <w:snapToGrid/>
        <w:spacing w:line="576" w:lineRule="exact"/>
        <w:ind w:firstLine="640" w:firstLineChars="200"/>
        <w:textAlignment w:val="auto"/>
        <w:rPr>
          <w:rFonts w:ascii="黑体" w:eastAsia="黑体"/>
          <w:sz w:val="32"/>
          <w:szCs w:val="32"/>
        </w:rPr>
      </w:pPr>
      <w:r>
        <w:rPr>
          <w:rFonts w:hint="eastAsia" w:ascii="黑体" w:eastAsia="黑体"/>
          <w:sz w:val="32"/>
          <w:szCs w:val="32"/>
        </w:rPr>
        <w:t>八、政府性基金预算支出决算情况说明</w:t>
      </w:r>
    </w:p>
    <w:p w14:paraId="2516697A">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县委</w:t>
      </w:r>
      <w:r>
        <w:rPr>
          <w:rFonts w:hint="eastAsia" w:ascii="仿宋_GB2312" w:eastAsia="仿宋_GB2312"/>
          <w:sz w:val="32"/>
          <w:szCs w:val="32"/>
        </w:rPr>
        <w:t>编办20</w:t>
      </w:r>
      <w:r>
        <w:rPr>
          <w:rFonts w:hint="eastAsia" w:ascii="仿宋_GB2312" w:eastAsia="仿宋_GB2312"/>
          <w:sz w:val="32"/>
          <w:szCs w:val="32"/>
          <w:lang w:val="en-US" w:eastAsia="zh-CN"/>
        </w:rPr>
        <w:t>24</w:t>
      </w:r>
      <w:r>
        <w:rPr>
          <w:rFonts w:hint="eastAsia" w:ascii="仿宋_GB2312" w:eastAsia="仿宋_GB2312"/>
          <w:sz w:val="32"/>
          <w:szCs w:val="32"/>
        </w:rPr>
        <w:t>年无政府性基金预算拨款支出。</w:t>
      </w:r>
    </w:p>
    <w:p w14:paraId="1649E674">
      <w:pPr>
        <w:keepNext w:val="0"/>
        <w:keepLines w:val="0"/>
        <w:pageBreakBefore w:val="0"/>
        <w:widowControl w:val="0"/>
        <w:kinsoku/>
        <w:wordWrap/>
        <w:overflowPunct/>
        <w:topLinePunct w:val="0"/>
        <w:bidi w:val="0"/>
        <w:snapToGrid/>
        <w:spacing w:line="576" w:lineRule="exact"/>
        <w:ind w:firstLine="640" w:firstLineChars="200"/>
        <w:textAlignment w:val="auto"/>
        <w:rPr>
          <w:rStyle w:val="41"/>
          <w:rFonts w:ascii="黑体" w:hAnsi="黑体" w:eastAsia="黑体"/>
          <w:b w:val="0"/>
        </w:rPr>
      </w:pPr>
      <w:bookmarkStart w:id="38" w:name="_Toc15396611"/>
      <w:bookmarkStart w:id="39" w:name="_Toc15377219"/>
      <w:r>
        <w:rPr>
          <w:rStyle w:val="41"/>
          <w:rFonts w:hint="eastAsia" w:ascii="黑体" w:hAnsi="黑体" w:eastAsia="黑体"/>
          <w:b w:val="0"/>
        </w:rPr>
        <w:t>九、国有资本经营预算支出决算情况说明</w:t>
      </w:r>
      <w:bookmarkEnd w:id="38"/>
      <w:bookmarkEnd w:id="39"/>
    </w:p>
    <w:p w14:paraId="113E4FB2">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县委</w:t>
      </w:r>
      <w:r>
        <w:rPr>
          <w:rFonts w:hint="eastAsia" w:ascii="仿宋_GB2312" w:eastAsia="仿宋_GB2312"/>
          <w:sz w:val="32"/>
          <w:szCs w:val="32"/>
        </w:rPr>
        <w:t>编办</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年无国有资本经营预算拨款支出。</w:t>
      </w:r>
    </w:p>
    <w:p w14:paraId="47DD935E">
      <w:pPr>
        <w:keepNext w:val="0"/>
        <w:keepLines w:val="0"/>
        <w:pageBreakBefore w:val="0"/>
        <w:widowControl w:val="0"/>
        <w:kinsoku/>
        <w:wordWrap/>
        <w:overflowPunct/>
        <w:topLinePunct w:val="0"/>
        <w:bidi w:val="0"/>
        <w:snapToGrid/>
        <w:spacing w:line="576" w:lineRule="exact"/>
        <w:ind w:firstLine="640" w:firstLineChars="200"/>
        <w:textAlignment w:val="auto"/>
        <w:rPr>
          <w:rStyle w:val="41"/>
          <w:rFonts w:ascii="黑体" w:hAnsi="黑体" w:eastAsia="黑体"/>
        </w:rPr>
      </w:pPr>
      <w:r>
        <w:rPr>
          <w:rFonts w:hint="eastAsia" w:ascii="黑体" w:hAnsi="黑体" w:eastAsia="黑体"/>
          <w:sz w:val="32"/>
          <w:szCs w:val="32"/>
        </w:rPr>
        <w:t>十</w:t>
      </w:r>
      <w:r>
        <w:rPr>
          <w:rStyle w:val="41"/>
          <w:rFonts w:hint="eastAsia" w:ascii="黑体" w:hAnsi="黑体" w:eastAsia="黑体"/>
        </w:rPr>
        <w:t>、</w:t>
      </w:r>
      <w:r>
        <w:rPr>
          <w:rStyle w:val="41"/>
          <w:rFonts w:hint="eastAsia" w:ascii="黑体" w:hAnsi="黑体" w:eastAsia="黑体"/>
          <w:b w:val="0"/>
        </w:rPr>
        <w:t>其他重要事项的情况说明</w:t>
      </w:r>
    </w:p>
    <w:p w14:paraId="65306E62">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bookmarkStart w:id="40" w:name="_Toc15377222"/>
      <w:r>
        <w:rPr>
          <w:rStyle w:val="41"/>
          <w:rFonts w:hint="eastAsia" w:ascii="楷体" w:hAnsi="楷体" w:eastAsia="楷体" w:cs="楷体"/>
        </w:rPr>
        <w:t>（一）机关运行经费支出情况</w:t>
      </w:r>
      <w:bookmarkEnd w:id="40"/>
    </w:p>
    <w:p w14:paraId="44D7E5C1">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县委</w:t>
      </w:r>
      <w:r>
        <w:rPr>
          <w:rFonts w:hint="eastAsia" w:ascii="仿宋_GB2312" w:eastAsia="仿宋_GB2312"/>
          <w:sz w:val="32"/>
          <w:szCs w:val="32"/>
        </w:rPr>
        <w:t>编办机关运行经费支出</w:t>
      </w:r>
      <w:r>
        <w:rPr>
          <w:rFonts w:hint="eastAsia" w:ascii="仿宋_GB2312" w:eastAsia="仿宋_GB2312"/>
          <w:sz w:val="32"/>
          <w:szCs w:val="32"/>
          <w:lang w:val="en-US" w:eastAsia="zh-CN"/>
        </w:rPr>
        <w:t>6.37</w:t>
      </w:r>
      <w:r>
        <w:rPr>
          <w:rFonts w:hint="eastAsia" w:ascii="仿宋_GB2312" w:eastAsia="仿宋_GB2312"/>
          <w:sz w:val="32"/>
          <w:szCs w:val="32"/>
        </w:rPr>
        <w:t>万元，</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相比</w:t>
      </w:r>
      <w:r>
        <w:rPr>
          <w:rFonts w:hint="eastAsia" w:ascii="Times New Roman" w:hAnsi="Times New Roman" w:eastAsia="仿宋_GB2312" w:cs="仿宋_GB2312"/>
          <w:color w:val="auto"/>
          <w:kern w:val="2"/>
          <w:sz w:val="32"/>
          <w:szCs w:val="32"/>
          <w:highlight w:val="none"/>
          <w:lang w:val="en-US" w:eastAsia="zh-CN" w:bidi="ar-SA"/>
        </w:rPr>
        <w:t>增</w:t>
      </w:r>
      <w:r>
        <w:rPr>
          <w:rFonts w:hint="eastAsia" w:eastAsia="仿宋_GB2312" w:cs="仿宋_GB2312"/>
          <w:color w:val="auto"/>
          <w:kern w:val="2"/>
          <w:sz w:val="32"/>
          <w:szCs w:val="32"/>
          <w:highlight w:val="none"/>
          <w:lang w:val="en-US" w:eastAsia="zh-CN" w:bidi="ar-SA"/>
        </w:rPr>
        <w:t>加</w:t>
      </w:r>
      <w:r>
        <w:rPr>
          <w:rFonts w:hint="eastAsia" w:ascii="仿宋_GB2312" w:eastAsia="仿宋_GB2312"/>
          <w:sz w:val="32"/>
          <w:szCs w:val="32"/>
          <w:lang w:val="en-US" w:eastAsia="zh-CN"/>
        </w:rPr>
        <w:t>1.30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增长</w:t>
      </w:r>
      <w:r>
        <w:rPr>
          <w:rFonts w:hint="eastAsia" w:ascii="仿宋_GB2312" w:eastAsia="仿宋_GB2312"/>
          <w:sz w:val="32"/>
          <w:szCs w:val="32"/>
          <w:lang w:val="en-US" w:eastAsia="zh-CN"/>
        </w:rPr>
        <w:t>25.64</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：人员工资、保险增加。</w:t>
      </w:r>
    </w:p>
    <w:p w14:paraId="15124D70">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仿宋" w:hAnsi="仿宋" w:eastAsia="仿宋"/>
          <w:b/>
          <w:sz w:val="32"/>
          <w:szCs w:val="32"/>
        </w:rPr>
      </w:pPr>
      <w:r>
        <w:rPr>
          <w:rStyle w:val="41"/>
          <w:rFonts w:hint="eastAsia" w:ascii="楷体" w:hAnsi="楷体" w:eastAsia="楷体" w:cs="楷体"/>
        </w:rPr>
        <w:t>（二）政府采购支出情况</w:t>
      </w:r>
    </w:p>
    <w:p w14:paraId="13A983A4">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县委</w:t>
      </w:r>
      <w:r>
        <w:rPr>
          <w:rFonts w:hint="eastAsia" w:ascii="仿宋_GB2312" w:eastAsia="仿宋_GB2312"/>
          <w:sz w:val="32"/>
          <w:szCs w:val="32"/>
        </w:rPr>
        <w:t>编办无政府采购支出。</w:t>
      </w:r>
    </w:p>
    <w:p w14:paraId="1EEF3D74">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r>
        <w:rPr>
          <w:rStyle w:val="41"/>
          <w:rFonts w:hint="eastAsia" w:ascii="楷体" w:hAnsi="楷体" w:eastAsia="楷体" w:cs="楷体"/>
        </w:rPr>
        <w:t>（三）国有资产占有使用情况</w:t>
      </w:r>
    </w:p>
    <w:p w14:paraId="09140DC4">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县委</w:t>
      </w:r>
      <w:r>
        <w:rPr>
          <w:rFonts w:hint="eastAsia" w:ascii="仿宋_GB2312" w:eastAsia="仿宋_GB2312"/>
          <w:sz w:val="32"/>
          <w:szCs w:val="32"/>
        </w:rPr>
        <w:t>编办共有车辆1辆，为一般公务用车；无单价</w:t>
      </w:r>
      <w:r>
        <w:rPr>
          <w:rFonts w:ascii="仿宋_GB2312" w:eastAsia="仿宋_GB2312"/>
          <w:sz w:val="32"/>
          <w:szCs w:val="32"/>
        </w:rPr>
        <w:t>50</w:t>
      </w:r>
      <w:r>
        <w:rPr>
          <w:rFonts w:hint="eastAsia" w:ascii="仿宋_GB2312" w:eastAsia="仿宋_GB2312"/>
          <w:sz w:val="32"/>
          <w:szCs w:val="32"/>
        </w:rPr>
        <w:t>万元以上通用设备和单价</w:t>
      </w:r>
      <w:r>
        <w:rPr>
          <w:rFonts w:ascii="仿宋_GB2312" w:eastAsia="仿宋_GB2312"/>
          <w:sz w:val="32"/>
          <w:szCs w:val="32"/>
        </w:rPr>
        <w:t>100</w:t>
      </w:r>
      <w:r>
        <w:rPr>
          <w:rFonts w:hint="eastAsia" w:ascii="仿宋_GB2312" w:eastAsia="仿宋_GB2312"/>
          <w:sz w:val="32"/>
          <w:szCs w:val="32"/>
        </w:rPr>
        <w:t>万元以上专用设备。</w:t>
      </w:r>
    </w:p>
    <w:p w14:paraId="0D42DD90">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楷体_GB2312" w:hAnsi="楷体_GB2312" w:eastAsia="楷体_GB2312" w:cs="楷体_GB2312"/>
          <w:b/>
          <w:bCs/>
          <w:sz w:val="32"/>
          <w:szCs w:val="32"/>
        </w:rPr>
      </w:pPr>
      <w:r>
        <w:rPr>
          <w:rStyle w:val="41"/>
          <w:rFonts w:hint="eastAsia" w:ascii="楷体_GB2312" w:hAnsi="楷体_GB2312" w:eastAsia="楷体_GB2312" w:cs="楷体_GB2312"/>
        </w:rPr>
        <w:t>（四）预算绩效管理情况</w:t>
      </w:r>
    </w:p>
    <w:p w14:paraId="713C28E3">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eastAsia="zh-CN"/>
        </w:rPr>
      </w:pPr>
      <w:bookmarkStart w:id="41" w:name="_Toc15377221"/>
      <w:bookmarkStart w:id="42" w:name="_Toc15396612"/>
      <w:r>
        <w:rPr>
          <w:rFonts w:hint="eastAsia" w:ascii="仿宋_GB2312" w:hAnsi="仿宋_GB2312" w:eastAsia="仿宋_GB2312" w:cs="仿宋_GB2312"/>
          <w:sz w:val="32"/>
          <w:szCs w:val="32"/>
        </w:rPr>
        <w:t>根据预算绩效管理要求，本部门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度预算编制阶段，无项目预算编制，</w:t>
      </w:r>
      <w:bookmarkStart w:id="79" w:name="_GoBack"/>
      <w:bookmarkEnd w:id="79"/>
      <w:r>
        <w:rPr>
          <w:rFonts w:hint="eastAsia" w:ascii="仿宋_GB2312" w:hAnsi="仿宋_GB2312" w:eastAsia="仿宋_GB2312" w:cs="仿宋_GB2312"/>
          <w:sz w:val="32"/>
          <w:szCs w:val="32"/>
          <w:lang w:eastAsia="zh-CN"/>
        </w:rPr>
        <w:t>所以未组织对项目开展预算事前绩效评估及编制绩效目标。预算执行过程中未对项目开展绩效监控及绩效自评。</w:t>
      </w:r>
    </w:p>
    <w:p w14:paraId="3C6E3200">
      <w:pPr>
        <w:pStyle w:val="2"/>
        <w:rPr>
          <w:rFonts w:hint="eastAsia" w:ascii="仿宋_GB2312" w:hAnsi="仿宋_GB2312" w:eastAsia="仿宋_GB2312" w:cs="仿宋_GB2312"/>
          <w:sz w:val="32"/>
          <w:szCs w:val="32"/>
          <w:lang w:eastAsia="zh-CN"/>
        </w:rPr>
      </w:pPr>
    </w:p>
    <w:p w14:paraId="5CC58FC7">
      <w:pPr>
        <w:pStyle w:val="3"/>
        <w:rPr>
          <w:rFonts w:hint="eastAsia" w:ascii="仿宋_GB2312" w:hAnsi="仿宋_GB2312" w:eastAsia="仿宋_GB2312" w:cs="仿宋_GB2312"/>
          <w:sz w:val="32"/>
          <w:szCs w:val="32"/>
          <w:lang w:eastAsia="zh-CN"/>
        </w:rPr>
      </w:pPr>
    </w:p>
    <w:p w14:paraId="3F7C62EE">
      <w:pPr>
        <w:pStyle w:val="3"/>
        <w:rPr>
          <w:rFonts w:hint="eastAsia" w:ascii="仿宋_GB2312" w:hAnsi="仿宋_GB2312" w:eastAsia="仿宋_GB2312" w:cs="仿宋_GB2312"/>
          <w:sz w:val="32"/>
          <w:szCs w:val="32"/>
          <w:lang w:eastAsia="zh-CN"/>
        </w:rPr>
      </w:pPr>
    </w:p>
    <w:p w14:paraId="685C1CBD">
      <w:pPr>
        <w:pStyle w:val="3"/>
        <w:rPr>
          <w:rFonts w:hint="eastAsia" w:ascii="仿宋_GB2312" w:hAnsi="仿宋_GB2312" w:eastAsia="仿宋_GB2312" w:cs="仿宋_GB2312"/>
          <w:sz w:val="32"/>
          <w:szCs w:val="32"/>
          <w:lang w:eastAsia="zh-CN"/>
        </w:rPr>
      </w:pPr>
    </w:p>
    <w:p w14:paraId="335E2A72">
      <w:pPr>
        <w:pStyle w:val="3"/>
        <w:rPr>
          <w:rFonts w:hint="eastAsia" w:ascii="仿宋_GB2312" w:hAnsi="仿宋_GB2312" w:eastAsia="仿宋_GB2312" w:cs="仿宋_GB2312"/>
          <w:sz w:val="32"/>
          <w:szCs w:val="32"/>
          <w:lang w:eastAsia="zh-CN"/>
        </w:rPr>
      </w:pPr>
    </w:p>
    <w:p w14:paraId="29C7D1DC">
      <w:pPr>
        <w:pStyle w:val="3"/>
        <w:rPr>
          <w:rFonts w:hint="eastAsia" w:ascii="仿宋_GB2312" w:hAnsi="仿宋_GB2312" w:eastAsia="仿宋_GB2312" w:cs="仿宋_GB2312"/>
          <w:sz w:val="32"/>
          <w:szCs w:val="32"/>
          <w:lang w:eastAsia="zh-CN"/>
        </w:rPr>
      </w:pPr>
    </w:p>
    <w:p w14:paraId="26FD5F56">
      <w:pPr>
        <w:pStyle w:val="3"/>
        <w:rPr>
          <w:rFonts w:hint="eastAsia" w:ascii="仿宋_GB2312" w:hAnsi="仿宋_GB2312" w:eastAsia="仿宋_GB2312" w:cs="仿宋_GB2312"/>
          <w:sz w:val="32"/>
          <w:szCs w:val="32"/>
          <w:lang w:eastAsia="zh-CN"/>
        </w:rPr>
      </w:pPr>
    </w:p>
    <w:p w14:paraId="5C44F293">
      <w:pPr>
        <w:pStyle w:val="3"/>
        <w:rPr>
          <w:rFonts w:hint="eastAsia" w:ascii="仿宋_GB2312" w:hAnsi="仿宋_GB2312" w:eastAsia="仿宋_GB2312" w:cs="仿宋_GB2312"/>
          <w:sz w:val="32"/>
          <w:szCs w:val="32"/>
          <w:lang w:eastAsia="zh-CN"/>
        </w:rPr>
      </w:pPr>
    </w:p>
    <w:p w14:paraId="21C2CFD1">
      <w:pPr>
        <w:pStyle w:val="3"/>
        <w:rPr>
          <w:rFonts w:hint="eastAsia" w:ascii="仿宋_GB2312" w:hAnsi="仿宋_GB2312" w:eastAsia="仿宋_GB2312" w:cs="仿宋_GB2312"/>
          <w:sz w:val="32"/>
          <w:szCs w:val="32"/>
          <w:lang w:eastAsia="zh-CN"/>
        </w:rPr>
      </w:pPr>
    </w:p>
    <w:p w14:paraId="150582C3">
      <w:pPr>
        <w:pStyle w:val="3"/>
        <w:rPr>
          <w:rFonts w:hint="eastAsia" w:ascii="仿宋_GB2312" w:hAnsi="仿宋_GB2312" w:eastAsia="仿宋_GB2312" w:cs="仿宋_GB2312"/>
          <w:sz w:val="32"/>
          <w:szCs w:val="32"/>
          <w:lang w:eastAsia="zh-CN"/>
        </w:rPr>
      </w:pPr>
    </w:p>
    <w:p w14:paraId="7A176AA1">
      <w:pPr>
        <w:pStyle w:val="3"/>
        <w:rPr>
          <w:rFonts w:hint="eastAsia" w:ascii="仿宋_GB2312" w:hAnsi="仿宋_GB2312" w:eastAsia="仿宋_GB2312" w:cs="仿宋_GB2312"/>
          <w:sz w:val="32"/>
          <w:szCs w:val="32"/>
          <w:lang w:eastAsia="zh-CN"/>
        </w:rPr>
      </w:pPr>
    </w:p>
    <w:p w14:paraId="70B5222E">
      <w:pPr>
        <w:pStyle w:val="3"/>
        <w:rPr>
          <w:rFonts w:hint="eastAsia" w:ascii="仿宋_GB2312" w:hAnsi="仿宋_GB2312" w:eastAsia="仿宋_GB2312" w:cs="仿宋_GB2312"/>
          <w:sz w:val="32"/>
          <w:szCs w:val="32"/>
          <w:lang w:eastAsia="zh-CN"/>
        </w:rPr>
      </w:pPr>
    </w:p>
    <w:p w14:paraId="18E58D68">
      <w:pPr>
        <w:pStyle w:val="3"/>
        <w:ind w:left="0" w:leftChars="0" w:firstLine="0" w:firstLineChars="0"/>
        <w:rPr>
          <w:rFonts w:hint="eastAsia"/>
          <w:lang w:eastAsia="zh-CN"/>
        </w:rPr>
      </w:pPr>
    </w:p>
    <w:p w14:paraId="4800ECB0">
      <w:pPr>
        <w:pStyle w:val="3"/>
        <w:ind w:left="0" w:leftChars="0" w:firstLine="0" w:firstLineChars="0"/>
        <w:rPr>
          <w:rFonts w:hint="eastAsia"/>
          <w:lang w:eastAsia="zh-CN"/>
        </w:rPr>
      </w:pPr>
    </w:p>
    <w:bookmarkEnd w:id="41"/>
    <w:bookmarkEnd w:id="42"/>
    <w:p w14:paraId="49181396">
      <w:pPr>
        <w:numPr>
          <w:ilvl w:val="0"/>
          <w:numId w:val="1"/>
        </w:numPr>
        <w:spacing w:line="600" w:lineRule="exact"/>
        <w:ind w:firstLine="660" w:firstLineChars="150"/>
        <w:jc w:val="center"/>
        <w:outlineLvl w:val="0"/>
        <w:rPr>
          <w:rStyle w:val="37"/>
          <w:rFonts w:ascii="方正小标宋简体" w:hAnsi="方正小标宋简体" w:eastAsia="方正小标宋简体" w:cs="方正小标宋简体"/>
          <w:b w:val="0"/>
        </w:rPr>
      </w:pPr>
      <w:bookmarkStart w:id="43" w:name="_Toc79163629"/>
      <w:bookmarkStart w:id="44" w:name="_Toc79163879"/>
      <w:bookmarkStart w:id="45" w:name="_Toc15377225"/>
      <w:bookmarkStart w:id="46" w:name="_Toc15396613"/>
      <w:r>
        <w:rPr>
          <w:rFonts w:hint="eastAsia" w:ascii="方正小标宋简体" w:hAnsi="方正小标宋简体" w:eastAsia="方正小标宋简体" w:cs="方正小标宋简体"/>
          <w:color w:val="000000"/>
          <w:sz w:val="44"/>
          <w:szCs w:val="44"/>
        </w:rPr>
        <w:t>名</w:t>
      </w:r>
      <w:r>
        <w:rPr>
          <w:rStyle w:val="37"/>
          <w:rFonts w:hint="eastAsia" w:ascii="方正小标宋简体" w:hAnsi="方正小标宋简体" w:eastAsia="方正小标宋简体" w:cs="方正小标宋简体"/>
          <w:b w:val="0"/>
        </w:rPr>
        <w:t>词解释</w:t>
      </w:r>
      <w:bookmarkEnd w:id="43"/>
      <w:bookmarkEnd w:id="44"/>
      <w:bookmarkEnd w:id="45"/>
      <w:bookmarkEnd w:id="46"/>
    </w:p>
    <w:p w14:paraId="1CF51116">
      <w:pPr>
        <w:spacing w:line="600" w:lineRule="exact"/>
        <w:jc w:val="left"/>
        <w:rPr>
          <w:rFonts w:ascii="宋体"/>
          <w:b/>
          <w:color w:val="000000"/>
          <w:sz w:val="44"/>
          <w:szCs w:val="44"/>
        </w:rPr>
      </w:pPr>
    </w:p>
    <w:p w14:paraId="09FB1AD8">
      <w:pPr>
        <w:pStyle w:val="32"/>
        <w:spacing w:line="560" w:lineRule="exact"/>
        <w:ind w:firstLine="640" w:firstLineChars="200"/>
        <w:rPr>
          <w:rFonts w:ascii="仿宋_GB2312" w:eastAsia="仿宋_GB2312"/>
          <w:color w:val="auto"/>
          <w:sz w:val="32"/>
          <w:szCs w:val="32"/>
        </w:rPr>
      </w:pPr>
      <w:bookmarkStart w:id="47"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E9D853C">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70137410">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1AF8881E">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0BC1310B">
      <w:pPr>
        <w:pStyle w:val="3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57C03432">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3AB057B0">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4A9D5C51">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659E4FE6">
      <w:pPr>
        <w:spacing w:line="576" w:lineRule="exact"/>
        <w:ind w:firstLine="636" w:firstLineChars="199"/>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14:paraId="668656DE">
      <w:pPr>
        <w:spacing w:line="576" w:lineRule="exact"/>
        <w:ind w:firstLine="636" w:firstLineChars="199"/>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14:paraId="1DB77A43">
      <w:pPr>
        <w:spacing w:line="576" w:lineRule="exact"/>
        <w:ind w:firstLine="636" w:firstLineChars="199"/>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14:paraId="496E07F6">
      <w:pPr>
        <w:spacing w:line="576" w:lineRule="exact"/>
        <w:ind w:firstLine="636" w:firstLineChars="199"/>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14:paraId="2F506BC2">
      <w:pPr>
        <w:spacing w:line="576" w:lineRule="exact"/>
        <w:ind w:firstLine="636" w:firstLineChars="199"/>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14:paraId="0D803E74">
      <w:pPr>
        <w:spacing w:line="576" w:lineRule="exact"/>
        <w:ind w:firstLine="636" w:firstLineChars="199"/>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14:paraId="7BCA816E">
      <w:pPr>
        <w:spacing w:line="576" w:lineRule="exact"/>
        <w:ind w:firstLine="636" w:firstLineChars="199"/>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14:paraId="00D55BB8">
      <w:pPr>
        <w:spacing w:line="576" w:lineRule="exact"/>
        <w:ind w:firstLine="636" w:firstLineChars="199"/>
        <w:rPr>
          <w:rFonts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14:paraId="54D8DABC">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农林水支出（类）扶贫（款）其他扶贫支出（项）：指反映上述项目以外其他用于扶贫方面的支出。</w:t>
      </w:r>
    </w:p>
    <w:p w14:paraId="37BC683E">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69B9EA1D">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6879A080">
      <w:pPr>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2BC3B81A">
      <w:pPr>
        <w:pStyle w:val="3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A167B74">
      <w:pPr>
        <w:pStyle w:val="3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888DA3">
      <w:pPr>
        <w:pStyle w:val="32"/>
        <w:spacing w:line="560" w:lineRule="exact"/>
        <w:ind w:firstLine="640" w:firstLineChars="200"/>
        <w:rPr>
          <w:rFonts w:ascii="仿宋_GB2312" w:eastAsia="仿宋_GB2312" w:cs="黑体"/>
          <w:color w:val="auto"/>
          <w:sz w:val="32"/>
          <w:szCs w:val="32"/>
        </w:rPr>
      </w:pPr>
    </w:p>
    <w:p w14:paraId="5A2ADE40">
      <w:pPr>
        <w:spacing w:line="600" w:lineRule="exact"/>
        <w:jc w:val="center"/>
        <w:outlineLvl w:val="0"/>
        <w:rPr>
          <w:rFonts w:hint="eastAsia" w:ascii="方正小标宋简体" w:hAnsi="方正小标宋简体" w:eastAsia="方正小标宋简体" w:cs="方正小标宋简体"/>
          <w:sz w:val="44"/>
          <w:szCs w:val="44"/>
        </w:rPr>
      </w:pPr>
      <w:r>
        <w:rPr>
          <w:rFonts w:ascii="宋体"/>
          <w:b/>
          <w:color w:val="000000"/>
          <w:sz w:val="44"/>
          <w:szCs w:val="44"/>
        </w:rPr>
        <w:br w:type="page"/>
      </w:r>
      <w:bookmarkStart w:id="48" w:name="_Toc15396614"/>
      <w:bookmarkStart w:id="49" w:name="_Toc79163880"/>
      <w:bookmarkStart w:id="50" w:name="_Toc79163630"/>
      <w:r>
        <w:rPr>
          <w:rFonts w:hint="eastAsia" w:ascii="方正小标宋简体" w:hAnsi="方正小标宋简体" w:eastAsia="方正小标宋简体" w:cs="方正小标宋简体"/>
          <w:sz w:val="44"/>
          <w:szCs w:val="44"/>
        </w:rPr>
        <w:t>第四部分 附件</w:t>
      </w:r>
      <w:bookmarkEnd w:id="48"/>
      <w:bookmarkEnd w:id="49"/>
      <w:bookmarkEnd w:id="50"/>
    </w:p>
    <w:p w14:paraId="13C31348">
      <w:pPr>
        <w:pStyle w:val="2"/>
        <w:rPr>
          <w:rFonts w:hint="eastAsia"/>
        </w:rPr>
      </w:pPr>
    </w:p>
    <w:p w14:paraId="080BE34F">
      <w:pPr>
        <w:spacing w:line="600" w:lineRule="exact"/>
        <w:jc w:val="center"/>
        <w:outlineLvl w:val="0"/>
      </w:pPr>
      <w:r>
        <w:rPr>
          <w:rFonts w:hint="eastAsia" w:hAnsi="Times New Roman" w:cs="Times New Roman"/>
          <w:sz w:val="32"/>
          <w:szCs w:val="32"/>
          <w:highlight w:val="none"/>
          <w:lang w:val="en-US" w:eastAsia="zh-CN"/>
        </w:rPr>
        <w:t>单位预算项目支出绩效自评表（202</w:t>
      </w:r>
      <w:r>
        <w:rPr>
          <w:rFonts w:hint="eastAsia" w:cs="Times New Roman"/>
          <w:sz w:val="32"/>
          <w:szCs w:val="32"/>
          <w:highlight w:val="none"/>
          <w:lang w:val="en-US" w:eastAsia="zh-CN"/>
        </w:rPr>
        <w:t>4</w:t>
      </w:r>
      <w:r>
        <w:rPr>
          <w:rFonts w:hint="eastAsia" w:hAnsi="Times New Roman" w:cs="Times New Roman"/>
          <w:sz w:val="32"/>
          <w:szCs w:val="32"/>
          <w:highlight w:val="none"/>
          <w:lang w:val="en-US" w:eastAsia="zh-CN"/>
        </w:rPr>
        <w:t>年度）</w:t>
      </w:r>
    </w:p>
    <w:p w14:paraId="307958D0">
      <w:pPr>
        <w:spacing w:line="600" w:lineRule="exact"/>
        <w:jc w:val="both"/>
        <w:outlineLvl w:val="0"/>
        <w:rPr>
          <w:rFonts w:hint="eastAsia" w:hAnsi="Times New Roman" w:cs="Times New Roman"/>
          <w:sz w:val="32"/>
          <w:szCs w:val="32"/>
          <w:highlight w:val="none"/>
          <w:lang w:val="en-US" w:eastAsia="zh-CN"/>
        </w:rPr>
      </w:pPr>
      <w:r>
        <w:rPr>
          <w:rFonts w:hint="eastAsia" w:hAnsi="Times New Roman" w:cs="Times New Roman"/>
          <w:sz w:val="32"/>
          <w:szCs w:val="32"/>
          <w:highlight w:val="none"/>
          <w:lang w:val="en-US" w:eastAsia="zh-CN"/>
        </w:rPr>
        <w:t>附表</w:t>
      </w:r>
    </w:p>
    <w:tbl>
      <w:tblPr>
        <w:tblStyle w:val="24"/>
        <w:tblpPr w:leftFromText="180" w:rightFromText="180" w:vertAnchor="text" w:horzAnchor="page" w:tblpX="642" w:tblpY="73"/>
        <w:tblOverlap w:val="never"/>
        <w:tblW w:w="10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810"/>
        <w:gridCol w:w="1198"/>
        <w:gridCol w:w="1228"/>
        <w:gridCol w:w="522"/>
        <w:gridCol w:w="624"/>
        <w:gridCol w:w="829"/>
        <w:gridCol w:w="1084"/>
        <w:gridCol w:w="510"/>
        <w:gridCol w:w="448"/>
        <w:gridCol w:w="1871"/>
      </w:tblGrid>
      <w:tr w14:paraId="18C1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4C16F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73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5FC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D09299">
            <w:pPr>
              <w:rPr>
                <w:rFonts w:hint="eastAsia" w:ascii="宋体" w:hAnsi="宋体" w:eastAsia="宋体" w:cs="宋体"/>
                <w:i w:val="0"/>
                <w:iCs w:val="0"/>
                <w:color w:val="000000"/>
                <w:sz w:val="18"/>
                <w:szCs w:val="18"/>
                <w:u w:val="none"/>
              </w:rPr>
            </w:pPr>
          </w:p>
        </w:tc>
      </w:tr>
      <w:tr w14:paraId="69F3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927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A32EE4">
            <w:pPr>
              <w:rPr>
                <w:rFonts w:hint="eastAsia" w:ascii="宋体" w:hAnsi="宋体" w:eastAsia="宋体" w:cs="宋体"/>
                <w:i w:val="0"/>
                <w:iCs w:val="0"/>
                <w:color w:val="000000"/>
                <w:sz w:val="18"/>
                <w:szCs w:val="18"/>
                <w:u w:val="none"/>
              </w:rPr>
            </w:pPr>
          </w:p>
        </w:tc>
        <w:tc>
          <w:tcPr>
            <w:tcW w:w="1084" w:type="dxa"/>
            <w:tcBorders>
              <w:top w:val="nil"/>
              <w:left w:val="nil"/>
              <w:bottom w:val="nil"/>
              <w:right w:val="nil"/>
            </w:tcBorders>
            <w:shd w:val="clear" w:color="auto" w:fill="auto"/>
            <w:vAlign w:val="center"/>
          </w:tcPr>
          <w:p w14:paraId="6A7750B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AB080">
            <w:pPr>
              <w:jc w:val="center"/>
              <w:rPr>
                <w:rFonts w:hint="eastAsia" w:ascii="宋体" w:hAnsi="宋体" w:eastAsia="宋体" w:cs="宋体"/>
                <w:i w:val="0"/>
                <w:iCs w:val="0"/>
                <w:color w:val="000000"/>
                <w:sz w:val="18"/>
                <w:szCs w:val="18"/>
                <w:u w:val="none"/>
              </w:rPr>
            </w:pPr>
          </w:p>
        </w:tc>
      </w:tr>
      <w:tr w14:paraId="54F8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1B3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B53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16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555C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EA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D2FD">
            <w:pPr>
              <w:rPr>
                <w:rFonts w:hint="eastAsia" w:ascii="宋体" w:hAnsi="宋体" w:eastAsia="宋体" w:cs="宋体"/>
                <w:i w:val="0"/>
                <w:iCs w:val="0"/>
                <w:color w:val="000000"/>
                <w:sz w:val="18"/>
                <w:szCs w:val="18"/>
                <w:u w:val="none"/>
              </w:rPr>
            </w:pPr>
          </w:p>
        </w:tc>
        <w:tc>
          <w:tcPr>
            <w:tcW w:w="1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1D00">
            <w:pPr>
              <w:rPr>
                <w:rFonts w:hint="eastAsia" w:ascii="宋体" w:hAnsi="宋体" w:eastAsia="宋体" w:cs="宋体"/>
                <w:i w:val="0"/>
                <w:iCs w:val="0"/>
                <w:color w:val="000000"/>
                <w:sz w:val="18"/>
                <w:szCs w:val="18"/>
                <w:u w:val="none"/>
              </w:rPr>
            </w:pPr>
          </w:p>
        </w:tc>
        <w:tc>
          <w:tcPr>
            <w:tcW w:w="44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74D1B">
            <w:pPr>
              <w:rPr>
                <w:rFonts w:hint="eastAsia" w:ascii="宋体" w:hAnsi="宋体" w:eastAsia="宋体" w:cs="宋体"/>
                <w:i w:val="0"/>
                <w:iCs w:val="0"/>
                <w:color w:val="000000"/>
                <w:sz w:val="18"/>
                <w:szCs w:val="18"/>
                <w:u w:val="none"/>
              </w:rPr>
            </w:pP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890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854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7CFA">
            <w:pP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92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9038D0">
            <w:pPr>
              <w:rPr>
                <w:rFonts w:hint="eastAsia" w:ascii="宋体" w:hAnsi="宋体" w:eastAsia="宋体" w:cs="宋体"/>
                <w:i w:val="0"/>
                <w:iCs w:val="0"/>
                <w:color w:val="000000"/>
                <w:sz w:val="18"/>
                <w:szCs w:val="18"/>
                <w:u w:val="none"/>
              </w:rPr>
            </w:pPr>
          </w:p>
        </w:tc>
      </w:tr>
      <w:tr w14:paraId="297F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5A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2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4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1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7C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4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4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3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9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CF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DF029">
            <w:pPr>
              <w:jc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9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0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5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B6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1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9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BC32">
            <w:pPr>
              <w:jc w:val="center"/>
              <w:rPr>
                <w:rFonts w:hint="eastAsia" w:ascii="宋体" w:hAnsi="宋体" w:eastAsia="宋体" w:cs="宋体"/>
                <w:i w:val="0"/>
                <w:iCs w:val="0"/>
                <w:color w:val="000000"/>
                <w:sz w:val="18"/>
                <w:szCs w:val="18"/>
                <w:u w:val="none"/>
              </w:rPr>
            </w:pP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4C5C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9E1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1695">
            <w:pPr>
              <w:jc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4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A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7A5C">
            <w:pPr>
              <w:jc w:val="center"/>
              <w:rPr>
                <w:rFonts w:hint="eastAsia" w:ascii="宋体" w:hAnsi="宋体" w:eastAsia="宋体" w:cs="宋体"/>
                <w:i w:val="0"/>
                <w:iCs w:val="0"/>
                <w:color w:val="000000"/>
                <w:sz w:val="18"/>
                <w:szCs w:val="18"/>
                <w:u w:val="none"/>
              </w:rPr>
            </w:pP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31E46">
            <w:pPr>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0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4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4064">
            <w:pPr>
              <w:rPr>
                <w:rFonts w:hint="eastAsia" w:ascii="黑体" w:hAnsi="黑体" w:eastAsia="黑体" w:cs="黑体"/>
                <w:i/>
                <w:iCs/>
                <w:color w:val="000000"/>
                <w:sz w:val="18"/>
                <w:szCs w:val="18"/>
                <w:u w:val="none"/>
              </w:rPr>
            </w:pPr>
          </w:p>
        </w:tc>
      </w:tr>
      <w:tr w14:paraId="38FA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C7224">
            <w:pPr>
              <w:jc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2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75B1">
            <w:pPr>
              <w:jc w:val="center"/>
              <w:rPr>
                <w:rFonts w:hint="eastAsia" w:ascii="宋体" w:hAnsi="宋体" w:eastAsia="宋体" w:cs="宋体"/>
                <w:i w:val="0"/>
                <w:iCs w:val="0"/>
                <w:color w:val="000000"/>
                <w:sz w:val="18"/>
                <w:szCs w:val="18"/>
                <w:u w:val="none"/>
              </w:rPr>
            </w:pP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A5DC8">
            <w:pPr>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B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4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6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70418">
            <w:pPr>
              <w:rPr>
                <w:rFonts w:hint="eastAsia" w:ascii="黑体" w:hAnsi="黑体" w:eastAsia="黑体" w:cs="黑体"/>
                <w:i/>
                <w:iCs/>
                <w:color w:val="000000"/>
                <w:sz w:val="18"/>
                <w:szCs w:val="18"/>
                <w:u w:val="none"/>
              </w:rPr>
            </w:pPr>
          </w:p>
        </w:tc>
      </w:tr>
      <w:tr w14:paraId="6619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CFF18">
            <w:pPr>
              <w:jc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7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C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FE9B">
            <w:pPr>
              <w:jc w:val="center"/>
              <w:rPr>
                <w:rFonts w:hint="eastAsia" w:ascii="宋体" w:hAnsi="宋体" w:eastAsia="宋体" w:cs="宋体"/>
                <w:i w:val="0"/>
                <w:iCs w:val="0"/>
                <w:color w:val="000000"/>
                <w:sz w:val="18"/>
                <w:szCs w:val="18"/>
                <w:u w:val="none"/>
              </w:rPr>
            </w:pP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82C49">
            <w:pPr>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8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E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6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79CF4">
            <w:pPr>
              <w:rPr>
                <w:rFonts w:hint="eastAsia" w:ascii="黑体" w:hAnsi="黑体" w:eastAsia="黑体" w:cs="黑体"/>
                <w:i/>
                <w:iCs/>
                <w:color w:val="000000"/>
                <w:sz w:val="18"/>
                <w:szCs w:val="18"/>
                <w:u w:val="none"/>
              </w:rPr>
            </w:pPr>
          </w:p>
        </w:tc>
      </w:tr>
      <w:tr w14:paraId="67F5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EA8A">
            <w:pPr>
              <w:jc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5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6783">
            <w:pPr>
              <w:jc w:val="center"/>
              <w:rPr>
                <w:rFonts w:hint="eastAsia" w:ascii="微软雅黑" w:hAnsi="微软雅黑" w:eastAsia="微软雅黑" w:cs="微软雅黑"/>
                <w:i/>
                <w:iCs/>
                <w:color w:val="000000"/>
                <w:sz w:val="16"/>
                <w:szCs w:val="16"/>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FC5D">
            <w:pPr>
              <w:jc w:val="center"/>
              <w:rPr>
                <w:rFonts w:hint="eastAsia" w:ascii="微软雅黑" w:hAnsi="微软雅黑" w:eastAsia="微软雅黑" w:cs="微软雅黑"/>
                <w:i/>
                <w:iCs/>
                <w:color w:val="000000"/>
                <w:sz w:val="16"/>
                <w:szCs w:val="16"/>
                <w:u w:val="none"/>
              </w:rPr>
            </w:pP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FFC27">
            <w:pPr>
              <w:jc w:val="center"/>
              <w:rPr>
                <w:rFonts w:hint="eastAsia" w:ascii="微软雅黑" w:hAnsi="微软雅黑" w:eastAsia="微软雅黑" w:cs="微软雅黑"/>
                <w:i/>
                <w:iCs/>
                <w:color w:val="000000"/>
                <w:sz w:val="16"/>
                <w:szCs w:val="16"/>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1414">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8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D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CCDF4">
            <w:pPr>
              <w:rPr>
                <w:rFonts w:hint="eastAsia" w:ascii="黑体" w:hAnsi="黑体" w:eastAsia="黑体" w:cs="黑体"/>
                <w:i/>
                <w:iCs/>
                <w:color w:val="000000"/>
                <w:sz w:val="18"/>
                <w:szCs w:val="18"/>
                <w:u w:val="none"/>
              </w:rPr>
            </w:pPr>
          </w:p>
        </w:tc>
      </w:tr>
      <w:tr w14:paraId="2124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8E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A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6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5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9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D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4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8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A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C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B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12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9B4BE">
            <w:pPr>
              <w:jc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B489">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1EEE">
            <w:pPr>
              <w:jc w:val="center"/>
              <w:rPr>
                <w:rFonts w:hint="eastAsia" w:ascii="宋体" w:hAnsi="宋体" w:eastAsia="宋体" w:cs="宋体"/>
                <w:i w:val="0"/>
                <w:iCs w:val="0"/>
                <w:color w:val="000000"/>
                <w:sz w:val="18"/>
                <w:szCs w:val="18"/>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80E4">
            <w:pPr>
              <w:jc w:val="center"/>
              <w:rPr>
                <w:rFonts w:hint="eastAsia" w:ascii="宋体" w:hAnsi="宋体" w:eastAsia="宋体" w:cs="宋体"/>
                <w:i w:val="0"/>
                <w:iCs w:val="0"/>
                <w:color w:val="000000"/>
                <w:sz w:val="18"/>
                <w:szCs w:val="18"/>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09E7">
            <w:pPr>
              <w:jc w:val="center"/>
              <w:rPr>
                <w:rFonts w:hint="eastAsia" w:ascii="宋体" w:hAnsi="宋体" w:eastAsia="宋体" w:cs="宋体"/>
                <w:i w:val="0"/>
                <w:iCs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67F2">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F400">
            <w:pPr>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E6B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EF74">
            <w:pPr>
              <w:jc w:val="center"/>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83D6">
            <w:pPr>
              <w:jc w:val="center"/>
              <w:rPr>
                <w:rFonts w:hint="eastAsia" w:ascii="宋体" w:hAnsi="宋体" w:eastAsia="宋体" w:cs="宋体"/>
                <w:i w:val="0"/>
                <w:iCs w:val="0"/>
                <w:color w:val="000000"/>
                <w:sz w:val="18"/>
                <w:szCs w:val="18"/>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36A4">
            <w:pPr>
              <w:jc w:val="center"/>
              <w:rPr>
                <w:rFonts w:hint="eastAsia" w:ascii="微软雅黑" w:hAnsi="微软雅黑" w:eastAsia="微软雅黑" w:cs="微软雅黑"/>
                <w:i/>
                <w:iCs/>
                <w:color w:val="000000"/>
                <w:sz w:val="16"/>
                <w:szCs w:val="16"/>
                <w:u w:val="none"/>
              </w:rPr>
            </w:pPr>
          </w:p>
        </w:tc>
      </w:tr>
      <w:tr w14:paraId="6241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00E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2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187A">
            <w:pPr>
              <w:rPr>
                <w:rFonts w:hint="eastAsia" w:ascii="宋体" w:hAnsi="宋体" w:eastAsia="宋体" w:cs="宋体"/>
                <w:i w:val="0"/>
                <w:iCs w:val="0"/>
                <w:color w:val="000000"/>
                <w:sz w:val="18"/>
                <w:szCs w:val="18"/>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8221">
            <w:pPr>
              <w:rPr>
                <w:rFonts w:hint="eastAsia" w:ascii="宋体" w:hAnsi="宋体" w:eastAsia="宋体" w:cs="宋体"/>
                <w:i w:val="0"/>
                <w:iCs w:val="0"/>
                <w:color w:val="000000"/>
                <w:sz w:val="18"/>
                <w:szCs w:val="18"/>
                <w:u w:val="none"/>
              </w:rPr>
            </w:pPr>
          </w:p>
        </w:tc>
      </w:tr>
      <w:tr w14:paraId="4290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5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06EA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052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0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86A6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A1C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7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7B88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2A4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047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3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A3D0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13CC323F">
      <w:pPr>
        <w:pStyle w:val="2"/>
      </w:pPr>
    </w:p>
    <w:bookmarkEnd w:id="47"/>
    <w:p w14:paraId="57712B01">
      <w:pPr>
        <w:pageBreakBefore w:val="0"/>
        <w:kinsoku/>
        <w:wordWrap/>
        <w:overflowPunct/>
        <w:topLinePunct w:val="0"/>
        <w:bidi w:val="0"/>
        <w:spacing w:line="576" w:lineRule="exact"/>
        <w:jc w:val="center"/>
        <w:textAlignment w:val="auto"/>
        <w:outlineLvl w:val="0"/>
        <w:rPr>
          <w:rFonts w:hint="eastAsia" w:ascii="黑体" w:hAnsi="Times New Roman" w:eastAsia="黑体" w:cs="Times New Roman"/>
          <w:color w:val="000000"/>
          <w:sz w:val="44"/>
          <w:szCs w:val="44"/>
        </w:rPr>
      </w:pPr>
      <w:bookmarkStart w:id="51" w:name="_Toc9504"/>
      <w:bookmarkStart w:id="52" w:name="_Toc6196"/>
      <w:r>
        <w:rPr>
          <w:rFonts w:hint="eastAsia" w:ascii="黑体" w:hAnsi="Times New Roman" w:eastAsia="黑体" w:cs="Times New Roman"/>
          <w:color w:val="000000"/>
          <w:sz w:val="44"/>
          <w:szCs w:val="44"/>
        </w:rPr>
        <w:t>第五部分 附表</w:t>
      </w:r>
      <w:bookmarkEnd w:id="51"/>
      <w:bookmarkEnd w:id="52"/>
    </w:p>
    <w:p w14:paraId="12814527">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3" w:name="_Toc12986"/>
      <w:bookmarkStart w:id="54" w:name="_Toc26370"/>
      <w:r>
        <w:rPr>
          <w:rFonts w:hint="eastAsia" w:ascii="仿宋" w:hAnsi="Cambria" w:eastAsia="仿宋" w:cs="Times New Roman"/>
          <w:b w:val="0"/>
          <w:color w:val="000000"/>
          <w:kern w:val="2"/>
          <w:sz w:val="32"/>
          <w:szCs w:val="32"/>
          <w:lang w:bidi="ar-SA"/>
        </w:rPr>
        <w:t>一、收入支出决算总表</w:t>
      </w:r>
      <w:bookmarkEnd w:id="53"/>
      <w:bookmarkEnd w:id="54"/>
    </w:p>
    <w:p w14:paraId="2BE8235C">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5" w:name="_Toc13591"/>
      <w:bookmarkStart w:id="56" w:name="_Toc13062"/>
      <w:r>
        <w:rPr>
          <w:rFonts w:hint="eastAsia" w:ascii="仿宋" w:hAnsi="Cambria" w:eastAsia="仿宋" w:cs="Times New Roman"/>
          <w:b w:val="0"/>
          <w:color w:val="000000"/>
          <w:kern w:val="2"/>
          <w:sz w:val="32"/>
          <w:szCs w:val="32"/>
          <w:lang w:bidi="ar-SA"/>
        </w:rPr>
        <w:t>二、收入决算表</w:t>
      </w:r>
      <w:bookmarkEnd w:id="55"/>
      <w:bookmarkEnd w:id="56"/>
    </w:p>
    <w:p w14:paraId="67116918">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7" w:name="_Toc16600"/>
      <w:bookmarkStart w:id="58" w:name="_Toc29688"/>
      <w:r>
        <w:rPr>
          <w:rFonts w:hint="eastAsia" w:ascii="仿宋" w:hAnsi="Cambria" w:eastAsia="仿宋" w:cs="Times New Roman"/>
          <w:b w:val="0"/>
          <w:color w:val="000000"/>
          <w:kern w:val="2"/>
          <w:sz w:val="32"/>
          <w:szCs w:val="32"/>
          <w:lang w:bidi="ar-SA"/>
        </w:rPr>
        <w:t>三、支出决算表</w:t>
      </w:r>
      <w:bookmarkEnd w:id="57"/>
      <w:bookmarkEnd w:id="58"/>
    </w:p>
    <w:p w14:paraId="2FAF533C">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9" w:name="_Toc26630"/>
      <w:bookmarkStart w:id="60" w:name="_Toc5964"/>
      <w:r>
        <w:rPr>
          <w:rFonts w:hint="eastAsia" w:ascii="仿宋" w:hAnsi="Cambria" w:eastAsia="仿宋" w:cs="Times New Roman"/>
          <w:b w:val="0"/>
          <w:color w:val="000000"/>
          <w:kern w:val="2"/>
          <w:sz w:val="32"/>
          <w:szCs w:val="32"/>
          <w:lang w:bidi="ar-SA"/>
        </w:rPr>
        <w:t>四、财政拨款收入支出决算总表</w:t>
      </w:r>
      <w:bookmarkEnd w:id="59"/>
      <w:bookmarkEnd w:id="60"/>
    </w:p>
    <w:p w14:paraId="7383A1E0">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1" w:name="_Toc14273"/>
      <w:bookmarkStart w:id="62" w:name="_Toc19934"/>
      <w:r>
        <w:rPr>
          <w:rFonts w:hint="eastAsia" w:ascii="仿宋" w:hAnsi="Cambria" w:eastAsia="仿宋" w:cs="Times New Roman"/>
          <w:b w:val="0"/>
          <w:color w:val="000000"/>
          <w:kern w:val="2"/>
          <w:sz w:val="32"/>
          <w:szCs w:val="32"/>
          <w:lang w:bidi="ar-SA"/>
        </w:rPr>
        <w:t>五、财政拨款支出决算明细表</w:t>
      </w:r>
      <w:bookmarkEnd w:id="61"/>
      <w:bookmarkEnd w:id="62"/>
    </w:p>
    <w:p w14:paraId="48E610AE">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3" w:name="_Toc6686"/>
      <w:bookmarkStart w:id="64" w:name="_Toc16449"/>
      <w:r>
        <w:rPr>
          <w:rFonts w:hint="eastAsia" w:ascii="仿宋" w:hAnsi="Cambria" w:eastAsia="仿宋" w:cs="Times New Roman"/>
          <w:b w:val="0"/>
          <w:color w:val="000000"/>
          <w:kern w:val="2"/>
          <w:sz w:val="32"/>
          <w:szCs w:val="32"/>
          <w:lang w:bidi="ar-SA"/>
        </w:rPr>
        <w:t>六、一般公共预算财政拨款支出决算表</w:t>
      </w:r>
      <w:bookmarkEnd w:id="63"/>
      <w:bookmarkEnd w:id="64"/>
    </w:p>
    <w:p w14:paraId="33B6ACE5">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5" w:name="_Toc3478"/>
      <w:bookmarkStart w:id="66" w:name="_Toc19514"/>
      <w:r>
        <w:rPr>
          <w:rFonts w:hint="eastAsia" w:ascii="仿宋" w:hAnsi="Cambria" w:eastAsia="仿宋" w:cs="Times New Roman"/>
          <w:b w:val="0"/>
          <w:color w:val="000000"/>
          <w:kern w:val="2"/>
          <w:sz w:val="32"/>
          <w:szCs w:val="32"/>
          <w:lang w:bidi="ar-SA"/>
        </w:rPr>
        <w:t>七、一般公共预算财政拨款支出决算明细表</w:t>
      </w:r>
      <w:bookmarkEnd w:id="65"/>
      <w:bookmarkEnd w:id="66"/>
    </w:p>
    <w:p w14:paraId="675CC4F3">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7" w:name="_Toc17352"/>
      <w:bookmarkStart w:id="68" w:name="_Toc191"/>
      <w:r>
        <w:rPr>
          <w:rFonts w:hint="eastAsia" w:ascii="仿宋" w:hAnsi="Cambria" w:eastAsia="仿宋" w:cs="Times New Roman"/>
          <w:b w:val="0"/>
          <w:color w:val="000000"/>
          <w:kern w:val="2"/>
          <w:sz w:val="32"/>
          <w:szCs w:val="32"/>
          <w:lang w:bidi="ar-SA"/>
        </w:rPr>
        <w:t>八、一般公共预算财政拨款基本支出决算表</w:t>
      </w:r>
      <w:bookmarkEnd w:id="67"/>
      <w:bookmarkEnd w:id="68"/>
    </w:p>
    <w:p w14:paraId="45B3B599">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9" w:name="_Toc5204"/>
      <w:bookmarkStart w:id="70" w:name="_Toc3726"/>
      <w:r>
        <w:rPr>
          <w:rFonts w:hint="eastAsia" w:ascii="仿宋" w:hAnsi="Cambria" w:eastAsia="仿宋" w:cs="Times New Roman"/>
          <w:b w:val="0"/>
          <w:color w:val="000000"/>
          <w:kern w:val="2"/>
          <w:sz w:val="32"/>
          <w:szCs w:val="32"/>
          <w:lang w:bidi="ar-SA"/>
        </w:rPr>
        <w:t>九、一般公共预算财政拨款项目支出决算表</w:t>
      </w:r>
      <w:bookmarkEnd w:id="69"/>
      <w:bookmarkEnd w:id="70"/>
    </w:p>
    <w:p w14:paraId="4948C0CC">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1" w:name="_Toc20756"/>
      <w:bookmarkStart w:id="72" w:name="_Toc20056"/>
      <w:r>
        <w:rPr>
          <w:rFonts w:hint="eastAsia" w:ascii="仿宋" w:hAnsi="Cambria" w:eastAsia="仿宋" w:cs="Times New Roman"/>
          <w:b w:val="0"/>
          <w:color w:val="000000"/>
          <w:kern w:val="2"/>
          <w:sz w:val="32"/>
          <w:szCs w:val="32"/>
          <w:lang w:bidi="ar-SA"/>
        </w:rPr>
        <w:t>十、政府性基金预算财政拨款收入支出决算表</w:t>
      </w:r>
      <w:bookmarkEnd w:id="71"/>
      <w:bookmarkEnd w:id="72"/>
    </w:p>
    <w:p w14:paraId="3BBBB788">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3" w:name="_Toc13849"/>
      <w:bookmarkStart w:id="74" w:name="_Toc21387"/>
      <w:r>
        <w:rPr>
          <w:rFonts w:hint="eastAsia" w:ascii="仿宋" w:hAnsi="Cambria" w:eastAsia="仿宋" w:cs="Times New Roman"/>
          <w:b w:val="0"/>
          <w:color w:val="000000"/>
          <w:kern w:val="2"/>
          <w:sz w:val="32"/>
          <w:szCs w:val="32"/>
          <w:lang w:bidi="ar-SA"/>
        </w:rPr>
        <w:t>十一、国有资本经营预算财政拨款收入支出决算表</w:t>
      </w:r>
      <w:bookmarkEnd w:id="73"/>
      <w:bookmarkEnd w:id="74"/>
    </w:p>
    <w:p w14:paraId="2B348E7A">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5" w:name="_Toc1140"/>
      <w:bookmarkStart w:id="76" w:name="_Toc13099"/>
      <w:r>
        <w:rPr>
          <w:rFonts w:hint="eastAsia" w:ascii="仿宋" w:hAnsi="Cambria" w:eastAsia="仿宋" w:cs="Times New Roman"/>
          <w:b w:val="0"/>
          <w:color w:val="000000"/>
          <w:kern w:val="2"/>
          <w:sz w:val="32"/>
          <w:szCs w:val="32"/>
          <w:lang w:bidi="ar-SA"/>
        </w:rPr>
        <w:t>十二、国有资本经营预算财政拨款支出决算表</w:t>
      </w:r>
      <w:bookmarkEnd w:id="75"/>
      <w:bookmarkEnd w:id="76"/>
    </w:p>
    <w:p w14:paraId="5DF229CD">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7" w:name="_Toc25065"/>
      <w:bookmarkStart w:id="78" w:name="_Toc24957"/>
      <w:r>
        <w:rPr>
          <w:rFonts w:hint="eastAsia" w:ascii="仿宋" w:hAnsi="Cambria" w:eastAsia="仿宋" w:cs="Times New Roman"/>
          <w:b w:val="0"/>
          <w:color w:val="000000"/>
          <w:kern w:val="2"/>
          <w:sz w:val="32"/>
          <w:szCs w:val="32"/>
          <w:lang w:bidi="ar-SA"/>
        </w:rPr>
        <w:t>十三、财政拨款“三公”经费支出决算表</w:t>
      </w:r>
      <w:bookmarkEnd w:id="77"/>
      <w:bookmarkEnd w:id="78"/>
    </w:p>
    <w:p w14:paraId="7DCC0F62">
      <w:pPr>
        <w:pageBreakBefore w:val="0"/>
        <w:kinsoku/>
        <w:wordWrap/>
        <w:overflowPunct/>
        <w:topLinePunct w:val="0"/>
        <w:bidi w:val="0"/>
        <w:spacing w:line="576" w:lineRule="exact"/>
        <w:textAlignment w:val="auto"/>
      </w:pPr>
    </w:p>
    <w:p w14:paraId="263B3B14"/>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754E9">
    <w:pPr>
      <w:pStyle w:val="14"/>
      <w:jc w:val="center"/>
    </w:pPr>
    <w:r>
      <w:fldChar w:fldCharType="begin"/>
    </w:r>
    <w:r>
      <w:instrText xml:space="preserve">PAGE   \* MERGEFORMAT</w:instrText>
    </w:r>
    <w:r>
      <w:fldChar w:fldCharType="separate"/>
    </w:r>
    <w:r>
      <w:t>12</w:t>
    </w:r>
    <w:r>
      <w:fldChar w:fldCharType="end"/>
    </w:r>
  </w:p>
  <w:p w14:paraId="2A33A30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2847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jVhZDVkOTI5M2RiZmQyYWMwYjgxMjc2NTUwM2EifQ=="/>
  </w:docVars>
  <w:rsids>
    <w:rsidRoot w:val="00F1361C"/>
    <w:rsid w:val="000222C6"/>
    <w:rsid w:val="0002549F"/>
    <w:rsid w:val="00033177"/>
    <w:rsid w:val="000468DB"/>
    <w:rsid w:val="0006487A"/>
    <w:rsid w:val="00065F8F"/>
    <w:rsid w:val="00066436"/>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47A42"/>
    <w:rsid w:val="00157BAB"/>
    <w:rsid w:val="001654D1"/>
    <w:rsid w:val="00174518"/>
    <w:rsid w:val="0018106D"/>
    <w:rsid w:val="001877A7"/>
    <w:rsid w:val="00191536"/>
    <w:rsid w:val="00196687"/>
    <w:rsid w:val="001C0962"/>
    <w:rsid w:val="001C0FBF"/>
    <w:rsid w:val="001D7531"/>
    <w:rsid w:val="001E737D"/>
    <w:rsid w:val="001F0592"/>
    <w:rsid w:val="001F4E85"/>
    <w:rsid w:val="001F7506"/>
    <w:rsid w:val="002006CD"/>
    <w:rsid w:val="00202B36"/>
    <w:rsid w:val="00204B7A"/>
    <w:rsid w:val="00204CDE"/>
    <w:rsid w:val="0021101A"/>
    <w:rsid w:val="00220536"/>
    <w:rsid w:val="00225FF7"/>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1253D"/>
    <w:rsid w:val="003216A9"/>
    <w:rsid w:val="00331E0C"/>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06DF"/>
    <w:rsid w:val="00406254"/>
    <w:rsid w:val="004223DE"/>
    <w:rsid w:val="00434489"/>
    <w:rsid w:val="00437085"/>
    <w:rsid w:val="00443880"/>
    <w:rsid w:val="00445607"/>
    <w:rsid w:val="004464F4"/>
    <w:rsid w:val="00471401"/>
    <w:rsid w:val="00473F31"/>
    <w:rsid w:val="0048263A"/>
    <w:rsid w:val="00484C35"/>
    <w:rsid w:val="00487E5D"/>
    <w:rsid w:val="004A711F"/>
    <w:rsid w:val="004B199D"/>
    <w:rsid w:val="004B4690"/>
    <w:rsid w:val="004D5479"/>
    <w:rsid w:val="004D5D38"/>
    <w:rsid w:val="004E0A2D"/>
    <w:rsid w:val="004E206B"/>
    <w:rsid w:val="004E6DF7"/>
    <w:rsid w:val="004F0FBD"/>
    <w:rsid w:val="00505A47"/>
    <w:rsid w:val="00512FDA"/>
    <w:rsid w:val="00520DA0"/>
    <w:rsid w:val="005269A7"/>
    <w:rsid w:val="005269D7"/>
    <w:rsid w:val="00537A94"/>
    <w:rsid w:val="0054336D"/>
    <w:rsid w:val="005664BB"/>
    <w:rsid w:val="00566FFA"/>
    <w:rsid w:val="0057481D"/>
    <w:rsid w:val="00574CA6"/>
    <w:rsid w:val="0058486E"/>
    <w:rsid w:val="00585B33"/>
    <w:rsid w:val="0059014D"/>
    <w:rsid w:val="00592F4A"/>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99F"/>
    <w:rsid w:val="00630AEF"/>
    <w:rsid w:val="006325F8"/>
    <w:rsid w:val="00633463"/>
    <w:rsid w:val="00634C9A"/>
    <w:rsid w:val="006440E4"/>
    <w:rsid w:val="00645F81"/>
    <w:rsid w:val="0065237E"/>
    <w:rsid w:val="00661853"/>
    <w:rsid w:val="0066343B"/>
    <w:rsid w:val="00664777"/>
    <w:rsid w:val="00671B27"/>
    <w:rsid w:val="006748A4"/>
    <w:rsid w:val="00681A31"/>
    <w:rsid w:val="00683E73"/>
    <w:rsid w:val="006A3141"/>
    <w:rsid w:val="006A5E34"/>
    <w:rsid w:val="006B2422"/>
    <w:rsid w:val="006B2B9A"/>
    <w:rsid w:val="006C1937"/>
    <w:rsid w:val="006F020C"/>
    <w:rsid w:val="007127B7"/>
    <w:rsid w:val="0071798E"/>
    <w:rsid w:val="007407BF"/>
    <w:rsid w:val="007416B6"/>
    <w:rsid w:val="00746F48"/>
    <w:rsid w:val="0075404D"/>
    <w:rsid w:val="0076182A"/>
    <w:rsid w:val="00767B7E"/>
    <w:rsid w:val="007770C3"/>
    <w:rsid w:val="00784D24"/>
    <w:rsid w:val="00785FBA"/>
    <w:rsid w:val="00786E4A"/>
    <w:rsid w:val="007875EB"/>
    <w:rsid w:val="0079426B"/>
    <w:rsid w:val="00795084"/>
    <w:rsid w:val="007B69FE"/>
    <w:rsid w:val="007D1682"/>
    <w:rsid w:val="007D2A8D"/>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F42"/>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0291"/>
    <w:rsid w:val="00923564"/>
    <w:rsid w:val="0092392E"/>
    <w:rsid w:val="009315F9"/>
    <w:rsid w:val="009321BA"/>
    <w:rsid w:val="00933499"/>
    <w:rsid w:val="009334D8"/>
    <w:rsid w:val="00935C98"/>
    <w:rsid w:val="00946945"/>
    <w:rsid w:val="00951248"/>
    <w:rsid w:val="0095152F"/>
    <w:rsid w:val="00954C49"/>
    <w:rsid w:val="00955E37"/>
    <w:rsid w:val="0095690A"/>
    <w:rsid w:val="00962656"/>
    <w:rsid w:val="0097099F"/>
    <w:rsid w:val="009713A8"/>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098F"/>
    <w:rsid w:val="00A13CC1"/>
    <w:rsid w:val="00A16847"/>
    <w:rsid w:val="00A237D8"/>
    <w:rsid w:val="00A268C4"/>
    <w:rsid w:val="00A307CD"/>
    <w:rsid w:val="00A331C8"/>
    <w:rsid w:val="00A373C1"/>
    <w:rsid w:val="00A40A00"/>
    <w:rsid w:val="00A4142F"/>
    <w:rsid w:val="00A422EB"/>
    <w:rsid w:val="00A45BB7"/>
    <w:rsid w:val="00A56045"/>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AE5889"/>
    <w:rsid w:val="00AE5D20"/>
    <w:rsid w:val="00B011E4"/>
    <w:rsid w:val="00B03C9D"/>
    <w:rsid w:val="00B060AE"/>
    <w:rsid w:val="00B10517"/>
    <w:rsid w:val="00B134EC"/>
    <w:rsid w:val="00B14E76"/>
    <w:rsid w:val="00B161B8"/>
    <w:rsid w:val="00B2048C"/>
    <w:rsid w:val="00B260E3"/>
    <w:rsid w:val="00B310B9"/>
    <w:rsid w:val="00B35F3F"/>
    <w:rsid w:val="00B36CBB"/>
    <w:rsid w:val="00B425E0"/>
    <w:rsid w:val="00B440AA"/>
    <w:rsid w:val="00B44B70"/>
    <w:rsid w:val="00B53C56"/>
    <w:rsid w:val="00B57DAF"/>
    <w:rsid w:val="00B655EC"/>
    <w:rsid w:val="00B720C5"/>
    <w:rsid w:val="00B77997"/>
    <w:rsid w:val="00B77EA6"/>
    <w:rsid w:val="00B81598"/>
    <w:rsid w:val="00B841F1"/>
    <w:rsid w:val="00B90E4E"/>
    <w:rsid w:val="00B93355"/>
    <w:rsid w:val="00B944D6"/>
    <w:rsid w:val="00B965DC"/>
    <w:rsid w:val="00BB4DF0"/>
    <w:rsid w:val="00BC289F"/>
    <w:rsid w:val="00BC2D50"/>
    <w:rsid w:val="00BC5361"/>
    <w:rsid w:val="00BC5460"/>
    <w:rsid w:val="00BC6B50"/>
    <w:rsid w:val="00BD0E25"/>
    <w:rsid w:val="00BE0CB1"/>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3F33"/>
    <w:rsid w:val="00D25339"/>
    <w:rsid w:val="00D254F7"/>
    <w:rsid w:val="00D26091"/>
    <w:rsid w:val="00D2685C"/>
    <w:rsid w:val="00D34E7C"/>
    <w:rsid w:val="00D35489"/>
    <w:rsid w:val="00D36AFE"/>
    <w:rsid w:val="00D51276"/>
    <w:rsid w:val="00D7035F"/>
    <w:rsid w:val="00D81A47"/>
    <w:rsid w:val="00DA5DE1"/>
    <w:rsid w:val="00DA634F"/>
    <w:rsid w:val="00DA65AC"/>
    <w:rsid w:val="00DB1913"/>
    <w:rsid w:val="00DC410D"/>
    <w:rsid w:val="00DC5A81"/>
    <w:rsid w:val="00DC68CA"/>
    <w:rsid w:val="00DC74B0"/>
    <w:rsid w:val="00DC7CBA"/>
    <w:rsid w:val="00DD73B7"/>
    <w:rsid w:val="00DF28BC"/>
    <w:rsid w:val="00DF34B9"/>
    <w:rsid w:val="00DF62A7"/>
    <w:rsid w:val="00E00407"/>
    <w:rsid w:val="00E01053"/>
    <w:rsid w:val="00E028DD"/>
    <w:rsid w:val="00E057EE"/>
    <w:rsid w:val="00E07ACF"/>
    <w:rsid w:val="00E32CAD"/>
    <w:rsid w:val="00E331A1"/>
    <w:rsid w:val="00E33202"/>
    <w:rsid w:val="00E336A9"/>
    <w:rsid w:val="00E472B1"/>
    <w:rsid w:val="00E50624"/>
    <w:rsid w:val="00E568DF"/>
    <w:rsid w:val="00E64269"/>
    <w:rsid w:val="00E70975"/>
    <w:rsid w:val="00E82267"/>
    <w:rsid w:val="00E825DB"/>
    <w:rsid w:val="00E853CE"/>
    <w:rsid w:val="00E867B6"/>
    <w:rsid w:val="00EA010F"/>
    <w:rsid w:val="00EA6816"/>
    <w:rsid w:val="00ED1B63"/>
    <w:rsid w:val="00ED206B"/>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4262"/>
    <w:rsid w:val="00FC1AD8"/>
    <w:rsid w:val="00FC2607"/>
    <w:rsid w:val="00FD3CC1"/>
    <w:rsid w:val="00FE553C"/>
    <w:rsid w:val="00FF1E02"/>
    <w:rsid w:val="00FF30B4"/>
    <w:rsid w:val="03276F2B"/>
    <w:rsid w:val="039B3DC0"/>
    <w:rsid w:val="060D0FFA"/>
    <w:rsid w:val="06FC205C"/>
    <w:rsid w:val="085F6720"/>
    <w:rsid w:val="086B6C06"/>
    <w:rsid w:val="09222E18"/>
    <w:rsid w:val="09557A13"/>
    <w:rsid w:val="097A7FD3"/>
    <w:rsid w:val="09BB0D18"/>
    <w:rsid w:val="0A2032A3"/>
    <w:rsid w:val="0ACE41C5"/>
    <w:rsid w:val="0AE602F0"/>
    <w:rsid w:val="0B1C3A38"/>
    <w:rsid w:val="0C96116D"/>
    <w:rsid w:val="0E9733D5"/>
    <w:rsid w:val="0F0A0D53"/>
    <w:rsid w:val="10C055FF"/>
    <w:rsid w:val="10D40911"/>
    <w:rsid w:val="118107EC"/>
    <w:rsid w:val="11FC5F65"/>
    <w:rsid w:val="12A52565"/>
    <w:rsid w:val="12F05672"/>
    <w:rsid w:val="165313A4"/>
    <w:rsid w:val="16B8031D"/>
    <w:rsid w:val="16BB723D"/>
    <w:rsid w:val="173F5F3B"/>
    <w:rsid w:val="18713C0E"/>
    <w:rsid w:val="19F923F3"/>
    <w:rsid w:val="1B324BB2"/>
    <w:rsid w:val="1C47468D"/>
    <w:rsid w:val="1C5405C7"/>
    <w:rsid w:val="1C6E7A47"/>
    <w:rsid w:val="1D155CEE"/>
    <w:rsid w:val="1D5030CD"/>
    <w:rsid w:val="1E4C13FB"/>
    <w:rsid w:val="20407429"/>
    <w:rsid w:val="205C26E7"/>
    <w:rsid w:val="2116400B"/>
    <w:rsid w:val="223647AD"/>
    <w:rsid w:val="227839A9"/>
    <w:rsid w:val="23953F30"/>
    <w:rsid w:val="240371BF"/>
    <w:rsid w:val="243113F7"/>
    <w:rsid w:val="2586035F"/>
    <w:rsid w:val="25BA5ED0"/>
    <w:rsid w:val="260E4400"/>
    <w:rsid w:val="264552AC"/>
    <w:rsid w:val="27E72880"/>
    <w:rsid w:val="294B046E"/>
    <w:rsid w:val="29C40B22"/>
    <w:rsid w:val="29FD04D3"/>
    <w:rsid w:val="2A9C5607"/>
    <w:rsid w:val="2AE45A08"/>
    <w:rsid w:val="2BA57831"/>
    <w:rsid w:val="2C2C0780"/>
    <w:rsid w:val="2F677EE1"/>
    <w:rsid w:val="30525E3E"/>
    <w:rsid w:val="308767C5"/>
    <w:rsid w:val="30A239DD"/>
    <w:rsid w:val="31280191"/>
    <w:rsid w:val="319F7F4E"/>
    <w:rsid w:val="33244D07"/>
    <w:rsid w:val="34202FEC"/>
    <w:rsid w:val="34BB131C"/>
    <w:rsid w:val="351A54EA"/>
    <w:rsid w:val="35FE5964"/>
    <w:rsid w:val="36D7532C"/>
    <w:rsid w:val="36E825EF"/>
    <w:rsid w:val="37900149"/>
    <w:rsid w:val="387D5E09"/>
    <w:rsid w:val="39721065"/>
    <w:rsid w:val="3CBA54C6"/>
    <w:rsid w:val="3CCA034E"/>
    <w:rsid w:val="3DBC3F4F"/>
    <w:rsid w:val="3E0755D2"/>
    <w:rsid w:val="3E2556A2"/>
    <w:rsid w:val="3E42660A"/>
    <w:rsid w:val="42416A88"/>
    <w:rsid w:val="4315067C"/>
    <w:rsid w:val="438254A7"/>
    <w:rsid w:val="440927C0"/>
    <w:rsid w:val="4550160D"/>
    <w:rsid w:val="45672311"/>
    <w:rsid w:val="466972EF"/>
    <w:rsid w:val="46A33828"/>
    <w:rsid w:val="47332F94"/>
    <w:rsid w:val="479C6D8B"/>
    <w:rsid w:val="48A15CA6"/>
    <w:rsid w:val="49BD21D3"/>
    <w:rsid w:val="4A443E36"/>
    <w:rsid w:val="4B7F49FA"/>
    <w:rsid w:val="4D537EEC"/>
    <w:rsid w:val="4ECE2238"/>
    <w:rsid w:val="4F0A45DA"/>
    <w:rsid w:val="4F443E37"/>
    <w:rsid w:val="4FC967E7"/>
    <w:rsid w:val="4FEE5DDD"/>
    <w:rsid w:val="508166BD"/>
    <w:rsid w:val="50C106B1"/>
    <w:rsid w:val="51473DB0"/>
    <w:rsid w:val="51A96F23"/>
    <w:rsid w:val="525F10E1"/>
    <w:rsid w:val="530B3237"/>
    <w:rsid w:val="53582700"/>
    <w:rsid w:val="53E755F7"/>
    <w:rsid w:val="55E76CAF"/>
    <w:rsid w:val="56081D60"/>
    <w:rsid w:val="561072C2"/>
    <w:rsid w:val="56513D4B"/>
    <w:rsid w:val="57FB365A"/>
    <w:rsid w:val="5875185B"/>
    <w:rsid w:val="59CC5ACC"/>
    <w:rsid w:val="5A0148D1"/>
    <w:rsid w:val="5A2802C1"/>
    <w:rsid w:val="5B092C41"/>
    <w:rsid w:val="5B6F4583"/>
    <w:rsid w:val="5CC05393"/>
    <w:rsid w:val="5CCB0F3D"/>
    <w:rsid w:val="5DBE68B4"/>
    <w:rsid w:val="5F2C4CE5"/>
    <w:rsid w:val="61071465"/>
    <w:rsid w:val="629D0CF3"/>
    <w:rsid w:val="62A42E9F"/>
    <w:rsid w:val="634A2CEB"/>
    <w:rsid w:val="64137F7D"/>
    <w:rsid w:val="647E189B"/>
    <w:rsid w:val="64C42DBE"/>
    <w:rsid w:val="65AB2B63"/>
    <w:rsid w:val="66B912B0"/>
    <w:rsid w:val="66D87988"/>
    <w:rsid w:val="67DA7730"/>
    <w:rsid w:val="6A0B1E23"/>
    <w:rsid w:val="6BC807D2"/>
    <w:rsid w:val="6BCA297C"/>
    <w:rsid w:val="6C4A05C8"/>
    <w:rsid w:val="6D026547"/>
    <w:rsid w:val="6D090AE2"/>
    <w:rsid w:val="6D73097A"/>
    <w:rsid w:val="6DD105A2"/>
    <w:rsid w:val="702D0ECC"/>
    <w:rsid w:val="71173F7E"/>
    <w:rsid w:val="7263043C"/>
    <w:rsid w:val="72734D90"/>
    <w:rsid w:val="73117D7E"/>
    <w:rsid w:val="73634A7D"/>
    <w:rsid w:val="74053257"/>
    <w:rsid w:val="752971A5"/>
    <w:rsid w:val="762603CC"/>
    <w:rsid w:val="765172D4"/>
    <w:rsid w:val="76947089"/>
    <w:rsid w:val="76C05D43"/>
    <w:rsid w:val="775A5566"/>
    <w:rsid w:val="78202B67"/>
    <w:rsid w:val="79A47B9E"/>
    <w:rsid w:val="7B5A014B"/>
    <w:rsid w:val="7B937ECA"/>
    <w:rsid w:val="7BC27A35"/>
    <w:rsid w:val="7BCE21B1"/>
    <w:rsid w:val="7D012C11"/>
    <w:rsid w:val="7D19211A"/>
    <w:rsid w:val="7D98452B"/>
    <w:rsid w:val="7FC71EF0"/>
    <w:rsid w:val="7FEF1C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34"/>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tabs>
        <w:tab w:val="left" w:pos="960"/>
      </w:tabs>
      <w:ind w:firstLine="420" w:firstLineChars="200"/>
    </w:pPr>
  </w:style>
  <w:style w:type="paragraph" w:styleId="4">
    <w:name w:val="Body Text Indent"/>
    <w:basedOn w:val="1"/>
    <w:next w:val="3"/>
    <w:qFormat/>
    <w:uiPriority w:val="0"/>
    <w:pPr>
      <w:tabs>
        <w:tab w:val="left" w:pos="960"/>
      </w:tabs>
      <w:spacing w:line="540" w:lineRule="exact"/>
      <w:ind w:firstLine="5440" w:firstLineChars="1700"/>
    </w:pPr>
    <w:rPr>
      <w:sz w:val="32"/>
      <w:szCs w:val="32"/>
    </w:rPr>
  </w:style>
  <w:style w:type="paragraph" w:styleId="8">
    <w:name w:val="toc 7"/>
    <w:basedOn w:val="1"/>
    <w:next w:val="1"/>
    <w:unhideWhenUsed/>
    <w:qFormat/>
    <w:uiPriority w:val="39"/>
    <w:pPr>
      <w:ind w:left="1260"/>
      <w:jc w:val="left"/>
    </w:pPr>
    <w:rPr>
      <w:rFonts w:ascii="等线" w:eastAsia="等线"/>
      <w:sz w:val="18"/>
      <w:szCs w:val="18"/>
    </w:rPr>
  </w:style>
  <w:style w:type="paragraph" w:styleId="9">
    <w:name w:val="Body Text"/>
    <w:basedOn w:val="1"/>
    <w:link w:val="35"/>
    <w:qFormat/>
    <w:uiPriority w:val="99"/>
    <w:pPr>
      <w:spacing w:beforeLines="30"/>
    </w:pPr>
    <w:rPr>
      <w:rFonts w:ascii="仿宋_GB2312" w:eastAsia="仿宋_GB2312"/>
      <w:kern w:val="0"/>
      <w:sz w:val="24"/>
      <w:szCs w:val="20"/>
      <w:lang w:val="zh-CN"/>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toc 3"/>
    <w:basedOn w:val="1"/>
    <w:next w:val="1"/>
    <w:unhideWhenUsed/>
    <w:qFormat/>
    <w:uiPriority w:val="39"/>
    <w:pPr>
      <w:ind w:left="420"/>
      <w:jc w:val="left"/>
    </w:pPr>
    <w:rPr>
      <w:rFonts w:ascii="等线" w:eastAsia="等线"/>
      <w:i/>
      <w:iCs/>
      <w:sz w:val="20"/>
      <w:szCs w:val="20"/>
    </w:rPr>
  </w:style>
  <w:style w:type="paragraph" w:styleId="12">
    <w:name w:val="toc 8"/>
    <w:basedOn w:val="1"/>
    <w:next w:val="1"/>
    <w:unhideWhenUsed/>
    <w:qFormat/>
    <w:uiPriority w:val="39"/>
    <w:pPr>
      <w:ind w:left="1470"/>
      <w:jc w:val="left"/>
    </w:pPr>
    <w:rPr>
      <w:rFonts w:ascii="等线" w:eastAsia="等线"/>
      <w:sz w:val="18"/>
      <w:szCs w:val="18"/>
    </w:rPr>
  </w:style>
  <w:style w:type="paragraph" w:styleId="13">
    <w:name w:val="Balloon Text"/>
    <w:basedOn w:val="1"/>
    <w:link w:val="38"/>
    <w:unhideWhenUsed/>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43"/>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等线" w:eastAsia="等线"/>
      <w:b/>
      <w:bCs/>
      <w:caps/>
      <w:sz w:val="20"/>
      <w:szCs w:val="20"/>
    </w:rPr>
  </w:style>
  <w:style w:type="paragraph" w:styleId="17">
    <w:name w:val="toc 4"/>
    <w:basedOn w:val="1"/>
    <w:next w:val="1"/>
    <w:unhideWhenUsed/>
    <w:qFormat/>
    <w:uiPriority w:val="39"/>
    <w:pPr>
      <w:ind w:left="630"/>
      <w:jc w:val="left"/>
    </w:pPr>
    <w:rPr>
      <w:rFonts w:ascii="等线" w:eastAsia="等线"/>
      <w:sz w:val="18"/>
      <w:szCs w:val="18"/>
    </w:rPr>
  </w:style>
  <w:style w:type="paragraph" w:styleId="18">
    <w:name w:val="toc 6"/>
    <w:basedOn w:val="1"/>
    <w:next w:val="1"/>
    <w:unhideWhenUsed/>
    <w:qFormat/>
    <w:uiPriority w:val="39"/>
    <w:pPr>
      <w:ind w:left="1050"/>
      <w:jc w:val="left"/>
    </w:pPr>
    <w:rPr>
      <w:rFonts w:ascii="等线" w:eastAsia="等线"/>
      <w:sz w:val="18"/>
      <w:szCs w:val="18"/>
    </w:rPr>
  </w:style>
  <w:style w:type="paragraph" w:styleId="19">
    <w:name w:val="table of figures"/>
    <w:basedOn w:val="1"/>
    <w:next w:val="1"/>
    <w:qFormat/>
    <w:uiPriority w:val="99"/>
    <w:pPr>
      <w:ind w:left="200" w:leftChars="200" w:hanging="200" w:hangingChars="200"/>
    </w:pPr>
    <w:rPr>
      <w:rFonts w:ascii="Times New Roman" w:hAnsi="Times New Roman"/>
      <w:szCs w:val="24"/>
    </w:rPr>
  </w:style>
  <w:style w:type="paragraph" w:styleId="20">
    <w:name w:val="toc 2"/>
    <w:basedOn w:val="1"/>
    <w:next w:val="1"/>
    <w:unhideWhenUsed/>
    <w:qFormat/>
    <w:uiPriority w:val="39"/>
    <w:pPr>
      <w:ind w:left="210"/>
      <w:jc w:val="left"/>
    </w:pPr>
    <w:rPr>
      <w:rFonts w:ascii="等线" w:eastAsia="等线"/>
      <w:smallCaps/>
      <w:sz w:val="20"/>
      <w:szCs w:val="20"/>
    </w:rPr>
  </w:style>
  <w:style w:type="paragraph" w:styleId="21">
    <w:name w:val="toc 9"/>
    <w:basedOn w:val="1"/>
    <w:next w:val="1"/>
    <w:unhideWhenUsed/>
    <w:qFormat/>
    <w:uiPriority w:val="39"/>
    <w:pPr>
      <w:ind w:left="1680"/>
      <w:jc w:val="left"/>
    </w:pPr>
    <w:rPr>
      <w:rFonts w:ascii="等线" w:eastAsia="等线"/>
      <w:sz w:val="18"/>
      <w:szCs w:val="18"/>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qFormat/>
    <w:uiPriority w:val="0"/>
    <w:pPr>
      <w:spacing w:before="240" w:after="60"/>
      <w:jc w:val="center"/>
      <w:outlineLvl w:val="0"/>
    </w:pPr>
    <w:rPr>
      <w:rFonts w:ascii="Arial" w:hAnsi="Arial" w:cs="Arial"/>
      <w:b/>
      <w:bCs/>
      <w:sz w:val="32"/>
      <w:szCs w:val="32"/>
    </w:rPr>
  </w:style>
  <w:style w:type="character" w:styleId="26">
    <w:name w:val="Strong"/>
    <w:basedOn w:val="25"/>
    <w:qFormat/>
    <w:uiPriority w:val="99"/>
    <w:rPr>
      <w:rFonts w:cs="Times New Roman"/>
      <w:b/>
    </w:rPr>
  </w:style>
  <w:style w:type="character" w:styleId="27">
    <w:name w:val="page number"/>
    <w:basedOn w:val="25"/>
    <w:qFormat/>
    <w:uiPriority w:val="0"/>
  </w:style>
  <w:style w:type="character" w:styleId="28">
    <w:name w:val="Hyperlink"/>
    <w:basedOn w:val="25"/>
    <w:unhideWhenUsed/>
    <w:qFormat/>
    <w:uiPriority w:val="99"/>
    <w:rPr>
      <w:rFonts w:cs="Times New Roman"/>
      <w:color w:val="0000FF"/>
      <w:u w:val="single"/>
    </w:rPr>
  </w:style>
  <w:style w:type="paragraph" w:customStyle="1" w:styleId="29">
    <w:name w:val="列表段落1"/>
    <w:basedOn w:val="1"/>
    <w:qFormat/>
    <w:uiPriority w:val="34"/>
    <w:pPr>
      <w:ind w:firstLine="420" w:firstLineChars="200"/>
    </w:pPr>
  </w:style>
  <w:style w:type="paragraph" w:customStyle="1" w:styleId="30">
    <w:name w:val="TOC 标题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TOC 标题2"/>
    <w:basedOn w:val="5"/>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4">
    <w:name w:val="标题 3 Char"/>
    <w:basedOn w:val="25"/>
    <w:link w:val="7"/>
    <w:qFormat/>
    <w:locked/>
    <w:uiPriority w:val="9"/>
    <w:rPr>
      <w:rFonts w:ascii="Times New Roman" w:hAnsi="Times New Roman" w:cs="Times New Roman"/>
      <w:b/>
      <w:bCs/>
      <w:kern w:val="2"/>
      <w:sz w:val="32"/>
      <w:szCs w:val="32"/>
    </w:rPr>
  </w:style>
  <w:style w:type="character" w:customStyle="1" w:styleId="35">
    <w:name w:val="正文文本 Char"/>
    <w:link w:val="9"/>
    <w:qFormat/>
    <w:locked/>
    <w:uiPriority w:val="99"/>
    <w:rPr>
      <w:rFonts w:ascii="仿宋_GB2312" w:hAnsi="Times New Roman" w:eastAsia="仿宋_GB2312"/>
      <w:sz w:val="24"/>
    </w:rPr>
  </w:style>
  <w:style w:type="character" w:customStyle="1" w:styleId="36">
    <w:name w:val="页脚 Char"/>
    <w:link w:val="14"/>
    <w:qFormat/>
    <w:locked/>
    <w:uiPriority w:val="99"/>
    <w:rPr>
      <w:sz w:val="18"/>
    </w:rPr>
  </w:style>
  <w:style w:type="character" w:customStyle="1" w:styleId="37">
    <w:name w:val="标题 1 Char"/>
    <w:basedOn w:val="25"/>
    <w:link w:val="5"/>
    <w:qFormat/>
    <w:locked/>
    <w:uiPriority w:val="9"/>
    <w:rPr>
      <w:rFonts w:ascii="Times New Roman" w:hAnsi="Times New Roman" w:cs="Times New Roman"/>
      <w:b/>
      <w:bCs/>
      <w:kern w:val="44"/>
      <w:sz w:val="44"/>
      <w:szCs w:val="44"/>
    </w:rPr>
  </w:style>
  <w:style w:type="character" w:customStyle="1" w:styleId="38">
    <w:name w:val="批注框文本 Char"/>
    <w:basedOn w:val="25"/>
    <w:link w:val="13"/>
    <w:semiHidden/>
    <w:qFormat/>
    <w:locked/>
    <w:uiPriority w:val="99"/>
    <w:rPr>
      <w:rFonts w:ascii="Times New Roman" w:hAnsi="Times New Roman" w:cs="Times New Roman"/>
      <w:kern w:val="2"/>
      <w:sz w:val="18"/>
      <w:szCs w:val="18"/>
    </w:rPr>
  </w:style>
  <w:style w:type="character" w:customStyle="1" w:styleId="39">
    <w:name w:val="Footer Char"/>
    <w:basedOn w:val="25"/>
    <w:semiHidden/>
    <w:qFormat/>
    <w:uiPriority w:val="99"/>
    <w:rPr>
      <w:rFonts w:ascii="Times New Roman" w:hAnsi="Times New Roman" w:cs="Times New Roman"/>
      <w:sz w:val="18"/>
      <w:szCs w:val="18"/>
    </w:rPr>
  </w:style>
  <w:style w:type="character" w:customStyle="1" w:styleId="40">
    <w:name w:val="Body Text Char"/>
    <w:basedOn w:val="25"/>
    <w:semiHidden/>
    <w:qFormat/>
    <w:uiPriority w:val="99"/>
    <w:rPr>
      <w:rFonts w:ascii="Times New Roman" w:hAnsi="Times New Roman" w:cs="Times New Roman"/>
      <w:sz w:val="24"/>
      <w:szCs w:val="24"/>
    </w:rPr>
  </w:style>
  <w:style w:type="character" w:customStyle="1" w:styleId="41">
    <w:name w:val="标题 2 Char"/>
    <w:basedOn w:val="25"/>
    <w:link w:val="6"/>
    <w:qFormat/>
    <w:locked/>
    <w:uiPriority w:val="9"/>
    <w:rPr>
      <w:rFonts w:ascii="Cambria" w:hAnsi="Cambria" w:eastAsia="宋体" w:cs="Times New Roman"/>
      <w:b/>
      <w:bCs/>
      <w:kern w:val="2"/>
      <w:sz w:val="32"/>
      <w:szCs w:val="32"/>
    </w:rPr>
  </w:style>
  <w:style w:type="character" w:customStyle="1" w:styleId="42">
    <w:name w:val="Header Char"/>
    <w:basedOn w:val="25"/>
    <w:semiHidden/>
    <w:qFormat/>
    <w:uiPriority w:val="99"/>
    <w:rPr>
      <w:rFonts w:ascii="Times New Roman" w:hAnsi="Times New Roman" w:cs="Times New Roman"/>
      <w:sz w:val="18"/>
      <w:szCs w:val="18"/>
    </w:rPr>
  </w:style>
  <w:style w:type="character" w:customStyle="1" w:styleId="43">
    <w:name w:val="页眉 Char"/>
    <w:link w:val="15"/>
    <w:semiHidden/>
    <w:qFormat/>
    <w:locked/>
    <w:uiPriority w:val="99"/>
    <w:rPr>
      <w:sz w:val="1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overlay val="0"/>
      <c:spPr>
        <a:noFill/>
        <a:ln>
          <a:noFill/>
        </a:ln>
        <a:effectLst/>
      </c:spPr>
    </c:title>
    <c:autoTitleDeleted val="0"/>
    <c:plotArea>
      <c:layout>
        <c:manualLayout>
          <c:layoutTarget val="inner"/>
          <c:xMode val="edge"/>
          <c:yMode val="edge"/>
          <c:x val="0.0384313725490196"/>
          <c:y val="0.33929070092153"/>
          <c:w val="0.930980392156863"/>
          <c:h val="0.5256632225635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87.46</c:v>
                </c:pt>
                <c:pt idx="1">
                  <c:v>91.39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87.46</c:v>
                </c:pt>
                <c:pt idx="1">
                  <c:v>91.39</c:v>
                </c:pt>
              </c:numCache>
            </c:numRef>
          </c:val>
        </c:ser>
        <c:dLbls>
          <c:showLegendKey val="0"/>
          <c:showVal val="1"/>
          <c:showCatName val="0"/>
          <c:showSerName val="0"/>
          <c:showPercent val="0"/>
          <c:showBubbleSize val="0"/>
        </c:dLbls>
        <c:gapWidth val="260"/>
        <c:overlap val="-32"/>
        <c:axId val="121352960"/>
        <c:axId val="121354496"/>
      </c:barChart>
      <c:catAx>
        <c:axId val="1213529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354496"/>
        <c:crosses val="autoZero"/>
        <c:auto val="1"/>
        <c:lblAlgn val="ctr"/>
        <c:lblOffset val="100"/>
        <c:noMultiLvlLbl val="0"/>
      </c:catAx>
      <c:valAx>
        <c:axId val="12135449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35296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a43e935-0dee-40c4-8637-02c76c2c196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91.39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5bc40456-6989-40d8-b515-83070876111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91.39</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30230c4a-b1a3-455b-ad2b-f9dd73cb085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87.46</c:v>
                </c:pt>
                <c:pt idx="1">
                  <c:v>91.39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87.46</c:v>
                </c:pt>
                <c:pt idx="1">
                  <c:v>91.39</c:v>
                </c:pt>
              </c:numCache>
            </c:numRef>
          </c:val>
        </c:ser>
        <c:dLbls>
          <c:showLegendKey val="0"/>
          <c:showVal val="1"/>
          <c:showCatName val="0"/>
          <c:showSerName val="0"/>
          <c:showPercent val="0"/>
          <c:showBubbleSize val="0"/>
        </c:dLbls>
        <c:gapWidth val="260"/>
        <c:overlap val="-32"/>
        <c:axId val="65868160"/>
        <c:axId val="65869696"/>
      </c:barChart>
      <c:catAx>
        <c:axId val="658681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869696"/>
        <c:crosses val="autoZero"/>
        <c:auto val="1"/>
        <c:lblAlgn val="ctr"/>
        <c:lblOffset val="100"/>
        <c:noMultiLvlLbl val="0"/>
      </c:catAx>
      <c:valAx>
        <c:axId val="6586969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86816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7501b1d-0960-4374-baf2-81a689fe6f3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87.46</c:v>
                </c:pt>
                <c:pt idx="1">
                  <c:v>91.39</c:v>
                </c:pt>
              </c:numCache>
            </c:numRef>
          </c:val>
        </c:ser>
        <c:dLbls>
          <c:showLegendKey val="0"/>
          <c:showVal val="1"/>
          <c:showCatName val="0"/>
          <c:showSerName val="0"/>
          <c:showPercent val="0"/>
          <c:showBubbleSize val="0"/>
        </c:dLbls>
        <c:gapWidth val="260"/>
        <c:overlap val="-32"/>
        <c:axId val="65902080"/>
        <c:axId val="65903616"/>
      </c:barChart>
      <c:catAx>
        <c:axId val="659020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903616"/>
        <c:crosses val="autoZero"/>
        <c:auto val="1"/>
        <c:lblAlgn val="ctr"/>
        <c:lblOffset val="100"/>
        <c:noMultiLvlLbl val="0"/>
      </c:catAx>
      <c:valAx>
        <c:axId val="6590361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90208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e8b405e-d9bc-477d-9d00-ccb0f9f1e07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67.79</c:v>
                </c:pt>
                <c:pt idx="1">
                  <c:v>11.93</c:v>
                </c:pt>
                <c:pt idx="2">
                  <c:v>5.21</c:v>
                </c:pt>
                <c:pt idx="3">
                  <c:v>6.46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bd93f29-c36a-4a91-835f-b7b1878c3a2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3.54</c:v>
                </c:pt>
                <c:pt idx="2">
                  <c:v>0.06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e88f575-18de-4237-94ac-eb18c1a6f33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7.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36660-6A15-4D1B-8C1D-5FCD4966344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17</Pages>
  <Words>5082</Words>
  <Characters>6735</Characters>
  <Lines>11</Lines>
  <Paragraphs>18</Paragraphs>
  <TotalTime>21</TotalTime>
  <ScaleCrop>false</ScaleCrop>
  <LinksUpToDate>false</LinksUpToDate>
  <CharactersWithSpaces>6793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2022-09-19T08:15:00Z</dcterms:created>
  <dc:creator>曹颖</dc:creator>
  <cp:lastModifiedBy>Darling </cp:lastModifiedBy>
  <cp:lastPrinted>2025-09-23T01:14:00Z</cp:lastPrinted>
  <dcterms:modified xsi:type="dcterms:W3CDTF">2025-09-26T08:34:49Z</dcterms:modified>
  <dc:title>阿坝州部门决算说明</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797D5C2EB3ED4175834338DF2EF1A661_13</vt:lpwstr>
  </property>
  <property fmtid="{D5CDD505-2E9C-101B-9397-08002B2CF9AE}" pid="4" name="KSOTemplateDocerSaveRecord">
    <vt:lpwstr>eyJoZGlkIjoiNWIxYmQxODM3YzQzMzNjYmI0ODczNWI1Y2Q5NmJlYmQiLCJ1c2VySWQiOiIxMTUzNjY4NDE4In0=</vt:lpwstr>
  </property>
</Properties>
</file>