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cs="方正小标宋简体"/>
          <w:sz w:val="72"/>
          <w:szCs w:val="72"/>
        </w:rPr>
      </w:pPr>
      <w:bookmarkStart w:id="1" w:name="_Toc15396475"/>
      <w:bookmarkStart w:id="2" w:name="_Toc15377425"/>
      <w:bookmarkStart w:id="3" w:name="_Toc15378441"/>
      <w:bookmarkStart w:id="4" w:name="_Toc15396597"/>
      <w:bookmarkStart w:id="5" w:name="_Toc15377193"/>
      <w:r>
        <w:rPr>
          <w:rFonts w:ascii="方正小标宋简体" w:eastAsia="方正小标宋简体" w:cs="方正小标宋简体" w:hint="eastAsia"/>
          <w:sz w:val="72"/>
          <w:szCs w:val="72"/>
        </w:rPr>
        <w:t>2022年度</w:t>
      </w:r>
      <w:bookmarkEnd w:id="0"/>
      <w:bookmarkEnd w:id="1"/>
      <w:bookmarkEnd w:id="2"/>
      <w:bookmarkEnd w:id="3"/>
      <w:bookmarkEnd w:id="4"/>
      <w:bookmarkEnd w:id="5"/>
      <w:r>
        <w:rPr>
          <w:rFonts w:ascii="方正小标宋简体" w:eastAsia="方正小标宋简体" w:cs="方正小标宋简体" w:hint="eastAsia"/>
          <w:sz w:val="72"/>
          <w:szCs w:val="72"/>
        </w:rPr>
        <w:t>阿坝州</w:t>
      </w:r>
      <w:bookmarkStart w:id="6" w:name="_Toc15306268"/>
    </w:p>
    <w:p>
      <w:pPr>
        <w:jc w:val="center"/>
        <w:rPr>
          <w:rFonts w:ascii="黑体" w:eastAsia="黑体"/>
          <w:sz w:val="72"/>
          <w:szCs w:val="72"/>
        </w:rPr>
      </w:pPr>
      <w:r>
        <w:rPr>
          <w:rFonts w:ascii="方正小标宋简体" w:eastAsia="方正小标宋简体" w:cs="方正小标宋简体" w:hint="eastAsia"/>
          <w:sz w:val="72"/>
          <w:szCs w:val="72"/>
        </w:rPr>
        <w:t>共青团茂县委员会决算</w:t>
      </w:r>
      <w:bookmarkEnd w:id="6"/>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r>
        <w:rPr>
          <w:rFonts w:ascii="仿宋_GB2312" w:eastAsia="仿宋_GB2312" w:cs="仿宋_GB2312" w:hint="eastAsia"/>
          <w:sz w:val="32"/>
          <w:szCs w:val="32"/>
        </w:rPr>
        <w:t>保密审查情况：</w:t>
      </w:r>
    </w:p>
    <w:p>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ascii="黑体" w:eastAsia="黑体" w:hint="eastAsia"/>
          <w:color w:val="000000"/>
          <w:sz w:val="48"/>
          <w:szCs w:val="48"/>
        </w:rPr>
        <w:t>目录</w:t>
      </w:r>
    </w:p>
    <w:p>
      <w:pPr>
        <w:pStyle w:val="25"/>
        <w:jc w:val="center"/>
        <w:rPr>
          <w:rFonts w:ascii="仿宋_GB2312" w:eastAsia="仿宋_GB2312" w:cs="仿宋_GB2312"/>
          <w:b w:val="0"/>
          <w:caps w:val="0"/>
          <w:smallCaps w:val="0"/>
          <w:color w:val="000000"/>
          <w:kern w:val="0"/>
          <w:sz w:val="32"/>
          <w:szCs w:val="32"/>
          <w:lang w:val="zh-CN"/>
        </w:rPr>
      </w:pPr>
      <w:r>
        <w:rPr>
          <w:rFonts w:ascii="仿宋_GB2312" w:eastAsia="仿宋_GB2312" w:cs="仿宋_GB2312" w:hint="eastAsia"/>
          <w:b w:val="0"/>
          <w:caps w:val="0"/>
          <w:smallCaps w:val="0"/>
          <w:color w:val="000000"/>
          <w:kern w:val="0"/>
          <w:sz w:val="32"/>
          <w:szCs w:val="32"/>
          <w:lang w:val="zh-CN"/>
        </w:rPr>
        <w:t>公开时间：2023年</w:t>
      </w:r>
      <w:r>
        <w:rPr>
          <w:rFonts w:ascii="仿宋_GB2312" w:eastAsia="仿宋_GB2312" w:cs="仿宋_GB2312" w:hint="eastAsia"/>
          <w:b w:val="0"/>
          <w:caps w:val="0"/>
          <w:smallCaps w:val="0"/>
          <w:color w:val="000000"/>
          <w:kern w:val="0"/>
          <w:sz w:val="32"/>
          <w:szCs w:val="32"/>
        </w:rPr>
        <w:t>9</w:t>
      </w:r>
      <w:r>
        <w:rPr>
          <w:rFonts w:ascii="仿宋_GB2312" w:eastAsia="仿宋_GB2312" w:cs="仿宋_GB2312" w:hint="eastAsia"/>
          <w:b w:val="0"/>
          <w:caps w:val="0"/>
          <w:smallCaps w:val="0"/>
          <w:color w:val="000000"/>
          <w:kern w:val="0"/>
          <w:sz w:val="32"/>
          <w:szCs w:val="32"/>
          <w:lang w:val="zh-CN"/>
        </w:rPr>
        <w:t>月</w:t>
      </w:r>
      <w:r>
        <w:rPr>
          <w:rFonts w:ascii="仿宋_GB2312" w:eastAsia="仿宋_GB2312" w:cs="仿宋_GB2312" w:hint="eastAsia"/>
          <w:b w:val="0"/>
          <w:caps w:val="0"/>
          <w:smallCaps w:val="0"/>
          <w:color w:val="000000"/>
          <w:kern w:val="0"/>
          <w:sz w:val="32"/>
          <w:szCs w:val="32"/>
        </w:rPr>
        <w:t>12</w:t>
      </w:r>
      <w:r>
        <w:rPr>
          <w:rFonts w:ascii="仿宋_GB2312" w:eastAsia="仿宋_GB2312" w:cs="仿宋_GB2312" w:hint="eastAsia"/>
          <w:b w:val="0"/>
          <w:caps w:val="0"/>
          <w:smallCaps w:val="0"/>
          <w:color w:val="000000"/>
          <w:kern w:val="0"/>
          <w:sz w:val="32"/>
          <w:szCs w:val="32"/>
          <w:lang w:val="zh-CN"/>
        </w:rPr>
        <w:t>日</w:t>
      </w:r>
    </w:p>
    <w:p>
      <w:pPr>
        <w:pStyle w:val="25"/>
        <w:tabs>
          <w:tab w:val="right" w:leader="dot" w:pos="8296"/>
        </w:tabs>
        <w:spacing w:before="0"/>
        <w:rPr>
          <w:rFonts w:ascii="宋体" w:eastAsia="宋体" w:cs="宋体"/>
          <w:b w:val="0"/>
          <w:bCs w:val="0"/>
          <w:caps w:val="0"/>
          <w:smallCaps/>
        </w:rPr>
      </w:pPr>
      <w:r>
        <w:rPr>
          <w:rFonts w:ascii="宋体" w:eastAsia="宋体" w:cs="宋体" w:hint="eastAsia"/>
          <w:b w:val="0"/>
          <w:bCs w:val="0"/>
          <w:caps w:val="0"/>
          <w:smallCaps/>
        </w:rPr>
        <w:fldChar w:fldCharType="begin"/>
      </w:r>
      <w:r>
        <w:rPr>
          <w:rFonts w:ascii="宋体" w:eastAsia="宋体" w:cs="宋体" w:hint="eastAsia"/>
          <w:b w:val="0"/>
          <w:bCs w:val="0"/>
          <w:caps w:val="0"/>
          <w:smallCaps/>
        </w:rPr>
        <w:instrText xml:space="preserve"> TOC \o \u </w:instrText>
      </w:r>
      <w:r>
        <w:rPr>
          <w:rFonts w:ascii="宋体" w:eastAsia="宋体" w:cs="宋体" w:hint="eastAsia"/>
          <w:b w:val="0"/>
          <w:bCs w:val="0"/>
          <w:caps w:val="0"/>
          <w:smallCaps/>
        </w:rPr>
        <w:fldChar w:fldCharType="separate"/>
      </w:r>
      <w:r>
        <w:rPr>
          <w:rFonts w:ascii="宋体" w:eastAsia="宋体" w:cs="宋体" w:hint="eastAsia"/>
          <w:b w:val="0"/>
          <w:bCs w:val="0"/>
          <w:caps w:val="0"/>
          <w:smallCaps/>
        </w:rPr>
        <w:t>第一部分 部门概况</w:t>
        <w:tab/>
      </w:r>
      <w:r>
        <w:rPr>
          <w:rFonts w:ascii="宋体" w:eastAsia="宋体" w:cs="宋体" w:hint="eastAsia"/>
          <w:b w:val="0"/>
          <w:bCs w:val="0"/>
          <w:caps w:val="0"/>
          <w:smallCaps/>
        </w:rPr>
        <w:fldChar w:fldCharType="begin"/>
      </w:r>
      <w:r>
        <w:rPr>
          <w:rFonts w:ascii="宋体" w:eastAsia="宋体" w:cs="宋体" w:hint="eastAsia"/>
          <w:b w:val="0"/>
          <w:bCs w:val="0"/>
          <w:caps w:val="0"/>
          <w:smallCaps/>
        </w:rPr>
        <w:instrText xml:space="preserve"> PAGEREF _Toc79163851 \h </w:instrText>
      </w:r>
      <w:r>
        <w:rPr>
          <w:rFonts w:ascii="宋体" w:eastAsia="宋体" w:cs="宋体" w:hint="eastAsia"/>
          <w:b w:val="0"/>
          <w:bCs w:val="0"/>
          <w:caps w:val="0"/>
          <w:smallCaps/>
        </w:rPr>
        <w:fldChar w:fldCharType="separate"/>
      </w:r>
      <w:r>
        <w:rPr>
          <w:rFonts w:ascii="宋体" w:eastAsia="宋体" w:cs="宋体" w:hint="eastAsia"/>
          <w:b w:val="0"/>
          <w:bCs w:val="0"/>
          <w:caps w:val="0"/>
          <w:smallCaps/>
        </w:rPr>
        <w:t>4</w:t>
      </w:r>
      <w:r>
        <w:rPr>
          <w:rFonts w:ascii="宋体" w:eastAsia="宋体" w:cs="宋体" w:hint="eastAsia"/>
          <w:b w:val="0"/>
          <w:bCs w:val="0"/>
          <w:caps w:val="0"/>
          <w:smallCaps/>
        </w:rPr>
        <w:fldChar w:fldCharType="end"/>
      </w:r>
    </w:p>
    <w:p>
      <w:pPr>
        <w:pStyle w:val="28"/>
        <w:tabs>
          <w:tab w:val="right" w:leader="dot" w:pos="8296"/>
        </w:tabs>
        <w:ind w:left="0"/>
        <w:rPr>
          <w:rFonts w:ascii="宋体" w:eastAsia="宋体" w:cs="宋体"/>
        </w:rPr>
      </w:pPr>
      <w:r>
        <w:rPr>
          <w:rFonts w:ascii="宋体" w:eastAsia="宋体" w:cs="宋体" w:hint="eastAsia"/>
        </w:rPr>
        <w:t>一、基本职能及主要工作</w:t>
        <w:tab/>
      </w:r>
      <w:r>
        <w:rPr>
          <w:rFonts w:ascii="宋体" w:eastAsia="宋体" w:cs="宋体" w:hint="eastAsia"/>
        </w:rPr>
        <w:fldChar w:fldCharType="begin"/>
      </w:r>
      <w:r>
        <w:rPr>
          <w:rFonts w:ascii="宋体" w:eastAsia="宋体" w:cs="宋体" w:hint="eastAsia"/>
        </w:rPr>
        <w:instrText xml:space="preserve"> PAGEREF _Toc79163852 \h </w:instrText>
      </w:r>
      <w:r>
        <w:rPr>
          <w:rFonts w:ascii="宋体" w:eastAsia="宋体" w:cs="宋体" w:hint="eastAsia"/>
        </w:rPr>
        <w:fldChar w:fldCharType="separate"/>
      </w:r>
      <w:r>
        <w:rPr>
          <w:rFonts w:ascii="宋体" w:eastAsia="宋体" w:cs="宋体" w:hint="eastAsia"/>
        </w:rPr>
        <w:t>4</w:t>
      </w:r>
      <w:r>
        <w:rPr>
          <w:rFonts w:ascii="宋体" w:eastAsia="宋体" w:cs="宋体" w:hint="eastAsia"/>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（一）主要职能</w:t>
        <w:tab/>
      </w:r>
      <w:r>
        <w:rPr>
          <w:rFonts w:ascii="宋体" w:eastAsia="宋体" w:cs="宋体" w:hint="eastAsia"/>
          <w:i w:val="0"/>
          <w:iCs w:val="0"/>
          <w:caps w:val="0"/>
          <w:smallCaps/>
        </w:rPr>
        <w:fldChar w:fldCharType="begin"/>
      </w:r>
      <w:r>
        <w:rPr>
          <w:rFonts w:ascii="宋体" w:eastAsia="宋体" w:cs="宋体" w:hint="eastAsia"/>
          <w:i w:val="0"/>
          <w:iCs w:val="0"/>
          <w:caps w:val="0"/>
          <w:smallCaps/>
        </w:rPr>
        <w:instrText xml:space="preserve"> PAGEREF _Toc79163853 \h </w:instrText>
      </w:r>
      <w:r>
        <w:rPr>
          <w:rFonts w:ascii="宋体" w:eastAsia="宋体" w:cs="宋体" w:hint="eastAsia"/>
          <w:i w:val="0"/>
          <w:iCs w:val="0"/>
          <w:caps w:val="0"/>
          <w:smallCaps/>
        </w:rPr>
        <w:fldChar w:fldCharType="separate"/>
      </w:r>
      <w:r>
        <w:rPr>
          <w:rFonts w:ascii="宋体" w:eastAsia="宋体" w:cs="宋体" w:hint="eastAsia"/>
          <w:i w:val="0"/>
          <w:iCs w:val="0"/>
          <w:caps w:val="0"/>
          <w:smallCaps/>
        </w:rPr>
        <w:t>4</w:t>
      </w:r>
      <w:r>
        <w:rPr>
          <w:rFonts w:ascii="宋体" w:eastAsia="宋体" w:cs="宋体" w:hint="eastAsia"/>
          <w:i w:val="0"/>
          <w:iCs w:val="0"/>
          <w:caps w:val="0"/>
          <w:smallCaps/>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（二）2022年重点工作完成情况</w:t>
        <w:tab/>
        <w:t>5</w:t>
      </w:r>
    </w:p>
    <w:p>
      <w:pPr>
        <w:pStyle w:val="28"/>
        <w:tabs>
          <w:tab w:val="right" w:leader="dot" w:pos="8296"/>
        </w:tabs>
        <w:ind w:left="0"/>
        <w:rPr>
          <w:rFonts w:ascii="宋体" w:eastAsia="宋体" w:cs="宋体"/>
        </w:rPr>
      </w:pPr>
      <w:r>
        <w:rPr>
          <w:rFonts w:ascii="宋体" w:eastAsia="宋体" w:cs="宋体" w:hint="eastAsia"/>
        </w:rPr>
        <w:t>二、机构设置</w:t>
        <w:tab/>
        <w:t>9</w:t>
      </w:r>
    </w:p>
    <w:p>
      <w:pPr>
        <w:pStyle w:val="25"/>
        <w:tabs>
          <w:tab w:val="right" w:leader="dot" w:pos="8296"/>
        </w:tabs>
        <w:spacing w:before="0"/>
        <w:rPr>
          <w:rFonts w:ascii="宋体" w:eastAsia="宋体" w:cs="宋体"/>
          <w:b w:val="0"/>
          <w:bCs w:val="0"/>
          <w:caps w:val="0"/>
          <w:smallCaps/>
        </w:rPr>
      </w:pPr>
      <w:r>
        <w:rPr>
          <w:rFonts w:ascii="宋体" w:eastAsia="宋体" w:cs="宋体" w:hint="eastAsia"/>
          <w:b w:val="0"/>
          <w:bCs w:val="0"/>
          <w:caps w:val="0"/>
          <w:smallCaps/>
        </w:rPr>
        <w:t>第二部分 2022年度部门决算情况说明</w:t>
        <w:tab/>
      </w:r>
      <w:r>
        <w:rPr>
          <w:rFonts w:ascii="宋体" w:eastAsia="宋体" w:cs="宋体" w:hint="eastAsia"/>
          <w:b w:val="0"/>
          <w:bCs w:val="0"/>
          <w:caps w:val="0"/>
          <w:smallCaps/>
        </w:rPr>
        <w:fldChar w:fldCharType="begin"/>
      </w:r>
      <w:r>
        <w:rPr>
          <w:rFonts w:ascii="宋体" w:eastAsia="宋体" w:cs="宋体" w:hint="eastAsia"/>
          <w:b w:val="0"/>
          <w:bCs w:val="0"/>
          <w:caps w:val="0"/>
          <w:smallCaps/>
        </w:rPr>
        <w:instrText xml:space="preserve"> PAGEREF _Toc79163859 \h </w:instrText>
      </w:r>
      <w:r>
        <w:rPr>
          <w:rFonts w:ascii="宋体" w:eastAsia="宋体" w:cs="宋体" w:hint="eastAsia"/>
          <w:b w:val="0"/>
          <w:bCs w:val="0"/>
          <w:caps w:val="0"/>
          <w:smallCaps/>
        </w:rPr>
        <w:fldChar w:fldCharType="separate"/>
      </w:r>
      <w:r>
        <w:rPr>
          <w:rFonts w:ascii="宋体" w:eastAsia="宋体" w:cs="宋体" w:hint="eastAsia"/>
          <w:b w:val="0"/>
          <w:bCs w:val="0"/>
          <w:caps w:val="0"/>
          <w:smallCaps/>
        </w:rPr>
        <w:t>10</w:t>
      </w:r>
      <w:r>
        <w:rPr>
          <w:rFonts w:ascii="宋体" w:eastAsia="宋体" w:cs="宋体" w:hint="eastAsia"/>
          <w:b w:val="0"/>
          <w:bCs w:val="0"/>
          <w:caps w:val="0"/>
          <w:smallCaps/>
        </w:rPr>
        <w:fldChar w:fldCharType="end"/>
      </w:r>
    </w:p>
    <w:p>
      <w:pPr>
        <w:pStyle w:val="28"/>
        <w:tabs>
          <w:tab w:val="left" w:pos="840"/>
          <w:tab w:val="right" w:leader="dot" w:pos="8296"/>
        </w:tabs>
        <w:ind w:left="0"/>
        <w:rPr>
          <w:rFonts w:ascii="宋体" w:eastAsia="宋体" w:cs="宋体"/>
        </w:rPr>
      </w:pPr>
      <w:r>
        <w:rPr>
          <w:rFonts w:ascii="宋体" w:eastAsia="宋体" w:cs="宋体" w:hint="eastAsia"/>
        </w:rPr>
        <w:t>一、收入支出决算总体情况说明</w:t>
        <w:tab/>
      </w:r>
      <w:r>
        <w:rPr>
          <w:rFonts w:ascii="宋体" w:eastAsia="宋体" w:cs="宋体" w:hint="eastAsia"/>
        </w:rPr>
        <w:fldChar w:fldCharType="begin"/>
      </w:r>
      <w:r>
        <w:rPr>
          <w:rFonts w:ascii="宋体" w:eastAsia="宋体" w:cs="宋体" w:hint="eastAsia"/>
        </w:rPr>
        <w:instrText xml:space="preserve"> PAGEREF _Toc79163860 \h </w:instrText>
      </w:r>
      <w:r>
        <w:rPr>
          <w:rFonts w:ascii="宋体" w:eastAsia="宋体" w:cs="宋体" w:hint="eastAsia"/>
        </w:rPr>
        <w:fldChar w:fldCharType="separate"/>
      </w:r>
      <w:r>
        <w:rPr>
          <w:rFonts w:ascii="宋体" w:eastAsia="宋体" w:cs="宋体" w:hint="eastAsia"/>
        </w:rPr>
        <w:t>10</w:t>
      </w:r>
      <w:r>
        <w:rPr>
          <w:rFonts w:ascii="宋体" w:eastAsia="宋体" w:cs="宋体" w:hint="eastAsia"/>
        </w:rPr>
        <w:fldChar w:fldCharType="end"/>
      </w:r>
    </w:p>
    <w:p>
      <w:pPr>
        <w:pStyle w:val="28"/>
        <w:tabs>
          <w:tab w:val="left" w:pos="840"/>
          <w:tab w:val="right" w:leader="dot" w:pos="8296"/>
        </w:tabs>
        <w:ind w:left="0"/>
        <w:rPr>
          <w:rFonts w:ascii="宋体" w:eastAsia="宋体" w:cs="宋体"/>
        </w:rPr>
      </w:pPr>
      <w:r>
        <w:rPr>
          <w:rFonts w:ascii="宋体" w:eastAsia="宋体" w:cs="宋体" w:hint="eastAsia"/>
        </w:rPr>
        <w:t>二、收入决算情况说明</w:t>
        <w:tab/>
      </w:r>
      <w:r>
        <w:rPr>
          <w:rFonts w:ascii="宋体" w:eastAsia="宋体" w:cs="宋体" w:hint="eastAsia"/>
        </w:rPr>
        <w:fldChar w:fldCharType="begin"/>
      </w:r>
      <w:r>
        <w:rPr>
          <w:rFonts w:ascii="宋体" w:eastAsia="宋体" w:cs="宋体" w:hint="eastAsia"/>
        </w:rPr>
        <w:instrText xml:space="preserve"> PAGEREF _Toc79163861 \h </w:instrText>
      </w:r>
      <w:r>
        <w:rPr>
          <w:rFonts w:ascii="宋体" w:eastAsia="宋体" w:cs="宋体" w:hint="eastAsia"/>
        </w:rPr>
        <w:fldChar w:fldCharType="separate"/>
      </w:r>
      <w:r>
        <w:rPr>
          <w:rFonts w:ascii="宋体" w:eastAsia="宋体" w:cs="宋体" w:hint="eastAsia"/>
        </w:rPr>
        <w:t>10</w:t>
      </w:r>
      <w:r>
        <w:rPr>
          <w:rFonts w:ascii="宋体" w:eastAsia="宋体" w:cs="宋体" w:hint="eastAsia"/>
        </w:rPr>
        <w:fldChar w:fldCharType="end"/>
      </w:r>
    </w:p>
    <w:p>
      <w:pPr>
        <w:pStyle w:val="28"/>
        <w:tabs>
          <w:tab w:val="left" w:pos="840"/>
          <w:tab w:val="right" w:leader="dot" w:pos="8296"/>
        </w:tabs>
        <w:ind w:left="0"/>
        <w:rPr>
          <w:rFonts w:ascii="宋体" w:eastAsia="宋体" w:cs="宋体"/>
        </w:rPr>
      </w:pPr>
      <w:r>
        <w:rPr>
          <w:rFonts w:ascii="宋体" w:eastAsia="宋体" w:cs="宋体" w:hint="eastAsia"/>
        </w:rPr>
        <w:t>三、支出决算情况说明</w:t>
        <w:tab/>
      </w:r>
      <w:r>
        <w:rPr>
          <w:rFonts w:ascii="宋体" w:eastAsia="宋体" w:cs="宋体" w:hint="eastAsia"/>
        </w:rPr>
        <w:fldChar w:fldCharType="begin"/>
      </w:r>
      <w:r>
        <w:rPr>
          <w:rFonts w:ascii="宋体" w:eastAsia="宋体" w:cs="宋体" w:hint="eastAsia"/>
        </w:rPr>
        <w:instrText xml:space="preserve"> PAGEREF _Toc79163862 \h </w:instrText>
      </w:r>
      <w:r>
        <w:rPr>
          <w:rFonts w:ascii="宋体" w:eastAsia="宋体" w:cs="宋体" w:hint="eastAsia"/>
        </w:rPr>
        <w:fldChar w:fldCharType="separate"/>
      </w:r>
      <w:r>
        <w:rPr>
          <w:rFonts w:ascii="宋体" w:eastAsia="宋体" w:cs="宋体" w:hint="eastAsia"/>
        </w:rPr>
        <w:t>11</w:t>
      </w:r>
      <w:r>
        <w:rPr>
          <w:rFonts w:ascii="宋体" w:eastAsia="宋体" w:cs="宋体" w:hint="eastAsia"/>
        </w:rPr>
        <w:fldChar w:fldCharType="end"/>
      </w:r>
    </w:p>
    <w:p>
      <w:pPr>
        <w:pStyle w:val="28"/>
        <w:tabs>
          <w:tab w:val="right" w:leader="dot" w:pos="8296"/>
        </w:tabs>
        <w:ind w:left="0"/>
        <w:rPr>
          <w:rFonts w:ascii="宋体" w:eastAsia="宋体" w:cs="宋体"/>
        </w:rPr>
      </w:pPr>
      <w:r>
        <w:rPr>
          <w:rFonts w:ascii="宋体" w:eastAsia="宋体" w:cs="宋体" w:hint="eastAsia"/>
        </w:rPr>
        <w:t>四、财政拨款收入支出决算总体情况说明</w:t>
        <w:tab/>
      </w:r>
      <w:r>
        <w:rPr>
          <w:rFonts w:ascii="宋体" w:eastAsia="宋体" w:cs="宋体" w:hint="eastAsia"/>
        </w:rPr>
        <w:fldChar w:fldCharType="begin"/>
      </w:r>
      <w:r>
        <w:rPr>
          <w:rFonts w:ascii="宋体" w:eastAsia="宋体" w:cs="宋体" w:hint="eastAsia"/>
        </w:rPr>
        <w:instrText xml:space="preserve"> PAGEREF _Toc79163863 \h </w:instrText>
      </w:r>
      <w:r>
        <w:rPr>
          <w:rFonts w:ascii="宋体" w:eastAsia="宋体" w:cs="宋体" w:hint="eastAsia"/>
        </w:rPr>
        <w:fldChar w:fldCharType="separate"/>
      </w:r>
      <w:r>
        <w:rPr>
          <w:rFonts w:ascii="宋体" w:eastAsia="宋体" w:cs="宋体" w:hint="eastAsia"/>
        </w:rPr>
        <w:t>11</w:t>
      </w:r>
      <w:r>
        <w:rPr>
          <w:rFonts w:ascii="宋体" w:eastAsia="宋体" w:cs="宋体" w:hint="eastAsia"/>
        </w:rPr>
        <w:fldChar w:fldCharType="end"/>
      </w:r>
    </w:p>
    <w:p>
      <w:pPr>
        <w:pStyle w:val="28"/>
        <w:tabs>
          <w:tab w:val="right" w:leader="dot" w:pos="8296"/>
        </w:tabs>
        <w:ind w:left="0"/>
        <w:rPr>
          <w:rFonts w:ascii="宋体" w:eastAsia="宋体" w:cs="宋体"/>
        </w:rPr>
      </w:pPr>
      <w:r>
        <w:rPr>
          <w:rFonts w:ascii="宋体" w:eastAsia="宋体" w:cs="宋体" w:hint="eastAsia"/>
        </w:rPr>
        <w:t>五、一般公共预算财政拨款支出决算情况说明</w:t>
        <w:tab/>
      </w:r>
      <w:r>
        <w:rPr>
          <w:rFonts w:ascii="宋体" w:eastAsia="宋体" w:cs="宋体" w:hint="eastAsia"/>
        </w:rPr>
        <w:fldChar w:fldCharType="begin"/>
      </w:r>
      <w:r>
        <w:rPr>
          <w:rFonts w:ascii="宋体" w:eastAsia="宋体" w:cs="宋体" w:hint="eastAsia"/>
        </w:rPr>
        <w:instrText xml:space="preserve"> PAGEREF _Toc79163864 \h </w:instrText>
      </w:r>
      <w:r>
        <w:rPr>
          <w:rFonts w:ascii="宋体" w:eastAsia="宋体" w:cs="宋体" w:hint="eastAsia"/>
        </w:rPr>
        <w:fldChar w:fldCharType="separate"/>
      </w:r>
      <w:r>
        <w:rPr>
          <w:rFonts w:ascii="宋体" w:eastAsia="宋体" w:cs="宋体" w:hint="eastAsia"/>
        </w:rPr>
        <w:t>12</w:t>
      </w:r>
      <w:r>
        <w:rPr>
          <w:rFonts w:ascii="宋体" w:eastAsia="宋体" w:cs="宋体" w:hint="eastAsia"/>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（一）一般公共预算财政拨款支出决算总体情况</w:t>
        <w:tab/>
      </w:r>
      <w:r>
        <w:rPr>
          <w:rFonts w:ascii="宋体" w:eastAsia="宋体" w:cs="宋体" w:hint="eastAsia"/>
          <w:i w:val="0"/>
          <w:iCs w:val="0"/>
          <w:caps w:val="0"/>
          <w:smallCaps/>
        </w:rPr>
        <w:fldChar w:fldCharType="begin"/>
      </w:r>
      <w:r>
        <w:rPr>
          <w:rFonts w:ascii="宋体" w:eastAsia="宋体" w:cs="宋体" w:hint="eastAsia"/>
          <w:i w:val="0"/>
          <w:iCs w:val="0"/>
          <w:caps w:val="0"/>
          <w:smallCaps/>
        </w:rPr>
        <w:instrText xml:space="preserve"> PAGEREF _Toc79163865 \h </w:instrText>
      </w:r>
      <w:r>
        <w:rPr>
          <w:rFonts w:ascii="宋体" w:eastAsia="宋体" w:cs="宋体" w:hint="eastAsia"/>
          <w:i w:val="0"/>
          <w:iCs w:val="0"/>
          <w:caps w:val="0"/>
          <w:smallCaps/>
        </w:rPr>
        <w:fldChar w:fldCharType="separate"/>
      </w:r>
      <w:r>
        <w:rPr>
          <w:rFonts w:ascii="宋体" w:eastAsia="宋体" w:cs="宋体" w:hint="eastAsia"/>
          <w:i w:val="0"/>
          <w:iCs w:val="0"/>
          <w:caps w:val="0"/>
          <w:smallCaps/>
        </w:rPr>
        <w:t>12</w:t>
      </w:r>
      <w:r>
        <w:rPr>
          <w:rFonts w:ascii="宋体" w:eastAsia="宋体" w:cs="宋体" w:hint="eastAsia"/>
          <w:i w:val="0"/>
          <w:iCs w:val="0"/>
          <w:caps w:val="0"/>
          <w:smallCaps/>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（二）一般公共预算财政拨款支出决算结构情况</w:t>
        <w:tab/>
      </w:r>
      <w:r>
        <w:rPr>
          <w:rFonts w:ascii="宋体" w:eastAsia="宋体" w:cs="宋体" w:hint="eastAsia"/>
          <w:i w:val="0"/>
          <w:iCs w:val="0"/>
          <w:caps w:val="0"/>
          <w:smallCaps/>
        </w:rPr>
        <w:fldChar w:fldCharType="begin"/>
      </w:r>
      <w:r>
        <w:rPr>
          <w:rFonts w:ascii="宋体" w:eastAsia="宋体" w:cs="宋体" w:hint="eastAsia"/>
          <w:i w:val="0"/>
          <w:iCs w:val="0"/>
          <w:caps w:val="0"/>
          <w:smallCaps/>
        </w:rPr>
        <w:instrText xml:space="preserve"> PAGEREF _Toc79163866 \h </w:instrText>
      </w:r>
      <w:r>
        <w:rPr>
          <w:rFonts w:ascii="宋体" w:eastAsia="宋体" w:cs="宋体" w:hint="eastAsia"/>
          <w:i w:val="0"/>
          <w:iCs w:val="0"/>
          <w:caps w:val="0"/>
          <w:smallCaps/>
        </w:rPr>
        <w:fldChar w:fldCharType="separate"/>
      </w:r>
      <w:r>
        <w:rPr>
          <w:rFonts w:ascii="宋体" w:eastAsia="宋体" w:cs="宋体" w:hint="eastAsia"/>
          <w:i w:val="0"/>
          <w:iCs w:val="0"/>
          <w:caps w:val="0"/>
          <w:smallCaps/>
        </w:rPr>
        <w:t>13</w:t>
      </w:r>
      <w:r>
        <w:rPr>
          <w:rFonts w:ascii="宋体" w:eastAsia="宋体" w:cs="宋体" w:hint="eastAsia"/>
          <w:i w:val="0"/>
          <w:iCs w:val="0"/>
          <w:caps w:val="0"/>
          <w:smallCaps/>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（三）一般公共预算财政拨款支出决算具体情况</w:t>
        <w:tab/>
      </w:r>
      <w:r>
        <w:rPr>
          <w:rFonts w:ascii="宋体" w:eastAsia="宋体" w:cs="宋体" w:hint="eastAsia"/>
          <w:i w:val="0"/>
          <w:iCs w:val="0"/>
          <w:caps w:val="0"/>
          <w:smallCaps/>
        </w:rPr>
        <w:fldChar w:fldCharType="begin"/>
      </w:r>
      <w:r>
        <w:rPr>
          <w:rFonts w:ascii="宋体" w:eastAsia="宋体" w:cs="宋体" w:hint="eastAsia"/>
          <w:i w:val="0"/>
          <w:iCs w:val="0"/>
          <w:caps w:val="0"/>
          <w:smallCaps/>
        </w:rPr>
        <w:instrText xml:space="preserve"> PAGEREF _Toc79163867 \h </w:instrText>
      </w:r>
      <w:r>
        <w:rPr>
          <w:rFonts w:ascii="宋体" w:eastAsia="宋体" w:cs="宋体" w:hint="eastAsia"/>
          <w:i w:val="0"/>
          <w:iCs w:val="0"/>
          <w:caps w:val="0"/>
          <w:smallCaps/>
        </w:rPr>
        <w:fldChar w:fldCharType="separate"/>
      </w:r>
      <w:r>
        <w:rPr>
          <w:rFonts w:ascii="宋体" w:eastAsia="宋体" w:cs="宋体" w:hint="eastAsia"/>
          <w:i w:val="0"/>
          <w:iCs w:val="0"/>
          <w:caps w:val="0"/>
          <w:smallCaps/>
        </w:rPr>
        <w:t>14</w:t>
      </w:r>
      <w:r>
        <w:rPr>
          <w:rFonts w:ascii="宋体" w:eastAsia="宋体" w:cs="宋体" w:hint="eastAsia"/>
          <w:i w:val="0"/>
          <w:iCs w:val="0"/>
          <w:caps w:val="0"/>
          <w:smallCaps/>
        </w:rPr>
        <w:fldChar w:fldCharType="end"/>
      </w:r>
    </w:p>
    <w:p>
      <w:pPr>
        <w:pStyle w:val="28"/>
        <w:tabs>
          <w:tab w:val="right" w:leader="dot" w:pos="8296"/>
        </w:tabs>
        <w:ind w:left="0"/>
        <w:rPr>
          <w:rFonts w:ascii="宋体" w:eastAsia="宋体" w:cs="宋体"/>
        </w:rPr>
      </w:pPr>
      <w:r>
        <w:rPr>
          <w:rFonts w:ascii="宋体" w:eastAsia="宋体" w:cs="宋体" w:hint="eastAsia"/>
        </w:rPr>
        <w:t>六、一般公共预算财政拨款基本支出决算情况说明</w:t>
        <w:tab/>
      </w:r>
      <w:r>
        <w:rPr>
          <w:rFonts w:ascii="宋体" w:eastAsia="宋体" w:cs="宋体" w:hint="eastAsia"/>
        </w:rPr>
        <w:fldChar w:fldCharType="begin"/>
      </w:r>
      <w:r>
        <w:rPr>
          <w:rFonts w:ascii="宋体" w:eastAsia="宋体" w:cs="宋体" w:hint="eastAsia"/>
        </w:rPr>
        <w:instrText xml:space="preserve"> PAGEREF _Toc79163868 \h </w:instrText>
      </w:r>
      <w:r>
        <w:rPr>
          <w:rFonts w:ascii="宋体" w:eastAsia="宋体" w:cs="宋体" w:hint="eastAsia"/>
        </w:rPr>
        <w:fldChar w:fldCharType="separate"/>
      </w:r>
      <w:r>
        <w:rPr>
          <w:rFonts w:ascii="宋体" w:eastAsia="宋体" w:cs="宋体" w:hint="eastAsia"/>
        </w:rPr>
        <w:t>15</w:t>
      </w:r>
      <w:r>
        <w:rPr>
          <w:rFonts w:ascii="宋体" w:eastAsia="宋体" w:cs="宋体" w:hint="eastAsia"/>
        </w:rPr>
        <w:fldChar w:fldCharType="end"/>
      </w:r>
    </w:p>
    <w:p>
      <w:pPr>
        <w:pStyle w:val="28"/>
        <w:tabs>
          <w:tab w:val="right" w:leader="dot" w:pos="8296"/>
        </w:tabs>
        <w:ind w:left="0"/>
        <w:rPr>
          <w:rFonts w:ascii="宋体" w:eastAsia="宋体" w:cs="宋体"/>
        </w:rPr>
      </w:pPr>
      <w:r>
        <w:rPr>
          <w:rFonts w:ascii="宋体" w:eastAsia="宋体" w:cs="宋体" w:hint="eastAsia"/>
        </w:rPr>
        <w:t>七、“三公”经费财政拨款支出决算情况说明</w:t>
        <w:tab/>
      </w:r>
      <w:r>
        <w:rPr>
          <w:rFonts w:ascii="宋体" w:eastAsia="宋体" w:cs="宋体" w:hint="eastAsia"/>
        </w:rPr>
        <w:fldChar w:fldCharType="begin"/>
      </w:r>
      <w:r>
        <w:rPr>
          <w:rFonts w:ascii="宋体" w:eastAsia="宋体" w:cs="宋体" w:hint="eastAsia"/>
        </w:rPr>
        <w:instrText xml:space="preserve"> PAGEREF _Toc79163869 \h </w:instrText>
      </w:r>
      <w:r>
        <w:rPr>
          <w:rFonts w:ascii="宋体" w:eastAsia="宋体" w:cs="宋体" w:hint="eastAsia"/>
        </w:rPr>
        <w:fldChar w:fldCharType="separate"/>
      </w:r>
      <w:r>
        <w:rPr>
          <w:rFonts w:ascii="宋体" w:eastAsia="宋体" w:cs="宋体" w:hint="eastAsia"/>
        </w:rPr>
        <w:t>15</w:t>
      </w:r>
      <w:r>
        <w:rPr>
          <w:rFonts w:ascii="宋体" w:eastAsia="宋体" w:cs="宋体" w:hint="eastAsia"/>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（一）“三公”经费财政拨款支出决算总体情况说明</w:t>
        <w:tab/>
      </w:r>
      <w:r>
        <w:rPr>
          <w:rFonts w:ascii="宋体" w:eastAsia="宋体" w:cs="宋体" w:hint="eastAsia"/>
          <w:i w:val="0"/>
          <w:iCs w:val="0"/>
          <w:caps w:val="0"/>
          <w:smallCaps/>
        </w:rPr>
        <w:fldChar w:fldCharType="begin"/>
      </w:r>
      <w:r>
        <w:rPr>
          <w:rFonts w:ascii="宋体" w:eastAsia="宋体" w:cs="宋体" w:hint="eastAsia"/>
          <w:i w:val="0"/>
          <w:iCs w:val="0"/>
          <w:caps w:val="0"/>
          <w:smallCaps/>
        </w:rPr>
        <w:instrText xml:space="preserve"> PAGEREF _Toc79163870 \h </w:instrText>
      </w:r>
      <w:r>
        <w:rPr>
          <w:rFonts w:ascii="宋体" w:eastAsia="宋体" w:cs="宋体" w:hint="eastAsia"/>
          <w:i w:val="0"/>
          <w:iCs w:val="0"/>
          <w:caps w:val="0"/>
          <w:smallCaps/>
        </w:rPr>
        <w:fldChar w:fldCharType="separate"/>
      </w:r>
      <w:r>
        <w:rPr>
          <w:rFonts w:ascii="宋体" w:eastAsia="宋体" w:cs="宋体" w:hint="eastAsia"/>
          <w:i w:val="0"/>
          <w:iCs w:val="0"/>
          <w:caps w:val="0"/>
          <w:smallCaps/>
        </w:rPr>
        <w:t>15</w:t>
      </w:r>
      <w:r>
        <w:rPr>
          <w:rFonts w:ascii="宋体" w:eastAsia="宋体" w:cs="宋体" w:hint="eastAsia"/>
          <w:i w:val="0"/>
          <w:iCs w:val="0"/>
          <w:caps w:val="0"/>
          <w:smallCaps/>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（二）“三公”经费财政拨款支出决算具体情况说明</w:t>
        <w:tab/>
      </w:r>
      <w:r>
        <w:rPr>
          <w:rFonts w:ascii="宋体" w:eastAsia="宋体" w:cs="宋体" w:hint="eastAsia"/>
          <w:i w:val="0"/>
          <w:iCs w:val="0"/>
          <w:caps w:val="0"/>
          <w:smallCaps/>
        </w:rPr>
        <w:fldChar w:fldCharType="begin"/>
      </w:r>
      <w:r>
        <w:rPr>
          <w:rFonts w:ascii="宋体" w:eastAsia="宋体" w:cs="宋体" w:hint="eastAsia"/>
          <w:i w:val="0"/>
          <w:iCs w:val="0"/>
          <w:caps w:val="0"/>
          <w:smallCaps/>
        </w:rPr>
        <w:instrText xml:space="preserve"> PAGEREF _Toc79163871 \h </w:instrText>
      </w:r>
      <w:r>
        <w:rPr>
          <w:rFonts w:ascii="宋体" w:eastAsia="宋体" w:cs="宋体" w:hint="eastAsia"/>
          <w:i w:val="0"/>
          <w:iCs w:val="0"/>
          <w:caps w:val="0"/>
          <w:smallCaps/>
        </w:rPr>
        <w:fldChar w:fldCharType="separate"/>
      </w:r>
      <w:r>
        <w:rPr>
          <w:rFonts w:ascii="宋体" w:eastAsia="宋体" w:cs="宋体" w:hint="eastAsia"/>
          <w:i w:val="0"/>
          <w:iCs w:val="0"/>
          <w:caps w:val="0"/>
          <w:smallCaps/>
        </w:rPr>
        <w:t>16</w:t>
      </w:r>
      <w:r>
        <w:rPr>
          <w:rFonts w:ascii="宋体" w:eastAsia="宋体" w:cs="宋体" w:hint="eastAsia"/>
          <w:i w:val="0"/>
          <w:iCs w:val="0"/>
          <w:caps w:val="0"/>
          <w:smallCaps/>
        </w:rPr>
        <w:fldChar w:fldCharType="end"/>
      </w:r>
    </w:p>
    <w:p>
      <w:pPr>
        <w:pStyle w:val="28"/>
        <w:tabs>
          <w:tab w:val="right" w:leader="dot" w:pos="8296"/>
        </w:tabs>
        <w:ind w:left="0"/>
        <w:rPr>
          <w:rFonts w:ascii="宋体" w:eastAsia="宋体" w:cs="宋体"/>
        </w:rPr>
      </w:pPr>
      <w:r>
        <w:rPr>
          <w:rFonts w:ascii="宋体" w:eastAsia="宋体" w:cs="宋体" w:hint="eastAsia"/>
        </w:rPr>
        <w:t>八、政府性基金预算支出决算情况说明</w:t>
        <w:tab/>
        <w:t>15</w:t>
      </w:r>
    </w:p>
    <w:p>
      <w:pPr>
        <w:pStyle w:val="28"/>
        <w:tabs>
          <w:tab w:val="right" w:leader="dot" w:pos="8296"/>
        </w:tabs>
        <w:ind w:left="0"/>
        <w:rPr>
          <w:rFonts w:ascii="宋体" w:eastAsia="宋体" w:cs="宋体"/>
        </w:rPr>
      </w:pPr>
      <w:r>
        <w:rPr>
          <w:rFonts w:ascii="宋体" w:eastAsia="宋体" w:cs="宋体" w:hint="eastAsia"/>
        </w:rPr>
        <w:t>九、 国有资本经营预算支出决算情况说明</w:t>
        <w:tab/>
        <w:t>15</w:t>
      </w:r>
    </w:p>
    <w:p>
      <w:pPr>
        <w:pStyle w:val="28"/>
        <w:tabs>
          <w:tab w:val="right" w:leader="dot" w:pos="8296"/>
        </w:tabs>
        <w:ind w:left="0"/>
        <w:rPr>
          <w:rFonts w:ascii="宋体" w:eastAsia="宋体" w:cs="宋体"/>
        </w:rPr>
      </w:pPr>
      <w:r>
        <w:rPr>
          <w:rFonts w:ascii="宋体" w:eastAsia="宋体" w:cs="宋体" w:hint="eastAsia"/>
        </w:rPr>
        <w:t>十、其他重要事项的情况说明</w:t>
        <w:tab/>
      </w:r>
      <w:r>
        <w:rPr>
          <w:rFonts w:ascii="宋体" w:eastAsia="宋体" w:cs="宋体" w:hint="eastAsia"/>
        </w:rPr>
        <w:fldChar w:fldCharType="begin"/>
      </w:r>
      <w:r>
        <w:rPr>
          <w:rFonts w:ascii="宋体" w:eastAsia="宋体" w:cs="宋体" w:hint="eastAsia"/>
        </w:rPr>
        <w:instrText xml:space="preserve"> PAGEREF _Toc79163874 \h </w:instrText>
      </w:r>
      <w:r>
        <w:rPr>
          <w:rFonts w:ascii="宋体" w:eastAsia="宋体" w:cs="宋体" w:hint="eastAsia"/>
        </w:rPr>
        <w:fldChar w:fldCharType="separate"/>
      </w:r>
      <w:r>
        <w:rPr>
          <w:rFonts w:ascii="宋体" w:eastAsia="宋体" w:cs="宋体" w:hint="eastAsia"/>
        </w:rPr>
        <w:t>17</w:t>
      </w:r>
      <w:r>
        <w:rPr>
          <w:rFonts w:ascii="宋体" w:eastAsia="宋体" w:cs="宋体" w:hint="eastAsia"/>
        </w:rPr>
        <w:fldChar w:fldCharType="end"/>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（一）机关运行经费支出情况</w:t>
        <w:tab/>
        <w:t>17</w:t>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（二）政府采购支出情况</w:t>
        <w:tab/>
        <w:t>17</w:t>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（三）国有资产占有使用情况</w:t>
        <w:tab/>
        <w:t>17</w:t>
      </w:r>
    </w:p>
    <w:p>
      <w:pPr>
        <w:pStyle w:val="20"/>
        <w:tabs>
          <w:tab w:val="right" w:leader="dot" w:pos="8296"/>
        </w:tabs>
        <w:ind w:left="0"/>
        <w:rPr>
          <w:rFonts w:ascii="宋体" w:eastAsia="宋体" w:cs="宋体"/>
          <w:i w:val="0"/>
          <w:iCs w:val="0"/>
          <w:caps w:val="0"/>
          <w:smallCaps/>
        </w:rPr>
      </w:pPr>
      <w:r>
        <w:rPr>
          <w:rFonts w:ascii="宋体" w:eastAsia="宋体" w:cs="宋体" w:hint="eastAsia"/>
          <w:i w:val="0"/>
          <w:iCs w:val="0"/>
          <w:caps w:val="0"/>
          <w:smallCaps/>
        </w:rPr>
        <w:t>（四）预算绩效管理情况</w:t>
        <w:tab/>
        <w:t>17</w:t>
      </w:r>
    </w:p>
    <w:p>
      <w:pPr>
        <w:pStyle w:val="25"/>
        <w:tabs>
          <w:tab w:val="right" w:leader="dot" w:pos="8296"/>
        </w:tabs>
        <w:spacing w:before="0"/>
        <w:rPr>
          <w:rFonts w:ascii="宋体" w:eastAsia="宋体" w:cs="宋体"/>
          <w:b w:val="0"/>
          <w:bCs w:val="0"/>
          <w:caps w:val="0"/>
          <w:smallCaps/>
          <w:lang w:val="en-US" w:eastAsia="zh-CN"/>
        </w:rPr>
      </w:pPr>
      <w:r>
        <w:rPr>
          <w:rFonts w:ascii="宋体" w:eastAsia="宋体" w:cs="宋体" w:hint="eastAsia"/>
          <w:b w:val="0"/>
          <w:bCs w:val="0"/>
          <w:caps w:val="0"/>
          <w:smallCaps/>
        </w:rPr>
        <w:t>第三部分 名词解释</w:t>
        <w:tab/>
      </w:r>
      <w:r>
        <w:rPr>
          <w:rFonts w:ascii="宋体" w:eastAsia="宋体" w:cs="宋体" w:hint="eastAsia"/>
          <w:b w:val="0"/>
          <w:bCs w:val="0"/>
          <w:caps w:val="0"/>
          <w:smallCaps/>
          <w:lang w:val="en-US" w:eastAsia="zh-CN"/>
        </w:rPr>
        <w:t>18</w:t>
      </w:r>
    </w:p>
    <w:p>
      <w:pPr>
        <w:pStyle w:val="25"/>
        <w:tabs>
          <w:tab w:val="right" w:leader="dot" w:pos="8296"/>
        </w:tabs>
        <w:spacing w:before="0"/>
        <w:rPr>
          <w:rFonts w:ascii="宋体" w:eastAsia="宋体" w:cs="宋体"/>
          <w:b w:val="0"/>
          <w:bCs w:val="0"/>
          <w:caps w:val="0"/>
          <w:smallCaps/>
        </w:rPr>
      </w:pPr>
      <w:r>
        <w:rPr>
          <w:rFonts w:ascii="宋体" w:eastAsia="宋体" w:cs="宋体" w:hint="eastAsia"/>
          <w:b w:val="0"/>
          <w:bCs w:val="0"/>
          <w:caps w:val="0"/>
          <w:smallCaps/>
        </w:rPr>
        <w:t>第四部分 附件</w:t>
        <w:tab/>
      </w:r>
      <w:r>
        <w:rPr>
          <w:rFonts w:ascii="宋体" w:eastAsia="宋体" w:cs="宋体" w:hint="eastAsia"/>
          <w:b w:val="0"/>
          <w:bCs w:val="0"/>
          <w:caps w:val="0"/>
          <w:smallCaps/>
        </w:rPr>
        <w:fldChar w:fldCharType="begin"/>
      </w:r>
      <w:r>
        <w:rPr>
          <w:rFonts w:ascii="宋体" w:eastAsia="宋体" w:cs="宋体" w:hint="eastAsia"/>
          <w:b w:val="0"/>
          <w:bCs w:val="0"/>
          <w:caps w:val="0"/>
          <w:smallCaps/>
        </w:rPr>
        <w:instrText xml:space="preserve"> PAGEREF _Toc79163880 \h </w:instrText>
      </w:r>
      <w:r>
        <w:rPr>
          <w:rFonts w:ascii="宋体" w:eastAsia="宋体" w:cs="宋体" w:hint="eastAsia"/>
          <w:b w:val="0"/>
          <w:bCs w:val="0"/>
          <w:caps w:val="0"/>
          <w:smallCaps/>
        </w:rPr>
        <w:fldChar w:fldCharType="separate"/>
      </w:r>
      <w:r>
        <w:rPr>
          <w:rFonts w:ascii="宋体" w:eastAsia="宋体" w:cs="宋体" w:hint="eastAsia"/>
          <w:b w:val="0"/>
          <w:bCs w:val="0"/>
          <w:caps w:val="0"/>
          <w:smallCaps/>
        </w:rPr>
        <w:t>21</w:t>
      </w:r>
      <w:r>
        <w:rPr>
          <w:rFonts w:ascii="宋体" w:eastAsia="宋体" w:cs="宋体" w:hint="eastAsia"/>
          <w:b w:val="0"/>
          <w:bCs w:val="0"/>
          <w:caps w:val="0"/>
          <w:smallCaps/>
        </w:rPr>
        <w:fldChar w:fldCharType="end"/>
      </w:r>
    </w:p>
    <w:p>
      <w:pPr>
        <w:pStyle w:val="25"/>
        <w:tabs>
          <w:tab w:val="right" w:leader="dot" w:pos="8296"/>
        </w:tabs>
        <w:spacing w:before="0"/>
        <w:rPr>
          <w:rFonts w:ascii="宋体" w:eastAsia="宋体" w:cs="宋体"/>
          <w:b w:val="0"/>
          <w:bCs w:val="0"/>
          <w:caps w:val="0"/>
          <w:smallCaps/>
        </w:rPr>
      </w:pPr>
      <w:r>
        <w:rPr>
          <w:rFonts w:ascii="宋体" w:eastAsia="宋体" w:cs="宋体" w:hint="eastAsia"/>
          <w:b w:val="0"/>
          <w:bCs w:val="0"/>
          <w:caps w:val="0"/>
          <w:smallCaps/>
        </w:rPr>
        <w:t>附件1</w:t>
        <w:tab/>
      </w:r>
      <w:r>
        <w:rPr>
          <w:rFonts w:ascii="宋体" w:eastAsia="宋体" w:cs="宋体" w:hint="eastAsia"/>
          <w:b w:val="0"/>
          <w:bCs w:val="0"/>
          <w:caps w:val="0"/>
          <w:smallCaps/>
        </w:rPr>
        <w:fldChar w:fldCharType="begin"/>
      </w:r>
      <w:r>
        <w:rPr>
          <w:rFonts w:ascii="宋体" w:eastAsia="宋体" w:cs="宋体" w:hint="eastAsia"/>
          <w:b w:val="0"/>
          <w:bCs w:val="0"/>
          <w:caps w:val="0"/>
          <w:smallCaps/>
        </w:rPr>
        <w:instrText xml:space="preserve"> PAGEREF _Toc79163881 \h </w:instrText>
      </w:r>
      <w:r>
        <w:rPr>
          <w:rFonts w:ascii="宋体" w:eastAsia="宋体" w:cs="宋体" w:hint="eastAsia"/>
          <w:b w:val="0"/>
          <w:bCs w:val="0"/>
          <w:caps w:val="0"/>
          <w:smallCaps/>
        </w:rPr>
        <w:fldChar w:fldCharType="separate"/>
      </w:r>
      <w:r>
        <w:rPr>
          <w:rFonts w:ascii="宋体" w:eastAsia="宋体" w:cs="宋体" w:hint="eastAsia"/>
          <w:b w:val="0"/>
          <w:bCs w:val="0"/>
          <w:caps w:val="0"/>
          <w:smallCaps/>
        </w:rPr>
        <w:t>21</w:t>
      </w:r>
      <w:r>
        <w:rPr>
          <w:rFonts w:ascii="宋体" w:eastAsia="宋体" w:cs="宋体" w:hint="eastAsia"/>
          <w:b w:val="0"/>
          <w:bCs w:val="0"/>
          <w:caps w:val="0"/>
          <w:smallCaps/>
        </w:rPr>
        <w:fldChar w:fldCharType="end"/>
      </w:r>
    </w:p>
    <w:p>
      <w:pPr>
        <w:pStyle w:val="25"/>
        <w:tabs>
          <w:tab w:val="right" w:leader="dot" w:pos="8296"/>
        </w:tabs>
        <w:spacing w:before="0"/>
        <w:rPr>
          <w:rFonts w:ascii="宋体" w:eastAsia="宋体" w:cs="宋体"/>
          <w:b w:val="0"/>
          <w:bCs w:val="0"/>
          <w:caps w:val="0"/>
          <w:smallCaps/>
        </w:rPr>
      </w:pPr>
      <w:r>
        <w:rPr>
          <w:rFonts w:ascii="宋体" w:eastAsia="宋体" w:cs="宋体" w:hint="eastAsia"/>
          <w:b w:val="0"/>
          <w:bCs w:val="0"/>
          <w:caps w:val="0"/>
          <w:smallCaps/>
        </w:rPr>
        <w:t>共青团茂县委员会2022年部门整体支出绩效评价报告</w:t>
        <w:tab/>
        <w:t>22</w:t>
      </w:r>
    </w:p>
    <w:p>
      <w:pPr>
        <w:pStyle w:val="25"/>
        <w:tabs>
          <w:tab w:val="right" w:leader="dot" w:pos="8296"/>
        </w:tabs>
        <w:spacing w:before="0"/>
        <w:rPr>
          <w:rFonts w:ascii="宋体" w:eastAsia="宋体" w:cs="宋体"/>
          <w:b w:val="0"/>
          <w:bCs w:val="0"/>
          <w:caps w:val="0"/>
          <w:smallCaps/>
          <w:lang w:val="en-US"/>
        </w:rPr>
      </w:pPr>
      <w:r>
        <w:rPr>
          <w:rFonts w:ascii="宋体" w:eastAsia="宋体" w:cs="宋体" w:hint="eastAsia"/>
          <w:b w:val="0"/>
          <w:bCs w:val="0"/>
          <w:caps w:val="0"/>
          <w:smallCaps/>
        </w:rPr>
        <w:t>附件2</w:t>
        <w:tab/>
      </w:r>
      <w:r>
        <w:rPr>
          <w:rFonts w:ascii="宋体" w:eastAsia="宋体" w:cs="宋体" w:hint="eastAsia"/>
          <w:b w:val="0"/>
          <w:bCs w:val="0"/>
          <w:caps w:val="0"/>
          <w:smallCaps/>
          <w:lang w:val="en-US" w:eastAsia="zh-CN"/>
        </w:rPr>
        <w:t>25</w:t>
      </w:r>
    </w:p>
    <w:p>
      <w:pPr>
        <w:pStyle w:val="25"/>
        <w:tabs>
          <w:tab w:val="right" w:leader="dot" w:pos="8296"/>
        </w:tabs>
        <w:spacing w:before="0"/>
        <w:rPr>
          <w:rFonts w:ascii="宋体" w:eastAsia="宋体" w:cs="宋体"/>
          <w:b w:val="0"/>
          <w:bCs w:val="0"/>
          <w:caps w:val="0"/>
          <w:smallCaps/>
          <w:lang w:val="en-US"/>
        </w:rPr>
      </w:pPr>
      <w:r>
        <w:rPr>
          <w:rFonts w:ascii="宋体" w:eastAsia="宋体" w:cs="宋体" w:hint="eastAsia"/>
          <w:b w:val="0"/>
          <w:bCs w:val="0"/>
          <w:caps w:val="0"/>
          <w:smallCaps/>
        </w:rPr>
        <w:t>共青团茂县委员会2022年部门项目绩效评价报告</w:t>
        <w:tab/>
      </w:r>
      <w:r>
        <w:rPr>
          <w:rFonts w:ascii="宋体" w:eastAsia="宋体" w:cs="宋体" w:hint="eastAsia"/>
          <w:b w:val="0"/>
          <w:bCs w:val="0"/>
          <w:caps w:val="0"/>
          <w:smallCaps/>
          <w:lang w:val="en-US" w:eastAsia="zh-CN"/>
        </w:rPr>
        <w:t>26</w:t>
      </w:r>
    </w:p>
    <w:p>
      <w:pPr>
        <w:pStyle w:val="25"/>
        <w:tabs>
          <w:tab w:val="right" w:leader="dot" w:pos="8296"/>
        </w:tabs>
        <w:spacing w:before="0"/>
        <w:rPr>
          <w:rFonts w:ascii="宋体" w:eastAsia="宋体" w:cs="宋体"/>
          <w:b w:val="0"/>
          <w:bCs w:val="0"/>
          <w:caps w:val="0"/>
          <w:smallCaps/>
        </w:rPr>
      </w:pPr>
      <w:r>
        <w:rPr>
          <w:rFonts w:ascii="宋体" w:eastAsia="宋体" w:cs="宋体" w:hint="eastAsia"/>
          <w:b w:val="0"/>
          <w:bCs w:val="0"/>
          <w:caps w:val="0"/>
          <w:smallCaps/>
        </w:rPr>
        <w:t>第五部分 附表</w:t>
        <w:tab/>
      </w:r>
      <w:r>
        <w:rPr>
          <w:rFonts w:ascii="宋体" w:eastAsia="宋体" w:cs="宋体" w:hint="eastAsia"/>
          <w:b w:val="0"/>
          <w:bCs w:val="0"/>
          <w:caps w:val="0"/>
          <w:smallCaps/>
          <w:lang w:val="en-US" w:eastAsia="zh-CN"/>
        </w:rPr>
        <w:t>27</w:t>
      </w:r>
    </w:p>
    <w:p>
      <w:pPr>
        <w:pStyle w:val="28"/>
        <w:tabs>
          <w:tab w:val="right" w:leader="dot" w:pos="8296"/>
        </w:tabs>
        <w:ind w:left="0"/>
        <w:rPr>
          <w:rFonts w:ascii="宋体" w:eastAsia="宋体" w:cs="宋体"/>
          <w:lang w:val="en-US"/>
        </w:rPr>
      </w:pPr>
      <w:r>
        <w:rPr>
          <w:rFonts w:ascii="宋体" w:eastAsia="宋体" w:cs="宋体" w:hint="eastAsia"/>
        </w:rPr>
        <w:t>一、收入支出决算总表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rPr>
      </w:pPr>
      <w:r>
        <w:rPr>
          <w:rFonts w:ascii="宋体" w:eastAsia="宋体" w:cs="宋体" w:hint="eastAsia"/>
        </w:rPr>
        <w:t>二、收入决算表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rPr>
      </w:pPr>
      <w:r>
        <w:rPr>
          <w:rFonts w:ascii="宋体" w:eastAsia="宋体" w:cs="宋体" w:hint="eastAsia"/>
        </w:rPr>
        <w:t>三、支出决算表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四、财政拨款收入支出决算总表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五、财政拨款支出决算明细表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六、一般公共预算财政拨款支出决算表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七、一般公共预算财政拨款支出决算明细表</w:t>
        <w:tab/>
      </w:r>
      <w:r>
        <w:rPr>
          <w:rFonts w:ascii="宋体" w:eastAsia="宋体" w:cs="宋体" w:hint="eastAsia"/>
          <w:lang w:val="en-US" w:eastAsia="zh-CN"/>
        </w:rPr>
        <w:t>27</w:t>
      </w:r>
    </w:p>
    <w:p>
      <w:pPr>
        <w:pStyle w:val="28"/>
        <w:tabs>
          <w:tab w:val="right" w:leader="dot" w:pos="8296"/>
        </w:tabs>
        <w:ind w:left="0"/>
        <w:rPr>
          <w:rFonts w:ascii="宋体" w:eastAsia="宋体" w:cs="宋体"/>
        </w:rPr>
      </w:pPr>
      <w:r>
        <w:rPr>
          <w:rFonts w:ascii="宋体" w:eastAsia="宋体" w:cs="宋体" w:hint="eastAsia"/>
        </w:rPr>
        <w:t>八、一般公共预算财政拨款基本支出决算表</w:t>
        <w:tab/>
      </w:r>
      <w:r>
        <w:rPr>
          <w:rFonts w:ascii="宋体" w:eastAsia="宋体" w:cs="宋体" w:hint="eastAsia"/>
          <w:lang w:val="en-US" w:eastAsia="zh-CN"/>
        </w:rPr>
        <w:t>27</w:t>
      </w:r>
      <w:r>
        <w:rPr>
          <w:rFonts w:ascii="宋体" w:eastAsia="宋体" w:cs="宋体" w:hint="eastAsia"/>
        </w:rPr>
        <w:fldChar w:fldCharType="begin"/>
      </w:r>
      <w:r>
        <w:rPr>
          <w:rFonts w:ascii="宋体" w:eastAsia="宋体" w:cs="宋体" w:hint="eastAsia"/>
        </w:rPr>
        <w:instrText xml:space="preserve"> PAGEREF _Toc79163893 \h </w:instrText>
      </w:r>
      <w:r>
        <w:rPr>
          <w:rFonts w:ascii="宋体" w:eastAsia="宋体" w:cs="宋体" w:hint="eastAsia"/>
        </w:rPr>
        <w:fldChar w:fldCharType="separate"/>
      </w:r>
      <w:r>
        <w:rPr>
          <w:rFonts w:ascii="宋体" w:eastAsia="宋体" w:cs="宋体" w:hint="eastAsia"/>
        </w:rPr>
        <w:fldChar w:fldCharType="end"/>
      </w:r>
    </w:p>
    <w:p>
      <w:pPr>
        <w:pStyle w:val="28"/>
        <w:tabs>
          <w:tab w:val="right" w:leader="dot" w:pos="8296"/>
        </w:tabs>
        <w:ind w:left="0"/>
        <w:rPr>
          <w:rFonts w:ascii="宋体" w:eastAsia="宋体" w:cs="宋体"/>
          <w:lang w:val="en-US" w:eastAsia="zh-CN"/>
        </w:rPr>
      </w:pPr>
      <w:r>
        <w:rPr>
          <w:rFonts w:ascii="宋体" w:eastAsia="宋体" w:cs="宋体" w:hint="eastAsia"/>
        </w:rPr>
        <w:t>九、一般公共预算财政拨款项目支出决算表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十、一般公共预算财政拨款“三公”经费支出决算表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十一、政府性基金预算财政拨款收入支出决算表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十二、政府性基金预算财政拨款“三公”经费支出决算表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十三、国有资本经营预算财政拨款支出决算表</w:t>
        <w:tab/>
      </w:r>
      <w:r>
        <w:rPr>
          <w:rFonts w:ascii="宋体" w:eastAsia="宋体" w:cs="宋体" w:hint="eastAsia"/>
          <w:lang w:val="en-US" w:eastAsia="zh-CN"/>
        </w:rPr>
        <w:t>27</w:t>
      </w:r>
    </w:p>
    <w:p>
      <w:pPr>
        <w:pStyle w:val="28"/>
        <w:tabs>
          <w:tab w:val="right" w:leader="dot" w:pos="8296"/>
        </w:tabs>
        <w:ind w:left="0"/>
        <w:rPr>
          <w:rFonts w:ascii="宋体" w:eastAsia="宋体" w:cs="宋体"/>
          <w:lang w:val="en-US" w:eastAsia="zh-CN"/>
        </w:rPr>
      </w:pPr>
      <w:r>
        <w:rPr>
          <w:rFonts w:ascii="宋体" w:eastAsia="宋体" w:cs="宋体" w:hint="eastAsia"/>
        </w:rPr>
        <w:t>十四、国有资本经营预算财政拨款支出决算表</w:t>
        <w:tab/>
      </w:r>
      <w:r>
        <w:rPr>
          <w:rFonts w:ascii="宋体" w:eastAsia="宋体" w:cs="宋体" w:hint="eastAsia"/>
          <w:lang w:val="en-US" w:eastAsia="zh-CN"/>
        </w:rPr>
        <w:t>27</w:t>
      </w:r>
    </w:p>
    <w:p>
      <w:r>
        <w:rPr>
          <w:rFonts w:ascii="宋体" w:cs="宋体" w:hint="eastAsia"/>
          <w:caps w:val="0"/>
          <w:smallCaps/>
          <w:sz w:val="20"/>
          <w:szCs w:val="20"/>
        </w:rPr>
        <w:fldChar w:fldCharType="end"/>
      </w:r>
    </w:p>
    <w:p>
      <w:pPr>
        <w:widowControl/>
        <w:spacing w:line="440" w:lineRule="exact"/>
        <w:jc w:val="left"/>
        <w:rPr>
          <w:rFonts w:ascii="仿宋" w:eastAsia="仿宋"/>
          <w:bCs/>
          <w:kern w:val="44"/>
          <w:sz w:val="24"/>
        </w:rPr>
      </w:pPr>
      <w:bookmarkStart w:id="7" w:name="_Toc15377196"/>
      <w:bookmarkStart w:id="8" w:name="_Toc15396599"/>
      <w:r>
        <w:rPr>
          <w:rFonts w:ascii="仿宋" w:eastAsia="仿宋"/>
          <w:b/>
          <w:sz w:val="24"/>
        </w:rPr>
        <w:br w:type="page"/>
      </w:r>
    </w:p>
    <w:p>
      <w:pPr>
        <w:pStyle w:val="1"/>
        <w:spacing w:after="0" w:line="576" w:lineRule="exact"/>
        <w:jc w:val="center"/>
        <w:rPr>
          <w:rStyle w:val="1Char"/>
          <w:rFonts w:ascii="方正小标宋简体" w:eastAsia="方正小标宋简体" w:cs="方正小标宋简体"/>
          <w:b/>
          <w:bCs w:val="0"/>
        </w:rPr>
      </w:pPr>
      <w:bookmarkStart w:id="9" w:name="_Toc79163601"/>
      <w:bookmarkStart w:id="10" w:name="_Toc79163851"/>
      <w:r>
        <w:rPr>
          <w:rFonts w:ascii="方正小标宋简体" w:eastAsia="方正小标宋简体" w:cs="方正小标宋简体" w:hint="eastAsia"/>
          <w:b w:val="0"/>
        </w:rPr>
        <w:t xml:space="preserve">第一部分 </w:t>
      </w:r>
      <w:r>
        <w:rPr>
          <w:rStyle w:val="1Char"/>
          <w:rFonts w:ascii="方正小标宋简体" w:eastAsia="方正小标宋简体" w:cs="方正小标宋简体" w:hint="eastAsia"/>
          <w:b w:val="0"/>
          <w:bCs w:val="0"/>
        </w:rPr>
        <w:t>部门概况</w:t>
      </w:r>
      <w:bookmarkEnd w:id="7"/>
      <w:bookmarkEnd w:id="8"/>
      <w:bookmarkEnd w:id="9"/>
      <w:bookmarkEnd w:id="10"/>
    </w:p>
    <w:p>
      <w:pPr>
        <w:widowControl/>
        <w:spacing w:line="576" w:lineRule="exact"/>
        <w:jc w:val="left"/>
        <w:rPr>
          <w:rFonts w:ascii="黑体" w:eastAsia="黑体"/>
          <w:color w:val="000000"/>
          <w:sz w:val="32"/>
          <w:szCs w:val="32"/>
        </w:rPr>
      </w:pPr>
    </w:p>
    <w:p>
      <w:pPr>
        <w:pStyle w:val="2"/>
        <w:spacing w:after="0" w:line="576" w:lineRule="exact"/>
        <w:ind w:firstLineChars="200" w:firstLine="640"/>
        <w:rPr>
          <w:rStyle w:val="2Char"/>
          <w:rFonts w:ascii="仿宋" w:eastAsia="仿宋"/>
          <w:b w:val="0"/>
          <w:bCs w:val="0"/>
        </w:rPr>
      </w:pPr>
      <w:bookmarkStart w:id="11" w:name="_Toc79163852"/>
      <w:bookmarkStart w:id="12" w:name="_Toc15377197"/>
      <w:bookmarkStart w:id="13" w:name="_Toc79163602"/>
      <w:bookmarkStart w:id="14" w:name="_Toc15396600"/>
      <w:r>
        <w:rPr>
          <w:rFonts w:ascii="黑体" w:eastAsia="黑体" w:hint="eastAsia"/>
          <w:b w:val="0"/>
          <w:color w:val="000000"/>
        </w:rPr>
        <w:t>一、基</w:t>
      </w:r>
      <w:r>
        <w:rPr>
          <w:rStyle w:val="2Char"/>
          <w:rFonts w:ascii="黑体" w:eastAsia="黑体" w:hint="eastAsia"/>
          <w:b w:val="0"/>
          <w:bCs w:val="0"/>
        </w:rPr>
        <w:t>本职能及主要工作</w:t>
      </w:r>
      <w:bookmarkEnd w:id="11"/>
      <w:bookmarkEnd w:id="12"/>
      <w:bookmarkEnd w:id="13"/>
      <w:bookmarkEnd w:id="14"/>
    </w:p>
    <w:p>
      <w:pPr>
        <w:widowControl/>
        <w:adjustRightInd w:val="0"/>
        <w:snapToGrid w:val="0"/>
        <w:spacing w:line="576" w:lineRule="atLeast"/>
        <w:ind w:firstLineChars="200" w:firstLine="640"/>
        <w:rPr>
          <w:rFonts w:ascii="楷体_GB2312" w:eastAsia="楷体_GB2312" w:cs="楷体_GB2312"/>
          <w:b/>
          <w:color w:val="000000"/>
          <w:sz w:val="32"/>
          <w:szCs w:val="32"/>
        </w:rPr>
      </w:pPr>
      <w:bookmarkStart w:id="15" w:name="_Toc79163853"/>
      <w:bookmarkStart w:id="16" w:name="_Toc79163603"/>
      <w:bookmarkStart w:id="17" w:name="_Toc15377198"/>
      <w:bookmarkStart w:id="18" w:name="_Toc15378445"/>
      <w:r>
        <w:rPr>
          <w:rFonts w:ascii="楷体_GB2312" w:eastAsia="楷体_GB2312" w:cs="楷体_GB2312" w:hint="eastAsia"/>
          <w:b/>
          <w:color w:val="000000"/>
          <w:sz w:val="32"/>
          <w:szCs w:val="32"/>
        </w:rPr>
        <w:t>（一）主要职能</w:t>
      </w:r>
      <w:bookmarkEnd w:id="15"/>
      <w:bookmarkEnd w:id="16"/>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bookmarkStart w:id="19" w:name="_Toc79163604"/>
      <w:bookmarkStart w:id="20" w:name="_Toc79163854"/>
      <w:bookmarkStart w:id="21" w:name="_Toc15377199"/>
      <w:bookmarkStart w:id="22" w:name="_Toc15378446"/>
      <w:bookmarkEnd w:id="17"/>
      <w:bookmarkEnd w:id="18"/>
      <w:r>
        <w:rPr>
          <w:rFonts w:ascii="仿宋_GB2312" w:eastAsia="仿宋_GB2312" w:cs="仿宋_GB2312" w:hint="eastAsia"/>
          <w:bCs/>
          <w:color w:val="000000"/>
          <w:kern w:val="0"/>
          <w:sz w:val="32"/>
          <w:szCs w:val="32"/>
          <w:lang w:val="zh-CN"/>
        </w:rPr>
        <w:t>1.完成县委和上级团委的工作部署和要求，结合我委实际，制定团的工作计划；定期召开各级团委会议，听取各团总支工作汇报和情况反映，布置、研讨和检查团的工作。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4.通过调查研究和认真总结，及时推广先进集体和先进个人的经验，及时发现和掌握学生思想上倾向性的问题。不断研究新情况，解决新问题，探索新规律。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5.维护青少年的正当权益。</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6.指导乡镇团体开展工作。依据上级有关规定，负责全县团员团费的收缴、管理和使用。</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7.配合县委抓好青少年党建工作，做好优秀团员入党的推荐工作。</w:t>
      </w:r>
    </w:p>
    <w:p>
      <w:pPr>
        <w:widowControl/>
        <w:adjustRightInd w:val="0"/>
        <w:snapToGrid w:val="0"/>
        <w:spacing w:line="576" w:lineRule="atLeast"/>
        <w:ind w:firstLineChars="200" w:firstLine="640"/>
        <w:rPr>
          <w:rFonts w:ascii="楷体_GB2312" w:eastAsia="楷体_GB2312" w:cs="楷体_GB2312"/>
          <w:b/>
          <w:color w:val="000000"/>
          <w:sz w:val="32"/>
          <w:szCs w:val="32"/>
        </w:rPr>
      </w:pPr>
      <w:r>
        <w:rPr>
          <w:rFonts w:ascii="楷体_GB2312" w:eastAsia="楷体_GB2312" w:cs="楷体_GB2312" w:hint="eastAsia"/>
          <w:b/>
          <w:color w:val="000000"/>
          <w:sz w:val="32"/>
          <w:szCs w:val="32"/>
        </w:rPr>
        <w:t>（二）2022年重点工作完成情况</w:t>
      </w:r>
      <w:bookmarkEnd w:id="19"/>
      <w:bookmarkEnd w:id="20"/>
      <w:bookmarkEnd w:id="21"/>
      <w:bookmarkEnd w:id="22"/>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1、抓思想政治引领，切实做好宣传思想文化工作</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深化青年团员思想信念教育。始终坚持把青少年思想教育作为首要的政治任务，以网上主题“青年大学习”为抓手，以迎接和学习党的二十大为主线，结合庆祝建团100周年，引导广大青年团员深入学习中央的十九届六中全会精神、党的二十大精神，学习习近平总书记重要讲话精神，学习党的青年运动史，学习贯彻省第十二次党代会精神，增强广大青年团员的政治意识、大局意识和看齐意识，使青年团员在思想上认同，工作中奋进。</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开展“喜迎党的二十大、永远跟党走、奋进新征程”主题教育实践活动。一是开展“喜迎党的二十大、永远跟党走、奋进新征程”主题团、队日活动，从源头培养少先队员的光荣感和组织归属感。二是开展“喜迎党的二十大、永远跟党走、奋进新征程”主题演讲比赛，充分展示新时代青少年奋发进取的精神风貌。三是聚焦“文明城市创建”“疫情防控”“控烟专项行动”等内容，开展“喜迎党的二十大 奋进新征程”爱国卫生运动作品征集活动。四是推出微视频《青春是什么》，以青春之声，致敬建团百年征程。五是组织各级团组织开展“党的青年运动史”专题学习，激励青年不忘初心跟党走、踔厉奋发向未来。六是强化榜样力量示范。在“五四”“10.13”建队日期间开展“两红两优”“三优”等各类评选表扬活动，激励广大青少年见贤思齐，把对先进典型的敬仰和感动转化为勤学上进、干事创业、青春建功的实际行动。</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主动加强新媒体阵地建设。建强用好“青春茂县”微信、微博等新媒体阵地，利用团属新媒体平台，扩大共青团线上影响力，使正能量、主旋律在青年中得到更好的传承和弘扬。一年来累计发布团委动态、助学政策、疫情防控知识等130条，总阅读量49639人次。</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2、抓组织建设引领，全力推进基层组织规范化建设</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召开共青团茂县第十一次代表大会。1月，召开共青团茂县第十一次代表大会，来自全县各行各业的101名优秀青年代表齐聚一堂，大会听取审议了《共青团茂县第十届委员会作工作报告》，大会选举产生了共青团茂县第十一届委员会，夯实了团的组织力、引领力、服务力。</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夯实团组织基础工作。一是落实全面从严治团要求，严把团员发展入口关。严格按照发展计划，坚决杜绝不合规发展团员现象和未满14周岁入团情况，从根本上提高团员质量控制团学比，一年来新发展团员191名。二是开展团员核查工作，抓实“智慧团建”系统平台，扎实做好新发展团员录入、团组织关系转接等。三是开展“四比四抓四促进”专项行动，显著提升全县各级团干部政治素养和团组织引领凝聚青年、组织动员青年、联系服务青年的能力水平。四是积极开展优秀申报，激励广大团组织和青年团员主动作为、再创佳绩，团县委书记获四川省优秀共青团干部称号、雪花井社区团支部获四川省五四红旗团支部称号，2名个人、2个基层团组织获州级表扬。</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深入推进少先队工作。认真履行“全团带队”责任，全面提升我县少先队工作整体水平。一是积极组织少先队组织利用开学第一课、开学典礼、学雷锋纪念日、清明祭先烈等重要活动契机，积极开展“喜迎党的二十大 永远跟党走 奋进新征程”主题教育活动，引领新时代青少年“扣好人生第一粒扣子”。二是进一步加强校外少工委建设，建立雪花井社区少工委，并组织开展兴趣课程活动；三是积极开展优秀申报，2名优秀少先队员和1名少先队大队辅导员荣获“四川省优秀少先队员”“四川省优秀少先队辅导员”称号。16名红领巾讲解员、10名指导教师获得州级表扬；少先队茂县工作委员会获得阿坝州优秀县级少工委称号。</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 xml:space="preserve">3、抓青年服务引领，大力提升团组织凝聚青年能力   </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召开茂县青年工作联席会议第四次全体会议。结合我县实际，制定《茂县贯彻落实&lt;阿坝州中长期青年发展规划（2017-2025年）&gt;2022年工作要点》，按照《工作要点》，各成员单位对照责任分工，列出任务清单，干好分内事，齐心协力做好各项工作，完善齐抓共管、协调联动的工作机制，形成全社会关心、支持青年发展的良好氛围。</w:t>
      </w:r>
    </w:p>
    <w:p>
      <w:pPr>
        <w:spacing w:line="576" w:lineRule="exact"/>
        <w:ind w:firstLineChars="200" w:firstLine="640"/>
        <w:rPr>
          <w:rFonts w:ascii="仿宋_GB2312" w:eastAsia="仿宋_GB2312" w:cs="仿宋"/>
          <w:sz w:val="32"/>
          <w:szCs w:val="32"/>
        </w:rPr>
      </w:pPr>
      <w:r>
        <w:rPr>
          <w:rFonts w:ascii="仿宋_GB2312" w:eastAsia="仿宋_GB2312" w:cs="仿宋_GB2312" w:hint="eastAsia"/>
          <w:bCs/>
          <w:color w:val="000000"/>
          <w:kern w:val="0"/>
          <w:sz w:val="32"/>
          <w:szCs w:val="32"/>
          <w:lang w:val="zh-CN"/>
        </w:rPr>
        <w:t>（2）凝聚青年力量，当好纽带桥梁。一是发挥基层组织组织力、凝聚力、号召力，大力宣传我县对青年创业者的各项帮扶、优惠政策，积极动员返乡青年创新创业，同时为创业青年做好服务保障。二是公开选拔11名镇团委兼职副书记，进一步推进基层团组织建设，充实基层人才队伍。三是联合县委组织部举办茂县青年马克思主义者培养工程（农村班），进一步提升青年参与基层治理、投身乡村振兴的本领。四是开展“返家乡”大学生社会实践活动，提供见习岗位53个，增强了在校大学生的就业创业能力。五是联合汶川、理县开展“缘定汶理茂·相约520”线上交友活动，解决单身青年的婚恋问题，100余人参加活动，成功牵手18对。</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深化青年志愿者行动。不断壮大青年志愿者队伍建设，充实志愿者队伍人数，建立志愿者服务队伍12支，共150余人。一是在疫情防控中，青年志愿者积极投身抗疫一线，彰显了新时代青年爱党爱国爱家乡的时代情怀。二是助力创建全域旅游示范区，设置了7个志愿服务点，开展景区咨询、维护环境卫生等志愿服务。三是广泛开展有特色、有成效的志愿服务活动，以实际行动践行“奉献、友爱、互助、进步”的志愿精神。</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4）抓好大学生西部计划管理。发挥西部计划志愿者团支部资源优势，丰富活动形式，组织开展志愿服务40余次，充分激发志愿者扎根基层、服务基层作用。组织学习党的二十大精神、习近平总书记在建团100周年上的重要讲话精神和习近平总书记来川视察重要指示精神，并撰写心得体会。在春节、端午、中秋等传统节日，对西部计划志愿者开展座谈慰问。</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4、抓基层服务引领，全力助推乡村振兴</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走村入户，深入开展“两联一进”。开展“两联一进”群众全覆盖工作，截至目前共入村开展工作23次，发放宣传资料200余份，收集群众意见诉求4件，解决问题4件。在端午节开展群众走访慰问工作，共慰问困难群众24人。</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（2）扶贫助困，积极开展助学资助。一是开展“希望工程1+1——幻方助学计划”助学项目，共资助164人，拨付金额16.4万元。二是开展“我要上大学”助学项目，共资助8人，拨付金额4万元。</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（3）用心用情，关爱帮扶留守儿童。充分发挥县青少年活动中心、童伴之家、社区少年宫的阵地作用，在春节、六一、羌历新年等时间节点，开展“童心向梦.共筑成长”“平茂两地一家亲 羌历新年圆梦行”等慰问活动，为留守儿童送去党和政府的关心关怀。</w:t>
      </w:r>
    </w:p>
    <w:p>
      <w:pPr>
        <w:spacing w:line="576" w:lineRule="exact"/>
        <w:ind w:firstLineChars="200" w:firstLine="640"/>
        <w:rPr>
          <w:rStyle w:val="2Char"/>
          <w:b w:val="0"/>
          <w:bCs w:val="0"/>
        </w:rPr>
      </w:pPr>
      <w:bookmarkStart w:id="23" w:name="_Toc15377200"/>
      <w:bookmarkStart w:id="24" w:name="_Toc79163855"/>
      <w:bookmarkStart w:id="25" w:name="_Toc15396601"/>
      <w:bookmarkStart w:id="26" w:name="_Toc79163605"/>
      <w:r>
        <w:rPr>
          <w:rFonts w:ascii="黑体" w:eastAsia="黑体" w:hint="eastAsia"/>
          <w:color w:val="000000"/>
          <w:sz w:val="32"/>
          <w:szCs w:val="32"/>
        </w:rPr>
        <w:t>二、机</w:t>
      </w:r>
      <w:r>
        <w:rPr>
          <w:rStyle w:val="2Char"/>
          <w:rFonts w:ascii="黑体" w:eastAsia="黑体" w:hint="eastAsia"/>
          <w:b w:val="0"/>
          <w:bCs w:val="0"/>
        </w:rPr>
        <w:t>构设置</w:t>
      </w:r>
      <w:bookmarkEnd w:id="23"/>
      <w:bookmarkEnd w:id="24"/>
      <w:bookmarkEnd w:id="25"/>
      <w:bookmarkEnd w:id="26"/>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共青团茂县委员会下属二级单位1个，其中行政单位0个，参照公务员法管理的事业单位0个，其他事业单位1个。</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纳入共青团茂县委员会2022年度部门决算编制范围的二级预算单位包括：</w:t>
      </w:r>
    </w:p>
    <w:p>
      <w:pPr>
        <w:widowControl/>
        <w:adjustRightInd w:val="0"/>
        <w:snapToGrid w:val="0"/>
        <w:spacing w:line="576" w:lineRule="atLeast"/>
        <w:ind w:firstLineChars="200" w:firstLine="640"/>
        <w:rPr>
          <w:rFonts w:ascii="仿宋" w:eastAsia="仿宋"/>
          <w:color w:val="000000"/>
          <w:sz w:val="32"/>
          <w:szCs w:val="32"/>
        </w:rPr>
      </w:pPr>
      <w:r>
        <w:rPr>
          <w:rFonts w:ascii="仿宋_GB2312" w:eastAsia="仿宋_GB2312" w:cs="仿宋_GB2312" w:hint="eastAsia"/>
          <w:bCs/>
          <w:color w:val="000000"/>
          <w:kern w:val="0"/>
          <w:sz w:val="32"/>
          <w:szCs w:val="32"/>
          <w:lang w:val="zh-CN"/>
        </w:rPr>
        <w:t>茂县青少年活动中心</w:t>
      </w:r>
      <w:r>
        <w:rPr>
          <w:rFonts w:ascii="仿宋" w:eastAsia="仿宋"/>
          <w:color w:val="000000"/>
          <w:sz w:val="32"/>
          <w:szCs w:val="32"/>
        </w:rPr>
        <w:br w:type="page"/>
      </w:r>
    </w:p>
    <w:p>
      <w:pPr>
        <w:widowControl/>
        <w:spacing w:line="576" w:lineRule="exact"/>
        <w:jc w:val="center"/>
        <w:rPr>
          <w:rStyle w:val="1Char"/>
          <w:rFonts w:ascii="方正小标宋简体" w:eastAsia="方正小标宋简体" w:cs="方正小标宋简体"/>
          <w:b w:val="0"/>
          <w:bCs w:val="0"/>
        </w:rPr>
      </w:pPr>
      <w:bookmarkStart w:id="27" w:name="_Toc15377204"/>
      <w:bookmarkStart w:id="28" w:name="_Toc79163859"/>
      <w:bookmarkStart w:id="29" w:name="_Toc79163609"/>
      <w:bookmarkStart w:id="30" w:name="_Toc15396602"/>
      <w:r>
        <w:rPr>
          <w:rFonts w:ascii="方正小标宋简体" w:eastAsia="方正小标宋简体" w:cs="方正小标宋简体" w:hint="eastAsia"/>
          <w:bCs/>
          <w:kern w:val="44"/>
          <w:sz w:val="44"/>
          <w:szCs w:val="44"/>
        </w:rPr>
        <w:t>第二部分</w:t>
      </w:r>
      <w:r>
        <w:rPr>
          <w:rFonts w:ascii="方正小标宋简体" w:eastAsia="方正小标宋简体" w:cs="方正小标宋简体" w:hint="eastAsia"/>
          <w:color w:val="000000"/>
          <w:sz w:val="44"/>
          <w:szCs w:val="44"/>
        </w:rPr>
        <w:t xml:space="preserve"> </w:t>
      </w:r>
      <w:r>
        <w:rPr>
          <w:rStyle w:val="1Char"/>
          <w:rFonts w:ascii="方正小标宋简体" w:eastAsia="方正小标宋简体" w:cs="方正小标宋简体" w:hint="eastAsia"/>
          <w:b w:val="0"/>
          <w:bCs w:val="0"/>
        </w:rPr>
        <w:t>2022年度部门决算情况说明</w:t>
      </w:r>
      <w:bookmarkEnd w:id="27"/>
      <w:bookmarkEnd w:id="28"/>
      <w:bookmarkEnd w:id="29"/>
      <w:bookmarkEnd w:id="30"/>
    </w:p>
    <w:p>
      <w:pPr>
        <w:spacing w:line="576" w:lineRule="exact"/>
      </w:pPr>
    </w:p>
    <w:p>
      <w:pPr>
        <w:pStyle w:val="38"/>
        <w:numPr>
          <w:ilvl w:val="0"/>
          <w:numId w:val="1"/>
        </w:numPr>
        <w:spacing w:line="576" w:lineRule="exact"/>
        <w:ind w:firstLineChars="0"/>
        <w:outlineLvl w:val="1"/>
        <w:rPr>
          <w:rStyle w:val="2Char"/>
          <w:rFonts w:ascii="黑体" w:eastAsia="黑体"/>
          <w:b w:val="0"/>
        </w:rPr>
      </w:pPr>
      <w:bookmarkStart w:id="31" w:name="_Toc15377205"/>
      <w:bookmarkStart w:id="32" w:name="_Toc79163860"/>
      <w:bookmarkStart w:id="33" w:name="_Toc15396603"/>
      <w:bookmarkStart w:id="34" w:name="_Toc79163610"/>
      <w:r>
        <w:rPr>
          <w:rFonts w:ascii="黑体" w:eastAsia="黑体" w:hint="eastAsia"/>
          <w:color w:val="000000"/>
          <w:sz w:val="32"/>
          <w:szCs w:val="32"/>
        </w:rPr>
        <w:t>收</w:t>
      </w:r>
      <w:r>
        <w:rPr>
          <w:rStyle w:val="2Char"/>
          <w:rFonts w:ascii="黑体" w:eastAsia="黑体" w:hint="eastAsia"/>
          <w:b w:val="0"/>
        </w:rPr>
        <w:t>入支出决算总体情况说明</w:t>
      </w:r>
      <w:bookmarkEnd w:id="31"/>
      <w:bookmarkEnd w:id="32"/>
      <w:bookmarkEnd w:id="33"/>
      <w:bookmarkEnd w:id="34"/>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度收入总计159.71万元。与2021年相比，收入总计增加16.97万元，增长11.89%。主要变动原因是项目资金较上年增加。2022年度支出总计159.71万元。与2021年相比，支出总计增加14.97万元，增长10.34%。主要变动原因是项目资金增加。</w:t>
      </w:r>
    </w:p>
    <w:p>
      <w:pPr>
        <w:spacing w:line="576" w:lineRule="exact"/>
        <w:ind w:firstLineChars="200" w:firstLine="640"/>
        <w:jc w:val="left"/>
        <w:rPr>
          <w:rFonts w:ascii="仿宋_GB2312" w:eastAsia="仿宋_GB2312" w:cs="仿宋_GB2312"/>
          <w:color w:val="000000"/>
          <w:sz w:val="32"/>
          <w:szCs w:val="32"/>
        </w:rPr>
      </w:pPr>
      <w:r>
        <w:rPr>
          <w:rFonts w:ascii="仿宋_GB2312" w:eastAsia="仿宋_GB2312" w:cs="仿宋_GB2312" w:hint="eastAsia"/>
          <w:color w:val="000000"/>
          <w:sz w:val="32"/>
          <w:szCs w:val="32"/>
        </w:rPr>
        <w:t>（图1：收、支决算总计变动情况图）（单位：万元）</w:t>
      </w:r>
    </w:p>
    <w:p>
      <w:pPr>
        <w:pStyle w:val="1"/>
        <w:spacing w:line="240" w:lineRule="auto"/>
      </w:pPr>
      <w:r>
        <w:rPr>
          <w:rFonts w:hint="eastAsia"/>
        </w:rPr>
        <w:t xml:space="preserve">   </w:t>
      </w:r>
      <w:r>
        <w:drawing>
          <wp:inline distT="0" distB="0" distL="0" distR="0">
            <wp:extent cx="4572000" cy="2600325"/>
            <wp:effectExtent l="0" t="0" r="0" b="0"/>
            <wp:docPr id="1" name="图表 2"/>
            <wp:cNvGraphicFramePr>
              <a:graphicFrameLocks noChangeAspect="0"/>
            </wp:cNvGraphicFramePr>
            <a:graphic>
              <a:graphicData uri="http://schemas.openxmlformats.org/drawingml/2006/chart">
                <c:chart xmlns:c="http://schemas.openxmlformats.org/drawingml/2006/chart" r:id="rId4"/>
              </a:graphicData>
            </a:graphic>
          </wp:inline>
        </w:drawing>
      </w:r>
    </w:p>
    <w:p>
      <w:pPr>
        <w:pStyle w:val="38"/>
        <w:numPr>
          <w:ilvl w:val="0"/>
          <w:numId w:val="1"/>
        </w:numPr>
        <w:spacing w:line="576" w:lineRule="exact"/>
        <w:ind w:firstLineChars="0"/>
        <w:outlineLvl w:val="1"/>
        <w:rPr>
          <w:rStyle w:val="2Char"/>
          <w:rFonts w:ascii="黑体" w:eastAsia="黑体"/>
          <w:b w:val="0"/>
        </w:rPr>
      </w:pPr>
      <w:bookmarkStart w:id="35" w:name="_Toc79163861"/>
      <w:bookmarkStart w:id="36" w:name="_Toc15396604"/>
      <w:bookmarkStart w:id="37" w:name="_Toc79163611"/>
      <w:bookmarkStart w:id="38" w:name="_Toc15377206"/>
      <w:r>
        <w:rPr>
          <w:rFonts w:ascii="黑体" w:eastAsia="黑体" w:hint="eastAsia"/>
          <w:color w:val="000000"/>
          <w:sz w:val="32"/>
          <w:szCs w:val="32"/>
        </w:rPr>
        <w:t>收</w:t>
      </w:r>
      <w:r>
        <w:rPr>
          <w:rStyle w:val="2Char"/>
          <w:rFonts w:ascii="黑体" w:eastAsia="黑体" w:hint="eastAsia"/>
          <w:b w:val="0"/>
        </w:rPr>
        <w:t>入决算情况说明</w:t>
      </w:r>
      <w:bookmarkEnd w:id="35"/>
      <w:bookmarkEnd w:id="36"/>
      <w:bookmarkEnd w:id="37"/>
      <w:bookmarkEnd w:id="38"/>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2022年本年收入合计159.71万元，其中：一般公共预算财政拨款收入159.71万元，占100%；</w:t>
      </w:r>
    </w:p>
    <w:p>
      <w:pPr>
        <w:pStyle w:val="16"/>
        <w:adjustRightInd w:val="0"/>
        <w:snapToGrid w:val="0"/>
        <w:spacing w:beforeLines="0" w:before="30" w:line="576" w:lineRule="exact"/>
        <w:ind w:firstLineChars="208" w:firstLine="669"/>
        <w:outlineLvl w:val="2"/>
        <w:rPr>
          <w:rFonts w:cs="仿宋_GB2312"/>
          <w:bCs/>
          <w:color w:val="000000"/>
          <w:sz w:val="32"/>
          <w:szCs w:val="32"/>
        </w:rPr>
      </w:pPr>
    </w:p>
    <w:p>
      <w:pPr>
        <w:spacing w:line="576" w:lineRule="exact"/>
        <w:ind w:firstLineChars="200" w:firstLine="640"/>
        <w:jc w:val="center"/>
        <w:rPr>
          <w:rFonts w:ascii="仿宋_GB2312" w:eastAsia="仿宋_GB2312" w:cs="仿宋_GB2312"/>
          <w:color w:val="FF0000"/>
          <w:sz w:val="32"/>
          <w:szCs w:val="32"/>
        </w:rPr>
      </w:pPr>
      <w:r>
        <w:rPr>
          <w:rFonts w:ascii="仿宋_GB2312" w:eastAsia="仿宋_GB2312" w:cs="仿宋_GB2312" w:hint="eastAsia"/>
          <w:color w:val="000000"/>
          <w:sz w:val="32"/>
          <w:szCs w:val="32"/>
        </w:rPr>
        <w:drawing>
          <wp:anchor distT="0" distB="0" distL="114300" distR="114300" simplePos="0" relativeHeight="28" behindDoc="0" locked="0" layoutInCell="1" hidden="0" allowOverlap="1">
            <wp:simplePos x="0" y="0"/>
            <wp:positionH relativeFrom="column">
              <wp:posOffset>23495</wp:posOffset>
            </wp:positionH>
            <wp:positionV relativeFrom="paragraph">
              <wp:posOffset>290195</wp:posOffset>
            </wp:positionV>
            <wp:extent cx="5219700" cy="1924050"/>
            <wp:effectExtent l="0" t="0" r="16" b="30"/>
            <wp:wrapSquare wrapText="bothSides"/>
            <wp:docPr id="2" name="图表 3"/>
            <wp:cNvGraphicFramePr>
              <a:graphicFrameLocks noChangeAspect="0"/>
            </wp:cNvGraphicFramePr>
            <a:graphic>
              <a:graphicData uri="http://schemas.openxmlformats.org/drawingml/2006/chart">
                <c:chart xmlns:c="http://schemas.openxmlformats.org/drawingml/2006/chart" r:id="rId5"/>
              </a:graphicData>
            </a:graphic>
          </wp:anchor>
        </w:drawing>
      </w:r>
      <w:r>
        <w:rPr>
          <w:rFonts w:ascii="仿宋_GB2312" w:eastAsia="仿宋_GB2312" w:cs="仿宋_GB2312" w:hint="eastAsia"/>
          <w:color w:val="000000"/>
          <w:sz w:val="32"/>
          <w:szCs w:val="32"/>
        </w:rPr>
        <w:t>（图2：收入决算结构图）（单位：万元）</w:t>
      </w:r>
    </w:p>
    <w:p>
      <w:pPr>
        <w:pStyle w:val="38"/>
        <w:spacing w:line="576" w:lineRule="exact"/>
        <w:ind w:left="640" w:firstLineChars="0" w:firstLine="0"/>
        <w:outlineLvl w:val="1"/>
        <w:rPr>
          <w:rStyle w:val="2Char"/>
          <w:rFonts w:ascii="黑体" w:eastAsia="黑体"/>
          <w:b w:val="0"/>
        </w:rPr>
      </w:pPr>
      <w:bookmarkStart w:id="39" w:name="_Toc79163612"/>
      <w:bookmarkStart w:id="40" w:name="_Toc15396605"/>
      <w:bookmarkStart w:id="41" w:name="_Toc15377207"/>
      <w:bookmarkStart w:id="42" w:name="_Toc79163862"/>
      <w:r>
        <w:rPr>
          <w:rFonts w:ascii="黑体" w:eastAsia="黑体" w:hint="eastAsia"/>
          <w:color w:val="000000"/>
          <w:sz w:val="32"/>
          <w:szCs w:val="32"/>
        </w:rPr>
        <w:t>三、支</w:t>
      </w:r>
      <w:r>
        <w:rPr>
          <w:rStyle w:val="2Char"/>
          <w:rFonts w:ascii="黑体" w:eastAsia="黑体" w:hint="eastAsia"/>
          <w:b w:val="0"/>
        </w:rPr>
        <w:t>出决算情况说明</w:t>
      </w:r>
      <w:bookmarkEnd w:id="39"/>
      <w:bookmarkEnd w:id="40"/>
      <w:bookmarkEnd w:id="41"/>
      <w:bookmarkEnd w:id="42"/>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2022年本年支出合计159.71万元，其中：基本支出122.01万元，占76.39%；项目支出37.7万元，占23.61%。</w:t>
      </w:r>
    </w:p>
    <w:p>
      <w:pPr>
        <w:pStyle w:val="1"/>
      </w:pPr>
      <w:r>
        <w:rPr>
          <w:rFonts w:hint="eastAsia"/>
        </w:rPr>
        <w:t xml:space="preserve">   </w:t>
      </w:r>
      <w:r>
        <w:drawing>
          <wp:inline distT="0" distB="0" distL="0" distR="0">
            <wp:extent cx="4595495" cy="2667000"/>
            <wp:effectExtent l="0" t="0" r="0" b="0"/>
            <wp:docPr id="3" name="图表 1"/>
            <wp:cNvGraphicFramePr>
              <a:graphicFrameLocks noChangeAspect="0"/>
            </wp:cNvGraphicFramePr>
            <a:graphic>
              <a:graphicData uri="http://schemas.openxmlformats.org/drawingml/2006/chart">
                <c:chart xmlns:c="http://schemas.openxmlformats.org/drawingml/2006/chart" r:id="rId6"/>
              </a:graphicData>
            </a:graphic>
          </wp:inline>
        </w:drawing>
      </w:r>
    </w:p>
    <w:p>
      <w:pPr>
        <w:spacing w:line="576" w:lineRule="exact"/>
        <w:ind w:firstLine="640"/>
        <w:jc w:val="center"/>
        <w:rPr>
          <w:rFonts w:ascii="仿宋_GB2312" w:eastAsia="仿宋_GB2312" w:cs="仿宋_GB2312"/>
          <w:color w:val="FF0000"/>
          <w:sz w:val="32"/>
          <w:szCs w:val="32"/>
        </w:rPr>
      </w:pPr>
      <w:r>
        <w:rPr>
          <w:rFonts w:ascii="仿宋_GB2312" w:eastAsia="仿宋_GB2312" w:cs="仿宋_GB2312" w:hint="eastAsia"/>
          <w:color w:val="000000"/>
          <w:sz w:val="32"/>
          <w:szCs w:val="32"/>
        </w:rPr>
        <w:t>（图3：支出决算结构图）（单位：万元）</w:t>
      </w:r>
    </w:p>
    <w:p>
      <w:pPr>
        <w:pStyle w:val="38"/>
        <w:spacing w:line="576" w:lineRule="exact"/>
        <w:ind w:left="640" w:firstLineChars="0" w:firstLine="0"/>
        <w:outlineLvl w:val="1"/>
        <w:rPr>
          <w:rFonts w:ascii="黑体" w:eastAsia="黑体"/>
          <w:color w:val="000000"/>
          <w:sz w:val="32"/>
          <w:szCs w:val="32"/>
        </w:rPr>
      </w:pPr>
      <w:bookmarkStart w:id="43" w:name="_Toc15377208"/>
      <w:bookmarkStart w:id="44" w:name="_Toc15396606"/>
      <w:bookmarkStart w:id="45" w:name="_Toc79163613"/>
      <w:bookmarkStart w:id="46" w:name="_Toc79163863"/>
      <w:r>
        <w:rPr>
          <w:rFonts w:ascii="黑体" w:eastAsia="黑体" w:hint="eastAsia"/>
          <w:color w:val="000000"/>
          <w:sz w:val="32"/>
          <w:szCs w:val="32"/>
        </w:rPr>
        <w:t>四、财政拨款收入支出决算总体情况说明</w:t>
      </w:r>
      <w:bookmarkEnd w:id="43"/>
      <w:bookmarkEnd w:id="44"/>
      <w:bookmarkEnd w:id="45"/>
      <w:bookmarkEnd w:id="46"/>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度财政拨款收入总计159.71万元。与2021年相比，财政拨款收入总计增加16.97万元，增长11.89%。主要变动原因是项目资金增加。2022年度财政拨款支出总计159.71万元。与2021年相比，财政拨款支出总计增加14.97万元，增长10.34%。主要变动原因是项目资金增加。</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（图4：财政拨款收、支决算总计变动情况）（单位：万元）</w:t>
      </w:r>
    </w:p>
    <w:p>
      <w:pPr>
        <w:pStyle w:val="1"/>
      </w:pPr>
      <w:r>
        <w:rPr>
          <w:rFonts w:hint="eastAsia"/>
        </w:rPr>
        <w:t xml:space="preserve">   </w:t>
      </w:r>
      <w:r>
        <w:drawing>
          <wp:inline distT="0" distB="0" distL="0" distR="0">
            <wp:extent cx="4572000" cy="2600325"/>
            <wp:effectExtent l="0" t="0" r="0" b="0"/>
            <wp:docPr id="4" name="图表 2"/>
            <wp:cNvGraphicFramePr>
              <a:graphicFrameLocks noChangeAspect="0"/>
            </wp:cNvGraphicFramePr>
            <a:graphic>
              <a:graphicData uri="http://schemas.openxmlformats.org/drawingml/2006/chart">
                <c:chart xmlns:c="http://schemas.openxmlformats.org/drawingml/2006/chart" r:id="rId7"/>
              </a:graphicData>
            </a:graphic>
          </wp:inline>
        </w:drawing>
      </w:r>
    </w:p>
    <w:p>
      <w:pPr>
        <w:spacing w:line="576" w:lineRule="exact"/>
        <w:ind w:firstLineChars="200" w:firstLine="640"/>
        <w:outlineLvl w:val="1"/>
        <w:rPr>
          <w:rStyle w:val="2Char"/>
          <w:rFonts w:ascii="黑体" w:eastAsia="黑体"/>
          <w:b w:val="0"/>
        </w:rPr>
      </w:pPr>
      <w:bookmarkStart w:id="47" w:name="_Toc15377209"/>
      <w:bookmarkStart w:id="48" w:name="_Toc15396607"/>
      <w:bookmarkStart w:id="49" w:name="_Toc79163614"/>
      <w:bookmarkStart w:id="50" w:name="_Toc79163864"/>
      <w:r>
        <w:rPr>
          <w:rFonts w:ascii="黑体" w:eastAsia="黑体" w:hint="eastAsia"/>
          <w:color w:val="000000"/>
          <w:sz w:val="32"/>
          <w:szCs w:val="32"/>
        </w:rPr>
        <w:t>五、</w:t>
      </w:r>
      <w:r>
        <w:rPr>
          <w:rFonts w:ascii="黑体" w:eastAsia="黑体" w:hint="eastAsia"/>
          <w:bCs/>
          <w:color w:val="000000"/>
          <w:sz w:val="32"/>
          <w:szCs w:val="32"/>
        </w:rPr>
        <w:t>一</w:t>
      </w:r>
      <w:r>
        <w:rPr>
          <w:rStyle w:val="2Char"/>
          <w:rFonts w:ascii="黑体" w:eastAsia="黑体" w:hint="eastAsia"/>
          <w:b w:val="0"/>
        </w:rPr>
        <w:t>般公共预算财政拨款支出决算情况说明</w:t>
      </w:r>
      <w:bookmarkStart w:id="51" w:name="_Toc79163615"/>
      <w:bookmarkStart w:id="52" w:name="_Toc15377210"/>
      <w:bookmarkStart w:id="53" w:name="_Toc79163865"/>
      <w:bookmarkEnd w:id="47"/>
      <w:bookmarkEnd w:id="48"/>
      <w:bookmarkEnd w:id="49"/>
      <w:bookmarkEnd w:id="50"/>
    </w:p>
    <w:p>
      <w:pPr>
        <w:spacing w:line="576" w:lineRule="exact"/>
        <w:ind w:firstLineChars="200" w:firstLine="640"/>
        <w:outlineLvl w:val="1"/>
        <w:rPr>
          <w:rFonts w:ascii="楷体_GB2312" w:eastAsia="楷体_GB2312" w:cs="楷体_GB2312"/>
          <w:b/>
          <w:color w:val="000000"/>
          <w:sz w:val="32"/>
          <w:szCs w:val="32"/>
        </w:rPr>
      </w:pPr>
      <w:r>
        <w:rPr>
          <w:rFonts w:ascii="楷体_GB2312" w:eastAsia="楷体_GB2312" w:cs="楷体_GB2312" w:hint="eastAsia"/>
          <w:b/>
          <w:color w:val="000000"/>
          <w:sz w:val="32"/>
          <w:szCs w:val="32"/>
        </w:rPr>
        <w:t>（一）一般公共预算财政拨款支出决算总体情况</w:t>
      </w:r>
      <w:bookmarkEnd w:id="51"/>
      <w:bookmarkEnd w:id="52"/>
      <w:bookmarkEnd w:id="53"/>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2022年一般公共预算财政拨款支出159.71万元，占本年支出合计的100%。与2021年相比，一般公共预算财政拨款增加14.97万元，增长10.34%。主要变动原因是项目资金增加。</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（图5：一般公共预算财政拨款支出决算变动情况）（单位：万元）</w:t>
      </w:r>
    </w:p>
    <w:p>
      <w:pPr>
        <w:pStyle w:val="1"/>
      </w:pPr>
      <w:r>
        <w:rPr>
          <w:rFonts w:hint="eastAsia"/>
        </w:rPr>
        <w:t xml:space="preserve">   </w:t>
      </w:r>
      <w:r>
        <w:drawing>
          <wp:inline distT="0" distB="0" distL="0" distR="0">
            <wp:extent cx="4572000" cy="2600325"/>
            <wp:effectExtent l="0" t="0" r="0" b="0"/>
            <wp:docPr id="5" name="图表 3"/>
            <wp:cNvGraphicFramePr>
              <a:graphicFrameLocks noChangeAspect="0"/>
            </wp:cNvGraphicFramePr>
            <a:graphic>
              <a:graphicData uri="http://schemas.openxmlformats.org/drawingml/2006/chart">
                <c:chart xmlns:c="http://schemas.openxmlformats.org/drawingml/2006/chart" r:id="rId8"/>
              </a:graphicData>
            </a:graphic>
          </wp:inline>
        </w:drawing>
      </w:r>
    </w:p>
    <w:p>
      <w:pPr>
        <w:spacing w:line="576" w:lineRule="exact"/>
        <w:ind w:firstLineChars="200" w:firstLine="640"/>
        <w:outlineLvl w:val="2"/>
        <w:rPr>
          <w:rFonts w:ascii="楷体_GB2312" w:eastAsia="楷体_GB2312" w:cs="楷体_GB2312"/>
          <w:b/>
          <w:color w:val="000000"/>
          <w:sz w:val="32"/>
          <w:szCs w:val="32"/>
        </w:rPr>
      </w:pPr>
      <w:bookmarkStart w:id="54" w:name="_Toc15377211"/>
      <w:bookmarkStart w:id="55" w:name="_Toc79163866"/>
      <w:bookmarkStart w:id="56" w:name="_Toc79163616"/>
      <w:r>
        <w:rPr>
          <w:rFonts w:ascii="楷体_GB2312" w:eastAsia="楷体_GB2312" w:cs="楷体_GB2312" w:hint="eastAsia"/>
          <w:b/>
          <w:color w:val="000000"/>
          <w:sz w:val="32"/>
          <w:szCs w:val="32"/>
        </w:rPr>
        <w:t>（二）一般公共预算财政拨款支出决算结构情况</w:t>
      </w:r>
      <w:bookmarkEnd w:id="54"/>
      <w:bookmarkEnd w:id="55"/>
      <w:bookmarkEnd w:id="56"/>
    </w:p>
    <w:p>
      <w:pPr>
        <w:spacing w:line="576" w:lineRule="exact"/>
        <w:ind w:firstLine="640"/>
        <w:rPr>
          <w:rFonts w:ascii="仿宋_GB2312" w:eastAsia="仿宋_GB2312" w:cs="仿宋_GB2312"/>
          <w:color w:val="000000"/>
          <w:sz w:val="32"/>
          <w:szCs w:val="32"/>
        </w:rPr>
      </w:pPr>
      <w:r>
        <w:rPr>
          <w:rFonts w:ascii="仿宋_GB2312" w:eastAsia="仿宋_GB2312" w:cs="仿宋_GB2312" w:hint="eastAsia"/>
          <w:b/>
          <w:color w:val="000000"/>
          <w:sz w:val="32"/>
          <w:szCs w:val="32"/>
        </w:rPr>
        <w:t>2022年一般公共预算财政拨款支出</w:t>
      </w:r>
      <w:r>
        <w:rPr>
          <w:rFonts w:ascii="仿宋_GB2312" w:eastAsia="仿宋_GB2312" w:cs="仿宋_GB2312" w:hint="eastAsia"/>
          <w:color w:val="000000"/>
          <w:sz w:val="32"/>
          <w:szCs w:val="32"/>
        </w:rPr>
        <w:t>159.71万元，主要用于以下方面:</w:t>
      </w:r>
      <w:r>
        <w:rPr>
          <w:rFonts w:ascii="仿宋_GB2312" w:eastAsia="仿宋_GB2312" w:cs="仿宋_GB2312" w:hint="eastAsia"/>
          <w:b/>
          <w:color w:val="000000"/>
          <w:sz w:val="32"/>
          <w:szCs w:val="32"/>
        </w:rPr>
        <w:t>一般公共服务</w:t>
      </w:r>
      <w:r>
        <w:rPr>
          <w:rFonts w:ascii="仿宋_GB2312" w:eastAsia="仿宋_GB2312" w:cs="仿宋_GB2312"/>
          <w:b/>
          <w:color w:val="000000"/>
          <w:sz w:val="32"/>
          <w:szCs w:val="32"/>
        </w:rPr>
        <w:t>支出</w:t>
      </w:r>
      <w:r>
        <w:rPr>
          <w:rFonts w:ascii="仿宋_GB2312" w:eastAsia="仿宋_GB2312" w:cs="仿宋_GB2312" w:hint="eastAsia"/>
          <w:b/>
          <w:color w:val="000000"/>
          <w:sz w:val="32"/>
          <w:szCs w:val="32"/>
        </w:rPr>
        <w:t>（201）</w:t>
      </w:r>
      <w:r>
        <w:rPr>
          <w:rFonts w:ascii="仿宋_GB2312" w:eastAsia="仿宋_GB2312" w:cs="仿宋_GB2312" w:hint="eastAsia"/>
          <w:color w:val="000000"/>
          <w:sz w:val="32"/>
          <w:szCs w:val="32"/>
        </w:rPr>
        <w:t>支出122.56万元，占76.74%；</w:t>
      </w:r>
      <w:r>
        <w:rPr>
          <w:rFonts w:ascii="仿宋_GB2312" w:eastAsia="仿宋_GB2312" w:cs="仿宋_GB2312" w:hint="eastAsia"/>
          <w:b/>
          <w:color w:val="000000"/>
          <w:sz w:val="32"/>
          <w:szCs w:val="32"/>
        </w:rPr>
        <w:t>社会保障和就业</w:t>
      </w:r>
      <w:r>
        <w:rPr>
          <w:rFonts w:ascii="仿宋_GB2312" w:eastAsia="仿宋_GB2312" w:cs="仿宋_GB2312"/>
          <w:b/>
          <w:color w:val="000000"/>
          <w:sz w:val="32"/>
          <w:szCs w:val="32"/>
        </w:rPr>
        <w:t>支出</w:t>
      </w:r>
      <w:r>
        <w:rPr>
          <w:rFonts w:ascii="仿宋_GB2312" w:eastAsia="仿宋_GB2312" w:cs="仿宋_GB2312" w:hint="eastAsia"/>
          <w:b/>
          <w:color w:val="000000"/>
          <w:sz w:val="32"/>
          <w:szCs w:val="32"/>
        </w:rPr>
        <w:t>（208）</w:t>
      </w:r>
      <w:r>
        <w:rPr>
          <w:rFonts w:ascii="仿宋_GB2312" w:eastAsia="仿宋_GB2312" w:cs="仿宋_GB2312" w:hint="eastAsia"/>
          <w:color w:val="000000"/>
          <w:sz w:val="32"/>
          <w:szCs w:val="32"/>
        </w:rPr>
        <w:t>支出12.64万元，占7.91%；</w:t>
      </w:r>
      <w:r>
        <w:rPr>
          <w:rFonts w:ascii="仿宋_GB2312" w:eastAsia="仿宋_GB2312" w:cs="仿宋_GB2312" w:hint="eastAsia"/>
          <w:b/>
          <w:bCs/>
          <w:color w:val="000000"/>
          <w:sz w:val="32"/>
          <w:szCs w:val="32"/>
        </w:rPr>
        <w:t>卫生健康支出（210）</w:t>
      </w:r>
      <w:r>
        <w:rPr>
          <w:rFonts w:ascii="仿宋_GB2312" w:eastAsia="仿宋_GB2312" w:cs="仿宋_GB2312" w:hint="eastAsia"/>
          <w:color w:val="000000"/>
          <w:sz w:val="32"/>
          <w:szCs w:val="32"/>
        </w:rPr>
        <w:t>4.73万元，占2.96%；</w:t>
      </w:r>
      <w:r>
        <w:rPr>
          <w:rFonts w:ascii="仿宋_GB2312" w:eastAsia="仿宋_GB2312" w:cs="仿宋_GB2312" w:hint="eastAsia"/>
          <w:b/>
          <w:bCs/>
          <w:color w:val="000000"/>
          <w:sz w:val="32"/>
          <w:szCs w:val="32"/>
        </w:rPr>
        <w:t>农林水支出（213）</w:t>
      </w:r>
      <w:r>
        <w:rPr>
          <w:rFonts w:ascii="仿宋_GB2312" w:eastAsia="仿宋_GB2312" w:cs="仿宋_GB2312" w:hint="eastAsia"/>
          <w:bCs/>
          <w:color w:val="000000"/>
          <w:sz w:val="32"/>
          <w:szCs w:val="32"/>
        </w:rPr>
        <w:t>8</w:t>
      </w:r>
      <w:r>
        <w:rPr>
          <w:rFonts w:ascii="仿宋_GB2312" w:eastAsia="仿宋_GB2312" w:cs="仿宋_GB2312" w:hint="eastAsia"/>
          <w:color w:val="000000"/>
          <w:sz w:val="32"/>
          <w:szCs w:val="32"/>
        </w:rPr>
        <w:t>.82万元，占5.52%；</w:t>
      </w:r>
      <w:r>
        <w:rPr>
          <w:rFonts w:ascii="仿宋_GB2312" w:eastAsia="仿宋_GB2312" w:cs="仿宋_GB2312" w:hint="eastAsia"/>
          <w:b/>
          <w:bCs/>
          <w:color w:val="000000"/>
          <w:sz w:val="32"/>
          <w:szCs w:val="32"/>
        </w:rPr>
        <w:t>住房保障支出（221）</w:t>
      </w:r>
      <w:r>
        <w:rPr>
          <w:rFonts w:ascii="仿宋_GB2312" w:eastAsia="仿宋_GB2312" w:cs="仿宋_GB2312" w:hint="eastAsia"/>
          <w:color w:val="000000"/>
          <w:sz w:val="32"/>
          <w:szCs w:val="32"/>
        </w:rPr>
        <w:t>6.96万元，占4.36%,</w:t>
      </w:r>
      <w:r>
        <w:rPr>
          <w:rFonts w:ascii="仿宋_GB2312" w:eastAsia="仿宋_GB2312" w:cs="仿宋_GB2312" w:hint="eastAsia"/>
          <w:b/>
          <w:bCs/>
          <w:color w:val="000000"/>
          <w:sz w:val="32"/>
          <w:szCs w:val="32"/>
        </w:rPr>
        <w:t>其他支出（229）</w:t>
      </w:r>
      <w:r>
        <w:rPr>
          <w:rFonts w:ascii="仿宋_GB2312" w:eastAsia="仿宋_GB2312" w:cs="仿宋_GB2312" w:hint="eastAsia"/>
          <w:color w:val="000000"/>
          <w:sz w:val="32"/>
          <w:szCs w:val="32"/>
        </w:rPr>
        <w:t>支出4万元，占2.51%。</w:t>
      </w:r>
    </w:p>
    <w:p>
      <w:pPr>
        <w:spacing w:line="576" w:lineRule="exact"/>
        <w:ind w:firstLineChars="200" w:firstLine="640"/>
        <w:rPr>
          <w:rFonts w:ascii="仿宋_GB2312" w:eastAsia="仿宋_GB2312" w:cs="仿宋_GB2312"/>
          <w:color w:val="000000"/>
          <w:sz w:val="32"/>
          <w:szCs w:val="32"/>
        </w:rPr>
      </w:pPr>
      <w:r>
        <w:rPr>
          <w:rFonts w:ascii="仿宋_GB2312" w:eastAsia="仿宋_GB2312" w:cs="仿宋_GB2312" w:hint="eastAsia"/>
          <w:bCs/>
          <w:color w:val="000000"/>
          <w:kern w:val="0"/>
          <w:sz w:val="32"/>
          <w:szCs w:val="32"/>
          <w:lang w:val="zh-CN"/>
        </w:rPr>
        <w:t>（图6：一般公共预算财政拨款支出决算结构）（单位：万元）</w:t>
      </w:r>
    </w:p>
    <w:p>
      <w:pPr>
        <w:ind w:firstLineChars="200" w:firstLine="640"/>
        <w:rPr>
          <w:rFonts w:ascii="仿宋" w:eastAsia="仿宋"/>
          <w:color w:val="000000"/>
          <w:sz w:val="32"/>
          <w:szCs w:val="32"/>
        </w:rPr>
      </w:pPr>
      <w:r>
        <w:rPr>
          <w:rFonts w:ascii="仿宋" w:eastAsia="仿宋"/>
          <w:color w:val="000000"/>
          <w:sz w:val="32"/>
          <w:szCs w:val="32"/>
        </w:rPr>
        <w:drawing>
          <wp:inline distT="0" distB="0" distL="0" distR="0">
            <wp:extent cx="4667250" cy="2486025"/>
            <wp:effectExtent l="0" t="0" r="0" b="0"/>
            <wp:docPr id="6" name="图表 4"/>
            <wp:cNvGraphicFramePr>
              <a:graphicFrameLocks noChangeAspect="0"/>
            </wp:cNvGraphicFramePr>
            <a:graphic>
              <a:graphicData uri="http://schemas.openxmlformats.org/drawingml/2006/chart">
                <c:chart xmlns:c="http://schemas.openxmlformats.org/drawingml/2006/chart" r:id="rId9"/>
              </a:graphicData>
            </a:graphic>
          </wp:inline>
        </w:drawing>
      </w:r>
    </w:p>
    <w:p>
      <w:pPr>
        <w:spacing w:line="576" w:lineRule="exact"/>
        <w:ind w:firstLineChars="200" w:firstLine="640"/>
        <w:outlineLvl w:val="2"/>
        <w:rPr>
          <w:rFonts w:ascii="楷体_GB2312" w:eastAsia="楷体_GB2312" w:cs="楷体_GB2312"/>
          <w:b/>
          <w:color w:val="000000"/>
          <w:sz w:val="32"/>
          <w:szCs w:val="32"/>
        </w:rPr>
      </w:pPr>
      <w:bookmarkStart w:id="57" w:name="_Toc79163617"/>
      <w:bookmarkStart w:id="58" w:name="_Toc79163867"/>
      <w:bookmarkStart w:id="59" w:name="_Toc15377212"/>
      <w:r>
        <w:rPr>
          <w:rFonts w:ascii="楷体_GB2312" w:eastAsia="楷体_GB2312" w:cs="楷体_GB2312" w:hint="eastAsia"/>
          <w:b/>
          <w:color w:val="000000"/>
          <w:sz w:val="32"/>
          <w:szCs w:val="32"/>
        </w:rPr>
        <w:t>（三）一般公共预算财政拨款支出决算具体情况</w:t>
      </w:r>
      <w:bookmarkEnd w:id="57"/>
      <w:bookmarkEnd w:id="58"/>
      <w:bookmarkEnd w:id="59"/>
    </w:p>
    <w:p>
      <w:pPr>
        <w:spacing w:line="576" w:lineRule="exact"/>
        <w:ind w:firstLineChars="200" w:firstLine="640"/>
        <w:outlineLvl w:val="2"/>
        <w:rPr>
          <w:rFonts w:ascii="仿宋_GB2312" w:eastAsia="仿宋_GB2312" w:cs="仿宋_GB2312"/>
          <w:color w:val="FF0000"/>
          <w:sz w:val="32"/>
          <w:szCs w:val="32"/>
        </w:rPr>
      </w:pPr>
      <w:r>
        <w:rPr>
          <w:rFonts w:ascii="仿宋_GB2312" w:eastAsia="仿宋_GB2312" w:cs="仿宋_GB2312" w:hint="eastAsia"/>
          <w:b/>
          <w:color w:val="000000"/>
          <w:sz w:val="32"/>
          <w:szCs w:val="32"/>
        </w:rPr>
        <w:t>2022年般公共预算支出决算数为159.71万元</w:t>
      </w:r>
      <w:r>
        <w:rPr>
          <w:rFonts w:ascii="仿宋_GB2312" w:eastAsia="仿宋_GB2312" w:cs="仿宋_GB2312" w:hint="eastAsia"/>
          <w:color w:val="000000"/>
          <w:sz w:val="32"/>
          <w:szCs w:val="32"/>
        </w:rPr>
        <w:t>，</w:t>
      </w:r>
      <w:r>
        <w:rPr>
          <w:rStyle w:val="32"/>
          <w:rFonts w:ascii="仿宋_GB2312" w:eastAsia="仿宋_GB2312" w:cs="仿宋_GB2312" w:hint="eastAsia"/>
          <w:bCs/>
          <w:color w:val="000000"/>
          <w:sz w:val="32"/>
          <w:szCs w:val="32"/>
        </w:rPr>
        <w:t>完成预算100%。其中：</w:t>
      </w:r>
    </w:p>
    <w:p>
      <w:pPr>
        <w:spacing w:line="576" w:lineRule="exact"/>
        <w:ind w:firstLineChars="200" w:firstLine="640"/>
        <w:rPr>
          <w:rStyle w:val="32"/>
          <w:rFonts w:ascii="仿宋_GB2312" w:eastAsia="仿宋_GB2312" w:cs="仿宋_GB2312"/>
          <w:b w:val="0"/>
          <w:bCs/>
          <w:color w:val="000000"/>
          <w:sz w:val="32"/>
          <w:szCs w:val="32"/>
        </w:rPr>
      </w:pPr>
      <w:r>
        <w:rPr>
          <w:rStyle w:val="32"/>
          <w:rFonts w:ascii="仿宋_GB2312" w:eastAsia="仿宋_GB2312" w:cs="仿宋_GB2312" w:hint="eastAsia"/>
          <w:bCs/>
          <w:color w:val="000000"/>
          <w:sz w:val="32"/>
          <w:szCs w:val="32"/>
        </w:rPr>
        <w:t>1.一般公共服务（201）群众团体事务（29）行政运行（01）:</w:t>
      </w:r>
      <w:r>
        <w:rPr>
          <w:rStyle w:val="32"/>
          <w:rFonts w:ascii="仿宋_GB2312" w:eastAsia="仿宋_GB2312" w:cs="仿宋_GB2312" w:hint="eastAsia"/>
          <w:b w:val="0"/>
          <w:bCs/>
          <w:color w:val="000000"/>
          <w:sz w:val="32"/>
          <w:szCs w:val="32"/>
        </w:rPr>
        <w:t xml:space="preserve"> 支出决算为56.15万元，完成预算100%。</w:t>
      </w:r>
    </w:p>
    <w:p>
      <w:pPr>
        <w:spacing w:line="576" w:lineRule="exact"/>
        <w:ind w:firstLineChars="200" w:firstLine="640"/>
        <w:rPr>
          <w:rStyle w:val="32"/>
          <w:rFonts w:ascii="仿宋_GB2312" w:eastAsia="仿宋_GB2312" w:cs="仿宋_GB2312"/>
          <w:b w:val="0"/>
          <w:bCs/>
          <w:color w:val="000000"/>
          <w:sz w:val="32"/>
          <w:szCs w:val="32"/>
        </w:rPr>
      </w:pPr>
      <w:r>
        <w:rPr>
          <w:rStyle w:val="32"/>
          <w:rFonts w:ascii="仿宋_GB2312" w:eastAsia="仿宋_GB2312" w:cs="仿宋_GB2312" w:hint="eastAsia"/>
          <w:bCs/>
          <w:color w:val="000000"/>
          <w:sz w:val="32"/>
          <w:szCs w:val="32"/>
        </w:rPr>
        <w:t>2.一般公共服务（201）群众团体事务（29）事业运行（50）:</w:t>
      </w:r>
      <w:r>
        <w:rPr>
          <w:rStyle w:val="32"/>
          <w:rFonts w:ascii="仿宋_GB2312" w:eastAsia="仿宋_GB2312" w:cs="仿宋_GB2312" w:hint="eastAsia"/>
          <w:b w:val="0"/>
          <w:bCs/>
          <w:color w:val="000000"/>
          <w:sz w:val="32"/>
          <w:szCs w:val="32"/>
        </w:rPr>
        <w:t xml:space="preserve"> 支出决算为41.53万元，完成预算100%。</w:t>
      </w:r>
    </w:p>
    <w:p>
      <w:pPr>
        <w:spacing w:line="576" w:lineRule="exact"/>
        <w:ind w:firstLineChars="200" w:firstLine="640"/>
        <w:rPr>
          <w:rStyle w:val="32"/>
          <w:rFonts w:ascii="仿宋_GB2312" w:eastAsia="仿宋_GB2312" w:cs="仿宋_GB2312"/>
          <w:b w:val="0"/>
          <w:bCs/>
          <w:color w:val="000000"/>
          <w:sz w:val="32"/>
          <w:szCs w:val="32"/>
        </w:rPr>
      </w:pPr>
      <w:r>
        <w:rPr>
          <w:rStyle w:val="32"/>
          <w:rFonts w:ascii="仿宋_GB2312" w:eastAsia="仿宋_GB2312" w:cs="仿宋_GB2312"/>
          <w:bCs/>
          <w:color w:val="000000"/>
          <w:sz w:val="32"/>
          <w:szCs w:val="32"/>
        </w:rPr>
        <w:t>3</w:t>
      </w:r>
      <w:r>
        <w:rPr>
          <w:rStyle w:val="32"/>
          <w:rFonts w:ascii="仿宋_GB2312" w:eastAsia="仿宋_GB2312" w:cs="仿宋_GB2312" w:hint="eastAsia"/>
          <w:bCs/>
          <w:color w:val="000000"/>
          <w:sz w:val="32"/>
          <w:szCs w:val="32"/>
        </w:rPr>
        <w:t>.一般公共服务（201）群众团体事务（29）</w:t>
      </w:r>
      <w:r>
        <w:rPr>
          <w:rStyle w:val="32"/>
          <w:rFonts w:ascii="仿宋_GB2312" w:eastAsia="仿宋_GB2312" w:cs="仿宋_GB2312"/>
          <w:bCs/>
          <w:color w:val="000000"/>
          <w:sz w:val="32"/>
          <w:szCs w:val="32"/>
        </w:rPr>
        <w:t>其他群众团体事务支出</w:t>
      </w:r>
      <w:r>
        <w:rPr>
          <w:rStyle w:val="32"/>
          <w:rFonts w:ascii="仿宋_GB2312" w:eastAsia="仿宋_GB2312" w:cs="仿宋_GB2312" w:hint="eastAsia"/>
          <w:bCs/>
          <w:color w:val="000000"/>
          <w:sz w:val="32"/>
          <w:szCs w:val="32"/>
        </w:rPr>
        <w:t>（</w:t>
      </w:r>
      <w:r>
        <w:rPr>
          <w:rStyle w:val="32"/>
          <w:rFonts w:ascii="仿宋_GB2312" w:eastAsia="仿宋_GB2312" w:cs="仿宋_GB2312"/>
          <w:bCs/>
          <w:color w:val="000000"/>
          <w:sz w:val="32"/>
          <w:szCs w:val="32"/>
        </w:rPr>
        <w:t xml:space="preserve">99） </w:t>
      </w:r>
      <w:r>
        <w:rPr>
          <w:rStyle w:val="32"/>
          <w:rFonts w:ascii="仿宋_GB2312" w:eastAsia="仿宋_GB2312" w:cs="仿宋_GB2312" w:hint="eastAsia"/>
          <w:bCs/>
          <w:color w:val="000000"/>
          <w:sz w:val="32"/>
          <w:szCs w:val="32"/>
        </w:rPr>
        <w:t>:</w:t>
      </w:r>
      <w:r>
        <w:rPr>
          <w:rStyle w:val="32"/>
          <w:rFonts w:ascii="仿宋_GB2312" w:eastAsia="仿宋_GB2312" w:cs="仿宋_GB2312" w:hint="eastAsia"/>
          <w:b w:val="0"/>
          <w:bCs/>
          <w:color w:val="000000"/>
          <w:sz w:val="32"/>
          <w:szCs w:val="32"/>
        </w:rPr>
        <w:t xml:space="preserve"> 支出决算为24.88万元，完成预算100%。</w:t>
      </w:r>
    </w:p>
    <w:p>
      <w:pPr>
        <w:spacing w:line="576" w:lineRule="exact"/>
        <w:ind w:firstLineChars="200" w:firstLine="640"/>
        <w:rPr>
          <w:rStyle w:val="32"/>
          <w:rFonts w:ascii="仿宋_GB2312" w:eastAsia="仿宋_GB2312" w:cs="仿宋_GB2312"/>
          <w:b w:val="0"/>
          <w:bCs/>
          <w:color w:val="000000"/>
          <w:sz w:val="32"/>
          <w:szCs w:val="32"/>
        </w:rPr>
      </w:pPr>
      <w:r>
        <w:rPr>
          <w:rStyle w:val="32"/>
          <w:rFonts w:ascii="仿宋_GB2312" w:eastAsia="仿宋_GB2312" w:cs="仿宋_GB2312"/>
          <w:bCs/>
          <w:color w:val="000000"/>
          <w:sz w:val="32"/>
          <w:szCs w:val="32"/>
        </w:rPr>
        <w:t>4</w:t>
      </w:r>
      <w:r>
        <w:rPr>
          <w:rStyle w:val="32"/>
          <w:rFonts w:ascii="仿宋_GB2312" w:eastAsia="仿宋_GB2312" w:cs="仿宋_GB2312" w:hint="eastAsia"/>
          <w:bCs/>
          <w:color w:val="000000"/>
          <w:sz w:val="32"/>
          <w:szCs w:val="32"/>
        </w:rPr>
        <w:t>.社会保障和就业支出（208）行政事业单位养老支出（05）机关事业单位基本养老保险缴费支出（05）:</w:t>
      </w:r>
      <w:r>
        <w:rPr>
          <w:rStyle w:val="32"/>
          <w:rFonts w:ascii="仿宋_GB2312" w:eastAsia="仿宋_GB2312" w:cs="仿宋_GB2312" w:hint="eastAsia"/>
          <w:b w:val="0"/>
          <w:bCs/>
          <w:color w:val="000000"/>
          <w:sz w:val="32"/>
          <w:szCs w:val="32"/>
        </w:rPr>
        <w:t xml:space="preserve"> 支出决算为8.43万元，完成预算100%。</w:t>
      </w:r>
    </w:p>
    <w:p>
      <w:pPr>
        <w:spacing w:line="576" w:lineRule="exact"/>
        <w:ind w:firstLineChars="200" w:firstLine="640"/>
        <w:rPr>
          <w:rFonts w:ascii="仿宋_GB2312" w:eastAsia="仿宋_GB2312" w:cs="仿宋_GB2312"/>
          <w:bCs/>
          <w:color w:val="000000"/>
          <w:sz w:val="32"/>
          <w:szCs w:val="32"/>
        </w:rPr>
      </w:pPr>
      <w:r>
        <w:rPr>
          <w:rStyle w:val="32"/>
          <w:rFonts w:ascii="仿宋_GB2312" w:eastAsia="仿宋_GB2312" w:cs="仿宋_GB2312"/>
          <w:bCs/>
          <w:color w:val="000000"/>
          <w:sz w:val="32"/>
          <w:szCs w:val="32"/>
        </w:rPr>
        <w:t>5</w:t>
      </w:r>
      <w:r>
        <w:rPr>
          <w:rStyle w:val="32"/>
          <w:rFonts w:ascii="仿宋_GB2312" w:eastAsia="仿宋_GB2312" w:cs="仿宋_GB2312" w:hint="eastAsia"/>
          <w:bCs/>
          <w:color w:val="000000"/>
          <w:sz w:val="32"/>
          <w:szCs w:val="32"/>
        </w:rPr>
        <w:t>.社会保障和就业支出（208）行政事业单位养老支出（05）机关事业单位职业年金缴费支出（06）:</w:t>
      </w:r>
      <w:r>
        <w:rPr>
          <w:rStyle w:val="32"/>
          <w:rFonts w:ascii="仿宋_GB2312" w:eastAsia="仿宋_GB2312" w:cs="仿宋_GB2312" w:hint="eastAsia"/>
          <w:b w:val="0"/>
          <w:bCs/>
          <w:color w:val="000000"/>
          <w:sz w:val="32"/>
          <w:szCs w:val="32"/>
        </w:rPr>
        <w:t xml:space="preserve"> 支出决算为4.21万元，完成预算100%。</w:t>
      </w:r>
    </w:p>
    <w:p>
      <w:pPr>
        <w:spacing w:line="576" w:lineRule="exact"/>
        <w:ind w:firstLineChars="200" w:firstLine="640"/>
        <w:rPr>
          <w:rStyle w:val="32"/>
          <w:rFonts w:ascii="仿宋_GB2312" w:eastAsia="仿宋_GB2312" w:cs="仿宋_GB2312"/>
          <w:b w:val="0"/>
          <w:bCs/>
          <w:color w:val="000000"/>
          <w:sz w:val="32"/>
          <w:szCs w:val="32"/>
        </w:rPr>
      </w:pPr>
      <w:r>
        <w:rPr>
          <w:rStyle w:val="32"/>
          <w:rFonts w:ascii="仿宋_GB2312" w:eastAsia="仿宋_GB2312" w:cs="仿宋_GB2312"/>
          <w:bCs/>
          <w:color w:val="000000"/>
          <w:sz w:val="32"/>
          <w:szCs w:val="32"/>
        </w:rPr>
        <w:t>6</w:t>
      </w:r>
      <w:r>
        <w:rPr>
          <w:rStyle w:val="32"/>
          <w:rFonts w:ascii="仿宋_GB2312" w:eastAsia="仿宋_GB2312" w:cs="仿宋_GB2312" w:hint="eastAsia"/>
          <w:bCs/>
          <w:color w:val="000000"/>
          <w:sz w:val="32"/>
          <w:szCs w:val="32"/>
        </w:rPr>
        <w:t>.</w:t>
      </w:r>
      <w:r>
        <w:rPr>
          <w:rFonts w:ascii="仿宋_GB2312" w:eastAsia="仿宋_GB2312" w:cs="仿宋_GB2312" w:hint="eastAsia"/>
          <w:b/>
          <w:bCs/>
          <w:color w:val="000000"/>
          <w:sz w:val="32"/>
          <w:szCs w:val="32"/>
        </w:rPr>
        <w:t>卫生健康</w:t>
      </w:r>
      <w:r>
        <w:rPr>
          <w:rStyle w:val="32"/>
          <w:rFonts w:ascii="仿宋_GB2312" w:eastAsia="仿宋_GB2312" w:cs="仿宋_GB2312" w:hint="eastAsia"/>
          <w:bCs/>
          <w:color w:val="000000"/>
          <w:sz w:val="32"/>
          <w:szCs w:val="32"/>
        </w:rPr>
        <w:t>（210）行政事业单位医疗（11）行政单位医疗（01）:</w:t>
      </w:r>
      <w:r>
        <w:rPr>
          <w:rStyle w:val="32"/>
          <w:rFonts w:ascii="仿宋_GB2312" w:eastAsia="仿宋_GB2312" w:cs="仿宋_GB2312" w:hint="eastAsia"/>
          <w:b w:val="0"/>
          <w:bCs/>
          <w:color w:val="000000"/>
          <w:sz w:val="32"/>
          <w:szCs w:val="32"/>
        </w:rPr>
        <w:t>支出决算为2.27万元，完成预算100%。</w:t>
      </w:r>
    </w:p>
    <w:p>
      <w:pPr>
        <w:spacing w:line="576" w:lineRule="exact"/>
        <w:ind w:firstLineChars="200" w:firstLine="640"/>
        <w:rPr>
          <w:rStyle w:val="32"/>
          <w:rFonts w:ascii="仿宋_GB2312" w:eastAsia="仿宋_GB2312" w:cs="仿宋_GB2312"/>
          <w:b w:val="0"/>
          <w:bCs/>
          <w:color w:val="000000"/>
          <w:sz w:val="32"/>
          <w:szCs w:val="32"/>
        </w:rPr>
      </w:pPr>
      <w:r>
        <w:rPr>
          <w:rStyle w:val="32"/>
          <w:rFonts w:ascii="仿宋_GB2312" w:eastAsia="仿宋_GB2312" w:cs="仿宋_GB2312"/>
          <w:bCs/>
          <w:color w:val="000000"/>
          <w:sz w:val="32"/>
          <w:szCs w:val="32"/>
        </w:rPr>
        <w:t>7</w:t>
      </w:r>
      <w:r>
        <w:rPr>
          <w:rStyle w:val="32"/>
          <w:rFonts w:ascii="仿宋_GB2312" w:eastAsia="仿宋_GB2312" w:cs="仿宋_GB2312" w:hint="eastAsia"/>
          <w:bCs/>
          <w:color w:val="000000"/>
          <w:sz w:val="32"/>
          <w:szCs w:val="32"/>
        </w:rPr>
        <w:t>.</w:t>
      </w:r>
      <w:r>
        <w:rPr>
          <w:rFonts w:ascii="仿宋_GB2312" w:eastAsia="仿宋_GB2312" w:cs="仿宋_GB2312" w:hint="eastAsia"/>
          <w:b/>
          <w:bCs/>
          <w:color w:val="000000"/>
          <w:sz w:val="32"/>
          <w:szCs w:val="32"/>
        </w:rPr>
        <w:t>卫生健康</w:t>
      </w:r>
      <w:r>
        <w:rPr>
          <w:rStyle w:val="32"/>
          <w:rFonts w:ascii="仿宋_GB2312" w:eastAsia="仿宋_GB2312" w:cs="仿宋_GB2312" w:hint="eastAsia"/>
          <w:bCs/>
          <w:color w:val="000000"/>
          <w:sz w:val="32"/>
          <w:szCs w:val="32"/>
        </w:rPr>
        <w:t>（210）行政事业单位医疗（11）事业单位医疗（02）:</w:t>
      </w:r>
      <w:r>
        <w:rPr>
          <w:rStyle w:val="32"/>
          <w:rFonts w:ascii="仿宋_GB2312" w:eastAsia="仿宋_GB2312" w:cs="仿宋_GB2312" w:hint="eastAsia"/>
          <w:b w:val="0"/>
          <w:bCs/>
          <w:color w:val="000000"/>
          <w:sz w:val="32"/>
          <w:szCs w:val="32"/>
        </w:rPr>
        <w:t xml:space="preserve"> 支出决算为2.46万元，完成预算100%。</w:t>
      </w:r>
    </w:p>
    <w:p>
      <w:pPr>
        <w:spacing w:line="576" w:lineRule="exact"/>
        <w:ind w:firstLineChars="200" w:firstLine="640"/>
        <w:rPr>
          <w:rStyle w:val="32"/>
          <w:rFonts w:ascii="仿宋_GB2312" w:eastAsia="仿宋_GB2312" w:cs="仿宋_GB2312"/>
          <w:b w:val="0"/>
          <w:bCs/>
          <w:color w:val="000000"/>
          <w:sz w:val="32"/>
          <w:szCs w:val="32"/>
        </w:rPr>
      </w:pPr>
      <w:r>
        <w:rPr>
          <w:rStyle w:val="32"/>
          <w:rFonts w:ascii="仿宋_GB2312" w:eastAsia="仿宋_GB2312" w:cs="仿宋_GB2312" w:hint="eastAsia"/>
          <w:bCs/>
          <w:color w:val="000000"/>
          <w:sz w:val="32"/>
          <w:szCs w:val="32"/>
        </w:rPr>
        <w:t>8.</w:t>
      </w:r>
      <w:r>
        <w:rPr>
          <w:rFonts w:ascii="仿宋_GB2312" w:eastAsia="仿宋_GB2312" w:cs="仿宋_GB2312" w:hint="eastAsia"/>
          <w:b/>
          <w:bCs/>
          <w:color w:val="000000"/>
          <w:sz w:val="32"/>
          <w:szCs w:val="32"/>
        </w:rPr>
        <w:t>农林水支出</w:t>
      </w:r>
      <w:r>
        <w:rPr>
          <w:rStyle w:val="32"/>
          <w:rFonts w:ascii="仿宋_GB2312" w:eastAsia="仿宋_GB2312" w:cs="仿宋_GB2312" w:hint="eastAsia"/>
          <w:bCs/>
          <w:color w:val="000000"/>
          <w:sz w:val="32"/>
          <w:szCs w:val="32"/>
        </w:rPr>
        <w:t>（213）巩固脱贫衔接乡村振兴（05）其他巩固脱贫衔接乡村振兴支出（99）:</w:t>
      </w:r>
      <w:r>
        <w:rPr>
          <w:rStyle w:val="32"/>
          <w:rFonts w:ascii="仿宋_GB2312" w:eastAsia="仿宋_GB2312" w:cs="仿宋_GB2312" w:hint="eastAsia"/>
          <w:b w:val="0"/>
          <w:bCs/>
          <w:color w:val="000000"/>
          <w:sz w:val="32"/>
          <w:szCs w:val="32"/>
        </w:rPr>
        <w:t xml:space="preserve"> 支出决算为8.82万元，完成预算100%。</w:t>
      </w:r>
    </w:p>
    <w:p>
      <w:pPr>
        <w:spacing w:line="576" w:lineRule="exact"/>
        <w:ind w:firstLineChars="200" w:firstLine="640"/>
        <w:rPr>
          <w:rStyle w:val="32"/>
          <w:rFonts w:ascii="仿宋_GB2312" w:eastAsia="仿宋_GB2312" w:cs="仿宋_GB2312"/>
          <w:b w:val="0"/>
          <w:bCs/>
          <w:color w:val="000000"/>
          <w:sz w:val="32"/>
          <w:szCs w:val="32"/>
        </w:rPr>
      </w:pPr>
      <w:r>
        <w:rPr>
          <w:rFonts w:ascii="仿宋_GB2312" w:eastAsia="仿宋_GB2312" w:cs="仿宋_GB2312" w:hint="eastAsia"/>
          <w:b/>
          <w:color w:val="000000"/>
          <w:sz w:val="32"/>
          <w:szCs w:val="32"/>
        </w:rPr>
        <w:t>9.住房保障支出(221)</w:t>
      </w:r>
      <w:r>
        <w:rPr>
          <w:rFonts w:ascii="仿宋_GB2312" w:eastAsia="仿宋_GB2312" w:cs="仿宋_GB2312" w:hint="eastAsia"/>
          <w:sz w:val="32"/>
          <w:szCs w:val="32"/>
        </w:rPr>
        <w:t xml:space="preserve"> </w:t>
      </w:r>
      <w:r>
        <w:rPr>
          <w:rFonts w:ascii="仿宋_GB2312" w:eastAsia="仿宋_GB2312" w:cs="仿宋_GB2312" w:hint="eastAsia"/>
          <w:b/>
          <w:color w:val="000000"/>
          <w:sz w:val="32"/>
          <w:szCs w:val="32"/>
        </w:rPr>
        <w:t>住房改革支出(02)</w:t>
      </w:r>
      <w:r>
        <w:rPr>
          <w:rFonts w:ascii="仿宋_GB2312" w:eastAsia="仿宋_GB2312" w:cs="仿宋_GB2312" w:hint="eastAsia"/>
          <w:sz w:val="32"/>
          <w:szCs w:val="32"/>
        </w:rPr>
        <w:t xml:space="preserve"> </w:t>
      </w:r>
      <w:r>
        <w:rPr>
          <w:rFonts w:ascii="仿宋_GB2312" w:eastAsia="仿宋_GB2312" w:cs="仿宋_GB2312" w:hint="eastAsia"/>
          <w:b/>
          <w:color w:val="000000"/>
          <w:sz w:val="32"/>
          <w:szCs w:val="32"/>
        </w:rPr>
        <w:t>住房公积金(01):</w:t>
      </w:r>
      <w:r>
        <w:rPr>
          <w:rStyle w:val="32"/>
          <w:rFonts w:ascii="仿宋_GB2312" w:eastAsia="仿宋_GB2312" w:cs="仿宋_GB2312" w:hint="eastAsia"/>
          <w:b w:val="0"/>
          <w:bCs/>
          <w:color w:val="000000"/>
          <w:sz w:val="32"/>
          <w:szCs w:val="32"/>
        </w:rPr>
        <w:t xml:space="preserve"> 支出决算为6.96万元，完成预算100%。</w:t>
      </w:r>
    </w:p>
    <w:p>
      <w:pPr>
        <w:spacing w:line="576" w:lineRule="exact"/>
        <w:ind w:firstLineChars="200" w:firstLine="640"/>
        <w:rPr>
          <w:rFonts w:ascii="仿宋_GB2312" w:eastAsia="仿宋_GB2312" w:cs="仿宋_GB2312"/>
          <w:b/>
          <w:color w:val="000000"/>
          <w:sz w:val="32"/>
          <w:szCs w:val="32"/>
        </w:rPr>
      </w:pPr>
      <w:r>
        <w:rPr>
          <w:rStyle w:val="32"/>
          <w:rFonts w:ascii="仿宋_GB2312" w:eastAsia="仿宋_GB2312" w:cs="仿宋_GB2312" w:hint="eastAsia"/>
          <w:bCs/>
          <w:color w:val="000000"/>
          <w:sz w:val="32"/>
          <w:szCs w:val="32"/>
        </w:rPr>
        <w:t>10.其他支出(229)</w:t>
      </w:r>
      <w:r>
        <w:rPr>
          <w:rFonts w:ascii="仿宋_GB2312" w:eastAsia="仿宋_GB2312" w:cs="仿宋_GB2312" w:hint="eastAsia"/>
          <w:sz w:val="32"/>
          <w:szCs w:val="32"/>
        </w:rPr>
        <w:t xml:space="preserve"> </w:t>
      </w:r>
      <w:r>
        <w:rPr>
          <w:rStyle w:val="32"/>
          <w:rFonts w:ascii="仿宋_GB2312" w:eastAsia="仿宋_GB2312" w:cs="仿宋_GB2312" w:hint="eastAsia"/>
          <w:bCs/>
          <w:color w:val="000000"/>
          <w:sz w:val="32"/>
          <w:szCs w:val="32"/>
        </w:rPr>
        <w:t>其他支出(99)</w:t>
      </w:r>
      <w:r>
        <w:rPr>
          <w:rFonts w:ascii="仿宋_GB2312" w:eastAsia="仿宋_GB2312" w:cs="仿宋_GB2312" w:hint="eastAsia"/>
          <w:sz w:val="32"/>
          <w:szCs w:val="32"/>
        </w:rPr>
        <w:t xml:space="preserve"> </w:t>
      </w:r>
      <w:r>
        <w:rPr>
          <w:rStyle w:val="32"/>
          <w:rFonts w:ascii="仿宋_GB2312" w:eastAsia="仿宋_GB2312" w:cs="仿宋_GB2312" w:hint="eastAsia"/>
          <w:bCs/>
          <w:color w:val="000000"/>
          <w:sz w:val="32"/>
          <w:szCs w:val="32"/>
        </w:rPr>
        <w:t>其他支出(01):</w:t>
      </w:r>
      <w:r>
        <w:rPr>
          <w:rStyle w:val="32"/>
          <w:rFonts w:ascii="仿宋_GB2312" w:eastAsia="仿宋_GB2312" w:cs="仿宋_GB2312" w:hint="eastAsia"/>
          <w:b w:val="0"/>
          <w:bCs/>
          <w:color w:val="000000"/>
          <w:sz w:val="32"/>
          <w:szCs w:val="32"/>
        </w:rPr>
        <w:t xml:space="preserve"> 支出决算为4万元，完成预算100%。</w:t>
      </w:r>
    </w:p>
    <w:p>
      <w:pPr>
        <w:tabs>
          <w:tab w:val="right" w:pos="8306"/>
        </w:tabs>
        <w:spacing w:line="576" w:lineRule="exact"/>
        <w:ind w:firstLine="640"/>
        <w:outlineLvl w:val="1"/>
        <w:rPr>
          <w:rStyle w:val="2Char"/>
        </w:rPr>
      </w:pPr>
      <w:bookmarkStart w:id="60" w:name="_Toc79163618"/>
      <w:bookmarkStart w:id="61" w:name="_Toc15396608"/>
      <w:bookmarkStart w:id="62" w:name="_Toc79163868"/>
      <w:bookmarkStart w:id="63" w:name="_Toc15377214"/>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60"/>
      <w:bookmarkEnd w:id="61"/>
      <w:bookmarkEnd w:id="62"/>
      <w:bookmarkEnd w:id="63"/>
      <w:r>
        <w:rPr>
          <w:rStyle w:val="2Char"/>
          <w:rFonts w:ascii="黑体" w:eastAsia="黑体"/>
          <w:b w:val="0"/>
        </w:rPr>
        <w:tab/>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2022年一般公共预算财政拨款基本支出122.01万元，其中：</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人员经费119.13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日常公用经费2.88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2Char"/>
          <w:rFonts w:ascii="黑体" w:eastAsia="黑体"/>
          <w:b w:val="0"/>
        </w:rPr>
      </w:pPr>
      <w:bookmarkStart w:id="64" w:name="_Toc15377215"/>
      <w:bookmarkStart w:id="65" w:name="_Toc15396609"/>
      <w:bookmarkStart w:id="66" w:name="_Toc79163619"/>
      <w:bookmarkStart w:id="67" w:name="_Toc79163869"/>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64"/>
      <w:bookmarkEnd w:id="65"/>
      <w:bookmarkEnd w:id="66"/>
      <w:bookmarkEnd w:id="67"/>
    </w:p>
    <w:p>
      <w:pPr>
        <w:spacing w:line="576" w:lineRule="exact"/>
        <w:ind w:firstLine="640"/>
        <w:outlineLvl w:val="2"/>
        <w:rPr>
          <w:rFonts w:ascii="楷体_GB2312" w:eastAsia="楷体_GB2312" w:cs="楷体_GB2312"/>
          <w:b/>
          <w:color w:val="000000"/>
          <w:sz w:val="32"/>
          <w:szCs w:val="32"/>
        </w:rPr>
      </w:pPr>
      <w:bookmarkStart w:id="68" w:name="_Toc79163620"/>
      <w:bookmarkStart w:id="69" w:name="_Toc79163870"/>
      <w:bookmarkStart w:id="70" w:name="_Toc15377216"/>
      <w:r>
        <w:rPr>
          <w:rFonts w:ascii="楷体_GB2312" w:eastAsia="楷体_GB2312" w:cs="楷体_GB2312" w:hint="eastAsia"/>
          <w:b/>
          <w:color w:val="000000"/>
          <w:sz w:val="32"/>
          <w:szCs w:val="32"/>
        </w:rPr>
        <w:t>（一）“三公”经费财政拨款支出决算总体情况说明</w:t>
      </w:r>
      <w:bookmarkEnd w:id="68"/>
      <w:bookmarkEnd w:id="69"/>
      <w:bookmarkEnd w:id="70"/>
    </w:p>
    <w:p>
      <w:pPr>
        <w:spacing w:line="576" w:lineRule="exact"/>
        <w:ind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2022年“三公”经费财政拨款支出决算为0万元，</w:t>
      </w:r>
      <w:r>
        <w:rPr>
          <w:rFonts w:ascii="仿宋_GB2312" w:eastAsia="仿宋_GB2312" w:cs="仿宋_GB2312" w:hint="eastAsia"/>
          <w:color w:val="000000"/>
          <w:sz w:val="32"/>
          <w:szCs w:val="32"/>
          <w:lang w:val="en-US" w:eastAsia="zh-CN"/>
        </w:rPr>
        <w:t>与上年相比，无变化。</w:t>
      </w:r>
    </w:p>
    <w:p>
      <w:pPr>
        <w:spacing w:line="576" w:lineRule="exact"/>
        <w:ind w:firstLine="640"/>
        <w:outlineLvl w:val="2"/>
        <w:rPr>
          <w:rFonts w:ascii="楷体_GB2312" w:eastAsia="楷体_GB2312" w:cs="楷体_GB2312"/>
          <w:b/>
          <w:color w:val="000000"/>
          <w:sz w:val="32"/>
          <w:szCs w:val="32"/>
        </w:rPr>
      </w:pPr>
      <w:bookmarkStart w:id="71" w:name="_Toc79163621"/>
      <w:bookmarkStart w:id="72" w:name="_Toc79163871"/>
      <w:bookmarkStart w:id="73" w:name="_Toc15377217"/>
      <w:r>
        <w:rPr>
          <w:rFonts w:ascii="楷体_GB2312" w:eastAsia="楷体_GB2312" w:cs="楷体_GB2312" w:hint="eastAsia"/>
          <w:b/>
          <w:color w:val="000000"/>
          <w:sz w:val="32"/>
          <w:szCs w:val="32"/>
        </w:rPr>
        <w:t>（二）“三公”经费财政拨款支出决算具体情况说明</w:t>
      </w:r>
      <w:bookmarkEnd w:id="71"/>
      <w:bookmarkEnd w:id="72"/>
      <w:bookmarkEnd w:id="73"/>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2022年“三公”经费财政拨款支出决算中，因公出国（境）费支出决算0万元；公务用车购置及运行维护费支出决算0万元；公务接待费支出决算0万元。具体情况如下：</w:t>
      </w:r>
    </w:p>
    <w:p>
      <w:pPr>
        <w:pStyle w:val="1"/>
        <w:spacing w:after="0" w:line="576" w:lineRule="exact"/>
        <w:jc w:val="center"/>
        <w:rPr>
          <w:rFonts w:ascii="仿宋_GB2312" w:eastAsia="仿宋_GB2312" w:cs="仿宋_GB2312"/>
          <w:b w:val="0"/>
          <w:bCs w:val="0"/>
          <w:color w:val="000000"/>
          <w:sz w:val="32"/>
          <w:szCs w:val="32"/>
        </w:rPr>
      </w:pPr>
      <w:r>
        <w:rPr>
          <w:rFonts w:ascii="仿宋_GB2312" w:eastAsia="仿宋_GB2312" w:cs="仿宋_GB2312" w:hint="eastAsia"/>
          <w:b w:val="0"/>
          <w:bCs w:val="0"/>
          <w:color w:val="000000"/>
          <w:sz w:val="32"/>
          <w:szCs w:val="32"/>
        </w:rPr>
        <w:drawing>
          <wp:anchor distT="0" distB="0" distL="114300" distR="114300" simplePos="0" relativeHeight="30" behindDoc="0" locked="0" layoutInCell="1" hidden="0" allowOverlap="1">
            <wp:simplePos x="0" y="0"/>
            <wp:positionH relativeFrom="column">
              <wp:posOffset>328295</wp:posOffset>
            </wp:positionH>
            <wp:positionV relativeFrom="paragraph">
              <wp:posOffset>106680</wp:posOffset>
            </wp:positionV>
            <wp:extent cx="4914901" cy="1753235"/>
            <wp:effectExtent l="0" t="0" r="19" b="5"/>
            <wp:wrapSquare wrapText="bothSides"/>
            <wp:docPr id="7" name="图表 9"/>
            <wp:cNvGraphicFramePr>
              <a:graphicFrameLocks noChangeAspect="0"/>
            </wp:cNvGraphicFramePr>
            <a:graphic>
              <a:graphicData uri="http://schemas.openxmlformats.org/drawingml/2006/chart">
                <c:chart xmlns:c="http://schemas.openxmlformats.org/drawingml/2006/chart" r:id="rId10"/>
              </a:graphicData>
            </a:graphic>
          </wp:anchor>
        </w:drawing>
      </w:r>
      <w:r>
        <w:rPr>
          <w:rFonts w:ascii="仿宋_GB2312" w:eastAsia="仿宋_GB2312" w:cs="仿宋_GB2312" w:hint="eastAsia"/>
          <w:b w:val="0"/>
          <w:bCs w:val="0"/>
          <w:color w:val="000000"/>
          <w:sz w:val="32"/>
          <w:szCs w:val="32"/>
        </w:rPr>
        <w:t>（图7：“三公”经费财政拨款支出结构）</w:t>
      </w:r>
    </w:p>
    <w:p>
      <w:pPr>
        <w:spacing w:line="576" w:lineRule="exac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
          <w:color w:val="000000"/>
          <w:sz w:val="32"/>
          <w:szCs w:val="32"/>
        </w:rPr>
        <w:t>1.因公出国（境）经费支出</w:t>
      </w:r>
      <w:r>
        <w:rPr>
          <w:rFonts w:ascii="仿宋_GB2312" w:eastAsia="仿宋_GB2312" w:cs="仿宋_GB2312" w:hint="eastAsia"/>
          <w:bCs/>
          <w:color w:val="000000"/>
          <w:kern w:val="0"/>
          <w:sz w:val="32"/>
          <w:szCs w:val="32"/>
          <w:lang w:val="zh-CN"/>
        </w:rPr>
        <w:t>0万元，完成预算100%。全年安排因公出国（境）团组0次，出国（境）0人。</w:t>
      </w:r>
      <w:r>
        <w:rPr>
          <w:rFonts w:ascii="仿宋_GB2312" w:eastAsia="仿宋_GB2312" w:cs="仿宋_GB2312" w:hint="eastAsia"/>
          <w:color w:val="000000"/>
          <w:sz w:val="32"/>
          <w:szCs w:val="32"/>
          <w:lang w:val="en-US" w:eastAsia="zh-CN"/>
        </w:rPr>
        <w:t>与上年相比，无变化。</w:t>
      </w:r>
    </w:p>
    <w:p>
      <w:pPr>
        <w:spacing w:line="576" w:lineRule="exact"/>
        <w:ind w:firstLine="640"/>
        <w:rPr>
          <w:rFonts w:ascii="仿宋_GB2312" w:eastAsia="仿宋_GB2312" w:cs="仿宋_GB2312"/>
          <w:b/>
          <w:color w:val="000000"/>
          <w:sz w:val="32"/>
          <w:szCs w:val="32"/>
        </w:rPr>
      </w:pPr>
      <w:r>
        <w:rPr>
          <w:rFonts w:ascii="仿宋_GB2312" w:eastAsia="仿宋_GB2312" w:cs="仿宋_GB2312" w:hint="eastAsia"/>
          <w:b/>
          <w:color w:val="000000"/>
          <w:sz w:val="32"/>
          <w:szCs w:val="32"/>
        </w:rPr>
        <w:t>2.公务用车购置及运行维护费支出</w:t>
      </w:r>
      <w:r>
        <w:rPr>
          <w:rFonts w:ascii="仿宋_GB2312" w:eastAsia="仿宋_GB2312" w:cs="仿宋_GB2312" w:hint="eastAsia"/>
          <w:color w:val="000000"/>
          <w:sz w:val="32"/>
          <w:szCs w:val="32"/>
        </w:rPr>
        <w:t>0万元,</w:t>
      </w:r>
      <w:r>
        <w:rPr>
          <w:rStyle w:val="32"/>
          <w:rFonts w:ascii="仿宋_GB2312" w:eastAsia="仿宋_GB2312" w:cs="仿宋_GB2312" w:hint="eastAsia"/>
          <w:b w:val="0"/>
          <w:bCs/>
          <w:color w:val="000000"/>
          <w:sz w:val="32"/>
          <w:szCs w:val="32"/>
        </w:rPr>
        <w:t>完成预算100%。</w:t>
      </w:r>
    </w:p>
    <w:p>
      <w:pPr>
        <w:spacing w:line="576"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其中：</w:t>
      </w:r>
      <w:r>
        <w:rPr>
          <w:rFonts w:ascii="仿宋_GB2312" w:eastAsia="仿宋_GB2312" w:cs="仿宋_GB2312" w:hint="eastAsia"/>
          <w:b/>
          <w:color w:val="000000"/>
          <w:sz w:val="32"/>
          <w:szCs w:val="32"/>
        </w:rPr>
        <w:t>公务用车购置支出</w:t>
      </w:r>
      <w:r>
        <w:rPr>
          <w:rFonts w:ascii="仿宋_GB2312" w:eastAsia="仿宋_GB2312" w:cs="仿宋_GB2312" w:hint="eastAsia"/>
          <w:color w:val="000000"/>
          <w:sz w:val="32"/>
          <w:szCs w:val="32"/>
        </w:rPr>
        <w:t>0万元。全年按规定更新购置公务用车0辆，金额0元。截至2022年12月底，单位共有公务用车0辆。</w:t>
      </w:r>
      <w:r>
        <w:rPr>
          <w:rFonts w:ascii="仿宋_GB2312" w:eastAsia="仿宋_GB2312" w:cs="仿宋_GB2312" w:hint="eastAsia"/>
          <w:color w:val="000000"/>
          <w:sz w:val="32"/>
          <w:szCs w:val="32"/>
          <w:lang w:val="en-US" w:eastAsia="zh-CN"/>
        </w:rPr>
        <w:t>与上年相比，无变化。</w:t>
      </w:r>
    </w:p>
    <w:p>
      <w:pPr>
        <w:spacing w:line="576" w:lineRule="exact"/>
        <w:ind w:firstLine="640"/>
        <w:rPr>
          <w:rFonts w:ascii="仿宋_GB2312" w:eastAsia="仿宋_GB2312" w:cs="仿宋_GB2312"/>
          <w:color w:val="000000"/>
          <w:sz w:val="32"/>
          <w:szCs w:val="32"/>
        </w:rPr>
      </w:pPr>
      <w:r>
        <w:rPr>
          <w:rFonts w:ascii="仿宋_GB2312" w:eastAsia="仿宋_GB2312" w:cs="仿宋_GB2312" w:hint="eastAsia"/>
          <w:b/>
          <w:color w:val="000000"/>
          <w:sz w:val="32"/>
          <w:szCs w:val="32"/>
        </w:rPr>
        <w:t>公务用车运行维护费支出</w:t>
      </w:r>
      <w:r>
        <w:rPr>
          <w:rFonts w:ascii="仿宋_GB2312" w:eastAsia="仿宋_GB2312" w:cs="仿宋_GB2312" w:hint="eastAsia"/>
          <w:color w:val="000000"/>
          <w:sz w:val="32"/>
          <w:szCs w:val="32"/>
        </w:rPr>
        <w:t>0万元</w:t>
      </w:r>
      <w:r>
        <w:rPr>
          <w:rFonts w:ascii="仿宋_GB2312" w:eastAsia="仿宋_GB2312" w:cs="仿宋_GB2312" w:hint="eastAsia"/>
          <w:color w:val="000000"/>
          <w:sz w:val="32"/>
          <w:szCs w:val="32"/>
          <w:lang w:val="en-US" w:eastAsia="zh-CN"/>
        </w:rPr>
        <w:t>,与上年相比，无变化</w:t>
      </w:r>
      <w:r>
        <w:rPr>
          <w:rFonts w:ascii="仿宋_GB2312" w:eastAsia="仿宋_GB2312" w:cs="仿宋_GB2312" w:hint="eastAsia"/>
          <w:color w:val="000000"/>
          <w:sz w:val="32"/>
          <w:szCs w:val="32"/>
        </w:rPr>
        <w:t>。</w:t>
      </w:r>
    </w:p>
    <w:p>
      <w:pPr>
        <w:spacing w:line="576" w:lineRule="exact"/>
        <w:ind w:firstLine="640"/>
        <w:rPr>
          <w:rFonts w:ascii="仿宋_GB2312" w:eastAsia="仿宋_GB2312" w:cs="仿宋_GB2312"/>
          <w:color w:val="000000"/>
          <w:sz w:val="32"/>
          <w:szCs w:val="32"/>
        </w:rPr>
      </w:pPr>
      <w:r>
        <w:rPr>
          <w:rFonts w:ascii="仿宋_GB2312" w:eastAsia="仿宋_GB2312" w:cs="仿宋_GB2312" w:hint="eastAsia"/>
          <w:b/>
          <w:color w:val="000000"/>
          <w:sz w:val="32"/>
          <w:szCs w:val="32"/>
        </w:rPr>
        <w:t>3.公务接待费支出</w:t>
      </w:r>
      <w:r>
        <w:rPr>
          <w:rFonts w:ascii="仿宋_GB2312" w:eastAsia="仿宋_GB2312" w:cs="仿宋_GB2312" w:hint="eastAsia"/>
          <w:color w:val="000000"/>
          <w:sz w:val="32"/>
          <w:szCs w:val="32"/>
        </w:rPr>
        <w:t>0万元，</w:t>
      </w:r>
      <w:r>
        <w:rPr>
          <w:rStyle w:val="32"/>
          <w:rFonts w:ascii="仿宋_GB2312" w:eastAsia="仿宋_GB2312" w:cs="仿宋_GB2312" w:hint="eastAsia"/>
          <w:b w:val="0"/>
          <w:bCs/>
          <w:color w:val="000000"/>
          <w:sz w:val="32"/>
          <w:szCs w:val="32"/>
        </w:rPr>
        <w:t>完成预算100%。</w:t>
      </w:r>
      <w:r>
        <w:rPr>
          <w:rFonts w:ascii="仿宋_GB2312" w:eastAsia="仿宋_GB2312" w:cs="仿宋_GB2312" w:hint="eastAsia"/>
          <w:color w:val="000000"/>
          <w:sz w:val="32"/>
          <w:szCs w:val="32"/>
          <w:lang w:val="en-US" w:eastAsia="zh-CN"/>
        </w:rPr>
        <w:t>与上年相比，无变化。</w:t>
      </w:r>
    </w:p>
    <w:p>
      <w:pPr>
        <w:spacing w:line="576" w:lineRule="exact"/>
        <w:ind w:firstLine="640"/>
        <w:rPr>
          <w:rFonts w:ascii="仿宋_GB2312" w:eastAsia="仿宋_GB2312" w:cs="仿宋_GB2312" w:hint="eastAsia"/>
          <w:color w:val="000000"/>
          <w:sz w:val="32"/>
          <w:szCs w:val="32"/>
          <w:lang w:eastAsia="zh-CN"/>
        </w:rPr>
      </w:pPr>
      <w:r>
        <w:rPr>
          <w:rFonts w:ascii="仿宋_GB2312" w:eastAsia="仿宋_GB2312" w:cs="仿宋_GB2312" w:hint="eastAsia"/>
          <w:b/>
          <w:color w:val="000000"/>
          <w:sz w:val="32"/>
          <w:szCs w:val="32"/>
        </w:rPr>
        <w:t>国内公务接待支出</w:t>
      </w:r>
      <w:r>
        <w:rPr>
          <w:rFonts w:ascii="仿宋_GB2312" w:eastAsia="仿宋_GB2312" w:cs="仿宋_GB2312" w:hint="eastAsia"/>
          <w:color w:val="000000"/>
          <w:sz w:val="32"/>
          <w:szCs w:val="32"/>
        </w:rPr>
        <w:t>0万元</w:t>
      </w:r>
      <w:r>
        <w:rPr>
          <w:rFonts w:ascii="仿宋_GB2312" w:eastAsia="仿宋_GB2312" w:cs="仿宋_GB2312" w:hint="eastAsia"/>
          <w:color w:val="000000"/>
          <w:sz w:val="32"/>
          <w:szCs w:val="32"/>
          <w:lang w:eastAsia="zh-CN"/>
        </w:rPr>
        <w:t>，</w:t>
      </w:r>
      <w:r>
        <w:rPr>
          <w:rFonts w:ascii="仿宋_GB2312" w:eastAsia="仿宋_GB2312" w:cs="仿宋_GB2312" w:hint="eastAsia"/>
          <w:color w:val="000000"/>
          <w:sz w:val="32"/>
          <w:szCs w:val="32"/>
          <w:lang w:val="en-US" w:eastAsia="zh-CN"/>
        </w:rPr>
        <w:t>与上年相比，无变化。</w:t>
      </w:r>
    </w:p>
    <w:p>
      <w:pPr>
        <w:spacing w:line="576" w:lineRule="exact"/>
        <w:ind w:firstLine="640"/>
        <w:rPr>
          <w:rFonts w:ascii="仿宋_GB2312" w:eastAsia="仿宋_GB2312" w:cs="仿宋_GB2312" w:hint="eastAsia"/>
          <w:color w:val="000000"/>
          <w:sz w:val="32"/>
          <w:szCs w:val="32"/>
          <w:lang w:eastAsia="zh-CN"/>
        </w:rPr>
      </w:pPr>
      <w:r>
        <w:rPr>
          <w:rFonts w:ascii="仿宋_GB2312" w:eastAsia="仿宋_GB2312" w:cs="仿宋_GB2312" w:hint="eastAsia"/>
          <w:b/>
          <w:color w:val="000000"/>
          <w:sz w:val="32"/>
          <w:szCs w:val="32"/>
        </w:rPr>
        <w:t>外事接待支出</w:t>
      </w:r>
      <w:r>
        <w:rPr>
          <w:rFonts w:ascii="仿宋_GB2312" w:eastAsia="仿宋_GB2312" w:cs="仿宋_GB2312" w:hint="eastAsia"/>
          <w:color w:val="000000"/>
          <w:sz w:val="32"/>
          <w:szCs w:val="32"/>
        </w:rPr>
        <w:t>0万元</w:t>
      </w:r>
      <w:bookmarkStart w:id="74" w:name="_Toc15377218"/>
      <w:bookmarkStart w:id="75" w:name="_Toc15396610"/>
      <w:r>
        <w:rPr>
          <w:rFonts w:ascii="仿宋_GB2312" w:eastAsia="仿宋_GB2312" w:cs="仿宋_GB2312" w:hint="eastAsia"/>
          <w:color w:val="000000"/>
          <w:sz w:val="32"/>
          <w:szCs w:val="32"/>
          <w:lang w:eastAsia="zh-CN"/>
        </w:rPr>
        <w:t>，</w:t>
      </w:r>
      <w:r>
        <w:rPr>
          <w:rFonts w:ascii="仿宋_GB2312" w:eastAsia="仿宋_GB2312" w:cs="仿宋_GB2312" w:hint="eastAsia"/>
          <w:color w:val="000000"/>
          <w:sz w:val="32"/>
          <w:szCs w:val="32"/>
          <w:lang w:val="en-US" w:eastAsia="zh-CN"/>
        </w:rPr>
        <w:t>与上年相比，无变化。</w:t>
      </w:r>
    </w:p>
    <w:p>
      <w:pPr>
        <w:keepNext w:val="0"/>
        <w:keepLines w:val="0"/>
        <w:pageBreakBefore w:val="0"/>
        <w:widowControl w:val="0"/>
        <w:kinsoku/>
        <w:wordWrap/>
        <w:overflowPunct/>
        <w:topLinePunct w:val="0"/>
        <w:autoSpaceDE/>
        <w:autoSpaceDN/>
        <w:bidi w:val="0"/>
        <w:spacing w:line="520" w:lineRule="exact"/>
        <w:ind w:firstLineChars="200" w:firstLine="640"/>
        <w:textAlignment w:val="auto"/>
        <w:outlineLvl w:val="1"/>
        <w:rPr>
          <w:rFonts w:ascii="黑体" w:eastAsia="黑体" w:cs="仿宋_GB2312"/>
          <w:bCs/>
          <w:color w:val="000000"/>
          <w:sz w:val="32"/>
          <w:szCs w:val="32"/>
        </w:rPr>
      </w:pPr>
      <w:r>
        <w:rPr>
          <w:rFonts w:ascii="黑体" w:eastAsia="黑体" w:cs="仿宋_GB2312" w:hint="eastAsia"/>
          <w:color w:val="000000"/>
          <w:sz w:val="32"/>
          <w:szCs w:val="32"/>
        </w:rPr>
        <w:t>八、</w:t>
      </w:r>
      <w:r>
        <w:rPr>
          <w:rFonts w:ascii="黑体" w:eastAsia="黑体" w:cs="仿宋_GB2312" w:hint="eastAsia"/>
          <w:bCs/>
          <w:color w:val="000000"/>
          <w:sz w:val="32"/>
          <w:szCs w:val="32"/>
        </w:rPr>
        <w:t>政府性基金预算支出决算情况说明</w:t>
      </w:r>
      <w:bookmarkEnd w:id="74"/>
      <w:bookmarkEnd w:id="75"/>
    </w:p>
    <w:p>
      <w:pPr>
        <w:keepNext w:val="0"/>
        <w:keepLines w:val="0"/>
        <w:pageBreakBefore w:val="0"/>
        <w:widowControl w:val="0"/>
        <w:kinsoku/>
        <w:wordWrap/>
        <w:overflowPunct/>
        <w:topLinePunct w:val="0"/>
        <w:autoSpaceDE/>
        <w:autoSpaceDN/>
        <w:bidi w:val="0"/>
        <w:spacing w:line="520" w:lineRule="exact"/>
        <w:ind w:firstLine="640"/>
        <w:textAlignment w:val="auto"/>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2022年政府性基金预算拨款支出0万元，本单位不涉及政府性基金预算支出。</w:t>
      </w:r>
      <w:r>
        <w:rPr>
          <w:rFonts w:ascii="仿宋_GB2312" w:eastAsia="仿宋_GB2312" w:cs="仿宋_GB2312" w:hint="eastAsia"/>
          <w:color w:val="000000"/>
          <w:sz w:val="32"/>
          <w:szCs w:val="32"/>
          <w:lang w:val="en-US" w:eastAsia="zh-CN"/>
        </w:rPr>
        <w:t>与上年相比，无变化。</w:t>
      </w:r>
    </w:p>
    <w:p>
      <w:pPr>
        <w:keepNext w:val="0"/>
        <w:keepLines w:val="0"/>
        <w:pageBreakBefore w:val="0"/>
        <w:widowControl w:val="0"/>
        <w:numPr>
          <w:ilvl w:val="0"/>
          <w:numId w:val="2"/>
        </w:numPr>
        <w:kinsoku/>
        <w:wordWrap/>
        <w:overflowPunct/>
        <w:topLinePunct w:val="0"/>
        <w:autoSpaceDE/>
        <w:autoSpaceDN/>
        <w:bidi w:val="0"/>
        <w:spacing w:line="520" w:lineRule="exact"/>
        <w:ind w:left="0" w:firstLine="640"/>
        <w:textAlignment w:val="auto"/>
        <w:outlineLvl w:val="1"/>
        <w:rPr>
          <w:rFonts w:ascii="黑体" w:eastAsia="黑体" w:cs="仿宋_GB2312"/>
          <w:bCs/>
          <w:color w:val="000000"/>
          <w:sz w:val="32"/>
          <w:szCs w:val="32"/>
        </w:rPr>
      </w:pPr>
      <w:bookmarkStart w:id="76" w:name="_Toc15377219"/>
      <w:bookmarkStart w:id="77" w:name="_Toc15396611"/>
      <w:r>
        <w:rPr>
          <w:rFonts w:ascii="黑体" w:eastAsia="黑体" w:cs="仿宋_GB2312" w:hint="eastAsia"/>
          <w:bCs/>
          <w:color w:val="000000"/>
          <w:sz w:val="32"/>
          <w:szCs w:val="32"/>
        </w:rPr>
        <w:t>国有资本经营预算支出决算情况说明</w:t>
      </w:r>
      <w:bookmarkEnd w:id="76"/>
      <w:bookmarkEnd w:id="77"/>
    </w:p>
    <w:p>
      <w:pPr>
        <w:keepNext w:val="0"/>
        <w:keepLines w:val="0"/>
        <w:pageBreakBefore w:val="0"/>
        <w:widowControl w:val="0"/>
        <w:kinsoku/>
        <w:wordWrap/>
        <w:overflowPunct/>
        <w:topLinePunct w:val="0"/>
        <w:autoSpaceDE/>
        <w:autoSpaceDN/>
        <w:bidi w:val="0"/>
        <w:spacing w:line="520" w:lineRule="exact"/>
        <w:ind w:firstLine="640"/>
        <w:textAlignment w:val="auto"/>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2022年国有资本经营预算拨款支出0万元，本单位不涉及国有资本经营预算拨款支出。</w:t>
      </w:r>
      <w:r>
        <w:rPr>
          <w:rFonts w:ascii="仿宋_GB2312" w:eastAsia="仿宋_GB2312" w:cs="仿宋_GB2312" w:hint="eastAsia"/>
          <w:color w:val="000000"/>
          <w:sz w:val="32"/>
          <w:szCs w:val="32"/>
          <w:lang w:val="en-US" w:eastAsia="zh-CN"/>
        </w:rPr>
        <w:t>与上年相比，无变化。</w:t>
      </w:r>
    </w:p>
    <w:p>
      <w:pPr>
        <w:keepNext w:val="0"/>
        <w:keepLines w:val="0"/>
        <w:pageBreakBefore w:val="0"/>
        <w:widowControl w:val="0"/>
        <w:kinsoku/>
        <w:wordWrap/>
        <w:overflowPunct/>
        <w:topLinePunct w:val="0"/>
        <w:autoSpaceDE/>
        <w:autoSpaceDN/>
        <w:bidi w:val="0"/>
        <w:spacing w:line="520" w:lineRule="exact"/>
        <w:textAlignment w:val="auto"/>
        <w:outlineLvl w:val="1"/>
        <w:rPr>
          <w:rStyle w:val="2Char"/>
          <w:rFonts w:ascii="黑体" w:eastAsia="黑体"/>
        </w:rPr>
      </w:pPr>
      <w:bookmarkStart w:id="78" w:name="_Toc15377221"/>
      <w:bookmarkStart w:id="79" w:name="_Toc15396612"/>
      <w:bookmarkStart w:id="80" w:name="_Toc79163874"/>
      <w:bookmarkStart w:id="81" w:name="_Toc79163624"/>
      <w:r>
        <w:rPr>
          <w:rFonts w:ascii="黑体" w:eastAsia="黑体" w:hint="eastAsia"/>
          <w:color w:val="000000"/>
          <w:sz w:val="32"/>
          <w:szCs w:val="32"/>
        </w:rPr>
        <w:t xml:space="preserve">    十</w:t>
      </w:r>
      <w:r>
        <w:rPr>
          <w:rStyle w:val="2Char"/>
          <w:rFonts w:ascii="黑体" w:eastAsia="黑体" w:hint="eastAsia"/>
        </w:rPr>
        <w:t>、</w:t>
      </w:r>
      <w:r>
        <w:rPr>
          <w:rStyle w:val="2Char"/>
          <w:rFonts w:ascii="黑体" w:eastAsia="黑体" w:hint="eastAsia"/>
          <w:b w:val="0"/>
        </w:rPr>
        <w:t>其他重要事项的情况说明</w:t>
      </w:r>
      <w:bookmarkEnd w:id="78"/>
      <w:bookmarkEnd w:id="79"/>
      <w:bookmarkEnd w:id="80"/>
      <w:bookmarkEnd w:id="81"/>
    </w:p>
    <w:p>
      <w:pPr>
        <w:keepNext w:val="0"/>
        <w:keepLines w:val="0"/>
        <w:pageBreakBefore w:val="0"/>
        <w:widowControl w:val="0"/>
        <w:kinsoku/>
        <w:wordWrap/>
        <w:overflowPunct/>
        <w:topLinePunct w:val="0"/>
        <w:autoSpaceDE/>
        <w:autoSpaceDN/>
        <w:bidi w:val="0"/>
        <w:spacing w:line="520" w:lineRule="exact"/>
        <w:ind w:firstLineChars="200" w:firstLine="640"/>
        <w:textAlignment w:val="auto"/>
        <w:outlineLvl w:val="2"/>
        <w:rPr>
          <w:rFonts w:ascii="楷体_GB2312" w:eastAsia="楷体_GB2312" w:cs="楷体_GB2312"/>
          <w:b/>
          <w:color w:val="000000"/>
          <w:sz w:val="32"/>
          <w:szCs w:val="32"/>
        </w:rPr>
      </w:pPr>
      <w:bookmarkStart w:id="82" w:name="_Toc15377222"/>
      <w:bookmarkStart w:id="83" w:name="_Toc15396613"/>
      <w:bookmarkStart w:id="84" w:name="_Toc79163879"/>
      <w:bookmarkStart w:id="85" w:name="_Toc79163629"/>
      <w:bookmarkStart w:id="86" w:name="_Toc15377225"/>
      <w:r>
        <w:rPr>
          <w:rFonts w:ascii="楷体_GB2312" w:eastAsia="楷体_GB2312" w:cs="楷体_GB2312" w:hint="eastAsia"/>
          <w:b/>
          <w:color w:val="000000"/>
          <w:sz w:val="32"/>
          <w:szCs w:val="32"/>
        </w:rPr>
        <w:t>（一）机关运行经费支出情况</w:t>
      </w:r>
      <w:bookmarkEnd w:id="82"/>
    </w:p>
    <w:p>
      <w:pPr>
        <w:keepNext w:val="0"/>
        <w:keepLines w:val="0"/>
        <w:pageBreakBefore w:val="0"/>
        <w:widowControl/>
        <w:kinsoku/>
        <w:wordWrap/>
        <w:overflowPunct/>
        <w:topLinePunct w:val="0"/>
        <w:autoSpaceDE/>
        <w:autoSpaceDN/>
        <w:bidi w:val="0"/>
        <w:adjustRightInd w:val="0"/>
        <w:snapToGrid w:val="0"/>
        <w:spacing w:line="520" w:lineRule="exact"/>
        <w:ind w:firstLineChars="200" w:firstLine="640"/>
        <w:textAlignment w:val="auto"/>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2022年，中国共产主义青年团四川省阿坝州茂县委员会机关运行经费支出</w:t>
      </w:r>
      <w:r>
        <w:rPr>
          <w:rFonts w:ascii="仿宋_GB2312" w:eastAsia="仿宋_GB2312" w:cs="仿宋_GB2312" w:hint="eastAsia"/>
          <w:bCs/>
          <w:color w:val="000000"/>
          <w:kern w:val="0"/>
          <w:sz w:val="32"/>
          <w:szCs w:val="32"/>
          <w:lang w:val="en-US" w:eastAsia="zh-CN"/>
        </w:rPr>
        <w:t>1.19</w:t>
      </w:r>
      <w:r>
        <w:rPr>
          <w:rFonts w:ascii="仿宋_GB2312" w:eastAsia="仿宋_GB2312" w:cs="仿宋_GB2312" w:hint="eastAsia"/>
          <w:bCs/>
          <w:color w:val="000000"/>
          <w:kern w:val="0"/>
          <w:sz w:val="32"/>
          <w:szCs w:val="32"/>
          <w:lang w:val="zh-CN"/>
        </w:rPr>
        <w:t>万元，2021年</w:t>
      </w:r>
      <w:r>
        <w:rPr>
          <w:rFonts w:ascii="仿宋_GB2312" w:eastAsia="仿宋_GB2312" w:cs="仿宋_GB2312" w:hint="eastAsia"/>
          <w:bCs/>
          <w:color w:val="000000"/>
          <w:kern w:val="0"/>
          <w:sz w:val="32"/>
          <w:szCs w:val="32"/>
          <w:lang w:val="en-US" w:eastAsia="zh-CN"/>
        </w:rPr>
        <w:t>6.08万元，</w:t>
      </w:r>
      <w:r>
        <w:rPr>
          <w:rFonts w:ascii="仿宋_GB2312" w:eastAsia="仿宋_GB2312" w:cs="仿宋_GB2312" w:hint="eastAsia"/>
          <w:bCs/>
          <w:color w:val="000000"/>
          <w:kern w:val="0"/>
          <w:sz w:val="32"/>
          <w:szCs w:val="32"/>
          <w:lang w:val="zh-CN"/>
        </w:rPr>
        <w:t>较上年度减少4.</w:t>
      </w:r>
      <w:r>
        <w:rPr>
          <w:rFonts w:ascii="仿宋_GB2312" w:eastAsia="仿宋_GB2312" w:cs="仿宋_GB2312" w:hint="eastAsia"/>
          <w:bCs/>
          <w:color w:val="000000"/>
          <w:kern w:val="0"/>
          <w:sz w:val="32"/>
          <w:szCs w:val="32"/>
          <w:lang w:val="en-US" w:eastAsia="zh-CN"/>
        </w:rPr>
        <w:t>89</w:t>
      </w:r>
      <w:r>
        <w:rPr>
          <w:rFonts w:ascii="仿宋_GB2312" w:eastAsia="仿宋_GB2312" w:cs="仿宋_GB2312" w:hint="eastAsia"/>
          <w:bCs/>
          <w:color w:val="000000"/>
          <w:kern w:val="0"/>
          <w:sz w:val="32"/>
          <w:szCs w:val="32"/>
          <w:lang w:val="zh-CN"/>
        </w:rPr>
        <w:t>万元，下降</w:t>
      </w:r>
      <w:r>
        <w:rPr>
          <w:rFonts w:ascii="仿宋_GB2312" w:eastAsia="仿宋_GB2312" w:cs="仿宋_GB2312" w:hint="eastAsia"/>
          <w:bCs/>
          <w:color w:val="000000"/>
          <w:kern w:val="0"/>
          <w:sz w:val="32"/>
          <w:szCs w:val="32"/>
          <w:lang w:val="en-US" w:eastAsia="zh-CN"/>
        </w:rPr>
        <w:t>80.43</w:t>
      </w:r>
      <w:r>
        <w:rPr>
          <w:rFonts w:ascii="仿宋_GB2312" w:eastAsia="仿宋_GB2312" w:cs="仿宋_GB2312" w:hint="eastAsia"/>
          <w:bCs/>
          <w:color w:val="000000"/>
          <w:kern w:val="0"/>
          <w:sz w:val="32"/>
          <w:szCs w:val="32"/>
          <w:lang w:val="zh-CN"/>
        </w:rPr>
        <w:t>%，主要原因是人员减少。</w:t>
      </w:r>
      <w:bookmarkStart w:id="87" w:name="_Toc15377223"/>
    </w:p>
    <w:p>
      <w:pPr>
        <w:keepNext w:val="0"/>
        <w:keepLines w:val="0"/>
        <w:pageBreakBefore w:val="0"/>
        <w:widowControl/>
        <w:kinsoku/>
        <w:wordWrap/>
        <w:overflowPunct/>
        <w:topLinePunct w:val="0"/>
        <w:autoSpaceDE/>
        <w:autoSpaceDN/>
        <w:bidi w:val="0"/>
        <w:adjustRightInd w:val="0"/>
        <w:snapToGrid w:val="0"/>
        <w:spacing w:line="520" w:lineRule="exact"/>
        <w:ind w:firstLineChars="200" w:firstLine="640"/>
        <w:textAlignment w:val="auto"/>
        <w:rPr>
          <w:rFonts w:ascii="楷体_GB2312" w:eastAsia="楷体_GB2312" w:cs="楷体_GB2312"/>
          <w:b/>
          <w:color w:val="000000"/>
          <w:sz w:val="32"/>
          <w:szCs w:val="32"/>
        </w:rPr>
      </w:pPr>
      <w:r>
        <w:rPr>
          <w:rFonts w:ascii="楷体_GB2312" w:eastAsia="楷体_GB2312" w:cs="楷体_GB2312" w:hint="eastAsia"/>
          <w:b/>
          <w:color w:val="000000"/>
          <w:sz w:val="32"/>
          <w:szCs w:val="32"/>
        </w:rPr>
        <w:t>（二）政府采购支出情况</w:t>
      </w:r>
      <w:bookmarkEnd w:id="87"/>
    </w:p>
    <w:p>
      <w:pPr>
        <w:keepNext w:val="0"/>
        <w:keepLines w:val="0"/>
        <w:pageBreakBefore w:val="0"/>
        <w:widowControl w:val="0"/>
        <w:kinsoku/>
        <w:wordWrap/>
        <w:overflowPunct/>
        <w:topLinePunct w:val="0"/>
        <w:autoSpaceDE/>
        <w:autoSpaceDN/>
        <w:bidi w:val="0"/>
        <w:spacing w:line="520" w:lineRule="exact"/>
        <w:ind w:firstLine="640"/>
        <w:textAlignment w:val="auto"/>
        <w:rPr>
          <w:rFonts w:ascii="仿宋_GB2312" w:eastAsia="仿宋_GB2312" w:cs="仿宋_GB2312" w:hint="eastAsia"/>
          <w:color w:val="000000"/>
          <w:sz w:val="32"/>
          <w:szCs w:val="32"/>
          <w:lang w:eastAsia="zh-CN"/>
        </w:rPr>
      </w:pPr>
      <w:r>
        <w:rPr>
          <w:rFonts w:ascii="仿宋_GB2312" w:eastAsia="仿宋_GB2312" w:cs="仿宋_GB2312" w:hint="eastAsia"/>
          <w:bCs/>
          <w:color w:val="000000"/>
          <w:kern w:val="0"/>
          <w:sz w:val="32"/>
          <w:szCs w:val="32"/>
          <w:lang w:val="zh-CN"/>
        </w:rPr>
        <w:t>2022年，中国共产主义青年团四川省阿坝州茂县委员会政府采购支出总额0万元，</w:t>
      </w:r>
      <w:r>
        <w:rPr>
          <w:rFonts w:ascii="仿宋_GB2312" w:eastAsia="仿宋_GB2312" w:cs="仿宋_GB2312" w:hint="eastAsia"/>
          <w:color w:val="000000"/>
          <w:sz w:val="32"/>
          <w:szCs w:val="32"/>
          <w:lang w:val="en-US" w:eastAsia="zh-CN"/>
        </w:rPr>
        <w:t>与上年相比，无变化。</w:t>
      </w:r>
    </w:p>
    <w:p>
      <w:pPr>
        <w:keepNext w:val="0"/>
        <w:keepLines w:val="0"/>
        <w:pageBreakBefore w:val="0"/>
        <w:widowControl/>
        <w:kinsoku/>
        <w:wordWrap/>
        <w:overflowPunct/>
        <w:topLinePunct w:val="0"/>
        <w:autoSpaceDE/>
        <w:autoSpaceDN/>
        <w:bidi w:val="0"/>
        <w:adjustRightInd w:val="0"/>
        <w:snapToGrid w:val="0"/>
        <w:spacing w:line="520" w:lineRule="exact"/>
        <w:ind w:firstLineChars="200" w:firstLine="640"/>
        <w:textAlignment w:val="auto"/>
        <w:rPr>
          <w:rFonts w:ascii="楷体_GB2312" w:eastAsia="楷体_GB2312" w:cs="楷体_GB2312"/>
          <w:b/>
          <w:color w:val="000000"/>
          <w:sz w:val="32"/>
          <w:szCs w:val="32"/>
        </w:rPr>
      </w:pPr>
      <w:bookmarkStart w:id="88" w:name="_Toc15377224"/>
      <w:r>
        <w:rPr>
          <w:rFonts w:ascii="楷体_GB2312" w:eastAsia="楷体_GB2312" w:cs="楷体_GB2312" w:hint="eastAsia"/>
          <w:b/>
          <w:color w:val="000000"/>
          <w:sz w:val="32"/>
          <w:szCs w:val="32"/>
        </w:rPr>
        <w:t>（三）国有资产占有使用情况</w:t>
      </w:r>
      <w:bookmarkEnd w:id="88"/>
    </w:p>
    <w:p>
      <w:pPr>
        <w:keepNext w:val="0"/>
        <w:keepLines w:val="0"/>
        <w:pageBreakBefore w:val="0"/>
        <w:widowControl/>
        <w:kinsoku/>
        <w:wordWrap/>
        <w:overflowPunct/>
        <w:topLinePunct w:val="0"/>
        <w:autoSpaceDE/>
        <w:autoSpaceDN/>
        <w:bidi w:val="0"/>
        <w:adjustRightInd w:val="0"/>
        <w:snapToGrid w:val="0"/>
        <w:spacing w:line="520" w:lineRule="exact"/>
        <w:ind w:firstLineChars="200" w:firstLine="640"/>
        <w:textAlignment w:val="auto"/>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截至2022年12月31日，中国共产主义青年团四川省阿坝州茂县委员会共有车辆0辆。</w:t>
      </w:r>
    </w:p>
    <w:p>
      <w:pPr>
        <w:keepNext w:val="0"/>
        <w:keepLines w:val="0"/>
        <w:pageBreakBefore w:val="0"/>
        <w:widowControl/>
        <w:kinsoku/>
        <w:wordWrap/>
        <w:overflowPunct/>
        <w:topLinePunct w:val="0"/>
        <w:autoSpaceDE/>
        <w:autoSpaceDN/>
        <w:bidi w:val="0"/>
        <w:adjustRightInd w:val="0"/>
        <w:snapToGrid w:val="0"/>
        <w:spacing w:line="520" w:lineRule="exact"/>
        <w:ind w:firstLineChars="200" w:firstLine="640"/>
        <w:textAlignment w:val="auto"/>
        <w:rPr>
          <w:rFonts w:ascii="楷体_GB2312" w:eastAsia="楷体_GB2312" w:cs="楷体_GB2312"/>
          <w:b/>
          <w:color w:val="000000"/>
          <w:sz w:val="32"/>
          <w:szCs w:val="32"/>
        </w:rPr>
      </w:pPr>
      <w:r>
        <w:rPr>
          <w:rFonts w:ascii="楷体_GB2312" w:eastAsia="楷体_GB2312" w:cs="楷体_GB2312" w:hint="eastAsia"/>
          <w:b/>
          <w:color w:val="000000"/>
          <w:sz w:val="32"/>
          <w:szCs w:val="32"/>
        </w:rPr>
        <w:t>（四）预算绩效管理情况</w:t>
      </w:r>
    </w:p>
    <w:p>
      <w:pPr>
        <w:keepNext w:val="0"/>
        <w:keepLines w:val="0"/>
        <w:pageBreakBefore w:val="0"/>
        <w:widowControl w:val="0"/>
        <w:kinsoku/>
        <w:wordWrap/>
        <w:overflowPunct/>
        <w:topLinePunct w:val="0"/>
        <w:autoSpaceDE/>
        <w:autoSpaceDN/>
        <w:bidi w:val="0"/>
        <w:spacing w:line="520" w:lineRule="exact"/>
        <w:ind w:firstLineChars="200" w:firstLine="640"/>
        <w:textAlignment w:val="auto"/>
        <w:rPr>
          <w:rFonts w:ascii="仿宋_GB2312" w:eastAsia="仿宋_GB2312"/>
          <w:color w:val="000000"/>
          <w:sz w:val="32"/>
          <w:szCs w:val="32"/>
        </w:rPr>
      </w:pPr>
      <w:r>
        <w:rPr>
          <w:rFonts w:ascii="仿宋_GB2312" w:eastAsia="仿宋_GB2312" w:cs="仿宋_GB2312" w:hint="eastAsia"/>
          <w:bCs/>
          <w:color w:val="000000"/>
          <w:kern w:val="0"/>
          <w:sz w:val="32"/>
          <w:szCs w:val="32"/>
          <w:lang w:val="zh-CN"/>
        </w:rPr>
        <w:t>根据预算绩效管理要求，我委在年初预算编制阶段，组织对2022年</w:t>
      </w:r>
      <w:r>
        <w:rPr>
          <w:rFonts w:ascii="仿宋_GB2312" w:eastAsia="仿宋_GB2312" w:hint="eastAsia"/>
          <w:sz w:val="32"/>
          <w:szCs w:val="32"/>
        </w:rPr>
        <w:t>西部计划志愿者基本工资及艰苦边远地区津贴经费、2022年度</w:t>
      </w:r>
      <w:r>
        <w:rPr>
          <w:rFonts w:ascii="仿宋_GB2312" w:eastAsia="仿宋_GB2312" w:hint="eastAsia"/>
          <w:sz w:val="32"/>
          <w:szCs w:val="32"/>
          <w:lang w:val="zh-CN"/>
        </w:rPr>
        <w:t>进行浙江平湖考察学习工作经费、2022年</w:t>
      </w:r>
      <w:r>
        <w:rPr>
          <w:rFonts w:ascii="仿宋_GB2312" w:eastAsia="仿宋_GB2312" w:hint="eastAsia"/>
          <w:sz w:val="32"/>
          <w:szCs w:val="32"/>
        </w:rPr>
        <w:t>州级留守学生之家补助资金3个项目</w:t>
      </w:r>
      <w:r>
        <w:rPr>
          <w:rFonts w:ascii="仿宋_GB2312" w:eastAsia="仿宋_GB2312" w:cs="仿宋_GB2312" w:hint="eastAsia"/>
          <w:bCs/>
          <w:color w:val="000000"/>
          <w:kern w:val="0"/>
          <w:sz w:val="32"/>
          <w:szCs w:val="32"/>
          <w:lang w:val="zh-CN"/>
        </w:rPr>
        <w:t>开展了预算事前绩效评估，对3个项目编制了绩效目标，预算执行过程中，对3个项目开展绩效监控，年终执行完毕后，对3个项目开展了绩效目标完成情况自评。</w:t>
      </w:r>
      <w:r>
        <w:rPr>
          <w:rFonts w:ascii="仿宋_GB2312" w:eastAsia="仿宋_GB2312"/>
          <w:color w:val="000000"/>
          <w:sz w:val="32"/>
          <w:szCs w:val="32"/>
        </w:rPr>
        <w:t>绩效自评表详见第四部分附件。</w:t>
      </w:r>
    </w:p>
    <w:p>
      <w:pPr>
        <w:keepNext w:val="0"/>
        <w:keepLines w:val="0"/>
        <w:pageBreakBefore w:val="0"/>
        <w:widowControl/>
        <w:kinsoku/>
        <w:wordWrap/>
        <w:overflowPunct/>
        <w:topLinePunct w:val="0"/>
        <w:autoSpaceDE/>
        <w:autoSpaceDN/>
        <w:bidi w:val="0"/>
        <w:spacing w:line="520" w:lineRule="exact"/>
        <w:jc w:val="left"/>
        <w:textAlignment w:val="auto"/>
        <w:rPr>
          <w:rFonts w:ascii="仿宋_GB2312" w:eastAsia="仿宋_GB2312"/>
          <w:b/>
          <w:color w:val="000000"/>
          <w:sz w:val="32"/>
          <w:szCs w:val="32"/>
        </w:rPr>
      </w:pPr>
      <w:r>
        <w:rPr>
          <w:rFonts w:ascii="仿宋_GB2312" w:eastAsia="仿宋_GB2312"/>
          <w:b/>
          <w:color w:val="000000"/>
          <w:sz w:val="32"/>
          <w:szCs w:val="32"/>
        </w:rPr>
        <w:br w:type="page"/>
      </w:r>
    </w:p>
    <w:p>
      <w:pPr>
        <w:spacing w:line="576" w:lineRule="exact"/>
        <w:ind w:leftChars="150" w:left="315"/>
        <w:jc w:val="center"/>
        <w:outlineLvl w:val="0"/>
        <w:rPr>
          <w:rStyle w:val="1Char"/>
          <w:rFonts w:ascii="方正小标宋简体" w:eastAsia="方正小标宋简体" w:cs="方正小标宋简体"/>
          <w:b w:val="0"/>
        </w:rPr>
      </w:pPr>
      <w:r>
        <w:rPr>
          <w:rFonts w:ascii="方正小标宋简体" w:eastAsia="方正小标宋简体" w:cs="方正小标宋简体" w:hint="eastAsia"/>
          <w:color w:val="000000"/>
          <w:sz w:val="44"/>
          <w:szCs w:val="44"/>
        </w:rPr>
        <w:t>第三部分 名</w:t>
      </w:r>
      <w:r>
        <w:rPr>
          <w:rStyle w:val="1Char"/>
          <w:rFonts w:ascii="方正小标宋简体" w:eastAsia="方正小标宋简体" w:cs="方正小标宋简体" w:hint="eastAsia"/>
          <w:b w:val="0"/>
        </w:rPr>
        <w:t>词解释</w:t>
      </w:r>
      <w:bookmarkEnd w:id="83"/>
      <w:bookmarkEnd w:id="84"/>
      <w:bookmarkEnd w:id="85"/>
      <w:bookmarkEnd w:id="86"/>
    </w:p>
    <w:p>
      <w:pPr>
        <w:spacing w:line="576" w:lineRule="exact"/>
        <w:jc w:val="left"/>
        <w:rPr>
          <w:rFonts w:ascii="方正小标宋简体" w:eastAsia="方正小标宋简体" w:cs="方正小标宋简体"/>
          <w:b/>
          <w:color w:val="000000"/>
          <w:sz w:val="44"/>
          <w:szCs w:val="44"/>
        </w:rPr>
      </w:pP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bookmarkStart w:id="89" w:name="_Toc15377226"/>
      <w:r>
        <w:rPr>
          <w:rFonts w:ascii="仿宋_GB2312" w:eastAsia="仿宋_GB2312" w:cs="仿宋_GB2312" w:hint="eastAsia"/>
          <w:bCs/>
          <w:color w:val="000000"/>
          <w:kern w:val="0"/>
          <w:sz w:val="32"/>
          <w:szCs w:val="32"/>
          <w:lang w:val="zh-CN"/>
        </w:rPr>
        <w:t>1.财政拨款收入：指单位从同级财政部门取得的财政预算资金。</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2.事业收入：指事业单位开展专业业务活动及辅助活动取得的收入。</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3.经营收入：指事业单位在专业业务活动及其辅助活动之外开展非独立核算经营活动取得的收入。</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4.其他收入：指单位取得的除上述收入以外的各项收入</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 xml:space="preserve">6.年初结转和结余：指以前年度尚未完成、结转到本年按有关规定继续使用的资金。 </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7.结余分配：指事业单位按照事业单位会计制度的规定从非财政补助结余中分配的事业基金和职工福利基金等。</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8、年末结转和结余：指单位按有关规定结转到下年或以后年度继续使用的资金。</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9. 一般公共服务（201）群众团体事务（29）行政运行（01）: 人员工资、办公支出，保障日常工作开展。</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10.一般公共服务（201）群众团体事务（29）事业运行（50）: 办公支出，保障日常工作开展。</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11. 社会保障和就业支出（208）行政事业单位养老支出（05）机关事业单位基本养老保险缴费支出（05）: 职工养老保险经费。</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12. 社会保障和就业支出（208）行政事业单位养老支出（05）机关事业单位职业年金缴费支出（06）: 职工职业年金。</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13.卫生健康（210）行政事业单位医疗（11）行政事业单位医疗（01）:职工医疗保险。</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14. 卫生健康（210）行政事业单位医疗（11）事业单位医疗（02）: 职工医疗保险。</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15. 住房保障支出(221) 住房改革支出(02) 住房公积金(01): 职工住房公积金。</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 xml:space="preserve">16. 其他支出(229) 其他支出(99) 其他支出(01): </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17.基本支出：指为保障机构正常运转、完成日常工作任务而发生的人员支出和公用支出。</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 xml:space="preserve">18.项目支出：指在基本支出之外为完成特定行政任务和事业发展目标所发生的支出。 </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19.经营支出：指事业单位在专业业务活动及其辅助活动之外开展非独立核算经营活动发生的支出。</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1Char"/>
          <w:rFonts w:ascii="方正小标宋简体" w:eastAsia="方正小标宋简体" w:cs="方正小标宋简体"/>
          <w:b w:val="0"/>
        </w:rPr>
      </w:pPr>
      <w:r>
        <w:rPr>
          <w:rFonts w:ascii="宋体"/>
          <w:b/>
          <w:color w:val="000000"/>
          <w:sz w:val="44"/>
          <w:szCs w:val="44"/>
        </w:rPr>
        <w:br w:type="page"/>
      </w:r>
      <w:bookmarkStart w:id="90" w:name="_Toc15396614"/>
      <w:bookmarkStart w:id="91" w:name="_Toc79163630"/>
      <w:bookmarkStart w:id="92" w:name="_Toc79163880"/>
      <w:r>
        <w:rPr>
          <w:rFonts w:ascii="方正小标宋简体" w:eastAsia="方正小标宋简体" w:cs="方正小标宋简体" w:hint="eastAsia"/>
          <w:color w:val="000000"/>
          <w:sz w:val="44"/>
          <w:szCs w:val="44"/>
        </w:rPr>
        <w:t>第</w:t>
      </w:r>
      <w:r>
        <w:rPr>
          <w:rStyle w:val="1Char"/>
          <w:rFonts w:ascii="方正小标宋简体" w:eastAsia="方正小标宋简体" w:cs="方正小标宋简体" w:hint="eastAsia"/>
          <w:b w:val="0"/>
        </w:rPr>
        <w:t>四部分 附件</w:t>
      </w:r>
      <w:bookmarkEnd w:id="90"/>
      <w:bookmarkEnd w:id="91"/>
      <w:bookmarkEnd w:id="92"/>
    </w:p>
    <w:p>
      <w:pPr>
        <w:spacing w:line="576" w:lineRule="exact"/>
        <w:jc w:val="left"/>
        <w:outlineLvl w:val="0"/>
        <w:rPr>
          <w:rFonts w:ascii="仿宋_GB2312" w:eastAsia="仿宋_GB2312" w:cs="仿宋_GB2312"/>
          <w:sz w:val="32"/>
          <w:szCs w:val="32"/>
        </w:rPr>
      </w:pPr>
      <w:bookmarkStart w:id="93" w:name="_Toc79163631"/>
      <w:bookmarkStart w:id="94" w:name="_Toc79163881"/>
      <w:r>
        <w:rPr>
          <w:rFonts w:ascii="仿宋_GB2312" w:eastAsia="仿宋_GB2312" w:cs="仿宋_GB2312" w:hint="eastAsia"/>
          <w:sz w:val="32"/>
          <w:szCs w:val="32"/>
        </w:rPr>
        <w:t>附件1</w:t>
      </w:r>
      <w:bookmarkEnd w:id="93"/>
      <w:bookmarkEnd w:id="94"/>
      <w:r>
        <w:rPr>
          <w:rFonts w:ascii="仿宋_GB2312" w:eastAsia="仿宋_GB2312" w:cs="仿宋_GB2312" w:hint="eastAsia"/>
          <w:sz w:val="32"/>
          <w:szCs w:val="32"/>
        </w:rPr>
        <w:t>：</w:t>
      </w:r>
    </w:p>
    <w:p>
      <w:pPr>
        <w:spacing w:line="576" w:lineRule="exact"/>
        <w:jc w:val="center"/>
        <w:rPr>
          <w:rFonts w:ascii="方正小标宋简体" w:eastAsia="方正小标宋简体"/>
          <w:color w:val="000000"/>
          <w:kern w:val="0"/>
          <w:sz w:val="44"/>
          <w:szCs w:val="44"/>
        </w:rPr>
      </w:pPr>
      <w:bookmarkStart w:id="95" w:name="_Toc79163635"/>
      <w:bookmarkStart w:id="96" w:name="_Toc79163885"/>
      <w:bookmarkStart w:id="97" w:name="_Toc15396618"/>
    </w:p>
    <w:p>
      <w:pPr>
        <w:spacing w:line="576" w:lineRule="exact"/>
        <w:jc w:val="center"/>
        <w:rPr>
          <w:rFonts w:ascii="方正小标宋简体" w:eastAsia="方正小标宋简体"/>
          <w:color w:val="000000"/>
          <w:kern w:val="0"/>
          <w:sz w:val="44"/>
          <w:szCs w:val="44"/>
        </w:rPr>
      </w:pPr>
      <w:bookmarkStart w:id="98" w:name="_GoBack"/>
      <w:bookmarkEnd w:id="98"/>
      <w:r>
        <w:rPr>
          <w:rFonts w:ascii="方正小标宋简体" w:eastAsia="方正小标宋简体" w:hint="eastAsia"/>
          <w:color w:val="000000"/>
          <w:kern w:val="0"/>
          <w:sz w:val="44"/>
          <w:szCs w:val="44"/>
        </w:rPr>
        <w:t>共青团茂县委员会</w:t>
      </w:r>
    </w:p>
    <w:p>
      <w:pPr>
        <w:spacing w:line="576" w:lineRule="exact"/>
        <w:jc w:val="center"/>
        <w:rPr>
          <w:rFonts w:ascii="方正小标宋简体" w:eastAsia="方正小标宋简体"/>
          <w:color w:val="000000"/>
          <w:kern w:val="0"/>
          <w:sz w:val="40"/>
          <w:szCs w:val="44"/>
          <w:lang w:val="zh-CN"/>
        </w:rPr>
      </w:pPr>
      <w:r>
        <w:rPr>
          <w:rFonts w:ascii="方正小标宋简体" w:eastAsia="方正小标宋简体" w:hint="eastAsia"/>
          <w:color w:val="000000"/>
          <w:kern w:val="0"/>
          <w:sz w:val="44"/>
          <w:szCs w:val="44"/>
        </w:rPr>
        <w:t>2022年部门</w:t>
      </w:r>
      <w:r>
        <w:rPr>
          <w:rFonts w:ascii="方正小标宋简体" w:eastAsia="方正小标宋简体" w:hint="eastAsia"/>
          <w:color w:val="000000"/>
          <w:kern w:val="0"/>
          <w:sz w:val="44"/>
          <w:szCs w:val="44"/>
          <w:lang w:val="zh-CN"/>
        </w:rPr>
        <w:t>整体支出绩效评价报告</w:t>
      </w:r>
    </w:p>
    <w:p>
      <w:pPr>
        <w:widowControl/>
        <w:adjustRightInd w:val="0"/>
        <w:snapToGrid w:val="0"/>
        <w:spacing w:line="576" w:lineRule="atLeast"/>
        <w:ind w:firstLineChars="200" w:firstLine="640"/>
        <w:jc w:val="left"/>
        <w:rPr>
          <w:rFonts w:ascii="黑体" w:eastAsia="黑体" w:cs="宋体"/>
          <w:color w:val="000000"/>
          <w:kern w:val="0"/>
          <w:sz w:val="32"/>
          <w:szCs w:val="32"/>
          <w:shd w:val="clear" w:color="auto" w:fill="FFFFFF"/>
        </w:rPr>
      </w:pPr>
    </w:p>
    <w:p>
      <w:pPr>
        <w:widowControl/>
        <w:adjustRightInd w:val="0"/>
        <w:snapToGrid w:val="0"/>
        <w:spacing w:line="576" w:lineRule="atLeast"/>
        <w:ind w:firstLineChars="200" w:firstLine="640"/>
        <w:jc w:val="left"/>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（一）机构组成</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共青团茂县委员会下属二级单位1个，其中行政单位0个，参照公务员法管理的事业单位0个，其他事业单位1个。</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纳入共青团茂县委员会2022年度部门决算编制范围的二级预算单位包括：</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茂县青少年活动中心</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（二）机构职能</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4.通过调查研究和认真总结，及时推广先进集体和先进个人的经验，及时发现和掌握学生思想上倾向性的问题。不断研究新情况，解决新问题，探索新规律。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5.维护青少年的正当权益。</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6.指导乡镇团体开展工作。依据上级有关规定，负责全县团员团费的收缴、管理和使用。</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7.配合县委抓好青少年党建工作，做好优秀团员入党的推荐工作。</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（三）人员概况</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总编制6名,其中:行政编制0名,参照公务员法管理的事业编制6名。现有在职人员总数6名，其中：参照公务员法管理的事业编6名。</w:t>
      </w:r>
    </w:p>
    <w:p>
      <w:pPr>
        <w:widowControl/>
        <w:adjustRightInd w:val="0"/>
        <w:snapToGrid w:val="0"/>
        <w:spacing w:line="576" w:lineRule="atLeast"/>
        <w:ind w:firstLineChars="200" w:firstLine="640"/>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widowControl/>
        <w:adjustRightInd w:val="0"/>
        <w:snapToGrid w:val="0"/>
        <w:spacing w:line="576" w:lineRule="atLeast"/>
        <w:ind w:firstLineChars="200" w:firstLine="640"/>
        <w:jc w:val="left"/>
        <w:rPr>
          <w:rFonts w:ascii="楷体_GB2312" w:eastAsia="楷体_GB2312" w:cs="楷体_GB2312"/>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（一）部门财政资金收入情况</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2022年本年收入合计159.71万元，其中：一般公共预算财政拨款收入159.71万元。</w:t>
      </w:r>
    </w:p>
    <w:p>
      <w:pPr>
        <w:widowControl/>
        <w:adjustRightInd w:val="0"/>
        <w:snapToGrid w:val="0"/>
        <w:spacing w:line="576" w:lineRule="atLeast"/>
        <w:ind w:firstLineChars="200" w:firstLine="640"/>
        <w:jc w:val="left"/>
        <w:rPr>
          <w:rFonts w:ascii="楷体_GB2312" w:eastAsia="楷体_GB2312" w:cs="楷体_GB2312"/>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（二）部门财政资金支出情况</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2022年一般公共预算财政拨款支出159.71万元。</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1.本年财政拨款支出按功能科目分类包括：一般公共服务支出122.56万元；社会保障和就业支出12.64万元；卫生健康支出4.73万元；农林水支出8.82万元；住房保障支出6.96万元；其他支出4万元。</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2.本年财政拨款支出按经济科目分类包括：工资福利支出106.63万元；对家庭和个人的补助37.38万元；商品和服务支出15.7万元。</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3.本年财政拨款支出按支出性质分类包括：1.基本支出122.01万元（其中：人员经费119.13万元；日常公用经费2.88）；2.项目支出37.7万元。</w:t>
      </w:r>
    </w:p>
    <w:p>
      <w:pPr>
        <w:widowControl/>
        <w:adjustRightInd w:val="0"/>
        <w:snapToGrid w:val="0"/>
        <w:spacing w:line="576" w:lineRule="atLeast"/>
        <w:ind w:firstLineChars="200" w:firstLine="640"/>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（一）部门预算管理</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我单位严格按照县级部门预算编制通知和有关要求，按时完成基础库、项目库报送工作，按时完成2023年预算编制工作，并按时提交部门预算草案。按规定编制政府采购预算，预算编制全面、科学。2022年部门决算、绩效目标填报及年末结余结转都是严格按照县财政局的要求认真完成。 </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（二）结果应用情况</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财政拨款支出主要用于保障我单位机构正常运转、完成日常工作任务以及承担本单位事业发展相关工作。 基本支出，是用于保障事业单位等机构正常运转的日常支出，包括基本工资、津贴补贴等人员经费以及办公费、印刷费、水电费、办公设备购置等日常公用经费。</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按支出功能分类主要用于以下方面：一般公共服务，社会保障和就业，卫生健康、住房保障等支出。</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我单位认真执行中央八项规定，严格控制三公经费支出。2022年我单位未发生三公经费费用支出。我单位严格执行《茂县县级财政专项资金绩效分配管理暂行办法》进行绩效分配制度。严格按照用款计划，分月、季度执行，按照项目资金管理办法实行专款专用。</w:t>
      </w:r>
    </w:p>
    <w:p>
      <w:pPr>
        <w:widowControl/>
        <w:adjustRightInd w:val="0"/>
        <w:snapToGrid w:val="0"/>
        <w:spacing w:line="576" w:lineRule="atLeast"/>
        <w:ind w:firstLineChars="200" w:firstLine="640"/>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四、评价结论及建议</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（一）评价结论</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按照预算法按时完成预决算编制。在执行过程中有计划进行资金申报使用，完善资金管理及内部控制制度，确保资金安全，做到账款、账账、账实相符。</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（二）存在问题</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由于人员配备不够，对单位资金安排、使用、核算上存在不很合理现象，导致财务工作由滞后等情况。</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（三）改进建议</w:t>
      </w:r>
    </w:p>
    <w:p>
      <w:pPr>
        <w:widowControl/>
        <w:adjustRightInd w:val="0"/>
        <w:snapToGrid w:val="0"/>
        <w:spacing w:line="576" w:lineRule="atLeast"/>
        <w:ind w:firstLineChars="200" w:firstLine="640"/>
        <w:rPr>
          <w:rFonts w:ascii="仿宋_GB2312" w:eastAsia="仿宋_GB2312" w:cs="仿宋_GB2312"/>
          <w:bCs/>
          <w:color w:val="000000"/>
          <w:kern w:val="0"/>
          <w:sz w:val="32"/>
          <w:szCs w:val="32"/>
          <w:lang w:val="zh-CN"/>
        </w:rPr>
      </w:pPr>
      <w:r>
        <w:rPr>
          <w:rFonts w:ascii="仿宋_GB2312" w:eastAsia="仿宋_GB2312" w:cs="仿宋_GB2312" w:hint="eastAsia"/>
          <w:bCs/>
          <w:color w:val="000000"/>
          <w:kern w:val="0"/>
          <w:sz w:val="32"/>
          <w:szCs w:val="32"/>
          <w:lang w:val="zh-CN"/>
        </w:rPr>
        <w:t>在今后工作中，进一步提高工作效率，保障资金安全，更好地完成本职工作。</w:t>
      </w:r>
    </w:p>
    <w:p>
      <w:pPr>
        <w:spacing w:line="576" w:lineRule="atLeast"/>
        <w:ind w:firstLineChars="200" w:firstLine="640"/>
        <w:rPr>
          <w:rFonts w:ascii="仿宋_GB2312" w:eastAsia="仿宋_GB2312" w:cs="宋体"/>
          <w:color w:val="000000"/>
          <w:kern w:val="0"/>
          <w:sz w:val="32"/>
          <w:szCs w:val="32"/>
          <w:shd w:val="clear" w:color="auto" w:fill="FFFFFF"/>
          <w:lang w:val="zh-CN"/>
        </w:rPr>
      </w:pPr>
    </w:p>
    <w:p>
      <w:pPr>
        <w:spacing w:line="576" w:lineRule="atLeast"/>
        <w:jc w:val="right"/>
        <w:rPr>
          <w:rFonts w:ascii="仿宋_GB2312" w:eastAsia="仿宋_GB2312" w:cs="宋体"/>
          <w:color w:val="000000"/>
          <w:kern w:val="0"/>
          <w:sz w:val="32"/>
          <w:szCs w:val="32"/>
          <w:shd w:val="clear" w:color="auto" w:fill="FFFFFF"/>
          <w:lang w:val="zh-CN"/>
        </w:rPr>
      </w:pPr>
    </w:p>
    <w:p>
      <w:pPr>
        <w:spacing w:line="576" w:lineRule="exact"/>
        <w:jc w:val="center"/>
        <w:rPr>
          <w:rFonts w:ascii="方正小标宋简体" w:eastAsia="方正小标宋简体"/>
          <w:color w:val="000000"/>
          <w:kern w:val="0"/>
          <w:sz w:val="40"/>
          <w:szCs w:val="44"/>
          <w:lang w:val="zh-CN"/>
        </w:rPr>
      </w:pPr>
    </w:p>
    <w:p>
      <w:pPr>
        <w:pStyle w:val="1"/>
        <w:rPr>
          <w:lang w:val="zh-CN"/>
        </w:rPr>
      </w:pPr>
    </w:p>
    <w:p/>
    <w:p>
      <w:pPr>
        <w:spacing w:line="576" w:lineRule="exact"/>
        <w:jc w:val="left"/>
        <w:outlineLvl w:val="0"/>
        <w:rPr>
          <w:rFonts w:ascii="黑体" w:eastAsia="黑体" w:cs="黑体"/>
          <w:sz w:val="32"/>
          <w:szCs w:val="32"/>
        </w:rPr>
      </w:pPr>
    </w:p>
    <w:p>
      <w:pPr>
        <w:spacing w:line="576" w:lineRule="exact"/>
        <w:jc w:val="left"/>
        <w:outlineLvl w:val="0"/>
      </w:pPr>
    </w:p>
    <w:p>
      <w:pPr>
        <w:spacing w:line="576" w:lineRule="exact"/>
        <w:jc w:val="left"/>
        <w:outlineLvl w:val="0"/>
      </w:pPr>
      <w:r>
        <w:rPr>
          <w:rFonts w:ascii="黑体" w:eastAsia="黑体" w:cs="黑体" w:hint="eastAsia"/>
          <w:sz w:val="32"/>
          <w:szCs w:val="32"/>
        </w:rPr>
        <w:t>附件2：</w:t>
      </w:r>
    </w:p>
    <w:p>
      <w:pPr>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部门预算项目支出绩效自评报告</w:t>
      </w:r>
    </w:p>
    <w:p>
      <w:pPr>
        <w:tabs>
          <w:tab w:val="left" w:pos="3885"/>
        </w:tabs>
        <w:snapToGrid w:val="0"/>
        <w:spacing w:line="600" w:lineRule="exact"/>
        <w:jc w:val="center"/>
      </w:pPr>
      <w:r>
        <w:rPr>
          <w:rFonts w:hint="eastAsia"/>
        </w:rPr>
        <w:t>（团县委2022年项目）</w:t>
      </w:r>
    </w:p>
    <w:p>
      <w:pPr>
        <w:numPr>
          <w:ilvl w:val="0"/>
          <w:numId w:val="3"/>
        </w:numPr>
        <w:tabs>
          <w:tab w:val="left" w:pos="3885"/>
        </w:tabs>
        <w:snapToGrid w:val="0"/>
        <w:spacing w:line="600" w:lineRule="exact"/>
        <w:ind w:left="0" w:firstLineChars="200" w:firstLine="640"/>
        <w:jc w:val="left"/>
        <w:rPr>
          <w:rFonts w:ascii="黑体" w:eastAsia="黑体"/>
          <w:sz w:val="32"/>
          <w:szCs w:val="32"/>
        </w:rPr>
      </w:pPr>
      <w:r>
        <w:rPr>
          <w:rFonts w:ascii="黑体" w:eastAsia="黑体" w:hint="eastAsia"/>
          <w:sz w:val="32"/>
          <w:szCs w:val="32"/>
        </w:rPr>
        <w:t>基本情况</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（一）项目概况</w:t>
      </w:r>
    </w:p>
    <w:p>
      <w:pPr>
        <w:adjustRightInd w:val="0"/>
        <w:snapToGrid w:val="0"/>
        <w:spacing w:line="600" w:lineRule="exact"/>
        <w:ind w:firstLine="720"/>
        <w:rPr>
          <w:rFonts w:ascii="仿宋_GB2312" w:eastAsia="仿宋_GB2312"/>
        </w:rPr>
      </w:pPr>
      <w:r>
        <w:rPr>
          <w:rFonts w:ascii="仿宋_GB2312" w:eastAsia="仿宋_GB2312" w:hint="eastAsia"/>
          <w:sz w:val="32"/>
          <w:szCs w:val="32"/>
        </w:rPr>
        <w:t>1.</w:t>
      </w:r>
      <w:r>
        <w:rPr>
          <w:rFonts w:ascii="仿宋_GB2312" w:eastAsia="仿宋_GB2312" w:hint="eastAsia"/>
          <w:sz w:val="32"/>
          <w:szCs w:val="32"/>
          <w:lang w:val="zh-CN"/>
        </w:rPr>
        <w:t>根据茂财行【</w:t>
      </w:r>
      <w:r>
        <w:rPr>
          <w:rFonts w:ascii="仿宋_GB2312" w:eastAsia="仿宋_GB2312" w:hint="eastAsia"/>
          <w:sz w:val="32"/>
          <w:szCs w:val="32"/>
        </w:rPr>
        <w:t>2022</w:t>
      </w:r>
      <w:r>
        <w:rPr>
          <w:rFonts w:ascii="仿宋_GB2312" w:eastAsia="仿宋_GB2312" w:hint="eastAsia"/>
          <w:sz w:val="32"/>
          <w:szCs w:val="32"/>
          <w:lang w:val="zh-CN"/>
        </w:rPr>
        <w:t>】</w:t>
      </w:r>
      <w:r>
        <w:rPr>
          <w:rFonts w:ascii="仿宋_GB2312" w:eastAsia="仿宋_GB2312" w:hint="eastAsia"/>
          <w:sz w:val="32"/>
          <w:szCs w:val="32"/>
        </w:rPr>
        <w:t>3号文件，安排我单位发放西部计划志愿者基本工资及艰苦边远地区津贴经费24.88万元；根据对口援建【2022】00014号文件，安排我单位2022年度</w:t>
      </w:r>
      <w:r>
        <w:rPr>
          <w:rFonts w:ascii="仿宋_GB2312" w:eastAsia="仿宋_GB2312" w:hint="eastAsia"/>
          <w:sz w:val="32"/>
          <w:szCs w:val="32"/>
          <w:lang w:val="zh-CN"/>
        </w:rPr>
        <w:t>进行浙江平湖考察学习工作经费</w:t>
      </w:r>
      <w:r>
        <w:rPr>
          <w:rFonts w:ascii="仿宋_GB2312" w:eastAsia="仿宋_GB2312" w:hint="eastAsia"/>
          <w:sz w:val="32"/>
          <w:szCs w:val="32"/>
        </w:rPr>
        <w:t>8.82万元；根据</w:t>
      </w:r>
      <w:r>
        <w:rPr>
          <w:rFonts w:ascii="仿宋_GB2312" w:eastAsia="仿宋_GB2312" w:hint="eastAsia"/>
          <w:sz w:val="32"/>
          <w:szCs w:val="32"/>
          <w:lang w:val="zh-CN"/>
        </w:rPr>
        <w:t>茂财行</w:t>
      </w:r>
      <w:r>
        <w:rPr>
          <w:rFonts w:ascii="仿宋_GB2312" w:eastAsia="仿宋_GB2312" w:hint="eastAsia"/>
          <w:sz w:val="32"/>
          <w:szCs w:val="32"/>
        </w:rPr>
        <w:t>【2022】28号文件，安排我单位州级留守学生之家补助资金4万元，2022年共3个项目。</w:t>
      </w:r>
    </w:p>
    <w:p>
      <w:pPr>
        <w:adjustRightInd w:val="0"/>
        <w:snapToGrid w:val="0"/>
        <w:spacing w:line="600" w:lineRule="exact"/>
        <w:ind w:firstLine="720"/>
        <w:rPr>
          <w:rFonts w:ascii="仿宋_GB2312" w:eastAsia="仿宋_GB2312"/>
          <w:lang w:val="zh-CN"/>
        </w:rPr>
      </w:pPr>
      <w:r>
        <w:rPr>
          <w:rFonts w:ascii="仿宋_GB2312" w:eastAsia="仿宋_GB2312" w:hint="eastAsia"/>
          <w:sz w:val="32"/>
          <w:szCs w:val="32"/>
        </w:rPr>
        <w:t>2.</w:t>
      </w:r>
      <w:r>
        <w:rPr>
          <w:rFonts w:ascii="仿宋_GB2312" w:eastAsia="仿宋_GB2312" w:hint="eastAsia"/>
          <w:sz w:val="32"/>
          <w:szCs w:val="32"/>
          <w:lang w:val="zh-CN"/>
        </w:rPr>
        <w:t>在项目实施过程中严格按照规定使用资金，做到专款专用，严禁虚报、挤占、挪用，无违反规定的行为发生。</w:t>
      </w:r>
    </w:p>
    <w:p>
      <w:pPr>
        <w:adjustRightInd w:val="0"/>
        <w:snapToGrid w:val="0"/>
        <w:spacing w:line="600" w:lineRule="exact"/>
        <w:ind w:firstLine="720"/>
        <w:rPr>
          <w:rFonts w:ascii="仿宋_GB2312" w:eastAsia="仿宋_GB2312"/>
          <w:bCs/>
        </w:rPr>
      </w:pPr>
      <w:r>
        <w:rPr>
          <w:rFonts w:ascii="仿宋_GB2312" w:eastAsia="仿宋_GB2312" w:hint="eastAsia"/>
          <w:sz w:val="32"/>
          <w:szCs w:val="32"/>
        </w:rPr>
        <w:t>3.资</w:t>
      </w:r>
      <w:r>
        <w:rPr>
          <w:rFonts w:ascii="仿宋_GB2312" w:eastAsia="仿宋_GB2312" w:hint="eastAsia"/>
          <w:bCs/>
          <w:sz w:val="32"/>
          <w:szCs w:val="32"/>
        </w:rPr>
        <w:t>金均用于交流交往学习、新建2个童伴之家、西部计划补助等工作经费。</w:t>
      </w:r>
    </w:p>
    <w:p>
      <w:pPr>
        <w:numPr>
          <w:ilvl w:val="0"/>
          <w:numId w:val="3"/>
        </w:numPr>
        <w:tabs>
          <w:tab w:val="left" w:pos="3885"/>
        </w:tabs>
        <w:snapToGrid w:val="0"/>
        <w:spacing w:line="600" w:lineRule="exact"/>
        <w:ind w:left="0" w:firstLineChars="200" w:firstLine="640"/>
        <w:jc w:val="left"/>
        <w:rPr>
          <w:rFonts w:ascii="黑体" w:eastAsia="黑体"/>
          <w:sz w:val="32"/>
          <w:szCs w:val="32"/>
        </w:rPr>
      </w:pPr>
      <w:r>
        <w:rPr>
          <w:rFonts w:ascii="黑体" w:eastAsia="黑体" w:hint="eastAsia"/>
          <w:sz w:val="32"/>
          <w:szCs w:val="32"/>
        </w:rPr>
        <w:t>评价工作开展情况</w:t>
      </w:r>
    </w:p>
    <w:p>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组织相关人员整理相关资料，查阅财务资料，细化绩效目标等，开展绩效自评相关工作。</w:t>
      </w:r>
    </w:p>
    <w:p>
      <w:pPr>
        <w:numPr>
          <w:ilvl w:val="0"/>
          <w:numId w:val="3"/>
        </w:numPr>
        <w:tabs>
          <w:tab w:val="left" w:pos="3885"/>
        </w:tabs>
        <w:snapToGrid w:val="0"/>
        <w:spacing w:line="600" w:lineRule="exact"/>
        <w:ind w:left="0" w:firstLineChars="200" w:firstLine="640"/>
        <w:jc w:val="left"/>
        <w:rPr>
          <w:rFonts w:ascii="黑体" w:eastAsia="黑体"/>
          <w:sz w:val="32"/>
          <w:szCs w:val="32"/>
        </w:rPr>
      </w:pPr>
      <w:r>
        <w:rPr>
          <w:rFonts w:ascii="黑体" w:eastAsia="黑体" w:hint="eastAsia"/>
          <w:sz w:val="32"/>
          <w:szCs w:val="32"/>
        </w:rPr>
        <w:t>综合评价结论</w:t>
      </w:r>
    </w:p>
    <w:p>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项目已按申报内容完成相关绩效目标，项目进度已完成100%；项目申报内容与实际相符，申报目标合理可行。</w:t>
      </w:r>
    </w:p>
    <w:p>
      <w:pPr>
        <w:snapToGrid w:val="0"/>
        <w:spacing w:line="600" w:lineRule="exact"/>
        <w:ind w:firstLineChars="200" w:firstLine="640"/>
        <w:rPr>
          <w:rFonts w:ascii="黑体" w:eastAsia="黑体" w:cs="黑体"/>
          <w:bCs/>
          <w:sz w:val="32"/>
          <w:szCs w:val="32"/>
        </w:rPr>
      </w:pPr>
      <w:r>
        <w:rPr>
          <w:rFonts w:ascii="黑体" w:eastAsia="黑体" w:cs="黑体" w:hint="eastAsia"/>
          <w:bCs/>
          <w:sz w:val="32"/>
          <w:szCs w:val="32"/>
        </w:rPr>
        <w:t>四、绩效评价分析</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（一）项目绩效目标。</w:t>
      </w:r>
    </w:p>
    <w:p>
      <w:pPr>
        <w:adjustRightInd w:val="0"/>
        <w:snapToGrid w:val="0"/>
        <w:spacing w:line="600" w:lineRule="exact"/>
        <w:ind w:firstLine="720"/>
        <w:rPr>
          <w:rFonts w:ascii="仿宋_GB2312" w:hAnsi="仿宋_GB2312"/>
        </w:rPr>
      </w:pPr>
      <w:r>
        <w:rPr>
          <w:rFonts w:ascii="仿宋_GB2312" w:eastAsia="仿宋_GB2312"/>
          <w:sz w:val="32"/>
          <w:szCs w:val="32"/>
          <w:lang w:val="zh-CN"/>
        </w:rPr>
        <w:t>1</w:t>
      </w:r>
      <w:r>
        <w:rPr>
          <w:rFonts w:ascii="仿宋_GB2312" w:hAnsi="仿宋_GB2312" w:hint="eastAsia"/>
          <w:sz w:val="32"/>
          <w:szCs w:val="32"/>
        </w:rPr>
        <w:t>.</w:t>
      </w:r>
      <w:r>
        <w:rPr>
          <w:rFonts w:ascii="仿宋_GB2312" w:eastAsia="仿宋_GB2312" w:hint="eastAsia"/>
          <w:sz w:val="32"/>
          <w:szCs w:val="32"/>
        </w:rPr>
        <w:t>项目主要内容。</w:t>
      </w:r>
      <w:r>
        <w:rPr>
          <w:rFonts w:ascii="仿宋_GB2312" w:hAnsi="仿宋_GB2312" w:hint="eastAsia"/>
          <w:sz w:val="32"/>
          <w:szCs w:val="32"/>
        </w:rPr>
        <w:t>开展交流交往学习活动</w:t>
      </w:r>
      <w:r>
        <w:rPr>
          <w:rFonts w:ascii="仿宋_GB2312" w:hAnsi="仿宋_GB2312" w:hint="eastAsia"/>
          <w:bCs/>
          <w:sz w:val="32"/>
          <w:szCs w:val="32"/>
        </w:rPr>
        <w:t>、新建2个童伴之家、西部计划补助</w:t>
      </w:r>
      <w:r>
        <w:rPr>
          <w:rFonts w:ascii="仿宋_GB2312" w:eastAsia="仿宋_GB2312" w:hint="eastAsia"/>
          <w:bCs/>
          <w:sz w:val="32"/>
          <w:szCs w:val="32"/>
        </w:rPr>
        <w:t>等方面的工作</w:t>
      </w:r>
      <w:r>
        <w:rPr>
          <w:rFonts w:ascii="仿宋_GB2312" w:hAnsi="仿宋_GB2312" w:hint="eastAsia"/>
          <w:bCs/>
          <w:sz w:val="32"/>
          <w:szCs w:val="32"/>
        </w:rPr>
        <w:t>。</w:t>
      </w:r>
    </w:p>
    <w:p>
      <w:pPr>
        <w:adjustRightInd w:val="0"/>
        <w:snapToGrid w:val="0"/>
        <w:spacing w:line="600" w:lineRule="exact"/>
        <w:ind w:firstLine="720"/>
        <w:rPr>
          <w:rFonts w:ascii="仿宋_GB2312" w:hAnsi="仿宋_GB2312"/>
          <w:lang w:val="zh-CN"/>
        </w:rPr>
      </w:pPr>
      <w:r>
        <w:rPr>
          <w:rFonts w:ascii="仿宋_GB2312" w:eastAsia="仿宋_GB2312"/>
          <w:sz w:val="32"/>
          <w:szCs w:val="32"/>
          <w:lang w:val="zh-CN"/>
        </w:rPr>
        <w:t>2</w:t>
      </w:r>
      <w:r>
        <w:rPr>
          <w:rFonts w:ascii="仿宋_GB2312" w:hAnsi="仿宋_GB2312" w:hint="eastAsia"/>
          <w:sz w:val="32"/>
          <w:szCs w:val="32"/>
        </w:rPr>
        <w:t>.</w:t>
      </w:r>
      <w:r>
        <w:rPr>
          <w:rFonts w:ascii="仿宋_GB2312" w:eastAsia="仿宋_GB2312" w:hint="eastAsia"/>
          <w:sz w:val="32"/>
          <w:szCs w:val="32"/>
          <w:lang w:val="zh-CN"/>
        </w:rPr>
        <w:t>项目已按批复内容完成相关绩效目标，项目进度已完成</w:t>
      </w:r>
      <w:r>
        <w:rPr>
          <w:rFonts w:ascii="仿宋_GB2312" w:eastAsia="仿宋_GB2312" w:hint="eastAsia"/>
          <w:sz w:val="32"/>
          <w:szCs w:val="32"/>
        </w:rPr>
        <w:t>100%</w:t>
      </w:r>
      <w:r>
        <w:rPr>
          <w:rFonts w:ascii="仿宋_GB2312" w:eastAsia="仿宋_GB2312" w:hint="eastAsia"/>
          <w:sz w:val="32"/>
          <w:szCs w:val="32"/>
          <w:lang w:val="zh-CN"/>
        </w:rPr>
        <w:t>。</w:t>
      </w:r>
    </w:p>
    <w:p>
      <w:pPr>
        <w:adjustRightInd w:val="0"/>
        <w:snapToGrid w:val="0"/>
        <w:spacing w:line="600" w:lineRule="exact"/>
        <w:ind w:firstLine="720"/>
        <w:rPr>
          <w:rFonts w:ascii="仿宋_GB2312" w:hAnsi="仿宋_GB2312"/>
          <w:lang w:val="zh-CN"/>
        </w:rPr>
      </w:pPr>
      <w:r>
        <w:rPr>
          <w:rFonts w:ascii="仿宋_GB2312" w:eastAsia="仿宋_GB2312"/>
          <w:sz w:val="32"/>
          <w:szCs w:val="32"/>
          <w:lang w:val="zh-CN"/>
        </w:rPr>
        <w:t>3</w:t>
      </w:r>
      <w:r>
        <w:rPr>
          <w:rFonts w:ascii="仿宋_GB2312" w:hAnsi="仿宋_GB2312" w:hint="eastAsia"/>
          <w:sz w:val="32"/>
          <w:szCs w:val="32"/>
        </w:rPr>
        <w:t>.</w:t>
      </w:r>
      <w:r>
        <w:rPr>
          <w:rFonts w:ascii="仿宋_GB2312" w:eastAsia="仿宋_GB2312" w:hint="eastAsia"/>
          <w:sz w:val="32"/>
          <w:szCs w:val="32"/>
          <w:lang w:val="zh-CN"/>
        </w:rPr>
        <w:t>项目申报内容与实际相符，申报目标合理可行。</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（二）项目管理情况</w:t>
      </w:r>
    </w:p>
    <w:p>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项目单位财务管理制度健全，严格执行财务管理制度，账务处理及时，会计核算规范。资金支付范围、支付标准、支付进度、支付依据等合规合法。</w:t>
      </w:r>
    </w:p>
    <w:p>
      <w:pPr>
        <w:snapToGrid w:val="0"/>
        <w:spacing w:line="600" w:lineRule="exact"/>
        <w:ind w:firstLineChars="200" w:firstLine="640"/>
        <w:rPr>
          <w:rFonts w:ascii="仿宋_GB2312" w:hAnsi="仿宋_GB2312"/>
        </w:rPr>
      </w:pPr>
      <w:r>
        <w:rPr>
          <w:rFonts w:ascii="楷体_GB2312" w:eastAsia="楷体_GB2312" w:cs="楷体_GB2312" w:hint="eastAsia"/>
          <w:b/>
          <w:bCs/>
          <w:color w:val="000000"/>
          <w:kern w:val="0"/>
          <w:sz w:val="32"/>
          <w:szCs w:val="32"/>
          <w:shd w:val="clear" w:color="auto" w:fill="FFFFFF"/>
          <w:lang w:val="zh-CN"/>
        </w:rPr>
        <w:t>（三）项目产出情况</w:t>
      </w:r>
    </w:p>
    <w:p>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通过以上三个项目实施，围绕交流学习活动、开展留守之家，累计建设2个童伴之家。</w:t>
      </w:r>
    </w:p>
    <w:p>
      <w:pPr>
        <w:widowControl/>
        <w:adjustRightInd w:val="0"/>
        <w:snapToGrid w:val="0"/>
        <w:spacing w:line="576" w:lineRule="atLeast"/>
        <w:ind w:firstLineChars="200" w:firstLine="640"/>
        <w:jc w:val="left"/>
        <w:rPr>
          <w:rFonts w:ascii="楷体_GB2312" w:eastAsia="楷体_GB2312" w:cs="楷体_GB2312"/>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（四）项目效益情况。</w:t>
      </w:r>
    </w:p>
    <w:p>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 xml:space="preserve">我单位严格按项目内容进行资金成本控制管理使用，资金管理使用得当，积极开展志愿服务宣传活动，青年活动座谈会等工作，受到群众一致好评，项目预期目标全面完成。  </w:t>
      </w:r>
    </w:p>
    <w:p>
      <w:pPr>
        <w:numPr>
          <w:ilvl w:val="0"/>
          <w:numId w:val="4"/>
        </w:numPr>
        <w:snapToGrid w:val="0"/>
        <w:spacing w:line="600" w:lineRule="exact"/>
        <w:ind w:left="0" w:firstLineChars="200" w:firstLine="640"/>
        <w:rPr>
          <w:rFonts w:ascii="黑体" w:eastAsia="黑体"/>
          <w:sz w:val="32"/>
          <w:szCs w:val="32"/>
        </w:rPr>
      </w:pPr>
      <w:r>
        <w:rPr>
          <w:rFonts w:ascii="黑体" w:eastAsia="黑体" w:hint="eastAsia"/>
          <w:sz w:val="32"/>
          <w:szCs w:val="32"/>
        </w:rPr>
        <w:t>存在主要问题</w:t>
      </w:r>
    </w:p>
    <w:p>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预算绩效考核指标的设定需要提升，要更加科学化、合理化。</w:t>
      </w:r>
    </w:p>
    <w:p>
      <w:pPr>
        <w:snapToGrid w:val="0"/>
        <w:spacing w:line="600" w:lineRule="exact"/>
        <w:ind w:firstLineChars="200" w:firstLine="640"/>
        <w:rPr>
          <w:rFonts w:ascii="黑体" w:eastAsia="黑体"/>
          <w:sz w:val="32"/>
          <w:szCs w:val="32"/>
        </w:rPr>
      </w:pPr>
      <w:r>
        <w:rPr>
          <w:rFonts w:ascii="黑体" w:eastAsia="黑体" w:hint="eastAsia"/>
          <w:sz w:val="32"/>
          <w:szCs w:val="32"/>
        </w:rPr>
        <w:t>六、相关措施建议</w:t>
      </w:r>
    </w:p>
    <w:p>
      <w:pPr>
        <w:adjustRightInd w:val="0"/>
        <w:snapToGrid w:val="0"/>
        <w:spacing w:line="600" w:lineRule="exact"/>
        <w:ind w:firstLine="720"/>
        <w:rPr>
          <w:rFonts w:ascii="仿宋_GB2312" w:eastAsia="仿宋_GB2312"/>
          <w:sz w:val="32"/>
          <w:szCs w:val="32"/>
        </w:rPr>
      </w:pPr>
      <w:r>
        <w:rPr>
          <w:rFonts w:ascii="仿宋_GB2312" w:eastAsia="仿宋_GB2312" w:hint="eastAsia"/>
          <w:sz w:val="32"/>
          <w:szCs w:val="32"/>
        </w:rPr>
        <w:t>建议本级财政部门能够加大项目资金的支持力度，以确保该项工作及时有效的开展、进行</w:t>
      </w:r>
    </w:p>
    <w:p>
      <w:pPr>
        <w:spacing w:line="576" w:lineRule="exact"/>
        <w:jc w:val="center"/>
        <w:outlineLvl w:val="0"/>
        <w:rPr>
          <w:rFonts w:ascii="方正小标宋简体" w:eastAsia="方正小标宋简体" w:cs="方正小标宋简体"/>
          <w:color w:val="000000"/>
          <w:sz w:val="44"/>
          <w:szCs w:val="44"/>
        </w:rPr>
      </w:pPr>
    </w:p>
    <w:p>
      <w:pPr>
        <w:spacing w:line="576" w:lineRule="exact"/>
        <w:jc w:val="center"/>
        <w:outlineLvl w:val="0"/>
        <w:rPr>
          <w:rStyle w:val="1Char"/>
          <w:rFonts w:ascii="方正小标宋简体" w:eastAsia="方正小标宋简体" w:cs="方正小标宋简体"/>
          <w:b w:val="0"/>
        </w:rPr>
      </w:pPr>
      <w:r>
        <w:rPr>
          <w:rFonts w:ascii="方正小标宋简体" w:eastAsia="方正小标宋简体" w:cs="方正小标宋简体" w:hint="eastAsia"/>
          <w:color w:val="000000"/>
          <w:sz w:val="44"/>
          <w:szCs w:val="44"/>
        </w:rPr>
        <w:t>第</w:t>
      </w:r>
      <w:r>
        <w:rPr>
          <w:rStyle w:val="1Char"/>
          <w:rFonts w:ascii="方正小标宋简体" w:eastAsia="方正小标宋简体" w:cs="方正小标宋简体" w:hint="eastAsia"/>
          <w:b w:val="0"/>
        </w:rPr>
        <w:t>五部分 附表</w:t>
      </w:r>
      <w:bookmarkEnd w:id="89"/>
      <w:bookmarkEnd w:id="95"/>
      <w:bookmarkEnd w:id="96"/>
      <w:bookmarkEnd w:id="97"/>
    </w:p>
    <w:p>
      <w:pPr>
        <w:spacing w:line="576" w:lineRule="atLeast"/>
        <w:ind w:firstLineChars="200" w:firstLine="640"/>
        <w:rPr>
          <w:rFonts w:ascii="仿宋_GB2312" w:eastAsia="仿宋_GB2312" w:cs="宋体"/>
          <w:color w:val="000000"/>
          <w:kern w:val="0"/>
          <w:sz w:val="32"/>
          <w:szCs w:val="32"/>
          <w:shd w:val="clear" w:color="auto" w:fill="FFFFFF"/>
          <w:lang w:val="zh-CN"/>
        </w:rPr>
      </w:pPr>
      <w:bookmarkStart w:id="99" w:name="_Toc79163636"/>
      <w:bookmarkStart w:id="100" w:name="_Toc79163886"/>
      <w:bookmarkStart w:id="101" w:name="_Toc15396619"/>
    </w:p>
    <w:p>
      <w:pPr>
        <w:spacing w:line="576" w:lineRule="atLeast"/>
        <w:ind w:firstLineChars="200" w:firstLine="640"/>
        <w:rPr>
          <w:rFonts w:ascii="仿宋_GB2312" w:eastAsia="仿宋_GB2312" w:cs="宋体"/>
          <w:color w:val="000000"/>
          <w:kern w:val="0"/>
          <w:sz w:val="32"/>
          <w:szCs w:val="32"/>
          <w:shd w:val="clear" w:color="auto" w:fill="FFFFFF"/>
          <w:lang w:val="zh-CN"/>
        </w:rPr>
      </w:pPr>
      <w:bookmarkEnd w:id="99"/>
      <w:bookmarkEnd w:id="100"/>
      <w:bookmarkEnd w:id="101"/>
      <w:r>
        <w:rPr>
          <w:rFonts w:ascii="仿宋_GB2312" w:eastAsia="仿宋_GB2312" w:cs="宋体" w:hint="eastAsia"/>
          <w:color w:val="000000"/>
          <w:kern w:val="0"/>
          <w:sz w:val="32"/>
          <w:szCs w:val="32"/>
          <w:shd w:val="clear" w:color="auto" w:fill="FFFFFF"/>
          <w:lang w:val="zh-CN"/>
        </w:rPr>
        <w:t>一、收入支出决算总表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二、收入决算表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三、支出决算表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四、财政拨款收入支出决算总表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五、财政拨款支出决算明细表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六、一般公共预算财政拨款支出决算表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七、一般公共预算财政拨款支出决算明细表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八、一般公共预算财政拨款基本支出决算表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九、一般公共预算财政拨款项目支出决算表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十、政府性基金预算财政拨款收入支出决算表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十一、国有资本经营预算财政拨款收入支出决算表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十二、国有资本经营预算财政拨款支出决算表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十三、财政拨款“三公”经费支出决算表</w:t>
      </w:r>
    </w:p>
    <w:p>
      <w:pPr>
        <w:spacing w:line="576" w:lineRule="atLeast"/>
        <w:ind w:firstLineChars="200" w:firstLine="640"/>
        <w:rPr>
          <w:rFonts w:ascii="仿宋_GB2312" w:eastAsia="仿宋_GB2312" w:cs="宋体"/>
          <w:color w:val="000000"/>
          <w:kern w:val="0"/>
          <w:sz w:val="32"/>
          <w:szCs w:val="32"/>
          <w:shd w:val="clear" w:color="auto" w:fill="FFFFFF"/>
          <w:lang w:val="zh-CN"/>
        </w:rPr>
      </w:pPr>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Arial Unicode MS"/>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00" w:usb3="00000000" w:csb0="00040000" w:csb1="00000000"/>
  </w:font>
  <w:font w:name="Times New Roman">
    <w:panose1 w:val="02020603050405020304"/>
    <w:charset w:val="01"/>
    <w:family w:val="auto"/>
    <w:pitch w:val="variable"/>
    <w:sig w:usb0="E0002AFF" w:usb1="C0007841" w:usb2="00000009" w:usb3="00000000" w:csb0="400001FF" w:csb1="FFFF0000"/>
  </w:font>
  <w:font w:name="Cambria">
    <w:panose1 w:val="02040503050406030204"/>
    <w:charset w:val="00"/>
    <w:family w:val="roman"/>
    <w:pitch w:val="variable"/>
    <w:sig w:usb0="E00002FF" w:usb1="400004FF" w:usb2="00000000" w:usb3="00000000" w:csb0="2000019F" w:csb1="00000000"/>
  </w:font>
  <w:font w:name="等线">
    <w:altName w:val="仿宋_GB2312"/>
    <w:panose1 w:val="00000000000000000000"/>
    <w:charset w:val="86"/>
    <w:family w:val="auto"/>
    <w:pitch w:val="variable"/>
    <w:sig w:usb0="00000000" w:usb1="00000000" w:usb2="00000016" w:usb3="00000000" w:csb0="0004000F" w:csb1="00000000"/>
  </w:font>
  <w:font w:name="华文细黑">
    <w:altName w:val="微软雅黑"/>
    <w:panose1 w:val="00000000000000000000"/>
    <w:charset w:val="86"/>
    <w:family w:val="auto"/>
    <w:pitch w:val="variable"/>
    <w:sig w:usb0="00000000" w:usb1="00000000" w:usb2="00000000" w:usb3="00000000" w:csb0="0004009F" w:csb1="DFD70000"/>
  </w:font>
  <w:font w:name="Calibri">
    <w:panose1 w:val="020F0502020204030204"/>
    <w:charset w:val="00"/>
    <w:family w:val="swiss"/>
    <w:pitch w:val="variable"/>
    <w:sig w:usb0="E10002FF" w:usb1="4000ACFF" w:usb2="00000009" w:usb3="00000000" w:csb0="2000019F" w:csb1="00000000"/>
  </w:font>
  <w:font w:name="等线 Light">
    <w:altName w:val="仿宋_GB2312"/>
    <w:panose1 w:val="00000000000000000000"/>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jc w:val="center"/>
    </w:pPr>
    <w:r>
      <w:fldChar w:fldCharType="begin"/>
    </w:r>
    <w:r>
      <w:instrText>PAGE   \* MERGEFORMAT</w:instrText>
    </w:r>
    <w:r>
      <w:fldChar w:fldCharType="separate"/>
    </w:r>
    <w:r>
      <w:t>12</w:t>
    </w:r>
    <w:r>
      <w:fldChar w:fldCharType="end"/>
    </w:r>
  </w:p>
  <w:p>
    <w:pPr>
      <w:pStyle w:val="23"/>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CF652CEC"/>
    <w:multiLevelType w:val="singleLevel"/>
    <w:tmpl w:val="CF652CEC"/>
    <w:lvl w:ilvl="0">
      <w:start w:val="9"/>
      <w:numFmt w:val="chineseCounting"/>
      <w:lvlRestart w:val="0"/>
      <w:suff w:val="nothing"/>
      <w:lvlText w:val="%1、"/>
      <w:lvlJc w:val="left"/>
      <w:pPr>
        <w:ind w:left="0" w:hanging="0"/>
      </w:pPr>
      <w:rPr>
        <w:rFonts w:cs="Times New Roman" w:hint="eastAsia"/>
      </w:rPr>
    </w:lvl>
  </w:abstractNum>
  <w:abstractNum w:abstractNumId="2">
    <w:nsid w:val="F3D2A562"/>
    <w:multiLevelType w:val="singleLevel"/>
    <w:tmpl w:val="F3D2A562"/>
    <w:lvl w:ilvl="0">
      <w:start w:val="1"/>
      <w:numFmt w:val="chineseCounting"/>
      <w:lvlRestart w:val="0"/>
      <w:suff w:val="nothing"/>
      <w:lvlText w:val="%1、"/>
      <w:lvlJc w:val="left"/>
      <w:pPr>
        <w:ind w:left="0" w:hanging="0"/>
      </w:pPr>
      <w:rPr>
        <w:rFonts w:hint="eastAsia"/>
      </w:rPr>
    </w:lvl>
  </w:abstractNum>
  <w:abstractNum w:abstractNumId="3">
    <w:nsid w:val="71A94FD1"/>
    <w:multiLevelType w:val="singleLevel"/>
    <w:tmpl w:val="71A94FD1"/>
    <w:lvl w:ilvl="0">
      <w:start w:val="5"/>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WZhZjBiMTE1OTE3YzZhMDA1NDNhMDdiOTk3MjUwY2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next w:val="1"/>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autoRedefine/>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autoRedefine/>
    <w:rPr>
      <w:rFonts w:ascii="Times New Roman" w:eastAsia="宋体" w:cs="Times New Roman" w:hAnsi="Times New Roman"/>
      <w:b/>
      <w:bCs/>
      <w:kern w:val="44"/>
      <w:sz w:val="44"/>
      <w:szCs w:val="44"/>
      <w:lang w:val="en-US" w:eastAsia="zh-CN" w:bidi="ar-SA"/>
    </w:rPr>
  </w:style>
  <w:style w:type="paragraph" w:styleId="2">
    <w:name w:val="heading 2"/>
    <w:basedOn w:val="0"/>
    <w:autoRedefine/>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autoRedefine/>
    <w:rPr>
      <w:rFonts w:ascii="Cambria" w:eastAsia="宋体" w:cs="Times New Roman" w:hAnsi="Cambria"/>
      <w:b/>
      <w:bCs/>
      <w:kern w:val="2"/>
      <w:sz w:val="32"/>
      <w:szCs w:val="32"/>
      <w:lang w:val="en-US" w:eastAsia="zh-CN" w:bidi="ar-SA"/>
    </w:rPr>
  </w:style>
  <w:style w:type="paragraph" w:styleId="3">
    <w:name w:val="heading 3"/>
    <w:basedOn w:val="0"/>
    <w:autoRedefine/>
    <w:next w:val="0"/>
    <w:pPr>
      <w:keepNext/>
      <w:keepLines/>
      <w:widowControl w:val="0"/>
      <w:spacing w:before="260" w:after="260" w:line="415" w:lineRule="auto"/>
      <w:outlineLvl w:val="2"/>
    </w:pPr>
    <w:rPr>
      <w:b/>
      <w:bCs/>
      <w:sz w:val="32"/>
      <w:szCs w:val="32"/>
    </w:rPr>
  </w:style>
  <w:style w:type="character" w:default="1" w:styleId="10">
    <w:name w:val="Default Paragraph Font"/>
    <w:autoRedefine/>
  </w:style>
  <w:style w:type="paragraph" w:styleId="15">
    <w:name w:val="toc 7"/>
    <w:basedOn w:val="0"/>
    <w:autoRedefine/>
    <w:next w:val="0"/>
    <w:pPr>
      <w:ind w:left="1260"/>
      <w:jc w:val="left"/>
    </w:pPr>
    <w:rPr>
      <w:rFonts w:ascii="等线" w:eastAsia="等线"/>
      <w:sz w:val="18"/>
      <w:szCs w:val="18"/>
    </w:rPr>
  </w:style>
  <w:style w:type="paragraph" w:styleId="16">
    <w:name w:val="Body Text"/>
    <w:basedOn w:val="0"/>
    <w:autoRedefine/>
    <w:pPr>
      <w:spacing w:beforeLines="30" w:before="30"/>
    </w:pPr>
    <w:rPr>
      <w:rFonts w:ascii="仿宋_GB2312" w:eastAsia="仿宋_GB2312"/>
      <w:kern w:val="0"/>
      <w:sz w:val="24"/>
      <w:szCs w:val="20"/>
      <w:lang w:val="zh-CN"/>
    </w:rPr>
  </w:style>
  <w:style w:type="paragraph" w:styleId="17">
    <w:name w:val="Body Text Indent"/>
    <w:basedOn w:val="0"/>
    <w:autoRedefine/>
    <w:next w:val="18"/>
    <w:pPr>
      <w:ind w:firstLineChars="200" w:firstLine="200"/>
    </w:pPr>
    <w:rPr>
      <w:rFonts w:ascii="华文细黑" w:eastAsia="华文细黑" w:cs="华文细黑"/>
      <w:b/>
      <w:bCs/>
      <w:sz w:val="32"/>
      <w:szCs w:val="32"/>
    </w:rPr>
  </w:style>
  <w:style w:type="paragraph" w:styleId="18">
    <w:name w:val="Body Text First Indent 2"/>
    <w:basedOn w:val="17"/>
    <w:autoRedefine/>
    <w:next w:val="0"/>
    <w:rPr>
      <w:rFonts w:eastAsia="宋体"/>
    </w:rPr>
  </w:style>
  <w:style w:type="paragraph" w:styleId="19">
    <w:name w:val="toc 5"/>
    <w:basedOn w:val="0"/>
    <w:autoRedefine/>
    <w:next w:val="0"/>
    <w:pPr>
      <w:ind w:left="840"/>
      <w:jc w:val="left"/>
    </w:pPr>
    <w:rPr>
      <w:rFonts w:ascii="等线" w:eastAsia="等线"/>
      <w:sz w:val="18"/>
      <w:szCs w:val="18"/>
    </w:rPr>
  </w:style>
  <w:style w:type="paragraph" w:styleId="20">
    <w:name w:val="toc 3"/>
    <w:basedOn w:val="0"/>
    <w:autoRedefine/>
    <w:next w:val="0"/>
    <w:pPr>
      <w:ind w:left="420"/>
      <w:jc w:val="left"/>
    </w:pPr>
    <w:rPr>
      <w:rFonts w:ascii="等线" w:eastAsia="等线"/>
      <w:i/>
      <w:iCs/>
      <w:sz w:val="20"/>
      <w:szCs w:val="20"/>
    </w:rPr>
  </w:style>
  <w:style w:type="paragraph" w:styleId="21">
    <w:name w:val="toc 8"/>
    <w:basedOn w:val="0"/>
    <w:autoRedefine/>
    <w:next w:val="0"/>
    <w:pPr>
      <w:ind w:left="1470"/>
      <w:jc w:val="left"/>
    </w:pPr>
    <w:rPr>
      <w:rFonts w:ascii="等线" w:eastAsia="等线"/>
      <w:sz w:val="18"/>
      <w:szCs w:val="18"/>
    </w:rPr>
  </w:style>
  <w:style w:type="paragraph" w:styleId="22">
    <w:name w:val="Balloon Text"/>
    <w:basedOn w:val="0"/>
    <w:autoRedefine/>
    <w:rPr>
      <w:sz w:val="18"/>
      <w:szCs w:val="18"/>
    </w:rPr>
  </w:style>
  <w:style w:type="paragraph" w:styleId="23">
    <w:name w:val="footer"/>
    <w:basedOn w:val="0"/>
    <w:autoRedefine/>
    <w:pPr>
      <w:tabs>
        <w:tab w:val="center" w:pos="4153"/>
        <w:tab w:val="right" w:pos="8306"/>
      </w:tabs>
      <w:snapToGrid w:val="0"/>
      <w:jc w:val="left"/>
    </w:pPr>
    <w:rPr>
      <w:rFonts w:ascii="Calibri" w:hAnsi="Calibri"/>
      <w:kern w:val="0"/>
      <w:sz w:val="18"/>
      <w:szCs w:val="20"/>
      <w:lang w:val="zh-CN"/>
    </w:rPr>
  </w:style>
  <w:style w:type="paragraph" w:styleId="24">
    <w:name w:val="header"/>
    <w:basedOn w:val="0"/>
    <w:autoRedefine/>
    <w:pPr>
      <w:pBdr>
        <w:bottom w:val="single" w:sz="6" w:space="1" w:color="auto"/>
      </w:pBdr>
      <w:tabs>
        <w:tab w:val="center" w:pos="4153"/>
        <w:tab w:val="right" w:pos="8306"/>
      </w:tabs>
      <w:snapToGrid w:val="0"/>
      <w:jc w:val="center"/>
    </w:pPr>
    <w:rPr>
      <w:rFonts w:ascii="Calibri" w:hAnsi="Calibri"/>
      <w:kern w:val="0"/>
      <w:sz w:val="18"/>
      <w:szCs w:val="20"/>
      <w:lang w:val="zh-CN"/>
    </w:rPr>
  </w:style>
  <w:style w:type="paragraph" w:styleId="25">
    <w:name w:val="toc 1"/>
    <w:basedOn w:val="0"/>
    <w:autoRedefine/>
    <w:next w:val="0"/>
    <w:pPr>
      <w:spacing w:before="120" w:after="120"/>
      <w:jc w:val="left"/>
    </w:pPr>
    <w:rPr>
      <w:rFonts w:ascii="等线" w:eastAsia="等线"/>
      <w:b/>
      <w:bCs/>
      <w:caps/>
      <w:smallCaps w:val="0"/>
      <w:sz w:val="20"/>
      <w:szCs w:val="20"/>
    </w:rPr>
  </w:style>
  <w:style w:type="paragraph" w:styleId="26">
    <w:name w:val="toc 4"/>
    <w:basedOn w:val="0"/>
    <w:autoRedefine/>
    <w:next w:val="0"/>
    <w:pPr>
      <w:ind w:left="630"/>
      <w:jc w:val="left"/>
    </w:pPr>
    <w:rPr>
      <w:rFonts w:ascii="等线" w:eastAsia="等线"/>
      <w:sz w:val="18"/>
      <w:szCs w:val="18"/>
    </w:rPr>
  </w:style>
  <w:style w:type="paragraph" w:styleId="27">
    <w:name w:val="toc 6"/>
    <w:basedOn w:val="0"/>
    <w:autoRedefine/>
    <w:next w:val="0"/>
    <w:pPr>
      <w:ind w:left="1050"/>
      <w:jc w:val="left"/>
    </w:pPr>
    <w:rPr>
      <w:rFonts w:ascii="等线" w:eastAsia="等线"/>
      <w:sz w:val="18"/>
      <w:szCs w:val="18"/>
    </w:rPr>
  </w:style>
  <w:style w:type="paragraph" w:styleId="28">
    <w:name w:val="toc 2"/>
    <w:basedOn w:val="0"/>
    <w:autoRedefine/>
    <w:next w:val="0"/>
    <w:pPr>
      <w:ind w:left="210"/>
      <w:jc w:val="left"/>
    </w:pPr>
    <w:rPr>
      <w:rFonts w:ascii="等线" w:eastAsia="等线"/>
      <w:caps w:val="0"/>
      <w:smallCaps/>
      <w:sz w:val="20"/>
      <w:szCs w:val="20"/>
    </w:rPr>
  </w:style>
  <w:style w:type="paragraph" w:styleId="29">
    <w:name w:val="toc 9"/>
    <w:basedOn w:val="0"/>
    <w:autoRedefine/>
    <w:next w:val="0"/>
    <w:pPr>
      <w:ind w:left="1680"/>
      <w:jc w:val="left"/>
    </w:pPr>
    <w:rPr>
      <w:rFonts w:ascii="等线" w:eastAsia="等线"/>
      <w:sz w:val="18"/>
      <w:szCs w:val="18"/>
    </w:rPr>
  </w:style>
  <w:style w:type="paragraph" w:styleId="30">
    <w:name w:val="Normal (Web)"/>
    <w:basedOn w:val="0"/>
    <w:autoRedefine/>
    <w:next w:val="16"/>
    <w:pPr>
      <w:jc w:val="left"/>
    </w:pPr>
    <w:rPr>
      <w:kern w:val="0"/>
      <w:sz w:val="24"/>
    </w:rPr>
  </w:style>
  <w:style w:type="paragraph" w:styleId="31">
    <w:name w:val="Body Text First Indent"/>
    <w:basedOn w:val="16"/>
    <w:autoRedefine/>
    <w:pPr>
      <w:ind w:firstLineChars="100" w:firstLine="100"/>
    </w:pPr>
    <w:rPr>
      <w:rFonts w:ascii="Calibri" w:cs="Calibri" w:hAnsi="Calibri"/>
    </w:rPr>
  </w:style>
  <w:style w:type="character" w:styleId="32">
    <w:name w:val="Strong"/>
    <w:basedOn w:val="10"/>
    <w:autoRedefine/>
    <w:rPr>
      <w:rFonts w:cs="Times New Roman"/>
      <w:b/>
    </w:rPr>
  </w:style>
  <w:style w:type="character" w:styleId="33">
    <w:name w:val="Hyperlink"/>
    <w:basedOn w:val="10"/>
    <w:autoRedefine/>
    <w:rPr>
      <w:rFonts w:cs="Times New Roman"/>
      <w:color w:val="0000FF"/>
      <w:u w:val="single"/>
    </w:rPr>
  </w:style>
  <w:style w:type="character" w:customStyle="1" w:styleId="34">
    <w:name w:val="Body Text Char"/>
    <w:basedOn w:val="10"/>
    <w:autoRedefine/>
    <w:rPr>
      <w:rFonts w:ascii="Times New Roman" w:cs="Times New Roman" w:hAnsi="Times New Roman"/>
      <w:sz w:val="24"/>
      <w:szCs w:val="24"/>
    </w:rPr>
  </w:style>
  <w:style w:type="character" w:customStyle="1" w:styleId="35">
    <w:name w:val="Footer Char"/>
    <w:basedOn w:val="10"/>
    <w:autoRedefine/>
    <w:rPr>
      <w:rFonts w:ascii="Times New Roman" w:cs="Times New Roman" w:hAnsi="Times New Roman"/>
      <w:sz w:val="18"/>
      <w:szCs w:val="18"/>
    </w:rPr>
  </w:style>
  <w:style w:type="character" w:customStyle="1" w:styleId="36">
    <w:name w:val="Header Char"/>
    <w:basedOn w:val="10"/>
    <w:autoRedefine/>
    <w:rPr>
      <w:rFonts w:ascii="Times New Roman" w:cs="Times New Roman" w:hAnsi="Times New Roman"/>
      <w:sz w:val="18"/>
      <w:szCs w:val="18"/>
    </w:rPr>
  </w:style>
  <w:style w:type="paragraph" w:customStyle="1" w:styleId="37">
    <w:name w:val="Default"/>
    <w:autoRedefine/>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8">
    <w:name w:val="列表段落1"/>
    <w:basedOn w:val="0"/>
    <w:autoRedefine/>
    <w:pPr>
      <w:ind w:firstLineChars="200" w:firstLine="200"/>
    </w:pPr>
  </w:style>
  <w:style w:type="paragraph" w:customStyle="1" w:styleId="39">
    <w:name w:val="TOC 标题1"/>
    <w:basedOn w:val="1"/>
    <w:autoRedefine/>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1"/>
    <w:autoRedefine/>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1"/>
    <w:autoRedefine/>
    <w:next w:val="0"/>
    <w:pPr>
      <w:keepNext/>
      <w:keepLines/>
      <w:widowControl/>
      <w:spacing w:before="240" w:after="0" w:line="259" w:lineRule="auto"/>
      <w:jc w:val="left"/>
      <w:outlineLvl w:val="9"/>
    </w:pPr>
    <w:rPr>
      <w:rFonts w:ascii="等线 Light" w:eastAsia="等线 Light"/>
      <w:b w:val="0"/>
      <w:bCs w:val="0"/>
      <w:color w:val="2F5597"/>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0" i="0" u="none" strike="noStrike" baseline="0">
                <a:solidFill>
                  <a:srgbClr val="595959"/>
                </a:solidFill>
                <a:latin typeface="Times New Roman"/>
                <a:ea typeface="宋体"/>
                <a:cs typeface="Arial"/>
              </a:defRPr>
            </a:pPr>
            <a:r>
              <a:rPr lang="zh-CN"/>
              <a:t>收、支决算总计变动情况图</a:t>
            </a:r>
          </a:p>
        </c:rich>
      </c:tx>
      <c:layout/>
      <c:overlay val="0"/>
      <c:spPr>
        <a:noFill/>
        <a:ln>
          <a:noFill/>
        </a:ln>
      </c:spPr>
    </c:title>
    <c:autoTitleDeleted val="1"/>
    <c:plotArea>
      <c:layout/>
      <c:barChart>
        <c:barDir val="col"/>
        <c:grouping val="clustered"/>
        <c:varyColors val="0"/>
        <c:ser>
          <c:idx val="0"/>
          <c:order val="0"/>
          <c:tx>
            <c:v>收入</c:v>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Arial"/>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2021年</c:v>
              </c:pt>
              <c:pt idx="1">
                <c:v>2022年</c:v>
              </c:pt>
            </c:strLit>
          </c:cat>
          <c:val>
            <c:numRef>
              <c:f/>
              <c:numCache>
                <c:formatCode>General</c:formatCode>
                <c:ptCount val="2"/>
                <c:pt idx="0">
                  <c:v>142.74</c:v>
                </c:pt>
                <c:pt idx="1">
                  <c:v>159.71</c:v>
                </c:pt>
              </c:numCache>
            </c:numRef>
          </c:val>
        </c:ser>
        <c:ser>
          <c:idx val="1"/>
          <c:order val="1"/>
          <c:tx>
            <c:v>支出</c:v>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Arial"/>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2021年</c:v>
              </c:pt>
              <c:pt idx="1">
                <c:v>2022年</c:v>
              </c:pt>
            </c:strLit>
          </c:cat>
          <c:val>
            <c:numRef>
              <c:f/>
              <c:numCache>
                <c:formatCode>General</c:formatCode>
                <c:ptCount val="2"/>
                <c:pt idx="0">
                  <c:v>144.74</c:v>
                </c:pt>
                <c:pt idx="1">
                  <c:v>159.71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Arial"/>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a:t>本年收入</a:t>
            </a:r>
          </a:p>
        </c:rich>
      </c:tx>
      <c:layout/>
      <c:overlay val="0"/>
      <c:spPr>
        <a:noFill/>
        <a:ln>
          <a:noFill/>
        </a:ln>
      </c:spPr>
    </c:title>
    <c:autoTitleDeleted val="1"/>
    <c:plotArea>
      <c:layout/>
      <c:pieChart>
        <c:varyColors val="1"/>
        <c:ser>
          <c:idx val="0"/>
          <c:order val="0"/>
          <c:tx>
            <c:strRef>
              <c:f>'Sheet1'!$B$1</c:f>
              <c:strCache>
                <c:ptCount val="1"/>
                <c:pt idx="0">
                  <c:v>本年收入</c:v>
                </c:pt>
              </c:strCache>
            </c:strRef>
          </c:tx>
          <c:spPr>
            <a:ln>
              <a:noFill/>
            </a:ln>
          </c:spPr>
          <c:explosion val="23"/>
          <c:dPt>
            <c:idx val="0"/>
            <c:bubble3D val="0"/>
            <c:explosion val="23"/>
            <c:spPr>
              <a:solidFill>
                <a:srgbClr val="3B65AE"/>
              </a:solidFill>
              <a:ln>
                <a:noFill/>
              </a:ln>
            </c:spPr>
          </c:dPt>
          <c:dPt>
            <c:idx val="1"/>
            <c:bubble3D val="0"/>
            <c:explosion val="23"/>
            <c:spPr>
              <a:solidFill>
                <a:srgbClr val="D36E2A"/>
              </a:solidFill>
              <a:ln>
                <a:noFill/>
              </a:ln>
            </c:spPr>
          </c:dPt>
          <c:dPt>
            <c:idx val="2"/>
            <c:bubble3D val="0"/>
            <c:explosion val="23"/>
            <c:spPr>
              <a:solidFill>
                <a:srgbClr val="929292"/>
              </a:solidFill>
              <a:ln>
                <a:noFill/>
              </a:ln>
            </c:spPr>
          </c:dPt>
          <c:dPt>
            <c:idx val="3"/>
            <c:bubble3D val="0"/>
            <c:explosion val="23"/>
            <c:spPr>
              <a:solidFill>
                <a:srgbClr val="E3AA00"/>
              </a:solidFill>
              <a:ln>
                <a:noFill/>
              </a:ln>
            </c:spPr>
          </c:dPt>
          <c:dPt>
            <c:idx val="4"/>
            <c:bubble3D val="0"/>
            <c:explosion val="23"/>
            <c:spPr>
              <a:solidFill>
                <a:srgbClr val="5089BD"/>
              </a:solidFill>
              <a:ln>
                <a:noFill/>
              </a:ln>
            </c:spPr>
          </c:dPt>
          <c:dPt>
            <c:idx val="5"/>
            <c:bubble3D val="0"/>
            <c:explosion val="23"/>
            <c:spPr>
              <a:solidFill>
                <a:srgbClr val="63993E"/>
              </a:solidFill>
              <a:ln>
                <a:noFill/>
              </a:ln>
            </c:spPr>
          </c:dPt>
          <c:dPt>
            <c:idx val="6"/>
            <c:bubble3D val="0"/>
            <c:explosion val="23"/>
            <c:spPr>
              <a:solidFill>
                <a:srgbClr val="90A2D4"/>
              </a:solidFill>
              <a:ln>
                <a:noFill/>
              </a:ln>
            </c:spPr>
          </c:dPt>
          <c:dLbls>
            <c:txPr>
              <a:bodyPr/>
              <a:lstStyle/>
              <a:p>
                <a:pPr>
                  <a:defRPr sz="1000" b="0" i="0" u="none" strike="noStrike" baseline="0">
                    <a:solidFill>
                      <a:srgbClr val="000000"/>
                    </a:solidFill>
                    <a:latin typeface="Times New Roman"/>
                    <a:ea typeface="宋体"/>
                    <a:cs typeface="Arial"/>
                  </a:defRPr>
                </a:pPr>
                <a:endParaRPr lang="zh-CN"/>
              </a:p>
            </c:txPr>
            <c:numFmt formatCode="General" sourceLinked="1"/>
            <c:showLegendKey val="0"/>
            <c:showVal val="0"/>
            <c:showCatName val="0"/>
            <c:showSerName val="0"/>
            <c:showPercent val="0"/>
            <c:showBubbleSize val="0"/>
            <c:showLeaderLines val="0"/>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0.0</c:v>
                </c:pt>
                <c:pt idx="2">
                  <c:v>0.0</c:v>
                </c:pt>
                <c:pt idx="3">
                  <c:v>0.0</c:v>
                </c:pt>
                <c:pt idx="4">
                  <c:v>0.0</c:v>
                </c:pt>
                <c:pt idx="5">
                  <c:v>0.0</c:v>
                </c:pt>
                <c:pt idx="6">
                  <c:v>0.0</c:v>
                </c:pt>
              </c:numCache>
            </c:numRef>
          </c:val>
        </c:ser>
        <c:firstSliceAng val="0"/>
      </c:pieChart>
      <c:spPr>
        <a:solidFill>
          <a:srgbClr val="FFFFFF"/>
        </a:solidFill>
        <a:ln>
          <a:noFill/>
        </a:ln>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a:solidFill>
      <a:srgbClr val="FFFFFF"/>
    </a:solidFill>
    <a:ln w="6350">
      <a:solidFill>
        <a:srgbClr val="89898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Arial"/>
              </a:defRPr>
            </a:pPr>
            <a:r>
              <a:rPr lang="zh-CN"/>
              <a:t>支出决算结构图</a:t>
            </a:r>
          </a:p>
        </c:rich>
      </c:tx>
      <c:layout>
        <c:manualLayout>
          <c:xMode val="edge"/>
          <c:yMode val="edge"/>
          <c:x val="0.34801373"/>
          <c:y val="0.042857144"/>
        </c:manualLayout>
      </c:layout>
      <c:overlay val="0"/>
      <c:spPr>
        <a:noFill/>
        <a:ln>
          <a:noFill/>
        </a:ln>
      </c:spPr>
    </c:title>
    <c:autoTitleDeleted val="1"/>
    <c:plotArea>
      <c:layout/>
      <c:pieChart>
        <c:varyColors val="1"/>
        <c:ser>
          <c:idx val="0"/>
          <c:order val="0"/>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Arial"/>
                  </a:defRPr>
                </a:pPr>
                <a:endParaRPr lang="zh-CN"/>
              </a:p>
            </c:txPr>
            <c:numFmt formatCode="General" sourceLinked="0"/>
            <c:showLegendKey val="0"/>
            <c:showVal val="1"/>
            <c:showCatName val="0"/>
            <c:showSerName val="0"/>
            <c:showPercent val="0"/>
            <c:showBubbleSize val="0"/>
            <c:showLeaderLines val="1"/>
          </c:dLbls>
          <c:cat>
            <c:strLit>
              <c:ptCount val="2"/>
              <c:pt idx="0">
                <c:v>基本支出</c:v>
              </c:pt>
              <c:pt idx="1">
                <c:v>项目支出</c:v>
              </c:pt>
            </c:strLit>
          </c:cat>
          <c:val>
            <c:numRef>
              <c:f/>
              <c:numCache>
                <c:formatCode>General</c:formatCode>
                <c:ptCount val="2"/>
                <c:pt idx="0">
                  <c:v>0.763900000000001</c:v>
                </c:pt>
                <c:pt idx="1">
                  <c:v>0.2361</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Arial"/>
              </a:defRPr>
            </a:pPr>
            <a:r>
              <a:rPr lang="zh-CN" sz="1800" b="0" i="0" u="none" strike="noStrike" baseline="0">
                <a:solidFill>
                  <a:srgbClr val="595959"/>
                </a:solidFill>
                <a:latin typeface="Times New Roman"/>
                <a:ea typeface="宋体"/>
                <a:cs typeface="Arial"/>
              </a:rPr>
              <a:t>财政拨款</a:t>
            </a:r>
            <a:r>
              <a:rPr lang="zh-CN" sz="1800" b="0" i="0" u="none" strike="noStrike" baseline="0">
                <a:solidFill>
                  <a:srgbClr val="595959"/>
                </a:solidFill>
                <a:latin typeface="Times New Roman"/>
                <a:ea typeface="宋体"/>
                <a:cs typeface="Arial"/>
              </a:rPr>
              <a:t>收、支决算总计变动情况图</a:t>
            </a:r>
          </a:p>
        </c:rich>
      </c:tx>
      <c:layout/>
      <c:overlay val="0"/>
      <c:spPr>
        <a:noFill/>
        <a:ln>
          <a:noFill/>
        </a:ln>
      </c:spPr>
    </c:title>
    <c:autoTitleDeleted val="1"/>
    <c:plotArea>
      <c:layout/>
      <c:barChart>
        <c:barDir val="col"/>
        <c:grouping val="clustered"/>
        <c:varyColors val="0"/>
        <c:ser>
          <c:idx val="0"/>
          <c:order val="0"/>
          <c:tx>
            <c:v>收入</c:v>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Arial"/>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2021年</c:v>
              </c:pt>
              <c:pt idx="1">
                <c:v>2022年</c:v>
              </c:pt>
            </c:strLit>
          </c:cat>
          <c:val>
            <c:numRef>
              <c:f/>
              <c:numCache>
                <c:formatCode>General</c:formatCode>
                <c:ptCount val="2"/>
                <c:pt idx="0">
                  <c:v>142.74</c:v>
                </c:pt>
                <c:pt idx="1">
                  <c:v>159.71</c:v>
                </c:pt>
              </c:numCache>
            </c:numRef>
          </c:val>
        </c:ser>
        <c:ser>
          <c:idx val="1"/>
          <c:order val="1"/>
          <c:tx>
            <c:v>支出</c:v>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Arial"/>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2021年</c:v>
              </c:pt>
              <c:pt idx="1">
                <c:v>2022年</c:v>
              </c:pt>
            </c:strLit>
          </c:cat>
          <c:val>
            <c:numRef>
              <c:f/>
              <c:numCache>
                <c:formatCode>General</c:formatCode>
                <c:ptCount val="2"/>
                <c:pt idx="0">
                  <c:v>144.74</c:v>
                </c:pt>
                <c:pt idx="1">
                  <c:v>159.71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Arial"/>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Arial"/>
              </a:defRPr>
            </a:pPr>
            <a:r>
              <a:rPr lang="zh-CN"/>
              <a:t>一般公共预算财政拨款支出</a:t>
            </a:r>
          </a:p>
        </c:rich>
      </c:tx>
      <c:layout/>
      <c:overlay val="0"/>
      <c:spPr>
        <a:noFill/>
        <a:ln>
          <a:noFill/>
        </a:ln>
      </c:spPr>
    </c:title>
    <c:autoTitleDeleted val="0"/>
    <c:plotArea>
      <c:layout/>
      <c:barChart>
        <c:barDir val="col"/>
        <c:grouping val="clustered"/>
        <c:varyColors val="0"/>
        <c:ser>
          <c:idx val="0"/>
          <c:order val="0"/>
          <c:tx>
            <c:v>一般公共预算财政拨款支出</c:v>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Arial"/>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Lit>
              <c:ptCount val="2"/>
              <c:pt idx="0">
                <c:v>2021年</c:v>
              </c:pt>
              <c:pt idx="1">
                <c:v>2022年</c:v>
              </c:pt>
            </c:strLit>
          </c:cat>
          <c:val>
            <c:numRef>
              <c:f/>
              <c:numCache>
                <c:formatCode>General</c:formatCode>
                <c:ptCount val="2"/>
                <c:pt idx="0">
                  <c:v>144.74</c:v>
                </c:pt>
                <c:pt idx="1">
                  <c:v>159.71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Arial"/>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Arial"/>
              </a:defRPr>
            </a:pPr>
            <a:r>
              <a:rPr lang="zh-CN"/>
              <a:t>一般公共预算财政拨款支出决算结构</a:t>
            </a:r>
          </a:p>
        </c:rich>
      </c:tx>
      <c:layout/>
      <c:overlay val="0"/>
      <c:spPr>
        <a:noFill/>
        <a:ln>
          <a:noFill/>
        </a:ln>
      </c:spPr>
    </c:title>
    <c:autoTitleDeleted val="1"/>
    <c:plotArea>
      <c:layout/>
      <c:pieChart>
        <c:varyColors val="1"/>
        <c:ser>
          <c:idx val="0"/>
          <c:order val="0"/>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Pt>
            <c:idx val="5"/>
            <c:bubble3D val="0"/>
            <c:spPr>
              <a:solidFill>
                <a:srgbClr val="F79646"/>
              </a:solidFill>
              <a:ln>
                <a:noFill/>
              </a:ln>
            </c:spPr>
          </c:dPt>
          <c:dLbls>
            <c:spPr>
              <a:noFill/>
              <a:ln>
                <a:noFill/>
              </a:ln>
            </c:spPr>
            <c:txPr>
              <a:bodyPr vert="horz"/>
              <a:lstStyle/>
              <a:p>
                <a:pPr>
                  <a:defRPr sz="900" b="0" i="0" u="none" strike="noStrike" baseline="0">
                    <a:solidFill>
                      <a:srgbClr val="404040"/>
                    </a:solidFill>
                    <a:latin typeface="Times New Roman"/>
                    <a:ea typeface="宋体"/>
                    <a:cs typeface="Arial"/>
                  </a:defRPr>
                </a:pPr>
                <a:endParaRPr lang="zh-CN"/>
              </a:p>
            </c:txPr>
            <c:numFmt formatCode="General" sourceLinked="0"/>
            <c:showLegendKey val="0"/>
            <c:showVal val="1"/>
            <c:showCatName val="0"/>
            <c:showSerName val="0"/>
            <c:showPercent val="0"/>
            <c:showBubbleSize val="0"/>
            <c:showLeaderLines val="1"/>
          </c:dLbls>
          <c:cat>
            <c:strLit>
              <c:ptCount val="6"/>
              <c:pt idx="0">
                <c:v>社会保障和就业（208）</c:v>
              </c:pt>
              <c:pt idx="1">
                <c:v>一般公共服务支出（201）</c:v>
              </c:pt>
              <c:pt idx="2">
                <c:v>其他支出（229）</c:v>
              </c:pt>
              <c:pt idx="3">
                <c:v>农林水支出（213）</c:v>
              </c:pt>
              <c:pt idx="4">
                <c:v>卫生健康支出（210）</c:v>
              </c:pt>
              <c:pt idx="5">
                <c:v>住房保障支出（221）</c:v>
              </c:pt>
            </c:strLit>
          </c:cat>
          <c:val>
            <c:numRef>
              <c:f/>
              <c:numCache>
                <c:formatCode>General</c:formatCode>
                <c:ptCount val="6"/>
                <c:pt idx="0">
                  <c:v>0.0791</c:v>
                </c:pt>
                <c:pt idx="1">
                  <c:v>0.767400000000001</c:v>
                </c:pt>
                <c:pt idx="2">
                  <c:v>0.0251</c:v>
                </c:pt>
                <c:pt idx="3">
                  <c:v>0.0552</c:v>
                </c:pt>
                <c:pt idx="4">
                  <c:v>0.0296</c:v>
                </c:pt>
                <c:pt idx="5">
                  <c:v>0.0436</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Arial"/>
            </a:defRPr>
          </a:pPr>
          <a:endParaRPr lang="zh-CN"/>
        </a:p>
      </c:txPr>
    </c:legend>
    <c:plotVisOnly val="1"/>
    <c:dispBlanksAs val="zero"/>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44822"/>
          <c:y val="0.26417106"/>
          <c:w val="0.42426902"/>
          <c:h val="0.7273183"/>
        </c:manualLayout>
      </c:layout>
      <c:pieChart>
        <c:varyColors val="1"/>
        <c:ser>
          <c:idx val="0"/>
          <c:order val="0"/>
          <c:tx>
            <c:strRef>
              <c:f>'Sheet1 (6)'!$B$1</c:f>
              <c:strCache>
                <c:ptCount val="1"/>
                <c:pt idx="0">
                  <c:v>决算数</c:v>
                </c:pt>
              </c:strCache>
            </c:strRef>
          </c:tx>
          <c:spPr>
            <a:ln>
              <a:noFill/>
            </a:ln>
          </c:spPr>
          <c:dPt>
            <c:idx val="0"/>
            <c:bubble3D val="0"/>
            <c:spPr>
              <a:solidFill>
                <a:srgbClr val="4472C4"/>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Lbls>
            <c:txPr>
              <a:bodyPr/>
              <a:lstStyle/>
              <a:p>
                <a:pPr>
                  <a:defRPr sz="1000" b="0" i="0" u="none" strike="noStrike" baseline="0">
                    <a:solidFill>
                      <a:srgbClr val="000000"/>
                    </a:solidFill>
                    <a:latin typeface="Times New Roman"/>
                    <a:ea typeface="宋体"/>
                    <a:cs typeface="Arial"/>
                  </a:defRPr>
                </a:pPr>
                <a:endParaRPr lang="zh-CN"/>
              </a:p>
            </c:txPr>
            <c:numFmt formatCode="General" sourceLinked="1"/>
            <c:showLegendKey val="0"/>
            <c:showVal val="0"/>
            <c:showCatName val="0"/>
            <c:showSerName val="0"/>
            <c:showPercent val="0"/>
            <c:showBubbleSize val="0"/>
            <c:showLeaderLines val="0"/>
          </c:dLbls>
          <c:cat>
            <c:strRef>
              <c:f>'Sheet1 (6)'!$A$2:$A$5</c:f>
              <c:strCache>
                <c:ptCount val="4"/>
                <c:pt idx="0">
                  <c:v>因公出国（境）费</c:v>
                </c:pt>
                <c:pt idx="1">
                  <c:v>公务用车购置及运行维护费</c:v>
                </c:pt>
                <c:pt idx="2">
                  <c:v>公务接待费</c:v>
                </c:pt>
              </c:strCache>
            </c:strRef>
          </c:cat>
          <c:val>
            <c:numRef>
              <c:f>'Sheet1 (6)'!$B$2:$B$5</c:f>
              <c:numCache>
                <c:formatCode>General</c:formatCode>
                <c:ptCount val="4"/>
                <c:pt idx="0">
                  <c:v>0.0</c:v>
                </c:pt>
                <c:pt idx="1">
                  <c:v>0.0</c:v>
                </c:pt>
                <c:pt idx="2">
                  <c:v>0.0</c:v>
                </c:pt>
              </c:numCache>
            </c:numRef>
          </c:val>
        </c:ser>
        <c:firstSliceAng val="0"/>
      </c:pieChart>
      <c:spPr>
        <a:solidFill>
          <a:srgbClr val="FFFFFF"/>
        </a:solidFill>
        <a:ln>
          <a:noFill/>
        </a:ln>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Arial"/>
            </a:defRPr>
          </a:pPr>
          <a:endParaRPr lang="zh-CN"/>
        </a:p>
      </c:txPr>
    </c:legend>
    <c:plotVisOnly val="1"/>
    <c:dispBlanksAs val="zero"/>
    <c:showDLblsOverMax val="0"/>
  </c:chart>
  <c:spPr>
    <a:solidFill>
      <a:srgbClr val="FFFFFF"/>
    </a:solidFill>
    <a:ln w="6350">
      <a:solidFill>
        <a:srgbClr val="89898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2</TotalTime>
  <Application>Yozo_Office27021597764231179</Application>
  <Pages>28</Pages>
  <Words>10088</Words>
  <Characters>10863</Characters>
  <Lines>556</Lines>
  <Paragraphs>250</Paragraphs>
  <CharactersWithSpaces>10984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阿坝州部门决算说明</dc:title>
  <dc:creator>曹颖</dc:creator>
  <cp:lastModifiedBy>Lenovo</cp:lastModifiedBy>
  <cp:revision>72</cp:revision>
  <cp:lastPrinted>2022-09-23T17:11:00Z</cp:lastPrinted>
  <dcterms:created xsi:type="dcterms:W3CDTF">2022-09-22T17:34:00Z</dcterms:created>
  <dcterms:modified xsi:type="dcterms:W3CDTF">2024-08-14T08:06:48Z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B539CF251C4348F4BD08351AF949A536_13</vt:lpwstr>
  </property>
</Properties>
</file>