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color w:val="000000"/>
          <w:sz w:val="72"/>
          <w:szCs w:val="72"/>
        </w:rPr>
      </w:pPr>
      <w:bookmarkStart w:id="127" w:name="_GoBack"/>
      <w:bookmarkEnd w:id="127"/>
      <w:bookmarkStart w:id="0" w:name="_Toc15306267"/>
    </w:p>
    <w:p>
      <w:pPr>
        <w:spacing w:line="600" w:lineRule="exact"/>
        <w:jc w:val="center"/>
        <w:outlineLvl w:val="0"/>
        <w:rPr>
          <w:rFonts w:ascii="方正小标宋简体" w:eastAsia="方正小标宋简体"/>
          <w:color w:val="000000"/>
          <w:sz w:val="72"/>
          <w:szCs w:val="72"/>
        </w:rPr>
      </w:pPr>
    </w:p>
    <w:p>
      <w:pPr>
        <w:spacing w:line="600" w:lineRule="exact"/>
        <w:jc w:val="center"/>
        <w:outlineLvl w:val="0"/>
        <w:rPr>
          <w:rFonts w:ascii="方正小标宋简体" w:eastAsia="方正小标宋简体"/>
          <w:color w:val="000000"/>
          <w:sz w:val="72"/>
          <w:szCs w:val="72"/>
        </w:rPr>
      </w:pPr>
    </w:p>
    <w:p>
      <w:pPr>
        <w:jc w:val="center"/>
        <w:rPr>
          <w:rFonts w:ascii="方正小标宋简体" w:eastAsia="方正小标宋简体" w:cs="方正小标宋简体"/>
          <w:sz w:val="72"/>
          <w:szCs w:val="72"/>
        </w:rPr>
      </w:pPr>
      <w:bookmarkStart w:id="1" w:name="_Toc15378441"/>
      <w:bookmarkStart w:id="2" w:name="_Toc15396597"/>
      <w:bookmarkStart w:id="3" w:name="_Toc15377425"/>
      <w:bookmarkStart w:id="4" w:name="_Toc15396475"/>
      <w:bookmarkStart w:id="5" w:name="_Toc15377193"/>
      <w:r>
        <w:rPr>
          <w:rFonts w:hint="eastAsia" w:ascii="方正小标宋简体" w:eastAsia="方正小标宋简体" w:cs="方正小标宋简体"/>
          <w:sz w:val="72"/>
          <w:szCs w:val="72"/>
        </w:rPr>
        <w:t>2022年度</w:t>
      </w:r>
      <w:bookmarkEnd w:id="0"/>
      <w:bookmarkEnd w:id="1"/>
      <w:bookmarkEnd w:id="2"/>
      <w:bookmarkEnd w:id="3"/>
      <w:bookmarkEnd w:id="4"/>
      <w:bookmarkEnd w:id="5"/>
      <w:r>
        <w:rPr>
          <w:rFonts w:hint="eastAsia" w:ascii="方正小标宋简体" w:eastAsia="方正小标宋简体" w:cs="方正小标宋简体"/>
          <w:sz w:val="72"/>
          <w:szCs w:val="72"/>
        </w:rPr>
        <w:t>阿坝州</w:t>
      </w:r>
      <w:bookmarkStart w:id="6" w:name="_Toc15306268"/>
    </w:p>
    <w:p>
      <w:pPr>
        <w:jc w:val="center"/>
        <w:rPr>
          <w:rFonts w:ascii="黑体" w:eastAsia="黑体"/>
          <w:sz w:val="72"/>
          <w:szCs w:val="72"/>
        </w:rPr>
      </w:pPr>
      <w:r>
        <w:rPr>
          <w:rFonts w:hint="eastAsia" w:ascii="方正小标宋简体" w:eastAsia="方正小标宋简体" w:cs="方正小标宋简体"/>
          <w:sz w:val="72"/>
          <w:szCs w:val="72"/>
        </w:rPr>
        <w:t>茂县青少年活动中心决算</w:t>
      </w:r>
      <w:bookmarkEnd w:id="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p>
    <w:p>
      <w:pPr>
        <w:autoSpaceDE w:val="0"/>
        <w:autoSpaceDN w:val="0"/>
        <w:adjustRightInd w:val="0"/>
        <w:ind w:firstLine="1276"/>
        <w:jc w:val="left"/>
        <w:rPr>
          <w:rFonts w:ascii="仿宋_GB2312" w:eastAsia="仿宋_GB2312" w:cs="仿宋_GB2312"/>
          <w:sz w:val="32"/>
          <w:szCs w:val="32"/>
        </w:rPr>
      </w:pPr>
      <w:r>
        <w:rPr>
          <w:rFonts w:hint="eastAsia" w:ascii="仿宋_GB2312"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5"/>
        <w:jc w:val="center"/>
        <w:rPr>
          <w:rFonts w:ascii="仿宋_GB2312" w:eastAsia="仿宋_GB2312" w:cs="仿宋_GB2312"/>
          <w:b w:val="0"/>
          <w:caps w:val="0"/>
          <w:color w:val="000000"/>
          <w:kern w:val="0"/>
          <w:sz w:val="30"/>
          <w:szCs w:val="30"/>
          <w:lang w:val="zh-CN"/>
        </w:rPr>
      </w:pPr>
      <w:r>
        <w:rPr>
          <w:rFonts w:hint="eastAsia" w:ascii="仿宋_GB2312" w:eastAsia="仿宋_GB2312" w:cs="仿宋_GB2312"/>
          <w:b w:val="0"/>
          <w:caps w:val="0"/>
          <w:color w:val="000000"/>
          <w:kern w:val="0"/>
          <w:sz w:val="30"/>
          <w:szCs w:val="30"/>
          <w:lang w:val="zh-CN"/>
        </w:rPr>
        <w:t>公开时间：2023年</w:t>
      </w:r>
      <w:r>
        <w:rPr>
          <w:rFonts w:hint="eastAsia" w:ascii="仿宋_GB2312" w:eastAsia="仿宋_GB2312" w:cs="仿宋_GB2312"/>
          <w:b w:val="0"/>
          <w:caps w:val="0"/>
          <w:color w:val="000000"/>
          <w:kern w:val="0"/>
          <w:sz w:val="30"/>
          <w:szCs w:val="30"/>
        </w:rPr>
        <w:t>9</w:t>
      </w:r>
      <w:r>
        <w:rPr>
          <w:rFonts w:hint="eastAsia" w:ascii="仿宋_GB2312" w:eastAsia="仿宋_GB2312" w:cs="仿宋_GB2312"/>
          <w:b w:val="0"/>
          <w:caps w:val="0"/>
          <w:color w:val="000000"/>
          <w:kern w:val="0"/>
          <w:sz w:val="30"/>
          <w:szCs w:val="30"/>
          <w:lang w:val="zh-CN"/>
        </w:rPr>
        <w:t>月</w:t>
      </w:r>
      <w:r>
        <w:rPr>
          <w:rFonts w:hint="eastAsia" w:ascii="仿宋_GB2312" w:eastAsia="仿宋_GB2312" w:cs="仿宋_GB2312"/>
          <w:b w:val="0"/>
          <w:caps w:val="0"/>
          <w:color w:val="000000"/>
          <w:kern w:val="0"/>
          <w:sz w:val="30"/>
          <w:szCs w:val="30"/>
        </w:rPr>
        <w:t>12</w:t>
      </w:r>
      <w:r>
        <w:rPr>
          <w:rFonts w:hint="eastAsia" w:ascii="仿宋_GB2312" w:eastAsia="仿宋_GB2312" w:cs="仿宋_GB2312"/>
          <w:b w:val="0"/>
          <w:caps w:val="0"/>
          <w:color w:val="000000"/>
          <w:kern w:val="0"/>
          <w:sz w:val="30"/>
          <w:szCs w:val="30"/>
          <w:lang w:val="zh-CN"/>
        </w:rPr>
        <w:t>日</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fldChar w:fldCharType="begin"/>
      </w:r>
      <w:r>
        <w:rPr>
          <w:rFonts w:hint="eastAsia" w:ascii="仿宋_GB2312" w:eastAsia="仿宋_GB2312" w:cs="宋体"/>
          <w:b w:val="0"/>
          <w:bCs w:val="0"/>
          <w:caps w:val="0"/>
          <w:smallCaps/>
          <w:sz w:val="24"/>
          <w:szCs w:val="24"/>
        </w:rPr>
        <w:instrText xml:space="preserve"> TOC \o \u </w:instrText>
      </w:r>
      <w:r>
        <w:rPr>
          <w:rFonts w:hint="eastAsia" w:ascii="仿宋_GB2312" w:eastAsia="仿宋_GB2312" w:cs="宋体"/>
          <w:b w:val="0"/>
          <w:bCs w:val="0"/>
          <w:caps w:val="0"/>
          <w:smallCaps/>
          <w:sz w:val="24"/>
          <w:szCs w:val="24"/>
        </w:rPr>
        <w:fldChar w:fldCharType="separate"/>
      </w:r>
      <w:r>
        <w:rPr>
          <w:rFonts w:hint="eastAsia" w:ascii="仿宋_GB2312" w:eastAsia="仿宋_GB2312" w:cs="宋体"/>
          <w:b w:val="0"/>
          <w:bCs w:val="0"/>
          <w:caps w:val="0"/>
          <w:smallCaps/>
          <w:sz w:val="24"/>
          <w:szCs w:val="24"/>
        </w:rPr>
        <w:t>第一部分 部门概况</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fldChar w:fldCharType="begin"/>
      </w:r>
      <w:r>
        <w:rPr>
          <w:rFonts w:hint="eastAsia" w:ascii="仿宋_GB2312" w:eastAsia="仿宋_GB2312" w:cs="宋体"/>
          <w:b w:val="0"/>
          <w:bCs w:val="0"/>
          <w:caps w:val="0"/>
          <w:smallCaps/>
          <w:sz w:val="24"/>
          <w:szCs w:val="24"/>
        </w:rPr>
        <w:instrText xml:space="preserve"> PAGEREF _Toc79163851 \h </w:instrText>
      </w:r>
      <w:r>
        <w:rPr>
          <w:rFonts w:hint="eastAsia" w:ascii="仿宋_GB2312" w:eastAsia="仿宋_GB2312" w:cs="宋体"/>
          <w:b w:val="0"/>
          <w:bCs w:val="0"/>
          <w:caps w:val="0"/>
          <w:smallCaps/>
          <w:sz w:val="24"/>
          <w:szCs w:val="24"/>
        </w:rPr>
        <w:fldChar w:fldCharType="separate"/>
      </w:r>
      <w:r>
        <w:rPr>
          <w:rFonts w:hint="eastAsia" w:ascii="仿宋_GB2312" w:eastAsia="仿宋_GB2312" w:cs="宋体"/>
          <w:b w:val="0"/>
          <w:bCs w:val="0"/>
          <w:caps w:val="0"/>
          <w:smallCaps/>
          <w:sz w:val="24"/>
          <w:szCs w:val="24"/>
        </w:rPr>
        <w:t>4</w:t>
      </w:r>
      <w:r>
        <w:rPr>
          <w:rFonts w:hint="eastAsia" w:ascii="仿宋_GB2312" w:eastAsia="仿宋_GB2312" w:cs="宋体"/>
          <w:b w:val="0"/>
          <w:bCs w:val="0"/>
          <w:caps w:val="0"/>
          <w:smallCaps/>
          <w:sz w:val="24"/>
          <w:szCs w:val="24"/>
        </w:rPr>
        <w:fldChar w:fldCharType="end"/>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一、基本职能及主要工作</w:t>
      </w:r>
      <w:r>
        <w:rPr>
          <w:rFonts w:hint="eastAsia" w:ascii="仿宋_GB2312" w:eastAsia="仿宋_GB2312" w:cs="宋体"/>
          <w:sz w:val="24"/>
          <w:szCs w:val="24"/>
        </w:rPr>
        <w:tab/>
      </w:r>
      <w:r>
        <w:rPr>
          <w:rFonts w:hint="eastAsia" w:ascii="仿宋_GB2312" w:eastAsia="仿宋_GB2312" w:cs="宋体"/>
          <w:sz w:val="24"/>
          <w:szCs w:val="24"/>
        </w:rPr>
        <w:fldChar w:fldCharType="begin"/>
      </w:r>
      <w:r>
        <w:rPr>
          <w:rFonts w:hint="eastAsia" w:ascii="仿宋_GB2312" w:eastAsia="仿宋_GB2312" w:cs="宋体"/>
          <w:sz w:val="24"/>
          <w:szCs w:val="24"/>
        </w:rPr>
        <w:instrText xml:space="preserve"> PAGEREF _Toc79163852 \h </w:instrText>
      </w:r>
      <w:r>
        <w:rPr>
          <w:rFonts w:hint="eastAsia" w:ascii="仿宋_GB2312" w:eastAsia="仿宋_GB2312" w:cs="宋体"/>
          <w:sz w:val="24"/>
          <w:szCs w:val="24"/>
        </w:rPr>
        <w:fldChar w:fldCharType="separate"/>
      </w:r>
      <w:r>
        <w:rPr>
          <w:rFonts w:hint="eastAsia" w:ascii="仿宋_GB2312" w:eastAsia="仿宋_GB2312" w:cs="宋体"/>
          <w:sz w:val="24"/>
          <w:szCs w:val="24"/>
        </w:rPr>
        <w:t>4</w:t>
      </w:r>
      <w:r>
        <w:rPr>
          <w:rFonts w:hint="eastAsia" w:ascii="仿宋_GB2312" w:eastAsia="仿宋_GB2312" w:cs="宋体"/>
          <w:sz w:val="24"/>
          <w:szCs w:val="24"/>
        </w:rPr>
        <w:fldChar w:fldCharType="end"/>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（一）主要职能</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fldChar w:fldCharType="begin"/>
      </w:r>
      <w:r>
        <w:rPr>
          <w:rFonts w:hint="eastAsia" w:ascii="仿宋_GB2312" w:eastAsia="仿宋_GB2312" w:cs="宋体"/>
          <w:i w:val="0"/>
          <w:iCs w:val="0"/>
          <w:smallCaps/>
          <w:sz w:val="24"/>
          <w:szCs w:val="24"/>
        </w:rPr>
        <w:instrText xml:space="preserve"> PAGEREF _Toc79163853 \h </w:instrText>
      </w:r>
      <w:r>
        <w:rPr>
          <w:rFonts w:hint="eastAsia" w:ascii="仿宋_GB2312" w:eastAsia="仿宋_GB2312" w:cs="宋体"/>
          <w:i w:val="0"/>
          <w:iCs w:val="0"/>
          <w:smallCaps/>
          <w:sz w:val="24"/>
          <w:szCs w:val="24"/>
        </w:rPr>
        <w:fldChar w:fldCharType="separate"/>
      </w:r>
      <w:r>
        <w:rPr>
          <w:rFonts w:hint="eastAsia" w:ascii="仿宋_GB2312" w:eastAsia="仿宋_GB2312" w:cs="宋体"/>
          <w:i w:val="0"/>
          <w:iCs w:val="0"/>
          <w:smallCaps/>
          <w:sz w:val="24"/>
          <w:szCs w:val="24"/>
        </w:rPr>
        <w:t>4</w:t>
      </w:r>
      <w:r>
        <w:rPr>
          <w:rFonts w:hint="eastAsia" w:ascii="仿宋_GB2312" w:eastAsia="仿宋_GB2312" w:cs="宋体"/>
          <w:i w:val="0"/>
          <w:iCs w:val="0"/>
          <w:smallCaps/>
          <w:sz w:val="24"/>
          <w:szCs w:val="24"/>
        </w:rPr>
        <w:fldChar w:fldCharType="end"/>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（二）2022年重点工作完成情况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fldChar w:fldCharType="begin"/>
      </w:r>
      <w:r>
        <w:rPr>
          <w:rFonts w:hint="eastAsia" w:ascii="仿宋_GB2312" w:eastAsia="仿宋_GB2312" w:cs="宋体"/>
          <w:i w:val="0"/>
          <w:iCs w:val="0"/>
          <w:smallCaps/>
          <w:sz w:val="24"/>
          <w:szCs w:val="24"/>
        </w:rPr>
        <w:instrText xml:space="preserve"> PAGEREF _Toc79163854 \h </w:instrText>
      </w:r>
      <w:r>
        <w:rPr>
          <w:rFonts w:hint="eastAsia" w:ascii="仿宋_GB2312" w:eastAsia="仿宋_GB2312" w:cs="宋体"/>
          <w:i w:val="0"/>
          <w:iCs w:val="0"/>
          <w:smallCaps/>
          <w:sz w:val="24"/>
          <w:szCs w:val="24"/>
        </w:rPr>
        <w:fldChar w:fldCharType="separate"/>
      </w:r>
      <w:r>
        <w:rPr>
          <w:rFonts w:hint="eastAsia" w:ascii="仿宋_GB2312" w:eastAsia="仿宋_GB2312" w:cs="宋体"/>
          <w:i w:val="0"/>
          <w:iCs w:val="0"/>
          <w:smallCaps/>
          <w:sz w:val="24"/>
          <w:szCs w:val="24"/>
        </w:rPr>
        <w:t>4</w:t>
      </w:r>
      <w:r>
        <w:rPr>
          <w:rFonts w:hint="eastAsia" w:ascii="仿宋_GB2312" w:eastAsia="仿宋_GB2312" w:cs="宋体"/>
          <w:i w:val="0"/>
          <w:iCs w:val="0"/>
          <w:smallCaps/>
          <w:sz w:val="24"/>
          <w:szCs w:val="24"/>
        </w:rPr>
        <w:fldChar w:fldCharType="end"/>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二、机构设置</w:t>
      </w:r>
      <w:r>
        <w:rPr>
          <w:rFonts w:hint="eastAsia" w:ascii="仿宋_GB2312" w:eastAsia="仿宋_GB2312" w:cs="宋体"/>
          <w:sz w:val="24"/>
          <w:szCs w:val="24"/>
        </w:rPr>
        <w:tab/>
      </w:r>
      <w:r>
        <w:rPr>
          <w:rFonts w:hint="eastAsia" w:ascii="仿宋_GB2312" w:eastAsia="仿宋_GB2312" w:cs="宋体"/>
          <w:sz w:val="24"/>
          <w:szCs w:val="24"/>
        </w:rPr>
        <w:t>10</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t>第二部分 2022年度部门决算情况说明</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11</w:t>
      </w:r>
    </w:p>
    <w:p>
      <w:pPr>
        <w:pStyle w:val="18"/>
        <w:tabs>
          <w:tab w:val="left" w:pos="840"/>
          <w:tab w:val="right" w:leader="dot" w:pos="8296"/>
        </w:tabs>
        <w:ind w:left="0"/>
        <w:rPr>
          <w:rFonts w:ascii="仿宋_GB2312" w:eastAsia="仿宋_GB2312" w:cs="宋体"/>
          <w:sz w:val="24"/>
          <w:szCs w:val="24"/>
        </w:rPr>
      </w:pPr>
      <w:r>
        <w:rPr>
          <w:rFonts w:hint="eastAsia" w:ascii="仿宋_GB2312" w:eastAsia="仿宋_GB2312" w:cs="宋体"/>
          <w:sz w:val="24"/>
          <w:szCs w:val="24"/>
        </w:rPr>
        <w:t>一、收入支出决算总体情况说明</w:t>
      </w:r>
      <w:r>
        <w:rPr>
          <w:rFonts w:hint="eastAsia" w:ascii="仿宋_GB2312" w:eastAsia="仿宋_GB2312" w:cs="宋体"/>
          <w:sz w:val="24"/>
          <w:szCs w:val="24"/>
        </w:rPr>
        <w:tab/>
      </w:r>
      <w:r>
        <w:rPr>
          <w:rFonts w:hint="eastAsia" w:ascii="仿宋_GB2312" w:eastAsia="仿宋_GB2312" w:cs="宋体"/>
          <w:sz w:val="24"/>
          <w:szCs w:val="24"/>
        </w:rPr>
        <w:t>11</w:t>
      </w:r>
    </w:p>
    <w:p>
      <w:pPr>
        <w:pStyle w:val="18"/>
        <w:tabs>
          <w:tab w:val="left" w:pos="840"/>
          <w:tab w:val="right" w:leader="dot" w:pos="8296"/>
        </w:tabs>
        <w:ind w:left="0"/>
        <w:rPr>
          <w:rFonts w:ascii="仿宋_GB2312" w:eastAsia="仿宋_GB2312" w:cs="宋体"/>
          <w:sz w:val="24"/>
          <w:szCs w:val="24"/>
        </w:rPr>
      </w:pPr>
      <w:r>
        <w:rPr>
          <w:rFonts w:hint="eastAsia" w:ascii="仿宋_GB2312" w:eastAsia="仿宋_GB2312" w:cs="宋体"/>
          <w:sz w:val="24"/>
          <w:szCs w:val="24"/>
        </w:rPr>
        <w:t>二、收入决算情况说明</w:t>
      </w:r>
      <w:r>
        <w:rPr>
          <w:rFonts w:hint="eastAsia" w:ascii="仿宋_GB2312" w:eastAsia="仿宋_GB2312" w:cs="宋体"/>
          <w:sz w:val="24"/>
          <w:szCs w:val="24"/>
        </w:rPr>
        <w:tab/>
      </w:r>
      <w:r>
        <w:rPr>
          <w:rFonts w:hint="eastAsia" w:ascii="仿宋_GB2312" w:eastAsia="仿宋_GB2312" w:cs="宋体"/>
          <w:sz w:val="24"/>
          <w:szCs w:val="24"/>
        </w:rPr>
        <w:t>11</w:t>
      </w:r>
    </w:p>
    <w:p>
      <w:pPr>
        <w:pStyle w:val="18"/>
        <w:tabs>
          <w:tab w:val="left" w:pos="840"/>
          <w:tab w:val="right" w:leader="dot" w:pos="8296"/>
        </w:tabs>
        <w:ind w:left="0"/>
        <w:rPr>
          <w:rFonts w:ascii="仿宋_GB2312" w:eastAsia="仿宋_GB2312" w:cs="宋体"/>
          <w:sz w:val="24"/>
          <w:szCs w:val="24"/>
        </w:rPr>
      </w:pPr>
      <w:r>
        <w:rPr>
          <w:rFonts w:hint="eastAsia" w:ascii="仿宋_GB2312" w:eastAsia="仿宋_GB2312" w:cs="宋体"/>
          <w:sz w:val="24"/>
          <w:szCs w:val="24"/>
        </w:rPr>
        <w:t>三、支出决算情况说明</w:t>
      </w:r>
      <w:r>
        <w:rPr>
          <w:rFonts w:hint="eastAsia" w:ascii="仿宋_GB2312" w:eastAsia="仿宋_GB2312" w:cs="宋体"/>
          <w:sz w:val="24"/>
          <w:szCs w:val="24"/>
        </w:rPr>
        <w:tab/>
      </w:r>
      <w:r>
        <w:rPr>
          <w:rFonts w:hint="eastAsia" w:ascii="仿宋_GB2312" w:eastAsia="仿宋_GB2312" w:cs="宋体"/>
          <w:sz w:val="24"/>
          <w:szCs w:val="24"/>
        </w:rPr>
        <w:t>12</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四、财政拨款收入支出决算总体情况说明</w:t>
      </w:r>
      <w:r>
        <w:rPr>
          <w:rFonts w:hint="eastAsia" w:ascii="仿宋_GB2312" w:eastAsia="仿宋_GB2312" w:cs="宋体"/>
          <w:sz w:val="24"/>
          <w:szCs w:val="24"/>
        </w:rPr>
        <w:tab/>
      </w:r>
      <w:r>
        <w:rPr>
          <w:rFonts w:hint="eastAsia" w:ascii="仿宋_GB2312" w:eastAsia="仿宋_GB2312" w:cs="宋体"/>
          <w:sz w:val="24"/>
          <w:szCs w:val="24"/>
        </w:rPr>
        <w:t>12</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五、一般公共预算财政拨款支出决算情况说明</w:t>
      </w:r>
      <w:r>
        <w:rPr>
          <w:rFonts w:hint="eastAsia" w:ascii="仿宋_GB2312" w:eastAsia="仿宋_GB2312" w:cs="宋体"/>
          <w:sz w:val="24"/>
          <w:szCs w:val="24"/>
        </w:rPr>
        <w:tab/>
      </w:r>
      <w:r>
        <w:rPr>
          <w:rFonts w:hint="eastAsia" w:ascii="仿宋_GB2312" w:eastAsia="仿宋_GB2312" w:cs="宋体"/>
          <w:sz w:val="24"/>
          <w:szCs w:val="24"/>
        </w:rPr>
        <w:t>13</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（一）一般公共预算财政拨款支出决算总体情况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13</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（二）一般公共预算财政拨款支出决算结构情况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14</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（三）一般公共预算财政拨款支出决算具体情况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14</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六、一般公共预算财政拨款基本支出决算情况说明</w:t>
      </w:r>
      <w:r>
        <w:rPr>
          <w:rFonts w:hint="eastAsia" w:ascii="仿宋_GB2312" w:eastAsia="仿宋_GB2312" w:cs="宋体"/>
          <w:sz w:val="24"/>
          <w:szCs w:val="24"/>
        </w:rPr>
        <w:tab/>
      </w:r>
      <w:r>
        <w:rPr>
          <w:rFonts w:hint="eastAsia" w:ascii="仿宋_GB2312" w:eastAsia="仿宋_GB2312" w:cs="宋体"/>
          <w:sz w:val="24"/>
          <w:szCs w:val="24"/>
        </w:rPr>
        <w:t>15</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七、“三公”经费财政拨款支出决算情况说明</w:t>
      </w:r>
      <w:r>
        <w:rPr>
          <w:rFonts w:hint="eastAsia" w:ascii="仿宋_GB2312" w:eastAsia="仿宋_GB2312" w:cs="宋体"/>
          <w:sz w:val="24"/>
          <w:szCs w:val="24"/>
        </w:rPr>
        <w:tab/>
      </w:r>
      <w:r>
        <w:rPr>
          <w:rFonts w:hint="eastAsia" w:ascii="仿宋_GB2312" w:eastAsia="仿宋_GB2312" w:cs="宋体"/>
          <w:sz w:val="24"/>
          <w:szCs w:val="24"/>
        </w:rPr>
        <w:t>16</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（一）“三公”经费财政拨款支出决算总体情况说明</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16</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（二）“三公”经费财政拨款支出决算具体情况说明</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16</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八、政府性基金预算支出决算情况说明</w:t>
      </w:r>
      <w:r>
        <w:rPr>
          <w:rFonts w:hint="eastAsia" w:ascii="仿宋_GB2312" w:eastAsia="仿宋_GB2312" w:cs="宋体"/>
          <w:sz w:val="24"/>
          <w:szCs w:val="24"/>
        </w:rPr>
        <w:tab/>
      </w:r>
      <w:r>
        <w:rPr>
          <w:rFonts w:hint="eastAsia" w:ascii="仿宋_GB2312" w:eastAsia="仿宋_GB2312" w:cs="宋体"/>
          <w:sz w:val="24"/>
          <w:szCs w:val="24"/>
        </w:rPr>
        <w:t>17</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九、 国有资本经营预算支出决算情况说明</w:t>
      </w:r>
      <w:r>
        <w:rPr>
          <w:rFonts w:hint="eastAsia" w:ascii="仿宋_GB2312" w:eastAsia="仿宋_GB2312" w:cs="宋体"/>
          <w:sz w:val="24"/>
          <w:szCs w:val="24"/>
        </w:rPr>
        <w:tab/>
      </w:r>
      <w:r>
        <w:rPr>
          <w:rFonts w:hint="eastAsia" w:ascii="仿宋_GB2312" w:eastAsia="仿宋_GB2312" w:cs="宋体"/>
          <w:sz w:val="24"/>
          <w:szCs w:val="24"/>
        </w:rPr>
        <w:t>17</w:t>
      </w:r>
    </w:p>
    <w:p>
      <w:pPr>
        <w:pStyle w:val="18"/>
        <w:tabs>
          <w:tab w:val="right" w:leader="dot" w:pos="8296"/>
        </w:tabs>
        <w:ind w:left="0"/>
        <w:rPr>
          <w:rFonts w:ascii="仿宋_GB2312" w:eastAsia="仿宋_GB2312" w:cs="宋体"/>
          <w:sz w:val="24"/>
          <w:szCs w:val="24"/>
        </w:rPr>
      </w:pPr>
      <w:r>
        <w:rPr>
          <w:rFonts w:hint="eastAsia" w:ascii="仿宋_GB2312" w:eastAsia="仿宋_GB2312" w:cs="宋体"/>
          <w:sz w:val="24"/>
          <w:szCs w:val="24"/>
        </w:rPr>
        <w:t>十、其他重要事项的情况说明</w:t>
      </w:r>
      <w:r>
        <w:rPr>
          <w:rFonts w:hint="eastAsia" w:ascii="仿宋_GB2312" w:eastAsia="仿宋_GB2312" w:cs="宋体"/>
          <w:sz w:val="24"/>
          <w:szCs w:val="24"/>
        </w:rPr>
        <w:tab/>
      </w:r>
      <w:r>
        <w:rPr>
          <w:rFonts w:hint="eastAsia" w:ascii="仿宋_GB2312" w:eastAsia="仿宋_GB2312" w:cs="宋体"/>
          <w:sz w:val="24"/>
          <w:szCs w:val="24"/>
        </w:rPr>
        <w:t>17</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（一）机关运行经费支出情况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17</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（二）政府采购支出情况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17</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（三）国有资产占有使用情况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17</w:t>
      </w:r>
    </w:p>
    <w:p>
      <w:pPr>
        <w:pStyle w:val="10"/>
        <w:tabs>
          <w:tab w:val="right" w:leader="dot" w:pos="8296"/>
        </w:tabs>
        <w:ind w:left="0"/>
        <w:rPr>
          <w:rFonts w:ascii="仿宋_GB2312" w:eastAsia="仿宋_GB2312" w:cs="宋体"/>
          <w:i w:val="0"/>
          <w:iCs w:val="0"/>
          <w:smallCaps/>
          <w:sz w:val="24"/>
          <w:szCs w:val="24"/>
        </w:rPr>
      </w:pPr>
      <w:r>
        <w:rPr>
          <w:rFonts w:hint="eastAsia" w:ascii="仿宋_GB2312" w:eastAsia="仿宋_GB2312" w:cs="宋体"/>
          <w:i w:val="0"/>
          <w:iCs w:val="0"/>
          <w:smallCaps/>
          <w:sz w:val="24"/>
          <w:szCs w:val="24"/>
        </w:rPr>
        <w:t>（四）预算绩效管理情况</w:t>
      </w:r>
      <w:r>
        <w:rPr>
          <w:rFonts w:hint="eastAsia" w:ascii="仿宋_GB2312" w:eastAsia="仿宋_GB2312" w:cs="宋体"/>
          <w:i w:val="0"/>
          <w:iCs w:val="0"/>
          <w:smallCaps/>
          <w:sz w:val="24"/>
          <w:szCs w:val="24"/>
        </w:rPr>
        <w:tab/>
      </w:r>
      <w:r>
        <w:rPr>
          <w:rFonts w:hint="eastAsia" w:ascii="仿宋_GB2312" w:eastAsia="仿宋_GB2312" w:cs="宋体"/>
          <w:i w:val="0"/>
          <w:iCs w:val="0"/>
          <w:smallCaps/>
          <w:sz w:val="24"/>
          <w:szCs w:val="24"/>
        </w:rPr>
        <w:t>17</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t>第三部分 名词解释</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18</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t>第四部分 附件</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21</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t>附件1</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21</w:t>
      </w:r>
    </w:p>
    <w:p>
      <w:pPr>
        <w:pStyle w:val="15"/>
        <w:tabs>
          <w:tab w:val="right" w:leader="dot" w:pos="8296"/>
        </w:tabs>
        <w:spacing w:before="0"/>
        <w:rPr>
          <w:rFonts w:ascii="仿宋_GB2312" w:eastAsia="仿宋_GB2312" w:cs="宋体"/>
          <w:b w:val="0"/>
          <w:bCs w:val="0"/>
          <w:caps w:val="0"/>
          <w:smallCaps/>
          <w:sz w:val="24"/>
          <w:szCs w:val="24"/>
        </w:rPr>
      </w:pPr>
      <w:r>
        <w:rPr>
          <w:rFonts w:hint="eastAsia" w:ascii="仿宋_GB2312" w:eastAsia="仿宋_GB2312" w:cs="宋体"/>
          <w:b w:val="0"/>
          <w:bCs w:val="0"/>
          <w:caps w:val="0"/>
          <w:smallCaps/>
          <w:sz w:val="24"/>
          <w:szCs w:val="24"/>
        </w:rPr>
        <w:t>阿坝州茂县青少年活动中心2022年部门整体支出绩效评价报告</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21</w:t>
      </w:r>
    </w:p>
    <w:p>
      <w:pPr>
        <w:pStyle w:val="15"/>
        <w:tabs>
          <w:tab w:val="right" w:leader="dot" w:pos="8296"/>
        </w:tabs>
        <w:spacing w:before="0"/>
        <w:rPr>
          <w:rFonts w:hint="eastAsia" w:ascii="仿宋_GB2312" w:eastAsia="仿宋_GB2312" w:cs="宋体"/>
          <w:b w:val="0"/>
          <w:bCs w:val="0"/>
          <w:caps w:val="0"/>
          <w:smallCaps/>
          <w:sz w:val="24"/>
          <w:szCs w:val="24"/>
          <w:lang w:val="en-US" w:eastAsia="zh-CN"/>
        </w:rPr>
      </w:pPr>
      <w:r>
        <w:rPr>
          <w:rFonts w:hint="eastAsia" w:ascii="仿宋_GB2312" w:eastAsia="仿宋_GB2312" w:cs="宋体"/>
          <w:b w:val="0"/>
          <w:bCs w:val="0"/>
          <w:caps w:val="0"/>
          <w:smallCaps/>
          <w:sz w:val="24"/>
          <w:szCs w:val="24"/>
        </w:rPr>
        <w:t>第五部分 附表</w:t>
      </w:r>
      <w:r>
        <w:rPr>
          <w:rFonts w:hint="eastAsia" w:ascii="仿宋_GB2312" w:eastAsia="仿宋_GB2312" w:cs="宋体"/>
          <w:b w:val="0"/>
          <w:bCs w:val="0"/>
          <w:caps w:val="0"/>
          <w:smallCaps/>
          <w:sz w:val="24"/>
          <w:szCs w:val="24"/>
        </w:rPr>
        <w:tab/>
      </w:r>
      <w:r>
        <w:rPr>
          <w:rFonts w:hint="eastAsia" w:ascii="仿宋_GB2312" w:eastAsia="仿宋_GB2312" w:cs="宋体"/>
          <w:b w:val="0"/>
          <w:bCs w:val="0"/>
          <w:caps w:val="0"/>
          <w:smallCaps/>
          <w:sz w:val="24"/>
          <w:szCs w:val="24"/>
        </w:rPr>
        <w:t>2</w:t>
      </w:r>
      <w:r>
        <w:rPr>
          <w:rFonts w:hint="eastAsia" w:ascii="仿宋_GB2312" w:eastAsia="仿宋_GB2312" w:cs="宋体"/>
          <w:b w:val="0"/>
          <w:bCs w:val="0"/>
          <w:caps w:val="0"/>
          <w:smallCaps/>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一、收入支出决算总表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二、收入决算表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default" w:ascii="仿宋_GB2312" w:eastAsia="仿宋_GB2312" w:cs="宋体"/>
          <w:sz w:val="24"/>
          <w:szCs w:val="24"/>
          <w:lang w:val="en-US"/>
        </w:rPr>
      </w:pPr>
      <w:r>
        <w:rPr>
          <w:rFonts w:hint="eastAsia" w:ascii="仿宋_GB2312" w:eastAsia="仿宋_GB2312" w:cs="宋体"/>
          <w:sz w:val="24"/>
          <w:szCs w:val="24"/>
        </w:rPr>
        <w:t>三、支出决算表</w:t>
      </w:r>
      <w:r>
        <w:rPr>
          <w:rFonts w:hint="eastAsia" w:ascii="仿宋_GB2312" w:eastAsia="仿宋_GB2312" w:cs="宋体"/>
          <w:sz w:val="24"/>
          <w:szCs w:val="24"/>
        </w:rPr>
        <w:tab/>
      </w:r>
      <w:r>
        <w:rPr>
          <w:rFonts w:hint="eastAsia" w:ascii="仿宋_GB2312" w:eastAsia="仿宋_GB2312" w:cs="宋体"/>
          <w:sz w:val="24"/>
          <w:szCs w:val="24"/>
          <w:lang w:val="en-US" w:eastAsia="zh-CN"/>
        </w:rPr>
        <w:t>25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四、财政拨款收入支出决算总表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五、财政拨款支出决算明细表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六、一般公共预算财政拨款支出决算表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七、一般公共预算财政拨款支出决算明细表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八、一般公共预算财政拨款基本支出决算表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九、一般公共预算财政拨款项目支出决算表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十、一般公共预算财政拨款“三公”经费支出决算表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十一、政府性基金预算财政拨款收入支出决算表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十二、政府性基金预算财政拨款“三公”经费支出决算表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仿宋_GB2312" w:eastAsia="仿宋_GB2312" w:cs="宋体"/>
          <w:sz w:val="24"/>
          <w:szCs w:val="24"/>
          <w:lang w:val="en-US" w:eastAsia="zh-CN"/>
        </w:rPr>
      </w:pPr>
      <w:r>
        <w:rPr>
          <w:rFonts w:hint="eastAsia" w:ascii="仿宋_GB2312" w:eastAsia="仿宋_GB2312" w:cs="宋体"/>
          <w:sz w:val="24"/>
          <w:szCs w:val="24"/>
        </w:rPr>
        <w:t>十三、国有资本经营预算财政拨款支出决算表</w:t>
      </w:r>
      <w:r>
        <w:rPr>
          <w:rFonts w:hint="eastAsia" w:ascii="仿宋_GB2312" w:eastAsia="仿宋_GB2312" w:cs="宋体"/>
          <w:sz w:val="24"/>
          <w:szCs w:val="24"/>
        </w:rPr>
        <w:tab/>
      </w:r>
      <w:r>
        <w:rPr>
          <w:rFonts w:hint="eastAsia" w:ascii="仿宋_GB2312" w:eastAsia="仿宋_GB2312" w:cs="宋体"/>
          <w:sz w:val="24"/>
          <w:szCs w:val="24"/>
        </w:rPr>
        <w:t>2</w:t>
      </w:r>
      <w:r>
        <w:rPr>
          <w:rFonts w:hint="eastAsia" w:ascii="仿宋_GB2312" w:eastAsia="仿宋_GB2312" w:cs="宋体"/>
          <w:sz w:val="24"/>
          <w:szCs w:val="24"/>
          <w:lang w:val="en-US" w:eastAsia="zh-CN"/>
        </w:rPr>
        <w:t>5</w:t>
      </w:r>
    </w:p>
    <w:p>
      <w:pPr>
        <w:pStyle w:val="18"/>
        <w:tabs>
          <w:tab w:val="right" w:leader="dot" w:pos="8296"/>
        </w:tabs>
        <w:ind w:left="0"/>
        <w:rPr>
          <w:rFonts w:hint="eastAsia" w:ascii="宋体" w:hAnsi="宋体" w:eastAsia="宋体" w:cs="宋体"/>
          <w:sz w:val="24"/>
          <w:szCs w:val="24"/>
          <w:lang w:val="en-US" w:eastAsia="zh-CN"/>
        </w:rPr>
      </w:pPr>
      <w:r>
        <w:rPr>
          <w:rFonts w:hint="eastAsia" w:ascii="仿宋_GB2312" w:eastAsia="仿宋_GB2312" w:cs="宋体"/>
          <w:sz w:val="24"/>
          <w:szCs w:val="24"/>
        </w:rPr>
        <w:t>十四、国有资本经营预算财政拨款支出决算表</w:t>
      </w:r>
      <w:r>
        <w:rPr>
          <w:rFonts w:hint="eastAsia" w:ascii="仿宋_GB2312" w:eastAsia="仿宋_GB2312" w:cs="宋体"/>
          <w:sz w:val="24"/>
          <w:szCs w:val="24"/>
        </w:rPr>
        <w:tab/>
      </w:r>
      <w:r>
        <w:rPr>
          <w:rFonts w:hint="eastAsia" w:ascii="宋体" w:hAnsi="宋体" w:eastAsia="宋体" w:cs="宋体"/>
          <w:sz w:val="24"/>
          <w:szCs w:val="24"/>
        </w:rPr>
        <w:t>2</w:t>
      </w:r>
      <w:r>
        <w:rPr>
          <w:rFonts w:hint="eastAsia" w:ascii="宋体" w:hAnsi="宋体" w:eastAsia="宋体" w:cs="宋体"/>
          <w:sz w:val="24"/>
          <w:szCs w:val="24"/>
          <w:lang w:val="en-US" w:eastAsia="zh-CN"/>
        </w:rPr>
        <w:t>5</w:t>
      </w:r>
    </w:p>
    <w:p>
      <w:pPr>
        <w:rPr>
          <w:rFonts w:ascii="仿宋_GB2312" w:eastAsia="仿宋_GB2312"/>
          <w:sz w:val="24"/>
        </w:rPr>
      </w:pPr>
      <w:r>
        <w:rPr>
          <w:rFonts w:hint="eastAsia" w:ascii="仿宋_GB2312" w:eastAsia="仿宋_GB2312" w:cs="宋体"/>
          <w:smallCaps/>
          <w:sz w:val="24"/>
        </w:rPr>
        <w:fldChar w:fldCharType="end"/>
      </w:r>
    </w:p>
    <w:p>
      <w:pPr>
        <w:widowControl/>
        <w:spacing w:line="440" w:lineRule="exact"/>
        <w:jc w:val="left"/>
        <w:rPr>
          <w:rFonts w:ascii="仿宋" w:eastAsia="仿宋"/>
          <w:bCs/>
          <w:kern w:val="44"/>
          <w:sz w:val="24"/>
        </w:rPr>
      </w:pPr>
      <w:bookmarkStart w:id="7" w:name="_Toc15396599"/>
      <w:bookmarkStart w:id="8" w:name="_Toc15377196"/>
      <w:r>
        <w:rPr>
          <w:rFonts w:ascii="仿宋" w:eastAsia="仿宋"/>
          <w:b/>
          <w:sz w:val="24"/>
        </w:rPr>
        <w:br w:type="page"/>
      </w:r>
    </w:p>
    <w:p>
      <w:pPr>
        <w:pStyle w:val="2"/>
        <w:spacing w:after="0" w:line="576" w:lineRule="exact"/>
        <w:jc w:val="center"/>
        <w:rPr>
          <w:rStyle w:val="26"/>
          <w:rFonts w:ascii="方正小标宋简体" w:eastAsia="方正小标宋简体" w:cs="方正小标宋简体"/>
          <w:b/>
          <w:bCs w:val="0"/>
        </w:rPr>
      </w:pPr>
      <w:bookmarkStart w:id="9" w:name="_Toc79163851"/>
      <w:bookmarkStart w:id="10" w:name="_Toc79163601"/>
      <w:r>
        <w:rPr>
          <w:rFonts w:hint="eastAsia" w:ascii="方正小标宋简体" w:eastAsia="方正小标宋简体" w:cs="方正小标宋简体"/>
          <w:b w:val="0"/>
        </w:rPr>
        <w:t xml:space="preserve">第一部分 </w:t>
      </w:r>
      <w:r>
        <w:rPr>
          <w:rStyle w:val="26"/>
          <w:rFonts w:hint="eastAsia" w:ascii="方正小标宋简体" w:eastAsia="方正小标宋简体" w:cs="方正小标宋简体"/>
          <w:b w:val="0"/>
          <w:bCs w:val="0"/>
        </w:rPr>
        <w:t>部门概况</w:t>
      </w:r>
      <w:bookmarkEnd w:id="7"/>
      <w:bookmarkEnd w:id="8"/>
      <w:bookmarkEnd w:id="9"/>
      <w:bookmarkEnd w:id="10"/>
    </w:p>
    <w:p>
      <w:pPr>
        <w:widowControl/>
        <w:spacing w:line="576" w:lineRule="exact"/>
        <w:jc w:val="left"/>
        <w:rPr>
          <w:rFonts w:ascii="黑体" w:eastAsia="黑体"/>
          <w:color w:val="000000"/>
          <w:sz w:val="32"/>
          <w:szCs w:val="32"/>
        </w:rPr>
      </w:pPr>
    </w:p>
    <w:p>
      <w:pPr>
        <w:pStyle w:val="3"/>
        <w:spacing w:after="0" w:line="576" w:lineRule="exact"/>
        <w:ind w:firstLine="640" w:firstLineChars="200"/>
        <w:rPr>
          <w:rStyle w:val="27"/>
          <w:rFonts w:ascii="仿宋" w:eastAsia="仿宋"/>
          <w:b w:val="0"/>
          <w:bCs w:val="0"/>
        </w:rPr>
      </w:pPr>
      <w:bookmarkStart w:id="11" w:name="_Toc79163852"/>
      <w:bookmarkStart w:id="12" w:name="_Toc79163602"/>
      <w:bookmarkStart w:id="13" w:name="_Toc15377197"/>
      <w:bookmarkStart w:id="14" w:name="_Toc15396600"/>
      <w:r>
        <w:rPr>
          <w:rFonts w:hint="eastAsia" w:ascii="黑体" w:eastAsia="黑体"/>
          <w:b w:val="0"/>
          <w:color w:val="000000"/>
        </w:rPr>
        <w:t>一、基</w:t>
      </w:r>
      <w:r>
        <w:rPr>
          <w:rStyle w:val="27"/>
          <w:rFonts w:hint="eastAsia" w:ascii="黑体" w:eastAsia="黑体"/>
          <w:b w:val="0"/>
          <w:bCs w:val="0"/>
        </w:rPr>
        <w:t>本职能及主要工作</w:t>
      </w:r>
      <w:bookmarkEnd w:id="11"/>
      <w:bookmarkEnd w:id="12"/>
      <w:bookmarkEnd w:id="13"/>
      <w:bookmarkEnd w:id="14"/>
    </w:p>
    <w:p>
      <w:pPr>
        <w:widowControl/>
        <w:adjustRightInd w:val="0"/>
        <w:snapToGrid w:val="0"/>
        <w:spacing w:line="576" w:lineRule="atLeast"/>
        <w:ind w:firstLine="642" w:firstLineChars="200"/>
        <w:rPr>
          <w:rFonts w:ascii="楷体_GB2312" w:eastAsia="楷体_GB2312" w:cs="楷体_GB2312"/>
          <w:b/>
          <w:color w:val="000000"/>
          <w:sz w:val="32"/>
          <w:szCs w:val="32"/>
        </w:rPr>
      </w:pPr>
      <w:bookmarkStart w:id="15" w:name="_Toc79163603"/>
      <w:bookmarkStart w:id="16" w:name="_Toc79163853"/>
      <w:bookmarkStart w:id="17" w:name="_Toc15378445"/>
      <w:bookmarkStart w:id="18" w:name="_Toc15377198"/>
      <w:r>
        <w:rPr>
          <w:rFonts w:hint="eastAsia" w:ascii="楷体_GB2312" w:eastAsia="楷体_GB2312" w:cs="楷体_GB2312"/>
          <w:b/>
          <w:color w:val="000000"/>
          <w:sz w:val="32"/>
          <w:szCs w:val="32"/>
        </w:rPr>
        <w:t>（一）主要职能</w:t>
      </w:r>
      <w:bookmarkEnd w:id="15"/>
      <w:bookmarkEnd w:id="16"/>
    </w:p>
    <w:bookmarkEnd w:id="17"/>
    <w:bookmarkEnd w:id="18"/>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19" w:name="_Toc79163854"/>
      <w:bookmarkStart w:id="20" w:name="_Toc15377199"/>
      <w:bookmarkStart w:id="21" w:name="_Toc15378446"/>
      <w:bookmarkStart w:id="22" w:name="_Toc79163604"/>
      <w:r>
        <w:rPr>
          <w:rFonts w:hint="eastAsia" w:ascii="仿宋_GB2312" w:eastAsia="仿宋_GB2312" w:cs="仿宋_GB2312"/>
          <w:bCs/>
          <w:color w:val="000000"/>
          <w:kern w:val="0"/>
          <w:sz w:val="32"/>
          <w:szCs w:val="32"/>
          <w:lang w:val="zh-CN"/>
        </w:rPr>
        <w:t>1</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w:t>
      </w:r>
      <w:r>
        <w:rPr>
          <w:rFonts w:hint="eastAsia" w:ascii="仿宋_GB2312" w:eastAsia="仿宋_GB2312" w:cs="仿宋_GB2312"/>
          <w:bCs/>
          <w:color w:val="000000"/>
          <w:kern w:val="0"/>
          <w:sz w:val="32"/>
          <w:szCs w:val="32"/>
          <w:lang w:val="en-US" w:eastAsia="zh-CN"/>
        </w:rPr>
        <w:t>.</w:t>
      </w:r>
      <w:r>
        <w:rPr>
          <w:rFonts w:hint="eastAsia" w:ascii="仿宋_GB2312" w:eastAsia="仿宋_GB2312" w:cs="仿宋_GB2312"/>
          <w:bCs/>
          <w:color w:val="000000"/>
          <w:kern w:val="0"/>
          <w:sz w:val="32"/>
          <w:szCs w:val="32"/>
          <w:lang w:val="zh-CN"/>
        </w:rPr>
        <w:t>配合县委抓好青少年党建工作，做好优秀团员入党的推荐工作。</w:t>
      </w:r>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（二）2022年重点工作完成情况</w:t>
      </w:r>
      <w:bookmarkEnd w:id="19"/>
      <w:bookmarkEnd w:id="20"/>
      <w:bookmarkEnd w:id="21"/>
      <w:bookmarkEnd w:id="22"/>
    </w:p>
    <w:p>
      <w:pPr>
        <w:spacing w:line="570" w:lineRule="exact"/>
        <w:ind w:firstLine="640" w:firstLineChars="200"/>
        <w:rPr>
          <w:rFonts w:ascii="仿宋_GB2312" w:hAnsi="黑体" w:eastAsia="仿宋_GB2312" w:cs="黑体"/>
          <w:sz w:val="32"/>
          <w:szCs w:val="32"/>
        </w:rPr>
      </w:pPr>
      <w:bookmarkStart w:id="23" w:name="_Toc15377200"/>
      <w:bookmarkStart w:id="24" w:name="_Toc79163605"/>
      <w:bookmarkStart w:id="25" w:name="_Toc79163855"/>
      <w:bookmarkStart w:id="26" w:name="_Toc15396601"/>
      <w:r>
        <w:rPr>
          <w:rFonts w:hint="eastAsia" w:ascii="仿宋_GB2312" w:hAnsi="黑体" w:eastAsia="仿宋_GB2312" w:cs="黑体"/>
          <w:sz w:val="32"/>
          <w:szCs w:val="32"/>
        </w:rPr>
        <w:t>1</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抓思想政治引领，切实做好宣传思想文化工作</w:t>
      </w:r>
    </w:p>
    <w:p>
      <w:pPr>
        <w:spacing w:line="570" w:lineRule="exact"/>
        <w:ind w:firstLine="640" w:firstLineChars="200"/>
        <w:rPr>
          <w:rFonts w:ascii="仿宋" w:hAnsi="仿宋" w:eastAsia="仿宋" w:cs="仿宋"/>
          <w:sz w:val="32"/>
          <w:szCs w:val="32"/>
        </w:rPr>
      </w:pPr>
      <w:r>
        <w:rPr>
          <w:rFonts w:hint="eastAsia" w:ascii="仿宋_GB2312" w:hAnsi="楷体" w:eastAsia="仿宋_GB2312" w:cs="楷体"/>
          <w:bCs/>
          <w:kern w:val="0"/>
          <w:sz w:val="32"/>
          <w:szCs w:val="32"/>
        </w:rPr>
        <w:t>（1）</w:t>
      </w:r>
      <w:r>
        <w:rPr>
          <w:rFonts w:hint="eastAsia" w:ascii="仿宋_GB2312" w:hAnsi="楷体" w:eastAsia="仿宋_GB2312" w:cs="楷体"/>
          <w:bCs/>
          <w:color w:val="333333"/>
          <w:kern w:val="0"/>
          <w:sz w:val="32"/>
          <w:szCs w:val="32"/>
        </w:rPr>
        <w:t>深化青年团员思想信念教育。</w:t>
      </w:r>
      <w:r>
        <w:rPr>
          <w:rFonts w:hint="eastAsia" w:ascii="仿宋_GB2312" w:hAnsi="仿宋" w:eastAsia="仿宋_GB2312" w:cs="仿宋"/>
          <w:sz w:val="32"/>
          <w:szCs w:val="32"/>
        </w:rPr>
        <w:t>始终坚持把青少年思想教育作为首要的政治任务，以网上主题“青年大学习”为抓手，以迎接和学习</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二十大为主线，结合庆祝建团</w:t>
      </w:r>
      <w:r>
        <w:rPr>
          <w:rFonts w:hint="eastAsia" w:ascii="仿宋_GB2312" w:eastAsia="仿宋_GB2312"/>
          <w:sz w:val="32"/>
          <w:szCs w:val="32"/>
        </w:rPr>
        <w:t>100</w:t>
      </w:r>
      <w:r>
        <w:rPr>
          <w:rFonts w:hint="eastAsia" w:ascii="仿宋_GB2312" w:hAnsi="仿宋" w:eastAsia="仿宋_GB2312" w:cs="仿宋"/>
          <w:sz w:val="32"/>
          <w:szCs w:val="32"/>
        </w:rPr>
        <w:t>周年，引导广大青年团员深入</w:t>
      </w:r>
      <w:r>
        <w:rPr>
          <w:rFonts w:hint="default" w:ascii="仿宋_GB2312" w:hAnsi="仿宋" w:eastAsia="仿宋_GB2312" w:cs="仿宋"/>
          <w:sz w:val="32"/>
          <w:szCs w:val="32"/>
          <w:lang w:val="en-US"/>
        </w:rPr>
        <w:t>学习党的十九届六中全会精神</w:t>
      </w:r>
      <w:r>
        <w:rPr>
          <w:rFonts w:hint="eastAsia" w:ascii="仿宋_GB2312" w:hAnsi="仿宋" w:eastAsia="仿宋_GB2312" w:cs="仿宋"/>
          <w:sz w:val="32"/>
          <w:szCs w:val="32"/>
        </w:rPr>
        <w:t>、党的二十大精神，学习习近平总书记重要讲话精神，学习党的青年运动史，学习贯彻省第十二次党代会精神，增强广大青年团员的政治意识、大局意识和看齐意识，使青年团员在思想上认同，工作中奋进。</w:t>
      </w:r>
    </w:p>
    <w:p>
      <w:pPr>
        <w:spacing w:line="570" w:lineRule="exact"/>
        <w:ind w:firstLine="640" w:firstLineChars="200"/>
        <w:rPr>
          <w:rFonts w:ascii="仿宋_GB2312" w:eastAsia="仿宋_GB2312"/>
        </w:rPr>
      </w:pPr>
      <w:r>
        <w:rPr>
          <w:rFonts w:hint="eastAsia" w:ascii="仿宋_GB2312" w:hAnsi="黑体" w:eastAsia="仿宋_GB2312" w:cs="黑体"/>
          <w:sz w:val="32"/>
          <w:szCs w:val="32"/>
        </w:rPr>
        <w:t>(2)开展“喜迎</w:t>
      </w:r>
      <w:r>
        <w:rPr>
          <w:rFonts w:hint="eastAsia" w:ascii="仿宋_GB2312" w:hAnsi="黑体" w:eastAsia="仿宋_GB2312" w:cs="黑体"/>
          <w:sz w:val="32"/>
          <w:szCs w:val="32"/>
          <w:lang w:eastAsia="zh-CN"/>
        </w:rPr>
        <w:t>党的</w:t>
      </w:r>
      <w:r>
        <w:rPr>
          <w:rFonts w:hint="eastAsia" w:ascii="仿宋_GB2312" w:hAnsi="黑体" w:eastAsia="仿宋_GB2312" w:cs="黑体"/>
          <w:sz w:val="32"/>
          <w:szCs w:val="32"/>
        </w:rPr>
        <w:t>二十大、永远跟党走、奋进新征程”主题教育实践活动。</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二十大、永远跟党走、奋进新征程”主题团、队日活动，从源头培养少先队员的光荣感和组织归属感。二</w:t>
      </w:r>
      <w:r>
        <w:rPr>
          <w:rFonts w:hint="eastAsia" w:ascii="仿宋_GB2312" w:hAnsi="仿宋" w:eastAsia="仿宋_GB2312" w:cs="仿宋"/>
          <w:b/>
          <w:bCs/>
          <w:sz w:val="32"/>
          <w:szCs w:val="32"/>
        </w:rPr>
        <w:t>是</w:t>
      </w:r>
      <w:r>
        <w:rPr>
          <w:rFonts w:hint="eastAsia" w:ascii="仿宋_GB2312" w:hAnsi="仿宋" w:eastAsia="仿宋_GB2312" w:cs="仿宋"/>
          <w:sz w:val="32"/>
          <w:szCs w:val="32"/>
        </w:rPr>
        <w:t>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二十大、永远跟党走、奋进新征程”主题演讲比赛，充分展示新时代青少年奋发进取的精神风貌。三</w:t>
      </w:r>
      <w:r>
        <w:rPr>
          <w:rFonts w:hint="eastAsia" w:ascii="仿宋_GB2312" w:hAnsi="仿宋" w:eastAsia="仿宋_GB2312" w:cs="仿宋"/>
          <w:b/>
          <w:bCs/>
          <w:sz w:val="32"/>
          <w:szCs w:val="32"/>
        </w:rPr>
        <w:t>是</w:t>
      </w:r>
      <w:r>
        <w:rPr>
          <w:rFonts w:hint="eastAsia" w:ascii="仿宋_GB2312" w:hAnsi="仿宋" w:eastAsia="仿宋_GB2312" w:cs="仿宋"/>
          <w:sz w:val="32"/>
          <w:szCs w:val="32"/>
        </w:rPr>
        <w:t>聚焦“文明城市创建”“疫情防控”“控烟专项行动”等内容，开展“喜迎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 奋进新征程”爱国卫生运动作品征集活动。</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推出微视频《青春是什么》，以青春之声，致敬建团百年征程。</w:t>
      </w:r>
      <w:r>
        <w:rPr>
          <w:rFonts w:hint="eastAsia" w:ascii="仿宋_GB2312" w:hAnsi="仿宋" w:eastAsia="仿宋_GB2312" w:cs="仿宋"/>
          <w:b/>
          <w:bCs/>
          <w:sz w:val="32"/>
          <w:szCs w:val="32"/>
        </w:rPr>
        <w:t>五是</w:t>
      </w:r>
      <w:r>
        <w:rPr>
          <w:rFonts w:hint="eastAsia" w:ascii="仿宋_GB2312" w:hAnsi="仿宋" w:eastAsia="仿宋_GB2312" w:cs="仿宋"/>
          <w:sz w:val="32"/>
          <w:szCs w:val="32"/>
        </w:rPr>
        <w:t>组织各级团组织开展“党的青年运动史”专题学习，激励青年不忘初心跟党走、踔厉奋发向未来。</w:t>
      </w:r>
      <w:r>
        <w:rPr>
          <w:rFonts w:hint="eastAsia" w:ascii="仿宋_GB2312" w:hAnsi="仿宋" w:eastAsia="仿宋_GB2312" w:cs="仿宋"/>
          <w:b/>
          <w:bCs/>
          <w:sz w:val="32"/>
          <w:szCs w:val="32"/>
        </w:rPr>
        <w:t>六是</w:t>
      </w:r>
      <w:r>
        <w:rPr>
          <w:rFonts w:hint="eastAsia" w:ascii="仿宋_GB2312" w:hAnsi="仿宋" w:eastAsia="仿宋_GB2312" w:cs="仿宋"/>
          <w:sz w:val="32"/>
          <w:szCs w:val="32"/>
        </w:rPr>
        <w:t>强化榜样力量示范。在“五四”“10.13”建队日期间开展“两红两优”“三优”等各类评选表扬活动，激励广大青少年见贤思齐，把对先进典型的敬仰和感动转化为勤学上进、干事创业、青春建功的实际行动。</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（3）主动加强新媒体阵地建设。建</w:t>
      </w:r>
      <w:r>
        <w:rPr>
          <w:rFonts w:hint="eastAsia" w:ascii="仿宋_GB2312" w:hAnsi="仿宋" w:eastAsia="仿宋_GB2312" w:cs="仿宋"/>
          <w:sz w:val="32"/>
          <w:szCs w:val="32"/>
        </w:rPr>
        <w:t>强用好“青春茂县”微信、微博等新媒体阵地，利用团属新媒体平台，扩大共青团线上影响力，使正能量、主旋律在青年中得到更好的传承和弘扬。一年来累计发布团</w:t>
      </w:r>
      <w:r>
        <w:rPr>
          <w:rFonts w:hint="eastAsia" w:ascii="仿宋_GB2312" w:hAnsi="仿宋" w:eastAsia="仿宋_GB2312" w:cs="仿宋"/>
          <w:sz w:val="32"/>
          <w:szCs w:val="32"/>
          <w:lang w:eastAsia="zh-CN"/>
        </w:rPr>
        <w:t>委</w:t>
      </w:r>
      <w:r>
        <w:rPr>
          <w:rFonts w:hint="eastAsia" w:ascii="仿宋_GB2312" w:hAnsi="仿宋" w:eastAsia="仿宋_GB2312" w:cs="仿宋"/>
          <w:sz w:val="32"/>
          <w:szCs w:val="32"/>
        </w:rPr>
        <w:t>动态、助学政策、疫情防控知识等</w:t>
      </w:r>
      <w:r>
        <w:rPr>
          <w:rFonts w:hint="eastAsia" w:ascii="仿宋_GB2312" w:eastAsia="仿宋_GB2312"/>
          <w:sz w:val="32"/>
          <w:szCs w:val="32"/>
        </w:rPr>
        <w:t>130</w:t>
      </w:r>
      <w:r>
        <w:rPr>
          <w:rFonts w:hint="eastAsia" w:ascii="仿宋_GB2312" w:hAnsi="仿宋" w:eastAsia="仿宋_GB2312" w:cs="仿宋"/>
          <w:sz w:val="32"/>
          <w:szCs w:val="32"/>
        </w:rPr>
        <w:t>条，总阅读量</w:t>
      </w:r>
      <w:r>
        <w:rPr>
          <w:rFonts w:hint="eastAsia" w:ascii="仿宋_GB2312" w:eastAsia="仿宋_GB2312" w:cs="仿宋"/>
          <w:sz w:val="32"/>
          <w:szCs w:val="32"/>
        </w:rPr>
        <w:t>49639</w:t>
      </w:r>
      <w:r>
        <w:rPr>
          <w:rFonts w:hint="eastAsia" w:ascii="仿宋_GB2312" w:hAnsi="仿宋" w:eastAsia="仿宋_GB2312" w:cs="仿宋"/>
          <w:sz w:val="32"/>
          <w:szCs w:val="32"/>
        </w:rPr>
        <w:t>人次。</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2</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抓组织建设引领，全力推进基层组织规范化建设</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（1）召开共青团茂县第十一次代表大会。</w:t>
      </w:r>
      <w:r>
        <w:rPr>
          <w:rFonts w:hint="eastAsia" w:ascii="仿宋_GB2312" w:eastAsia="仿宋_GB2312" w:cs="仿宋"/>
          <w:sz w:val="32"/>
          <w:szCs w:val="32"/>
        </w:rPr>
        <w:t>1</w:t>
      </w:r>
      <w:r>
        <w:rPr>
          <w:rFonts w:hint="eastAsia" w:ascii="仿宋_GB2312" w:hAnsi="仿宋" w:eastAsia="仿宋_GB2312" w:cs="仿宋"/>
          <w:sz w:val="32"/>
          <w:szCs w:val="32"/>
        </w:rPr>
        <w:t>月，召开共青团茂县第十一次代表大会，来自全县各行各业的</w:t>
      </w:r>
      <w:r>
        <w:rPr>
          <w:rFonts w:hint="eastAsia" w:ascii="仿宋_GB2312" w:eastAsia="仿宋_GB2312" w:cs="仿宋"/>
          <w:sz w:val="32"/>
          <w:szCs w:val="32"/>
        </w:rPr>
        <w:t>101</w:t>
      </w:r>
      <w:r>
        <w:rPr>
          <w:rFonts w:hint="eastAsia" w:ascii="仿宋_GB2312" w:hAnsi="仿宋" w:eastAsia="仿宋_GB2312" w:cs="仿宋"/>
          <w:sz w:val="32"/>
          <w:szCs w:val="32"/>
        </w:rPr>
        <w:t>名优秀青年代表齐聚一堂，大会听取审议了《共青团茂县第十届委员会作工作报告》，大会选举产生了共青团茂县第十一届委员会，夯实了团的组织力、引领力、服务力。</w:t>
      </w:r>
    </w:p>
    <w:p>
      <w:pPr>
        <w:spacing w:line="570" w:lineRule="exact"/>
        <w:ind w:firstLine="640" w:firstLineChars="200"/>
        <w:rPr>
          <w:rFonts w:ascii="仿宋" w:hAnsi="仿宋" w:eastAsia="仿宋" w:cs="仿宋"/>
          <w:sz w:val="32"/>
          <w:szCs w:val="32"/>
        </w:rPr>
      </w:pPr>
      <w:r>
        <w:rPr>
          <w:rFonts w:hint="eastAsia" w:ascii="仿宋_GB2312" w:hAnsi="黑体" w:eastAsia="仿宋_GB2312" w:cs="黑体"/>
          <w:sz w:val="32"/>
          <w:szCs w:val="32"/>
        </w:rPr>
        <w:t>（2）夯实团组织基础工作。</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落实全面从严治团要求，严把团员发展入口关。严格按照发展计划，坚决杜绝不合规发展团员现象和未满</w:t>
      </w:r>
      <w:r>
        <w:rPr>
          <w:rFonts w:hint="eastAsia" w:ascii="仿宋_GB2312" w:eastAsia="仿宋_GB2312" w:cs="仿宋"/>
          <w:sz w:val="32"/>
          <w:szCs w:val="32"/>
        </w:rPr>
        <w:t>14</w:t>
      </w:r>
      <w:r>
        <w:rPr>
          <w:rFonts w:hint="eastAsia" w:ascii="仿宋_GB2312" w:hAnsi="仿宋" w:eastAsia="仿宋_GB2312" w:cs="仿宋"/>
          <w:sz w:val="32"/>
          <w:szCs w:val="32"/>
        </w:rPr>
        <w:t>周岁入团情况，从根本上提高团员质量控制团学比，一年来新发展团员</w:t>
      </w:r>
      <w:r>
        <w:rPr>
          <w:rFonts w:hint="eastAsia" w:ascii="仿宋_GB2312" w:eastAsia="仿宋_GB2312" w:cs="仿宋"/>
          <w:sz w:val="32"/>
          <w:szCs w:val="32"/>
        </w:rPr>
        <w:t>191</w:t>
      </w:r>
      <w:r>
        <w:rPr>
          <w:rFonts w:hint="eastAsia" w:ascii="仿宋_GB2312" w:hAnsi="仿宋" w:eastAsia="仿宋_GB2312" w:cs="仿宋"/>
          <w:sz w:val="32"/>
          <w:szCs w:val="32"/>
        </w:rPr>
        <w:t>名。</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开展团员核查工作，抓实“智慧团建”系统平台，扎实做好新发展团员录入、团组织关系转接等。</w:t>
      </w:r>
      <w:r>
        <w:rPr>
          <w:rFonts w:hint="eastAsia" w:ascii="仿宋_GB2312" w:hAnsi="仿宋" w:eastAsia="仿宋_GB2312" w:cs="仿宋"/>
          <w:b/>
          <w:bCs/>
          <w:sz w:val="32"/>
          <w:szCs w:val="32"/>
        </w:rPr>
        <w:t>三是</w:t>
      </w:r>
      <w:r>
        <w:rPr>
          <w:rFonts w:hint="eastAsia" w:ascii="仿宋_GB2312" w:hAnsi="仿宋" w:eastAsia="仿宋_GB2312"/>
          <w:sz w:val="32"/>
          <w:szCs w:val="32"/>
        </w:rPr>
        <w:t>开展“四比四抓四促进”专项行动，显著提升全县各级团干部政治素养和团组织引领凝聚青年、组织动员青年、联系服务青年的能力水平。</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积极开展优秀申报，激励广大团组织和青年团员主动作为、再创佳绩，团县委书记获四川省优秀共青团干部称号、雪花井社区团支部获四川省五四红旗团支部称号，</w:t>
      </w:r>
      <w:r>
        <w:rPr>
          <w:rFonts w:hint="eastAsia" w:ascii="仿宋_GB2312" w:eastAsia="仿宋_GB2312" w:cs="仿宋"/>
          <w:sz w:val="32"/>
          <w:szCs w:val="32"/>
        </w:rPr>
        <w:t>2</w:t>
      </w:r>
      <w:r>
        <w:rPr>
          <w:rFonts w:hint="eastAsia" w:ascii="仿宋_GB2312" w:hAnsi="仿宋" w:eastAsia="仿宋_GB2312" w:cs="仿宋"/>
          <w:sz w:val="32"/>
          <w:szCs w:val="32"/>
        </w:rPr>
        <w:t>名个人、</w:t>
      </w:r>
      <w:r>
        <w:rPr>
          <w:rFonts w:hint="eastAsia" w:ascii="仿宋_GB2312" w:eastAsia="仿宋_GB2312" w:cs="仿宋"/>
          <w:sz w:val="32"/>
          <w:szCs w:val="32"/>
        </w:rPr>
        <w:t>2</w:t>
      </w:r>
      <w:r>
        <w:rPr>
          <w:rFonts w:hint="eastAsia" w:ascii="仿宋_GB2312" w:hAnsi="仿宋" w:eastAsia="仿宋_GB2312" w:cs="仿宋"/>
          <w:sz w:val="32"/>
          <w:szCs w:val="32"/>
        </w:rPr>
        <w:t>个基层团组织获州级表扬。</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（3）深入推进少先队工作。</w:t>
      </w:r>
      <w:r>
        <w:rPr>
          <w:rFonts w:hint="eastAsia" w:ascii="仿宋_GB2312" w:hAnsi="仿宋" w:eastAsia="仿宋_GB2312" w:cs="仿宋"/>
          <w:sz w:val="32"/>
          <w:szCs w:val="32"/>
        </w:rPr>
        <w:t>认真履行“全团带队”责任，全面提升我县少先队工作整体水平。</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积极组织少先队组织利用开学第一课、开学典礼、学雷锋纪念日、清明祭先烈等重要活动契机，积极开展“喜迎</w:t>
      </w:r>
      <w:r>
        <w:rPr>
          <w:rFonts w:hint="eastAsia" w:ascii="仿宋_GB2312" w:hAnsi="仿宋" w:eastAsia="仿宋_GB2312" w:cs="仿宋"/>
          <w:sz w:val="32"/>
          <w:szCs w:val="32"/>
          <w:lang w:eastAsia="zh-CN"/>
        </w:rPr>
        <w:t>党的</w:t>
      </w:r>
      <w:r>
        <w:rPr>
          <w:rFonts w:hint="eastAsia" w:ascii="仿宋_GB2312" w:hAnsi="仿宋" w:eastAsia="仿宋_GB2312" w:cs="仿宋"/>
          <w:sz w:val="32"/>
          <w:szCs w:val="32"/>
        </w:rPr>
        <w:t>二十大 永远跟党走 奋进新征程”主题教育活动，引领新时代青少年“扣好人生第一粒扣子”。</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进一步加强校外少工委建设，建立雪花井社区少工委，并组织开展兴趣课程活动；</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积极开展优秀申报，</w:t>
      </w:r>
      <w:r>
        <w:rPr>
          <w:rFonts w:hint="eastAsia" w:ascii="仿宋_GB2312" w:eastAsia="仿宋_GB2312" w:cs="仿宋"/>
          <w:sz w:val="32"/>
          <w:szCs w:val="32"/>
        </w:rPr>
        <w:t>2</w:t>
      </w:r>
      <w:r>
        <w:rPr>
          <w:rFonts w:hint="eastAsia" w:ascii="仿宋_GB2312" w:hAnsi="仿宋" w:eastAsia="仿宋_GB2312" w:cs="仿宋"/>
          <w:sz w:val="32"/>
          <w:szCs w:val="32"/>
        </w:rPr>
        <w:t>名优秀少先队员和</w:t>
      </w:r>
      <w:r>
        <w:rPr>
          <w:rFonts w:hint="eastAsia" w:ascii="仿宋_GB2312" w:eastAsia="仿宋_GB2312" w:cs="仿宋"/>
          <w:sz w:val="32"/>
          <w:szCs w:val="32"/>
        </w:rPr>
        <w:t>1</w:t>
      </w:r>
      <w:r>
        <w:rPr>
          <w:rFonts w:hint="eastAsia" w:ascii="仿宋_GB2312" w:hAnsi="仿宋" w:eastAsia="仿宋_GB2312" w:cs="仿宋"/>
          <w:sz w:val="32"/>
          <w:szCs w:val="32"/>
        </w:rPr>
        <w:t>名少先队大队辅导员荣获“四川省优秀少先队员”“四川省优秀少先队辅导员”称号。</w:t>
      </w:r>
      <w:r>
        <w:rPr>
          <w:rFonts w:hint="eastAsia" w:ascii="仿宋_GB2312" w:eastAsia="仿宋_GB2312" w:cs="仿宋"/>
          <w:sz w:val="32"/>
          <w:szCs w:val="32"/>
        </w:rPr>
        <w:t>16</w:t>
      </w:r>
      <w:r>
        <w:rPr>
          <w:rFonts w:hint="eastAsia" w:ascii="仿宋_GB2312" w:hAnsi="仿宋" w:eastAsia="仿宋_GB2312" w:cs="仿宋"/>
          <w:sz w:val="32"/>
          <w:szCs w:val="32"/>
        </w:rPr>
        <w:t>名红领巾讲解员、</w:t>
      </w:r>
      <w:r>
        <w:rPr>
          <w:rFonts w:hint="eastAsia" w:ascii="仿宋_GB2312" w:eastAsia="仿宋_GB2312" w:cs="仿宋"/>
          <w:sz w:val="32"/>
          <w:szCs w:val="32"/>
        </w:rPr>
        <w:t>10</w:t>
      </w:r>
      <w:r>
        <w:rPr>
          <w:rFonts w:hint="eastAsia" w:ascii="仿宋_GB2312" w:hAnsi="仿宋" w:eastAsia="仿宋_GB2312" w:cs="仿宋"/>
          <w:sz w:val="32"/>
          <w:szCs w:val="32"/>
        </w:rPr>
        <w:t>名指导教师获得州级表扬；少先队茂县工作委员会获得阿坝州优秀县级少工委称号。</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3</w:t>
      </w:r>
      <w:r>
        <w:rPr>
          <w:rFonts w:hint="eastAsia" w:ascii="仿宋_GB2312" w:hAnsi="黑体" w:eastAsia="仿宋_GB2312" w:cs="黑体"/>
          <w:sz w:val="32"/>
          <w:szCs w:val="32"/>
          <w:lang w:eastAsia="zh-CN"/>
        </w:rPr>
        <w:t>、</w:t>
      </w:r>
      <w:r>
        <w:rPr>
          <w:rFonts w:hint="eastAsia" w:ascii="仿宋_GB2312" w:hAnsi="黑体" w:eastAsia="仿宋_GB2312" w:cs="黑体"/>
          <w:sz w:val="32"/>
          <w:szCs w:val="32"/>
        </w:rPr>
        <w:t xml:space="preserve">抓青年服务引领，大力提升团组织凝聚青年能力   </w:t>
      </w:r>
    </w:p>
    <w:p>
      <w:pPr>
        <w:spacing w:line="570" w:lineRule="exact"/>
        <w:ind w:firstLine="640" w:firstLineChars="200"/>
        <w:rPr>
          <w:rFonts w:ascii="仿宋_GB2312" w:hAnsi="仿宋" w:eastAsia="仿宋_GB2312" w:cs="仿宋"/>
          <w:kern w:val="0"/>
          <w:sz w:val="32"/>
          <w:szCs w:val="32"/>
        </w:rPr>
      </w:pPr>
      <w:r>
        <w:rPr>
          <w:rFonts w:hint="eastAsia" w:ascii="仿宋_GB2312" w:hAnsi="黑体" w:eastAsia="仿宋_GB2312" w:cs="黑体"/>
          <w:sz w:val="32"/>
          <w:szCs w:val="32"/>
        </w:rPr>
        <w:t>（1）召开茂县青年工作联席会议第四次全体会议。</w:t>
      </w:r>
      <w:r>
        <w:rPr>
          <w:rFonts w:hint="eastAsia" w:ascii="仿宋_GB2312" w:hAnsi="仿宋" w:eastAsia="仿宋_GB2312" w:cs="仿宋"/>
          <w:color w:val="000000"/>
          <w:sz w:val="32"/>
          <w:szCs w:val="32"/>
        </w:rPr>
        <w:t>结合我县实际，制定《茂县贯彻落实&lt;</w:t>
      </w:r>
      <w:r>
        <w:rPr>
          <w:rFonts w:hint="eastAsia" w:ascii="仿宋_GB2312" w:hAnsi="仿宋" w:eastAsia="仿宋_GB2312" w:cs="仿宋"/>
          <w:kern w:val="0"/>
          <w:sz w:val="32"/>
          <w:szCs w:val="32"/>
        </w:rPr>
        <w:t>阿坝州中长期青年发展规划（2017-2025年）</w:t>
      </w:r>
      <w:r>
        <w:rPr>
          <w:rFonts w:hint="eastAsia" w:ascii="仿宋_GB2312" w:hAnsi="仿宋" w:eastAsia="仿宋_GB2312" w:cs="仿宋"/>
          <w:color w:val="000000"/>
          <w:sz w:val="32"/>
          <w:szCs w:val="32"/>
        </w:rPr>
        <w:t>&gt;</w:t>
      </w:r>
      <w:r>
        <w:rPr>
          <w:rFonts w:hint="eastAsia" w:ascii="仿宋_GB2312" w:hAnsi="仿宋" w:eastAsia="仿宋_GB2312" w:cs="仿宋"/>
          <w:kern w:val="0"/>
          <w:sz w:val="32"/>
          <w:szCs w:val="32"/>
        </w:rPr>
        <w:t>2022年工作要点</w:t>
      </w:r>
      <w:r>
        <w:rPr>
          <w:rFonts w:hint="eastAsia" w:ascii="仿宋_GB2312" w:hAnsi="仿宋" w:eastAsia="仿宋_GB2312" w:cs="仿宋"/>
          <w:color w:val="000000"/>
          <w:sz w:val="32"/>
          <w:szCs w:val="32"/>
        </w:rPr>
        <w:t>》，</w:t>
      </w:r>
      <w:r>
        <w:rPr>
          <w:rFonts w:hint="eastAsia" w:ascii="仿宋_GB2312" w:hAnsi="仿宋" w:eastAsia="仿宋_GB2312" w:cs="仿宋"/>
          <w:kern w:val="0"/>
          <w:sz w:val="32"/>
          <w:szCs w:val="32"/>
        </w:rPr>
        <w:t>按照《工作要点》，各成员单位对照责任分工，列出任务清单，干好分内事，齐心协力做好各项工作，完善齐抓共管、协调联动的工作机制，形成全社会关心、支持青年发展的良好氛围。</w:t>
      </w:r>
    </w:p>
    <w:p>
      <w:pPr>
        <w:spacing w:line="576"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（2）凝聚青年力量，当好纽带桥梁。</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发挥基层组织组织力、凝聚力、号召力，大力宣传我县对青年创业者的各项帮扶、优惠政策，积极动员返乡青年创新创业，同时为创业青年做好服务保障。</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公开选拔</w:t>
      </w:r>
      <w:r>
        <w:rPr>
          <w:rFonts w:hint="eastAsia" w:ascii="仿宋_GB2312" w:eastAsia="仿宋_GB2312" w:cs="仿宋"/>
          <w:sz w:val="32"/>
          <w:szCs w:val="32"/>
        </w:rPr>
        <w:t>11</w:t>
      </w:r>
      <w:r>
        <w:rPr>
          <w:rFonts w:hint="eastAsia" w:ascii="仿宋_GB2312" w:hAnsi="仿宋" w:eastAsia="仿宋_GB2312" w:cs="仿宋"/>
          <w:sz w:val="32"/>
          <w:szCs w:val="32"/>
        </w:rPr>
        <w:t>名镇团委兼职副书记，进一步推进基层团组织建设，充实基层人才队伍。</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联合县委组织部举办茂县青年</w:t>
      </w:r>
      <w:r>
        <w:rPr>
          <w:rFonts w:hint="eastAsia" w:ascii="仿宋_GB2312" w:hAnsi="仿宋" w:eastAsia="仿宋_GB2312" w:cs="仿宋"/>
          <w:kern w:val="0"/>
          <w:sz w:val="32"/>
          <w:szCs w:val="32"/>
        </w:rPr>
        <w:t>马克思主义者培养工程（农村班），进一步提升青年参与基层治理、投身乡村振兴的本领。</w:t>
      </w:r>
      <w:r>
        <w:rPr>
          <w:rFonts w:hint="eastAsia" w:ascii="仿宋_GB2312" w:hAnsi="仿宋" w:eastAsia="仿宋_GB2312" w:cs="仿宋"/>
          <w:b/>
          <w:bCs/>
          <w:sz w:val="32"/>
          <w:szCs w:val="32"/>
        </w:rPr>
        <w:t>四是</w:t>
      </w:r>
      <w:r>
        <w:rPr>
          <w:rFonts w:hint="eastAsia" w:ascii="仿宋_GB2312" w:hAnsi="仿宋" w:eastAsia="仿宋_GB2312" w:cs="仿宋"/>
          <w:sz w:val="32"/>
          <w:szCs w:val="32"/>
        </w:rPr>
        <w:t>开展“返家乡”大学生社会实践活动，提供见习岗位53个，增强了在校大学生的就业创业能力。</w:t>
      </w:r>
      <w:r>
        <w:rPr>
          <w:rFonts w:hint="eastAsia" w:ascii="仿宋_GB2312" w:hAnsi="仿宋" w:eastAsia="仿宋_GB2312" w:cs="仿宋"/>
          <w:b/>
          <w:bCs/>
          <w:sz w:val="32"/>
          <w:szCs w:val="32"/>
        </w:rPr>
        <w:t>五是</w:t>
      </w:r>
      <w:r>
        <w:rPr>
          <w:rFonts w:hint="eastAsia" w:ascii="仿宋_GB2312" w:hAnsi="仿宋" w:eastAsia="仿宋_GB2312" w:cs="仿宋"/>
          <w:sz w:val="32"/>
          <w:szCs w:val="32"/>
        </w:rPr>
        <w:t>联合汶川、理县开展“缘定汶理茂·相约</w:t>
      </w:r>
      <w:r>
        <w:rPr>
          <w:rFonts w:hint="eastAsia" w:ascii="仿宋_GB2312" w:eastAsia="仿宋_GB2312" w:cs="仿宋"/>
          <w:sz w:val="32"/>
          <w:szCs w:val="32"/>
        </w:rPr>
        <w:t>520</w:t>
      </w:r>
      <w:r>
        <w:rPr>
          <w:rFonts w:hint="eastAsia" w:ascii="仿宋_GB2312" w:hAnsi="仿宋" w:eastAsia="仿宋_GB2312" w:cs="仿宋"/>
          <w:sz w:val="32"/>
          <w:szCs w:val="32"/>
        </w:rPr>
        <w:t>”线上交友活动，解决单身青年的婚恋问题，</w:t>
      </w:r>
      <w:r>
        <w:rPr>
          <w:rFonts w:hint="eastAsia" w:ascii="仿宋_GB2312" w:eastAsia="仿宋_GB2312" w:cs="仿宋"/>
          <w:sz w:val="32"/>
          <w:szCs w:val="32"/>
        </w:rPr>
        <w:t>100</w:t>
      </w:r>
      <w:r>
        <w:rPr>
          <w:rFonts w:hint="eastAsia" w:ascii="仿宋_GB2312" w:hAnsi="仿宋" w:eastAsia="仿宋_GB2312" w:cs="仿宋"/>
          <w:sz w:val="32"/>
          <w:szCs w:val="32"/>
        </w:rPr>
        <w:t>余人参加活动，成功牵手</w:t>
      </w:r>
      <w:r>
        <w:rPr>
          <w:rFonts w:hint="eastAsia" w:ascii="仿宋_GB2312" w:eastAsia="仿宋_GB2312" w:cs="仿宋"/>
          <w:sz w:val="32"/>
          <w:szCs w:val="32"/>
        </w:rPr>
        <w:t>18</w:t>
      </w:r>
      <w:r>
        <w:rPr>
          <w:rFonts w:hint="eastAsia" w:ascii="仿宋_GB2312" w:hAnsi="仿宋" w:eastAsia="仿宋_GB2312" w:cs="仿宋"/>
          <w:sz w:val="32"/>
          <w:szCs w:val="32"/>
        </w:rPr>
        <w:t>对。</w:t>
      </w:r>
    </w:p>
    <w:p>
      <w:pPr>
        <w:spacing w:line="570" w:lineRule="exact"/>
        <w:ind w:firstLine="640" w:firstLineChars="200"/>
        <w:rPr>
          <w:rFonts w:ascii="仿宋_GB2312" w:eastAsia="仿宋_GB2312"/>
        </w:rPr>
      </w:pPr>
      <w:r>
        <w:rPr>
          <w:rFonts w:hint="eastAsia" w:ascii="仿宋_GB2312" w:hAnsi="黑体" w:eastAsia="仿宋_GB2312" w:cs="黑体"/>
          <w:sz w:val="32"/>
          <w:szCs w:val="32"/>
        </w:rPr>
        <w:t>（3）深化青年志愿者行动。</w:t>
      </w:r>
      <w:r>
        <w:rPr>
          <w:rFonts w:hint="eastAsia" w:ascii="仿宋_GB2312" w:hAnsi="仿宋" w:eastAsia="仿宋_GB2312" w:cs="仿宋"/>
          <w:sz w:val="32"/>
          <w:szCs w:val="32"/>
        </w:rPr>
        <w:t>不断壮大青年志愿者队伍建设，充实志愿者队伍人数，建立志愿者服务队伍</w:t>
      </w:r>
      <w:r>
        <w:rPr>
          <w:rFonts w:hint="eastAsia" w:ascii="仿宋_GB2312" w:eastAsia="仿宋_GB2312" w:cs="仿宋"/>
          <w:sz w:val="32"/>
          <w:szCs w:val="32"/>
        </w:rPr>
        <w:t>12</w:t>
      </w:r>
      <w:r>
        <w:rPr>
          <w:rFonts w:hint="eastAsia" w:ascii="仿宋_GB2312" w:hAnsi="仿宋" w:eastAsia="仿宋_GB2312" w:cs="仿宋"/>
          <w:sz w:val="32"/>
          <w:szCs w:val="32"/>
        </w:rPr>
        <w:t>支，共</w:t>
      </w:r>
      <w:r>
        <w:rPr>
          <w:rFonts w:hint="eastAsia" w:ascii="仿宋_GB2312" w:eastAsia="仿宋_GB2312" w:cs="仿宋"/>
          <w:sz w:val="32"/>
          <w:szCs w:val="32"/>
        </w:rPr>
        <w:t>150</w:t>
      </w:r>
      <w:r>
        <w:rPr>
          <w:rFonts w:hint="eastAsia" w:ascii="仿宋_GB2312" w:hAnsi="仿宋" w:eastAsia="仿宋_GB2312" w:cs="仿宋"/>
          <w:sz w:val="32"/>
          <w:szCs w:val="32"/>
        </w:rPr>
        <w:t>余人。</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在疫情防控中，青年志愿者积极投身抗疫一线，</w:t>
      </w:r>
      <w:r>
        <w:rPr>
          <w:rFonts w:hint="eastAsia" w:ascii="仿宋_GB2312" w:hAnsi="仿宋" w:eastAsia="仿宋_GB2312" w:cs="仿宋"/>
          <w:color w:val="000000"/>
          <w:sz w:val="32"/>
          <w:szCs w:val="32"/>
        </w:rPr>
        <w:t>彰显了新时代青年爱党爱国爱家乡的时代情怀</w:t>
      </w:r>
      <w:r>
        <w:rPr>
          <w:rFonts w:hint="eastAsia" w:ascii="仿宋_GB2312" w:eastAsia="仿宋_GB2312" w:cs="仿宋_GB2312"/>
          <w:sz w:val="32"/>
          <w:szCs w:val="32"/>
        </w:rPr>
        <w:t>。</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助力创建全域旅游示范区，设置了7个志愿服务点，开展景区咨询、</w:t>
      </w:r>
      <w:r>
        <w:rPr>
          <w:rFonts w:hint="eastAsia" w:ascii="仿宋_GB2312" w:hAnsi="仿宋" w:eastAsia="仿宋_GB2312" w:cs="仿宋"/>
          <w:color w:val="000000"/>
          <w:sz w:val="32"/>
          <w:szCs w:val="32"/>
          <w:shd w:val="clear" w:color="auto" w:fill="FFFFFF"/>
        </w:rPr>
        <w:t>维护环境卫生等志愿服务。</w:t>
      </w:r>
      <w:r>
        <w:rPr>
          <w:rFonts w:hint="eastAsia" w:ascii="仿宋_GB2312" w:hAnsi="仿宋" w:eastAsia="仿宋_GB2312" w:cs="仿宋"/>
          <w:b/>
          <w:bCs/>
          <w:sz w:val="32"/>
          <w:szCs w:val="32"/>
        </w:rPr>
        <w:t>三是</w:t>
      </w:r>
      <w:r>
        <w:rPr>
          <w:rFonts w:hint="eastAsia" w:ascii="仿宋_GB2312" w:hAnsi="仿宋" w:eastAsia="仿宋_GB2312" w:cs="仿宋"/>
          <w:sz w:val="32"/>
          <w:szCs w:val="32"/>
        </w:rPr>
        <w:t>广泛开展有特色、有成效的志愿服务活动，以实际行动践行“奉献、友爱、互助、进步</w:t>
      </w:r>
      <w:r>
        <w:rPr>
          <w:rFonts w:hint="eastAsia" w:ascii="仿宋_GB2312" w:eastAsia="仿宋_GB2312" w:cs="仿宋_GB2312"/>
          <w:sz w:val="32"/>
          <w:szCs w:val="32"/>
        </w:rPr>
        <w:t>”的志愿精神。</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（4）抓好大学生西部计划管理。</w:t>
      </w:r>
      <w:r>
        <w:rPr>
          <w:rFonts w:hint="eastAsia" w:ascii="仿宋_GB2312" w:hAnsi="仿宋" w:eastAsia="仿宋_GB2312" w:cs="仿宋"/>
          <w:sz w:val="32"/>
          <w:szCs w:val="32"/>
        </w:rPr>
        <w:t>发挥西部计划志愿者团支部资源优势，丰富活动形式，组织开展志愿服务40</w:t>
      </w:r>
      <w:r>
        <w:rPr>
          <w:rFonts w:hint="eastAsia" w:ascii="仿宋_GB2312" w:eastAsia="仿宋_GB2312" w:cs="仿宋"/>
          <w:sz w:val="32"/>
          <w:szCs w:val="32"/>
        </w:rPr>
        <w:t>余</w:t>
      </w:r>
      <w:r>
        <w:rPr>
          <w:rFonts w:hint="eastAsia" w:ascii="仿宋_GB2312" w:hAnsi="仿宋" w:eastAsia="仿宋_GB2312" w:cs="仿宋"/>
          <w:sz w:val="32"/>
          <w:szCs w:val="32"/>
        </w:rPr>
        <w:t>次，充分激发志愿者扎根基层、服务基层作用。组织学习党的二十大精神、习近平总书记在建团</w:t>
      </w:r>
      <w:r>
        <w:rPr>
          <w:rFonts w:hint="eastAsia" w:ascii="仿宋_GB2312" w:eastAsia="仿宋_GB2312" w:cs="仿宋"/>
          <w:sz w:val="32"/>
          <w:szCs w:val="32"/>
        </w:rPr>
        <w:t>100</w:t>
      </w:r>
      <w:r>
        <w:rPr>
          <w:rFonts w:hint="eastAsia" w:ascii="仿宋_GB2312" w:hAnsi="仿宋" w:eastAsia="仿宋_GB2312" w:cs="仿宋"/>
          <w:sz w:val="32"/>
          <w:szCs w:val="32"/>
        </w:rPr>
        <w:t>周年上的重要讲话精神和习近平总书记来川视察重要指示精神，并撰写心得体会。在春节、端午、中秋等传统节日，对西部计划志愿者开展座谈慰问。</w:t>
      </w:r>
    </w:p>
    <w:p>
      <w:pPr>
        <w:spacing w:line="570" w:lineRule="exact"/>
        <w:ind w:firstLine="640" w:firstLineChars="200"/>
        <w:rPr>
          <w:rFonts w:ascii="仿宋_GB2312" w:hAnsi="黑体" w:eastAsia="仿宋_GB2312" w:cs="黑体"/>
          <w:sz w:val="32"/>
          <w:szCs w:val="32"/>
        </w:rPr>
      </w:pPr>
      <w:r>
        <w:rPr>
          <w:rFonts w:hint="eastAsia" w:ascii="仿宋_GB2312" w:hAnsi="黑体" w:eastAsia="仿宋_GB2312" w:cs="黑体"/>
          <w:sz w:val="32"/>
          <w:szCs w:val="32"/>
        </w:rPr>
        <w:t>4抓基层服务引领，全力助推乡村振兴</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（1）走村入户，深入开展“两联一进”。</w:t>
      </w:r>
      <w:r>
        <w:rPr>
          <w:rFonts w:hint="eastAsia" w:ascii="仿宋_GB2312" w:hAnsi="仿宋" w:eastAsia="仿宋_GB2312" w:cs="仿宋"/>
          <w:sz w:val="32"/>
          <w:szCs w:val="32"/>
        </w:rPr>
        <w:t>开展“两联一进”群众全覆盖工作，截</w:t>
      </w:r>
      <w:r>
        <w:rPr>
          <w:rFonts w:hint="eastAsia" w:ascii="仿宋_GB2312" w:hAnsi="仿宋" w:eastAsia="仿宋_GB2312" w:cs="仿宋"/>
          <w:sz w:val="32"/>
          <w:szCs w:val="32"/>
          <w:lang w:eastAsia="zh-CN"/>
        </w:rPr>
        <w:t>至</w:t>
      </w:r>
      <w:r>
        <w:rPr>
          <w:rFonts w:hint="eastAsia" w:ascii="仿宋_GB2312" w:hAnsi="仿宋" w:eastAsia="仿宋_GB2312" w:cs="仿宋"/>
          <w:sz w:val="32"/>
          <w:szCs w:val="32"/>
        </w:rPr>
        <w:t>目前共入村开展工作23次，发放宣传资料200余份，收集群众意见诉求4件，解决问题4件。在端午节开展群众走访慰问工作，共慰问困难群众24人。</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（2）扶贫助困，积极开展助学资助。</w:t>
      </w:r>
      <w:r>
        <w:rPr>
          <w:rFonts w:hint="eastAsia" w:ascii="仿宋_GB2312" w:hAnsi="仿宋" w:eastAsia="仿宋_GB2312" w:cs="仿宋"/>
          <w:b/>
          <w:bCs/>
          <w:sz w:val="32"/>
          <w:szCs w:val="32"/>
        </w:rPr>
        <w:t>一是</w:t>
      </w:r>
      <w:r>
        <w:rPr>
          <w:rFonts w:hint="eastAsia" w:ascii="仿宋_GB2312" w:hAnsi="仿宋" w:eastAsia="仿宋_GB2312" w:cs="仿宋"/>
          <w:sz w:val="32"/>
          <w:szCs w:val="32"/>
        </w:rPr>
        <w:t>开展“希望工程</w:t>
      </w:r>
      <w:r>
        <w:rPr>
          <w:rFonts w:hint="eastAsia" w:ascii="仿宋_GB2312" w:eastAsia="仿宋_GB2312" w:cs="仿宋"/>
          <w:sz w:val="32"/>
          <w:szCs w:val="32"/>
        </w:rPr>
        <w:t>1</w:t>
      </w:r>
      <w:r>
        <w:rPr>
          <w:rFonts w:hint="eastAsia" w:ascii="仿宋_GB2312" w:hAnsi="仿宋" w:eastAsia="仿宋_GB2312" w:cs="仿宋"/>
          <w:sz w:val="32"/>
          <w:szCs w:val="32"/>
        </w:rPr>
        <w:t>+</w:t>
      </w:r>
      <w:r>
        <w:rPr>
          <w:rFonts w:hint="eastAsia" w:ascii="仿宋_GB2312" w:eastAsia="仿宋_GB2312" w:cs="仿宋"/>
          <w:sz w:val="32"/>
          <w:szCs w:val="32"/>
        </w:rPr>
        <w:t>1</w:t>
      </w:r>
      <w:r>
        <w:rPr>
          <w:rFonts w:hint="eastAsia" w:ascii="仿宋_GB2312" w:hAnsi="仿宋" w:eastAsia="仿宋_GB2312" w:cs="仿宋"/>
          <w:sz w:val="32"/>
          <w:szCs w:val="32"/>
        </w:rPr>
        <w:t>——幻方助学计划”助学项目，共资助</w:t>
      </w:r>
      <w:r>
        <w:rPr>
          <w:rFonts w:hint="eastAsia" w:ascii="仿宋_GB2312" w:eastAsia="仿宋_GB2312" w:cs="仿宋"/>
          <w:sz w:val="32"/>
          <w:szCs w:val="32"/>
        </w:rPr>
        <w:t>164</w:t>
      </w:r>
      <w:r>
        <w:rPr>
          <w:rFonts w:hint="eastAsia" w:ascii="仿宋_GB2312" w:hAnsi="仿宋" w:eastAsia="仿宋_GB2312" w:cs="仿宋"/>
          <w:sz w:val="32"/>
          <w:szCs w:val="32"/>
        </w:rPr>
        <w:t>人，拨付金额</w:t>
      </w:r>
      <w:r>
        <w:rPr>
          <w:rFonts w:hint="eastAsia" w:ascii="仿宋_GB2312" w:eastAsia="仿宋_GB2312" w:cs="仿宋"/>
          <w:sz w:val="32"/>
          <w:szCs w:val="32"/>
        </w:rPr>
        <w:t>16.4</w:t>
      </w:r>
      <w:r>
        <w:rPr>
          <w:rFonts w:hint="eastAsia" w:ascii="仿宋_GB2312" w:hAnsi="仿宋" w:eastAsia="仿宋_GB2312" w:cs="仿宋"/>
          <w:sz w:val="32"/>
          <w:szCs w:val="32"/>
        </w:rPr>
        <w:t>万元。</w:t>
      </w:r>
      <w:r>
        <w:rPr>
          <w:rFonts w:hint="eastAsia" w:ascii="仿宋_GB2312" w:hAnsi="仿宋" w:eastAsia="仿宋_GB2312" w:cs="仿宋"/>
          <w:b/>
          <w:bCs/>
          <w:sz w:val="32"/>
          <w:szCs w:val="32"/>
        </w:rPr>
        <w:t>二是</w:t>
      </w:r>
      <w:r>
        <w:rPr>
          <w:rFonts w:hint="eastAsia" w:ascii="仿宋_GB2312" w:hAnsi="仿宋" w:eastAsia="仿宋_GB2312" w:cs="仿宋"/>
          <w:sz w:val="32"/>
          <w:szCs w:val="32"/>
        </w:rPr>
        <w:t>开展“我要上大学”助学项目，共资助8人，拨付金额4万元。</w:t>
      </w:r>
    </w:p>
    <w:p>
      <w:pPr>
        <w:spacing w:line="570" w:lineRule="exact"/>
        <w:ind w:firstLine="640" w:firstLineChars="200"/>
        <w:rPr>
          <w:rFonts w:ascii="仿宋_GB2312" w:hAnsi="仿宋" w:eastAsia="仿宋_GB2312" w:cs="仿宋"/>
          <w:sz w:val="32"/>
          <w:szCs w:val="32"/>
        </w:rPr>
      </w:pPr>
      <w:r>
        <w:rPr>
          <w:rFonts w:hint="eastAsia" w:ascii="仿宋_GB2312" w:hAnsi="黑体" w:eastAsia="仿宋_GB2312" w:cs="黑体"/>
          <w:sz w:val="32"/>
          <w:szCs w:val="32"/>
        </w:rPr>
        <w:t>（3）用心用情，关爱帮扶留守儿童。</w:t>
      </w:r>
      <w:r>
        <w:rPr>
          <w:rFonts w:hint="eastAsia" w:ascii="仿宋_GB2312" w:hAnsi="仿宋" w:eastAsia="仿宋_GB2312" w:cs="仿宋"/>
          <w:sz w:val="32"/>
          <w:szCs w:val="32"/>
        </w:rPr>
        <w:t>充分发挥县青少年活动中心、童伴之家、社区少年宫的阵地作用，在春节、六一、羌历新年等时间节点，开展“童心向梦.共筑成长”“平茂两地一家亲 羌历新年圆梦行”等慰问活动，为留守儿童送去党和政府的关心关怀。</w:t>
      </w:r>
    </w:p>
    <w:p>
      <w:pPr>
        <w:spacing w:line="576" w:lineRule="exact"/>
        <w:ind w:firstLine="640" w:firstLineChars="200"/>
        <w:rPr>
          <w:rStyle w:val="27"/>
          <w:b w:val="0"/>
          <w:bCs w:val="0"/>
        </w:rPr>
      </w:pPr>
      <w:r>
        <w:rPr>
          <w:rFonts w:hint="eastAsia" w:ascii="黑体" w:eastAsia="黑体"/>
          <w:color w:val="000000"/>
          <w:sz w:val="32"/>
          <w:szCs w:val="32"/>
        </w:rPr>
        <w:t>二、机</w:t>
      </w:r>
      <w:r>
        <w:rPr>
          <w:rStyle w:val="27"/>
          <w:rFonts w:hint="eastAsia" w:ascii="黑体" w:eastAsia="黑体"/>
          <w:b w:val="0"/>
          <w:bCs w:val="0"/>
        </w:rPr>
        <w:t>构设置</w:t>
      </w:r>
      <w:bookmarkEnd w:id="23"/>
      <w:bookmarkEnd w:id="24"/>
      <w:bookmarkEnd w:id="25"/>
      <w:bookmarkEnd w:id="2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茂县青少年活动中心是共青团茂县委员会下属二级单位。</w:t>
      </w:r>
    </w:p>
    <w:p>
      <w:pPr>
        <w:pStyle w:val="2"/>
        <w:rPr>
          <w:lang w:val="zh-CN"/>
        </w:rPr>
      </w:pPr>
    </w:p>
    <w:p>
      <w:pPr>
        <w:rPr>
          <w:lang w:val="zh-CN"/>
        </w:rPr>
      </w:pPr>
    </w:p>
    <w:p>
      <w:pPr>
        <w:pStyle w:val="2"/>
        <w:rPr>
          <w:lang w:val="zh-CN"/>
        </w:rPr>
      </w:pPr>
    </w:p>
    <w:p>
      <w:pPr>
        <w:pStyle w:val="2"/>
        <w:rPr>
          <w:b w:val="0"/>
          <w:bCs w:val="0"/>
          <w:kern w:val="2"/>
          <w:sz w:val="21"/>
          <w:szCs w:val="24"/>
          <w:lang w:val="zh-CN"/>
        </w:rPr>
      </w:pPr>
    </w:p>
    <w:p>
      <w:pPr>
        <w:rPr>
          <w:lang w:val="zh-CN"/>
        </w:rPr>
      </w:pPr>
    </w:p>
    <w:p>
      <w:pPr>
        <w:pStyle w:val="2"/>
        <w:rPr>
          <w:lang w:val="zh-CN"/>
        </w:rPr>
      </w:pPr>
    </w:p>
    <w:p>
      <w:pPr>
        <w:widowControl/>
        <w:spacing w:line="576" w:lineRule="exact"/>
        <w:jc w:val="center"/>
        <w:rPr>
          <w:rStyle w:val="26"/>
          <w:rFonts w:ascii="方正小标宋简体" w:eastAsia="方正小标宋简体" w:cs="方正小标宋简体"/>
          <w:b w:val="0"/>
          <w:bCs w:val="0"/>
        </w:rPr>
      </w:pPr>
      <w:bookmarkStart w:id="27" w:name="_Toc79163609"/>
      <w:bookmarkStart w:id="28" w:name="_Toc15396602"/>
      <w:bookmarkStart w:id="29" w:name="_Toc15377204"/>
      <w:bookmarkStart w:id="30" w:name="_Toc79163859"/>
      <w:r>
        <w:rPr>
          <w:rFonts w:hint="eastAsia" w:ascii="方正小标宋简体" w:eastAsia="方正小标宋简体" w:cs="方正小标宋简体"/>
          <w:bCs/>
          <w:kern w:val="44"/>
          <w:sz w:val="44"/>
          <w:szCs w:val="44"/>
        </w:rPr>
        <w:t>第二部分</w:t>
      </w:r>
      <w:r>
        <w:rPr>
          <w:rFonts w:hint="eastAsia" w:ascii="方正小标宋简体" w:eastAsia="方正小标宋简体" w:cs="方正小标宋简体"/>
          <w:color w:val="000000"/>
          <w:sz w:val="44"/>
          <w:szCs w:val="44"/>
        </w:rPr>
        <w:t xml:space="preserve"> </w:t>
      </w:r>
      <w:r>
        <w:rPr>
          <w:rStyle w:val="26"/>
          <w:rFonts w:hint="eastAsia" w:ascii="方正小标宋简体" w:eastAsia="方正小标宋简体" w:cs="方正小标宋简体"/>
          <w:b w:val="0"/>
          <w:bCs w:val="0"/>
        </w:rPr>
        <w:t>2021年度部门决算情况说明</w:t>
      </w:r>
      <w:bookmarkEnd w:id="27"/>
      <w:bookmarkEnd w:id="28"/>
      <w:bookmarkEnd w:id="29"/>
      <w:bookmarkEnd w:id="30"/>
    </w:p>
    <w:p>
      <w:pPr>
        <w:spacing w:line="576" w:lineRule="exact"/>
      </w:pPr>
    </w:p>
    <w:p>
      <w:pPr>
        <w:pStyle w:val="32"/>
        <w:numPr>
          <w:ilvl w:val="0"/>
          <w:numId w:val="1"/>
        </w:numPr>
        <w:spacing w:line="576" w:lineRule="exact"/>
        <w:ind w:firstLineChars="0"/>
        <w:outlineLvl w:val="1"/>
        <w:rPr>
          <w:rStyle w:val="27"/>
          <w:rFonts w:ascii="黑体" w:eastAsia="黑体"/>
          <w:b w:val="0"/>
        </w:rPr>
      </w:pPr>
      <w:bookmarkStart w:id="31" w:name="_Toc15396603"/>
      <w:bookmarkStart w:id="32" w:name="_Toc79163610"/>
      <w:bookmarkStart w:id="33" w:name="_Toc79163860"/>
      <w:bookmarkStart w:id="34" w:name="_Toc15377205"/>
      <w:r>
        <w:rPr>
          <w:rFonts w:hint="eastAsia" w:ascii="黑体" w:eastAsia="黑体"/>
          <w:color w:val="000000"/>
          <w:sz w:val="32"/>
          <w:szCs w:val="32"/>
        </w:rPr>
        <w:t>收</w:t>
      </w:r>
      <w:r>
        <w:rPr>
          <w:rStyle w:val="27"/>
          <w:rFonts w:hint="eastAsia" w:ascii="黑体" w:eastAsia="黑体"/>
          <w:b w:val="0"/>
        </w:rPr>
        <w:t>入支出决算总体情况说明</w:t>
      </w:r>
      <w:bookmarkEnd w:id="31"/>
      <w:bookmarkEnd w:id="32"/>
      <w:bookmarkEnd w:id="33"/>
      <w:bookmarkEnd w:id="34"/>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度收入总计53.33万元。与2021年相比，收入总计增加0.6万元，增长1.14%。主要变动原因是人员经费增加。2022年度支出总计53.33万元。与2021年相比，支出总计增加0.6万元，增长1.14%。主要变动原因是人员经费增加。</w:t>
      </w:r>
    </w:p>
    <w:p>
      <w:pPr>
        <w:spacing w:line="576" w:lineRule="exact"/>
        <w:ind w:firstLine="640" w:firstLineChars="200"/>
        <w:jc w:val="left"/>
        <w:rPr>
          <w:rFonts w:ascii="仿宋_GB2312" w:eastAsia="仿宋_GB2312" w:cs="仿宋_GB2312"/>
          <w:color w:val="000000"/>
          <w:sz w:val="32"/>
          <w:szCs w:val="32"/>
        </w:rPr>
      </w:pPr>
      <w:r>
        <w:rPr>
          <w:rFonts w:hint="eastAsia" w:ascii="仿宋_GB2312" w:eastAsia="仿宋_GB2312" w:cs="仿宋_GB2312"/>
          <w:color w:val="000000"/>
          <w:sz w:val="32"/>
          <w:szCs w:val="32"/>
        </w:rPr>
        <w:t>（图1：收、支决算总计变动情况图）（单位：万元）</w:t>
      </w:r>
    </w:p>
    <w:p>
      <w:pPr>
        <w:pStyle w:val="2"/>
        <w:spacing w:line="240" w:lineRule="auto"/>
      </w:pPr>
      <w:r>
        <w:rPr>
          <w:rFonts w:hint="eastAsia"/>
        </w:rPr>
        <w:t xml:space="preserve">   </w:t>
      </w:r>
      <w:r>
        <w:drawing>
          <wp:inline distT="0" distB="0" distL="0" distR="0">
            <wp:extent cx="4572000" cy="2600325"/>
            <wp:effectExtent l="19050" t="0" r="19050" b="0"/>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2"/>
        <w:numPr>
          <w:ilvl w:val="0"/>
          <w:numId w:val="1"/>
        </w:numPr>
        <w:spacing w:line="576" w:lineRule="exact"/>
        <w:ind w:firstLineChars="0"/>
        <w:outlineLvl w:val="1"/>
        <w:rPr>
          <w:rStyle w:val="27"/>
          <w:rFonts w:ascii="黑体" w:eastAsia="黑体"/>
          <w:b w:val="0"/>
        </w:rPr>
      </w:pPr>
      <w:bookmarkStart w:id="35" w:name="_Toc79163611"/>
      <w:bookmarkStart w:id="36" w:name="_Toc79163861"/>
      <w:bookmarkStart w:id="37" w:name="_Toc15396604"/>
      <w:bookmarkStart w:id="38" w:name="_Toc15377206"/>
      <w:r>
        <w:rPr>
          <w:rFonts w:hint="eastAsia" w:ascii="黑体" w:eastAsia="黑体"/>
          <w:color w:val="000000"/>
          <w:sz w:val="32"/>
          <w:szCs w:val="32"/>
        </w:rPr>
        <w:t>收</w:t>
      </w:r>
      <w:r>
        <w:rPr>
          <w:rStyle w:val="27"/>
          <w:rFonts w:hint="eastAsia" w:ascii="黑体" w:eastAsia="黑体"/>
          <w:b w:val="0"/>
        </w:rPr>
        <w:t>入决算情况说明</w:t>
      </w:r>
      <w:bookmarkEnd w:id="35"/>
      <w:bookmarkEnd w:id="36"/>
      <w:bookmarkEnd w:id="37"/>
      <w:bookmarkEnd w:id="38"/>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2022年本年收入合计53.33万元，其中：一般公共预算财政拨款收入53.33万元，占100%；</w:t>
      </w:r>
    </w:p>
    <w:p>
      <w:pPr>
        <w:pStyle w:val="6"/>
        <w:adjustRightInd w:val="0"/>
        <w:snapToGrid w:val="0"/>
        <w:spacing w:beforeLines="0" w:line="576" w:lineRule="exact"/>
        <w:ind w:firstLine="668" w:firstLineChars="209"/>
        <w:outlineLvl w:val="2"/>
        <w:rPr>
          <w:rFonts w:cs="仿宋_GB2312"/>
          <w:bCs/>
          <w:color w:val="000000"/>
          <w:sz w:val="32"/>
          <w:szCs w:val="32"/>
        </w:rPr>
      </w:pPr>
    </w:p>
    <w:p>
      <w:pPr>
        <w:spacing w:line="576" w:lineRule="exact"/>
        <w:ind w:firstLine="640" w:firstLineChars="20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drawing>
          <wp:anchor distT="0" distB="0" distL="114300" distR="114300" simplePos="0" relativeHeight="251659264" behindDoc="0" locked="0" layoutInCell="1" allowOverlap="1">
            <wp:simplePos x="0" y="0"/>
            <wp:positionH relativeFrom="column">
              <wp:posOffset>23495</wp:posOffset>
            </wp:positionH>
            <wp:positionV relativeFrom="paragraph">
              <wp:posOffset>290195</wp:posOffset>
            </wp:positionV>
            <wp:extent cx="5219700" cy="1924050"/>
            <wp:effectExtent l="0" t="0" r="16" b="3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eastAsia="仿宋_GB2312" w:cs="仿宋_GB2312"/>
          <w:color w:val="000000"/>
          <w:sz w:val="32"/>
          <w:szCs w:val="32"/>
        </w:rPr>
        <w:t>（图2：收入决算结构图）（单位：万元）</w:t>
      </w:r>
    </w:p>
    <w:p>
      <w:pPr>
        <w:pStyle w:val="32"/>
        <w:spacing w:line="576" w:lineRule="exact"/>
        <w:ind w:left="640" w:firstLine="0" w:firstLineChars="0"/>
        <w:outlineLvl w:val="1"/>
        <w:rPr>
          <w:rStyle w:val="27"/>
          <w:rFonts w:ascii="黑体" w:eastAsia="黑体"/>
          <w:b w:val="0"/>
        </w:rPr>
      </w:pPr>
      <w:bookmarkStart w:id="39" w:name="_Toc79163862"/>
      <w:bookmarkStart w:id="40" w:name="_Toc15396605"/>
      <w:bookmarkStart w:id="41" w:name="_Toc15377207"/>
      <w:bookmarkStart w:id="42" w:name="_Toc79163612"/>
      <w:r>
        <w:rPr>
          <w:rFonts w:hint="eastAsia" w:ascii="黑体" w:eastAsia="黑体"/>
          <w:color w:val="000000"/>
          <w:sz w:val="32"/>
          <w:szCs w:val="32"/>
        </w:rPr>
        <w:t>三、支</w:t>
      </w:r>
      <w:r>
        <w:rPr>
          <w:rStyle w:val="27"/>
          <w:rFonts w:hint="eastAsia" w:ascii="黑体" w:eastAsia="黑体"/>
          <w:b w:val="0"/>
        </w:rPr>
        <w:t>出决算情况说明</w:t>
      </w:r>
      <w:bookmarkEnd w:id="39"/>
      <w:bookmarkEnd w:id="40"/>
      <w:bookmarkEnd w:id="41"/>
      <w:bookmarkEnd w:id="42"/>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2022年本年支出合计53.33万元，其中：基本支出53.33万元，占100%；项目支出0万元，占0%。</w:t>
      </w:r>
    </w:p>
    <w:p>
      <w:pPr>
        <w:pStyle w:val="2"/>
      </w:pPr>
      <w:r>
        <w:rPr>
          <w:rFonts w:hint="eastAsia"/>
        </w:rPr>
        <w:t xml:space="preserve">   </w:t>
      </w:r>
      <w:r>
        <w:drawing>
          <wp:inline distT="0" distB="0" distL="0" distR="0">
            <wp:extent cx="4595495" cy="2667000"/>
            <wp:effectExtent l="19050" t="0" r="14287"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576" w:lineRule="exact"/>
        <w:ind w:firstLine="640"/>
        <w:jc w:val="center"/>
        <w:rPr>
          <w:rFonts w:ascii="仿宋_GB2312" w:eastAsia="仿宋_GB2312" w:cs="仿宋_GB2312"/>
          <w:color w:val="FF0000"/>
          <w:sz w:val="32"/>
          <w:szCs w:val="32"/>
        </w:rPr>
      </w:pPr>
      <w:r>
        <w:rPr>
          <w:rFonts w:hint="eastAsia" w:ascii="仿宋_GB2312" w:eastAsia="仿宋_GB2312" w:cs="仿宋_GB2312"/>
          <w:color w:val="000000"/>
          <w:sz w:val="32"/>
          <w:szCs w:val="32"/>
        </w:rPr>
        <w:t>（图3：支出决算结构图）（单位：万元）</w:t>
      </w:r>
    </w:p>
    <w:p>
      <w:pPr>
        <w:pStyle w:val="32"/>
        <w:spacing w:line="576" w:lineRule="exact"/>
        <w:ind w:left="640" w:firstLine="0" w:firstLineChars="0"/>
        <w:outlineLvl w:val="1"/>
        <w:rPr>
          <w:rFonts w:ascii="黑体" w:eastAsia="黑体"/>
          <w:color w:val="000000"/>
          <w:sz w:val="32"/>
          <w:szCs w:val="32"/>
        </w:rPr>
      </w:pPr>
      <w:bookmarkStart w:id="43" w:name="_Toc79163613"/>
      <w:bookmarkStart w:id="44" w:name="_Toc15396606"/>
      <w:bookmarkStart w:id="45" w:name="_Toc79163863"/>
      <w:bookmarkStart w:id="46" w:name="_Toc15377208"/>
      <w:r>
        <w:rPr>
          <w:rFonts w:hint="eastAsia" w:ascii="黑体" w:eastAsia="黑体"/>
          <w:color w:val="000000"/>
          <w:sz w:val="32"/>
          <w:szCs w:val="32"/>
        </w:rPr>
        <w:t>四、财政拨款收入支出决算总体情况说明</w:t>
      </w:r>
      <w:bookmarkEnd w:id="43"/>
      <w:bookmarkEnd w:id="44"/>
      <w:bookmarkEnd w:id="45"/>
      <w:bookmarkEnd w:id="46"/>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度财政拨款收入总计53.33万元。与2021年相比，财政拨款收入总计增加0.6万元，增长1.14%。主要变动原因是人员经费增加。2022年度财政拨款支出总计53.33万元。与2021年相比，财政拨款支出总计增加0.6万元，增长1.14%。主要变动原因是人员经费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（图4：财政拨款收、支决算总计变动情况）（单位：万元）</w:t>
      </w:r>
    </w:p>
    <w:p>
      <w:pPr>
        <w:pStyle w:val="2"/>
      </w:pPr>
      <w:r>
        <w:rPr>
          <w:rFonts w:hint="eastAsia"/>
        </w:rPr>
        <w:t xml:space="preserve">   </w:t>
      </w:r>
      <w:r>
        <w:drawing>
          <wp:inline distT="0" distB="0" distL="0" distR="0">
            <wp:extent cx="4572000" cy="2600325"/>
            <wp:effectExtent l="19050" t="0" r="19050" b="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576" w:lineRule="exact"/>
        <w:ind w:firstLine="640" w:firstLineChars="200"/>
        <w:outlineLvl w:val="1"/>
        <w:rPr>
          <w:rStyle w:val="27"/>
          <w:rFonts w:ascii="黑体" w:eastAsia="黑体"/>
          <w:b w:val="0"/>
        </w:rPr>
      </w:pPr>
      <w:bookmarkStart w:id="47" w:name="_Toc79163864"/>
      <w:bookmarkStart w:id="48" w:name="_Toc15377209"/>
      <w:bookmarkStart w:id="49" w:name="_Toc15396607"/>
      <w:bookmarkStart w:id="50" w:name="_Toc79163614"/>
      <w:r>
        <w:rPr>
          <w:rFonts w:hint="eastAsia" w:ascii="黑体" w:eastAsia="黑体"/>
          <w:color w:val="000000"/>
          <w:sz w:val="32"/>
          <w:szCs w:val="32"/>
        </w:rPr>
        <w:t>五、</w:t>
      </w:r>
      <w:r>
        <w:rPr>
          <w:rFonts w:hint="eastAsia" w:ascii="黑体" w:eastAsia="黑体"/>
          <w:bCs/>
          <w:color w:val="000000"/>
          <w:sz w:val="32"/>
          <w:szCs w:val="32"/>
        </w:rPr>
        <w:t>一</w:t>
      </w:r>
      <w:r>
        <w:rPr>
          <w:rStyle w:val="27"/>
          <w:rFonts w:hint="eastAsia" w:ascii="黑体" w:eastAsia="黑体"/>
          <w:b w:val="0"/>
        </w:rPr>
        <w:t>般公共预算财政拨款支出决算情况说明</w:t>
      </w:r>
      <w:bookmarkEnd w:id="47"/>
      <w:bookmarkEnd w:id="48"/>
      <w:bookmarkEnd w:id="49"/>
      <w:bookmarkEnd w:id="50"/>
      <w:bookmarkStart w:id="51" w:name="_Toc15377210"/>
      <w:bookmarkStart w:id="52" w:name="_Toc79163615"/>
      <w:bookmarkStart w:id="53" w:name="_Toc79163865"/>
    </w:p>
    <w:p>
      <w:pPr>
        <w:spacing w:line="576" w:lineRule="exact"/>
        <w:ind w:firstLine="642" w:firstLineChars="200"/>
        <w:outlineLvl w:val="1"/>
        <w:rPr>
          <w:rFonts w:ascii="楷体_GB2312" w:eastAsia="楷体_GB2312" w:cs="楷体_GB2312"/>
          <w:b/>
          <w:color w:val="000000"/>
          <w:sz w:val="32"/>
          <w:szCs w:val="32"/>
        </w:rPr>
      </w:pPr>
      <w:r>
        <w:rPr>
          <w:rFonts w:hint="eastAsia" w:ascii="楷体_GB2312" w:eastAsia="楷体_GB2312" w:cs="楷体_GB2312"/>
          <w:b/>
          <w:color w:val="000000"/>
          <w:sz w:val="32"/>
          <w:szCs w:val="32"/>
        </w:rPr>
        <w:t>（一）一般公共预算财政拨款支出决算总体情况</w:t>
      </w:r>
      <w:bookmarkEnd w:id="51"/>
      <w:bookmarkEnd w:id="52"/>
      <w:bookmarkEnd w:id="5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2022年一般公共预算财政拨款支出53.33万元，占本年支出合计的100%。与2021年相比，一般公共预算财政拨款增加0.6万元，增长1.14%。主要变动原因是人员经费增加。</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（图5：一般公共预算财政拨款支出决算变动情况）（单位：万元）</w:t>
      </w:r>
    </w:p>
    <w:p>
      <w:pPr>
        <w:pStyle w:val="2"/>
      </w:pPr>
      <w:r>
        <w:rPr>
          <w:rFonts w:hint="eastAsia"/>
        </w:rPr>
        <w:t xml:space="preserve">   </w:t>
      </w:r>
      <w:r>
        <w:drawing>
          <wp:inline distT="0" distB="0" distL="0" distR="0">
            <wp:extent cx="4572000" cy="2600325"/>
            <wp:effectExtent l="19050" t="0" r="19050" b="0"/>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exact"/>
        <w:ind w:firstLine="642" w:firstLineChars="200"/>
        <w:outlineLvl w:val="2"/>
        <w:rPr>
          <w:rFonts w:ascii="楷体_GB2312" w:eastAsia="楷体_GB2312" w:cs="楷体_GB2312"/>
          <w:b/>
          <w:color w:val="000000"/>
          <w:sz w:val="32"/>
          <w:szCs w:val="32"/>
        </w:rPr>
      </w:pPr>
      <w:bookmarkStart w:id="54" w:name="_Toc79163616"/>
      <w:bookmarkStart w:id="55" w:name="_Toc79163866"/>
      <w:bookmarkStart w:id="56" w:name="_Toc15377211"/>
      <w:r>
        <w:rPr>
          <w:rFonts w:hint="eastAsia" w:ascii="楷体_GB2312" w:eastAsia="楷体_GB2312" w:cs="楷体_GB2312"/>
          <w:b/>
          <w:color w:val="000000"/>
          <w:sz w:val="32"/>
          <w:szCs w:val="32"/>
        </w:rPr>
        <w:t>（二）一般公共预算财政拨款支出决算结构情况</w:t>
      </w:r>
      <w:bookmarkEnd w:id="54"/>
      <w:bookmarkEnd w:id="55"/>
      <w:bookmarkEnd w:id="56"/>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2022年一般公共预算财政拨款支出</w:t>
      </w:r>
      <w:r>
        <w:rPr>
          <w:rFonts w:hint="eastAsia" w:ascii="仿宋_GB2312" w:eastAsia="仿宋_GB2312" w:cs="仿宋_GB2312"/>
          <w:color w:val="000000"/>
          <w:sz w:val="32"/>
          <w:szCs w:val="32"/>
        </w:rPr>
        <w:t>53.33万元，主要用于以下方面:</w:t>
      </w:r>
      <w:r>
        <w:rPr>
          <w:rFonts w:hint="eastAsia" w:ascii="仿宋_GB2312" w:eastAsia="仿宋_GB2312" w:cs="仿宋_GB2312"/>
          <w:b/>
          <w:color w:val="000000"/>
          <w:sz w:val="32"/>
          <w:szCs w:val="32"/>
        </w:rPr>
        <w:t>一般公共服务</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（201）</w:t>
      </w:r>
      <w:r>
        <w:rPr>
          <w:rFonts w:hint="eastAsia" w:ascii="仿宋_GB2312" w:eastAsia="仿宋_GB2312" w:cs="仿宋_GB2312"/>
          <w:color w:val="000000"/>
          <w:sz w:val="32"/>
          <w:szCs w:val="32"/>
        </w:rPr>
        <w:t>支出41.53万元，占77.87%；</w:t>
      </w:r>
      <w:r>
        <w:rPr>
          <w:rFonts w:hint="eastAsia" w:ascii="仿宋_GB2312" w:eastAsia="仿宋_GB2312" w:cs="仿宋_GB2312"/>
          <w:b/>
          <w:color w:val="000000"/>
          <w:sz w:val="32"/>
          <w:szCs w:val="32"/>
        </w:rPr>
        <w:t>社会保障和就业</w:t>
      </w:r>
      <w:r>
        <w:rPr>
          <w:rFonts w:ascii="仿宋_GB2312" w:eastAsia="仿宋_GB2312" w:cs="仿宋_GB2312"/>
          <w:b/>
          <w:color w:val="000000"/>
          <w:sz w:val="32"/>
          <w:szCs w:val="32"/>
        </w:rPr>
        <w:t>支出</w:t>
      </w:r>
      <w:r>
        <w:rPr>
          <w:rFonts w:hint="eastAsia" w:ascii="仿宋_GB2312" w:eastAsia="仿宋_GB2312" w:cs="仿宋_GB2312"/>
          <w:b/>
          <w:color w:val="000000"/>
          <w:sz w:val="32"/>
          <w:szCs w:val="32"/>
        </w:rPr>
        <w:t>（208）</w:t>
      </w:r>
      <w:r>
        <w:rPr>
          <w:rFonts w:hint="eastAsia" w:ascii="仿宋_GB2312" w:eastAsia="仿宋_GB2312" w:cs="仿宋_GB2312"/>
          <w:color w:val="000000"/>
          <w:sz w:val="32"/>
          <w:szCs w:val="32"/>
        </w:rPr>
        <w:t>支出5.88万元，占11.02%；</w:t>
      </w:r>
      <w:r>
        <w:rPr>
          <w:rFonts w:hint="eastAsia" w:ascii="仿宋_GB2312" w:eastAsia="仿宋_GB2312" w:cs="仿宋_GB2312"/>
          <w:b/>
          <w:bCs/>
          <w:color w:val="000000"/>
          <w:sz w:val="32"/>
          <w:szCs w:val="32"/>
        </w:rPr>
        <w:t>卫生健康支出（210）</w:t>
      </w:r>
      <w:r>
        <w:rPr>
          <w:rFonts w:hint="eastAsia" w:ascii="仿宋_GB2312" w:eastAsia="仿宋_GB2312" w:cs="仿宋_GB2312"/>
          <w:color w:val="000000"/>
          <w:sz w:val="32"/>
          <w:szCs w:val="32"/>
        </w:rPr>
        <w:t>2.46万元，占4.61%；</w:t>
      </w:r>
      <w:r>
        <w:rPr>
          <w:rFonts w:hint="eastAsia" w:ascii="仿宋_GB2312" w:eastAsia="仿宋_GB2312" w:cs="仿宋_GB2312"/>
          <w:b/>
          <w:bCs/>
          <w:color w:val="000000"/>
          <w:sz w:val="32"/>
          <w:szCs w:val="32"/>
        </w:rPr>
        <w:t>住房保障支出（221）</w:t>
      </w:r>
      <w:r>
        <w:rPr>
          <w:rFonts w:hint="eastAsia" w:ascii="仿宋_GB2312" w:eastAsia="仿宋_GB2312" w:cs="仿宋_GB2312"/>
          <w:color w:val="000000"/>
          <w:sz w:val="32"/>
          <w:szCs w:val="32"/>
        </w:rPr>
        <w:t>3.46万元，占6.5%。</w:t>
      </w:r>
    </w:p>
    <w:p>
      <w:pPr>
        <w:spacing w:line="576" w:lineRule="exact"/>
        <w:ind w:firstLine="640" w:firstLineChars="200"/>
        <w:rPr>
          <w:rFonts w:ascii="仿宋_GB2312" w:eastAsia="仿宋_GB2312" w:cs="仿宋_GB2312"/>
          <w:color w:val="000000"/>
          <w:sz w:val="32"/>
          <w:szCs w:val="32"/>
        </w:rPr>
      </w:pPr>
      <w:r>
        <w:rPr>
          <w:rFonts w:hint="eastAsia" w:ascii="仿宋_GB2312" w:eastAsia="仿宋_GB2312" w:cs="仿宋_GB2312"/>
          <w:bCs/>
          <w:color w:val="000000"/>
          <w:kern w:val="0"/>
          <w:sz w:val="32"/>
          <w:szCs w:val="32"/>
          <w:lang w:val="zh-CN"/>
        </w:rPr>
        <w:t>（图6：一般公共预算财政拨款支出决算结构）（单位：万元）</w:t>
      </w:r>
    </w:p>
    <w:p>
      <w:pPr>
        <w:ind w:firstLine="640" w:firstLineChars="200"/>
        <w:rPr>
          <w:rFonts w:ascii="仿宋" w:eastAsia="仿宋"/>
          <w:color w:val="000000"/>
          <w:sz w:val="32"/>
          <w:szCs w:val="32"/>
        </w:rPr>
      </w:pPr>
      <w:r>
        <w:rPr>
          <w:rFonts w:ascii="仿宋" w:eastAsia="仿宋"/>
          <w:color w:val="000000"/>
          <w:sz w:val="32"/>
          <w:szCs w:val="32"/>
        </w:rPr>
        <w:drawing>
          <wp:inline distT="0" distB="0" distL="0" distR="0">
            <wp:extent cx="4667250" cy="2486025"/>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576" w:lineRule="exact"/>
        <w:ind w:firstLine="642" w:firstLineChars="200"/>
        <w:outlineLvl w:val="2"/>
        <w:rPr>
          <w:rFonts w:ascii="楷体_GB2312" w:eastAsia="楷体_GB2312" w:cs="楷体_GB2312"/>
          <w:b/>
          <w:color w:val="000000"/>
          <w:sz w:val="32"/>
          <w:szCs w:val="32"/>
        </w:rPr>
      </w:pPr>
      <w:bookmarkStart w:id="57" w:name="_Toc79163867"/>
      <w:bookmarkStart w:id="58" w:name="_Toc15377212"/>
      <w:bookmarkStart w:id="59" w:name="_Toc79163617"/>
      <w:r>
        <w:rPr>
          <w:rFonts w:hint="eastAsia" w:ascii="楷体_GB2312" w:eastAsia="楷体_GB2312" w:cs="楷体_GB2312"/>
          <w:b/>
          <w:color w:val="000000"/>
          <w:sz w:val="32"/>
          <w:szCs w:val="32"/>
        </w:rPr>
        <w:t>（三）一般公共预算财政拨款支出决算具体情况</w:t>
      </w:r>
      <w:bookmarkEnd w:id="57"/>
      <w:bookmarkEnd w:id="58"/>
      <w:bookmarkEnd w:id="59"/>
    </w:p>
    <w:p>
      <w:pPr>
        <w:spacing w:line="576" w:lineRule="exact"/>
        <w:ind w:firstLine="642" w:firstLineChars="200"/>
        <w:outlineLvl w:val="2"/>
        <w:rPr>
          <w:rFonts w:ascii="仿宋_GB2312" w:eastAsia="仿宋_GB2312" w:cs="仿宋_GB2312"/>
          <w:color w:val="FF0000"/>
          <w:sz w:val="32"/>
          <w:szCs w:val="32"/>
        </w:rPr>
      </w:pPr>
      <w:r>
        <w:rPr>
          <w:rFonts w:hint="eastAsia" w:ascii="仿宋_GB2312" w:eastAsia="仿宋_GB2312" w:cs="仿宋_GB2312"/>
          <w:b/>
          <w:color w:val="000000"/>
          <w:sz w:val="32"/>
          <w:szCs w:val="32"/>
        </w:rPr>
        <w:t>2022年般公共预算支出决算数为53.33万元</w:t>
      </w:r>
      <w:r>
        <w:rPr>
          <w:rFonts w:hint="eastAsia" w:ascii="仿宋_GB2312" w:eastAsia="仿宋_GB2312" w:cs="仿宋_GB2312"/>
          <w:color w:val="000000"/>
          <w:sz w:val="32"/>
          <w:szCs w:val="32"/>
        </w:rPr>
        <w:t>，</w:t>
      </w:r>
      <w:r>
        <w:rPr>
          <w:rStyle w:val="24"/>
          <w:rFonts w:hint="eastAsia" w:ascii="仿宋_GB2312" w:eastAsia="仿宋_GB2312" w:cs="仿宋_GB2312"/>
          <w:bCs/>
          <w:color w:val="000000"/>
          <w:sz w:val="32"/>
          <w:szCs w:val="32"/>
        </w:rPr>
        <w:t>完成预算100%。其中：</w:t>
      </w:r>
    </w:p>
    <w:p>
      <w:pPr>
        <w:spacing w:line="576" w:lineRule="exact"/>
        <w:ind w:firstLine="642"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1.一般公共服务（201）群众团体事务（29）事业运行（50）:</w:t>
      </w:r>
      <w:r>
        <w:rPr>
          <w:rStyle w:val="24"/>
          <w:rFonts w:hint="eastAsia" w:ascii="仿宋_GB2312" w:eastAsia="仿宋_GB2312" w:cs="仿宋_GB2312"/>
          <w:b w:val="0"/>
          <w:bCs/>
          <w:color w:val="000000"/>
          <w:sz w:val="32"/>
          <w:szCs w:val="32"/>
        </w:rPr>
        <w:t xml:space="preserve"> 支出决算为41.53万元，完成预算100%。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2.社会保障和就业支出（208）行政事业单位养老支出（05）机关事业单位基本养老保险缴费支出（05）:</w:t>
      </w:r>
      <w:r>
        <w:rPr>
          <w:rStyle w:val="24"/>
          <w:rFonts w:hint="eastAsia" w:ascii="仿宋_GB2312" w:eastAsia="仿宋_GB2312" w:cs="仿宋_GB2312"/>
          <w:b w:val="0"/>
          <w:bCs/>
          <w:color w:val="000000"/>
          <w:sz w:val="32"/>
          <w:szCs w:val="32"/>
        </w:rPr>
        <w:t xml:space="preserve"> 支出决算为3.92万元，完成预算100%。</w:t>
      </w:r>
    </w:p>
    <w:p>
      <w:pPr>
        <w:spacing w:line="576" w:lineRule="exact"/>
        <w:ind w:firstLine="642" w:firstLineChars="200"/>
        <w:rPr>
          <w:rFonts w:ascii="仿宋_GB2312" w:eastAsia="仿宋_GB2312" w:cs="仿宋_GB2312"/>
          <w:bCs/>
          <w:color w:val="000000"/>
          <w:sz w:val="32"/>
          <w:szCs w:val="32"/>
        </w:rPr>
      </w:pPr>
      <w:r>
        <w:rPr>
          <w:rStyle w:val="24"/>
          <w:rFonts w:hint="eastAsia" w:ascii="仿宋_GB2312" w:eastAsia="仿宋_GB2312" w:cs="仿宋_GB2312"/>
          <w:bCs/>
          <w:color w:val="000000"/>
          <w:sz w:val="32"/>
          <w:szCs w:val="32"/>
        </w:rPr>
        <w:t>3.社会保障和就业支出（208）行政事业单位养老支出（05）机关事业单位职业年金缴费支出（06）:</w:t>
      </w:r>
      <w:r>
        <w:rPr>
          <w:rStyle w:val="24"/>
          <w:rFonts w:hint="eastAsia" w:ascii="仿宋_GB2312" w:eastAsia="仿宋_GB2312" w:cs="仿宋_GB2312"/>
          <w:b w:val="0"/>
          <w:bCs/>
          <w:color w:val="000000"/>
          <w:sz w:val="32"/>
          <w:szCs w:val="32"/>
        </w:rPr>
        <w:t xml:space="preserve"> 支出决算为1.96万元，完成预算100%。</w:t>
      </w:r>
    </w:p>
    <w:p>
      <w:pPr>
        <w:spacing w:line="576" w:lineRule="exact"/>
        <w:ind w:firstLine="642" w:firstLineChars="200"/>
        <w:rPr>
          <w:rStyle w:val="24"/>
          <w:rFonts w:ascii="仿宋_GB2312" w:eastAsia="仿宋_GB2312" w:cs="仿宋_GB2312"/>
          <w:b w:val="0"/>
          <w:bCs/>
          <w:color w:val="000000"/>
          <w:sz w:val="32"/>
          <w:szCs w:val="32"/>
        </w:rPr>
      </w:pPr>
      <w:r>
        <w:rPr>
          <w:rStyle w:val="24"/>
          <w:rFonts w:hint="eastAsia" w:ascii="仿宋_GB2312" w:eastAsia="仿宋_GB2312" w:cs="仿宋_GB2312"/>
          <w:bCs/>
          <w:color w:val="000000"/>
          <w:sz w:val="32"/>
          <w:szCs w:val="32"/>
        </w:rPr>
        <w:t>4.</w:t>
      </w:r>
      <w:r>
        <w:rPr>
          <w:rFonts w:hint="eastAsia" w:ascii="仿宋_GB2312" w:eastAsia="仿宋_GB2312" w:cs="仿宋_GB2312"/>
          <w:b/>
          <w:bCs/>
          <w:color w:val="000000"/>
          <w:sz w:val="32"/>
          <w:szCs w:val="32"/>
        </w:rPr>
        <w:t>卫生健康</w:t>
      </w:r>
      <w:r>
        <w:rPr>
          <w:rStyle w:val="24"/>
          <w:rFonts w:hint="eastAsia" w:ascii="仿宋_GB2312" w:eastAsia="仿宋_GB2312" w:cs="仿宋_GB2312"/>
          <w:bCs/>
          <w:color w:val="000000"/>
          <w:sz w:val="32"/>
          <w:szCs w:val="32"/>
        </w:rPr>
        <w:t>（210）行政事业单位医疗（11）事业单位医疗（02）:</w:t>
      </w:r>
      <w:r>
        <w:rPr>
          <w:rStyle w:val="24"/>
          <w:rFonts w:hint="eastAsia" w:ascii="仿宋_GB2312" w:eastAsia="仿宋_GB2312" w:cs="仿宋_GB2312"/>
          <w:b w:val="0"/>
          <w:bCs/>
          <w:color w:val="000000"/>
          <w:sz w:val="32"/>
          <w:szCs w:val="32"/>
        </w:rPr>
        <w:t xml:space="preserve"> 支出决算为</w:t>
      </w:r>
      <w:r>
        <w:rPr>
          <w:rStyle w:val="24"/>
          <w:rFonts w:ascii="仿宋_GB2312" w:eastAsia="仿宋_GB2312" w:cs="仿宋_GB2312"/>
          <w:b w:val="0"/>
          <w:bCs/>
          <w:color w:val="000000"/>
          <w:sz w:val="32"/>
          <w:szCs w:val="32"/>
        </w:rPr>
        <w:t>2.</w:t>
      </w:r>
      <w:r>
        <w:rPr>
          <w:rStyle w:val="24"/>
          <w:rFonts w:hint="eastAsia" w:ascii="仿宋_GB2312" w:eastAsia="仿宋_GB2312" w:cs="仿宋_GB2312"/>
          <w:b w:val="0"/>
          <w:bCs/>
          <w:color w:val="000000"/>
          <w:sz w:val="32"/>
          <w:szCs w:val="32"/>
        </w:rPr>
        <w:t>46万元，完成预算100%。</w:t>
      </w:r>
    </w:p>
    <w:p>
      <w:pPr>
        <w:spacing w:line="576" w:lineRule="exact"/>
        <w:ind w:firstLine="642" w:firstLineChars="200"/>
        <w:rPr>
          <w:rStyle w:val="24"/>
          <w:rFonts w:ascii="仿宋_GB2312" w:eastAsia="仿宋_GB2312" w:cs="仿宋_GB2312"/>
          <w:b w:val="0"/>
          <w:bCs/>
          <w:color w:val="000000"/>
          <w:sz w:val="32"/>
          <w:szCs w:val="32"/>
        </w:rPr>
      </w:pPr>
      <w:r>
        <w:rPr>
          <w:rFonts w:hint="eastAsia" w:ascii="仿宋_GB2312" w:eastAsia="仿宋_GB2312" w:cs="仿宋_GB2312"/>
          <w:b/>
          <w:color w:val="000000"/>
          <w:sz w:val="32"/>
          <w:szCs w:val="32"/>
        </w:rPr>
        <w:t>5.住房保障支出(221)</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住房改革支出(02)</w:t>
      </w:r>
      <w:r>
        <w:rPr>
          <w:rFonts w:hint="eastAsia" w:ascii="仿宋_GB2312" w:eastAsia="仿宋_GB2312" w:cs="仿宋_GB2312"/>
          <w:sz w:val="32"/>
          <w:szCs w:val="32"/>
        </w:rPr>
        <w:t xml:space="preserve"> </w:t>
      </w:r>
      <w:r>
        <w:rPr>
          <w:rFonts w:hint="eastAsia" w:ascii="仿宋_GB2312" w:eastAsia="仿宋_GB2312" w:cs="仿宋_GB2312"/>
          <w:b/>
          <w:color w:val="000000"/>
          <w:sz w:val="32"/>
          <w:szCs w:val="32"/>
        </w:rPr>
        <w:t>住房公积金(01):</w:t>
      </w:r>
      <w:r>
        <w:rPr>
          <w:rStyle w:val="24"/>
          <w:rFonts w:hint="eastAsia" w:ascii="仿宋_GB2312" w:eastAsia="仿宋_GB2312" w:cs="仿宋_GB2312"/>
          <w:b w:val="0"/>
          <w:bCs/>
          <w:color w:val="000000"/>
          <w:sz w:val="32"/>
          <w:szCs w:val="32"/>
        </w:rPr>
        <w:t xml:space="preserve"> 支出决算为3.46万元，完成预算100%。</w:t>
      </w:r>
    </w:p>
    <w:p>
      <w:pPr>
        <w:tabs>
          <w:tab w:val="right" w:pos="8306"/>
        </w:tabs>
        <w:spacing w:line="576" w:lineRule="exact"/>
        <w:ind w:firstLine="640"/>
        <w:outlineLvl w:val="1"/>
        <w:rPr>
          <w:rStyle w:val="27"/>
        </w:rPr>
      </w:pPr>
      <w:bookmarkStart w:id="60" w:name="_Toc79163618"/>
      <w:bookmarkStart w:id="61" w:name="_Toc15377214"/>
      <w:bookmarkStart w:id="62" w:name="_Toc79163868"/>
      <w:bookmarkStart w:id="63" w:name="_Toc15396608"/>
      <w:r>
        <w:rPr>
          <w:rFonts w:hint="eastAsia" w:ascii="黑体" w:eastAsia="黑体"/>
          <w:color w:val="000000"/>
          <w:sz w:val="32"/>
          <w:szCs w:val="32"/>
        </w:rPr>
        <w:t>六</w:t>
      </w:r>
      <w:r>
        <w:rPr>
          <w:rFonts w:hint="eastAsia" w:ascii="黑体" w:eastAsia="黑体"/>
          <w:b/>
          <w:color w:val="000000"/>
          <w:sz w:val="32"/>
          <w:szCs w:val="32"/>
        </w:rPr>
        <w:t>、一</w:t>
      </w:r>
      <w:r>
        <w:rPr>
          <w:rStyle w:val="27"/>
          <w:rFonts w:hint="eastAsia" w:ascii="黑体" w:eastAsia="黑体"/>
          <w:b w:val="0"/>
        </w:rPr>
        <w:t>般公共预算财政拨款基本支出决算情况说明</w:t>
      </w:r>
      <w:bookmarkEnd w:id="60"/>
      <w:bookmarkEnd w:id="61"/>
      <w:bookmarkEnd w:id="62"/>
      <w:bookmarkEnd w:id="63"/>
      <w:r>
        <w:rPr>
          <w:rStyle w:val="27"/>
          <w:rFonts w:ascii="黑体" w:eastAsia="黑体"/>
          <w:b w:val="0"/>
        </w:rPr>
        <w:tab/>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2022年一般公共预算财政拨款基本支出53.33万元，其中：</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人员经费51.64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日常公用经费1.69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76" w:lineRule="exact"/>
        <w:ind w:firstLine="640"/>
        <w:outlineLvl w:val="1"/>
        <w:rPr>
          <w:rStyle w:val="27"/>
          <w:rFonts w:ascii="黑体" w:eastAsia="黑体"/>
          <w:b w:val="0"/>
        </w:rPr>
      </w:pPr>
      <w:bookmarkStart w:id="64" w:name="_Toc15396609"/>
      <w:bookmarkStart w:id="65" w:name="_Toc79163619"/>
      <w:bookmarkStart w:id="66" w:name="_Toc15377215"/>
      <w:bookmarkStart w:id="67" w:name="_Toc79163869"/>
      <w:r>
        <w:rPr>
          <w:rFonts w:hint="eastAsia" w:ascii="黑体" w:eastAsia="黑体"/>
          <w:color w:val="000000"/>
          <w:sz w:val="32"/>
          <w:szCs w:val="32"/>
        </w:rPr>
        <w:t>七、</w:t>
      </w:r>
      <w:r>
        <w:rPr>
          <w:rStyle w:val="27"/>
          <w:rFonts w:hint="eastAsia" w:ascii="黑体" w:eastAsia="黑体"/>
        </w:rPr>
        <w:t>“</w:t>
      </w:r>
      <w:r>
        <w:rPr>
          <w:rStyle w:val="27"/>
          <w:rFonts w:hint="eastAsia" w:ascii="黑体" w:eastAsia="黑体"/>
          <w:b w:val="0"/>
        </w:rPr>
        <w:t>三公”经费财政拨款支出决算情况说明</w:t>
      </w:r>
      <w:bookmarkEnd w:id="64"/>
      <w:bookmarkEnd w:id="65"/>
      <w:bookmarkEnd w:id="66"/>
      <w:bookmarkEnd w:id="67"/>
    </w:p>
    <w:p>
      <w:pPr>
        <w:spacing w:line="576" w:lineRule="exact"/>
        <w:ind w:firstLine="640"/>
        <w:outlineLvl w:val="2"/>
        <w:rPr>
          <w:rFonts w:ascii="楷体_GB2312" w:eastAsia="楷体_GB2312" w:cs="楷体_GB2312"/>
          <w:b/>
          <w:color w:val="000000"/>
          <w:sz w:val="32"/>
          <w:szCs w:val="32"/>
        </w:rPr>
      </w:pPr>
      <w:bookmarkStart w:id="68" w:name="_Toc79163620"/>
      <w:bookmarkStart w:id="69" w:name="_Toc15377216"/>
      <w:bookmarkStart w:id="70" w:name="_Toc79163870"/>
      <w:r>
        <w:rPr>
          <w:rFonts w:hint="eastAsia" w:ascii="楷体_GB2312" w:eastAsia="楷体_GB2312" w:cs="楷体_GB2312"/>
          <w:b/>
          <w:color w:val="000000"/>
          <w:sz w:val="32"/>
          <w:szCs w:val="32"/>
        </w:rPr>
        <w:t>（一）“三公”经费财政拨款支出决算总体情况说明</w:t>
      </w:r>
      <w:bookmarkEnd w:id="68"/>
      <w:bookmarkEnd w:id="69"/>
      <w:bookmarkEnd w:id="70"/>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Cs/>
          <w:color w:val="000000"/>
          <w:kern w:val="0"/>
          <w:sz w:val="32"/>
          <w:szCs w:val="32"/>
          <w:lang w:val="zh-CN"/>
        </w:rPr>
        <w:t>2022年“三公”经费财政拨款支出决算为0万元，</w:t>
      </w:r>
      <w:r>
        <w:rPr>
          <w:rFonts w:hint="eastAsia" w:ascii="仿宋_GB2312" w:eastAsia="仿宋_GB2312" w:cs="仿宋_GB2312"/>
          <w:color w:val="000000"/>
          <w:sz w:val="32"/>
          <w:szCs w:val="32"/>
          <w:lang w:val="en-US" w:eastAsia="zh-CN"/>
        </w:rPr>
        <w:t>与上年相比，无变化。</w:t>
      </w:r>
    </w:p>
    <w:p>
      <w:pPr>
        <w:spacing w:line="576" w:lineRule="exact"/>
        <w:ind w:firstLine="642" w:firstLineChars="200"/>
        <w:outlineLvl w:val="2"/>
        <w:rPr>
          <w:rFonts w:ascii="楷体_GB2312" w:eastAsia="楷体_GB2312" w:cs="楷体_GB2312"/>
          <w:b/>
          <w:color w:val="000000"/>
          <w:sz w:val="32"/>
          <w:szCs w:val="32"/>
        </w:rPr>
      </w:pPr>
      <w:bookmarkStart w:id="71" w:name="_Toc79163621"/>
      <w:bookmarkStart w:id="72" w:name="_Toc15377217"/>
      <w:bookmarkStart w:id="73" w:name="_Toc79163871"/>
      <w:r>
        <w:rPr>
          <w:rFonts w:hint="eastAsia" w:ascii="楷体_GB2312" w:eastAsia="楷体_GB2312" w:cs="楷体_GB2312"/>
          <w:b/>
          <w:color w:val="000000"/>
          <w:sz w:val="32"/>
          <w:szCs w:val="32"/>
        </w:rPr>
        <w:t>（二）“三公”经费财政拨款支出决算具体情况说明</w:t>
      </w:r>
      <w:bookmarkEnd w:id="71"/>
      <w:bookmarkEnd w:id="72"/>
      <w:bookmarkEnd w:id="73"/>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2022年“三公”经费财政拨款支出决算中，因公出国（境）费支出决算0万元；公务用车购置及运行维护费支出决算0万元；公务接待费支出决算0万元。具体情况如下：</w:t>
      </w:r>
    </w:p>
    <w:p>
      <w:pPr>
        <w:pStyle w:val="2"/>
        <w:spacing w:after="0" w:line="576" w:lineRule="exact"/>
        <w:jc w:val="center"/>
        <w:rPr>
          <w:rFonts w:ascii="仿宋_GB2312" w:eastAsia="仿宋_GB2312" w:cs="仿宋_GB2312"/>
          <w:b w:val="0"/>
          <w:bCs w:val="0"/>
          <w:color w:val="000000"/>
          <w:sz w:val="32"/>
          <w:szCs w:val="32"/>
        </w:rPr>
      </w:pPr>
      <w:r>
        <w:rPr>
          <w:rFonts w:hint="eastAsia" w:ascii="仿宋_GB2312" w:eastAsia="仿宋_GB2312" w:cs="仿宋_GB2312"/>
          <w:b w:val="0"/>
          <w:bCs w:val="0"/>
          <w:color w:val="000000"/>
          <w:sz w:val="32"/>
          <w:szCs w:val="32"/>
        </w:rPr>
        <w:drawing>
          <wp:anchor distT="0" distB="0" distL="114300" distR="114300" simplePos="0" relativeHeight="251660288" behindDoc="0" locked="0" layoutInCell="1" allowOverlap="1">
            <wp:simplePos x="0" y="0"/>
            <wp:positionH relativeFrom="column">
              <wp:posOffset>328295</wp:posOffset>
            </wp:positionH>
            <wp:positionV relativeFrom="paragraph">
              <wp:posOffset>106680</wp:posOffset>
            </wp:positionV>
            <wp:extent cx="4914900" cy="2238375"/>
            <wp:effectExtent l="0" t="0" r="19" b="34"/>
            <wp:wrapSquare wrapText="bothSides"/>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s="仿宋_GB2312"/>
          <w:b w:val="0"/>
          <w:bCs w:val="0"/>
          <w:color w:val="000000"/>
          <w:sz w:val="32"/>
          <w:szCs w:val="32"/>
        </w:rPr>
        <w:t>（图7：“三公”经费财政拨款支出结构）</w:t>
      </w:r>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
          <w:color w:val="000000"/>
          <w:sz w:val="32"/>
          <w:szCs w:val="32"/>
        </w:rPr>
        <w:t>1.因公出国（境）经费支出</w:t>
      </w:r>
      <w:r>
        <w:rPr>
          <w:rFonts w:hint="eastAsia" w:ascii="仿宋_GB2312" w:eastAsia="仿宋_GB2312" w:cs="仿宋_GB2312"/>
          <w:bCs/>
          <w:color w:val="000000"/>
          <w:kern w:val="0"/>
          <w:sz w:val="32"/>
          <w:szCs w:val="32"/>
          <w:lang w:val="zh-CN"/>
        </w:rPr>
        <w:t>0万元，完成预算100%。全年安排因公出国（境）团组0次，出国（境）0人。</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b/>
          <w:color w:val="000000"/>
          <w:sz w:val="32"/>
          <w:szCs w:val="32"/>
        </w:rPr>
        <w:t>2.公务用车购置及运行维护费支出</w:t>
      </w:r>
      <w:r>
        <w:rPr>
          <w:rFonts w:hint="eastAsia" w:ascii="仿宋_GB2312" w:eastAsia="仿宋_GB2312" w:cs="仿宋_GB2312"/>
          <w:color w:val="000000"/>
          <w:sz w:val="32"/>
          <w:szCs w:val="32"/>
        </w:rPr>
        <w:t>0万元,</w:t>
      </w:r>
      <w:r>
        <w:rPr>
          <w:rStyle w:val="24"/>
          <w:rFonts w:hint="eastAsia" w:ascii="仿宋_GB2312" w:eastAsia="仿宋_GB2312" w:cs="仿宋_GB2312"/>
          <w:b w:val="0"/>
          <w:bCs/>
          <w:color w:val="000000"/>
          <w:sz w:val="32"/>
          <w:szCs w:val="32"/>
        </w:rPr>
        <w:t>完成预算100%。</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hint="eastAsia" w:ascii="仿宋_GB2312" w:eastAsia="仿宋_GB2312" w:cs="仿宋_GB2312"/>
          <w:color w:val="000000"/>
          <w:sz w:val="32"/>
          <w:szCs w:val="32"/>
          <w:lang w:eastAsia="zh-CN"/>
        </w:rPr>
      </w:pPr>
      <w:r>
        <w:rPr>
          <w:rFonts w:hint="eastAsia" w:ascii="仿宋_GB2312" w:eastAsia="仿宋_GB2312" w:cs="仿宋_GB2312"/>
          <w:color w:val="000000"/>
          <w:sz w:val="32"/>
          <w:szCs w:val="32"/>
        </w:rPr>
        <w:t>其中：</w:t>
      </w:r>
      <w:r>
        <w:rPr>
          <w:rFonts w:hint="eastAsia" w:ascii="仿宋_GB2312" w:eastAsia="仿宋_GB2312" w:cs="仿宋_GB2312"/>
          <w:b/>
          <w:color w:val="000000"/>
          <w:sz w:val="32"/>
          <w:szCs w:val="32"/>
        </w:rPr>
        <w:t>公务用车购置支出</w:t>
      </w:r>
      <w:r>
        <w:rPr>
          <w:rFonts w:hint="eastAsia" w:ascii="仿宋_GB2312" w:eastAsia="仿宋_GB2312" w:cs="仿宋_GB2312"/>
          <w:color w:val="000000"/>
          <w:sz w:val="32"/>
          <w:szCs w:val="32"/>
        </w:rPr>
        <w:t>0万元。全年按规定更新购置公务用车0辆，金额0元。截至2022年12月底，单位共有公务用车0辆。</w:t>
      </w:r>
      <w:r>
        <w:rPr>
          <w:rFonts w:hint="eastAsia" w:ascii="仿宋_GB2312" w:eastAsia="仿宋_GB2312" w:cs="仿宋_GB2312"/>
          <w:b/>
          <w:color w:val="000000"/>
          <w:sz w:val="32"/>
          <w:szCs w:val="32"/>
        </w:rPr>
        <w:t>公务用车运行维护费支出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3.公务接待费支出</w:t>
      </w:r>
      <w:r>
        <w:rPr>
          <w:rFonts w:hint="eastAsia" w:ascii="仿宋_GB2312" w:eastAsia="仿宋_GB2312" w:cs="仿宋_GB2312"/>
          <w:color w:val="000000"/>
          <w:sz w:val="32"/>
          <w:szCs w:val="32"/>
        </w:rPr>
        <w:t>0万元，</w:t>
      </w:r>
      <w:r>
        <w:rPr>
          <w:rStyle w:val="24"/>
          <w:rFonts w:hint="eastAsia" w:ascii="仿宋_GB2312" w:eastAsia="仿宋_GB2312" w:cs="仿宋_GB2312"/>
          <w:b w:val="0"/>
          <w:bCs/>
          <w:color w:val="000000"/>
          <w:sz w:val="32"/>
          <w:szCs w:val="32"/>
        </w:rPr>
        <w:t>完成预算100%</w:t>
      </w:r>
      <w:r>
        <w:rPr>
          <w:rStyle w:val="24"/>
          <w:rFonts w:hint="eastAsia" w:ascii="仿宋_GB2312" w:eastAsia="仿宋_GB2312" w:cs="仿宋_GB2312"/>
          <w:b w:val="0"/>
          <w:bCs/>
          <w:color w:val="000000"/>
          <w:sz w:val="32"/>
          <w:szCs w:val="32"/>
          <w:lang w:eastAsia="zh-CN"/>
        </w:rPr>
        <w:t>，</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国内公务接待支出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与上年相比，无变化。</w:t>
      </w:r>
    </w:p>
    <w:p>
      <w:pPr>
        <w:spacing w:line="576" w:lineRule="exact"/>
        <w:ind w:firstLine="640"/>
        <w:rPr>
          <w:rFonts w:ascii="仿宋_GB2312" w:eastAsia="仿宋_GB2312" w:cs="仿宋_GB2312"/>
          <w:color w:val="000000"/>
          <w:sz w:val="32"/>
          <w:szCs w:val="32"/>
        </w:rPr>
      </w:pPr>
      <w:r>
        <w:rPr>
          <w:rFonts w:hint="eastAsia" w:ascii="仿宋_GB2312" w:eastAsia="仿宋_GB2312" w:cs="仿宋_GB2312"/>
          <w:b/>
          <w:color w:val="000000"/>
          <w:sz w:val="32"/>
          <w:szCs w:val="32"/>
        </w:rPr>
        <w:t>外事接待支出</w:t>
      </w:r>
      <w:r>
        <w:rPr>
          <w:rFonts w:hint="eastAsia" w:ascii="仿宋_GB2312" w:eastAsia="仿宋_GB2312" w:cs="仿宋_GB2312"/>
          <w:color w:val="000000"/>
          <w:sz w:val="32"/>
          <w:szCs w:val="32"/>
        </w:rPr>
        <w:t>0万元</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与上年相比，无变化。</w:t>
      </w:r>
      <w:bookmarkStart w:id="74" w:name="_Toc15377218"/>
      <w:bookmarkStart w:id="75" w:name="_Toc15396610"/>
    </w:p>
    <w:p>
      <w:pPr>
        <w:spacing w:line="576" w:lineRule="exact"/>
        <w:ind w:firstLine="640" w:firstLineChars="200"/>
        <w:outlineLvl w:val="1"/>
        <w:rPr>
          <w:rFonts w:ascii="黑体" w:eastAsia="黑体" w:cs="仿宋_GB2312"/>
          <w:bCs/>
          <w:color w:val="000000"/>
          <w:sz w:val="32"/>
          <w:szCs w:val="32"/>
        </w:rPr>
      </w:pPr>
      <w:r>
        <w:rPr>
          <w:rFonts w:hint="eastAsia" w:ascii="黑体" w:eastAsia="黑体" w:cs="仿宋_GB2312"/>
          <w:color w:val="000000"/>
          <w:sz w:val="32"/>
          <w:szCs w:val="32"/>
        </w:rPr>
        <w:t>八、</w:t>
      </w:r>
      <w:r>
        <w:rPr>
          <w:rFonts w:hint="eastAsia" w:ascii="黑体" w:eastAsia="黑体" w:cs="仿宋_GB2312"/>
          <w:bCs/>
          <w:color w:val="000000"/>
          <w:sz w:val="32"/>
          <w:szCs w:val="32"/>
        </w:rPr>
        <w:t>政府性基金预算支出决算情况说明</w:t>
      </w:r>
      <w:bookmarkEnd w:id="74"/>
      <w:bookmarkEnd w:id="75"/>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2022年政府性基金预算拨款支出0万元，本单位不涉及政府性基金支出。</w:t>
      </w:r>
      <w:r>
        <w:rPr>
          <w:rFonts w:hint="eastAsia" w:ascii="仿宋_GB2312" w:eastAsia="仿宋_GB2312" w:cs="仿宋_GB2312"/>
          <w:color w:val="000000"/>
          <w:sz w:val="32"/>
          <w:szCs w:val="32"/>
          <w:lang w:val="en-US" w:eastAsia="zh-CN"/>
        </w:rPr>
        <w:t>与上年相比，无变化。</w:t>
      </w:r>
    </w:p>
    <w:p>
      <w:pPr>
        <w:numPr>
          <w:ilvl w:val="0"/>
          <w:numId w:val="2"/>
        </w:numPr>
        <w:spacing w:line="576" w:lineRule="exact"/>
        <w:ind w:firstLine="640"/>
        <w:outlineLvl w:val="1"/>
        <w:rPr>
          <w:rFonts w:ascii="黑体" w:eastAsia="黑体" w:cs="仿宋_GB2312"/>
          <w:bCs/>
          <w:color w:val="000000"/>
          <w:sz w:val="32"/>
          <w:szCs w:val="32"/>
        </w:rPr>
      </w:pPr>
      <w:bookmarkStart w:id="76" w:name="_Toc15396611"/>
      <w:bookmarkStart w:id="77" w:name="_Toc15377219"/>
      <w:r>
        <w:rPr>
          <w:rFonts w:hint="eastAsia" w:ascii="黑体" w:eastAsia="黑体" w:cs="仿宋_GB2312"/>
          <w:bCs/>
          <w:color w:val="000000"/>
          <w:sz w:val="32"/>
          <w:szCs w:val="32"/>
        </w:rPr>
        <w:t>国有资本经营预算支出决算情况说明</w:t>
      </w:r>
      <w:bookmarkEnd w:id="76"/>
      <w:bookmarkEnd w:id="77"/>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2022年国有资本经营预算拨款支出0万元，本单位不涉及国有资本经营支出。</w:t>
      </w:r>
      <w:r>
        <w:rPr>
          <w:rFonts w:hint="eastAsia" w:ascii="仿宋_GB2312" w:eastAsia="仿宋_GB2312" w:cs="仿宋_GB2312"/>
          <w:color w:val="000000"/>
          <w:sz w:val="32"/>
          <w:szCs w:val="32"/>
          <w:lang w:val="en-US" w:eastAsia="zh-CN"/>
        </w:rPr>
        <w:t>与上年相比，无变化。</w:t>
      </w:r>
    </w:p>
    <w:p>
      <w:pPr>
        <w:spacing w:line="576" w:lineRule="exact"/>
        <w:outlineLvl w:val="1"/>
        <w:rPr>
          <w:rStyle w:val="27"/>
          <w:rFonts w:ascii="黑体" w:eastAsia="黑体"/>
        </w:rPr>
      </w:pPr>
      <w:bookmarkStart w:id="78" w:name="_Toc15377221"/>
      <w:bookmarkStart w:id="79" w:name="_Toc15396612"/>
      <w:bookmarkStart w:id="80" w:name="_Toc79163624"/>
      <w:bookmarkStart w:id="81" w:name="_Toc79163874"/>
      <w:r>
        <w:rPr>
          <w:rFonts w:hint="eastAsia" w:ascii="黑体" w:eastAsia="黑体"/>
          <w:color w:val="000000"/>
          <w:sz w:val="32"/>
          <w:szCs w:val="32"/>
        </w:rPr>
        <w:t xml:space="preserve">    十</w:t>
      </w:r>
      <w:r>
        <w:rPr>
          <w:rStyle w:val="27"/>
          <w:rFonts w:hint="eastAsia" w:ascii="黑体" w:eastAsia="黑体"/>
        </w:rPr>
        <w:t>、</w:t>
      </w:r>
      <w:r>
        <w:rPr>
          <w:rStyle w:val="27"/>
          <w:rFonts w:hint="eastAsia" w:ascii="黑体" w:eastAsia="黑体"/>
          <w:b w:val="0"/>
        </w:rPr>
        <w:t>其他重要事项的情况说明</w:t>
      </w:r>
      <w:bookmarkEnd w:id="78"/>
      <w:bookmarkEnd w:id="79"/>
      <w:bookmarkEnd w:id="80"/>
      <w:bookmarkEnd w:id="81"/>
    </w:p>
    <w:p>
      <w:pPr>
        <w:spacing w:line="576" w:lineRule="exact"/>
        <w:ind w:firstLine="642" w:firstLineChars="200"/>
        <w:outlineLvl w:val="2"/>
        <w:rPr>
          <w:rFonts w:ascii="楷体_GB2312" w:eastAsia="楷体_GB2312" w:cs="楷体_GB2312"/>
          <w:b/>
          <w:color w:val="000000"/>
          <w:sz w:val="32"/>
          <w:szCs w:val="32"/>
        </w:rPr>
      </w:pPr>
      <w:bookmarkStart w:id="82" w:name="_Toc15377222"/>
      <w:bookmarkStart w:id="83" w:name="_Toc79163879"/>
      <w:bookmarkStart w:id="84" w:name="_Toc79163629"/>
      <w:bookmarkStart w:id="85" w:name="_Toc15377225"/>
      <w:bookmarkStart w:id="86" w:name="_Toc15396613"/>
      <w:r>
        <w:rPr>
          <w:rFonts w:hint="eastAsia" w:ascii="楷体_GB2312" w:eastAsia="楷体_GB2312" w:cs="楷体_GB2312"/>
          <w:b/>
          <w:color w:val="000000"/>
          <w:sz w:val="32"/>
          <w:szCs w:val="32"/>
        </w:rPr>
        <w:t>（一）机关运行经费支出情况</w:t>
      </w:r>
      <w:bookmarkEnd w:id="82"/>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2022年，阿坝州茂县青少年活动中心机关运行经费支出</w:t>
      </w:r>
      <w:r>
        <w:rPr>
          <w:rFonts w:hint="eastAsia" w:ascii="仿宋_GB2312" w:eastAsia="仿宋_GB2312" w:cs="仿宋_GB2312"/>
          <w:bCs/>
          <w:color w:val="000000"/>
          <w:kern w:val="0"/>
          <w:sz w:val="32"/>
          <w:szCs w:val="32"/>
          <w:lang w:val="en-US" w:eastAsia="zh-CN"/>
        </w:rPr>
        <w:t>0</w:t>
      </w:r>
      <w:r>
        <w:rPr>
          <w:rFonts w:hint="eastAsia" w:ascii="仿宋_GB2312" w:eastAsia="仿宋_GB2312" w:cs="仿宋_GB2312"/>
          <w:bCs/>
          <w:color w:val="000000"/>
          <w:kern w:val="0"/>
          <w:sz w:val="32"/>
          <w:szCs w:val="32"/>
          <w:lang w:val="zh-CN"/>
        </w:rPr>
        <w:t>万元。</w:t>
      </w:r>
      <w:r>
        <w:rPr>
          <w:rFonts w:hint="eastAsia" w:ascii="仿宋_GB2312" w:eastAsia="仿宋_GB2312" w:cs="仿宋_GB2312"/>
          <w:color w:val="000000"/>
          <w:sz w:val="32"/>
          <w:szCs w:val="32"/>
          <w:lang w:val="en-US" w:eastAsia="zh-CN"/>
        </w:rPr>
        <w:t>与上年相比，无变化。</w:t>
      </w:r>
      <w:bookmarkStart w:id="87" w:name="_Toc15377223"/>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（二）政府采购支出情况</w:t>
      </w:r>
      <w:bookmarkEnd w:id="87"/>
    </w:p>
    <w:p>
      <w:pPr>
        <w:spacing w:line="576" w:lineRule="exact"/>
        <w:ind w:firstLine="640"/>
        <w:rPr>
          <w:rFonts w:hint="eastAsia" w:ascii="仿宋_GB2312" w:eastAsia="仿宋_GB2312" w:cs="仿宋_GB2312"/>
          <w:color w:val="000000"/>
          <w:sz w:val="32"/>
          <w:szCs w:val="32"/>
          <w:lang w:val="en-US" w:eastAsia="zh-CN"/>
        </w:rPr>
      </w:pPr>
      <w:r>
        <w:rPr>
          <w:rFonts w:hint="eastAsia" w:ascii="仿宋_GB2312" w:eastAsia="仿宋_GB2312" w:cs="仿宋_GB2312"/>
          <w:bCs/>
          <w:color w:val="000000"/>
          <w:kern w:val="0"/>
          <w:sz w:val="32"/>
          <w:szCs w:val="32"/>
          <w:lang w:val="zh-CN"/>
        </w:rPr>
        <w:t>2022年，阿坝州茂县青少年活动中心政府采购支出总额0万元。</w:t>
      </w:r>
      <w:r>
        <w:rPr>
          <w:rFonts w:hint="eastAsia" w:ascii="仿宋_GB2312" w:eastAsia="仿宋_GB2312" w:cs="仿宋_GB2312"/>
          <w:color w:val="000000"/>
          <w:sz w:val="32"/>
          <w:szCs w:val="32"/>
          <w:lang w:val="en-US" w:eastAsia="zh-CN"/>
        </w:rPr>
        <w:t>与上年相比，无变化。</w:t>
      </w:r>
      <w:bookmarkStart w:id="88" w:name="_Toc15377224"/>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88"/>
    </w:p>
    <w:p>
      <w:pPr>
        <w:spacing w:line="576" w:lineRule="exact"/>
        <w:ind w:firstLine="64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截至2022年12月31日，阿坝州茂县青少年活动中心共有车辆0辆。</w:t>
      </w:r>
      <w:r>
        <w:rPr>
          <w:rFonts w:hint="eastAsia" w:ascii="仿宋_GB2312" w:eastAsia="仿宋_GB2312" w:cs="仿宋_GB2312"/>
          <w:color w:val="000000"/>
          <w:sz w:val="32"/>
          <w:szCs w:val="32"/>
          <w:lang w:val="en-US" w:eastAsia="zh-CN"/>
        </w:rPr>
        <w:t>与上年相比，无变化。</w:t>
      </w:r>
    </w:p>
    <w:p>
      <w:pPr>
        <w:widowControl/>
        <w:adjustRightInd w:val="0"/>
        <w:snapToGrid w:val="0"/>
        <w:spacing w:line="576" w:lineRule="atLeast"/>
        <w:ind w:firstLine="642" w:firstLineChars="200"/>
        <w:rPr>
          <w:rFonts w:ascii="楷体_GB2312" w:eastAsia="楷体_GB2312" w:cs="楷体_GB2312"/>
          <w:b/>
          <w:color w:val="000000"/>
          <w:sz w:val="32"/>
          <w:szCs w:val="32"/>
        </w:rPr>
      </w:pPr>
      <w:r>
        <w:rPr>
          <w:rFonts w:hint="eastAsia" w:ascii="楷体_GB2312" w:eastAsia="楷体_GB2312" w:cs="楷体_GB2312"/>
          <w:b/>
          <w:color w:val="000000"/>
          <w:sz w:val="32"/>
          <w:szCs w:val="32"/>
        </w:rPr>
        <w:t>（四）预算绩效管理情况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根据预算绩效管理要求，我中心2022年无预算项目。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中心按要求对2022年部门整体支出开展绩效自评，从评价情况来看，2022年我部门整体支出绩效评价自查自评结果良好，全年基本支出保证了部门的正常运行和日常工作的正常开展，绩效目标得到较好实现，绩效管理水平不断提高，绩效指标体系逐渐丰富和完善。</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2.部门绩效评价结果。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本部门按要求对2022年部门整体支出绩效评价情况开展自评，《阿坝州茂县青少年活动中心2022年部门整体支出绩效评价报告》见附件1。</w:t>
      </w:r>
    </w:p>
    <w:p>
      <w:pPr>
        <w:widowControl/>
        <w:spacing w:line="576" w:lineRule="exact"/>
        <w:jc w:val="left"/>
        <w:rPr>
          <w:rFonts w:ascii="仿宋_GB2312" w:eastAsia="仿宋_GB2312"/>
          <w:b/>
          <w:color w:val="000000"/>
          <w:sz w:val="32"/>
          <w:szCs w:val="32"/>
        </w:rPr>
      </w:pPr>
      <w:r>
        <w:rPr>
          <w:rFonts w:ascii="仿宋_GB2312" w:eastAsia="仿宋_GB2312"/>
          <w:b/>
          <w:color w:val="000000"/>
          <w:sz w:val="32"/>
          <w:szCs w:val="32"/>
        </w:rPr>
        <w:br w:type="page"/>
      </w:r>
    </w:p>
    <w:p>
      <w:pPr>
        <w:spacing w:line="576" w:lineRule="exact"/>
        <w:ind w:left="315" w:leftChars="150"/>
        <w:jc w:val="center"/>
        <w:outlineLvl w:val="0"/>
        <w:rPr>
          <w:rStyle w:val="26"/>
          <w:rFonts w:ascii="方正小标宋简体" w:eastAsia="方正小标宋简体" w:cs="方正小标宋简体"/>
          <w:b w:val="0"/>
        </w:rPr>
      </w:pPr>
      <w:r>
        <w:rPr>
          <w:rFonts w:hint="eastAsia" w:ascii="方正小标宋简体" w:eastAsia="方正小标宋简体" w:cs="方正小标宋简体"/>
          <w:color w:val="000000"/>
          <w:sz w:val="44"/>
          <w:szCs w:val="44"/>
        </w:rPr>
        <w:t>第三部分 名</w:t>
      </w:r>
      <w:r>
        <w:rPr>
          <w:rStyle w:val="26"/>
          <w:rFonts w:hint="eastAsia" w:ascii="方正小标宋简体" w:eastAsia="方正小标宋简体" w:cs="方正小标宋简体"/>
          <w:b w:val="0"/>
        </w:rPr>
        <w:t>词解释</w:t>
      </w:r>
      <w:bookmarkEnd w:id="83"/>
      <w:bookmarkEnd w:id="84"/>
      <w:bookmarkEnd w:id="85"/>
      <w:bookmarkEnd w:id="86"/>
    </w:p>
    <w:p>
      <w:pPr>
        <w:spacing w:line="576" w:lineRule="exact"/>
        <w:jc w:val="left"/>
        <w:rPr>
          <w:rFonts w:ascii="方正小标宋简体" w:eastAsia="方正小标宋简体" w:cs="方正小标宋简体"/>
          <w:b/>
          <w:color w:val="000000"/>
          <w:sz w:val="44"/>
          <w:szCs w:val="44"/>
        </w:rPr>
      </w:pP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bookmarkStart w:id="89" w:name="_Toc15377226"/>
      <w:r>
        <w:rPr>
          <w:rFonts w:hint="eastAsia" w:ascii="仿宋_GB2312" w:eastAsia="仿宋_GB2312" w:cs="仿宋_GB2312"/>
          <w:bCs/>
          <w:color w:val="000000"/>
          <w:kern w:val="0"/>
          <w:sz w:val="32"/>
          <w:szCs w:val="32"/>
          <w:lang w:val="zh-CN"/>
        </w:rPr>
        <w:t>1.财政拨款收入：指单位从同级财政部门取得的财政预算资金。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2.事业收入：指事业单位开展专业业务活动及辅助活动取得的收入。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3.经营收入：指事业单位在专业业务活动及其辅助活动之外开展非独立核算经营活动取得的收入。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4.其他收入：指单位取得的除上述收入以外的各项收入</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6.年初结转和结余：指以前年度尚未完成、结转到本年按有关规定继续使用的资金。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7.结余分配：指事业单位按照事业单位会计制度的规定从非财政补助结余中分配的事业基金和职工福利基金等。</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8、年末结转和结余：指单位按有关规定结转到下年或以后年度继续使用的资金。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9. 一般公共服务（201）群众团体事务（29）行政运行（01）: 人员工资、办公支出，保障日常工作开展。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10.一般公共服务（201）群众团体事务（29）事业运行（50）: 办公支出，保障日常工作开展。</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11. 社会保障和就业支出（208）行政事业单位养老支出（05）机关事业单位基本养老保险缴费支出（05）: 职工养老保险经费。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12. 社会保障和就业支出（208）行政事业单位养老支出（05）机关事业单位职业年金缴费支出（06）: 职工职业年金。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13.卫生健康（210）行政事业单位医疗（11）行政事业单位医疗（01）:职工医疗保险。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14. 卫生健康（210）行政事业单位医疗（11）事业单位医疗（02）: 职工医疗保险。</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15. 住房保障支出(221) 住房改革支出(02) 住房公积金(01): 职工住房公积金。</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16. 其他支出(229) 其他支出(99) 其他支出(01):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17.基本支出：指为保障机构正常运转、完成日常工作任务而发生的人员支出和公用支出。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 xml:space="preserve">18.项目支出：指在基本支出之外为完成特定行政任务和事业发展目标所发生的支出。 </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19.经营支出：指事业单位在专业业务活动及其辅助活动之外开展非独立核算经营活动发生的支出。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outlineLvl w:val="0"/>
        <w:rPr>
          <w:rStyle w:val="26"/>
          <w:rFonts w:ascii="方正小标宋简体" w:eastAsia="方正小标宋简体" w:cs="方正小标宋简体"/>
          <w:b w:val="0"/>
        </w:rPr>
      </w:pPr>
      <w:r>
        <w:rPr>
          <w:rFonts w:ascii="宋体"/>
          <w:b/>
          <w:color w:val="000000"/>
          <w:sz w:val="44"/>
          <w:szCs w:val="44"/>
        </w:rPr>
        <w:br w:type="page"/>
      </w:r>
      <w:bookmarkStart w:id="90" w:name="_Toc79163880"/>
      <w:bookmarkStart w:id="91" w:name="_Toc79163630"/>
      <w:bookmarkStart w:id="92" w:name="_Toc15396614"/>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四部分 附件</w:t>
      </w:r>
      <w:bookmarkEnd w:id="90"/>
      <w:bookmarkEnd w:id="91"/>
      <w:bookmarkEnd w:id="92"/>
    </w:p>
    <w:p>
      <w:pPr>
        <w:spacing w:line="576" w:lineRule="exact"/>
        <w:jc w:val="left"/>
        <w:outlineLvl w:val="0"/>
        <w:rPr>
          <w:rFonts w:ascii="仿宋_GB2312" w:hAnsi="仿宋_GB2312" w:eastAsia="仿宋_GB2312" w:cs="仿宋_GB2312"/>
          <w:sz w:val="32"/>
          <w:szCs w:val="32"/>
        </w:rPr>
      </w:pPr>
      <w:bookmarkStart w:id="93" w:name="_Toc79163881"/>
      <w:bookmarkStart w:id="94" w:name="_Toc79163631"/>
      <w:r>
        <w:rPr>
          <w:rFonts w:hint="eastAsia" w:ascii="仿宋_GB2312" w:hAnsi="仿宋_GB2312" w:eastAsia="仿宋_GB2312" w:cs="仿宋_GB2312"/>
          <w:sz w:val="32"/>
          <w:szCs w:val="32"/>
        </w:rPr>
        <w:t>附件1</w:t>
      </w:r>
      <w:bookmarkEnd w:id="93"/>
      <w:bookmarkEnd w:id="94"/>
      <w:r>
        <w:rPr>
          <w:rFonts w:hint="eastAsia" w:ascii="仿宋_GB2312" w:hAnsi="仿宋_GB2312" w:eastAsia="仿宋_GB2312" w:cs="仿宋_GB2312"/>
          <w:sz w:val="32"/>
          <w:szCs w:val="32"/>
        </w:rPr>
        <w:t>：</w:t>
      </w:r>
    </w:p>
    <w:p>
      <w:pPr>
        <w:spacing w:line="576" w:lineRule="exact"/>
        <w:jc w:val="center"/>
        <w:rPr>
          <w:rFonts w:ascii="方正小标宋简体" w:eastAsia="方正小标宋简体" w:cs="方正小标宋简体"/>
          <w:sz w:val="44"/>
          <w:szCs w:val="44"/>
        </w:rPr>
      </w:pPr>
    </w:p>
    <w:p>
      <w:pPr>
        <w:spacing w:line="576" w:lineRule="exact"/>
        <w:jc w:val="center"/>
        <w:rPr>
          <w:rFonts w:ascii="方正小标宋简体" w:eastAsia="方正小标宋简体"/>
          <w:color w:val="000000"/>
          <w:kern w:val="0"/>
          <w:sz w:val="44"/>
          <w:szCs w:val="44"/>
        </w:rPr>
      </w:pPr>
      <w:r>
        <w:rPr>
          <w:rFonts w:hint="eastAsia" w:ascii="方正小标宋简体" w:eastAsia="方正小标宋简体"/>
          <w:color w:val="000000"/>
          <w:kern w:val="0"/>
          <w:sz w:val="44"/>
          <w:szCs w:val="44"/>
        </w:rPr>
        <w:t>阿坝州茂县青少年活动中心</w:t>
      </w:r>
    </w:p>
    <w:p>
      <w:pPr>
        <w:spacing w:line="576" w:lineRule="exact"/>
        <w:jc w:val="center"/>
        <w:rPr>
          <w:rFonts w:ascii="方正小标宋简体" w:eastAsia="方正小标宋简体"/>
          <w:color w:val="000000"/>
          <w:kern w:val="0"/>
          <w:sz w:val="40"/>
          <w:szCs w:val="44"/>
          <w:lang w:val="zh-CN"/>
        </w:rPr>
      </w:pPr>
      <w:r>
        <w:rPr>
          <w:rFonts w:hint="eastAsia" w:ascii="方正小标宋简体" w:eastAsia="方正小标宋简体"/>
          <w:color w:val="000000"/>
          <w:kern w:val="0"/>
          <w:sz w:val="44"/>
          <w:szCs w:val="44"/>
        </w:rPr>
        <w:t>2022年部门整体支出</w:t>
      </w:r>
      <w:r>
        <w:rPr>
          <w:rFonts w:hint="eastAsia" w:ascii="方正小标宋简体" w:eastAsia="方正小标宋简体"/>
          <w:color w:val="000000"/>
          <w:kern w:val="0"/>
          <w:sz w:val="44"/>
          <w:szCs w:val="44"/>
          <w:lang w:val="zh-CN"/>
        </w:rPr>
        <w:t>绩效评价报告</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lang w:val="zh-CN"/>
        </w:rPr>
      </w:pPr>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部门（单位）概况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（一）机构组成</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茂县青少年活动中心是共青团茂县委员会下属二级单位。</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（二）机构职能</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1.完成县委和上级团委的工作部署和要求，结合我委实际，制定团的工作计划；定期召开各级团委会议，听取各团总支工作汇报和情况反映，布置、研讨和检查团的工作。</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社区服务活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4.通过调查研究和认真总结，及时推广先进集体和先进个人的经验，及时发现和掌握学生思想上倾向性的问题。不断研究新情况，解决新问题，探索新规律。</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5.维护青少年的正当权益。</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6.指导乡镇团体开展工作。依据上级有关规定，负责全县团员团费的收缴、管理和使用。</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7.配合县委抓好青少年党建工作，做好优秀团员入党的推荐工作。</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（三）人员概况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总编制3名,其中:行政编制0名,事业编制3名。现有在职人员总数3名，其中：事业人员3名。</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二、部门财政资金收支情况</w:t>
      </w:r>
    </w:p>
    <w:p>
      <w:pPr>
        <w:widowControl/>
        <w:adjustRightInd w:val="0"/>
        <w:snapToGrid w:val="0"/>
        <w:spacing w:line="576" w:lineRule="atLeast"/>
        <w:ind w:firstLine="642"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（一）部门财政资金收入情况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2022年本年收入合计53.33万元，其中：一般公共预算财政拨款收入53.33万元。</w:t>
      </w:r>
    </w:p>
    <w:p>
      <w:pPr>
        <w:widowControl/>
        <w:adjustRightInd w:val="0"/>
        <w:snapToGrid w:val="0"/>
        <w:spacing w:line="576" w:lineRule="atLeast"/>
        <w:ind w:firstLine="642" w:firstLineChars="200"/>
        <w:jc w:val="left"/>
        <w:rPr>
          <w:rFonts w:ascii="楷体_GB2312" w:eastAsia="楷体_GB2312" w:cs="楷体_GB2312"/>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2022年一般公共预算财政拨款支出53.33万元。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1.本年财政拨款支出按功能科目分类包括：一般公共服务支出41.53万元；社会保障和就业支出5.88万元；卫生健康支出2.46万元；住房保障支出3.46万元。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2.本年财政拨款支出按经济科目分类包括：工资福利支出51.64万元；商品和服务支出1.69万元。</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3.本年财政拨款支出按支出性质分类包括：1.基本支出53.33万元（其中：人员经费51.64万元；日常公用经费1.69万元）。</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三、部门整体预算绩效管理情况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（一）部门预算管理</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严格按照县级部门预算编制通知和有关要求，按时完成基础库、项目库报送工作，按时完成2023年预算编制工作，并按时提交部门预算草案。按规定编制政府采购预算，预算编制全面、科学。2022年部门决算、绩效目标填报及年末结余结转都是严格按照县财政局的要求认真完成。 </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（二）结果应用情况</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财政拨款支出主要用于保障我单位机构正常运转、完成日常工作任务以及承担本单位事业发展相关工作。基本支出，是用于保障事业单位等机构正常运转的日常支出，包括基本工资、津贴补贴等人员经费以及办公费、印刷费、水电费、办公设备购置等日常公用经费。</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按支出功能分类主要用于以下方面：一般公共服务，社会保障和就业，卫生健康、住房保障等支出。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我单位认真执行中央八项规定，严格控制三公经费支出。2022年我单位未发生三公经费费用支出。我单位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atLeast"/>
        <w:ind w:firstLine="640" w:firstLineChars="200"/>
        <w:jc w:val="left"/>
        <w:rPr>
          <w:rFonts w:ascii="黑体" w:eastAsia="黑体" w:cs="宋体"/>
          <w:color w:val="000000"/>
          <w:kern w:val="0"/>
          <w:sz w:val="32"/>
          <w:szCs w:val="32"/>
          <w:shd w:val="clear" w:color="auto" w:fill="FFFFFF"/>
        </w:rPr>
      </w:pPr>
      <w:r>
        <w:rPr>
          <w:rFonts w:hint="eastAsia" w:ascii="黑体" w:eastAsia="黑体" w:cs="宋体"/>
          <w:color w:val="000000"/>
          <w:kern w:val="0"/>
          <w:sz w:val="32"/>
          <w:szCs w:val="32"/>
          <w:shd w:val="clear" w:color="auto" w:fill="FFFFFF"/>
        </w:rPr>
        <w:t>四、评价结论及建议</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（一）评价结论</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按照预算法按时完成预决算编制。在执行过程中有计划进行资金申报使用，完善资金管理及内部控制制度，确保资金安全，做到账款、账账、账实相符。</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（二）存在问题</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由于人员配备不够，对单位资金安排、使用、核算上存在不很合理现象，导致财务工作由滞后等情况。</w:t>
      </w:r>
    </w:p>
    <w:p>
      <w:pPr>
        <w:widowControl/>
        <w:adjustRightInd w:val="0"/>
        <w:snapToGrid w:val="0"/>
        <w:spacing w:line="576" w:lineRule="atLeast"/>
        <w:ind w:firstLine="642" w:firstLineChars="200"/>
        <w:jc w:val="left"/>
        <w:rPr>
          <w:rFonts w:ascii="楷体_GB2312" w:eastAsia="楷体_GB2312" w:cs="楷体_GB2312"/>
          <w:b/>
          <w:bCs/>
          <w:color w:val="000000"/>
          <w:kern w:val="0"/>
          <w:sz w:val="32"/>
          <w:szCs w:val="32"/>
          <w:shd w:val="clear" w:color="auto" w:fill="FFFFFF"/>
          <w:lang w:val="zh-CN"/>
        </w:rPr>
      </w:pPr>
      <w:r>
        <w:rPr>
          <w:rFonts w:hint="eastAsia" w:ascii="楷体_GB2312" w:eastAsia="楷体_GB2312" w:cs="楷体_GB2312"/>
          <w:b/>
          <w:bCs/>
          <w:color w:val="000000"/>
          <w:kern w:val="0"/>
          <w:sz w:val="32"/>
          <w:szCs w:val="32"/>
          <w:shd w:val="clear" w:color="auto" w:fill="FFFFFF"/>
          <w:lang w:val="zh-CN"/>
        </w:rPr>
        <w:t>（三）改进建议</w:t>
      </w:r>
    </w:p>
    <w:p>
      <w:pPr>
        <w:widowControl/>
        <w:adjustRightInd w:val="0"/>
        <w:snapToGrid w:val="0"/>
        <w:spacing w:line="576" w:lineRule="atLeast"/>
        <w:ind w:firstLine="640" w:firstLineChars="200"/>
        <w:rPr>
          <w:rFonts w:ascii="仿宋_GB2312" w:eastAsia="仿宋_GB2312" w:cs="仿宋_GB2312"/>
          <w:bCs/>
          <w:color w:val="000000"/>
          <w:kern w:val="0"/>
          <w:sz w:val="32"/>
          <w:szCs w:val="32"/>
          <w:lang w:val="zh-CN"/>
        </w:rPr>
      </w:pPr>
      <w:r>
        <w:rPr>
          <w:rFonts w:hint="eastAsia" w:ascii="仿宋_GB2312" w:eastAsia="仿宋_GB2312" w:cs="仿宋_GB2312"/>
          <w:bCs/>
          <w:color w:val="000000"/>
          <w:kern w:val="0"/>
          <w:sz w:val="32"/>
          <w:szCs w:val="32"/>
          <w:lang w:val="zh-CN"/>
        </w:rPr>
        <w:t>在今后工作中，进一步提高工作效率，保障资金安全，更好地完成本职工作。</w:t>
      </w:r>
    </w:p>
    <w:p>
      <w:pPr>
        <w:spacing w:line="576" w:lineRule="atLeast"/>
        <w:ind w:firstLine="640" w:firstLineChars="200"/>
        <w:rPr>
          <w:rFonts w:ascii="仿宋_GB2312" w:eastAsia="仿宋_GB2312" w:cs="宋体"/>
          <w:color w:val="000000"/>
          <w:kern w:val="0"/>
          <w:sz w:val="32"/>
          <w:szCs w:val="32"/>
          <w:shd w:val="clear" w:color="auto" w:fill="FFFFFF"/>
          <w:lang w:val="zh-CN"/>
        </w:rPr>
      </w:pPr>
    </w:p>
    <w:p>
      <w:pPr>
        <w:spacing w:line="576" w:lineRule="atLeast"/>
        <w:jc w:val="right"/>
        <w:rPr>
          <w:rFonts w:ascii="仿宋_GB2312" w:eastAsia="仿宋_GB2312" w:cs="宋体"/>
          <w:color w:val="000000"/>
          <w:kern w:val="0"/>
          <w:sz w:val="32"/>
          <w:szCs w:val="32"/>
          <w:shd w:val="clear" w:color="auto" w:fill="FFFFFF"/>
          <w:lang w:val="zh-CN"/>
        </w:rPr>
      </w:pPr>
    </w:p>
    <w:p>
      <w:pPr>
        <w:spacing w:line="576" w:lineRule="exact"/>
        <w:jc w:val="center"/>
        <w:rPr>
          <w:rFonts w:ascii="方正小标宋简体" w:eastAsia="方正小标宋简体"/>
          <w:color w:val="000000"/>
          <w:kern w:val="0"/>
          <w:sz w:val="40"/>
          <w:szCs w:val="44"/>
          <w:lang w:val="zh-CN"/>
        </w:rPr>
      </w:pPr>
    </w:p>
    <w:p/>
    <w:p>
      <w:pPr>
        <w:spacing w:line="576" w:lineRule="exact"/>
        <w:jc w:val="left"/>
        <w:outlineLvl w:val="0"/>
        <w:rPr>
          <w:rFonts w:ascii="黑体" w:eastAsia="黑体" w:cs="黑体"/>
          <w:sz w:val="32"/>
          <w:szCs w:val="32"/>
        </w:rPr>
      </w:pPr>
      <w:bookmarkStart w:id="95" w:name="_Toc79163635"/>
      <w:bookmarkStart w:id="96" w:name="_Toc15396618"/>
      <w:bookmarkStart w:id="97" w:name="_Toc79163885"/>
    </w:p>
    <w:p>
      <w:pPr>
        <w:spacing w:line="576" w:lineRule="exact"/>
        <w:jc w:val="left"/>
        <w:outlineLvl w:val="0"/>
        <w:rPr>
          <w:rFonts w:ascii="黑体" w:eastAsia="黑体" w:cs="黑体"/>
          <w:sz w:val="32"/>
          <w:szCs w:val="32"/>
        </w:rPr>
      </w:pPr>
    </w:p>
    <w:p>
      <w:pPr>
        <w:spacing w:line="576" w:lineRule="exact"/>
        <w:jc w:val="left"/>
        <w:outlineLvl w:val="0"/>
        <w:rPr>
          <w:rFonts w:ascii="黑体" w:eastAsia="黑体" w:cs="黑体"/>
          <w:sz w:val="32"/>
          <w:szCs w:val="32"/>
        </w:rPr>
      </w:pPr>
    </w:p>
    <w:p>
      <w:pPr>
        <w:pStyle w:val="2"/>
      </w:pPr>
    </w:p>
    <w:p/>
    <w:p>
      <w:pPr>
        <w:pStyle w:val="2"/>
      </w:pPr>
    </w:p>
    <w:p/>
    <w:p/>
    <w:p>
      <w:pPr>
        <w:spacing w:line="576" w:lineRule="exact"/>
        <w:jc w:val="center"/>
        <w:outlineLvl w:val="0"/>
        <w:rPr>
          <w:rFonts w:ascii="方正小标宋简体" w:eastAsia="方正小标宋简体" w:cs="方正小标宋简体"/>
          <w:bCs/>
          <w:kern w:val="44"/>
          <w:sz w:val="44"/>
          <w:szCs w:val="44"/>
        </w:rPr>
      </w:pPr>
      <w:r>
        <w:rPr>
          <w:rFonts w:hint="eastAsia" w:ascii="方正小标宋简体" w:eastAsia="方正小标宋简体" w:cs="方正小标宋简体"/>
          <w:color w:val="000000"/>
          <w:sz w:val="44"/>
          <w:szCs w:val="44"/>
        </w:rPr>
        <w:t>第</w:t>
      </w:r>
      <w:r>
        <w:rPr>
          <w:rStyle w:val="26"/>
          <w:rFonts w:hint="eastAsia" w:ascii="方正小标宋简体" w:eastAsia="方正小标宋简体" w:cs="方正小标宋简体"/>
          <w:b w:val="0"/>
        </w:rPr>
        <w:t>五部分 附表</w:t>
      </w:r>
      <w:bookmarkEnd w:id="89"/>
      <w:bookmarkEnd w:id="95"/>
      <w:bookmarkEnd w:id="96"/>
      <w:bookmarkEnd w:id="97"/>
      <w:bookmarkStart w:id="98" w:name="_Toc79163886"/>
      <w:bookmarkStart w:id="99" w:name="_Toc15396619"/>
      <w:bookmarkStart w:id="100" w:name="_Toc79163636"/>
    </w:p>
    <w:bookmarkEnd w:id="98"/>
    <w:bookmarkEnd w:id="99"/>
    <w:bookmarkEnd w:id="100"/>
    <w:p>
      <w:pPr>
        <w:pStyle w:val="3"/>
        <w:spacing w:line="576" w:lineRule="exact"/>
        <w:rPr>
          <w:rFonts w:ascii="仿宋_GB2312" w:eastAsia="仿宋_GB2312"/>
          <w:b w:val="0"/>
          <w:color w:val="000000"/>
        </w:rPr>
      </w:pPr>
      <w:bookmarkStart w:id="101" w:name="_Toc26370"/>
      <w:bookmarkStart w:id="102" w:name="_Toc12986"/>
      <w:r>
        <w:rPr>
          <w:rFonts w:hint="eastAsia" w:ascii="仿宋_GB2312" w:eastAsia="仿宋_GB2312"/>
          <w:b w:val="0"/>
          <w:color w:val="000000"/>
        </w:rPr>
        <w:t>一、收入支出决算总表</w:t>
      </w:r>
      <w:bookmarkEnd w:id="101"/>
      <w:bookmarkEnd w:id="102"/>
    </w:p>
    <w:p>
      <w:pPr>
        <w:pStyle w:val="3"/>
        <w:spacing w:line="576" w:lineRule="exact"/>
        <w:rPr>
          <w:rFonts w:ascii="仿宋_GB2312" w:eastAsia="仿宋_GB2312"/>
          <w:b w:val="0"/>
          <w:color w:val="000000"/>
        </w:rPr>
      </w:pPr>
      <w:bookmarkStart w:id="103" w:name="_Toc13062"/>
      <w:bookmarkStart w:id="104" w:name="_Toc13591"/>
      <w:r>
        <w:rPr>
          <w:rFonts w:hint="eastAsia" w:ascii="仿宋_GB2312" w:eastAsia="仿宋_GB2312"/>
          <w:b w:val="0"/>
          <w:color w:val="000000"/>
        </w:rPr>
        <w:t>二、收入决算表</w:t>
      </w:r>
      <w:bookmarkEnd w:id="103"/>
      <w:bookmarkEnd w:id="104"/>
    </w:p>
    <w:p>
      <w:pPr>
        <w:pStyle w:val="3"/>
        <w:spacing w:line="576" w:lineRule="exact"/>
        <w:rPr>
          <w:rFonts w:ascii="仿宋_GB2312" w:eastAsia="仿宋_GB2312"/>
          <w:b w:val="0"/>
          <w:color w:val="000000"/>
        </w:rPr>
      </w:pPr>
      <w:bookmarkStart w:id="105" w:name="_Toc29688"/>
      <w:bookmarkStart w:id="106" w:name="_Toc16600"/>
      <w:r>
        <w:rPr>
          <w:rFonts w:hint="eastAsia" w:ascii="仿宋_GB2312" w:eastAsia="仿宋_GB2312"/>
          <w:b w:val="0"/>
          <w:color w:val="000000"/>
        </w:rPr>
        <w:t>三、支出决算表</w:t>
      </w:r>
      <w:bookmarkEnd w:id="105"/>
      <w:bookmarkEnd w:id="106"/>
    </w:p>
    <w:p>
      <w:pPr>
        <w:pStyle w:val="3"/>
        <w:spacing w:line="576" w:lineRule="exact"/>
        <w:rPr>
          <w:rFonts w:ascii="仿宋_GB2312" w:eastAsia="仿宋_GB2312"/>
          <w:b w:val="0"/>
          <w:color w:val="000000"/>
        </w:rPr>
      </w:pPr>
      <w:bookmarkStart w:id="107" w:name="_Toc5964"/>
      <w:bookmarkStart w:id="108" w:name="_Toc26630"/>
      <w:r>
        <w:rPr>
          <w:rFonts w:hint="eastAsia" w:ascii="仿宋_GB2312" w:eastAsia="仿宋_GB2312"/>
          <w:b w:val="0"/>
          <w:color w:val="000000"/>
        </w:rPr>
        <w:t>四、财政拨款收入支出决算总表</w:t>
      </w:r>
      <w:bookmarkEnd w:id="107"/>
      <w:bookmarkEnd w:id="108"/>
    </w:p>
    <w:p>
      <w:pPr>
        <w:pStyle w:val="3"/>
        <w:spacing w:line="576" w:lineRule="exact"/>
        <w:rPr>
          <w:rFonts w:ascii="仿宋_GB2312" w:eastAsia="仿宋_GB2312"/>
          <w:b w:val="0"/>
          <w:color w:val="000000"/>
        </w:rPr>
      </w:pPr>
      <w:bookmarkStart w:id="109" w:name="_Toc14273"/>
      <w:bookmarkStart w:id="110" w:name="_Toc19934"/>
      <w:r>
        <w:rPr>
          <w:rFonts w:hint="eastAsia" w:ascii="仿宋_GB2312" w:eastAsia="仿宋_GB2312"/>
          <w:b w:val="0"/>
          <w:color w:val="000000"/>
        </w:rPr>
        <w:t>五、财政拨款支出决算明细表</w:t>
      </w:r>
      <w:bookmarkEnd w:id="109"/>
      <w:bookmarkEnd w:id="110"/>
    </w:p>
    <w:p>
      <w:pPr>
        <w:pStyle w:val="3"/>
        <w:spacing w:line="576" w:lineRule="exact"/>
        <w:rPr>
          <w:rFonts w:ascii="仿宋_GB2312" w:eastAsia="仿宋_GB2312"/>
          <w:b w:val="0"/>
          <w:color w:val="000000"/>
        </w:rPr>
      </w:pPr>
      <w:bookmarkStart w:id="111" w:name="_Toc6686"/>
      <w:bookmarkStart w:id="112" w:name="_Toc16449"/>
      <w:r>
        <w:rPr>
          <w:rFonts w:hint="eastAsia" w:ascii="仿宋_GB2312" w:eastAsia="仿宋_GB2312"/>
          <w:b w:val="0"/>
          <w:color w:val="000000"/>
        </w:rPr>
        <w:t>六、一般公共预算财政拨款支出决算表</w:t>
      </w:r>
      <w:bookmarkEnd w:id="111"/>
      <w:bookmarkEnd w:id="112"/>
    </w:p>
    <w:p>
      <w:pPr>
        <w:pStyle w:val="3"/>
        <w:spacing w:line="576" w:lineRule="exact"/>
        <w:rPr>
          <w:rFonts w:ascii="仿宋_GB2312" w:eastAsia="仿宋_GB2312"/>
          <w:b w:val="0"/>
          <w:color w:val="000000"/>
        </w:rPr>
      </w:pPr>
      <w:bookmarkStart w:id="113" w:name="_Toc3478"/>
      <w:bookmarkStart w:id="114" w:name="_Toc19514"/>
      <w:r>
        <w:rPr>
          <w:rFonts w:hint="eastAsia" w:ascii="仿宋_GB2312" w:eastAsia="仿宋_GB2312"/>
          <w:b w:val="0"/>
          <w:color w:val="000000"/>
        </w:rPr>
        <w:t>七、一般公共预算财政拨款支出决算明细表</w:t>
      </w:r>
      <w:bookmarkEnd w:id="113"/>
      <w:bookmarkEnd w:id="114"/>
    </w:p>
    <w:p>
      <w:pPr>
        <w:pStyle w:val="3"/>
        <w:spacing w:line="576" w:lineRule="exact"/>
        <w:rPr>
          <w:rFonts w:ascii="仿宋_GB2312" w:eastAsia="仿宋_GB2312"/>
          <w:b w:val="0"/>
          <w:color w:val="000000"/>
        </w:rPr>
      </w:pPr>
      <w:bookmarkStart w:id="115" w:name="_Toc17352"/>
      <w:bookmarkStart w:id="116" w:name="_Toc191"/>
      <w:r>
        <w:rPr>
          <w:rFonts w:hint="eastAsia" w:ascii="仿宋_GB2312" w:eastAsia="仿宋_GB2312"/>
          <w:b w:val="0"/>
          <w:color w:val="000000"/>
        </w:rPr>
        <w:t>八、一般公共预算财政拨款基本支出决算表</w:t>
      </w:r>
      <w:bookmarkEnd w:id="115"/>
      <w:bookmarkEnd w:id="116"/>
    </w:p>
    <w:p>
      <w:pPr>
        <w:pStyle w:val="3"/>
        <w:spacing w:line="576" w:lineRule="exact"/>
        <w:rPr>
          <w:rFonts w:ascii="仿宋_GB2312" w:eastAsia="仿宋_GB2312"/>
          <w:b w:val="0"/>
          <w:color w:val="000000"/>
        </w:rPr>
      </w:pPr>
      <w:bookmarkStart w:id="117" w:name="_Toc5204"/>
      <w:bookmarkStart w:id="118" w:name="_Toc3726"/>
      <w:r>
        <w:rPr>
          <w:rFonts w:hint="eastAsia" w:ascii="仿宋_GB2312" w:eastAsia="仿宋_GB2312"/>
          <w:b w:val="0"/>
          <w:color w:val="000000"/>
        </w:rPr>
        <w:t>九、一般公共预算财政拨款项目支出决算表</w:t>
      </w:r>
      <w:bookmarkEnd w:id="117"/>
      <w:bookmarkEnd w:id="118"/>
    </w:p>
    <w:p>
      <w:pPr>
        <w:pStyle w:val="3"/>
        <w:spacing w:line="576" w:lineRule="exact"/>
        <w:rPr>
          <w:rFonts w:ascii="仿宋_GB2312" w:eastAsia="仿宋_GB2312"/>
          <w:b w:val="0"/>
          <w:color w:val="000000"/>
        </w:rPr>
      </w:pPr>
      <w:bookmarkStart w:id="119" w:name="_Toc20056"/>
      <w:bookmarkStart w:id="120" w:name="_Toc20756"/>
      <w:r>
        <w:rPr>
          <w:rFonts w:hint="eastAsia" w:ascii="仿宋_GB2312" w:eastAsia="仿宋_GB2312"/>
          <w:b w:val="0"/>
          <w:color w:val="000000"/>
        </w:rPr>
        <w:t>十、政府性基金预算财政拨款收入支出决算表</w:t>
      </w:r>
      <w:bookmarkEnd w:id="119"/>
      <w:bookmarkEnd w:id="120"/>
    </w:p>
    <w:p>
      <w:pPr>
        <w:pStyle w:val="3"/>
        <w:spacing w:line="576" w:lineRule="exact"/>
        <w:rPr>
          <w:rFonts w:ascii="仿宋_GB2312" w:eastAsia="仿宋_GB2312"/>
          <w:b w:val="0"/>
          <w:color w:val="000000"/>
        </w:rPr>
      </w:pPr>
      <w:bookmarkStart w:id="121" w:name="_Toc21387"/>
      <w:bookmarkStart w:id="122" w:name="_Toc13849"/>
      <w:r>
        <w:rPr>
          <w:rFonts w:hint="eastAsia" w:ascii="仿宋_GB2312" w:eastAsia="仿宋_GB2312"/>
          <w:b w:val="0"/>
          <w:color w:val="000000"/>
        </w:rPr>
        <w:t>十一、国有资本经营预算财政拨款收入支出决算表</w:t>
      </w:r>
      <w:bookmarkEnd w:id="121"/>
      <w:bookmarkEnd w:id="122"/>
    </w:p>
    <w:p>
      <w:pPr>
        <w:pStyle w:val="3"/>
        <w:spacing w:line="576" w:lineRule="exact"/>
        <w:rPr>
          <w:rFonts w:ascii="仿宋_GB2312" w:eastAsia="仿宋_GB2312"/>
          <w:b w:val="0"/>
          <w:color w:val="000000"/>
        </w:rPr>
      </w:pPr>
      <w:bookmarkStart w:id="123" w:name="_Toc1140"/>
      <w:bookmarkStart w:id="124" w:name="_Toc13099"/>
      <w:r>
        <w:rPr>
          <w:rFonts w:hint="eastAsia" w:ascii="仿宋_GB2312" w:eastAsia="仿宋_GB2312"/>
          <w:b w:val="0"/>
          <w:color w:val="000000"/>
        </w:rPr>
        <w:t>十二、国有资本经营预算财政拨款支出决算表</w:t>
      </w:r>
      <w:bookmarkEnd w:id="123"/>
      <w:bookmarkEnd w:id="124"/>
    </w:p>
    <w:p>
      <w:pPr>
        <w:pStyle w:val="3"/>
        <w:spacing w:line="576" w:lineRule="exact"/>
        <w:rPr>
          <w:rFonts w:ascii="仿宋_GB2312" w:eastAsia="仿宋_GB2312"/>
          <w:b w:val="0"/>
          <w:color w:val="000000"/>
        </w:rPr>
      </w:pPr>
      <w:bookmarkStart w:id="125" w:name="_Toc24957"/>
      <w:bookmarkStart w:id="126" w:name="_Toc25065"/>
      <w:r>
        <w:rPr>
          <w:rFonts w:hint="eastAsia" w:ascii="仿宋_GB2312" w:eastAsia="仿宋_GB2312"/>
          <w:b w:val="0"/>
          <w:color w:val="000000"/>
        </w:rPr>
        <w:t>十三、财政拨款“三公”经费支出决算表</w:t>
      </w:r>
      <w:bookmarkEnd w:id="125"/>
      <w:bookmarkEnd w:id="126"/>
    </w:p>
    <w:p>
      <w:pPr>
        <w:spacing w:line="576" w:lineRule="atLeast"/>
        <w:ind w:firstLine="640" w:firstLineChars="200"/>
        <w:rPr>
          <w:rFonts w:ascii="仿宋_GB2312" w:eastAsia="仿宋_GB2312" w:cs="宋体"/>
          <w:color w:val="000000"/>
          <w:kern w:val="0"/>
          <w:sz w:val="32"/>
          <w:szCs w:val="32"/>
          <w:shd w:val="clear" w:color="auto" w:fill="FFFFFF"/>
          <w:lang w:val="zh-CN"/>
        </w:rPr>
      </w:pPr>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仿宋"/>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1B4267"/>
    <w:rsid w:val="00021935"/>
    <w:rsid w:val="00040F32"/>
    <w:rsid w:val="00054682"/>
    <w:rsid w:val="0007739D"/>
    <w:rsid w:val="000817E1"/>
    <w:rsid w:val="000824A8"/>
    <w:rsid w:val="000D0364"/>
    <w:rsid w:val="00120CFE"/>
    <w:rsid w:val="0018295B"/>
    <w:rsid w:val="001B4267"/>
    <w:rsid w:val="001E6251"/>
    <w:rsid w:val="00240F2B"/>
    <w:rsid w:val="00251545"/>
    <w:rsid w:val="00252EB4"/>
    <w:rsid w:val="0028796C"/>
    <w:rsid w:val="002D1D63"/>
    <w:rsid w:val="002D39D8"/>
    <w:rsid w:val="00310D1C"/>
    <w:rsid w:val="00343F1B"/>
    <w:rsid w:val="00344B12"/>
    <w:rsid w:val="003809BD"/>
    <w:rsid w:val="003B52F5"/>
    <w:rsid w:val="003C7268"/>
    <w:rsid w:val="003D1ED5"/>
    <w:rsid w:val="00426621"/>
    <w:rsid w:val="00457531"/>
    <w:rsid w:val="00472144"/>
    <w:rsid w:val="00475A41"/>
    <w:rsid w:val="004C43EA"/>
    <w:rsid w:val="00530555"/>
    <w:rsid w:val="0056371D"/>
    <w:rsid w:val="005954DF"/>
    <w:rsid w:val="005A69CE"/>
    <w:rsid w:val="005C2087"/>
    <w:rsid w:val="005F0699"/>
    <w:rsid w:val="005F1706"/>
    <w:rsid w:val="0062435C"/>
    <w:rsid w:val="006A3A6B"/>
    <w:rsid w:val="006B5DC0"/>
    <w:rsid w:val="006D459B"/>
    <w:rsid w:val="00702E6E"/>
    <w:rsid w:val="007275A7"/>
    <w:rsid w:val="00750E0B"/>
    <w:rsid w:val="007A51F1"/>
    <w:rsid w:val="0082553B"/>
    <w:rsid w:val="00853C2F"/>
    <w:rsid w:val="00864287"/>
    <w:rsid w:val="00872C6D"/>
    <w:rsid w:val="00881BE6"/>
    <w:rsid w:val="008B34BB"/>
    <w:rsid w:val="008E4F04"/>
    <w:rsid w:val="00913BB1"/>
    <w:rsid w:val="00933F46"/>
    <w:rsid w:val="00971137"/>
    <w:rsid w:val="00995FFD"/>
    <w:rsid w:val="009B21EA"/>
    <w:rsid w:val="00A54174"/>
    <w:rsid w:val="00A9789B"/>
    <w:rsid w:val="00AA38A9"/>
    <w:rsid w:val="00B02E71"/>
    <w:rsid w:val="00B145A6"/>
    <w:rsid w:val="00B21BE6"/>
    <w:rsid w:val="00B236E9"/>
    <w:rsid w:val="00B45618"/>
    <w:rsid w:val="00B545C7"/>
    <w:rsid w:val="00B71632"/>
    <w:rsid w:val="00BB5F08"/>
    <w:rsid w:val="00C83A37"/>
    <w:rsid w:val="00CD08AE"/>
    <w:rsid w:val="00D35FC8"/>
    <w:rsid w:val="00D436E7"/>
    <w:rsid w:val="00F56D06"/>
    <w:rsid w:val="00FD31EA"/>
    <w:rsid w:val="00FF7E82"/>
    <w:rsid w:val="01B4513D"/>
    <w:rsid w:val="05055E1A"/>
    <w:rsid w:val="06E21C39"/>
    <w:rsid w:val="0AEF53A1"/>
    <w:rsid w:val="0EDB38D1"/>
    <w:rsid w:val="102C0B26"/>
    <w:rsid w:val="13984D5C"/>
    <w:rsid w:val="1DD41805"/>
    <w:rsid w:val="253056B8"/>
    <w:rsid w:val="281165FF"/>
    <w:rsid w:val="2A73102A"/>
    <w:rsid w:val="2DEE1837"/>
    <w:rsid w:val="32442BA9"/>
    <w:rsid w:val="3C8164B7"/>
    <w:rsid w:val="3E491D1E"/>
    <w:rsid w:val="459864BB"/>
    <w:rsid w:val="5E8C1493"/>
    <w:rsid w:val="5F7B91F8"/>
    <w:rsid w:val="677B4027"/>
    <w:rsid w:val="6B28732C"/>
    <w:rsid w:val="6B7BB0DD"/>
    <w:rsid w:val="6DFB51A9"/>
    <w:rsid w:val="6E7EAC07"/>
    <w:rsid w:val="6EE82862"/>
    <w:rsid w:val="6F7D24F6"/>
    <w:rsid w:val="BDA72097"/>
    <w:rsid w:val="F5FDD2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3">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260"/>
      <w:jc w:val="left"/>
    </w:pPr>
    <w:rPr>
      <w:rFonts w:ascii="等线" w:eastAsia="等线"/>
      <w:sz w:val="18"/>
      <w:szCs w:val="18"/>
    </w:rPr>
  </w:style>
  <w:style w:type="paragraph" w:styleId="6">
    <w:name w:val="Body Text"/>
    <w:basedOn w:val="1"/>
    <w:qFormat/>
    <w:uiPriority w:val="0"/>
    <w:pPr>
      <w:spacing w:beforeLines="30"/>
    </w:pPr>
    <w:rPr>
      <w:rFonts w:ascii="仿宋_GB2312" w:eastAsia="仿宋_GB2312"/>
      <w:kern w:val="0"/>
      <w:sz w:val="24"/>
      <w:szCs w:val="20"/>
      <w:lang w:val="zh-CN"/>
    </w:rPr>
  </w:style>
  <w:style w:type="paragraph" w:styleId="7">
    <w:name w:val="Body Text Indent"/>
    <w:basedOn w:val="1"/>
    <w:next w:val="8"/>
    <w:qFormat/>
    <w:uiPriority w:val="0"/>
    <w:pPr>
      <w:ind w:firstLine="200" w:firstLineChars="200"/>
    </w:pPr>
    <w:rPr>
      <w:rFonts w:ascii="华文细黑" w:eastAsia="华文细黑" w:cs="华文细黑"/>
      <w:b/>
      <w:bCs/>
      <w:sz w:val="32"/>
      <w:szCs w:val="32"/>
    </w:rPr>
  </w:style>
  <w:style w:type="paragraph" w:styleId="8">
    <w:name w:val="Body Text First Indent 2"/>
    <w:basedOn w:val="7"/>
    <w:next w:val="1"/>
    <w:qFormat/>
    <w:uiPriority w:val="0"/>
    <w:rPr>
      <w:rFonts w:eastAsia="宋体"/>
    </w:rPr>
  </w:style>
  <w:style w:type="paragraph" w:styleId="9">
    <w:name w:val="toc 5"/>
    <w:basedOn w:val="1"/>
    <w:next w:val="1"/>
    <w:qFormat/>
    <w:uiPriority w:val="0"/>
    <w:pPr>
      <w:ind w:left="840"/>
      <w:jc w:val="left"/>
    </w:pPr>
    <w:rPr>
      <w:rFonts w:ascii="等线" w:eastAsia="等线"/>
      <w:sz w:val="18"/>
      <w:szCs w:val="18"/>
    </w:rPr>
  </w:style>
  <w:style w:type="paragraph" w:styleId="10">
    <w:name w:val="toc 3"/>
    <w:basedOn w:val="1"/>
    <w:next w:val="1"/>
    <w:qFormat/>
    <w:uiPriority w:val="0"/>
    <w:pPr>
      <w:ind w:left="420"/>
      <w:jc w:val="left"/>
    </w:pPr>
    <w:rPr>
      <w:rFonts w:ascii="等线" w:eastAsia="等线"/>
      <w:i/>
      <w:iCs/>
      <w:sz w:val="20"/>
      <w:szCs w:val="20"/>
    </w:rPr>
  </w:style>
  <w:style w:type="paragraph" w:styleId="11">
    <w:name w:val="toc 8"/>
    <w:basedOn w:val="1"/>
    <w:next w:val="1"/>
    <w:qFormat/>
    <w:uiPriority w:val="0"/>
    <w:pPr>
      <w:ind w:left="1470"/>
      <w:jc w:val="left"/>
    </w:pPr>
    <w:rPr>
      <w:rFonts w:ascii="等线" w:eastAsia="等线"/>
      <w:sz w:val="18"/>
      <w:szCs w:val="1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rFonts w:ascii="Calibri" w:hAnsi="Calibri"/>
      <w:kern w:val="0"/>
      <w:sz w:val="18"/>
      <w:szCs w:val="20"/>
      <w:lang w:val="zh-CN"/>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qFormat/>
    <w:uiPriority w:val="0"/>
    <w:pPr>
      <w:spacing w:before="120" w:after="120"/>
      <w:jc w:val="left"/>
    </w:pPr>
    <w:rPr>
      <w:rFonts w:ascii="等线" w:eastAsia="等线"/>
      <w:b/>
      <w:bCs/>
      <w:caps/>
      <w:sz w:val="20"/>
      <w:szCs w:val="20"/>
    </w:rPr>
  </w:style>
  <w:style w:type="paragraph" w:styleId="16">
    <w:name w:val="toc 4"/>
    <w:basedOn w:val="1"/>
    <w:next w:val="1"/>
    <w:qFormat/>
    <w:uiPriority w:val="0"/>
    <w:pPr>
      <w:ind w:left="630"/>
      <w:jc w:val="left"/>
    </w:pPr>
    <w:rPr>
      <w:rFonts w:ascii="等线" w:eastAsia="等线"/>
      <w:sz w:val="18"/>
      <w:szCs w:val="18"/>
    </w:rPr>
  </w:style>
  <w:style w:type="paragraph" w:styleId="17">
    <w:name w:val="toc 6"/>
    <w:basedOn w:val="1"/>
    <w:next w:val="1"/>
    <w:qFormat/>
    <w:uiPriority w:val="0"/>
    <w:pPr>
      <w:ind w:left="1050"/>
      <w:jc w:val="left"/>
    </w:pPr>
    <w:rPr>
      <w:rFonts w:ascii="等线" w:eastAsia="等线"/>
      <w:sz w:val="18"/>
      <w:szCs w:val="18"/>
    </w:rPr>
  </w:style>
  <w:style w:type="paragraph" w:styleId="18">
    <w:name w:val="toc 2"/>
    <w:basedOn w:val="1"/>
    <w:next w:val="1"/>
    <w:qFormat/>
    <w:uiPriority w:val="0"/>
    <w:pPr>
      <w:ind w:left="210"/>
      <w:jc w:val="left"/>
    </w:pPr>
    <w:rPr>
      <w:rFonts w:ascii="等线" w:eastAsia="等线"/>
      <w:smallCaps/>
      <w:sz w:val="20"/>
      <w:szCs w:val="20"/>
    </w:rPr>
  </w:style>
  <w:style w:type="paragraph" w:styleId="19">
    <w:name w:val="toc 9"/>
    <w:basedOn w:val="1"/>
    <w:next w:val="1"/>
    <w:qFormat/>
    <w:uiPriority w:val="0"/>
    <w:pPr>
      <w:ind w:left="1680"/>
      <w:jc w:val="left"/>
    </w:pPr>
    <w:rPr>
      <w:rFonts w:ascii="等线" w:eastAsia="等线"/>
      <w:sz w:val="18"/>
      <w:szCs w:val="18"/>
    </w:rPr>
  </w:style>
  <w:style w:type="paragraph" w:styleId="20">
    <w:name w:val="Normal (Web)"/>
    <w:basedOn w:val="1"/>
    <w:next w:val="6"/>
    <w:qFormat/>
    <w:uiPriority w:val="0"/>
    <w:pPr>
      <w:jc w:val="left"/>
    </w:pPr>
    <w:rPr>
      <w:kern w:val="0"/>
      <w:sz w:val="24"/>
    </w:rPr>
  </w:style>
  <w:style w:type="paragraph" w:styleId="21">
    <w:name w:val="Body Text First Indent"/>
    <w:basedOn w:val="6"/>
    <w:qFormat/>
    <w:uiPriority w:val="0"/>
    <w:pPr>
      <w:ind w:firstLine="100" w:firstLineChars="100"/>
    </w:pPr>
    <w:rPr>
      <w:rFonts w:ascii="Calibri" w:hAnsi="Calibri" w:cs="Calibri"/>
    </w:rPr>
  </w:style>
  <w:style w:type="character" w:styleId="24">
    <w:name w:val="Strong"/>
    <w:basedOn w:val="23"/>
    <w:qFormat/>
    <w:uiPriority w:val="0"/>
    <w:rPr>
      <w:rFonts w:cs="Times New Roman"/>
      <w:b/>
    </w:rPr>
  </w:style>
  <w:style w:type="character" w:styleId="25">
    <w:name w:val="Hyperlink"/>
    <w:basedOn w:val="23"/>
    <w:qFormat/>
    <w:uiPriority w:val="0"/>
    <w:rPr>
      <w:rFonts w:cs="Times New Roman"/>
      <w:color w:val="0000FF"/>
      <w:u w:val="single"/>
    </w:rPr>
  </w:style>
  <w:style w:type="character" w:customStyle="1" w:styleId="26">
    <w:name w:val="标题 1 Char"/>
    <w:basedOn w:val="23"/>
    <w:link w:val="2"/>
    <w:qFormat/>
    <w:uiPriority w:val="0"/>
    <w:rPr>
      <w:rFonts w:ascii="Times New Roman" w:hAnsi="Times New Roman" w:eastAsia="宋体" w:cs="Times New Roman"/>
      <w:b/>
      <w:bCs/>
      <w:kern w:val="44"/>
      <w:sz w:val="44"/>
      <w:szCs w:val="44"/>
      <w:lang w:val="en-US" w:eastAsia="zh-CN" w:bidi="ar-SA"/>
    </w:rPr>
  </w:style>
  <w:style w:type="character" w:customStyle="1" w:styleId="27">
    <w:name w:val="标题 2 Char"/>
    <w:basedOn w:val="23"/>
    <w:link w:val="3"/>
    <w:qFormat/>
    <w:uiPriority w:val="0"/>
    <w:rPr>
      <w:rFonts w:ascii="Cambria" w:hAnsi="Cambria" w:eastAsia="宋体" w:cs="Times New Roman"/>
      <w:b/>
      <w:bCs/>
      <w:kern w:val="2"/>
      <w:sz w:val="32"/>
      <w:szCs w:val="32"/>
      <w:lang w:val="en-US" w:eastAsia="zh-CN" w:bidi="ar-SA"/>
    </w:rPr>
  </w:style>
  <w:style w:type="character" w:customStyle="1" w:styleId="28">
    <w:name w:val="Body Text Char"/>
    <w:basedOn w:val="23"/>
    <w:qFormat/>
    <w:uiPriority w:val="0"/>
    <w:rPr>
      <w:rFonts w:ascii="Times New Roman" w:hAnsi="Times New Roman" w:cs="Times New Roman"/>
      <w:sz w:val="24"/>
      <w:szCs w:val="24"/>
    </w:rPr>
  </w:style>
  <w:style w:type="character" w:customStyle="1" w:styleId="29">
    <w:name w:val="Footer Char"/>
    <w:basedOn w:val="23"/>
    <w:qFormat/>
    <w:uiPriority w:val="0"/>
    <w:rPr>
      <w:rFonts w:ascii="Times New Roman" w:hAnsi="Times New Roman" w:cs="Times New Roman"/>
      <w:sz w:val="18"/>
      <w:szCs w:val="18"/>
    </w:rPr>
  </w:style>
  <w:style w:type="character" w:customStyle="1" w:styleId="30">
    <w:name w:val="Header Char"/>
    <w:basedOn w:val="23"/>
    <w:qFormat/>
    <w:uiPriority w:val="0"/>
    <w:rPr>
      <w:rFonts w:ascii="Times New Roman" w:hAnsi="Times New Roman" w:cs="Times New Roman"/>
      <w:sz w:val="18"/>
      <w:szCs w:val="18"/>
    </w:rPr>
  </w:style>
  <w:style w:type="paragraph" w:customStyle="1" w:styleId="3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2">
    <w:name w:val="列表段落1"/>
    <w:basedOn w:val="1"/>
    <w:qFormat/>
    <w:uiPriority w:val="0"/>
    <w:pPr>
      <w:ind w:firstLine="200" w:firstLineChars="200"/>
    </w:pPr>
  </w:style>
  <w:style w:type="paragraph" w:customStyle="1" w:styleId="33">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4">
    <w:name w:val="TOC Heading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
    <w:name w:val="TOC 标题2"/>
    <w:basedOn w:val="2"/>
    <w:next w:val="1"/>
    <w:qFormat/>
    <w:uiPriority w:val="0"/>
    <w:pPr>
      <w:widowControl/>
      <w:spacing w:before="240" w:after="0" w:line="259" w:lineRule="auto"/>
      <w:jc w:val="left"/>
      <w:outlineLvl w:val="9"/>
    </w:pPr>
    <w:rPr>
      <w:rFonts w:ascii="等线 Light" w:eastAsia="等线 Light"/>
      <w:b w:val="0"/>
      <w:bCs w:val="0"/>
      <w:color w:val="2F5597"/>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for%20&#26446;&#23159;&#25913;1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3538;&#21439;&#20379;&#38144;&#31038;2022&#24180;&#20915;&#31639;&#20844;&#24320;\for%20&#26446;&#23159;.xlsx"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zh-CN" sz="1600" b="0" i="0" baseline="0"/>
              <a:t>收、支决算总计</a:t>
            </a:r>
            <a:r>
              <a:rPr lang="en-US" altLang="zh-CN" sz="1600" b="0" i="0" baseline="0"/>
              <a:t> </a:t>
            </a:r>
            <a:r>
              <a:rPr lang="zh-CN" altLang="zh-CN" sz="1600" b="0" i="0" baseline="0"/>
              <a:t>变动情况图</a:t>
            </a:r>
            <a:endParaRPr lang="zh-CN" altLang="zh-CN" sz="1600"/>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52.73</c:v>
                </c:pt>
                <c:pt idx="1">
                  <c:v>53.33</c:v>
                </c:pt>
              </c:numCache>
            </c:numRef>
          </c:val>
        </c:ser>
        <c:ser>
          <c:idx val="1"/>
          <c:order val="1"/>
          <c:tx>
            <c:strRef>
              <c:f>支出</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52.73</c:v>
                </c:pt>
                <c:pt idx="1">
                  <c:v>53.33</c:v>
                </c:pt>
              </c:numCache>
            </c:numRef>
          </c:val>
        </c:ser>
        <c:dLbls>
          <c:showLegendKey val="0"/>
          <c:showVal val="1"/>
          <c:showCatName val="0"/>
          <c:showSerName val="0"/>
          <c:showPercent val="0"/>
          <c:showBubbleSize val="0"/>
        </c:dLbls>
        <c:gapWidth val="219"/>
        <c:overlap val="-27"/>
        <c:axId val="243063040"/>
        <c:axId val="243277824"/>
      </c:barChart>
      <c:catAx>
        <c:axId val="24306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277824"/>
        <c:crosses val="autoZero"/>
        <c:auto val="1"/>
        <c:lblAlgn val="ctr"/>
        <c:lblOffset val="100"/>
        <c:noMultiLvlLbl val="0"/>
      </c:catAx>
      <c:valAx>
        <c:axId val="24327782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063040"/>
        <c:crosses val="autoZero"/>
        <c:crossBetween val="between"/>
      </c:valAx>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800" b="1" i="0" u="none" strike="noStrike" kern="1200" baseline="0">
                <a:solidFill>
                  <a:srgbClr val="000000"/>
                </a:solidFill>
                <a:latin typeface="Times New Roman" panose="02020603050405020304"/>
                <a:ea typeface="宋体" panose="02010600030101010101" charset="-122"/>
                <a:cs typeface="Arial" panose="020B0604020202020204" pitchFamily="2"/>
              </a:defRPr>
            </a:pPr>
            <a:r>
              <a:rPr lang="zh-CN"/>
              <a:t>本年收入</a:t>
            </a:r>
            <a:endParaRPr lang="zh-CN"/>
          </a:p>
        </c:rich>
      </c:tx>
      <c:layout/>
      <c:overlay val="0"/>
      <c:spPr>
        <a:noFill/>
        <a:ln>
          <a:noFill/>
        </a:ln>
        <a:effectLst/>
      </c:spPr>
    </c:title>
    <c:autoTitleDeleted val="0"/>
    <c:plotArea>
      <c:layout/>
      <c:pieChart>
        <c:varyColors val="1"/>
        <c:ser>
          <c:idx val="0"/>
          <c:order val="0"/>
          <c:tx>
            <c:strRef>
              <c:f>'Sheet1'!$B$1</c:f>
              <c:strCache>
                <c:ptCount val="1"/>
                <c:pt idx="0">
                  <c:v>本年收入</c:v>
                </c:pt>
              </c:strCache>
            </c:strRef>
          </c:tx>
          <c:spPr>
            <a:effectLst/>
          </c:spPr>
          <c:explosion val="23"/>
          <c:dPt>
            <c:idx val="0"/>
            <c:bubble3D val="0"/>
            <c:explosion val="23"/>
            <c:spPr>
              <a:solidFill>
                <a:srgbClr val="3B65AE"/>
              </a:solidFill>
              <a:ln>
                <a:noFill/>
              </a:ln>
              <a:effectLst/>
            </c:spPr>
          </c:dPt>
          <c:dPt>
            <c:idx val="1"/>
            <c:bubble3D val="0"/>
            <c:explosion val="23"/>
            <c:spPr>
              <a:solidFill>
                <a:srgbClr val="D36E2A"/>
              </a:solidFill>
              <a:ln>
                <a:noFill/>
              </a:ln>
              <a:effectLst/>
            </c:spPr>
          </c:dPt>
          <c:dPt>
            <c:idx val="2"/>
            <c:bubble3D val="0"/>
            <c:explosion val="23"/>
            <c:spPr>
              <a:solidFill>
                <a:srgbClr val="929292"/>
              </a:solidFill>
              <a:ln>
                <a:noFill/>
              </a:ln>
              <a:effectLst/>
            </c:spPr>
          </c:dPt>
          <c:dPt>
            <c:idx val="3"/>
            <c:bubble3D val="0"/>
            <c:explosion val="23"/>
            <c:spPr>
              <a:solidFill>
                <a:srgbClr val="E3AA00"/>
              </a:solidFill>
              <a:ln>
                <a:noFill/>
              </a:ln>
              <a:effectLst/>
            </c:spPr>
          </c:dPt>
          <c:dPt>
            <c:idx val="4"/>
            <c:bubble3D val="0"/>
            <c:explosion val="23"/>
            <c:spPr>
              <a:solidFill>
                <a:srgbClr val="5089BD"/>
              </a:solidFill>
              <a:ln>
                <a:noFill/>
              </a:ln>
              <a:effectLst/>
            </c:spPr>
          </c:dPt>
          <c:dPt>
            <c:idx val="5"/>
            <c:bubble3D val="0"/>
            <c:explosion val="23"/>
            <c:spPr>
              <a:solidFill>
                <a:srgbClr val="63993E"/>
              </a:solidFill>
              <a:ln>
                <a:noFill/>
              </a:ln>
              <a:effectLst/>
            </c:spPr>
          </c:dPt>
          <c:dPt>
            <c:idx val="6"/>
            <c:bubble3D val="0"/>
            <c:explosion val="23"/>
            <c:spPr>
              <a:solidFill>
                <a:srgbClr val="90A2D4"/>
              </a:solidFill>
              <a:ln>
                <a:noFill/>
              </a:ln>
              <a:effectLst/>
            </c:spPr>
          </c:dPt>
          <c:dLbls>
            <c:delete val="1"/>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187.05</c:v>
                </c:pt>
                <c:pt idx="1">
                  <c:v>0</c:v>
                </c:pt>
                <c:pt idx="2">
                  <c:v>0</c:v>
                </c:pt>
                <c:pt idx="3">
                  <c:v>0</c:v>
                </c:pt>
                <c:pt idx="4">
                  <c:v>0</c:v>
                </c:pt>
                <c:pt idx="5">
                  <c:v>0</c:v>
                </c:pt>
                <c:pt idx="6">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en-US"/>
              <a:t>支出决算结构图</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Sheet1!$A$19:$A$20</c:f>
              <c:strCache>
                <c:ptCount val="2"/>
                <c:pt idx="0">
                  <c:v>基本支出</c:v>
                </c:pt>
                <c:pt idx="1">
                  <c:v>项目支出</c:v>
                </c:pt>
              </c:strCache>
            </c:strRef>
          </c:cat>
          <c:val>
            <c:numRef>
              <c:f>Sheet1!$B$19:$B$20</c:f>
              <c:numCache>
                <c:formatCode>0.00%</c:formatCode>
                <c:ptCount val="2"/>
                <c:pt idx="0">
                  <c:v>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en-US" sz="1600" b="0" i="0" baseline="0"/>
              <a:t>财政拨款</a:t>
            </a:r>
            <a:r>
              <a:rPr lang="zh-CN" altLang="zh-CN" sz="1600" b="0" i="0" baseline="0"/>
              <a:t>收、支决算总计</a:t>
            </a:r>
            <a:r>
              <a:rPr lang="en-US" altLang="zh-CN" sz="1600" b="0" i="0" baseline="0"/>
              <a:t> </a:t>
            </a:r>
            <a:r>
              <a:rPr lang="zh-CN" altLang="zh-CN" sz="1600" b="0" i="0" baseline="0"/>
              <a:t>变动情况图</a:t>
            </a:r>
            <a:endParaRPr lang="zh-CN" altLang="zh-CN" sz="1600"/>
          </a:p>
        </c:rich>
      </c:tx>
      <c:layout/>
      <c:overlay val="0"/>
      <c:spPr>
        <a:noFill/>
        <a:ln>
          <a:noFill/>
        </a:ln>
        <a:effectLst/>
      </c:spPr>
    </c:title>
    <c:autoTitleDeleted val="0"/>
    <c:plotArea>
      <c:layout/>
      <c:barChart>
        <c:barDir val="col"/>
        <c:grouping val="clustered"/>
        <c:varyColors val="0"/>
        <c:ser>
          <c:idx val="0"/>
          <c:order val="0"/>
          <c:tx>
            <c:strRef>
              <c:f>收入</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Sheet1!$B$3:$B$4</c:f>
              <c:numCache>
                <c:formatCode>General</c:formatCode>
                <c:ptCount val="2"/>
                <c:pt idx="0">
                  <c:v>52.73</c:v>
                </c:pt>
                <c:pt idx="1">
                  <c:v>53.33</c:v>
                </c:pt>
              </c:numCache>
            </c:numRef>
          </c:val>
        </c:ser>
        <c:ser>
          <c:idx val="1"/>
          <c:order val="1"/>
          <c:tx>
            <c:strRef>
              <c:f>支出</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Sheet1!$A$3:$A$4</c:f>
              <c:strCache>
                <c:ptCount val="2"/>
                <c:pt idx="0">
                  <c:v>2021年</c:v>
                </c:pt>
                <c:pt idx="1">
                  <c:v>2022年</c:v>
                </c:pt>
              </c:strCache>
            </c:strRef>
          </c:cat>
          <c:val>
            <c:numRef>
              <c:f>Sheet1!$C$3:$C$4</c:f>
              <c:numCache>
                <c:formatCode>General</c:formatCode>
                <c:ptCount val="2"/>
                <c:pt idx="0">
                  <c:v>52.73</c:v>
                </c:pt>
                <c:pt idx="1">
                  <c:v>53.33</c:v>
                </c:pt>
              </c:numCache>
            </c:numRef>
          </c:val>
        </c:ser>
        <c:dLbls>
          <c:showLegendKey val="0"/>
          <c:showVal val="1"/>
          <c:showCatName val="0"/>
          <c:showSerName val="0"/>
          <c:showPercent val="0"/>
          <c:showBubbleSize val="0"/>
        </c:dLbls>
        <c:gapWidth val="219"/>
        <c:overlap val="-27"/>
        <c:axId val="244545792"/>
        <c:axId val="244563968"/>
      </c:barChart>
      <c:catAx>
        <c:axId val="24454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563968"/>
        <c:crosses val="autoZero"/>
        <c:auto val="1"/>
        <c:lblAlgn val="ctr"/>
        <c:lblOffset val="100"/>
        <c:noMultiLvlLbl val="0"/>
      </c:catAx>
      <c:valAx>
        <c:axId val="244563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545792"/>
        <c:crosses val="autoZero"/>
        <c:crossBetween val="between"/>
      </c:valAx>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en-US"/>
              <a:t>一般公共预算财政拨款支出决算变动图</a:t>
            </a:r>
            <a:endParaRPr lang="zh-CN" altLang="en-US"/>
          </a:p>
        </c:rich>
      </c:tx>
      <c:layout/>
      <c:overlay val="0"/>
      <c:spPr>
        <a:noFill/>
        <a:ln>
          <a:noFill/>
        </a:ln>
        <a:effectLst/>
      </c:spPr>
    </c:title>
    <c:autoTitleDeleted val="0"/>
    <c:plotArea>
      <c:layout/>
      <c:barChart>
        <c:barDir val="col"/>
        <c:grouping val="cluster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Sheet1!$A$53:$A$54</c:f>
              <c:strCache>
                <c:ptCount val="2"/>
                <c:pt idx="0">
                  <c:v>2021年</c:v>
                </c:pt>
                <c:pt idx="1">
                  <c:v>2022年</c:v>
                </c:pt>
              </c:strCache>
            </c:strRef>
          </c:cat>
          <c:val>
            <c:numRef>
              <c:f>Sheet1!$B$53:$B$54</c:f>
              <c:numCache>
                <c:formatCode>General</c:formatCode>
                <c:ptCount val="2"/>
                <c:pt idx="0">
                  <c:v>52.73</c:v>
                </c:pt>
                <c:pt idx="1">
                  <c:v>53.33</c:v>
                </c:pt>
              </c:numCache>
            </c:numRef>
          </c:val>
        </c:ser>
        <c:dLbls>
          <c:showLegendKey val="0"/>
          <c:showVal val="1"/>
          <c:showCatName val="0"/>
          <c:showSerName val="0"/>
          <c:showPercent val="0"/>
          <c:showBubbleSize val="0"/>
        </c:dLbls>
        <c:gapWidth val="219"/>
        <c:overlap val="-27"/>
        <c:axId val="244790016"/>
        <c:axId val="244791552"/>
      </c:barChart>
      <c:catAx>
        <c:axId val="244790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791552"/>
        <c:crosses val="autoZero"/>
        <c:auto val="1"/>
        <c:lblAlgn val="ctr"/>
        <c:lblOffset val="100"/>
        <c:noMultiLvlLbl val="0"/>
      </c:catAx>
      <c:valAx>
        <c:axId val="2447915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790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t>一般公共预算财政拨款支出决算结构</a:t>
            </a:r>
            <a:endParaRPr lang="zh-CN" altLang="en-US"/>
          </a:p>
        </c:rich>
      </c:tx>
      <c:layout/>
      <c:overlay val="0"/>
      <c:spPr>
        <a:noFill/>
        <a:ln>
          <a:noFill/>
        </a:ln>
        <a:effectLst/>
      </c:spPr>
    </c:title>
    <c:autoTitleDeleted val="0"/>
    <c:plotArea>
      <c:layout/>
      <c:pieChart>
        <c:varyColors val="1"/>
        <c:ser>
          <c:idx val="0"/>
          <c:order val="0"/>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General" sourceLinked="1"/>
            <c:spPr>
              <a:noFill/>
              <a:ln>
                <a:noFill/>
              </a:ln>
              <a:effectLst/>
            </c:spPr>
            <c:txPr>
              <a:bodyPr rot="0" spcFirstLastPara="1" vertOverflow="ellipsis" horzOverflow="overflow"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Sheet1!$A$70:$A$73</c:f>
              <c:strCache>
                <c:ptCount val="4"/>
                <c:pt idx="0">
                  <c:v>社会保障和就业（208）</c:v>
                </c:pt>
                <c:pt idx="1">
                  <c:v>一般公共服务支出（201）</c:v>
                </c:pt>
                <c:pt idx="2">
                  <c:v>卫生健康支出（210）</c:v>
                </c:pt>
                <c:pt idx="3">
                  <c:v>住房保障支出（221）</c:v>
                </c:pt>
              </c:strCache>
            </c:strRef>
          </c:cat>
          <c:val>
            <c:numRef>
              <c:f>Sheet1!$B$70:$B$73</c:f>
              <c:numCache>
                <c:formatCode>0.00%</c:formatCode>
                <c:ptCount val="4"/>
                <c:pt idx="0">
                  <c:v>0.1102</c:v>
                </c:pt>
                <c:pt idx="1">
                  <c:v>0.778700000000001</c:v>
                </c:pt>
                <c:pt idx="2">
                  <c:v>0.0461</c:v>
                </c:pt>
                <c:pt idx="3">
                  <c:v>0.065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6448220000001"/>
          <c:y val="0.26417106"/>
          <c:w val="0.42426902"/>
          <c:h val="0.7273183"/>
        </c:manualLayout>
      </c:layout>
      <c:pieChart>
        <c:varyColors val="1"/>
        <c:ser>
          <c:idx val="0"/>
          <c:order val="0"/>
          <c:tx>
            <c:strRef>
              <c:f>'Sheet1 (6)'!$B$1</c:f>
              <c:strCache>
                <c:ptCount val="1"/>
                <c:pt idx="0">
                  <c:v>决算数</c:v>
                </c:pt>
              </c:strCache>
            </c:strRef>
          </c:tx>
          <c:spPr>
            <a:effectLst/>
          </c:spPr>
          <c:explosion val="0"/>
          <c:dPt>
            <c:idx val="0"/>
            <c:bubble3D val="0"/>
            <c:spPr>
              <a:solidFill>
                <a:srgbClr val="4472C4"/>
              </a:solidFill>
              <a:ln>
                <a:noFill/>
              </a:ln>
              <a:effectLst/>
            </c:spPr>
          </c:dPt>
          <c:dPt>
            <c:idx val="1"/>
            <c:bubble3D val="0"/>
            <c:spPr>
              <a:solidFill>
                <a:srgbClr val="ED7D31"/>
              </a:solidFill>
              <a:ln>
                <a:noFill/>
              </a:ln>
              <a:effectLst/>
            </c:spPr>
          </c:dPt>
          <c:dPt>
            <c:idx val="2"/>
            <c:bubble3D val="0"/>
            <c:spPr>
              <a:solidFill>
                <a:srgbClr val="A5A5A5"/>
              </a:solidFill>
              <a:ln>
                <a:noFill/>
              </a:ln>
              <a:effectLst/>
            </c:spPr>
          </c:dPt>
          <c:dPt>
            <c:idx val="3"/>
            <c:bubble3D val="0"/>
            <c:spPr>
              <a:solidFill>
                <a:srgbClr val="FFC000"/>
              </a:solidFill>
              <a:ln>
                <a:noFill/>
              </a:ln>
              <a:effectLst/>
            </c:spPr>
          </c:dPt>
          <c:dLbls>
            <c:delete val="1"/>
          </c:dLbls>
          <c:cat>
            <c:strRef>
              <c:f>'Sheet1 (6)'!$A$2:$A$5</c:f>
              <c:strCache>
                <c:ptCount val="4"/>
                <c:pt idx="0">
                  <c:v>因公出国（境）费</c:v>
                </c:pt>
                <c:pt idx="1">
                  <c:v>公务用车购置及运行维护费</c:v>
                </c:pt>
                <c:pt idx="2">
                  <c:v>公务接待费</c:v>
                </c:pt>
              </c:strCache>
            </c:strRef>
          </c:cat>
          <c:val>
            <c:numRef>
              <c:f>'Sheet1 (6)'!$B$2:$B$5</c:f>
              <c:numCache>
                <c:formatCode>General</c:formatCode>
                <c:ptCount val="4"/>
                <c:pt idx="0">
                  <c:v>0</c:v>
                </c:pt>
                <c:pt idx="1">
                  <c:v>0</c:v>
                </c:pt>
                <c:pt idx="2">
                  <c:v>0</c:v>
                </c:pt>
              </c:numCache>
            </c:numRef>
          </c:val>
        </c:ser>
        <c:dLbls>
          <c:showLegendKey val="0"/>
          <c:showVal val="0"/>
          <c:showCatName val="0"/>
          <c:showSerName val="0"/>
          <c:showPercent val="0"/>
          <c:showBubbleSize val="0"/>
          <c:showLeaderLines val="1"/>
        </c:dLbls>
        <c:firstSliceAng val="0"/>
      </c:pieChart>
      <c:spPr>
        <a:solidFill>
          <a:srgbClr val="FFFFFF"/>
        </a:solidFill>
        <a:ln>
          <a:noFill/>
        </a:ln>
        <a:effectLst/>
      </c:spPr>
    </c:plotArea>
    <c:legend>
      <c:legendPos val="r"/>
      <c:layout/>
      <c:overlay val="0"/>
      <c:spPr>
        <a:noFill/>
        <a:ln>
          <a:noFill/>
        </a:ln>
        <a:effectLst/>
      </c:spPr>
      <c:txPr>
        <a:bodyPr rot="0" spcFirstLastPara="0" vertOverflow="ellipsis" horzOverflow="overflow"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Arial" panose="020B0604020202020204" pitchFamily="2"/>
            </a:defRPr>
          </a:pPr>
        </a:p>
      </c:txPr>
    </c:legend>
    <c:plotVisOnly val="1"/>
    <c:dispBlanksAs val="zero"/>
    <c:showDLblsOverMax val="0"/>
  </c:chart>
  <c:spPr>
    <a:solidFill>
      <a:srgbClr val="FFFFFF"/>
    </a:solidFill>
    <a:ln w="6350" cap="flat" cmpd="sng" algn="ctr">
      <a:solidFill>
        <a:srgbClr val="898989"/>
      </a:solidFill>
      <a:prstDash val="solid"/>
      <a:round/>
    </a:ln>
    <a:effectLst/>
  </c:spPr>
  <c:txPr>
    <a:bodyPr rot="0" spcFirstLastPara="0" vertOverflow="ellipsis" horzOverflow="overflow" vert="horz" wrap="square" anchor="ctr" anchorCtr="1"/>
    <a:lstStyle/>
    <a:p>
      <a:pPr>
        <a:defRPr lang="zh-CN" sz="1000" b="0" i="0" u="none" strike="noStrike" baseline="0">
          <a:solidFill>
            <a:srgbClr val="000000"/>
          </a:solidFill>
          <a:latin typeface="Times New Roman" panose="02020603050405020304"/>
          <a:ea typeface="宋体" panose="02010600030101010101" charset="-122"/>
          <a:cs typeface="Arial" panose="020B0604020202020204" pitchFamily="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25</Pages>
  <Words>8719</Words>
  <Characters>9294</Characters>
  <Lines>70</Lines>
  <Paragraphs>19</Paragraphs>
  <TotalTime>6</TotalTime>
  <ScaleCrop>false</ScaleCrop>
  <LinksUpToDate>false</LinksUpToDate>
  <CharactersWithSpaces>9401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2023-09-07T23:49:00Z</dcterms:created>
  <dc:creator>曹颖</dc:creator>
  <cp:lastModifiedBy>user</cp:lastModifiedBy>
  <cp:lastPrinted>2022-09-24T09:21:00Z</cp:lastPrinted>
  <dcterms:modified xsi:type="dcterms:W3CDTF">2026-04-22T11:31:00Z</dcterms:modified>
  <dc:title>阿坝州部门决算说明</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F11F42704A8D4A71965D48B93197ADF4_13</vt:lpwstr>
  </property>
</Properties>
</file>