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cs="方正小标宋简体"/>
          <w:sz w:val="72"/>
          <w:szCs w:val="72"/>
        </w:rPr>
      </w:pPr>
      <w:bookmarkStart w:id="1" w:name="_Toc15396475"/>
      <w:bookmarkStart w:id="2" w:name="_Toc15396597"/>
      <w:bookmarkStart w:id="3" w:name="_Toc15377193"/>
      <w:bookmarkStart w:id="4" w:name="_Toc15377425"/>
      <w:bookmarkStart w:id="5" w:name="_Toc15378441"/>
      <w:r>
        <w:rPr>
          <w:rFonts w:hint="eastAsia" w:ascii="方正小标宋简体" w:eastAsia="方正小标宋简体" w:cs="方正小标宋简体"/>
          <w:sz w:val="72"/>
          <w:szCs w:val="72"/>
        </w:rPr>
        <w:t>2022年度</w:t>
      </w:r>
      <w:bookmarkEnd w:id="0"/>
      <w:bookmarkEnd w:id="1"/>
      <w:bookmarkEnd w:id="2"/>
      <w:bookmarkEnd w:id="3"/>
      <w:bookmarkEnd w:id="4"/>
      <w:bookmarkEnd w:id="5"/>
      <w:r>
        <w:rPr>
          <w:rFonts w:hint="eastAsia" w:ascii="方正小标宋简体" w:eastAsia="方正小标宋简体" w:cs="方正小标宋简体"/>
          <w:sz w:val="72"/>
          <w:szCs w:val="72"/>
        </w:rPr>
        <w:t>阿坝州</w:t>
      </w:r>
      <w:bookmarkStart w:id="6" w:name="_Toc15306268"/>
      <w:r>
        <w:rPr>
          <w:rFonts w:hint="eastAsia" w:ascii="方正小标宋简体" w:eastAsia="方正小标宋简体" w:cs="方正小标宋简体"/>
          <w:sz w:val="72"/>
          <w:szCs w:val="72"/>
        </w:rPr>
        <w:t>茂县</w:t>
      </w:r>
    </w:p>
    <w:p>
      <w:pPr>
        <w:jc w:val="center"/>
        <w:rPr>
          <w:rFonts w:ascii="黑体" w:eastAsia="黑体"/>
          <w:sz w:val="72"/>
          <w:szCs w:val="72"/>
        </w:rPr>
      </w:pPr>
      <w:r>
        <w:rPr>
          <w:rFonts w:hint="eastAsia" w:ascii="方正小标宋简体" w:eastAsia="方正小标宋简体" w:cs="方正小标宋简体"/>
          <w:sz w:val="72"/>
          <w:szCs w:val="72"/>
        </w:rPr>
        <w:t>共青团茂县委员会（本级）决算</w:t>
      </w:r>
      <w:bookmarkEnd w:id="6"/>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r>
        <w:rPr>
          <w:rFonts w:hint="eastAsia" w:ascii="仿宋_GB2312"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5"/>
        <w:jc w:val="center"/>
        <w:rPr>
          <w:rFonts w:ascii="仿宋_GB2312" w:eastAsia="仿宋_GB2312" w:cs="仿宋_GB2312"/>
          <w:b w:val="0"/>
          <w:caps w:val="0"/>
          <w:color w:val="000000"/>
          <w:kern w:val="0"/>
          <w:sz w:val="32"/>
          <w:szCs w:val="32"/>
          <w:lang w:val="zh-CN"/>
        </w:rPr>
      </w:pPr>
      <w:r>
        <w:rPr>
          <w:rFonts w:hint="eastAsia" w:ascii="仿宋_GB2312" w:eastAsia="仿宋_GB2312" w:cs="仿宋_GB2312"/>
          <w:b w:val="0"/>
          <w:caps w:val="0"/>
          <w:color w:val="000000"/>
          <w:kern w:val="0"/>
          <w:sz w:val="32"/>
          <w:szCs w:val="32"/>
          <w:lang w:val="zh-CN"/>
        </w:rPr>
        <w:t>公开时间：2023年</w:t>
      </w:r>
      <w:r>
        <w:rPr>
          <w:rFonts w:hint="eastAsia" w:ascii="仿宋_GB2312" w:eastAsia="仿宋_GB2312" w:cs="仿宋_GB2312"/>
          <w:b w:val="0"/>
          <w:caps w:val="0"/>
          <w:color w:val="000000"/>
          <w:kern w:val="0"/>
          <w:sz w:val="32"/>
          <w:szCs w:val="32"/>
        </w:rPr>
        <w:t>9</w:t>
      </w:r>
      <w:r>
        <w:rPr>
          <w:rFonts w:hint="eastAsia" w:ascii="仿宋_GB2312" w:eastAsia="仿宋_GB2312" w:cs="仿宋_GB2312"/>
          <w:b w:val="0"/>
          <w:caps w:val="0"/>
          <w:color w:val="000000"/>
          <w:kern w:val="0"/>
          <w:sz w:val="32"/>
          <w:szCs w:val="32"/>
          <w:lang w:val="zh-CN"/>
        </w:rPr>
        <w:t>月</w:t>
      </w:r>
      <w:r>
        <w:rPr>
          <w:rFonts w:hint="eastAsia" w:ascii="仿宋_GB2312" w:eastAsia="仿宋_GB2312" w:cs="仿宋_GB2312"/>
          <w:b w:val="0"/>
          <w:caps w:val="0"/>
          <w:color w:val="000000"/>
          <w:kern w:val="0"/>
          <w:sz w:val="32"/>
          <w:szCs w:val="32"/>
        </w:rPr>
        <w:t>12</w:t>
      </w:r>
      <w:r>
        <w:rPr>
          <w:rFonts w:hint="eastAsia" w:ascii="仿宋_GB2312" w:eastAsia="仿宋_GB2312" w:cs="仿宋_GB2312"/>
          <w:b w:val="0"/>
          <w:caps w:val="0"/>
          <w:color w:val="000000"/>
          <w:kern w:val="0"/>
          <w:sz w:val="32"/>
          <w:szCs w:val="32"/>
          <w:lang w:val="zh-CN"/>
        </w:rPr>
        <w:t>日</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TOC \o \u </w:instrText>
      </w:r>
      <w:r>
        <w:rPr>
          <w:rFonts w:hint="eastAsia" w:ascii="宋体" w:eastAsia="宋体" w:cs="宋体"/>
          <w:b w:val="0"/>
          <w:bCs w:val="0"/>
          <w:caps w:val="0"/>
          <w:smallCaps/>
        </w:rPr>
        <w:fldChar w:fldCharType="separate"/>
      </w:r>
      <w:r>
        <w:rPr>
          <w:rFonts w:hint="eastAsia" w:ascii="宋体" w:eastAsia="宋体" w:cs="宋体"/>
          <w:b w:val="0"/>
          <w:bCs w:val="0"/>
          <w:caps w:val="0"/>
          <w:smallCaps/>
        </w:rPr>
        <w:t>第一部分 部门概况</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_Toc79163851 \h </w:instrText>
      </w:r>
      <w:r>
        <w:rPr>
          <w:rFonts w:hint="eastAsia" w:ascii="宋体" w:eastAsia="宋体" w:cs="宋体"/>
          <w:b w:val="0"/>
          <w:bCs w:val="0"/>
          <w:caps w:val="0"/>
          <w:smallCaps/>
        </w:rPr>
        <w:fldChar w:fldCharType="separate"/>
      </w:r>
      <w:r>
        <w:rPr>
          <w:rFonts w:hint="eastAsia" w:ascii="宋体" w:eastAsia="宋体" w:cs="宋体"/>
          <w:b w:val="0"/>
          <w:bCs w:val="0"/>
          <w:caps w:val="0"/>
          <w:smallCaps/>
        </w:rPr>
        <w:t>4</w:t>
      </w:r>
      <w:r>
        <w:rPr>
          <w:rFonts w:hint="eastAsia" w:ascii="宋体" w:eastAsia="宋体" w:cs="宋体"/>
          <w:b w:val="0"/>
          <w:bCs w:val="0"/>
          <w:caps w:val="0"/>
          <w:smallCaps/>
        </w:rPr>
        <w:fldChar w:fldCharType="end"/>
      </w:r>
    </w:p>
    <w:p>
      <w:pPr>
        <w:pStyle w:val="18"/>
        <w:tabs>
          <w:tab w:val="right" w:leader="dot" w:pos="8296"/>
        </w:tabs>
        <w:ind w:left="0"/>
        <w:rPr>
          <w:rFonts w:ascii="宋体" w:eastAsia="宋体" w:cs="宋体"/>
        </w:rPr>
      </w:pPr>
      <w:r>
        <w:rPr>
          <w:rFonts w:hint="eastAsia" w:ascii="宋体" w:eastAsia="宋体" w:cs="宋体"/>
        </w:rPr>
        <w:t>一、基本职能及主要工作</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_Toc79163852 \h </w:instrText>
      </w:r>
      <w:r>
        <w:rPr>
          <w:rFonts w:hint="eastAsia" w:ascii="宋体" w:eastAsia="宋体" w:cs="宋体"/>
        </w:rPr>
        <w:fldChar w:fldCharType="separate"/>
      </w:r>
      <w:r>
        <w:rPr>
          <w:rFonts w:hint="eastAsia" w:ascii="宋体" w:eastAsia="宋体" w:cs="宋体"/>
        </w:rPr>
        <w:t>4</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（一）主要职能</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_Toc79163853 \h </w:instrText>
      </w:r>
      <w:r>
        <w:rPr>
          <w:rFonts w:hint="eastAsia" w:ascii="宋体" w:eastAsia="宋体" w:cs="宋体"/>
          <w:i w:val="0"/>
          <w:iCs w:val="0"/>
          <w:smallCaps/>
        </w:rPr>
        <w:fldChar w:fldCharType="separate"/>
      </w:r>
      <w:r>
        <w:rPr>
          <w:rFonts w:hint="eastAsia" w:ascii="宋体" w:eastAsia="宋体" w:cs="宋体"/>
          <w:i w:val="0"/>
          <w:iCs w:val="0"/>
          <w:smallCaps/>
        </w:rPr>
        <w:t>4</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（二）2022年重点工作完成情况</w:t>
      </w:r>
      <w:r>
        <w:rPr>
          <w:rFonts w:hint="eastAsia" w:ascii="宋体" w:eastAsia="宋体" w:cs="宋体"/>
          <w:i w:val="0"/>
          <w:iCs w:val="0"/>
          <w:smallCaps/>
        </w:rPr>
        <w:tab/>
      </w:r>
      <w:r>
        <w:rPr>
          <w:rFonts w:hint="eastAsia" w:ascii="宋体" w:eastAsia="宋体" w:cs="宋体"/>
          <w:i w:val="0"/>
          <w:iCs w:val="0"/>
          <w:smallCaps/>
        </w:rPr>
        <w:t>5</w:t>
      </w:r>
    </w:p>
    <w:p>
      <w:pPr>
        <w:pStyle w:val="18"/>
        <w:tabs>
          <w:tab w:val="right" w:leader="dot" w:pos="8296"/>
        </w:tabs>
        <w:ind w:left="0"/>
        <w:rPr>
          <w:rFonts w:ascii="宋体" w:eastAsia="宋体" w:cs="宋体"/>
        </w:rPr>
      </w:pPr>
      <w:r>
        <w:rPr>
          <w:rFonts w:hint="eastAsia" w:ascii="宋体" w:eastAsia="宋体" w:cs="宋体"/>
        </w:rPr>
        <w:t>二、机构设置</w:t>
      </w:r>
      <w:r>
        <w:rPr>
          <w:rFonts w:hint="eastAsia" w:ascii="宋体" w:eastAsia="宋体" w:cs="宋体"/>
        </w:rPr>
        <w:tab/>
      </w:r>
      <w:r>
        <w:rPr>
          <w:rFonts w:hint="eastAsia" w:ascii="宋体" w:eastAsia="宋体" w:cs="宋体"/>
        </w:rPr>
        <w:t>9</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第二部分 2022年度部门决算情况说明</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_Toc79163859 \h </w:instrText>
      </w:r>
      <w:r>
        <w:rPr>
          <w:rFonts w:hint="eastAsia" w:ascii="宋体" w:eastAsia="宋体" w:cs="宋体"/>
          <w:b w:val="0"/>
          <w:bCs w:val="0"/>
          <w:caps w:val="0"/>
          <w:smallCaps/>
        </w:rPr>
        <w:fldChar w:fldCharType="separate"/>
      </w:r>
      <w:r>
        <w:rPr>
          <w:rFonts w:hint="eastAsia" w:ascii="宋体" w:eastAsia="宋体" w:cs="宋体"/>
          <w:b w:val="0"/>
          <w:bCs w:val="0"/>
          <w:caps w:val="0"/>
          <w:smallCaps/>
        </w:rPr>
        <w:t>10</w:t>
      </w:r>
      <w:r>
        <w:rPr>
          <w:rFonts w:hint="eastAsia" w:ascii="宋体" w:eastAsia="宋体" w:cs="宋体"/>
          <w:b w:val="0"/>
          <w:bCs w:val="0"/>
          <w:caps w:val="0"/>
          <w:smallCaps/>
        </w:rPr>
        <w:fldChar w:fldCharType="end"/>
      </w:r>
    </w:p>
    <w:p>
      <w:pPr>
        <w:pStyle w:val="18"/>
        <w:tabs>
          <w:tab w:val="left" w:pos="840"/>
          <w:tab w:val="right" w:leader="dot" w:pos="8296"/>
        </w:tabs>
        <w:ind w:left="0"/>
        <w:rPr>
          <w:rFonts w:ascii="宋体" w:eastAsia="宋体" w:cs="宋体"/>
        </w:rPr>
      </w:pPr>
      <w:r>
        <w:rPr>
          <w:rFonts w:hint="eastAsia" w:ascii="宋体" w:eastAsia="宋体" w:cs="宋体"/>
        </w:rPr>
        <w:t>一、收入支出决算总体情况说明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_Toc79163860 \h </w:instrText>
      </w:r>
      <w:r>
        <w:rPr>
          <w:rFonts w:hint="eastAsia" w:ascii="宋体" w:eastAsia="宋体" w:cs="宋体"/>
        </w:rPr>
        <w:fldChar w:fldCharType="separate"/>
      </w:r>
      <w:r>
        <w:rPr>
          <w:rFonts w:hint="eastAsia" w:ascii="宋体" w:eastAsia="宋体" w:cs="宋体"/>
        </w:rPr>
        <w:t>10</w:t>
      </w:r>
      <w:r>
        <w:rPr>
          <w:rFonts w:hint="eastAsia" w:ascii="宋体" w:eastAsia="宋体" w:cs="宋体"/>
        </w:rPr>
        <w:fldChar w:fldCharType="end"/>
      </w:r>
    </w:p>
    <w:p>
      <w:pPr>
        <w:pStyle w:val="18"/>
        <w:tabs>
          <w:tab w:val="left" w:pos="840"/>
          <w:tab w:val="right" w:leader="dot" w:pos="8296"/>
        </w:tabs>
        <w:ind w:left="0"/>
        <w:rPr>
          <w:rFonts w:ascii="宋体" w:eastAsia="宋体" w:cs="宋体"/>
        </w:rPr>
      </w:pPr>
      <w:r>
        <w:rPr>
          <w:rFonts w:hint="eastAsia" w:ascii="宋体" w:eastAsia="宋体" w:cs="宋体"/>
        </w:rPr>
        <w:t>二、收入决算情况说明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_Toc79163861 \h </w:instrText>
      </w:r>
      <w:r>
        <w:rPr>
          <w:rFonts w:hint="eastAsia" w:ascii="宋体" w:eastAsia="宋体" w:cs="宋体"/>
        </w:rPr>
        <w:fldChar w:fldCharType="separate"/>
      </w:r>
      <w:r>
        <w:rPr>
          <w:rFonts w:hint="eastAsia" w:ascii="宋体" w:eastAsia="宋体" w:cs="宋体"/>
        </w:rPr>
        <w:t>10</w:t>
      </w:r>
      <w:r>
        <w:rPr>
          <w:rFonts w:hint="eastAsia" w:ascii="宋体" w:eastAsia="宋体" w:cs="宋体"/>
        </w:rPr>
        <w:fldChar w:fldCharType="end"/>
      </w:r>
    </w:p>
    <w:p>
      <w:pPr>
        <w:pStyle w:val="18"/>
        <w:tabs>
          <w:tab w:val="left" w:pos="840"/>
          <w:tab w:val="right" w:leader="dot" w:pos="8296"/>
        </w:tabs>
        <w:ind w:left="0"/>
        <w:rPr>
          <w:rFonts w:ascii="宋体" w:eastAsia="宋体" w:cs="宋体"/>
        </w:rPr>
      </w:pPr>
      <w:r>
        <w:rPr>
          <w:rFonts w:hint="eastAsia" w:ascii="宋体" w:eastAsia="宋体" w:cs="宋体"/>
        </w:rPr>
        <w:t>三、支出决算情况说明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_Toc79163862 \h </w:instrText>
      </w:r>
      <w:r>
        <w:rPr>
          <w:rFonts w:hint="eastAsia" w:ascii="宋体" w:eastAsia="宋体" w:cs="宋体"/>
        </w:rPr>
        <w:fldChar w:fldCharType="separate"/>
      </w:r>
      <w:r>
        <w:rPr>
          <w:rFonts w:hint="eastAsia" w:ascii="宋体" w:eastAsia="宋体" w:cs="宋体"/>
        </w:rPr>
        <w:t>11</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四、财政拨款收入支出决算总体情况说明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_Toc79163863 \h </w:instrText>
      </w:r>
      <w:r>
        <w:rPr>
          <w:rFonts w:hint="eastAsia" w:ascii="宋体" w:eastAsia="宋体" w:cs="宋体"/>
        </w:rPr>
        <w:fldChar w:fldCharType="separate"/>
      </w:r>
      <w:r>
        <w:rPr>
          <w:rFonts w:hint="eastAsia" w:ascii="宋体" w:eastAsia="宋体" w:cs="宋体"/>
        </w:rPr>
        <w:t>11</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五、一般公共预算财政拨款支出决算情况说明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_Toc79163864 \h </w:instrText>
      </w:r>
      <w:r>
        <w:rPr>
          <w:rFonts w:hint="eastAsia" w:ascii="宋体" w:eastAsia="宋体" w:cs="宋体"/>
        </w:rPr>
        <w:fldChar w:fldCharType="separate"/>
      </w:r>
      <w:r>
        <w:rPr>
          <w:rFonts w:hint="eastAsia" w:ascii="宋体" w:eastAsia="宋体" w:cs="宋体"/>
        </w:rPr>
        <w:t>12</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（一）一般公共预算财政拨款支出决算总体情况</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_Toc79163865 \h </w:instrText>
      </w:r>
      <w:r>
        <w:rPr>
          <w:rFonts w:hint="eastAsia" w:ascii="宋体" w:eastAsia="宋体" w:cs="宋体"/>
          <w:i w:val="0"/>
          <w:iCs w:val="0"/>
          <w:smallCaps/>
        </w:rPr>
        <w:fldChar w:fldCharType="separate"/>
      </w:r>
      <w:r>
        <w:rPr>
          <w:rFonts w:hint="eastAsia" w:ascii="宋体" w:eastAsia="宋体" w:cs="宋体"/>
          <w:i w:val="0"/>
          <w:iCs w:val="0"/>
          <w:smallCaps/>
        </w:rPr>
        <w:t>12</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（二）一般公共预算财政拨款支出决算结构情况</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_Toc79163866 \h </w:instrText>
      </w:r>
      <w:r>
        <w:rPr>
          <w:rFonts w:hint="eastAsia" w:ascii="宋体" w:eastAsia="宋体" w:cs="宋体"/>
          <w:i w:val="0"/>
          <w:iCs w:val="0"/>
          <w:smallCaps/>
        </w:rPr>
        <w:fldChar w:fldCharType="separate"/>
      </w:r>
      <w:r>
        <w:rPr>
          <w:rFonts w:hint="eastAsia" w:ascii="宋体" w:eastAsia="宋体" w:cs="宋体"/>
          <w:i w:val="0"/>
          <w:iCs w:val="0"/>
          <w:smallCaps/>
        </w:rPr>
        <w:t>13</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（三）一般公共预算财政拨款支出决算具体情况</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_Toc79163867 \h </w:instrText>
      </w:r>
      <w:r>
        <w:rPr>
          <w:rFonts w:hint="eastAsia" w:ascii="宋体" w:eastAsia="宋体" w:cs="宋体"/>
          <w:i w:val="0"/>
          <w:iCs w:val="0"/>
          <w:smallCaps/>
        </w:rPr>
        <w:fldChar w:fldCharType="separate"/>
      </w:r>
      <w:r>
        <w:rPr>
          <w:rFonts w:hint="eastAsia" w:ascii="宋体" w:eastAsia="宋体" w:cs="宋体"/>
          <w:i w:val="0"/>
          <w:iCs w:val="0"/>
          <w:smallCaps/>
        </w:rPr>
        <w:t>14</w:t>
      </w:r>
      <w:r>
        <w:rPr>
          <w:rFonts w:hint="eastAsia" w:ascii="宋体" w:eastAsia="宋体" w:cs="宋体"/>
          <w:i w:val="0"/>
          <w:iCs w:val="0"/>
          <w:smallCaps/>
        </w:rPr>
        <w:fldChar w:fldCharType="end"/>
      </w:r>
    </w:p>
    <w:p>
      <w:pPr>
        <w:pStyle w:val="18"/>
        <w:tabs>
          <w:tab w:val="right" w:leader="dot" w:pos="8296"/>
        </w:tabs>
        <w:ind w:left="0"/>
        <w:rPr>
          <w:rFonts w:ascii="宋体" w:eastAsia="宋体" w:cs="宋体"/>
        </w:rPr>
      </w:pPr>
      <w:r>
        <w:rPr>
          <w:rFonts w:hint="eastAsia" w:ascii="宋体" w:eastAsia="宋体" w:cs="宋体"/>
        </w:rPr>
        <w:t>六、一般公共预算财政拨款基本支出决算情况说明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_Toc79163868 \h </w:instrText>
      </w:r>
      <w:r>
        <w:rPr>
          <w:rFonts w:hint="eastAsia" w:ascii="宋体" w:eastAsia="宋体" w:cs="宋体"/>
        </w:rPr>
        <w:fldChar w:fldCharType="separate"/>
      </w:r>
      <w:r>
        <w:rPr>
          <w:rFonts w:hint="eastAsia" w:ascii="宋体" w:eastAsia="宋体" w:cs="宋体"/>
        </w:rPr>
        <w:t>14</w:t>
      </w:r>
      <w:r>
        <w:rPr>
          <w:rFonts w:hint="eastAsia" w:ascii="宋体" w:eastAsia="宋体" w:cs="宋体"/>
        </w:rPr>
        <w:fldChar w:fldCharType="end"/>
      </w:r>
    </w:p>
    <w:p>
      <w:pPr>
        <w:pStyle w:val="18"/>
        <w:tabs>
          <w:tab w:val="right" w:leader="dot" w:pos="8296"/>
        </w:tabs>
        <w:ind w:left="0"/>
        <w:rPr>
          <w:rFonts w:ascii="宋体" w:eastAsia="宋体" w:cs="宋体"/>
        </w:rPr>
      </w:pPr>
      <w:r>
        <w:rPr>
          <w:rFonts w:hint="eastAsia" w:ascii="宋体" w:eastAsia="宋体" w:cs="宋体"/>
        </w:rPr>
        <w:t>七、“三公”经费财政拨款支出决算情况说明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_Toc79163869 \h </w:instrText>
      </w:r>
      <w:r>
        <w:rPr>
          <w:rFonts w:hint="eastAsia" w:ascii="宋体" w:eastAsia="宋体" w:cs="宋体"/>
        </w:rPr>
        <w:fldChar w:fldCharType="separate"/>
      </w:r>
      <w:r>
        <w:rPr>
          <w:rFonts w:hint="eastAsia" w:ascii="宋体" w:eastAsia="宋体" w:cs="宋体"/>
        </w:rPr>
        <w:t>15</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（一）“三公”经费财政拨款支出决算总体情况说明</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_Toc79163870 \h </w:instrText>
      </w:r>
      <w:r>
        <w:rPr>
          <w:rFonts w:hint="eastAsia" w:ascii="宋体" w:eastAsia="宋体" w:cs="宋体"/>
          <w:i w:val="0"/>
          <w:iCs w:val="0"/>
          <w:smallCaps/>
        </w:rPr>
        <w:fldChar w:fldCharType="separate"/>
      </w:r>
      <w:r>
        <w:rPr>
          <w:rFonts w:hint="eastAsia" w:ascii="宋体" w:eastAsia="宋体" w:cs="宋体"/>
          <w:i w:val="0"/>
          <w:iCs w:val="0"/>
          <w:smallCaps/>
        </w:rPr>
        <w:t>15</w:t>
      </w:r>
      <w:r>
        <w:rPr>
          <w:rFonts w:hint="eastAsia" w:ascii="宋体" w:eastAsia="宋体" w:cs="宋体"/>
          <w:i w:val="0"/>
          <w:iCs w:val="0"/>
          <w:smallCaps/>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（二）“三公”经费财政拨款支出决算具体情况说明</w:t>
      </w:r>
      <w:r>
        <w:rPr>
          <w:rFonts w:hint="eastAsia" w:ascii="宋体" w:eastAsia="宋体" w:cs="宋体"/>
          <w:i w:val="0"/>
          <w:iCs w:val="0"/>
          <w:smallCaps/>
        </w:rPr>
        <w:tab/>
      </w:r>
      <w:r>
        <w:rPr>
          <w:rFonts w:hint="eastAsia" w:ascii="宋体" w:eastAsia="宋体" w:cs="宋体"/>
          <w:i w:val="0"/>
          <w:iCs w:val="0"/>
          <w:smallCaps/>
        </w:rPr>
        <w:fldChar w:fldCharType="begin"/>
      </w:r>
      <w:r>
        <w:rPr>
          <w:rFonts w:hint="eastAsia" w:ascii="宋体" w:eastAsia="宋体" w:cs="宋体"/>
          <w:i w:val="0"/>
          <w:iCs w:val="0"/>
          <w:smallCaps/>
        </w:rPr>
        <w:instrText xml:space="preserve"> PAGEREF _Toc79163871 \h </w:instrText>
      </w:r>
      <w:r>
        <w:rPr>
          <w:rFonts w:hint="eastAsia" w:ascii="宋体" w:eastAsia="宋体" w:cs="宋体"/>
          <w:i w:val="0"/>
          <w:iCs w:val="0"/>
          <w:smallCaps/>
        </w:rPr>
        <w:fldChar w:fldCharType="separate"/>
      </w:r>
      <w:r>
        <w:rPr>
          <w:rFonts w:hint="eastAsia" w:ascii="宋体" w:eastAsia="宋体" w:cs="宋体"/>
          <w:i w:val="0"/>
          <w:iCs w:val="0"/>
          <w:smallCaps/>
        </w:rPr>
        <w:t>15</w:t>
      </w:r>
      <w:r>
        <w:rPr>
          <w:rFonts w:hint="eastAsia" w:ascii="宋体" w:eastAsia="宋体" w:cs="宋体"/>
          <w:i w:val="0"/>
          <w:iCs w:val="0"/>
          <w:smallCaps/>
        </w:rPr>
        <w:fldChar w:fldCharType="end"/>
      </w:r>
    </w:p>
    <w:p>
      <w:pPr>
        <w:pStyle w:val="18"/>
        <w:tabs>
          <w:tab w:val="right" w:leader="dot" w:pos="8296"/>
        </w:tabs>
        <w:ind w:left="0"/>
        <w:rPr>
          <w:rFonts w:ascii="宋体" w:eastAsia="宋体" w:cs="宋体"/>
        </w:rPr>
      </w:pPr>
      <w:r>
        <w:rPr>
          <w:rFonts w:hint="eastAsia" w:ascii="宋体" w:eastAsia="宋体" w:cs="宋体"/>
        </w:rPr>
        <w:t>八、政府性基金预算支出决算情况说明</w:t>
      </w:r>
      <w:r>
        <w:rPr>
          <w:rFonts w:hint="eastAsia" w:ascii="宋体" w:eastAsia="宋体" w:cs="宋体"/>
        </w:rPr>
        <w:tab/>
      </w:r>
      <w:r>
        <w:rPr>
          <w:rFonts w:hint="eastAsia" w:ascii="宋体" w:eastAsia="宋体" w:cs="宋体"/>
        </w:rPr>
        <w:t>16</w:t>
      </w:r>
    </w:p>
    <w:p>
      <w:pPr>
        <w:pStyle w:val="18"/>
        <w:tabs>
          <w:tab w:val="right" w:leader="dot" w:pos="8296"/>
        </w:tabs>
        <w:ind w:left="0"/>
        <w:rPr>
          <w:rFonts w:ascii="宋体" w:eastAsia="宋体" w:cs="宋体"/>
        </w:rPr>
      </w:pPr>
      <w:r>
        <w:rPr>
          <w:rFonts w:hint="eastAsia" w:ascii="宋体" w:eastAsia="宋体" w:cs="宋体"/>
        </w:rPr>
        <w:t>九、 国有资本经营预算支出决算情况说明</w:t>
      </w:r>
      <w:r>
        <w:rPr>
          <w:rFonts w:hint="eastAsia" w:ascii="宋体" w:eastAsia="宋体" w:cs="宋体"/>
        </w:rPr>
        <w:tab/>
      </w:r>
      <w:r>
        <w:rPr>
          <w:rFonts w:hint="eastAsia" w:ascii="宋体" w:eastAsia="宋体" w:cs="宋体"/>
        </w:rPr>
        <w:t>16</w:t>
      </w:r>
    </w:p>
    <w:p>
      <w:pPr>
        <w:pStyle w:val="18"/>
        <w:tabs>
          <w:tab w:val="right" w:leader="dot" w:pos="8296"/>
        </w:tabs>
        <w:ind w:left="0"/>
        <w:rPr>
          <w:rFonts w:ascii="宋体" w:eastAsia="宋体" w:cs="宋体"/>
        </w:rPr>
      </w:pPr>
      <w:r>
        <w:rPr>
          <w:rFonts w:hint="eastAsia" w:ascii="宋体" w:eastAsia="宋体" w:cs="宋体"/>
        </w:rPr>
        <w:t>十、其他重要事项的情况说明</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_Toc79163874 \h </w:instrText>
      </w:r>
      <w:r>
        <w:rPr>
          <w:rFonts w:hint="eastAsia" w:ascii="宋体" w:eastAsia="宋体" w:cs="宋体"/>
        </w:rPr>
        <w:fldChar w:fldCharType="separate"/>
      </w:r>
      <w:r>
        <w:rPr>
          <w:rFonts w:hint="eastAsia" w:ascii="宋体" w:eastAsia="宋体" w:cs="宋体"/>
        </w:rPr>
        <w:t>16</w:t>
      </w:r>
      <w:r>
        <w:rPr>
          <w:rFonts w:hint="eastAsia" w:ascii="宋体" w:eastAsia="宋体" w:cs="宋体"/>
        </w:rPr>
        <w:fldChar w:fldCharType="end"/>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（一）机关运行经费支出情况</w:t>
      </w:r>
      <w:r>
        <w:rPr>
          <w:rFonts w:hint="eastAsia" w:ascii="宋体" w:eastAsia="宋体" w:cs="宋体"/>
          <w:i w:val="0"/>
          <w:iCs w:val="0"/>
          <w:smallCaps/>
        </w:rPr>
        <w:tab/>
      </w:r>
      <w:r>
        <w:rPr>
          <w:rFonts w:hint="eastAsia" w:ascii="宋体" w:eastAsia="宋体" w:cs="宋体"/>
          <w:i w:val="0"/>
          <w:iCs w:val="0"/>
          <w:smallCaps/>
        </w:rPr>
        <w:t>17</w:t>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（二）政府采购支出情况</w:t>
      </w:r>
      <w:r>
        <w:rPr>
          <w:rFonts w:hint="eastAsia" w:ascii="宋体" w:eastAsia="宋体" w:cs="宋体"/>
          <w:i w:val="0"/>
          <w:iCs w:val="0"/>
          <w:smallCaps/>
        </w:rPr>
        <w:tab/>
      </w:r>
      <w:r>
        <w:rPr>
          <w:rFonts w:hint="eastAsia" w:ascii="宋体" w:eastAsia="宋体" w:cs="宋体"/>
          <w:i w:val="0"/>
          <w:iCs w:val="0"/>
          <w:smallCaps/>
        </w:rPr>
        <w:t>17</w:t>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（三）国有资产占有使用情况</w:t>
      </w:r>
      <w:r>
        <w:rPr>
          <w:rFonts w:hint="eastAsia" w:ascii="宋体" w:eastAsia="宋体" w:cs="宋体"/>
          <w:i w:val="0"/>
          <w:iCs w:val="0"/>
          <w:smallCaps/>
        </w:rPr>
        <w:tab/>
      </w:r>
      <w:r>
        <w:rPr>
          <w:rFonts w:hint="eastAsia" w:ascii="宋体" w:eastAsia="宋体" w:cs="宋体"/>
          <w:i w:val="0"/>
          <w:iCs w:val="0"/>
          <w:smallCaps/>
        </w:rPr>
        <w:t>15</w:t>
      </w:r>
    </w:p>
    <w:p>
      <w:pPr>
        <w:pStyle w:val="10"/>
        <w:tabs>
          <w:tab w:val="right" w:leader="dot" w:pos="8296"/>
        </w:tabs>
        <w:ind w:left="0"/>
        <w:rPr>
          <w:rFonts w:ascii="宋体" w:eastAsia="宋体" w:cs="宋体"/>
          <w:i w:val="0"/>
          <w:iCs w:val="0"/>
          <w:smallCaps/>
        </w:rPr>
      </w:pPr>
      <w:r>
        <w:rPr>
          <w:rFonts w:hint="eastAsia" w:ascii="宋体" w:eastAsia="宋体" w:cs="宋体"/>
          <w:i w:val="0"/>
          <w:iCs w:val="0"/>
          <w:smallCaps/>
        </w:rPr>
        <w:t>（四）预算绩效管理情况</w:t>
      </w:r>
      <w:r>
        <w:rPr>
          <w:rFonts w:hint="eastAsia" w:ascii="宋体" w:eastAsia="宋体" w:cs="宋体"/>
          <w:i w:val="0"/>
          <w:iCs w:val="0"/>
          <w:smallCaps/>
        </w:rPr>
        <w:tab/>
      </w:r>
      <w:r>
        <w:rPr>
          <w:rFonts w:hint="eastAsia" w:ascii="宋体" w:eastAsia="宋体" w:cs="宋体"/>
          <w:i w:val="0"/>
          <w:iCs w:val="0"/>
          <w:smallCaps/>
        </w:rPr>
        <w:t>17</w:t>
      </w:r>
    </w:p>
    <w:p>
      <w:pPr>
        <w:pStyle w:val="15"/>
        <w:tabs>
          <w:tab w:val="right" w:leader="dot" w:pos="8296"/>
        </w:tabs>
        <w:spacing w:before="0"/>
        <w:rPr>
          <w:rFonts w:hint="default" w:ascii="宋体" w:eastAsia="宋体" w:cs="宋体"/>
          <w:b w:val="0"/>
          <w:bCs w:val="0"/>
          <w:caps w:val="0"/>
          <w:smallCaps/>
          <w:lang w:val="en-US" w:eastAsia="zh-CN"/>
        </w:rPr>
      </w:pPr>
      <w:r>
        <w:rPr>
          <w:rFonts w:hint="eastAsia" w:ascii="宋体" w:eastAsia="宋体" w:cs="宋体"/>
          <w:b w:val="0"/>
          <w:bCs w:val="0"/>
          <w:caps w:val="0"/>
          <w:smallCaps/>
        </w:rPr>
        <w:t>第三部分 名词解释</w:t>
      </w:r>
      <w:r>
        <w:rPr>
          <w:rFonts w:hint="eastAsia" w:ascii="宋体" w:eastAsia="宋体" w:cs="宋体"/>
          <w:b w:val="0"/>
          <w:bCs w:val="0"/>
          <w:caps w:val="0"/>
          <w:smallCaps/>
        </w:rPr>
        <w:tab/>
      </w:r>
      <w:r>
        <w:rPr>
          <w:rFonts w:hint="eastAsia" w:ascii="宋体" w:eastAsia="宋体" w:cs="宋体"/>
          <w:b w:val="0"/>
          <w:bCs w:val="0"/>
          <w:caps w:val="0"/>
          <w:smallCaps/>
          <w:lang w:val="en-US" w:eastAsia="zh-CN"/>
        </w:rPr>
        <w:t>18</w:t>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第四部分 附件</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_Toc79163880 \h </w:instrText>
      </w:r>
      <w:r>
        <w:rPr>
          <w:rFonts w:hint="eastAsia" w:ascii="宋体" w:eastAsia="宋体" w:cs="宋体"/>
          <w:b w:val="0"/>
          <w:bCs w:val="0"/>
          <w:caps w:val="0"/>
          <w:smallCaps/>
        </w:rPr>
        <w:fldChar w:fldCharType="separate"/>
      </w:r>
      <w:r>
        <w:rPr>
          <w:rFonts w:hint="eastAsia" w:ascii="宋体" w:eastAsia="宋体" w:cs="宋体"/>
          <w:b w:val="0"/>
          <w:bCs w:val="0"/>
          <w:caps w:val="0"/>
          <w:smallCaps/>
        </w:rPr>
        <w:t>21</w:t>
      </w:r>
      <w:r>
        <w:rPr>
          <w:rFonts w:hint="eastAsia" w:ascii="宋体" w:eastAsia="宋体" w:cs="宋体"/>
          <w:b w:val="0"/>
          <w:bCs w:val="0"/>
          <w:caps w:val="0"/>
          <w:smallCaps/>
        </w:rPr>
        <w:fldChar w:fldCharType="end"/>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附件1</w:t>
      </w:r>
      <w:r>
        <w:rPr>
          <w:rFonts w:hint="eastAsia" w:ascii="宋体" w:eastAsia="宋体" w:cs="宋体"/>
          <w:b w:val="0"/>
          <w:bCs w:val="0"/>
          <w:caps w:val="0"/>
          <w:smallCaps/>
        </w:rPr>
        <w:tab/>
      </w:r>
      <w:r>
        <w:rPr>
          <w:rFonts w:hint="eastAsia" w:ascii="宋体" w:eastAsia="宋体" w:cs="宋体"/>
          <w:b w:val="0"/>
          <w:bCs w:val="0"/>
          <w:caps w:val="0"/>
          <w:smallCaps/>
        </w:rPr>
        <w:fldChar w:fldCharType="begin"/>
      </w:r>
      <w:r>
        <w:rPr>
          <w:rFonts w:hint="eastAsia" w:ascii="宋体" w:eastAsia="宋体" w:cs="宋体"/>
          <w:b w:val="0"/>
          <w:bCs w:val="0"/>
          <w:caps w:val="0"/>
          <w:smallCaps/>
        </w:rPr>
        <w:instrText xml:space="preserve"> PAGEREF _Toc79163881 \h </w:instrText>
      </w:r>
      <w:r>
        <w:rPr>
          <w:rFonts w:hint="eastAsia" w:ascii="宋体" w:eastAsia="宋体" w:cs="宋体"/>
          <w:b w:val="0"/>
          <w:bCs w:val="0"/>
          <w:caps w:val="0"/>
          <w:smallCaps/>
        </w:rPr>
        <w:fldChar w:fldCharType="separate"/>
      </w:r>
      <w:r>
        <w:rPr>
          <w:rFonts w:hint="eastAsia" w:ascii="宋体" w:eastAsia="宋体" w:cs="宋体"/>
          <w:b w:val="0"/>
          <w:bCs w:val="0"/>
          <w:caps w:val="0"/>
          <w:smallCaps/>
        </w:rPr>
        <w:t>21</w:t>
      </w:r>
      <w:r>
        <w:rPr>
          <w:rFonts w:hint="eastAsia" w:ascii="宋体" w:eastAsia="宋体" w:cs="宋体"/>
          <w:b w:val="0"/>
          <w:bCs w:val="0"/>
          <w:caps w:val="0"/>
          <w:smallCaps/>
        </w:rPr>
        <w:fldChar w:fldCharType="end"/>
      </w:r>
    </w:p>
    <w:p>
      <w:pPr>
        <w:pStyle w:val="15"/>
        <w:tabs>
          <w:tab w:val="right" w:leader="dot" w:pos="8296"/>
        </w:tabs>
        <w:spacing w:before="0"/>
        <w:rPr>
          <w:rFonts w:ascii="宋体" w:eastAsia="宋体" w:cs="宋体"/>
          <w:b w:val="0"/>
          <w:bCs w:val="0"/>
          <w:caps w:val="0"/>
          <w:smallCaps/>
        </w:rPr>
      </w:pPr>
      <w:r>
        <w:rPr>
          <w:rFonts w:hint="eastAsia" w:ascii="宋体" w:eastAsia="宋体" w:cs="宋体"/>
          <w:b w:val="0"/>
          <w:bCs w:val="0"/>
          <w:caps w:val="0"/>
          <w:smallCaps/>
        </w:rPr>
        <w:t>共青团茂县委员会（本级）2022年部门整体支出绩效评价报告</w:t>
      </w:r>
      <w:r>
        <w:rPr>
          <w:rFonts w:hint="eastAsia" w:ascii="宋体" w:eastAsia="宋体" w:cs="宋体"/>
          <w:b w:val="0"/>
          <w:bCs w:val="0"/>
          <w:caps w:val="0"/>
          <w:smallCaps/>
        </w:rPr>
        <w:tab/>
      </w:r>
      <w:r>
        <w:rPr>
          <w:rFonts w:hint="eastAsia" w:ascii="宋体" w:eastAsia="宋体" w:cs="宋体"/>
          <w:b w:val="0"/>
          <w:bCs w:val="0"/>
          <w:caps w:val="0"/>
          <w:smallCaps/>
        </w:rPr>
        <w:t>23</w:t>
      </w:r>
    </w:p>
    <w:p>
      <w:pPr>
        <w:pStyle w:val="15"/>
        <w:tabs>
          <w:tab w:val="right" w:leader="dot" w:pos="8296"/>
        </w:tabs>
        <w:spacing w:before="0"/>
        <w:rPr>
          <w:rFonts w:hint="default" w:ascii="宋体" w:eastAsia="宋体" w:cs="宋体"/>
          <w:b w:val="0"/>
          <w:bCs w:val="0"/>
          <w:caps w:val="0"/>
          <w:smallCaps/>
          <w:lang w:val="en-US" w:eastAsia="zh-CN"/>
        </w:rPr>
      </w:pPr>
      <w:r>
        <w:rPr>
          <w:rFonts w:hint="eastAsia" w:ascii="宋体" w:eastAsia="宋体" w:cs="宋体"/>
          <w:b w:val="0"/>
          <w:bCs w:val="0"/>
          <w:caps w:val="0"/>
          <w:smallCaps/>
        </w:rPr>
        <w:t>附件2</w:t>
      </w:r>
      <w:r>
        <w:rPr>
          <w:rFonts w:hint="eastAsia" w:ascii="宋体" w:eastAsia="宋体" w:cs="宋体"/>
          <w:b w:val="0"/>
          <w:bCs w:val="0"/>
          <w:caps w:val="0"/>
          <w:smallCaps/>
        </w:rPr>
        <w:tab/>
      </w:r>
      <w:r>
        <w:rPr>
          <w:rFonts w:hint="eastAsia" w:ascii="宋体" w:eastAsia="宋体" w:cs="宋体"/>
          <w:b w:val="0"/>
          <w:bCs w:val="0"/>
          <w:caps w:val="0"/>
          <w:smallCaps/>
          <w:lang w:val="en-US" w:eastAsia="zh-CN"/>
        </w:rPr>
        <w:t>25</w:t>
      </w:r>
    </w:p>
    <w:p>
      <w:pPr>
        <w:pStyle w:val="15"/>
        <w:tabs>
          <w:tab w:val="right" w:leader="dot" w:pos="8296"/>
        </w:tabs>
        <w:spacing w:before="0"/>
        <w:rPr>
          <w:rFonts w:hint="default" w:ascii="宋体" w:eastAsia="宋体" w:cs="宋体"/>
          <w:b w:val="0"/>
          <w:bCs w:val="0"/>
          <w:caps w:val="0"/>
          <w:smallCaps/>
          <w:lang w:val="en-US" w:eastAsia="zh-CN"/>
        </w:rPr>
      </w:pPr>
      <w:r>
        <w:rPr>
          <w:rFonts w:hint="eastAsia" w:ascii="宋体" w:eastAsia="宋体" w:cs="宋体"/>
          <w:b w:val="0"/>
          <w:bCs w:val="0"/>
          <w:caps w:val="0"/>
          <w:smallCaps/>
        </w:rPr>
        <w:t>共青团茂县委员会（本级）2022年部门项目绩效评价报告</w:t>
      </w:r>
      <w:r>
        <w:rPr>
          <w:rFonts w:hint="eastAsia" w:ascii="宋体" w:eastAsia="宋体" w:cs="宋体"/>
          <w:b w:val="0"/>
          <w:bCs w:val="0"/>
          <w:caps w:val="0"/>
          <w:smallCaps/>
        </w:rPr>
        <w:tab/>
      </w:r>
      <w:r>
        <w:rPr>
          <w:rFonts w:hint="eastAsia" w:ascii="宋体" w:eastAsia="宋体" w:cs="宋体"/>
          <w:b w:val="0"/>
          <w:bCs w:val="0"/>
          <w:caps w:val="0"/>
          <w:smallCaps/>
          <w:lang w:val="en-US" w:eastAsia="zh-CN"/>
        </w:rPr>
        <w:t>26</w:t>
      </w:r>
    </w:p>
    <w:p>
      <w:pPr>
        <w:pStyle w:val="15"/>
        <w:tabs>
          <w:tab w:val="right" w:leader="dot" w:pos="8296"/>
        </w:tabs>
        <w:spacing w:before="0"/>
        <w:rPr>
          <w:rFonts w:hint="eastAsia" w:ascii="宋体" w:eastAsia="宋体" w:cs="宋体"/>
          <w:b w:val="0"/>
          <w:bCs w:val="0"/>
          <w:caps w:val="0"/>
          <w:smallCaps/>
          <w:lang w:val="en-US" w:eastAsia="zh-CN"/>
        </w:rPr>
      </w:pPr>
      <w:r>
        <w:rPr>
          <w:rFonts w:hint="eastAsia" w:ascii="宋体" w:eastAsia="宋体" w:cs="宋体"/>
          <w:b w:val="0"/>
          <w:bCs w:val="0"/>
          <w:caps w:val="0"/>
          <w:smallCaps/>
        </w:rPr>
        <w:t>第五部分 附表</w:t>
      </w:r>
      <w:r>
        <w:rPr>
          <w:rFonts w:hint="eastAsia" w:ascii="宋体" w:eastAsia="宋体" w:cs="宋体"/>
          <w:b w:val="0"/>
          <w:bCs w:val="0"/>
          <w:caps w:val="0"/>
          <w:smallCaps/>
        </w:rPr>
        <w:tab/>
      </w:r>
      <w:r>
        <w:rPr>
          <w:rFonts w:hint="eastAsia" w:ascii="宋体" w:eastAsia="宋体" w:cs="宋体"/>
          <w:b w:val="0"/>
          <w:bCs w:val="0"/>
          <w:caps w:val="0"/>
          <w:smallCaps/>
        </w:rPr>
        <w:t>2</w:t>
      </w:r>
      <w:r>
        <w:rPr>
          <w:rFonts w:hint="eastAsia" w:ascii="宋体" w:eastAsia="宋体" w:cs="宋体"/>
          <w:b w:val="0"/>
          <w:bCs w:val="0"/>
          <w:caps w:val="0"/>
          <w:smallCaps/>
          <w:lang w:val="en-US" w:eastAsia="zh-CN"/>
        </w:rPr>
        <w:t>7</w:t>
      </w:r>
    </w:p>
    <w:p>
      <w:pPr>
        <w:pStyle w:val="18"/>
        <w:tabs>
          <w:tab w:val="right" w:leader="dot" w:pos="8296"/>
        </w:tabs>
        <w:ind w:left="0"/>
        <w:rPr>
          <w:rFonts w:ascii="宋体" w:eastAsia="宋体" w:cs="宋体"/>
        </w:rPr>
      </w:pPr>
      <w:r>
        <w:rPr>
          <w:rFonts w:hint="eastAsia" w:ascii="宋体" w:eastAsia="宋体" w:cs="宋体"/>
        </w:rPr>
        <w:t>一、收入支出决算总表</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_Toc79163886 \h </w:instrText>
      </w:r>
      <w:r>
        <w:rPr>
          <w:rFonts w:hint="eastAsia" w:ascii="宋体" w:eastAsia="宋体" w:cs="宋体"/>
        </w:rPr>
        <w:fldChar w:fldCharType="separate"/>
      </w:r>
      <w:r>
        <w:rPr>
          <w:rFonts w:hint="eastAsia" w:ascii="宋体" w:eastAsia="宋体" w:cs="宋体"/>
        </w:rPr>
        <w:t>27</w:t>
      </w:r>
      <w:r>
        <w:rPr>
          <w:rFonts w:hint="eastAsia" w:ascii="宋体" w:eastAsia="宋体" w:cs="宋体"/>
        </w:rPr>
        <w:fldChar w:fldCharType="end"/>
      </w:r>
    </w:p>
    <w:p>
      <w:pPr>
        <w:pStyle w:val="18"/>
        <w:tabs>
          <w:tab w:val="right" w:leader="dot" w:pos="8296"/>
        </w:tabs>
        <w:ind w:left="0"/>
        <w:rPr>
          <w:rFonts w:hint="default" w:ascii="宋体" w:eastAsia="宋体" w:cs="宋体"/>
          <w:lang w:val="en-US" w:eastAsia="zh-CN"/>
        </w:rPr>
      </w:pPr>
      <w:r>
        <w:rPr>
          <w:rFonts w:hint="eastAsia" w:ascii="宋体" w:eastAsia="宋体" w:cs="宋体"/>
        </w:rPr>
        <w:t>二、收入决算表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三、支出决算表</w:t>
      </w:r>
      <w:r>
        <w:rPr>
          <w:rFonts w:hint="eastAsia" w:ascii="宋体" w:eastAsia="宋体" w:cs="宋体"/>
        </w:rPr>
        <w:tab/>
      </w:r>
      <w:r>
        <w:rPr>
          <w:rFonts w:hint="eastAsia" w:ascii="宋体" w:eastAsia="宋体" w:cs="宋体"/>
          <w:lang w:val="en-US" w:eastAsia="zh-CN"/>
        </w:rPr>
        <w:t xml:space="preserve"> 27</w:t>
      </w:r>
    </w:p>
    <w:p>
      <w:pPr>
        <w:pStyle w:val="18"/>
        <w:tabs>
          <w:tab w:val="right" w:leader="dot" w:pos="8296"/>
        </w:tabs>
        <w:ind w:left="0"/>
        <w:rPr>
          <w:rFonts w:hint="eastAsia" w:ascii="宋体" w:eastAsia="宋体" w:cs="宋体"/>
          <w:lang w:val="en-US" w:eastAsia="zh-CN"/>
        </w:rPr>
      </w:pPr>
      <w:r>
        <w:rPr>
          <w:rFonts w:hint="eastAsia" w:ascii="宋体" w:eastAsia="宋体" w:cs="宋体"/>
        </w:rPr>
        <w:t>四、财政拨款收入支出决算总表</w:t>
      </w:r>
      <w:r>
        <w:rPr>
          <w:rFonts w:hint="eastAsia" w:ascii="宋体" w:eastAsia="宋体" w:cs="宋体"/>
        </w:rPr>
        <w:tab/>
      </w:r>
      <w:r>
        <w:rPr>
          <w:rFonts w:hint="eastAsia" w:ascii="宋体" w:eastAsia="宋体" w:cs="宋体"/>
          <w:lang w:val="en-US" w:eastAsia="zh-CN"/>
        </w:rPr>
        <w:t xml:space="preserve">27 </w:t>
      </w:r>
    </w:p>
    <w:p>
      <w:pPr>
        <w:pStyle w:val="18"/>
        <w:tabs>
          <w:tab w:val="right" w:leader="dot" w:pos="8296"/>
        </w:tabs>
        <w:ind w:left="0"/>
        <w:rPr>
          <w:rFonts w:hint="default" w:ascii="宋体" w:eastAsia="宋体" w:cs="宋体"/>
          <w:lang w:val="en-US" w:eastAsia="zh-CN"/>
        </w:rPr>
      </w:pPr>
      <w:r>
        <w:rPr>
          <w:rFonts w:hint="eastAsia" w:ascii="宋体" w:eastAsia="宋体" w:cs="宋体"/>
        </w:rPr>
        <w:t>五、财政拨款支出决算明细表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eastAsia" w:ascii="宋体" w:eastAsia="宋体" w:cs="宋体"/>
          <w:lang w:val="en-US" w:eastAsia="zh-CN"/>
        </w:rPr>
      </w:pPr>
      <w:r>
        <w:rPr>
          <w:rFonts w:hint="eastAsia" w:ascii="宋体" w:eastAsia="宋体" w:cs="宋体"/>
        </w:rPr>
        <w:t>六、一般公共预算财政拨款支出决算表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七、一般公共预算财政拨款支出决算明细表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八、一般公共预算财政拨款基本支出决算表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九、一般公共预算财政拨款项目支出决算表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十、一般公共预算财政拨款“三公”经费支出决算表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十一、政府性基金预算财政拨款收入支出决算表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十二、政府性基金预算财政拨款“三公”经费支出决算表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十三、国有资本经营预算财政拨款支出决算表</w:t>
      </w:r>
      <w:r>
        <w:rPr>
          <w:rFonts w:hint="eastAsia" w:ascii="宋体" w:eastAsia="宋体" w:cs="宋体"/>
        </w:rPr>
        <w:tab/>
      </w:r>
      <w:r>
        <w:rPr>
          <w:rFonts w:hint="eastAsia" w:ascii="宋体" w:eastAsia="宋体" w:cs="宋体"/>
          <w:lang w:val="en-US" w:eastAsia="zh-CN"/>
        </w:rPr>
        <w:t>27</w:t>
      </w:r>
    </w:p>
    <w:p>
      <w:pPr>
        <w:pStyle w:val="18"/>
        <w:tabs>
          <w:tab w:val="right" w:leader="dot" w:pos="8296"/>
        </w:tabs>
        <w:ind w:left="0"/>
        <w:rPr>
          <w:rFonts w:hint="default" w:ascii="宋体" w:eastAsia="宋体" w:cs="宋体"/>
          <w:lang w:val="en-US" w:eastAsia="zh-CN"/>
        </w:rPr>
      </w:pPr>
      <w:r>
        <w:rPr>
          <w:rFonts w:hint="eastAsia" w:ascii="宋体" w:eastAsia="宋体" w:cs="宋体"/>
        </w:rPr>
        <w:t>十四、国有资本经营预算财政拨款支出决算表</w:t>
      </w:r>
      <w:r>
        <w:rPr>
          <w:rFonts w:hint="eastAsia" w:ascii="宋体" w:eastAsia="宋体" w:cs="宋体"/>
        </w:rPr>
        <w:tab/>
      </w:r>
      <w:r>
        <w:rPr>
          <w:rFonts w:hint="eastAsia" w:ascii="宋体" w:eastAsia="宋体" w:cs="宋体"/>
          <w:lang w:val="en-US" w:eastAsia="zh-CN"/>
        </w:rPr>
        <w:t>27</w:t>
      </w:r>
    </w:p>
    <w:p>
      <w:r>
        <w:rPr>
          <w:rFonts w:hint="eastAsia" w:ascii="宋体" w:cs="宋体"/>
          <w:smallCaps/>
          <w:sz w:val="20"/>
          <w:szCs w:val="20"/>
        </w:rPr>
        <w:fldChar w:fldCharType="end"/>
      </w:r>
    </w:p>
    <w:p>
      <w:pPr>
        <w:widowControl/>
        <w:spacing w:line="440" w:lineRule="exact"/>
        <w:jc w:val="left"/>
        <w:rPr>
          <w:rFonts w:ascii="仿宋" w:eastAsia="仿宋"/>
          <w:bCs/>
          <w:kern w:val="44"/>
          <w:sz w:val="24"/>
        </w:rPr>
      </w:pPr>
      <w:bookmarkStart w:id="7" w:name="_Toc15377196"/>
      <w:bookmarkStart w:id="8" w:name="_Toc15396599"/>
      <w:r>
        <w:rPr>
          <w:rFonts w:ascii="仿宋" w:eastAsia="仿宋"/>
          <w:b/>
          <w:sz w:val="24"/>
        </w:rPr>
        <w:br w:type="page"/>
      </w:r>
    </w:p>
    <w:p>
      <w:pPr>
        <w:pStyle w:val="2"/>
        <w:spacing w:after="0" w:line="576" w:lineRule="exact"/>
        <w:jc w:val="center"/>
        <w:rPr>
          <w:rStyle w:val="26"/>
          <w:rFonts w:ascii="方正小标宋简体" w:eastAsia="方正小标宋简体" w:cs="方正小标宋简体"/>
          <w:b/>
          <w:bCs w:val="0"/>
        </w:rPr>
      </w:pPr>
      <w:bookmarkStart w:id="9" w:name="_Toc79163601"/>
      <w:bookmarkStart w:id="10" w:name="_Toc79163851"/>
      <w:r>
        <w:rPr>
          <w:rFonts w:hint="eastAsia" w:ascii="方正小标宋简体" w:eastAsia="方正小标宋简体" w:cs="方正小标宋简体"/>
          <w:b w:val="0"/>
        </w:rPr>
        <w:t xml:space="preserve">第一部分 </w:t>
      </w:r>
      <w:r>
        <w:rPr>
          <w:rStyle w:val="26"/>
          <w:rFonts w:hint="eastAsia" w:ascii="方正小标宋简体" w:eastAsia="方正小标宋简体" w:cs="方正小标宋简体"/>
          <w:b w:val="0"/>
          <w:bCs w:val="0"/>
        </w:rPr>
        <w:t>部门概况</w:t>
      </w:r>
      <w:bookmarkEnd w:id="7"/>
      <w:bookmarkEnd w:id="8"/>
      <w:bookmarkEnd w:id="9"/>
      <w:bookmarkEnd w:id="10"/>
    </w:p>
    <w:p>
      <w:pPr>
        <w:widowControl/>
        <w:spacing w:line="576" w:lineRule="exact"/>
        <w:jc w:val="left"/>
        <w:rPr>
          <w:rFonts w:ascii="黑体" w:eastAsia="黑体"/>
          <w:color w:val="000000"/>
          <w:sz w:val="32"/>
          <w:szCs w:val="32"/>
        </w:rPr>
      </w:pPr>
    </w:p>
    <w:p>
      <w:pPr>
        <w:pStyle w:val="3"/>
        <w:spacing w:after="0" w:line="576" w:lineRule="exact"/>
        <w:ind w:firstLine="640" w:firstLineChars="200"/>
        <w:rPr>
          <w:rStyle w:val="27"/>
          <w:rFonts w:ascii="仿宋" w:eastAsia="仿宋"/>
          <w:b w:val="0"/>
          <w:bCs w:val="0"/>
        </w:rPr>
      </w:pPr>
      <w:bookmarkStart w:id="11" w:name="_Toc15396600"/>
      <w:bookmarkStart w:id="12" w:name="_Toc15377197"/>
      <w:bookmarkStart w:id="13" w:name="_Toc79163852"/>
      <w:bookmarkStart w:id="14" w:name="_Toc79163602"/>
      <w:r>
        <w:rPr>
          <w:rFonts w:hint="eastAsia" w:ascii="黑体" w:eastAsia="黑体"/>
          <w:b w:val="0"/>
          <w:color w:val="000000"/>
        </w:rPr>
        <w:t>一、基</w:t>
      </w:r>
      <w:r>
        <w:rPr>
          <w:rStyle w:val="27"/>
          <w:rFonts w:hint="eastAsia" w:ascii="黑体" w:eastAsia="黑体"/>
          <w:b w:val="0"/>
          <w:bCs w:val="0"/>
        </w:rPr>
        <w:t>本职能及主要工作</w:t>
      </w:r>
      <w:bookmarkEnd w:id="11"/>
      <w:bookmarkEnd w:id="12"/>
      <w:bookmarkEnd w:id="13"/>
      <w:bookmarkEnd w:id="14"/>
    </w:p>
    <w:p>
      <w:pPr>
        <w:widowControl/>
        <w:adjustRightInd w:val="0"/>
        <w:snapToGrid w:val="0"/>
        <w:spacing w:line="576" w:lineRule="atLeast"/>
        <w:ind w:firstLine="643" w:firstLineChars="200"/>
        <w:rPr>
          <w:rFonts w:ascii="楷体_GB2312" w:eastAsia="楷体_GB2312" w:cs="楷体_GB2312"/>
          <w:b/>
          <w:color w:val="000000"/>
          <w:sz w:val="32"/>
          <w:szCs w:val="32"/>
        </w:rPr>
      </w:pPr>
      <w:bookmarkStart w:id="15" w:name="_Toc79163853"/>
      <w:bookmarkStart w:id="16" w:name="_Toc79163603"/>
      <w:bookmarkStart w:id="17" w:name="_Toc15377198"/>
      <w:bookmarkStart w:id="18" w:name="_Toc15378445"/>
      <w:r>
        <w:rPr>
          <w:rFonts w:hint="eastAsia" w:ascii="楷体_GB2312" w:eastAsia="楷体_GB2312" w:cs="楷体_GB2312"/>
          <w:b/>
          <w:color w:val="000000"/>
          <w:sz w:val="32"/>
          <w:szCs w:val="32"/>
        </w:rPr>
        <w:t>（一）主要职能</w:t>
      </w:r>
      <w:bookmarkEnd w:id="15"/>
      <w:bookmarkEnd w:id="16"/>
    </w:p>
    <w:bookmarkEnd w:id="17"/>
    <w:bookmarkEnd w:id="18"/>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bookmarkStart w:id="19" w:name="_Toc15377199"/>
      <w:bookmarkStart w:id="20" w:name="_Toc79163604"/>
      <w:bookmarkStart w:id="21" w:name="_Toc15378446"/>
      <w:bookmarkStart w:id="22" w:name="_Toc79163854"/>
      <w:r>
        <w:rPr>
          <w:rFonts w:hint="eastAsia" w:ascii="仿宋_GB2312" w:eastAsia="仿宋_GB2312" w:cs="仿宋_GB2312"/>
          <w:bCs/>
          <w:color w:val="000000"/>
          <w:kern w:val="0"/>
          <w:sz w:val="32"/>
          <w:szCs w:val="32"/>
          <w:lang w:val="zh-CN"/>
        </w:rPr>
        <w:t>1.完成县委和上级团委的工作部署和要求，结合我委实际，制定团的工作计划；定期召开各级团委会议，听取各团总支工作汇报和情况反映，布置、研讨和检查团的工作。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5.维护青少年的正当权益。</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6.指导乡镇团体开展工作。依据上级有关规定，负责全县团员团费的收缴、管理和使用。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7.配合县委抓好青少年党建工作，做好优秀团员入党的推荐工作。</w:t>
      </w:r>
    </w:p>
    <w:p>
      <w:pPr>
        <w:widowControl/>
        <w:adjustRightInd w:val="0"/>
        <w:snapToGrid w:val="0"/>
        <w:spacing w:line="576" w:lineRule="atLeast"/>
        <w:ind w:firstLine="643"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（二）2022年重点工作完成情况</w:t>
      </w:r>
      <w:bookmarkEnd w:id="19"/>
      <w:bookmarkEnd w:id="20"/>
      <w:bookmarkEnd w:id="21"/>
      <w:bookmarkEnd w:id="22"/>
    </w:p>
    <w:p>
      <w:pPr>
        <w:spacing w:line="570" w:lineRule="exact"/>
        <w:ind w:firstLine="640" w:firstLineChars="200"/>
        <w:rPr>
          <w:rFonts w:ascii="仿宋_GB2312" w:hAnsi="黑体" w:eastAsia="仿宋_GB2312" w:cs="黑体"/>
          <w:sz w:val="32"/>
          <w:szCs w:val="32"/>
        </w:rPr>
      </w:pPr>
      <w:bookmarkStart w:id="23" w:name="_Toc15396601"/>
      <w:bookmarkStart w:id="24" w:name="_Toc79163605"/>
      <w:bookmarkStart w:id="25" w:name="_Toc15377200"/>
      <w:bookmarkStart w:id="26" w:name="_Toc79163855"/>
      <w:r>
        <w:rPr>
          <w:rFonts w:hint="eastAsia" w:ascii="仿宋_GB2312" w:hAnsi="黑体" w:eastAsia="仿宋_GB2312" w:cs="黑体"/>
          <w:sz w:val="32"/>
          <w:szCs w:val="32"/>
        </w:rPr>
        <w:t>1、抓思想政治引领，切实做好宣传思想文化工作</w:t>
      </w:r>
    </w:p>
    <w:p>
      <w:pPr>
        <w:spacing w:line="570" w:lineRule="exact"/>
        <w:ind w:firstLine="640" w:firstLineChars="200"/>
        <w:rPr>
          <w:rFonts w:ascii="仿宋" w:hAnsi="仿宋" w:eastAsia="仿宋" w:cs="仿宋"/>
          <w:sz w:val="32"/>
          <w:szCs w:val="32"/>
        </w:rPr>
      </w:pPr>
      <w:r>
        <w:rPr>
          <w:rFonts w:hint="eastAsia" w:ascii="仿宋_GB2312" w:hAnsi="楷体" w:eastAsia="仿宋_GB2312" w:cs="楷体"/>
          <w:bCs/>
          <w:kern w:val="0"/>
          <w:sz w:val="32"/>
          <w:szCs w:val="32"/>
        </w:rPr>
        <w:t>（1）</w:t>
      </w:r>
      <w:r>
        <w:rPr>
          <w:rFonts w:hint="eastAsia" w:ascii="仿宋_GB2312" w:hAnsi="楷体" w:eastAsia="仿宋_GB2312" w:cs="楷体"/>
          <w:bCs/>
          <w:color w:val="333333"/>
          <w:kern w:val="0"/>
          <w:sz w:val="32"/>
          <w:szCs w:val="32"/>
        </w:rPr>
        <w:t>深化青年团员思想信念教育。</w:t>
      </w:r>
      <w:r>
        <w:rPr>
          <w:rFonts w:hint="eastAsia" w:ascii="仿宋_GB2312" w:hAnsi="仿宋" w:eastAsia="仿宋_GB2312" w:cs="仿宋"/>
          <w:sz w:val="32"/>
          <w:szCs w:val="32"/>
        </w:rPr>
        <w:t>始终坚持把青少年思想教育作为首要的政治任务，以网上主题“青年大学习”为抓手，以迎接和学习</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二十大为主线，结合庆祝建团</w:t>
      </w:r>
      <w:r>
        <w:rPr>
          <w:rFonts w:hint="eastAsia" w:ascii="仿宋_GB2312" w:eastAsia="仿宋_GB2312"/>
          <w:sz w:val="32"/>
          <w:szCs w:val="32"/>
        </w:rPr>
        <w:t>100</w:t>
      </w:r>
      <w:r>
        <w:rPr>
          <w:rFonts w:hint="eastAsia" w:ascii="仿宋_GB2312" w:hAnsi="仿宋" w:eastAsia="仿宋_GB2312" w:cs="仿宋"/>
          <w:sz w:val="32"/>
          <w:szCs w:val="32"/>
        </w:rPr>
        <w:t>周年，引导广大青年团员深入学习</w:t>
      </w:r>
      <w:r>
        <w:rPr>
          <w:rFonts w:hint="eastAsia" w:ascii="仿宋_GB2312" w:hAnsi="仿宋" w:eastAsia="仿宋_GB2312" w:cs="仿宋"/>
          <w:sz w:val="32"/>
          <w:szCs w:val="32"/>
          <w:lang w:eastAsia="zh-CN"/>
        </w:rPr>
        <w:t>中央的</w:t>
      </w:r>
      <w:r>
        <w:rPr>
          <w:rFonts w:hint="eastAsia" w:ascii="仿宋_GB2312" w:hAnsi="仿宋" w:eastAsia="仿宋_GB2312" w:cs="仿宋"/>
          <w:sz w:val="32"/>
          <w:szCs w:val="32"/>
        </w:rPr>
        <w:t>十九届六中全会精神、党的二十大精神，学习习近平总书记重要讲话精神，学习党的青年运动史，学习贯彻省第十二次党代会精神，增强广大青年团员的政治意识、大局意识和看齐意识，使青年团员在思想上认同，工作中奋进。</w:t>
      </w:r>
    </w:p>
    <w:p>
      <w:pPr>
        <w:spacing w:line="570" w:lineRule="exact"/>
        <w:ind w:firstLine="640" w:firstLineChars="200"/>
        <w:rPr>
          <w:rFonts w:ascii="仿宋_GB2312" w:eastAsia="仿宋_GB2312"/>
        </w:rPr>
      </w:pPr>
      <w:r>
        <w:rPr>
          <w:rFonts w:hint="eastAsia" w:ascii="仿宋_GB2312" w:hAnsi="黑体" w:eastAsia="仿宋_GB2312" w:cs="黑体"/>
          <w:sz w:val="32"/>
          <w:szCs w:val="32"/>
        </w:rPr>
        <w:t>(2)开展“喜迎</w:t>
      </w:r>
      <w:r>
        <w:rPr>
          <w:rFonts w:hint="eastAsia" w:ascii="仿宋_GB2312" w:hAnsi="黑体" w:eastAsia="仿宋_GB2312" w:cs="黑体"/>
          <w:sz w:val="32"/>
          <w:szCs w:val="32"/>
          <w:lang w:eastAsia="zh-CN"/>
        </w:rPr>
        <w:t>党的</w:t>
      </w:r>
      <w:r>
        <w:rPr>
          <w:rFonts w:hint="eastAsia" w:ascii="仿宋_GB2312" w:hAnsi="黑体" w:eastAsia="仿宋_GB2312" w:cs="黑体"/>
          <w:sz w:val="32"/>
          <w:szCs w:val="32"/>
        </w:rPr>
        <w:t>二十大、永远跟党走、奋进新征程”主题教育实践活动。</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二十大、永远跟党走、奋进新征程”主题团、队日活动，从源头培养少先队员的光荣感和组织归属感。二</w:t>
      </w:r>
      <w:r>
        <w:rPr>
          <w:rFonts w:hint="eastAsia" w:ascii="仿宋_GB2312" w:hAnsi="仿宋" w:eastAsia="仿宋_GB2312" w:cs="仿宋"/>
          <w:b/>
          <w:bCs/>
          <w:sz w:val="32"/>
          <w:szCs w:val="32"/>
        </w:rPr>
        <w:t>是</w:t>
      </w:r>
      <w:r>
        <w:rPr>
          <w:rFonts w:hint="eastAsia" w:ascii="仿宋_GB2312" w:hAnsi="仿宋" w:eastAsia="仿宋_GB2312" w:cs="仿宋"/>
          <w:sz w:val="32"/>
          <w:szCs w:val="32"/>
        </w:rPr>
        <w:t>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二十大、永远跟党走、奋进新征程”主题演讲比赛，充分展示新时代青少年奋发进取的精神风貌。三</w:t>
      </w:r>
      <w:r>
        <w:rPr>
          <w:rFonts w:hint="eastAsia" w:ascii="仿宋_GB2312" w:hAnsi="仿宋" w:eastAsia="仿宋_GB2312" w:cs="仿宋"/>
          <w:b/>
          <w:bCs/>
          <w:sz w:val="32"/>
          <w:szCs w:val="32"/>
        </w:rPr>
        <w:t>是</w:t>
      </w:r>
      <w:r>
        <w:rPr>
          <w:rFonts w:hint="eastAsia" w:ascii="仿宋_GB2312" w:hAnsi="仿宋" w:eastAsia="仿宋_GB2312" w:cs="仿宋"/>
          <w:sz w:val="32"/>
          <w:szCs w:val="32"/>
        </w:rPr>
        <w:t>聚焦“文明城市创建”、“疫情防控”、“控烟专项行动”等内容，开展“喜迎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 奋进新征程”爱国卫生运动作品征集活动。</w:t>
      </w:r>
      <w:r>
        <w:rPr>
          <w:rFonts w:hint="eastAsia" w:ascii="仿宋_GB2312" w:hAnsi="仿宋" w:eastAsia="仿宋_GB2312" w:cs="仿宋"/>
          <w:b/>
          <w:bCs/>
          <w:sz w:val="32"/>
          <w:szCs w:val="32"/>
        </w:rPr>
        <w:t>四是</w:t>
      </w:r>
      <w:r>
        <w:rPr>
          <w:rFonts w:hint="eastAsia" w:ascii="仿宋_GB2312" w:hAnsi="仿宋" w:eastAsia="仿宋_GB2312" w:cs="仿宋"/>
          <w:sz w:val="32"/>
          <w:szCs w:val="32"/>
        </w:rPr>
        <w:t>推出微视频《青春是什么》，以青春之声，致敬建团百年征程。</w:t>
      </w:r>
      <w:r>
        <w:rPr>
          <w:rFonts w:hint="eastAsia" w:ascii="仿宋_GB2312" w:hAnsi="仿宋" w:eastAsia="仿宋_GB2312" w:cs="仿宋"/>
          <w:b/>
          <w:bCs/>
          <w:sz w:val="32"/>
          <w:szCs w:val="32"/>
        </w:rPr>
        <w:t>五是</w:t>
      </w:r>
      <w:r>
        <w:rPr>
          <w:rFonts w:hint="eastAsia" w:ascii="仿宋_GB2312" w:hAnsi="仿宋" w:eastAsia="仿宋_GB2312" w:cs="仿宋"/>
          <w:sz w:val="32"/>
          <w:szCs w:val="32"/>
        </w:rPr>
        <w:t>组织各级团组织开展“党的青年运动史”专题学习，激励青年不忘初心跟党走、踔厉奋发向未来。</w:t>
      </w:r>
      <w:r>
        <w:rPr>
          <w:rFonts w:hint="eastAsia" w:ascii="仿宋_GB2312" w:hAnsi="仿宋" w:eastAsia="仿宋_GB2312" w:cs="仿宋"/>
          <w:b/>
          <w:bCs/>
          <w:sz w:val="32"/>
          <w:szCs w:val="32"/>
        </w:rPr>
        <w:t>六是</w:t>
      </w:r>
      <w:r>
        <w:rPr>
          <w:rFonts w:hint="eastAsia" w:ascii="仿宋_GB2312" w:hAnsi="仿宋" w:eastAsia="仿宋_GB2312" w:cs="仿宋"/>
          <w:sz w:val="32"/>
          <w:szCs w:val="32"/>
        </w:rPr>
        <w:t>强化榜样力量示范。在“五四”“10.13”建队日期间开展“两红两优”“三优”等各类评选表扬活动，激励广大青少年见贤思齐，把对先进典型的敬仰和感动转化为勤学上进、干事创业、青春建功的实际行动。</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（3）主动加强新媒体阵地建设。建</w:t>
      </w:r>
      <w:r>
        <w:rPr>
          <w:rFonts w:hint="eastAsia" w:ascii="仿宋_GB2312" w:hAnsi="仿宋" w:eastAsia="仿宋_GB2312" w:cs="仿宋"/>
          <w:sz w:val="32"/>
          <w:szCs w:val="32"/>
        </w:rPr>
        <w:t>强用好“青春茂县”微信、微博等新媒体阵地，利用团属新媒体平台，扩大共青团线上影响力，使正能量、主旋律在青年中得到更好的传承和弘扬。一年来累计发布团</w:t>
      </w:r>
      <w:r>
        <w:rPr>
          <w:rFonts w:hint="eastAsia" w:ascii="仿宋_GB2312" w:hAnsi="仿宋" w:eastAsia="仿宋_GB2312" w:cs="仿宋"/>
          <w:sz w:val="32"/>
          <w:szCs w:val="32"/>
          <w:lang w:eastAsia="zh-CN"/>
        </w:rPr>
        <w:t>委</w:t>
      </w:r>
      <w:r>
        <w:rPr>
          <w:rFonts w:hint="eastAsia" w:ascii="仿宋_GB2312" w:hAnsi="仿宋" w:eastAsia="仿宋_GB2312" w:cs="仿宋"/>
          <w:sz w:val="32"/>
          <w:szCs w:val="32"/>
        </w:rPr>
        <w:t>动态、助学政策、疫情防控知识等</w:t>
      </w:r>
      <w:r>
        <w:rPr>
          <w:rFonts w:hint="eastAsia" w:ascii="仿宋_GB2312" w:eastAsia="仿宋_GB2312"/>
          <w:sz w:val="32"/>
          <w:szCs w:val="32"/>
        </w:rPr>
        <w:t>130</w:t>
      </w:r>
      <w:r>
        <w:rPr>
          <w:rFonts w:hint="eastAsia" w:ascii="仿宋_GB2312" w:hAnsi="仿宋" w:eastAsia="仿宋_GB2312" w:cs="仿宋"/>
          <w:sz w:val="32"/>
          <w:szCs w:val="32"/>
        </w:rPr>
        <w:t>条，总阅读量</w:t>
      </w:r>
      <w:r>
        <w:rPr>
          <w:rFonts w:hint="eastAsia" w:ascii="仿宋_GB2312" w:eastAsia="仿宋_GB2312" w:cs="仿宋"/>
          <w:sz w:val="32"/>
          <w:szCs w:val="32"/>
        </w:rPr>
        <w:t>49639</w:t>
      </w:r>
      <w:r>
        <w:rPr>
          <w:rFonts w:hint="eastAsia" w:ascii="仿宋_GB2312" w:hAnsi="仿宋" w:eastAsia="仿宋_GB2312" w:cs="仿宋"/>
          <w:sz w:val="32"/>
          <w:szCs w:val="32"/>
        </w:rPr>
        <w:t>人次。</w:t>
      </w:r>
    </w:p>
    <w:p>
      <w:pPr>
        <w:spacing w:line="57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2、抓组织建设引领，全力推进基层组织规范化建设</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（1）召开共青团茂县第十一次代表大会。</w:t>
      </w:r>
      <w:r>
        <w:rPr>
          <w:rFonts w:hint="eastAsia" w:ascii="仿宋_GB2312" w:eastAsia="仿宋_GB2312" w:cs="仿宋"/>
          <w:sz w:val="32"/>
          <w:szCs w:val="32"/>
        </w:rPr>
        <w:t>1</w:t>
      </w:r>
      <w:r>
        <w:rPr>
          <w:rFonts w:hint="eastAsia" w:ascii="仿宋_GB2312" w:hAnsi="仿宋" w:eastAsia="仿宋_GB2312" w:cs="仿宋"/>
          <w:sz w:val="32"/>
          <w:szCs w:val="32"/>
        </w:rPr>
        <w:t>月，召开共青团茂县第十一次代表大会，来自全县各行各业的</w:t>
      </w:r>
      <w:r>
        <w:rPr>
          <w:rFonts w:hint="eastAsia" w:ascii="仿宋_GB2312" w:eastAsia="仿宋_GB2312" w:cs="仿宋"/>
          <w:sz w:val="32"/>
          <w:szCs w:val="32"/>
        </w:rPr>
        <w:t>101</w:t>
      </w:r>
      <w:r>
        <w:rPr>
          <w:rFonts w:hint="eastAsia" w:ascii="仿宋_GB2312" w:hAnsi="仿宋" w:eastAsia="仿宋_GB2312" w:cs="仿宋"/>
          <w:sz w:val="32"/>
          <w:szCs w:val="32"/>
        </w:rPr>
        <w:t>名优秀青年代表齐聚一堂，大会听取审议了《共青团茂县第十届委员会作工作报告》，大会选举产生了共青团茂县第十一届委员会，夯实了团的组织力、引领力、服务力。</w:t>
      </w:r>
    </w:p>
    <w:p>
      <w:pPr>
        <w:spacing w:line="570" w:lineRule="exact"/>
        <w:ind w:firstLine="640" w:firstLineChars="200"/>
        <w:rPr>
          <w:rFonts w:ascii="仿宋" w:hAnsi="仿宋" w:eastAsia="仿宋" w:cs="仿宋"/>
          <w:sz w:val="32"/>
          <w:szCs w:val="32"/>
        </w:rPr>
      </w:pPr>
      <w:r>
        <w:rPr>
          <w:rFonts w:hint="eastAsia" w:ascii="仿宋_GB2312" w:hAnsi="黑体" w:eastAsia="仿宋_GB2312" w:cs="黑体"/>
          <w:sz w:val="32"/>
          <w:szCs w:val="32"/>
        </w:rPr>
        <w:t>（2）夯实团组织基础工作。</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落实全面从严治团要求，严把团员发展入口关。严格按照发展计划，坚决杜绝不合规发展团员现象和未满</w:t>
      </w:r>
      <w:r>
        <w:rPr>
          <w:rFonts w:hint="eastAsia" w:ascii="仿宋_GB2312" w:eastAsia="仿宋_GB2312" w:cs="仿宋"/>
          <w:sz w:val="32"/>
          <w:szCs w:val="32"/>
        </w:rPr>
        <w:t>14</w:t>
      </w:r>
      <w:r>
        <w:rPr>
          <w:rFonts w:hint="eastAsia" w:ascii="仿宋_GB2312" w:hAnsi="仿宋" w:eastAsia="仿宋_GB2312" w:cs="仿宋"/>
          <w:sz w:val="32"/>
          <w:szCs w:val="32"/>
        </w:rPr>
        <w:t>周岁入团情况，从根本上提高团员质量控制团学比，一年来新发展团员</w:t>
      </w:r>
      <w:r>
        <w:rPr>
          <w:rFonts w:hint="eastAsia" w:ascii="仿宋_GB2312" w:eastAsia="仿宋_GB2312" w:cs="仿宋"/>
          <w:sz w:val="32"/>
          <w:szCs w:val="32"/>
        </w:rPr>
        <w:t>191</w:t>
      </w:r>
      <w:r>
        <w:rPr>
          <w:rFonts w:hint="eastAsia" w:ascii="仿宋_GB2312" w:hAnsi="仿宋" w:eastAsia="仿宋_GB2312" w:cs="仿宋"/>
          <w:sz w:val="32"/>
          <w:szCs w:val="32"/>
        </w:rPr>
        <w:t>名。</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开展团员核查工作，抓实“智慧团建”系统平台，扎实做好新发展团员录入、团组织关系转接等。</w:t>
      </w:r>
      <w:r>
        <w:rPr>
          <w:rFonts w:hint="eastAsia" w:ascii="仿宋_GB2312" w:hAnsi="仿宋" w:eastAsia="仿宋_GB2312" w:cs="仿宋"/>
          <w:b/>
          <w:bCs/>
          <w:sz w:val="32"/>
          <w:szCs w:val="32"/>
        </w:rPr>
        <w:t>三是</w:t>
      </w:r>
      <w:r>
        <w:rPr>
          <w:rFonts w:hint="eastAsia" w:ascii="仿宋_GB2312" w:hAnsi="仿宋" w:eastAsia="仿宋_GB2312"/>
          <w:sz w:val="32"/>
          <w:szCs w:val="32"/>
        </w:rPr>
        <w:t>开展“四比四抓四促进”专项行动，显著提升全县各级团干部政治素养和团组织引领凝聚青年、组织动员青年、联系服务青年的能力水平。</w:t>
      </w:r>
      <w:r>
        <w:rPr>
          <w:rFonts w:hint="eastAsia" w:ascii="仿宋_GB2312" w:hAnsi="仿宋" w:eastAsia="仿宋_GB2312" w:cs="仿宋"/>
          <w:b/>
          <w:bCs/>
          <w:sz w:val="32"/>
          <w:szCs w:val="32"/>
        </w:rPr>
        <w:t>四是</w:t>
      </w:r>
      <w:r>
        <w:rPr>
          <w:rFonts w:hint="eastAsia" w:ascii="仿宋_GB2312" w:hAnsi="仿宋" w:eastAsia="仿宋_GB2312" w:cs="仿宋"/>
          <w:sz w:val="32"/>
          <w:szCs w:val="32"/>
        </w:rPr>
        <w:t>积极开展优秀申报，激励广大团组织和青年团员主动作为、再创佳绩，团县委书记获四川省优秀共青团干部称号、雪花井社区团支部获四川省五四红旗团支部称号，</w:t>
      </w:r>
      <w:r>
        <w:rPr>
          <w:rFonts w:hint="eastAsia" w:ascii="仿宋_GB2312" w:eastAsia="仿宋_GB2312" w:cs="仿宋"/>
          <w:sz w:val="32"/>
          <w:szCs w:val="32"/>
        </w:rPr>
        <w:t>2</w:t>
      </w:r>
      <w:r>
        <w:rPr>
          <w:rFonts w:hint="eastAsia" w:ascii="仿宋_GB2312" w:hAnsi="仿宋" w:eastAsia="仿宋_GB2312" w:cs="仿宋"/>
          <w:sz w:val="32"/>
          <w:szCs w:val="32"/>
        </w:rPr>
        <w:t>名个人、</w:t>
      </w:r>
      <w:r>
        <w:rPr>
          <w:rFonts w:hint="eastAsia" w:ascii="仿宋_GB2312" w:eastAsia="仿宋_GB2312" w:cs="仿宋"/>
          <w:sz w:val="32"/>
          <w:szCs w:val="32"/>
        </w:rPr>
        <w:t>2</w:t>
      </w:r>
      <w:r>
        <w:rPr>
          <w:rFonts w:hint="eastAsia" w:ascii="仿宋_GB2312" w:hAnsi="仿宋" w:eastAsia="仿宋_GB2312" w:cs="仿宋"/>
          <w:sz w:val="32"/>
          <w:szCs w:val="32"/>
        </w:rPr>
        <w:t>个基层团组织获州级表扬。</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（3）深入推进少先队工作。</w:t>
      </w:r>
      <w:r>
        <w:rPr>
          <w:rFonts w:hint="eastAsia" w:ascii="仿宋_GB2312" w:hAnsi="仿宋" w:eastAsia="仿宋_GB2312" w:cs="仿宋"/>
          <w:sz w:val="32"/>
          <w:szCs w:val="32"/>
        </w:rPr>
        <w:t>认真履行“全团带队”责任，全面提升我县少先队工作整体水平。</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积极组织少先队组织利用开学第一课、开学典礼、学雷锋纪念日、清明祭先烈等重要活动契机，积极开展“喜迎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 永远跟党走 奋进新征程”</w:t>
      </w:r>
      <w:r>
        <w:rPr>
          <w:rFonts w:hint="eastAsia" w:ascii="仿宋_GB2312" w:hAnsi="仿宋" w:eastAsia="仿宋_GB2312" w:cs="仿宋"/>
          <w:sz w:val="32"/>
          <w:szCs w:val="32"/>
          <w:lang w:eastAsia="zh-CN"/>
        </w:rPr>
        <w:t>主题教育</w:t>
      </w:r>
      <w:r>
        <w:rPr>
          <w:rFonts w:hint="eastAsia" w:ascii="仿宋_GB2312" w:hAnsi="仿宋" w:eastAsia="仿宋_GB2312" w:cs="仿宋"/>
          <w:sz w:val="32"/>
          <w:szCs w:val="32"/>
        </w:rPr>
        <w:t>，引领新时代青少年“扣好人生第一粒扣子”。</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进一步加强校外少工委建设，建立雪花井社区少工委，并组织开展兴趣课程活动；</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积极开展优秀申报，</w:t>
      </w:r>
      <w:r>
        <w:rPr>
          <w:rFonts w:hint="eastAsia" w:ascii="仿宋_GB2312" w:eastAsia="仿宋_GB2312" w:cs="仿宋"/>
          <w:sz w:val="32"/>
          <w:szCs w:val="32"/>
        </w:rPr>
        <w:t>2</w:t>
      </w:r>
      <w:r>
        <w:rPr>
          <w:rFonts w:hint="eastAsia" w:ascii="仿宋_GB2312" w:hAnsi="仿宋" w:eastAsia="仿宋_GB2312" w:cs="仿宋"/>
          <w:sz w:val="32"/>
          <w:szCs w:val="32"/>
        </w:rPr>
        <w:t>名优秀少先队员和</w:t>
      </w:r>
      <w:r>
        <w:rPr>
          <w:rFonts w:hint="eastAsia" w:ascii="仿宋_GB2312" w:eastAsia="仿宋_GB2312" w:cs="仿宋"/>
          <w:sz w:val="32"/>
          <w:szCs w:val="32"/>
        </w:rPr>
        <w:t>1</w:t>
      </w:r>
      <w:r>
        <w:rPr>
          <w:rFonts w:hint="eastAsia" w:ascii="仿宋_GB2312" w:hAnsi="仿宋" w:eastAsia="仿宋_GB2312" w:cs="仿宋"/>
          <w:sz w:val="32"/>
          <w:szCs w:val="32"/>
        </w:rPr>
        <w:t>名少先队大队辅导员荣获“四川省优秀少先队员”“四川省优秀少先队辅导员”称号。</w:t>
      </w:r>
      <w:r>
        <w:rPr>
          <w:rFonts w:hint="eastAsia" w:ascii="仿宋_GB2312" w:eastAsia="仿宋_GB2312" w:cs="仿宋"/>
          <w:sz w:val="32"/>
          <w:szCs w:val="32"/>
        </w:rPr>
        <w:t>16</w:t>
      </w:r>
      <w:r>
        <w:rPr>
          <w:rFonts w:hint="eastAsia" w:ascii="仿宋_GB2312" w:hAnsi="仿宋" w:eastAsia="仿宋_GB2312" w:cs="仿宋"/>
          <w:sz w:val="32"/>
          <w:szCs w:val="32"/>
        </w:rPr>
        <w:t>名红领巾讲解员、</w:t>
      </w:r>
      <w:r>
        <w:rPr>
          <w:rFonts w:hint="eastAsia" w:ascii="仿宋_GB2312" w:eastAsia="仿宋_GB2312" w:cs="仿宋"/>
          <w:sz w:val="32"/>
          <w:szCs w:val="32"/>
        </w:rPr>
        <w:t>10</w:t>
      </w:r>
      <w:r>
        <w:rPr>
          <w:rFonts w:hint="eastAsia" w:ascii="仿宋_GB2312" w:hAnsi="仿宋" w:eastAsia="仿宋_GB2312" w:cs="仿宋"/>
          <w:sz w:val="32"/>
          <w:szCs w:val="32"/>
        </w:rPr>
        <w:t>名指导教师获得州级表扬；少先队茂县工作委员会获得阿坝州优秀县级少工委称号。</w:t>
      </w:r>
    </w:p>
    <w:p>
      <w:pPr>
        <w:spacing w:line="57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 xml:space="preserve">3、抓青年服务引领，大力提升团组织凝聚青年能力   </w:t>
      </w:r>
    </w:p>
    <w:p>
      <w:pPr>
        <w:spacing w:line="570" w:lineRule="exact"/>
        <w:ind w:firstLine="640" w:firstLineChars="200"/>
        <w:rPr>
          <w:rFonts w:ascii="仿宋_GB2312" w:hAnsi="仿宋" w:eastAsia="仿宋_GB2312" w:cs="仿宋"/>
          <w:kern w:val="0"/>
          <w:sz w:val="32"/>
          <w:szCs w:val="32"/>
        </w:rPr>
      </w:pPr>
      <w:r>
        <w:rPr>
          <w:rFonts w:hint="eastAsia" w:ascii="仿宋_GB2312" w:hAnsi="黑体" w:eastAsia="仿宋_GB2312" w:cs="黑体"/>
          <w:sz w:val="32"/>
          <w:szCs w:val="32"/>
        </w:rPr>
        <w:t>（1）召开茂县青年工作联席会议第四次全体会议。</w:t>
      </w:r>
      <w:r>
        <w:rPr>
          <w:rFonts w:hint="eastAsia" w:ascii="仿宋_GB2312" w:hAnsi="仿宋" w:eastAsia="仿宋_GB2312" w:cs="仿宋"/>
          <w:color w:val="000000"/>
          <w:sz w:val="32"/>
          <w:szCs w:val="32"/>
        </w:rPr>
        <w:t>结合我县实际，制定《茂县贯彻落实&lt;</w:t>
      </w:r>
      <w:r>
        <w:rPr>
          <w:rFonts w:hint="eastAsia" w:ascii="仿宋_GB2312" w:hAnsi="仿宋" w:eastAsia="仿宋_GB2312" w:cs="仿宋"/>
          <w:kern w:val="0"/>
          <w:sz w:val="32"/>
          <w:szCs w:val="32"/>
        </w:rPr>
        <w:t>阿坝州中长期青年发展规划（2017-2025年）</w:t>
      </w:r>
      <w:r>
        <w:rPr>
          <w:rFonts w:hint="eastAsia" w:ascii="仿宋_GB2312" w:hAnsi="仿宋" w:eastAsia="仿宋_GB2312" w:cs="仿宋"/>
          <w:color w:val="000000"/>
          <w:sz w:val="32"/>
          <w:szCs w:val="32"/>
        </w:rPr>
        <w:t>&gt;</w:t>
      </w:r>
      <w:r>
        <w:rPr>
          <w:rFonts w:hint="eastAsia" w:ascii="仿宋_GB2312" w:hAnsi="仿宋" w:eastAsia="仿宋_GB2312" w:cs="仿宋"/>
          <w:kern w:val="0"/>
          <w:sz w:val="32"/>
          <w:szCs w:val="32"/>
        </w:rPr>
        <w:t>2022年工作要点</w:t>
      </w:r>
      <w:r>
        <w:rPr>
          <w:rFonts w:hint="eastAsia" w:ascii="仿宋_GB2312" w:hAnsi="仿宋" w:eastAsia="仿宋_GB2312" w:cs="仿宋"/>
          <w:color w:val="000000"/>
          <w:sz w:val="32"/>
          <w:szCs w:val="32"/>
        </w:rPr>
        <w:t>》，</w:t>
      </w:r>
      <w:r>
        <w:rPr>
          <w:rFonts w:hint="eastAsia" w:ascii="仿宋_GB2312" w:hAnsi="仿宋" w:eastAsia="仿宋_GB2312" w:cs="仿宋"/>
          <w:kern w:val="0"/>
          <w:sz w:val="32"/>
          <w:szCs w:val="32"/>
        </w:rPr>
        <w:t>按照《工作要点》，各成员单位对照责任分工，列出任务清单，干好分内事，齐心协力做好各项工作，完善齐抓共管、协调联动的工作机制，形成全社会关心、支持青年发展的良好氛围。</w:t>
      </w:r>
    </w:p>
    <w:p>
      <w:pPr>
        <w:spacing w:line="576"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（2）凝聚青年力量，当好纽带桥梁。</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发挥基层组织组织力、凝聚力、号召力，大力宣传我县对青年创业者的各项帮扶、优惠政策，积极动员返乡青年创新创业，同时为创业青年做好服务保障。</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公开选拔</w:t>
      </w:r>
      <w:r>
        <w:rPr>
          <w:rFonts w:hint="eastAsia" w:ascii="仿宋_GB2312" w:eastAsia="仿宋_GB2312" w:cs="仿宋"/>
          <w:sz w:val="32"/>
          <w:szCs w:val="32"/>
        </w:rPr>
        <w:t>11</w:t>
      </w:r>
      <w:r>
        <w:rPr>
          <w:rFonts w:hint="eastAsia" w:ascii="仿宋_GB2312" w:hAnsi="仿宋" w:eastAsia="仿宋_GB2312" w:cs="仿宋"/>
          <w:sz w:val="32"/>
          <w:szCs w:val="32"/>
        </w:rPr>
        <w:t>名镇团委兼职副书记，进一步推进基层团组织建设，充实基层人才队伍。</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联合县委组织部举办茂县青年</w:t>
      </w:r>
      <w:r>
        <w:rPr>
          <w:rFonts w:hint="eastAsia" w:ascii="仿宋_GB2312" w:hAnsi="仿宋" w:eastAsia="仿宋_GB2312" w:cs="仿宋"/>
          <w:kern w:val="0"/>
          <w:sz w:val="32"/>
          <w:szCs w:val="32"/>
        </w:rPr>
        <w:t>马克思主义者培养工程（农村班），进一步提升青年参与基层治理、投身乡村振兴的本领。</w:t>
      </w:r>
      <w:r>
        <w:rPr>
          <w:rFonts w:hint="eastAsia" w:ascii="仿宋_GB2312" w:hAnsi="仿宋" w:eastAsia="仿宋_GB2312" w:cs="仿宋"/>
          <w:b/>
          <w:bCs/>
          <w:sz w:val="32"/>
          <w:szCs w:val="32"/>
        </w:rPr>
        <w:t>四是</w:t>
      </w:r>
      <w:r>
        <w:rPr>
          <w:rFonts w:hint="eastAsia" w:ascii="仿宋_GB2312" w:hAnsi="仿宋" w:eastAsia="仿宋_GB2312" w:cs="仿宋"/>
          <w:sz w:val="32"/>
          <w:szCs w:val="32"/>
        </w:rPr>
        <w:t>开展“返家乡”大学生社会实践活动，提供见习岗位53个，增强了在校大学生的就业创业能力。</w:t>
      </w:r>
      <w:r>
        <w:rPr>
          <w:rFonts w:hint="eastAsia" w:ascii="仿宋_GB2312" w:hAnsi="仿宋" w:eastAsia="仿宋_GB2312" w:cs="仿宋"/>
          <w:b/>
          <w:bCs/>
          <w:sz w:val="32"/>
          <w:szCs w:val="32"/>
        </w:rPr>
        <w:t>五是</w:t>
      </w:r>
      <w:r>
        <w:rPr>
          <w:rFonts w:hint="eastAsia" w:ascii="仿宋_GB2312" w:hAnsi="仿宋" w:eastAsia="仿宋_GB2312" w:cs="仿宋"/>
          <w:sz w:val="32"/>
          <w:szCs w:val="32"/>
        </w:rPr>
        <w:t>联合汶川、理县开展“缘定汶理茂·相约</w:t>
      </w:r>
      <w:r>
        <w:rPr>
          <w:rFonts w:hint="eastAsia" w:ascii="仿宋_GB2312" w:eastAsia="仿宋_GB2312" w:cs="仿宋"/>
          <w:sz w:val="32"/>
          <w:szCs w:val="32"/>
        </w:rPr>
        <w:t>520</w:t>
      </w:r>
      <w:r>
        <w:rPr>
          <w:rFonts w:hint="eastAsia" w:ascii="仿宋_GB2312" w:hAnsi="仿宋" w:eastAsia="仿宋_GB2312" w:cs="仿宋"/>
          <w:sz w:val="32"/>
          <w:szCs w:val="32"/>
        </w:rPr>
        <w:t>”线上交友活动，解决单身青年的婚恋问题，</w:t>
      </w:r>
      <w:r>
        <w:rPr>
          <w:rFonts w:hint="eastAsia" w:ascii="仿宋_GB2312" w:eastAsia="仿宋_GB2312" w:cs="仿宋"/>
          <w:sz w:val="32"/>
          <w:szCs w:val="32"/>
        </w:rPr>
        <w:t>100</w:t>
      </w:r>
      <w:r>
        <w:rPr>
          <w:rFonts w:hint="eastAsia" w:ascii="仿宋_GB2312" w:hAnsi="仿宋" w:eastAsia="仿宋_GB2312" w:cs="仿宋"/>
          <w:sz w:val="32"/>
          <w:szCs w:val="32"/>
        </w:rPr>
        <w:t>余人参加活动，成功牵手</w:t>
      </w:r>
      <w:r>
        <w:rPr>
          <w:rFonts w:hint="eastAsia" w:ascii="仿宋_GB2312" w:eastAsia="仿宋_GB2312" w:cs="仿宋"/>
          <w:sz w:val="32"/>
          <w:szCs w:val="32"/>
        </w:rPr>
        <w:t>18</w:t>
      </w:r>
      <w:r>
        <w:rPr>
          <w:rFonts w:hint="eastAsia" w:ascii="仿宋_GB2312" w:hAnsi="仿宋" w:eastAsia="仿宋_GB2312" w:cs="仿宋"/>
          <w:sz w:val="32"/>
          <w:szCs w:val="32"/>
        </w:rPr>
        <w:t>对。</w:t>
      </w:r>
    </w:p>
    <w:p>
      <w:pPr>
        <w:spacing w:line="570" w:lineRule="exact"/>
        <w:ind w:firstLine="640" w:firstLineChars="200"/>
        <w:rPr>
          <w:rFonts w:ascii="仿宋_GB2312" w:eastAsia="仿宋_GB2312"/>
        </w:rPr>
      </w:pPr>
      <w:r>
        <w:rPr>
          <w:rFonts w:hint="eastAsia" w:ascii="仿宋_GB2312" w:hAnsi="黑体" w:eastAsia="仿宋_GB2312" w:cs="黑体"/>
          <w:sz w:val="32"/>
          <w:szCs w:val="32"/>
        </w:rPr>
        <w:t>（3）深化青年志愿者行动。</w:t>
      </w:r>
      <w:r>
        <w:rPr>
          <w:rFonts w:hint="eastAsia" w:ascii="仿宋_GB2312" w:hAnsi="仿宋" w:eastAsia="仿宋_GB2312" w:cs="仿宋"/>
          <w:sz w:val="32"/>
          <w:szCs w:val="32"/>
        </w:rPr>
        <w:t>不断壮大青年志愿者队伍建设，充实志愿者队伍人数，建立志愿者服务队伍</w:t>
      </w:r>
      <w:r>
        <w:rPr>
          <w:rFonts w:hint="eastAsia" w:ascii="仿宋_GB2312" w:eastAsia="仿宋_GB2312" w:cs="仿宋"/>
          <w:sz w:val="32"/>
          <w:szCs w:val="32"/>
        </w:rPr>
        <w:t>12</w:t>
      </w:r>
      <w:r>
        <w:rPr>
          <w:rFonts w:hint="eastAsia" w:ascii="仿宋_GB2312" w:hAnsi="仿宋" w:eastAsia="仿宋_GB2312" w:cs="仿宋"/>
          <w:sz w:val="32"/>
          <w:szCs w:val="32"/>
        </w:rPr>
        <w:t>支，共</w:t>
      </w:r>
      <w:r>
        <w:rPr>
          <w:rFonts w:hint="eastAsia" w:ascii="仿宋_GB2312" w:eastAsia="仿宋_GB2312" w:cs="仿宋"/>
          <w:sz w:val="32"/>
          <w:szCs w:val="32"/>
        </w:rPr>
        <w:t>150</w:t>
      </w:r>
      <w:r>
        <w:rPr>
          <w:rFonts w:hint="eastAsia" w:ascii="仿宋_GB2312" w:hAnsi="仿宋" w:eastAsia="仿宋_GB2312" w:cs="仿宋"/>
          <w:sz w:val="32"/>
          <w:szCs w:val="32"/>
        </w:rPr>
        <w:t>余人。</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在疫情防控中，青年志愿者积极投身抗疫一线，</w:t>
      </w:r>
      <w:r>
        <w:rPr>
          <w:rFonts w:hint="eastAsia" w:ascii="仿宋_GB2312" w:hAnsi="仿宋" w:eastAsia="仿宋_GB2312" w:cs="仿宋"/>
          <w:color w:val="000000"/>
          <w:sz w:val="32"/>
          <w:szCs w:val="32"/>
        </w:rPr>
        <w:t>彰显了新时代青年爱党爱国爱家乡的时代情怀</w:t>
      </w:r>
      <w:r>
        <w:rPr>
          <w:rFonts w:hint="eastAsia" w:ascii="仿宋_GB2312" w:eastAsia="仿宋_GB2312" w:cs="仿宋_GB2312"/>
          <w:sz w:val="32"/>
          <w:szCs w:val="32"/>
        </w:rPr>
        <w:t>。</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助力创建全域旅游示范区，设置了7个志愿服务点，开展景区咨询、</w:t>
      </w:r>
      <w:r>
        <w:rPr>
          <w:rFonts w:hint="eastAsia" w:ascii="仿宋_GB2312" w:hAnsi="仿宋" w:eastAsia="仿宋_GB2312" w:cs="仿宋"/>
          <w:color w:val="000000"/>
          <w:sz w:val="32"/>
          <w:szCs w:val="32"/>
          <w:shd w:val="clear" w:color="auto" w:fill="FFFFFF"/>
        </w:rPr>
        <w:t>维护环境卫生等志愿服务。</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广泛开展有特色、有成效的志愿服务活动，以实际行动践行“奉献、友爱、互助、进步</w:t>
      </w:r>
      <w:r>
        <w:rPr>
          <w:rFonts w:hint="eastAsia" w:ascii="仿宋_GB2312" w:eastAsia="仿宋_GB2312" w:cs="仿宋_GB2312"/>
          <w:sz w:val="32"/>
          <w:szCs w:val="32"/>
        </w:rPr>
        <w:t>”的志愿精神。</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（4）抓好大学生西部计划管理。</w:t>
      </w:r>
      <w:r>
        <w:rPr>
          <w:rFonts w:hint="eastAsia" w:ascii="仿宋_GB2312" w:hAnsi="仿宋" w:eastAsia="仿宋_GB2312" w:cs="仿宋"/>
          <w:sz w:val="32"/>
          <w:szCs w:val="32"/>
        </w:rPr>
        <w:t>发挥西部计划志愿者团支部资源优势，丰富活动形式，组织开展志愿服务40</w:t>
      </w:r>
      <w:r>
        <w:rPr>
          <w:rFonts w:hint="eastAsia" w:ascii="仿宋_GB2312" w:eastAsia="仿宋_GB2312" w:cs="仿宋"/>
          <w:sz w:val="32"/>
          <w:szCs w:val="32"/>
        </w:rPr>
        <w:t>余</w:t>
      </w:r>
      <w:r>
        <w:rPr>
          <w:rFonts w:hint="eastAsia" w:ascii="仿宋_GB2312" w:hAnsi="仿宋" w:eastAsia="仿宋_GB2312" w:cs="仿宋"/>
          <w:sz w:val="32"/>
          <w:szCs w:val="32"/>
        </w:rPr>
        <w:t>次，充分激发志愿者扎根基层、服务基层作用。组织学习党的二十大精神、习近平总书记在建团</w:t>
      </w:r>
      <w:r>
        <w:rPr>
          <w:rFonts w:hint="eastAsia" w:ascii="仿宋_GB2312" w:eastAsia="仿宋_GB2312" w:cs="仿宋"/>
          <w:sz w:val="32"/>
          <w:szCs w:val="32"/>
        </w:rPr>
        <w:t>100</w:t>
      </w:r>
      <w:r>
        <w:rPr>
          <w:rFonts w:hint="eastAsia" w:ascii="仿宋_GB2312" w:hAnsi="仿宋" w:eastAsia="仿宋_GB2312" w:cs="仿宋"/>
          <w:sz w:val="32"/>
          <w:szCs w:val="32"/>
        </w:rPr>
        <w:t>周年上的重要讲话精神和习近平总书记来川视察重要指示精神，并撰写心得体会。在春节、端午、中秋等传统节日，对西部计划志愿者开展座谈慰问。</w:t>
      </w:r>
    </w:p>
    <w:p>
      <w:pPr>
        <w:spacing w:line="57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4、抓基层服务引领，全力助推乡村振兴</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（1）走村入户，深入开展“两联一进”。</w:t>
      </w:r>
      <w:r>
        <w:rPr>
          <w:rFonts w:hint="eastAsia" w:ascii="仿宋_GB2312" w:hAnsi="仿宋" w:eastAsia="仿宋_GB2312" w:cs="仿宋"/>
          <w:sz w:val="32"/>
          <w:szCs w:val="32"/>
        </w:rPr>
        <w:t>开展“两联一进”群众全覆盖工作，截</w:t>
      </w:r>
      <w:r>
        <w:rPr>
          <w:rFonts w:hint="eastAsia" w:ascii="仿宋_GB2312" w:hAnsi="仿宋" w:eastAsia="仿宋_GB2312" w:cs="仿宋"/>
          <w:sz w:val="32"/>
          <w:szCs w:val="32"/>
          <w:lang w:eastAsia="zh-CN"/>
        </w:rPr>
        <w:t>至</w:t>
      </w:r>
      <w:r>
        <w:rPr>
          <w:rFonts w:hint="eastAsia" w:ascii="仿宋_GB2312" w:hAnsi="仿宋" w:eastAsia="仿宋_GB2312" w:cs="仿宋"/>
          <w:sz w:val="32"/>
          <w:szCs w:val="32"/>
        </w:rPr>
        <w:t>目前共入村开展工作23次，发放宣传资料200余份，收集群众意见诉求4件，解决问题4件。在端午节开展群众走访慰问工作，共慰问困难群众24人。</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（2）扶贫助困，积极开展助学资助。</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开展“希望工程</w:t>
      </w:r>
      <w:r>
        <w:rPr>
          <w:rFonts w:hint="eastAsia" w:ascii="仿宋_GB2312" w:eastAsia="仿宋_GB2312" w:cs="仿宋"/>
          <w:sz w:val="32"/>
          <w:szCs w:val="32"/>
        </w:rPr>
        <w:t>1</w:t>
      </w:r>
      <w:r>
        <w:rPr>
          <w:rFonts w:hint="eastAsia" w:ascii="仿宋_GB2312" w:hAnsi="仿宋" w:eastAsia="仿宋_GB2312" w:cs="仿宋"/>
          <w:sz w:val="32"/>
          <w:szCs w:val="32"/>
        </w:rPr>
        <w:t>+</w:t>
      </w:r>
      <w:r>
        <w:rPr>
          <w:rFonts w:hint="eastAsia" w:ascii="仿宋_GB2312" w:eastAsia="仿宋_GB2312" w:cs="仿宋"/>
          <w:sz w:val="32"/>
          <w:szCs w:val="32"/>
        </w:rPr>
        <w:t>1</w:t>
      </w:r>
      <w:r>
        <w:rPr>
          <w:rFonts w:hint="eastAsia" w:ascii="仿宋_GB2312" w:hAnsi="仿宋" w:eastAsia="仿宋_GB2312" w:cs="仿宋"/>
          <w:sz w:val="32"/>
          <w:szCs w:val="32"/>
        </w:rPr>
        <w:t>——幻方助学计划”助学项目，共资助</w:t>
      </w:r>
      <w:r>
        <w:rPr>
          <w:rFonts w:hint="eastAsia" w:ascii="仿宋_GB2312" w:eastAsia="仿宋_GB2312" w:cs="仿宋"/>
          <w:sz w:val="32"/>
          <w:szCs w:val="32"/>
        </w:rPr>
        <w:t>164</w:t>
      </w:r>
      <w:r>
        <w:rPr>
          <w:rFonts w:hint="eastAsia" w:ascii="仿宋_GB2312" w:hAnsi="仿宋" w:eastAsia="仿宋_GB2312" w:cs="仿宋"/>
          <w:sz w:val="32"/>
          <w:szCs w:val="32"/>
        </w:rPr>
        <w:t>人，拨付金额</w:t>
      </w:r>
      <w:r>
        <w:rPr>
          <w:rFonts w:hint="eastAsia" w:ascii="仿宋_GB2312" w:eastAsia="仿宋_GB2312" w:cs="仿宋"/>
          <w:sz w:val="32"/>
          <w:szCs w:val="32"/>
        </w:rPr>
        <w:t>16.4</w:t>
      </w:r>
      <w:r>
        <w:rPr>
          <w:rFonts w:hint="eastAsia" w:ascii="仿宋_GB2312" w:hAnsi="仿宋" w:eastAsia="仿宋_GB2312" w:cs="仿宋"/>
          <w:sz w:val="32"/>
          <w:szCs w:val="32"/>
        </w:rPr>
        <w:t>万元。</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开展“我要上大学”助学项目，共资助8人，拨付金额4万元。</w:t>
      </w:r>
    </w:p>
    <w:p>
      <w:pPr>
        <w:spacing w:line="576"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（3）用心用情，关爱帮扶留守儿童。</w:t>
      </w:r>
      <w:r>
        <w:rPr>
          <w:rFonts w:hint="eastAsia" w:ascii="仿宋_GB2312" w:hAnsi="仿宋" w:eastAsia="仿宋_GB2312" w:cs="仿宋"/>
          <w:sz w:val="32"/>
          <w:szCs w:val="32"/>
        </w:rPr>
        <w:t>充分发挥县青少年活动中心、童伴之家、社区少年宫的阵地作用，在春节、六一、羌历新年等时间节点，开展“童心向梦.共筑成长”“平茂两地一家亲 羌历新年圆梦行”等慰问活动，为留守儿童送去党和政府的关心关怀。</w:t>
      </w:r>
    </w:p>
    <w:p>
      <w:pPr>
        <w:spacing w:line="576" w:lineRule="exact"/>
        <w:ind w:firstLine="640" w:firstLineChars="200"/>
        <w:rPr>
          <w:rStyle w:val="27"/>
          <w:b w:val="0"/>
          <w:bCs w:val="0"/>
        </w:rPr>
      </w:pPr>
      <w:r>
        <w:rPr>
          <w:rFonts w:hint="eastAsia" w:ascii="黑体" w:eastAsia="黑体"/>
          <w:color w:val="000000"/>
          <w:sz w:val="32"/>
          <w:szCs w:val="32"/>
        </w:rPr>
        <w:t>二、机</w:t>
      </w:r>
      <w:r>
        <w:rPr>
          <w:rStyle w:val="27"/>
          <w:rFonts w:hint="eastAsia" w:ascii="黑体" w:eastAsia="黑体"/>
          <w:b w:val="0"/>
          <w:bCs w:val="0"/>
        </w:rPr>
        <w:t>构设置</w:t>
      </w:r>
      <w:bookmarkEnd w:id="23"/>
      <w:bookmarkEnd w:id="24"/>
      <w:bookmarkEnd w:id="25"/>
      <w:bookmarkEnd w:id="26"/>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中国共产主义青年团阿坝州茂县委员会下属二级单位1个，其中行政单位0个，参照公务员法管理的事业单位0个，其他事业单位1个。</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纳入共青团茂县委员会2022年度部门决算编制范围的二级预算单位包括：</w:t>
      </w:r>
    </w:p>
    <w:p>
      <w:pPr>
        <w:widowControl/>
        <w:adjustRightInd w:val="0"/>
        <w:snapToGrid w:val="0"/>
        <w:spacing w:line="576" w:lineRule="atLeast"/>
        <w:ind w:firstLine="640" w:firstLineChars="200"/>
        <w:rPr>
          <w:rFonts w:ascii="仿宋" w:eastAsia="仿宋"/>
          <w:color w:val="000000"/>
          <w:sz w:val="32"/>
          <w:szCs w:val="32"/>
        </w:rPr>
      </w:pPr>
      <w:r>
        <w:rPr>
          <w:rFonts w:hint="eastAsia" w:ascii="仿宋_GB2312" w:eastAsia="仿宋_GB2312" w:cs="仿宋_GB2312"/>
          <w:bCs/>
          <w:color w:val="000000"/>
          <w:kern w:val="0"/>
          <w:sz w:val="32"/>
          <w:szCs w:val="32"/>
          <w:lang w:val="zh-CN"/>
        </w:rPr>
        <w:t>茂县青少年活动中心</w:t>
      </w:r>
      <w:r>
        <w:rPr>
          <w:rFonts w:ascii="仿宋" w:eastAsia="仿宋"/>
          <w:color w:val="000000"/>
          <w:sz w:val="32"/>
          <w:szCs w:val="32"/>
        </w:rPr>
        <w:br w:type="page"/>
      </w:r>
    </w:p>
    <w:p>
      <w:pPr>
        <w:widowControl/>
        <w:spacing w:line="576" w:lineRule="exact"/>
        <w:jc w:val="center"/>
        <w:rPr>
          <w:rStyle w:val="26"/>
          <w:rFonts w:ascii="方正小标宋简体" w:eastAsia="方正小标宋简体" w:cs="方正小标宋简体"/>
          <w:b w:val="0"/>
          <w:bCs w:val="0"/>
        </w:rPr>
      </w:pPr>
      <w:bookmarkStart w:id="27" w:name="_Toc15396602"/>
      <w:bookmarkStart w:id="28" w:name="_Toc79163859"/>
      <w:bookmarkStart w:id="29" w:name="_Toc79163609"/>
      <w:bookmarkStart w:id="30" w:name="_Toc15377204"/>
      <w:r>
        <w:rPr>
          <w:rFonts w:hint="eastAsia" w:ascii="方正小标宋简体" w:eastAsia="方正小标宋简体" w:cs="方正小标宋简体"/>
          <w:bCs/>
          <w:kern w:val="44"/>
          <w:sz w:val="44"/>
          <w:szCs w:val="44"/>
        </w:rPr>
        <w:t>第二部分</w:t>
      </w:r>
      <w:r>
        <w:rPr>
          <w:rFonts w:hint="eastAsia" w:ascii="方正小标宋简体" w:eastAsia="方正小标宋简体" w:cs="方正小标宋简体"/>
          <w:color w:val="000000"/>
          <w:sz w:val="44"/>
          <w:szCs w:val="44"/>
        </w:rPr>
        <w:t xml:space="preserve"> </w:t>
      </w:r>
      <w:r>
        <w:rPr>
          <w:rStyle w:val="26"/>
          <w:rFonts w:hint="eastAsia" w:ascii="方正小标宋简体" w:eastAsia="方正小标宋简体" w:cs="方正小标宋简体"/>
          <w:b w:val="0"/>
          <w:bCs w:val="0"/>
        </w:rPr>
        <w:t>2022年度部门决算情况说明</w:t>
      </w:r>
      <w:bookmarkEnd w:id="27"/>
      <w:bookmarkEnd w:id="28"/>
      <w:bookmarkEnd w:id="29"/>
      <w:bookmarkEnd w:id="30"/>
    </w:p>
    <w:p>
      <w:pPr>
        <w:spacing w:line="576" w:lineRule="exact"/>
      </w:pPr>
    </w:p>
    <w:p>
      <w:pPr>
        <w:pStyle w:val="32"/>
        <w:numPr>
          <w:ilvl w:val="0"/>
          <w:numId w:val="1"/>
        </w:numPr>
        <w:spacing w:line="576" w:lineRule="exact"/>
        <w:ind w:firstLineChars="0"/>
        <w:outlineLvl w:val="1"/>
        <w:rPr>
          <w:rStyle w:val="27"/>
          <w:rFonts w:ascii="黑体" w:eastAsia="黑体"/>
          <w:b w:val="0"/>
        </w:rPr>
      </w:pPr>
      <w:bookmarkStart w:id="31" w:name="_Toc79163610"/>
      <w:bookmarkStart w:id="32" w:name="_Toc79163860"/>
      <w:bookmarkStart w:id="33" w:name="_Toc15377205"/>
      <w:bookmarkStart w:id="34" w:name="_Toc15396603"/>
      <w:r>
        <w:rPr>
          <w:rFonts w:hint="eastAsia" w:ascii="黑体" w:eastAsia="黑体"/>
          <w:color w:val="000000"/>
          <w:sz w:val="32"/>
          <w:szCs w:val="32"/>
        </w:rPr>
        <w:t>收</w:t>
      </w:r>
      <w:r>
        <w:rPr>
          <w:rStyle w:val="27"/>
          <w:rFonts w:hint="eastAsia" w:ascii="黑体" w:eastAsia="黑体"/>
          <w:b w:val="0"/>
        </w:rPr>
        <w:t>入支出决算总体情况说明</w:t>
      </w:r>
      <w:bookmarkEnd w:id="31"/>
      <w:bookmarkEnd w:id="32"/>
      <w:bookmarkEnd w:id="33"/>
      <w:bookmarkEnd w:id="34"/>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度收入总计106.38万元。与2021年90.02相比，收入总计增加16.36万元，增长18.17%。主要变动原因是项目经费增加。2022年度支出总计106.38万元。与2021年相比，支出总计增加14.36万元，增长15.61%。主要变动原因是项目经费增加。</w:t>
      </w:r>
    </w:p>
    <w:p>
      <w:pPr>
        <w:spacing w:line="576"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color w:val="000000"/>
          <w:sz w:val="32"/>
          <w:szCs w:val="32"/>
        </w:rPr>
        <w:t>（图1：收、支决算总计变动情况图）（单位：万元）</w:t>
      </w:r>
    </w:p>
    <w:p>
      <w:pPr>
        <w:pStyle w:val="2"/>
        <w:spacing w:line="240" w:lineRule="auto"/>
      </w:pPr>
      <w:r>
        <w:rPr>
          <w:rFonts w:hint="eastAsia"/>
        </w:rPr>
        <w:t xml:space="preserve">   </w:t>
      </w:r>
      <w:r>
        <w:drawing>
          <wp:inline distT="0" distB="0" distL="0" distR="0">
            <wp:extent cx="4572000" cy="2600325"/>
            <wp:effectExtent l="19050" t="0" r="1905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2"/>
        <w:numPr>
          <w:ilvl w:val="0"/>
          <w:numId w:val="1"/>
        </w:numPr>
        <w:spacing w:line="576" w:lineRule="exact"/>
        <w:ind w:firstLineChars="0"/>
        <w:outlineLvl w:val="1"/>
        <w:rPr>
          <w:rStyle w:val="27"/>
          <w:rFonts w:ascii="黑体" w:eastAsia="黑体"/>
          <w:b w:val="0"/>
        </w:rPr>
      </w:pPr>
      <w:bookmarkStart w:id="35" w:name="_Toc79163861"/>
      <w:bookmarkStart w:id="36" w:name="_Toc15396604"/>
      <w:bookmarkStart w:id="37" w:name="_Toc79163611"/>
      <w:bookmarkStart w:id="38" w:name="_Toc15377206"/>
      <w:r>
        <w:rPr>
          <w:rFonts w:hint="eastAsia" w:ascii="黑体" w:eastAsia="黑体"/>
          <w:color w:val="000000"/>
          <w:sz w:val="32"/>
          <w:szCs w:val="32"/>
        </w:rPr>
        <w:t>收</w:t>
      </w:r>
      <w:r>
        <w:rPr>
          <w:rStyle w:val="27"/>
          <w:rFonts w:hint="eastAsia" w:ascii="黑体" w:eastAsia="黑体"/>
          <w:b w:val="0"/>
        </w:rPr>
        <w:t>入决算情况说明</w:t>
      </w:r>
      <w:bookmarkEnd w:id="35"/>
      <w:bookmarkEnd w:id="36"/>
      <w:bookmarkEnd w:id="37"/>
      <w:bookmarkEnd w:id="38"/>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2022年本年收入合计106.38万元，其中：一般公共预算财政拨款收入106.38万元，占100%；</w:t>
      </w:r>
    </w:p>
    <w:p>
      <w:pPr>
        <w:pStyle w:val="6"/>
        <w:adjustRightInd w:val="0"/>
        <w:snapToGrid w:val="0"/>
        <w:spacing w:beforeLines="0" w:line="576" w:lineRule="exact"/>
        <w:ind w:firstLine="668" w:firstLineChars="209"/>
        <w:outlineLvl w:val="2"/>
        <w:rPr>
          <w:rFonts w:cs="仿宋_GB2312"/>
          <w:bCs/>
          <w:color w:val="000000"/>
          <w:sz w:val="32"/>
          <w:szCs w:val="32"/>
        </w:rPr>
      </w:pPr>
    </w:p>
    <w:p>
      <w:pPr>
        <w:spacing w:line="576" w:lineRule="exact"/>
        <w:ind w:firstLine="640" w:firstLineChars="200"/>
        <w:jc w:val="center"/>
        <w:rPr>
          <w:rFonts w:ascii="仿宋_GB2312" w:eastAsia="仿宋_GB2312" w:cs="仿宋_GB2312"/>
          <w:color w:val="FF0000"/>
          <w:sz w:val="32"/>
          <w:szCs w:val="32"/>
        </w:rPr>
      </w:pPr>
      <w:r>
        <w:rPr>
          <w:rFonts w:hint="eastAsia" w:ascii="仿宋_GB2312" w:eastAsia="仿宋_GB2312" w:cs="仿宋_GB2312"/>
          <w:color w:val="000000"/>
          <w:sz w:val="32"/>
          <w:szCs w:val="32"/>
        </w:rPr>
        <w:drawing>
          <wp:anchor distT="0" distB="0" distL="114300" distR="114300" simplePos="0" relativeHeight="251659264" behindDoc="0" locked="0" layoutInCell="1" allowOverlap="1">
            <wp:simplePos x="0" y="0"/>
            <wp:positionH relativeFrom="column">
              <wp:posOffset>23495</wp:posOffset>
            </wp:positionH>
            <wp:positionV relativeFrom="paragraph">
              <wp:posOffset>290195</wp:posOffset>
            </wp:positionV>
            <wp:extent cx="5219700" cy="1924050"/>
            <wp:effectExtent l="0" t="0" r="16" b="3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s="仿宋_GB2312"/>
          <w:color w:val="000000"/>
          <w:sz w:val="32"/>
          <w:szCs w:val="32"/>
        </w:rPr>
        <w:t>（图2：收入决算结构图）（单位：万元）</w:t>
      </w:r>
    </w:p>
    <w:p>
      <w:pPr>
        <w:pStyle w:val="32"/>
        <w:spacing w:line="576" w:lineRule="exact"/>
        <w:ind w:left="640" w:firstLine="0" w:firstLineChars="0"/>
        <w:outlineLvl w:val="1"/>
        <w:rPr>
          <w:rStyle w:val="27"/>
          <w:rFonts w:ascii="黑体" w:eastAsia="黑体"/>
          <w:b w:val="0"/>
        </w:rPr>
      </w:pPr>
      <w:bookmarkStart w:id="39" w:name="_Toc79163612"/>
      <w:bookmarkStart w:id="40" w:name="_Toc15396605"/>
      <w:bookmarkStart w:id="41" w:name="_Toc79163862"/>
      <w:bookmarkStart w:id="42" w:name="_Toc15377207"/>
      <w:r>
        <w:rPr>
          <w:rFonts w:hint="eastAsia" w:ascii="黑体" w:eastAsia="黑体"/>
          <w:color w:val="000000"/>
          <w:sz w:val="32"/>
          <w:szCs w:val="32"/>
        </w:rPr>
        <w:t>三、支</w:t>
      </w:r>
      <w:r>
        <w:rPr>
          <w:rStyle w:val="27"/>
          <w:rFonts w:hint="eastAsia" w:ascii="黑体" w:eastAsia="黑体"/>
          <w:b w:val="0"/>
        </w:rPr>
        <w:t>出决算情况说明</w:t>
      </w:r>
      <w:bookmarkEnd w:id="39"/>
      <w:bookmarkEnd w:id="40"/>
      <w:bookmarkEnd w:id="41"/>
      <w:bookmarkEnd w:id="42"/>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2022年本年支出合计106.38万元，其中：基本支出68.68万元，占64.56%；项目支出37.7万元，占35.44%。</w:t>
      </w:r>
    </w:p>
    <w:p>
      <w:pPr>
        <w:pStyle w:val="2"/>
      </w:pPr>
      <w:r>
        <w:rPr>
          <w:rFonts w:hint="eastAsia"/>
        </w:rPr>
        <w:t xml:space="preserve">   </w:t>
      </w:r>
      <w:r>
        <w:drawing>
          <wp:inline distT="0" distB="0" distL="0" distR="0">
            <wp:extent cx="4595495" cy="2667000"/>
            <wp:effectExtent l="19050" t="0" r="14287"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76" w:lineRule="exact"/>
        <w:ind w:firstLine="640"/>
        <w:jc w:val="center"/>
        <w:rPr>
          <w:rFonts w:ascii="仿宋_GB2312" w:eastAsia="仿宋_GB2312" w:cs="仿宋_GB2312"/>
          <w:color w:val="FF0000"/>
          <w:sz w:val="32"/>
          <w:szCs w:val="32"/>
        </w:rPr>
      </w:pPr>
      <w:r>
        <w:rPr>
          <w:rFonts w:hint="eastAsia" w:ascii="仿宋_GB2312" w:eastAsia="仿宋_GB2312" w:cs="仿宋_GB2312"/>
          <w:color w:val="000000"/>
          <w:sz w:val="32"/>
          <w:szCs w:val="32"/>
        </w:rPr>
        <w:t>（图3：支出决算结构图）（单位：万元）</w:t>
      </w:r>
    </w:p>
    <w:p>
      <w:pPr>
        <w:pStyle w:val="32"/>
        <w:spacing w:line="576" w:lineRule="exact"/>
        <w:ind w:left="640" w:firstLine="0" w:firstLineChars="0"/>
        <w:outlineLvl w:val="1"/>
        <w:rPr>
          <w:rFonts w:ascii="黑体" w:eastAsia="黑体"/>
          <w:color w:val="000000"/>
          <w:sz w:val="32"/>
          <w:szCs w:val="32"/>
        </w:rPr>
      </w:pPr>
      <w:bookmarkStart w:id="43" w:name="_Toc15396606"/>
      <w:bookmarkStart w:id="44" w:name="_Toc15377208"/>
      <w:bookmarkStart w:id="45" w:name="_Toc79163863"/>
      <w:bookmarkStart w:id="46" w:name="_Toc79163613"/>
      <w:r>
        <w:rPr>
          <w:rFonts w:hint="eastAsia" w:ascii="黑体" w:eastAsia="黑体"/>
          <w:color w:val="000000"/>
          <w:sz w:val="32"/>
          <w:szCs w:val="32"/>
        </w:rPr>
        <w:t>四、财政拨款收入支出决算总体情况说明</w:t>
      </w:r>
      <w:bookmarkEnd w:id="43"/>
      <w:bookmarkEnd w:id="44"/>
      <w:bookmarkEnd w:id="45"/>
      <w:bookmarkEnd w:id="46"/>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度财政拨款收入总计106.38万元。与2021年相比，财政拨款收入总计增加16.36万元，增长18.17%。主要变动原因是项目经费增加。2022年度财政拨款支出总计106.38万元。与2021年相比，财政拨款支出总计增加14.36万元，增长15.61%。主要变动原因是项目经费增加。</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（图4：财政拨款收、支决算总计变动情况）（单位：万元）</w:t>
      </w:r>
    </w:p>
    <w:p>
      <w:pPr>
        <w:pStyle w:val="2"/>
      </w:pPr>
      <w:r>
        <w:rPr>
          <w:rFonts w:hint="eastAsia"/>
        </w:rPr>
        <w:t xml:space="preserve">   </w:t>
      </w:r>
      <w:r>
        <w:drawing>
          <wp:inline distT="0" distB="0" distL="0" distR="0">
            <wp:extent cx="4572000" cy="2600325"/>
            <wp:effectExtent l="19050" t="0" r="19050" b="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76" w:lineRule="exact"/>
        <w:ind w:firstLine="640" w:firstLineChars="200"/>
        <w:outlineLvl w:val="1"/>
        <w:rPr>
          <w:rStyle w:val="27"/>
          <w:rFonts w:ascii="黑体" w:eastAsia="黑体"/>
          <w:b w:val="0"/>
        </w:rPr>
      </w:pPr>
      <w:bookmarkStart w:id="47" w:name="_Toc79163864"/>
      <w:bookmarkStart w:id="48" w:name="_Toc15377209"/>
      <w:bookmarkStart w:id="49" w:name="_Toc79163614"/>
      <w:bookmarkStart w:id="50" w:name="_Toc15396607"/>
      <w:r>
        <w:rPr>
          <w:rFonts w:hint="eastAsia" w:ascii="黑体" w:eastAsia="黑体"/>
          <w:color w:val="000000"/>
          <w:sz w:val="32"/>
          <w:szCs w:val="32"/>
        </w:rPr>
        <w:t>五、</w:t>
      </w:r>
      <w:r>
        <w:rPr>
          <w:rFonts w:hint="eastAsia" w:ascii="黑体" w:eastAsia="黑体"/>
          <w:bCs/>
          <w:color w:val="000000"/>
          <w:sz w:val="32"/>
          <w:szCs w:val="32"/>
        </w:rPr>
        <w:t>一</w:t>
      </w:r>
      <w:r>
        <w:rPr>
          <w:rStyle w:val="27"/>
          <w:rFonts w:hint="eastAsia" w:ascii="黑体" w:eastAsia="黑体"/>
          <w:b w:val="0"/>
        </w:rPr>
        <w:t>般公共预算财政拨款支出决算情况说明</w:t>
      </w:r>
      <w:bookmarkEnd w:id="47"/>
      <w:bookmarkEnd w:id="48"/>
      <w:bookmarkEnd w:id="49"/>
      <w:bookmarkEnd w:id="50"/>
      <w:bookmarkStart w:id="51" w:name="_Toc79163865"/>
      <w:bookmarkStart w:id="52" w:name="_Toc15377210"/>
      <w:bookmarkStart w:id="53" w:name="_Toc79163615"/>
    </w:p>
    <w:p>
      <w:pPr>
        <w:spacing w:line="576" w:lineRule="exact"/>
        <w:ind w:firstLine="643" w:firstLineChars="200"/>
        <w:outlineLvl w:val="1"/>
        <w:rPr>
          <w:rFonts w:ascii="楷体_GB2312" w:eastAsia="楷体_GB2312" w:cs="楷体_GB2312"/>
          <w:b/>
          <w:color w:val="000000"/>
          <w:sz w:val="32"/>
          <w:szCs w:val="32"/>
        </w:rPr>
      </w:pPr>
      <w:r>
        <w:rPr>
          <w:rFonts w:hint="eastAsia" w:ascii="楷体_GB2312" w:eastAsia="楷体_GB2312" w:cs="楷体_GB2312"/>
          <w:b/>
          <w:color w:val="000000"/>
          <w:sz w:val="32"/>
          <w:szCs w:val="32"/>
        </w:rPr>
        <w:t>（一）一般公共预算财政拨款支出决算总体情况</w:t>
      </w:r>
      <w:bookmarkEnd w:id="51"/>
      <w:bookmarkEnd w:id="52"/>
      <w:bookmarkEnd w:id="53"/>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2022一般公共预算财政拨款支出106.38万元，占本年支出合计的100%。与2021年相比，一般公共预算财政拨款增加14.36万元，增长15.61%。主要变动原因是项目经费增加。</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（图5：一般公共预算财政拨款支出决算变动情况）（单位：万元）</w:t>
      </w:r>
    </w:p>
    <w:p>
      <w:pPr>
        <w:pStyle w:val="2"/>
      </w:pPr>
      <w:r>
        <w:rPr>
          <w:rFonts w:hint="eastAsia"/>
        </w:rPr>
        <w:t xml:space="preserve">   </w:t>
      </w:r>
      <w:r>
        <w:drawing>
          <wp:inline distT="0" distB="0" distL="0" distR="0">
            <wp:extent cx="4572000" cy="2600325"/>
            <wp:effectExtent l="19050" t="0" r="19050" b="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76" w:lineRule="exact"/>
        <w:ind w:firstLine="643" w:firstLineChars="200"/>
        <w:outlineLvl w:val="2"/>
        <w:rPr>
          <w:rFonts w:ascii="楷体_GB2312" w:eastAsia="楷体_GB2312" w:cs="楷体_GB2312"/>
          <w:b/>
          <w:color w:val="000000"/>
          <w:sz w:val="32"/>
          <w:szCs w:val="32"/>
        </w:rPr>
      </w:pPr>
      <w:bookmarkStart w:id="54" w:name="_Toc79163616"/>
      <w:bookmarkStart w:id="55" w:name="_Toc15377211"/>
      <w:bookmarkStart w:id="56" w:name="_Toc79163866"/>
      <w:r>
        <w:rPr>
          <w:rFonts w:hint="eastAsia" w:ascii="楷体_GB2312" w:eastAsia="楷体_GB2312" w:cs="楷体_GB2312"/>
          <w:b/>
          <w:color w:val="000000"/>
          <w:sz w:val="32"/>
          <w:szCs w:val="32"/>
        </w:rPr>
        <w:t>（二）一般公共预算财政拨款支出决算结构情况</w:t>
      </w:r>
      <w:bookmarkEnd w:id="54"/>
      <w:bookmarkEnd w:id="55"/>
      <w:bookmarkEnd w:id="56"/>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2022年一般公共预算财政拨款支出</w:t>
      </w:r>
      <w:r>
        <w:rPr>
          <w:rFonts w:hint="eastAsia" w:ascii="仿宋_GB2312" w:eastAsia="仿宋_GB2312" w:cs="仿宋_GB2312"/>
          <w:color w:val="000000"/>
          <w:sz w:val="32"/>
          <w:szCs w:val="32"/>
        </w:rPr>
        <w:t>106.38万元，主要用于以下方面:</w:t>
      </w:r>
      <w:r>
        <w:rPr>
          <w:rFonts w:hint="eastAsia" w:ascii="仿宋_GB2312" w:eastAsia="仿宋_GB2312" w:cs="仿宋_GB2312"/>
          <w:b/>
          <w:color w:val="000000"/>
          <w:sz w:val="32"/>
          <w:szCs w:val="32"/>
        </w:rPr>
        <w:t>一般公共服务</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（201）</w:t>
      </w:r>
      <w:r>
        <w:rPr>
          <w:rFonts w:hint="eastAsia" w:ascii="仿宋_GB2312" w:eastAsia="仿宋_GB2312" w:cs="仿宋_GB2312"/>
          <w:color w:val="000000"/>
          <w:sz w:val="32"/>
          <w:szCs w:val="32"/>
        </w:rPr>
        <w:t>支出81.03万元，占76.18%；</w:t>
      </w:r>
      <w:r>
        <w:rPr>
          <w:rFonts w:hint="eastAsia" w:ascii="仿宋_GB2312" w:eastAsia="仿宋_GB2312" w:cs="仿宋_GB2312"/>
          <w:b/>
          <w:color w:val="000000"/>
          <w:sz w:val="32"/>
          <w:szCs w:val="32"/>
        </w:rPr>
        <w:t>社会保障和就业</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（208）</w:t>
      </w:r>
      <w:r>
        <w:rPr>
          <w:rFonts w:hint="eastAsia" w:ascii="仿宋_GB2312" w:eastAsia="仿宋_GB2312" w:cs="仿宋_GB2312"/>
          <w:color w:val="000000"/>
          <w:sz w:val="32"/>
          <w:szCs w:val="32"/>
        </w:rPr>
        <w:t>支出6.76万元，占6.35%；</w:t>
      </w:r>
      <w:r>
        <w:rPr>
          <w:rFonts w:hint="eastAsia" w:ascii="仿宋_GB2312" w:eastAsia="仿宋_GB2312" w:cs="仿宋_GB2312"/>
          <w:b/>
          <w:bCs/>
          <w:color w:val="000000"/>
          <w:sz w:val="32"/>
          <w:szCs w:val="32"/>
        </w:rPr>
        <w:t>卫生健康支出（210）</w:t>
      </w:r>
      <w:r>
        <w:rPr>
          <w:rFonts w:hint="eastAsia" w:ascii="仿宋_GB2312" w:eastAsia="仿宋_GB2312" w:cs="仿宋_GB2312"/>
          <w:color w:val="000000"/>
          <w:sz w:val="32"/>
          <w:szCs w:val="32"/>
        </w:rPr>
        <w:t>2.27万元，占2.13%；</w:t>
      </w:r>
      <w:r>
        <w:rPr>
          <w:rFonts w:hint="eastAsia" w:ascii="仿宋_GB2312" w:eastAsia="仿宋_GB2312" w:cs="仿宋_GB2312"/>
          <w:b/>
          <w:bCs/>
          <w:color w:val="000000"/>
          <w:sz w:val="32"/>
          <w:szCs w:val="32"/>
        </w:rPr>
        <w:t>农林水支出（213）</w:t>
      </w:r>
      <w:r>
        <w:rPr>
          <w:rFonts w:hint="eastAsia" w:ascii="仿宋_GB2312" w:eastAsia="仿宋_GB2312" w:cs="仿宋_GB2312"/>
          <w:color w:val="000000"/>
          <w:sz w:val="32"/>
          <w:szCs w:val="32"/>
        </w:rPr>
        <w:t>8.82万元，占8.29%；</w:t>
      </w:r>
      <w:r>
        <w:rPr>
          <w:rFonts w:hint="eastAsia" w:ascii="仿宋_GB2312" w:eastAsia="仿宋_GB2312" w:cs="仿宋_GB2312"/>
          <w:b/>
          <w:bCs/>
          <w:color w:val="000000"/>
          <w:sz w:val="32"/>
          <w:szCs w:val="32"/>
        </w:rPr>
        <w:t>住房保障支出（221）</w:t>
      </w:r>
      <w:r>
        <w:rPr>
          <w:rFonts w:hint="eastAsia" w:ascii="仿宋_GB2312" w:eastAsia="仿宋_GB2312" w:cs="仿宋_GB2312"/>
          <w:color w:val="000000"/>
          <w:sz w:val="32"/>
          <w:szCs w:val="32"/>
        </w:rPr>
        <w:t>3.5万元，占3.29%,</w:t>
      </w:r>
      <w:r>
        <w:rPr>
          <w:rFonts w:hint="eastAsia" w:ascii="仿宋_GB2312" w:eastAsia="仿宋_GB2312" w:cs="仿宋_GB2312"/>
          <w:b/>
          <w:bCs/>
          <w:color w:val="000000"/>
          <w:sz w:val="32"/>
          <w:szCs w:val="32"/>
        </w:rPr>
        <w:t>其他支出（229）</w:t>
      </w:r>
      <w:r>
        <w:rPr>
          <w:rFonts w:hint="eastAsia" w:ascii="仿宋_GB2312" w:eastAsia="仿宋_GB2312" w:cs="仿宋_GB2312"/>
          <w:color w:val="000000"/>
          <w:sz w:val="32"/>
          <w:szCs w:val="32"/>
        </w:rPr>
        <w:t>支出4万元，占3.76%。</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bCs/>
          <w:color w:val="000000"/>
          <w:kern w:val="0"/>
          <w:sz w:val="32"/>
          <w:szCs w:val="32"/>
          <w:lang w:val="zh-CN"/>
        </w:rPr>
        <w:t>（图6：一般公共预算财政拨款支出决算结构）（单位：万元）</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667250" cy="2486025"/>
            <wp:effectExtent l="19050" t="0" r="19050" b="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76" w:lineRule="exact"/>
        <w:ind w:firstLine="643" w:firstLineChars="200"/>
        <w:outlineLvl w:val="2"/>
        <w:rPr>
          <w:rFonts w:ascii="楷体_GB2312" w:eastAsia="楷体_GB2312" w:cs="楷体_GB2312"/>
          <w:b/>
          <w:color w:val="000000"/>
          <w:sz w:val="32"/>
          <w:szCs w:val="32"/>
        </w:rPr>
      </w:pPr>
      <w:bookmarkStart w:id="57" w:name="_Toc79163617"/>
      <w:bookmarkStart w:id="58" w:name="_Toc15377212"/>
      <w:bookmarkStart w:id="59" w:name="_Toc79163867"/>
      <w:r>
        <w:rPr>
          <w:rFonts w:hint="eastAsia" w:ascii="楷体_GB2312" w:eastAsia="楷体_GB2312" w:cs="楷体_GB2312"/>
          <w:b/>
          <w:color w:val="000000"/>
          <w:sz w:val="32"/>
          <w:szCs w:val="32"/>
        </w:rPr>
        <w:t>（三）一般公共预算财政拨款支出决算具体情况</w:t>
      </w:r>
      <w:bookmarkEnd w:id="57"/>
      <w:bookmarkEnd w:id="58"/>
      <w:bookmarkEnd w:id="59"/>
    </w:p>
    <w:p>
      <w:pPr>
        <w:spacing w:line="576" w:lineRule="exact"/>
        <w:ind w:firstLine="643" w:firstLineChars="200"/>
        <w:outlineLvl w:val="2"/>
        <w:rPr>
          <w:rFonts w:ascii="仿宋_GB2312" w:eastAsia="仿宋_GB2312" w:cs="仿宋_GB2312"/>
          <w:color w:val="FF0000"/>
          <w:sz w:val="32"/>
          <w:szCs w:val="32"/>
        </w:rPr>
      </w:pPr>
      <w:r>
        <w:rPr>
          <w:rFonts w:hint="eastAsia" w:ascii="仿宋_GB2312" w:eastAsia="仿宋_GB2312" w:cs="仿宋_GB2312"/>
          <w:b/>
          <w:color w:val="000000"/>
          <w:sz w:val="32"/>
          <w:szCs w:val="32"/>
        </w:rPr>
        <w:t>2022年般公共预算支出决算数为106.38万元</w:t>
      </w:r>
      <w:r>
        <w:rPr>
          <w:rFonts w:hint="eastAsia" w:ascii="仿宋_GB2312" w:eastAsia="仿宋_GB2312" w:cs="仿宋_GB2312"/>
          <w:color w:val="000000"/>
          <w:sz w:val="32"/>
          <w:szCs w:val="32"/>
        </w:rPr>
        <w:t>，</w:t>
      </w:r>
      <w:r>
        <w:rPr>
          <w:rStyle w:val="24"/>
          <w:rFonts w:hint="eastAsia" w:ascii="仿宋_GB2312" w:eastAsia="仿宋_GB2312" w:cs="仿宋_GB2312"/>
          <w:bCs/>
          <w:color w:val="000000"/>
          <w:sz w:val="32"/>
          <w:szCs w:val="32"/>
        </w:rPr>
        <w:t>完成预算100%。其中：</w:t>
      </w:r>
    </w:p>
    <w:p>
      <w:pPr>
        <w:spacing w:line="576" w:lineRule="exact"/>
        <w:ind w:firstLine="643"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1.一般公共服务（201）群众团体事务（29）行政运行（01）:</w:t>
      </w:r>
      <w:r>
        <w:rPr>
          <w:rStyle w:val="24"/>
          <w:rFonts w:hint="eastAsia" w:ascii="仿宋_GB2312" w:eastAsia="仿宋_GB2312" w:cs="仿宋_GB2312"/>
          <w:b w:val="0"/>
          <w:bCs/>
          <w:color w:val="000000"/>
          <w:sz w:val="32"/>
          <w:szCs w:val="32"/>
        </w:rPr>
        <w:t xml:space="preserve"> 支出决算为56.15万元，完成预算100%。</w:t>
      </w:r>
    </w:p>
    <w:p>
      <w:pPr>
        <w:spacing w:line="576" w:lineRule="exact"/>
        <w:ind w:firstLine="643"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2.一般公共服务（201）群众团体事务（29）</w:t>
      </w:r>
      <w:r>
        <w:rPr>
          <w:rStyle w:val="24"/>
          <w:rFonts w:ascii="仿宋_GB2312" w:eastAsia="仿宋_GB2312" w:cs="仿宋_GB2312"/>
          <w:bCs/>
          <w:color w:val="000000"/>
          <w:sz w:val="32"/>
          <w:szCs w:val="32"/>
        </w:rPr>
        <w:t>其他群众团体事务支出</w:t>
      </w:r>
      <w:r>
        <w:rPr>
          <w:rStyle w:val="24"/>
          <w:rFonts w:hint="eastAsia" w:ascii="仿宋_GB2312" w:eastAsia="仿宋_GB2312" w:cs="仿宋_GB2312"/>
          <w:bCs/>
          <w:color w:val="000000"/>
          <w:sz w:val="32"/>
          <w:szCs w:val="32"/>
        </w:rPr>
        <w:t>（</w:t>
      </w:r>
      <w:r>
        <w:rPr>
          <w:rStyle w:val="24"/>
          <w:rFonts w:ascii="仿宋_GB2312" w:eastAsia="仿宋_GB2312" w:cs="仿宋_GB2312"/>
          <w:bCs/>
          <w:color w:val="000000"/>
          <w:sz w:val="32"/>
          <w:szCs w:val="32"/>
        </w:rPr>
        <w:t xml:space="preserve">99） </w:t>
      </w:r>
      <w:r>
        <w:rPr>
          <w:rStyle w:val="24"/>
          <w:rFonts w:hint="eastAsia" w:ascii="仿宋_GB2312" w:eastAsia="仿宋_GB2312" w:cs="仿宋_GB2312"/>
          <w:bCs/>
          <w:color w:val="000000"/>
          <w:sz w:val="32"/>
          <w:szCs w:val="32"/>
        </w:rPr>
        <w:t>:</w:t>
      </w:r>
      <w:r>
        <w:rPr>
          <w:rStyle w:val="24"/>
          <w:rFonts w:hint="eastAsia" w:ascii="仿宋_GB2312" w:eastAsia="仿宋_GB2312" w:cs="仿宋_GB2312"/>
          <w:b w:val="0"/>
          <w:bCs/>
          <w:color w:val="000000"/>
          <w:sz w:val="32"/>
          <w:szCs w:val="32"/>
        </w:rPr>
        <w:t xml:space="preserve"> 支出决算为24.88万元，完成预算100%。</w:t>
      </w:r>
    </w:p>
    <w:p>
      <w:pPr>
        <w:spacing w:line="576" w:lineRule="exact"/>
        <w:ind w:firstLine="643"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3.社会保障和就业支出（208）行政事业单位养老支出（05）机关事业单位基本养老保险缴费支出（05）:</w:t>
      </w:r>
      <w:r>
        <w:rPr>
          <w:rStyle w:val="24"/>
          <w:rFonts w:hint="eastAsia" w:ascii="仿宋_GB2312" w:eastAsia="仿宋_GB2312" w:cs="仿宋_GB2312"/>
          <w:b w:val="0"/>
          <w:bCs/>
          <w:color w:val="000000"/>
          <w:sz w:val="32"/>
          <w:szCs w:val="32"/>
        </w:rPr>
        <w:t xml:space="preserve"> 支出决算为4.51万元，完成预算100%。</w:t>
      </w:r>
    </w:p>
    <w:p>
      <w:pPr>
        <w:spacing w:line="576" w:lineRule="exact"/>
        <w:ind w:firstLine="643" w:firstLineChars="200"/>
        <w:rPr>
          <w:rFonts w:ascii="仿宋_GB2312" w:eastAsia="仿宋_GB2312" w:cs="仿宋_GB2312"/>
          <w:bCs/>
          <w:color w:val="000000"/>
          <w:sz w:val="32"/>
          <w:szCs w:val="32"/>
        </w:rPr>
      </w:pPr>
      <w:r>
        <w:rPr>
          <w:rStyle w:val="24"/>
          <w:rFonts w:hint="eastAsia" w:ascii="仿宋_GB2312" w:eastAsia="仿宋_GB2312" w:cs="仿宋_GB2312"/>
          <w:bCs/>
          <w:color w:val="000000"/>
          <w:sz w:val="32"/>
          <w:szCs w:val="32"/>
        </w:rPr>
        <w:t>4.社会保障和就业支出（208）行政事业单位养老支出（05）机关事业单位职业年金缴费支出（06）:</w:t>
      </w:r>
      <w:r>
        <w:rPr>
          <w:rStyle w:val="24"/>
          <w:rFonts w:hint="eastAsia" w:ascii="仿宋_GB2312" w:eastAsia="仿宋_GB2312" w:cs="仿宋_GB2312"/>
          <w:b w:val="0"/>
          <w:bCs/>
          <w:color w:val="000000"/>
          <w:sz w:val="32"/>
          <w:szCs w:val="32"/>
        </w:rPr>
        <w:t xml:space="preserve"> 支出决算为2.25万元，完成预算100%。</w:t>
      </w:r>
    </w:p>
    <w:p>
      <w:pPr>
        <w:spacing w:line="576" w:lineRule="exact"/>
        <w:ind w:firstLine="643"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5.</w:t>
      </w:r>
      <w:r>
        <w:rPr>
          <w:rFonts w:hint="eastAsia" w:ascii="仿宋_GB2312" w:eastAsia="仿宋_GB2312" w:cs="仿宋_GB2312"/>
          <w:b/>
          <w:bCs/>
          <w:color w:val="000000"/>
          <w:sz w:val="32"/>
          <w:szCs w:val="32"/>
        </w:rPr>
        <w:t>卫生健康</w:t>
      </w:r>
      <w:r>
        <w:rPr>
          <w:rStyle w:val="24"/>
          <w:rFonts w:hint="eastAsia" w:ascii="仿宋_GB2312" w:eastAsia="仿宋_GB2312" w:cs="仿宋_GB2312"/>
          <w:bCs/>
          <w:color w:val="000000"/>
          <w:sz w:val="32"/>
          <w:szCs w:val="32"/>
        </w:rPr>
        <w:t>（210）行政事业单位医疗（11）行政单位医疗（01）:</w:t>
      </w:r>
      <w:r>
        <w:rPr>
          <w:rStyle w:val="24"/>
          <w:rFonts w:hint="eastAsia" w:ascii="仿宋_GB2312" w:eastAsia="仿宋_GB2312" w:cs="仿宋_GB2312"/>
          <w:b w:val="0"/>
          <w:bCs/>
          <w:color w:val="000000"/>
          <w:sz w:val="32"/>
          <w:szCs w:val="32"/>
        </w:rPr>
        <w:t>支出决算为2.27万元，完成预算100%。</w:t>
      </w:r>
    </w:p>
    <w:p>
      <w:pPr>
        <w:spacing w:line="576" w:lineRule="exact"/>
        <w:ind w:firstLine="643" w:firstLineChars="200"/>
        <w:rPr>
          <w:rFonts w:ascii="仿宋_GB2312" w:eastAsia="仿宋_GB2312" w:cs="仿宋_GB2312"/>
          <w:bCs/>
          <w:color w:val="000000"/>
          <w:sz w:val="32"/>
          <w:szCs w:val="32"/>
        </w:rPr>
      </w:pPr>
      <w:r>
        <w:rPr>
          <w:rFonts w:hint="eastAsia" w:ascii="仿宋_GB2312" w:eastAsia="仿宋_GB2312" w:cs="仿宋_GB2312"/>
          <w:b/>
          <w:color w:val="000000"/>
          <w:sz w:val="32"/>
          <w:szCs w:val="32"/>
        </w:rPr>
        <w:t>6.农林水支出(213)</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巩固脱贫衔接乡村振兴(05)</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其他巩固脱贫衔接乡村振兴支出(99):</w:t>
      </w:r>
      <w:r>
        <w:rPr>
          <w:rStyle w:val="24"/>
          <w:rFonts w:hint="eastAsia" w:ascii="仿宋_GB2312" w:eastAsia="仿宋_GB2312" w:cs="仿宋_GB2312"/>
          <w:b w:val="0"/>
          <w:bCs/>
          <w:color w:val="000000"/>
          <w:sz w:val="32"/>
          <w:szCs w:val="32"/>
        </w:rPr>
        <w:t xml:space="preserve"> 支出决算为8.82万元，完成预算100%。</w:t>
      </w:r>
    </w:p>
    <w:p>
      <w:pPr>
        <w:spacing w:line="576" w:lineRule="exact"/>
        <w:ind w:firstLine="643" w:firstLineChars="200"/>
        <w:rPr>
          <w:rFonts w:ascii="仿宋_GB2312" w:eastAsia="仿宋_GB2312" w:cs="仿宋_GB2312"/>
          <w:bCs/>
          <w:color w:val="000000"/>
          <w:sz w:val="32"/>
          <w:szCs w:val="32"/>
        </w:rPr>
      </w:pPr>
      <w:r>
        <w:rPr>
          <w:rFonts w:hint="eastAsia" w:ascii="仿宋_GB2312" w:eastAsia="仿宋_GB2312" w:cs="仿宋_GB2312"/>
          <w:b/>
          <w:color w:val="000000"/>
          <w:sz w:val="32"/>
          <w:szCs w:val="32"/>
        </w:rPr>
        <w:t>7.住房保障支出(221)</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住房改革支出(02)</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住房公积金(01):</w:t>
      </w:r>
      <w:r>
        <w:rPr>
          <w:rStyle w:val="24"/>
          <w:rFonts w:hint="eastAsia" w:ascii="仿宋_GB2312" w:eastAsia="仿宋_GB2312" w:cs="仿宋_GB2312"/>
          <w:b w:val="0"/>
          <w:bCs/>
          <w:color w:val="000000"/>
          <w:sz w:val="32"/>
          <w:szCs w:val="32"/>
        </w:rPr>
        <w:t xml:space="preserve"> 支出决算为3.5万元，完成预算100%。</w:t>
      </w:r>
    </w:p>
    <w:p>
      <w:pPr>
        <w:spacing w:line="576" w:lineRule="exact"/>
        <w:ind w:firstLine="643" w:firstLineChars="200"/>
        <w:rPr>
          <w:rFonts w:ascii="仿宋_GB2312" w:eastAsia="仿宋_GB2312" w:cs="仿宋_GB2312"/>
          <w:b/>
          <w:color w:val="000000"/>
          <w:sz w:val="32"/>
          <w:szCs w:val="32"/>
        </w:rPr>
      </w:pPr>
      <w:r>
        <w:rPr>
          <w:rStyle w:val="24"/>
          <w:rFonts w:hint="eastAsia" w:ascii="仿宋_GB2312" w:eastAsia="仿宋_GB2312" w:cs="仿宋_GB2312"/>
          <w:bCs/>
          <w:color w:val="000000"/>
          <w:sz w:val="32"/>
          <w:szCs w:val="32"/>
        </w:rPr>
        <w:t>8.其他支出(229)</w:t>
      </w:r>
      <w:r>
        <w:rPr>
          <w:rFonts w:hint="eastAsia" w:ascii="仿宋_GB2312" w:eastAsia="仿宋_GB2312" w:cs="仿宋_GB2312"/>
          <w:sz w:val="32"/>
          <w:szCs w:val="32"/>
        </w:rPr>
        <w:t xml:space="preserve"> </w:t>
      </w:r>
      <w:r>
        <w:rPr>
          <w:rStyle w:val="24"/>
          <w:rFonts w:hint="eastAsia" w:ascii="仿宋_GB2312" w:eastAsia="仿宋_GB2312" w:cs="仿宋_GB2312"/>
          <w:bCs/>
          <w:color w:val="000000"/>
          <w:sz w:val="32"/>
          <w:szCs w:val="32"/>
        </w:rPr>
        <w:t>其他支出(99)</w:t>
      </w:r>
      <w:r>
        <w:rPr>
          <w:rFonts w:hint="eastAsia" w:ascii="仿宋_GB2312" w:eastAsia="仿宋_GB2312" w:cs="仿宋_GB2312"/>
          <w:sz w:val="32"/>
          <w:szCs w:val="32"/>
        </w:rPr>
        <w:t xml:space="preserve"> </w:t>
      </w:r>
      <w:r>
        <w:rPr>
          <w:rStyle w:val="24"/>
          <w:rFonts w:hint="eastAsia" w:ascii="仿宋_GB2312" w:eastAsia="仿宋_GB2312" w:cs="仿宋_GB2312"/>
          <w:bCs/>
          <w:color w:val="000000"/>
          <w:sz w:val="32"/>
          <w:szCs w:val="32"/>
        </w:rPr>
        <w:t>其他支出(01):</w:t>
      </w:r>
      <w:r>
        <w:rPr>
          <w:rStyle w:val="24"/>
          <w:rFonts w:hint="eastAsia" w:ascii="仿宋_GB2312" w:eastAsia="仿宋_GB2312" w:cs="仿宋_GB2312"/>
          <w:b w:val="0"/>
          <w:bCs/>
          <w:color w:val="000000"/>
          <w:sz w:val="32"/>
          <w:szCs w:val="32"/>
        </w:rPr>
        <w:t xml:space="preserve"> 支出决算为4万元，完成预算100%。</w:t>
      </w:r>
    </w:p>
    <w:p>
      <w:pPr>
        <w:tabs>
          <w:tab w:val="right" w:pos="8306"/>
        </w:tabs>
        <w:spacing w:line="576" w:lineRule="exact"/>
        <w:ind w:firstLine="640"/>
        <w:outlineLvl w:val="1"/>
        <w:rPr>
          <w:rStyle w:val="27"/>
        </w:rPr>
      </w:pPr>
      <w:bookmarkStart w:id="60" w:name="_Toc15377214"/>
      <w:bookmarkStart w:id="61" w:name="_Toc79163618"/>
      <w:bookmarkStart w:id="62" w:name="_Toc79163868"/>
      <w:bookmarkStart w:id="63" w:name="_Toc15396608"/>
      <w:r>
        <w:rPr>
          <w:rFonts w:hint="eastAsia" w:ascii="黑体" w:eastAsia="黑体"/>
          <w:color w:val="000000"/>
          <w:sz w:val="32"/>
          <w:szCs w:val="32"/>
        </w:rPr>
        <w:t>六</w:t>
      </w:r>
      <w:r>
        <w:rPr>
          <w:rFonts w:hint="eastAsia" w:ascii="黑体" w:eastAsia="黑体"/>
          <w:b/>
          <w:color w:val="000000"/>
          <w:sz w:val="32"/>
          <w:szCs w:val="32"/>
        </w:rPr>
        <w:t>、一</w:t>
      </w:r>
      <w:r>
        <w:rPr>
          <w:rStyle w:val="27"/>
          <w:rFonts w:hint="eastAsia" w:ascii="黑体" w:eastAsia="黑体"/>
          <w:b w:val="0"/>
        </w:rPr>
        <w:t>般公共预算财政拨款基本支出决算情况说明</w:t>
      </w:r>
      <w:bookmarkEnd w:id="60"/>
      <w:bookmarkEnd w:id="61"/>
      <w:bookmarkEnd w:id="62"/>
      <w:bookmarkEnd w:id="63"/>
      <w:r>
        <w:rPr>
          <w:rStyle w:val="27"/>
          <w:rFonts w:ascii="黑体" w:eastAsia="黑体"/>
          <w:b w:val="0"/>
        </w:rPr>
        <w:tab/>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2022年一般公共预算财政拨款基本支出68.68万元，其中：</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人员经费67.49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日常公用经费1.19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27"/>
          <w:rFonts w:ascii="黑体" w:eastAsia="黑体"/>
          <w:b w:val="0"/>
        </w:rPr>
      </w:pPr>
      <w:bookmarkStart w:id="64" w:name="_Toc15396609"/>
      <w:bookmarkStart w:id="65" w:name="_Toc79163869"/>
      <w:bookmarkStart w:id="66" w:name="_Toc79163619"/>
      <w:bookmarkStart w:id="67" w:name="_Toc15377215"/>
      <w:r>
        <w:rPr>
          <w:rFonts w:hint="eastAsia" w:ascii="黑体" w:eastAsia="黑体"/>
          <w:color w:val="000000"/>
          <w:sz w:val="32"/>
          <w:szCs w:val="32"/>
        </w:rPr>
        <w:t>七、</w:t>
      </w:r>
      <w:r>
        <w:rPr>
          <w:rStyle w:val="27"/>
          <w:rFonts w:hint="eastAsia" w:ascii="黑体" w:eastAsia="黑体"/>
        </w:rPr>
        <w:t>“</w:t>
      </w:r>
      <w:r>
        <w:rPr>
          <w:rStyle w:val="27"/>
          <w:rFonts w:hint="eastAsia" w:ascii="黑体" w:eastAsia="黑体"/>
          <w:b w:val="0"/>
        </w:rPr>
        <w:t>三公”经费财政拨款支出决算情况说明</w:t>
      </w:r>
      <w:bookmarkEnd w:id="64"/>
      <w:bookmarkEnd w:id="65"/>
      <w:bookmarkEnd w:id="66"/>
      <w:bookmarkEnd w:id="67"/>
    </w:p>
    <w:p>
      <w:pPr>
        <w:spacing w:line="576" w:lineRule="exact"/>
        <w:ind w:firstLine="640"/>
        <w:outlineLvl w:val="2"/>
        <w:rPr>
          <w:rFonts w:ascii="楷体_GB2312" w:eastAsia="楷体_GB2312" w:cs="楷体_GB2312"/>
          <w:b/>
          <w:color w:val="000000"/>
          <w:sz w:val="32"/>
          <w:szCs w:val="32"/>
        </w:rPr>
      </w:pPr>
      <w:bookmarkStart w:id="68" w:name="_Toc15377216"/>
      <w:bookmarkStart w:id="69" w:name="_Toc79163870"/>
      <w:bookmarkStart w:id="70" w:name="_Toc79163620"/>
      <w:r>
        <w:rPr>
          <w:rFonts w:hint="eastAsia" w:ascii="楷体_GB2312" w:eastAsia="楷体_GB2312" w:cs="楷体_GB2312"/>
          <w:b/>
          <w:color w:val="000000"/>
          <w:sz w:val="32"/>
          <w:szCs w:val="32"/>
        </w:rPr>
        <w:t>（一）“三公”经费财政拨款支出决算总体情况说明</w:t>
      </w:r>
      <w:bookmarkEnd w:id="68"/>
      <w:bookmarkEnd w:id="69"/>
      <w:bookmarkEnd w:id="70"/>
    </w:p>
    <w:p>
      <w:pPr>
        <w:spacing w:line="576" w:lineRule="exact"/>
        <w:ind w:firstLine="64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2022年“三公”经费财政拨款支出决算为0万元，</w:t>
      </w:r>
      <w:r>
        <w:rPr>
          <w:rFonts w:hint="eastAsia" w:ascii="仿宋_GB2312" w:eastAsia="仿宋_GB2312" w:cs="仿宋_GB2312"/>
          <w:color w:val="000000"/>
          <w:sz w:val="32"/>
          <w:szCs w:val="32"/>
          <w:lang w:val="en-US" w:eastAsia="zh-CN"/>
        </w:rPr>
        <w:t>与上年相比，无变化。</w:t>
      </w:r>
    </w:p>
    <w:p>
      <w:pPr>
        <w:spacing w:line="576" w:lineRule="exact"/>
        <w:ind w:firstLine="640"/>
        <w:outlineLvl w:val="2"/>
        <w:rPr>
          <w:rFonts w:ascii="楷体_GB2312" w:eastAsia="楷体_GB2312" w:cs="楷体_GB2312"/>
          <w:b/>
          <w:color w:val="000000"/>
          <w:sz w:val="32"/>
          <w:szCs w:val="32"/>
        </w:rPr>
      </w:pPr>
      <w:bookmarkStart w:id="71" w:name="_Toc79163621"/>
      <w:bookmarkStart w:id="72" w:name="_Toc79163871"/>
      <w:bookmarkStart w:id="73" w:name="_Toc15377217"/>
      <w:r>
        <w:rPr>
          <w:rFonts w:hint="eastAsia" w:ascii="楷体_GB2312" w:eastAsia="楷体_GB2312" w:cs="楷体_GB2312"/>
          <w:b/>
          <w:color w:val="000000"/>
          <w:sz w:val="32"/>
          <w:szCs w:val="32"/>
        </w:rPr>
        <w:t>（二）“三公”经费财政拨款支出决算具体情况说明</w:t>
      </w:r>
      <w:bookmarkEnd w:id="71"/>
      <w:bookmarkEnd w:id="72"/>
      <w:bookmarkEnd w:id="73"/>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2022年“三公”经费财政拨款支出决算中，因公出国（境）费支出决算0万元；公务用车购置及运行维护费支出决算0万元；公务接待费支出决算0万元。具体情况如下：</w:t>
      </w:r>
    </w:p>
    <w:p>
      <w:pPr>
        <w:pStyle w:val="2"/>
        <w:spacing w:after="0" w:line="576" w:lineRule="exact"/>
        <w:jc w:val="center"/>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drawing>
          <wp:anchor distT="0" distB="0" distL="114300" distR="114300" simplePos="0" relativeHeight="251660288" behindDoc="0" locked="0" layoutInCell="1" allowOverlap="1">
            <wp:simplePos x="0" y="0"/>
            <wp:positionH relativeFrom="column">
              <wp:posOffset>328295</wp:posOffset>
            </wp:positionH>
            <wp:positionV relativeFrom="paragraph">
              <wp:posOffset>106680</wp:posOffset>
            </wp:positionV>
            <wp:extent cx="4914900" cy="2238375"/>
            <wp:effectExtent l="0" t="0" r="19" b="34"/>
            <wp:wrapSquare wrapText="bothSides"/>
            <wp:docPr id="1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eastAsia="仿宋_GB2312" w:cs="仿宋_GB2312"/>
          <w:b w:val="0"/>
          <w:bCs w:val="0"/>
          <w:color w:val="000000"/>
          <w:sz w:val="32"/>
          <w:szCs w:val="32"/>
        </w:rPr>
        <w:t>（图7：“三公”经费财政拨款支出结构）</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
          <w:color w:val="000000"/>
          <w:sz w:val="32"/>
          <w:szCs w:val="32"/>
        </w:rPr>
        <w:t>1.因公出国（境）经费支出</w:t>
      </w:r>
      <w:r>
        <w:rPr>
          <w:rFonts w:hint="eastAsia" w:ascii="仿宋_GB2312" w:eastAsia="仿宋_GB2312" w:cs="仿宋_GB2312"/>
          <w:bCs/>
          <w:color w:val="000000"/>
          <w:kern w:val="0"/>
          <w:sz w:val="32"/>
          <w:szCs w:val="32"/>
          <w:lang w:val="zh-CN"/>
        </w:rPr>
        <w:t>0万元，完成预算100%。全年安排因公出国（境）团组0次，出国（境）0人。</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
          <w:color w:val="000000"/>
          <w:sz w:val="32"/>
          <w:szCs w:val="32"/>
        </w:rPr>
        <w:t>2.公务用车购置及运行维护费支出</w:t>
      </w:r>
      <w:r>
        <w:rPr>
          <w:rFonts w:hint="eastAsia" w:ascii="仿宋_GB2312" w:eastAsia="仿宋_GB2312" w:cs="仿宋_GB2312"/>
          <w:color w:val="000000"/>
          <w:sz w:val="32"/>
          <w:szCs w:val="32"/>
        </w:rPr>
        <w:t>0万元,</w:t>
      </w:r>
      <w:r>
        <w:rPr>
          <w:rStyle w:val="24"/>
          <w:rFonts w:hint="eastAsia" w:ascii="仿宋_GB2312" w:eastAsia="仿宋_GB2312" w:cs="仿宋_GB2312"/>
          <w:b w:val="0"/>
          <w:bCs/>
          <w:color w:val="000000"/>
          <w:sz w:val="32"/>
          <w:szCs w:val="32"/>
        </w:rPr>
        <w:t>完成预算100%。</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其中：</w:t>
      </w:r>
      <w:r>
        <w:rPr>
          <w:rFonts w:hint="eastAsia" w:ascii="仿宋_GB2312" w:eastAsia="仿宋_GB2312" w:cs="仿宋_GB2312"/>
          <w:b/>
          <w:color w:val="000000"/>
          <w:sz w:val="32"/>
          <w:szCs w:val="32"/>
        </w:rPr>
        <w:t>公务用车购置支出</w:t>
      </w:r>
      <w:r>
        <w:rPr>
          <w:rFonts w:hint="eastAsia" w:ascii="仿宋_GB2312" w:eastAsia="仿宋_GB2312" w:cs="仿宋_GB2312"/>
          <w:color w:val="000000"/>
          <w:sz w:val="32"/>
          <w:szCs w:val="32"/>
        </w:rPr>
        <w:t>0万元。全年按规定更新购置公务用车0辆，金额0元。截至2022年12月底，单位共有公务用车0辆。</w:t>
      </w:r>
      <w:r>
        <w:rPr>
          <w:rFonts w:hint="eastAsia" w:ascii="仿宋_GB2312" w:eastAsia="仿宋_GB2312" w:cs="仿宋_GB2312"/>
          <w:b/>
          <w:color w:val="000000"/>
          <w:sz w:val="32"/>
          <w:szCs w:val="32"/>
        </w:rPr>
        <w:t>公务用车运行维护费支出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
          <w:color w:val="000000"/>
          <w:sz w:val="32"/>
          <w:szCs w:val="32"/>
        </w:rPr>
        <w:t>3.公务接待费支出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国内公务接待支出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外事接待支出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与上年相比，无变化。</w:t>
      </w:r>
      <w:bookmarkStart w:id="74" w:name="_Toc15377218"/>
      <w:bookmarkStart w:id="75" w:name="_Toc15396610"/>
    </w:p>
    <w:p>
      <w:pPr>
        <w:spacing w:line="576" w:lineRule="exact"/>
        <w:ind w:firstLine="640" w:firstLineChars="200"/>
        <w:outlineLvl w:val="1"/>
        <w:rPr>
          <w:rFonts w:ascii="黑体" w:eastAsia="黑体" w:cs="仿宋_GB2312"/>
          <w:bCs/>
          <w:color w:val="000000"/>
          <w:sz w:val="32"/>
          <w:szCs w:val="32"/>
        </w:rPr>
      </w:pPr>
      <w:r>
        <w:rPr>
          <w:rFonts w:hint="eastAsia" w:ascii="黑体" w:eastAsia="黑体" w:cs="仿宋_GB2312"/>
          <w:color w:val="000000"/>
          <w:sz w:val="32"/>
          <w:szCs w:val="32"/>
        </w:rPr>
        <w:t>八、</w:t>
      </w:r>
      <w:r>
        <w:rPr>
          <w:rFonts w:hint="eastAsia" w:ascii="黑体" w:eastAsia="黑体" w:cs="仿宋_GB2312"/>
          <w:bCs/>
          <w:color w:val="000000"/>
          <w:sz w:val="32"/>
          <w:szCs w:val="32"/>
        </w:rPr>
        <w:t>政府性基金预算支出决算情况说明</w:t>
      </w:r>
      <w:bookmarkEnd w:id="74"/>
      <w:bookmarkEnd w:id="75"/>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Cs/>
          <w:color w:val="000000"/>
          <w:kern w:val="0"/>
          <w:sz w:val="32"/>
          <w:szCs w:val="32"/>
          <w:lang w:val="zh-CN"/>
        </w:rPr>
        <w:t>2022年政府性基金预算拨款支出0万元，本单位不涉及政府性基金预算拨款支出。</w:t>
      </w:r>
      <w:r>
        <w:rPr>
          <w:rFonts w:hint="eastAsia" w:ascii="仿宋_GB2312" w:eastAsia="仿宋_GB2312" w:cs="仿宋_GB2312"/>
          <w:color w:val="000000"/>
          <w:sz w:val="32"/>
          <w:szCs w:val="32"/>
          <w:lang w:val="en-US" w:eastAsia="zh-CN"/>
        </w:rPr>
        <w:t>与上年相比，无变化。</w:t>
      </w:r>
    </w:p>
    <w:p>
      <w:pPr>
        <w:numPr>
          <w:ilvl w:val="0"/>
          <w:numId w:val="2"/>
        </w:numPr>
        <w:spacing w:line="576" w:lineRule="exact"/>
        <w:ind w:firstLine="640"/>
        <w:outlineLvl w:val="1"/>
        <w:rPr>
          <w:rFonts w:ascii="黑体" w:eastAsia="黑体" w:cs="仿宋_GB2312"/>
          <w:bCs/>
          <w:color w:val="000000"/>
          <w:sz w:val="32"/>
          <w:szCs w:val="32"/>
        </w:rPr>
      </w:pPr>
      <w:bookmarkStart w:id="76" w:name="_Toc15377219"/>
      <w:bookmarkStart w:id="77" w:name="_Toc15396611"/>
      <w:r>
        <w:rPr>
          <w:rFonts w:hint="eastAsia" w:ascii="黑体" w:eastAsia="黑体" w:cs="仿宋_GB2312"/>
          <w:bCs/>
          <w:color w:val="000000"/>
          <w:sz w:val="32"/>
          <w:szCs w:val="32"/>
        </w:rPr>
        <w:t>国有资本经营预算支出决算情况说明</w:t>
      </w:r>
      <w:bookmarkEnd w:id="76"/>
      <w:bookmarkEnd w:id="77"/>
    </w:p>
    <w:p>
      <w:pPr>
        <w:spacing w:line="576" w:lineRule="exact"/>
        <w:ind w:firstLine="64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2022年国有资本经营预算拨款支出0万元，本单位不涉及国有资本经营预算拨款支出。</w:t>
      </w:r>
      <w:bookmarkStart w:id="127" w:name="_GoBack"/>
      <w:bookmarkEnd w:id="127"/>
      <w:r>
        <w:rPr>
          <w:rFonts w:hint="eastAsia" w:ascii="仿宋_GB2312" w:eastAsia="仿宋_GB2312" w:cs="仿宋_GB2312"/>
          <w:color w:val="000000"/>
          <w:sz w:val="32"/>
          <w:szCs w:val="32"/>
          <w:lang w:val="en-US" w:eastAsia="zh-CN"/>
        </w:rPr>
        <w:t>与上年相比，无变化。</w:t>
      </w:r>
    </w:p>
    <w:p>
      <w:pPr>
        <w:spacing w:line="576" w:lineRule="exact"/>
        <w:outlineLvl w:val="1"/>
        <w:rPr>
          <w:rStyle w:val="27"/>
          <w:rFonts w:ascii="黑体" w:eastAsia="黑体"/>
        </w:rPr>
      </w:pPr>
      <w:bookmarkStart w:id="78" w:name="_Toc79163624"/>
      <w:bookmarkStart w:id="79" w:name="_Toc15396612"/>
      <w:bookmarkStart w:id="80" w:name="_Toc15377221"/>
      <w:bookmarkStart w:id="81" w:name="_Toc79163874"/>
      <w:r>
        <w:rPr>
          <w:rFonts w:hint="eastAsia" w:ascii="黑体" w:eastAsia="黑体"/>
          <w:color w:val="000000"/>
          <w:sz w:val="32"/>
          <w:szCs w:val="32"/>
        </w:rPr>
        <w:t xml:space="preserve">    十</w:t>
      </w:r>
      <w:r>
        <w:rPr>
          <w:rStyle w:val="27"/>
          <w:rFonts w:hint="eastAsia" w:ascii="黑体" w:eastAsia="黑体"/>
        </w:rPr>
        <w:t>、</w:t>
      </w:r>
      <w:r>
        <w:rPr>
          <w:rStyle w:val="27"/>
          <w:rFonts w:hint="eastAsia" w:ascii="黑体" w:eastAsia="黑体"/>
          <w:b w:val="0"/>
        </w:rPr>
        <w:t>其他重要事项的情况说明</w:t>
      </w:r>
      <w:bookmarkEnd w:id="78"/>
      <w:bookmarkEnd w:id="79"/>
      <w:bookmarkEnd w:id="80"/>
      <w:bookmarkEnd w:id="81"/>
    </w:p>
    <w:p>
      <w:pPr>
        <w:spacing w:line="576" w:lineRule="exact"/>
        <w:ind w:firstLine="643" w:firstLineChars="200"/>
        <w:outlineLvl w:val="2"/>
        <w:rPr>
          <w:rFonts w:ascii="楷体_GB2312" w:eastAsia="楷体_GB2312" w:cs="楷体_GB2312"/>
          <w:b/>
          <w:color w:val="000000"/>
          <w:sz w:val="32"/>
          <w:szCs w:val="32"/>
        </w:rPr>
      </w:pPr>
      <w:bookmarkStart w:id="82" w:name="_Toc15377222"/>
      <w:bookmarkStart w:id="83" w:name="_Toc15396613"/>
      <w:bookmarkStart w:id="84" w:name="_Toc15377225"/>
      <w:bookmarkStart w:id="85" w:name="_Toc79163629"/>
      <w:bookmarkStart w:id="86" w:name="_Toc79163879"/>
      <w:r>
        <w:rPr>
          <w:rFonts w:hint="eastAsia" w:ascii="楷体_GB2312" w:eastAsia="楷体_GB2312" w:cs="楷体_GB2312"/>
          <w:b/>
          <w:color w:val="000000"/>
          <w:sz w:val="32"/>
          <w:szCs w:val="32"/>
        </w:rPr>
        <w:t>（一）机关运行经费支出情况</w:t>
      </w:r>
      <w:bookmarkEnd w:id="82"/>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2022年，中国共产主义青年团四川省阿坝州茂县委员会机关运行经费支出1.19万元，较2021年减少4.89万元，下降80.3%，主要原因是人员减少。</w:t>
      </w:r>
      <w:bookmarkStart w:id="87" w:name="_Toc15377223"/>
    </w:p>
    <w:p>
      <w:pPr>
        <w:widowControl/>
        <w:adjustRightInd w:val="0"/>
        <w:snapToGrid w:val="0"/>
        <w:spacing w:line="576" w:lineRule="atLeast"/>
        <w:ind w:firstLine="643"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87"/>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Cs/>
          <w:color w:val="000000"/>
          <w:kern w:val="0"/>
          <w:sz w:val="32"/>
          <w:szCs w:val="32"/>
          <w:lang w:val="zh-CN"/>
        </w:rPr>
        <w:t>2022年，中国共产主义青年团四川省阿坝州茂县委员会政府采购支出总额0万元，</w:t>
      </w:r>
      <w:r>
        <w:rPr>
          <w:rFonts w:hint="eastAsia" w:ascii="仿宋_GB2312" w:eastAsia="仿宋_GB2312" w:cs="仿宋_GB2312"/>
          <w:color w:val="000000"/>
          <w:sz w:val="32"/>
          <w:szCs w:val="32"/>
          <w:lang w:val="en-US" w:eastAsia="zh-CN"/>
        </w:rPr>
        <w:t>与上年相比，无变化。</w:t>
      </w:r>
    </w:p>
    <w:p>
      <w:pPr>
        <w:widowControl/>
        <w:adjustRightInd w:val="0"/>
        <w:snapToGrid w:val="0"/>
        <w:spacing w:line="576" w:lineRule="atLeast"/>
        <w:ind w:firstLine="643" w:firstLineChars="200"/>
        <w:rPr>
          <w:rFonts w:ascii="楷体_GB2312" w:eastAsia="楷体_GB2312" w:cs="楷体_GB2312"/>
          <w:b/>
          <w:color w:val="000000"/>
          <w:sz w:val="32"/>
          <w:szCs w:val="32"/>
        </w:rPr>
      </w:pPr>
      <w:bookmarkStart w:id="88" w:name="_Toc15377224"/>
      <w:r>
        <w:rPr>
          <w:rFonts w:hint="eastAsia" w:ascii="楷体_GB2312" w:eastAsia="楷体_GB2312" w:cs="楷体_GB2312"/>
          <w:b/>
          <w:color w:val="000000"/>
          <w:sz w:val="32"/>
          <w:szCs w:val="32"/>
        </w:rPr>
        <w:t>（三）国有资产占有使用情况</w:t>
      </w:r>
      <w:bookmarkEnd w:id="88"/>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Cs/>
          <w:color w:val="000000"/>
          <w:kern w:val="0"/>
          <w:sz w:val="32"/>
          <w:szCs w:val="32"/>
          <w:lang w:val="zh-CN"/>
        </w:rPr>
        <w:t>截至2022年12月31日，中国共产主义青年团四川省阿坝州茂县委员会共有车辆0辆，</w:t>
      </w:r>
      <w:r>
        <w:rPr>
          <w:rFonts w:hint="eastAsia" w:ascii="仿宋_GB2312" w:eastAsia="仿宋_GB2312" w:cs="仿宋_GB2312"/>
          <w:color w:val="000000"/>
          <w:sz w:val="32"/>
          <w:szCs w:val="32"/>
          <w:lang w:val="en-US" w:eastAsia="zh-CN"/>
        </w:rPr>
        <w:t>与上年相比，无变化。</w:t>
      </w:r>
    </w:p>
    <w:p>
      <w:pPr>
        <w:widowControl/>
        <w:adjustRightInd w:val="0"/>
        <w:snapToGrid w:val="0"/>
        <w:spacing w:line="576" w:lineRule="atLeast"/>
        <w:ind w:firstLine="643"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bCs/>
          <w:color w:val="000000"/>
          <w:kern w:val="0"/>
          <w:sz w:val="32"/>
          <w:szCs w:val="32"/>
          <w:lang w:val="zh-CN"/>
        </w:rPr>
        <w:t>根据预算绩效管理要求，我委在年初预算编制阶段，组织对2022年</w:t>
      </w:r>
      <w:r>
        <w:rPr>
          <w:rFonts w:hint="eastAsia" w:ascii="仿宋_GB2312" w:hAnsi="宋体" w:eastAsia="仿宋_GB2312"/>
          <w:sz w:val="32"/>
          <w:szCs w:val="32"/>
        </w:rPr>
        <w:t>西部计划志愿者基本工资及艰苦边远地区津贴经费、2022年度</w:t>
      </w:r>
      <w:r>
        <w:rPr>
          <w:rFonts w:hint="eastAsia" w:ascii="仿宋_GB2312" w:hAnsi="宋体" w:eastAsia="仿宋_GB2312"/>
          <w:sz w:val="32"/>
          <w:szCs w:val="32"/>
          <w:lang w:val="zh-CN"/>
        </w:rPr>
        <w:t>进行浙江平湖考察学习工作经费、2022年</w:t>
      </w:r>
      <w:r>
        <w:rPr>
          <w:rFonts w:hint="eastAsia" w:ascii="仿宋_GB2312" w:hAnsi="宋体" w:eastAsia="仿宋_GB2312"/>
          <w:sz w:val="32"/>
          <w:szCs w:val="32"/>
        </w:rPr>
        <w:t>州级留守学生之家补助资金3个项目</w:t>
      </w:r>
      <w:r>
        <w:rPr>
          <w:rFonts w:hint="eastAsia" w:ascii="仿宋_GB2312" w:eastAsia="仿宋_GB2312" w:cs="仿宋_GB2312"/>
          <w:bCs/>
          <w:color w:val="000000"/>
          <w:kern w:val="0"/>
          <w:sz w:val="32"/>
          <w:szCs w:val="32"/>
          <w:lang w:val="zh-CN"/>
        </w:rPr>
        <w:t>开展了预算事前绩效评估，对3个项目编制了绩效目标，预算执行过程中，对3个项目开展绩效监控，年终执行完毕后，对3个项目开展了绩效目标完成情况自评。</w:t>
      </w:r>
      <w:r>
        <w:rPr>
          <w:rFonts w:ascii="仿宋_GB2312" w:eastAsia="仿宋_GB2312"/>
          <w:color w:val="000000"/>
          <w:sz w:val="32"/>
          <w:szCs w:val="32"/>
        </w:rPr>
        <w:t>绩效自评表详见第四部分附件。</w:t>
      </w:r>
    </w:p>
    <w:p>
      <w:pPr>
        <w:pStyle w:val="20"/>
        <w:widowControl/>
        <w:spacing w:line="576" w:lineRule="exact"/>
      </w:pPr>
      <w:r>
        <w:t> </w:t>
      </w:r>
    </w:p>
    <w:p>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pPr>
        <w:spacing w:line="576" w:lineRule="exact"/>
        <w:ind w:left="315" w:leftChars="150"/>
        <w:jc w:val="center"/>
        <w:outlineLvl w:val="0"/>
        <w:rPr>
          <w:rStyle w:val="26"/>
          <w:rFonts w:ascii="方正小标宋简体" w:eastAsia="方正小标宋简体" w:cs="方正小标宋简体"/>
          <w:b w:val="0"/>
        </w:rPr>
      </w:pPr>
      <w:r>
        <w:rPr>
          <w:rFonts w:hint="eastAsia" w:ascii="方正小标宋简体" w:eastAsia="方正小标宋简体" w:cs="方正小标宋简体"/>
          <w:color w:val="000000"/>
          <w:sz w:val="44"/>
          <w:szCs w:val="44"/>
        </w:rPr>
        <w:t>第三部分 名</w:t>
      </w:r>
      <w:r>
        <w:rPr>
          <w:rStyle w:val="26"/>
          <w:rFonts w:hint="eastAsia" w:ascii="方正小标宋简体" w:eastAsia="方正小标宋简体" w:cs="方正小标宋简体"/>
          <w:b w:val="0"/>
        </w:rPr>
        <w:t>词解释</w:t>
      </w:r>
      <w:bookmarkEnd w:id="83"/>
      <w:bookmarkEnd w:id="84"/>
      <w:bookmarkEnd w:id="85"/>
      <w:bookmarkEnd w:id="86"/>
    </w:p>
    <w:p>
      <w:pPr>
        <w:spacing w:line="576" w:lineRule="exact"/>
        <w:jc w:val="left"/>
        <w:rPr>
          <w:rFonts w:ascii="方正小标宋简体" w:eastAsia="方正小标宋简体" w:cs="方正小标宋简体"/>
          <w:b/>
          <w:color w:val="000000"/>
          <w:sz w:val="44"/>
          <w:szCs w:val="44"/>
        </w:rPr>
      </w:pP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bookmarkStart w:id="89" w:name="_Toc15377226"/>
      <w:r>
        <w:rPr>
          <w:rFonts w:hint="eastAsia" w:ascii="仿宋_GB2312" w:eastAsia="仿宋_GB2312" w:cs="仿宋_GB2312"/>
          <w:bCs/>
          <w:color w:val="000000"/>
          <w:kern w:val="0"/>
          <w:sz w:val="32"/>
          <w:szCs w:val="32"/>
          <w:lang w:val="zh-CN"/>
        </w:rPr>
        <w:t>1.财政拨款收入：指单位从同级财政部门取得的财政预算资金。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一般公共服务（201）群众团体事务（29）行政运行（01）: 人员工资、办公支出，保障日常工作开展。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10.一般公共服务（201）群众团体事务（29）事业运行（50）: 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社会保障和就业支出（208）行政事业单位养老支出（05）机关事业单位基本养老保险缴费支出（05）: 职工养老保险经费。</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社会保障和就业支出（208）行政事业单位养老支出（05）机关事业单位职业年金缴费支出（06）: 职工职业年金。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13.卫生健康（210）行政事业单位医疗（11）行政事业单位医疗（01）:职工医疗保险。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卫生健康（210）行政事业单位医疗（11）事业单位医疗（02）: 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住房保障支出(221) 住房改革支出(02) 住房公积金(01): 职工住房公积金。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其他支出(229) 其他支出(99) 其他支出(01):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6"/>
          <w:rFonts w:ascii="方正小标宋简体" w:eastAsia="方正小标宋简体" w:cs="方正小标宋简体"/>
          <w:b w:val="0"/>
        </w:rPr>
      </w:pPr>
      <w:r>
        <w:rPr>
          <w:rFonts w:ascii="宋体"/>
          <w:b/>
          <w:color w:val="000000"/>
          <w:sz w:val="44"/>
          <w:szCs w:val="44"/>
        </w:rPr>
        <w:br w:type="page"/>
      </w:r>
      <w:bookmarkStart w:id="90" w:name="_Toc15396614"/>
      <w:bookmarkStart w:id="91" w:name="_Toc79163630"/>
      <w:bookmarkStart w:id="92" w:name="_Toc79163880"/>
      <w:r>
        <w:rPr>
          <w:rFonts w:hint="eastAsia" w:ascii="方正小标宋简体" w:eastAsia="方正小标宋简体" w:cs="方正小标宋简体"/>
          <w:color w:val="000000"/>
          <w:sz w:val="44"/>
          <w:szCs w:val="44"/>
        </w:rPr>
        <w:t>第</w:t>
      </w:r>
      <w:r>
        <w:rPr>
          <w:rStyle w:val="26"/>
          <w:rFonts w:hint="eastAsia" w:ascii="方正小标宋简体" w:eastAsia="方正小标宋简体" w:cs="方正小标宋简体"/>
          <w:b w:val="0"/>
        </w:rPr>
        <w:t>四部分 附件</w:t>
      </w:r>
      <w:bookmarkEnd w:id="90"/>
      <w:bookmarkEnd w:id="91"/>
      <w:bookmarkEnd w:id="92"/>
    </w:p>
    <w:p>
      <w:pPr>
        <w:spacing w:line="576" w:lineRule="exact"/>
        <w:jc w:val="left"/>
        <w:outlineLvl w:val="0"/>
        <w:rPr>
          <w:rFonts w:ascii="仿宋_GB2312" w:hAnsi="仿宋_GB2312" w:eastAsia="仿宋_GB2312" w:cs="仿宋_GB2312"/>
          <w:sz w:val="32"/>
          <w:szCs w:val="32"/>
        </w:rPr>
      </w:pPr>
      <w:bookmarkStart w:id="93" w:name="_Toc79163631"/>
      <w:bookmarkStart w:id="94" w:name="_Toc79163881"/>
      <w:r>
        <w:rPr>
          <w:rFonts w:hint="eastAsia" w:ascii="仿宋_GB2312" w:hAnsi="仿宋_GB2312" w:eastAsia="仿宋_GB2312" w:cs="仿宋_GB2312"/>
          <w:sz w:val="32"/>
          <w:szCs w:val="32"/>
        </w:rPr>
        <w:t>附件1</w:t>
      </w:r>
      <w:bookmarkEnd w:id="93"/>
      <w:bookmarkEnd w:id="94"/>
      <w:r>
        <w:rPr>
          <w:rFonts w:hint="eastAsia" w:ascii="仿宋_GB2312" w:hAnsi="仿宋_GB2312" w:eastAsia="仿宋_GB2312" w:cs="仿宋_GB2312"/>
          <w:sz w:val="32"/>
          <w:szCs w:val="32"/>
        </w:rPr>
        <w:t>：</w:t>
      </w:r>
    </w:p>
    <w:p>
      <w:pPr>
        <w:spacing w:line="576" w:lineRule="exact"/>
        <w:jc w:val="center"/>
        <w:rPr>
          <w:rFonts w:ascii="方正小标宋简体" w:eastAsia="方正小标宋简体" w:cs="方正小标宋简体"/>
          <w:sz w:val="44"/>
          <w:szCs w:val="44"/>
        </w:rPr>
      </w:pPr>
    </w:p>
    <w:p>
      <w:pPr>
        <w:spacing w:line="576"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共青团茂县委员会</w:t>
      </w:r>
    </w:p>
    <w:p>
      <w:pPr>
        <w:spacing w:line="576"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4"/>
          <w:szCs w:val="44"/>
        </w:rPr>
        <w:t>2022年部门</w:t>
      </w:r>
      <w:r>
        <w:rPr>
          <w:rFonts w:hint="eastAsia" w:ascii="方正小标宋简体" w:eastAsia="方正小标宋简体"/>
          <w:color w:val="000000"/>
          <w:kern w:val="0"/>
          <w:sz w:val="44"/>
          <w:szCs w:val="44"/>
          <w:lang w:val="zh-CN"/>
        </w:rPr>
        <w:t>整体支出绩效评价报告</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共青团茂县委员会下属二级单位1个，其中行政单位0个，参照公务员法管理的事业单位0个，其他事业单位1个。</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纳入共青团茂县委员会2022年度部门决算编制范围的二级预算单位包括：</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茂县青少年活动中心</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5.维护青少年的正当权益。</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6.指导乡镇团体开展工作。依据上级有关规定，负责全县团员团费的收缴、管理和使用。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7.配合县委抓好青少年党建工作，做好优秀团员入党的推荐工作。</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总编制3名,其中:行政编制0名,参照公务员法管理的事业编制3名。现有在职人员总数3名，其中：参照公务员法管理的事业编3名。</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76" w:lineRule="atLeast"/>
        <w:ind w:firstLine="643" w:firstLineChars="200"/>
        <w:jc w:val="left"/>
        <w:rPr>
          <w:rFonts w:ascii="楷体_GB2312" w:eastAsia="楷体_GB2312" w:cs="楷体_GB2312"/>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2022年本年收入合计106.38万元，其中：一般公共预算财政拨款收入106.38万元。</w:t>
      </w:r>
    </w:p>
    <w:p>
      <w:pPr>
        <w:widowControl/>
        <w:adjustRightInd w:val="0"/>
        <w:snapToGrid w:val="0"/>
        <w:spacing w:line="576" w:lineRule="atLeast"/>
        <w:ind w:firstLine="643" w:firstLineChars="200"/>
        <w:jc w:val="left"/>
        <w:rPr>
          <w:rFonts w:ascii="楷体_GB2312" w:eastAsia="楷体_GB2312" w:cs="楷体_GB2312"/>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（二）部门财政资金支出情况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2022年一般公共预算财政拨款支出106.38万元。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1.本年财政拨款支出按功能科目分类包括：一般公共服务支出81.03万元；社会保障和就业支出6.76万元；卫生健康支出2.27万元；农林水支出8.82万元；住房保障支出3.5万元；其他支出4万元。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2.本年财政拨款支出按经济科目分类包括：工资福利支出55.04万元；对家庭和个人的补助37.33万元；商品和服务支出14.01万元。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3.本年财政拨款支出按支出性质分类包括：1.基本支出68.68万元（其中：人员经费67.49万元；日常公用经费1.19）；2.项目支出37.7万元。</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单位严格按照县级部门预算编制通知和有关要求，按时完成基础库、项目库报送工作，按时完成2023年预算编制工作，并按时提交部门预算草案。按规定编制政府采购预算，预算编制全面、科学。2022年部门决算、绩效目标填报及年末结余结转都是严格按照县财政局的要求认真完成。 </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（二）结果应用情况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财政拨款支出主要用于保障我单位机构正常运转、完成日常工作任务以及承担本单位事业发展相关工作。 基本支出，是用于保障事业单位等机构正常运转的日常支出，包括基本工资、津贴补贴等人员经费以及办公费、印刷费、水电费、办公设备购置等日常公用经费。</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按支出功能分类主要用于以下方面：一般公共服务，社会保障和就业，卫生健康、住房保障等支出。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单位认真执行中央八项规定，严格控制三公经费支出。2022年我单位未发生三公经费费用支出。我单位严格执行《茂县县级财政专项资金绩效分配管理暂行办法》进行绩效分配制度。严格按照用款计划，分月、季度执行，按照项目资金管理办法实行专款专用。</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按照预算法按时完成预决算编制。在执行过程中有计划进行资金申报使用，完善资金管理及内部控制制度，确保资金安全，做到账款、账账、账实相符。</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（二）存在问题</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由于人员配备不够，对单位资金安排、使用、核算上存在不很合理现象，导致财务工作由滞后等情况。</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（三）改进建议</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在今后工作中，进一步提高工作效率，保障资金安全，更好地完成本职工作。</w:t>
      </w:r>
    </w:p>
    <w:p>
      <w:pPr>
        <w:spacing w:line="576" w:lineRule="atLeast"/>
        <w:ind w:firstLine="640" w:firstLineChars="200"/>
        <w:rPr>
          <w:rFonts w:ascii="仿宋_GB2312" w:eastAsia="仿宋_GB2312" w:cs="宋体"/>
          <w:color w:val="000000"/>
          <w:kern w:val="0"/>
          <w:sz w:val="32"/>
          <w:szCs w:val="32"/>
          <w:shd w:val="clear" w:color="auto" w:fill="FFFFFF"/>
          <w:lang w:val="zh-CN"/>
        </w:rPr>
      </w:pPr>
    </w:p>
    <w:p>
      <w:pPr>
        <w:spacing w:line="576" w:lineRule="atLeast"/>
        <w:jc w:val="right"/>
        <w:rPr>
          <w:rFonts w:ascii="仿宋_GB2312" w:eastAsia="仿宋_GB2312" w:cs="宋体"/>
          <w:color w:val="000000"/>
          <w:kern w:val="0"/>
          <w:sz w:val="32"/>
          <w:szCs w:val="32"/>
          <w:shd w:val="clear" w:color="auto" w:fill="FFFFFF"/>
          <w:lang w:val="zh-CN"/>
        </w:rPr>
      </w:pPr>
    </w:p>
    <w:p>
      <w:pPr>
        <w:spacing w:line="576" w:lineRule="exact"/>
        <w:jc w:val="center"/>
        <w:rPr>
          <w:rFonts w:ascii="方正小标宋简体" w:eastAsia="方正小标宋简体"/>
          <w:color w:val="000000"/>
          <w:kern w:val="0"/>
          <w:sz w:val="40"/>
          <w:szCs w:val="44"/>
          <w:lang w:val="zh-CN"/>
        </w:rPr>
      </w:pPr>
    </w:p>
    <w:p/>
    <w:p>
      <w:pPr>
        <w:spacing w:line="576" w:lineRule="exact"/>
        <w:jc w:val="left"/>
        <w:outlineLvl w:val="0"/>
        <w:rPr>
          <w:rFonts w:ascii="黑体" w:eastAsia="黑体" w:cs="黑体"/>
          <w:sz w:val="32"/>
          <w:szCs w:val="32"/>
        </w:rPr>
      </w:pPr>
      <w:bookmarkStart w:id="95" w:name="_Toc15396618"/>
      <w:bookmarkStart w:id="96" w:name="_Toc79163885"/>
      <w:bookmarkStart w:id="97" w:name="_Toc79163635"/>
    </w:p>
    <w:p>
      <w:pPr>
        <w:spacing w:line="576" w:lineRule="exact"/>
        <w:jc w:val="left"/>
        <w:outlineLvl w:val="0"/>
        <w:rPr>
          <w:rFonts w:ascii="黑体" w:eastAsia="黑体" w:cs="黑体"/>
          <w:sz w:val="32"/>
          <w:szCs w:val="32"/>
        </w:rPr>
      </w:pPr>
    </w:p>
    <w:p>
      <w:pPr>
        <w:spacing w:line="576" w:lineRule="exact"/>
        <w:jc w:val="left"/>
        <w:outlineLvl w:val="0"/>
      </w:pPr>
    </w:p>
    <w:p>
      <w:pPr>
        <w:spacing w:line="576" w:lineRule="exact"/>
        <w:jc w:val="left"/>
        <w:outlineLvl w:val="0"/>
      </w:pPr>
    </w:p>
    <w:p>
      <w:pPr>
        <w:spacing w:line="576" w:lineRule="exact"/>
        <w:jc w:val="left"/>
        <w:outlineLvl w:val="0"/>
      </w:pPr>
      <w:r>
        <w:rPr>
          <w:rFonts w:hint="eastAsia" w:ascii="黑体" w:eastAsia="黑体" w:cs="黑体"/>
          <w:sz w:val="32"/>
          <w:szCs w:val="32"/>
        </w:rPr>
        <w:t>附件2：</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tabs>
          <w:tab w:val="left" w:pos="3885"/>
        </w:tabs>
        <w:snapToGrid w:val="0"/>
        <w:spacing w:line="600" w:lineRule="exact"/>
        <w:jc w:val="center"/>
        <w:rPr>
          <w:rFonts w:hAnsi="宋体"/>
        </w:rPr>
      </w:pPr>
      <w:r>
        <w:rPr>
          <w:rFonts w:hint="eastAsia" w:hAnsi="宋体"/>
        </w:rPr>
        <w:t>（团县委2022年项目）</w:t>
      </w:r>
    </w:p>
    <w:p>
      <w:pPr>
        <w:numPr>
          <w:ilvl w:val="0"/>
          <w:numId w:val="3"/>
        </w:numPr>
        <w:tabs>
          <w:tab w:val="left" w:pos="3885"/>
        </w:tabs>
        <w:snapToGrid w:val="0"/>
        <w:spacing w:line="600" w:lineRule="exact"/>
        <w:ind w:firstLine="640" w:firstLineChars="200"/>
        <w:jc w:val="left"/>
        <w:rPr>
          <w:rFonts w:ascii="黑体" w:hAnsi="宋体" w:eastAsia="黑体"/>
          <w:sz w:val="32"/>
          <w:szCs w:val="32"/>
        </w:rPr>
      </w:pPr>
      <w:r>
        <w:rPr>
          <w:rFonts w:hint="eastAsia" w:ascii="黑体" w:hAnsi="宋体" w:eastAsia="黑体"/>
          <w:sz w:val="32"/>
          <w:szCs w:val="32"/>
        </w:rPr>
        <w:t>基本情况</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（一）项目概况</w:t>
      </w:r>
    </w:p>
    <w:p>
      <w:pPr>
        <w:adjustRightInd w:val="0"/>
        <w:snapToGrid w:val="0"/>
        <w:spacing w:line="600" w:lineRule="exact"/>
        <w:ind w:firstLine="720"/>
        <w:rPr>
          <w:rFonts w:ascii="仿宋_GB2312" w:hAnsi="宋体" w:eastAsia="仿宋_GB2312"/>
        </w:rPr>
      </w:pPr>
      <w:r>
        <w:rPr>
          <w:rFonts w:hint="eastAsia" w:ascii="仿宋_GB2312" w:hAnsi="宋体" w:eastAsia="仿宋_GB2312"/>
          <w:sz w:val="32"/>
          <w:szCs w:val="32"/>
        </w:rPr>
        <w:t>1.</w:t>
      </w:r>
      <w:r>
        <w:rPr>
          <w:rFonts w:hint="eastAsia" w:ascii="仿宋_GB2312" w:hAnsi="宋体" w:eastAsia="仿宋_GB2312"/>
          <w:sz w:val="32"/>
          <w:szCs w:val="32"/>
          <w:lang w:val="zh-CN"/>
        </w:rPr>
        <w:t>根据茂财行【</w:t>
      </w:r>
      <w:r>
        <w:rPr>
          <w:rFonts w:hint="eastAsia" w:ascii="仿宋_GB2312" w:hAnsi="宋体" w:eastAsia="仿宋_GB2312"/>
          <w:sz w:val="32"/>
          <w:szCs w:val="32"/>
        </w:rPr>
        <w:t>2022</w:t>
      </w:r>
      <w:r>
        <w:rPr>
          <w:rFonts w:hint="eastAsia" w:ascii="仿宋_GB2312" w:hAnsi="宋体" w:eastAsia="仿宋_GB2312"/>
          <w:sz w:val="32"/>
          <w:szCs w:val="32"/>
          <w:lang w:val="zh-CN"/>
        </w:rPr>
        <w:t>】</w:t>
      </w:r>
      <w:r>
        <w:rPr>
          <w:rFonts w:hint="eastAsia" w:ascii="仿宋_GB2312" w:hAnsi="宋体" w:eastAsia="仿宋_GB2312"/>
          <w:sz w:val="32"/>
          <w:szCs w:val="32"/>
        </w:rPr>
        <w:t>3号文件，安排我单位发放西部计划志愿者基本工资及艰苦边远地区津贴经费24.88万元；根据对口援建【2022】00014号文件，安排我单位2022年度</w:t>
      </w:r>
      <w:r>
        <w:rPr>
          <w:rFonts w:hint="eastAsia" w:ascii="仿宋_GB2312" w:hAnsi="宋体" w:eastAsia="仿宋_GB2312"/>
          <w:sz w:val="32"/>
          <w:szCs w:val="32"/>
          <w:lang w:val="zh-CN"/>
        </w:rPr>
        <w:t>进行浙江平湖考察学习工作经费</w:t>
      </w:r>
      <w:r>
        <w:rPr>
          <w:rFonts w:hint="eastAsia" w:ascii="仿宋_GB2312" w:hAnsi="宋体" w:eastAsia="仿宋_GB2312"/>
          <w:sz w:val="32"/>
          <w:szCs w:val="32"/>
        </w:rPr>
        <w:t>8.82万元；根据</w:t>
      </w:r>
      <w:r>
        <w:rPr>
          <w:rFonts w:hint="eastAsia" w:ascii="仿宋_GB2312" w:hAnsi="宋体" w:eastAsia="仿宋_GB2312"/>
          <w:sz w:val="32"/>
          <w:szCs w:val="32"/>
          <w:lang w:val="zh-CN"/>
        </w:rPr>
        <w:t>茂财行</w:t>
      </w:r>
      <w:r>
        <w:rPr>
          <w:rFonts w:hint="eastAsia" w:ascii="仿宋_GB2312" w:hAnsi="宋体" w:eastAsia="仿宋_GB2312"/>
          <w:sz w:val="32"/>
          <w:szCs w:val="32"/>
        </w:rPr>
        <w:t>【2022】28号文件，安排我单位州级留守学生之家补助资金4万元，2022年共3个项目。</w:t>
      </w:r>
    </w:p>
    <w:p>
      <w:pPr>
        <w:adjustRightInd w:val="0"/>
        <w:snapToGrid w:val="0"/>
        <w:spacing w:line="600" w:lineRule="exact"/>
        <w:ind w:firstLine="720"/>
        <w:rPr>
          <w:rFonts w:ascii="仿宋_GB2312" w:hAnsi="宋体" w:eastAsia="仿宋_GB231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在项目实施过程中严格按照规定使用资金，做到专款专用，严禁虚报、挤占、挪用，无违反规定的行为发生。</w:t>
      </w:r>
    </w:p>
    <w:p>
      <w:pPr>
        <w:adjustRightInd w:val="0"/>
        <w:snapToGrid w:val="0"/>
        <w:spacing w:line="600" w:lineRule="exact"/>
        <w:ind w:firstLine="720"/>
        <w:rPr>
          <w:rFonts w:ascii="仿宋_GB2312" w:hAnsi="宋体" w:eastAsia="仿宋_GB2312"/>
          <w:bCs/>
        </w:rPr>
      </w:pPr>
      <w:r>
        <w:rPr>
          <w:rFonts w:hint="eastAsia" w:ascii="仿宋_GB2312" w:hAnsi="宋体" w:eastAsia="仿宋_GB2312"/>
          <w:sz w:val="32"/>
          <w:szCs w:val="32"/>
        </w:rPr>
        <w:t>3.资</w:t>
      </w:r>
      <w:r>
        <w:rPr>
          <w:rFonts w:hint="eastAsia" w:ascii="仿宋_GB2312" w:hAnsi="宋体" w:eastAsia="仿宋_GB2312"/>
          <w:bCs/>
          <w:sz w:val="32"/>
          <w:szCs w:val="32"/>
        </w:rPr>
        <w:t>金均用于交流交往学习、新建2个童伴之家、西部计划补助等工作经费。</w:t>
      </w:r>
    </w:p>
    <w:p>
      <w:pPr>
        <w:numPr>
          <w:ilvl w:val="0"/>
          <w:numId w:val="3"/>
        </w:numPr>
        <w:tabs>
          <w:tab w:val="left" w:pos="3885"/>
        </w:tabs>
        <w:snapToGrid w:val="0"/>
        <w:spacing w:line="600" w:lineRule="exact"/>
        <w:ind w:firstLine="640" w:firstLineChars="200"/>
        <w:jc w:val="left"/>
        <w:rPr>
          <w:rFonts w:ascii="黑体" w:hAnsi="宋体" w:eastAsia="黑体"/>
          <w:sz w:val="32"/>
          <w:szCs w:val="32"/>
        </w:rPr>
      </w:pPr>
      <w:r>
        <w:rPr>
          <w:rFonts w:hint="eastAsia" w:ascii="黑体" w:hAnsi="宋体" w:eastAsia="黑体"/>
          <w:sz w:val="32"/>
          <w:szCs w:val="32"/>
        </w:rPr>
        <w:t>评价工作开展情况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组织相关人员整理相关资料，查阅财务资料，细化绩效目标等，开展绩效自评相关工作。</w:t>
      </w:r>
    </w:p>
    <w:p>
      <w:pPr>
        <w:numPr>
          <w:ilvl w:val="0"/>
          <w:numId w:val="3"/>
        </w:numPr>
        <w:tabs>
          <w:tab w:val="left" w:pos="3885"/>
        </w:tabs>
        <w:snapToGrid w:val="0"/>
        <w:spacing w:line="600" w:lineRule="exact"/>
        <w:ind w:firstLine="640" w:firstLineChars="200"/>
        <w:jc w:val="left"/>
        <w:rPr>
          <w:rFonts w:ascii="黑体" w:hAnsi="宋体" w:eastAsia="黑体"/>
          <w:sz w:val="32"/>
          <w:szCs w:val="32"/>
        </w:rPr>
      </w:pPr>
      <w:r>
        <w:rPr>
          <w:rFonts w:hint="eastAsia" w:ascii="黑体" w:hAnsi="宋体" w:eastAsia="黑体"/>
          <w:sz w:val="32"/>
          <w:szCs w:val="32"/>
        </w:rPr>
        <w:t>综合评价结论</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项目已按申报内容完成相关绩效目标，项目进度已完成100%；项目申报内容与实际相符，申报目标合理可行。</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四、绩效评价分析</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（一）项目绩效目标。</w:t>
      </w:r>
    </w:p>
    <w:p>
      <w:pPr>
        <w:adjustRightInd w:val="0"/>
        <w:snapToGrid w:val="0"/>
        <w:spacing w:line="600" w:lineRule="exact"/>
        <w:ind w:firstLine="720"/>
        <w:rPr>
          <w:rFonts w:ascii="仿宋_GB2312" w:hAnsi="宋体"/>
        </w:rPr>
      </w:pPr>
      <w:r>
        <w:rPr>
          <w:rFonts w:ascii="仿宋_GB2312" w:hAnsi="宋体" w:eastAsia="仿宋_GB2312"/>
          <w:sz w:val="32"/>
          <w:szCs w:val="32"/>
          <w:lang w:val="zh-CN"/>
        </w:rPr>
        <w:t>1</w:t>
      </w:r>
      <w:r>
        <w:rPr>
          <w:rFonts w:hint="eastAsia" w:ascii="仿宋_GB2312" w:hAnsi="宋体"/>
          <w:sz w:val="32"/>
          <w:szCs w:val="32"/>
        </w:rPr>
        <w:t>.</w:t>
      </w:r>
      <w:r>
        <w:rPr>
          <w:rFonts w:hint="eastAsia" w:ascii="仿宋_GB2312" w:hAnsi="宋体" w:eastAsia="仿宋_GB2312"/>
          <w:sz w:val="32"/>
          <w:szCs w:val="32"/>
        </w:rPr>
        <w:t>项目主要内容。</w:t>
      </w:r>
      <w:r>
        <w:rPr>
          <w:rFonts w:hint="eastAsia" w:ascii="仿宋_GB2312" w:hAnsi="宋体"/>
          <w:sz w:val="32"/>
          <w:szCs w:val="32"/>
        </w:rPr>
        <w:t>开展交流交往学习活动</w:t>
      </w:r>
      <w:r>
        <w:rPr>
          <w:rFonts w:hint="eastAsia" w:ascii="仿宋_GB2312" w:hAnsi="宋体"/>
          <w:bCs/>
          <w:sz w:val="32"/>
          <w:szCs w:val="32"/>
        </w:rPr>
        <w:t>、新建2个童伴之家、西部计划补助</w:t>
      </w:r>
      <w:r>
        <w:rPr>
          <w:rFonts w:hint="eastAsia" w:ascii="仿宋_GB2312" w:hAnsi="宋体" w:eastAsia="仿宋_GB2312"/>
          <w:bCs/>
          <w:sz w:val="32"/>
          <w:szCs w:val="32"/>
        </w:rPr>
        <w:t>等方面的工作</w:t>
      </w:r>
      <w:r>
        <w:rPr>
          <w:rFonts w:hint="eastAsia" w:ascii="仿宋_GB2312" w:hAnsi="宋体"/>
          <w:bCs/>
          <w:sz w:val="32"/>
          <w:szCs w:val="32"/>
        </w:rPr>
        <w:t>。</w:t>
      </w:r>
    </w:p>
    <w:p>
      <w:pPr>
        <w:adjustRightInd w:val="0"/>
        <w:snapToGrid w:val="0"/>
        <w:spacing w:line="600" w:lineRule="exact"/>
        <w:ind w:firstLine="720"/>
        <w:rPr>
          <w:rFonts w:ascii="仿宋_GB2312" w:hAnsi="宋体"/>
          <w:lang w:val="zh-CN"/>
        </w:rPr>
      </w:pPr>
      <w:r>
        <w:rPr>
          <w:rFonts w:ascii="仿宋_GB2312" w:hAnsi="宋体" w:eastAsia="仿宋_GB2312"/>
          <w:sz w:val="32"/>
          <w:szCs w:val="32"/>
          <w:lang w:val="zh-CN"/>
        </w:rPr>
        <w:t>2</w:t>
      </w:r>
      <w:r>
        <w:rPr>
          <w:rFonts w:hint="eastAsia" w:ascii="仿宋_GB2312" w:hAnsi="宋体"/>
          <w:sz w:val="32"/>
          <w:szCs w:val="32"/>
        </w:rPr>
        <w:t>.</w:t>
      </w:r>
      <w:r>
        <w:rPr>
          <w:rFonts w:hint="eastAsia" w:ascii="仿宋_GB2312" w:hAnsi="宋体" w:eastAsia="仿宋_GB2312"/>
          <w:sz w:val="32"/>
          <w:szCs w:val="32"/>
          <w:lang w:val="zh-CN"/>
        </w:rPr>
        <w:t>项目已按批复内容完成相关绩效目标，项目进度已完成</w:t>
      </w:r>
      <w:r>
        <w:rPr>
          <w:rFonts w:hint="eastAsia" w:ascii="仿宋_GB2312" w:hAnsi="宋体" w:eastAsia="仿宋_GB2312"/>
          <w:sz w:val="32"/>
          <w:szCs w:val="32"/>
        </w:rPr>
        <w:t>100%</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lang w:val="zh-CN"/>
        </w:rPr>
      </w:pPr>
      <w:r>
        <w:rPr>
          <w:rFonts w:ascii="仿宋_GB2312" w:hAnsi="宋体" w:eastAsia="仿宋_GB2312"/>
          <w:sz w:val="32"/>
          <w:szCs w:val="32"/>
          <w:lang w:val="zh-CN"/>
        </w:rPr>
        <w:t>3</w:t>
      </w:r>
      <w:r>
        <w:rPr>
          <w:rFonts w:hint="eastAsia" w:ascii="仿宋_GB2312" w:hAnsi="宋体"/>
          <w:sz w:val="32"/>
          <w:szCs w:val="32"/>
        </w:rPr>
        <w:t>.</w:t>
      </w:r>
      <w:r>
        <w:rPr>
          <w:rFonts w:hint="eastAsia" w:ascii="仿宋_GB2312" w:hAnsi="宋体" w:eastAsia="仿宋_GB2312"/>
          <w:sz w:val="32"/>
          <w:szCs w:val="32"/>
          <w:lang w:val="zh-CN"/>
        </w:rPr>
        <w:t>项目申报内容与实际相符，申报目标合理可行。</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项目单位财务管理制度健全，严格执行财务管理制度，账务处理及时，会计核算规范。资金支付范围、支付标准、支付进度、支付依据等合规合法。</w:t>
      </w:r>
    </w:p>
    <w:p>
      <w:pPr>
        <w:snapToGrid w:val="0"/>
        <w:spacing w:line="600" w:lineRule="exact"/>
        <w:ind w:firstLine="643" w:firstLineChars="200"/>
        <w:rPr>
          <w:rFonts w:ascii="仿宋_GB2312" w:hAnsi="仿宋"/>
        </w:rPr>
      </w:pPr>
      <w:r>
        <w:rPr>
          <w:rFonts w:hint="eastAsia" w:ascii="楷体_GB2312" w:eastAsia="楷体_GB2312" w:cs="楷体_GB2312"/>
          <w:b/>
          <w:bCs/>
          <w:color w:val="000000"/>
          <w:kern w:val="0"/>
          <w:sz w:val="32"/>
          <w:szCs w:val="32"/>
          <w:shd w:val="clear" w:color="auto" w:fill="FFFFFF"/>
          <w:lang w:val="zh-CN"/>
        </w:rPr>
        <w:t>（三）项目产出情况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通过以上三个项目实施，围绕交流学习活动、开展留守之家，累计建设2个童伴之家。</w:t>
      </w:r>
    </w:p>
    <w:p>
      <w:pPr>
        <w:widowControl/>
        <w:adjustRightInd w:val="0"/>
        <w:snapToGrid w:val="0"/>
        <w:spacing w:line="576" w:lineRule="atLeast"/>
        <w:ind w:firstLine="643"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（四）项目效益情况。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 xml:space="preserve">我单位严格按项目内容进行资金成本控制管理使用，资金管理使用得当，积极开展志愿服务宣传活动，青年活动座谈会等工作，受到群众一致好评，项目预期目标全面完成。  </w:t>
      </w:r>
    </w:p>
    <w:p>
      <w:pPr>
        <w:numPr>
          <w:ilvl w:val="0"/>
          <w:numId w:val="4"/>
        </w:numPr>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存在主要问题</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预算绩效考核指标的设定需要提升，要更加科学化、合理化。</w:t>
      </w:r>
    </w:p>
    <w:p>
      <w:pPr>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六、相关措施建议</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建议本级财政部门能够加大项目资金的支持力度，以确保该项工作及时有效的开展、进行。</w:t>
      </w:r>
    </w:p>
    <w:p>
      <w:pPr>
        <w:pStyle w:val="8"/>
        <w:ind w:left="640" w:firstLine="643"/>
        <w:rPr>
          <w:rFonts w:ascii="仿宋_GB2312" w:hAnsi="宋体"/>
          <w:lang w:val="zh-CN"/>
        </w:rPr>
      </w:pPr>
    </w:p>
    <w:p>
      <w:pPr>
        <w:spacing w:line="576" w:lineRule="exact"/>
        <w:jc w:val="center"/>
        <w:outlineLvl w:val="0"/>
        <w:rPr>
          <w:rStyle w:val="26"/>
          <w:rFonts w:ascii="方正小标宋简体" w:eastAsia="方正小标宋简体" w:cs="方正小标宋简体"/>
          <w:b w:val="0"/>
        </w:rPr>
      </w:pPr>
      <w:r>
        <w:rPr>
          <w:rFonts w:hint="eastAsia" w:ascii="方正小标宋简体" w:eastAsia="方正小标宋简体" w:cs="方正小标宋简体"/>
          <w:color w:val="000000"/>
          <w:sz w:val="44"/>
          <w:szCs w:val="44"/>
        </w:rPr>
        <w:t>第</w:t>
      </w:r>
      <w:r>
        <w:rPr>
          <w:rStyle w:val="26"/>
          <w:rFonts w:hint="eastAsia" w:ascii="方正小标宋简体" w:eastAsia="方正小标宋简体" w:cs="方正小标宋简体"/>
          <w:b w:val="0"/>
        </w:rPr>
        <w:t>五部分 附表</w:t>
      </w:r>
      <w:bookmarkEnd w:id="89"/>
      <w:bookmarkEnd w:id="95"/>
      <w:bookmarkEnd w:id="96"/>
      <w:bookmarkEnd w:id="97"/>
    </w:p>
    <w:p>
      <w:pPr>
        <w:spacing w:line="576" w:lineRule="atLeast"/>
        <w:ind w:firstLine="640" w:firstLineChars="200"/>
        <w:rPr>
          <w:rFonts w:ascii="仿宋_GB2312" w:eastAsia="仿宋_GB2312" w:cs="宋体"/>
          <w:color w:val="000000"/>
          <w:kern w:val="0"/>
          <w:sz w:val="32"/>
          <w:szCs w:val="32"/>
          <w:shd w:val="clear" w:color="auto" w:fill="FFFFFF"/>
          <w:lang w:val="zh-CN"/>
        </w:rPr>
      </w:pPr>
      <w:bookmarkStart w:id="98" w:name="_Toc79163636"/>
      <w:bookmarkStart w:id="99" w:name="_Toc79163886"/>
      <w:bookmarkStart w:id="100" w:name="_Toc15396619"/>
    </w:p>
    <w:bookmarkEnd w:id="98"/>
    <w:bookmarkEnd w:id="99"/>
    <w:bookmarkEnd w:id="100"/>
    <w:p>
      <w:pPr>
        <w:pStyle w:val="3"/>
        <w:spacing w:line="576" w:lineRule="exact"/>
        <w:rPr>
          <w:rFonts w:ascii="仿宋" w:eastAsia="仿宋"/>
          <w:b w:val="0"/>
          <w:color w:val="000000"/>
        </w:rPr>
      </w:pPr>
      <w:bookmarkStart w:id="101" w:name="_Toc26370"/>
      <w:bookmarkStart w:id="102" w:name="_Toc12986"/>
      <w:r>
        <w:rPr>
          <w:rFonts w:hint="eastAsia" w:ascii="仿宋" w:eastAsia="仿宋"/>
          <w:b w:val="0"/>
          <w:color w:val="000000"/>
        </w:rPr>
        <w:t>一、收入支出决算总表</w:t>
      </w:r>
      <w:bookmarkEnd w:id="101"/>
      <w:bookmarkEnd w:id="102"/>
    </w:p>
    <w:p>
      <w:pPr>
        <w:pStyle w:val="3"/>
        <w:spacing w:line="576" w:lineRule="exact"/>
        <w:rPr>
          <w:rFonts w:ascii="仿宋" w:eastAsia="仿宋"/>
          <w:b w:val="0"/>
          <w:color w:val="000000"/>
        </w:rPr>
      </w:pPr>
      <w:bookmarkStart w:id="103" w:name="_Toc13062"/>
      <w:bookmarkStart w:id="104" w:name="_Toc13591"/>
      <w:r>
        <w:rPr>
          <w:rFonts w:hint="eastAsia" w:ascii="仿宋" w:eastAsia="仿宋"/>
          <w:b w:val="0"/>
          <w:color w:val="000000"/>
        </w:rPr>
        <w:t>二、收入决算表</w:t>
      </w:r>
      <w:bookmarkEnd w:id="103"/>
      <w:bookmarkEnd w:id="104"/>
    </w:p>
    <w:p>
      <w:pPr>
        <w:pStyle w:val="3"/>
        <w:spacing w:line="576" w:lineRule="exact"/>
        <w:rPr>
          <w:rFonts w:ascii="仿宋" w:eastAsia="仿宋"/>
          <w:b w:val="0"/>
          <w:color w:val="000000"/>
        </w:rPr>
      </w:pPr>
      <w:bookmarkStart w:id="105" w:name="_Toc29688"/>
      <w:bookmarkStart w:id="106" w:name="_Toc16600"/>
      <w:r>
        <w:rPr>
          <w:rFonts w:hint="eastAsia" w:ascii="仿宋" w:eastAsia="仿宋"/>
          <w:b w:val="0"/>
          <w:color w:val="000000"/>
        </w:rPr>
        <w:t>三、支出决算表</w:t>
      </w:r>
      <w:bookmarkEnd w:id="105"/>
      <w:bookmarkEnd w:id="106"/>
    </w:p>
    <w:p>
      <w:pPr>
        <w:pStyle w:val="3"/>
        <w:spacing w:line="576" w:lineRule="exact"/>
        <w:rPr>
          <w:rFonts w:ascii="仿宋" w:eastAsia="仿宋"/>
          <w:b w:val="0"/>
          <w:color w:val="000000"/>
        </w:rPr>
      </w:pPr>
      <w:bookmarkStart w:id="107" w:name="_Toc5964"/>
      <w:bookmarkStart w:id="108" w:name="_Toc26630"/>
      <w:r>
        <w:rPr>
          <w:rFonts w:hint="eastAsia" w:ascii="仿宋" w:eastAsia="仿宋"/>
          <w:b w:val="0"/>
          <w:color w:val="000000"/>
        </w:rPr>
        <w:t>四、财政拨款收入支出决算总表</w:t>
      </w:r>
      <w:bookmarkEnd w:id="107"/>
      <w:bookmarkEnd w:id="108"/>
    </w:p>
    <w:p>
      <w:pPr>
        <w:pStyle w:val="3"/>
        <w:spacing w:line="576" w:lineRule="exact"/>
        <w:rPr>
          <w:rFonts w:ascii="仿宋" w:eastAsia="仿宋"/>
          <w:b w:val="0"/>
          <w:color w:val="000000"/>
        </w:rPr>
      </w:pPr>
      <w:bookmarkStart w:id="109" w:name="_Toc19934"/>
      <w:bookmarkStart w:id="110" w:name="_Toc14273"/>
      <w:r>
        <w:rPr>
          <w:rFonts w:hint="eastAsia" w:ascii="仿宋" w:eastAsia="仿宋"/>
          <w:b w:val="0"/>
          <w:color w:val="000000"/>
        </w:rPr>
        <w:t>五、财政拨款支出决算明细表</w:t>
      </w:r>
      <w:bookmarkEnd w:id="109"/>
      <w:bookmarkEnd w:id="110"/>
    </w:p>
    <w:p>
      <w:pPr>
        <w:pStyle w:val="3"/>
        <w:spacing w:line="576" w:lineRule="exact"/>
        <w:rPr>
          <w:rFonts w:ascii="仿宋" w:eastAsia="仿宋"/>
          <w:b w:val="0"/>
          <w:color w:val="000000"/>
        </w:rPr>
      </w:pPr>
      <w:bookmarkStart w:id="111" w:name="_Toc16449"/>
      <w:bookmarkStart w:id="112" w:name="_Toc6686"/>
      <w:r>
        <w:rPr>
          <w:rFonts w:hint="eastAsia" w:ascii="仿宋" w:eastAsia="仿宋"/>
          <w:b w:val="0"/>
          <w:color w:val="000000"/>
        </w:rPr>
        <w:t>六、一般公共预算财政拨款支出决算表</w:t>
      </w:r>
      <w:bookmarkEnd w:id="111"/>
      <w:bookmarkEnd w:id="112"/>
    </w:p>
    <w:p>
      <w:pPr>
        <w:pStyle w:val="3"/>
        <w:spacing w:line="576" w:lineRule="exact"/>
        <w:rPr>
          <w:rFonts w:ascii="仿宋" w:eastAsia="仿宋"/>
          <w:b w:val="0"/>
          <w:color w:val="000000"/>
        </w:rPr>
      </w:pPr>
      <w:bookmarkStart w:id="113" w:name="_Toc19514"/>
      <w:bookmarkStart w:id="114" w:name="_Toc3478"/>
      <w:r>
        <w:rPr>
          <w:rFonts w:hint="eastAsia" w:ascii="仿宋" w:eastAsia="仿宋"/>
          <w:b w:val="0"/>
          <w:color w:val="000000"/>
        </w:rPr>
        <w:t>七、一般公共预算财政拨款支出决算明细表</w:t>
      </w:r>
      <w:bookmarkEnd w:id="113"/>
      <w:bookmarkEnd w:id="114"/>
    </w:p>
    <w:p>
      <w:pPr>
        <w:pStyle w:val="3"/>
        <w:spacing w:line="576" w:lineRule="exact"/>
        <w:rPr>
          <w:rFonts w:ascii="仿宋" w:eastAsia="仿宋"/>
          <w:b w:val="0"/>
          <w:color w:val="000000"/>
        </w:rPr>
      </w:pPr>
      <w:bookmarkStart w:id="115" w:name="_Toc191"/>
      <w:bookmarkStart w:id="116" w:name="_Toc17352"/>
      <w:r>
        <w:rPr>
          <w:rFonts w:hint="eastAsia" w:ascii="仿宋" w:eastAsia="仿宋"/>
          <w:b w:val="0"/>
          <w:color w:val="000000"/>
        </w:rPr>
        <w:t>八、一般公共预算财政拨款基本支出决算表</w:t>
      </w:r>
      <w:bookmarkEnd w:id="115"/>
      <w:bookmarkEnd w:id="116"/>
    </w:p>
    <w:p>
      <w:pPr>
        <w:pStyle w:val="3"/>
        <w:spacing w:line="576" w:lineRule="exact"/>
        <w:rPr>
          <w:rFonts w:ascii="仿宋" w:eastAsia="仿宋"/>
          <w:b w:val="0"/>
          <w:color w:val="000000"/>
        </w:rPr>
      </w:pPr>
      <w:bookmarkStart w:id="117" w:name="_Toc3726"/>
      <w:bookmarkStart w:id="118" w:name="_Toc5204"/>
      <w:r>
        <w:rPr>
          <w:rFonts w:hint="eastAsia" w:ascii="仿宋" w:eastAsia="仿宋"/>
          <w:b w:val="0"/>
          <w:color w:val="000000"/>
        </w:rPr>
        <w:t>九、一般公共预算财政拨款项目支出决算表</w:t>
      </w:r>
      <w:bookmarkEnd w:id="117"/>
      <w:bookmarkEnd w:id="118"/>
    </w:p>
    <w:p>
      <w:pPr>
        <w:pStyle w:val="3"/>
        <w:spacing w:line="576" w:lineRule="exact"/>
        <w:rPr>
          <w:rFonts w:ascii="仿宋" w:eastAsia="仿宋"/>
          <w:b w:val="0"/>
          <w:color w:val="000000"/>
        </w:rPr>
      </w:pPr>
      <w:bookmarkStart w:id="119" w:name="_Toc20056"/>
      <w:bookmarkStart w:id="120" w:name="_Toc20756"/>
      <w:r>
        <w:rPr>
          <w:rFonts w:hint="eastAsia" w:ascii="仿宋" w:eastAsia="仿宋"/>
          <w:b w:val="0"/>
          <w:color w:val="000000"/>
        </w:rPr>
        <w:t>十、政府性基金预算财政拨款收入支出决算表</w:t>
      </w:r>
      <w:bookmarkEnd w:id="119"/>
      <w:bookmarkEnd w:id="120"/>
    </w:p>
    <w:p>
      <w:pPr>
        <w:pStyle w:val="3"/>
        <w:spacing w:line="576" w:lineRule="exact"/>
        <w:rPr>
          <w:rFonts w:ascii="仿宋" w:eastAsia="仿宋"/>
          <w:b w:val="0"/>
          <w:color w:val="000000"/>
        </w:rPr>
      </w:pPr>
      <w:bookmarkStart w:id="121" w:name="_Toc21387"/>
      <w:bookmarkStart w:id="122" w:name="_Toc13849"/>
      <w:r>
        <w:rPr>
          <w:rFonts w:hint="eastAsia" w:ascii="仿宋" w:eastAsia="仿宋"/>
          <w:b w:val="0"/>
          <w:color w:val="000000"/>
        </w:rPr>
        <w:t>十一、国有资本经营预算财政拨款收入支出决算表</w:t>
      </w:r>
      <w:bookmarkEnd w:id="121"/>
      <w:bookmarkEnd w:id="122"/>
    </w:p>
    <w:p>
      <w:pPr>
        <w:pStyle w:val="3"/>
        <w:spacing w:line="576" w:lineRule="exact"/>
        <w:rPr>
          <w:rFonts w:ascii="仿宋" w:eastAsia="仿宋"/>
          <w:b w:val="0"/>
          <w:color w:val="000000"/>
        </w:rPr>
      </w:pPr>
      <w:bookmarkStart w:id="123" w:name="_Toc1140"/>
      <w:bookmarkStart w:id="124" w:name="_Toc13099"/>
      <w:r>
        <w:rPr>
          <w:rFonts w:hint="eastAsia" w:ascii="仿宋" w:eastAsia="仿宋"/>
          <w:b w:val="0"/>
          <w:color w:val="000000"/>
        </w:rPr>
        <w:t>十二、国有资本经营预算财政拨款支出决算表</w:t>
      </w:r>
      <w:bookmarkEnd w:id="123"/>
      <w:bookmarkEnd w:id="124"/>
    </w:p>
    <w:p>
      <w:pPr>
        <w:pStyle w:val="3"/>
        <w:spacing w:line="576" w:lineRule="exact"/>
        <w:rPr>
          <w:rFonts w:ascii="仿宋" w:eastAsia="仿宋"/>
          <w:b w:val="0"/>
          <w:color w:val="000000"/>
        </w:rPr>
      </w:pPr>
      <w:bookmarkStart w:id="125" w:name="_Toc24957"/>
      <w:bookmarkStart w:id="126" w:name="_Toc25065"/>
      <w:r>
        <w:rPr>
          <w:rFonts w:hint="eastAsia" w:ascii="仿宋" w:eastAsia="仿宋"/>
          <w:b w:val="0"/>
          <w:color w:val="000000"/>
        </w:rPr>
        <w:t>十三、财政拨款“三公”经费支出决算表</w:t>
      </w:r>
      <w:bookmarkEnd w:id="125"/>
      <w:bookmarkEnd w:id="126"/>
    </w:p>
    <w:p>
      <w:pPr>
        <w:spacing w:line="576" w:lineRule="exact"/>
      </w:pPr>
    </w:p>
    <w:p>
      <w:pPr>
        <w:spacing w:line="576" w:lineRule="atLeast"/>
        <w:ind w:firstLine="640" w:firstLineChars="200"/>
        <w:rPr>
          <w:rFonts w:ascii="仿宋_GB2312" w:eastAsia="仿宋_GB2312" w:cs="宋体"/>
          <w:color w:val="000000"/>
          <w:kern w:val="0"/>
          <w:sz w:val="32"/>
          <w:szCs w:val="32"/>
          <w:shd w:val="clear" w:color="auto" w:fill="FFFFFF"/>
          <w:lang w:val="zh-CN"/>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F3D2A562"/>
    <w:multiLevelType w:val="singleLevel"/>
    <w:tmpl w:val="F3D2A562"/>
    <w:lvl w:ilvl="0" w:tentative="0">
      <w:start w:val="1"/>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71A94FD1"/>
    <w:multiLevelType w:val="singleLevel"/>
    <w:tmpl w:val="71A94FD1"/>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3365B"/>
    <w:rsid w:val="00064304"/>
    <w:rsid w:val="000643C5"/>
    <w:rsid w:val="000C0C24"/>
    <w:rsid w:val="000C687D"/>
    <w:rsid w:val="0010139D"/>
    <w:rsid w:val="0018295B"/>
    <w:rsid w:val="001B4267"/>
    <w:rsid w:val="001E5940"/>
    <w:rsid w:val="001F0AE7"/>
    <w:rsid w:val="002277B0"/>
    <w:rsid w:val="002F33BD"/>
    <w:rsid w:val="002F5EC0"/>
    <w:rsid w:val="003558A8"/>
    <w:rsid w:val="003809BD"/>
    <w:rsid w:val="00391C6B"/>
    <w:rsid w:val="003928E3"/>
    <w:rsid w:val="004139E2"/>
    <w:rsid w:val="00457531"/>
    <w:rsid w:val="004639D1"/>
    <w:rsid w:val="00472144"/>
    <w:rsid w:val="00475A41"/>
    <w:rsid w:val="004C43EA"/>
    <w:rsid w:val="005062AE"/>
    <w:rsid w:val="00536F04"/>
    <w:rsid w:val="005658C7"/>
    <w:rsid w:val="0058757D"/>
    <w:rsid w:val="005A69CE"/>
    <w:rsid w:val="005C779E"/>
    <w:rsid w:val="00634F21"/>
    <w:rsid w:val="00647E8F"/>
    <w:rsid w:val="006D3785"/>
    <w:rsid w:val="006D7CF7"/>
    <w:rsid w:val="006E10DF"/>
    <w:rsid w:val="006E53E3"/>
    <w:rsid w:val="0070458D"/>
    <w:rsid w:val="007A6D12"/>
    <w:rsid w:val="007D3B5A"/>
    <w:rsid w:val="00825334"/>
    <w:rsid w:val="00855EEE"/>
    <w:rsid w:val="00864287"/>
    <w:rsid w:val="00886123"/>
    <w:rsid w:val="00896110"/>
    <w:rsid w:val="009215B6"/>
    <w:rsid w:val="00933F46"/>
    <w:rsid w:val="009552ED"/>
    <w:rsid w:val="00995FFD"/>
    <w:rsid w:val="009A21BE"/>
    <w:rsid w:val="009C1E0C"/>
    <w:rsid w:val="00A33E25"/>
    <w:rsid w:val="00A373B8"/>
    <w:rsid w:val="00A54174"/>
    <w:rsid w:val="00A57FAA"/>
    <w:rsid w:val="00A773E4"/>
    <w:rsid w:val="00B45618"/>
    <w:rsid w:val="00B56CF4"/>
    <w:rsid w:val="00BA27AA"/>
    <w:rsid w:val="00BC1CB9"/>
    <w:rsid w:val="00C10584"/>
    <w:rsid w:val="00C72FBC"/>
    <w:rsid w:val="00D436E7"/>
    <w:rsid w:val="00D47F89"/>
    <w:rsid w:val="00D86018"/>
    <w:rsid w:val="00DB6F94"/>
    <w:rsid w:val="00EA6421"/>
    <w:rsid w:val="00F321C3"/>
    <w:rsid w:val="00F47164"/>
    <w:rsid w:val="00FC0ED4"/>
    <w:rsid w:val="00FE3AD9"/>
    <w:rsid w:val="00FF1D85"/>
    <w:rsid w:val="0D3818EF"/>
    <w:rsid w:val="11BF511D"/>
    <w:rsid w:val="124825E8"/>
    <w:rsid w:val="166E173E"/>
    <w:rsid w:val="1EB56B2A"/>
    <w:rsid w:val="253056B8"/>
    <w:rsid w:val="27231445"/>
    <w:rsid w:val="2BEBE80C"/>
    <w:rsid w:val="2D584546"/>
    <w:rsid w:val="30FB741F"/>
    <w:rsid w:val="368C7005"/>
    <w:rsid w:val="3862292F"/>
    <w:rsid w:val="3E491D1E"/>
    <w:rsid w:val="475875E0"/>
    <w:rsid w:val="488650EE"/>
    <w:rsid w:val="4C0E53BA"/>
    <w:rsid w:val="4CF81A00"/>
    <w:rsid w:val="515E7D23"/>
    <w:rsid w:val="5E8C1493"/>
    <w:rsid w:val="64DE2339"/>
    <w:rsid w:val="664803B2"/>
    <w:rsid w:val="79E4127B"/>
    <w:rsid w:val="BBFC9793"/>
    <w:rsid w:val="EA4FD0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Lines="30"/>
    </w:pPr>
    <w:rPr>
      <w:rFonts w:ascii="仿宋_GB2312" w:eastAsia="仿宋_GB2312"/>
      <w:kern w:val="0"/>
      <w:sz w:val="24"/>
      <w:szCs w:val="20"/>
      <w:lang w:val="zh-CN"/>
    </w:rPr>
  </w:style>
  <w:style w:type="paragraph" w:styleId="7">
    <w:name w:val="Body Text Indent"/>
    <w:basedOn w:val="1"/>
    <w:next w:val="8"/>
    <w:qFormat/>
    <w:uiPriority w:val="0"/>
    <w:pPr>
      <w:ind w:firstLine="200" w:firstLineChars="200"/>
    </w:pPr>
    <w:rPr>
      <w:rFonts w:ascii="华文细黑" w:eastAsia="华文细黑" w:cs="华文细黑"/>
      <w:b/>
      <w:bCs/>
      <w:sz w:val="32"/>
      <w:szCs w:val="32"/>
    </w:rPr>
  </w:style>
  <w:style w:type="paragraph" w:styleId="8">
    <w:name w:val="Body Text First Indent 2"/>
    <w:basedOn w:val="7"/>
    <w:next w:val="1"/>
    <w:qFormat/>
    <w:uiPriority w:val="0"/>
    <w:rPr>
      <w:rFonts w:eastAsia="宋体"/>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basedOn w:val="1"/>
    <w:next w:val="6"/>
    <w:qFormat/>
    <w:uiPriority w:val="0"/>
    <w:pPr>
      <w:jc w:val="left"/>
    </w:pPr>
    <w:rPr>
      <w:kern w:val="0"/>
      <w:sz w:val="24"/>
    </w:rPr>
  </w:style>
  <w:style w:type="paragraph" w:styleId="21">
    <w:name w:val="Body Text First Indent"/>
    <w:basedOn w:val="6"/>
    <w:qFormat/>
    <w:uiPriority w:val="0"/>
    <w:pPr>
      <w:ind w:firstLine="100" w:firstLineChars="100"/>
    </w:pPr>
    <w:rPr>
      <w:rFonts w:ascii="Calibri" w:hAnsi="Calibri" w:cs="Calibri"/>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0000FF"/>
      <w:u w:val="single"/>
    </w:rPr>
  </w:style>
  <w:style w:type="character" w:customStyle="1" w:styleId="26">
    <w:name w:val="标题 1 Char"/>
    <w:basedOn w:val="23"/>
    <w:link w:val="2"/>
    <w:qFormat/>
    <w:uiPriority w:val="0"/>
    <w:rPr>
      <w:rFonts w:ascii="Times New Roman" w:hAnsi="Times New Roman" w:eastAsia="宋体" w:cs="Times New Roman"/>
      <w:b/>
      <w:bCs/>
      <w:kern w:val="44"/>
      <w:sz w:val="44"/>
      <w:szCs w:val="44"/>
      <w:lang w:val="en-US" w:eastAsia="zh-CN" w:bidi="ar-SA"/>
    </w:rPr>
  </w:style>
  <w:style w:type="character" w:customStyle="1" w:styleId="27">
    <w:name w:val="标题 2 Char"/>
    <w:basedOn w:val="23"/>
    <w:link w:val="3"/>
    <w:qFormat/>
    <w:uiPriority w:val="0"/>
    <w:rPr>
      <w:rFonts w:ascii="Cambria" w:hAnsi="Cambria" w:eastAsia="宋体" w:cs="Times New Roman"/>
      <w:b/>
      <w:bCs/>
      <w:kern w:val="2"/>
      <w:sz w:val="32"/>
      <w:szCs w:val="32"/>
      <w:lang w:val="en-US" w:eastAsia="zh-CN" w:bidi="ar-SA"/>
    </w:rPr>
  </w:style>
  <w:style w:type="character" w:customStyle="1" w:styleId="28">
    <w:name w:val="Body Text Char"/>
    <w:basedOn w:val="23"/>
    <w:qFormat/>
    <w:uiPriority w:val="0"/>
    <w:rPr>
      <w:rFonts w:ascii="Times New Roman" w:hAnsi="Times New Roman" w:cs="Times New Roman"/>
      <w:sz w:val="24"/>
      <w:szCs w:val="24"/>
    </w:rPr>
  </w:style>
  <w:style w:type="character" w:customStyle="1" w:styleId="29">
    <w:name w:val="Footer Char"/>
    <w:basedOn w:val="23"/>
    <w:qFormat/>
    <w:uiPriority w:val="0"/>
    <w:rPr>
      <w:rFonts w:ascii="Times New Roman" w:hAnsi="Times New Roman" w:cs="Times New Roman"/>
      <w:sz w:val="18"/>
      <w:szCs w:val="18"/>
    </w:rPr>
  </w:style>
  <w:style w:type="character" w:customStyle="1" w:styleId="30">
    <w:name w:val="Header Char"/>
    <w:basedOn w:val="23"/>
    <w:qFormat/>
    <w:uiPriority w:val="0"/>
    <w:rPr>
      <w:rFonts w:ascii="Times New Roman" w:hAnsi="Times New Roman" w:cs="Times New Roman"/>
      <w:sz w:val="18"/>
      <w:szCs w:val="18"/>
    </w:rPr>
  </w:style>
  <w:style w:type="paragraph" w:customStyle="1" w:styleId="3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列表段落1"/>
    <w:basedOn w:val="1"/>
    <w:qFormat/>
    <w:uiPriority w:val="0"/>
    <w:pPr>
      <w:ind w:firstLine="200" w:firstLineChars="200"/>
    </w:pPr>
  </w:style>
  <w:style w:type="paragraph" w:customStyle="1" w:styleId="3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
    <w:name w:val="TOC 标题2"/>
    <w:basedOn w:val="2"/>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Sheet1!$B$3:$B$4</c:f>
              <c:numCache>
                <c:formatCode>General</c:formatCode>
                <c:ptCount val="2"/>
                <c:pt idx="0">
                  <c:v>90.02</c:v>
                </c:pt>
                <c:pt idx="1">
                  <c:v>106.38</c:v>
                </c:pt>
              </c:numCache>
            </c:numRef>
          </c:val>
        </c:ser>
        <c:ser>
          <c:idx val="1"/>
          <c:order val="1"/>
          <c:tx>
            <c:strRef>
              <c:f>支出</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Sheet1!$C$3:$C$4</c:f>
              <c:numCache>
                <c:formatCode>General</c:formatCode>
                <c:ptCount val="2"/>
                <c:pt idx="0">
                  <c:v>92.02</c:v>
                </c:pt>
                <c:pt idx="1">
                  <c:v>106.38</c:v>
                </c:pt>
              </c:numCache>
            </c:numRef>
          </c:val>
        </c:ser>
        <c:dLbls>
          <c:showLegendKey val="0"/>
          <c:showVal val="1"/>
          <c:showCatName val="0"/>
          <c:showSerName val="0"/>
          <c:showPercent val="0"/>
          <c:showBubbleSize val="0"/>
        </c:dLbls>
        <c:gapWidth val="219"/>
        <c:overlap val="-27"/>
        <c:axId val="203937664"/>
        <c:axId val="203939200"/>
      </c:barChart>
      <c:catAx>
        <c:axId val="2039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939200"/>
        <c:crosses val="autoZero"/>
        <c:auto val="1"/>
        <c:lblAlgn val="ctr"/>
        <c:lblOffset val="100"/>
        <c:noMultiLvlLbl val="0"/>
      </c:catAx>
      <c:valAx>
        <c:axId val="203939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937664"/>
        <c:crosses val="autoZero"/>
        <c:crossBetween val="between"/>
      </c:valAx>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本年收入</a:t>
            </a:r>
            <a:endParaRPr lang="zh-CN"/>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Pt>
            <c:idx val="2"/>
            <c:bubble3D val="0"/>
            <c:explosion val="23"/>
            <c:spPr>
              <a:solidFill>
                <a:srgbClr val="929292"/>
              </a:solidFill>
              <a:ln>
                <a:noFill/>
              </a:ln>
              <a:effectLst/>
            </c:spPr>
          </c:dPt>
          <c:dPt>
            <c:idx val="3"/>
            <c:bubble3D val="0"/>
            <c:explosion val="23"/>
            <c:spPr>
              <a:solidFill>
                <a:srgbClr val="E3AA00"/>
              </a:solidFill>
              <a:ln>
                <a:noFill/>
              </a:ln>
              <a:effectLst/>
            </c:spPr>
          </c:dPt>
          <c:dPt>
            <c:idx val="4"/>
            <c:bubble3D val="0"/>
            <c:explosion val="23"/>
            <c:spPr>
              <a:solidFill>
                <a:srgbClr val="5089BD"/>
              </a:solidFill>
              <a:ln>
                <a:noFill/>
              </a:ln>
              <a:effectLst/>
            </c:spPr>
          </c:dPt>
          <c:dPt>
            <c:idx val="5"/>
            <c:bubble3D val="0"/>
            <c:explosion val="23"/>
            <c:spPr>
              <a:solidFill>
                <a:srgbClr val="63993E"/>
              </a:solidFill>
              <a:ln>
                <a:noFill/>
              </a:ln>
              <a:effectLst/>
            </c:spPr>
          </c:dPt>
          <c:dPt>
            <c:idx val="6"/>
            <c:bubble3D val="0"/>
            <c:explosion val="23"/>
            <c:spPr>
              <a:solidFill>
                <a:srgbClr val="90A2D4"/>
              </a:solidFill>
              <a:ln>
                <a:noFill/>
              </a:ln>
              <a:effectLst/>
            </c:spPr>
          </c:dPt>
          <c:dLbls>
            <c:delete val="1"/>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Sheet1!$A$19:$A$20</c:f>
              <c:strCache>
                <c:ptCount val="2"/>
                <c:pt idx="0">
                  <c:v>基本支出</c:v>
                </c:pt>
                <c:pt idx="1">
                  <c:v>项目支出</c:v>
                </c:pt>
              </c:strCache>
            </c:strRef>
          </c:cat>
          <c:val>
            <c:numRef>
              <c:f>Sheet1!$B$19:$B$20</c:f>
              <c:numCache>
                <c:formatCode>0.00%</c:formatCode>
                <c:ptCount val="2"/>
                <c:pt idx="0">
                  <c:v>0.6456</c:v>
                </c:pt>
                <c:pt idx="1">
                  <c:v>0.3544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en-US" sz="1800" b="0" i="0" baseline="0"/>
              <a:t>财政拨款</a:t>
            </a:r>
            <a:r>
              <a:rPr lang="zh-CN" altLang="zh-CN" sz="1800" b="0" i="0" baseline="0"/>
              <a:t>收、支决算总计变动情况图</a:t>
            </a:r>
            <a:endParaRPr lang="zh-CN" altLang="zh-CN"/>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Sheet1!$B$3:$B$4</c:f>
              <c:numCache>
                <c:formatCode>General</c:formatCode>
                <c:ptCount val="2"/>
                <c:pt idx="0">
                  <c:v>90.02</c:v>
                </c:pt>
                <c:pt idx="1">
                  <c:v>106.38</c:v>
                </c:pt>
              </c:numCache>
            </c:numRef>
          </c:val>
        </c:ser>
        <c:ser>
          <c:idx val="1"/>
          <c:order val="1"/>
          <c:tx>
            <c:strRef>
              <c:f>支出</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Sheet1!$C$3:$C$4</c:f>
              <c:numCache>
                <c:formatCode>General</c:formatCode>
                <c:ptCount val="2"/>
                <c:pt idx="0">
                  <c:v>92.02</c:v>
                </c:pt>
                <c:pt idx="1">
                  <c:v>106.38</c:v>
                </c:pt>
              </c:numCache>
            </c:numRef>
          </c:val>
        </c:ser>
        <c:dLbls>
          <c:showLegendKey val="0"/>
          <c:showVal val="1"/>
          <c:showCatName val="0"/>
          <c:showSerName val="0"/>
          <c:showPercent val="0"/>
          <c:showBubbleSize val="0"/>
        </c:dLbls>
        <c:gapWidth val="219"/>
        <c:overlap val="-27"/>
        <c:axId val="68003328"/>
        <c:axId val="68004864"/>
      </c:barChart>
      <c:catAx>
        <c:axId val="6800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04864"/>
        <c:crosses val="autoZero"/>
        <c:auto val="1"/>
        <c:lblAlgn val="ctr"/>
        <c:lblOffset val="100"/>
        <c:noMultiLvlLbl val="0"/>
      </c:catAx>
      <c:valAx>
        <c:axId val="68004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03328"/>
        <c:crosses val="autoZero"/>
        <c:crossBetween val="between"/>
      </c:valAx>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Sheet1!$A$52:$A$53</c:f>
              <c:strCache>
                <c:ptCount val="2"/>
                <c:pt idx="0">
                  <c:v>2021年</c:v>
                </c:pt>
                <c:pt idx="1">
                  <c:v>2022年</c:v>
                </c:pt>
              </c:strCache>
            </c:strRef>
          </c:cat>
          <c:val>
            <c:numRef>
              <c:f>Sheet1!$B$52:$B$53</c:f>
              <c:numCache>
                <c:formatCode>General</c:formatCode>
                <c:ptCount val="2"/>
                <c:pt idx="0">
                  <c:v>92.02</c:v>
                </c:pt>
                <c:pt idx="1">
                  <c:v>106.38</c:v>
                </c:pt>
              </c:numCache>
            </c:numRef>
          </c:val>
        </c:ser>
        <c:dLbls>
          <c:showLegendKey val="0"/>
          <c:showVal val="1"/>
          <c:showCatName val="0"/>
          <c:showSerName val="0"/>
          <c:showPercent val="0"/>
          <c:showBubbleSize val="0"/>
        </c:dLbls>
        <c:gapWidth val="219"/>
        <c:overlap val="-27"/>
        <c:axId val="68018176"/>
        <c:axId val="68019712"/>
      </c:barChart>
      <c:catAx>
        <c:axId val="6801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19712"/>
        <c:crosses val="autoZero"/>
        <c:auto val="1"/>
        <c:lblAlgn val="ctr"/>
        <c:lblOffset val="100"/>
        <c:noMultiLvlLbl val="0"/>
      </c:catAx>
      <c:valAx>
        <c:axId val="680197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18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一般公共预算财政拨款支出决算结构</a:t>
            </a:r>
            <a:endParaRPr lang="zh-CN" altLang="en-US"/>
          </a:p>
        </c:rich>
      </c:tx>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a:noFill/>
              </a:ln>
              <a:effectLst/>
            </c:spPr>
          </c:dPt>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Sheet1!$A$69:$A$74</c:f>
              <c:strCache>
                <c:ptCount val="6"/>
                <c:pt idx="0">
                  <c:v>社会保障和就业（208）</c:v>
                </c:pt>
                <c:pt idx="1">
                  <c:v>一般公共服务支出（201）</c:v>
                </c:pt>
                <c:pt idx="2">
                  <c:v>其他支出（229）</c:v>
                </c:pt>
                <c:pt idx="3">
                  <c:v>农林水支出（213）</c:v>
                </c:pt>
                <c:pt idx="4">
                  <c:v>卫生健康支出（210）</c:v>
                </c:pt>
                <c:pt idx="5">
                  <c:v>住房保障支出（221）</c:v>
                </c:pt>
              </c:strCache>
            </c:strRef>
          </c:cat>
          <c:val>
            <c:numRef>
              <c:f>Sheet1!$B$69:$B$74</c:f>
              <c:numCache>
                <c:formatCode>0.00%</c:formatCode>
                <c:ptCount val="6"/>
                <c:pt idx="0">
                  <c:v>0.0635</c:v>
                </c:pt>
                <c:pt idx="1">
                  <c:v>0.761800000000001</c:v>
                </c:pt>
                <c:pt idx="2">
                  <c:v>0.0376000000000001</c:v>
                </c:pt>
                <c:pt idx="3">
                  <c:v>0.0829</c:v>
                </c:pt>
                <c:pt idx="4">
                  <c:v>0.0213</c:v>
                </c:pt>
                <c:pt idx="5">
                  <c:v>0.0329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448220000001"/>
          <c:y val="0.26417106"/>
          <c:w val="0.42426902"/>
          <c:h val="0.7273183"/>
        </c:manualLayout>
      </c:layout>
      <c:pieChart>
        <c:varyColors val="1"/>
        <c:ser>
          <c:idx val="0"/>
          <c:order val="0"/>
          <c:tx>
            <c:strRef>
              <c:f>'Sheet1 (6)'!$B$1</c:f>
              <c:strCache>
                <c:ptCount val="1"/>
                <c:pt idx="0">
                  <c:v>决算数</c:v>
                </c:pt>
              </c:strCache>
            </c:strRef>
          </c:tx>
          <c:spPr>
            <a:effectLst/>
          </c:spPr>
          <c:explosion val="0"/>
          <c:dPt>
            <c:idx val="0"/>
            <c:bubble3D val="0"/>
            <c:spPr>
              <a:solidFill>
                <a:srgbClr val="4472C4"/>
              </a:solidFill>
              <a:ln>
                <a:noFill/>
              </a:ln>
              <a:effectLst/>
            </c:spPr>
          </c:dPt>
          <c:dPt>
            <c:idx val="1"/>
            <c:bubble3D val="0"/>
            <c:spPr>
              <a:solidFill>
                <a:srgbClr val="ED7D31"/>
              </a:solidFill>
              <a:ln>
                <a:noFill/>
              </a:ln>
              <a:effectLst/>
            </c:spPr>
          </c:dPt>
          <c:dPt>
            <c:idx val="2"/>
            <c:bubble3D val="0"/>
            <c:spPr>
              <a:solidFill>
                <a:srgbClr val="A5A5A5"/>
              </a:solidFill>
              <a:ln>
                <a:noFill/>
              </a:ln>
              <a:effectLst/>
            </c:spPr>
          </c:dPt>
          <c:dPt>
            <c:idx val="3"/>
            <c:bubble3D val="0"/>
            <c:spPr>
              <a:solidFill>
                <a:srgbClr val="FFC000"/>
              </a:solidFill>
              <a:ln>
                <a:noFill/>
              </a:ln>
              <a:effectLst/>
            </c:spPr>
          </c:dPt>
          <c:dLbls>
            <c:delete val="1"/>
          </c:dLbls>
          <c:cat>
            <c:strRef>
              <c:f>'Sheet1 (6)'!$A$2:$A$5</c:f>
              <c:strCache>
                <c:ptCount val="4"/>
                <c:pt idx="0">
                  <c:v>因公出国（境）费</c:v>
                </c:pt>
                <c:pt idx="1">
                  <c:v>公务用车购置及运行维护费</c:v>
                </c:pt>
                <c:pt idx="2">
                  <c:v>公务接待费</c:v>
                </c:pt>
              </c:strCache>
            </c:strRef>
          </c:cat>
          <c:val>
            <c:numRef>
              <c:f>'Sheet1 (6)'!$B$2:$B$5</c:f>
              <c:numCache>
                <c:formatCode>General</c:formatCode>
                <c:ptCount val="4"/>
                <c:pt idx="0">
                  <c:v>0</c:v>
                </c:pt>
                <c:pt idx="1">
                  <c:v>0</c:v>
                </c:pt>
                <c:pt idx="2">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27</Pages>
  <Words>9853</Words>
  <Characters>10591</Characters>
  <Lines>85</Lines>
  <Paragraphs>23</Paragraphs>
  <TotalTime>0</TotalTime>
  <ScaleCrop>false</ScaleCrop>
  <LinksUpToDate>false</LinksUpToDate>
  <CharactersWithSpaces>10714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2023-09-07T17:33:00Z</dcterms:created>
  <dc:creator>曹颖</dc:creator>
  <cp:lastModifiedBy>Administrator</cp:lastModifiedBy>
  <cp:lastPrinted>2023-09-11T15:09:00Z</cp:lastPrinted>
  <dcterms:modified xsi:type="dcterms:W3CDTF">2024-08-14T07:38:49Z</dcterms:modified>
  <dc:title>阿坝州部门决算说明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8F9CE01F06994FBC849551955DD18480_13</vt:lpwstr>
  </property>
</Properties>
</file>