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color w:val="000000"/>
          <w:sz w:val="72"/>
          <w:szCs w:val="72"/>
        </w:rPr>
      </w:pPr>
      <w:bookmarkStart w:id="0" w:name="_Toc15306267"/>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p>
      <w:pPr>
        <w:jc w:val="center"/>
        <w:rPr>
          <w:rFonts w:ascii="方正小标宋简体" w:eastAsia="方正小标宋简体" w:cs="方正小标宋简体"/>
          <w:sz w:val="60"/>
          <w:szCs w:val="60"/>
        </w:rPr>
      </w:pPr>
      <w:bookmarkStart w:id="1" w:name="_Toc15396475"/>
      <w:bookmarkStart w:id="2" w:name="_Toc15377425"/>
      <w:bookmarkStart w:id="3" w:name="_Toc15396597"/>
      <w:bookmarkStart w:id="4" w:name="_Toc15378441"/>
      <w:bookmarkStart w:id="5" w:name="_Toc15377193"/>
      <w:r>
        <w:rPr>
          <w:rFonts w:hint="eastAsia" w:ascii="方正小标宋简体" w:eastAsia="方正小标宋简体" w:cs="方正小标宋简体"/>
          <w:sz w:val="60"/>
          <w:szCs w:val="60"/>
        </w:rPr>
        <w:t>202</w:t>
      </w:r>
      <w:r>
        <w:rPr>
          <w:rFonts w:hint="eastAsia" w:ascii="方正小标宋简体" w:eastAsia="方正小标宋简体" w:cs="方正小标宋简体"/>
          <w:sz w:val="60"/>
          <w:szCs w:val="60"/>
          <w:lang w:val="en-US" w:eastAsia="zh-CN"/>
        </w:rPr>
        <w:t>3</w:t>
      </w:r>
      <w:r>
        <w:rPr>
          <w:rFonts w:hint="eastAsia" w:ascii="方正小标宋简体" w:eastAsia="方正小标宋简体" w:cs="方正小标宋简体"/>
          <w:sz w:val="60"/>
          <w:szCs w:val="60"/>
        </w:rPr>
        <w:t>年度</w:t>
      </w:r>
      <w:bookmarkEnd w:id="0"/>
      <w:bookmarkEnd w:id="1"/>
      <w:bookmarkEnd w:id="2"/>
      <w:bookmarkEnd w:id="3"/>
      <w:bookmarkEnd w:id="4"/>
      <w:bookmarkEnd w:id="5"/>
      <w:bookmarkStart w:id="6" w:name="_Toc15306268"/>
      <w:r>
        <w:rPr>
          <w:rFonts w:hint="eastAsia" w:ascii="方正小标宋简体" w:eastAsia="方正小标宋简体" w:cs="方正小标宋简体"/>
          <w:sz w:val="60"/>
          <w:szCs w:val="60"/>
          <w:lang w:eastAsia="zh-CN"/>
        </w:rPr>
        <w:t>四川省</w:t>
      </w:r>
      <w:r>
        <w:rPr>
          <w:rFonts w:hint="eastAsia" w:ascii="方正小标宋简体" w:eastAsia="方正小标宋简体" w:cs="方正小标宋简体"/>
          <w:sz w:val="60"/>
          <w:szCs w:val="60"/>
        </w:rPr>
        <w:t>茂县</w:t>
      </w:r>
    </w:p>
    <w:p>
      <w:pPr>
        <w:jc w:val="center"/>
        <w:rPr>
          <w:rFonts w:ascii="黑体" w:eastAsia="黑体"/>
          <w:sz w:val="56"/>
          <w:szCs w:val="56"/>
        </w:rPr>
      </w:pPr>
      <w:r>
        <w:rPr>
          <w:rFonts w:hint="eastAsia" w:ascii="方正小标宋简体" w:eastAsia="方正小标宋简体" w:cs="方正小标宋简体"/>
          <w:sz w:val="60"/>
          <w:szCs w:val="60"/>
        </w:rPr>
        <w:t>共青团茂县委员会</w:t>
      </w:r>
      <w:r>
        <w:rPr>
          <w:rFonts w:hint="eastAsia" w:ascii="方正小标宋简体" w:eastAsia="方正小标宋简体" w:cs="方正小标宋简体"/>
          <w:sz w:val="60"/>
          <w:szCs w:val="60"/>
          <w:lang w:eastAsia="zh-CN"/>
        </w:rPr>
        <w:t>（行政）</w:t>
      </w:r>
      <w:r>
        <w:rPr>
          <w:rFonts w:hint="eastAsia" w:ascii="方正小标宋简体" w:eastAsia="方正小标宋简体" w:cs="方正小标宋简体"/>
          <w:sz w:val="60"/>
          <w:szCs w:val="60"/>
        </w:rPr>
        <w:t>决算</w:t>
      </w:r>
      <w:bookmarkEnd w:id="6"/>
    </w:p>
    <w:p>
      <w:pPr>
        <w:rPr>
          <w:rFonts w:ascii="方正小标宋简体" w:eastAsia="方正小标宋简体"/>
          <w:sz w:val="32"/>
          <w:szCs w:val="32"/>
        </w:rPr>
      </w:pPr>
    </w:p>
    <w:p>
      <w:pPr>
        <w:rPr>
          <w:rFonts w:ascii="方正小标宋简体" w:eastAsia="方正小标宋简体"/>
          <w:sz w:val="32"/>
          <w:szCs w:val="32"/>
        </w:rPr>
      </w:pPr>
    </w:p>
    <w:p>
      <w:pPr>
        <w:rPr>
          <w:rFonts w:ascii="方正小标宋简体" w:eastAsia="方正小标宋简体"/>
          <w:sz w:val="32"/>
          <w:szCs w:val="32"/>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autoSpaceDE w:val="0"/>
        <w:autoSpaceDN w:val="0"/>
        <w:adjustRightInd w:val="0"/>
        <w:ind w:firstLine="1276"/>
        <w:jc w:val="left"/>
        <w:rPr>
          <w:rFonts w:ascii="仿宋_GB2312" w:eastAsia="仿宋_GB2312" w:cs="仿宋_GB2312"/>
          <w:sz w:val="32"/>
          <w:szCs w:val="32"/>
        </w:rPr>
      </w:pPr>
    </w:p>
    <w:p>
      <w:pPr>
        <w:autoSpaceDE w:val="0"/>
        <w:autoSpaceDN w:val="0"/>
        <w:adjustRightInd w:val="0"/>
        <w:jc w:val="left"/>
        <w:rPr>
          <w:rFonts w:hint="eastAsia" w:eastAsia="仿宋_GB2312"/>
          <w:sz w:val="32"/>
          <w:szCs w:val="32"/>
          <w:lang w:val="en-US" w:eastAsia="zh-CN"/>
        </w:rPr>
      </w:pPr>
    </w:p>
    <w:p>
      <w:pPr>
        <w:autoSpaceDE w:val="0"/>
        <w:autoSpaceDN w:val="0"/>
        <w:adjustRightInd w:val="0"/>
        <w:jc w:val="left"/>
        <w:rPr>
          <w:rFonts w:hint="eastAsia" w:eastAsia="仿宋_GB2312"/>
          <w:sz w:val="32"/>
          <w:szCs w:val="32"/>
          <w:lang w:val="en-US" w:eastAsia="zh-CN"/>
        </w:rPr>
      </w:pPr>
    </w:p>
    <w:p>
      <w:pPr>
        <w:autoSpaceDE w:val="0"/>
        <w:autoSpaceDN w:val="0"/>
        <w:adjustRightInd w:val="0"/>
        <w:jc w:val="center"/>
        <w:rPr>
          <w:rFonts w:hint="eastAsia" w:eastAsia="仿宋_GB2312"/>
          <w:sz w:val="32"/>
          <w:szCs w:val="32"/>
          <w:lang w:val="en-US" w:eastAsia="zh-CN"/>
        </w:rPr>
      </w:pPr>
      <w:r>
        <w:rPr>
          <w:rFonts w:hint="eastAsia" w:eastAsia="仿宋_GB2312"/>
          <w:sz w:val="32"/>
          <w:szCs w:val="32"/>
          <w:lang w:val="en-US" w:eastAsia="zh-CN"/>
        </w:rPr>
        <w:t>已经保密审查、内容审定，同意对外公开。</w:t>
      </w:r>
    </w:p>
    <w:p>
      <w:pPr>
        <w:widowControl/>
        <w:jc w:val="center"/>
        <w:rPr>
          <w:rFonts w:ascii="黑体" w:eastAsia="黑体"/>
          <w:color w:val="000000"/>
          <w:sz w:val="48"/>
          <w:szCs w:val="48"/>
        </w:rPr>
      </w:pPr>
      <w:r>
        <w:rPr>
          <w:rFonts w:ascii="方正小标宋简体" w:eastAsia="方正小标宋简体"/>
          <w:sz w:val="36"/>
          <w:szCs w:val="36"/>
        </w:rPr>
        <w:br w:type="page"/>
      </w:r>
      <w:r>
        <w:rPr>
          <w:rFonts w:hint="eastAsia" w:ascii="黑体" w:eastAsia="黑体"/>
          <w:color w:val="000000"/>
          <w:sz w:val="48"/>
          <w:szCs w:val="48"/>
        </w:rPr>
        <w:t>目录</w:t>
      </w:r>
    </w:p>
    <w:p>
      <w:pPr>
        <w:pStyle w:val="19"/>
        <w:jc w:val="center"/>
        <w:rPr>
          <w:rFonts w:hint="eastAsia" w:ascii="仿宋_GB2312" w:eastAsia="仿宋_GB2312" w:cs="仿宋_GB2312"/>
          <w:b w:val="0"/>
          <w:caps w:val="0"/>
          <w:color w:val="000000"/>
          <w:kern w:val="0"/>
          <w:sz w:val="32"/>
          <w:szCs w:val="32"/>
          <w:lang w:val="zh-CN"/>
        </w:rPr>
      </w:pPr>
      <w:r>
        <w:rPr>
          <w:rFonts w:hint="eastAsia" w:ascii="仿宋_GB2312" w:eastAsia="仿宋_GB2312" w:cs="仿宋_GB2312"/>
          <w:b w:val="0"/>
          <w:caps w:val="0"/>
          <w:color w:val="000000"/>
          <w:kern w:val="0"/>
          <w:sz w:val="32"/>
          <w:szCs w:val="32"/>
          <w:lang w:val="zh-CN"/>
        </w:rPr>
        <w:t>公开时间：202</w:t>
      </w:r>
      <w:r>
        <w:rPr>
          <w:rFonts w:hint="eastAsia" w:ascii="仿宋_GB2312" w:eastAsia="仿宋_GB2312" w:cs="仿宋_GB2312"/>
          <w:b w:val="0"/>
          <w:caps w:val="0"/>
          <w:color w:val="000000"/>
          <w:kern w:val="0"/>
          <w:sz w:val="32"/>
          <w:szCs w:val="32"/>
          <w:lang w:val="en-US" w:eastAsia="zh-CN"/>
        </w:rPr>
        <w:t>4</w:t>
      </w:r>
      <w:r>
        <w:rPr>
          <w:rFonts w:hint="eastAsia" w:ascii="仿宋_GB2312" w:eastAsia="仿宋_GB2312" w:cs="仿宋_GB2312"/>
          <w:b w:val="0"/>
          <w:caps w:val="0"/>
          <w:color w:val="000000"/>
          <w:kern w:val="0"/>
          <w:sz w:val="32"/>
          <w:szCs w:val="32"/>
          <w:lang w:val="zh-CN"/>
        </w:rPr>
        <w:t>年</w:t>
      </w:r>
      <w:r>
        <w:rPr>
          <w:rFonts w:hint="eastAsia" w:ascii="仿宋_GB2312" w:eastAsia="仿宋_GB2312" w:cs="仿宋_GB2312"/>
          <w:b w:val="0"/>
          <w:caps w:val="0"/>
          <w:color w:val="000000"/>
          <w:kern w:val="0"/>
          <w:sz w:val="32"/>
          <w:szCs w:val="32"/>
        </w:rPr>
        <w:t>9</w:t>
      </w:r>
      <w:r>
        <w:rPr>
          <w:rFonts w:hint="eastAsia" w:ascii="仿宋_GB2312" w:eastAsia="仿宋_GB2312" w:cs="仿宋_GB2312"/>
          <w:b w:val="0"/>
          <w:caps w:val="0"/>
          <w:color w:val="000000"/>
          <w:kern w:val="0"/>
          <w:sz w:val="32"/>
          <w:szCs w:val="32"/>
          <w:lang w:val="zh-CN"/>
        </w:rPr>
        <w:t>月</w:t>
      </w:r>
      <w:r>
        <w:rPr>
          <w:rFonts w:hint="eastAsia" w:ascii="仿宋_GB2312" w:eastAsia="仿宋_GB2312" w:cs="仿宋_GB2312"/>
          <w:b w:val="0"/>
          <w:caps w:val="0"/>
          <w:color w:val="000000"/>
          <w:kern w:val="0"/>
          <w:sz w:val="32"/>
          <w:szCs w:val="32"/>
          <w:lang w:val="en-US" w:eastAsia="zh-CN"/>
        </w:rPr>
        <w:t>25</w:t>
      </w:r>
      <w:r>
        <w:rPr>
          <w:rFonts w:hint="eastAsia" w:ascii="仿宋_GB2312" w:eastAsia="仿宋_GB2312" w:cs="仿宋_GB2312"/>
          <w:b w:val="0"/>
          <w:caps w:val="0"/>
          <w:color w:val="000000"/>
          <w:kern w:val="0"/>
          <w:sz w:val="32"/>
          <w:szCs w:val="32"/>
          <w:lang w:val="zh-CN"/>
        </w:rPr>
        <w:t>日</w:t>
      </w:r>
    </w:p>
    <w:p>
      <w:pPr>
        <w:pageBreakBefore w:val="0"/>
        <w:widowControl w:val="0"/>
        <w:kinsoku/>
        <w:wordWrap/>
        <w:overflowPunct/>
        <w:topLinePunct w:val="0"/>
        <w:autoSpaceDE/>
        <w:autoSpaceDN/>
        <w:bidi w:val="0"/>
        <w:adjustRightInd/>
        <w:spacing w:line="420" w:lineRule="exact"/>
        <w:textAlignment w:val="auto"/>
        <w:rPr>
          <w:lang w:val="zh-CN"/>
        </w:rPr>
      </w:pPr>
    </w:p>
    <w:p>
      <w:pPr>
        <w:pStyle w:val="19"/>
        <w:pageBreakBefore w:val="0"/>
        <w:widowControl w:val="0"/>
        <w:tabs>
          <w:tab w:val="right" w:leader="dot" w:pos="8417"/>
        </w:tabs>
        <w:kinsoku/>
        <w:wordWrap/>
        <w:overflowPunct/>
        <w:topLinePunct w:val="0"/>
        <w:autoSpaceDE/>
        <w:autoSpaceDN/>
        <w:bidi w:val="0"/>
        <w:adjustRightInd/>
        <w:spacing w:line="420" w:lineRule="exact"/>
        <w:textAlignment w:val="auto"/>
      </w:pP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TOC \o "1-3" \h \u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_Toc29381 </w:instrText>
      </w:r>
      <w:r>
        <w:rPr>
          <w:rFonts w:hint="eastAsia" w:asciiTheme="minorEastAsia" w:hAnsiTheme="minorEastAsia" w:eastAsiaTheme="minorEastAsia" w:cstheme="minorEastAsia"/>
          <w:szCs w:val="22"/>
        </w:rPr>
        <w:fldChar w:fldCharType="separate"/>
      </w:r>
      <w:r>
        <w:rPr>
          <w:rFonts w:hint="eastAsia" w:ascii="方正小标宋简体" w:eastAsia="方正小标宋简体" w:cs="方正小标宋简体"/>
        </w:rPr>
        <w:t xml:space="preserve">第一部分 </w:t>
      </w:r>
      <w:r>
        <w:rPr>
          <w:rFonts w:hint="eastAsia" w:ascii="方正小标宋简体" w:eastAsia="方正小标宋简体" w:cs="方正小标宋简体"/>
          <w:lang w:eastAsia="zh-CN"/>
        </w:rPr>
        <w:t>单位</w:t>
      </w:r>
      <w:r>
        <w:rPr>
          <w:rFonts w:hint="eastAsia" w:ascii="方正小标宋简体" w:eastAsia="方正小标宋简体" w:cs="方正小标宋简体"/>
          <w:bCs w:val="0"/>
        </w:rPr>
        <w:t>概况</w:t>
      </w:r>
      <w:r>
        <w:tab/>
      </w:r>
      <w:r>
        <w:fldChar w:fldCharType="begin"/>
      </w:r>
      <w:r>
        <w:instrText xml:space="preserve"> PAGEREF _Toc29381 \h </w:instrText>
      </w:r>
      <w:r>
        <w:fldChar w:fldCharType="separate"/>
      </w:r>
      <w:r>
        <w:t>1</w:t>
      </w:r>
      <w:r>
        <w:fldChar w:fldCharType="end"/>
      </w:r>
      <w:r>
        <w:rPr>
          <w:rFonts w:hint="eastAsia" w:asciiTheme="minorEastAsia" w:hAnsiTheme="minorEastAsia" w:eastAsiaTheme="minorEastAsia" w:cstheme="minorEastAsia"/>
          <w:szCs w:val="22"/>
        </w:rPr>
        <w:fldChar w:fldCharType="end"/>
      </w:r>
    </w:p>
    <w:p>
      <w:pPr>
        <w:pStyle w:val="23"/>
        <w:pageBreakBefore w:val="0"/>
        <w:widowControl w:val="0"/>
        <w:tabs>
          <w:tab w:val="right" w:leader="dot" w:pos="8417"/>
        </w:tabs>
        <w:kinsoku/>
        <w:wordWrap/>
        <w:overflowPunct/>
        <w:topLinePunct w:val="0"/>
        <w:autoSpaceDE/>
        <w:autoSpaceDN/>
        <w:bidi w:val="0"/>
        <w:adjustRightInd/>
        <w:spacing w:line="420" w:lineRule="exact"/>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_Toc5169 </w:instrText>
      </w:r>
      <w:r>
        <w:rPr>
          <w:rFonts w:hint="eastAsia" w:asciiTheme="minorEastAsia" w:hAnsiTheme="minorEastAsia" w:eastAsiaTheme="minorEastAsia" w:cstheme="minorEastAsia"/>
          <w:szCs w:val="22"/>
        </w:rPr>
        <w:fldChar w:fldCharType="separate"/>
      </w:r>
      <w:r>
        <w:rPr>
          <w:rFonts w:hint="eastAsia" w:ascii="黑体" w:eastAsia="黑体"/>
        </w:rPr>
        <w:t>一、</w:t>
      </w:r>
      <w:r>
        <w:rPr>
          <w:rFonts w:hint="eastAsia" w:ascii="黑体" w:eastAsia="黑体"/>
          <w:lang w:eastAsia="zh-CN"/>
        </w:rPr>
        <w:t>部门职责</w:t>
      </w:r>
      <w:r>
        <w:tab/>
      </w:r>
      <w:r>
        <w:fldChar w:fldCharType="begin"/>
      </w:r>
      <w:r>
        <w:instrText xml:space="preserve"> PAGEREF _Toc5169 \h </w:instrText>
      </w:r>
      <w:r>
        <w:fldChar w:fldCharType="separate"/>
      </w:r>
      <w:r>
        <w:t>1</w:t>
      </w:r>
      <w:r>
        <w:fldChar w:fldCharType="end"/>
      </w:r>
      <w:r>
        <w:rPr>
          <w:rFonts w:hint="eastAsia" w:asciiTheme="minorEastAsia" w:hAnsiTheme="minorEastAsia" w:eastAsiaTheme="minorEastAsia" w:cstheme="minorEastAsia"/>
          <w:szCs w:val="22"/>
        </w:rPr>
        <w:fldChar w:fldCharType="end"/>
      </w:r>
    </w:p>
    <w:p>
      <w:pPr>
        <w:pStyle w:val="23"/>
        <w:pageBreakBefore w:val="0"/>
        <w:widowControl w:val="0"/>
        <w:tabs>
          <w:tab w:val="right" w:leader="dot" w:pos="8417"/>
        </w:tabs>
        <w:kinsoku/>
        <w:wordWrap/>
        <w:overflowPunct/>
        <w:topLinePunct w:val="0"/>
        <w:autoSpaceDE/>
        <w:autoSpaceDN/>
        <w:bidi w:val="0"/>
        <w:adjustRightInd/>
        <w:spacing w:line="420" w:lineRule="exact"/>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_Toc17992 </w:instrText>
      </w:r>
      <w:r>
        <w:rPr>
          <w:rFonts w:hint="eastAsia" w:asciiTheme="minorEastAsia" w:hAnsiTheme="minorEastAsia" w:eastAsiaTheme="minorEastAsia" w:cstheme="minorEastAsia"/>
          <w:szCs w:val="22"/>
        </w:rPr>
        <w:fldChar w:fldCharType="separate"/>
      </w:r>
      <w:r>
        <w:rPr>
          <w:rFonts w:hint="eastAsia" w:ascii="黑体" w:eastAsia="黑体"/>
          <w:szCs w:val="32"/>
        </w:rPr>
        <w:t>二、机</w:t>
      </w:r>
      <w:r>
        <w:rPr>
          <w:rFonts w:hint="eastAsia" w:ascii="黑体" w:eastAsia="黑体"/>
          <w:bCs w:val="0"/>
        </w:rPr>
        <w:t>构设置</w:t>
      </w:r>
      <w:r>
        <w:tab/>
      </w:r>
      <w:r>
        <w:fldChar w:fldCharType="begin"/>
      </w:r>
      <w:r>
        <w:instrText xml:space="preserve"> PAGEREF _Toc17992 \h </w:instrText>
      </w:r>
      <w:r>
        <w:fldChar w:fldCharType="separate"/>
      </w:r>
      <w:r>
        <w:t>2</w:t>
      </w:r>
      <w:r>
        <w:fldChar w:fldCharType="end"/>
      </w:r>
      <w:r>
        <w:rPr>
          <w:rFonts w:hint="eastAsia" w:asciiTheme="minorEastAsia" w:hAnsiTheme="minorEastAsia" w:eastAsiaTheme="minorEastAsia" w:cstheme="minorEastAsia"/>
          <w:szCs w:val="22"/>
        </w:rPr>
        <w:fldChar w:fldCharType="end"/>
      </w:r>
    </w:p>
    <w:p>
      <w:pPr>
        <w:pStyle w:val="19"/>
        <w:pageBreakBefore w:val="0"/>
        <w:widowControl w:val="0"/>
        <w:tabs>
          <w:tab w:val="right" w:leader="dot" w:pos="8417"/>
        </w:tabs>
        <w:kinsoku/>
        <w:wordWrap/>
        <w:overflowPunct/>
        <w:topLinePunct w:val="0"/>
        <w:autoSpaceDE/>
        <w:autoSpaceDN/>
        <w:bidi w:val="0"/>
        <w:adjustRightInd/>
        <w:spacing w:line="420" w:lineRule="exact"/>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_Toc29150 </w:instrText>
      </w:r>
      <w:r>
        <w:rPr>
          <w:rFonts w:hint="eastAsia" w:asciiTheme="minorEastAsia" w:hAnsiTheme="minorEastAsia" w:eastAsiaTheme="minorEastAsia" w:cstheme="minorEastAsia"/>
          <w:szCs w:val="22"/>
        </w:rPr>
        <w:fldChar w:fldCharType="separate"/>
      </w:r>
      <w:r>
        <w:rPr>
          <w:rFonts w:hint="eastAsia" w:ascii="方正小标宋简体" w:eastAsia="方正小标宋简体" w:cs="方正小标宋简体"/>
          <w:bCs/>
          <w:kern w:val="44"/>
          <w:szCs w:val="44"/>
        </w:rPr>
        <w:t>第二部分</w:t>
      </w:r>
      <w:r>
        <w:rPr>
          <w:rFonts w:hint="eastAsia" w:ascii="方正小标宋简体" w:eastAsia="方正小标宋简体" w:cs="方正小标宋简体"/>
          <w:szCs w:val="44"/>
        </w:rPr>
        <w:t xml:space="preserve"> </w:t>
      </w:r>
      <w:r>
        <w:rPr>
          <w:rFonts w:hint="eastAsia" w:ascii="方正小标宋简体" w:eastAsia="方正小标宋简体" w:cs="方正小标宋简体"/>
          <w:bCs w:val="0"/>
        </w:rPr>
        <w:t>202</w:t>
      </w:r>
      <w:r>
        <w:rPr>
          <w:rFonts w:hint="eastAsia" w:ascii="方正小标宋简体" w:eastAsia="方正小标宋简体" w:cs="方正小标宋简体"/>
          <w:bCs w:val="0"/>
          <w:lang w:val="en-US"/>
        </w:rPr>
        <w:t>3</w:t>
      </w:r>
      <w:r>
        <w:rPr>
          <w:rFonts w:hint="eastAsia" w:ascii="方正小标宋简体" w:eastAsia="方正小标宋简体" w:cs="方正小标宋简体"/>
          <w:bCs w:val="0"/>
        </w:rPr>
        <w:t>年度</w:t>
      </w:r>
      <w:r>
        <w:rPr>
          <w:rFonts w:hint="eastAsia" w:ascii="黑体" w:hAnsi="黑体" w:eastAsia="黑体"/>
          <w:bCs/>
          <w:highlight w:val="none"/>
          <w:lang w:eastAsia="zh-CN"/>
        </w:rPr>
        <w:t>单位</w:t>
      </w:r>
      <w:r>
        <w:rPr>
          <w:rFonts w:hint="eastAsia" w:ascii="方正小标宋简体" w:eastAsia="方正小标宋简体" w:cs="方正小标宋简体"/>
          <w:bCs w:val="0"/>
        </w:rPr>
        <w:t>决算情况说明</w:t>
      </w:r>
      <w:r>
        <w:tab/>
      </w:r>
      <w:r>
        <w:fldChar w:fldCharType="begin"/>
      </w:r>
      <w:r>
        <w:instrText xml:space="preserve"> PAGEREF _Toc29150 \h </w:instrText>
      </w:r>
      <w:r>
        <w:fldChar w:fldCharType="separate"/>
      </w:r>
      <w:r>
        <w:t>3</w:t>
      </w:r>
      <w:r>
        <w:fldChar w:fldCharType="end"/>
      </w:r>
      <w:r>
        <w:rPr>
          <w:rFonts w:hint="eastAsia" w:asciiTheme="minorEastAsia" w:hAnsiTheme="minorEastAsia" w:eastAsiaTheme="minorEastAsia" w:cstheme="minorEastAsia"/>
          <w:szCs w:val="22"/>
        </w:rPr>
        <w:fldChar w:fldCharType="end"/>
      </w:r>
    </w:p>
    <w:p>
      <w:pPr>
        <w:pStyle w:val="23"/>
        <w:pageBreakBefore w:val="0"/>
        <w:widowControl w:val="0"/>
        <w:tabs>
          <w:tab w:val="right" w:leader="dot" w:pos="8417"/>
        </w:tabs>
        <w:kinsoku/>
        <w:wordWrap/>
        <w:overflowPunct/>
        <w:topLinePunct w:val="0"/>
        <w:autoSpaceDE/>
        <w:autoSpaceDN/>
        <w:bidi w:val="0"/>
        <w:adjustRightInd/>
        <w:spacing w:line="420" w:lineRule="exact"/>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_Toc23228 </w:instrText>
      </w:r>
      <w:r>
        <w:rPr>
          <w:rFonts w:hint="eastAsia" w:asciiTheme="minorEastAsia" w:hAnsiTheme="minorEastAsia" w:eastAsiaTheme="minorEastAsia" w:cstheme="minorEastAsia"/>
          <w:szCs w:val="22"/>
        </w:rPr>
        <w:fldChar w:fldCharType="separate"/>
      </w:r>
      <w:r>
        <w:rPr>
          <w:rFonts w:hint="default" w:ascii="黑体" w:eastAsia="黑体" w:cs="Times New Roman"/>
        </w:rPr>
        <w:t xml:space="preserve">一、 </w:t>
      </w:r>
      <w:r>
        <w:rPr>
          <w:rFonts w:hint="eastAsia" w:ascii="黑体" w:eastAsia="黑体"/>
          <w:szCs w:val="32"/>
        </w:rPr>
        <w:t>收</w:t>
      </w:r>
      <w:r>
        <w:rPr>
          <w:rFonts w:hint="eastAsia" w:ascii="黑体" w:eastAsia="黑体"/>
        </w:rPr>
        <w:t>入支出决算总体情况说明</w:t>
      </w:r>
      <w:r>
        <w:tab/>
      </w:r>
      <w:r>
        <w:fldChar w:fldCharType="begin"/>
      </w:r>
      <w:r>
        <w:instrText xml:space="preserve"> PAGEREF _Toc23228 \h </w:instrText>
      </w:r>
      <w:r>
        <w:fldChar w:fldCharType="separate"/>
      </w:r>
      <w:r>
        <w:t>3</w:t>
      </w:r>
      <w:r>
        <w:fldChar w:fldCharType="end"/>
      </w:r>
      <w:r>
        <w:rPr>
          <w:rFonts w:hint="eastAsia" w:asciiTheme="minorEastAsia" w:hAnsiTheme="minorEastAsia" w:eastAsiaTheme="minorEastAsia" w:cstheme="minorEastAsia"/>
          <w:szCs w:val="22"/>
        </w:rPr>
        <w:fldChar w:fldCharType="end"/>
      </w:r>
    </w:p>
    <w:p>
      <w:pPr>
        <w:pStyle w:val="23"/>
        <w:pageBreakBefore w:val="0"/>
        <w:widowControl w:val="0"/>
        <w:tabs>
          <w:tab w:val="right" w:leader="dot" w:pos="8417"/>
        </w:tabs>
        <w:kinsoku/>
        <w:wordWrap/>
        <w:overflowPunct/>
        <w:topLinePunct w:val="0"/>
        <w:autoSpaceDE/>
        <w:autoSpaceDN/>
        <w:bidi w:val="0"/>
        <w:adjustRightInd/>
        <w:spacing w:line="420" w:lineRule="exact"/>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_Toc2482 </w:instrText>
      </w:r>
      <w:r>
        <w:rPr>
          <w:rFonts w:hint="eastAsia" w:asciiTheme="minorEastAsia" w:hAnsiTheme="minorEastAsia" w:eastAsiaTheme="minorEastAsia" w:cstheme="minorEastAsia"/>
          <w:szCs w:val="22"/>
        </w:rPr>
        <w:fldChar w:fldCharType="separate"/>
      </w:r>
      <w:r>
        <w:rPr>
          <w:rFonts w:hint="default" w:ascii="黑体" w:eastAsia="黑体" w:cs="Times New Roman"/>
        </w:rPr>
        <w:t xml:space="preserve">二、 </w:t>
      </w:r>
      <w:r>
        <w:rPr>
          <w:rFonts w:hint="eastAsia" w:ascii="黑体" w:eastAsia="黑体"/>
          <w:szCs w:val="32"/>
        </w:rPr>
        <w:t>收</w:t>
      </w:r>
      <w:r>
        <w:rPr>
          <w:rFonts w:hint="eastAsia" w:ascii="黑体" w:eastAsia="黑体"/>
        </w:rPr>
        <w:t>入决算情况说明</w:t>
      </w:r>
      <w:r>
        <w:tab/>
      </w:r>
      <w:r>
        <w:fldChar w:fldCharType="begin"/>
      </w:r>
      <w:r>
        <w:instrText xml:space="preserve"> PAGEREF _Toc2482 \h </w:instrText>
      </w:r>
      <w:r>
        <w:fldChar w:fldCharType="separate"/>
      </w:r>
      <w:r>
        <w:t>3</w:t>
      </w:r>
      <w:r>
        <w:fldChar w:fldCharType="end"/>
      </w:r>
      <w:r>
        <w:rPr>
          <w:rFonts w:hint="eastAsia" w:asciiTheme="minorEastAsia" w:hAnsiTheme="minorEastAsia" w:eastAsiaTheme="minorEastAsia" w:cstheme="minorEastAsia"/>
          <w:szCs w:val="22"/>
        </w:rPr>
        <w:fldChar w:fldCharType="end"/>
      </w:r>
    </w:p>
    <w:p>
      <w:pPr>
        <w:pStyle w:val="23"/>
        <w:pageBreakBefore w:val="0"/>
        <w:widowControl w:val="0"/>
        <w:tabs>
          <w:tab w:val="right" w:leader="dot" w:pos="8417"/>
        </w:tabs>
        <w:kinsoku/>
        <w:wordWrap/>
        <w:overflowPunct/>
        <w:topLinePunct w:val="0"/>
        <w:autoSpaceDE/>
        <w:autoSpaceDN/>
        <w:bidi w:val="0"/>
        <w:adjustRightInd/>
        <w:spacing w:line="420" w:lineRule="exact"/>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_Toc31441 </w:instrText>
      </w:r>
      <w:r>
        <w:rPr>
          <w:rFonts w:hint="eastAsia" w:asciiTheme="minorEastAsia" w:hAnsiTheme="minorEastAsia" w:eastAsiaTheme="minorEastAsia" w:cstheme="minorEastAsia"/>
          <w:szCs w:val="22"/>
        </w:rPr>
        <w:fldChar w:fldCharType="separate"/>
      </w:r>
      <w:r>
        <w:rPr>
          <w:rFonts w:hint="eastAsia" w:ascii="黑体" w:eastAsia="黑体"/>
          <w:szCs w:val="32"/>
        </w:rPr>
        <w:t>三、支</w:t>
      </w:r>
      <w:r>
        <w:rPr>
          <w:rFonts w:hint="eastAsia" w:ascii="黑体" w:eastAsia="黑体"/>
        </w:rPr>
        <w:t>出决算情况说明</w:t>
      </w:r>
      <w:r>
        <w:tab/>
      </w:r>
      <w:r>
        <w:fldChar w:fldCharType="begin"/>
      </w:r>
      <w:r>
        <w:instrText xml:space="preserve"> PAGEREF _Toc31441 \h </w:instrText>
      </w:r>
      <w:r>
        <w:fldChar w:fldCharType="separate"/>
      </w:r>
      <w:r>
        <w:t>4</w:t>
      </w:r>
      <w:r>
        <w:fldChar w:fldCharType="end"/>
      </w:r>
      <w:r>
        <w:rPr>
          <w:rFonts w:hint="eastAsia" w:asciiTheme="minorEastAsia" w:hAnsiTheme="minorEastAsia" w:eastAsiaTheme="minorEastAsia" w:cstheme="minorEastAsia"/>
          <w:szCs w:val="22"/>
        </w:rPr>
        <w:fldChar w:fldCharType="end"/>
      </w:r>
    </w:p>
    <w:p>
      <w:pPr>
        <w:pStyle w:val="23"/>
        <w:pageBreakBefore w:val="0"/>
        <w:widowControl w:val="0"/>
        <w:tabs>
          <w:tab w:val="right" w:leader="dot" w:pos="8417"/>
        </w:tabs>
        <w:kinsoku/>
        <w:wordWrap/>
        <w:overflowPunct/>
        <w:topLinePunct w:val="0"/>
        <w:autoSpaceDE/>
        <w:autoSpaceDN/>
        <w:bidi w:val="0"/>
        <w:adjustRightInd/>
        <w:spacing w:line="420" w:lineRule="exact"/>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_Toc15707 </w:instrText>
      </w:r>
      <w:r>
        <w:rPr>
          <w:rFonts w:hint="eastAsia" w:asciiTheme="minorEastAsia" w:hAnsiTheme="minorEastAsia" w:eastAsiaTheme="minorEastAsia" w:cstheme="minorEastAsia"/>
          <w:szCs w:val="22"/>
        </w:rPr>
        <w:fldChar w:fldCharType="separate"/>
      </w:r>
      <w:r>
        <w:rPr>
          <w:rFonts w:hint="eastAsia" w:ascii="黑体" w:eastAsia="黑体"/>
          <w:szCs w:val="32"/>
        </w:rPr>
        <w:t>四、财政拨款收入支出决算总体情况说明</w:t>
      </w:r>
      <w:r>
        <w:tab/>
      </w:r>
      <w:r>
        <w:fldChar w:fldCharType="begin"/>
      </w:r>
      <w:r>
        <w:instrText xml:space="preserve"> PAGEREF _Toc15707 \h </w:instrText>
      </w:r>
      <w:r>
        <w:fldChar w:fldCharType="separate"/>
      </w:r>
      <w:r>
        <w:t>4</w:t>
      </w:r>
      <w:r>
        <w:fldChar w:fldCharType="end"/>
      </w:r>
      <w:r>
        <w:rPr>
          <w:rFonts w:hint="eastAsia" w:asciiTheme="minorEastAsia" w:hAnsiTheme="minorEastAsia" w:eastAsiaTheme="minorEastAsia" w:cstheme="minorEastAsia"/>
          <w:szCs w:val="22"/>
        </w:rPr>
        <w:fldChar w:fldCharType="end"/>
      </w:r>
    </w:p>
    <w:p>
      <w:pPr>
        <w:pStyle w:val="23"/>
        <w:pageBreakBefore w:val="0"/>
        <w:widowControl w:val="0"/>
        <w:tabs>
          <w:tab w:val="right" w:leader="dot" w:pos="8417"/>
        </w:tabs>
        <w:kinsoku/>
        <w:wordWrap/>
        <w:overflowPunct/>
        <w:topLinePunct w:val="0"/>
        <w:autoSpaceDE/>
        <w:autoSpaceDN/>
        <w:bidi w:val="0"/>
        <w:adjustRightInd/>
        <w:spacing w:line="420" w:lineRule="exact"/>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_Toc17466 </w:instrText>
      </w:r>
      <w:r>
        <w:rPr>
          <w:rFonts w:hint="eastAsia" w:asciiTheme="minorEastAsia" w:hAnsiTheme="minorEastAsia" w:eastAsiaTheme="minorEastAsia" w:cstheme="minorEastAsia"/>
          <w:szCs w:val="22"/>
        </w:rPr>
        <w:fldChar w:fldCharType="separate"/>
      </w:r>
      <w:r>
        <w:rPr>
          <w:rFonts w:hint="eastAsia" w:ascii="黑体" w:eastAsia="黑体"/>
          <w:szCs w:val="32"/>
        </w:rPr>
        <w:t>五、</w:t>
      </w:r>
      <w:r>
        <w:rPr>
          <w:rFonts w:hint="eastAsia" w:ascii="黑体" w:eastAsia="黑体"/>
          <w:bCs/>
          <w:szCs w:val="32"/>
        </w:rPr>
        <w:t>一</w:t>
      </w:r>
      <w:r>
        <w:rPr>
          <w:rFonts w:hint="eastAsia" w:ascii="黑体" w:eastAsia="黑体"/>
        </w:rPr>
        <w:t>般公共预算财政拨款支出决算情况说明</w:t>
      </w:r>
      <w:r>
        <w:tab/>
      </w:r>
      <w:r>
        <w:fldChar w:fldCharType="begin"/>
      </w:r>
      <w:r>
        <w:instrText xml:space="preserve"> PAGEREF _Toc17466 \h </w:instrText>
      </w:r>
      <w:r>
        <w:fldChar w:fldCharType="separate"/>
      </w:r>
      <w:r>
        <w:t>5</w:t>
      </w:r>
      <w:r>
        <w:fldChar w:fldCharType="end"/>
      </w:r>
      <w:r>
        <w:rPr>
          <w:rFonts w:hint="eastAsia" w:asciiTheme="minorEastAsia" w:hAnsiTheme="minorEastAsia" w:eastAsiaTheme="minorEastAsia" w:cstheme="minorEastAsia"/>
          <w:szCs w:val="22"/>
        </w:rPr>
        <w:fldChar w:fldCharType="end"/>
      </w:r>
    </w:p>
    <w:p>
      <w:pPr>
        <w:pStyle w:val="14"/>
        <w:pageBreakBefore w:val="0"/>
        <w:widowControl w:val="0"/>
        <w:tabs>
          <w:tab w:val="right" w:leader="dot" w:pos="8417"/>
        </w:tabs>
        <w:kinsoku/>
        <w:wordWrap/>
        <w:overflowPunct/>
        <w:topLinePunct w:val="0"/>
        <w:autoSpaceDE/>
        <w:autoSpaceDN/>
        <w:bidi w:val="0"/>
        <w:adjustRightInd/>
        <w:spacing w:line="420" w:lineRule="exact"/>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_Toc21397 </w:instrText>
      </w:r>
      <w:r>
        <w:rPr>
          <w:rFonts w:hint="eastAsia" w:asciiTheme="minorEastAsia" w:hAnsiTheme="minorEastAsia" w:eastAsiaTheme="minorEastAsia" w:cstheme="minorEastAsia"/>
          <w:szCs w:val="22"/>
        </w:rPr>
        <w:fldChar w:fldCharType="separate"/>
      </w:r>
      <w:r>
        <w:rPr>
          <w:rFonts w:hint="eastAsia" w:ascii="楷体_GB2312" w:eastAsia="楷体_GB2312" w:cs="楷体_GB2312"/>
          <w:szCs w:val="32"/>
        </w:rPr>
        <w:t>（一）一般公共预算财政拨款支出决算总体情况</w:t>
      </w:r>
      <w:r>
        <w:tab/>
      </w:r>
      <w:r>
        <w:fldChar w:fldCharType="begin"/>
      </w:r>
      <w:r>
        <w:instrText xml:space="preserve"> PAGEREF _Toc21397 \h </w:instrText>
      </w:r>
      <w:r>
        <w:fldChar w:fldCharType="separate"/>
      </w:r>
      <w:r>
        <w:t>5</w:t>
      </w:r>
      <w:r>
        <w:fldChar w:fldCharType="end"/>
      </w:r>
      <w:r>
        <w:rPr>
          <w:rFonts w:hint="eastAsia" w:asciiTheme="minorEastAsia" w:hAnsiTheme="minorEastAsia" w:eastAsiaTheme="minorEastAsia" w:cstheme="minorEastAsia"/>
          <w:szCs w:val="22"/>
        </w:rPr>
        <w:fldChar w:fldCharType="end"/>
      </w:r>
    </w:p>
    <w:p>
      <w:pPr>
        <w:pStyle w:val="14"/>
        <w:pageBreakBefore w:val="0"/>
        <w:widowControl w:val="0"/>
        <w:tabs>
          <w:tab w:val="right" w:leader="dot" w:pos="8417"/>
        </w:tabs>
        <w:kinsoku/>
        <w:wordWrap/>
        <w:overflowPunct/>
        <w:topLinePunct w:val="0"/>
        <w:autoSpaceDE/>
        <w:autoSpaceDN/>
        <w:bidi w:val="0"/>
        <w:adjustRightInd/>
        <w:spacing w:line="420" w:lineRule="exact"/>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_Toc19276 </w:instrText>
      </w:r>
      <w:r>
        <w:rPr>
          <w:rFonts w:hint="eastAsia" w:asciiTheme="minorEastAsia" w:hAnsiTheme="minorEastAsia" w:eastAsiaTheme="minorEastAsia" w:cstheme="minorEastAsia"/>
          <w:szCs w:val="22"/>
        </w:rPr>
        <w:fldChar w:fldCharType="separate"/>
      </w:r>
      <w:r>
        <w:rPr>
          <w:rFonts w:hint="eastAsia" w:ascii="楷体_GB2312" w:eastAsia="楷体_GB2312" w:cs="楷体_GB2312"/>
          <w:szCs w:val="32"/>
        </w:rPr>
        <w:t>（二）一般公共预算财政拨款支出决算结构情况</w:t>
      </w:r>
      <w:r>
        <w:tab/>
      </w:r>
      <w:r>
        <w:fldChar w:fldCharType="begin"/>
      </w:r>
      <w:r>
        <w:instrText xml:space="preserve"> PAGEREF _Toc19276 \h </w:instrText>
      </w:r>
      <w:r>
        <w:fldChar w:fldCharType="separate"/>
      </w:r>
      <w:r>
        <w:t>6</w:t>
      </w:r>
      <w:r>
        <w:fldChar w:fldCharType="end"/>
      </w:r>
      <w:r>
        <w:rPr>
          <w:rFonts w:hint="eastAsia" w:asciiTheme="minorEastAsia" w:hAnsiTheme="minorEastAsia" w:eastAsiaTheme="minorEastAsia" w:cstheme="minorEastAsia"/>
          <w:szCs w:val="22"/>
        </w:rPr>
        <w:fldChar w:fldCharType="end"/>
      </w:r>
    </w:p>
    <w:p>
      <w:pPr>
        <w:pStyle w:val="14"/>
        <w:pageBreakBefore w:val="0"/>
        <w:widowControl w:val="0"/>
        <w:tabs>
          <w:tab w:val="right" w:leader="dot" w:pos="8417"/>
        </w:tabs>
        <w:kinsoku/>
        <w:wordWrap/>
        <w:overflowPunct/>
        <w:topLinePunct w:val="0"/>
        <w:autoSpaceDE/>
        <w:autoSpaceDN/>
        <w:bidi w:val="0"/>
        <w:adjustRightInd/>
        <w:spacing w:line="420" w:lineRule="exact"/>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_Toc32197 </w:instrText>
      </w:r>
      <w:r>
        <w:rPr>
          <w:rFonts w:hint="eastAsia" w:asciiTheme="minorEastAsia" w:hAnsiTheme="minorEastAsia" w:eastAsiaTheme="minorEastAsia" w:cstheme="minorEastAsia"/>
          <w:szCs w:val="22"/>
        </w:rPr>
        <w:fldChar w:fldCharType="separate"/>
      </w:r>
      <w:r>
        <w:rPr>
          <w:rFonts w:hint="eastAsia" w:ascii="楷体_GB2312" w:eastAsia="楷体_GB2312" w:cs="楷体_GB2312"/>
          <w:szCs w:val="32"/>
        </w:rPr>
        <w:t>（三）一般公共预算财政拨款支出决算具体情况</w:t>
      </w:r>
      <w:r>
        <w:tab/>
      </w:r>
      <w:r>
        <w:fldChar w:fldCharType="begin"/>
      </w:r>
      <w:r>
        <w:instrText xml:space="preserve"> PAGEREF _Toc32197 \h </w:instrText>
      </w:r>
      <w:r>
        <w:fldChar w:fldCharType="separate"/>
      </w:r>
      <w:r>
        <w:t>7</w:t>
      </w:r>
      <w:r>
        <w:fldChar w:fldCharType="end"/>
      </w:r>
      <w:r>
        <w:rPr>
          <w:rFonts w:hint="eastAsia" w:asciiTheme="minorEastAsia" w:hAnsiTheme="minorEastAsia" w:eastAsiaTheme="minorEastAsia" w:cstheme="minorEastAsia"/>
          <w:szCs w:val="22"/>
        </w:rPr>
        <w:fldChar w:fldCharType="end"/>
      </w:r>
    </w:p>
    <w:p>
      <w:pPr>
        <w:pStyle w:val="23"/>
        <w:pageBreakBefore w:val="0"/>
        <w:widowControl w:val="0"/>
        <w:tabs>
          <w:tab w:val="right" w:leader="dot" w:pos="8417"/>
        </w:tabs>
        <w:kinsoku/>
        <w:wordWrap/>
        <w:overflowPunct/>
        <w:topLinePunct w:val="0"/>
        <w:autoSpaceDE/>
        <w:autoSpaceDN/>
        <w:bidi w:val="0"/>
        <w:adjustRightInd/>
        <w:spacing w:line="420" w:lineRule="exact"/>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_Toc14511 </w:instrText>
      </w:r>
      <w:r>
        <w:rPr>
          <w:rFonts w:hint="eastAsia" w:asciiTheme="minorEastAsia" w:hAnsiTheme="minorEastAsia" w:eastAsiaTheme="minorEastAsia" w:cstheme="minorEastAsia"/>
          <w:szCs w:val="22"/>
        </w:rPr>
        <w:fldChar w:fldCharType="separate"/>
      </w:r>
      <w:r>
        <w:rPr>
          <w:rFonts w:hint="eastAsia" w:ascii="黑体" w:eastAsia="黑体"/>
          <w:szCs w:val="32"/>
        </w:rPr>
        <w:t>六、一</w:t>
      </w:r>
      <w:r>
        <w:rPr>
          <w:rFonts w:hint="eastAsia" w:ascii="黑体" w:eastAsia="黑体"/>
        </w:rPr>
        <w:t>般公共预算财政拨款基本支出决算情况说明</w:t>
      </w:r>
      <w:r>
        <w:tab/>
      </w:r>
      <w:r>
        <w:fldChar w:fldCharType="begin"/>
      </w:r>
      <w:r>
        <w:instrText xml:space="preserve"> PAGEREF _Toc14511 \h </w:instrText>
      </w:r>
      <w:r>
        <w:fldChar w:fldCharType="separate"/>
      </w:r>
      <w:r>
        <w:t>8</w:t>
      </w:r>
      <w:r>
        <w:fldChar w:fldCharType="end"/>
      </w:r>
      <w:r>
        <w:rPr>
          <w:rFonts w:hint="eastAsia" w:asciiTheme="minorEastAsia" w:hAnsiTheme="minorEastAsia" w:eastAsiaTheme="minorEastAsia" w:cstheme="minorEastAsia"/>
          <w:szCs w:val="22"/>
        </w:rPr>
        <w:fldChar w:fldCharType="end"/>
      </w:r>
    </w:p>
    <w:p>
      <w:pPr>
        <w:pStyle w:val="23"/>
        <w:pageBreakBefore w:val="0"/>
        <w:widowControl w:val="0"/>
        <w:tabs>
          <w:tab w:val="right" w:leader="dot" w:pos="8417"/>
        </w:tabs>
        <w:kinsoku/>
        <w:wordWrap/>
        <w:overflowPunct/>
        <w:topLinePunct w:val="0"/>
        <w:autoSpaceDE/>
        <w:autoSpaceDN/>
        <w:bidi w:val="0"/>
        <w:adjustRightInd/>
        <w:spacing w:line="420" w:lineRule="exact"/>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_Toc29537 </w:instrText>
      </w:r>
      <w:r>
        <w:rPr>
          <w:rFonts w:hint="eastAsia" w:asciiTheme="minorEastAsia" w:hAnsiTheme="minorEastAsia" w:eastAsiaTheme="minorEastAsia" w:cstheme="minorEastAsia"/>
          <w:szCs w:val="22"/>
        </w:rPr>
        <w:fldChar w:fldCharType="separate"/>
      </w:r>
      <w:r>
        <w:rPr>
          <w:rFonts w:hint="eastAsia" w:ascii="黑体" w:eastAsia="黑体"/>
          <w:szCs w:val="32"/>
        </w:rPr>
        <w:t>七、</w:t>
      </w:r>
      <w:r>
        <w:rPr>
          <w:rFonts w:hint="eastAsia" w:ascii="黑体" w:eastAsia="黑体"/>
        </w:rPr>
        <w:t>“三公”经费财政拨款支出决算情况说明</w:t>
      </w:r>
      <w:r>
        <w:tab/>
      </w:r>
      <w:r>
        <w:fldChar w:fldCharType="begin"/>
      </w:r>
      <w:r>
        <w:instrText xml:space="preserve"> PAGEREF _Toc29537 \h </w:instrText>
      </w:r>
      <w:r>
        <w:fldChar w:fldCharType="separate"/>
      </w:r>
      <w:r>
        <w:t>8</w:t>
      </w:r>
      <w:r>
        <w:fldChar w:fldCharType="end"/>
      </w:r>
      <w:r>
        <w:rPr>
          <w:rFonts w:hint="eastAsia" w:asciiTheme="minorEastAsia" w:hAnsiTheme="minorEastAsia" w:eastAsiaTheme="minorEastAsia" w:cstheme="minorEastAsia"/>
          <w:szCs w:val="22"/>
        </w:rPr>
        <w:fldChar w:fldCharType="end"/>
      </w:r>
    </w:p>
    <w:p>
      <w:pPr>
        <w:pStyle w:val="14"/>
        <w:pageBreakBefore w:val="0"/>
        <w:widowControl w:val="0"/>
        <w:tabs>
          <w:tab w:val="right" w:leader="dot" w:pos="8417"/>
        </w:tabs>
        <w:kinsoku/>
        <w:wordWrap/>
        <w:overflowPunct/>
        <w:topLinePunct w:val="0"/>
        <w:autoSpaceDE/>
        <w:autoSpaceDN/>
        <w:bidi w:val="0"/>
        <w:adjustRightInd/>
        <w:spacing w:line="420" w:lineRule="exact"/>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_Toc6574 </w:instrText>
      </w:r>
      <w:r>
        <w:rPr>
          <w:rFonts w:hint="eastAsia" w:asciiTheme="minorEastAsia" w:hAnsiTheme="minorEastAsia" w:eastAsiaTheme="minorEastAsia" w:cstheme="minorEastAsia"/>
          <w:szCs w:val="22"/>
        </w:rPr>
        <w:fldChar w:fldCharType="separate"/>
      </w:r>
      <w:r>
        <w:rPr>
          <w:rFonts w:hint="eastAsia" w:ascii="楷体_GB2312" w:eastAsia="楷体_GB2312" w:cs="楷体_GB2312"/>
          <w:szCs w:val="32"/>
        </w:rPr>
        <w:t>（一）“三公”经费财政拨款支出决算总体情况说明</w:t>
      </w:r>
      <w:r>
        <w:tab/>
      </w:r>
      <w:r>
        <w:fldChar w:fldCharType="begin"/>
      </w:r>
      <w:r>
        <w:instrText xml:space="preserve"> PAGEREF _Toc6574 \h </w:instrText>
      </w:r>
      <w:r>
        <w:fldChar w:fldCharType="separate"/>
      </w:r>
      <w:r>
        <w:t>8</w:t>
      </w:r>
      <w:r>
        <w:fldChar w:fldCharType="end"/>
      </w:r>
      <w:r>
        <w:rPr>
          <w:rFonts w:hint="eastAsia" w:asciiTheme="minorEastAsia" w:hAnsiTheme="minorEastAsia" w:eastAsiaTheme="minorEastAsia" w:cstheme="minorEastAsia"/>
          <w:szCs w:val="22"/>
        </w:rPr>
        <w:fldChar w:fldCharType="end"/>
      </w:r>
    </w:p>
    <w:p>
      <w:pPr>
        <w:pStyle w:val="14"/>
        <w:pageBreakBefore w:val="0"/>
        <w:widowControl w:val="0"/>
        <w:tabs>
          <w:tab w:val="right" w:leader="dot" w:pos="8417"/>
        </w:tabs>
        <w:kinsoku/>
        <w:wordWrap/>
        <w:overflowPunct/>
        <w:topLinePunct w:val="0"/>
        <w:autoSpaceDE/>
        <w:autoSpaceDN/>
        <w:bidi w:val="0"/>
        <w:adjustRightInd/>
        <w:spacing w:line="420" w:lineRule="exact"/>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_Toc6536 </w:instrText>
      </w:r>
      <w:r>
        <w:rPr>
          <w:rFonts w:hint="eastAsia" w:asciiTheme="minorEastAsia" w:hAnsiTheme="minorEastAsia" w:eastAsiaTheme="minorEastAsia" w:cstheme="minorEastAsia"/>
          <w:szCs w:val="22"/>
        </w:rPr>
        <w:fldChar w:fldCharType="separate"/>
      </w:r>
      <w:r>
        <w:rPr>
          <w:rFonts w:hint="eastAsia" w:ascii="楷体_GB2312" w:eastAsia="楷体_GB2312" w:cs="楷体_GB2312"/>
          <w:szCs w:val="32"/>
        </w:rPr>
        <w:t>（二）“三公”经费财政拨款支出决算具体情况说明</w:t>
      </w:r>
      <w:r>
        <w:tab/>
      </w:r>
      <w:r>
        <w:fldChar w:fldCharType="begin"/>
      </w:r>
      <w:r>
        <w:instrText xml:space="preserve"> PAGEREF _Toc6536 \h </w:instrText>
      </w:r>
      <w:r>
        <w:fldChar w:fldCharType="separate"/>
      </w:r>
      <w:r>
        <w:t>8</w:t>
      </w:r>
      <w:r>
        <w:fldChar w:fldCharType="end"/>
      </w:r>
      <w:r>
        <w:rPr>
          <w:rFonts w:hint="eastAsia" w:asciiTheme="minorEastAsia" w:hAnsiTheme="minorEastAsia" w:eastAsiaTheme="minorEastAsia" w:cstheme="minorEastAsia"/>
          <w:szCs w:val="22"/>
        </w:rPr>
        <w:fldChar w:fldCharType="end"/>
      </w:r>
    </w:p>
    <w:p>
      <w:pPr>
        <w:pStyle w:val="23"/>
        <w:pageBreakBefore w:val="0"/>
        <w:widowControl w:val="0"/>
        <w:tabs>
          <w:tab w:val="right" w:leader="dot" w:pos="8417"/>
        </w:tabs>
        <w:kinsoku/>
        <w:wordWrap/>
        <w:overflowPunct/>
        <w:topLinePunct w:val="0"/>
        <w:autoSpaceDE/>
        <w:autoSpaceDN/>
        <w:bidi w:val="0"/>
        <w:adjustRightInd/>
        <w:spacing w:line="420" w:lineRule="exact"/>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_Toc8165 </w:instrText>
      </w:r>
      <w:r>
        <w:rPr>
          <w:rFonts w:hint="eastAsia" w:asciiTheme="minorEastAsia" w:hAnsiTheme="minorEastAsia" w:eastAsiaTheme="minorEastAsia" w:cstheme="minorEastAsia"/>
          <w:szCs w:val="22"/>
        </w:rPr>
        <w:fldChar w:fldCharType="separate"/>
      </w:r>
      <w:r>
        <w:rPr>
          <w:rFonts w:hint="eastAsia" w:ascii="黑体" w:eastAsia="黑体" w:cs="仿宋_GB2312"/>
          <w:szCs w:val="32"/>
        </w:rPr>
        <w:t>八、</w:t>
      </w:r>
      <w:r>
        <w:rPr>
          <w:rFonts w:hint="eastAsia" w:ascii="黑体" w:eastAsia="黑体" w:cs="仿宋_GB2312"/>
          <w:bCs/>
          <w:szCs w:val="32"/>
        </w:rPr>
        <w:t>政府性基金预算支出决算情况说明</w:t>
      </w:r>
      <w:r>
        <w:tab/>
      </w:r>
      <w:r>
        <w:fldChar w:fldCharType="begin"/>
      </w:r>
      <w:r>
        <w:instrText xml:space="preserve"> PAGEREF _Toc8165 \h </w:instrText>
      </w:r>
      <w:r>
        <w:fldChar w:fldCharType="separate"/>
      </w:r>
      <w:r>
        <w:t>9</w:t>
      </w:r>
      <w:r>
        <w:fldChar w:fldCharType="end"/>
      </w:r>
      <w:r>
        <w:rPr>
          <w:rFonts w:hint="eastAsia" w:asciiTheme="minorEastAsia" w:hAnsiTheme="minorEastAsia" w:eastAsiaTheme="minorEastAsia" w:cstheme="minorEastAsia"/>
          <w:szCs w:val="22"/>
        </w:rPr>
        <w:fldChar w:fldCharType="end"/>
      </w:r>
    </w:p>
    <w:p>
      <w:pPr>
        <w:pStyle w:val="23"/>
        <w:pageBreakBefore w:val="0"/>
        <w:widowControl w:val="0"/>
        <w:tabs>
          <w:tab w:val="right" w:leader="dot" w:pos="8417"/>
        </w:tabs>
        <w:kinsoku/>
        <w:wordWrap/>
        <w:overflowPunct/>
        <w:topLinePunct w:val="0"/>
        <w:autoSpaceDE/>
        <w:autoSpaceDN/>
        <w:bidi w:val="0"/>
        <w:adjustRightInd/>
        <w:spacing w:line="420" w:lineRule="exact"/>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_Toc8318 </w:instrText>
      </w:r>
      <w:r>
        <w:rPr>
          <w:rFonts w:hint="eastAsia" w:asciiTheme="minorEastAsia" w:hAnsiTheme="minorEastAsia" w:eastAsiaTheme="minorEastAsia" w:cstheme="minorEastAsia"/>
          <w:szCs w:val="22"/>
        </w:rPr>
        <w:fldChar w:fldCharType="separate"/>
      </w:r>
      <w:r>
        <w:rPr>
          <w:rFonts w:hint="eastAsia" w:ascii="黑体" w:eastAsia="黑体" w:cs="Times New Roman"/>
          <w:bCs/>
          <w:szCs w:val="32"/>
        </w:rPr>
        <w:t xml:space="preserve">九、 </w:t>
      </w:r>
      <w:r>
        <w:rPr>
          <w:rFonts w:hint="eastAsia" w:ascii="黑体" w:eastAsia="黑体" w:cs="仿宋_GB2312"/>
          <w:bCs/>
          <w:szCs w:val="32"/>
        </w:rPr>
        <w:t>国有资本经营预算支出决算情况说明</w:t>
      </w:r>
      <w:r>
        <w:tab/>
      </w:r>
      <w:r>
        <w:fldChar w:fldCharType="begin"/>
      </w:r>
      <w:r>
        <w:instrText xml:space="preserve"> PAGEREF _Toc8318 \h </w:instrText>
      </w:r>
      <w:r>
        <w:fldChar w:fldCharType="separate"/>
      </w:r>
      <w:r>
        <w:t>9</w:t>
      </w:r>
      <w:r>
        <w:fldChar w:fldCharType="end"/>
      </w:r>
      <w:r>
        <w:rPr>
          <w:rFonts w:hint="eastAsia" w:asciiTheme="minorEastAsia" w:hAnsiTheme="minorEastAsia" w:eastAsiaTheme="minorEastAsia" w:cstheme="minorEastAsia"/>
          <w:szCs w:val="22"/>
        </w:rPr>
        <w:fldChar w:fldCharType="end"/>
      </w:r>
    </w:p>
    <w:p>
      <w:pPr>
        <w:pStyle w:val="23"/>
        <w:pageBreakBefore w:val="0"/>
        <w:widowControl w:val="0"/>
        <w:tabs>
          <w:tab w:val="right" w:leader="dot" w:pos="8417"/>
        </w:tabs>
        <w:kinsoku/>
        <w:wordWrap/>
        <w:overflowPunct/>
        <w:topLinePunct w:val="0"/>
        <w:autoSpaceDE/>
        <w:autoSpaceDN/>
        <w:bidi w:val="0"/>
        <w:adjustRightInd/>
        <w:spacing w:line="420" w:lineRule="exact"/>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_Toc13138 </w:instrText>
      </w:r>
      <w:r>
        <w:rPr>
          <w:rFonts w:hint="eastAsia" w:asciiTheme="minorEastAsia" w:hAnsiTheme="minorEastAsia" w:eastAsiaTheme="minorEastAsia" w:cstheme="minorEastAsia"/>
          <w:szCs w:val="22"/>
        </w:rPr>
        <w:fldChar w:fldCharType="separate"/>
      </w:r>
      <w:r>
        <w:rPr>
          <w:rFonts w:hint="eastAsia" w:ascii="黑体" w:eastAsia="黑体"/>
          <w:szCs w:val="32"/>
        </w:rPr>
        <w:t>十</w:t>
      </w:r>
      <w:r>
        <w:rPr>
          <w:rFonts w:hint="eastAsia" w:ascii="黑体" w:eastAsia="黑体"/>
        </w:rPr>
        <w:t>、其他重要事项的情况说明</w:t>
      </w:r>
      <w:r>
        <w:tab/>
      </w:r>
      <w:r>
        <w:fldChar w:fldCharType="begin"/>
      </w:r>
      <w:r>
        <w:instrText xml:space="preserve"> PAGEREF _Toc13138 \h </w:instrText>
      </w:r>
      <w:r>
        <w:fldChar w:fldCharType="separate"/>
      </w:r>
      <w:r>
        <w:t>9</w:t>
      </w:r>
      <w:r>
        <w:fldChar w:fldCharType="end"/>
      </w:r>
      <w:r>
        <w:rPr>
          <w:rFonts w:hint="eastAsia" w:asciiTheme="minorEastAsia" w:hAnsiTheme="minorEastAsia" w:eastAsiaTheme="minorEastAsia" w:cstheme="minorEastAsia"/>
          <w:szCs w:val="22"/>
        </w:rPr>
        <w:fldChar w:fldCharType="end"/>
      </w:r>
    </w:p>
    <w:p>
      <w:pPr>
        <w:pStyle w:val="23"/>
        <w:pageBreakBefore w:val="0"/>
        <w:widowControl w:val="0"/>
        <w:tabs>
          <w:tab w:val="right" w:leader="dot" w:pos="8417"/>
        </w:tabs>
        <w:kinsoku/>
        <w:wordWrap/>
        <w:overflowPunct/>
        <w:topLinePunct w:val="0"/>
        <w:autoSpaceDE/>
        <w:autoSpaceDN/>
        <w:bidi w:val="0"/>
        <w:adjustRightInd/>
        <w:spacing w:line="420" w:lineRule="exact"/>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_Toc3561 </w:instrText>
      </w:r>
      <w:r>
        <w:rPr>
          <w:rFonts w:hint="eastAsia" w:asciiTheme="minorEastAsia" w:hAnsiTheme="minorEastAsia" w:eastAsiaTheme="minorEastAsia" w:cstheme="minorEastAsia"/>
          <w:szCs w:val="22"/>
        </w:rPr>
        <w:fldChar w:fldCharType="separate"/>
      </w:r>
      <w:r>
        <w:rPr>
          <w:rFonts w:hint="eastAsia" w:ascii="楷体_GB2312" w:eastAsia="楷体_GB2312" w:cs="楷体_GB2312"/>
          <w:szCs w:val="32"/>
        </w:rPr>
        <w:t>（一）机关运行经费支出情况</w:t>
      </w:r>
      <w:r>
        <w:tab/>
      </w:r>
      <w:r>
        <w:fldChar w:fldCharType="begin"/>
      </w:r>
      <w:r>
        <w:instrText xml:space="preserve"> PAGEREF _Toc3561 \h </w:instrText>
      </w:r>
      <w:r>
        <w:fldChar w:fldCharType="separate"/>
      </w:r>
      <w:r>
        <w:t>9</w:t>
      </w:r>
      <w:r>
        <w:fldChar w:fldCharType="end"/>
      </w:r>
      <w:r>
        <w:rPr>
          <w:rFonts w:hint="eastAsia" w:asciiTheme="minorEastAsia" w:hAnsiTheme="minorEastAsia" w:eastAsiaTheme="minorEastAsia" w:cstheme="minorEastAsia"/>
          <w:szCs w:val="22"/>
        </w:rPr>
        <w:fldChar w:fldCharType="end"/>
      </w:r>
    </w:p>
    <w:p>
      <w:pPr>
        <w:pStyle w:val="23"/>
        <w:pageBreakBefore w:val="0"/>
        <w:widowControl w:val="0"/>
        <w:tabs>
          <w:tab w:val="right" w:leader="dot" w:pos="8417"/>
        </w:tabs>
        <w:kinsoku/>
        <w:wordWrap/>
        <w:overflowPunct/>
        <w:topLinePunct w:val="0"/>
        <w:autoSpaceDE/>
        <w:autoSpaceDN/>
        <w:bidi w:val="0"/>
        <w:adjustRightInd/>
        <w:spacing w:line="420" w:lineRule="exact"/>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_Toc4640 </w:instrText>
      </w:r>
      <w:r>
        <w:rPr>
          <w:rFonts w:hint="eastAsia" w:asciiTheme="minorEastAsia" w:hAnsiTheme="minorEastAsia" w:eastAsiaTheme="minorEastAsia" w:cstheme="minorEastAsia"/>
          <w:szCs w:val="22"/>
        </w:rPr>
        <w:fldChar w:fldCharType="separate"/>
      </w:r>
      <w:r>
        <w:rPr>
          <w:rFonts w:hint="eastAsia" w:ascii="楷体_GB2312" w:eastAsia="楷体_GB2312" w:cs="楷体_GB2312"/>
          <w:szCs w:val="32"/>
        </w:rPr>
        <w:t>（二）政府采购支出情况</w:t>
      </w:r>
      <w:r>
        <w:tab/>
      </w:r>
      <w:r>
        <w:fldChar w:fldCharType="begin"/>
      </w:r>
      <w:r>
        <w:instrText xml:space="preserve"> PAGEREF _Toc4640 \h </w:instrText>
      </w:r>
      <w:r>
        <w:fldChar w:fldCharType="separate"/>
      </w:r>
      <w:r>
        <w:t>9</w:t>
      </w:r>
      <w:r>
        <w:fldChar w:fldCharType="end"/>
      </w:r>
      <w:r>
        <w:rPr>
          <w:rFonts w:hint="eastAsia" w:asciiTheme="minorEastAsia" w:hAnsiTheme="minorEastAsia" w:eastAsiaTheme="minorEastAsia" w:cstheme="minorEastAsia"/>
          <w:szCs w:val="22"/>
        </w:rPr>
        <w:fldChar w:fldCharType="end"/>
      </w:r>
    </w:p>
    <w:p>
      <w:pPr>
        <w:pStyle w:val="23"/>
        <w:pageBreakBefore w:val="0"/>
        <w:widowControl w:val="0"/>
        <w:tabs>
          <w:tab w:val="right" w:leader="dot" w:pos="8417"/>
        </w:tabs>
        <w:kinsoku/>
        <w:wordWrap/>
        <w:overflowPunct/>
        <w:topLinePunct w:val="0"/>
        <w:autoSpaceDE/>
        <w:autoSpaceDN/>
        <w:bidi w:val="0"/>
        <w:adjustRightInd/>
        <w:spacing w:line="420" w:lineRule="exact"/>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_Toc8696 </w:instrText>
      </w:r>
      <w:r>
        <w:rPr>
          <w:rFonts w:hint="eastAsia" w:asciiTheme="minorEastAsia" w:hAnsiTheme="minorEastAsia" w:eastAsiaTheme="minorEastAsia" w:cstheme="minorEastAsia"/>
          <w:szCs w:val="22"/>
        </w:rPr>
        <w:fldChar w:fldCharType="separate"/>
      </w:r>
      <w:r>
        <w:rPr>
          <w:rFonts w:hint="eastAsia" w:ascii="楷体_GB2312" w:eastAsia="楷体_GB2312" w:cs="楷体_GB2312"/>
          <w:szCs w:val="32"/>
        </w:rPr>
        <w:t>（三）国有资产占有使用情况</w:t>
      </w:r>
      <w:r>
        <w:tab/>
      </w:r>
      <w:r>
        <w:fldChar w:fldCharType="begin"/>
      </w:r>
      <w:r>
        <w:instrText xml:space="preserve"> PAGEREF _Toc8696 \h </w:instrText>
      </w:r>
      <w:r>
        <w:fldChar w:fldCharType="separate"/>
      </w:r>
      <w:r>
        <w:t>10</w:t>
      </w:r>
      <w:r>
        <w:fldChar w:fldCharType="end"/>
      </w:r>
      <w:r>
        <w:rPr>
          <w:rFonts w:hint="eastAsia" w:asciiTheme="minorEastAsia" w:hAnsiTheme="minorEastAsia" w:eastAsiaTheme="minorEastAsia" w:cstheme="minorEastAsia"/>
          <w:szCs w:val="22"/>
        </w:rPr>
        <w:fldChar w:fldCharType="end"/>
      </w:r>
    </w:p>
    <w:p>
      <w:pPr>
        <w:pStyle w:val="23"/>
        <w:pageBreakBefore w:val="0"/>
        <w:widowControl w:val="0"/>
        <w:tabs>
          <w:tab w:val="right" w:leader="dot" w:pos="8417"/>
        </w:tabs>
        <w:kinsoku/>
        <w:wordWrap/>
        <w:overflowPunct/>
        <w:topLinePunct w:val="0"/>
        <w:autoSpaceDE/>
        <w:autoSpaceDN/>
        <w:bidi w:val="0"/>
        <w:adjustRightInd/>
        <w:spacing w:line="420" w:lineRule="exact"/>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_Toc21414 </w:instrText>
      </w:r>
      <w:r>
        <w:rPr>
          <w:rFonts w:hint="eastAsia" w:asciiTheme="minorEastAsia" w:hAnsiTheme="minorEastAsia" w:eastAsiaTheme="minorEastAsia" w:cstheme="minorEastAsia"/>
          <w:szCs w:val="22"/>
        </w:rPr>
        <w:fldChar w:fldCharType="separate"/>
      </w:r>
      <w:r>
        <w:rPr>
          <w:rFonts w:hint="eastAsia" w:ascii="楷体_GB2312" w:eastAsia="楷体_GB2312" w:cs="楷体_GB2312"/>
          <w:szCs w:val="32"/>
        </w:rPr>
        <w:t>（四）预算绩效管理情况</w:t>
      </w:r>
      <w:r>
        <w:tab/>
      </w:r>
      <w:r>
        <w:fldChar w:fldCharType="begin"/>
      </w:r>
      <w:r>
        <w:instrText xml:space="preserve"> PAGEREF _Toc21414 \h </w:instrText>
      </w:r>
      <w:r>
        <w:fldChar w:fldCharType="separate"/>
      </w:r>
      <w:r>
        <w:t>10</w:t>
      </w:r>
      <w:r>
        <w:fldChar w:fldCharType="end"/>
      </w:r>
      <w:r>
        <w:rPr>
          <w:rFonts w:hint="eastAsia" w:asciiTheme="minorEastAsia" w:hAnsiTheme="minorEastAsia" w:eastAsiaTheme="minorEastAsia" w:cstheme="minorEastAsia"/>
          <w:szCs w:val="22"/>
        </w:rPr>
        <w:fldChar w:fldCharType="end"/>
      </w:r>
    </w:p>
    <w:p>
      <w:pPr>
        <w:pStyle w:val="19"/>
        <w:pageBreakBefore w:val="0"/>
        <w:widowControl w:val="0"/>
        <w:tabs>
          <w:tab w:val="right" w:leader="dot" w:pos="8417"/>
        </w:tabs>
        <w:kinsoku/>
        <w:wordWrap/>
        <w:overflowPunct/>
        <w:topLinePunct w:val="0"/>
        <w:autoSpaceDE/>
        <w:autoSpaceDN/>
        <w:bidi w:val="0"/>
        <w:adjustRightInd/>
        <w:spacing w:line="420" w:lineRule="exact"/>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_Toc14057 </w:instrText>
      </w:r>
      <w:r>
        <w:rPr>
          <w:rFonts w:hint="eastAsia" w:asciiTheme="minorEastAsia" w:hAnsiTheme="minorEastAsia" w:eastAsiaTheme="minorEastAsia" w:cstheme="minorEastAsia"/>
          <w:szCs w:val="22"/>
        </w:rPr>
        <w:fldChar w:fldCharType="separate"/>
      </w:r>
      <w:r>
        <w:rPr>
          <w:rFonts w:hint="eastAsia" w:ascii="方正小标宋简体" w:eastAsia="方正小标宋简体" w:cs="方正小标宋简体"/>
        </w:rPr>
        <w:t>第三部分 名词解释</w:t>
      </w:r>
      <w:r>
        <w:tab/>
      </w:r>
      <w:r>
        <w:fldChar w:fldCharType="begin"/>
      </w:r>
      <w:r>
        <w:instrText xml:space="preserve"> PAGEREF _Toc14057 \h </w:instrText>
      </w:r>
      <w:r>
        <w:fldChar w:fldCharType="separate"/>
      </w:r>
      <w:r>
        <w:t>11</w:t>
      </w:r>
      <w:r>
        <w:fldChar w:fldCharType="end"/>
      </w:r>
      <w:r>
        <w:rPr>
          <w:rFonts w:hint="eastAsia" w:asciiTheme="minorEastAsia" w:hAnsiTheme="minorEastAsia" w:eastAsiaTheme="minorEastAsia" w:cstheme="minorEastAsia"/>
          <w:szCs w:val="22"/>
        </w:rPr>
        <w:fldChar w:fldCharType="end"/>
      </w:r>
    </w:p>
    <w:p>
      <w:pPr>
        <w:pStyle w:val="19"/>
        <w:pageBreakBefore w:val="0"/>
        <w:widowControl w:val="0"/>
        <w:tabs>
          <w:tab w:val="right" w:leader="dot" w:pos="8417"/>
        </w:tabs>
        <w:kinsoku/>
        <w:wordWrap/>
        <w:overflowPunct/>
        <w:topLinePunct w:val="0"/>
        <w:autoSpaceDE/>
        <w:autoSpaceDN/>
        <w:bidi w:val="0"/>
        <w:adjustRightInd/>
        <w:spacing w:line="420" w:lineRule="exact"/>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_Toc4201 </w:instrText>
      </w:r>
      <w:r>
        <w:rPr>
          <w:rFonts w:hint="eastAsia" w:asciiTheme="minorEastAsia" w:hAnsiTheme="minorEastAsia" w:eastAsiaTheme="minorEastAsia" w:cstheme="minorEastAsia"/>
          <w:szCs w:val="22"/>
        </w:rPr>
        <w:fldChar w:fldCharType="separate"/>
      </w:r>
      <w:r>
        <w:rPr>
          <w:rFonts w:hint="eastAsia" w:ascii="方正小标宋简体" w:eastAsia="方正小标宋简体" w:cs="方正小标宋简体"/>
          <w:szCs w:val="44"/>
        </w:rPr>
        <w:t>第</w:t>
      </w:r>
      <w:r>
        <w:rPr>
          <w:rFonts w:hint="eastAsia" w:ascii="方正小标宋简体" w:eastAsia="方正小标宋简体" w:cs="方正小标宋简体"/>
        </w:rPr>
        <w:t>四部分 附件</w:t>
      </w:r>
      <w:r>
        <w:tab/>
      </w:r>
      <w:r>
        <w:fldChar w:fldCharType="begin"/>
      </w:r>
      <w:r>
        <w:instrText xml:space="preserve"> PAGEREF _Toc4201 \h </w:instrText>
      </w:r>
      <w:r>
        <w:fldChar w:fldCharType="separate"/>
      </w:r>
      <w:r>
        <w:t>14</w:t>
      </w:r>
      <w:r>
        <w:fldChar w:fldCharType="end"/>
      </w:r>
      <w:r>
        <w:rPr>
          <w:rFonts w:hint="eastAsia" w:asciiTheme="minorEastAsia" w:hAnsiTheme="minorEastAsia" w:eastAsiaTheme="minorEastAsia" w:cstheme="minorEastAsia"/>
          <w:szCs w:val="22"/>
        </w:rPr>
        <w:fldChar w:fldCharType="end"/>
      </w:r>
    </w:p>
    <w:p>
      <w:pPr>
        <w:pStyle w:val="19"/>
        <w:pageBreakBefore w:val="0"/>
        <w:widowControl w:val="0"/>
        <w:tabs>
          <w:tab w:val="right" w:leader="dot" w:pos="8417"/>
        </w:tabs>
        <w:kinsoku/>
        <w:wordWrap/>
        <w:overflowPunct/>
        <w:topLinePunct w:val="0"/>
        <w:autoSpaceDE/>
        <w:autoSpaceDN/>
        <w:bidi w:val="0"/>
        <w:adjustRightInd/>
        <w:spacing w:line="420" w:lineRule="exact"/>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_Toc30080 </w:instrText>
      </w:r>
      <w:r>
        <w:rPr>
          <w:rFonts w:hint="eastAsia" w:asciiTheme="minorEastAsia" w:hAnsiTheme="minorEastAsia" w:eastAsiaTheme="minorEastAsia" w:cstheme="minorEastAsia"/>
          <w:szCs w:val="22"/>
        </w:rPr>
        <w:fldChar w:fldCharType="separate"/>
      </w:r>
      <w:r>
        <w:rPr>
          <w:rFonts w:hint="eastAsia" w:ascii="方正小标宋简体" w:eastAsia="方正小标宋简体" w:cs="方正小标宋简体"/>
          <w:szCs w:val="44"/>
        </w:rPr>
        <w:t>第</w:t>
      </w:r>
      <w:r>
        <w:rPr>
          <w:rFonts w:hint="eastAsia" w:ascii="方正小标宋简体" w:eastAsia="方正小标宋简体" w:cs="方正小标宋简体"/>
        </w:rPr>
        <w:t>五部分 附表</w:t>
      </w:r>
      <w:r>
        <w:tab/>
      </w:r>
      <w:r>
        <w:fldChar w:fldCharType="begin"/>
      </w:r>
      <w:r>
        <w:instrText xml:space="preserve"> PAGEREF _Toc30080 \h </w:instrText>
      </w:r>
      <w:r>
        <w:fldChar w:fldCharType="separate"/>
      </w:r>
      <w:r>
        <w:t>34</w:t>
      </w:r>
      <w:r>
        <w:fldChar w:fldCharType="end"/>
      </w:r>
      <w:r>
        <w:rPr>
          <w:rFonts w:hint="eastAsia" w:asciiTheme="minorEastAsia" w:hAnsiTheme="minorEastAsia" w:eastAsiaTheme="minorEastAsia" w:cstheme="minorEastAsia"/>
          <w:szCs w:val="22"/>
        </w:rPr>
        <w:fldChar w:fldCharType="end"/>
      </w:r>
    </w:p>
    <w:p>
      <w:pPr>
        <w:pStyle w:val="23"/>
        <w:pageBreakBefore w:val="0"/>
        <w:widowControl w:val="0"/>
        <w:tabs>
          <w:tab w:val="right" w:leader="dot" w:pos="8417"/>
        </w:tabs>
        <w:kinsoku/>
        <w:wordWrap/>
        <w:overflowPunct/>
        <w:topLinePunct w:val="0"/>
        <w:autoSpaceDE/>
        <w:autoSpaceDN/>
        <w:bidi w:val="0"/>
        <w:adjustRightInd/>
        <w:spacing w:line="420" w:lineRule="exact"/>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_Toc16165 </w:instrText>
      </w:r>
      <w:r>
        <w:rPr>
          <w:rFonts w:hint="eastAsia" w:asciiTheme="minorEastAsia" w:hAnsiTheme="minorEastAsia" w:eastAsiaTheme="minorEastAsia" w:cstheme="minorEastAsia"/>
          <w:szCs w:val="22"/>
        </w:rPr>
        <w:fldChar w:fldCharType="separate"/>
      </w:r>
      <w:r>
        <w:rPr>
          <w:rFonts w:hint="eastAsia" w:ascii="仿宋_GB2312" w:eastAsia="仿宋_GB2312" w:cs="宋体"/>
          <w:kern w:val="0"/>
          <w:szCs w:val="32"/>
          <w:shd w:val="clear" w:color="auto" w:fill="FFFFFF"/>
          <w:lang w:val="zh-CN"/>
        </w:rPr>
        <w:t>一、收入支出决算总表</w:t>
      </w:r>
      <w:r>
        <w:tab/>
      </w:r>
      <w:r>
        <w:fldChar w:fldCharType="begin"/>
      </w:r>
      <w:r>
        <w:instrText xml:space="preserve"> PAGEREF _Toc16165 \h </w:instrText>
      </w:r>
      <w:r>
        <w:fldChar w:fldCharType="separate"/>
      </w:r>
      <w:r>
        <w:t>34</w:t>
      </w:r>
      <w:r>
        <w:fldChar w:fldCharType="end"/>
      </w:r>
      <w:r>
        <w:rPr>
          <w:rFonts w:hint="eastAsia" w:asciiTheme="minorEastAsia" w:hAnsiTheme="minorEastAsia" w:eastAsiaTheme="minorEastAsia" w:cstheme="minorEastAsia"/>
          <w:szCs w:val="22"/>
        </w:rPr>
        <w:fldChar w:fldCharType="end"/>
      </w:r>
    </w:p>
    <w:p>
      <w:pPr>
        <w:pStyle w:val="23"/>
        <w:pageBreakBefore w:val="0"/>
        <w:widowControl w:val="0"/>
        <w:tabs>
          <w:tab w:val="right" w:leader="dot" w:pos="8417"/>
        </w:tabs>
        <w:kinsoku/>
        <w:wordWrap/>
        <w:overflowPunct/>
        <w:topLinePunct w:val="0"/>
        <w:autoSpaceDE/>
        <w:autoSpaceDN/>
        <w:bidi w:val="0"/>
        <w:adjustRightInd/>
        <w:spacing w:line="420" w:lineRule="exact"/>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_Toc20076 </w:instrText>
      </w:r>
      <w:r>
        <w:rPr>
          <w:rFonts w:hint="eastAsia" w:asciiTheme="minorEastAsia" w:hAnsiTheme="minorEastAsia" w:eastAsiaTheme="minorEastAsia" w:cstheme="minorEastAsia"/>
          <w:szCs w:val="22"/>
        </w:rPr>
        <w:fldChar w:fldCharType="separate"/>
      </w:r>
      <w:r>
        <w:rPr>
          <w:rFonts w:hint="eastAsia" w:ascii="仿宋_GB2312" w:eastAsia="仿宋_GB2312" w:cs="宋体"/>
          <w:kern w:val="0"/>
          <w:szCs w:val="32"/>
          <w:shd w:val="clear" w:color="auto" w:fill="FFFFFF"/>
          <w:lang w:val="zh-CN"/>
        </w:rPr>
        <w:t>二、收入决算表</w:t>
      </w:r>
      <w:r>
        <w:tab/>
      </w:r>
      <w:r>
        <w:fldChar w:fldCharType="begin"/>
      </w:r>
      <w:r>
        <w:instrText xml:space="preserve"> PAGEREF _Toc20076 \h </w:instrText>
      </w:r>
      <w:r>
        <w:fldChar w:fldCharType="separate"/>
      </w:r>
      <w:r>
        <w:t>34</w:t>
      </w:r>
      <w:r>
        <w:fldChar w:fldCharType="end"/>
      </w:r>
      <w:r>
        <w:rPr>
          <w:rFonts w:hint="eastAsia" w:asciiTheme="minorEastAsia" w:hAnsiTheme="minorEastAsia" w:eastAsiaTheme="minorEastAsia" w:cstheme="minorEastAsia"/>
          <w:szCs w:val="22"/>
        </w:rPr>
        <w:fldChar w:fldCharType="end"/>
      </w:r>
    </w:p>
    <w:p>
      <w:pPr>
        <w:pStyle w:val="23"/>
        <w:pageBreakBefore w:val="0"/>
        <w:widowControl w:val="0"/>
        <w:tabs>
          <w:tab w:val="right" w:leader="dot" w:pos="8417"/>
        </w:tabs>
        <w:kinsoku/>
        <w:wordWrap/>
        <w:overflowPunct/>
        <w:topLinePunct w:val="0"/>
        <w:autoSpaceDE/>
        <w:autoSpaceDN/>
        <w:bidi w:val="0"/>
        <w:adjustRightInd/>
        <w:spacing w:line="420" w:lineRule="exact"/>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_Toc5927 </w:instrText>
      </w:r>
      <w:r>
        <w:rPr>
          <w:rFonts w:hint="eastAsia" w:asciiTheme="minorEastAsia" w:hAnsiTheme="minorEastAsia" w:eastAsiaTheme="minorEastAsia" w:cstheme="minorEastAsia"/>
          <w:szCs w:val="22"/>
        </w:rPr>
        <w:fldChar w:fldCharType="separate"/>
      </w:r>
      <w:r>
        <w:rPr>
          <w:rFonts w:hint="eastAsia" w:ascii="仿宋_GB2312" w:eastAsia="仿宋_GB2312" w:cs="宋体"/>
          <w:kern w:val="0"/>
          <w:szCs w:val="32"/>
          <w:shd w:val="clear" w:color="auto" w:fill="FFFFFF"/>
          <w:lang w:val="zh-CN"/>
        </w:rPr>
        <w:t>三、支出决算表</w:t>
      </w:r>
      <w:r>
        <w:tab/>
      </w:r>
      <w:r>
        <w:fldChar w:fldCharType="begin"/>
      </w:r>
      <w:r>
        <w:instrText xml:space="preserve"> PAGEREF _Toc5927 \h </w:instrText>
      </w:r>
      <w:r>
        <w:fldChar w:fldCharType="separate"/>
      </w:r>
      <w:r>
        <w:t>34</w:t>
      </w:r>
      <w:r>
        <w:fldChar w:fldCharType="end"/>
      </w:r>
      <w:r>
        <w:rPr>
          <w:rFonts w:hint="eastAsia" w:asciiTheme="minorEastAsia" w:hAnsiTheme="minorEastAsia" w:eastAsiaTheme="minorEastAsia" w:cstheme="minorEastAsia"/>
          <w:szCs w:val="22"/>
        </w:rPr>
        <w:fldChar w:fldCharType="end"/>
      </w:r>
    </w:p>
    <w:p>
      <w:pPr>
        <w:pStyle w:val="23"/>
        <w:pageBreakBefore w:val="0"/>
        <w:widowControl w:val="0"/>
        <w:tabs>
          <w:tab w:val="right" w:leader="dot" w:pos="8417"/>
        </w:tabs>
        <w:kinsoku/>
        <w:wordWrap/>
        <w:overflowPunct/>
        <w:topLinePunct w:val="0"/>
        <w:autoSpaceDE/>
        <w:autoSpaceDN/>
        <w:bidi w:val="0"/>
        <w:adjustRightInd/>
        <w:spacing w:line="420" w:lineRule="exact"/>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_Toc26548 </w:instrText>
      </w:r>
      <w:r>
        <w:rPr>
          <w:rFonts w:hint="eastAsia" w:asciiTheme="minorEastAsia" w:hAnsiTheme="minorEastAsia" w:eastAsiaTheme="minorEastAsia" w:cstheme="minorEastAsia"/>
          <w:szCs w:val="22"/>
        </w:rPr>
        <w:fldChar w:fldCharType="separate"/>
      </w:r>
      <w:r>
        <w:rPr>
          <w:rFonts w:hint="eastAsia" w:ascii="仿宋_GB2312" w:eastAsia="仿宋_GB2312" w:cs="宋体"/>
          <w:kern w:val="0"/>
          <w:szCs w:val="32"/>
          <w:shd w:val="clear" w:color="auto" w:fill="FFFFFF"/>
          <w:lang w:val="zh-CN"/>
        </w:rPr>
        <w:t>四、财政拨款收入支出决算总表</w:t>
      </w:r>
      <w:r>
        <w:tab/>
      </w:r>
      <w:r>
        <w:fldChar w:fldCharType="begin"/>
      </w:r>
      <w:r>
        <w:instrText xml:space="preserve"> PAGEREF _Toc26548 \h </w:instrText>
      </w:r>
      <w:r>
        <w:fldChar w:fldCharType="separate"/>
      </w:r>
      <w:r>
        <w:t>34</w:t>
      </w:r>
      <w:r>
        <w:fldChar w:fldCharType="end"/>
      </w:r>
      <w:r>
        <w:rPr>
          <w:rFonts w:hint="eastAsia" w:asciiTheme="minorEastAsia" w:hAnsiTheme="minorEastAsia" w:eastAsiaTheme="minorEastAsia" w:cstheme="minorEastAsia"/>
          <w:szCs w:val="22"/>
        </w:rPr>
        <w:fldChar w:fldCharType="end"/>
      </w:r>
    </w:p>
    <w:p>
      <w:pPr>
        <w:pStyle w:val="23"/>
        <w:pageBreakBefore w:val="0"/>
        <w:widowControl w:val="0"/>
        <w:tabs>
          <w:tab w:val="right" w:leader="dot" w:pos="8417"/>
        </w:tabs>
        <w:kinsoku/>
        <w:wordWrap/>
        <w:overflowPunct/>
        <w:topLinePunct w:val="0"/>
        <w:autoSpaceDE/>
        <w:autoSpaceDN/>
        <w:bidi w:val="0"/>
        <w:adjustRightInd/>
        <w:spacing w:line="420" w:lineRule="exact"/>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_Toc2693 </w:instrText>
      </w:r>
      <w:r>
        <w:rPr>
          <w:rFonts w:hint="eastAsia" w:asciiTheme="minorEastAsia" w:hAnsiTheme="minorEastAsia" w:eastAsiaTheme="minorEastAsia" w:cstheme="minorEastAsia"/>
          <w:szCs w:val="22"/>
        </w:rPr>
        <w:fldChar w:fldCharType="separate"/>
      </w:r>
      <w:r>
        <w:rPr>
          <w:rFonts w:hint="eastAsia" w:ascii="仿宋_GB2312" w:eastAsia="仿宋_GB2312" w:cs="宋体"/>
          <w:kern w:val="0"/>
          <w:szCs w:val="32"/>
          <w:shd w:val="clear" w:color="auto" w:fill="FFFFFF"/>
          <w:lang w:val="zh-CN"/>
        </w:rPr>
        <w:t>五、财政拨款支出决算明细表</w:t>
      </w:r>
      <w:r>
        <w:tab/>
      </w:r>
      <w:r>
        <w:fldChar w:fldCharType="begin"/>
      </w:r>
      <w:r>
        <w:instrText xml:space="preserve"> PAGEREF _Toc2693 \h </w:instrText>
      </w:r>
      <w:r>
        <w:fldChar w:fldCharType="separate"/>
      </w:r>
      <w:r>
        <w:t>34</w:t>
      </w:r>
      <w:r>
        <w:fldChar w:fldCharType="end"/>
      </w:r>
      <w:r>
        <w:rPr>
          <w:rFonts w:hint="eastAsia" w:asciiTheme="minorEastAsia" w:hAnsiTheme="minorEastAsia" w:eastAsiaTheme="minorEastAsia" w:cstheme="minorEastAsia"/>
          <w:szCs w:val="22"/>
        </w:rPr>
        <w:fldChar w:fldCharType="end"/>
      </w:r>
    </w:p>
    <w:p>
      <w:pPr>
        <w:pStyle w:val="23"/>
        <w:pageBreakBefore w:val="0"/>
        <w:widowControl w:val="0"/>
        <w:tabs>
          <w:tab w:val="right" w:leader="dot" w:pos="8417"/>
        </w:tabs>
        <w:kinsoku/>
        <w:wordWrap/>
        <w:overflowPunct/>
        <w:topLinePunct w:val="0"/>
        <w:autoSpaceDE/>
        <w:autoSpaceDN/>
        <w:bidi w:val="0"/>
        <w:adjustRightInd/>
        <w:spacing w:line="420" w:lineRule="exact"/>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_Toc26266 </w:instrText>
      </w:r>
      <w:r>
        <w:rPr>
          <w:rFonts w:hint="eastAsia" w:asciiTheme="minorEastAsia" w:hAnsiTheme="minorEastAsia" w:eastAsiaTheme="minorEastAsia" w:cstheme="minorEastAsia"/>
          <w:szCs w:val="22"/>
        </w:rPr>
        <w:fldChar w:fldCharType="separate"/>
      </w:r>
      <w:r>
        <w:rPr>
          <w:rFonts w:hint="eastAsia" w:ascii="仿宋_GB2312" w:eastAsia="仿宋_GB2312" w:cs="宋体"/>
          <w:kern w:val="0"/>
          <w:szCs w:val="32"/>
          <w:shd w:val="clear" w:color="auto" w:fill="FFFFFF"/>
          <w:lang w:val="zh-CN"/>
        </w:rPr>
        <w:t>六、一般公共预算财政拨款支出决算表</w:t>
      </w:r>
      <w:r>
        <w:tab/>
      </w:r>
      <w:r>
        <w:fldChar w:fldCharType="begin"/>
      </w:r>
      <w:r>
        <w:instrText xml:space="preserve"> PAGEREF _Toc26266 \h </w:instrText>
      </w:r>
      <w:r>
        <w:fldChar w:fldCharType="separate"/>
      </w:r>
      <w:r>
        <w:t>34</w:t>
      </w:r>
      <w:r>
        <w:fldChar w:fldCharType="end"/>
      </w:r>
      <w:r>
        <w:rPr>
          <w:rFonts w:hint="eastAsia" w:asciiTheme="minorEastAsia" w:hAnsiTheme="minorEastAsia" w:eastAsiaTheme="minorEastAsia" w:cstheme="minorEastAsia"/>
          <w:szCs w:val="22"/>
        </w:rPr>
        <w:fldChar w:fldCharType="end"/>
      </w:r>
    </w:p>
    <w:p>
      <w:pPr>
        <w:pStyle w:val="23"/>
        <w:pageBreakBefore w:val="0"/>
        <w:widowControl w:val="0"/>
        <w:tabs>
          <w:tab w:val="right" w:leader="dot" w:pos="8417"/>
        </w:tabs>
        <w:kinsoku/>
        <w:wordWrap/>
        <w:overflowPunct/>
        <w:topLinePunct w:val="0"/>
        <w:autoSpaceDE/>
        <w:autoSpaceDN/>
        <w:bidi w:val="0"/>
        <w:adjustRightInd/>
        <w:spacing w:line="420" w:lineRule="exact"/>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_Toc16111 </w:instrText>
      </w:r>
      <w:r>
        <w:rPr>
          <w:rFonts w:hint="eastAsia" w:asciiTheme="minorEastAsia" w:hAnsiTheme="minorEastAsia" w:eastAsiaTheme="minorEastAsia" w:cstheme="minorEastAsia"/>
          <w:szCs w:val="22"/>
        </w:rPr>
        <w:fldChar w:fldCharType="separate"/>
      </w:r>
      <w:r>
        <w:rPr>
          <w:rFonts w:hint="eastAsia" w:ascii="仿宋_GB2312" w:eastAsia="仿宋_GB2312" w:cs="宋体"/>
          <w:kern w:val="0"/>
          <w:szCs w:val="32"/>
          <w:shd w:val="clear" w:color="auto" w:fill="FFFFFF"/>
          <w:lang w:val="zh-CN"/>
        </w:rPr>
        <w:t>七、一般公共预算财政拨款支出决算明细表</w:t>
      </w:r>
      <w:r>
        <w:tab/>
      </w:r>
      <w:r>
        <w:fldChar w:fldCharType="begin"/>
      </w:r>
      <w:r>
        <w:instrText xml:space="preserve"> PAGEREF _Toc16111 \h </w:instrText>
      </w:r>
      <w:r>
        <w:fldChar w:fldCharType="separate"/>
      </w:r>
      <w:r>
        <w:t>34</w:t>
      </w:r>
      <w:r>
        <w:fldChar w:fldCharType="end"/>
      </w:r>
      <w:r>
        <w:rPr>
          <w:rFonts w:hint="eastAsia" w:asciiTheme="minorEastAsia" w:hAnsiTheme="minorEastAsia" w:eastAsiaTheme="minorEastAsia" w:cstheme="minorEastAsia"/>
          <w:szCs w:val="22"/>
        </w:rPr>
        <w:fldChar w:fldCharType="end"/>
      </w:r>
    </w:p>
    <w:p>
      <w:pPr>
        <w:pStyle w:val="23"/>
        <w:pageBreakBefore w:val="0"/>
        <w:widowControl w:val="0"/>
        <w:tabs>
          <w:tab w:val="right" w:leader="dot" w:pos="8417"/>
        </w:tabs>
        <w:kinsoku/>
        <w:wordWrap/>
        <w:overflowPunct/>
        <w:topLinePunct w:val="0"/>
        <w:autoSpaceDE/>
        <w:autoSpaceDN/>
        <w:bidi w:val="0"/>
        <w:adjustRightInd/>
        <w:spacing w:line="420" w:lineRule="exact"/>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_Toc416 </w:instrText>
      </w:r>
      <w:r>
        <w:rPr>
          <w:rFonts w:hint="eastAsia" w:asciiTheme="minorEastAsia" w:hAnsiTheme="minorEastAsia" w:eastAsiaTheme="minorEastAsia" w:cstheme="minorEastAsia"/>
          <w:szCs w:val="22"/>
        </w:rPr>
        <w:fldChar w:fldCharType="separate"/>
      </w:r>
      <w:r>
        <w:rPr>
          <w:rFonts w:hint="eastAsia" w:ascii="仿宋_GB2312" w:eastAsia="仿宋_GB2312" w:cs="宋体"/>
          <w:kern w:val="0"/>
          <w:szCs w:val="32"/>
          <w:shd w:val="clear" w:color="auto" w:fill="FFFFFF"/>
          <w:lang w:val="zh-CN"/>
        </w:rPr>
        <w:t>八、一般公共预算财政拨款基本支出决算表</w:t>
      </w:r>
      <w:r>
        <w:tab/>
      </w:r>
      <w:r>
        <w:fldChar w:fldCharType="begin"/>
      </w:r>
      <w:r>
        <w:instrText xml:space="preserve"> PAGEREF _Toc416 \h </w:instrText>
      </w:r>
      <w:r>
        <w:fldChar w:fldCharType="separate"/>
      </w:r>
      <w:r>
        <w:t>34</w:t>
      </w:r>
      <w:r>
        <w:fldChar w:fldCharType="end"/>
      </w:r>
      <w:r>
        <w:rPr>
          <w:rFonts w:hint="eastAsia" w:asciiTheme="minorEastAsia" w:hAnsiTheme="minorEastAsia" w:eastAsiaTheme="minorEastAsia" w:cstheme="minorEastAsia"/>
          <w:szCs w:val="22"/>
        </w:rPr>
        <w:fldChar w:fldCharType="end"/>
      </w:r>
    </w:p>
    <w:p>
      <w:pPr>
        <w:pStyle w:val="23"/>
        <w:pageBreakBefore w:val="0"/>
        <w:widowControl w:val="0"/>
        <w:tabs>
          <w:tab w:val="right" w:leader="dot" w:pos="8417"/>
        </w:tabs>
        <w:kinsoku/>
        <w:wordWrap/>
        <w:overflowPunct/>
        <w:topLinePunct w:val="0"/>
        <w:autoSpaceDE/>
        <w:autoSpaceDN/>
        <w:bidi w:val="0"/>
        <w:adjustRightInd/>
        <w:spacing w:line="420" w:lineRule="exact"/>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_Toc25137 </w:instrText>
      </w:r>
      <w:r>
        <w:rPr>
          <w:rFonts w:hint="eastAsia" w:asciiTheme="minorEastAsia" w:hAnsiTheme="minorEastAsia" w:eastAsiaTheme="minorEastAsia" w:cstheme="minorEastAsia"/>
          <w:szCs w:val="22"/>
        </w:rPr>
        <w:fldChar w:fldCharType="separate"/>
      </w:r>
      <w:r>
        <w:rPr>
          <w:rFonts w:hint="eastAsia" w:ascii="仿宋_GB2312" w:eastAsia="仿宋_GB2312" w:cs="宋体"/>
          <w:kern w:val="0"/>
          <w:szCs w:val="32"/>
          <w:shd w:val="clear" w:color="auto" w:fill="FFFFFF"/>
          <w:lang w:val="zh-CN"/>
        </w:rPr>
        <w:t>九、一般公共预算财政拨款项目支出决算表</w:t>
      </w:r>
      <w:r>
        <w:tab/>
      </w:r>
      <w:r>
        <w:fldChar w:fldCharType="begin"/>
      </w:r>
      <w:r>
        <w:instrText xml:space="preserve"> PAGEREF _Toc25137 \h </w:instrText>
      </w:r>
      <w:r>
        <w:fldChar w:fldCharType="separate"/>
      </w:r>
      <w:r>
        <w:t>34</w:t>
      </w:r>
      <w:r>
        <w:fldChar w:fldCharType="end"/>
      </w:r>
      <w:r>
        <w:rPr>
          <w:rFonts w:hint="eastAsia" w:asciiTheme="minorEastAsia" w:hAnsiTheme="minorEastAsia" w:eastAsiaTheme="minorEastAsia" w:cstheme="minorEastAsia"/>
          <w:szCs w:val="22"/>
        </w:rPr>
        <w:fldChar w:fldCharType="end"/>
      </w:r>
    </w:p>
    <w:p>
      <w:pPr>
        <w:pStyle w:val="23"/>
        <w:pageBreakBefore w:val="0"/>
        <w:widowControl w:val="0"/>
        <w:tabs>
          <w:tab w:val="right" w:leader="dot" w:pos="8417"/>
        </w:tabs>
        <w:kinsoku/>
        <w:wordWrap/>
        <w:overflowPunct/>
        <w:topLinePunct w:val="0"/>
        <w:autoSpaceDE/>
        <w:autoSpaceDN/>
        <w:bidi w:val="0"/>
        <w:adjustRightInd/>
        <w:spacing w:line="420" w:lineRule="exact"/>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_Toc25478 </w:instrText>
      </w:r>
      <w:r>
        <w:rPr>
          <w:rFonts w:hint="eastAsia" w:asciiTheme="minorEastAsia" w:hAnsiTheme="minorEastAsia" w:eastAsiaTheme="minorEastAsia" w:cstheme="minorEastAsia"/>
          <w:szCs w:val="22"/>
        </w:rPr>
        <w:fldChar w:fldCharType="separate"/>
      </w:r>
      <w:r>
        <w:rPr>
          <w:rFonts w:hint="eastAsia" w:ascii="仿宋_GB2312" w:eastAsia="仿宋_GB2312" w:cs="宋体"/>
          <w:kern w:val="0"/>
          <w:szCs w:val="32"/>
          <w:shd w:val="clear" w:color="auto" w:fill="FFFFFF"/>
          <w:lang w:val="zh-CN"/>
        </w:rPr>
        <w:t>十、政府性基金预算财政拨款收入支出决算表</w:t>
      </w:r>
      <w:r>
        <w:tab/>
      </w:r>
      <w:r>
        <w:fldChar w:fldCharType="begin"/>
      </w:r>
      <w:r>
        <w:instrText xml:space="preserve"> PAGEREF _Toc25478 \h </w:instrText>
      </w:r>
      <w:r>
        <w:fldChar w:fldCharType="separate"/>
      </w:r>
      <w:r>
        <w:t>34</w:t>
      </w:r>
      <w:r>
        <w:fldChar w:fldCharType="end"/>
      </w:r>
      <w:r>
        <w:rPr>
          <w:rFonts w:hint="eastAsia" w:asciiTheme="minorEastAsia" w:hAnsiTheme="minorEastAsia" w:eastAsiaTheme="minorEastAsia" w:cstheme="minorEastAsia"/>
          <w:szCs w:val="22"/>
        </w:rPr>
        <w:fldChar w:fldCharType="end"/>
      </w:r>
    </w:p>
    <w:p>
      <w:pPr>
        <w:pStyle w:val="23"/>
        <w:pageBreakBefore w:val="0"/>
        <w:widowControl w:val="0"/>
        <w:tabs>
          <w:tab w:val="right" w:leader="dot" w:pos="8417"/>
        </w:tabs>
        <w:kinsoku/>
        <w:wordWrap/>
        <w:overflowPunct/>
        <w:topLinePunct w:val="0"/>
        <w:autoSpaceDE/>
        <w:autoSpaceDN/>
        <w:bidi w:val="0"/>
        <w:adjustRightInd/>
        <w:spacing w:line="420" w:lineRule="exact"/>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_Toc24477 </w:instrText>
      </w:r>
      <w:r>
        <w:rPr>
          <w:rFonts w:hint="eastAsia" w:asciiTheme="minorEastAsia" w:hAnsiTheme="minorEastAsia" w:eastAsiaTheme="minorEastAsia" w:cstheme="minorEastAsia"/>
          <w:szCs w:val="22"/>
        </w:rPr>
        <w:fldChar w:fldCharType="separate"/>
      </w:r>
      <w:r>
        <w:rPr>
          <w:rFonts w:hint="eastAsia" w:ascii="仿宋_GB2312" w:eastAsia="仿宋_GB2312" w:cs="宋体"/>
          <w:kern w:val="0"/>
          <w:szCs w:val="32"/>
          <w:shd w:val="clear" w:color="auto" w:fill="FFFFFF"/>
          <w:lang w:val="zh-CN"/>
        </w:rPr>
        <w:t>十一、国有资本经营预算财政拨款收入支出决算表</w:t>
      </w:r>
      <w:r>
        <w:tab/>
      </w:r>
      <w:r>
        <w:fldChar w:fldCharType="begin"/>
      </w:r>
      <w:r>
        <w:instrText xml:space="preserve"> PAGEREF _Toc24477 \h </w:instrText>
      </w:r>
      <w:r>
        <w:fldChar w:fldCharType="separate"/>
      </w:r>
      <w:r>
        <w:t>34</w:t>
      </w:r>
      <w:r>
        <w:fldChar w:fldCharType="end"/>
      </w:r>
      <w:r>
        <w:rPr>
          <w:rFonts w:hint="eastAsia" w:asciiTheme="minorEastAsia" w:hAnsiTheme="minorEastAsia" w:eastAsiaTheme="minorEastAsia" w:cstheme="minorEastAsia"/>
          <w:szCs w:val="22"/>
        </w:rPr>
        <w:fldChar w:fldCharType="end"/>
      </w:r>
    </w:p>
    <w:p>
      <w:pPr>
        <w:pStyle w:val="23"/>
        <w:pageBreakBefore w:val="0"/>
        <w:widowControl w:val="0"/>
        <w:tabs>
          <w:tab w:val="right" w:leader="dot" w:pos="8417"/>
        </w:tabs>
        <w:kinsoku/>
        <w:wordWrap/>
        <w:overflowPunct/>
        <w:topLinePunct w:val="0"/>
        <w:autoSpaceDE/>
        <w:autoSpaceDN/>
        <w:bidi w:val="0"/>
        <w:adjustRightInd/>
        <w:spacing w:line="420" w:lineRule="exact"/>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_Toc28548 </w:instrText>
      </w:r>
      <w:r>
        <w:rPr>
          <w:rFonts w:hint="eastAsia" w:asciiTheme="minorEastAsia" w:hAnsiTheme="minorEastAsia" w:eastAsiaTheme="minorEastAsia" w:cstheme="minorEastAsia"/>
          <w:szCs w:val="22"/>
        </w:rPr>
        <w:fldChar w:fldCharType="separate"/>
      </w:r>
      <w:r>
        <w:rPr>
          <w:rFonts w:hint="eastAsia" w:ascii="仿宋_GB2312" w:eastAsia="仿宋_GB2312" w:cs="宋体"/>
          <w:kern w:val="0"/>
          <w:szCs w:val="32"/>
          <w:shd w:val="clear" w:color="auto" w:fill="FFFFFF"/>
          <w:lang w:val="zh-CN"/>
        </w:rPr>
        <w:t>十二、国有资本经营预算财政拨款支出决算表</w:t>
      </w:r>
      <w:r>
        <w:tab/>
      </w:r>
      <w:r>
        <w:fldChar w:fldCharType="begin"/>
      </w:r>
      <w:r>
        <w:instrText xml:space="preserve"> PAGEREF _Toc28548 \h </w:instrText>
      </w:r>
      <w:r>
        <w:fldChar w:fldCharType="separate"/>
      </w:r>
      <w:r>
        <w:t>34</w:t>
      </w:r>
      <w:r>
        <w:fldChar w:fldCharType="end"/>
      </w:r>
      <w:r>
        <w:rPr>
          <w:rFonts w:hint="eastAsia" w:asciiTheme="minorEastAsia" w:hAnsiTheme="minorEastAsia" w:eastAsiaTheme="minorEastAsia" w:cstheme="minorEastAsia"/>
          <w:szCs w:val="22"/>
        </w:rPr>
        <w:fldChar w:fldCharType="end"/>
      </w:r>
    </w:p>
    <w:p>
      <w:pPr>
        <w:pStyle w:val="23"/>
        <w:pageBreakBefore w:val="0"/>
        <w:widowControl w:val="0"/>
        <w:tabs>
          <w:tab w:val="right" w:leader="dot" w:pos="8417"/>
        </w:tabs>
        <w:kinsoku/>
        <w:wordWrap/>
        <w:overflowPunct/>
        <w:topLinePunct w:val="0"/>
        <w:autoSpaceDE/>
        <w:autoSpaceDN/>
        <w:bidi w:val="0"/>
        <w:adjustRightInd/>
        <w:spacing w:line="420" w:lineRule="exact"/>
        <w:textAlignment w:val="auto"/>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_Toc26105 </w:instrText>
      </w:r>
      <w:r>
        <w:rPr>
          <w:rFonts w:hint="eastAsia" w:asciiTheme="minorEastAsia" w:hAnsiTheme="minorEastAsia" w:eastAsiaTheme="minorEastAsia" w:cstheme="minorEastAsia"/>
          <w:szCs w:val="22"/>
        </w:rPr>
        <w:fldChar w:fldCharType="separate"/>
      </w:r>
      <w:r>
        <w:rPr>
          <w:rFonts w:hint="eastAsia" w:ascii="仿宋_GB2312" w:eastAsia="仿宋_GB2312" w:cs="宋体"/>
          <w:kern w:val="0"/>
          <w:szCs w:val="32"/>
          <w:shd w:val="clear" w:color="auto" w:fill="FFFFFF"/>
          <w:lang w:val="zh-CN"/>
        </w:rPr>
        <w:t>十三、财政拨款“三公”经费支出决算表</w:t>
      </w:r>
      <w:r>
        <w:tab/>
      </w:r>
      <w:r>
        <w:fldChar w:fldCharType="begin"/>
      </w:r>
      <w:r>
        <w:instrText xml:space="preserve"> PAGEREF _Toc26105 \h </w:instrText>
      </w:r>
      <w:r>
        <w:fldChar w:fldCharType="separate"/>
      </w:r>
      <w:r>
        <w:t>34</w:t>
      </w:r>
      <w:r>
        <w:fldChar w:fldCharType="end"/>
      </w:r>
      <w:r>
        <w:rPr>
          <w:rFonts w:hint="eastAsia" w:asciiTheme="minorEastAsia" w:hAnsiTheme="minorEastAsia" w:eastAsiaTheme="minorEastAsia" w:cstheme="minorEastAsia"/>
          <w:szCs w:val="22"/>
        </w:rPr>
        <w:fldChar w:fldCharType="end"/>
      </w:r>
    </w:p>
    <w:p>
      <w:pPr>
        <w:pageBreakBefore w:val="0"/>
        <w:widowControl w:val="0"/>
        <w:kinsoku/>
        <w:wordWrap/>
        <w:overflowPunct/>
        <w:topLinePunct w:val="0"/>
        <w:autoSpaceDE/>
        <w:autoSpaceDN/>
        <w:bidi w:val="0"/>
        <w:adjustRightInd/>
        <w:snapToGrid w:val="0"/>
        <w:spacing w:line="420" w:lineRule="exact"/>
        <w:ind w:left="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Cs w:val="22"/>
        </w:rPr>
        <w:fldChar w:fldCharType="end"/>
      </w:r>
    </w:p>
    <w:p>
      <w:pPr>
        <w:pStyle w:val="5"/>
        <w:pageBreakBefore w:val="0"/>
        <w:widowControl w:val="0"/>
        <w:kinsoku/>
        <w:wordWrap/>
        <w:overflowPunct/>
        <w:topLinePunct w:val="0"/>
        <w:autoSpaceDE/>
        <w:autoSpaceDN/>
        <w:bidi w:val="0"/>
        <w:adjustRightInd/>
        <w:snapToGrid w:val="0"/>
        <w:spacing w:before="0" w:after="0" w:line="420" w:lineRule="exact"/>
        <w:ind w:left="0"/>
        <w:jc w:val="center"/>
        <w:textAlignment w:val="auto"/>
        <w:rPr>
          <w:rFonts w:hint="eastAsia" w:asciiTheme="minorEastAsia" w:hAnsiTheme="minorEastAsia" w:eastAsiaTheme="minorEastAsia" w:cstheme="minorEastAsia"/>
          <w:b w:val="0"/>
          <w:sz w:val="22"/>
          <w:szCs w:val="22"/>
        </w:rPr>
        <w:sectPr>
          <w:footerReference r:id="rId4" w:type="first"/>
          <w:headerReference r:id="rId3" w:type="default"/>
          <w:pgSz w:w="11906" w:h="16838"/>
          <w:pgMar w:top="1383" w:right="1689" w:bottom="986" w:left="1800" w:header="851" w:footer="992" w:gutter="0"/>
          <w:pgNumType w:start="1"/>
          <w:cols w:space="0" w:num="1"/>
          <w:titlePg/>
          <w:rtlGutter w:val="0"/>
          <w:docGrid w:type="lines" w:linePitch="312" w:charSpace="0"/>
        </w:sectPr>
      </w:pPr>
      <w:bookmarkStart w:id="133" w:name="_GoBack"/>
      <w:bookmarkEnd w:id="133"/>
      <w:bookmarkStart w:id="7" w:name="_Toc15377196"/>
      <w:bookmarkStart w:id="8" w:name="_Toc15396599"/>
      <w:bookmarkStart w:id="9" w:name="_Toc79163601"/>
      <w:bookmarkStart w:id="10" w:name="_Toc79163851"/>
    </w:p>
    <w:p>
      <w:pPr>
        <w:pStyle w:val="5"/>
        <w:spacing w:after="0" w:line="576" w:lineRule="exact"/>
        <w:jc w:val="center"/>
        <w:rPr>
          <w:rStyle w:val="30"/>
          <w:rFonts w:ascii="方正小标宋简体" w:eastAsia="方正小标宋简体" w:cs="方正小标宋简体"/>
          <w:b/>
          <w:bCs w:val="0"/>
        </w:rPr>
      </w:pPr>
      <w:bookmarkStart w:id="11" w:name="_Toc29381"/>
      <w:r>
        <w:rPr>
          <w:rFonts w:hint="eastAsia" w:ascii="方正小标宋简体" w:eastAsia="方正小标宋简体" w:cs="方正小标宋简体"/>
          <w:b w:val="0"/>
        </w:rPr>
        <w:t xml:space="preserve">第一部分 </w:t>
      </w:r>
      <w:r>
        <w:rPr>
          <w:rFonts w:hint="eastAsia" w:ascii="方正小标宋简体" w:eastAsia="方正小标宋简体" w:cs="方正小标宋简体"/>
          <w:b w:val="0"/>
          <w:lang w:eastAsia="zh-CN"/>
        </w:rPr>
        <w:t>单位</w:t>
      </w:r>
      <w:r>
        <w:rPr>
          <w:rStyle w:val="30"/>
          <w:rFonts w:hint="eastAsia" w:ascii="方正小标宋简体" w:eastAsia="方正小标宋简体" w:cs="方正小标宋简体"/>
          <w:b w:val="0"/>
          <w:bCs w:val="0"/>
        </w:rPr>
        <w:t>概况</w:t>
      </w:r>
      <w:bookmarkEnd w:id="7"/>
      <w:bookmarkEnd w:id="8"/>
      <w:bookmarkEnd w:id="9"/>
      <w:bookmarkEnd w:id="10"/>
      <w:bookmarkEnd w:id="11"/>
    </w:p>
    <w:p>
      <w:pPr>
        <w:keepNext w:val="0"/>
        <w:keepLines w:val="0"/>
        <w:pageBreakBefore w:val="0"/>
        <w:widowControl/>
        <w:kinsoku/>
        <w:wordWrap/>
        <w:overflowPunct/>
        <w:topLinePunct w:val="0"/>
        <w:autoSpaceDE/>
        <w:autoSpaceDN/>
        <w:bidi w:val="0"/>
        <w:adjustRightInd/>
        <w:snapToGrid/>
        <w:spacing w:line="276" w:lineRule="exact"/>
        <w:jc w:val="left"/>
        <w:textAlignment w:val="auto"/>
        <w:rPr>
          <w:rFonts w:ascii="黑体" w:eastAsia="黑体"/>
          <w:color w:val="000000"/>
          <w:sz w:val="32"/>
          <w:szCs w:val="32"/>
        </w:rPr>
      </w:pPr>
    </w:p>
    <w:p>
      <w:pPr>
        <w:pStyle w:val="6"/>
        <w:spacing w:after="0" w:line="576" w:lineRule="exact"/>
        <w:ind w:firstLine="640" w:firstLineChars="200"/>
        <w:rPr>
          <w:rFonts w:hint="eastAsia" w:ascii="楷体_GB2312" w:eastAsia="黑体" w:cs="楷体_GB2312"/>
          <w:b/>
          <w:color w:val="auto"/>
          <w:sz w:val="32"/>
          <w:szCs w:val="32"/>
          <w:lang w:eastAsia="zh-CN"/>
        </w:rPr>
      </w:pPr>
      <w:bookmarkStart w:id="12" w:name="_Toc15377197"/>
      <w:bookmarkStart w:id="13" w:name="_Toc79163852"/>
      <w:bookmarkStart w:id="14" w:name="_Toc79163602"/>
      <w:bookmarkStart w:id="15" w:name="_Toc15396600"/>
      <w:bookmarkStart w:id="16" w:name="_Toc5169"/>
      <w:r>
        <w:rPr>
          <w:rFonts w:hint="eastAsia" w:ascii="黑体" w:eastAsia="黑体"/>
          <w:b w:val="0"/>
          <w:color w:val="auto"/>
        </w:rPr>
        <w:t>一、</w:t>
      </w:r>
      <w:bookmarkEnd w:id="12"/>
      <w:bookmarkEnd w:id="13"/>
      <w:bookmarkEnd w:id="14"/>
      <w:bookmarkEnd w:id="15"/>
      <w:bookmarkStart w:id="17" w:name="_Toc15377198"/>
      <w:bookmarkStart w:id="18" w:name="_Toc15378445"/>
      <w:bookmarkStart w:id="19" w:name="_Toc15378446"/>
      <w:bookmarkStart w:id="20" w:name="_Toc15377199"/>
      <w:bookmarkStart w:id="21" w:name="_Toc79163854"/>
      <w:bookmarkStart w:id="22" w:name="_Toc79163604"/>
      <w:r>
        <w:rPr>
          <w:rFonts w:hint="eastAsia" w:ascii="黑体" w:eastAsia="黑体"/>
          <w:b w:val="0"/>
          <w:color w:val="auto"/>
          <w:lang w:eastAsia="zh-CN"/>
        </w:rPr>
        <w:t>部门职责</w:t>
      </w:r>
      <w:bookmarkEnd w:id="16"/>
    </w:p>
    <w:bookmarkEnd w:id="17"/>
    <w:bookmarkEnd w:id="18"/>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1.完成县委和上级团委的工作部署和要求，结合我委实际，制定团的工作计划；定期召开团委的各级会议，听取基层团委工作汇报和情况反映，布置、研讨和检查团的工作。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2.开展全县共青团员的思想教育。及时了解团员的思想动态，针对青年思想状况，研究教育内容、方法和途径，适时开展多种形式的行之有效的教育活动。注意抓好政治理论学习。深入开展爱国主义教育、大学生社会实践以及大学生志愿服务活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3.抓好团的基础工作和团的组织建设，做好分工、明确职责。建立健全团内各项规章制度；做好团员发展和管理工作；负责全县团干部的培训和管理工作；定期对优秀团员、优秀团干部和先进团支部进行表彰，推动全县形成创优争先的良好风气；及时对违纪团员进行教育和处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4.通过调查研究和认真总结，及时推广先进集体和先进个人的经验，及时发现和掌握团员青年思想上倾向性的问题。不断研究新情况，解决新问题，探索新规律。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5.维护青少年的正当权益。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6.指导基层团委开展工作。依据上级有关规定，负责全县团员团费的收缴、管理和使用。</w:t>
      </w:r>
    </w:p>
    <w:p>
      <w:pPr>
        <w:widowControl/>
        <w:adjustRightInd w:val="0"/>
        <w:snapToGrid w:val="0"/>
        <w:spacing w:line="576" w:lineRule="atLeast"/>
        <w:ind w:firstLine="640" w:firstLineChars="200"/>
        <w:rPr>
          <w:rFonts w:hint="eastAsia" w:ascii="仿宋_GB2312" w:eastAsia="仿宋_GB2312"/>
          <w:sz w:val="32"/>
          <w:szCs w:val="32"/>
        </w:rPr>
      </w:pPr>
      <w:r>
        <w:rPr>
          <w:rFonts w:hint="eastAsia" w:ascii="仿宋_GB2312" w:eastAsia="仿宋_GB2312"/>
          <w:sz w:val="32"/>
          <w:szCs w:val="32"/>
        </w:rPr>
        <w:t>7.配合县委抓好青少年党建工作，做好优秀团员入党的推荐工作。</w:t>
      </w:r>
    </w:p>
    <w:bookmarkEnd w:id="19"/>
    <w:bookmarkEnd w:id="20"/>
    <w:bookmarkEnd w:id="21"/>
    <w:bookmarkEnd w:id="22"/>
    <w:p>
      <w:pPr>
        <w:spacing w:line="576" w:lineRule="exact"/>
        <w:ind w:firstLine="640" w:firstLineChars="200"/>
        <w:rPr>
          <w:rFonts w:hint="eastAsia" w:ascii="黑体" w:eastAsia="黑体"/>
          <w:color w:val="auto"/>
          <w:sz w:val="32"/>
          <w:szCs w:val="32"/>
        </w:rPr>
        <w:sectPr>
          <w:footerReference r:id="rId6" w:type="first"/>
          <w:footerReference r:id="rId5" w:type="default"/>
          <w:pgSz w:w="11906" w:h="16838"/>
          <w:pgMar w:top="1383" w:right="1689" w:bottom="986" w:left="1800" w:header="851" w:footer="992" w:gutter="0"/>
          <w:pgNumType w:fmt="decimal" w:start="1"/>
          <w:cols w:space="0" w:num="1"/>
          <w:titlePg/>
          <w:rtlGutter w:val="0"/>
          <w:docGrid w:type="lines" w:linePitch="312" w:charSpace="0"/>
        </w:sectPr>
      </w:pPr>
      <w:bookmarkStart w:id="23" w:name="_Toc79163605"/>
      <w:bookmarkStart w:id="24" w:name="_Toc15396601"/>
      <w:bookmarkStart w:id="25" w:name="_Toc79163855"/>
      <w:bookmarkStart w:id="26" w:name="_Toc1537720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Style w:val="31"/>
          <w:b w:val="0"/>
          <w:bCs w:val="0"/>
          <w:color w:val="auto"/>
        </w:rPr>
      </w:pPr>
      <w:bookmarkStart w:id="27" w:name="_Toc17992"/>
      <w:r>
        <w:rPr>
          <w:rFonts w:hint="eastAsia" w:ascii="黑体" w:eastAsia="黑体"/>
          <w:color w:val="auto"/>
          <w:sz w:val="32"/>
          <w:szCs w:val="32"/>
        </w:rPr>
        <w:t>二、机</w:t>
      </w:r>
      <w:r>
        <w:rPr>
          <w:rStyle w:val="31"/>
          <w:rFonts w:hint="eastAsia" w:ascii="黑体" w:eastAsia="黑体"/>
          <w:b w:val="0"/>
          <w:bCs w:val="0"/>
          <w:color w:val="auto"/>
        </w:rPr>
        <w:t>构设置</w:t>
      </w:r>
      <w:bookmarkEnd w:id="23"/>
      <w:bookmarkEnd w:id="24"/>
      <w:bookmarkEnd w:id="25"/>
      <w:bookmarkEnd w:id="26"/>
      <w:bookmarkEnd w:id="27"/>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中国共产主义青年团茂县委员会下属二级单位1个，其中行政单位0个，参照公务员法管理的事业单位0个，其他事业单位1个。</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纳入共青团茂县委员会202</w:t>
      </w:r>
      <w:r>
        <w:rPr>
          <w:rFonts w:hint="eastAsia" w:ascii="仿宋_GB2312" w:eastAsia="仿宋_GB2312" w:cs="仿宋_GB2312"/>
          <w:bCs/>
          <w:color w:val="000000"/>
          <w:kern w:val="0"/>
          <w:sz w:val="32"/>
          <w:szCs w:val="32"/>
          <w:lang w:val="en-US" w:eastAsia="zh-CN"/>
        </w:rPr>
        <w:t>3</w:t>
      </w:r>
      <w:r>
        <w:rPr>
          <w:rFonts w:hint="eastAsia" w:ascii="仿宋_GB2312" w:eastAsia="仿宋_GB2312" w:cs="仿宋_GB2312"/>
          <w:bCs/>
          <w:color w:val="000000"/>
          <w:kern w:val="0"/>
          <w:sz w:val="32"/>
          <w:szCs w:val="32"/>
          <w:lang w:val="zh-CN"/>
        </w:rPr>
        <w:t>年度部门决算编制范围的二级预算单位包括：</w:t>
      </w:r>
    </w:p>
    <w:p>
      <w:pPr>
        <w:widowControl/>
        <w:adjustRightInd w:val="0"/>
        <w:snapToGrid w:val="0"/>
        <w:spacing w:line="576" w:lineRule="atLeast"/>
        <w:ind w:firstLine="640" w:firstLineChars="200"/>
        <w:rPr>
          <w:rFonts w:ascii="仿宋" w:eastAsia="仿宋"/>
          <w:color w:val="000000"/>
          <w:sz w:val="32"/>
          <w:szCs w:val="32"/>
        </w:rPr>
      </w:pPr>
      <w:r>
        <w:rPr>
          <w:rFonts w:hint="eastAsia" w:ascii="仿宋_GB2312" w:eastAsia="仿宋_GB2312" w:cs="仿宋_GB2312"/>
          <w:bCs/>
          <w:color w:val="000000"/>
          <w:kern w:val="0"/>
          <w:sz w:val="32"/>
          <w:szCs w:val="32"/>
          <w:lang w:val="zh-CN"/>
        </w:rPr>
        <w:t>茂县青少年活动中心</w:t>
      </w:r>
      <w:r>
        <w:rPr>
          <w:rFonts w:ascii="仿宋" w:eastAsia="仿宋"/>
          <w:color w:val="000000"/>
          <w:sz w:val="32"/>
          <w:szCs w:val="32"/>
        </w:rPr>
        <w:br w:type="page"/>
      </w:r>
    </w:p>
    <w:p>
      <w:pPr>
        <w:keepNext w:val="0"/>
        <w:keepLines w:val="0"/>
        <w:pageBreakBefore w:val="0"/>
        <w:widowControl/>
        <w:kinsoku/>
        <w:wordWrap/>
        <w:overflowPunct/>
        <w:topLinePunct w:val="0"/>
        <w:autoSpaceDE/>
        <w:autoSpaceDN/>
        <w:bidi w:val="0"/>
        <w:adjustRightInd/>
        <w:snapToGrid/>
        <w:spacing w:line="576" w:lineRule="exact"/>
        <w:jc w:val="center"/>
        <w:textAlignment w:val="auto"/>
        <w:outlineLvl w:val="0"/>
        <w:rPr>
          <w:rStyle w:val="30"/>
          <w:rFonts w:ascii="方正小标宋简体" w:eastAsia="方正小标宋简体" w:cs="方正小标宋简体"/>
          <w:b w:val="0"/>
          <w:bCs w:val="0"/>
        </w:rPr>
      </w:pPr>
      <w:bookmarkStart w:id="28" w:name="_Toc15396602"/>
      <w:bookmarkStart w:id="29" w:name="_Toc15377204"/>
      <w:bookmarkStart w:id="30" w:name="_Toc79163609"/>
      <w:bookmarkStart w:id="31" w:name="_Toc79163859"/>
      <w:bookmarkStart w:id="32" w:name="_Toc29150"/>
      <w:r>
        <w:rPr>
          <w:rFonts w:hint="eastAsia" w:ascii="方正小标宋简体" w:eastAsia="方正小标宋简体" w:cs="方正小标宋简体"/>
          <w:bCs/>
          <w:kern w:val="44"/>
          <w:sz w:val="44"/>
          <w:szCs w:val="44"/>
        </w:rPr>
        <w:t>第二部分</w:t>
      </w:r>
      <w:r>
        <w:rPr>
          <w:rFonts w:hint="eastAsia" w:ascii="方正小标宋简体" w:eastAsia="方正小标宋简体" w:cs="方正小标宋简体"/>
          <w:color w:val="000000"/>
          <w:sz w:val="44"/>
          <w:szCs w:val="44"/>
        </w:rPr>
        <w:t xml:space="preserve"> </w:t>
      </w:r>
      <w:r>
        <w:rPr>
          <w:rStyle w:val="30"/>
          <w:rFonts w:hint="eastAsia" w:ascii="方正小标宋简体" w:eastAsia="方正小标宋简体" w:cs="方正小标宋简体"/>
          <w:b w:val="0"/>
          <w:bCs w:val="0"/>
        </w:rPr>
        <w:t>202</w:t>
      </w:r>
      <w:r>
        <w:rPr>
          <w:rStyle w:val="30"/>
          <w:rFonts w:hint="eastAsia" w:ascii="方正小标宋简体" w:eastAsia="方正小标宋简体" w:cs="方正小标宋简体"/>
          <w:b w:val="0"/>
          <w:bCs w:val="0"/>
          <w:lang w:val="en-US"/>
        </w:rPr>
        <w:t>3</w:t>
      </w:r>
      <w:r>
        <w:rPr>
          <w:rStyle w:val="30"/>
          <w:rFonts w:hint="eastAsia" w:ascii="方正小标宋简体" w:eastAsia="方正小标宋简体" w:cs="方正小标宋简体"/>
          <w:b w:val="0"/>
          <w:bCs w:val="0"/>
        </w:rPr>
        <w:t>年度</w:t>
      </w:r>
      <w:r>
        <w:rPr>
          <w:rStyle w:val="30"/>
          <w:rFonts w:hint="eastAsia" w:ascii="黑体" w:hAnsi="黑体" w:eastAsia="黑体"/>
          <w:b w:val="0"/>
          <w:bCs/>
          <w:color w:val="auto"/>
          <w:highlight w:val="none"/>
          <w:lang w:eastAsia="zh-CN"/>
        </w:rPr>
        <w:t>单位</w:t>
      </w:r>
      <w:r>
        <w:rPr>
          <w:rStyle w:val="30"/>
          <w:rFonts w:hint="eastAsia" w:ascii="方正小标宋简体" w:eastAsia="方正小标宋简体" w:cs="方正小标宋简体"/>
          <w:b w:val="0"/>
          <w:bCs w:val="0"/>
        </w:rPr>
        <w:t>决算情况说明</w:t>
      </w:r>
      <w:bookmarkEnd w:id="28"/>
      <w:bookmarkEnd w:id="29"/>
      <w:bookmarkEnd w:id="30"/>
      <w:bookmarkEnd w:id="31"/>
      <w:bookmarkEnd w:id="32"/>
    </w:p>
    <w:p>
      <w:pPr>
        <w:spacing w:line="576" w:lineRule="exact"/>
      </w:pPr>
    </w:p>
    <w:p>
      <w:pPr>
        <w:pStyle w:val="36"/>
        <w:numPr>
          <w:ilvl w:val="0"/>
          <w:numId w:val="1"/>
        </w:numPr>
        <w:spacing w:line="576" w:lineRule="exact"/>
        <w:ind w:firstLineChars="0"/>
        <w:outlineLvl w:val="1"/>
        <w:rPr>
          <w:rStyle w:val="31"/>
          <w:rFonts w:ascii="黑体" w:eastAsia="黑体"/>
          <w:b w:val="0"/>
        </w:rPr>
      </w:pPr>
      <w:bookmarkStart w:id="33" w:name="_Toc15396603"/>
      <w:bookmarkStart w:id="34" w:name="_Toc79163860"/>
      <w:bookmarkStart w:id="35" w:name="_Toc15377205"/>
      <w:bookmarkStart w:id="36" w:name="_Toc79163610"/>
      <w:bookmarkStart w:id="37" w:name="_Toc23228"/>
      <w:r>
        <w:rPr>
          <w:rFonts w:hint="eastAsia" w:ascii="黑体" w:eastAsia="黑体"/>
          <w:color w:val="000000"/>
          <w:sz w:val="32"/>
          <w:szCs w:val="32"/>
        </w:rPr>
        <w:t>收</w:t>
      </w:r>
      <w:r>
        <w:rPr>
          <w:rStyle w:val="31"/>
          <w:rFonts w:hint="eastAsia" w:ascii="黑体" w:eastAsia="黑体"/>
          <w:b w:val="0"/>
        </w:rPr>
        <w:t>入支出决算总体情况说明</w:t>
      </w:r>
      <w:bookmarkEnd w:id="33"/>
      <w:bookmarkEnd w:id="34"/>
      <w:bookmarkEnd w:id="35"/>
      <w:bookmarkEnd w:id="36"/>
      <w:bookmarkEnd w:id="37"/>
    </w:p>
    <w:p>
      <w:pPr>
        <w:pageBreakBefore w:val="0"/>
        <w:widowControl w:val="0"/>
        <w:kinsoku/>
        <w:wordWrap/>
        <w:overflowPunct/>
        <w:topLinePunct w:val="0"/>
        <w:autoSpaceDE/>
        <w:autoSpaceDN/>
        <w:bidi w:val="0"/>
        <w:adjustRightInd/>
        <w:snapToGrid/>
        <w:spacing w:line="576" w:lineRule="exact"/>
        <w:ind w:firstLine="640" w:firstLineChars="200"/>
        <w:jc w:val="left"/>
        <w:textAlignment w:val="auto"/>
        <w:outlineLvl w:val="9"/>
        <w:rPr>
          <w:rFonts w:ascii="仿宋_GB2312" w:eastAsia="仿宋_GB2312" w:cs="仿宋_GB2312"/>
          <w:color w:val="000000"/>
          <w:sz w:val="28"/>
          <w:szCs w:val="28"/>
        </w:rPr>
      </w:pPr>
      <w:r>
        <w:rPr>
          <w:rFonts w:hint="eastAsia" w:ascii="仿宋_GB2312" w:eastAsia="仿宋_GB2312" w:cs="仿宋_GB2312"/>
          <w:bCs/>
          <w:color w:val="000000"/>
          <w:kern w:val="0"/>
          <w:sz w:val="32"/>
          <w:szCs w:val="32"/>
          <w:lang w:val="zh-CN"/>
        </w:rPr>
        <w:t>202</w:t>
      </w:r>
      <w:r>
        <w:rPr>
          <w:rFonts w:hint="eastAsia" w:ascii="仿宋_GB2312" w:eastAsia="仿宋_GB2312" w:cs="仿宋_GB2312"/>
          <w:bCs/>
          <w:color w:val="000000"/>
          <w:kern w:val="0"/>
          <w:sz w:val="32"/>
          <w:szCs w:val="32"/>
          <w:lang w:val="en-US" w:eastAsia="zh-CN"/>
        </w:rPr>
        <w:t>3</w:t>
      </w:r>
      <w:r>
        <w:rPr>
          <w:rFonts w:hint="eastAsia" w:ascii="仿宋_GB2312" w:eastAsia="仿宋_GB2312" w:cs="仿宋_GB2312"/>
          <w:bCs/>
          <w:color w:val="000000"/>
          <w:kern w:val="0"/>
          <w:sz w:val="32"/>
          <w:szCs w:val="32"/>
          <w:lang w:val="zh-CN"/>
        </w:rPr>
        <w:t>年度收入总计</w:t>
      </w:r>
      <w:r>
        <w:rPr>
          <w:rFonts w:hint="eastAsia" w:ascii="仿宋_GB2312" w:eastAsia="仿宋_GB2312" w:cs="仿宋_GB2312"/>
          <w:bCs/>
          <w:color w:val="000000"/>
          <w:kern w:val="0"/>
          <w:sz w:val="32"/>
          <w:szCs w:val="32"/>
          <w:lang w:val="en-US" w:eastAsia="zh-CN"/>
        </w:rPr>
        <w:t>216.34</w:t>
      </w:r>
      <w:r>
        <w:rPr>
          <w:rFonts w:hint="eastAsia" w:ascii="仿宋_GB2312" w:eastAsia="仿宋_GB2312" w:cs="仿宋_GB2312"/>
          <w:bCs/>
          <w:color w:val="000000"/>
          <w:kern w:val="0"/>
          <w:sz w:val="32"/>
          <w:szCs w:val="32"/>
          <w:lang w:val="zh-CN"/>
        </w:rPr>
        <w:t>万元。与202</w:t>
      </w:r>
      <w:r>
        <w:rPr>
          <w:rFonts w:hint="eastAsia" w:ascii="仿宋_GB2312" w:eastAsia="仿宋_GB2312" w:cs="仿宋_GB2312"/>
          <w:bCs/>
          <w:color w:val="000000"/>
          <w:kern w:val="0"/>
          <w:sz w:val="32"/>
          <w:szCs w:val="32"/>
          <w:lang w:val="en-US" w:eastAsia="zh-CN"/>
        </w:rPr>
        <w:t>2</w:t>
      </w:r>
      <w:r>
        <w:rPr>
          <w:rFonts w:hint="eastAsia" w:ascii="仿宋_GB2312" w:eastAsia="仿宋_GB2312" w:cs="仿宋_GB2312"/>
          <w:bCs/>
          <w:color w:val="000000"/>
          <w:kern w:val="0"/>
          <w:sz w:val="32"/>
          <w:szCs w:val="32"/>
          <w:lang w:val="zh-CN"/>
        </w:rPr>
        <w:t>年</w:t>
      </w:r>
      <w:r>
        <w:rPr>
          <w:rFonts w:hint="eastAsia" w:ascii="仿宋_GB2312" w:eastAsia="仿宋_GB2312" w:cs="仿宋_GB2312"/>
          <w:bCs/>
          <w:color w:val="auto"/>
          <w:kern w:val="0"/>
          <w:sz w:val="32"/>
          <w:szCs w:val="32"/>
          <w:lang w:val="en-US" w:eastAsia="zh-CN"/>
        </w:rPr>
        <w:t>106.37</w:t>
      </w:r>
      <w:r>
        <w:rPr>
          <w:rFonts w:hint="eastAsia" w:ascii="仿宋_GB2312" w:eastAsia="仿宋_GB2312" w:cs="仿宋_GB2312"/>
          <w:bCs/>
          <w:color w:val="000000"/>
          <w:kern w:val="0"/>
          <w:sz w:val="32"/>
          <w:szCs w:val="32"/>
          <w:lang w:val="en-US" w:eastAsia="zh-CN"/>
        </w:rPr>
        <w:t>万元</w:t>
      </w:r>
      <w:r>
        <w:rPr>
          <w:rFonts w:hint="eastAsia" w:ascii="仿宋_GB2312" w:eastAsia="仿宋_GB2312" w:cs="仿宋_GB2312"/>
          <w:bCs/>
          <w:color w:val="000000"/>
          <w:kern w:val="0"/>
          <w:sz w:val="32"/>
          <w:szCs w:val="32"/>
          <w:lang w:val="zh-CN"/>
        </w:rPr>
        <w:t>相比，收入总计增加</w:t>
      </w:r>
      <w:r>
        <w:rPr>
          <w:rFonts w:hint="eastAsia" w:ascii="仿宋_GB2312" w:eastAsia="仿宋_GB2312" w:cs="仿宋_GB2312"/>
          <w:bCs/>
          <w:color w:val="000000"/>
          <w:kern w:val="0"/>
          <w:sz w:val="32"/>
          <w:szCs w:val="32"/>
          <w:lang w:val="en-US" w:eastAsia="zh-CN"/>
        </w:rPr>
        <w:t>109.96</w:t>
      </w:r>
      <w:r>
        <w:rPr>
          <w:rFonts w:hint="eastAsia" w:ascii="仿宋_GB2312" w:eastAsia="仿宋_GB2312" w:cs="仿宋_GB2312"/>
          <w:bCs/>
          <w:color w:val="000000"/>
          <w:kern w:val="0"/>
          <w:sz w:val="32"/>
          <w:szCs w:val="32"/>
          <w:lang w:val="zh-CN"/>
        </w:rPr>
        <w:t>万元，增长</w:t>
      </w:r>
      <w:r>
        <w:rPr>
          <w:rFonts w:hint="eastAsia" w:ascii="仿宋_GB2312" w:eastAsia="仿宋_GB2312" w:cs="仿宋_GB2312"/>
          <w:bCs/>
          <w:color w:val="000000"/>
          <w:kern w:val="0"/>
          <w:sz w:val="32"/>
          <w:szCs w:val="32"/>
          <w:lang w:val="en-US" w:eastAsia="zh-CN"/>
        </w:rPr>
        <w:t>103.37</w:t>
      </w:r>
      <w:r>
        <w:rPr>
          <w:rFonts w:hint="eastAsia" w:ascii="仿宋_GB2312" w:eastAsia="仿宋_GB2312" w:cs="仿宋_GB2312"/>
          <w:bCs/>
          <w:color w:val="000000"/>
          <w:kern w:val="0"/>
          <w:sz w:val="32"/>
          <w:szCs w:val="32"/>
          <w:lang w:val="zh-CN"/>
        </w:rPr>
        <w:t>%。主要变动原因是项目经费和人员经费增加。202</w:t>
      </w:r>
      <w:r>
        <w:rPr>
          <w:rFonts w:hint="eastAsia" w:ascii="仿宋_GB2312" w:eastAsia="仿宋_GB2312" w:cs="仿宋_GB2312"/>
          <w:bCs/>
          <w:color w:val="000000"/>
          <w:kern w:val="0"/>
          <w:sz w:val="32"/>
          <w:szCs w:val="32"/>
          <w:lang w:val="en-US" w:eastAsia="zh-CN"/>
        </w:rPr>
        <w:t>3</w:t>
      </w:r>
      <w:r>
        <w:rPr>
          <w:rFonts w:hint="eastAsia" w:ascii="仿宋_GB2312" w:eastAsia="仿宋_GB2312" w:cs="仿宋_GB2312"/>
          <w:bCs/>
          <w:color w:val="000000"/>
          <w:kern w:val="0"/>
          <w:sz w:val="32"/>
          <w:szCs w:val="32"/>
          <w:lang w:val="zh-CN"/>
        </w:rPr>
        <w:t>年度支出总计106.3</w:t>
      </w:r>
      <w:r>
        <w:rPr>
          <w:rFonts w:hint="eastAsia" w:ascii="仿宋_GB2312" w:eastAsia="仿宋_GB2312" w:cs="仿宋_GB2312"/>
          <w:bCs/>
          <w:color w:val="000000"/>
          <w:kern w:val="0"/>
          <w:sz w:val="32"/>
          <w:szCs w:val="32"/>
          <w:lang w:val="en-US" w:eastAsia="zh-CN"/>
        </w:rPr>
        <w:t>7</w:t>
      </w:r>
      <w:r>
        <w:rPr>
          <w:rFonts w:hint="eastAsia" w:ascii="仿宋_GB2312" w:eastAsia="仿宋_GB2312" w:cs="仿宋_GB2312"/>
          <w:bCs/>
          <w:color w:val="000000"/>
          <w:kern w:val="0"/>
          <w:sz w:val="32"/>
          <w:szCs w:val="32"/>
          <w:lang w:val="zh-CN"/>
        </w:rPr>
        <w:t>万元。与202</w:t>
      </w:r>
      <w:r>
        <w:rPr>
          <w:rFonts w:hint="eastAsia" w:ascii="仿宋_GB2312" w:eastAsia="仿宋_GB2312" w:cs="仿宋_GB2312"/>
          <w:bCs/>
          <w:color w:val="000000"/>
          <w:kern w:val="0"/>
          <w:sz w:val="32"/>
          <w:szCs w:val="32"/>
          <w:lang w:val="en-US" w:eastAsia="zh-CN"/>
        </w:rPr>
        <w:t>2</w:t>
      </w:r>
      <w:r>
        <w:rPr>
          <w:rFonts w:hint="eastAsia" w:ascii="仿宋_GB2312" w:eastAsia="仿宋_GB2312" w:cs="仿宋_GB2312"/>
          <w:bCs/>
          <w:color w:val="000000"/>
          <w:kern w:val="0"/>
          <w:sz w:val="32"/>
          <w:szCs w:val="32"/>
          <w:lang w:val="zh-CN"/>
        </w:rPr>
        <w:t>年相比，支出总计增加</w:t>
      </w:r>
      <w:r>
        <w:rPr>
          <w:rFonts w:hint="eastAsia" w:ascii="仿宋_GB2312" w:eastAsia="仿宋_GB2312" w:cs="仿宋_GB2312"/>
          <w:bCs/>
          <w:color w:val="000000"/>
          <w:kern w:val="0"/>
          <w:sz w:val="32"/>
          <w:szCs w:val="32"/>
          <w:lang w:val="en-US" w:eastAsia="zh-CN"/>
        </w:rPr>
        <w:t>109.96</w:t>
      </w:r>
      <w:r>
        <w:rPr>
          <w:rFonts w:hint="eastAsia" w:ascii="仿宋_GB2312" w:eastAsia="仿宋_GB2312" w:cs="仿宋_GB2312"/>
          <w:bCs/>
          <w:color w:val="000000"/>
          <w:kern w:val="0"/>
          <w:sz w:val="32"/>
          <w:szCs w:val="32"/>
          <w:lang w:val="zh-CN"/>
        </w:rPr>
        <w:t>万元，增长</w:t>
      </w:r>
      <w:r>
        <w:rPr>
          <w:rFonts w:hint="eastAsia" w:ascii="仿宋_GB2312" w:eastAsia="仿宋_GB2312" w:cs="仿宋_GB2312"/>
          <w:bCs/>
          <w:color w:val="000000"/>
          <w:kern w:val="0"/>
          <w:sz w:val="32"/>
          <w:szCs w:val="32"/>
          <w:lang w:val="en-US" w:eastAsia="zh-CN"/>
        </w:rPr>
        <w:t>103.37</w:t>
      </w:r>
      <w:r>
        <w:rPr>
          <w:rFonts w:hint="eastAsia" w:ascii="仿宋_GB2312" w:eastAsia="仿宋_GB2312" w:cs="仿宋_GB2312"/>
          <w:bCs/>
          <w:color w:val="000000"/>
          <w:kern w:val="0"/>
          <w:sz w:val="32"/>
          <w:szCs w:val="32"/>
          <w:lang w:val="zh-CN"/>
        </w:rPr>
        <w:t>%。主要变动原因是项目经费和人员经费增加。</w:t>
      </w:r>
      <w:r>
        <w:rPr>
          <w:rFonts w:hint="eastAsia" w:ascii="仿宋_GB2312" w:eastAsia="仿宋_GB2312" w:cs="仿宋_GB2312"/>
          <w:color w:val="000000"/>
          <w:sz w:val="32"/>
          <w:szCs w:val="32"/>
        </w:rPr>
        <w:t>（</w:t>
      </w:r>
      <w:r>
        <w:rPr>
          <w:rFonts w:hint="eastAsia" w:ascii="仿宋_GB2312" w:eastAsia="仿宋_GB2312" w:cs="仿宋_GB2312"/>
          <w:color w:val="000000"/>
          <w:sz w:val="28"/>
          <w:szCs w:val="28"/>
        </w:rPr>
        <w:t>图1：收、支决算总计变动情况图）（单位：万元）</w:t>
      </w:r>
    </w:p>
    <w:p>
      <w:pPr>
        <w:pageBreakBefore w:val="0"/>
        <w:widowControl w:val="0"/>
        <w:kinsoku/>
        <w:wordWrap/>
        <w:overflowPunct/>
        <w:topLinePunct w:val="0"/>
        <w:autoSpaceDE/>
        <w:autoSpaceDN/>
        <w:bidi w:val="0"/>
        <w:adjustRightInd/>
        <w:snapToGrid/>
        <w:spacing w:line="240" w:lineRule="auto"/>
        <w:textAlignment w:val="auto"/>
        <w:outlineLvl w:val="9"/>
        <w:rPr>
          <w:rFonts w:hint="eastAsia" w:eastAsia="宋体"/>
          <w:lang w:eastAsia="zh-CN"/>
        </w:rPr>
      </w:pPr>
      <w:r>
        <w:rPr>
          <w:rFonts w:hint="eastAsia"/>
        </w:rPr>
        <w:t xml:space="preserve"> </w:t>
      </w:r>
      <w:r>
        <w:rPr>
          <w:rFonts w:hint="eastAsia" w:eastAsia="宋体"/>
          <w:lang w:eastAsia="zh-CN"/>
        </w:rPr>
        <w:drawing>
          <wp:inline distT="0" distB="0" distL="114300" distR="114300">
            <wp:extent cx="4952365" cy="2588260"/>
            <wp:effectExtent l="4445" t="4445" r="15240" b="1714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ageBreakBefore w:val="0"/>
        <w:widowControl w:val="0"/>
        <w:kinsoku/>
        <w:wordWrap/>
        <w:overflowPunct/>
        <w:topLinePunct w:val="0"/>
        <w:autoSpaceDE/>
        <w:autoSpaceDN/>
        <w:bidi w:val="0"/>
        <w:adjustRightInd/>
        <w:snapToGrid/>
        <w:jc w:val="center"/>
        <w:textAlignment w:val="auto"/>
        <w:outlineLvl w:val="9"/>
        <w:rPr>
          <w:b/>
          <w:bCs/>
          <w:sz w:val="20"/>
          <w:szCs w:val="22"/>
        </w:rPr>
      </w:pPr>
      <w:r>
        <w:rPr>
          <w:rFonts w:hint="eastAsia" w:ascii="仿宋_GB2312" w:eastAsia="仿宋_GB2312" w:cs="仿宋_GB2312"/>
          <w:b/>
          <w:bCs/>
          <w:color w:val="000000"/>
          <w:sz w:val="28"/>
          <w:szCs w:val="28"/>
        </w:rPr>
        <w:t>图1</w:t>
      </w:r>
    </w:p>
    <w:p>
      <w:pPr>
        <w:pStyle w:val="36"/>
        <w:numPr>
          <w:ilvl w:val="0"/>
          <w:numId w:val="1"/>
        </w:numPr>
        <w:spacing w:line="576" w:lineRule="exact"/>
        <w:ind w:firstLineChars="0"/>
        <w:outlineLvl w:val="1"/>
        <w:rPr>
          <w:rStyle w:val="31"/>
          <w:rFonts w:ascii="黑体" w:eastAsia="黑体"/>
          <w:b w:val="0"/>
        </w:rPr>
      </w:pPr>
      <w:bookmarkStart w:id="38" w:name="_Toc15396604"/>
      <w:bookmarkStart w:id="39" w:name="_Toc15377206"/>
      <w:bookmarkStart w:id="40" w:name="_Toc79163611"/>
      <w:bookmarkStart w:id="41" w:name="_Toc79163861"/>
      <w:bookmarkStart w:id="42" w:name="_Toc2482"/>
      <w:r>
        <w:rPr>
          <w:rFonts w:hint="eastAsia" w:ascii="黑体" w:eastAsia="黑体"/>
          <w:color w:val="000000"/>
          <w:sz w:val="32"/>
          <w:szCs w:val="32"/>
        </w:rPr>
        <w:t>收</w:t>
      </w:r>
      <w:r>
        <w:rPr>
          <w:rStyle w:val="31"/>
          <w:rFonts w:hint="eastAsia" w:ascii="黑体" w:eastAsia="黑体"/>
          <w:b w:val="0"/>
        </w:rPr>
        <w:t>入决算情况说明</w:t>
      </w:r>
      <w:bookmarkEnd w:id="38"/>
      <w:bookmarkEnd w:id="39"/>
      <w:bookmarkEnd w:id="40"/>
      <w:bookmarkEnd w:id="41"/>
      <w:bookmarkEnd w:id="42"/>
    </w:p>
    <w:p>
      <w:pPr>
        <w:keepNext w:val="0"/>
        <w:keepLines w:val="0"/>
        <w:pageBreakBefore w:val="0"/>
        <w:widowControl/>
        <w:kinsoku/>
        <w:wordWrap/>
        <w:overflowPunct/>
        <w:topLinePunct w:val="0"/>
        <w:autoSpaceDE/>
        <w:autoSpaceDN/>
        <w:bidi w:val="0"/>
        <w:adjustRightInd w:val="0"/>
        <w:snapToGrid w:val="0"/>
        <w:spacing w:line="576"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w:t>
      </w:r>
      <w:r>
        <w:rPr>
          <w:rFonts w:hint="eastAsia" w:ascii="仿宋_GB2312" w:eastAsia="仿宋_GB2312" w:cs="仿宋_GB2312"/>
          <w:bCs/>
          <w:color w:val="000000"/>
          <w:kern w:val="0"/>
          <w:sz w:val="32"/>
          <w:szCs w:val="32"/>
          <w:lang w:val="en-US" w:eastAsia="zh-CN"/>
        </w:rPr>
        <w:t>3</w:t>
      </w:r>
      <w:r>
        <w:rPr>
          <w:rFonts w:hint="eastAsia" w:ascii="仿宋_GB2312" w:eastAsia="仿宋_GB2312" w:cs="仿宋_GB2312"/>
          <w:bCs/>
          <w:color w:val="000000"/>
          <w:kern w:val="0"/>
          <w:sz w:val="32"/>
          <w:szCs w:val="32"/>
          <w:lang w:val="zh-CN"/>
        </w:rPr>
        <w:t>年本年收入合计</w:t>
      </w:r>
      <w:r>
        <w:rPr>
          <w:rFonts w:hint="eastAsia" w:ascii="仿宋_GB2312" w:eastAsia="仿宋_GB2312" w:cs="仿宋_GB2312"/>
          <w:bCs/>
          <w:color w:val="000000"/>
          <w:kern w:val="0"/>
          <w:sz w:val="32"/>
          <w:szCs w:val="32"/>
          <w:lang w:val="en-US" w:eastAsia="zh-CN"/>
        </w:rPr>
        <w:t>216.34</w:t>
      </w:r>
      <w:r>
        <w:rPr>
          <w:rFonts w:hint="eastAsia" w:ascii="仿宋_GB2312" w:eastAsia="仿宋_GB2312" w:cs="仿宋_GB2312"/>
          <w:bCs/>
          <w:color w:val="000000"/>
          <w:kern w:val="0"/>
          <w:sz w:val="32"/>
          <w:szCs w:val="32"/>
          <w:lang w:val="zh-CN"/>
        </w:rPr>
        <w:t>万元，其中：一般公共预算财政拨款收入</w:t>
      </w:r>
      <w:r>
        <w:rPr>
          <w:rFonts w:hint="eastAsia" w:ascii="仿宋_GB2312" w:eastAsia="仿宋_GB2312" w:cs="仿宋_GB2312"/>
          <w:bCs/>
          <w:color w:val="000000"/>
          <w:kern w:val="0"/>
          <w:sz w:val="32"/>
          <w:szCs w:val="32"/>
          <w:lang w:val="en-US" w:eastAsia="zh-CN"/>
        </w:rPr>
        <w:t>216.34</w:t>
      </w:r>
      <w:r>
        <w:rPr>
          <w:rFonts w:hint="eastAsia" w:ascii="仿宋_GB2312" w:eastAsia="仿宋_GB2312" w:cs="仿宋_GB2312"/>
          <w:bCs/>
          <w:color w:val="000000"/>
          <w:kern w:val="0"/>
          <w:sz w:val="32"/>
          <w:szCs w:val="32"/>
          <w:lang w:val="zh-CN"/>
        </w:rPr>
        <w:t>万元，占100%，与上年相比，增加</w:t>
      </w:r>
      <w:r>
        <w:rPr>
          <w:rFonts w:hint="eastAsia" w:ascii="仿宋_GB2312" w:eastAsia="仿宋_GB2312" w:cs="仿宋_GB2312"/>
          <w:bCs/>
          <w:color w:val="000000"/>
          <w:kern w:val="0"/>
          <w:sz w:val="32"/>
          <w:szCs w:val="32"/>
          <w:lang w:val="en-US" w:eastAsia="zh-CN"/>
        </w:rPr>
        <w:t>109.96万元，增长103.37%</w:t>
      </w:r>
      <w:r>
        <w:rPr>
          <w:rFonts w:hint="eastAsia" w:ascii="仿宋_GB2312" w:eastAsia="仿宋_GB2312" w:cs="仿宋_GB2312"/>
          <w:bCs/>
          <w:color w:val="000000"/>
          <w:kern w:val="0"/>
          <w:sz w:val="32"/>
          <w:szCs w:val="32"/>
          <w:lang w:val="zh-CN"/>
        </w:rPr>
        <w:t>。</w:t>
      </w:r>
      <w:r>
        <w:rPr>
          <w:rFonts w:hint="eastAsia" w:ascii="仿宋_GB2312" w:eastAsia="仿宋_GB2312" w:cs="仿宋_GB2312"/>
          <w:color w:val="000000"/>
          <w:sz w:val="32"/>
          <w:szCs w:val="32"/>
        </w:rPr>
        <w:t>（图2：收入决算结构图）（单位：万元）</w:t>
      </w:r>
    </w:p>
    <w:p>
      <w:pPr>
        <w:spacing w:line="576" w:lineRule="exact"/>
        <w:jc w:val="center"/>
        <w:rPr>
          <w:rFonts w:hint="default" w:ascii="仿宋_GB2312" w:eastAsia="仿宋_GB2312" w:cs="仿宋_GB2312"/>
          <w:b/>
          <w:bCs/>
          <w:color w:val="auto"/>
          <w:sz w:val="28"/>
          <w:szCs w:val="28"/>
          <w:lang w:val="en-US"/>
        </w:rPr>
      </w:pPr>
      <w:r>
        <w:rPr>
          <w:rFonts w:hint="eastAsia" w:ascii="仿宋_GB2312" w:eastAsia="仿宋_GB2312" w:cs="仿宋_GB2312"/>
          <w:b/>
          <w:bCs/>
          <w:color w:val="auto"/>
          <w:sz w:val="28"/>
          <w:szCs w:val="28"/>
        </w:rPr>
        <w:drawing>
          <wp:anchor distT="0" distB="0" distL="114300" distR="114300" simplePos="0" relativeHeight="251659264" behindDoc="0" locked="0" layoutInCell="1" allowOverlap="1">
            <wp:simplePos x="0" y="0"/>
            <wp:positionH relativeFrom="column">
              <wp:posOffset>23495</wp:posOffset>
            </wp:positionH>
            <wp:positionV relativeFrom="paragraph">
              <wp:posOffset>290195</wp:posOffset>
            </wp:positionV>
            <wp:extent cx="5219700" cy="2352040"/>
            <wp:effectExtent l="5080" t="4445" r="13970" b="5715"/>
            <wp:wrapSquare wrapText="bothSides"/>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_GB2312" w:eastAsia="仿宋_GB2312" w:cs="仿宋_GB2312"/>
          <w:b/>
          <w:bCs/>
          <w:color w:val="auto"/>
          <w:sz w:val="28"/>
          <w:szCs w:val="28"/>
          <w:lang w:eastAsia="zh-CN"/>
        </w:rPr>
        <w:t>图</w:t>
      </w:r>
      <w:r>
        <w:rPr>
          <w:rFonts w:hint="eastAsia" w:ascii="仿宋_GB2312" w:eastAsia="仿宋_GB2312" w:cs="仿宋_GB2312"/>
          <w:b/>
          <w:bCs/>
          <w:color w:val="auto"/>
          <w:sz w:val="28"/>
          <w:szCs w:val="28"/>
          <w:lang w:val="en-US" w:eastAsia="zh-CN"/>
        </w:rPr>
        <w:t>2</w:t>
      </w:r>
    </w:p>
    <w:p>
      <w:pPr>
        <w:pStyle w:val="36"/>
        <w:spacing w:line="576" w:lineRule="exact"/>
        <w:ind w:left="640" w:firstLine="0" w:firstLineChars="0"/>
        <w:outlineLvl w:val="1"/>
        <w:rPr>
          <w:rStyle w:val="31"/>
          <w:rFonts w:ascii="黑体" w:eastAsia="黑体"/>
          <w:b w:val="0"/>
        </w:rPr>
      </w:pPr>
      <w:bookmarkStart w:id="43" w:name="_Toc15377207"/>
      <w:bookmarkStart w:id="44" w:name="_Toc15396605"/>
      <w:bookmarkStart w:id="45" w:name="_Toc79163612"/>
      <w:bookmarkStart w:id="46" w:name="_Toc79163862"/>
      <w:bookmarkStart w:id="47" w:name="_Toc31441"/>
      <w:r>
        <w:rPr>
          <w:rFonts w:hint="eastAsia" w:ascii="黑体" w:eastAsia="黑体"/>
          <w:color w:val="000000"/>
          <w:sz w:val="32"/>
          <w:szCs w:val="32"/>
        </w:rPr>
        <w:t>三、支</w:t>
      </w:r>
      <w:r>
        <w:rPr>
          <w:rStyle w:val="31"/>
          <w:rFonts w:hint="eastAsia" w:ascii="黑体" w:eastAsia="黑体"/>
          <w:b w:val="0"/>
        </w:rPr>
        <w:t>出决算情况说明</w:t>
      </w:r>
      <w:bookmarkEnd w:id="43"/>
      <w:bookmarkEnd w:id="44"/>
      <w:bookmarkEnd w:id="45"/>
      <w:bookmarkEnd w:id="46"/>
      <w:bookmarkEnd w:id="47"/>
    </w:p>
    <w:p>
      <w:pPr>
        <w:pageBreakBefore w:val="0"/>
        <w:widowControl w:val="0"/>
        <w:kinsoku/>
        <w:wordWrap/>
        <w:overflowPunct/>
        <w:topLinePunct w:val="0"/>
        <w:autoSpaceDE/>
        <w:autoSpaceDN/>
        <w:bidi w:val="0"/>
        <w:adjustRightInd/>
        <w:snapToGrid/>
        <w:spacing w:line="576" w:lineRule="exact"/>
        <w:ind w:firstLine="640"/>
        <w:jc w:val="left"/>
        <w:textAlignment w:val="auto"/>
        <w:outlineLvl w:val="9"/>
        <w:rPr>
          <w:rFonts w:ascii="仿宋_GB2312" w:eastAsia="仿宋_GB2312" w:cs="仿宋_GB2312"/>
          <w:color w:val="FF0000"/>
          <w:sz w:val="32"/>
          <w:szCs w:val="32"/>
        </w:rPr>
      </w:pPr>
      <w:r>
        <w:rPr>
          <w:rFonts w:hint="eastAsia" w:ascii="仿宋_GB2312" w:eastAsia="仿宋_GB2312" w:cs="仿宋_GB2312"/>
          <w:bCs/>
          <w:color w:val="000000"/>
          <w:kern w:val="0"/>
          <w:sz w:val="32"/>
          <w:szCs w:val="32"/>
          <w:lang w:val="zh-CN"/>
        </w:rPr>
        <w:t>202</w:t>
      </w:r>
      <w:r>
        <w:rPr>
          <w:rFonts w:hint="eastAsia" w:ascii="仿宋_GB2312" w:eastAsia="仿宋_GB2312" w:cs="仿宋_GB2312"/>
          <w:bCs/>
          <w:color w:val="000000"/>
          <w:kern w:val="0"/>
          <w:sz w:val="32"/>
          <w:szCs w:val="32"/>
          <w:lang w:val="en-US" w:eastAsia="zh-CN"/>
        </w:rPr>
        <w:t>3</w:t>
      </w:r>
      <w:r>
        <w:rPr>
          <w:rFonts w:hint="eastAsia" w:ascii="仿宋_GB2312" w:eastAsia="仿宋_GB2312" w:cs="仿宋_GB2312"/>
          <w:bCs/>
          <w:color w:val="000000"/>
          <w:kern w:val="0"/>
          <w:sz w:val="32"/>
          <w:szCs w:val="32"/>
          <w:lang w:val="zh-CN"/>
        </w:rPr>
        <w:t>年本年支出合计</w:t>
      </w:r>
      <w:r>
        <w:rPr>
          <w:rFonts w:hint="eastAsia" w:ascii="仿宋_GB2312" w:eastAsia="仿宋_GB2312" w:cs="仿宋_GB2312"/>
          <w:bCs/>
          <w:color w:val="000000"/>
          <w:kern w:val="0"/>
          <w:sz w:val="32"/>
          <w:szCs w:val="32"/>
          <w:lang w:val="en-US" w:eastAsia="zh-CN"/>
        </w:rPr>
        <w:t>216.34</w:t>
      </w:r>
      <w:r>
        <w:rPr>
          <w:rFonts w:hint="eastAsia" w:ascii="仿宋_GB2312" w:eastAsia="仿宋_GB2312" w:cs="仿宋_GB2312"/>
          <w:bCs/>
          <w:color w:val="000000"/>
          <w:kern w:val="0"/>
          <w:sz w:val="32"/>
          <w:szCs w:val="32"/>
          <w:lang w:val="zh-CN"/>
        </w:rPr>
        <w:t>万元，其中：基本支出</w:t>
      </w:r>
      <w:r>
        <w:rPr>
          <w:rFonts w:hint="eastAsia" w:ascii="仿宋_GB2312" w:eastAsia="仿宋_GB2312" w:cs="仿宋_GB2312"/>
          <w:bCs/>
          <w:color w:val="000000"/>
          <w:kern w:val="0"/>
          <w:sz w:val="32"/>
          <w:szCs w:val="32"/>
          <w:lang w:val="en-US" w:eastAsia="zh-CN"/>
        </w:rPr>
        <w:t>71.61</w:t>
      </w:r>
      <w:r>
        <w:rPr>
          <w:rFonts w:hint="eastAsia" w:ascii="仿宋_GB2312" w:eastAsia="仿宋_GB2312" w:cs="仿宋_GB2312"/>
          <w:bCs/>
          <w:color w:val="000000"/>
          <w:kern w:val="0"/>
          <w:sz w:val="32"/>
          <w:szCs w:val="32"/>
          <w:lang w:val="zh-CN"/>
        </w:rPr>
        <w:t>万元，占</w:t>
      </w:r>
      <w:r>
        <w:rPr>
          <w:rFonts w:hint="eastAsia" w:ascii="仿宋_GB2312" w:eastAsia="仿宋_GB2312" w:cs="仿宋_GB2312"/>
          <w:bCs/>
          <w:color w:val="000000"/>
          <w:kern w:val="0"/>
          <w:sz w:val="32"/>
          <w:szCs w:val="32"/>
          <w:lang w:val="en-US" w:eastAsia="zh-CN"/>
        </w:rPr>
        <w:t>33.10</w:t>
      </w:r>
      <w:r>
        <w:rPr>
          <w:rFonts w:hint="eastAsia" w:ascii="仿宋_GB2312" w:eastAsia="仿宋_GB2312" w:cs="仿宋_GB2312"/>
          <w:bCs/>
          <w:color w:val="000000"/>
          <w:kern w:val="0"/>
          <w:sz w:val="32"/>
          <w:szCs w:val="32"/>
          <w:lang w:val="zh-CN"/>
        </w:rPr>
        <w:t>%，与上年相比，增加</w:t>
      </w:r>
      <w:r>
        <w:rPr>
          <w:rFonts w:hint="eastAsia" w:ascii="仿宋_GB2312" w:eastAsia="仿宋_GB2312" w:cs="仿宋_GB2312"/>
          <w:bCs/>
          <w:color w:val="000000"/>
          <w:kern w:val="0"/>
          <w:sz w:val="32"/>
          <w:szCs w:val="32"/>
          <w:lang w:val="en-US" w:eastAsia="zh-CN"/>
        </w:rPr>
        <w:t>2.93万元，增长4.27%</w:t>
      </w:r>
      <w:r>
        <w:rPr>
          <w:rFonts w:hint="eastAsia" w:ascii="仿宋_GB2312" w:eastAsia="仿宋_GB2312" w:cs="仿宋_GB2312"/>
          <w:bCs/>
          <w:color w:val="000000"/>
          <w:kern w:val="0"/>
          <w:sz w:val="32"/>
          <w:szCs w:val="32"/>
          <w:lang w:val="zh-CN"/>
        </w:rPr>
        <w:t>；项目支出</w:t>
      </w:r>
      <w:r>
        <w:rPr>
          <w:rFonts w:hint="eastAsia" w:ascii="仿宋_GB2312" w:eastAsia="仿宋_GB2312" w:cs="仿宋_GB2312"/>
          <w:bCs/>
          <w:color w:val="000000"/>
          <w:kern w:val="0"/>
          <w:sz w:val="32"/>
          <w:szCs w:val="32"/>
          <w:lang w:val="en-US" w:eastAsia="zh-CN"/>
        </w:rPr>
        <w:t>144.73</w:t>
      </w:r>
      <w:r>
        <w:rPr>
          <w:rFonts w:hint="eastAsia" w:ascii="仿宋_GB2312" w:eastAsia="仿宋_GB2312" w:cs="仿宋_GB2312"/>
          <w:bCs/>
          <w:color w:val="000000"/>
          <w:kern w:val="0"/>
          <w:sz w:val="32"/>
          <w:szCs w:val="32"/>
          <w:lang w:val="zh-CN"/>
        </w:rPr>
        <w:t>万元，占</w:t>
      </w:r>
      <w:r>
        <w:rPr>
          <w:rFonts w:hint="eastAsia" w:ascii="仿宋_GB2312" w:eastAsia="仿宋_GB2312" w:cs="仿宋_GB2312"/>
          <w:bCs/>
          <w:color w:val="000000"/>
          <w:kern w:val="0"/>
          <w:sz w:val="32"/>
          <w:szCs w:val="32"/>
          <w:lang w:val="en-US" w:eastAsia="zh-CN"/>
        </w:rPr>
        <w:t>66.90</w:t>
      </w:r>
      <w:r>
        <w:rPr>
          <w:rFonts w:hint="eastAsia" w:ascii="仿宋_GB2312" w:eastAsia="仿宋_GB2312" w:cs="仿宋_GB2312"/>
          <w:bCs/>
          <w:color w:val="000000"/>
          <w:kern w:val="0"/>
          <w:sz w:val="32"/>
          <w:szCs w:val="32"/>
          <w:lang w:val="zh-CN"/>
        </w:rPr>
        <w:t>%，与上年相比，增加</w:t>
      </w:r>
      <w:r>
        <w:rPr>
          <w:rFonts w:hint="eastAsia" w:ascii="仿宋_GB2312" w:eastAsia="仿宋_GB2312" w:cs="仿宋_GB2312"/>
          <w:bCs/>
          <w:color w:val="000000"/>
          <w:kern w:val="0"/>
          <w:sz w:val="32"/>
          <w:szCs w:val="32"/>
          <w:lang w:val="en-US" w:eastAsia="zh-CN"/>
        </w:rPr>
        <w:t>107.03万元，增长283.94%</w:t>
      </w:r>
      <w:r>
        <w:rPr>
          <w:rFonts w:hint="eastAsia" w:ascii="仿宋_GB2312" w:eastAsia="仿宋_GB2312" w:cs="仿宋_GB2312"/>
          <w:bCs/>
          <w:color w:val="000000"/>
          <w:kern w:val="0"/>
          <w:sz w:val="32"/>
          <w:szCs w:val="32"/>
          <w:lang w:val="zh-CN"/>
        </w:rPr>
        <w:t>。</w:t>
      </w:r>
      <w:r>
        <w:rPr>
          <w:rFonts w:hint="eastAsia" w:ascii="仿宋_GB2312" w:eastAsia="仿宋_GB2312" w:cs="仿宋_GB2312"/>
          <w:color w:val="000000"/>
          <w:sz w:val="32"/>
          <w:szCs w:val="32"/>
        </w:rPr>
        <w:t>（图3：支出决算结构图）（单位：万元）</w:t>
      </w:r>
    </w:p>
    <w:p>
      <w:pPr>
        <w:pageBreakBefore w:val="0"/>
        <w:widowControl w:val="0"/>
        <w:kinsoku/>
        <w:wordWrap/>
        <w:overflowPunct/>
        <w:topLinePunct w:val="0"/>
        <w:autoSpaceDE/>
        <w:autoSpaceDN/>
        <w:bidi w:val="0"/>
        <w:adjustRightInd/>
        <w:snapToGrid/>
        <w:textAlignment w:val="auto"/>
        <w:outlineLvl w:val="9"/>
        <w:rPr>
          <w:rFonts w:hint="eastAsia" w:eastAsia="宋体"/>
          <w:lang w:eastAsia="zh-CN"/>
        </w:rPr>
      </w:pPr>
      <w:r>
        <w:rPr>
          <w:rFonts w:hint="eastAsia"/>
        </w:rPr>
        <w:t xml:space="preserve">  </w:t>
      </w:r>
      <w:r>
        <w:rPr>
          <w:rFonts w:hint="eastAsia" w:eastAsia="宋体"/>
          <w:lang w:eastAsia="zh-CN"/>
        </w:rPr>
        <w:drawing>
          <wp:inline distT="0" distB="0" distL="114300" distR="114300">
            <wp:extent cx="4808855" cy="2664460"/>
            <wp:effectExtent l="5080" t="5080" r="5715" b="1651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ageBreakBefore w:val="0"/>
        <w:widowControl w:val="0"/>
        <w:kinsoku/>
        <w:wordWrap/>
        <w:overflowPunct/>
        <w:topLinePunct w:val="0"/>
        <w:autoSpaceDE/>
        <w:autoSpaceDN/>
        <w:bidi w:val="0"/>
        <w:adjustRightInd/>
        <w:snapToGrid/>
        <w:ind w:firstLine="321" w:firstLineChars="100"/>
        <w:jc w:val="center"/>
        <w:textAlignment w:val="auto"/>
        <w:outlineLvl w:val="9"/>
        <w:rPr>
          <w:rFonts w:hint="eastAsia"/>
          <w:b/>
          <w:bCs/>
          <w:lang w:eastAsia="zh-CN"/>
        </w:rPr>
      </w:pPr>
      <w:r>
        <w:rPr>
          <w:rFonts w:hint="eastAsia" w:ascii="仿宋_GB2312" w:eastAsia="仿宋_GB2312" w:cs="仿宋_GB2312"/>
          <w:b/>
          <w:bCs/>
          <w:color w:val="000000"/>
          <w:sz w:val="32"/>
          <w:szCs w:val="32"/>
        </w:rPr>
        <w:t>图3</w:t>
      </w:r>
    </w:p>
    <w:p>
      <w:pPr>
        <w:pStyle w:val="36"/>
        <w:spacing w:line="576" w:lineRule="exact"/>
        <w:ind w:left="640" w:firstLine="0" w:firstLineChars="0"/>
        <w:outlineLvl w:val="1"/>
        <w:rPr>
          <w:rFonts w:ascii="黑体" w:eastAsia="黑体"/>
          <w:color w:val="000000"/>
          <w:sz w:val="32"/>
          <w:szCs w:val="32"/>
        </w:rPr>
      </w:pPr>
      <w:bookmarkStart w:id="48" w:name="_Toc79163863"/>
      <w:bookmarkStart w:id="49" w:name="_Toc15377208"/>
      <w:bookmarkStart w:id="50" w:name="_Toc79163613"/>
      <w:bookmarkStart w:id="51" w:name="_Toc15396606"/>
      <w:bookmarkStart w:id="52" w:name="_Toc15707"/>
      <w:r>
        <w:rPr>
          <w:rFonts w:hint="eastAsia" w:ascii="黑体" w:eastAsia="黑体"/>
          <w:color w:val="000000"/>
          <w:sz w:val="32"/>
          <w:szCs w:val="32"/>
        </w:rPr>
        <w:t>四、财政拨款收入支出决算总体情况说明</w:t>
      </w:r>
      <w:bookmarkEnd w:id="48"/>
      <w:bookmarkEnd w:id="49"/>
      <w:bookmarkEnd w:id="50"/>
      <w:bookmarkEnd w:id="51"/>
      <w:bookmarkEnd w:id="52"/>
    </w:p>
    <w:p>
      <w:pPr>
        <w:pageBreakBefore w:val="0"/>
        <w:widowControl/>
        <w:kinsoku/>
        <w:wordWrap/>
        <w:overflowPunct/>
        <w:topLinePunct w:val="0"/>
        <w:autoSpaceDE/>
        <w:autoSpaceDN/>
        <w:bidi w:val="0"/>
        <w:adjustRightInd w:val="0"/>
        <w:snapToGrid w:val="0"/>
        <w:spacing w:line="576" w:lineRule="atLeast"/>
        <w:ind w:firstLine="640" w:firstLineChars="200"/>
        <w:textAlignment w:val="auto"/>
        <w:outlineLvl w:val="9"/>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w:t>
      </w:r>
      <w:r>
        <w:rPr>
          <w:rFonts w:hint="eastAsia" w:ascii="仿宋_GB2312" w:eastAsia="仿宋_GB2312" w:cs="仿宋_GB2312"/>
          <w:bCs/>
          <w:color w:val="000000"/>
          <w:kern w:val="0"/>
          <w:sz w:val="32"/>
          <w:szCs w:val="32"/>
          <w:lang w:val="en-US" w:eastAsia="zh-CN"/>
        </w:rPr>
        <w:t>3</w:t>
      </w:r>
      <w:r>
        <w:rPr>
          <w:rFonts w:hint="eastAsia" w:ascii="仿宋_GB2312" w:eastAsia="仿宋_GB2312" w:cs="仿宋_GB2312"/>
          <w:bCs/>
          <w:color w:val="000000"/>
          <w:kern w:val="0"/>
          <w:sz w:val="32"/>
          <w:szCs w:val="32"/>
          <w:lang w:val="zh-CN"/>
        </w:rPr>
        <w:t>年度财政拨款收入总计</w:t>
      </w:r>
      <w:r>
        <w:rPr>
          <w:rFonts w:hint="eastAsia" w:ascii="仿宋_GB2312" w:eastAsia="仿宋_GB2312" w:cs="仿宋_GB2312"/>
          <w:bCs/>
          <w:color w:val="000000"/>
          <w:kern w:val="0"/>
          <w:sz w:val="32"/>
          <w:szCs w:val="32"/>
          <w:lang w:val="en-US" w:eastAsia="zh-CN"/>
        </w:rPr>
        <w:t>216.34</w:t>
      </w:r>
      <w:r>
        <w:rPr>
          <w:rFonts w:hint="eastAsia" w:ascii="仿宋_GB2312" w:eastAsia="仿宋_GB2312" w:cs="仿宋_GB2312"/>
          <w:bCs/>
          <w:color w:val="000000"/>
          <w:kern w:val="0"/>
          <w:sz w:val="32"/>
          <w:szCs w:val="32"/>
          <w:lang w:val="zh-CN"/>
        </w:rPr>
        <w:t>万元。与202</w:t>
      </w:r>
      <w:r>
        <w:rPr>
          <w:rFonts w:hint="eastAsia" w:ascii="仿宋_GB2312" w:eastAsia="仿宋_GB2312" w:cs="仿宋_GB2312"/>
          <w:bCs/>
          <w:color w:val="000000"/>
          <w:kern w:val="0"/>
          <w:sz w:val="32"/>
          <w:szCs w:val="32"/>
          <w:lang w:val="en-US" w:eastAsia="zh-CN"/>
        </w:rPr>
        <w:t>2</w:t>
      </w:r>
      <w:r>
        <w:rPr>
          <w:rFonts w:hint="eastAsia" w:ascii="仿宋_GB2312" w:eastAsia="仿宋_GB2312" w:cs="仿宋_GB2312"/>
          <w:bCs/>
          <w:color w:val="000000"/>
          <w:kern w:val="0"/>
          <w:sz w:val="32"/>
          <w:szCs w:val="32"/>
          <w:lang w:val="zh-CN"/>
        </w:rPr>
        <w:t>年相比，财政拨款收入总计增加</w:t>
      </w:r>
      <w:r>
        <w:rPr>
          <w:rFonts w:hint="eastAsia" w:ascii="仿宋_GB2312" w:eastAsia="仿宋_GB2312" w:cs="仿宋_GB2312"/>
          <w:bCs/>
          <w:color w:val="000000"/>
          <w:kern w:val="0"/>
          <w:sz w:val="32"/>
          <w:szCs w:val="32"/>
          <w:lang w:val="en-US" w:eastAsia="zh-CN"/>
        </w:rPr>
        <w:t>109.96</w:t>
      </w:r>
      <w:r>
        <w:rPr>
          <w:rFonts w:hint="eastAsia" w:ascii="仿宋_GB2312" w:eastAsia="仿宋_GB2312" w:cs="仿宋_GB2312"/>
          <w:bCs/>
          <w:color w:val="000000"/>
          <w:kern w:val="0"/>
          <w:sz w:val="32"/>
          <w:szCs w:val="32"/>
          <w:lang w:val="zh-CN"/>
        </w:rPr>
        <w:t>万元，增长</w:t>
      </w:r>
      <w:r>
        <w:rPr>
          <w:rFonts w:hint="eastAsia" w:ascii="仿宋_GB2312" w:eastAsia="仿宋_GB2312" w:cs="仿宋_GB2312"/>
          <w:bCs/>
          <w:color w:val="000000"/>
          <w:kern w:val="0"/>
          <w:sz w:val="32"/>
          <w:szCs w:val="32"/>
          <w:lang w:val="en-US" w:eastAsia="zh-CN"/>
        </w:rPr>
        <w:t>103.37</w:t>
      </w:r>
      <w:r>
        <w:rPr>
          <w:rFonts w:hint="eastAsia" w:ascii="仿宋_GB2312" w:eastAsia="仿宋_GB2312" w:cs="仿宋_GB2312"/>
          <w:bCs/>
          <w:color w:val="000000"/>
          <w:kern w:val="0"/>
          <w:sz w:val="32"/>
          <w:szCs w:val="32"/>
          <w:lang w:val="zh-CN"/>
        </w:rPr>
        <w:t>%。主要变动原因是项目经费和人员经费增加。202</w:t>
      </w:r>
      <w:r>
        <w:rPr>
          <w:rFonts w:hint="eastAsia" w:ascii="仿宋_GB2312" w:eastAsia="仿宋_GB2312" w:cs="仿宋_GB2312"/>
          <w:bCs/>
          <w:color w:val="000000"/>
          <w:kern w:val="0"/>
          <w:sz w:val="32"/>
          <w:szCs w:val="32"/>
          <w:lang w:val="en-US" w:eastAsia="zh-CN"/>
        </w:rPr>
        <w:t>3</w:t>
      </w:r>
      <w:r>
        <w:rPr>
          <w:rFonts w:hint="eastAsia" w:ascii="仿宋_GB2312" w:eastAsia="仿宋_GB2312" w:cs="仿宋_GB2312"/>
          <w:bCs/>
          <w:color w:val="000000"/>
          <w:kern w:val="0"/>
          <w:sz w:val="32"/>
          <w:szCs w:val="32"/>
          <w:lang w:val="zh-CN"/>
        </w:rPr>
        <w:t>年度财政拨款支出总计</w:t>
      </w:r>
      <w:r>
        <w:rPr>
          <w:rFonts w:hint="eastAsia" w:ascii="仿宋_GB2312" w:eastAsia="仿宋_GB2312" w:cs="仿宋_GB2312"/>
          <w:bCs/>
          <w:color w:val="000000"/>
          <w:kern w:val="0"/>
          <w:sz w:val="32"/>
          <w:szCs w:val="32"/>
          <w:lang w:val="en-US" w:eastAsia="zh-CN"/>
        </w:rPr>
        <w:t>216.34</w:t>
      </w:r>
      <w:r>
        <w:rPr>
          <w:rFonts w:hint="eastAsia" w:ascii="仿宋_GB2312" w:eastAsia="仿宋_GB2312" w:cs="仿宋_GB2312"/>
          <w:bCs/>
          <w:color w:val="000000"/>
          <w:kern w:val="0"/>
          <w:sz w:val="32"/>
          <w:szCs w:val="32"/>
          <w:lang w:val="zh-CN"/>
        </w:rPr>
        <w:t>万元。与202</w:t>
      </w:r>
      <w:r>
        <w:rPr>
          <w:rFonts w:hint="eastAsia" w:ascii="仿宋_GB2312" w:eastAsia="仿宋_GB2312" w:cs="仿宋_GB2312"/>
          <w:bCs/>
          <w:color w:val="000000"/>
          <w:kern w:val="0"/>
          <w:sz w:val="32"/>
          <w:szCs w:val="32"/>
          <w:lang w:val="en-US" w:eastAsia="zh-CN"/>
        </w:rPr>
        <w:t>2</w:t>
      </w:r>
      <w:r>
        <w:rPr>
          <w:rFonts w:hint="eastAsia" w:ascii="仿宋_GB2312" w:eastAsia="仿宋_GB2312" w:cs="仿宋_GB2312"/>
          <w:bCs/>
          <w:color w:val="000000"/>
          <w:kern w:val="0"/>
          <w:sz w:val="32"/>
          <w:szCs w:val="32"/>
          <w:lang w:val="zh-CN"/>
        </w:rPr>
        <w:t>年相比，财政拨款支出总计增加</w:t>
      </w:r>
      <w:r>
        <w:rPr>
          <w:rFonts w:hint="eastAsia" w:ascii="仿宋_GB2312" w:eastAsia="仿宋_GB2312" w:cs="仿宋_GB2312"/>
          <w:bCs/>
          <w:color w:val="000000"/>
          <w:kern w:val="0"/>
          <w:sz w:val="32"/>
          <w:szCs w:val="32"/>
          <w:lang w:val="en-US" w:eastAsia="zh-CN"/>
        </w:rPr>
        <w:t>109.96</w:t>
      </w:r>
      <w:r>
        <w:rPr>
          <w:rFonts w:hint="eastAsia" w:ascii="仿宋_GB2312" w:eastAsia="仿宋_GB2312" w:cs="仿宋_GB2312"/>
          <w:bCs/>
          <w:color w:val="000000"/>
          <w:kern w:val="0"/>
          <w:sz w:val="32"/>
          <w:szCs w:val="32"/>
          <w:lang w:val="zh-CN"/>
        </w:rPr>
        <w:t>万元，增长</w:t>
      </w:r>
      <w:r>
        <w:rPr>
          <w:rFonts w:hint="eastAsia" w:ascii="仿宋_GB2312" w:eastAsia="仿宋_GB2312" w:cs="仿宋_GB2312"/>
          <w:bCs/>
          <w:color w:val="000000"/>
          <w:kern w:val="0"/>
          <w:sz w:val="32"/>
          <w:szCs w:val="32"/>
          <w:lang w:val="en-US" w:eastAsia="zh-CN"/>
        </w:rPr>
        <w:t>103.37</w:t>
      </w:r>
      <w:r>
        <w:rPr>
          <w:rFonts w:hint="eastAsia" w:ascii="仿宋_GB2312" w:eastAsia="仿宋_GB2312" w:cs="仿宋_GB2312"/>
          <w:bCs/>
          <w:color w:val="000000"/>
          <w:kern w:val="0"/>
          <w:sz w:val="32"/>
          <w:szCs w:val="32"/>
          <w:lang w:val="zh-CN"/>
        </w:rPr>
        <w:t>%。主要变动原因是项目经费和人员经费增加。（图4：财政拨款收、支决算总计变动情况）（单位：万元）</w:t>
      </w:r>
    </w:p>
    <w:p>
      <w:pPr>
        <w:pageBreakBefore w:val="0"/>
        <w:kinsoku/>
        <w:wordWrap/>
        <w:overflowPunct/>
        <w:topLinePunct w:val="0"/>
        <w:autoSpaceDE/>
        <w:autoSpaceDN/>
        <w:bidi w:val="0"/>
        <w:textAlignment w:val="auto"/>
        <w:outlineLvl w:val="9"/>
        <w:rPr>
          <w:rFonts w:hint="eastAsia" w:eastAsia="宋体"/>
          <w:lang w:eastAsia="zh-CN"/>
        </w:rPr>
      </w:pPr>
      <w:r>
        <w:rPr>
          <w:rFonts w:hint="eastAsia"/>
        </w:rPr>
        <w:t xml:space="preserve"> </w:t>
      </w:r>
      <w:r>
        <w:rPr>
          <w:rFonts w:hint="eastAsia" w:eastAsia="宋体"/>
          <w:lang w:eastAsia="zh-CN"/>
        </w:rPr>
        <w:drawing>
          <wp:inline distT="0" distB="0" distL="114300" distR="114300">
            <wp:extent cx="4971415" cy="2959100"/>
            <wp:effectExtent l="4445" t="4445" r="15240" b="825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ageBreakBefore w:val="0"/>
        <w:kinsoku/>
        <w:wordWrap/>
        <w:overflowPunct/>
        <w:topLinePunct w:val="0"/>
        <w:autoSpaceDE/>
        <w:autoSpaceDN/>
        <w:bidi w:val="0"/>
        <w:ind w:firstLine="0" w:firstLineChars="0"/>
        <w:jc w:val="center"/>
        <w:textAlignment w:val="auto"/>
        <w:outlineLvl w:val="9"/>
        <w:rPr>
          <w:rFonts w:hint="default" w:eastAsia="宋体"/>
          <w:b/>
          <w:bCs/>
          <w:sz w:val="24"/>
          <w:szCs w:val="32"/>
          <w:lang w:val="en-US" w:eastAsia="zh-CN"/>
        </w:rPr>
      </w:pPr>
      <w:r>
        <w:rPr>
          <w:rFonts w:hint="eastAsia"/>
          <w:b/>
          <w:bCs/>
          <w:sz w:val="24"/>
          <w:szCs w:val="32"/>
          <w:lang w:eastAsia="zh-CN"/>
        </w:rPr>
        <w:t>图</w:t>
      </w:r>
      <w:r>
        <w:rPr>
          <w:rFonts w:hint="eastAsia"/>
          <w:b/>
          <w:bCs/>
          <w:sz w:val="24"/>
          <w:szCs w:val="32"/>
          <w:lang w:val="en-US" w:eastAsia="zh-CN"/>
        </w:rPr>
        <w:t>4</w:t>
      </w:r>
    </w:p>
    <w:p>
      <w:pPr>
        <w:spacing w:line="576" w:lineRule="exact"/>
        <w:ind w:firstLine="640" w:firstLineChars="200"/>
        <w:outlineLvl w:val="1"/>
        <w:rPr>
          <w:rStyle w:val="31"/>
          <w:rFonts w:ascii="黑体" w:eastAsia="黑体"/>
          <w:b w:val="0"/>
        </w:rPr>
      </w:pPr>
      <w:bookmarkStart w:id="53" w:name="_Toc15396607"/>
      <w:bookmarkStart w:id="54" w:name="_Toc15377209"/>
      <w:bookmarkStart w:id="55" w:name="_Toc79163614"/>
      <w:bookmarkStart w:id="56" w:name="_Toc79163864"/>
      <w:bookmarkStart w:id="57" w:name="_Toc17466"/>
      <w:r>
        <w:rPr>
          <w:rFonts w:hint="eastAsia" w:ascii="黑体" w:eastAsia="黑体"/>
          <w:color w:val="000000"/>
          <w:sz w:val="32"/>
          <w:szCs w:val="32"/>
        </w:rPr>
        <w:t>五、</w:t>
      </w:r>
      <w:r>
        <w:rPr>
          <w:rFonts w:hint="eastAsia" w:ascii="黑体" w:eastAsia="黑体"/>
          <w:bCs/>
          <w:color w:val="000000"/>
          <w:sz w:val="32"/>
          <w:szCs w:val="32"/>
        </w:rPr>
        <w:t>一</w:t>
      </w:r>
      <w:r>
        <w:rPr>
          <w:rStyle w:val="31"/>
          <w:rFonts w:hint="eastAsia" w:ascii="黑体" w:eastAsia="黑体"/>
          <w:b w:val="0"/>
        </w:rPr>
        <w:t>般公共预算财政拨款支出决算情况说明</w:t>
      </w:r>
      <w:bookmarkEnd w:id="53"/>
      <w:bookmarkEnd w:id="54"/>
      <w:bookmarkEnd w:id="55"/>
      <w:bookmarkEnd w:id="56"/>
      <w:bookmarkEnd w:id="57"/>
      <w:bookmarkStart w:id="58" w:name="_Toc79163615"/>
      <w:bookmarkStart w:id="59" w:name="_Toc15377210"/>
      <w:bookmarkStart w:id="60" w:name="_Toc79163865"/>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ascii="楷体_GB2312" w:eastAsia="楷体_GB2312" w:cs="楷体_GB2312"/>
          <w:b/>
          <w:color w:val="000000"/>
          <w:sz w:val="32"/>
          <w:szCs w:val="32"/>
        </w:rPr>
      </w:pPr>
      <w:bookmarkStart w:id="61" w:name="_Toc21397"/>
      <w:r>
        <w:rPr>
          <w:rFonts w:hint="eastAsia" w:ascii="楷体_GB2312" w:eastAsia="楷体_GB2312" w:cs="楷体_GB2312"/>
          <w:b/>
          <w:color w:val="000000"/>
          <w:sz w:val="32"/>
          <w:szCs w:val="32"/>
        </w:rPr>
        <w:t>（一）一般公共预算财政拨款支出决算总体情况</w:t>
      </w:r>
      <w:bookmarkEnd w:id="58"/>
      <w:bookmarkEnd w:id="59"/>
      <w:bookmarkEnd w:id="60"/>
      <w:bookmarkEnd w:id="61"/>
    </w:p>
    <w:p>
      <w:pPr>
        <w:keepNext w:val="0"/>
        <w:keepLines w:val="0"/>
        <w:pageBreakBefore w:val="0"/>
        <w:widowControl/>
        <w:kinsoku/>
        <w:wordWrap/>
        <w:overflowPunct/>
        <w:topLinePunct w:val="0"/>
        <w:autoSpaceDE/>
        <w:autoSpaceDN/>
        <w:bidi w:val="0"/>
        <w:adjustRightInd w:val="0"/>
        <w:snapToGrid w:val="0"/>
        <w:spacing w:line="576" w:lineRule="atLeast"/>
        <w:ind w:firstLine="640" w:firstLineChars="200"/>
        <w:textAlignment w:val="auto"/>
        <w:outlineLvl w:val="9"/>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w:t>
      </w:r>
      <w:r>
        <w:rPr>
          <w:rFonts w:hint="eastAsia" w:ascii="仿宋_GB2312" w:eastAsia="仿宋_GB2312" w:cs="仿宋_GB2312"/>
          <w:bCs/>
          <w:color w:val="000000"/>
          <w:kern w:val="0"/>
          <w:sz w:val="32"/>
          <w:szCs w:val="32"/>
          <w:lang w:val="en-US" w:eastAsia="zh-CN"/>
        </w:rPr>
        <w:t>3</w:t>
      </w:r>
      <w:r>
        <w:rPr>
          <w:rFonts w:hint="eastAsia" w:ascii="仿宋_GB2312" w:eastAsia="仿宋_GB2312" w:cs="仿宋_GB2312"/>
          <w:bCs/>
          <w:color w:val="000000"/>
          <w:kern w:val="0"/>
          <w:sz w:val="32"/>
          <w:szCs w:val="32"/>
          <w:lang w:val="zh-CN"/>
        </w:rPr>
        <w:t>一般公共预算财政拨款支出</w:t>
      </w:r>
      <w:r>
        <w:rPr>
          <w:rFonts w:hint="eastAsia" w:ascii="仿宋_GB2312" w:eastAsia="仿宋_GB2312" w:cs="仿宋_GB2312"/>
          <w:bCs/>
          <w:color w:val="000000"/>
          <w:kern w:val="0"/>
          <w:sz w:val="32"/>
          <w:szCs w:val="32"/>
          <w:lang w:val="en-US" w:eastAsia="zh-CN"/>
        </w:rPr>
        <w:t>216.34</w:t>
      </w:r>
      <w:r>
        <w:rPr>
          <w:rFonts w:hint="eastAsia" w:ascii="仿宋_GB2312" w:eastAsia="仿宋_GB2312" w:cs="仿宋_GB2312"/>
          <w:bCs/>
          <w:color w:val="000000"/>
          <w:kern w:val="0"/>
          <w:sz w:val="32"/>
          <w:szCs w:val="32"/>
          <w:lang w:val="zh-CN"/>
        </w:rPr>
        <w:t>万元，占本年支出合计的100%。与202</w:t>
      </w:r>
      <w:r>
        <w:rPr>
          <w:rFonts w:hint="eastAsia" w:ascii="仿宋_GB2312" w:eastAsia="仿宋_GB2312" w:cs="仿宋_GB2312"/>
          <w:bCs/>
          <w:color w:val="000000"/>
          <w:kern w:val="0"/>
          <w:sz w:val="32"/>
          <w:szCs w:val="32"/>
          <w:lang w:val="en-US" w:eastAsia="zh-CN"/>
        </w:rPr>
        <w:t>2</w:t>
      </w:r>
      <w:r>
        <w:rPr>
          <w:rFonts w:hint="eastAsia" w:ascii="仿宋_GB2312" w:eastAsia="仿宋_GB2312" w:cs="仿宋_GB2312"/>
          <w:bCs/>
          <w:color w:val="000000"/>
          <w:kern w:val="0"/>
          <w:sz w:val="32"/>
          <w:szCs w:val="32"/>
          <w:lang w:val="zh-CN"/>
        </w:rPr>
        <w:t>年相比，一般公共预算财政拨款增加</w:t>
      </w:r>
      <w:r>
        <w:rPr>
          <w:rFonts w:hint="eastAsia" w:ascii="仿宋_GB2312" w:eastAsia="仿宋_GB2312" w:cs="仿宋_GB2312"/>
          <w:bCs/>
          <w:color w:val="000000"/>
          <w:kern w:val="0"/>
          <w:sz w:val="32"/>
          <w:szCs w:val="32"/>
          <w:lang w:val="en-US" w:eastAsia="zh-CN"/>
        </w:rPr>
        <w:t>109.96</w:t>
      </w:r>
      <w:r>
        <w:rPr>
          <w:rFonts w:hint="eastAsia" w:ascii="仿宋_GB2312" w:eastAsia="仿宋_GB2312" w:cs="仿宋_GB2312"/>
          <w:bCs/>
          <w:color w:val="000000"/>
          <w:kern w:val="0"/>
          <w:sz w:val="32"/>
          <w:szCs w:val="32"/>
          <w:lang w:val="zh-CN"/>
        </w:rPr>
        <w:t>万元，增长</w:t>
      </w:r>
      <w:r>
        <w:rPr>
          <w:rFonts w:hint="eastAsia" w:ascii="仿宋_GB2312" w:eastAsia="仿宋_GB2312" w:cs="仿宋_GB2312"/>
          <w:bCs/>
          <w:color w:val="000000"/>
          <w:kern w:val="0"/>
          <w:sz w:val="32"/>
          <w:szCs w:val="32"/>
          <w:lang w:val="en-US" w:eastAsia="zh-CN"/>
        </w:rPr>
        <w:t>103.37</w:t>
      </w:r>
      <w:r>
        <w:rPr>
          <w:rFonts w:hint="eastAsia" w:ascii="仿宋_GB2312" w:eastAsia="仿宋_GB2312" w:cs="仿宋_GB2312"/>
          <w:bCs/>
          <w:color w:val="000000"/>
          <w:kern w:val="0"/>
          <w:sz w:val="32"/>
          <w:szCs w:val="32"/>
          <w:lang w:val="zh-CN"/>
        </w:rPr>
        <w:t>%。主要变动原因是项目经费和人员经费增加。（图5：一般公共预算财政拨款支出决算变动情况）（单位：万元）</w:t>
      </w:r>
    </w:p>
    <w:p>
      <w:pPr>
        <w:keepNext w:val="0"/>
        <w:keepLines w:val="0"/>
        <w:pageBreakBefore w:val="0"/>
        <w:kinsoku/>
        <w:wordWrap/>
        <w:overflowPunct/>
        <w:topLinePunct w:val="0"/>
        <w:autoSpaceDE/>
        <w:autoSpaceDN/>
        <w:bidi w:val="0"/>
        <w:textAlignment w:val="auto"/>
        <w:outlineLvl w:val="9"/>
        <w:rPr>
          <w:rFonts w:hint="eastAsia" w:ascii="仿宋_GB2312" w:eastAsia="仿宋_GB2312" w:cs="仿宋_GB2312"/>
          <w:b/>
          <w:bCs w:val="0"/>
          <w:color w:val="000000"/>
          <w:kern w:val="0"/>
          <w:sz w:val="28"/>
          <w:szCs w:val="28"/>
          <w:lang w:val="zh-CN"/>
        </w:rPr>
      </w:pPr>
      <w:r>
        <w:rPr>
          <w:rFonts w:hint="eastAsia"/>
        </w:rPr>
        <w:t xml:space="preserve">  </w:t>
      </w:r>
      <w:r>
        <w:rPr>
          <w:rFonts w:hint="eastAsia" w:ascii="仿宋_GB2312" w:eastAsia="仿宋_GB2312" w:cs="仿宋_GB2312"/>
          <w:b/>
          <w:bCs w:val="0"/>
          <w:color w:val="000000"/>
          <w:kern w:val="0"/>
          <w:sz w:val="28"/>
          <w:szCs w:val="28"/>
          <w:lang w:val="zh-CN"/>
        </w:rPr>
        <w:drawing>
          <wp:inline distT="0" distB="0" distL="114300" distR="114300">
            <wp:extent cx="4971415" cy="2750185"/>
            <wp:effectExtent l="4445" t="4445" r="15240" b="762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pageBreakBefore w:val="0"/>
        <w:widowControl w:val="0"/>
        <w:kinsoku/>
        <w:wordWrap/>
        <w:overflowPunct/>
        <w:topLinePunct w:val="0"/>
        <w:autoSpaceDE/>
        <w:autoSpaceDN/>
        <w:bidi w:val="0"/>
        <w:adjustRightInd/>
        <w:snapToGrid/>
        <w:spacing w:line="240" w:lineRule="exact"/>
        <w:ind w:firstLine="281" w:firstLineChars="100"/>
        <w:jc w:val="center"/>
        <w:textAlignment w:val="auto"/>
        <w:outlineLvl w:val="9"/>
        <w:rPr>
          <w:b/>
          <w:bCs w:val="0"/>
          <w:sz w:val="20"/>
          <w:szCs w:val="22"/>
        </w:rPr>
      </w:pPr>
      <w:r>
        <w:rPr>
          <w:rFonts w:hint="eastAsia" w:ascii="仿宋_GB2312" w:eastAsia="仿宋_GB2312" w:cs="仿宋_GB2312"/>
          <w:b/>
          <w:bCs w:val="0"/>
          <w:color w:val="000000"/>
          <w:kern w:val="0"/>
          <w:sz w:val="28"/>
          <w:szCs w:val="28"/>
          <w:lang w:val="zh-CN"/>
        </w:rPr>
        <w:t>图5</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ascii="楷体_GB2312" w:eastAsia="楷体_GB2312" w:cs="楷体_GB2312"/>
          <w:b/>
          <w:color w:val="000000"/>
          <w:sz w:val="32"/>
          <w:szCs w:val="32"/>
        </w:rPr>
      </w:pPr>
      <w:bookmarkStart w:id="62" w:name="_Toc15377211"/>
      <w:bookmarkStart w:id="63" w:name="_Toc79163616"/>
      <w:bookmarkStart w:id="64" w:name="_Toc79163866"/>
      <w:bookmarkStart w:id="65" w:name="_Toc19276"/>
      <w:r>
        <w:rPr>
          <w:rFonts w:hint="eastAsia" w:ascii="楷体_GB2312" w:eastAsia="楷体_GB2312" w:cs="楷体_GB2312"/>
          <w:b/>
          <w:color w:val="000000"/>
          <w:sz w:val="32"/>
          <w:szCs w:val="32"/>
        </w:rPr>
        <w:t>（二）一般公共预算财政拨款支出决算结构情况</w:t>
      </w:r>
      <w:bookmarkEnd w:id="62"/>
      <w:bookmarkEnd w:id="63"/>
      <w:bookmarkEnd w:id="64"/>
      <w:bookmarkEnd w:id="65"/>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ascii="仿宋_GB2312" w:eastAsia="仿宋_GB2312" w:cs="仿宋_GB2312"/>
          <w:color w:val="000000"/>
          <w:sz w:val="32"/>
          <w:szCs w:val="32"/>
        </w:rPr>
      </w:pPr>
      <w:r>
        <w:rPr>
          <w:rFonts w:hint="eastAsia" w:ascii="仿宋_GB2312" w:eastAsia="仿宋_GB2312" w:cs="仿宋_GB2312"/>
          <w:b/>
          <w:color w:val="000000"/>
          <w:sz w:val="32"/>
          <w:szCs w:val="32"/>
        </w:rPr>
        <w:t>202</w:t>
      </w:r>
      <w:r>
        <w:rPr>
          <w:rFonts w:hint="eastAsia" w:ascii="仿宋_GB2312" w:eastAsia="仿宋_GB2312" w:cs="仿宋_GB2312"/>
          <w:b/>
          <w:color w:val="000000"/>
          <w:sz w:val="32"/>
          <w:szCs w:val="32"/>
          <w:lang w:val="en-US" w:eastAsia="zh-CN"/>
        </w:rPr>
        <w:t>3</w:t>
      </w:r>
      <w:r>
        <w:rPr>
          <w:rFonts w:hint="eastAsia" w:ascii="仿宋_GB2312" w:eastAsia="仿宋_GB2312" w:cs="仿宋_GB2312"/>
          <w:b/>
          <w:color w:val="000000"/>
          <w:sz w:val="32"/>
          <w:szCs w:val="32"/>
        </w:rPr>
        <w:t>年一般公共预算财政拨款支出</w:t>
      </w:r>
      <w:r>
        <w:rPr>
          <w:rFonts w:hint="eastAsia" w:ascii="仿宋_GB2312" w:eastAsia="仿宋_GB2312" w:cs="仿宋_GB2312"/>
          <w:color w:val="000000"/>
          <w:sz w:val="32"/>
          <w:szCs w:val="32"/>
          <w:lang w:val="en-US" w:eastAsia="zh-CN"/>
        </w:rPr>
        <w:t>216.34</w:t>
      </w:r>
      <w:r>
        <w:rPr>
          <w:rFonts w:hint="eastAsia" w:ascii="仿宋_GB2312" w:eastAsia="仿宋_GB2312" w:cs="仿宋_GB2312"/>
          <w:color w:val="000000"/>
          <w:sz w:val="32"/>
          <w:szCs w:val="32"/>
        </w:rPr>
        <w:t>万元，主要用于以下方面:</w:t>
      </w:r>
      <w:r>
        <w:rPr>
          <w:rFonts w:hint="eastAsia" w:ascii="仿宋_GB2312" w:eastAsia="仿宋_GB2312" w:cs="仿宋_GB2312"/>
          <w:b/>
          <w:color w:val="000000"/>
          <w:sz w:val="32"/>
          <w:szCs w:val="32"/>
        </w:rPr>
        <w:t>一般公共服务</w:t>
      </w:r>
      <w:r>
        <w:rPr>
          <w:rFonts w:ascii="仿宋_GB2312" w:eastAsia="仿宋_GB2312" w:cs="仿宋_GB2312"/>
          <w:b/>
          <w:color w:val="000000"/>
          <w:sz w:val="32"/>
          <w:szCs w:val="32"/>
        </w:rPr>
        <w:t>支出</w:t>
      </w:r>
      <w:r>
        <w:rPr>
          <w:rFonts w:hint="eastAsia" w:ascii="仿宋_GB2312" w:eastAsia="仿宋_GB2312" w:cs="仿宋_GB2312"/>
          <w:b/>
          <w:color w:val="000000"/>
          <w:sz w:val="32"/>
          <w:szCs w:val="32"/>
        </w:rPr>
        <w:t>（201）</w:t>
      </w:r>
      <w:r>
        <w:rPr>
          <w:rFonts w:hint="eastAsia" w:ascii="仿宋_GB2312" w:eastAsia="仿宋_GB2312" w:cs="仿宋_GB2312"/>
          <w:color w:val="000000"/>
          <w:sz w:val="32"/>
          <w:szCs w:val="32"/>
        </w:rPr>
        <w:t>支出</w:t>
      </w:r>
      <w:r>
        <w:rPr>
          <w:rFonts w:hint="eastAsia" w:ascii="仿宋_GB2312" w:eastAsia="仿宋_GB2312" w:cs="仿宋_GB2312"/>
          <w:color w:val="000000"/>
          <w:sz w:val="32"/>
          <w:szCs w:val="32"/>
          <w:lang w:val="en-US" w:eastAsia="zh-CN"/>
        </w:rPr>
        <w:t>100.32</w:t>
      </w:r>
      <w:r>
        <w:rPr>
          <w:rFonts w:hint="eastAsia"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46.37</w:t>
      </w:r>
      <w:r>
        <w:rPr>
          <w:rFonts w:hint="eastAsia" w:ascii="仿宋_GB2312" w:eastAsia="仿宋_GB2312" w:cs="仿宋_GB2312"/>
          <w:color w:val="000000"/>
          <w:sz w:val="32"/>
          <w:szCs w:val="32"/>
        </w:rPr>
        <w:t>%；</w:t>
      </w:r>
      <w:r>
        <w:rPr>
          <w:rFonts w:hint="eastAsia" w:ascii="仿宋_GB2312" w:eastAsia="仿宋_GB2312" w:cs="仿宋_GB2312"/>
          <w:b/>
          <w:color w:val="000000"/>
          <w:sz w:val="32"/>
          <w:szCs w:val="32"/>
        </w:rPr>
        <w:t>社会保障和就业</w:t>
      </w:r>
      <w:r>
        <w:rPr>
          <w:rFonts w:ascii="仿宋_GB2312" w:eastAsia="仿宋_GB2312" w:cs="仿宋_GB2312"/>
          <w:b/>
          <w:color w:val="000000"/>
          <w:sz w:val="32"/>
          <w:szCs w:val="32"/>
        </w:rPr>
        <w:t>支出</w:t>
      </w:r>
      <w:r>
        <w:rPr>
          <w:rFonts w:hint="eastAsia" w:ascii="仿宋_GB2312" w:eastAsia="仿宋_GB2312" w:cs="仿宋_GB2312"/>
          <w:b/>
          <w:color w:val="000000"/>
          <w:sz w:val="32"/>
          <w:szCs w:val="32"/>
        </w:rPr>
        <w:t>（208）</w:t>
      </w:r>
      <w:r>
        <w:rPr>
          <w:rFonts w:hint="eastAsia" w:ascii="仿宋_GB2312" w:eastAsia="仿宋_GB2312" w:cs="仿宋_GB2312"/>
          <w:color w:val="000000"/>
          <w:sz w:val="32"/>
          <w:szCs w:val="32"/>
        </w:rPr>
        <w:t>支出</w:t>
      </w:r>
      <w:r>
        <w:rPr>
          <w:rFonts w:hint="eastAsia" w:ascii="仿宋_GB2312" w:eastAsia="仿宋_GB2312" w:cs="仿宋_GB2312"/>
          <w:color w:val="000000"/>
          <w:sz w:val="32"/>
          <w:szCs w:val="32"/>
          <w:lang w:val="en-US" w:eastAsia="zh-CN"/>
        </w:rPr>
        <w:t>8.16</w:t>
      </w:r>
      <w:r>
        <w:rPr>
          <w:rFonts w:hint="eastAsia"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3.77</w:t>
      </w:r>
      <w:r>
        <w:rPr>
          <w:rFonts w:hint="eastAsia" w:ascii="仿宋_GB2312" w:eastAsia="仿宋_GB2312" w:cs="仿宋_GB2312"/>
          <w:color w:val="000000"/>
          <w:sz w:val="32"/>
          <w:szCs w:val="32"/>
        </w:rPr>
        <w:t>%；</w:t>
      </w:r>
      <w:r>
        <w:rPr>
          <w:rFonts w:hint="eastAsia" w:ascii="仿宋_GB2312" w:eastAsia="仿宋_GB2312" w:cs="仿宋_GB2312"/>
          <w:b/>
          <w:bCs/>
          <w:color w:val="000000"/>
          <w:sz w:val="32"/>
          <w:szCs w:val="32"/>
        </w:rPr>
        <w:t>卫生健康支出（210）</w:t>
      </w:r>
      <w:r>
        <w:rPr>
          <w:rFonts w:hint="eastAsia" w:ascii="仿宋_GB2312" w:eastAsia="仿宋_GB2312" w:cs="仿宋_GB2312"/>
          <w:color w:val="000000"/>
          <w:sz w:val="32"/>
          <w:szCs w:val="32"/>
          <w:lang w:val="en-US" w:eastAsia="zh-CN"/>
        </w:rPr>
        <w:t>4.95</w:t>
      </w:r>
      <w:r>
        <w:rPr>
          <w:rFonts w:hint="eastAsia" w:ascii="仿宋_GB2312" w:eastAsia="仿宋_GB2312" w:cs="仿宋_GB2312"/>
          <w:color w:val="000000"/>
          <w:sz w:val="32"/>
          <w:szCs w:val="32"/>
        </w:rPr>
        <w:t>万元，占2.</w:t>
      </w:r>
      <w:r>
        <w:rPr>
          <w:rFonts w:hint="eastAsia" w:ascii="仿宋_GB2312" w:eastAsia="仿宋_GB2312" w:cs="仿宋_GB2312"/>
          <w:color w:val="000000"/>
          <w:sz w:val="32"/>
          <w:szCs w:val="32"/>
          <w:lang w:val="en-US" w:eastAsia="zh-CN"/>
        </w:rPr>
        <w:t>29</w:t>
      </w:r>
      <w:r>
        <w:rPr>
          <w:rFonts w:hint="eastAsia" w:ascii="仿宋_GB2312" w:eastAsia="仿宋_GB2312" w:cs="仿宋_GB2312"/>
          <w:color w:val="000000"/>
          <w:sz w:val="32"/>
          <w:szCs w:val="32"/>
        </w:rPr>
        <w:t>%；</w:t>
      </w:r>
      <w:r>
        <w:rPr>
          <w:rFonts w:hint="eastAsia" w:ascii="仿宋_GB2312" w:eastAsia="仿宋_GB2312" w:cs="仿宋_GB2312"/>
          <w:b/>
          <w:bCs/>
          <w:color w:val="000000"/>
          <w:sz w:val="32"/>
          <w:szCs w:val="32"/>
        </w:rPr>
        <w:t>农林水支出（213）</w:t>
      </w:r>
      <w:r>
        <w:rPr>
          <w:rFonts w:hint="eastAsia" w:ascii="仿宋_GB2312" w:eastAsia="仿宋_GB2312" w:cs="仿宋_GB2312"/>
          <w:color w:val="000000"/>
          <w:sz w:val="32"/>
          <w:szCs w:val="32"/>
          <w:lang w:val="en-US" w:eastAsia="zh-CN"/>
        </w:rPr>
        <w:t>98</w:t>
      </w:r>
      <w:r>
        <w:rPr>
          <w:rFonts w:hint="eastAsia"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45.30</w:t>
      </w:r>
      <w:r>
        <w:rPr>
          <w:rFonts w:hint="eastAsia" w:ascii="仿宋_GB2312" w:eastAsia="仿宋_GB2312" w:cs="仿宋_GB2312"/>
          <w:color w:val="000000"/>
          <w:sz w:val="32"/>
          <w:szCs w:val="32"/>
        </w:rPr>
        <w:t>%；</w:t>
      </w:r>
      <w:r>
        <w:rPr>
          <w:rFonts w:hint="eastAsia" w:ascii="仿宋_GB2312" w:eastAsia="仿宋_GB2312" w:cs="仿宋_GB2312"/>
          <w:b/>
          <w:bCs/>
          <w:color w:val="000000"/>
          <w:sz w:val="32"/>
          <w:szCs w:val="32"/>
        </w:rPr>
        <w:t>住房保障支出（221）</w:t>
      </w:r>
      <w:r>
        <w:rPr>
          <w:rFonts w:hint="eastAsia" w:ascii="仿宋_GB2312" w:eastAsia="仿宋_GB2312" w:cs="仿宋_GB2312"/>
          <w:color w:val="000000"/>
          <w:sz w:val="32"/>
          <w:szCs w:val="32"/>
          <w:lang w:val="en-US" w:eastAsia="zh-CN"/>
        </w:rPr>
        <w:t>4.11</w:t>
      </w:r>
      <w:r>
        <w:rPr>
          <w:rFonts w:hint="eastAsia"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1.9</w:t>
      </w:r>
      <w:r>
        <w:rPr>
          <w:rFonts w:hint="eastAsia" w:ascii="仿宋_GB2312" w:eastAsia="仿宋_GB2312" w:cs="仿宋_GB2312"/>
          <w:color w:val="000000"/>
          <w:sz w:val="32"/>
          <w:szCs w:val="32"/>
        </w:rPr>
        <w:t>%,</w:t>
      </w:r>
      <w:r>
        <w:rPr>
          <w:rFonts w:hint="eastAsia" w:ascii="仿宋_GB2312" w:eastAsia="仿宋_GB2312" w:cs="仿宋_GB2312"/>
          <w:b/>
          <w:bCs/>
          <w:color w:val="000000"/>
          <w:sz w:val="32"/>
          <w:szCs w:val="32"/>
        </w:rPr>
        <w:t>其他支出（229）</w:t>
      </w:r>
      <w:r>
        <w:rPr>
          <w:rFonts w:hint="eastAsia" w:ascii="仿宋_GB2312" w:eastAsia="仿宋_GB2312" w:cs="仿宋_GB2312"/>
          <w:color w:val="000000"/>
          <w:sz w:val="32"/>
          <w:szCs w:val="32"/>
        </w:rPr>
        <w:t>支出</w:t>
      </w:r>
      <w:r>
        <w:rPr>
          <w:rFonts w:hint="eastAsia" w:ascii="仿宋_GB2312" w:eastAsia="仿宋_GB2312" w:cs="仿宋_GB2312"/>
          <w:color w:val="000000"/>
          <w:sz w:val="32"/>
          <w:szCs w:val="32"/>
          <w:lang w:val="en-US" w:eastAsia="zh-CN"/>
        </w:rPr>
        <w:t>0.8</w:t>
      </w:r>
      <w:r>
        <w:rPr>
          <w:rFonts w:hint="eastAsia"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0.37</w:t>
      </w:r>
      <w:r>
        <w:rPr>
          <w:rFonts w:hint="eastAsia" w:asci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eastAsia="仿宋_GB2312" w:cs="仿宋_GB2312"/>
          <w:color w:val="000000"/>
          <w:sz w:val="32"/>
          <w:szCs w:val="32"/>
        </w:rPr>
      </w:pPr>
      <w:r>
        <w:rPr>
          <w:rFonts w:hint="eastAsia" w:ascii="仿宋_GB2312" w:eastAsia="仿宋_GB2312" w:cs="仿宋_GB2312"/>
          <w:bCs/>
          <w:color w:val="000000"/>
          <w:kern w:val="0"/>
          <w:sz w:val="32"/>
          <w:szCs w:val="32"/>
          <w:lang w:val="zh-CN"/>
        </w:rPr>
        <w:t>（图6：一般公共预算财政拨款支出决算结构）（单位：万元）</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eastAsia="仿宋"/>
          <w:color w:val="000000"/>
          <w:sz w:val="32"/>
          <w:szCs w:val="32"/>
          <w:lang w:eastAsia="zh-CN"/>
        </w:rPr>
      </w:pPr>
      <w:r>
        <w:rPr>
          <w:rFonts w:hint="eastAsia" w:ascii="仿宋" w:eastAsia="仿宋"/>
          <w:color w:val="000000"/>
          <w:sz w:val="32"/>
          <w:szCs w:val="32"/>
          <w:lang w:eastAsia="zh-CN"/>
        </w:rPr>
        <w:drawing>
          <wp:inline distT="0" distB="0" distL="114300" distR="114300">
            <wp:extent cx="5161915" cy="3044825"/>
            <wp:effectExtent l="4445" t="4445" r="15240" b="1778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11"/>
        <w:keepNext w:val="0"/>
        <w:keepLines w:val="0"/>
        <w:pageBreakBefore w:val="0"/>
        <w:widowControl w:val="0"/>
        <w:kinsoku/>
        <w:wordWrap/>
        <w:overflowPunct/>
        <w:topLinePunct w:val="0"/>
        <w:autoSpaceDE/>
        <w:autoSpaceDN/>
        <w:bidi w:val="0"/>
        <w:adjustRightInd/>
        <w:snapToGrid/>
        <w:ind w:left="0" w:leftChars="0" w:firstLine="442" w:firstLineChars="200"/>
        <w:jc w:val="center"/>
        <w:textAlignment w:val="auto"/>
        <w:rPr>
          <w:rFonts w:hint="default" w:eastAsia="宋体"/>
          <w:b/>
          <w:bCs/>
          <w:sz w:val="22"/>
          <w:szCs w:val="28"/>
          <w:lang w:val="en-US" w:eastAsia="zh-CN"/>
        </w:rPr>
      </w:pPr>
      <w:r>
        <w:rPr>
          <w:rFonts w:hint="eastAsia"/>
          <w:b/>
          <w:bCs/>
          <w:sz w:val="22"/>
          <w:szCs w:val="28"/>
          <w:lang w:eastAsia="zh-CN"/>
        </w:rPr>
        <w:t>图</w:t>
      </w:r>
      <w:r>
        <w:rPr>
          <w:rFonts w:hint="eastAsia"/>
          <w:b/>
          <w:bCs/>
          <w:sz w:val="22"/>
          <w:szCs w:val="28"/>
          <w:lang w:val="en-US" w:eastAsia="zh-CN"/>
        </w:rPr>
        <w:t>6</w:t>
      </w:r>
    </w:p>
    <w:p>
      <w:pPr>
        <w:spacing w:line="576" w:lineRule="exact"/>
        <w:ind w:firstLine="643" w:firstLineChars="200"/>
        <w:outlineLvl w:val="2"/>
        <w:rPr>
          <w:rFonts w:ascii="楷体_GB2312" w:eastAsia="楷体_GB2312" w:cs="楷体_GB2312"/>
          <w:b/>
          <w:color w:val="000000"/>
          <w:sz w:val="32"/>
          <w:szCs w:val="32"/>
        </w:rPr>
      </w:pPr>
      <w:bookmarkStart w:id="66" w:name="_Toc15377212"/>
      <w:bookmarkStart w:id="67" w:name="_Toc79163617"/>
      <w:bookmarkStart w:id="68" w:name="_Toc79163867"/>
      <w:bookmarkStart w:id="69" w:name="_Toc32197"/>
      <w:r>
        <w:rPr>
          <w:rFonts w:hint="eastAsia" w:ascii="楷体_GB2312" w:eastAsia="楷体_GB2312" w:cs="楷体_GB2312"/>
          <w:b/>
          <w:color w:val="000000"/>
          <w:sz w:val="32"/>
          <w:szCs w:val="32"/>
        </w:rPr>
        <w:t>（三）一般公共预算财政拨款支出决算具体情况</w:t>
      </w:r>
      <w:bookmarkEnd w:id="66"/>
      <w:bookmarkEnd w:id="67"/>
      <w:bookmarkEnd w:id="68"/>
      <w:bookmarkEnd w:id="69"/>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ascii="仿宋_GB2312" w:eastAsia="仿宋_GB2312" w:cs="仿宋_GB2312"/>
          <w:color w:val="FF0000"/>
          <w:sz w:val="32"/>
          <w:szCs w:val="32"/>
        </w:rPr>
      </w:pPr>
      <w:r>
        <w:rPr>
          <w:rFonts w:hint="eastAsia" w:ascii="仿宋_GB2312" w:eastAsia="仿宋_GB2312" w:cs="仿宋_GB2312"/>
          <w:b/>
          <w:color w:val="000000"/>
          <w:sz w:val="32"/>
          <w:szCs w:val="32"/>
        </w:rPr>
        <w:t>202</w:t>
      </w:r>
      <w:r>
        <w:rPr>
          <w:rFonts w:hint="eastAsia" w:ascii="仿宋_GB2312" w:eastAsia="仿宋_GB2312" w:cs="仿宋_GB2312"/>
          <w:b/>
          <w:color w:val="000000"/>
          <w:sz w:val="32"/>
          <w:szCs w:val="32"/>
          <w:lang w:val="en-US" w:eastAsia="zh-CN"/>
        </w:rPr>
        <w:t>3</w:t>
      </w:r>
      <w:r>
        <w:rPr>
          <w:rFonts w:hint="eastAsia" w:ascii="仿宋_GB2312" w:eastAsia="仿宋_GB2312" w:cs="仿宋_GB2312"/>
          <w:b/>
          <w:color w:val="000000"/>
          <w:sz w:val="32"/>
          <w:szCs w:val="32"/>
        </w:rPr>
        <w:t>年般公共预算支出决算数为</w:t>
      </w:r>
      <w:r>
        <w:rPr>
          <w:rFonts w:hint="eastAsia" w:ascii="仿宋_GB2312" w:eastAsia="仿宋_GB2312" w:cs="仿宋_GB2312"/>
          <w:b/>
          <w:color w:val="000000"/>
          <w:sz w:val="32"/>
          <w:szCs w:val="32"/>
          <w:lang w:val="en-US" w:eastAsia="zh-CN"/>
        </w:rPr>
        <w:t>216.34</w:t>
      </w:r>
      <w:r>
        <w:rPr>
          <w:rFonts w:hint="eastAsia" w:ascii="仿宋_GB2312" w:eastAsia="仿宋_GB2312" w:cs="仿宋_GB2312"/>
          <w:b/>
          <w:color w:val="000000"/>
          <w:sz w:val="32"/>
          <w:szCs w:val="32"/>
        </w:rPr>
        <w:t>万元</w:t>
      </w:r>
      <w:r>
        <w:rPr>
          <w:rFonts w:hint="eastAsia" w:ascii="仿宋_GB2312" w:eastAsia="仿宋_GB2312" w:cs="仿宋_GB2312"/>
          <w:color w:val="000000"/>
          <w:sz w:val="32"/>
          <w:szCs w:val="32"/>
        </w:rPr>
        <w:t>，</w:t>
      </w:r>
      <w:r>
        <w:rPr>
          <w:rStyle w:val="28"/>
          <w:rFonts w:hint="eastAsia" w:ascii="仿宋_GB2312" w:eastAsia="仿宋_GB2312" w:cs="仿宋_GB2312"/>
          <w:bCs/>
          <w:color w:val="000000"/>
          <w:sz w:val="32"/>
          <w:szCs w:val="32"/>
        </w:rPr>
        <w:t>完成预算100%。其中：</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Style w:val="28"/>
          <w:rFonts w:ascii="仿宋_GB2312" w:eastAsia="仿宋_GB2312" w:cs="仿宋_GB2312"/>
          <w:b w:val="0"/>
          <w:bCs/>
          <w:color w:val="000000"/>
          <w:sz w:val="32"/>
          <w:szCs w:val="32"/>
        </w:rPr>
      </w:pPr>
      <w:r>
        <w:rPr>
          <w:rStyle w:val="28"/>
          <w:rFonts w:hint="eastAsia" w:ascii="仿宋_GB2312" w:eastAsia="仿宋_GB2312" w:cs="仿宋_GB2312"/>
          <w:bCs/>
          <w:color w:val="000000"/>
          <w:sz w:val="32"/>
          <w:szCs w:val="32"/>
        </w:rPr>
        <w:t>1.一般公共服务（201）群众团体事务（29）行政运行（01）:</w:t>
      </w:r>
      <w:r>
        <w:rPr>
          <w:rStyle w:val="28"/>
          <w:rFonts w:hint="eastAsia" w:ascii="仿宋_GB2312" w:eastAsia="仿宋_GB2312" w:cs="仿宋_GB2312"/>
          <w:b w:val="0"/>
          <w:bCs/>
          <w:color w:val="000000"/>
          <w:sz w:val="32"/>
          <w:szCs w:val="32"/>
        </w:rPr>
        <w:t xml:space="preserve"> 支出决算为</w:t>
      </w:r>
      <w:r>
        <w:rPr>
          <w:rStyle w:val="28"/>
          <w:rFonts w:hint="eastAsia" w:ascii="仿宋_GB2312" w:eastAsia="仿宋_GB2312" w:cs="仿宋_GB2312"/>
          <w:b w:val="0"/>
          <w:bCs/>
          <w:color w:val="000000"/>
          <w:sz w:val="32"/>
          <w:szCs w:val="32"/>
          <w:lang w:val="en-US" w:eastAsia="zh-CN"/>
        </w:rPr>
        <w:t>54.39</w:t>
      </w:r>
      <w:r>
        <w:rPr>
          <w:rStyle w:val="28"/>
          <w:rFonts w:hint="eastAsia" w:ascii="仿宋_GB2312" w:eastAsia="仿宋_GB2312" w:cs="仿宋_GB2312"/>
          <w:b w:val="0"/>
          <w:bCs/>
          <w:color w:val="000000"/>
          <w:sz w:val="32"/>
          <w:szCs w:val="32"/>
        </w:rPr>
        <w:t>万元，完成预算100%</w:t>
      </w:r>
      <w:r>
        <w:rPr>
          <w:rStyle w:val="28"/>
          <w:rFonts w:hint="eastAsia" w:ascii="仿宋_GB2312" w:eastAsia="仿宋_GB2312" w:cs="仿宋_GB2312"/>
          <w:b w:val="0"/>
          <w:bCs/>
          <w:color w:val="000000"/>
          <w:sz w:val="32"/>
          <w:szCs w:val="32"/>
          <w:lang w:eastAsia="zh-CN"/>
        </w:rPr>
        <w:t>，决算数与预算数持平</w:t>
      </w:r>
      <w:r>
        <w:rPr>
          <w:rStyle w:val="28"/>
          <w:rFonts w:hint="eastAsia" w:asci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Style w:val="28"/>
          <w:rFonts w:ascii="仿宋_GB2312" w:eastAsia="仿宋_GB2312" w:cs="仿宋_GB2312"/>
          <w:b w:val="0"/>
          <w:bCs/>
          <w:color w:val="000000"/>
          <w:sz w:val="32"/>
          <w:szCs w:val="32"/>
        </w:rPr>
      </w:pPr>
      <w:r>
        <w:rPr>
          <w:rStyle w:val="28"/>
          <w:rFonts w:hint="eastAsia" w:ascii="仿宋_GB2312" w:eastAsia="仿宋_GB2312" w:cs="仿宋_GB2312"/>
          <w:bCs/>
          <w:color w:val="000000"/>
          <w:sz w:val="32"/>
          <w:szCs w:val="32"/>
        </w:rPr>
        <w:t>2.一般公共服务（201）群众团体事务（29）</w:t>
      </w:r>
      <w:r>
        <w:rPr>
          <w:rStyle w:val="28"/>
          <w:rFonts w:ascii="仿宋_GB2312" w:eastAsia="仿宋_GB2312" w:cs="仿宋_GB2312"/>
          <w:bCs/>
          <w:color w:val="000000"/>
          <w:sz w:val="32"/>
          <w:szCs w:val="32"/>
        </w:rPr>
        <w:t>其他群众团体事务支出</w:t>
      </w:r>
      <w:r>
        <w:rPr>
          <w:rStyle w:val="28"/>
          <w:rFonts w:hint="eastAsia" w:ascii="仿宋_GB2312" w:eastAsia="仿宋_GB2312" w:cs="仿宋_GB2312"/>
          <w:bCs/>
          <w:color w:val="000000"/>
          <w:sz w:val="32"/>
          <w:szCs w:val="32"/>
        </w:rPr>
        <w:t>（</w:t>
      </w:r>
      <w:r>
        <w:rPr>
          <w:rStyle w:val="28"/>
          <w:rFonts w:ascii="仿宋_GB2312" w:eastAsia="仿宋_GB2312" w:cs="仿宋_GB2312"/>
          <w:bCs/>
          <w:color w:val="000000"/>
          <w:sz w:val="32"/>
          <w:szCs w:val="32"/>
        </w:rPr>
        <w:t xml:space="preserve">99） </w:t>
      </w:r>
      <w:r>
        <w:rPr>
          <w:rStyle w:val="28"/>
          <w:rFonts w:hint="eastAsia" w:ascii="仿宋_GB2312" w:eastAsia="仿宋_GB2312" w:cs="仿宋_GB2312"/>
          <w:bCs/>
          <w:color w:val="000000"/>
          <w:sz w:val="32"/>
          <w:szCs w:val="32"/>
        </w:rPr>
        <w:t>:</w:t>
      </w:r>
      <w:r>
        <w:rPr>
          <w:rStyle w:val="28"/>
          <w:rFonts w:hint="eastAsia" w:ascii="仿宋_GB2312" w:eastAsia="仿宋_GB2312" w:cs="仿宋_GB2312"/>
          <w:b w:val="0"/>
          <w:bCs/>
          <w:color w:val="000000"/>
          <w:sz w:val="32"/>
          <w:szCs w:val="32"/>
        </w:rPr>
        <w:t xml:space="preserve"> 支出决算为</w:t>
      </w:r>
      <w:r>
        <w:rPr>
          <w:rStyle w:val="28"/>
          <w:rFonts w:hint="eastAsia" w:ascii="仿宋_GB2312" w:eastAsia="仿宋_GB2312" w:cs="仿宋_GB2312"/>
          <w:b w:val="0"/>
          <w:bCs/>
          <w:color w:val="000000"/>
          <w:sz w:val="32"/>
          <w:szCs w:val="32"/>
          <w:lang w:val="en-US" w:eastAsia="zh-CN"/>
        </w:rPr>
        <w:t>45.93</w:t>
      </w:r>
      <w:r>
        <w:rPr>
          <w:rStyle w:val="28"/>
          <w:rFonts w:hint="eastAsia" w:ascii="仿宋_GB2312" w:eastAsia="仿宋_GB2312" w:cs="仿宋_GB2312"/>
          <w:b w:val="0"/>
          <w:bCs/>
          <w:color w:val="000000"/>
          <w:sz w:val="32"/>
          <w:szCs w:val="32"/>
        </w:rPr>
        <w:t>万元，完成预算100%</w:t>
      </w:r>
      <w:r>
        <w:rPr>
          <w:rStyle w:val="28"/>
          <w:rFonts w:hint="eastAsia" w:ascii="仿宋_GB2312" w:eastAsia="仿宋_GB2312" w:cs="仿宋_GB2312"/>
          <w:b w:val="0"/>
          <w:bCs/>
          <w:color w:val="000000"/>
          <w:sz w:val="32"/>
          <w:szCs w:val="32"/>
          <w:lang w:eastAsia="zh-CN"/>
        </w:rPr>
        <w:t>，决算数与预算数持平</w:t>
      </w:r>
      <w:r>
        <w:rPr>
          <w:rStyle w:val="28"/>
          <w:rFonts w:hint="eastAsia" w:asci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Style w:val="28"/>
          <w:rFonts w:ascii="仿宋_GB2312" w:eastAsia="仿宋_GB2312" w:cs="仿宋_GB2312"/>
          <w:b w:val="0"/>
          <w:bCs/>
          <w:color w:val="000000"/>
          <w:sz w:val="32"/>
          <w:szCs w:val="32"/>
        </w:rPr>
      </w:pPr>
      <w:r>
        <w:rPr>
          <w:rStyle w:val="28"/>
          <w:rFonts w:hint="eastAsia" w:ascii="仿宋_GB2312" w:eastAsia="仿宋_GB2312" w:cs="仿宋_GB2312"/>
          <w:bCs/>
          <w:color w:val="000000"/>
          <w:sz w:val="32"/>
          <w:szCs w:val="32"/>
        </w:rPr>
        <w:t>3.社会保障和就业支出（208）行政事业单位养老支出（05）机关事业单位基本养老保险缴费支出（05）:</w:t>
      </w:r>
      <w:r>
        <w:rPr>
          <w:rStyle w:val="28"/>
          <w:rFonts w:hint="eastAsia" w:ascii="仿宋_GB2312" w:eastAsia="仿宋_GB2312" w:cs="仿宋_GB2312"/>
          <w:b w:val="0"/>
          <w:bCs/>
          <w:color w:val="000000"/>
          <w:sz w:val="32"/>
          <w:szCs w:val="32"/>
        </w:rPr>
        <w:t xml:space="preserve"> 支出决算为</w:t>
      </w:r>
      <w:r>
        <w:rPr>
          <w:rStyle w:val="28"/>
          <w:rFonts w:hint="eastAsia" w:ascii="仿宋_GB2312" w:eastAsia="仿宋_GB2312" w:cs="仿宋_GB2312"/>
          <w:b w:val="0"/>
          <w:bCs/>
          <w:color w:val="000000"/>
          <w:sz w:val="32"/>
          <w:szCs w:val="32"/>
          <w:lang w:val="en-US" w:eastAsia="zh-CN"/>
        </w:rPr>
        <w:t>5.44</w:t>
      </w:r>
      <w:r>
        <w:rPr>
          <w:rStyle w:val="28"/>
          <w:rFonts w:hint="eastAsia" w:ascii="仿宋_GB2312" w:eastAsia="仿宋_GB2312" w:cs="仿宋_GB2312"/>
          <w:b w:val="0"/>
          <w:bCs/>
          <w:color w:val="000000"/>
          <w:sz w:val="32"/>
          <w:szCs w:val="32"/>
        </w:rPr>
        <w:t>万元，完成预算100%</w:t>
      </w:r>
      <w:r>
        <w:rPr>
          <w:rStyle w:val="28"/>
          <w:rFonts w:hint="eastAsia" w:ascii="仿宋_GB2312" w:eastAsia="仿宋_GB2312" w:cs="仿宋_GB2312"/>
          <w:b w:val="0"/>
          <w:bCs/>
          <w:color w:val="000000"/>
          <w:sz w:val="32"/>
          <w:szCs w:val="32"/>
          <w:lang w:eastAsia="zh-CN"/>
        </w:rPr>
        <w:t>，决算数与预算数持平</w:t>
      </w:r>
      <w:r>
        <w:rPr>
          <w:rStyle w:val="28"/>
          <w:rFonts w:hint="eastAsia" w:asci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ascii="仿宋_GB2312" w:eastAsia="仿宋_GB2312" w:cs="仿宋_GB2312"/>
          <w:bCs/>
          <w:color w:val="000000"/>
          <w:sz w:val="32"/>
          <w:szCs w:val="32"/>
        </w:rPr>
      </w:pPr>
      <w:r>
        <w:rPr>
          <w:rStyle w:val="28"/>
          <w:rFonts w:hint="eastAsia" w:ascii="仿宋_GB2312" w:eastAsia="仿宋_GB2312" w:cs="仿宋_GB2312"/>
          <w:bCs/>
          <w:color w:val="000000"/>
          <w:sz w:val="32"/>
          <w:szCs w:val="32"/>
        </w:rPr>
        <w:t>4.社会保障和就业支出（208）行政事业单位养老支出（05）机关事业单位职业年金缴费支出（06）:</w:t>
      </w:r>
      <w:r>
        <w:rPr>
          <w:rStyle w:val="28"/>
          <w:rFonts w:hint="eastAsia" w:ascii="仿宋_GB2312" w:eastAsia="仿宋_GB2312" w:cs="仿宋_GB2312"/>
          <w:b w:val="0"/>
          <w:bCs/>
          <w:color w:val="000000"/>
          <w:sz w:val="32"/>
          <w:szCs w:val="32"/>
        </w:rPr>
        <w:t xml:space="preserve"> 支出决算为2.</w:t>
      </w:r>
      <w:r>
        <w:rPr>
          <w:rStyle w:val="28"/>
          <w:rFonts w:hint="eastAsia" w:ascii="仿宋_GB2312" w:eastAsia="仿宋_GB2312" w:cs="仿宋_GB2312"/>
          <w:b w:val="0"/>
          <w:bCs/>
          <w:color w:val="000000"/>
          <w:sz w:val="32"/>
          <w:szCs w:val="32"/>
          <w:lang w:val="en-US" w:eastAsia="zh-CN"/>
        </w:rPr>
        <w:t>72</w:t>
      </w:r>
      <w:r>
        <w:rPr>
          <w:rStyle w:val="28"/>
          <w:rFonts w:hint="eastAsia" w:ascii="仿宋_GB2312" w:eastAsia="仿宋_GB2312" w:cs="仿宋_GB2312"/>
          <w:b w:val="0"/>
          <w:bCs/>
          <w:color w:val="000000"/>
          <w:sz w:val="32"/>
          <w:szCs w:val="32"/>
        </w:rPr>
        <w:t>万元，完成预算100%</w:t>
      </w:r>
      <w:r>
        <w:rPr>
          <w:rStyle w:val="28"/>
          <w:rFonts w:hint="eastAsia" w:ascii="仿宋_GB2312" w:eastAsia="仿宋_GB2312" w:cs="仿宋_GB2312"/>
          <w:b w:val="0"/>
          <w:bCs/>
          <w:color w:val="000000"/>
          <w:sz w:val="32"/>
          <w:szCs w:val="32"/>
          <w:lang w:eastAsia="zh-CN"/>
        </w:rPr>
        <w:t>，决算数与预算数持平</w:t>
      </w:r>
      <w:r>
        <w:rPr>
          <w:rStyle w:val="28"/>
          <w:rFonts w:hint="eastAsia" w:asci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Style w:val="28"/>
          <w:rFonts w:ascii="仿宋_GB2312" w:eastAsia="仿宋_GB2312" w:cs="仿宋_GB2312"/>
          <w:b w:val="0"/>
          <w:bCs/>
          <w:color w:val="000000"/>
          <w:sz w:val="32"/>
          <w:szCs w:val="32"/>
        </w:rPr>
      </w:pPr>
      <w:r>
        <w:rPr>
          <w:rStyle w:val="28"/>
          <w:rFonts w:hint="eastAsia" w:ascii="仿宋_GB2312" w:eastAsia="仿宋_GB2312" w:cs="仿宋_GB2312"/>
          <w:bCs/>
          <w:color w:val="000000"/>
          <w:sz w:val="32"/>
          <w:szCs w:val="32"/>
        </w:rPr>
        <w:t>5.</w:t>
      </w:r>
      <w:r>
        <w:rPr>
          <w:rFonts w:hint="eastAsia" w:ascii="仿宋_GB2312" w:eastAsia="仿宋_GB2312" w:cs="仿宋_GB2312"/>
          <w:b/>
          <w:bCs/>
          <w:color w:val="000000"/>
          <w:sz w:val="32"/>
          <w:szCs w:val="32"/>
        </w:rPr>
        <w:t>卫生健康</w:t>
      </w:r>
      <w:r>
        <w:rPr>
          <w:rStyle w:val="28"/>
          <w:rFonts w:hint="eastAsia" w:ascii="仿宋_GB2312" w:eastAsia="仿宋_GB2312" w:cs="仿宋_GB2312"/>
          <w:bCs/>
          <w:color w:val="000000"/>
          <w:sz w:val="32"/>
          <w:szCs w:val="32"/>
        </w:rPr>
        <w:t>（210）行政事业单位医疗（11）行政单位医疗（01）:</w:t>
      </w:r>
      <w:r>
        <w:rPr>
          <w:rStyle w:val="28"/>
          <w:rFonts w:hint="eastAsia" w:ascii="仿宋_GB2312" w:eastAsia="仿宋_GB2312" w:cs="仿宋_GB2312"/>
          <w:b w:val="0"/>
          <w:bCs/>
          <w:color w:val="000000"/>
          <w:sz w:val="32"/>
          <w:szCs w:val="32"/>
        </w:rPr>
        <w:t>支出决算为</w:t>
      </w:r>
      <w:r>
        <w:rPr>
          <w:rStyle w:val="28"/>
          <w:rFonts w:hint="eastAsia" w:ascii="仿宋_GB2312" w:eastAsia="仿宋_GB2312" w:cs="仿宋_GB2312"/>
          <w:b w:val="0"/>
          <w:bCs/>
          <w:color w:val="000000"/>
          <w:sz w:val="32"/>
          <w:szCs w:val="32"/>
          <w:lang w:val="en-US" w:eastAsia="zh-CN"/>
        </w:rPr>
        <w:t>4.95</w:t>
      </w:r>
      <w:r>
        <w:rPr>
          <w:rStyle w:val="28"/>
          <w:rFonts w:hint="eastAsia" w:ascii="仿宋_GB2312" w:eastAsia="仿宋_GB2312" w:cs="仿宋_GB2312"/>
          <w:b w:val="0"/>
          <w:bCs/>
          <w:color w:val="000000"/>
          <w:sz w:val="32"/>
          <w:szCs w:val="32"/>
        </w:rPr>
        <w:t>万元，完成预算100%</w:t>
      </w:r>
      <w:r>
        <w:rPr>
          <w:rStyle w:val="28"/>
          <w:rFonts w:hint="eastAsia" w:ascii="仿宋_GB2312" w:eastAsia="仿宋_GB2312" w:cs="仿宋_GB2312"/>
          <w:b w:val="0"/>
          <w:bCs/>
          <w:color w:val="000000"/>
          <w:sz w:val="32"/>
          <w:szCs w:val="32"/>
          <w:lang w:eastAsia="zh-CN"/>
        </w:rPr>
        <w:t>，决算数与预算数持平</w:t>
      </w:r>
      <w:r>
        <w:rPr>
          <w:rStyle w:val="28"/>
          <w:rFonts w:hint="eastAsia" w:asci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ascii="仿宋_GB2312" w:eastAsia="仿宋_GB2312" w:cs="仿宋_GB2312"/>
          <w:bCs/>
          <w:color w:val="000000"/>
          <w:sz w:val="32"/>
          <w:szCs w:val="32"/>
        </w:rPr>
      </w:pPr>
      <w:r>
        <w:rPr>
          <w:rFonts w:hint="eastAsia" w:ascii="仿宋_GB2312" w:eastAsia="仿宋_GB2312" w:cs="仿宋_GB2312"/>
          <w:b/>
          <w:color w:val="000000"/>
          <w:sz w:val="32"/>
          <w:szCs w:val="32"/>
        </w:rPr>
        <w:t>6.农林水支出(213)</w:t>
      </w:r>
      <w:r>
        <w:rPr>
          <w:rFonts w:hint="eastAsia" w:ascii="仿宋_GB2312" w:eastAsia="仿宋_GB2312" w:cs="仿宋_GB2312"/>
          <w:sz w:val="32"/>
          <w:szCs w:val="32"/>
        </w:rPr>
        <w:t xml:space="preserve"> </w:t>
      </w:r>
      <w:r>
        <w:rPr>
          <w:rFonts w:hint="eastAsia" w:ascii="仿宋_GB2312" w:eastAsia="仿宋_GB2312" w:cs="仿宋_GB2312"/>
          <w:b/>
          <w:color w:val="000000"/>
          <w:sz w:val="32"/>
          <w:szCs w:val="32"/>
        </w:rPr>
        <w:t>巩固脱贫衔接乡村振兴(05)</w:t>
      </w:r>
      <w:r>
        <w:rPr>
          <w:rFonts w:hint="eastAsia" w:ascii="仿宋_GB2312" w:eastAsia="仿宋_GB2312" w:cs="仿宋_GB2312"/>
          <w:sz w:val="32"/>
          <w:szCs w:val="32"/>
        </w:rPr>
        <w:t xml:space="preserve"> </w:t>
      </w:r>
      <w:r>
        <w:rPr>
          <w:rFonts w:hint="eastAsia" w:ascii="仿宋_GB2312" w:eastAsia="仿宋_GB2312" w:cs="仿宋_GB2312"/>
          <w:b/>
          <w:color w:val="000000"/>
          <w:sz w:val="32"/>
          <w:szCs w:val="32"/>
        </w:rPr>
        <w:t>其他巩固脱贫衔接乡村振兴支出(99):</w:t>
      </w:r>
      <w:r>
        <w:rPr>
          <w:rStyle w:val="28"/>
          <w:rFonts w:hint="eastAsia" w:ascii="仿宋_GB2312" w:eastAsia="仿宋_GB2312" w:cs="仿宋_GB2312"/>
          <w:b w:val="0"/>
          <w:bCs/>
          <w:color w:val="000000"/>
          <w:sz w:val="32"/>
          <w:szCs w:val="32"/>
        </w:rPr>
        <w:t xml:space="preserve"> 支出决算为</w:t>
      </w:r>
      <w:r>
        <w:rPr>
          <w:rStyle w:val="28"/>
          <w:rFonts w:hint="eastAsia" w:ascii="仿宋_GB2312" w:eastAsia="仿宋_GB2312" w:cs="仿宋_GB2312"/>
          <w:b w:val="0"/>
          <w:bCs/>
          <w:color w:val="000000"/>
          <w:sz w:val="32"/>
          <w:szCs w:val="32"/>
          <w:lang w:val="en-US" w:eastAsia="zh-CN"/>
        </w:rPr>
        <w:t>98</w:t>
      </w:r>
      <w:r>
        <w:rPr>
          <w:rStyle w:val="28"/>
          <w:rFonts w:hint="eastAsia" w:ascii="仿宋_GB2312" w:eastAsia="仿宋_GB2312" w:cs="仿宋_GB2312"/>
          <w:b w:val="0"/>
          <w:bCs/>
          <w:color w:val="000000"/>
          <w:sz w:val="32"/>
          <w:szCs w:val="32"/>
        </w:rPr>
        <w:t>万元，完成预算100%</w:t>
      </w:r>
      <w:r>
        <w:rPr>
          <w:rStyle w:val="28"/>
          <w:rFonts w:hint="eastAsia" w:ascii="仿宋_GB2312" w:eastAsia="仿宋_GB2312" w:cs="仿宋_GB2312"/>
          <w:b w:val="0"/>
          <w:bCs/>
          <w:color w:val="000000"/>
          <w:sz w:val="32"/>
          <w:szCs w:val="32"/>
          <w:lang w:eastAsia="zh-CN"/>
        </w:rPr>
        <w:t>，决算数与预算数持平</w:t>
      </w:r>
      <w:r>
        <w:rPr>
          <w:rStyle w:val="28"/>
          <w:rFonts w:hint="eastAsia" w:asci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ascii="仿宋_GB2312" w:eastAsia="仿宋_GB2312" w:cs="仿宋_GB2312"/>
          <w:bCs/>
          <w:color w:val="000000"/>
          <w:sz w:val="32"/>
          <w:szCs w:val="32"/>
        </w:rPr>
      </w:pPr>
      <w:r>
        <w:rPr>
          <w:rFonts w:hint="eastAsia" w:ascii="仿宋_GB2312" w:eastAsia="仿宋_GB2312" w:cs="仿宋_GB2312"/>
          <w:b/>
          <w:color w:val="000000"/>
          <w:sz w:val="32"/>
          <w:szCs w:val="32"/>
        </w:rPr>
        <w:t>7.住房保障支出(221)</w:t>
      </w:r>
      <w:r>
        <w:rPr>
          <w:rFonts w:hint="eastAsia" w:ascii="仿宋_GB2312" w:eastAsia="仿宋_GB2312" w:cs="仿宋_GB2312"/>
          <w:sz w:val="32"/>
          <w:szCs w:val="32"/>
        </w:rPr>
        <w:t xml:space="preserve"> </w:t>
      </w:r>
      <w:r>
        <w:rPr>
          <w:rFonts w:hint="eastAsia" w:ascii="仿宋_GB2312" w:eastAsia="仿宋_GB2312" w:cs="仿宋_GB2312"/>
          <w:b/>
          <w:color w:val="000000"/>
          <w:sz w:val="32"/>
          <w:szCs w:val="32"/>
        </w:rPr>
        <w:t>住房改革支出(02)</w:t>
      </w:r>
      <w:r>
        <w:rPr>
          <w:rFonts w:hint="eastAsia" w:ascii="仿宋_GB2312" w:eastAsia="仿宋_GB2312" w:cs="仿宋_GB2312"/>
          <w:sz w:val="32"/>
          <w:szCs w:val="32"/>
        </w:rPr>
        <w:t xml:space="preserve"> </w:t>
      </w:r>
      <w:r>
        <w:rPr>
          <w:rFonts w:hint="eastAsia" w:ascii="仿宋_GB2312" w:eastAsia="仿宋_GB2312" w:cs="仿宋_GB2312"/>
          <w:b/>
          <w:color w:val="000000"/>
          <w:sz w:val="32"/>
          <w:szCs w:val="32"/>
        </w:rPr>
        <w:t>住房公积金(01):</w:t>
      </w:r>
      <w:r>
        <w:rPr>
          <w:rStyle w:val="28"/>
          <w:rFonts w:hint="eastAsia" w:ascii="仿宋_GB2312" w:eastAsia="仿宋_GB2312" w:cs="仿宋_GB2312"/>
          <w:b w:val="0"/>
          <w:bCs/>
          <w:color w:val="000000"/>
          <w:sz w:val="32"/>
          <w:szCs w:val="32"/>
        </w:rPr>
        <w:t xml:space="preserve"> 支出决算为</w:t>
      </w:r>
      <w:r>
        <w:rPr>
          <w:rStyle w:val="28"/>
          <w:rFonts w:hint="eastAsia" w:ascii="仿宋_GB2312" w:eastAsia="仿宋_GB2312" w:cs="仿宋_GB2312"/>
          <w:b w:val="0"/>
          <w:bCs/>
          <w:color w:val="000000"/>
          <w:sz w:val="32"/>
          <w:szCs w:val="32"/>
          <w:lang w:val="en-US" w:eastAsia="zh-CN"/>
        </w:rPr>
        <w:t>4.11</w:t>
      </w:r>
      <w:r>
        <w:rPr>
          <w:rStyle w:val="28"/>
          <w:rFonts w:hint="eastAsia" w:ascii="仿宋_GB2312" w:eastAsia="仿宋_GB2312" w:cs="仿宋_GB2312"/>
          <w:b w:val="0"/>
          <w:bCs/>
          <w:color w:val="000000"/>
          <w:sz w:val="32"/>
          <w:szCs w:val="32"/>
        </w:rPr>
        <w:t>万元，完成预算100%</w:t>
      </w:r>
      <w:r>
        <w:rPr>
          <w:rStyle w:val="28"/>
          <w:rFonts w:hint="eastAsia" w:ascii="仿宋_GB2312" w:eastAsia="仿宋_GB2312" w:cs="仿宋_GB2312"/>
          <w:b w:val="0"/>
          <w:bCs/>
          <w:color w:val="000000"/>
          <w:sz w:val="32"/>
          <w:szCs w:val="32"/>
          <w:lang w:eastAsia="zh-CN"/>
        </w:rPr>
        <w:t>，决算数与预算数持平</w:t>
      </w:r>
      <w:r>
        <w:rPr>
          <w:rStyle w:val="28"/>
          <w:rFonts w:hint="eastAsia" w:asci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ascii="仿宋_GB2312" w:eastAsia="仿宋_GB2312" w:cs="仿宋_GB2312"/>
          <w:b/>
          <w:color w:val="000000"/>
          <w:sz w:val="32"/>
          <w:szCs w:val="32"/>
        </w:rPr>
      </w:pPr>
      <w:r>
        <w:rPr>
          <w:rStyle w:val="28"/>
          <w:rFonts w:hint="eastAsia" w:ascii="仿宋_GB2312" w:eastAsia="仿宋_GB2312" w:cs="仿宋_GB2312"/>
          <w:bCs/>
          <w:color w:val="000000"/>
          <w:sz w:val="32"/>
          <w:szCs w:val="32"/>
        </w:rPr>
        <w:t>8.其他支出(229)</w:t>
      </w:r>
      <w:r>
        <w:rPr>
          <w:rFonts w:hint="eastAsia" w:ascii="仿宋_GB2312" w:eastAsia="仿宋_GB2312" w:cs="仿宋_GB2312"/>
          <w:sz w:val="32"/>
          <w:szCs w:val="32"/>
        </w:rPr>
        <w:t xml:space="preserve"> </w:t>
      </w:r>
      <w:r>
        <w:rPr>
          <w:rStyle w:val="28"/>
          <w:rFonts w:hint="eastAsia" w:ascii="仿宋_GB2312" w:eastAsia="仿宋_GB2312" w:cs="仿宋_GB2312"/>
          <w:bCs/>
          <w:color w:val="000000"/>
          <w:sz w:val="32"/>
          <w:szCs w:val="32"/>
        </w:rPr>
        <w:t>其他支出(99)</w:t>
      </w:r>
      <w:r>
        <w:rPr>
          <w:rFonts w:hint="eastAsia" w:ascii="仿宋_GB2312" w:eastAsia="仿宋_GB2312" w:cs="仿宋_GB2312"/>
          <w:sz w:val="32"/>
          <w:szCs w:val="32"/>
        </w:rPr>
        <w:t xml:space="preserve"> </w:t>
      </w:r>
      <w:r>
        <w:rPr>
          <w:rStyle w:val="28"/>
          <w:rFonts w:hint="eastAsia" w:ascii="仿宋_GB2312" w:eastAsia="仿宋_GB2312" w:cs="仿宋_GB2312"/>
          <w:bCs/>
          <w:color w:val="000000"/>
          <w:sz w:val="32"/>
          <w:szCs w:val="32"/>
        </w:rPr>
        <w:t>其他支出(01):</w:t>
      </w:r>
      <w:r>
        <w:rPr>
          <w:rStyle w:val="28"/>
          <w:rFonts w:hint="eastAsia" w:ascii="仿宋_GB2312" w:eastAsia="仿宋_GB2312" w:cs="仿宋_GB2312"/>
          <w:b w:val="0"/>
          <w:bCs/>
          <w:color w:val="000000"/>
          <w:sz w:val="32"/>
          <w:szCs w:val="32"/>
        </w:rPr>
        <w:t xml:space="preserve"> 支出决算为</w:t>
      </w:r>
      <w:r>
        <w:rPr>
          <w:rStyle w:val="28"/>
          <w:rFonts w:hint="eastAsia" w:ascii="仿宋_GB2312" w:eastAsia="仿宋_GB2312" w:cs="仿宋_GB2312"/>
          <w:b w:val="0"/>
          <w:bCs/>
          <w:color w:val="000000"/>
          <w:sz w:val="32"/>
          <w:szCs w:val="32"/>
          <w:lang w:val="en-US" w:eastAsia="zh-CN"/>
        </w:rPr>
        <w:t>0.8</w:t>
      </w:r>
      <w:r>
        <w:rPr>
          <w:rStyle w:val="28"/>
          <w:rFonts w:hint="eastAsia" w:ascii="仿宋_GB2312" w:eastAsia="仿宋_GB2312" w:cs="仿宋_GB2312"/>
          <w:b w:val="0"/>
          <w:bCs/>
          <w:color w:val="000000"/>
          <w:sz w:val="32"/>
          <w:szCs w:val="32"/>
        </w:rPr>
        <w:t>万元，完成预算100%</w:t>
      </w:r>
      <w:r>
        <w:rPr>
          <w:rStyle w:val="28"/>
          <w:rFonts w:hint="eastAsia" w:ascii="仿宋_GB2312" w:eastAsia="仿宋_GB2312" w:cs="仿宋_GB2312"/>
          <w:b w:val="0"/>
          <w:bCs/>
          <w:color w:val="000000"/>
          <w:sz w:val="32"/>
          <w:szCs w:val="32"/>
          <w:lang w:eastAsia="zh-CN"/>
        </w:rPr>
        <w:t>，决算数与预算数持平</w:t>
      </w:r>
      <w:r>
        <w:rPr>
          <w:rStyle w:val="28"/>
          <w:rFonts w:hint="eastAsia" w:ascii="仿宋_GB2312" w:eastAsia="仿宋_GB2312" w:cs="仿宋_GB2312"/>
          <w:b w:val="0"/>
          <w:bCs/>
          <w:color w:val="000000"/>
          <w:sz w:val="32"/>
          <w:szCs w:val="32"/>
        </w:rPr>
        <w:t>。</w:t>
      </w:r>
    </w:p>
    <w:p>
      <w:pPr>
        <w:tabs>
          <w:tab w:val="right" w:pos="8306"/>
        </w:tabs>
        <w:spacing w:line="576" w:lineRule="exact"/>
        <w:ind w:firstLine="640"/>
        <w:outlineLvl w:val="1"/>
        <w:rPr>
          <w:rStyle w:val="31"/>
        </w:rPr>
      </w:pPr>
      <w:bookmarkStart w:id="70" w:name="_Toc79163868"/>
      <w:bookmarkStart w:id="71" w:name="_Toc79163618"/>
      <w:bookmarkStart w:id="72" w:name="_Toc15377214"/>
      <w:bookmarkStart w:id="73" w:name="_Toc15396608"/>
      <w:bookmarkStart w:id="74" w:name="_Toc14511"/>
      <w:r>
        <w:rPr>
          <w:rFonts w:hint="eastAsia" w:ascii="黑体" w:eastAsia="黑体"/>
          <w:color w:val="000000"/>
          <w:sz w:val="32"/>
          <w:szCs w:val="32"/>
        </w:rPr>
        <w:t>六</w:t>
      </w:r>
      <w:r>
        <w:rPr>
          <w:rFonts w:hint="eastAsia" w:ascii="黑体" w:eastAsia="黑体"/>
          <w:b/>
          <w:color w:val="000000"/>
          <w:sz w:val="32"/>
          <w:szCs w:val="32"/>
        </w:rPr>
        <w:t>、一</w:t>
      </w:r>
      <w:r>
        <w:rPr>
          <w:rStyle w:val="31"/>
          <w:rFonts w:hint="eastAsia" w:ascii="黑体" w:eastAsia="黑体"/>
          <w:b w:val="0"/>
        </w:rPr>
        <w:t>般公共预算财政拨款基本支出决算情况说明</w:t>
      </w:r>
      <w:bookmarkEnd w:id="70"/>
      <w:bookmarkEnd w:id="71"/>
      <w:bookmarkEnd w:id="72"/>
      <w:bookmarkEnd w:id="73"/>
      <w:bookmarkEnd w:id="74"/>
      <w:r>
        <w:rPr>
          <w:rStyle w:val="31"/>
          <w:rFonts w:ascii="黑体" w:eastAsia="黑体"/>
          <w:b w:val="0"/>
        </w:rPr>
        <w:tab/>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w:t>
      </w:r>
      <w:r>
        <w:rPr>
          <w:rFonts w:hint="eastAsia" w:ascii="仿宋_GB2312" w:eastAsia="仿宋_GB2312" w:cs="仿宋_GB2312"/>
          <w:bCs/>
          <w:color w:val="000000"/>
          <w:kern w:val="0"/>
          <w:sz w:val="32"/>
          <w:szCs w:val="32"/>
          <w:lang w:val="en-US" w:eastAsia="zh-CN"/>
        </w:rPr>
        <w:t>3</w:t>
      </w:r>
      <w:r>
        <w:rPr>
          <w:rFonts w:hint="eastAsia" w:ascii="仿宋_GB2312" w:eastAsia="仿宋_GB2312" w:cs="仿宋_GB2312"/>
          <w:bCs/>
          <w:color w:val="000000"/>
          <w:kern w:val="0"/>
          <w:sz w:val="32"/>
          <w:szCs w:val="32"/>
          <w:lang w:val="zh-CN"/>
        </w:rPr>
        <w:t>年一般公共预算财政拨款基本支出</w:t>
      </w:r>
      <w:r>
        <w:rPr>
          <w:rFonts w:hint="eastAsia" w:ascii="仿宋_GB2312" w:eastAsia="仿宋_GB2312" w:cs="仿宋_GB2312"/>
          <w:bCs/>
          <w:color w:val="000000"/>
          <w:kern w:val="0"/>
          <w:sz w:val="32"/>
          <w:szCs w:val="32"/>
          <w:lang w:val="en-US" w:eastAsia="zh-CN"/>
        </w:rPr>
        <w:t>71.61</w:t>
      </w:r>
      <w:r>
        <w:rPr>
          <w:rFonts w:hint="eastAsia" w:ascii="仿宋_GB2312" w:eastAsia="仿宋_GB2312" w:cs="仿宋_GB2312"/>
          <w:bCs/>
          <w:color w:val="000000"/>
          <w:kern w:val="0"/>
          <w:sz w:val="32"/>
          <w:szCs w:val="32"/>
          <w:lang w:val="zh-CN"/>
        </w:rPr>
        <w:t>万元，其中：</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人员经费</w:t>
      </w:r>
      <w:r>
        <w:rPr>
          <w:rFonts w:hint="eastAsia" w:ascii="仿宋_GB2312" w:eastAsia="仿宋_GB2312" w:cs="仿宋_GB2312"/>
          <w:bCs/>
          <w:color w:val="000000"/>
          <w:kern w:val="0"/>
          <w:sz w:val="32"/>
          <w:szCs w:val="32"/>
          <w:lang w:val="en-US" w:eastAsia="zh-CN"/>
        </w:rPr>
        <w:t>69.90</w:t>
      </w:r>
      <w:r>
        <w:rPr>
          <w:rFonts w:hint="eastAsia" w:ascii="仿宋_GB2312" w:eastAsia="仿宋_GB2312" w:cs="仿宋_GB2312"/>
          <w:bCs/>
          <w:color w:val="000000"/>
          <w:kern w:val="0"/>
          <w:sz w:val="32"/>
          <w:szCs w:val="32"/>
          <w:lang w:val="zh-CN"/>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日常公用经费1.</w:t>
      </w:r>
      <w:r>
        <w:rPr>
          <w:rFonts w:hint="eastAsia" w:ascii="仿宋_GB2312" w:eastAsia="仿宋_GB2312" w:cs="仿宋_GB2312"/>
          <w:bCs/>
          <w:color w:val="000000"/>
          <w:kern w:val="0"/>
          <w:sz w:val="32"/>
          <w:szCs w:val="32"/>
          <w:lang w:val="en-US" w:eastAsia="zh-CN"/>
        </w:rPr>
        <w:t>71</w:t>
      </w:r>
      <w:r>
        <w:rPr>
          <w:rFonts w:hint="eastAsia" w:ascii="仿宋_GB2312" w:eastAsia="仿宋_GB2312" w:cs="仿宋_GB2312"/>
          <w:bCs/>
          <w:color w:val="000000"/>
          <w:kern w:val="0"/>
          <w:sz w:val="32"/>
          <w:szCs w:val="32"/>
          <w:lang w:val="zh-CN"/>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576" w:lineRule="exact"/>
        <w:ind w:firstLine="640"/>
        <w:outlineLvl w:val="1"/>
        <w:rPr>
          <w:rStyle w:val="31"/>
          <w:rFonts w:ascii="黑体" w:eastAsia="黑体"/>
          <w:b w:val="0"/>
        </w:rPr>
      </w:pPr>
      <w:bookmarkStart w:id="75" w:name="_Toc79163619"/>
      <w:bookmarkStart w:id="76" w:name="_Toc79163869"/>
      <w:bookmarkStart w:id="77" w:name="_Toc15396609"/>
      <w:bookmarkStart w:id="78" w:name="_Toc15377215"/>
      <w:bookmarkStart w:id="79" w:name="_Toc29537"/>
      <w:r>
        <w:rPr>
          <w:rFonts w:hint="eastAsia" w:ascii="黑体" w:eastAsia="黑体"/>
          <w:color w:val="000000"/>
          <w:sz w:val="32"/>
          <w:szCs w:val="32"/>
        </w:rPr>
        <w:t>七、</w:t>
      </w:r>
      <w:r>
        <w:rPr>
          <w:rStyle w:val="31"/>
          <w:rFonts w:hint="eastAsia" w:ascii="黑体" w:eastAsia="黑体"/>
        </w:rPr>
        <w:t>“</w:t>
      </w:r>
      <w:r>
        <w:rPr>
          <w:rStyle w:val="31"/>
          <w:rFonts w:hint="eastAsia" w:ascii="黑体" w:eastAsia="黑体"/>
          <w:b w:val="0"/>
        </w:rPr>
        <w:t>三公”经费财政拨款支出决算情况说明</w:t>
      </w:r>
      <w:bookmarkEnd w:id="75"/>
      <w:bookmarkEnd w:id="76"/>
      <w:bookmarkEnd w:id="77"/>
      <w:bookmarkEnd w:id="78"/>
      <w:bookmarkEnd w:id="79"/>
    </w:p>
    <w:p>
      <w:pPr>
        <w:spacing w:line="576" w:lineRule="exact"/>
        <w:ind w:firstLine="640"/>
        <w:outlineLvl w:val="2"/>
        <w:rPr>
          <w:rFonts w:ascii="楷体_GB2312" w:eastAsia="楷体_GB2312" w:cs="楷体_GB2312"/>
          <w:b/>
          <w:color w:val="000000"/>
          <w:sz w:val="32"/>
          <w:szCs w:val="32"/>
        </w:rPr>
      </w:pPr>
      <w:bookmarkStart w:id="80" w:name="_Toc15377216"/>
      <w:bookmarkStart w:id="81" w:name="_Toc79163870"/>
      <w:bookmarkStart w:id="82" w:name="_Toc79163620"/>
      <w:bookmarkStart w:id="83" w:name="_Toc6574"/>
      <w:r>
        <w:rPr>
          <w:rFonts w:hint="eastAsia" w:ascii="楷体_GB2312" w:eastAsia="楷体_GB2312" w:cs="楷体_GB2312"/>
          <w:b/>
          <w:color w:val="000000"/>
          <w:sz w:val="32"/>
          <w:szCs w:val="32"/>
        </w:rPr>
        <w:t>（一）“三公”经费财政拨款支出决算总体情况说明</w:t>
      </w:r>
      <w:bookmarkEnd w:id="80"/>
      <w:bookmarkEnd w:id="81"/>
      <w:bookmarkEnd w:id="82"/>
      <w:bookmarkEnd w:id="83"/>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w:t>
      </w:r>
      <w:r>
        <w:rPr>
          <w:rFonts w:hint="eastAsia" w:ascii="仿宋_GB2312" w:eastAsia="仿宋_GB2312" w:cs="仿宋_GB2312"/>
          <w:bCs/>
          <w:color w:val="000000"/>
          <w:kern w:val="0"/>
          <w:sz w:val="32"/>
          <w:szCs w:val="32"/>
          <w:lang w:val="en-US" w:eastAsia="zh-CN"/>
        </w:rPr>
        <w:t>3</w:t>
      </w:r>
      <w:r>
        <w:rPr>
          <w:rFonts w:hint="eastAsia" w:ascii="仿宋_GB2312" w:eastAsia="仿宋_GB2312" w:cs="仿宋_GB2312"/>
          <w:bCs/>
          <w:color w:val="000000"/>
          <w:kern w:val="0"/>
          <w:sz w:val="32"/>
          <w:szCs w:val="32"/>
          <w:lang w:val="zh-CN"/>
        </w:rPr>
        <w:t>年“三公”经费财政拨款支出决算为0万元。与上年相比，无变化。</w:t>
      </w:r>
    </w:p>
    <w:p>
      <w:pPr>
        <w:spacing w:line="576" w:lineRule="exact"/>
        <w:ind w:firstLine="640"/>
        <w:outlineLvl w:val="2"/>
        <w:rPr>
          <w:rFonts w:ascii="楷体_GB2312" w:eastAsia="楷体_GB2312" w:cs="楷体_GB2312"/>
          <w:b/>
          <w:color w:val="000000"/>
          <w:sz w:val="32"/>
          <w:szCs w:val="32"/>
        </w:rPr>
      </w:pPr>
      <w:bookmarkStart w:id="84" w:name="_Toc79163621"/>
      <w:bookmarkStart w:id="85" w:name="_Toc15377217"/>
      <w:bookmarkStart w:id="86" w:name="_Toc79163871"/>
      <w:bookmarkStart w:id="87" w:name="_Toc6536"/>
      <w:r>
        <w:rPr>
          <w:rFonts w:hint="eastAsia" w:ascii="楷体_GB2312" w:eastAsia="楷体_GB2312" w:cs="楷体_GB2312"/>
          <w:b/>
          <w:color w:val="000000"/>
          <w:sz w:val="32"/>
          <w:szCs w:val="32"/>
        </w:rPr>
        <w:t>（二）“三公”经费财政拨款支出决算具体情况说明</w:t>
      </w:r>
      <w:bookmarkEnd w:id="84"/>
      <w:bookmarkEnd w:id="85"/>
      <w:bookmarkEnd w:id="86"/>
      <w:bookmarkEnd w:id="87"/>
    </w:p>
    <w:p>
      <w:pPr>
        <w:pageBreakBefore w:val="0"/>
        <w:widowControl/>
        <w:kinsoku/>
        <w:wordWrap/>
        <w:overflowPunct/>
        <w:topLinePunct w:val="0"/>
        <w:autoSpaceDE/>
        <w:autoSpaceDN/>
        <w:bidi w:val="0"/>
        <w:adjustRightInd w:val="0"/>
        <w:snapToGrid w:val="0"/>
        <w:spacing w:line="576" w:lineRule="atLeast"/>
        <w:ind w:firstLine="640" w:firstLineChars="200"/>
        <w:textAlignment w:val="auto"/>
        <w:outlineLvl w:val="9"/>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w:t>
      </w:r>
      <w:r>
        <w:rPr>
          <w:rFonts w:hint="eastAsia" w:ascii="仿宋_GB2312" w:eastAsia="仿宋_GB2312" w:cs="仿宋_GB2312"/>
          <w:bCs/>
          <w:color w:val="000000"/>
          <w:kern w:val="0"/>
          <w:sz w:val="32"/>
          <w:szCs w:val="32"/>
          <w:lang w:val="en-US" w:eastAsia="zh-CN"/>
        </w:rPr>
        <w:t>3</w:t>
      </w:r>
      <w:r>
        <w:rPr>
          <w:rFonts w:hint="eastAsia" w:ascii="仿宋_GB2312" w:eastAsia="仿宋_GB2312" w:cs="仿宋_GB2312"/>
          <w:bCs/>
          <w:color w:val="000000"/>
          <w:kern w:val="0"/>
          <w:sz w:val="32"/>
          <w:szCs w:val="32"/>
          <w:lang w:val="zh-CN"/>
        </w:rPr>
        <w:t>年“三公”经费财政拨款支出决算中，因公出国（境）费支出决算0万元，与上年相比，无变化；公务用车购置及运行维护费支出决算0万元，与上年相比，无变化；公务接待费支出决算0万元，与上年相比，无变化。具体情况如下：</w:t>
      </w:r>
    </w:p>
    <w:p>
      <w:pPr>
        <w:keepNext w:val="0"/>
        <w:keepLines w:val="0"/>
        <w:pageBreakBefore w:val="0"/>
        <w:kinsoku/>
        <w:wordWrap/>
        <w:overflowPunct/>
        <w:topLinePunct w:val="0"/>
        <w:autoSpaceDE/>
        <w:autoSpaceDN/>
        <w:bidi w:val="0"/>
        <w:spacing w:line="576" w:lineRule="exact"/>
        <w:ind w:firstLine="643"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
          <w:color w:val="000000"/>
          <w:sz w:val="32"/>
          <w:szCs w:val="32"/>
        </w:rPr>
        <w:t>1.因公出国（境）经费支出</w:t>
      </w:r>
      <w:r>
        <w:rPr>
          <w:rFonts w:hint="eastAsia" w:ascii="仿宋_GB2312" w:eastAsia="仿宋_GB2312" w:cs="仿宋_GB2312"/>
          <w:bCs/>
          <w:color w:val="000000"/>
          <w:kern w:val="0"/>
          <w:sz w:val="32"/>
          <w:szCs w:val="32"/>
          <w:lang w:val="zh-CN"/>
        </w:rPr>
        <w:t>0万元。全年安排因公出国（境）团组0次，出国（境）0人，与上年相比，无变化。</w:t>
      </w:r>
    </w:p>
    <w:p>
      <w:pPr>
        <w:keepNext w:val="0"/>
        <w:keepLines w:val="0"/>
        <w:pageBreakBefore w:val="0"/>
        <w:kinsoku/>
        <w:wordWrap/>
        <w:overflowPunct/>
        <w:topLinePunct w:val="0"/>
        <w:autoSpaceDE/>
        <w:autoSpaceDN/>
        <w:bidi w:val="0"/>
        <w:spacing w:line="576" w:lineRule="exact"/>
        <w:ind w:firstLine="640"/>
        <w:textAlignment w:val="auto"/>
        <w:rPr>
          <w:rFonts w:ascii="仿宋_GB2312" w:eastAsia="仿宋_GB2312" w:cs="仿宋_GB2312"/>
          <w:b/>
          <w:color w:val="000000"/>
          <w:sz w:val="32"/>
          <w:szCs w:val="32"/>
        </w:rPr>
      </w:pPr>
      <w:r>
        <w:rPr>
          <w:rFonts w:hint="eastAsia" w:ascii="仿宋_GB2312" w:eastAsia="仿宋_GB2312" w:cs="仿宋_GB2312"/>
          <w:b/>
          <w:color w:val="000000"/>
          <w:sz w:val="32"/>
          <w:szCs w:val="32"/>
        </w:rPr>
        <w:t>2.公务用车购置及运行维护费支出</w:t>
      </w:r>
      <w:r>
        <w:rPr>
          <w:rFonts w:hint="eastAsia" w:ascii="仿宋_GB2312" w:eastAsia="仿宋_GB2312" w:cs="仿宋_GB2312"/>
          <w:color w:val="000000"/>
          <w:sz w:val="32"/>
          <w:szCs w:val="32"/>
        </w:rPr>
        <w:t>0万元</w:t>
      </w:r>
      <w:r>
        <w:rPr>
          <w:rFonts w:hint="eastAsia" w:ascii="仿宋_GB2312" w:eastAsia="仿宋_GB2312" w:cs="仿宋_GB2312"/>
          <w:color w:val="000000"/>
          <w:sz w:val="32"/>
          <w:szCs w:val="32"/>
          <w:lang w:eastAsia="zh-CN"/>
        </w:rPr>
        <w:t>。</w:t>
      </w:r>
      <w:r>
        <w:rPr>
          <w:rFonts w:hint="eastAsia" w:ascii="仿宋_GB2312" w:eastAsia="仿宋_GB2312" w:cs="仿宋_GB2312"/>
          <w:bCs/>
          <w:color w:val="000000"/>
          <w:kern w:val="0"/>
          <w:sz w:val="32"/>
          <w:szCs w:val="32"/>
          <w:lang w:val="zh-CN"/>
        </w:rPr>
        <w:t>与上年相比，无变化</w:t>
      </w:r>
      <w:r>
        <w:rPr>
          <w:rStyle w:val="28"/>
          <w:rFonts w:hint="eastAsia" w:ascii="仿宋_GB2312" w:eastAsia="仿宋_GB2312" w:cs="仿宋_GB2312"/>
          <w:b w:val="0"/>
          <w:bCs/>
          <w:color w:val="000000"/>
          <w:sz w:val="32"/>
          <w:szCs w:val="32"/>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cs="仿宋_GB2312"/>
          <w:color w:val="000000"/>
          <w:sz w:val="32"/>
          <w:szCs w:val="32"/>
        </w:rPr>
      </w:pPr>
      <w:r>
        <w:rPr>
          <w:rFonts w:hint="eastAsia" w:ascii="仿宋_GB2312" w:eastAsia="仿宋_GB2312" w:cs="仿宋_GB2312"/>
          <w:color w:val="000000"/>
          <w:sz w:val="32"/>
          <w:szCs w:val="32"/>
        </w:rPr>
        <w:t>其中：</w:t>
      </w:r>
      <w:r>
        <w:rPr>
          <w:rFonts w:hint="eastAsia" w:ascii="仿宋_GB2312" w:eastAsia="仿宋_GB2312" w:cs="仿宋_GB2312"/>
          <w:b/>
          <w:color w:val="000000"/>
          <w:sz w:val="32"/>
          <w:szCs w:val="32"/>
        </w:rPr>
        <w:t>公务用车购置支出</w:t>
      </w:r>
      <w:r>
        <w:rPr>
          <w:rFonts w:hint="eastAsia" w:ascii="仿宋_GB2312" w:eastAsia="仿宋_GB2312" w:cs="仿宋_GB2312"/>
          <w:color w:val="000000"/>
          <w:sz w:val="32"/>
          <w:szCs w:val="32"/>
        </w:rPr>
        <w:t>0万元。截至202</w:t>
      </w:r>
      <w:r>
        <w:rPr>
          <w:rFonts w:hint="eastAsia" w:ascii="仿宋_GB2312" w:eastAsia="仿宋_GB2312" w:cs="仿宋_GB2312"/>
          <w:bCs/>
          <w:color w:val="000000"/>
          <w:kern w:val="0"/>
          <w:sz w:val="32"/>
          <w:szCs w:val="32"/>
          <w:lang w:val="en-US" w:eastAsia="zh-CN"/>
        </w:rPr>
        <w:t>3</w:t>
      </w:r>
      <w:r>
        <w:rPr>
          <w:rFonts w:hint="eastAsia" w:ascii="仿宋_GB2312" w:eastAsia="仿宋_GB2312" w:cs="仿宋_GB2312"/>
          <w:color w:val="000000"/>
          <w:sz w:val="32"/>
          <w:szCs w:val="32"/>
        </w:rPr>
        <w:t>年12月底，单位共有公务用车0辆。</w:t>
      </w:r>
      <w:r>
        <w:rPr>
          <w:rFonts w:hint="eastAsia" w:ascii="仿宋_GB2312" w:eastAsia="仿宋_GB2312" w:cs="仿宋_GB2312"/>
          <w:bCs/>
          <w:color w:val="000000"/>
          <w:kern w:val="0"/>
          <w:sz w:val="32"/>
          <w:szCs w:val="32"/>
          <w:lang w:val="zh-CN"/>
        </w:rPr>
        <w:t>与上年相比，无变化。</w:t>
      </w:r>
    </w:p>
    <w:p>
      <w:pPr>
        <w:keepNext w:val="0"/>
        <w:keepLines w:val="0"/>
        <w:pageBreakBefore w:val="0"/>
        <w:kinsoku/>
        <w:wordWrap/>
        <w:overflowPunct/>
        <w:topLinePunct w:val="0"/>
        <w:autoSpaceDE/>
        <w:autoSpaceDN/>
        <w:bidi w:val="0"/>
        <w:spacing w:line="576" w:lineRule="exact"/>
        <w:ind w:firstLine="640"/>
        <w:textAlignment w:val="auto"/>
        <w:rPr>
          <w:rFonts w:ascii="仿宋_GB2312" w:eastAsia="仿宋_GB2312" w:cs="仿宋_GB2312"/>
          <w:color w:val="000000"/>
          <w:sz w:val="32"/>
          <w:szCs w:val="32"/>
        </w:rPr>
      </w:pPr>
      <w:r>
        <w:rPr>
          <w:rFonts w:hint="eastAsia" w:ascii="仿宋_GB2312" w:eastAsia="仿宋_GB2312" w:cs="仿宋_GB2312"/>
          <w:b/>
          <w:color w:val="000000"/>
          <w:sz w:val="32"/>
          <w:szCs w:val="32"/>
        </w:rPr>
        <w:t>公务用车运行维护费支出</w:t>
      </w:r>
      <w:r>
        <w:rPr>
          <w:rFonts w:hint="eastAsia" w:ascii="仿宋_GB2312" w:eastAsia="仿宋_GB2312" w:cs="仿宋_GB2312"/>
          <w:color w:val="000000"/>
          <w:sz w:val="32"/>
          <w:szCs w:val="32"/>
        </w:rPr>
        <w:t>0万元</w:t>
      </w:r>
      <w:r>
        <w:rPr>
          <w:rFonts w:hint="eastAsia" w:ascii="仿宋_GB2312" w:eastAsia="仿宋_GB2312" w:cs="仿宋_GB2312"/>
          <w:color w:val="000000"/>
          <w:sz w:val="32"/>
          <w:szCs w:val="32"/>
          <w:lang w:eastAsia="zh-CN"/>
        </w:rPr>
        <w:t>。</w:t>
      </w:r>
      <w:r>
        <w:rPr>
          <w:rFonts w:hint="eastAsia" w:ascii="仿宋_GB2312" w:eastAsia="仿宋_GB2312" w:cs="仿宋_GB2312"/>
          <w:bCs/>
          <w:color w:val="000000"/>
          <w:kern w:val="0"/>
          <w:sz w:val="32"/>
          <w:szCs w:val="32"/>
          <w:lang w:val="zh-CN"/>
        </w:rPr>
        <w:t>与上年相比，无变化</w:t>
      </w:r>
      <w:r>
        <w:rPr>
          <w:rFonts w:hint="eastAsia" w:ascii="仿宋_GB2312" w:eastAsia="仿宋_GB2312" w:cs="仿宋_GB2312"/>
          <w:color w:val="000000"/>
          <w:sz w:val="32"/>
          <w:szCs w:val="32"/>
        </w:rPr>
        <w:t>。</w:t>
      </w:r>
    </w:p>
    <w:p>
      <w:pPr>
        <w:keepNext w:val="0"/>
        <w:keepLines w:val="0"/>
        <w:pageBreakBefore w:val="0"/>
        <w:kinsoku/>
        <w:wordWrap/>
        <w:overflowPunct/>
        <w:topLinePunct w:val="0"/>
        <w:autoSpaceDE/>
        <w:autoSpaceDN/>
        <w:bidi w:val="0"/>
        <w:spacing w:line="576" w:lineRule="exact"/>
        <w:ind w:firstLine="640"/>
        <w:textAlignment w:val="auto"/>
        <w:rPr>
          <w:rFonts w:ascii="仿宋_GB2312" w:eastAsia="仿宋_GB2312" w:cs="仿宋_GB2312"/>
          <w:color w:val="000000"/>
          <w:sz w:val="32"/>
          <w:szCs w:val="32"/>
        </w:rPr>
      </w:pPr>
      <w:r>
        <w:rPr>
          <w:rFonts w:hint="eastAsia" w:ascii="仿宋_GB2312" w:eastAsia="仿宋_GB2312" w:cs="仿宋_GB2312"/>
          <w:b/>
          <w:color w:val="000000"/>
          <w:sz w:val="32"/>
          <w:szCs w:val="32"/>
        </w:rPr>
        <w:t>3.公务接待费支出</w:t>
      </w:r>
      <w:r>
        <w:rPr>
          <w:rFonts w:hint="eastAsia" w:ascii="仿宋_GB2312" w:eastAsia="仿宋_GB2312" w:cs="仿宋_GB2312"/>
          <w:color w:val="000000"/>
          <w:sz w:val="32"/>
          <w:szCs w:val="32"/>
        </w:rPr>
        <w:t>0万元</w:t>
      </w:r>
      <w:r>
        <w:rPr>
          <w:rFonts w:hint="eastAsia" w:ascii="仿宋_GB2312" w:eastAsia="仿宋_GB2312" w:cs="仿宋_GB2312"/>
          <w:color w:val="000000"/>
          <w:sz w:val="32"/>
          <w:szCs w:val="32"/>
          <w:lang w:eastAsia="zh-CN"/>
        </w:rPr>
        <w:t>。</w:t>
      </w:r>
      <w:r>
        <w:rPr>
          <w:rFonts w:hint="eastAsia" w:ascii="仿宋_GB2312" w:eastAsia="仿宋_GB2312" w:cs="仿宋_GB2312"/>
          <w:bCs/>
          <w:color w:val="000000"/>
          <w:kern w:val="0"/>
          <w:sz w:val="32"/>
          <w:szCs w:val="32"/>
          <w:lang w:val="zh-CN"/>
        </w:rPr>
        <w:t>与上年相比，无变化</w:t>
      </w:r>
      <w:r>
        <w:rPr>
          <w:rStyle w:val="28"/>
          <w:rFonts w:hint="eastAsia" w:ascii="仿宋_GB2312" w:eastAsia="仿宋_GB2312" w:cs="仿宋_GB2312"/>
          <w:b w:val="0"/>
          <w:bCs/>
          <w:color w:val="000000"/>
          <w:sz w:val="32"/>
          <w:szCs w:val="32"/>
        </w:rPr>
        <w:t>。</w:t>
      </w:r>
    </w:p>
    <w:p>
      <w:pPr>
        <w:keepNext w:val="0"/>
        <w:keepLines w:val="0"/>
        <w:pageBreakBefore w:val="0"/>
        <w:kinsoku/>
        <w:wordWrap/>
        <w:overflowPunct/>
        <w:topLinePunct w:val="0"/>
        <w:autoSpaceDE/>
        <w:autoSpaceDN/>
        <w:bidi w:val="0"/>
        <w:spacing w:line="576" w:lineRule="exact"/>
        <w:ind w:firstLine="640"/>
        <w:textAlignment w:val="auto"/>
        <w:rPr>
          <w:rFonts w:ascii="仿宋_GB2312" w:eastAsia="仿宋_GB2312" w:cs="仿宋_GB2312"/>
          <w:color w:val="000000"/>
          <w:sz w:val="32"/>
          <w:szCs w:val="32"/>
        </w:rPr>
      </w:pPr>
      <w:r>
        <w:rPr>
          <w:rFonts w:hint="eastAsia" w:ascii="仿宋_GB2312" w:eastAsia="仿宋_GB2312" w:cs="仿宋_GB2312"/>
          <w:b/>
          <w:color w:val="000000"/>
          <w:sz w:val="32"/>
          <w:szCs w:val="32"/>
        </w:rPr>
        <w:t>国内公务接待支出</w:t>
      </w:r>
      <w:r>
        <w:rPr>
          <w:rFonts w:hint="eastAsia" w:ascii="仿宋_GB2312" w:eastAsia="仿宋_GB2312" w:cs="仿宋_GB2312"/>
          <w:color w:val="000000"/>
          <w:sz w:val="32"/>
          <w:szCs w:val="32"/>
        </w:rPr>
        <w:t>0万元</w:t>
      </w:r>
      <w:r>
        <w:rPr>
          <w:rFonts w:hint="eastAsia" w:ascii="仿宋_GB2312" w:eastAsia="仿宋_GB2312" w:cs="仿宋_GB2312"/>
          <w:color w:val="000000"/>
          <w:sz w:val="32"/>
          <w:szCs w:val="32"/>
          <w:lang w:eastAsia="zh-CN"/>
        </w:rPr>
        <w:t>。</w:t>
      </w:r>
      <w:r>
        <w:rPr>
          <w:rFonts w:hint="eastAsia" w:ascii="仿宋_GB2312" w:eastAsia="仿宋_GB2312" w:cs="仿宋_GB2312"/>
          <w:bCs/>
          <w:color w:val="000000"/>
          <w:kern w:val="0"/>
          <w:sz w:val="32"/>
          <w:szCs w:val="32"/>
          <w:lang w:val="zh-CN"/>
        </w:rPr>
        <w:t>与上年相比，无变化</w:t>
      </w:r>
      <w:r>
        <w:rPr>
          <w:rFonts w:hint="eastAsia" w:ascii="仿宋_GB2312" w:eastAsia="仿宋_GB2312" w:cs="仿宋_GB2312"/>
          <w:color w:val="000000"/>
          <w:sz w:val="32"/>
          <w:szCs w:val="32"/>
        </w:rPr>
        <w:t>。</w:t>
      </w:r>
    </w:p>
    <w:p>
      <w:pPr>
        <w:keepNext w:val="0"/>
        <w:keepLines w:val="0"/>
        <w:pageBreakBefore w:val="0"/>
        <w:kinsoku/>
        <w:wordWrap/>
        <w:overflowPunct/>
        <w:topLinePunct w:val="0"/>
        <w:autoSpaceDE/>
        <w:autoSpaceDN/>
        <w:bidi w:val="0"/>
        <w:spacing w:line="576" w:lineRule="exact"/>
        <w:ind w:firstLine="643" w:firstLineChars="200"/>
        <w:textAlignment w:val="auto"/>
        <w:rPr>
          <w:rFonts w:ascii="仿宋_GB2312" w:eastAsia="仿宋_GB2312" w:cs="仿宋_GB2312"/>
          <w:color w:val="000000"/>
          <w:sz w:val="32"/>
          <w:szCs w:val="32"/>
        </w:rPr>
      </w:pPr>
      <w:r>
        <w:rPr>
          <w:rFonts w:hint="eastAsia" w:ascii="仿宋_GB2312" w:eastAsia="仿宋_GB2312" w:cs="仿宋_GB2312"/>
          <w:b/>
          <w:color w:val="000000"/>
          <w:sz w:val="32"/>
          <w:szCs w:val="32"/>
        </w:rPr>
        <w:t>外事接待支出</w:t>
      </w:r>
      <w:r>
        <w:rPr>
          <w:rFonts w:hint="eastAsia" w:ascii="仿宋_GB2312" w:eastAsia="仿宋_GB2312" w:cs="仿宋_GB2312"/>
          <w:color w:val="000000"/>
          <w:sz w:val="32"/>
          <w:szCs w:val="32"/>
        </w:rPr>
        <w:t>0万元</w:t>
      </w:r>
      <w:r>
        <w:rPr>
          <w:rFonts w:hint="eastAsia" w:ascii="仿宋_GB2312" w:eastAsia="仿宋_GB2312" w:cs="仿宋_GB2312"/>
          <w:color w:val="000000"/>
          <w:sz w:val="32"/>
          <w:szCs w:val="32"/>
          <w:lang w:eastAsia="zh-CN"/>
        </w:rPr>
        <w:t>。</w:t>
      </w:r>
      <w:r>
        <w:rPr>
          <w:rFonts w:hint="eastAsia" w:ascii="仿宋_GB2312" w:eastAsia="仿宋_GB2312" w:cs="仿宋_GB2312"/>
          <w:bCs/>
          <w:color w:val="000000"/>
          <w:kern w:val="0"/>
          <w:sz w:val="32"/>
          <w:szCs w:val="32"/>
          <w:lang w:val="zh-CN"/>
        </w:rPr>
        <w:t>与上年相比，无变化</w:t>
      </w:r>
      <w:r>
        <w:rPr>
          <w:rFonts w:hint="eastAsia" w:ascii="仿宋_GB2312" w:eastAsia="仿宋_GB2312" w:cs="仿宋_GB2312"/>
          <w:color w:val="000000"/>
          <w:sz w:val="32"/>
          <w:szCs w:val="32"/>
        </w:rPr>
        <w:t>。</w:t>
      </w:r>
      <w:bookmarkStart w:id="88" w:name="_Toc15377218"/>
      <w:bookmarkStart w:id="89" w:name="_Toc15396610"/>
    </w:p>
    <w:p>
      <w:pPr>
        <w:keepNext w:val="0"/>
        <w:keepLines w:val="0"/>
        <w:pageBreakBefore w:val="0"/>
        <w:kinsoku/>
        <w:wordWrap/>
        <w:overflowPunct/>
        <w:topLinePunct w:val="0"/>
        <w:autoSpaceDE/>
        <w:autoSpaceDN/>
        <w:bidi w:val="0"/>
        <w:spacing w:line="576" w:lineRule="exact"/>
        <w:ind w:firstLine="640" w:firstLineChars="200"/>
        <w:textAlignment w:val="auto"/>
        <w:outlineLvl w:val="1"/>
        <w:rPr>
          <w:rFonts w:ascii="黑体" w:eastAsia="黑体" w:cs="仿宋_GB2312"/>
          <w:bCs/>
          <w:color w:val="000000"/>
          <w:sz w:val="32"/>
          <w:szCs w:val="32"/>
        </w:rPr>
      </w:pPr>
      <w:bookmarkStart w:id="90" w:name="_Toc8165"/>
      <w:r>
        <w:rPr>
          <w:rFonts w:hint="eastAsia" w:ascii="黑体" w:eastAsia="黑体" w:cs="仿宋_GB2312"/>
          <w:color w:val="000000"/>
          <w:sz w:val="32"/>
          <w:szCs w:val="32"/>
        </w:rPr>
        <w:t>八、</w:t>
      </w:r>
      <w:r>
        <w:rPr>
          <w:rFonts w:hint="eastAsia" w:ascii="黑体" w:eastAsia="黑体" w:cs="仿宋_GB2312"/>
          <w:bCs/>
          <w:color w:val="000000"/>
          <w:sz w:val="32"/>
          <w:szCs w:val="32"/>
        </w:rPr>
        <w:t>政府性基金预算支出决算情况说明</w:t>
      </w:r>
      <w:bookmarkEnd w:id="88"/>
      <w:bookmarkEnd w:id="89"/>
      <w:bookmarkEnd w:id="90"/>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w:t>
      </w:r>
      <w:r>
        <w:rPr>
          <w:rFonts w:hint="eastAsia" w:ascii="仿宋_GB2312" w:eastAsia="仿宋_GB2312" w:cs="仿宋_GB2312"/>
          <w:bCs/>
          <w:color w:val="000000"/>
          <w:kern w:val="0"/>
          <w:sz w:val="32"/>
          <w:szCs w:val="32"/>
          <w:lang w:val="en-US" w:eastAsia="zh-CN"/>
        </w:rPr>
        <w:t>3</w:t>
      </w:r>
      <w:r>
        <w:rPr>
          <w:rFonts w:hint="eastAsia" w:ascii="仿宋_GB2312" w:eastAsia="仿宋_GB2312" w:cs="仿宋_GB2312"/>
          <w:bCs/>
          <w:color w:val="000000"/>
          <w:kern w:val="0"/>
          <w:sz w:val="32"/>
          <w:szCs w:val="32"/>
          <w:lang w:val="zh-CN"/>
        </w:rPr>
        <w:t>年政府性基金预算拨款支出0万元。与上年相比，无变化。</w:t>
      </w:r>
    </w:p>
    <w:p>
      <w:pPr>
        <w:keepNext w:val="0"/>
        <w:keepLines w:val="0"/>
        <w:pageBreakBefore w:val="0"/>
        <w:numPr>
          <w:ilvl w:val="0"/>
          <w:numId w:val="2"/>
        </w:numPr>
        <w:kinsoku/>
        <w:wordWrap/>
        <w:overflowPunct/>
        <w:topLinePunct w:val="0"/>
        <w:autoSpaceDE/>
        <w:autoSpaceDN/>
        <w:bidi w:val="0"/>
        <w:spacing w:line="576" w:lineRule="exact"/>
        <w:ind w:firstLine="640"/>
        <w:textAlignment w:val="auto"/>
        <w:outlineLvl w:val="1"/>
        <w:rPr>
          <w:rFonts w:ascii="黑体" w:eastAsia="黑体" w:cs="仿宋_GB2312"/>
          <w:bCs/>
          <w:color w:val="000000"/>
          <w:sz w:val="32"/>
          <w:szCs w:val="32"/>
        </w:rPr>
      </w:pPr>
      <w:bookmarkStart w:id="91" w:name="_Toc15396611"/>
      <w:bookmarkStart w:id="92" w:name="_Toc15377219"/>
      <w:bookmarkStart w:id="93" w:name="_Toc8318"/>
      <w:r>
        <w:rPr>
          <w:rFonts w:hint="eastAsia" w:ascii="黑体" w:eastAsia="黑体" w:cs="仿宋_GB2312"/>
          <w:bCs/>
          <w:color w:val="000000"/>
          <w:sz w:val="32"/>
          <w:szCs w:val="32"/>
        </w:rPr>
        <w:t>国有资本经营预算支出决算情况说明</w:t>
      </w:r>
      <w:bookmarkEnd w:id="91"/>
      <w:bookmarkEnd w:id="92"/>
      <w:bookmarkEnd w:id="93"/>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w:t>
      </w:r>
      <w:r>
        <w:rPr>
          <w:rFonts w:hint="eastAsia" w:ascii="仿宋_GB2312" w:eastAsia="仿宋_GB2312" w:cs="仿宋_GB2312"/>
          <w:bCs/>
          <w:color w:val="000000"/>
          <w:kern w:val="0"/>
          <w:sz w:val="32"/>
          <w:szCs w:val="32"/>
          <w:lang w:val="en-US" w:eastAsia="zh-CN"/>
        </w:rPr>
        <w:t>3</w:t>
      </w:r>
      <w:r>
        <w:rPr>
          <w:rFonts w:hint="eastAsia" w:ascii="仿宋_GB2312" w:eastAsia="仿宋_GB2312" w:cs="仿宋_GB2312"/>
          <w:bCs/>
          <w:color w:val="000000"/>
          <w:kern w:val="0"/>
          <w:sz w:val="32"/>
          <w:szCs w:val="32"/>
          <w:lang w:val="zh-CN"/>
        </w:rPr>
        <w:t>年国有资本经营预算拨款支出0万元。与上年相比，无变化。</w:t>
      </w:r>
    </w:p>
    <w:p>
      <w:pPr>
        <w:keepNext w:val="0"/>
        <w:keepLines w:val="0"/>
        <w:pageBreakBefore w:val="0"/>
        <w:kinsoku/>
        <w:wordWrap/>
        <w:overflowPunct/>
        <w:topLinePunct w:val="0"/>
        <w:autoSpaceDE/>
        <w:autoSpaceDN/>
        <w:bidi w:val="0"/>
        <w:spacing w:line="576" w:lineRule="exact"/>
        <w:textAlignment w:val="auto"/>
        <w:outlineLvl w:val="1"/>
        <w:rPr>
          <w:rStyle w:val="31"/>
          <w:rFonts w:ascii="黑体" w:eastAsia="黑体"/>
        </w:rPr>
      </w:pPr>
      <w:bookmarkStart w:id="94" w:name="_Toc15377221"/>
      <w:bookmarkStart w:id="95" w:name="_Toc15396612"/>
      <w:bookmarkStart w:id="96" w:name="_Toc79163624"/>
      <w:bookmarkStart w:id="97" w:name="_Toc79163874"/>
      <w:r>
        <w:rPr>
          <w:rFonts w:hint="eastAsia" w:ascii="黑体" w:eastAsia="黑体"/>
          <w:color w:val="000000"/>
          <w:sz w:val="32"/>
          <w:szCs w:val="32"/>
        </w:rPr>
        <w:t xml:space="preserve">    </w:t>
      </w:r>
      <w:bookmarkStart w:id="98" w:name="_Toc13138"/>
      <w:r>
        <w:rPr>
          <w:rFonts w:hint="eastAsia" w:ascii="黑体" w:eastAsia="黑体"/>
          <w:color w:val="000000"/>
          <w:sz w:val="32"/>
          <w:szCs w:val="32"/>
        </w:rPr>
        <w:t>十</w:t>
      </w:r>
      <w:r>
        <w:rPr>
          <w:rStyle w:val="31"/>
          <w:rFonts w:hint="eastAsia" w:ascii="黑体" w:eastAsia="黑体"/>
        </w:rPr>
        <w:t>、</w:t>
      </w:r>
      <w:r>
        <w:rPr>
          <w:rStyle w:val="31"/>
          <w:rFonts w:hint="eastAsia" w:ascii="黑体" w:eastAsia="黑体"/>
          <w:b w:val="0"/>
        </w:rPr>
        <w:t>其他重要事项的情况说明</w:t>
      </w:r>
      <w:bookmarkEnd w:id="94"/>
      <w:bookmarkEnd w:id="95"/>
      <w:bookmarkEnd w:id="96"/>
      <w:bookmarkEnd w:id="97"/>
      <w:bookmarkEnd w:id="98"/>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1"/>
        <w:rPr>
          <w:rFonts w:ascii="楷体_GB2312" w:eastAsia="楷体_GB2312" w:cs="楷体_GB2312"/>
          <w:b/>
          <w:color w:val="000000"/>
          <w:sz w:val="32"/>
          <w:szCs w:val="32"/>
        </w:rPr>
      </w:pPr>
      <w:bookmarkStart w:id="99" w:name="_Toc15377222"/>
      <w:bookmarkStart w:id="100" w:name="_Toc3561"/>
      <w:bookmarkStart w:id="101" w:name="_Toc79163629"/>
      <w:bookmarkStart w:id="102" w:name="_Toc79163879"/>
      <w:bookmarkStart w:id="103" w:name="_Toc15377225"/>
      <w:bookmarkStart w:id="104" w:name="_Toc15396613"/>
      <w:r>
        <w:rPr>
          <w:rFonts w:hint="eastAsia" w:ascii="楷体_GB2312" w:eastAsia="楷体_GB2312" w:cs="楷体_GB2312"/>
          <w:b/>
          <w:color w:val="000000"/>
          <w:sz w:val="32"/>
          <w:szCs w:val="32"/>
        </w:rPr>
        <w:t>（一）机关运行经费支出情况</w:t>
      </w:r>
      <w:bookmarkEnd w:id="99"/>
      <w:bookmarkEnd w:id="100"/>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textAlignment w:val="auto"/>
        <w:outlineLvl w:val="9"/>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w:t>
      </w:r>
      <w:r>
        <w:rPr>
          <w:rFonts w:hint="eastAsia" w:ascii="仿宋_GB2312" w:eastAsia="仿宋_GB2312" w:cs="仿宋_GB2312"/>
          <w:bCs/>
          <w:color w:val="000000"/>
          <w:kern w:val="0"/>
          <w:sz w:val="32"/>
          <w:szCs w:val="32"/>
          <w:lang w:val="en-US" w:eastAsia="zh-CN"/>
        </w:rPr>
        <w:t>3</w:t>
      </w:r>
      <w:r>
        <w:rPr>
          <w:rFonts w:hint="eastAsia" w:ascii="仿宋_GB2312" w:eastAsia="仿宋_GB2312" w:cs="仿宋_GB2312"/>
          <w:bCs/>
          <w:color w:val="000000"/>
          <w:kern w:val="0"/>
          <w:sz w:val="32"/>
          <w:szCs w:val="32"/>
          <w:lang w:val="zh-CN"/>
        </w:rPr>
        <w:t>年，中国共产主义青年团四川省阿坝州茂县委员会机关运行经费支出</w:t>
      </w:r>
      <w:r>
        <w:rPr>
          <w:rFonts w:hint="eastAsia" w:ascii="仿宋_GB2312" w:eastAsia="仿宋_GB2312" w:cs="仿宋_GB2312"/>
          <w:bCs/>
          <w:color w:val="000000"/>
          <w:kern w:val="0"/>
          <w:sz w:val="32"/>
          <w:szCs w:val="32"/>
          <w:lang w:val="en-US" w:eastAsia="zh-CN"/>
        </w:rPr>
        <w:t>1.71</w:t>
      </w:r>
      <w:r>
        <w:rPr>
          <w:rFonts w:hint="eastAsia" w:ascii="仿宋_GB2312" w:eastAsia="仿宋_GB2312" w:cs="仿宋_GB2312"/>
          <w:bCs/>
          <w:color w:val="000000"/>
          <w:kern w:val="0"/>
          <w:sz w:val="32"/>
          <w:szCs w:val="32"/>
          <w:lang w:val="zh-CN"/>
        </w:rPr>
        <w:t>万元，较202</w:t>
      </w:r>
      <w:r>
        <w:rPr>
          <w:rFonts w:hint="eastAsia" w:ascii="仿宋_GB2312" w:eastAsia="仿宋_GB2312" w:cs="仿宋_GB2312"/>
          <w:bCs/>
          <w:color w:val="000000"/>
          <w:kern w:val="0"/>
          <w:sz w:val="32"/>
          <w:szCs w:val="32"/>
          <w:lang w:val="en-US" w:eastAsia="zh-CN"/>
        </w:rPr>
        <w:t>2</w:t>
      </w:r>
      <w:r>
        <w:rPr>
          <w:rFonts w:hint="eastAsia" w:ascii="仿宋_GB2312" w:eastAsia="仿宋_GB2312" w:cs="仿宋_GB2312"/>
          <w:bCs/>
          <w:color w:val="000000"/>
          <w:kern w:val="0"/>
          <w:sz w:val="32"/>
          <w:szCs w:val="32"/>
          <w:lang w:val="zh-CN"/>
        </w:rPr>
        <w:t>年增加</w:t>
      </w:r>
      <w:r>
        <w:rPr>
          <w:rFonts w:hint="eastAsia" w:ascii="仿宋_GB2312" w:eastAsia="仿宋_GB2312" w:cs="仿宋_GB2312"/>
          <w:bCs/>
          <w:color w:val="000000"/>
          <w:kern w:val="0"/>
          <w:sz w:val="32"/>
          <w:szCs w:val="32"/>
          <w:lang w:val="en-US" w:eastAsia="zh-CN"/>
        </w:rPr>
        <w:t>0.52</w:t>
      </w:r>
      <w:r>
        <w:rPr>
          <w:rFonts w:hint="eastAsia" w:ascii="仿宋_GB2312" w:eastAsia="仿宋_GB2312" w:cs="仿宋_GB2312"/>
          <w:bCs/>
          <w:color w:val="000000"/>
          <w:kern w:val="0"/>
          <w:sz w:val="32"/>
          <w:szCs w:val="32"/>
          <w:lang w:val="zh-CN"/>
        </w:rPr>
        <w:t>万元，增长</w:t>
      </w:r>
      <w:r>
        <w:rPr>
          <w:rFonts w:hint="eastAsia" w:ascii="仿宋_GB2312" w:eastAsia="仿宋_GB2312" w:cs="仿宋_GB2312"/>
          <w:bCs/>
          <w:color w:val="000000"/>
          <w:kern w:val="0"/>
          <w:sz w:val="32"/>
          <w:szCs w:val="32"/>
          <w:lang w:val="en-US" w:eastAsia="zh-CN"/>
        </w:rPr>
        <w:t>44.91</w:t>
      </w:r>
      <w:r>
        <w:rPr>
          <w:rFonts w:hint="eastAsia" w:ascii="仿宋_GB2312" w:eastAsia="仿宋_GB2312" w:cs="仿宋_GB2312"/>
          <w:bCs/>
          <w:color w:val="000000"/>
          <w:kern w:val="0"/>
          <w:sz w:val="32"/>
          <w:szCs w:val="32"/>
          <w:lang w:val="zh-CN"/>
        </w:rPr>
        <w:t>%，主要原因是人员经费增加。</w:t>
      </w:r>
      <w:bookmarkStart w:id="105" w:name="_Toc15377223"/>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textAlignment w:val="auto"/>
        <w:outlineLvl w:val="1"/>
        <w:rPr>
          <w:rFonts w:ascii="楷体_GB2312" w:eastAsia="楷体_GB2312" w:cs="楷体_GB2312"/>
          <w:b/>
          <w:color w:val="000000"/>
          <w:sz w:val="32"/>
          <w:szCs w:val="32"/>
        </w:rPr>
      </w:pPr>
      <w:bookmarkStart w:id="106" w:name="_Toc4640"/>
      <w:r>
        <w:rPr>
          <w:rFonts w:hint="eastAsia" w:ascii="楷体_GB2312" w:eastAsia="楷体_GB2312" w:cs="楷体_GB2312"/>
          <w:b/>
          <w:color w:val="000000"/>
          <w:sz w:val="32"/>
          <w:szCs w:val="32"/>
        </w:rPr>
        <w:t>（二）政府采购支出情况</w:t>
      </w:r>
      <w:bookmarkEnd w:id="105"/>
      <w:bookmarkEnd w:id="106"/>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w:t>
      </w:r>
      <w:r>
        <w:rPr>
          <w:rFonts w:hint="eastAsia" w:ascii="仿宋_GB2312" w:eastAsia="仿宋_GB2312" w:cs="仿宋_GB2312"/>
          <w:bCs/>
          <w:color w:val="000000"/>
          <w:kern w:val="0"/>
          <w:sz w:val="32"/>
          <w:szCs w:val="32"/>
          <w:lang w:val="en-US" w:eastAsia="zh-CN"/>
        </w:rPr>
        <w:t>3</w:t>
      </w:r>
      <w:r>
        <w:rPr>
          <w:rFonts w:hint="eastAsia" w:ascii="仿宋_GB2312" w:eastAsia="仿宋_GB2312" w:cs="仿宋_GB2312"/>
          <w:bCs/>
          <w:color w:val="000000"/>
          <w:kern w:val="0"/>
          <w:sz w:val="32"/>
          <w:szCs w:val="32"/>
          <w:lang w:val="zh-CN"/>
        </w:rPr>
        <w:t>年，中国共产主义青年团四川省阿坝州茂县委员会政府采购支出总额0万元。与上年相比，无变化。</w:t>
      </w:r>
      <w:bookmarkStart w:id="107" w:name="_Toc15377224"/>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textAlignment w:val="auto"/>
        <w:outlineLvl w:val="1"/>
        <w:rPr>
          <w:rFonts w:ascii="楷体_GB2312" w:eastAsia="楷体_GB2312" w:cs="楷体_GB2312"/>
          <w:b/>
          <w:color w:val="000000"/>
          <w:sz w:val="32"/>
          <w:szCs w:val="32"/>
        </w:rPr>
      </w:pPr>
      <w:bookmarkStart w:id="108" w:name="_Toc8696"/>
      <w:r>
        <w:rPr>
          <w:rFonts w:hint="eastAsia" w:ascii="楷体_GB2312" w:eastAsia="楷体_GB2312" w:cs="楷体_GB2312"/>
          <w:b/>
          <w:color w:val="000000"/>
          <w:sz w:val="32"/>
          <w:szCs w:val="32"/>
        </w:rPr>
        <w:t>（三）国有资产占有使用情况</w:t>
      </w:r>
      <w:bookmarkEnd w:id="107"/>
      <w:bookmarkEnd w:id="108"/>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截至202</w:t>
      </w:r>
      <w:r>
        <w:rPr>
          <w:rFonts w:hint="eastAsia" w:ascii="仿宋_GB2312" w:eastAsia="仿宋_GB2312" w:cs="仿宋_GB2312"/>
          <w:bCs/>
          <w:color w:val="000000"/>
          <w:kern w:val="0"/>
          <w:sz w:val="32"/>
          <w:szCs w:val="32"/>
          <w:lang w:val="en-US" w:eastAsia="zh-CN"/>
        </w:rPr>
        <w:t>3</w:t>
      </w:r>
      <w:r>
        <w:rPr>
          <w:rFonts w:hint="eastAsia" w:ascii="仿宋_GB2312" w:eastAsia="仿宋_GB2312" w:cs="仿宋_GB2312"/>
          <w:bCs/>
          <w:color w:val="000000"/>
          <w:kern w:val="0"/>
          <w:sz w:val="32"/>
          <w:szCs w:val="32"/>
          <w:lang w:val="zh-CN"/>
        </w:rPr>
        <w:t>年12月31日，中国共产主义青年团四川省阿坝州茂县委员会共有车辆0辆。与上年相比，无变化。</w:t>
      </w:r>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textAlignment w:val="auto"/>
        <w:outlineLvl w:val="1"/>
        <w:rPr>
          <w:rFonts w:ascii="楷体_GB2312" w:eastAsia="楷体_GB2312" w:cs="楷体_GB2312"/>
          <w:b/>
          <w:color w:val="auto"/>
          <w:sz w:val="32"/>
          <w:szCs w:val="32"/>
        </w:rPr>
      </w:pPr>
      <w:bookmarkStart w:id="109" w:name="_Toc21414"/>
      <w:r>
        <w:rPr>
          <w:rFonts w:hint="eastAsia" w:ascii="楷体_GB2312" w:eastAsia="楷体_GB2312" w:cs="楷体_GB2312"/>
          <w:b/>
          <w:color w:val="auto"/>
          <w:sz w:val="32"/>
          <w:szCs w:val="32"/>
        </w:rPr>
        <w:t>（四）预算绩效管理情况</w:t>
      </w:r>
      <w:bookmarkEnd w:id="109"/>
    </w:p>
    <w:p>
      <w:pPr>
        <w:keepNext w:val="0"/>
        <w:keepLines w:val="0"/>
        <w:pageBreakBefore w:val="0"/>
        <w:widowControl/>
        <w:kinsoku/>
        <w:wordWrap/>
        <w:overflowPunct/>
        <w:topLinePunct w:val="0"/>
        <w:autoSpaceDE/>
        <w:autoSpaceDN/>
        <w:bidi w:val="0"/>
        <w:spacing w:line="576" w:lineRule="exact"/>
        <w:ind w:firstLine="640" w:firstLineChars="200"/>
        <w:contextualSpacing/>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2023年度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rPr>
        <w:t>2023年对口支援交融交往活动资金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2022年度州级留守学生之家补助资金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2023年幻方助学计划资助</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lang w:val="en-US" w:eastAsia="zh-CN"/>
        </w:rPr>
        <w:t>3个项目</w:t>
      </w:r>
      <w:r>
        <w:rPr>
          <w:rFonts w:hint="eastAsia" w:ascii="仿宋_GB2312" w:hAnsi="仿宋_GB2312" w:eastAsia="仿宋_GB2312" w:cs="仿宋_GB2312"/>
          <w:color w:val="auto"/>
          <w:sz w:val="32"/>
          <w:szCs w:val="32"/>
        </w:rPr>
        <w:t>开展</w:t>
      </w:r>
      <w:r>
        <w:rPr>
          <w:rFonts w:hint="eastAsia" w:ascii="仿宋_GB2312" w:hAnsi="仿宋_GB2312" w:eastAsia="仿宋_GB2312" w:cs="仿宋_GB2312"/>
          <w:color w:val="auto"/>
          <w:sz w:val="32"/>
          <w:szCs w:val="32"/>
          <w:highlight w:val="none"/>
        </w:rPr>
        <w:t>了预算事前绩效评估，对</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个项目编制了绩效目标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预算执行过程中，选取</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个项目开展绩效监控</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kinsoku/>
        <w:wordWrap/>
        <w:overflowPunct/>
        <w:topLinePunct w:val="0"/>
        <w:autoSpaceDE/>
        <w:autoSpaceDN/>
        <w:bidi w:val="0"/>
        <w:spacing w:line="576" w:lineRule="exact"/>
        <w:ind w:firstLine="640" w:firstLineChars="200"/>
        <w:contextualSpacing/>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组织</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2023年度一般公共预算、</w:t>
      </w:r>
      <w:r>
        <w:rPr>
          <w:rFonts w:hint="eastAsia" w:ascii="仿宋_GB2312" w:hAnsi="仿宋_GB2312" w:eastAsia="仿宋_GB2312" w:cs="仿宋_GB2312"/>
          <w:color w:val="auto"/>
          <w:sz w:val="32"/>
          <w:szCs w:val="32"/>
          <w:highlight w:val="none"/>
          <w:lang w:eastAsia="zh-CN"/>
        </w:rPr>
        <w:t>政府性基金预算、国有资本经营预算、社会保险基金预算以及资本资产、债券资金等</w:t>
      </w:r>
      <w:r>
        <w:rPr>
          <w:rFonts w:hint="eastAsia" w:ascii="仿宋_GB2312" w:hAnsi="仿宋_GB2312" w:eastAsia="仿宋_GB2312" w:cs="仿宋_GB2312"/>
          <w:color w:val="auto"/>
          <w:sz w:val="32"/>
          <w:szCs w:val="32"/>
          <w:highlight w:val="none"/>
          <w:lang w:val="en-US" w:eastAsia="zh-CN"/>
        </w:rPr>
        <w:t>全面开展绩效自评</w:t>
      </w:r>
      <w:r>
        <w:rPr>
          <w:rFonts w:hint="eastAsia" w:ascii="仿宋_GB2312" w:hAnsi="仿宋_GB2312" w:eastAsia="仿宋_GB2312" w:cs="仿宋_GB2312"/>
          <w:color w:val="auto"/>
          <w:sz w:val="32"/>
          <w:szCs w:val="32"/>
          <w:lang w:val="en-US" w:eastAsia="zh-CN"/>
        </w:rPr>
        <w:t>，形成2023年专项</w:t>
      </w:r>
      <w:r>
        <w:rPr>
          <w:rFonts w:hint="eastAsia" w:ascii="仿宋_GB2312" w:hAnsi="仿宋_GB2312" w:eastAsia="仿宋_GB2312" w:cs="仿宋_GB2312"/>
          <w:color w:val="auto"/>
          <w:sz w:val="32"/>
          <w:szCs w:val="32"/>
        </w:rPr>
        <w:t>预算绩效</w:t>
      </w:r>
      <w:r>
        <w:rPr>
          <w:rFonts w:hint="eastAsia" w:ascii="仿宋_GB2312" w:hAnsi="仿宋_GB2312" w:eastAsia="仿宋_GB2312" w:cs="仿宋_GB2312"/>
          <w:color w:val="auto"/>
          <w:sz w:val="32"/>
          <w:szCs w:val="32"/>
          <w:highlight w:val="none"/>
          <w:lang w:val="en-US" w:eastAsia="zh-CN"/>
        </w:rPr>
        <w:t>自</w:t>
      </w:r>
      <w:r>
        <w:rPr>
          <w:rFonts w:hint="eastAsia" w:ascii="仿宋_GB2312" w:hAnsi="仿宋_GB2312" w:eastAsia="仿宋_GB2312" w:cs="仿宋_GB2312"/>
          <w:color w:val="auto"/>
          <w:sz w:val="32"/>
          <w:szCs w:val="32"/>
        </w:rPr>
        <w:t>评价报告</w:t>
      </w:r>
      <w:r>
        <w:rPr>
          <w:rFonts w:hint="eastAsia" w:ascii="仿宋_GB2312" w:hAnsi="仿宋_GB2312" w:eastAsia="仿宋_GB2312" w:cs="仿宋_GB2312"/>
          <w:color w:val="auto"/>
          <w:sz w:val="32"/>
          <w:szCs w:val="32"/>
          <w:highlight w:val="none"/>
          <w:lang w:val="en-US" w:eastAsia="zh-CN"/>
        </w:rPr>
        <w:t>。其中，</w:t>
      </w:r>
      <w:r>
        <w:rPr>
          <w:rFonts w:hint="eastAsia" w:ascii="仿宋_GB2312" w:hAnsi="仿宋_GB2312" w:eastAsia="仿宋_GB2312" w:cs="仿宋_GB2312"/>
          <w:color w:val="auto"/>
          <w:sz w:val="32"/>
          <w:szCs w:val="32"/>
        </w:rPr>
        <w:t>2023年对口支援交融交往活动资金</w:t>
      </w:r>
      <w:r>
        <w:rPr>
          <w:rFonts w:hint="eastAsia" w:ascii="仿宋_GB2312" w:hAnsi="仿宋_GB2312" w:eastAsia="仿宋_GB2312" w:cs="仿宋_GB2312"/>
          <w:color w:val="auto"/>
          <w:sz w:val="32"/>
          <w:szCs w:val="32"/>
          <w:highlight w:val="none"/>
          <w:lang w:eastAsia="zh-CN"/>
        </w:rPr>
        <w:t>专项预</w:t>
      </w:r>
      <w:r>
        <w:rPr>
          <w:rFonts w:hint="eastAsia" w:ascii="仿宋_GB2312" w:hAnsi="仿宋_GB2312" w:eastAsia="仿宋_GB2312" w:cs="仿宋_GB2312"/>
          <w:color w:val="auto"/>
          <w:sz w:val="32"/>
          <w:szCs w:val="32"/>
          <w:highlight w:val="none"/>
          <w:lang w:val="en-US" w:eastAsia="zh-CN"/>
        </w:rPr>
        <w:t>算项目绩效自评得分为94分；</w:t>
      </w:r>
      <w:r>
        <w:rPr>
          <w:rFonts w:hint="eastAsia" w:ascii="仿宋_GB2312" w:hAnsi="仿宋_GB2312" w:eastAsia="仿宋_GB2312" w:cs="仿宋_GB2312"/>
          <w:color w:val="auto"/>
          <w:sz w:val="32"/>
          <w:szCs w:val="32"/>
        </w:rPr>
        <w:t>2022年度州级留守学生之家补助资金</w:t>
      </w:r>
      <w:r>
        <w:rPr>
          <w:rFonts w:hint="eastAsia" w:ascii="仿宋_GB2312" w:hAnsi="仿宋_GB2312" w:eastAsia="仿宋_GB2312" w:cs="仿宋_GB2312"/>
          <w:color w:val="auto"/>
          <w:sz w:val="32"/>
          <w:szCs w:val="32"/>
          <w:highlight w:val="none"/>
          <w:lang w:eastAsia="zh-CN"/>
        </w:rPr>
        <w:t>专项预</w:t>
      </w:r>
      <w:r>
        <w:rPr>
          <w:rFonts w:hint="eastAsia" w:ascii="仿宋_GB2312" w:hAnsi="仿宋_GB2312" w:eastAsia="仿宋_GB2312" w:cs="仿宋_GB2312"/>
          <w:color w:val="auto"/>
          <w:sz w:val="32"/>
          <w:szCs w:val="32"/>
          <w:highlight w:val="none"/>
          <w:lang w:val="en-US" w:eastAsia="zh-CN"/>
        </w:rPr>
        <w:t>算项目绩效自评得分为94分；</w:t>
      </w:r>
      <w:r>
        <w:rPr>
          <w:rFonts w:hint="eastAsia" w:ascii="仿宋_GB2312" w:hAnsi="仿宋_GB2312" w:eastAsia="仿宋_GB2312" w:cs="仿宋_GB2312"/>
          <w:color w:val="auto"/>
          <w:sz w:val="32"/>
          <w:szCs w:val="32"/>
        </w:rPr>
        <w:t>2023年幻方助学计划资助</w:t>
      </w:r>
      <w:r>
        <w:rPr>
          <w:rFonts w:hint="eastAsia" w:ascii="仿宋_GB2312" w:hAnsi="仿宋_GB2312" w:eastAsia="仿宋_GB2312" w:cs="仿宋_GB2312"/>
          <w:color w:val="auto"/>
          <w:sz w:val="32"/>
          <w:szCs w:val="32"/>
          <w:highlight w:val="none"/>
          <w:lang w:eastAsia="zh-CN"/>
        </w:rPr>
        <w:t>专项预</w:t>
      </w:r>
      <w:r>
        <w:rPr>
          <w:rFonts w:hint="eastAsia" w:ascii="仿宋_GB2312" w:hAnsi="仿宋_GB2312" w:eastAsia="仿宋_GB2312" w:cs="仿宋_GB2312"/>
          <w:color w:val="auto"/>
          <w:sz w:val="32"/>
          <w:szCs w:val="32"/>
          <w:highlight w:val="none"/>
          <w:lang w:val="en-US" w:eastAsia="zh-CN"/>
        </w:rPr>
        <w:t>算项目绩效自评得分为95分。绩效自评报告详见附件1-4。</w:t>
      </w:r>
    </w:p>
    <w:p>
      <w:pPr>
        <w:spacing w:line="576" w:lineRule="exact"/>
        <w:ind w:left="315" w:leftChars="150"/>
        <w:jc w:val="center"/>
        <w:outlineLvl w:val="0"/>
        <w:rPr>
          <w:rFonts w:hint="eastAsia" w:ascii="仿宋_GB2312" w:hAnsi="仿宋_GB2312" w:eastAsia="仿宋_GB2312" w:cs="仿宋_GB2312"/>
          <w:color w:val="auto"/>
          <w:sz w:val="32"/>
          <w:szCs w:val="32"/>
          <w:highlight w:val="none"/>
          <w:lang w:val="en-US" w:eastAsia="zh-CN"/>
        </w:rPr>
      </w:pPr>
    </w:p>
    <w:p>
      <w:pPr>
        <w:spacing w:line="576" w:lineRule="exact"/>
        <w:ind w:left="315" w:leftChars="150"/>
        <w:jc w:val="center"/>
        <w:outlineLvl w:val="0"/>
        <w:rPr>
          <w:rFonts w:hint="eastAsia" w:ascii="仿宋_GB2312" w:hAnsi="仿宋_GB2312" w:eastAsia="仿宋_GB2312" w:cs="仿宋_GB2312"/>
          <w:color w:val="auto"/>
          <w:sz w:val="32"/>
          <w:szCs w:val="32"/>
          <w:highlight w:val="none"/>
          <w:lang w:val="en-US" w:eastAsia="zh-CN"/>
        </w:rPr>
      </w:pPr>
    </w:p>
    <w:p>
      <w:pPr>
        <w:spacing w:line="576" w:lineRule="exact"/>
        <w:ind w:left="315" w:leftChars="150"/>
        <w:jc w:val="center"/>
        <w:outlineLvl w:val="0"/>
        <w:rPr>
          <w:rFonts w:hint="eastAsia" w:ascii="仿宋_GB2312" w:hAnsi="仿宋_GB2312" w:eastAsia="仿宋_GB2312" w:cs="仿宋_GB2312"/>
          <w:color w:val="auto"/>
          <w:sz w:val="32"/>
          <w:szCs w:val="32"/>
          <w:highlight w:val="none"/>
          <w:lang w:val="en-US" w:eastAsia="zh-CN"/>
        </w:rPr>
      </w:pPr>
    </w:p>
    <w:p>
      <w:pPr>
        <w:spacing w:line="576" w:lineRule="exact"/>
        <w:ind w:left="315" w:leftChars="150"/>
        <w:jc w:val="center"/>
        <w:outlineLvl w:val="0"/>
        <w:rPr>
          <w:rFonts w:hint="eastAsia" w:ascii="仿宋_GB2312" w:hAnsi="仿宋_GB2312" w:eastAsia="仿宋_GB2312" w:cs="仿宋_GB2312"/>
          <w:color w:val="auto"/>
          <w:sz w:val="32"/>
          <w:szCs w:val="32"/>
          <w:highlight w:val="none"/>
          <w:lang w:val="en-US" w:eastAsia="zh-CN"/>
        </w:rPr>
      </w:pPr>
    </w:p>
    <w:p>
      <w:pPr>
        <w:pStyle w:val="5"/>
        <w:spacing w:after="0" w:line="576" w:lineRule="exact"/>
        <w:jc w:val="center"/>
        <w:rPr>
          <w:rFonts w:hint="eastAsia" w:ascii="方正小标宋简体" w:eastAsia="方正小标宋简体" w:cs="方正小标宋简体"/>
          <w:b w:val="0"/>
        </w:rPr>
      </w:pPr>
      <w:bookmarkStart w:id="110" w:name="_Toc14057"/>
      <w:r>
        <w:rPr>
          <w:rFonts w:hint="eastAsia" w:ascii="方正小标宋简体" w:eastAsia="方正小标宋简体" w:cs="方正小标宋简体"/>
          <w:b w:val="0"/>
        </w:rPr>
        <w:t>第三部分 名词解释</w:t>
      </w:r>
      <w:bookmarkEnd w:id="101"/>
      <w:bookmarkEnd w:id="102"/>
      <w:bookmarkEnd w:id="103"/>
      <w:bookmarkEnd w:id="104"/>
      <w:bookmarkEnd w:id="110"/>
    </w:p>
    <w:p>
      <w:pPr>
        <w:spacing w:line="576" w:lineRule="exact"/>
        <w:jc w:val="left"/>
        <w:rPr>
          <w:rFonts w:ascii="方正小标宋简体" w:eastAsia="方正小标宋简体" w:cs="方正小标宋简体"/>
          <w:b/>
          <w:color w:val="000000"/>
          <w:sz w:val="44"/>
          <w:szCs w:val="44"/>
        </w:rPr>
      </w:pP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bookmarkStart w:id="111" w:name="_Toc15377226"/>
      <w:r>
        <w:rPr>
          <w:rFonts w:hint="eastAsia" w:ascii="仿宋_GB2312" w:eastAsia="仿宋_GB2312" w:cs="仿宋_GB2312"/>
          <w:bCs/>
          <w:color w:val="000000"/>
          <w:kern w:val="0"/>
          <w:sz w:val="32"/>
          <w:szCs w:val="32"/>
          <w:lang w:val="zh-CN"/>
        </w:rPr>
        <w:t>1.财政拨款收入：指单位从同级财政部门取得的财政预算资金。</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2.事业收入：指事业单位开展专业业务活动及辅助活动取得的收入。</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3.经营收入：指事业单位在专业业务活动及其辅助活动之外开展非独立核算经营活动取得的收入。</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4.其他收入：指单位取得的除上述收入以外的各项收入</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 xml:space="preserve">6.年初结转和结余：指以前年度尚未完成、结转到本年按有关规定继续使用的资金。 </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7.结余分配：指事业单位按照事业单位会计制度的规定从非财政补助结余中分配的事业基金和职工福利基金等。</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8、年末结转和结余：指单位按有关规定结转到下年或以后年度继续使用的资金。</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9. 一般公共服务（201）群众团体事务（29）行政运行（01）: 人员工资、办公支出，保障日常工作开展。</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10.一般公共服务（201）群众团体事务（29）事业运行（50）: 办公支出，保障日常工作开展。</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11. 社会保障和就业支出（208）行政事业单位养老支出（05）机关事业单位基本养老保险缴费支出（05）: 职工养老保险经费。</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12. 社会保障和就业支出（208）行政事业单位养老支出（05）机关事业单位职业年金缴费支出（06）: 职工职业年金。</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13.卫生健康（210）行政事业单位医疗（11）行政事业单位医疗（01）:职工医疗保险。</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14. 卫生健康（210）行政事业单位医疗（11）事业单位医疗（02）: 职工医疗保险。</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15. 住房保障支出(221) 住房改革支出(02) 住房公积金(01): 职工住房公积金。</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 xml:space="preserve">16. 其他支出(229) 其他支出(99) 其他支出(01): </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17.基本支出：指为保障机构正常运转、完成日常工作任务而发生的人员支出和公用支出。</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 xml:space="preserve">18.项目支出：指在基本支出之外为完成特定行政任务和事业发展目标所发生的支出。 </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19.经营支出：指事业单位在专业业务活动及其辅助活动之外开展非独立核算经营活动发生的支出。</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76" w:lineRule="exact"/>
        <w:jc w:val="center"/>
        <w:outlineLvl w:val="0"/>
        <w:rPr>
          <w:rStyle w:val="30"/>
          <w:rFonts w:ascii="方正小标宋简体" w:eastAsia="方正小标宋简体" w:cs="方正小标宋简体"/>
          <w:b w:val="0"/>
        </w:rPr>
      </w:pPr>
      <w:r>
        <w:rPr>
          <w:rFonts w:ascii="宋体"/>
          <w:b/>
          <w:color w:val="000000"/>
          <w:sz w:val="44"/>
          <w:szCs w:val="44"/>
        </w:rPr>
        <w:br w:type="page"/>
      </w:r>
      <w:bookmarkEnd w:id="111"/>
      <w:bookmarkStart w:id="112" w:name="_Toc79163630"/>
      <w:bookmarkStart w:id="113" w:name="_Toc15396614"/>
      <w:bookmarkStart w:id="114" w:name="_Toc79163880"/>
      <w:bookmarkStart w:id="115" w:name="_Toc4201"/>
      <w:r>
        <w:rPr>
          <w:rFonts w:hint="eastAsia" w:ascii="方正小标宋简体" w:eastAsia="方正小标宋简体" w:cs="方正小标宋简体"/>
          <w:color w:val="000000"/>
          <w:sz w:val="44"/>
          <w:szCs w:val="44"/>
        </w:rPr>
        <w:t>第</w:t>
      </w:r>
      <w:r>
        <w:rPr>
          <w:rStyle w:val="30"/>
          <w:rFonts w:hint="eastAsia" w:ascii="方正小标宋简体" w:eastAsia="方正小标宋简体" w:cs="方正小标宋简体"/>
          <w:b w:val="0"/>
        </w:rPr>
        <w:t>四部分 附件</w:t>
      </w:r>
      <w:bookmarkEnd w:id="112"/>
      <w:bookmarkEnd w:id="113"/>
      <w:bookmarkEnd w:id="114"/>
      <w:bookmarkEnd w:id="115"/>
    </w:p>
    <w:p>
      <w:pPr>
        <w:pageBreakBefore w:val="0"/>
        <w:kinsoku/>
        <w:wordWrap/>
        <w:overflowPunct/>
        <w:topLinePunct w:val="0"/>
        <w:autoSpaceDE/>
        <w:autoSpaceDN/>
        <w:bidi w:val="0"/>
        <w:spacing w:line="576" w:lineRule="exact"/>
        <w:jc w:val="left"/>
        <w:outlineLvl w:val="9"/>
        <w:rPr>
          <w:rFonts w:hint="eastAsia" w:ascii="黑体" w:hAnsi="黑体" w:eastAsia="黑体" w:cs="黑体"/>
          <w:kern w:val="2"/>
          <w:sz w:val="30"/>
          <w:szCs w:val="30"/>
          <w:u w:val="none"/>
          <w:lang w:val="en-US" w:eastAsia="zh-CN"/>
        </w:rPr>
      </w:pPr>
      <w:bookmarkStart w:id="116" w:name="_Toc79163881"/>
      <w:bookmarkStart w:id="117" w:name="_Toc79163631"/>
      <w:r>
        <w:rPr>
          <w:rFonts w:hint="eastAsia" w:ascii="黑体" w:hAnsi="黑体" w:eastAsia="黑体" w:cs="黑体"/>
          <w:sz w:val="30"/>
          <w:szCs w:val="30"/>
        </w:rPr>
        <w:t>附件1</w:t>
      </w:r>
      <w:bookmarkEnd w:id="116"/>
      <w:bookmarkEnd w:id="117"/>
      <w:r>
        <w:rPr>
          <w:rFonts w:hint="eastAsia" w:ascii="黑体" w:hAnsi="黑体" w:eastAsia="黑体" w:cs="黑体"/>
          <w:sz w:val="30"/>
          <w:szCs w:val="30"/>
        </w:rPr>
        <w:t>：</w:t>
      </w:r>
    </w:p>
    <w:p>
      <w:pPr>
        <w:pageBreakBefore w:val="0"/>
        <w:kinsoku/>
        <w:wordWrap/>
        <w:overflowPunct/>
        <w:topLinePunct w:val="0"/>
        <w:autoSpaceDE/>
        <w:autoSpaceDN/>
        <w:bidi w:val="0"/>
        <w:spacing w:line="560" w:lineRule="exact"/>
        <w:ind w:firstLine="880" w:firstLineChars="200"/>
        <w:jc w:val="center"/>
        <w:outlineLvl w:val="9"/>
        <w:rPr>
          <w:rFonts w:hint="eastAsia" w:ascii="方正黑体_GBK" w:eastAsia="方正黑体_GBK" w:cs="Times New Roman"/>
          <w:kern w:val="2"/>
          <w:sz w:val="44"/>
          <w:szCs w:val="44"/>
          <w:u w:val="none"/>
        </w:rPr>
      </w:pPr>
      <w:r>
        <w:rPr>
          <w:rFonts w:hint="eastAsia" w:ascii="方正黑体_GBK" w:eastAsia="方正黑体_GBK" w:cs="Times New Roman"/>
          <w:kern w:val="2"/>
          <w:sz w:val="44"/>
          <w:szCs w:val="44"/>
          <w:u w:val="none"/>
        </w:rPr>
        <w:t>共青团茂县委员会</w:t>
      </w:r>
    </w:p>
    <w:p>
      <w:pPr>
        <w:pageBreakBefore w:val="0"/>
        <w:kinsoku/>
        <w:wordWrap/>
        <w:overflowPunct/>
        <w:topLinePunct w:val="0"/>
        <w:autoSpaceDE/>
        <w:autoSpaceDN/>
        <w:bidi w:val="0"/>
        <w:spacing w:line="560" w:lineRule="exact"/>
        <w:ind w:firstLine="880" w:firstLineChars="200"/>
        <w:jc w:val="center"/>
        <w:outlineLvl w:val="9"/>
        <w:rPr>
          <w:rFonts w:hint="eastAsia" w:ascii="方正黑体_GBK" w:eastAsia="方正黑体_GBK" w:cs="Times New Roman"/>
          <w:kern w:val="2"/>
          <w:sz w:val="44"/>
          <w:szCs w:val="44"/>
        </w:rPr>
      </w:pPr>
      <w:r>
        <w:rPr>
          <w:rFonts w:hint="eastAsia" w:ascii="方正小标宋简体" w:hAnsi="方正小标宋简体" w:eastAsia="方正小标宋简体" w:cs="方正小标宋简体"/>
          <w:kern w:val="2"/>
          <w:sz w:val="44"/>
          <w:szCs w:val="44"/>
        </w:rPr>
        <w:t>专项预算项目绩效评价报告</w:t>
      </w:r>
    </w:p>
    <w:p>
      <w:pPr>
        <w:keepNext w:val="0"/>
        <w:keepLines w:val="0"/>
        <w:pageBreakBefore w:val="0"/>
        <w:widowControl w:val="0"/>
        <w:kinsoku/>
        <w:wordWrap/>
        <w:overflowPunct/>
        <w:topLinePunct w:val="0"/>
        <w:autoSpaceDE/>
        <w:autoSpaceDN/>
        <w:bidi w:val="0"/>
        <w:adjustRightInd w:val="0"/>
        <w:snapToGrid w:val="0"/>
        <w:spacing w:line="300" w:lineRule="exact"/>
        <w:ind w:firstLine="643" w:firstLineChars="200"/>
        <w:textAlignment w:val="auto"/>
        <w:outlineLvl w:val="9"/>
        <w:rPr>
          <w:rFonts w:hint="eastAsia" w:ascii="黑体" w:hAnsi="宋体" w:eastAsia="黑体"/>
          <w:b/>
          <w:bCs/>
          <w:sz w:val="32"/>
          <w:szCs w:val="40"/>
        </w:rPr>
      </w:pPr>
    </w:p>
    <w:p>
      <w:pPr>
        <w:pageBreakBefore w:val="0"/>
        <w:kinsoku/>
        <w:wordWrap/>
        <w:overflowPunct/>
        <w:topLinePunct w:val="0"/>
        <w:autoSpaceDE/>
        <w:autoSpaceDN/>
        <w:bidi w:val="0"/>
        <w:adjustRightInd w:val="0"/>
        <w:snapToGrid w:val="0"/>
        <w:spacing w:line="578" w:lineRule="exact"/>
        <w:ind w:firstLine="643" w:firstLineChars="200"/>
        <w:outlineLvl w:val="9"/>
        <w:rPr>
          <w:rFonts w:ascii="黑体" w:hAnsi="宋体" w:eastAsia="黑体"/>
          <w:b/>
          <w:bCs/>
          <w:sz w:val="32"/>
          <w:szCs w:val="40"/>
          <w:lang w:val="zh-CN"/>
        </w:rPr>
      </w:pPr>
      <w:r>
        <w:rPr>
          <w:rFonts w:hint="eastAsia" w:ascii="黑体" w:hAnsi="宋体" w:eastAsia="黑体"/>
          <w:b/>
          <w:bCs/>
          <w:sz w:val="32"/>
          <w:szCs w:val="40"/>
        </w:rPr>
        <w:t>一、</w:t>
      </w:r>
      <w:r>
        <w:rPr>
          <w:rFonts w:hint="eastAsia" w:ascii="黑体" w:hAnsi="宋体" w:eastAsia="黑体"/>
          <w:b/>
          <w:bCs/>
          <w:sz w:val="32"/>
          <w:szCs w:val="40"/>
          <w:lang w:val="zh-CN"/>
        </w:rPr>
        <w:t>项目概况</w:t>
      </w:r>
    </w:p>
    <w:p>
      <w:pPr>
        <w:keepNext w:val="0"/>
        <w:keepLines w:val="0"/>
        <w:pageBreakBefore w:val="0"/>
        <w:widowControl/>
        <w:kinsoku/>
        <w:wordWrap/>
        <w:overflowPunct/>
        <w:topLinePunct w:val="0"/>
        <w:autoSpaceDE/>
        <w:autoSpaceDN/>
        <w:bidi w:val="0"/>
        <w:adjustRightInd w:val="0"/>
        <w:snapToGrid w:val="0"/>
        <w:spacing w:line="560" w:lineRule="exact"/>
        <w:ind w:right="-57" w:rightChars="-27" w:firstLine="643" w:firstLineChars="200"/>
        <w:contextualSpacing/>
        <w:jc w:val="left"/>
        <w:textAlignment w:val="auto"/>
        <w:outlineLvl w:val="9"/>
        <w:rPr>
          <w:rFonts w:hint="eastAsia" w:ascii="仿宋_GB2312" w:hAnsi="仿宋_GB2312" w:eastAsia="仿宋_GB2312" w:cs="仿宋_GB2312"/>
          <w:bCs/>
          <w:sz w:val="32"/>
          <w:szCs w:val="32"/>
          <w:shd w:val="clear" w:color="auto" w:fill="FFFFFF"/>
          <w:lang w:val="zh-CN"/>
        </w:rPr>
      </w:pPr>
      <w:r>
        <w:rPr>
          <w:rFonts w:hint="eastAsia" w:ascii="仿宋_GB2312" w:hAnsi="仿宋_GB2312" w:eastAsia="仿宋_GB2312" w:cs="仿宋_GB2312"/>
          <w:b/>
          <w:sz w:val="32"/>
          <w:szCs w:val="32"/>
          <w:lang w:val="zh-CN"/>
        </w:rPr>
        <w:t>（一）设立背景及基本情况。</w:t>
      </w:r>
      <w:r>
        <w:rPr>
          <w:rFonts w:hint="eastAsia" w:ascii="仿宋_GB2312" w:hAnsi="仿宋_GB2312" w:eastAsia="仿宋_GB2312" w:cs="仿宋_GB2312"/>
          <w:bCs/>
          <w:sz w:val="32"/>
          <w:szCs w:val="32"/>
          <w:lang w:val="zh-CN"/>
        </w:rPr>
        <w:t>本项目的主要内容是资助全县困难家庭一年级女学生,为减轻家人负担,保障困难家庭女学生进入义务教育阶段学习。做好政策落实和帮扶工作，2024年预算执行数4.1万元。</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lang w:val="zh-CN"/>
        </w:rPr>
        <w:t>（二）</w:t>
      </w:r>
      <w:r>
        <w:rPr>
          <w:rFonts w:hint="eastAsia" w:ascii="仿宋_GB2312" w:hAnsi="仿宋_GB2312" w:eastAsia="仿宋_GB2312" w:cs="仿宋_GB2312"/>
          <w:b/>
          <w:sz w:val="32"/>
          <w:szCs w:val="32"/>
        </w:rPr>
        <w:t>实施目的及支持方向。</w:t>
      </w:r>
      <w:r>
        <w:rPr>
          <w:rFonts w:hint="eastAsia" w:ascii="仿宋_GB2312" w:hAnsi="仿宋_GB2312" w:eastAsia="仿宋_GB2312" w:cs="仿宋_GB2312"/>
          <w:bCs/>
          <w:sz w:val="32"/>
          <w:szCs w:val="32"/>
        </w:rPr>
        <w:t xml:space="preserve">2023年，幻方量化继续向中国青少年发展基金会捐款实施“希望工程1+1——幻方助学计划”，资助我省的66个原国家级贫困县5200名小学一年级家庭困难女学生，为她们提供学习生活补助，帮助她们更好地完成学业、健康快乐成长。                             </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outlineLvl w:val="9"/>
        <w:rPr>
          <w:rFonts w:hint="eastAsia" w:ascii="仿宋_GB2312" w:hAnsi="仿宋_GB2312" w:eastAsia="仿宋_GB2312" w:cs="仿宋_GB2312"/>
          <w:sz w:val="32"/>
          <w:szCs w:val="32"/>
          <w:shd w:val="clear" w:color="auto" w:fill="FFFFFF"/>
          <w:lang w:val="zh-CN"/>
        </w:rPr>
      </w:pPr>
      <w:r>
        <w:rPr>
          <w:rFonts w:hint="eastAsia" w:ascii="仿宋_GB2312" w:hAnsi="仿宋_GB2312" w:eastAsia="仿宋_GB2312" w:cs="仿宋_GB2312"/>
          <w:b/>
          <w:sz w:val="32"/>
          <w:szCs w:val="32"/>
          <w:lang w:val="zh-CN"/>
        </w:rPr>
        <w:t>（三）</w:t>
      </w:r>
      <w:r>
        <w:rPr>
          <w:rFonts w:hint="eastAsia" w:ascii="仿宋_GB2312" w:hAnsi="仿宋_GB2312" w:eastAsia="仿宋_GB2312" w:cs="仿宋_GB2312"/>
          <w:b/>
          <w:sz w:val="32"/>
          <w:szCs w:val="32"/>
        </w:rPr>
        <w:t>预算安排及分配管理</w:t>
      </w:r>
      <w:r>
        <w:rPr>
          <w:rFonts w:hint="eastAsia" w:ascii="仿宋_GB2312" w:hAnsi="仿宋_GB2312" w:eastAsia="仿宋_GB2312" w:cs="仿宋_GB2312"/>
          <w:b/>
          <w:sz w:val="32"/>
          <w:szCs w:val="32"/>
          <w:lang w:val="zh-CN"/>
        </w:rPr>
        <w:t>。</w:t>
      </w:r>
      <w:r>
        <w:rPr>
          <w:rFonts w:hint="eastAsia" w:ascii="仿宋_GB2312" w:hAnsi="仿宋_GB2312" w:eastAsia="仿宋_GB2312" w:cs="仿宋_GB2312"/>
          <w:bCs/>
          <w:sz w:val="32"/>
          <w:szCs w:val="32"/>
          <w:lang w:val="zh-CN"/>
        </w:rPr>
        <w:t>该项目预算执行数4.1万元。具体为按照每人1000元的资助标准，茂县资助学生共计41人，合计4.1万元。来源为四川省青少年发展基金会。</w:t>
      </w:r>
    </w:p>
    <w:p>
      <w:pPr>
        <w:keepNext w:val="0"/>
        <w:keepLines w:val="0"/>
        <w:pageBreakBefore w:val="0"/>
        <w:widowControl/>
        <w:kinsoku/>
        <w:wordWrap/>
        <w:overflowPunct/>
        <w:topLinePunct w:val="0"/>
        <w:autoSpaceDE/>
        <w:autoSpaceDN/>
        <w:bidi w:val="0"/>
        <w:adjustRightInd w:val="0"/>
        <w:snapToGrid w:val="0"/>
        <w:spacing w:line="560" w:lineRule="exact"/>
        <w:ind w:right="-57" w:rightChars="-27" w:firstLine="643" w:firstLineChars="200"/>
        <w:contextualSpacing/>
        <w:jc w:val="left"/>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lang w:val="zh-CN"/>
        </w:rPr>
        <w:t>（四）项目绩效目标设置。</w:t>
      </w:r>
      <w:r>
        <w:rPr>
          <w:rFonts w:hint="eastAsia" w:ascii="仿宋_GB2312" w:hAnsi="仿宋_GB2312" w:eastAsia="仿宋_GB2312" w:cs="仿宋_GB2312"/>
          <w:sz w:val="32"/>
          <w:szCs w:val="32"/>
        </w:rPr>
        <w:t>预期成果：资助41</w:t>
      </w:r>
      <w:r>
        <w:rPr>
          <w:rFonts w:hint="eastAsia" w:ascii="仿宋_GB2312" w:hAnsi="仿宋_GB2312" w:eastAsia="仿宋_GB2312" w:cs="仿宋_GB2312"/>
          <w:bCs/>
          <w:sz w:val="32"/>
          <w:szCs w:val="32"/>
        </w:rPr>
        <w:t xml:space="preserve">名小学一年级家庭困难女学生，为她们提供学习生活补助，帮助她们更好地完成学业、健康快乐成长。 </w:t>
      </w:r>
    </w:p>
    <w:p>
      <w:pPr>
        <w:keepNext w:val="0"/>
        <w:keepLines w:val="0"/>
        <w:pageBreakBefore w:val="0"/>
        <w:widowControl/>
        <w:kinsoku/>
        <w:wordWrap/>
        <w:overflowPunct/>
        <w:topLinePunct w:val="0"/>
        <w:autoSpaceDE/>
        <w:autoSpaceDN/>
        <w:bidi w:val="0"/>
        <w:adjustRightInd w:val="0"/>
        <w:snapToGrid w:val="0"/>
        <w:spacing w:line="560" w:lineRule="exact"/>
        <w:ind w:right="-57" w:rightChars="-27"/>
        <w:contextualSpacing/>
        <w:jc w:val="center"/>
        <w:textAlignment w:val="auto"/>
        <w:outlineLvl w:val="9"/>
        <w:rPr>
          <w:rFonts w:hint="eastAsia" w:ascii="仿宋_GB2312" w:hAnsi="仿宋_GB2312" w:eastAsia="仿宋_GB2312" w:cs="仿宋_GB2312"/>
          <w:b/>
          <w:bCs/>
          <w:sz w:val="32"/>
          <w:szCs w:val="32"/>
        </w:rPr>
      </w:pPr>
    </w:p>
    <w:p>
      <w:pPr>
        <w:keepNext w:val="0"/>
        <w:keepLines w:val="0"/>
        <w:pageBreakBefore w:val="0"/>
        <w:widowControl/>
        <w:kinsoku/>
        <w:wordWrap/>
        <w:overflowPunct/>
        <w:topLinePunct w:val="0"/>
        <w:autoSpaceDE/>
        <w:autoSpaceDN/>
        <w:bidi w:val="0"/>
        <w:adjustRightInd w:val="0"/>
        <w:snapToGrid w:val="0"/>
        <w:spacing w:line="560" w:lineRule="exact"/>
        <w:ind w:right="-57" w:rightChars="-27"/>
        <w:contextualSpacing/>
        <w:jc w:val="center"/>
        <w:textAlignment w:val="auto"/>
        <w:outlineLvl w:val="9"/>
        <w:rPr>
          <w:rFonts w:hint="eastAsia" w:ascii="仿宋_GB2312" w:hAnsi="仿宋_GB2312" w:eastAsia="仿宋_GB2312" w:cs="仿宋_GB2312"/>
          <w:b/>
          <w:bCs/>
          <w:sz w:val="32"/>
          <w:szCs w:val="32"/>
        </w:rPr>
      </w:pPr>
    </w:p>
    <w:p>
      <w:pPr>
        <w:keepNext w:val="0"/>
        <w:keepLines w:val="0"/>
        <w:pageBreakBefore w:val="0"/>
        <w:widowControl/>
        <w:kinsoku/>
        <w:wordWrap/>
        <w:overflowPunct/>
        <w:topLinePunct w:val="0"/>
        <w:autoSpaceDE/>
        <w:autoSpaceDN/>
        <w:bidi w:val="0"/>
        <w:adjustRightInd w:val="0"/>
        <w:snapToGrid w:val="0"/>
        <w:spacing w:line="560" w:lineRule="exact"/>
        <w:ind w:right="-57" w:rightChars="-27"/>
        <w:contextualSpacing/>
        <w:jc w:val="center"/>
        <w:textAlignment w:val="auto"/>
        <w:outlineLvl w:val="9"/>
        <w:rPr>
          <w:rFonts w:hint="eastAsia" w:ascii="仿宋_GB2312" w:hAnsi="仿宋_GB2312" w:eastAsia="仿宋_GB2312" w:cs="仿宋_GB2312"/>
          <w:b/>
          <w:bCs/>
          <w:sz w:val="32"/>
          <w:szCs w:val="32"/>
        </w:rPr>
      </w:pPr>
    </w:p>
    <w:p>
      <w:pPr>
        <w:keepNext w:val="0"/>
        <w:keepLines w:val="0"/>
        <w:pageBreakBefore w:val="0"/>
        <w:widowControl/>
        <w:kinsoku/>
        <w:wordWrap/>
        <w:overflowPunct/>
        <w:topLinePunct w:val="0"/>
        <w:autoSpaceDE/>
        <w:autoSpaceDN/>
        <w:bidi w:val="0"/>
        <w:adjustRightInd w:val="0"/>
        <w:snapToGrid w:val="0"/>
        <w:spacing w:line="560" w:lineRule="exact"/>
        <w:ind w:right="-57" w:rightChars="-27"/>
        <w:contextualSpacing/>
        <w:jc w:val="center"/>
        <w:textAlignment w:val="auto"/>
        <w:outlineLvl w:val="9"/>
        <w:rPr>
          <w:rFonts w:hint="eastAsia" w:ascii="仿宋_GB2312" w:hAnsi="仿宋_GB2312" w:eastAsia="仿宋_GB2312" w:cs="仿宋_GB2312"/>
          <w:b/>
          <w:bCs/>
          <w:sz w:val="32"/>
          <w:szCs w:val="32"/>
        </w:rPr>
      </w:pPr>
    </w:p>
    <w:p>
      <w:pPr>
        <w:keepNext w:val="0"/>
        <w:keepLines w:val="0"/>
        <w:pageBreakBefore w:val="0"/>
        <w:widowControl/>
        <w:kinsoku/>
        <w:wordWrap/>
        <w:overflowPunct/>
        <w:topLinePunct w:val="0"/>
        <w:autoSpaceDE/>
        <w:autoSpaceDN/>
        <w:bidi w:val="0"/>
        <w:adjustRightInd w:val="0"/>
        <w:snapToGrid w:val="0"/>
        <w:spacing w:line="560" w:lineRule="exact"/>
        <w:ind w:right="-57" w:rightChars="-27"/>
        <w:contextualSpacing/>
        <w:jc w:val="center"/>
        <w:textAlignment w:val="auto"/>
        <w:outlineLvl w:val="9"/>
        <w:rPr>
          <w:rFonts w:hint="eastAsia" w:ascii="仿宋_GB2312" w:hAnsi="仿宋_GB2312" w:eastAsia="仿宋_GB2312" w:cs="仿宋_GB2312"/>
          <w:b/>
          <w:sz w:val="32"/>
          <w:szCs w:val="32"/>
          <w:shd w:val="clear" w:color="auto" w:fill="FFFFFF"/>
          <w:lang w:val="zh-CN"/>
        </w:rPr>
      </w:pPr>
      <w:r>
        <w:rPr>
          <w:rFonts w:hint="eastAsia" w:ascii="仿宋_GB2312" w:hAnsi="仿宋_GB2312" w:eastAsia="仿宋_GB2312" w:cs="仿宋_GB2312"/>
          <w:b/>
          <w:bCs/>
          <w:sz w:val="32"/>
          <w:szCs w:val="32"/>
        </w:rPr>
        <w:t>幻方助学计划资助款资金项目绩效目标表</w:t>
      </w:r>
    </w:p>
    <w:tbl>
      <w:tblPr>
        <w:tblStyle w:val="26"/>
        <w:tblpPr w:leftFromText="180" w:rightFromText="180" w:vertAnchor="text" w:horzAnchor="page" w:tblpXSpec="center" w:tblpY="265"/>
        <w:tblOverlap w:val="never"/>
        <w:tblW w:w="10015" w:type="dxa"/>
        <w:tblInd w:w="0" w:type="dxa"/>
        <w:tblLayout w:type="fixed"/>
        <w:tblCellMar>
          <w:top w:w="0" w:type="dxa"/>
          <w:left w:w="108" w:type="dxa"/>
          <w:bottom w:w="0" w:type="dxa"/>
          <w:right w:w="108" w:type="dxa"/>
        </w:tblCellMar>
      </w:tblPr>
      <w:tblGrid>
        <w:gridCol w:w="520"/>
        <w:gridCol w:w="1287"/>
        <w:gridCol w:w="2025"/>
        <w:gridCol w:w="1710"/>
        <w:gridCol w:w="1035"/>
        <w:gridCol w:w="1035"/>
        <w:gridCol w:w="1023"/>
        <w:gridCol w:w="915"/>
        <w:gridCol w:w="465"/>
      </w:tblGrid>
      <w:tr>
        <w:tblPrEx>
          <w:tblCellMar>
            <w:top w:w="0" w:type="dxa"/>
            <w:left w:w="108" w:type="dxa"/>
            <w:bottom w:w="0" w:type="dxa"/>
            <w:right w:w="108" w:type="dxa"/>
          </w:tblCellMar>
        </w:tblPrEx>
        <w:trPr>
          <w:trHeight w:val="503" w:hRule="atLeast"/>
        </w:trPr>
        <w:tc>
          <w:tcPr>
            <w:tcW w:w="520" w:type="dxa"/>
            <w:vMerge w:val="restart"/>
            <w:tcBorders>
              <w:top w:val="single" w:color="000000" w:sz="4" w:space="0"/>
              <w:left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21"/>
                <w:szCs w:val="21"/>
                <w:lang w:bidi="ar"/>
              </w:rPr>
            </w:pPr>
            <w:r>
              <w:rPr>
                <w:rFonts w:hint="eastAsia" w:ascii="宋体" w:hAnsi="宋体"/>
                <w:b/>
                <w:bCs/>
                <w:color w:val="000000"/>
                <w:sz w:val="21"/>
                <w:szCs w:val="21"/>
                <w:lang w:bidi="ar"/>
              </w:rPr>
              <w:t>绩效 指标</w:t>
            </w:r>
          </w:p>
        </w:tc>
        <w:tc>
          <w:tcPr>
            <w:tcW w:w="1287"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21"/>
                <w:szCs w:val="21"/>
              </w:rPr>
            </w:pPr>
            <w:r>
              <w:rPr>
                <w:rFonts w:hint="eastAsia" w:ascii="宋体" w:hAnsi="宋体"/>
                <w:b/>
                <w:bCs/>
                <w:color w:val="000000"/>
                <w:sz w:val="21"/>
                <w:szCs w:val="21"/>
                <w:lang w:bidi="ar"/>
              </w:rPr>
              <w:t>一级指标</w:t>
            </w:r>
          </w:p>
        </w:tc>
        <w:tc>
          <w:tcPr>
            <w:tcW w:w="202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21"/>
                <w:szCs w:val="21"/>
              </w:rPr>
            </w:pPr>
            <w:r>
              <w:rPr>
                <w:rFonts w:hint="eastAsia" w:ascii="宋体" w:hAnsi="宋体"/>
                <w:b/>
                <w:bCs/>
                <w:color w:val="000000"/>
                <w:sz w:val="21"/>
                <w:szCs w:val="21"/>
                <w:lang w:bidi="ar"/>
              </w:rPr>
              <w:t>二级指标</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21"/>
                <w:szCs w:val="21"/>
              </w:rPr>
            </w:pPr>
            <w:r>
              <w:rPr>
                <w:rFonts w:hint="eastAsia" w:ascii="宋体" w:hAnsi="宋体"/>
                <w:b/>
                <w:bCs/>
                <w:color w:val="000000"/>
                <w:sz w:val="21"/>
                <w:szCs w:val="21"/>
                <w:lang w:bidi="ar"/>
              </w:rPr>
              <w:t>三级指标</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21"/>
                <w:szCs w:val="21"/>
              </w:rPr>
            </w:pPr>
            <w:r>
              <w:rPr>
                <w:rFonts w:hint="eastAsia" w:ascii="宋体" w:hAnsi="宋体"/>
                <w:b/>
                <w:bCs/>
                <w:color w:val="000000"/>
                <w:sz w:val="21"/>
                <w:szCs w:val="21"/>
                <w:lang w:bidi="ar"/>
              </w:rPr>
              <w:t>指标性质</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21"/>
                <w:szCs w:val="21"/>
              </w:rPr>
            </w:pPr>
            <w:r>
              <w:rPr>
                <w:rFonts w:hint="eastAsia" w:ascii="宋体" w:hAnsi="宋体"/>
                <w:b/>
                <w:bCs/>
                <w:color w:val="000000"/>
                <w:sz w:val="21"/>
                <w:szCs w:val="21"/>
                <w:lang w:bidi="ar"/>
              </w:rPr>
              <w:t>指标值</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21"/>
                <w:szCs w:val="21"/>
              </w:rPr>
            </w:pPr>
            <w:r>
              <w:rPr>
                <w:rFonts w:hint="eastAsia" w:ascii="宋体" w:hAnsi="宋体"/>
                <w:b/>
                <w:bCs/>
                <w:color w:val="000000"/>
                <w:sz w:val="21"/>
                <w:szCs w:val="21"/>
                <w:lang w:bidi="ar"/>
              </w:rPr>
              <w:t>度量单位</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21"/>
                <w:szCs w:val="21"/>
              </w:rPr>
            </w:pPr>
            <w:r>
              <w:rPr>
                <w:rFonts w:hint="eastAsia" w:ascii="宋体" w:hAnsi="宋体"/>
                <w:b/>
                <w:bCs/>
                <w:color w:val="000000"/>
                <w:sz w:val="21"/>
                <w:szCs w:val="21"/>
                <w:lang w:bidi="ar"/>
              </w:rPr>
              <w:t>权重（%）</w:t>
            </w:r>
          </w:p>
        </w:tc>
        <w:tc>
          <w:tcPr>
            <w:tcW w:w="46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21"/>
                <w:szCs w:val="21"/>
              </w:rPr>
            </w:pPr>
            <w:r>
              <w:rPr>
                <w:rFonts w:hint="eastAsia" w:ascii="宋体" w:hAnsi="宋体"/>
                <w:b/>
                <w:bCs/>
                <w:color w:val="000000"/>
                <w:sz w:val="21"/>
                <w:szCs w:val="21"/>
                <w:lang w:bidi="ar"/>
              </w:rPr>
              <w:t>备注</w:t>
            </w:r>
          </w:p>
        </w:tc>
      </w:tr>
      <w:tr>
        <w:tblPrEx>
          <w:tblCellMar>
            <w:top w:w="0" w:type="dxa"/>
            <w:left w:w="108" w:type="dxa"/>
            <w:bottom w:w="0" w:type="dxa"/>
            <w:right w:w="108" w:type="dxa"/>
          </w:tblCellMar>
        </w:tblPrEx>
        <w:trPr>
          <w:trHeight w:val="571" w:hRule="atLeast"/>
        </w:trPr>
        <w:tc>
          <w:tcPr>
            <w:tcW w:w="520" w:type="dxa"/>
            <w:vMerge w:val="continue"/>
            <w:tcBorders>
              <w:left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lang w:bidi="ar"/>
              </w:rPr>
            </w:pPr>
          </w:p>
        </w:tc>
        <w:tc>
          <w:tcPr>
            <w:tcW w:w="1287" w:type="dxa"/>
            <w:vMerge w:val="restart"/>
            <w:tcBorders>
              <w:top w:val="single" w:color="000000" w:sz="4" w:space="0"/>
              <w:left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1"/>
                <w:szCs w:val="21"/>
                <w:lang w:bidi="ar"/>
              </w:rPr>
            </w:pPr>
            <w:r>
              <w:rPr>
                <w:rFonts w:hint="eastAsia" w:ascii="宋体" w:hAnsi="宋体"/>
                <w:color w:val="000000"/>
                <w:sz w:val="21"/>
                <w:szCs w:val="21"/>
                <w:lang w:bidi="ar"/>
              </w:rPr>
              <w:t>项目完成</w:t>
            </w:r>
          </w:p>
          <w:p>
            <w:pPr>
              <w:pageBreakBefore w:val="0"/>
              <w:widowControl/>
              <w:kinsoku/>
              <w:wordWrap/>
              <w:overflowPunct/>
              <w:topLinePunct w:val="0"/>
              <w:autoSpaceDE/>
              <w:autoSpaceDN/>
              <w:bidi w:val="0"/>
              <w:jc w:val="center"/>
              <w:textAlignment w:val="center"/>
              <w:outlineLvl w:val="9"/>
              <w:rPr>
                <w:rFonts w:hint="eastAsia" w:ascii="宋体" w:hAnsi="宋体"/>
                <w:color w:val="000000"/>
                <w:sz w:val="21"/>
                <w:szCs w:val="21"/>
              </w:rPr>
            </w:pPr>
            <w:r>
              <w:rPr>
                <w:rFonts w:hint="eastAsia" w:ascii="宋体" w:hAnsi="宋体"/>
                <w:color w:val="000000"/>
                <w:sz w:val="21"/>
                <w:szCs w:val="21"/>
                <w:lang w:bidi="ar"/>
              </w:rPr>
              <w:t>指标</w:t>
            </w:r>
          </w:p>
        </w:tc>
        <w:tc>
          <w:tcPr>
            <w:tcW w:w="202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1"/>
                <w:szCs w:val="21"/>
              </w:rPr>
            </w:pPr>
            <w:r>
              <w:rPr>
                <w:rFonts w:hint="eastAsia" w:ascii="宋体" w:hAnsi="宋体"/>
                <w:color w:val="000000"/>
                <w:sz w:val="21"/>
                <w:szCs w:val="21"/>
                <w:lang w:bidi="ar"/>
              </w:rPr>
              <w:t>数量指标</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1"/>
                <w:szCs w:val="21"/>
              </w:rPr>
            </w:pPr>
            <w:r>
              <w:rPr>
                <w:rFonts w:hint="eastAsia" w:ascii="宋体" w:hAnsi="宋体"/>
                <w:color w:val="000000"/>
                <w:sz w:val="21"/>
                <w:szCs w:val="21"/>
                <w:lang w:bidi="ar"/>
              </w:rPr>
              <w:t>资助学生人数</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41</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人</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10</w:t>
            </w:r>
          </w:p>
        </w:tc>
        <w:tc>
          <w:tcPr>
            <w:tcW w:w="465"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outlineLvl w:val="9"/>
              <w:rPr>
                <w:rFonts w:hint="eastAsia" w:ascii="宋体" w:hAnsi="宋体"/>
                <w:color w:val="000000"/>
                <w:sz w:val="21"/>
                <w:szCs w:val="21"/>
              </w:rPr>
            </w:pPr>
          </w:p>
        </w:tc>
      </w:tr>
      <w:tr>
        <w:tblPrEx>
          <w:tblCellMar>
            <w:top w:w="0" w:type="dxa"/>
            <w:left w:w="108" w:type="dxa"/>
            <w:bottom w:w="0" w:type="dxa"/>
            <w:right w:w="108" w:type="dxa"/>
          </w:tblCellMar>
        </w:tblPrEx>
        <w:trPr>
          <w:trHeight w:val="240" w:hRule="atLeast"/>
        </w:trPr>
        <w:tc>
          <w:tcPr>
            <w:tcW w:w="520" w:type="dxa"/>
            <w:vMerge w:val="continue"/>
            <w:tcBorders>
              <w:left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lang w:bidi="ar"/>
              </w:rPr>
            </w:pPr>
          </w:p>
        </w:tc>
        <w:tc>
          <w:tcPr>
            <w:tcW w:w="1287" w:type="dxa"/>
            <w:vMerge w:val="continue"/>
            <w:tcBorders>
              <w:left w:val="single" w:color="000000" w:sz="4" w:space="0"/>
              <w:right w:val="single" w:color="000000" w:sz="4" w:space="0"/>
            </w:tcBorders>
            <w:noWrap/>
            <w:vAlign w:val="center"/>
          </w:tcPr>
          <w:p>
            <w:pPr>
              <w:pageBreakBefore w:val="0"/>
              <w:kinsoku/>
              <w:wordWrap/>
              <w:overflowPunct/>
              <w:topLinePunct w:val="0"/>
              <w:autoSpaceDE/>
              <w:autoSpaceDN/>
              <w:bidi w:val="0"/>
              <w:jc w:val="left"/>
              <w:textAlignment w:val="center"/>
              <w:outlineLvl w:val="9"/>
              <w:rPr>
                <w:rFonts w:hint="eastAsia" w:ascii="宋体" w:hAnsi="宋体"/>
                <w:color w:val="000000"/>
                <w:sz w:val="21"/>
                <w:szCs w:val="21"/>
              </w:rPr>
            </w:pPr>
          </w:p>
        </w:tc>
        <w:tc>
          <w:tcPr>
            <w:tcW w:w="202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1"/>
                <w:szCs w:val="21"/>
              </w:rPr>
            </w:pPr>
            <w:r>
              <w:rPr>
                <w:rFonts w:hint="eastAsia" w:ascii="宋体" w:hAnsi="宋体"/>
                <w:color w:val="000000"/>
                <w:sz w:val="21"/>
                <w:szCs w:val="21"/>
                <w:lang w:bidi="ar"/>
              </w:rPr>
              <w:t>数量指标</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1"/>
                <w:szCs w:val="21"/>
              </w:rPr>
            </w:pPr>
            <w:r>
              <w:rPr>
                <w:rFonts w:hint="eastAsia" w:ascii="宋体" w:hAnsi="宋体"/>
                <w:color w:val="000000"/>
                <w:sz w:val="21"/>
                <w:szCs w:val="21"/>
                <w:lang w:bidi="ar"/>
              </w:rPr>
              <w:t>每名学生资助金额</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1000</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元</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10</w:t>
            </w:r>
          </w:p>
        </w:tc>
        <w:tc>
          <w:tcPr>
            <w:tcW w:w="465"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outlineLvl w:val="9"/>
              <w:rPr>
                <w:rFonts w:hint="eastAsia" w:ascii="宋体" w:hAnsi="宋体"/>
                <w:color w:val="000000"/>
                <w:sz w:val="21"/>
                <w:szCs w:val="21"/>
              </w:rPr>
            </w:pPr>
          </w:p>
        </w:tc>
      </w:tr>
      <w:tr>
        <w:tblPrEx>
          <w:tblCellMar>
            <w:top w:w="0" w:type="dxa"/>
            <w:left w:w="108" w:type="dxa"/>
            <w:bottom w:w="0" w:type="dxa"/>
            <w:right w:w="108" w:type="dxa"/>
          </w:tblCellMar>
        </w:tblPrEx>
        <w:trPr>
          <w:trHeight w:val="588" w:hRule="atLeast"/>
        </w:trPr>
        <w:tc>
          <w:tcPr>
            <w:tcW w:w="520" w:type="dxa"/>
            <w:vMerge w:val="continue"/>
            <w:tcBorders>
              <w:left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lang w:bidi="ar"/>
              </w:rPr>
            </w:pPr>
          </w:p>
        </w:tc>
        <w:tc>
          <w:tcPr>
            <w:tcW w:w="1287" w:type="dxa"/>
            <w:vMerge w:val="continue"/>
            <w:tcBorders>
              <w:left w:val="single" w:color="000000" w:sz="4" w:space="0"/>
              <w:right w:val="single" w:color="000000" w:sz="4" w:space="0"/>
            </w:tcBorders>
            <w:noWrap/>
            <w:vAlign w:val="center"/>
          </w:tcPr>
          <w:p>
            <w:pPr>
              <w:pageBreakBefore w:val="0"/>
              <w:kinsoku/>
              <w:wordWrap/>
              <w:overflowPunct/>
              <w:topLinePunct w:val="0"/>
              <w:autoSpaceDE/>
              <w:autoSpaceDN/>
              <w:bidi w:val="0"/>
              <w:jc w:val="left"/>
              <w:textAlignment w:val="center"/>
              <w:outlineLvl w:val="9"/>
              <w:rPr>
                <w:rFonts w:hint="eastAsia" w:ascii="宋体" w:hAnsi="宋体"/>
                <w:color w:val="000000"/>
                <w:sz w:val="21"/>
                <w:szCs w:val="21"/>
              </w:rPr>
            </w:pPr>
          </w:p>
        </w:tc>
        <w:tc>
          <w:tcPr>
            <w:tcW w:w="202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1"/>
                <w:szCs w:val="21"/>
              </w:rPr>
            </w:pPr>
            <w:r>
              <w:rPr>
                <w:rFonts w:hint="eastAsia" w:ascii="宋体" w:hAnsi="宋体"/>
                <w:color w:val="000000"/>
                <w:sz w:val="21"/>
                <w:szCs w:val="21"/>
                <w:lang w:bidi="ar"/>
              </w:rPr>
              <w:t>时效指标</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1"/>
                <w:szCs w:val="21"/>
              </w:rPr>
            </w:pPr>
            <w:r>
              <w:rPr>
                <w:rFonts w:hint="eastAsia" w:ascii="宋体" w:hAnsi="宋体"/>
                <w:color w:val="000000"/>
                <w:sz w:val="21"/>
                <w:szCs w:val="21"/>
                <w:lang w:bidi="ar"/>
              </w:rPr>
              <w:t>项目完成及时率</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定性</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100</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日</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10</w:t>
            </w:r>
          </w:p>
        </w:tc>
        <w:tc>
          <w:tcPr>
            <w:tcW w:w="465"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outlineLvl w:val="9"/>
              <w:rPr>
                <w:rFonts w:hint="eastAsia" w:ascii="宋体" w:hAnsi="宋体"/>
                <w:color w:val="000000"/>
                <w:sz w:val="21"/>
                <w:szCs w:val="21"/>
              </w:rPr>
            </w:pPr>
          </w:p>
        </w:tc>
      </w:tr>
      <w:tr>
        <w:tblPrEx>
          <w:tblCellMar>
            <w:top w:w="0" w:type="dxa"/>
            <w:left w:w="108" w:type="dxa"/>
            <w:bottom w:w="0" w:type="dxa"/>
            <w:right w:w="108" w:type="dxa"/>
          </w:tblCellMar>
        </w:tblPrEx>
        <w:trPr>
          <w:trHeight w:val="554" w:hRule="atLeast"/>
        </w:trPr>
        <w:tc>
          <w:tcPr>
            <w:tcW w:w="520" w:type="dxa"/>
            <w:vMerge w:val="continue"/>
            <w:tcBorders>
              <w:left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lang w:bidi="ar"/>
              </w:rPr>
            </w:pPr>
          </w:p>
        </w:tc>
        <w:tc>
          <w:tcPr>
            <w:tcW w:w="1287" w:type="dxa"/>
            <w:vMerge w:val="continue"/>
            <w:tcBorders>
              <w:left w:val="single" w:color="000000" w:sz="4" w:space="0"/>
              <w:right w:val="single" w:color="000000" w:sz="4" w:space="0"/>
            </w:tcBorders>
            <w:noWrap/>
            <w:vAlign w:val="center"/>
          </w:tcPr>
          <w:p>
            <w:pPr>
              <w:pageBreakBefore w:val="0"/>
              <w:kinsoku/>
              <w:wordWrap/>
              <w:overflowPunct/>
              <w:topLinePunct w:val="0"/>
              <w:autoSpaceDE/>
              <w:autoSpaceDN/>
              <w:bidi w:val="0"/>
              <w:jc w:val="left"/>
              <w:textAlignment w:val="center"/>
              <w:outlineLvl w:val="9"/>
              <w:rPr>
                <w:rFonts w:hint="eastAsia" w:ascii="宋体" w:hAnsi="宋体"/>
                <w:color w:val="000000"/>
                <w:sz w:val="21"/>
                <w:szCs w:val="21"/>
              </w:rPr>
            </w:pPr>
          </w:p>
        </w:tc>
        <w:tc>
          <w:tcPr>
            <w:tcW w:w="202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1"/>
                <w:szCs w:val="21"/>
              </w:rPr>
            </w:pPr>
            <w:r>
              <w:rPr>
                <w:rFonts w:hint="eastAsia" w:ascii="宋体" w:hAnsi="宋体"/>
                <w:color w:val="000000"/>
                <w:sz w:val="21"/>
                <w:szCs w:val="21"/>
                <w:lang w:bidi="ar"/>
              </w:rPr>
              <w:t>数量指标</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1"/>
                <w:szCs w:val="21"/>
              </w:rPr>
            </w:pPr>
            <w:r>
              <w:rPr>
                <w:rFonts w:hint="eastAsia" w:ascii="宋体" w:hAnsi="宋体"/>
                <w:color w:val="000000"/>
                <w:sz w:val="21"/>
                <w:szCs w:val="21"/>
                <w:lang w:bidi="ar"/>
              </w:rPr>
              <w:t>及时将资助款拨付至受助人</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定性</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100</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日</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10</w:t>
            </w:r>
          </w:p>
        </w:tc>
        <w:tc>
          <w:tcPr>
            <w:tcW w:w="465"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outlineLvl w:val="9"/>
              <w:rPr>
                <w:rFonts w:hint="eastAsia" w:ascii="宋体" w:hAnsi="宋体"/>
                <w:color w:val="000000"/>
                <w:sz w:val="21"/>
                <w:szCs w:val="21"/>
              </w:rPr>
            </w:pPr>
          </w:p>
        </w:tc>
      </w:tr>
      <w:tr>
        <w:tblPrEx>
          <w:tblCellMar>
            <w:top w:w="0" w:type="dxa"/>
            <w:left w:w="108" w:type="dxa"/>
            <w:bottom w:w="0" w:type="dxa"/>
            <w:right w:w="108" w:type="dxa"/>
          </w:tblCellMar>
        </w:tblPrEx>
        <w:trPr>
          <w:trHeight w:val="240" w:hRule="atLeast"/>
        </w:trPr>
        <w:tc>
          <w:tcPr>
            <w:tcW w:w="520" w:type="dxa"/>
            <w:vMerge w:val="continue"/>
            <w:tcBorders>
              <w:left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lang w:bidi="ar"/>
              </w:rPr>
            </w:pPr>
          </w:p>
        </w:tc>
        <w:tc>
          <w:tcPr>
            <w:tcW w:w="1287" w:type="dxa"/>
            <w:vMerge w:val="continue"/>
            <w:tcBorders>
              <w:left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p>
        </w:tc>
        <w:tc>
          <w:tcPr>
            <w:tcW w:w="202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1"/>
                <w:szCs w:val="21"/>
              </w:rPr>
            </w:pPr>
            <w:r>
              <w:rPr>
                <w:rFonts w:hint="eastAsia" w:ascii="宋体" w:hAnsi="宋体"/>
                <w:color w:val="000000"/>
                <w:sz w:val="21"/>
                <w:szCs w:val="21"/>
                <w:lang w:bidi="ar"/>
              </w:rPr>
              <w:t>可持续影响指标</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1"/>
                <w:szCs w:val="21"/>
              </w:rPr>
            </w:pPr>
            <w:r>
              <w:rPr>
                <w:rFonts w:hint="eastAsia" w:ascii="宋体" w:hAnsi="宋体"/>
                <w:color w:val="000000"/>
                <w:sz w:val="21"/>
                <w:szCs w:val="21"/>
                <w:lang w:bidi="ar"/>
              </w:rPr>
              <w:t>保障受助人及时收到资助款</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定性</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100</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日</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25</w:t>
            </w:r>
          </w:p>
        </w:tc>
        <w:tc>
          <w:tcPr>
            <w:tcW w:w="465"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outlineLvl w:val="9"/>
              <w:rPr>
                <w:rFonts w:hint="eastAsia" w:ascii="宋体" w:hAnsi="宋体"/>
                <w:color w:val="000000"/>
                <w:sz w:val="21"/>
                <w:szCs w:val="21"/>
              </w:rPr>
            </w:pPr>
          </w:p>
        </w:tc>
      </w:tr>
      <w:tr>
        <w:tblPrEx>
          <w:tblCellMar>
            <w:top w:w="0" w:type="dxa"/>
            <w:left w:w="108" w:type="dxa"/>
            <w:bottom w:w="0" w:type="dxa"/>
            <w:right w:w="108" w:type="dxa"/>
          </w:tblCellMar>
        </w:tblPrEx>
        <w:trPr>
          <w:trHeight w:val="756" w:hRule="atLeast"/>
        </w:trPr>
        <w:tc>
          <w:tcPr>
            <w:tcW w:w="520" w:type="dxa"/>
            <w:vMerge w:val="continue"/>
            <w:tcBorders>
              <w:left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lang w:bidi="ar"/>
              </w:rPr>
            </w:pPr>
          </w:p>
        </w:tc>
        <w:tc>
          <w:tcPr>
            <w:tcW w:w="1287" w:type="dxa"/>
            <w:vMerge w:val="continue"/>
            <w:tcBorders>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p>
        </w:tc>
        <w:tc>
          <w:tcPr>
            <w:tcW w:w="202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1"/>
                <w:szCs w:val="21"/>
                <w:lang w:bidi="ar"/>
              </w:rPr>
            </w:pPr>
            <w:r>
              <w:rPr>
                <w:rFonts w:hint="eastAsia" w:ascii="宋体" w:hAnsi="宋体"/>
                <w:color w:val="000000"/>
                <w:sz w:val="21"/>
                <w:szCs w:val="21"/>
                <w:lang w:bidi="ar"/>
              </w:rPr>
              <w:t>社会效益指标</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1"/>
                <w:szCs w:val="21"/>
                <w:lang w:bidi="ar"/>
              </w:rPr>
            </w:pPr>
            <w:r>
              <w:rPr>
                <w:rFonts w:hint="eastAsia" w:ascii="宋体" w:hAnsi="宋体"/>
                <w:color w:val="000000"/>
                <w:sz w:val="21"/>
                <w:szCs w:val="21"/>
                <w:lang w:bidi="ar"/>
              </w:rPr>
              <w:t>保障资助款拨付到位</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lang w:bidi="ar"/>
              </w:rPr>
            </w:pPr>
            <w:r>
              <w:rPr>
                <w:rFonts w:hint="eastAsia" w:ascii="宋体" w:hAnsi="宋体"/>
                <w:color w:val="000000"/>
                <w:sz w:val="21"/>
                <w:szCs w:val="21"/>
                <w:lang w:bidi="ar"/>
              </w:rPr>
              <w:t>定性</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lang w:bidi="ar"/>
              </w:rPr>
            </w:pPr>
            <w:r>
              <w:rPr>
                <w:rFonts w:hint="eastAsia" w:ascii="宋体" w:hAnsi="宋体"/>
                <w:color w:val="000000"/>
                <w:sz w:val="21"/>
                <w:szCs w:val="21"/>
                <w:lang w:bidi="ar"/>
              </w:rPr>
              <w:t>100</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lang w:bidi="ar"/>
              </w:rPr>
            </w:pPr>
            <w:r>
              <w:rPr>
                <w:rFonts w:hint="eastAsia" w:ascii="宋体" w:hAnsi="宋体"/>
                <w:color w:val="000000"/>
                <w:sz w:val="21"/>
                <w:szCs w:val="21"/>
                <w:lang w:bidi="ar"/>
              </w:rPr>
              <w:t>日</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lang w:bidi="ar"/>
              </w:rPr>
            </w:pPr>
            <w:r>
              <w:rPr>
                <w:rFonts w:hint="eastAsia" w:ascii="宋体" w:hAnsi="宋体"/>
                <w:color w:val="000000"/>
                <w:sz w:val="21"/>
                <w:szCs w:val="21"/>
                <w:lang w:bidi="ar"/>
              </w:rPr>
              <w:t>30</w:t>
            </w:r>
          </w:p>
        </w:tc>
        <w:tc>
          <w:tcPr>
            <w:tcW w:w="465"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outlineLvl w:val="9"/>
              <w:rPr>
                <w:rFonts w:hint="eastAsia" w:ascii="宋体" w:hAnsi="宋体"/>
                <w:color w:val="000000"/>
                <w:sz w:val="21"/>
                <w:szCs w:val="21"/>
              </w:rPr>
            </w:pPr>
          </w:p>
        </w:tc>
      </w:tr>
      <w:tr>
        <w:tblPrEx>
          <w:tblCellMar>
            <w:top w:w="0" w:type="dxa"/>
            <w:left w:w="108" w:type="dxa"/>
            <w:bottom w:w="0" w:type="dxa"/>
            <w:right w:w="108" w:type="dxa"/>
          </w:tblCellMar>
        </w:tblPrEx>
        <w:trPr>
          <w:trHeight w:val="240" w:hRule="atLeast"/>
        </w:trPr>
        <w:tc>
          <w:tcPr>
            <w:tcW w:w="520" w:type="dxa"/>
            <w:vMerge w:val="continue"/>
            <w:tcBorders>
              <w:left w:val="single" w:color="000000" w:sz="4" w:space="0"/>
              <w:bottom w:val="single" w:color="auto"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lang w:bidi="ar"/>
              </w:rPr>
            </w:pPr>
          </w:p>
        </w:tc>
        <w:tc>
          <w:tcPr>
            <w:tcW w:w="1287" w:type="dxa"/>
            <w:tcBorders>
              <w:top w:val="single" w:color="000000" w:sz="4" w:space="0"/>
              <w:left w:val="single" w:color="000000" w:sz="4" w:space="0"/>
              <w:bottom w:val="single" w:color="auto"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满意度指标</w:t>
            </w:r>
          </w:p>
        </w:tc>
        <w:tc>
          <w:tcPr>
            <w:tcW w:w="202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1"/>
                <w:szCs w:val="21"/>
              </w:rPr>
            </w:pPr>
            <w:r>
              <w:rPr>
                <w:rFonts w:hint="eastAsia" w:ascii="宋体" w:hAnsi="宋体"/>
                <w:color w:val="000000"/>
                <w:sz w:val="21"/>
                <w:szCs w:val="21"/>
                <w:lang w:bidi="ar"/>
              </w:rPr>
              <w:t>服务对象满意度指标</w:t>
            </w:r>
          </w:p>
        </w:tc>
        <w:tc>
          <w:tcPr>
            <w:tcW w:w="171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1"/>
                <w:szCs w:val="21"/>
              </w:rPr>
            </w:pPr>
            <w:r>
              <w:rPr>
                <w:rFonts w:hint="eastAsia" w:ascii="宋体" w:hAnsi="宋体"/>
                <w:color w:val="000000"/>
                <w:sz w:val="21"/>
                <w:szCs w:val="21"/>
                <w:lang w:bidi="ar"/>
              </w:rPr>
              <w:t>受助人满意度</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w:t>
            </w:r>
          </w:p>
        </w:tc>
        <w:tc>
          <w:tcPr>
            <w:tcW w:w="10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90</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5</w:t>
            </w:r>
          </w:p>
        </w:tc>
        <w:tc>
          <w:tcPr>
            <w:tcW w:w="465"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outlineLvl w:val="9"/>
              <w:rPr>
                <w:rFonts w:hint="eastAsia" w:ascii="宋体" w:hAnsi="宋体"/>
                <w:color w:val="000000"/>
                <w:sz w:val="21"/>
                <w:szCs w:val="21"/>
              </w:rPr>
            </w:pPr>
          </w:p>
        </w:tc>
      </w:tr>
    </w:tbl>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outlineLvl w:val="9"/>
        <w:rPr>
          <w:rFonts w:hint="eastAsia" w:ascii="黑体" w:hAnsi="黑体" w:eastAsia="黑体" w:cs="黑体"/>
          <w:b/>
          <w:bCs/>
          <w:sz w:val="32"/>
          <w:szCs w:val="32"/>
        </w:rPr>
      </w:pPr>
      <w:r>
        <w:rPr>
          <w:rFonts w:hint="eastAsia" w:ascii="黑体" w:hAnsi="黑体" w:eastAsia="黑体" w:cs="黑体"/>
          <w:b/>
          <w:bCs/>
          <w:sz w:val="32"/>
          <w:szCs w:val="32"/>
        </w:rPr>
        <w:t>二、评价实施</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zh-CN"/>
        </w:rPr>
        <w:t>（一）评价目的。</w:t>
      </w:r>
      <w:r>
        <w:rPr>
          <w:rFonts w:hint="eastAsia" w:ascii="仿宋_GB2312" w:hAnsi="仿宋_GB2312" w:eastAsia="仿宋_GB2312" w:cs="仿宋_GB2312"/>
          <w:kern w:val="2"/>
          <w:sz w:val="32"/>
          <w:szCs w:val="32"/>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zh-CN"/>
        </w:rPr>
        <w:t>（二）预设问题及评价重点。</w:t>
      </w:r>
      <w:r>
        <w:rPr>
          <w:rFonts w:hint="eastAsia" w:ascii="仿宋_GB2312" w:hAnsi="仿宋_GB2312" w:eastAsia="仿宋_GB2312" w:cs="仿宋_GB2312"/>
          <w:kern w:val="2"/>
          <w:sz w:val="32"/>
          <w:szCs w:val="32"/>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b/>
          <w:sz w:val="32"/>
          <w:szCs w:val="32"/>
          <w:lang w:val="zh-CN"/>
        </w:rPr>
        <w:t>（三）评价选点。</w:t>
      </w:r>
      <w:r>
        <w:rPr>
          <w:rFonts w:hint="eastAsia" w:ascii="仿宋_GB2312" w:hAnsi="仿宋_GB2312" w:eastAsia="仿宋_GB2312" w:cs="仿宋_GB2312"/>
          <w:kern w:val="2"/>
          <w:sz w:val="32"/>
          <w:szCs w:val="32"/>
          <w:u w:val="single"/>
        </w:rPr>
        <w:t xml:space="preserve">2023 </w:t>
      </w:r>
      <w:r>
        <w:rPr>
          <w:rFonts w:hint="eastAsia" w:ascii="仿宋_GB2312" w:hAnsi="仿宋_GB2312" w:eastAsia="仿宋_GB2312" w:cs="仿宋_GB2312"/>
          <w:kern w:val="2"/>
          <w:sz w:val="32"/>
          <w:szCs w:val="32"/>
        </w:rPr>
        <w:t>年度预算项目绩效评估工作通过</w:t>
      </w:r>
      <w:r>
        <w:rPr>
          <w:rFonts w:hint="eastAsia" w:ascii="仿宋_GB2312" w:hAnsi="仿宋_GB2312" w:eastAsia="仿宋_GB2312" w:cs="仿宋_GB2312"/>
          <w:kern w:val="2"/>
          <w:sz w:val="32"/>
          <w:szCs w:val="32"/>
          <w:u w:val="single"/>
        </w:rPr>
        <w:t>线上加线下</w:t>
      </w:r>
      <w:r>
        <w:rPr>
          <w:rFonts w:hint="eastAsia" w:ascii="仿宋_GB2312" w:hAnsi="仿宋_GB2312" w:eastAsia="仿宋_GB2312" w:cs="仿宋_GB2312"/>
          <w:kern w:val="2"/>
          <w:sz w:val="32"/>
          <w:szCs w:val="32"/>
        </w:rPr>
        <w:t>方式开展。按照有关规定和工作安排，我单位开展自行评估，通过</w:t>
      </w:r>
      <w:r>
        <w:rPr>
          <w:rFonts w:hint="eastAsia" w:ascii="仿宋_GB2312" w:hAnsi="仿宋_GB2312" w:eastAsia="仿宋_GB2312" w:cs="仿宋_GB2312"/>
          <w:kern w:val="2"/>
          <w:sz w:val="32"/>
          <w:szCs w:val="32"/>
          <w:u w:val="single"/>
        </w:rPr>
        <w:t>自行成立</w:t>
      </w:r>
      <w:r>
        <w:rPr>
          <w:rFonts w:hint="eastAsia" w:ascii="仿宋_GB2312" w:hAnsi="仿宋_GB2312" w:eastAsia="仿宋_GB2312" w:cs="仿宋_GB2312"/>
          <w:kern w:val="2"/>
          <w:sz w:val="32"/>
          <w:szCs w:val="32"/>
        </w:rPr>
        <w:t>组建评估组，通过收集被评估项目相关基础资料，并查阅资料、收集数据信息等，深入论证分析，形成绩效评估报告。</w:t>
      </w:r>
    </w:p>
    <w:p>
      <w:pPr>
        <w:keepNext w:val="0"/>
        <w:keepLines w:val="0"/>
        <w:pageBreakBefore w:val="0"/>
        <w:widowControl w:val="0"/>
        <w:kinsoku/>
        <w:wordWrap/>
        <w:overflowPunct/>
        <w:topLinePunct w:val="0"/>
        <w:autoSpaceDE/>
        <w:autoSpaceDN/>
        <w:bidi w:val="0"/>
        <w:spacing w:line="54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zh-CN"/>
        </w:rPr>
        <w:t>（四）评价方法。</w:t>
      </w:r>
      <w:r>
        <w:rPr>
          <w:rFonts w:hint="eastAsia" w:ascii="仿宋_GB2312" w:hAnsi="仿宋_GB2312" w:eastAsia="仿宋_GB2312" w:cs="仿宋_GB2312"/>
          <w:bCs/>
          <w:sz w:val="32"/>
          <w:szCs w:val="32"/>
          <w:lang w:val="zh-CN"/>
        </w:rPr>
        <w:t>本项目通过与项目相关人员座谈及讨论的方法了解项目情况，收集相关资料，综合分析相关情况后，对项目的立项必要性、投入经济性、目标合理性以及方案可行性实施评估。</w:t>
      </w:r>
    </w:p>
    <w:p>
      <w:pPr>
        <w:keepNext w:val="0"/>
        <w:keepLines w:val="0"/>
        <w:pageBreakBefore w:val="0"/>
        <w:widowControl w:val="0"/>
        <w:kinsoku/>
        <w:wordWrap/>
        <w:overflowPunct/>
        <w:topLinePunct w:val="0"/>
        <w:autoSpaceDE/>
        <w:autoSpaceDN/>
        <w:bidi w:val="0"/>
        <w:spacing w:line="540" w:lineRule="exact"/>
        <w:ind w:firstLine="64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lang w:val="zh-CN"/>
        </w:rPr>
        <w:t>（五）评价组织。</w:t>
      </w:r>
      <w:r>
        <w:rPr>
          <w:rFonts w:hint="eastAsia" w:ascii="仿宋_GB2312" w:hAnsi="仿宋_GB2312" w:eastAsia="仿宋_GB2312" w:cs="仿宋_GB2312"/>
          <w:bCs/>
          <w:sz w:val="32"/>
          <w:szCs w:val="32"/>
          <w:lang w:val="zh-CN"/>
        </w:rPr>
        <w:t>评价组人员由单位负责人、分管领导及办公室人员组成；单位负责人牵头负责，分管领导组织业办公室自行评价。</w:t>
      </w:r>
    </w:p>
    <w:p>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textAlignment w:val="auto"/>
        <w:outlineLvl w:val="9"/>
        <w:rPr>
          <w:rFonts w:hint="eastAsia" w:ascii="黑体" w:hAnsi="黑体" w:eastAsia="黑体" w:cs="黑体"/>
          <w:b/>
          <w:bCs/>
          <w:sz w:val="32"/>
          <w:szCs w:val="32"/>
          <w:lang w:val="zh-CN"/>
        </w:rPr>
      </w:pPr>
      <w:r>
        <w:rPr>
          <w:rFonts w:hint="eastAsia" w:ascii="黑体" w:hAnsi="黑体" w:eastAsia="黑体" w:cs="黑体"/>
          <w:b/>
          <w:bCs/>
          <w:sz w:val="32"/>
          <w:szCs w:val="32"/>
        </w:rPr>
        <w:t>三、绩效分析</w:t>
      </w:r>
      <w:r>
        <w:rPr>
          <w:rFonts w:hint="eastAsia" w:ascii="黑体" w:hAnsi="黑体" w:eastAsia="黑体" w:cs="黑体"/>
          <w:b/>
          <w:bCs/>
          <w:sz w:val="32"/>
          <w:szCs w:val="32"/>
          <w:lang w:val="zh-CN"/>
        </w:rPr>
        <w:tab/>
      </w:r>
    </w:p>
    <w:p>
      <w:pPr>
        <w:keepNext w:val="0"/>
        <w:keepLines w:val="0"/>
        <w:pageBreakBefore w:val="0"/>
        <w:widowControl w:val="0"/>
        <w:kinsoku/>
        <w:wordWrap/>
        <w:overflowPunct/>
        <w:topLinePunct w:val="0"/>
        <w:autoSpaceDE/>
        <w:autoSpaceDN/>
        <w:bidi w:val="0"/>
        <w:spacing w:line="54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根据项目预算绩效评价指标体系“通用指标”“专用指标”“个性指标”涉及二、三级指标进行逐项绩效分析并评分</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40" w:lineRule="exact"/>
        <w:ind w:firstLine="64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zh-CN"/>
        </w:rPr>
        <w:t>（一）</w:t>
      </w:r>
      <w:r>
        <w:rPr>
          <w:rFonts w:hint="eastAsia" w:ascii="仿宋_GB2312" w:hAnsi="仿宋_GB2312" w:eastAsia="仿宋_GB2312" w:cs="仿宋_GB2312"/>
          <w:b/>
          <w:sz w:val="32"/>
          <w:szCs w:val="32"/>
        </w:rPr>
        <w:t>通用指标</w:t>
      </w:r>
      <w:r>
        <w:rPr>
          <w:rFonts w:hint="eastAsia" w:ascii="仿宋_GB2312" w:hAnsi="仿宋_GB2312" w:eastAsia="仿宋_GB2312" w:cs="仿宋_GB2312"/>
          <w:b/>
          <w:bCs/>
          <w:color w:val="000000"/>
          <w:sz w:val="32"/>
          <w:szCs w:val="32"/>
          <w:shd w:val="clear" w:color="auto" w:fill="FFFFFF"/>
          <w:lang w:val="zh-CN"/>
        </w:rPr>
        <w:t>绩效分析。</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1.项目决策。</w:t>
      </w:r>
      <w:r>
        <w:rPr>
          <w:rFonts w:hint="eastAsia" w:ascii="仿宋_GB2312" w:hAnsi="仿宋_GB2312" w:eastAsia="仿宋_GB2312" w:cs="仿宋_GB2312"/>
          <w:sz w:val="32"/>
          <w:szCs w:val="32"/>
          <w:lang w:val="zh-CN"/>
        </w:rPr>
        <w:t>2023年，幻方量化继续向中国青少年发展基金会捐款实施“希望工程1+1——幻方助学计划”，资助我县41名小学一年级家庭困难女学生，为她们提供学习生活补助，帮助她们更好地完成学业，健康快乐地成长。</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2.项目管理。</w:t>
      </w:r>
      <w:r>
        <w:rPr>
          <w:rFonts w:hint="eastAsia" w:ascii="仿宋_GB2312" w:hAnsi="仿宋_GB2312" w:eastAsia="仿宋_GB2312" w:cs="仿宋_GB2312"/>
          <w:kern w:val="2"/>
          <w:sz w:val="32"/>
          <w:szCs w:val="32"/>
        </w:rPr>
        <w:t>该项目已制定实施方案，组织机构健全，职责分工明确，有明确的工作程序，资金能足额保证。</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3.项目实施。2023年6月14日，茂县2023年“希望工程1+1——幻方助学计划”助学金发放仪式在茂县凤仪镇兴茂小学举行，全县有41名小学生获得了1000元/人的资助，共发放助学金4.1万元。</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项目结果。此次助学金的发放，不仅为困境中的少年儿童送去了温暖和希望，也体现了共青团组织对青少年成长的关心和支持。下一步，团县委将立足共青团工作实际，做好困难儿童帮扶工作，持续在助学育人上用心用情用力，广泛动员更多社会爱心力量，为青少年健康成长保驾护航。</w:t>
      </w:r>
    </w:p>
    <w:p>
      <w:pPr>
        <w:keepNext w:val="0"/>
        <w:keepLines w:val="0"/>
        <w:pageBreakBefore w:val="0"/>
        <w:widowControl w:val="0"/>
        <w:kinsoku/>
        <w:wordWrap/>
        <w:overflowPunct/>
        <w:topLinePunct w:val="0"/>
        <w:autoSpaceDE/>
        <w:autoSpaceDN/>
        <w:bidi w:val="0"/>
        <w:spacing w:line="540" w:lineRule="exact"/>
        <w:ind w:firstLine="640"/>
        <w:textAlignment w:val="auto"/>
        <w:outlineLvl w:val="9"/>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（二）专用指标绩效分析。根据专项预算项目资金支持对象选择所属指标进行绩效分析。支持对象包括产业发展、民生保障、基础设施、行政运转等方面。</w:t>
      </w:r>
    </w:p>
    <w:p>
      <w:pPr>
        <w:keepNext w:val="0"/>
        <w:keepLines w:val="0"/>
        <w:pageBreakBefore w:val="0"/>
        <w:widowControl w:val="0"/>
        <w:kinsoku/>
        <w:wordWrap/>
        <w:overflowPunct/>
        <w:topLinePunct w:val="0"/>
        <w:autoSpaceDE/>
        <w:autoSpaceDN/>
        <w:bidi w:val="0"/>
        <w:spacing w:line="540" w:lineRule="exact"/>
        <w:ind w:firstLine="640"/>
        <w:textAlignment w:val="auto"/>
        <w:outlineLvl w:val="9"/>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1.产业发展。无</w:t>
      </w:r>
    </w:p>
    <w:p>
      <w:pPr>
        <w:keepNext w:val="0"/>
        <w:keepLines w:val="0"/>
        <w:pageBreakBefore w:val="0"/>
        <w:widowControl w:val="0"/>
        <w:kinsoku/>
        <w:wordWrap/>
        <w:overflowPunct/>
        <w:topLinePunct w:val="0"/>
        <w:autoSpaceDE/>
        <w:autoSpaceDN/>
        <w:bidi w:val="0"/>
        <w:spacing w:line="540" w:lineRule="exact"/>
        <w:ind w:firstLine="640"/>
        <w:textAlignment w:val="auto"/>
        <w:outlineLvl w:val="9"/>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2.民生保障。资助我县41名小学一年级家庭困难女学生，为她们提供学习生活补助，帮助她们更好地完成学业，健康快乐地成长。</w:t>
      </w:r>
    </w:p>
    <w:p>
      <w:pPr>
        <w:keepNext w:val="0"/>
        <w:keepLines w:val="0"/>
        <w:pageBreakBefore w:val="0"/>
        <w:widowControl w:val="0"/>
        <w:kinsoku/>
        <w:wordWrap/>
        <w:overflowPunct/>
        <w:topLinePunct w:val="0"/>
        <w:autoSpaceDE/>
        <w:autoSpaceDN/>
        <w:bidi w:val="0"/>
        <w:spacing w:line="540" w:lineRule="exact"/>
        <w:ind w:firstLine="640"/>
        <w:textAlignment w:val="auto"/>
        <w:outlineLvl w:val="9"/>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3.基础设施。无</w:t>
      </w:r>
    </w:p>
    <w:p>
      <w:pPr>
        <w:keepNext w:val="0"/>
        <w:keepLines w:val="0"/>
        <w:pageBreakBefore w:val="0"/>
        <w:widowControl w:val="0"/>
        <w:kinsoku/>
        <w:wordWrap/>
        <w:overflowPunct/>
        <w:topLinePunct w:val="0"/>
        <w:autoSpaceDE/>
        <w:autoSpaceDN/>
        <w:bidi w:val="0"/>
        <w:spacing w:line="540" w:lineRule="exact"/>
        <w:ind w:firstLine="640"/>
        <w:textAlignment w:val="auto"/>
        <w:outlineLvl w:val="9"/>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4.行政运转。无</w:t>
      </w:r>
    </w:p>
    <w:p>
      <w:pPr>
        <w:keepNext w:val="0"/>
        <w:keepLines w:val="0"/>
        <w:pageBreakBefore w:val="0"/>
        <w:widowControl w:val="0"/>
        <w:kinsoku/>
        <w:wordWrap/>
        <w:overflowPunct/>
        <w:topLinePunct w:val="0"/>
        <w:autoSpaceDE/>
        <w:autoSpaceDN/>
        <w:bidi w:val="0"/>
        <w:spacing w:line="540" w:lineRule="exact"/>
        <w:ind w:firstLine="640"/>
        <w:textAlignment w:val="auto"/>
        <w:outlineLvl w:val="9"/>
        <w:rPr>
          <w:rFonts w:hint="eastAsia" w:ascii="仿宋_GB2312" w:hAnsi="仿宋_GB2312" w:eastAsia="仿宋_GB2312" w:cs="仿宋_GB2312"/>
          <w:color w:val="000000"/>
          <w:sz w:val="32"/>
          <w:szCs w:val="32"/>
          <w:shd w:val="clear" w:color="auto" w:fill="FFFFFF"/>
          <w:lang w:val="zh-CN"/>
        </w:rPr>
      </w:pPr>
      <w:r>
        <w:rPr>
          <w:rFonts w:hint="eastAsia" w:ascii="仿宋_GB2312" w:hAnsi="仿宋_GB2312" w:eastAsia="仿宋_GB2312" w:cs="仿宋_GB2312"/>
          <w:b/>
          <w:sz w:val="32"/>
          <w:szCs w:val="32"/>
          <w:lang w:val="zh-CN"/>
        </w:rPr>
        <w:t>（三）</w:t>
      </w:r>
      <w:r>
        <w:rPr>
          <w:rFonts w:hint="eastAsia" w:ascii="仿宋_GB2312" w:hAnsi="仿宋_GB2312" w:eastAsia="仿宋_GB2312" w:cs="仿宋_GB2312"/>
          <w:b/>
          <w:sz w:val="32"/>
          <w:szCs w:val="32"/>
        </w:rPr>
        <w:t>个性指标</w:t>
      </w:r>
      <w:r>
        <w:rPr>
          <w:rFonts w:hint="eastAsia" w:ascii="仿宋_GB2312" w:hAnsi="仿宋_GB2312" w:eastAsia="仿宋_GB2312" w:cs="仿宋_GB2312"/>
          <w:b/>
          <w:bCs/>
          <w:color w:val="000000"/>
          <w:sz w:val="32"/>
          <w:szCs w:val="32"/>
          <w:shd w:val="clear" w:color="auto" w:fill="FFFFFF"/>
          <w:lang w:val="zh-CN"/>
        </w:rPr>
        <w:t>绩效分析。</w:t>
      </w:r>
      <w:r>
        <w:rPr>
          <w:rFonts w:hint="eastAsia" w:ascii="仿宋_GB2312" w:hAnsi="仿宋_GB2312" w:eastAsia="仿宋_GB2312" w:cs="仿宋_GB2312"/>
          <w:color w:val="000000"/>
          <w:sz w:val="32"/>
          <w:szCs w:val="32"/>
          <w:shd w:val="clear" w:color="auto" w:fill="FFFFFF"/>
          <w:lang w:val="zh-CN"/>
        </w:rPr>
        <w:t>资助我县41名小学一年级家庭困难女学生，为她们提供学习生活补助，帮助她们更好地完成学业，健康快乐地成长。</w:t>
      </w:r>
    </w:p>
    <w:p>
      <w:pPr>
        <w:keepNext w:val="0"/>
        <w:keepLines w:val="0"/>
        <w:pageBreakBefore w:val="0"/>
        <w:widowControl w:val="0"/>
        <w:kinsoku/>
        <w:wordWrap/>
        <w:overflowPunct/>
        <w:topLinePunct w:val="0"/>
        <w:autoSpaceDE/>
        <w:autoSpaceDN/>
        <w:bidi w:val="0"/>
        <w:spacing w:line="540" w:lineRule="exact"/>
        <w:ind w:firstLine="640"/>
        <w:textAlignment w:val="auto"/>
        <w:outlineLvl w:val="9"/>
        <w:rPr>
          <w:rFonts w:hint="eastAsia" w:ascii="黑体" w:hAnsi="黑体" w:cs="黑体"/>
          <w:b/>
          <w:bCs/>
          <w:sz w:val="32"/>
          <w:szCs w:val="32"/>
        </w:rPr>
      </w:pPr>
      <w:r>
        <w:rPr>
          <w:rFonts w:hint="eastAsia" w:ascii="黑体" w:hAnsi="黑体" w:cs="黑体"/>
          <w:b/>
          <w:bCs/>
          <w:sz w:val="32"/>
          <w:szCs w:val="32"/>
        </w:rPr>
        <w:t>四、评价结论</w:t>
      </w:r>
    </w:p>
    <w:p>
      <w:pPr>
        <w:pStyle w:val="12"/>
        <w:keepNext w:val="0"/>
        <w:keepLines w:val="0"/>
        <w:pageBreakBefore w:val="0"/>
        <w:widowControl w:val="0"/>
        <w:tabs>
          <w:tab w:val="left" w:pos="2160"/>
        </w:tabs>
        <w:kinsoku/>
        <w:wordWrap/>
        <w:overflowPunct/>
        <w:topLinePunct w:val="0"/>
        <w:autoSpaceDE/>
        <w:autoSpaceDN/>
        <w:bidi w:val="0"/>
        <w:adjustRightInd/>
        <w:spacing w:beforeLines="0" w:line="540" w:lineRule="exact"/>
        <w:ind w:right="0" w:rightChars="0" w:firstLine="640" w:firstLineChars="200"/>
        <w:textAlignment w:val="auto"/>
        <w:outlineLvl w:val="9"/>
        <w:rPr>
          <w:rFonts w:hint="eastAsia" w:ascii="仿宋_GB2312" w:hAnsi="宋体" w:eastAsia="仿宋_GB2312" w:cs="仿宋_GB2312"/>
          <w:color w:val="000000"/>
          <w:sz w:val="32"/>
          <w:szCs w:val="32"/>
          <w:shd w:val="clear" w:color="auto" w:fill="FFFFFF"/>
          <w:lang w:eastAsia="zh-CN"/>
        </w:rPr>
      </w:pPr>
      <w:r>
        <w:rPr>
          <w:rFonts w:hint="eastAsia" w:ascii="仿宋_GB2312" w:hAnsi="宋体" w:eastAsia="仿宋_GB2312" w:cs="仿宋_GB2312"/>
          <w:color w:val="000000"/>
          <w:sz w:val="32"/>
          <w:szCs w:val="32"/>
          <w:shd w:val="clear" w:color="auto" w:fill="FFFFFF"/>
          <w:lang w:eastAsia="zh-CN"/>
        </w:rPr>
        <w:t>幻方助学计划资助</w:t>
      </w:r>
      <w:r>
        <w:rPr>
          <w:rFonts w:ascii="仿宋_GB2312" w:hAnsi="宋体" w:eastAsia="仿宋_GB2312" w:cs="仿宋_GB2312"/>
          <w:color w:val="000000"/>
          <w:sz w:val="32"/>
          <w:szCs w:val="32"/>
          <w:shd w:val="clear" w:color="auto" w:fill="FFFFFF"/>
          <w:lang w:eastAsia="zh-CN"/>
        </w:rPr>
        <w:t>项目管理规范，预算执行率达到100%，全面完成年度绩效总体目标和各项绩效指标，有效发挥了财政资金的使用效率。</w:t>
      </w:r>
      <w:r>
        <w:rPr>
          <w:rFonts w:hint="eastAsia" w:ascii="仿宋_GB2312" w:hAnsi="宋体" w:eastAsia="仿宋_GB2312" w:cs="仿宋_GB2312"/>
          <w:color w:val="000000"/>
          <w:sz w:val="32"/>
          <w:szCs w:val="32"/>
          <w:shd w:val="clear" w:color="auto" w:fill="FFFFFF"/>
          <w:lang w:eastAsia="zh-CN"/>
        </w:rPr>
        <w:t>通过资助41名小学一年级家庭困难女学生，为她们提供学习生活补助，减轻家庭负担，帮助她们更好地完成学业、健康快乐成长。</w:t>
      </w:r>
    </w:p>
    <w:p>
      <w:pPr>
        <w:pStyle w:val="12"/>
        <w:keepNext w:val="0"/>
        <w:keepLines w:val="0"/>
        <w:pageBreakBefore w:val="0"/>
        <w:widowControl w:val="0"/>
        <w:tabs>
          <w:tab w:val="left" w:pos="2160"/>
        </w:tabs>
        <w:kinsoku/>
        <w:wordWrap/>
        <w:overflowPunct/>
        <w:topLinePunct w:val="0"/>
        <w:autoSpaceDE/>
        <w:autoSpaceDN/>
        <w:bidi w:val="0"/>
        <w:adjustRightInd/>
        <w:spacing w:beforeLines="0" w:line="540" w:lineRule="exact"/>
        <w:ind w:right="0" w:rightChars="0" w:firstLine="643" w:firstLineChars="200"/>
        <w:textAlignment w:val="auto"/>
        <w:outlineLvl w:val="9"/>
        <w:rPr>
          <w:rFonts w:hint="eastAsia" w:ascii="黑体" w:hAnsi="黑体" w:cs="黑体"/>
          <w:b/>
          <w:bCs/>
          <w:sz w:val="32"/>
          <w:szCs w:val="32"/>
          <w:lang w:eastAsia="zh-CN"/>
        </w:rPr>
      </w:pPr>
      <w:r>
        <w:rPr>
          <w:rFonts w:hint="eastAsia" w:ascii="黑体" w:hAnsi="黑体" w:cs="黑体"/>
          <w:b/>
          <w:bCs/>
          <w:sz w:val="32"/>
          <w:szCs w:val="32"/>
          <w:lang w:eastAsia="zh-CN"/>
        </w:rPr>
        <w:t>五、存在主要问题</w:t>
      </w:r>
    </w:p>
    <w:p>
      <w:pPr>
        <w:pStyle w:val="12"/>
        <w:keepNext w:val="0"/>
        <w:keepLines w:val="0"/>
        <w:pageBreakBefore w:val="0"/>
        <w:widowControl w:val="0"/>
        <w:tabs>
          <w:tab w:val="left" w:pos="2160"/>
        </w:tabs>
        <w:kinsoku/>
        <w:wordWrap/>
        <w:overflowPunct/>
        <w:topLinePunct w:val="0"/>
        <w:autoSpaceDE/>
        <w:autoSpaceDN/>
        <w:bidi w:val="0"/>
        <w:adjustRightInd/>
        <w:spacing w:beforeLines="0" w:line="540" w:lineRule="exact"/>
        <w:ind w:right="0" w:rightChars="0" w:firstLine="640" w:firstLineChars="200"/>
        <w:textAlignment w:val="auto"/>
        <w:outlineLvl w:val="9"/>
        <w:rPr>
          <w:rFonts w:hint="eastAsia" w:ascii="仿宋_GB2312" w:hAnsi="仿宋_GB2312" w:eastAsia="仿宋_GB2312" w:cs="仿宋_GB2312"/>
          <w:kern w:val="2"/>
          <w:position w:val="0"/>
          <w:sz w:val="32"/>
          <w:szCs w:val="32"/>
          <w:lang w:eastAsia="zh-CN"/>
        </w:rPr>
      </w:pPr>
      <w:r>
        <w:rPr>
          <w:rFonts w:hint="eastAsia" w:ascii="仿宋_GB2312" w:hAnsi="仿宋_GB2312" w:eastAsia="仿宋_GB2312" w:cs="仿宋_GB2312"/>
          <w:position w:val="0"/>
          <w:sz w:val="32"/>
          <w:szCs w:val="32"/>
          <w:lang w:eastAsia="zh-CN"/>
        </w:rPr>
        <w:t>无。</w:t>
      </w:r>
    </w:p>
    <w:p>
      <w:pPr>
        <w:pStyle w:val="12"/>
        <w:keepNext w:val="0"/>
        <w:keepLines w:val="0"/>
        <w:pageBreakBefore w:val="0"/>
        <w:widowControl w:val="0"/>
        <w:tabs>
          <w:tab w:val="left" w:pos="2160"/>
        </w:tabs>
        <w:kinsoku/>
        <w:wordWrap/>
        <w:overflowPunct/>
        <w:topLinePunct w:val="0"/>
        <w:autoSpaceDE/>
        <w:autoSpaceDN/>
        <w:bidi w:val="0"/>
        <w:adjustRightInd/>
        <w:spacing w:beforeLines="0" w:line="540" w:lineRule="exact"/>
        <w:ind w:right="0" w:rightChars="0" w:firstLine="643" w:firstLineChars="200"/>
        <w:textAlignment w:val="auto"/>
        <w:outlineLvl w:val="9"/>
        <w:rPr>
          <w:rFonts w:hint="eastAsia" w:ascii="黑体" w:hAnsi="黑体" w:cs="黑体"/>
          <w:b/>
          <w:bCs/>
          <w:sz w:val="32"/>
          <w:szCs w:val="32"/>
          <w:lang w:val="zh-CN" w:eastAsia="zh-CN"/>
        </w:rPr>
      </w:pPr>
      <w:r>
        <w:rPr>
          <w:rFonts w:hint="eastAsia" w:ascii="黑体" w:hAnsi="黑体" w:cs="黑体"/>
          <w:b/>
          <w:bCs/>
          <w:sz w:val="32"/>
          <w:szCs w:val="32"/>
          <w:lang w:val="zh-CN" w:eastAsia="zh-CN"/>
        </w:rPr>
        <w:t>六、改进建议</w:t>
      </w:r>
    </w:p>
    <w:p>
      <w:pPr>
        <w:keepNext w:val="0"/>
        <w:keepLines w:val="0"/>
        <w:pageBreakBefore w:val="0"/>
        <w:widowControl w:val="0"/>
        <w:tabs>
          <w:tab w:val="left" w:pos="1911"/>
        </w:tabs>
        <w:kinsoku/>
        <w:wordWrap/>
        <w:overflowPunct/>
        <w:topLinePunct w:val="0"/>
        <w:autoSpaceDE/>
        <w:autoSpaceDN/>
        <w:bidi w:val="0"/>
        <w:adjustRightInd/>
        <w:spacing w:line="540" w:lineRule="exact"/>
        <w:ind w:right="0" w:rightChars="0"/>
        <w:jc w:val="left"/>
        <w:textAlignment w:val="auto"/>
        <w:outlineLvl w:val="9"/>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shd w:val="clear" w:color="auto" w:fill="FFFFFF"/>
          <w:lang w:val="zh-CN"/>
        </w:rPr>
        <w:t xml:space="preserve"> </w:t>
      </w:r>
      <w:r>
        <w:rPr>
          <w:rFonts w:hint="eastAsia"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sz w:val="32"/>
          <w:szCs w:val="32"/>
        </w:rPr>
        <w:t xml:space="preserve"> </w:t>
      </w:r>
      <w:bookmarkStart w:id="118" w:name="_Hlk110546638"/>
      <w:r>
        <w:rPr>
          <w:rFonts w:hint="eastAsia" w:ascii="仿宋_GB2312" w:hAnsi="仿宋_GB2312" w:eastAsia="仿宋_GB2312" w:cs="仿宋_GB2312"/>
          <w:sz w:val="32"/>
          <w:szCs w:val="32"/>
        </w:rPr>
        <w:t>无。</w:t>
      </w:r>
    </w:p>
    <w:bookmarkEnd w:id="118"/>
    <w:p>
      <w:pPr>
        <w:keepNext w:val="0"/>
        <w:keepLines w:val="0"/>
        <w:pageBreakBefore w:val="0"/>
        <w:widowControl w:val="0"/>
        <w:kinsoku/>
        <w:wordWrap/>
        <w:overflowPunct/>
        <w:topLinePunct w:val="0"/>
        <w:autoSpaceDE/>
        <w:autoSpaceDN/>
        <w:bidi w:val="0"/>
        <w:adjustRightInd/>
        <w:snapToGrid w:val="0"/>
        <w:spacing w:line="540" w:lineRule="exact"/>
        <w:ind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lang w:val="zh-CN"/>
        </w:rPr>
      </w:pPr>
    </w:p>
    <w:p>
      <w:pPr>
        <w:keepNext w:val="0"/>
        <w:keepLines w:val="0"/>
        <w:pageBreakBefore w:val="0"/>
        <w:widowControl w:val="0"/>
        <w:kinsoku/>
        <w:wordWrap/>
        <w:overflowPunct/>
        <w:topLinePunct w:val="0"/>
        <w:autoSpaceDE/>
        <w:autoSpaceDN/>
        <w:bidi w:val="0"/>
        <w:adjustRightInd/>
        <w:snapToGrid w:val="0"/>
        <w:spacing w:line="540" w:lineRule="exact"/>
        <w:ind w:right="0" w:rightChars="0"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附表：1.项目资金分配涉及所有点位自评得分情况表</w:t>
      </w:r>
    </w:p>
    <w:p>
      <w:pPr>
        <w:keepNext w:val="0"/>
        <w:keepLines w:val="0"/>
        <w:pageBreakBefore w:val="0"/>
        <w:widowControl w:val="0"/>
        <w:kinsoku/>
        <w:wordWrap/>
        <w:overflowPunct/>
        <w:topLinePunct w:val="0"/>
        <w:autoSpaceDE/>
        <w:autoSpaceDN/>
        <w:bidi w:val="0"/>
        <w:adjustRightInd/>
        <w:snapToGrid w:val="0"/>
        <w:spacing w:line="540" w:lineRule="exact"/>
        <w:ind w:right="0" w:rightChars="0" w:firstLine="1600" w:firstLineChars="500"/>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2.专项预算项目绩效目标完成情况自评表</w:t>
      </w:r>
    </w:p>
    <w:p>
      <w:pPr>
        <w:pageBreakBefore w:val="0"/>
        <w:kinsoku/>
        <w:wordWrap/>
        <w:overflowPunct/>
        <w:topLinePunct w:val="0"/>
        <w:autoSpaceDE/>
        <w:autoSpaceDN/>
        <w:bidi w:val="0"/>
        <w:adjustRightInd w:val="0"/>
        <w:snapToGrid w:val="0"/>
        <w:spacing w:line="578" w:lineRule="exact"/>
        <w:outlineLvl w:val="9"/>
        <w:rPr>
          <w:rFonts w:hint="eastAsia" w:ascii="方正黑体_GBK" w:eastAsia="方正黑体_GBK" w:cs="Times New Roman"/>
          <w:kern w:val="2"/>
          <w:sz w:val="32"/>
          <w:szCs w:val="32"/>
        </w:rPr>
      </w:pPr>
    </w:p>
    <w:p>
      <w:pPr>
        <w:pageBreakBefore w:val="0"/>
        <w:widowControl/>
        <w:kinsoku/>
        <w:wordWrap/>
        <w:overflowPunct/>
        <w:topLinePunct w:val="0"/>
        <w:autoSpaceDE/>
        <w:autoSpaceDN/>
        <w:bidi w:val="0"/>
        <w:adjustRightInd w:val="0"/>
        <w:snapToGrid w:val="0"/>
        <w:spacing w:line="578" w:lineRule="exact"/>
        <w:contextualSpacing/>
        <w:jc w:val="left"/>
        <w:outlineLvl w:val="9"/>
        <w:rPr>
          <w:rFonts w:hint="eastAsia" w:ascii="黑体" w:hAnsi="黑体" w:eastAsia="黑体" w:cs="黑体"/>
          <w:b w:val="0"/>
          <w:bCs w:val="0"/>
          <w:sz w:val="30"/>
          <w:szCs w:val="30"/>
          <w:shd w:val="clear" w:color="auto" w:fill="FFFFFF"/>
          <w:lang w:val="zh-CN"/>
        </w:rPr>
      </w:pPr>
      <w:r>
        <w:rPr>
          <w:rFonts w:hint="eastAsia" w:ascii="黑体" w:hAnsi="黑体" w:eastAsia="黑体" w:cs="黑体"/>
          <w:b w:val="0"/>
          <w:bCs w:val="0"/>
          <w:sz w:val="30"/>
          <w:szCs w:val="30"/>
          <w:shd w:val="clear" w:color="auto" w:fill="FFFFFF"/>
          <w:lang w:val="zh-CN"/>
        </w:rPr>
        <w:t>附表</w:t>
      </w:r>
      <w:r>
        <w:rPr>
          <w:rFonts w:hint="eastAsia" w:ascii="黑体" w:hAnsi="黑体" w:eastAsia="黑体" w:cs="黑体"/>
          <w:b w:val="0"/>
          <w:bCs w:val="0"/>
          <w:sz w:val="30"/>
          <w:szCs w:val="30"/>
          <w:shd w:val="clear" w:color="auto" w:fill="FFFFFF"/>
        </w:rPr>
        <w:t>1</w:t>
      </w:r>
    </w:p>
    <w:p>
      <w:pPr>
        <w:pageBreakBefore w:val="0"/>
        <w:kinsoku/>
        <w:wordWrap/>
        <w:overflowPunct/>
        <w:topLinePunct w:val="0"/>
        <w:autoSpaceDE/>
        <w:autoSpaceDN/>
        <w:bidi w:val="0"/>
        <w:spacing w:line="578" w:lineRule="exact"/>
        <w:jc w:val="center"/>
        <w:outlineLvl w:val="9"/>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项目资金分配涉及所有点位自评得分情况表</w:t>
      </w:r>
    </w:p>
    <w:tbl>
      <w:tblPr>
        <w:tblStyle w:val="26"/>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2678"/>
        <w:gridCol w:w="2410"/>
        <w:gridCol w:w="2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exact"/>
          <w:jc w:val="center"/>
        </w:trPr>
        <w:tc>
          <w:tcPr>
            <w:tcW w:w="1123" w:type="dxa"/>
            <w:noWrap w:val="0"/>
            <w:vAlign w:val="center"/>
          </w:tcPr>
          <w:p>
            <w:pPr>
              <w:pageBreakBefore w:val="0"/>
              <w:kinsoku/>
              <w:wordWrap/>
              <w:overflowPunct/>
              <w:topLinePunct w:val="0"/>
              <w:autoSpaceDE/>
              <w:autoSpaceDN/>
              <w:bidi w:val="0"/>
              <w:spacing w:line="300" w:lineRule="exact"/>
              <w:jc w:val="center"/>
              <w:outlineLvl w:val="9"/>
              <w:rPr>
                <w:rFonts w:hint="eastAsia" w:ascii="黑体" w:hAnsi="黑体" w:eastAsia="黑体"/>
                <w:sz w:val="24"/>
              </w:rPr>
            </w:pPr>
            <w:r>
              <w:rPr>
                <w:rFonts w:hint="eastAsia" w:ascii="黑体" w:hAnsi="黑体" w:eastAsia="黑体"/>
                <w:sz w:val="24"/>
              </w:rPr>
              <w:t>序号</w:t>
            </w:r>
          </w:p>
        </w:tc>
        <w:tc>
          <w:tcPr>
            <w:tcW w:w="2678" w:type="dxa"/>
            <w:noWrap w:val="0"/>
            <w:vAlign w:val="center"/>
          </w:tcPr>
          <w:p>
            <w:pPr>
              <w:pageBreakBefore w:val="0"/>
              <w:kinsoku/>
              <w:wordWrap/>
              <w:overflowPunct/>
              <w:topLinePunct w:val="0"/>
              <w:autoSpaceDE/>
              <w:autoSpaceDN/>
              <w:bidi w:val="0"/>
              <w:spacing w:line="300" w:lineRule="exact"/>
              <w:jc w:val="center"/>
              <w:outlineLvl w:val="9"/>
              <w:rPr>
                <w:rFonts w:hint="eastAsia" w:ascii="黑体" w:hAnsi="黑体" w:eastAsia="黑体"/>
                <w:sz w:val="24"/>
                <w:lang w:val="en"/>
              </w:rPr>
            </w:pPr>
            <w:r>
              <w:rPr>
                <w:rFonts w:hint="eastAsia" w:ascii="黑体" w:hAnsi="黑体" w:eastAsia="黑体"/>
                <w:sz w:val="24"/>
              </w:rPr>
              <w:t>项目资金末端分配点位</w:t>
            </w:r>
          </w:p>
        </w:tc>
        <w:tc>
          <w:tcPr>
            <w:tcW w:w="2410" w:type="dxa"/>
            <w:noWrap w:val="0"/>
            <w:vAlign w:val="center"/>
          </w:tcPr>
          <w:p>
            <w:pPr>
              <w:pageBreakBefore w:val="0"/>
              <w:kinsoku/>
              <w:wordWrap/>
              <w:overflowPunct/>
              <w:topLinePunct w:val="0"/>
              <w:autoSpaceDE/>
              <w:autoSpaceDN/>
              <w:bidi w:val="0"/>
              <w:spacing w:line="300" w:lineRule="exact"/>
              <w:jc w:val="center"/>
              <w:outlineLvl w:val="9"/>
              <w:rPr>
                <w:rFonts w:hint="eastAsia" w:ascii="黑体" w:hAnsi="黑体" w:eastAsia="黑体"/>
                <w:sz w:val="24"/>
              </w:rPr>
            </w:pPr>
            <w:r>
              <w:rPr>
                <w:rFonts w:hint="eastAsia" w:ascii="黑体" w:hAnsi="黑体" w:eastAsia="黑体"/>
                <w:sz w:val="24"/>
                <w:lang w:val="en"/>
              </w:rPr>
              <w:t>自评得分（百分制）</w:t>
            </w:r>
          </w:p>
        </w:tc>
        <w:tc>
          <w:tcPr>
            <w:tcW w:w="2609" w:type="dxa"/>
            <w:noWrap w:val="0"/>
            <w:vAlign w:val="center"/>
          </w:tcPr>
          <w:p>
            <w:pPr>
              <w:pageBreakBefore w:val="0"/>
              <w:kinsoku/>
              <w:wordWrap/>
              <w:overflowPunct/>
              <w:topLinePunct w:val="0"/>
              <w:autoSpaceDE/>
              <w:autoSpaceDN/>
              <w:bidi w:val="0"/>
              <w:spacing w:line="300" w:lineRule="exact"/>
              <w:jc w:val="center"/>
              <w:outlineLvl w:val="9"/>
              <w:rPr>
                <w:rFonts w:hint="eastAsia" w:ascii="黑体" w:hAnsi="黑体" w:eastAsia="黑体"/>
                <w:sz w:val="24"/>
              </w:rPr>
            </w:pPr>
            <w:r>
              <w:rPr>
                <w:rFonts w:hint="eastAsia" w:ascii="黑体" w:hAnsi="黑体" w:eastAsia="黑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3" w:type="dxa"/>
            <w:noWrap w:val="0"/>
            <w:vAlign w:val="center"/>
          </w:tcPr>
          <w:p>
            <w:pPr>
              <w:pageBreakBefore w:val="0"/>
              <w:kinsoku/>
              <w:wordWrap/>
              <w:overflowPunct/>
              <w:topLinePunct w:val="0"/>
              <w:autoSpaceDE/>
              <w:autoSpaceDN/>
              <w:bidi w:val="0"/>
              <w:spacing w:line="300" w:lineRule="exact"/>
              <w:jc w:val="center"/>
              <w:outlineLvl w:val="9"/>
              <w:rPr>
                <w:rFonts w:hint="eastAsia" w:ascii="仿宋_GB2312" w:hAnsi="黑体" w:eastAsia="仿宋_GB2312"/>
                <w:sz w:val="24"/>
              </w:rPr>
            </w:pPr>
            <w:r>
              <w:rPr>
                <w:rFonts w:hint="eastAsia" w:ascii="仿宋_GB2312" w:hAnsi="黑体" w:eastAsia="仿宋_GB2312"/>
                <w:sz w:val="24"/>
              </w:rPr>
              <w:t>1</w:t>
            </w:r>
          </w:p>
        </w:tc>
        <w:tc>
          <w:tcPr>
            <w:tcW w:w="2678" w:type="dxa"/>
            <w:noWrap w:val="0"/>
            <w:vAlign w:val="center"/>
          </w:tcPr>
          <w:p>
            <w:pPr>
              <w:pageBreakBefore w:val="0"/>
              <w:kinsoku/>
              <w:wordWrap/>
              <w:overflowPunct/>
              <w:topLinePunct w:val="0"/>
              <w:autoSpaceDE/>
              <w:autoSpaceDN/>
              <w:bidi w:val="0"/>
              <w:spacing w:line="300" w:lineRule="exact"/>
              <w:jc w:val="center"/>
              <w:outlineLvl w:val="9"/>
              <w:rPr>
                <w:rFonts w:hint="eastAsia" w:ascii="仿宋_GB2312" w:hAnsi="黑体" w:eastAsia="仿宋_GB2312"/>
                <w:sz w:val="24"/>
                <w:lang w:val="en"/>
              </w:rPr>
            </w:pPr>
            <w:r>
              <w:rPr>
                <w:rFonts w:hint="eastAsia" w:ascii="仿宋_GB2312" w:hAnsi="黑体" w:eastAsia="仿宋_GB2312"/>
                <w:sz w:val="24"/>
                <w:lang w:val="en"/>
              </w:rPr>
              <w:t>共青团茂县委员会</w:t>
            </w:r>
          </w:p>
        </w:tc>
        <w:tc>
          <w:tcPr>
            <w:tcW w:w="2410" w:type="dxa"/>
            <w:noWrap w:val="0"/>
            <w:vAlign w:val="center"/>
          </w:tcPr>
          <w:p>
            <w:pPr>
              <w:pageBreakBefore w:val="0"/>
              <w:kinsoku/>
              <w:wordWrap/>
              <w:overflowPunct/>
              <w:topLinePunct w:val="0"/>
              <w:autoSpaceDE/>
              <w:autoSpaceDN/>
              <w:bidi w:val="0"/>
              <w:spacing w:line="300" w:lineRule="exact"/>
              <w:jc w:val="center"/>
              <w:outlineLvl w:val="9"/>
              <w:rPr>
                <w:rFonts w:hint="eastAsia" w:ascii="仿宋_GB2312" w:hAnsi="黑体" w:eastAsia="仿宋_GB2312"/>
                <w:sz w:val="24"/>
                <w:lang w:val="en"/>
              </w:rPr>
            </w:pPr>
            <w:r>
              <w:rPr>
                <w:rFonts w:hint="eastAsia" w:ascii="仿宋_GB2312" w:hAnsi="黑体" w:eastAsia="仿宋_GB2312"/>
                <w:sz w:val="24"/>
              </w:rPr>
              <w:t>95</w:t>
            </w:r>
          </w:p>
        </w:tc>
        <w:tc>
          <w:tcPr>
            <w:tcW w:w="2609" w:type="dxa"/>
            <w:noWrap w:val="0"/>
            <w:vAlign w:val="center"/>
          </w:tcPr>
          <w:p>
            <w:pPr>
              <w:pageBreakBefore w:val="0"/>
              <w:kinsoku/>
              <w:wordWrap/>
              <w:overflowPunct/>
              <w:topLinePunct w:val="0"/>
              <w:autoSpaceDE/>
              <w:autoSpaceDN/>
              <w:bidi w:val="0"/>
              <w:spacing w:line="300" w:lineRule="exact"/>
              <w:jc w:val="left"/>
              <w:outlineLvl w:val="9"/>
              <w:rPr>
                <w:rFonts w:hint="eastAsia" w:ascii="仿宋_GB2312" w:hAnsi="黑体" w:eastAsia="仿宋_GB2312"/>
                <w:sz w:val="24"/>
              </w:rPr>
            </w:pPr>
            <w:r>
              <w:rPr>
                <w:rFonts w:hint="eastAsia" w:ascii="仿宋_GB2312" w:hAnsi="黑体" w:eastAsia="仿宋_GB2312"/>
                <w:sz w:val="24"/>
              </w:rPr>
              <w:t>资助41名女学生,每名1000元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3" w:type="dxa"/>
            <w:noWrap w:val="0"/>
            <w:vAlign w:val="top"/>
          </w:tcPr>
          <w:p>
            <w:pPr>
              <w:pageBreakBefore w:val="0"/>
              <w:kinsoku/>
              <w:wordWrap/>
              <w:overflowPunct/>
              <w:topLinePunct w:val="0"/>
              <w:autoSpaceDE/>
              <w:autoSpaceDN/>
              <w:bidi w:val="0"/>
              <w:spacing w:line="300" w:lineRule="exact"/>
              <w:jc w:val="center"/>
              <w:outlineLvl w:val="9"/>
              <w:rPr>
                <w:rFonts w:hint="eastAsia" w:ascii="黑体" w:hAnsi="黑体" w:eastAsia="黑体"/>
                <w:sz w:val="24"/>
              </w:rPr>
            </w:pPr>
          </w:p>
        </w:tc>
        <w:tc>
          <w:tcPr>
            <w:tcW w:w="2678"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410"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609"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3" w:type="dxa"/>
            <w:noWrap w:val="0"/>
            <w:vAlign w:val="top"/>
          </w:tcPr>
          <w:p>
            <w:pPr>
              <w:pageBreakBefore w:val="0"/>
              <w:kinsoku/>
              <w:wordWrap/>
              <w:overflowPunct/>
              <w:topLinePunct w:val="0"/>
              <w:autoSpaceDE/>
              <w:autoSpaceDN/>
              <w:bidi w:val="0"/>
              <w:spacing w:line="300" w:lineRule="exact"/>
              <w:jc w:val="center"/>
              <w:outlineLvl w:val="9"/>
              <w:rPr>
                <w:rFonts w:hint="eastAsia" w:ascii="黑体" w:hAnsi="黑体" w:eastAsia="黑体"/>
                <w:sz w:val="24"/>
              </w:rPr>
            </w:pPr>
          </w:p>
        </w:tc>
        <w:tc>
          <w:tcPr>
            <w:tcW w:w="2678"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410"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609"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3" w:type="dxa"/>
            <w:noWrap w:val="0"/>
            <w:vAlign w:val="top"/>
          </w:tcPr>
          <w:p>
            <w:pPr>
              <w:pageBreakBefore w:val="0"/>
              <w:kinsoku/>
              <w:wordWrap/>
              <w:overflowPunct/>
              <w:topLinePunct w:val="0"/>
              <w:autoSpaceDE/>
              <w:autoSpaceDN/>
              <w:bidi w:val="0"/>
              <w:spacing w:line="300" w:lineRule="exact"/>
              <w:jc w:val="center"/>
              <w:outlineLvl w:val="9"/>
              <w:rPr>
                <w:rFonts w:hint="eastAsia" w:ascii="黑体" w:hAnsi="黑体" w:eastAsia="黑体"/>
                <w:sz w:val="24"/>
              </w:rPr>
            </w:pPr>
          </w:p>
        </w:tc>
        <w:tc>
          <w:tcPr>
            <w:tcW w:w="2678"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410"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609"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3" w:type="dxa"/>
            <w:noWrap w:val="0"/>
            <w:vAlign w:val="top"/>
          </w:tcPr>
          <w:p>
            <w:pPr>
              <w:pageBreakBefore w:val="0"/>
              <w:kinsoku/>
              <w:wordWrap/>
              <w:overflowPunct/>
              <w:topLinePunct w:val="0"/>
              <w:autoSpaceDE/>
              <w:autoSpaceDN/>
              <w:bidi w:val="0"/>
              <w:spacing w:line="300" w:lineRule="exact"/>
              <w:jc w:val="center"/>
              <w:outlineLvl w:val="9"/>
              <w:rPr>
                <w:rFonts w:hint="eastAsia" w:ascii="黑体" w:hAnsi="黑体" w:eastAsia="黑体"/>
                <w:sz w:val="24"/>
              </w:rPr>
            </w:pPr>
          </w:p>
        </w:tc>
        <w:tc>
          <w:tcPr>
            <w:tcW w:w="2678"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410"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609"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3" w:type="dxa"/>
            <w:noWrap w:val="0"/>
            <w:vAlign w:val="top"/>
          </w:tcPr>
          <w:p>
            <w:pPr>
              <w:pageBreakBefore w:val="0"/>
              <w:kinsoku/>
              <w:wordWrap/>
              <w:overflowPunct/>
              <w:topLinePunct w:val="0"/>
              <w:autoSpaceDE/>
              <w:autoSpaceDN/>
              <w:bidi w:val="0"/>
              <w:spacing w:line="300" w:lineRule="exact"/>
              <w:jc w:val="center"/>
              <w:outlineLvl w:val="9"/>
              <w:rPr>
                <w:rFonts w:hint="eastAsia" w:ascii="黑体" w:hAnsi="黑体" w:eastAsia="黑体"/>
                <w:sz w:val="24"/>
              </w:rPr>
            </w:pPr>
          </w:p>
        </w:tc>
        <w:tc>
          <w:tcPr>
            <w:tcW w:w="2678"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410"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609"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3" w:type="dxa"/>
            <w:noWrap w:val="0"/>
            <w:vAlign w:val="top"/>
          </w:tcPr>
          <w:p>
            <w:pPr>
              <w:pageBreakBefore w:val="0"/>
              <w:kinsoku/>
              <w:wordWrap/>
              <w:overflowPunct/>
              <w:topLinePunct w:val="0"/>
              <w:autoSpaceDE/>
              <w:autoSpaceDN/>
              <w:bidi w:val="0"/>
              <w:spacing w:line="300" w:lineRule="exact"/>
              <w:jc w:val="center"/>
              <w:outlineLvl w:val="9"/>
              <w:rPr>
                <w:rFonts w:hint="eastAsia" w:ascii="黑体" w:hAnsi="黑体" w:eastAsia="黑体"/>
                <w:sz w:val="24"/>
              </w:rPr>
            </w:pPr>
          </w:p>
        </w:tc>
        <w:tc>
          <w:tcPr>
            <w:tcW w:w="2678"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410"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609"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rPr>
            </w:pPr>
          </w:p>
        </w:tc>
      </w:tr>
    </w:tbl>
    <w:p>
      <w:pPr>
        <w:pageBreakBefore w:val="0"/>
        <w:kinsoku/>
        <w:wordWrap/>
        <w:overflowPunct/>
        <w:topLinePunct w:val="0"/>
        <w:autoSpaceDE/>
        <w:autoSpaceDN/>
        <w:bidi w:val="0"/>
        <w:spacing w:line="400" w:lineRule="exact"/>
        <w:jc w:val="left"/>
        <w:outlineLvl w:val="9"/>
        <w:rPr>
          <w:rFonts w:hint="eastAsia" w:ascii="宋体" w:hAnsi="宋体"/>
          <w:sz w:val="24"/>
        </w:rPr>
      </w:pPr>
      <w:r>
        <w:rPr>
          <w:rFonts w:hint="eastAsia" w:ascii="宋体" w:hAnsi="宋体"/>
          <w:sz w:val="24"/>
        </w:rPr>
        <w:t>备注：1.项目资金末端分配点位包括市（州）本级、县（市、区）、省级部门下属单位及一次性单位等。</w:t>
      </w:r>
    </w:p>
    <w:p>
      <w:pPr>
        <w:pageBreakBefore w:val="0"/>
        <w:numPr>
          <w:ilvl w:val="0"/>
          <w:numId w:val="3"/>
        </w:numPr>
        <w:kinsoku/>
        <w:wordWrap/>
        <w:overflowPunct/>
        <w:topLinePunct w:val="0"/>
        <w:autoSpaceDE/>
        <w:autoSpaceDN/>
        <w:bidi w:val="0"/>
        <w:spacing w:line="400" w:lineRule="exact"/>
        <w:ind w:firstLine="720" w:firstLineChars="300"/>
        <w:jc w:val="left"/>
        <w:outlineLvl w:val="9"/>
        <w:rPr>
          <w:rFonts w:hint="eastAsia" w:ascii="宋体" w:hAnsi="宋体"/>
          <w:sz w:val="24"/>
        </w:rPr>
      </w:pPr>
      <w:r>
        <w:rPr>
          <w:rFonts w:hint="eastAsia" w:ascii="宋体" w:hAnsi="宋体"/>
          <w:sz w:val="24"/>
        </w:rPr>
        <w:t>自评得分（百分制）从高到低划分为优、良、中、差四个档次，各个档次数量占比分别为20%、20%、55%、5%，且不同档次间得分分值应体现差异化，同档次得分分值相同的比例不超过该档次总数量的10%。</w:t>
      </w:r>
    </w:p>
    <w:p>
      <w:pPr>
        <w:pageBreakBefore w:val="0"/>
        <w:kinsoku/>
        <w:wordWrap/>
        <w:overflowPunct/>
        <w:topLinePunct w:val="0"/>
        <w:autoSpaceDE/>
        <w:autoSpaceDN/>
        <w:bidi w:val="0"/>
        <w:spacing w:line="240" w:lineRule="atLeast"/>
        <w:ind w:right="-178" w:rightChars="-85" w:firstLine="640" w:firstLineChars="200"/>
        <w:outlineLvl w:val="9"/>
        <w:rPr>
          <w:rFonts w:hint="eastAsia" w:ascii="方正黑体_GBK" w:eastAsia="方正黑体_GBK" w:cs="Times New Roman"/>
          <w:kern w:val="2"/>
          <w:sz w:val="32"/>
          <w:szCs w:val="32"/>
        </w:rPr>
      </w:pPr>
    </w:p>
    <w:p>
      <w:pPr>
        <w:pageBreakBefore w:val="0"/>
        <w:kinsoku/>
        <w:wordWrap/>
        <w:overflowPunct/>
        <w:topLinePunct w:val="0"/>
        <w:autoSpaceDE/>
        <w:autoSpaceDN/>
        <w:bidi w:val="0"/>
        <w:spacing w:line="240" w:lineRule="atLeast"/>
        <w:ind w:right="-178" w:rightChars="-85" w:firstLine="640" w:firstLineChars="200"/>
        <w:outlineLvl w:val="9"/>
        <w:rPr>
          <w:rFonts w:hint="eastAsia" w:ascii="方正黑体_GBK" w:eastAsia="方正黑体_GBK" w:cs="Times New Roman"/>
          <w:kern w:val="2"/>
          <w:sz w:val="32"/>
          <w:szCs w:val="32"/>
        </w:rPr>
      </w:pPr>
    </w:p>
    <w:p>
      <w:pPr>
        <w:pStyle w:val="40"/>
        <w:pageBreakBefore w:val="0"/>
        <w:kinsoku/>
        <w:wordWrap/>
        <w:overflowPunct/>
        <w:topLinePunct w:val="0"/>
        <w:autoSpaceDE/>
        <w:autoSpaceDN/>
        <w:bidi w:val="0"/>
        <w:outlineLvl w:val="9"/>
        <w:rPr>
          <w:rFonts w:hint="eastAsia"/>
        </w:rPr>
      </w:pPr>
    </w:p>
    <w:p>
      <w:pPr>
        <w:pageBreakBefore w:val="0"/>
        <w:kinsoku/>
        <w:wordWrap/>
        <w:overflowPunct/>
        <w:topLinePunct w:val="0"/>
        <w:autoSpaceDE/>
        <w:autoSpaceDN/>
        <w:bidi w:val="0"/>
        <w:outlineLvl w:val="9"/>
        <w:rPr>
          <w:rFonts w:hint="eastAsia"/>
        </w:rPr>
      </w:pPr>
    </w:p>
    <w:p>
      <w:pPr>
        <w:pageBreakBefore w:val="0"/>
        <w:kinsoku/>
        <w:wordWrap/>
        <w:overflowPunct/>
        <w:topLinePunct w:val="0"/>
        <w:autoSpaceDE/>
        <w:autoSpaceDN/>
        <w:bidi w:val="0"/>
        <w:outlineLvl w:val="9"/>
        <w:rPr>
          <w:rFonts w:hint="eastAsia"/>
        </w:rPr>
      </w:pPr>
    </w:p>
    <w:p>
      <w:pPr>
        <w:pageBreakBefore w:val="0"/>
        <w:kinsoku/>
        <w:wordWrap/>
        <w:overflowPunct/>
        <w:topLinePunct w:val="0"/>
        <w:autoSpaceDE/>
        <w:autoSpaceDN/>
        <w:bidi w:val="0"/>
        <w:outlineLvl w:val="9"/>
        <w:rPr>
          <w:rFonts w:hint="eastAsia"/>
        </w:rPr>
      </w:pPr>
    </w:p>
    <w:p>
      <w:pPr>
        <w:pStyle w:val="2"/>
        <w:rPr>
          <w:rFonts w:hint="eastAsia"/>
        </w:rPr>
      </w:pPr>
    </w:p>
    <w:p>
      <w:pPr>
        <w:pStyle w:val="3"/>
        <w:rPr>
          <w:rFonts w:hint="eastAsia"/>
        </w:rPr>
      </w:pPr>
    </w:p>
    <w:p>
      <w:pPr>
        <w:pStyle w:val="3"/>
        <w:rPr>
          <w:rFonts w:hint="eastAsia"/>
        </w:rPr>
      </w:pPr>
    </w:p>
    <w:p>
      <w:pPr>
        <w:pageBreakBefore w:val="0"/>
        <w:kinsoku/>
        <w:wordWrap/>
        <w:overflowPunct/>
        <w:topLinePunct w:val="0"/>
        <w:autoSpaceDE/>
        <w:autoSpaceDN/>
        <w:bidi w:val="0"/>
        <w:outlineLvl w:val="9"/>
        <w:rPr>
          <w:rFonts w:hint="eastAsia"/>
        </w:rPr>
      </w:pPr>
    </w:p>
    <w:p>
      <w:pPr>
        <w:pageBreakBefore w:val="0"/>
        <w:kinsoku/>
        <w:wordWrap/>
        <w:overflowPunct/>
        <w:topLinePunct w:val="0"/>
        <w:autoSpaceDE/>
        <w:autoSpaceDN/>
        <w:bidi w:val="0"/>
        <w:outlineLvl w:val="9"/>
        <w:rPr>
          <w:rFonts w:hint="eastAsia"/>
        </w:rPr>
      </w:pPr>
    </w:p>
    <w:p>
      <w:pPr>
        <w:pStyle w:val="3"/>
        <w:pageBreakBefore w:val="0"/>
        <w:kinsoku/>
        <w:wordWrap/>
        <w:overflowPunct/>
        <w:topLinePunct w:val="0"/>
        <w:autoSpaceDE/>
        <w:autoSpaceDN/>
        <w:bidi w:val="0"/>
        <w:spacing w:after="0" w:line="578" w:lineRule="exact"/>
        <w:ind w:left="0" w:leftChars="0" w:firstLine="0" w:firstLineChars="0"/>
        <w:outlineLvl w:val="9"/>
        <w:rPr>
          <w:rFonts w:hint="eastAsia" w:ascii="黑体" w:hAnsi="黑体" w:eastAsia="黑体" w:cs="黑体"/>
          <w:b w:val="0"/>
          <w:bCs w:val="0"/>
          <w:kern w:val="2"/>
          <w:sz w:val="30"/>
          <w:szCs w:val="30"/>
        </w:rPr>
      </w:pPr>
      <w:r>
        <w:rPr>
          <w:rFonts w:hint="eastAsia" w:ascii="黑体" w:hAnsi="黑体" w:eastAsia="黑体" w:cs="黑体"/>
          <w:b w:val="0"/>
          <w:bCs w:val="0"/>
          <w:kern w:val="2"/>
          <w:sz w:val="30"/>
          <w:szCs w:val="30"/>
        </w:rPr>
        <w:t>附表2</w:t>
      </w:r>
    </w:p>
    <w:p>
      <w:pPr>
        <w:pStyle w:val="3"/>
        <w:pageBreakBefore w:val="0"/>
        <w:kinsoku/>
        <w:wordWrap/>
        <w:overflowPunct/>
        <w:topLinePunct w:val="0"/>
        <w:autoSpaceDE/>
        <w:autoSpaceDN/>
        <w:bidi w:val="0"/>
        <w:spacing w:after="0" w:line="578" w:lineRule="exact"/>
        <w:ind w:left="0" w:leftChars="0" w:firstLine="0" w:firstLineChars="0"/>
        <w:outlineLvl w:val="9"/>
        <w:rPr>
          <w:rFonts w:hint="default" w:eastAsia="黑体" w:cs="Times New Roman"/>
          <w:kern w:val="2"/>
          <w:sz w:val="32"/>
        </w:rPr>
      </w:pPr>
    </w:p>
    <w:tbl>
      <w:tblPr>
        <w:tblStyle w:val="26"/>
        <w:tblW w:w="10376" w:type="dxa"/>
        <w:jc w:val="center"/>
        <w:tblLayout w:type="fixed"/>
        <w:tblCellMar>
          <w:top w:w="15" w:type="dxa"/>
          <w:left w:w="15" w:type="dxa"/>
          <w:bottom w:w="15" w:type="dxa"/>
          <w:right w:w="15" w:type="dxa"/>
        </w:tblCellMar>
      </w:tblPr>
      <w:tblGrid>
        <w:gridCol w:w="637"/>
        <w:gridCol w:w="664"/>
        <w:gridCol w:w="2562"/>
        <w:gridCol w:w="1127"/>
        <w:gridCol w:w="1632"/>
        <w:gridCol w:w="1245"/>
        <w:gridCol w:w="2509"/>
      </w:tblGrid>
      <w:tr>
        <w:tblPrEx>
          <w:tblCellMar>
            <w:top w:w="15" w:type="dxa"/>
            <w:left w:w="15" w:type="dxa"/>
            <w:bottom w:w="15" w:type="dxa"/>
            <w:right w:w="15" w:type="dxa"/>
          </w:tblCellMar>
        </w:tblPrEx>
        <w:trPr>
          <w:trHeight w:val="576" w:hRule="atLeast"/>
          <w:jc w:val="center"/>
        </w:trPr>
        <w:tc>
          <w:tcPr>
            <w:tcW w:w="10376" w:type="dxa"/>
            <w:gridSpan w:val="7"/>
            <w:noWrap w:val="0"/>
            <w:vAlign w:val="center"/>
          </w:tcPr>
          <w:p>
            <w:pPr>
              <w:pageBreakBefore w:val="0"/>
              <w:widowControl/>
              <w:kinsoku/>
              <w:wordWrap/>
              <w:overflowPunct/>
              <w:topLinePunct w:val="0"/>
              <w:autoSpaceDE/>
              <w:autoSpaceDN/>
              <w:bidi w:val="0"/>
              <w:spacing w:line="600" w:lineRule="exact"/>
              <w:jc w:val="center"/>
              <w:textAlignment w:val="center"/>
              <w:outlineLvl w:val="9"/>
              <w:rPr>
                <w:rFonts w:ascii="黑体" w:hAnsi="宋体" w:eastAsia="黑体" w:cs="黑体"/>
                <w:color w:val="000000"/>
                <w:sz w:val="30"/>
                <w:szCs w:val="30"/>
              </w:rPr>
            </w:pPr>
            <w:r>
              <w:rPr>
                <w:rFonts w:hint="eastAsia" w:ascii="方正小标宋简体" w:hAnsi="方正小标宋简体" w:eastAsia="方正小标宋简体" w:cs="方正小标宋简体"/>
                <w:color w:val="000000"/>
                <w:sz w:val="40"/>
                <w:szCs w:val="40"/>
                <w:lang w:bidi="ar"/>
              </w:rPr>
              <w:t>专项预算项目绩效目标完成情况自评表</w:t>
            </w:r>
          </w:p>
        </w:tc>
      </w:tr>
      <w:tr>
        <w:tblPrEx>
          <w:tblCellMar>
            <w:top w:w="15" w:type="dxa"/>
            <w:left w:w="15" w:type="dxa"/>
            <w:bottom w:w="15" w:type="dxa"/>
            <w:right w:w="15" w:type="dxa"/>
          </w:tblCellMar>
        </w:tblPrEx>
        <w:trPr>
          <w:trHeight w:val="23" w:hRule="atLeast"/>
          <w:jc w:val="center"/>
        </w:trPr>
        <w:tc>
          <w:tcPr>
            <w:tcW w:w="3863" w:type="dxa"/>
            <w:gridSpan w:val="3"/>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4"/>
              </w:rPr>
            </w:pPr>
            <w:r>
              <w:rPr>
                <w:rFonts w:ascii="宋体" w:hAnsi="宋体"/>
                <w:color w:val="000000"/>
                <w:sz w:val="24"/>
                <w:lang w:bidi="ar"/>
              </w:rPr>
              <w:t>项目名称</w:t>
            </w:r>
          </w:p>
        </w:tc>
        <w:tc>
          <w:tcPr>
            <w:tcW w:w="6513"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jc w:val="center"/>
              <w:outlineLvl w:val="9"/>
              <w:rPr>
                <w:rFonts w:hint="eastAsia" w:ascii="宋体" w:hAnsi="宋体"/>
                <w:color w:val="000000"/>
                <w:sz w:val="24"/>
              </w:rPr>
            </w:pPr>
            <w:r>
              <w:rPr>
                <w:rFonts w:hint="eastAsia" w:ascii="宋体" w:hAnsi="宋体"/>
                <w:color w:val="000000"/>
                <w:sz w:val="24"/>
              </w:rPr>
              <w:t>2023年幻方助学计划资助</w:t>
            </w:r>
          </w:p>
        </w:tc>
      </w:tr>
      <w:tr>
        <w:tblPrEx>
          <w:tblCellMar>
            <w:top w:w="15" w:type="dxa"/>
            <w:left w:w="15" w:type="dxa"/>
            <w:bottom w:w="15" w:type="dxa"/>
            <w:right w:w="15" w:type="dxa"/>
          </w:tblCellMar>
        </w:tblPrEx>
        <w:trPr>
          <w:trHeight w:val="23" w:hRule="atLeast"/>
          <w:jc w:val="center"/>
        </w:trPr>
        <w:tc>
          <w:tcPr>
            <w:tcW w:w="3863" w:type="dxa"/>
            <w:gridSpan w:val="3"/>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4"/>
              </w:rPr>
            </w:pPr>
            <w:r>
              <w:rPr>
                <w:rFonts w:ascii="宋体" w:hAnsi="宋体"/>
                <w:color w:val="000000"/>
                <w:sz w:val="24"/>
                <w:lang w:bidi="ar"/>
              </w:rPr>
              <w:t>预算单位</w:t>
            </w:r>
          </w:p>
        </w:tc>
        <w:tc>
          <w:tcPr>
            <w:tcW w:w="6513"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tabs>
                <w:tab w:val="left" w:pos="1365"/>
              </w:tabs>
              <w:kinsoku/>
              <w:wordWrap/>
              <w:overflowPunct/>
              <w:topLinePunct w:val="0"/>
              <w:autoSpaceDE/>
              <w:autoSpaceDN/>
              <w:bidi w:val="0"/>
              <w:spacing w:line="300" w:lineRule="exact"/>
              <w:jc w:val="center"/>
              <w:outlineLvl w:val="9"/>
              <w:rPr>
                <w:rFonts w:hint="eastAsia" w:ascii="宋体" w:hAnsi="宋体"/>
                <w:color w:val="000000"/>
                <w:sz w:val="24"/>
              </w:rPr>
            </w:pPr>
            <w:r>
              <w:rPr>
                <w:rFonts w:hint="eastAsia" w:ascii="宋体" w:hAnsi="宋体"/>
                <w:color w:val="000000"/>
                <w:sz w:val="24"/>
              </w:rPr>
              <w:t>共青团茂县委员会</w:t>
            </w:r>
          </w:p>
        </w:tc>
      </w:tr>
      <w:tr>
        <w:tblPrEx>
          <w:tblCellMar>
            <w:top w:w="15" w:type="dxa"/>
            <w:left w:w="15" w:type="dxa"/>
            <w:bottom w:w="15" w:type="dxa"/>
            <w:right w:w="15" w:type="dxa"/>
          </w:tblCellMar>
        </w:tblPrEx>
        <w:trPr>
          <w:trHeight w:val="23" w:hRule="atLeast"/>
          <w:jc w:val="center"/>
        </w:trPr>
        <w:tc>
          <w:tcPr>
            <w:tcW w:w="3863" w:type="dxa"/>
            <w:gridSpan w:val="3"/>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4"/>
              </w:rPr>
            </w:pPr>
            <w:r>
              <w:rPr>
                <w:rFonts w:ascii="宋体" w:hAnsi="宋体"/>
                <w:color w:val="000000"/>
                <w:sz w:val="24"/>
                <w:lang w:bidi="ar"/>
              </w:rPr>
              <w:t>项目类型</w:t>
            </w:r>
          </w:p>
        </w:tc>
        <w:tc>
          <w:tcPr>
            <w:tcW w:w="6513"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jc w:val="center"/>
              <w:outlineLvl w:val="9"/>
              <w:rPr>
                <w:rFonts w:hint="eastAsia" w:ascii="宋体" w:hAnsi="宋体"/>
                <w:color w:val="000000"/>
                <w:sz w:val="24"/>
              </w:rPr>
            </w:pPr>
            <w:r>
              <w:rPr>
                <w:rFonts w:hint="eastAsia" w:ascii="宋体" w:hAnsi="宋体"/>
                <w:color w:val="000000"/>
                <w:sz w:val="24"/>
              </w:rPr>
              <w:t>助学计划资助</w:t>
            </w:r>
          </w:p>
        </w:tc>
      </w:tr>
      <w:tr>
        <w:tblPrEx>
          <w:tblCellMar>
            <w:top w:w="15" w:type="dxa"/>
            <w:left w:w="15" w:type="dxa"/>
            <w:bottom w:w="15" w:type="dxa"/>
            <w:right w:w="15" w:type="dxa"/>
          </w:tblCellMar>
        </w:tblPrEx>
        <w:trPr>
          <w:trHeight w:val="993" w:hRule="atLeast"/>
          <w:jc w:val="center"/>
        </w:trPr>
        <w:tc>
          <w:tcPr>
            <w:tcW w:w="637"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center"/>
              <w:textAlignment w:val="center"/>
              <w:outlineLvl w:val="9"/>
              <w:rPr>
                <w:rFonts w:ascii="宋体" w:hAnsi="宋体"/>
                <w:color w:val="000000"/>
                <w:sz w:val="24"/>
              </w:rPr>
            </w:pPr>
            <w:r>
              <w:rPr>
                <w:rFonts w:ascii="宋体" w:hAnsi="宋体"/>
                <w:color w:val="000000"/>
                <w:sz w:val="24"/>
                <w:lang w:bidi="ar"/>
              </w:rPr>
              <w:t>项目 概况</w:t>
            </w:r>
          </w:p>
        </w:tc>
        <w:tc>
          <w:tcPr>
            <w:tcW w:w="3226"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lang w:bidi="ar"/>
              </w:rPr>
            </w:pPr>
            <w:r>
              <w:rPr>
                <w:rFonts w:ascii="宋体" w:hAnsi="宋体"/>
                <w:color w:val="000000"/>
                <w:sz w:val="22"/>
                <w:szCs w:val="22"/>
                <w:lang w:bidi="ar"/>
              </w:rPr>
              <w:t>中长期规划（名称、文号，仅指</w:t>
            </w:r>
          </w:p>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常年项目）</w:t>
            </w:r>
          </w:p>
        </w:tc>
        <w:tc>
          <w:tcPr>
            <w:tcW w:w="6513"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2"/>
                <w:szCs w:val="22"/>
              </w:rPr>
            </w:pPr>
            <w:r>
              <w:rPr>
                <w:rFonts w:hint="eastAsia" w:ascii="宋体" w:hAnsi="宋体"/>
                <w:color w:val="000000"/>
                <w:sz w:val="22"/>
                <w:szCs w:val="22"/>
              </w:rPr>
              <w:t>关于拨付2024年“希望工程1+1——幻方助学计划”资助款的通知</w:t>
            </w:r>
          </w:p>
        </w:tc>
      </w:tr>
      <w:tr>
        <w:tblPrEx>
          <w:tblCellMar>
            <w:top w:w="15" w:type="dxa"/>
            <w:left w:w="15" w:type="dxa"/>
            <w:bottom w:w="15" w:type="dxa"/>
            <w:right w:w="15" w:type="dxa"/>
          </w:tblCellMar>
        </w:tblPrEx>
        <w:trPr>
          <w:trHeight w:val="492" w:hRule="atLeast"/>
          <w:jc w:val="center"/>
        </w:trPr>
        <w:tc>
          <w:tcPr>
            <w:tcW w:w="637"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4"/>
              </w:rPr>
            </w:pPr>
          </w:p>
        </w:tc>
        <w:tc>
          <w:tcPr>
            <w:tcW w:w="3226"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资金管理办法（名称、文号）</w:t>
            </w:r>
          </w:p>
        </w:tc>
        <w:tc>
          <w:tcPr>
            <w:tcW w:w="6513"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jc w:val="left"/>
              <w:outlineLvl w:val="9"/>
              <w:rPr>
                <w:rFonts w:hint="eastAsia" w:ascii="宋体" w:hAnsi="宋体"/>
                <w:color w:val="000000"/>
                <w:sz w:val="22"/>
                <w:szCs w:val="22"/>
              </w:rPr>
            </w:pPr>
            <w:r>
              <w:rPr>
                <w:rFonts w:hint="eastAsia" w:ascii="宋体" w:hAnsi="宋体"/>
                <w:color w:val="000000"/>
                <w:sz w:val="22"/>
                <w:szCs w:val="22"/>
              </w:rPr>
              <w:t>关于拨付2024年“希望工程1+1——幻方助学计划”资助款的通知</w:t>
            </w:r>
          </w:p>
        </w:tc>
      </w:tr>
      <w:tr>
        <w:tblPrEx>
          <w:tblCellMar>
            <w:top w:w="15" w:type="dxa"/>
            <w:left w:w="15" w:type="dxa"/>
            <w:bottom w:w="15" w:type="dxa"/>
            <w:right w:w="15" w:type="dxa"/>
          </w:tblCellMar>
        </w:tblPrEx>
        <w:trPr>
          <w:trHeight w:val="23" w:hRule="atLeast"/>
          <w:jc w:val="center"/>
        </w:trPr>
        <w:tc>
          <w:tcPr>
            <w:tcW w:w="637"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4"/>
              </w:rPr>
            </w:pPr>
          </w:p>
        </w:tc>
        <w:tc>
          <w:tcPr>
            <w:tcW w:w="3226"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绩效分配方式</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Wingdings 2" w:hAnsi="Wingdings 2" w:eastAsia="Wingdings 2" w:cs="Wingdings 2"/>
                <w:color w:val="000000"/>
                <w:sz w:val="22"/>
                <w:szCs w:val="22"/>
              </w:rPr>
            </w:pPr>
            <w:r>
              <w:rPr>
                <w:rFonts w:ascii="Wingdings 2" w:hAnsi="Wingdings 2" w:eastAsia="Wingdings 2" w:cs="Wingdings 2"/>
                <w:color w:val="000000"/>
                <w:sz w:val="22"/>
                <w:szCs w:val="22"/>
                <w:lang w:bidi="ar"/>
              </w:rPr>
              <w:t></w:t>
            </w:r>
            <w:r>
              <w:rPr>
                <w:rFonts w:ascii="宋体" w:hAnsi="宋体"/>
                <w:color w:val="000000"/>
                <w:sz w:val="22"/>
                <w:szCs w:val="22"/>
                <w:lang w:bidi="ar"/>
              </w:rPr>
              <w:t>因素法</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center"/>
              <w:textAlignment w:val="center"/>
              <w:outlineLvl w:val="9"/>
              <w:rPr>
                <w:rFonts w:ascii="Wingdings 2" w:hAnsi="Wingdings 2" w:eastAsia="Wingdings 2" w:cs="Wingdings 2"/>
                <w:color w:val="000000"/>
                <w:sz w:val="22"/>
                <w:szCs w:val="22"/>
              </w:rPr>
            </w:pPr>
            <w:r>
              <w:rPr>
                <w:rFonts w:ascii="Wingdings 2" w:hAnsi="Wingdings 2" w:eastAsia="Wingdings 2" w:cs="Wingdings 2"/>
                <w:color w:val="000000"/>
                <w:sz w:val="22"/>
                <w:szCs w:val="22"/>
                <w:lang w:bidi="ar"/>
              </w:rPr>
              <w:t>项目法</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center"/>
              <w:textAlignment w:val="center"/>
              <w:outlineLvl w:val="9"/>
              <w:rPr>
                <w:rFonts w:ascii="Wingdings 2" w:hAnsi="Wingdings 2" w:eastAsia="Wingdings 2" w:cs="Wingdings 2"/>
                <w:color w:val="000000"/>
                <w:sz w:val="22"/>
                <w:szCs w:val="22"/>
              </w:rPr>
            </w:pPr>
            <w:r>
              <w:rPr>
                <w:rFonts w:ascii="Wingdings 2" w:hAnsi="Wingdings 2" w:eastAsia="Wingdings 2" w:cs="Wingdings 2"/>
                <w:color w:val="000000"/>
                <w:sz w:val="22"/>
                <w:szCs w:val="22"/>
                <w:lang w:bidi="ar"/>
              </w:rPr>
              <w:sym w:font="Wingdings 2" w:char="0052"/>
            </w:r>
            <w:r>
              <w:rPr>
                <w:rFonts w:ascii="宋体" w:hAnsi="宋体"/>
                <w:color w:val="000000"/>
                <w:sz w:val="22"/>
                <w:szCs w:val="22"/>
                <w:lang w:bidi="ar"/>
              </w:rPr>
              <w:t>据实据效</w:t>
            </w:r>
          </w:p>
        </w:tc>
        <w:tc>
          <w:tcPr>
            <w:tcW w:w="2509"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center"/>
              <w:textAlignment w:val="center"/>
              <w:outlineLvl w:val="9"/>
              <w:rPr>
                <w:rFonts w:ascii="Wingdings 2" w:hAnsi="Wingdings 2" w:eastAsia="Wingdings 2" w:cs="Wingdings 2"/>
                <w:color w:val="000000"/>
                <w:sz w:val="22"/>
                <w:szCs w:val="22"/>
              </w:rPr>
            </w:pPr>
            <w:r>
              <w:rPr>
                <w:rFonts w:ascii="Wingdings 2" w:hAnsi="Wingdings 2" w:eastAsia="Wingdings 2" w:cs="Wingdings 2"/>
                <w:color w:val="000000"/>
                <w:sz w:val="22"/>
                <w:szCs w:val="22"/>
                <w:lang w:bidi="ar"/>
              </w:rPr>
              <w:t></w:t>
            </w:r>
            <w:r>
              <w:rPr>
                <w:rFonts w:ascii="宋体" w:hAnsi="宋体"/>
                <w:color w:val="000000"/>
                <w:sz w:val="22"/>
                <w:szCs w:val="22"/>
                <w:lang w:bidi="ar"/>
              </w:rPr>
              <w:t>因素法与项目法相结合</w:t>
            </w:r>
          </w:p>
        </w:tc>
      </w:tr>
      <w:tr>
        <w:tblPrEx>
          <w:tblCellMar>
            <w:top w:w="15" w:type="dxa"/>
            <w:left w:w="15" w:type="dxa"/>
            <w:bottom w:w="15" w:type="dxa"/>
            <w:right w:w="15" w:type="dxa"/>
          </w:tblCellMar>
        </w:tblPrEx>
        <w:trPr>
          <w:trHeight w:val="1347" w:hRule="atLeast"/>
          <w:jc w:val="center"/>
        </w:trPr>
        <w:tc>
          <w:tcPr>
            <w:tcW w:w="637"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4"/>
              </w:rPr>
            </w:pPr>
          </w:p>
        </w:tc>
        <w:tc>
          <w:tcPr>
            <w:tcW w:w="3226"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4"/>
              </w:rPr>
            </w:pPr>
            <w:r>
              <w:rPr>
                <w:rFonts w:ascii="宋体" w:hAnsi="宋体"/>
                <w:color w:val="000000"/>
                <w:sz w:val="24"/>
                <w:lang w:bidi="ar"/>
              </w:rPr>
              <w:t>立项依据</w:t>
            </w:r>
          </w:p>
        </w:tc>
        <w:tc>
          <w:tcPr>
            <w:tcW w:w="6513"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ind w:firstLine="440" w:firstLineChars="200"/>
              <w:jc w:val="left"/>
              <w:outlineLvl w:val="9"/>
              <w:rPr>
                <w:rFonts w:hint="eastAsia" w:ascii="宋体" w:hAnsi="宋体"/>
                <w:color w:val="000000"/>
                <w:sz w:val="24"/>
              </w:rPr>
            </w:pPr>
            <w:r>
              <w:rPr>
                <w:rFonts w:hint="eastAsia" w:ascii="宋体" w:hAnsi="宋体"/>
                <w:color w:val="000000"/>
                <w:sz w:val="22"/>
                <w:szCs w:val="22"/>
              </w:rPr>
              <w:t>2023年，幻方量化继续向中国青少年发展基金会捐款实施“希望工程1+1——幻方助学计划”，资助我县41名小学一年级家庭困难女学生，为她们提供学习生活补助，帮助她们更好地完成学业，健康快乐地成长。</w:t>
            </w:r>
          </w:p>
        </w:tc>
      </w:tr>
      <w:tr>
        <w:tblPrEx>
          <w:tblCellMar>
            <w:top w:w="15" w:type="dxa"/>
            <w:left w:w="15" w:type="dxa"/>
            <w:bottom w:w="15" w:type="dxa"/>
            <w:right w:w="15" w:type="dxa"/>
          </w:tblCellMar>
        </w:tblPrEx>
        <w:trPr>
          <w:trHeight w:val="479" w:hRule="atLeast"/>
          <w:jc w:val="center"/>
        </w:trPr>
        <w:tc>
          <w:tcPr>
            <w:tcW w:w="637"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4"/>
              </w:rPr>
            </w:pPr>
          </w:p>
        </w:tc>
        <w:tc>
          <w:tcPr>
            <w:tcW w:w="3226"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使用范围</w:t>
            </w:r>
          </w:p>
        </w:tc>
        <w:tc>
          <w:tcPr>
            <w:tcW w:w="6513"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jc w:val="left"/>
              <w:outlineLvl w:val="9"/>
              <w:rPr>
                <w:rFonts w:hint="eastAsia" w:ascii="宋体" w:hAnsi="宋体"/>
                <w:color w:val="000000"/>
                <w:sz w:val="22"/>
                <w:szCs w:val="22"/>
              </w:rPr>
            </w:pPr>
            <w:r>
              <w:rPr>
                <w:rFonts w:hint="eastAsia" w:ascii="宋体" w:hAnsi="宋体"/>
                <w:color w:val="000000"/>
                <w:sz w:val="22"/>
                <w:szCs w:val="22"/>
              </w:rPr>
              <w:t>资助我县41名家庭困难女学生。</w:t>
            </w:r>
          </w:p>
        </w:tc>
      </w:tr>
      <w:tr>
        <w:tblPrEx>
          <w:tblCellMar>
            <w:top w:w="15" w:type="dxa"/>
            <w:left w:w="15" w:type="dxa"/>
            <w:bottom w:w="15" w:type="dxa"/>
            <w:right w:w="15" w:type="dxa"/>
          </w:tblCellMar>
        </w:tblPrEx>
        <w:trPr>
          <w:trHeight w:val="375" w:hRule="atLeast"/>
          <w:jc w:val="center"/>
        </w:trPr>
        <w:tc>
          <w:tcPr>
            <w:tcW w:w="637"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4"/>
              </w:rPr>
            </w:pPr>
          </w:p>
        </w:tc>
        <w:tc>
          <w:tcPr>
            <w:tcW w:w="3226"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申报（补助）条件</w:t>
            </w:r>
          </w:p>
        </w:tc>
        <w:tc>
          <w:tcPr>
            <w:tcW w:w="6513"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jc w:val="left"/>
              <w:outlineLvl w:val="9"/>
              <w:rPr>
                <w:rFonts w:hint="default" w:ascii="宋体" w:hAnsi="宋体" w:eastAsia="宋体"/>
                <w:color w:val="000000"/>
                <w:sz w:val="22"/>
                <w:szCs w:val="22"/>
                <w:lang w:val="en-US" w:eastAsia="zh-CN"/>
              </w:rPr>
            </w:pPr>
            <w:r>
              <w:rPr>
                <w:rFonts w:hint="eastAsia" w:ascii="宋体" w:hAnsi="宋体"/>
                <w:color w:val="000000"/>
                <w:sz w:val="22"/>
                <w:szCs w:val="22"/>
                <w:lang w:eastAsia="zh-CN"/>
              </w:rPr>
              <w:t>资助我县</w:t>
            </w:r>
            <w:r>
              <w:rPr>
                <w:rFonts w:hint="eastAsia" w:ascii="宋体" w:hAnsi="宋体"/>
                <w:color w:val="000000"/>
                <w:sz w:val="22"/>
                <w:szCs w:val="22"/>
                <w:lang w:val="en-US" w:eastAsia="zh-CN"/>
              </w:rPr>
              <w:t>41名一年级家庭困难女学生</w:t>
            </w:r>
          </w:p>
        </w:tc>
      </w:tr>
      <w:tr>
        <w:tblPrEx>
          <w:tblCellMar>
            <w:top w:w="15" w:type="dxa"/>
            <w:left w:w="15" w:type="dxa"/>
            <w:bottom w:w="15" w:type="dxa"/>
            <w:right w:w="15" w:type="dxa"/>
          </w:tblCellMar>
        </w:tblPrEx>
        <w:trPr>
          <w:trHeight w:val="340" w:hRule="atLeast"/>
          <w:jc w:val="center"/>
        </w:trPr>
        <w:tc>
          <w:tcPr>
            <w:tcW w:w="637"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4"/>
              </w:rPr>
            </w:pPr>
          </w:p>
        </w:tc>
        <w:tc>
          <w:tcPr>
            <w:tcW w:w="3226"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项目起止年限</w:t>
            </w:r>
          </w:p>
        </w:tc>
        <w:tc>
          <w:tcPr>
            <w:tcW w:w="6513"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ascii="宋体" w:hAnsi="宋体"/>
                <w:color w:val="000000"/>
                <w:sz w:val="22"/>
                <w:szCs w:val="22"/>
              </w:rPr>
            </w:pPr>
            <w:r>
              <w:rPr>
                <w:rFonts w:hint="eastAsia" w:ascii="宋体" w:hAnsi="宋体"/>
                <w:color w:val="000000"/>
                <w:sz w:val="22"/>
                <w:szCs w:val="22"/>
              </w:rPr>
              <w:t>2023年</w:t>
            </w:r>
          </w:p>
        </w:tc>
      </w:tr>
      <w:tr>
        <w:tblPrEx>
          <w:tblCellMar>
            <w:top w:w="15" w:type="dxa"/>
            <w:left w:w="15" w:type="dxa"/>
            <w:bottom w:w="15" w:type="dxa"/>
            <w:right w:w="15" w:type="dxa"/>
          </w:tblCellMar>
        </w:tblPrEx>
        <w:trPr>
          <w:trHeight w:val="340" w:hRule="atLeast"/>
          <w:jc w:val="center"/>
        </w:trPr>
        <w:tc>
          <w:tcPr>
            <w:tcW w:w="130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center"/>
              <w:textAlignment w:val="center"/>
              <w:outlineLvl w:val="9"/>
              <w:rPr>
                <w:rFonts w:ascii="宋体" w:hAnsi="宋体"/>
                <w:color w:val="000000"/>
                <w:sz w:val="22"/>
                <w:szCs w:val="22"/>
                <w:lang w:bidi="ar"/>
              </w:rPr>
            </w:pPr>
            <w:r>
              <w:rPr>
                <w:rFonts w:ascii="宋体" w:hAnsi="宋体"/>
                <w:color w:val="000000"/>
                <w:sz w:val="22"/>
                <w:szCs w:val="22"/>
                <w:lang w:bidi="ar"/>
              </w:rPr>
              <w:t>项目资金</w:t>
            </w:r>
          </w:p>
          <w:p>
            <w:pPr>
              <w:pageBreakBefore w:val="0"/>
              <w:widowControl/>
              <w:kinsoku/>
              <w:wordWrap/>
              <w:overflowPunct/>
              <w:topLinePunct w:val="0"/>
              <w:autoSpaceDE/>
              <w:autoSpaceDN/>
              <w:bidi w:val="0"/>
              <w:spacing w:line="300" w:lineRule="exact"/>
              <w:jc w:val="center"/>
              <w:textAlignment w:val="center"/>
              <w:outlineLvl w:val="9"/>
              <w:rPr>
                <w:rFonts w:ascii="宋体" w:hAnsi="宋体"/>
                <w:color w:val="000000"/>
                <w:sz w:val="22"/>
                <w:szCs w:val="22"/>
              </w:rPr>
            </w:pPr>
            <w:r>
              <w:rPr>
                <w:rFonts w:ascii="宋体" w:hAnsi="宋体"/>
                <w:color w:val="000000"/>
                <w:sz w:val="22"/>
                <w:szCs w:val="22"/>
                <w:lang w:bidi="ar"/>
              </w:rPr>
              <w:t>（万元）</w:t>
            </w: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 xml:space="preserve">  年度资金总额：</w:t>
            </w:r>
          </w:p>
        </w:tc>
        <w:tc>
          <w:tcPr>
            <w:tcW w:w="6513"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jc w:val="left"/>
              <w:outlineLvl w:val="9"/>
              <w:rPr>
                <w:rFonts w:ascii="宋体" w:hAnsi="宋体"/>
                <w:color w:val="000000"/>
                <w:sz w:val="22"/>
                <w:szCs w:val="22"/>
              </w:rPr>
            </w:pPr>
            <w:r>
              <w:rPr>
                <w:rFonts w:hint="eastAsia" w:ascii="宋体" w:hAnsi="宋体"/>
                <w:color w:val="000000"/>
                <w:sz w:val="22"/>
                <w:szCs w:val="22"/>
              </w:rPr>
              <w:t>4.1万元</w:t>
            </w:r>
          </w:p>
        </w:tc>
      </w:tr>
      <w:tr>
        <w:tblPrEx>
          <w:tblCellMar>
            <w:top w:w="15" w:type="dxa"/>
            <w:left w:w="15" w:type="dxa"/>
            <w:bottom w:w="15" w:type="dxa"/>
            <w:right w:w="15" w:type="dxa"/>
          </w:tblCellMar>
        </w:tblPrEx>
        <w:trPr>
          <w:trHeight w:val="340" w:hRule="atLeast"/>
          <w:jc w:val="center"/>
        </w:trPr>
        <w:tc>
          <w:tcPr>
            <w:tcW w:w="130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2"/>
                <w:szCs w:val="22"/>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 xml:space="preserve">     </w:t>
            </w:r>
            <w:r>
              <w:rPr>
                <w:rFonts w:hint="eastAsia" w:ascii="宋体" w:hAnsi="宋体"/>
                <w:color w:val="000000"/>
                <w:sz w:val="22"/>
                <w:szCs w:val="22"/>
                <w:lang w:bidi="ar"/>
              </w:rPr>
              <w:t xml:space="preserve"> </w:t>
            </w:r>
            <w:r>
              <w:rPr>
                <w:rFonts w:ascii="宋体" w:hAnsi="宋体"/>
                <w:color w:val="000000"/>
                <w:sz w:val="22"/>
                <w:szCs w:val="22"/>
                <w:lang w:bidi="ar"/>
              </w:rPr>
              <w:t>其中：财政拨款</w:t>
            </w:r>
          </w:p>
        </w:tc>
        <w:tc>
          <w:tcPr>
            <w:tcW w:w="6513"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jc w:val="left"/>
              <w:outlineLvl w:val="9"/>
              <w:rPr>
                <w:rFonts w:ascii="宋体" w:hAnsi="宋体"/>
                <w:color w:val="000000"/>
                <w:sz w:val="22"/>
                <w:szCs w:val="22"/>
              </w:rPr>
            </w:pPr>
            <w:r>
              <w:rPr>
                <w:rFonts w:hint="eastAsia" w:ascii="宋体" w:hAnsi="宋体"/>
                <w:color w:val="000000"/>
                <w:sz w:val="22"/>
                <w:szCs w:val="22"/>
              </w:rPr>
              <w:t>0万元</w:t>
            </w:r>
          </w:p>
        </w:tc>
      </w:tr>
      <w:tr>
        <w:tblPrEx>
          <w:tblCellMar>
            <w:top w:w="15" w:type="dxa"/>
            <w:left w:w="15" w:type="dxa"/>
            <w:bottom w:w="15" w:type="dxa"/>
            <w:right w:w="15" w:type="dxa"/>
          </w:tblCellMar>
        </w:tblPrEx>
        <w:trPr>
          <w:trHeight w:val="340" w:hRule="atLeast"/>
          <w:jc w:val="center"/>
        </w:trPr>
        <w:tc>
          <w:tcPr>
            <w:tcW w:w="130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2"/>
                <w:szCs w:val="22"/>
              </w:rPr>
            </w:pPr>
          </w:p>
        </w:tc>
        <w:tc>
          <w:tcPr>
            <w:tcW w:w="2562"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 xml:space="preserve">            其他资金</w:t>
            </w:r>
          </w:p>
        </w:tc>
        <w:tc>
          <w:tcPr>
            <w:tcW w:w="6513"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jc w:val="left"/>
              <w:outlineLvl w:val="9"/>
              <w:rPr>
                <w:rFonts w:hint="eastAsia" w:ascii="宋体" w:hAnsi="宋体"/>
                <w:color w:val="000000"/>
                <w:sz w:val="22"/>
                <w:szCs w:val="22"/>
              </w:rPr>
            </w:pPr>
            <w:r>
              <w:rPr>
                <w:rFonts w:hint="eastAsia" w:ascii="宋体" w:hAnsi="宋体"/>
                <w:color w:val="000000"/>
                <w:sz w:val="22"/>
                <w:szCs w:val="22"/>
              </w:rPr>
              <w:t>4.1万元</w:t>
            </w:r>
          </w:p>
        </w:tc>
      </w:tr>
      <w:tr>
        <w:tblPrEx>
          <w:tblCellMar>
            <w:top w:w="15" w:type="dxa"/>
            <w:left w:w="15" w:type="dxa"/>
            <w:bottom w:w="15" w:type="dxa"/>
            <w:right w:w="15" w:type="dxa"/>
          </w:tblCellMar>
        </w:tblPrEx>
        <w:trPr>
          <w:trHeight w:val="372" w:hRule="atLeast"/>
          <w:jc w:val="center"/>
        </w:trPr>
        <w:tc>
          <w:tcPr>
            <w:tcW w:w="637"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center"/>
              <w:textAlignment w:val="center"/>
              <w:outlineLvl w:val="9"/>
              <w:rPr>
                <w:rFonts w:ascii="宋体" w:hAnsi="宋体"/>
                <w:color w:val="000000"/>
                <w:sz w:val="24"/>
              </w:rPr>
            </w:pPr>
            <w:r>
              <w:rPr>
                <w:rFonts w:ascii="宋体" w:hAnsi="宋体"/>
                <w:color w:val="000000"/>
                <w:sz w:val="24"/>
                <w:lang w:bidi="ar"/>
              </w:rPr>
              <w:t>总体 目标</w:t>
            </w:r>
          </w:p>
        </w:tc>
        <w:tc>
          <w:tcPr>
            <w:tcW w:w="9739" w:type="dxa"/>
            <w:gridSpan w:val="6"/>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center"/>
              <w:textAlignment w:val="center"/>
              <w:outlineLvl w:val="9"/>
              <w:rPr>
                <w:rFonts w:ascii="宋体" w:hAnsi="宋体"/>
                <w:color w:val="000000"/>
                <w:sz w:val="24"/>
              </w:rPr>
            </w:pPr>
            <w:r>
              <w:rPr>
                <w:rFonts w:ascii="宋体" w:hAnsi="宋体"/>
                <w:color w:val="000000"/>
                <w:sz w:val="24"/>
                <w:lang w:bidi="ar"/>
              </w:rPr>
              <w:t>年度目标</w:t>
            </w:r>
          </w:p>
        </w:tc>
      </w:tr>
      <w:tr>
        <w:tblPrEx>
          <w:tblCellMar>
            <w:top w:w="15" w:type="dxa"/>
            <w:left w:w="15" w:type="dxa"/>
            <w:bottom w:w="15" w:type="dxa"/>
            <w:right w:w="15" w:type="dxa"/>
          </w:tblCellMar>
        </w:tblPrEx>
        <w:trPr>
          <w:trHeight w:val="392" w:hRule="atLeast"/>
          <w:jc w:val="center"/>
        </w:trPr>
        <w:tc>
          <w:tcPr>
            <w:tcW w:w="637"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4"/>
              </w:rPr>
            </w:pPr>
          </w:p>
        </w:tc>
        <w:tc>
          <w:tcPr>
            <w:tcW w:w="9739" w:type="dxa"/>
            <w:gridSpan w:val="6"/>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ind w:firstLine="480" w:firstLineChars="200"/>
              <w:outlineLvl w:val="9"/>
              <w:rPr>
                <w:rFonts w:hint="eastAsia" w:ascii="宋体" w:hAnsi="宋体"/>
                <w:color w:val="000000"/>
                <w:sz w:val="24"/>
              </w:rPr>
            </w:pPr>
            <w:r>
              <w:rPr>
                <w:rFonts w:hint="eastAsia" w:ascii="宋体" w:hAnsi="宋体"/>
                <w:color w:val="000000"/>
                <w:sz w:val="24"/>
              </w:rPr>
              <w:t>保障幻方助学计划资助款及时发放至受助人。</w:t>
            </w:r>
          </w:p>
        </w:tc>
      </w:tr>
    </w:tbl>
    <w:tbl>
      <w:tblPr>
        <w:tblStyle w:val="26"/>
        <w:tblpPr w:leftFromText="180" w:rightFromText="180" w:vertAnchor="text" w:horzAnchor="page" w:tblpXSpec="center" w:tblpY="265"/>
        <w:tblOverlap w:val="never"/>
        <w:tblW w:w="10015" w:type="dxa"/>
        <w:tblInd w:w="0" w:type="dxa"/>
        <w:tblLayout w:type="fixed"/>
        <w:tblCellMar>
          <w:top w:w="0" w:type="dxa"/>
          <w:left w:w="108" w:type="dxa"/>
          <w:bottom w:w="0" w:type="dxa"/>
          <w:right w:w="108" w:type="dxa"/>
        </w:tblCellMar>
      </w:tblPr>
      <w:tblGrid>
        <w:gridCol w:w="520"/>
        <w:gridCol w:w="1047"/>
        <w:gridCol w:w="1635"/>
        <w:gridCol w:w="2205"/>
        <w:gridCol w:w="1170"/>
        <w:gridCol w:w="930"/>
        <w:gridCol w:w="1230"/>
        <w:gridCol w:w="813"/>
        <w:gridCol w:w="465"/>
      </w:tblGrid>
      <w:tr>
        <w:tblPrEx>
          <w:tblCellMar>
            <w:top w:w="0" w:type="dxa"/>
            <w:left w:w="108" w:type="dxa"/>
            <w:bottom w:w="0" w:type="dxa"/>
            <w:right w:w="108" w:type="dxa"/>
          </w:tblCellMar>
        </w:tblPrEx>
        <w:trPr>
          <w:trHeight w:val="443" w:hRule="atLeast"/>
        </w:trPr>
        <w:tc>
          <w:tcPr>
            <w:tcW w:w="520" w:type="dxa"/>
            <w:vMerge w:val="restart"/>
            <w:tcBorders>
              <w:top w:val="single" w:color="000000" w:sz="4" w:space="0"/>
              <w:left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24"/>
                <w:lang w:bidi="ar"/>
              </w:rPr>
            </w:pPr>
            <w:r>
              <w:rPr>
                <w:rFonts w:hint="eastAsia" w:ascii="宋体" w:hAnsi="宋体"/>
                <w:b/>
                <w:bCs/>
                <w:color w:val="000000"/>
                <w:sz w:val="24"/>
                <w:lang w:bidi="ar"/>
              </w:rPr>
              <w:t>绩效 指标</w:t>
            </w:r>
          </w:p>
        </w:tc>
        <w:tc>
          <w:tcPr>
            <w:tcW w:w="1047"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22"/>
                <w:szCs w:val="22"/>
              </w:rPr>
            </w:pPr>
            <w:r>
              <w:rPr>
                <w:rFonts w:hint="eastAsia" w:ascii="宋体" w:hAnsi="宋体"/>
                <w:b/>
                <w:bCs/>
                <w:color w:val="000000"/>
                <w:sz w:val="22"/>
                <w:szCs w:val="22"/>
                <w:lang w:bidi="ar"/>
              </w:rPr>
              <w:t>一级指标</w:t>
            </w:r>
          </w:p>
        </w:tc>
        <w:tc>
          <w:tcPr>
            <w:tcW w:w="16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22"/>
                <w:szCs w:val="22"/>
              </w:rPr>
            </w:pPr>
            <w:r>
              <w:rPr>
                <w:rFonts w:hint="eastAsia" w:ascii="宋体" w:hAnsi="宋体"/>
                <w:b/>
                <w:bCs/>
                <w:color w:val="000000"/>
                <w:sz w:val="22"/>
                <w:szCs w:val="22"/>
                <w:lang w:bidi="ar"/>
              </w:rPr>
              <w:t>二级指标</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22"/>
                <w:szCs w:val="22"/>
              </w:rPr>
            </w:pPr>
            <w:r>
              <w:rPr>
                <w:rFonts w:hint="eastAsia" w:ascii="宋体" w:hAnsi="宋体"/>
                <w:b/>
                <w:bCs/>
                <w:color w:val="000000"/>
                <w:sz w:val="22"/>
                <w:szCs w:val="22"/>
                <w:lang w:bidi="ar"/>
              </w:rPr>
              <w:t>三级指标</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22"/>
                <w:szCs w:val="22"/>
              </w:rPr>
            </w:pPr>
            <w:r>
              <w:rPr>
                <w:rFonts w:hint="eastAsia" w:ascii="宋体" w:hAnsi="宋体"/>
                <w:b/>
                <w:bCs/>
                <w:color w:val="000000"/>
                <w:sz w:val="22"/>
                <w:szCs w:val="22"/>
                <w:lang w:bidi="ar"/>
              </w:rPr>
              <w:t>指标性质</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22"/>
                <w:szCs w:val="22"/>
              </w:rPr>
            </w:pPr>
            <w:r>
              <w:rPr>
                <w:rFonts w:hint="eastAsia" w:ascii="宋体" w:hAnsi="宋体"/>
                <w:b/>
                <w:bCs/>
                <w:color w:val="000000"/>
                <w:sz w:val="22"/>
                <w:szCs w:val="22"/>
                <w:lang w:bidi="ar"/>
              </w:rPr>
              <w:t>指标值</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22"/>
                <w:szCs w:val="22"/>
              </w:rPr>
            </w:pPr>
            <w:r>
              <w:rPr>
                <w:rFonts w:hint="eastAsia" w:ascii="宋体" w:hAnsi="宋体"/>
                <w:b/>
                <w:bCs/>
                <w:color w:val="000000"/>
                <w:sz w:val="22"/>
                <w:szCs w:val="22"/>
                <w:lang w:bidi="ar"/>
              </w:rPr>
              <w:t>度量单位</w:t>
            </w:r>
          </w:p>
        </w:tc>
        <w:tc>
          <w:tcPr>
            <w:tcW w:w="81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22"/>
                <w:szCs w:val="22"/>
              </w:rPr>
            </w:pPr>
            <w:r>
              <w:rPr>
                <w:rFonts w:hint="eastAsia" w:ascii="宋体" w:hAnsi="宋体"/>
                <w:b/>
                <w:bCs/>
                <w:color w:val="000000"/>
                <w:sz w:val="22"/>
                <w:szCs w:val="22"/>
                <w:lang w:bidi="ar"/>
              </w:rPr>
              <w:t>权重（%）</w:t>
            </w:r>
          </w:p>
        </w:tc>
        <w:tc>
          <w:tcPr>
            <w:tcW w:w="46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22"/>
                <w:szCs w:val="22"/>
              </w:rPr>
            </w:pPr>
            <w:r>
              <w:rPr>
                <w:rFonts w:hint="eastAsia" w:ascii="宋体" w:hAnsi="宋体"/>
                <w:b/>
                <w:bCs/>
                <w:color w:val="000000"/>
                <w:sz w:val="22"/>
                <w:szCs w:val="22"/>
                <w:lang w:bidi="ar"/>
              </w:rPr>
              <w:t>备注</w:t>
            </w:r>
          </w:p>
        </w:tc>
      </w:tr>
      <w:tr>
        <w:tblPrEx>
          <w:tblCellMar>
            <w:top w:w="0" w:type="dxa"/>
            <w:left w:w="108" w:type="dxa"/>
            <w:bottom w:w="0" w:type="dxa"/>
            <w:right w:w="108" w:type="dxa"/>
          </w:tblCellMar>
        </w:tblPrEx>
        <w:trPr>
          <w:trHeight w:val="431" w:hRule="atLeast"/>
        </w:trPr>
        <w:tc>
          <w:tcPr>
            <w:tcW w:w="520" w:type="dxa"/>
            <w:vMerge w:val="continue"/>
            <w:tcBorders>
              <w:left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4"/>
                <w:lang w:bidi="ar"/>
              </w:rPr>
            </w:pPr>
          </w:p>
        </w:tc>
        <w:tc>
          <w:tcPr>
            <w:tcW w:w="1047" w:type="dxa"/>
            <w:vMerge w:val="restart"/>
            <w:tcBorders>
              <w:top w:val="single" w:color="000000" w:sz="4" w:space="0"/>
              <w:left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4"/>
                <w:lang w:bidi="ar"/>
              </w:rPr>
            </w:pPr>
            <w:r>
              <w:rPr>
                <w:rFonts w:hint="eastAsia" w:ascii="宋体" w:hAnsi="宋体"/>
                <w:color w:val="000000"/>
                <w:sz w:val="24"/>
                <w:lang w:bidi="ar"/>
              </w:rPr>
              <w:t>项目完成</w:t>
            </w:r>
          </w:p>
          <w:p>
            <w:pPr>
              <w:pageBreakBefore w:val="0"/>
              <w:widowControl/>
              <w:kinsoku/>
              <w:wordWrap/>
              <w:overflowPunct/>
              <w:topLinePunct w:val="0"/>
              <w:autoSpaceDE/>
              <w:autoSpaceDN/>
              <w:bidi w:val="0"/>
              <w:jc w:val="center"/>
              <w:textAlignment w:val="center"/>
              <w:outlineLvl w:val="9"/>
              <w:rPr>
                <w:rFonts w:hint="eastAsia" w:ascii="宋体" w:hAnsi="宋体"/>
                <w:color w:val="000000"/>
                <w:sz w:val="24"/>
              </w:rPr>
            </w:pPr>
            <w:r>
              <w:rPr>
                <w:rFonts w:hint="eastAsia" w:ascii="宋体" w:hAnsi="宋体"/>
                <w:color w:val="000000"/>
                <w:sz w:val="24"/>
                <w:lang w:bidi="ar"/>
              </w:rPr>
              <w:t>指标</w:t>
            </w:r>
          </w:p>
        </w:tc>
        <w:tc>
          <w:tcPr>
            <w:tcW w:w="16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2"/>
                <w:szCs w:val="22"/>
              </w:rPr>
            </w:pPr>
            <w:r>
              <w:rPr>
                <w:rFonts w:hint="eastAsia" w:ascii="宋体" w:hAnsi="宋体"/>
                <w:color w:val="000000"/>
                <w:sz w:val="22"/>
                <w:szCs w:val="22"/>
                <w:lang w:bidi="ar"/>
              </w:rPr>
              <w:t>数量指标</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2"/>
                <w:szCs w:val="22"/>
              </w:rPr>
            </w:pPr>
            <w:r>
              <w:rPr>
                <w:rFonts w:hint="eastAsia" w:ascii="宋体" w:hAnsi="宋体"/>
                <w:color w:val="000000"/>
                <w:sz w:val="22"/>
                <w:szCs w:val="22"/>
                <w:lang w:bidi="ar"/>
              </w:rPr>
              <w:t>资助学生人数</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41</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人</w:t>
            </w:r>
          </w:p>
        </w:tc>
        <w:tc>
          <w:tcPr>
            <w:tcW w:w="81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10</w:t>
            </w:r>
          </w:p>
        </w:tc>
        <w:tc>
          <w:tcPr>
            <w:tcW w:w="465"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outlineLvl w:val="9"/>
              <w:rPr>
                <w:rFonts w:hint="eastAsia" w:ascii="宋体" w:hAnsi="宋体"/>
                <w:color w:val="000000"/>
                <w:sz w:val="24"/>
              </w:rPr>
            </w:pPr>
          </w:p>
        </w:tc>
      </w:tr>
      <w:tr>
        <w:tblPrEx>
          <w:tblCellMar>
            <w:top w:w="0" w:type="dxa"/>
            <w:left w:w="108" w:type="dxa"/>
            <w:bottom w:w="0" w:type="dxa"/>
            <w:right w:w="108" w:type="dxa"/>
          </w:tblCellMar>
        </w:tblPrEx>
        <w:trPr>
          <w:trHeight w:val="240" w:hRule="atLeast"/>
        </w:trPr>
        <w:tc>
          <w:tcPr>
            <w:tcW w:w="520" w:type="dxa"/>
            <w:vMerge w:val="continue"/>
            <w:tcBorders>
              <w:left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4"/>
                <w:lang w:bidi="ar"/>
              </w:rPr>
            </w:pPr>
          </w:p>
        </w:tc>
        <w:tc>
          <w:tcPr>
            <w:tcW w:w="1047" w:type="dxa"/>
            <w:vMerge w:val="continue"/>
            <w:tcBorders>
              <w:left w:val="single" w:color="000000" w:sz="4" w:space="0"/>
              <w:right w:val="single" w:color="000000" w:sz="4" w:space="0"/>
            </w:tcBorders>
            <w:noWrap/>
            <w:vAlign w:val="center"/>
          </w:tcPr>
          <w:p>
            <w:pPr>
              <w:pageBreakBefore w:val="0"/>
              <w:kinsoku/>
              <w:wordWrap/>
              <w:overflowPunct/>
              <w:topLinePunct w:val="0"/>
              <w:autoSpaceDE/>
              <w:autoSpaceDN/>
              <w:bidi w:val="0"/>
              <w:jc w:val="left"/>
              <w:textAlignment w:val="center"/>
              <w:outlineLvl w:val="9"/>
              <w:rPr>
                <w:rFonts w:hint="eastAsia" w:ascii="宋体" w:hAnsi="宋体"/>
                <w:color w:val="000000"/>
                <w:sz w:val="24"/>
              </w:rPr>
            </w:pPr>
          </w:p>
        </w:tc>
        <w:tc>
          <w:tcPr>
            <w:tcW w:w="16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2"/>
                <w:szCs w:val="22"/>
              </w:rPr>
            </w:pPr>
            <w:r>
              <w:rPr>
                <w:rFonts w:hint="eastAsia" w:ascii="宋体" w:hAnsi="宋体"/>
                <w:color w:val="000000"/>
                <w:sz w:val="22"/>
                <w:szCs w:val="22"/>
                <w:lang w:bidi="ar"/>
              </w:rPr>
              <w:t>数量指标</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2"/>
                <w:szCs w:val="22"/>
              </w:rPr>
            </w:pPr>
            <w:r>
              <w:rPr>
                <w:rFonts w:hint="eastAsia" w:ascii="宋体" w:hAnsi="宋体"/>
                <w:color w:val="000000"/>
                <w:sz w:val="22"/>
                <w:szCs w:val="22"/>
                <w:lang w:bidi="ar"/>
              </w:rPr>
              <w:t>每名学生资助金额</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1000</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元</w:t>
            </w:r>
          </w:p>
        </w:tc>
        <w:tc>
          <w:tcPr>
            <w:tcW w:w="81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10</w:t>
            </w:r>
          </w:p>
        </w:tc>
        <w:tc>
          <w:tcPr>
            <w:tcW w:w="465"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outlineLvl w:val="9"/>
              <w:rPr>
                <w:rFonts w:hint="eastAsia" w:ascii="宋体" w:hAnsi="宋体"/>
                <w:color w:val="000000"/>
                <w:sz w:val="24"/>
              </w:rPr>
            </w:pPr>
          </w:p>
        </w:tc>
      </w:tr>
      <w:tr>
        <w:tblPrEx>
          <w:tblCellMar>
            <w:top w:w="0" w:type="dxa"/>
            <w:left w:w="108" w:type="dxa"/>
            <w:bottom w:w="0" w:type="dxa"/>
            <w:right w:w="108" w:type="dxa"/>
          </w:tblCellMar>
        </w:tblPrEx>
        <w:trPr>
          <w:trHeight w:val="418" w:hRule="atLeast"/>
        </w:trPr>
        <w:tc>
          <w:tcPr>
            <w:tcW w:w="520" w:type="dxa"/>
            <w:vMerge w:val="continue"/>
            <w:tcBorders>
              <w:left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4"/>
                <w:lang w:bidi="ar"/>
              </w:rPr>
            </w:pPr>
          </w:p>
        </w:tc>
        <w:tc>
          <w:tcPr>
            <w:tcW w:w="1047" w:type="dxa"/>
            <w:vMerge w:val="continue"/>
            <w:tcBorders>
              <w:left w:val="single" w:color="000000" w:sz="4" w:space="0"/>
              <w:right w:val="single" w:color="000000" w:sz="4" w:space="0"/>
            </w:tcBorders>
            <w:noWrap/>
            <w:vAlign w:val="center"/>
          </w:tcPr>
          <w:p>
            <w:pPr>
              <w:pageBreakBefore w:val="0"/>
              <w:kinsoku/>
              <w:wordWrap/>
              <w:overflowPunct/>
              <w:topLinePunct w:val="0"/>
              <w:autoSpaceDE/>
              <w:autoSpaceDN/>
              <w:bidi w:val="0"/>
              <w:jc w:val="left"/>
              <w:textAlignment w:val="center"/>
              <w:outlineLvl w:val="9"/>
              <w:rPr>
                <w:rFonts w:hint="eastAsia" w:ascii="宋体" w:hAnsi="宋体"/>
                <w:color w:val="000000"/>
                <w:sz w:val="24"/>
              </w:rPr>
            </w:pPr>
          </w:p>
        </w:tc>
        <w:tc>
          <w:tcPr>
            <w:tcW w:w="16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2"/>
                <w:szCs w:val="22"/>
              </w:rPr>
            </w:pPr>
            <w:r>
              <w:rPr>
                <w:rFonts w:hint="eastAsia" w:ascii="宋体" w:hAnsi="宋体"/>
                <w:color w:val="000000"/>
                <w:sz w:val="22"/>
                <w:szCs w:val="22"/>
                <w:lang w:bidi="ar"/>
              </w:rPr>
              <w:t>时效指标</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2"/>
                <w:szCs w:val="22"/>
              </w:rPr>
            </w:pPr>
            <w:r>
              <w:rPr>
                <w:rFonts w:hint="eastAsia" w:ascii="宋体" w:hAnsi="宋体"/>
                <w:color w:val="000000"/>
                <w:sz w:val="22"/>
                <w:szCs w:val="22"/>
                <w:lang w:bidi="ar"/>
              </w:rPr>
              <w:t>项目完成及时率</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定性</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100</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日</w:t>
            </w:r>
          </w:p>
        </w:tc>
        <w:tc>
          <w:tcPr>
            <w:tcW w:w="81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10</w:t>
            </w:r>
          </w:p>
        </w:tc>
        <w:tc>
          <w:tcPr>
            <w:tcW w:w="465"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outlineLvl w:val="9"/>
              <w:rPr>
                <w:rFonts w:hint="eastAsia" w:ascii="宋体" w:hAnsi="宋体"/>
                <w:color w:val="000000"/>
                <w:sz w:val="24"/>
              </w:rPr>
            </w:pPr>
          </w:p>
        </w:tc>
      </w:tr>
      <w:tr>
        <w:tblPrEx>
          <w:tblCellMar>
            <w:top w:w="0" w:type="dxa"/>
            <w:left w:w="108" w:type="dxa"/>
            <w:bottom w:w="0" w:type="dxa"/>
            <w:right w:w="108" w:type="dxa"/>
          </w:tblCellMar>
        </w:tblPrEx>
        <w:trPr>
          <w:trHeight w:val="438" w:hRule="atLeast"/>
        </w:trPr>
        <w:tc>
          <w:tcPr>
            <w:tcW w:w="520" w:type="dxa"/>
            <w:vMerge w:val="continue"/>
            <w:tcBorders>
              <w:left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4"/>
                <w:lang w:bidi="ar"/>
              </w:rPr>
            </w:pPr>
          </w:p>
        </w:tc>
        <w:tc>
          <w:tcPr>
            <w:tcW w:w="1047" w:type="dxa"/>
            <w:vMerge w:val="continue"/>
            <w:tcBorders>
              <w:left w:val="single" w:color="000000" w:sz="4" w:space="0"/>
              <w:right w:val="single" w:color="000000" w:sz="4" w:space="0"/>
            </w:tcBorders>
            <w:noWrap/>
            <w:vAlign w:val="center"/>
          </w:tcPr>
          <w:p>
            <w:pPr>
              <w:pageBreakBefore w:val="0"/>
              <w:kinsoku/>
              <w:wordWrap/>
              <w:overflowPunct/>
              <w:topLinePunct w:val="0"/>
              <w:autoSpaceDE/>
              <w:autoSpaceDN/>
              <w:bidi w:val="0"/>
              <w:jc w:val="left"/>
              <w:textAlignment w:val="center"/>
              <w:outlineLvl w:val="9"/>
              <w:rPr>
                <w:rFonts w:hint="eastAsia" w:ascii="宋体" w:hAnsi="宋体"/>
                <w:color w:val="000000"/>
                <w:sz w:val="24"/>
              </w:rPr>
            </w:pPr>
          </w:p>
        </w:tc>
        <w:tc>
          <w:tcPr>
            <w:tcW w:w="16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2"/>
                <w:szCs w:val="22"/>
              </w:rPr>
            </w:pPr>
            <w:r>
              <w:rPr>
                <w:rFonts w:hint="eastAsia" w:ascii="宋体" w:hAnsi="宋体"/>
                <w:color w:val="000000"/>
                <w:sz w:val="22"/>
                <w:szCs w:val="22"/>
                <w:lang w:bidi="ar"/>
              </w:rPr>
              <w:t>数量指标</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2"/>
                <w:szCs w:val="22"/>
              </w:rPr>
            </w:pPr>
            <w:r>
              <w:rPr>
                <w:rFonts w:hint="eastAsia" w:ascii="宋体" w:hAnsi="宋体"/>
                <w:color w:val="000000"/>
                <w:sz w:val="22"/>
                <w:szCs w:val="22"/>
                <w:lang w:bidi="ar"/>
              </w:rPr>
              <w:t>及时将资助款拨付至受助人</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定性</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100</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日</w:t>
            </w:r>
          </w:p>
        </w:tc>
        <w:tc>
          <w:tcPr>
            <w:tcW w:w="81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10</w:t>
            </w:r>
          </w:p>
        </w:tc>
        <w:tc>
          <w:tcPr>
            <w:tcW w:w="465"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outlineLvl w:val="9"/>
              <w:rPr>
                <w:rFonts w:hint="eastAsia" w:ascii="宋体" w:hAnsi="宋体"/>
                <w:color w:val="000000"/>
                <w:sz w:val="24"/>
              </w:rPr>
            </w:pPr>
          </w:p>
        </w:tc>
      </w:tr>
      <w:tr>
        <w:tblPrEx>
          <w:tblCellMar>
            <w:top w:w="0" w:type="dxa"/>
            <w:left w:w="108" w:type="dxa"/>
            <w:bottom w:w="0" w:type="dxa"/>
            <w:right w:w="108" w:type="dxa"/>
          </w:tblCellMar>
        </w:tblPrEx>
        <w:trPr>
          <w:trHeight w:val="240" w:hRule="atLeast"/>
        </w:trPr>
        <w:tc>
          <w:tcPr>
            <w:tcW w:w="520" w:type="dxa"/>
            <w:vMerge w:val="continue"/>
            <w:tcBorders>
              <w:left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4"/>
                <w:lang w:bidi="ar"/>
              </w:rPr>
            </w:pPr>
          </w:p>
        </w:tc>
        <w:tc>
          <w:tcPr>
            <w:tcW w:w="1047" w:type="dxa"/>
            <w:vMerge w:val="continue"/>
            <w:tcBorders>
              <w:left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4"/>
              </w:rPr>
            </w:pPr>
          </w:p>
        </w:tc>
        <w:tc>
          <w:tcPr>
            <w:tcW w:w="16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2"/>
                <w:szCs w:val="22"/>
              </w:rPr>
            </w:pPr>
            <w:r>
              <w:rPr>
                <w:rFonts w:hint="eastAsia" w:ascii="宋体" w:hAnsi="宋体"/>
                <w:color w:val="000000"/>
                <w:sz w:val="22"/>
                <w:szCs w:val="22"/>
                <w:lang w:bidi="ar"/>
              </w:rPr>
              <w:t>可持续影响指标</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2"/>
                <w:szCs w:val="22"/>
              </w:rPr>
            </w:pPr>
            <w:r>
              <w:rPr>
                <w:rFonts w:hint="eastAsia" w:ascii="宋体" w:hAnsi="宋体"/>
                <w:color w:val="000000"/>
                <w:sz w:val="22"/>
                <w:szCs w:val="22"/>
                <w:lang w:bidi="ar"/>
              </w:rPr>
              <w:t>保障受助人及时收到资助款</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定性</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100</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日</w:t>
            </w:r>
          </w:p>
        </w:tc>
        <w:tc>
          <w:tcPr>
            <w:tcW w:w="81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25</w:t>
            </w:r>
          </w:p>
        </w:tc>
        <w:tc>
          <w:tcPr>
            <w:tcW w:w="465"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outlineLvl w:val="9"/>
              <w:rPr>
                <w:rFonts w:hint="eastAsia" w:ascii="宋体" w:hAnsi="宋体"/>
                <w:color w:val="000000"/>
                <w:sz w:val="24"/>
              </w:rPr>
            </w:pPr>
          </w:p>
        </w:tc>
      </w:tr>
      <w:tr>
        <w:tblPrEx>
          <w:tblCellMar>
            <w:top w:w="0" w:type="dxa"/>
            <w:left w:w="108" w:type="dxa"/>
            <w:bottom w:w="0" w:type="dxa"/>
            <w:right w:w="108" w:type="dxa"/>
          </w:tblCellMar>
        </w:tblPrEx>
        <w:trPr>
          <w:trHeight w:val="466" w:hRule="atLeast"/>
        </w:trPr>
        <w:tc>
          <w:tcPr>
            <w:tcW w:w="520" w:type="dxa"/>
            <w:vMerge w:val="continue"/>
            <w:tcBorders>
              <w:left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4"/>
                <w:lang w:bidi="ar"/>
              </w:rPr>
            </w:pPr>
          </w:p>
        </w:tc>
        <w:tc>
          <w:tcPr>
            <w:tcW w:w="1047" w:type="dxa"/>
            <w:vMerge w:val="continue"/>
            <w:tcBorders>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4"/>
              </w:rPr>
            </w:pPr>
          </w:p>
        </w:tc>
        <w:tc>
          <w:tcPr>
            <w:tcW w:w="16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2"/>
                <w:szCs w:val="22"/>
                <w:lang w:bidi="ar"/>
              </w:rPr>
            </w:pPr>
            <w:r>
              <w:rPr>
                <w:rFonts w:hint="eastAsia" w:ascii="宋体" w:hAnsi="宋体"/>
                <w:color w:val="000000"/>
                <w:sz w:val="22"/>
                <w:szCs w:val="22"/>
                <w:lang w:bidi="ar"/>
              </w:rPr>
              <w:t>社会效益指标</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2"/>
                <w:szCs w:val="22"/>
                <w:lang w:bidi="ar"/>
              </w:rPr>
            </w:pPr>
            <w:r>
              <w:rPr>
                <w:rFonts w:hint="eastAsia" w:ascii="宋体" w:hAnsi="宋体"/>
                <w:color w:val="000000"/>
                <w:sz w:val="22"/>
                <w:szCs w:val="22"/>
                <w:lang w:bidi="ar"/>
              </w:rPr>
              <w:t>保障资助款拨付到位</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lang w:bidi="ar"/>
              </w:rPr>
            </w:pPr>
            <w:r>
              <w:rPr>
                <w:rFonts w:hint="eastAsia" w:ascii="宋体" w:hAnsi="宋体"/>
                <w:color w:val="000000"/>
                <w:sz w:val="22"/>
                <w:szCs w:val="22"/>
                <w:lang w:bidi="ar"/>
              </w:rPr>
              <w:t>定性</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lang w:bidi="ar"/>
              </w:rPr>
            </w:pPr>
            <w:r>
              <w:rPr>
                <w:rFonts w:hint="eastAsia" w:ascii="宋体" w:hAnsi="宋体"/>
                <w:color w:val="000000"/>
                <w:sz w:val="22"/>
                <w:szCs w:val="22"/>
                <w:lang w:bidi="ar"/>
              </w:rPr>
              <w:t>100</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lang w:bidi="ar"/>
              </w:rPr>
            </w:pPr>
            <w:r>
              <w:rPr>
                <w:rFonts w:hint="eastAsia" w:ascii="宋体" w:hAnsi="宋体"/>
                <w:color w:val="000000"/>
                <w:sz w:val="22"/>
                <w:szCs w:val="22"/>
                <w:lang w:bidi="ar"/>
              </w:rPr>
              <w:t>日</w:t>
            </w:r>
          </w:p>
        </w:tc>
        <w:tc>
          <w:tcPr>
            <w:tcW w:w="81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lang w:bidi="ar"/>
              </w:rPr>
            </w:pPr>
            <w:r>
              <w:rPr>
                <w:rFonts w:hint="eastAsia" w:ascii="宋体" w:hAnsi="宋体"/>
                <w:color w:val="000000"/>
                <w:sz w:val="22"/>
                <w:szCs w:val="22"/>
                <w:lang w:bidi="ar"/>
              </w:rPr>
              <w:t>30</w:t>
            </w:r>
          </w:p>
        </w:tc>
        <w:tc>
          <w:tcPr>
            <w:tcW w:w="465"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outlineLvl w:val="9"/>
              <w:rPr>
                <w:rFonts w:hint="eastAsia" w:ascii="宋体" w:hAnsi="宋体"/>
                <w:color w:val="000000"/>
                <w:sz w:val="24"/>
              </w:rPr>
            </w:pPr>
          </w:p>
        </w:tc>
      </w:tr>
      <w:tr>
        <w:tblPrEx>
          <w:tblCellMar>
            <w:top w:w="0" w:type="dxa"/>
            <w:left w:w="108" w:type="dxa"/>
            <w:bottom w:w="0" w:type="dxa"/>
            <w:right w:w="108" w:type="dxa"/>
          </w:tblCellMar>
        </w:tblPrEx>
        <w:trPr>
          <w:trHeight w:val="240" w:hRule="atLeast"/>
        </w:trPr>
        <w:tc>
          <w:tcPr>
            <w:tcW w:w="520" w:type="dxa"/>
            <w:vMerge w:val="continue"/>
            <w:tcBorders>
              <w:left w:val="single" w:color="000000" w:sz="4" w:space="0"/>
              <w:bottom w:val="single" w:color="auto"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4"/>
                <w:lang w:bidi="ar"/>
              </w:rPr>
            </w:pPr>
          </w:p>
        </w:tc>
        <w:tc>
          <w:tcPr>
            <w:tcW w:w="1047" w:type="dxa"/>
            <w:tcBorders>
              <w:top w:val="single" w:color="000000" w:sz="4" w:space="0"/>
              <w:left w:val="single" w:color="000000" w:sz="4" w:space="0"/>
              <w:bottom w:val="single" w:color="auto"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4"/>
              </w:rPr>
            </w:pPr>
            <w:r>
              <w:rPr>
                <w:rFonts w:hint="eastAsia" w:ascii="宋体" w:hAnsi="宋体"/>
                <w:color w:val="000000"/>
                <w:sz w:val="24"/>
                <w:lang w:bidi="ar"/>
              </w:rPr>
              <w:t>满意度指标</w:t>
            </w:r>
          </w:p>
        </w:tc>
        <w:tc>
          <w:tcPr>
            <w:tcW w:w="16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2"/>
                <w:szCs w:val="22"/>
              </w:rPr>
            </w:pPr>
            <w:r>
              <w:rPr>
                <w:rFonts w:hint="eastAsia" w:ascii="宋体" w:hAnsi="宋体"/>
                <w:color w:val="000000"/>
                <w:sz w:val="22"/>
                <w:szCs w:val="22"/>
                <w:lang w:bidi="ar"/>
              </w:rPr>
              <w:t>服务对象满意度指标</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2"/>
                <w:szCs w:val="22"/>
              </w:rPr>
            </w:pPr>
            <w:r>
              <w:rPr>
                <w:rFonts w:hint="eastAsia" w:ascii="宋体" w:hAnsi="宋体"/>
                <w:color w:val="000000"/>
                <w:sz w:val="22"/>
                <w:szCs w:val="22"/>
                <w:lang w:bidi="ar"/>
              </w:rPr>
              <w:t>受助人满意度</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90</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w:t>
            </w:r>
          </w:p>
        </w:tc>
        <w:tc>
          <w:tcPr>
            <w:tcW w:w="813"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5</w:t>
            </w:r>
          </w:p>
        </w:tc>
        <w:tc>
          <w:tcPr>
            <w:tcW w:w="465"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outlineLvl w:val="9"/>
              <w:rPr>
                <w:rFonts w:hint="eastAsia" w:ascii="宋体" w:hAnsi="宋体"/>
                <w:color w:val="000000"/>
                <w:sz w:val="24"/>
              </w:rPr>
            </w:pPr>
          </w:p>
        </w:tc>
      </w:tr>
    </w:tbl>
    <w:p>
      <w:pPr>
        <w:pageBreakBefore w:val="0"/>
        <w:kinsoku/>
        <w:wordWrap/>
        <w:overflowPunct/>
        <w:topLinePunct w:val="0"/>
        <w:autoSpaceDE/>
        <w:autoSpaceDN/>
        <w:bidi w:val="0"/>
        <w:spacing w:line="560" w:lineRule="exact"/>
        <w:jc w:val="both"/>
        <w:outlineLvl w:val="9"/>
        <w:rPr>
          <w:rFonts w:hint="eastAsia" w:ascii="黑体" w:hAnsi="黑体" w:eastAsia="黑体" w:cs="黑体"/>
          <w:kern w:val="2"/>
          <w:sz w:val="30"/>
          <w:szCs w:val="30"/>
          <w:u w:val="none"/>
          <w:lang w:val="en-US" w:eastAsia="zh-CN"/>
        </w:rPr>
      </w:pPr>
      <w:r>
        <w:rPr>
          <w:rFonts w:hint="eastAsia" w:ascii="黑体" w:hAnsi="黑体" w:eastAsia="黑体" w:cs="黑体"/>
          <w:kern w:val="2"/>
          <w:sz w:val="30"/>
          <w:szCs w:val="30"/>
          <w:u w:val="none"/>
          <w:lang w:eastAsia="zh-CN"/>
        </w:rPr>
        <w:t>附件</w:t>
      </w:r>
      <w:r>
        <w:rPr>
          <w:rFonts w:hint="eastAsia" w:ascii="黑体" w:hAnsi="黑体" w:eastAsia="黑体" w:cs="黑体"/>
          <w:kern w:val="2"/>
          <w:sz w:val="30"/>
          <w:szCs w:val="30"/>
          <w:u w:val="none"/>
          <w:lang w:val="en-US" w:eastAsia="zh-CN"/>
        </w:rPr>
        <w:t>2：</w:t>
      </w:r>
    </w:p>
    <w:p>
      <w:pPr>
        <w:pageBreakBefore w:val="0"/>
        <w:kinsoku/>
        <w:wordWrap/>
        <w:overflowPunct/>
        <w:topLinePunct w:val="0"/>
        <w:autoSpaceDE/>
        <w:autoSpaceDN/>
        <w:bidi w:val="0"/>
        <w:spacing w:line="560" w:lineRule="exact"/>
        <w:jc w:val="center"/>
        <w:outlineLvl w:val="9"/>
        <w:rPr>
          <w:rFonts w:hint="eastAsia" w:ascii="方正黑体_GBK" w:eastAsia="方正黑体_GBK" w:cs="Times New Roman"/>
          <w:kern w:val="2"/>
          <w:sz w:val="44"/>
          <w:szCs w:val="44"/>
          <w:u w:val="none"/>
        </w:rPr>
      </w:pPr>
      <w:r>
        <w:rPr>
          <w:rFonts w:hint="eastAsia" w:ascii="方正黑体_GBK" w:eastAsia="方正黑体_GBK" w:cs="Times New Roman"/>
          <w:kern w:val="2"/>
          <w:sz w:val="44"/>
          <w:szCs w:val="44"/>
          <w:u w:val="none"/>
        </w:rPr>
        <w:t>共青团茂县委员会</w:t>
      </w:r>
    </w:p>
    <w:p>
      <w:pPr>
        <w:pageBreakBefore w:val="0"/>
        <w:kinsoku/>
        <w:wordWrap/>
        <w:overflowPunct/>
        <w:topLinePunct w:val="0"/>
        <w:autoSpaceDE/>
        <w:autoSpaceDN/>
        <w:bidi w:val="0"/>
        <w:spacing w:line="560" w:lineRule="exact"/>
        <w:jc w:val="center"/>
        <w:outlineLvl w:val="9"/>
        <w:rPr>
          <w:rFonts w:hint="eastAsia" w:ascii="方正黑体_GBK" w:eastAsia="方正黑体_GBK" w:cs="Times New Roman"/>
          <w:kern w:val="2"/>
          <w:sz w:val="44"/>
          <w:szCs w:val="44"/>
        </w:rPr>
      </w:pPr>
      <w:r>
        <w:rPr>
          <w:rFonts w:hint="eastAsia" w:ascii="方正小标宋简体" w:hAnsi="方正小标宋简体" w:eastAsia="方正小标宋简体" w:cs="方正小标宋简体"/>
          <w:kern w:val="2"/>
          <w:sz w:val="44"/>
          <w:szCs w:val="44"/>
        </w:rPr>
        <w:t>专项预算项目绩效评价报告</w:t>
      </w:r>
    </w:p>
    <w:p>
      <w:pPr>
        <w:keepNext w:val="0"/>
        <w:keepLines w:val="0"/>
        <w:pageBreakBefore w:val="0"/>
        <w:kinsoku/>
        <w:wordWrap/>
        <w:overflowPunct/>
        <w:topLinePunct w:val="0"/>
        <w:autoSpaceDE/>
        <w:autoSpaceDN/>
        <w:bidi w:val="0"/>
        <w:adjustRightInd w:val="0"/>
        <w:snapToGrid w:val="0"/>
        <w:spacing w:line="540" w:lineRule="exact"/>
        <w:ind w:right="0" w:rightChars="0" w:firstLine="643" w:firstLineChars="200"/>
        <w:outlineLvl w:val="9"/>
        <w:rPr>
          <w:rFonts w:hint="eastAsia" w:ascii="黑体" w:hAnsi="宋体" w:eastAsia="黑体"/>
          <w:b/>
          <w:bCs/>
          <w:sz w:val="32"/>
          <w:szCs w:val="40"/>
        </w:rPr>
      </w:pPr>
    </w:p>
    <w:p>
      <w:pPr>
        <w:keepNext w:val="0"/>
        <w:keepLines w:val="0"/>
        <w:pageBreakBefore w:val="0"/>
        <w:kinsoku/>
        <w:wordWrap/>
        <w:overflowPunct/>
        <w:topLinePunct w:val="0"/>
        <w:autoSpaceDE/>
        <w:autoSpaceDN/>
        <w:bidi w:val="0"/>
        <w:adjustRightInd w:val="0"/>
        <w:snapToGrid w:val="0"/>
        <w:spacing w:line="540" w:lineRule="exact"/>
        <w:ind w:right="0" w:rightChars="0" w:firstLine="643" w:firstLineChars="200"/>
        <w:outlineLvl w:val="9"/>
        <w:rPr>
          <w:rFonts w:hint="eastAsia" w:ascii="黑体" w:hAnsi="宋体" w:eastAsia="黑体"/>
          <w:b/>
          <w:bCs/>
          <w:sz w:val="32"/>
          <w:szCs w:val="40"/>
          <w:lang w:val="zh-CN"/>
        </w:rPr>
      </w:pPr>
      <w:r>
        <w:rPr>
          <w:rFonts w:hint="eastAsia" w:ascii="黑体" w:hAnsi="宋体" w:eastAsia="黑体"/>
          <w:b/>
          <w:bCs/>
          <w:sz w:val="32"/>
          <w:szCs w:val="40"/>
        </w:rPr>
        <w:t>一、</w:t>
      </w:r>
      <w:r>
        <w:rPr>
          <w:rFonts w:hint="eastAsia" w:ascii="黑体" w:hAnsi="宋体" w:eastAsia="黑体"/>
          <w:b/>
          <w:bCs/>
          <w:sz w:val="32"/>
          <w:szCs w:val="40"/>
          <w:lang w:val="zh-CN"/>
        </w:rPr>
        <w:t>项目概况</w:t>
      </w:r>
    </w:p>
    <w:p>
      <w:pPr>
        <w:keepNext w:val="0"/>
        <w:keepLines w:val="0"/>
        <w:pageBreakBefore w:val="0"/>
        <w:kinsoku/>
        <w:wordWrap/>
        <w:overflowPunct/>
        <w:topLinePunct w:val="0"/>
        <w:autoSpaceDE/>
        <w:autoSpaceDN/>
        <w:bidi w:val="0"/>
        <w:adjustRightInd w:val="0"/>
        <w:snapToGrid w:val="0"/>
        <w:spacing w:line="540" w:lineRule="exact"/>
        <w:ind w:right="0" w:rightChars="0" w:firstLine="643" w:firstLineChars="200"/>
        <w:outlineLvl w:val="9"/>
        <w:rPr>
          <w:rFonts w:hint="eastAsia" w:ascii="黑体" w:hAnsi="宋体" w:eastAsia="黑体"/>
          <w:b/>
          <w:bCs/>
          <w:sz w:val="32"/>
          <w:szCs w:val="40"/>
          <w:lang w:val="zh-CN"/>
        </w:rPr>
      </w:pPr>
      <w:r>
        <w:rPr>
          <w:rFonts w:hint="eastAsia" w:ascii="仿宋_GB2312" w:hAnsi="仿宋_GB2312" w:eastAsia="仿宋_GB2312" w:cs="仿宋_GB2312"/>
          <w:b/>
          <w:sz w:val="32"/>
          <w:szCs w:val="32"/>
          <w:lang w:val="zh-CN"/>
        </w:rPr>
        <w:t>（一）设立背景及基本情况。</w:t>
      </w:r>
      <w:r>
        <w:rPr>
          <w:rFonts w:hint="eastAsia" w:ascii="仿宋_GB2312" w:hAnsi="仿宋_GB2312" w:eastAsia="仿宋_GB2312" w:cs="仿宋_GB2312"/>
          <w:sz w:val="32"/>
          <w:szCs w:val="32"/>
          <w:lang w:val="zh-CN"/>
        </w:rPr>
        <w:t>为进一步扩大关爱留守儿童的覆盖面,茂县特申请新建2个童伴之家,在关爱留守儿童课程上积极探索更多更好的有效举措,切实把关爱留守儿童工作做深做实做细。</w:t>
      </w:r>
    </w:p>
    <w:p>
      <w:pPr>
        <w:keepNext w:val="0"/>
        <w:keepLines w:val="0"/>
        <w:pageBreakBefore w:val="0"/>
        <w:widowControl/>
        <w:kinsoku/>
        <w:wordWrap/>
        <w:overflowPunct/>
        <w:topLinePunct w:val="0"/>
        <w:autoSpaceDE/>
        <w:autoSpaceDN/>
        <w:bidi w:val="0"/>
        <w:adjustRightInd w:val="0"/>
        <w:snapToGrid w:val="0"/>
        <w:spacing w:line="540" w:lineRule="exact"/>
        <w:ind w:right="0" w:rightChars="0" w:firstLine="643" w:firstLineChars="200"/>
        <w:contextualSpacing/>
        <w:jc w:val="left"/>
        <w:outlineLvl w:val="9"/>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lang w:val="zh-CN"/>
        </w:rPr>
        <w:t>（二）</w:t>
      </w:r>
      <w:r>
        <w:rPr>
          <w:rFonts w:hint="eastAsia" w:ascii="仿宋_GB2312" w:hAnsi="仿宋_GB2312" w:eastAsia="仿宋_GB2312" w:cs="仿宋_GB2312"/>
          <w:b/>
          <w:sz w:val="32"/>
          <w:szCs w:val="32"/>
        </w:rPr>
        <w:t>实施目的及支持方向。</w:t>
      </w:r>
      <w:r>
        <w:rPr>
          <w:rFonts w:hint="eastAsia" w:ascii="仿宋_GB2312" w:hAnsi="仿宋_GB2312" w:eastAsia="仿宋_GB2312" w:cs="仿宋_GB2312"/>
          <w:bCs/>
          <w:sz w:val="32"/>
          <w:szCs w:val="32"/>
        </w:rPr>
        <w:t xml:space="preserve">新建2个童伴之家，为留守儿童提供优质的教育资源、学习资源，促进其全面发展。为留守儿童提供和谐温馨的家庭环境，培养其良好的家庭观念和习惯，提高留守儿童保护意识，加强留守儿童保护意识教育，提高留守儿童自我保护能力，培养健康的生活方式，引导留守儿童养成健康的生活习惯，促进其身心健康发展。                               </w:t>
      </w:r>
    </w:p>
    <w:p>
      <w:pPr>
        <w:keepNext w:val="0"/>
        <w:keepLines w:val="0"/>
        <w:pageBreakBefore w:val="0"/>
        <w:widowControl/>
        <w:kinsoku/>
        <w:wordWrap/>
        <w:overflowPunct/>
        <w:topLinePunct w:val="0"/>
        <w:autoSpaceDE/>
        <w:autoSpaceDN/>
        <w:bidi w:val="0"/>
        <w:adjustRightInd w:val="0"/>
        <w:snapToGrid w:val="0"/>
        <w:spacing w:line="540" w:lineRule="exact"/>
        <w:ind w:right="0" w:rightChars="0" w:firstLine="643" w:firstLineChars="200"/>
        <w:contextualSpacing/>
        <w:jc w:val="left"/>
        <w:outlineLvl w:val="9"/>
        <w:rPr>
          <w:rFonts w:hint="eastAsia" w:ascii="仿宋_GB2312" w:hAnsi="仿宋_GB2312" w:eastAsia="仿宋_GB2312" w:cs="仿宋_GB2312"/>
          <w:bCs/>
          <w:sz w:val="32"/>
          <w:szCs w:val="32"/>
          <w:lang w:val="zh-CN"/>
        </w:rPr>
      </w:pPr>
      <w:r>
        <w:rPr>
          <w:rFonts w:hint="eastAsia" w:ascii="仿宋_GB2312" w:hAnsi="仿宋_GB2312" w:eastAsia="仿宋_GB2312" w:cs="仿宋_GB2312"/>
          <w:b/>
          <w:sz w:val="32"/>
          <w:szCs w:val="32"/>
          <w:lang w:val="zh-CN"/>
        </w:rPr>
        <w:t>（三）</w:t>
      </w:r>
      <w:r>
        <w:rPr>
          <w:rFonts w:hint="eastAsia" w:ascii="仿宋_GB2312" w:hAnsi="仿宋_GB2312" w:eastAsia="仿宋_GB2312" w:cs="仿宋_GB2312"/>
          <w:b/>
          <w:sz w:val="32"/>
          <w:szCs w:val="32"/>
        </w:rPr>
        <w:t>预算安排及分配管理</w:t>
      </w:r>
      <w:r>
        <w:rPr>
          <w:rFonts w:hint="eastAsia" w:ascii="仿宋_GB2312" w:hAnsi="仿宋_GB2312" w:eastAsia="仿宋_GB2312" w:cs="仿宋_GB2312"/>
          <w:b/>
          <w:sz w:val="32"/>
          <w:szCs w:val="32"/>
          <w:lang w:val="zh-CN"/>
        </w:rPr>
        <w:t>。</w:t>
      </w:r>
      <w:r>
        <w:rPr>
          <w:rFonts w:hint="eastAsia" w:ascii="仿宋_GB2312" w:hAnsi="仿宋_GB2312" w:eastAsia="仿宋_GB2312" w:cs="仿宋_GB2312"/>
          <w:b w:val="0"/>
          <w:bCs/>
          <w:sz w:val="32"/>
          <w:szCs w:val="32"/>
          <w:lang w:val="zh-CN"/>
        </w:rPr>
        <w:t>童伴之家妈妈工作经费</w:t>
      </w:r>
      <w:r>
        <w:rPr>
          <w:rFonts w:hint="eastAsia" w:ascii="仿宋_GB2312" w:hAnsi="仿宋_GB2312" w:eastAsia="仿宋_GB2312" w:cs="仿宋_GB2312"/>
          <w:b w:val="0"/>
          <w:bCs/>
          <w:sz w:val="32"/>
          <w:szCs w:val="32"/>
          <w:lang w:val="en-US" w:eastAsia="zh-CN"/>
        </w:rPr>
        <w:t>5.8万元，其中，</w:t>
      </w:r>
      <w:r>
        <w:rPr>
          <w:rFonts w:hint="eastAsia" w:ascii="仿宋_GB2312" w:hAnsi="仿宋_GB2312" w:eastAsia="仿宋_GB2312" w:cs="仿宋_GB2312"/>
          <w:b w:val="0"/>
          <w:bCs/>
          <w:sz w:val="32"/>
          <w:szCs w:val="32"/>
          <w:lang w:val="zh-CN"/>
        </w:rPr>
        <w:t>团州委拨付8000元，单位代管资金</w:t>
      </w:r>
      <w:r>
        <w:rPr>
          <w:rFonts w:hint="eastAsia" w:ascii="仿宋_GB2312" w:hAnsi="仿宋_GB2312" w:eastAsia="仿宋_GB2312" w:cs="仿宋_GB2312"/>
          <w:b w:val="0"/>
          <w:bCs/>
          <w:sz w:val="32"/>
          <w:szCs w:val="32"/>
          <w:lang w:val="en-US" w:eastAsia="zh-CN"/>
        </w:rPr>
        <w:t>5万元，</w:t>
      </w:r>
      <w:r>
        <w:rPr>
          <w:rFonts w:hint="eastAsia" w:ascii="仿宋_GB2312" w:hAnsi="仿宋_GB2312" w:eastAsia="仿宋_GB2312" w:cs="仿宋_GB2312"/>
          <w:b w:val="0"/>
          <w:bCs/>
          <w:sz w:val="32"/>
          <w:szCs w:val="32"/>
          <w:lang w:val="zh-CN"/>
        </w:rPr>
        <w:t>用于新建</w:t>
      </w:r>
      <w:r>
        <w:rPr>
          <w:rFonts w:hint="eastAsia" w:ascii="仿宋_GB2312" w:hAnsi="仿宋_GB2312" w:eastAsia="仿宋_GB2312" w:cs="仿宋_GB2312"/>
          <w:bCs/>
          <w:sz w:val="32"/>
          <w:szCs w:val="32"/>
          <w:lang w:val="zh-CN"/>
        </w:rPr>
        <w:t>2个童伴之家。经费支出均通过“三重一大”会议集体研究决定，并严格按照项目管理要求全程监督、指导、验收。项目资金拨付严格执行相关财务管理规定，账务处理及时，会计核算规范。</w:t>
      </w:r>
    </w:p>
    <w:p>
      <w:pPr>
        <w:keepNext w:val="0"/>
        <w:keepLines w:val="0"/>
        <w:pageBreakBefore w:val="0"/>
        <w:widowControl/>
        <w:kinsoku/>
        <w:wordWrap/>
        <w:overflowPunct/>
        <w:topLinePunct w:val="0"/>
        <w:autoSpaceDE/>
        <w:autoSpaceDN/>
        <w:bidi w:val="0"/>
        <w:adjustRightInd w:val="0"/>
        <w:snapToGrid w:val="0"/>
        <w:spacing w:line="540" w:lineRule="exact"/>
        <w:ind w:right="0" w:rightChars="0" w:firstLine="643" w:firstLineChars="200"/>
        <w:contextualSpacing/>
        <w:jc w:val="left"/>
        <w:outlineLvl w:val="9"/>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lang w:val="zh-CN"/>
        </w:rPr>
        <w:t>（四）项目绩效目标设置。</w:t>
      </w:r>
      <w:r>
        <w:rPr>
          <w:rFonts w:hint="eastAsia" w:ascii="仿宋_GB2312" w:hAnsi="仿宋_GB2312" w:eastAsia="仿宋_GB2312" w:cs="仿宋_GB2312"/>
          <w:sz w:val="32"/>
          <w:szCs w:val="32"/>
        </w:rPr>
        <w:t>预期成果：新建2个童伴之家，为留守儿童提供优质的教育资源、学习资源，促进其全面发展。通过开展各类活动，</w:t>
      </w:r>
      <w:r>
        <w:rPr>
          <w:rFonts w:hint="eastAsia" w:ascii="仿宋_GB2312" w:hAnsi="仿宋_GB2312" w:eastAsia="仿宋_GB2312" w:cs="仿宋_GB2312"/>
          <w:bCs/>
          <w:sz w:val="32"/>
          <w:szCs w:val="32"/>
        </w:rPr>
        <w:t>为留守儿童提供和谐温馨的家庭环境，培养其良好的家庭观念和习惯，提高留守儿童保护意识，加强留守儿童保护意识教育，提高留守儿童自我保护能力，培养健康的生活方式，引导留守儿童养成健康的生活习惯，促进其身心健康发展。</w:t>
      </w:r>
    </w:p>
    <w:p>
      <w:pPr>
        <w:keepNext w:val="0"/>
        <w:keepLines w:val="0"/>
        <w:pageBreakBefore w:val="0"/>
        <w:widowControl/>
        <w:kinsoku/>
        <w:wordWrap/>
        <w:overflowPunct/>
        <w:topLinePunct w:val="0"/>
        <w:autoSpaceDE/>
        <w:autoSpaceDN/>
        <w:bidi w:val="0"/>
        <w:adjustRightInd w:val="0"/>
        <w:snapToGrid w:val="0"/>
        <w:spacing w:line="540" w:lineRule="exact"/>
        <w:ind w:right="0" w:rightChars="0"/>
        <w:contextualSpacing/>
        <w:jc w:val="center"/>
        <w:outlineLvl w:val="9"/>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2022年州级留守学生之家补助资金项目绩效目标表</w:t>
      </w:r>
    </w:p>
    <w:tbl>
      <w:tblPr>
        <w:tblStyle w:val="26"/>
        <w:tblpPr w:leftFromText="180" w:rightFromText="180" w:vertAnchor="text" w:horzAnchor="page" w:tblpXSpec="center" w:tblpY="265"/>
        <w:tblOverlap w:val="never"/>
        <w:tblW w:w="9734" w:type="dxa"/>
        <w:tblInd w:w="0" w:type="dxa"/>
        <w:tblLayout w:type="fixed"/>
        <w:tblCellMar>
          <w:top w:w="0" w:type="dxa"/>
          <w:left w:w="108" w:type="dxa"/>
          <w:bottom w:w="0" w:type="dxa"/>
          <w:right w:w="108" w:type="dxa"/>
        </w:tblCellMar>
      </w:tblPr>
      <w:tblGrid>
        <w:gridCol w:w="520"/>
        <w:gridCol w:w="1197"/>
        <w:gridCol w:w="1485"/>
        <w:gridCol w:w="1905"/>
        <w:gridCol w:w="1470"/>
        <w:gridCol w:w="945"/>
        <w:gridCol w:w="1113"/>
        <w:gridCol w:w="1099"/>
      </w:tblGrid>
      <w:tr>
        <w:tblPrEx>
          <w:tblCellMar>
            <w:top w:w="0" w:type="dxa"/>
            <w:left w:w="108" w:type="dxa"/>
            <w:bottom w:w="0" w:type="dxa"/>
            <w:right w:w="108" w:type="dxa"/>
          </w:tblCellMar>
        </w:tblPrEx>
        <w:trPr>
          <w:trHeight w:val="503" w:hRule="atLeast"/>
        </w:trPr>
        <w:tc>
          <w:tcPr>
            <w:tcW w:w="520" w:type="dxa"/>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center"/>
              <w:textAlignment w:val="center"/>
              <w:outlineLvl w:val="9"/>
              <w:rPr>
                <w:rFonts w:hint="eastAsia" w:ascii="宋体" w:hAnsi="宋体"/>
                <w:b/>
                <w:bCs/>
                <w:color w:val="000000"/>
                <w:sz w:val="24"/>
                <w:lang w:bidi="ar"/>
              </w:rPr>
            </w:pPr>
            <w:r>
              <w:rPr>
                <w:rFonts w:hint="eastAsia" w:ascii="宋体" w:hAnsi="宋体"/>
                <w:b/>
                <w:bCs/>
                <w:color w:val="000000"/>
                <w:sz w:val="24"/>
                <w:lang w:bidi="ar"/>
              </w:rPr>
              <w:t>绩效 指标</w:t>
            </w:r>
          </w:p>
        </w:tc>
        <w:tc>
          <w:tcPr>
            <w:tcW w:w="11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center"/>
              <w:textAlignment w:val="center"/>
              <w:outlineLvl w:val="9"/>
              <w:rPr>
                <w:rFonts w:hint="eastAsia" w:ascii="宋体" w:hAnsi="宋体"/>
                <w:b/>
                <w:bCs/>
                <w:color w:val="000000"/>
                <w:sz w:val="22"/>
                <w:szCs w:val="22"/>
              </w:rPr>
            </w:pPr>
            <w:r>
              <w:rPr>
                <w:rFonts w:hint="eastAsia" w:ascii="宋体" w:hAnsi="宋体"/>
                <w:b/>
                <w:bCs/>
                <w:color w:val="000000"/>
                <w:sz w:val="22"/>
                <w:szCs w:val="22"/>
                <w:lang w:bidi="ar"/>
              </w:rPr>
              <w:t>一级指标</w:t>
            </w:r>
          </w:p>
        </w:tc>
        <w:tc>
          <w:tcPr>
            <w:tcW w:w="14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center"/>
              <w:textAlignment w:val="center"/>
              <w:outlineLvl w:val="9"/>
              <w:rPr>
                <w:rFonts w:hint="eastAsia" w:ascii="宋体" w:hAnsi="宋体"/>
                <w:b/>
                <w:bCs/>
                <w:color w:val="000000"/>
                <w:sz w:val="22"/>
                <w:szCs w:val="22"/>
              </w:rPr>
            </w:pPr>
            <w:r>
              <w:rPr>
                <w:rFonts w:hint="eastAsia" w:ascii="宋体" w:hAnsi="宋体"/>
                <w:b/>
                <w:bCs/>
                <w:color w:val="000000"/>
                <w:sz w:val="22"/>
                <w:szCs w:val="22"/>
                <w:lang w:bidi="ar"/>
              </w:rPr>
              <w:t>二级指标</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center"/>
              <w:textAlignment w:val="center"/>
              <w:outlineLvl w:val="9"/>
              <w:rPr>
                <w:rFonts w:hint="eastAsia" w:ascii="宋体" w:hAnsi="宋体"/>
                <w:b/>
                <w:bCs/>
                <w:color w:val="000000"/>
                <w:sz w:val="22"/>
                <w:szCs w:val="22"/>
              </w:rPr>
            </w:pPr>
            <w:r>
              <w:rPr>
                <w:rFonts w:hint="eastAsia" w:ascii="宋体" w:hAnsi="宋体"/>
                <w:b/>
                <w:bCs/>
                <w:color w:val="000000"/>
                <w:sz w:val="22"/>
                <w:szCs w:val="22"/>
                <w:lang w:bidi="ar"/>
              </w:rPr>
              <w:t>三级指标</w:t>
            </w:r>
          </w:p>
        </w:tc>
        <w:tc>
          <w:tcPr>
            <w:tcW w:w="1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center"/>
              <w:textAlignment w:val="center"/>
              <w:outlineLvl w:val="9"/>
              <w:rPr>
                <w:rFonts w:hint="eastAsia" w:ascii="宋体" w:hAnsi="宋体"/>
                <w:b/>
                <w:bCs/>
                <w:color w:val="000000"/>
                <w:sz w:val="22"/>
                <w:szCs w:val="22"/>
              </w:rPr>
            </w:pPr>
            <w:r>
              <w:rPr>
                <w:rFonts w:hint="eastAsia" w:ascii="宋体" w:hAnsi="宋体"/>
                <w:b/>
                <w:bCs/>
                <w:color w:val="000000"/>
                <w:sz w:val="22"/>
                <w:szCs w:val="22"/>
                <w:lang w:bidi="ar"/>
              </w:rPr>
              <w:t>指标性质</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center"/>
              <w:textAlignment w:val="center"/>
              <w:outlineLvl w:val="9"/>
              <w:rPr>
                <w:rFonts w:hint="eastAsia" w:ascii="宋体" w:hAnsi="宋体"/>
                <w:b/>
                <w:bCs/>
                <w:color w:val="000000"/>
                <w:sz w:val="22"/>
                <w:szCs w:val="22"/>
              </w:rPr>
            </w:pPr>
            <w:r>
              <w:rPr>
                <w:rFonts w:hint="eastAsia" w:ascii="宋体" w:hAnsi="宋体"/>
                <w:b/>
                <w:bCs/>
                <w:color w:val="000000"/>
                <w:sz w:val="22"/>
                <w:szCs w:val="22"/>
                <w:lang w:bidi="ar"/>
              </w:rPr>
              <w:t>指标值</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center"/>
              <w:textAlignment w:val="center"/>
              <w:outlineLvl w:val="9"/>
              <w:rPr>
                <w:rFonts w:hint="eastAsia" w:ascii="宋体" w:hAnsi="宋体"/>
                <w:b/>
                <w:bCs/>
                <w:color w:val="000000"/>
                <w:sz w:val="22"/>
                <w:szCs w:val="22"/>
              </w:rPr>
            </w:pPr>
            <w:r>
              <w:rPr>
                <w:rFonts w:hint="eastAsia" w:ascii="宋体" w:hAnsi="宋体"/>
                <w:b/>
                <w:bCs/>
                <w:color w:val="000000"/>
                <w:sz w:val="22"/>
                <w:szCs w:val="22"/>
                <w:lang w:bidi="ar"/>
              </w:rPr>
              <w:t>度量单位</w:t>
            </w:r>
          </w:p>
        </w:tc>
        <w:tc>
          <w:tcPr>
            <w:tcW w:w="10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center"/>
              <w:textAlignment w:val="center"/>
              <w:outlineLvl w:val="9"/>
              <w:rPr>
                <w:rFonts w:hint="eastAsia" w:ascii="宋体" w:hAnsi="宋体"/>
                <w:b/>
                <w:bCs/>
                <w:color w:val="000000"/>
                <w:sz w:val="22"/>
                <w:szCs w:val="22"/>
              </w:rPr>
            </w:pPr>
            <w:r>
              <w:rPr>
                <w:rFonts w:hint="eastAsia" w:ascii="宋体" w:hAnsi="宋体"/>
                <w:b/>
                <w:bCs/>
                <w:color w:val="000000"/>
                <w:sz w:val="22"/>
                <w:szCs w:val="22"/>
                <w:lang w:bidi="ar"/>
              </w:rPr>
              <w:t>权重（%）</w:t>
            </w:r>
          </w:p>
        </w:tc>
      </w:tr>
      <w:tr>
        <w:tblPrEx>
          <w:tblCellMar>
            <w:top w:w="0" w:type="dxa"/>
            <w:left w:w="108" w:type="dxa"/>
            <w:bottom w:w="0" w:type="dxa"/>
            <w:right w:w="108" w:type="dxa"/>
          </w:tblCellMar>
        </w:tblPrEx>
        <w:trPr>
          <w:trHeight w:val="595" w:hRule="atLeast"/>
        </w:trPr>
        <w:tc>
          <w:tcPr>
            <w:tcW w:w="520" w:type="dxa"/>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4"/>
                <w:lang w:bidi="ar"/>
              </w:rPr>
            </w:pPr>
          </w:p>
        </w:tc>
        <w:tc>
          <w:tcPr>
            <w:tcW w:w="11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产出指标</w:t>
            </w:r>
          </w:p>
        </w:tc>
        <w:tc>
          <w:tcPr>
            <w:tcW w:w="14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center"/>
              <w:textAlignment w:val="center"/>
              <w:outlineLvl w:val="9"/>
              <w:rPr>
                <w:rFonts w:hint="eastAsia" w:ascii="宋体" w:hAnsi="宋体"/>
                <w:color w:val="000000"/>
                <w:sz w:val="22"/>
                <w:szCs w:val="22"/>
              </w:rPr>
            </w:pPr>
            <w:r>
              <w:rPr>
                <w:rFonts w:hint="eastAsia" w:ascii="宋体" w:hAnsi="宋体"/>
                <w:color w:val="000000"/>
                <w:sz w:val="22"/>
                <w:szCs w:val="22"/>
                <w:lang w:bidi="ar"/>
              </w:rPr>
              <w:t>数量指标</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0"/>
                <w:szCs w:val="20"/>
              </w:rPr>
            </w:pPr>
            <w:r>
              <w:rPr>
                <w:rFonts w:hint="eastAsia" w:ascii="宋体" w:hAnsi="宋体"/>
                <w:color w:val="000000"/>
                <w:sz w:val="20"/>
                <w:szCs w:val="20"/>
                <w:lang w:bidi="ar"/>
              </w:rPr>
              <w:t>新建2个童伴之家</w:t>
            </w:r>
          </w:p>
        </w:tc>
        <w:tc>
          <w:tcPr>
            <w:tcW w:w="1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2</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个</w:t>
            </w:r>
          </w:p>
        </w:tc>
        <w:tc>
          <w:tcPr>
            <w:tcW w:w="10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10</w:t>
            </w:r>
          </w:p>
        </w:tc>
      </w:tr>
      <w:tr>
        <w:tblPrEx>
          <w:tblCellMar>
            <w:top w:w="0" w:type="dxa"/>
            <w:left w:w="108" w:type="dxa"/>
            <w:bottom w:w="0" w:type="dxa"/>
            <w:right w:w="108" w:type="dxa"/>
          </w:tblCellMar>
        </w:tblPrEx>
        <w:trPr>
          <w:trHeight w:val="700" w:hRule="atLeast"/>
        </w:trPr>
        <w:tc>
          <w:tcPr>
            <w:tcW w:w="520" w:type="dxa"/>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4"/>
                <w:lang w:bidi="ar"/>
              </w:rPr>
            </w:pPr>
          </w:p>
        </w:tc>
        <w:tc>
          <w:tcPr>
            <w:tcW w:w="11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2"/>
                <w:szCs w:val="22"/>
                <w:lang w:bidi="ar"/>
              </w:rPr>
            </w:pPr>
            <w:r>
              <w:rPr>
                <w:rFonts w:hint="eastAsia" w:ascii="宋体" w:hAnsi="宋体"/>
                <w:color w:val="000000"/>
                <w:sz w:val="22"/>
                <w:szCs w:val="22"/>
                <w:lang w:bidi="ar"/>
              </w:rPr>
              <w:t>产出指标</w:t>
            </w:r>
          </w:p>
        </w:tc>
        <w:tc>
          <w:tcPr>
            <w:tcW w:w="14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center"/>
              <w:textAlignment w:val="center"/>
              <w:outlineLvl w:val="9"/>
              <w:rPr>
                <w:rFonts w:hint="eastAsia" w:ascii="宋体" w:hAnsi="宋体"/>
                <w:color w:val="000000"/>
                <w:sz w:val="22"/>
                <w:szCs w:val="22"/>
                <w:lang w:bidi="ar"/>
              </w:rPr>
            </w:pPr>
            <w:r>
              <w:rPr>
                <w:rFonts w:hint="eastAsia" w:ascii="宋体" w:hAnsi="宋体"/>
                <w:color w:val="000000"/>
                <w:sz w:val="22"/>
                <w:szCs w:val="22"/>
                <w:lang w:bidi="ar"/>
              </w:rPr>
              <w:t>数量指标</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0"/>
                <w:szCs w:val="20"/>
                <w:lang w:bidi="ar"/>
              </w:rPr>
            </w:pPr>
            <w:r>
              <w:rPr>
                <w:rFonts w:hint="eastAsia" w:ascii="宋体" w:hAnsi="宋体"/>
                <w:color w:val="000000"/>
                <w:sz w:val="20"/>
                <w:szCs w:val="20"/>
                <w:lang w:bidi="ar"/>
              </w:rPr>
              <w:t>聘请童伴妈妈授课人数</w:t>
            </w:r>
          </w:p>
        </w:tc>
        <w:tc>
          <w:tcPr>
            <w:tcW w:w="1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2"/>
                <w:szCs w:val="22"/>
                <w:lang w:bidi="ar"/>
              </w:rPr>
            </w:pPr>
            <w:r>
              <w:rPr>
                <w:rFonts w:hint="eastAsia" w:ascii="宋体" w:hAnsi="宋体"/>
                <w:color w:val="000000"/>
                <w:sz w:val="22"/>
                <w:szCs w:val="22"/>
                <w:lang w:bidi="ar"/>
              </w:rPr>
              <w:t>≥</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2"/>
                <w:szCs w:val="22"/>
                <w:lang w:bidi="ar"/>
              </w:rPr>
            </w:pPr>
            <w:r>
              <w:rPr>
                <w:rFonts w:hint="eastAsia" w:ascii="宋体" w:hAnsi="宋体"/>
                <w:color w:val="000000"/>
                <w:sz w:val="22"/>
                <w:szCs w:val="22"/>
                <w:lang w:bidi="ar"/>
              </w:rPr>
              <w:t>5</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2"/>
                <w:szCs w:val="22"/>
                <w:lang w:bidi="ar"/>
              </w:rPr>
            </w:pPr>
            <w:r>
              <w:rPr>
                <w:rFonts w:hint="eastAsia" w:ascii="宋体" w:hAnsi="宋体"/>
                <w:color w:val="000000"/>
                <w:sz w:val="22"/>
                <w:szCs w:val="22"/>
                <w:lang w:bidi="ar"/>
              </w:rPr>
              <w:t>人</w:t>
            </w:r>
          </w:p>
        </w:tc>
        <w:tc>
          <w:tcPr>
            <w:tcW w:w="10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2"/>
                <w:szCs w:val="22"/>
                <w:lang w:bidi="ar"/>
              </w:rPr>
            </w:pPr>
            <w:r>
              <w:rPr>
                <w:rFonts w:hint="eastAsia" w:ascii="宋体" w:hAnsi="宋体"/>
                <w:color w:val="000000"/>
                <w:sz w:val="22"/>
                <w:szCs w:val="22"/>
                <w:lang w:bidi="ar"/>
              </w:rPr>
              <w:t>10</w:t>
            </w:r>
          </w:p>
        </w:tc>
      </w:tr>
      <w:tr>
        <w:tblPrEx>
          <w:tblCellMar>
            <w:top w:w="0" w:type="dxa"/>
            <w:left w:w="108" w:type="dxa"/>
            <w:bottom w:w="0" w:type="dxa"/>
            <w:right w:w="108" w:type="dxa"/>
          </w:tblCellMar>
        </w:tblPrEx>
        <w:trPr>
          <w:trHeight w:val="240" w:hRule="atLeast"/>
        </w:trPr>
        <w:tc>
          <w:tcPr>
            <w:tcW w:w="520" w:type="dxa"/>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4"/>
                <w:lang w:bidi="ar"/>
              </w:rPr>
            </w:pPr>
          </w:p>
        </w:tc>
        <w:tc>
          <w:tcPr>
            <w:tcW w:w="11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产出指标</w:t>
            </w:r>
          </w:p>
        </w:tc>
        <w:tc>
          <w:tcPr>
            <w:tcW w:w="14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center"/>
              <w:textAlignment w:val="center"/>
              <w:outlineLvl w:val="9"/>
              <w:rPr>
                <w:rFonts w:hint="eastAsia" w:ascii="宋体" w:hAnsi="宋体"/>
                <w:color w:val="000000"/>
                <w:sz w:val="22"/>
                <w:szCs w:val="22"/>
              </w:rPr>
            </w:pPr>
            <w:r>
              <w:rPr>
                <w:rFonts w:hint="eastAsia" w:ascii="宋体" w:hAnsi="宋体"/>
                <w:color w:val="000000"/>
                <w:sz w:val="22"/>
                <w:szCs w:val="22"/>
                <w:lang w:bidi="ar"/>
              </w:rPr>
              <w:t>数量指标</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0"/>
                <w:szCs w:val="20"/>
              </w:rPr>
            </w:pPr>
            <w:r>
              <w:rPr>
                <w:rFonts w:hint="eastAsia" w:ascii="宋体" w:hAnsi="宋体"/>
                <w:color w:val="000000"/>
                <w:sz w:val="20"/>
                <w:szCs w:val="20"/>
                <w:lang w:bidi="ar"/>
              </w:rPr>
              <w:t>开展活动次数</w:t>
            </w:r>
          </w:p>
        </w:tc>
        <w:tc>
          <w:tcPr>
            <w:tcW w:w="1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40</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次</w:t>
            </w:r>
          </w:p>
        </w:tc>
        <w:tc>
          <w:tcPr>
            <w:tcW w:w="10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10</w:t>
            </w:r>
          </w:p>
        </w:tc>
      </w:tr>
      <w:tr>
        <w:tblPrEx>
          <w:tblCellMar>
            <w:top w:w="0" w:type="dxa"/>
            <w:left w:w="108" w:type="dxa"/>
            <w:bottom w:w="0" w:type="dxa"/>
            <w:right w:w="108" w:type="dxa"/>
          </w:tblCellMar>
        </w:tblPrEx>
        <w:trPr>
          <w:trHeight w:val="240" w:hRule="atLeast"/>
        </w:trPr>
        <w:tc>
          <w:tcPr>
            <w:tcW w:w="520" w:type="dxa"/>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4"/>
                <w:lang w:bidi="ar"/>
              </w:rPr>
            </w:pPr>
          </w:p>
        </w:tc>
        <w:tc>
          <w:tcPr>
            <w:tcW w:w="11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产出指标</w:t>
            </w:r>
          </w:p>
        </w:tc>
        <w:tc>
          <w:tcPr>
            <w:tcW w:w="14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center"/>
              <w:textAlignment w:val="center"/>
              <w:outlineLvl w:val="9"/>
              <w:rPr>
                <w:rFonts w:hint="eastAsia" w:ascii="宋体" w:hAnsi="宋体"/>
                <w:color w:val="000000"/>
                <w:sz w:val="22"/>
                <w:szCs w:val="22"/>
              </w:rPr>
            </w:pPr>
            <w:r>
              <w:rPr>
                <w:rFonts w:hint="eastAsia" w:ascii="宋体" w:hAnsi="宋体"/>
                <w:color w:val="000000"/>
                <w:sz w:val="22"/>
                <w:szCs w:val="22"/>
                <w:lang w:bidi="ar"/>
              </w:rPr>
              <w:t>时效指标</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0"/>
                <w:szCs w:val="20"/>
              </w:rPr>
            </w:pPr>
            <w:r>
              <w:rPr>
                <w:rFonts w:hint="eastAsia" w:ascii="宋体" w:hAnsi="宋体"/>
                <w:color w:val="000000"/>
                <w:sz w:val="20"/>
                <w:szCs w:val="20"/>
                <w:lang w:bidi="ar"/>
              </w:rPr>
              <w:t>新建完成时间</w:t>
            </w:r>
          </w:p>
        </w:tc>
        <w:tc>
          <w:tcPr>
            <w:tcW w:w="1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定性</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12</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rPr>
              <w:t>月</w:t>
            </w:r>
          </w:p>
        </w:tc>
        <w:tc>
          <w:tcPr>
            <w:tcW w:w="10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10</w:t>
            </w:r>
          </w:p>
        </w:tc>
      </w:tr>
      <w:tr>
        <w:tblPrEx>
          <w:tblCellMar>
            <w:top w:w="0" w:type="dxa"/>
            <w:left w:w="108" w:type="dxa"/>
            <w:bottom w:w="0" w:type="dxa"/>
            <w:right w:w="108" w:type="dxa"/>
          </w:tblCellMar>
        </w:tblPrEx>
        <w:trPr>
          <w:trHeight w:val="240" w:hRule="atLeast"/>
        </w:trPr>
        <w:tc>
          <w:tcPr>
            <w:tcW w:w="520" w:type="dxa"/>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4"/>
                <w:lang w:bidi="ar"/>
              </w:rPr>
            </w:pPr>
          </w:p>
        </w:tc>
        <w:tc>
          <w:tcPr>
            <w:tcW w:w="11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效益指标</w:t>
            </w:r>
          </w:p>
        </w:tc>
        <w:tc>
          <w:tcPr>
            <w:tcW w:w="14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center"/>
              <w:textAlignment w:val="center"/>
              <w:outlineLvl w:val="9"/>
              <w:rPr>
                <w:rFonts w:hint="eastAsia" w:ascii="宋体" w:hAnsi="宋体"/>
                <w:color w:val="000000"/>
                <w:sz w:val="22"/>
                <w:szCs w:val="22"/>
              </w:rPr>
            </w:pPr>
            <w:r>
              <w:rPr>
                <w:rFonts w:hint="eastAsia" w:ascii="宋体" w:hAnsi="宋体"/>
                <w:color w:val="000000"/>
                <w:sz w:val="22"/>
                <w:szCs w:val="22"/>
                <w:lang w:bidi="ar"/>
              </w:rPr>
              <w:t>社会效益指标</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0"/>
                <w:szCs w:val="20"/>
              </w:rPr>
            </w:pPr>
            <w:r>
              <w:rPr>
                <w:rFonts w:hint="eastAsia" w:ascii="宋体" w:hAnsi="宋体"/>
                <w:color w:val="000000"/>
                <w:sz w:val="20"/>
                <w:szCs w:val="20"/>
                <w:lang w:bidi="ar"/>
              </w:rPr>
              <w:t>通过建设打造童伴之家,关心关爱更多留守儿童</w:t>
            </w:r>
          </w:p>
        </w:tc>
        <w:tc>
          <w:tcPr>
            <w:tcW w:w="1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定性</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好坏</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2"/>
                <w:szCs w:val="22"/>
              </w:rPr>
            </w:pPr>
          </w:p>
        </w:tc>
        <w:tc>
          <w:tcPr>
            <w:tcW w:w="10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10</w:t>
            </w:r>
          </w:p>
        </w:tc>
      </w:tr>
      <w:tr>
        <w:tblPrEx>
          <w:tblCellMar>
            <w:top w:w="0" w:type="dxa"/>
            <w:left w:w="108" w:type="dxa"/>
            <w:bottom w:w="0" w:type="dxa"/>
            <w:right w:w="108" w:type="dxa"/>
          </w:tblCellMar>
        </w:tblPrEx>
        <w:trPr>
          <w:trHeight w:val="240" w:hRule="atLeast"/>
        </w:trPr>
        <w:tc>
          <w:tcPr>
            <w:tcW w:w="520" w:type="dxa"/>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4"/>
                <w:lang w:bidi="ar"/>
              </w:rPr>
            </w:pPr>
          </w:p>
        </w:tc>
        <w:tc>
          <w:tcPr>
            <w:tcW w:w="11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效益指标</w:t>
            </w:r>
          </w:p>
        </w:tc>
        <w:tc>
          <w:tcPr>
            <w:tcW w:w="14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center"/>
              <w:textAlignment w:val="center"/>
              <w:outlineLvl w:val="9"/>
              <w:rPr>
                <w:rFonts w:hint="eastAsia" w:ascii="宋体" w:hAnsi="宋体"/>
                <w:color w:val="000000"/>
                <w:sz w:val="22"/>
                <w:szCs w:val="22"/>
              </w:rPr>
            </w:pPr>
            <w:r>
              <w:rPr>
                <w:rFonts w:hint="eastAsia" w:ascii="宋体" w:hAnsi="宋体"/>
                <w:color w:val="000000"/>
                <w:sz w:val="22"/>
                <w:szCs w:val="22"/>
                <w:lang w:bidi="ar"/>
              </w:rPr>
              <w:t>社会效益指标</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0"/>
                <w:szCs w:val="20"/>
              </w:rPr>
            </w:pPr>
            <w:r>
              <w:rPr>
                <w:rFonts w:hint="eastAsia" w:ascii="宋体" w:hAnsi="宋体"/>
                <w:color w:val="000000"/>
                <w:sz w:val="20"/>
                <w:szCs w:val="20"/>
                <w:lang w:bidi="ar"/>
              </w:rPr>
              <w:t>就地就近开展课余活动,关心关爱留守儿童</w:t>
            </w:r>
          </w:p>
        </w:tc>
        <w:tc>
          <w:tcPr>
            <w:tcW w:w="1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定性</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好坏</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2"/>
                <w:szCs w:val="22"/>
              </w:rPr>
            </w:pPr>
          </w:p>
        </w:tc>
        <w:tc>
          <w:tcPr>
            <w:tcW w:w="10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25</w:t>
            </w:r>
          </w:p>
        </w:tc>
      </w:tr>
      <w:tr>
        <w:tblPrEx>
          <w:tblCellMar>
            <w:top w:w="0" w:type="dxa"/>
            <w:left w:w="108" w:type="dxa"/>
            <w:bottom w:w="0" w:type="dxa"/>
            <w:right w:w="108" w:type="dxa"/>
          </w:tblCellMar>
        </w:tblPrEx>
        <w:trPr>
          <w:trHeight w:val="240" w:hRule="atLeast"/>
        </w:trPr>
        <w:tc>
          <w:tcPr>
            <w:tcW w:w="520" w:type="dxa"/>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4"/>
                <w:lang w:bidi="ar"/>
              </w:rPr>
            </w:pPr>
          </w:p>
        </w:tc>
        <w:tc>
          <w:tcPr>
            <w:tcW w:w="11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效益指标</w:t>
            </w:r>
          </w:p>
        </w:tc>
        <w:tc>
          <w:tcPr>
            <w:tcW w:w="14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center"/>
              <w:textAlignment w:val="center"/>
              <w:outlineLvl w:val="9"/>
              <w:rPr>
                <w:rFonts w:hint="eastAsia" w:ascii="宋体" w:hAnsi="宋体"/>
                <w:color w:val="000000"/>
                <w:sz w:val="22"/>
                <w:szCs w:val="22"/>
              </w:rPr>
            </w:pPr>
            <w:r>
              <w:rPr>
                <w:rFonts w:hint="eastAsia" w:ascii="宋体" w:hAnsi="宋体"/>
                <w:color w:val="000000"/>
                <w:sz w:val="22"/>
                <w:szCs w:val="22"/>
                <w:lang w:bidi="ar"/>
              </w:rPr>
              <w:t>可持续影响指标</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0"/>
                <w:szCs w:val="20"/>
                <w:lang w:bidi="ar"/>
              </w:rPr>
            </w:pPr>
            <w:r>
              <w:rPr>
                <w:rFonts w:hint="eastAsia" w:ascii="宋体" w:hAnsi="宋体"/>
                <w:color w:val="000000"/>
                <w:sz w:val="20"/>
                <w:szCs w:val="20"/>
                <w:lang w:bidi="ar"/>
              </w:rPr>
              <w:t>进一步扩大关爱留守儿童的覆盖面</w:t>
            </w:r>
          </w:p>
        </w:tc>
        <w:tc>
          <w:tcPr>
            <w:tcW w:w="1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2"/>
                <w:szCs w:val="22"/>
                <w:lang w:bidi="ar"/>
              </w:rPr>
            </w:pPr>
            <w:r>
              <w:rPr>
                <w:rFonts w:hint="eastAsia" w:ascii="宋体" w:hAnsi="宋体"/>
                <w:color w:val="000000"/>
                <w:sz w:val="22"/>
                <w:szCs w:val="22"/>
                <w:lang w:bidi="ar"/>
              </w:rPr>
              <w:t>定性</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2"/>
                <w:szCs w:val="22"/>
                <w:lang w:bidi="ar"/>
              </w:rPr>
            </w:pPr>
            <w:r>
              <w:rPr>
                <w:rFonts w:hint="eastAsia" w:ascii="宋体" w:hAnsi="宋体"/>
                <w:color w:val="000000"/>
                <w:sz w:val="22"/>
                <w:szCs w:val="22"/>
                <w:lang w:bidi="ar"/>
              </w:rPr>
              <w:t>皓</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2"/>
                <w:szCs w:val="22"/>
                <w:lang w:bidi="ar"/>
              </w:rPr>
            </w:pPr>
          </w:p>
        </w:tc>
        <w:tc>
          <w:tcPr>
            <w:tcW w:w="10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2"/>
                <w:szCs w:val="22"/>
                <w:lang w:bidi="ar"/>
              </w:rPr>
            </w:pPr>
            <w:r>
              <w:rPr>
                <w:rFonts w:hint="eastAsia" w:ascii="宋体" w:hAnsi="宋体"/>
                <w:color w:val="000000"/>
                <w:sz w:val="22"/>
                <w:szCs w:val="22"/>
                <w:lang w:bidi="ar"/>
              </w:rPr>
              <w:t>10</w:t>
            </w:r>
          </w:p>
        </w:tc>
      </w:tr>
      <w:tr>
        <w:tblPrEx>
          <w:tblCellMar>
            <w:top w:w="0" w:type="dxa"/>
            <w:left w:w="108" w:type="dxa"/>
            <w:bottom w:w="0" w:type="dxa"/>
            <w:right w:w="108" w:type="dxa"/>
          </w:tblCellMar>
        </w:tblPrEx>
        <w:trPr>
          <w:trHeight w:val="240" w:hRule="atLeast"/>
        </w:trPr>
        <w:tc>
          <w:tcPr>
            <w:tcW w:w="520" w:type="dxa"/>
            <w:vMerge w:val="continue"/>
            <w:tcBorders>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4"/>
                <w:lang w:bidi="ar"/>
              </w:rPr>
            </w:pPr>
          </w:p>
        </w:tc>
        <w:tc>
          <w:tcPr>
            <w:tcW w:w="1197"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满意度指标</w:t>
            </w:r>
          </w:p>
        </w:tc>
        <w:tc>
          <w:tcPr>
            <w:tcW w:w="14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center"/>
              <w:textAlignment w:val="center"/>
              <w:outlineLvl w:val="9"/>
              <w:rPr>
                <w:rFonts w:hint="eastAsia" w:ascii="宋体" w:hAnsi="宋体"/>
                <w:color w:val="000000"/>
                <w:sz w:val="22"/>
                <w:szCs w:val="22"/>
              </w:rPr>
            </w:pPr>
            <w:r>
              <w:rPr>
                <w:rFonts w:hint="eastAsia" w:ascii="宋体" w:hAnsi="宋体"/>
                <w:color w:val="000000"/>
                <w:sz w:val="22"/>
                <w:szCs w:val="22"/>
                <w:lang w:bidi="ar"/>
              </w:rPr>
              <w:t>服务对象满意度指标</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0"/>
                <w:szCs w:val="20"/>
              </w:rPr>
            </w:pPr>
            <w:r>
              <w:rPr>
                <w:rFonts w:hint="eastAsia" w:ascii="宋体" w:hAnsi="宋体"/>
                <w:color w:val="000000"/>
                <w:sz w:val="20"/>
                <w:szCs w:val="20"/>
                <w:lang w:bidi="ar"/>
              </w:rPr>
              <w:t>受益区域留守儿童对项目实施的满意度</w:t>
            </w:r>
          </w:p>
        </w:tc>
        <w:tc>
          <w:tcPr>
            <w:tcW w:w="14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100</w:t>
            </w:r>
          </w:p>
        </w:tc>
        <w:tc>
          <w:tcPr>
            <w:tcW w:w="11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w:t>
            </w:r>
          </w:p>
        </w:tc>
        <w:tc>
          <w:tcPr>
            <w:tcW w:w="10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15</w:t>
            </w:r>
          </w:p>
        </w:tc>
      </w:tr>
    </w:tbl>
    <w:p>
      <w:pPr>
        <w:keepNext w:val="0"/>
        <w:keepLines w:val="0"/>
        <w:pageBreakBefore w:val="0"/>
        <w:kinsoku/>
        <w:wordWrap/>
        <w:overflowPunct/>
        <w:topLinePunct w:val="0"/>
        <w:autoSpaceDE/>
        <w:autoSpaceDN/>
        <w:bidi w:val="0"/>
        <w:adjustRightInd w:val="0"/>
        <w:snapToGrid w:val="0"/>
        <w:spacing w:line="540" w:lineRule="exact"/>
        <w:ind w:right="0" w:rightChars="0" w:firstLine="643" w:firstLineChars="200"/>
        <w:outlineLvl w:val="9"/>
        <w:rPr>
          <w:rFonts w:hint="eastAsia" w:ascii="黑体" w:hAnsi="黑体" w:eastAsia="黑体" w:cs="黑体"/>
          <w:b/>
          <w:bCs/>
          <w:sz w:val="32"/>
          <w:szCs w:val="32"/>
        </w:rPr>
      </w:pPr>
      <w:r>
        <w:rPr>
          <w:rFonts w:hint="eastAsia" w:ascii="黑体" w:hAnsi="黑体" w:eastAsia="黑体" w:cs="黑体"/>
          <w:b/>
          <w:bCs/>
          <w:sz w:val="32"/>
          <w:szCs w:val="32"/>
        </w:rPr>
        <w:t>二、评价实施</w:t>
      </w:r>
    </w:p>
    <w:p>
      <w:pPr>
        <w:keepNext w:val="0"/>
        <w:keepLines w:val="0"/>
        <w:pageBreakBefore w:val="0"/>
        <w:kinsoku/>
        <w:wordWrap/>
        <w:overflowPunct/>
        <w:topLinePunct w:val="0"/>
        <w:autoSpaceDE/>
        <w:autoSpaceDN/>
        <w:bidi w:val="0"/>
        <w:spacing w:line="540" w:lineRule="exact"/>
        <w:ind w:right="0" w:rightChars="0" w:firstLine="643"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zh-CN"/>
        </w:rPr>
        <w:t>（一）评价目的。</w:t>
      </w:r>
      <w:r>
        <w:rPr>
          <w:rFonts w:hint="eastAsia" w:ascii="仿宋_GB2312" w:hAnsi="仿宋_GB2312" w:eastAsia="仿宋_GB2312" w:cs="仿宋_GB2312"/>
          <w:kern w:val="2"/>
          <w:sz w:val="32"/>
          <w:szCs w:val="32"/>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pPr>
        <w:keepNext w:val="0"/>
        <w:keepLines w:val="0"/>
        <w:pageBreakBefore w:val="0"/>
        <w:kinsoku/>
        <w:wordWrap/>
        <w:overflowPunct/>
        <w:topLinePunct w:val="0"/>
        <w:autoSpaceDE/>
        <w:autoSpaceDN/>
        <w:bidi w:val="0"/>
        <w:spacing w:line="540" w:lineRule="exact"/>
        <w:ind w:right="0" w:rightChars="0" w:firstLine="643"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zh-CN"/>
        </w:rPr>
        <w:t>（二）预设问题及评价重点。</w:t>
      </w:r>
      <w:r>
        <w:rPr>
          <w:rFonts w:hint="eastAsia" w:ascii="仿宋_GB2312" w:hAnsi="仿宋_GB2312" w:eastAsia="仿宋_GB2312" w:cs="仿宋_GB2312"/>
          <w:kern w:val="2"/>
          <w:sz w:val="32"/>
          <w:szCs w:val="32"/>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pPr>
        <w:keepNext w:val="0"/>
        <w:keepLines w:val="0"/>
        <w:pageBreakBefore w:val="0"/>
        <w:kinsoku/>
        <w:wordWrap/>
        <w:overflowPunct/>
        <w:topLinePunct w:val="0"/>
        <w:autoSpaceDE/>
        <w:autoSpaceDN/>
        <w:bidi w:val="0"/>
        <w:spacing w:line="540" w:lineRule="exact"/>
        <w:ind w:right="0" w:rightChars="0" w:firstLine="643" w:firstLineChars="200"/>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b/>
          <w:sz w:val="32"/>
          <w:szCs w:val="32"/>
          <w:lang w:val="zh-CN"/>
        </w:rPr>
        <w:t>（三）评价选点。</w:t>
      </w:r>
      <w:r>
        <w:rPr>
          <w:rFonts w:hint="eastAsia" w:ascii="仿宋_GB2312" w:hAnsi="仿宋_GB2312" w:eastAsia="仿宋_GB2312" w:cs="仿宋_GB2312"/>
          <w:kern w:val="2"/>
          <w:sz w:val="32"/>
          <w:szCs w:val="32"/>
          <w:u w:val="single"/>
        </w:rPr>
        <w:t xml:space="preserve">2023 </w:t>
      </w:r>
      <w:r>
        <w:rPr>
          <w:rFonts w:hint="eastAsia" w:ascii="仿宋_GB2312" w:hAnsi="仿宋_GB2312" w:eastAsia="仿宋_GB2312" w:cs="仿宋_GB2312"/>
          <w:kern w:val="2"/>
          <w:sz w:val="32"/>
          <w:szCs w:val="32"/>
        </w:rPr>
        <w:t>年度预算项目绩效评估工作通过</w:t>
      </w:r>
      <w:r>
        <w:rPr>
          <w:rFonts w:hint="eastAsia" w:ascii="仿宋_GB2312" w:hAnsi="仿宋_GB2312" w:eastAsia="仿宋_GB2312" w:cs="仿宋_GB2312"/>
          <w:kern w:val="2"/>
          <w:sz w:val="32"/>
          <w:szCs w:val="32"/>
          <w:u w:val="single"/>
        </w:rPr>
        <w:t>线上加线下</w:t>
      </w:r>
      <w:r>
        <w:rPr>
          <w:rFonts w:hint="eastAsia" w:ascii="仿宋_GB2312" w:hAnsi="仿宋_GB2312" w:eastAsia="仿宋_GB2312" w:cs="仿宋_GB2312"/>
          <w:kern w:val="2"/>
          <w:sz w:val="32"/>
          <w:szCs w:val="32"/>
        </w:rPr>
        <w:t>方式开展。按照有关规定和工作安排，我单位开展自行评估，通过</w:t>
      </w:r>
      <w:r>
        <w:rPr>
          <w:rFonts w:hint="eastAsia" w:ascii="仿宋_GB2312" w:hAnsi="仿宋_GB2312" w:eastAsia="仿宋_GB2312" w:cs="仿宋_GB2312"/>
          <w:kern w:val="2"/>
          <w:sz w:val="32"/>
          <w:szCs w:val="32"/>
          <w:u w:val="single"/>
        </w:rPr>
        <w:t>自行成立</w:t>
      </w:r>
      <w:r>
        <w:rPr>
          <w:rFonts w:hint="eastAsia" w:ascii="仿宋_GB2312" w:hAnsi="仿宋_GB2312" w:eastAsia="仿宋_GB2312" w:cs="仿宋_GB2312"/>
          <w:kern w:val="2"/>
          <w:sz w:val="32"/>
          <w:szCs w:val="32"/>
        </w:rPr>
        <w:t>组建评估组，收集被评估项目相关基础资料，并查阅资料、收集数据信息等，深入论证分析，形成绩效评估报告。</w:t>
      </w:r>
    </w:p>
    <w:p>
      <w:pPr>
        <w:keepNext w:val="0"/>
        <w:keepLines w:val="0"/>
        <w:pageBreakBefore w:val="0"/>
        <w:kinsoku/>
        <w:wordWrap/>
        <w:overflowPunct/>
        <w:topLinePunct w:val="0"/>
        <w:autoSpaceDE/>
        <w:autoSpaceDN/>
        <w:bidi w:val="0"/>
        <w:spacing w:line="540" w:lineRule="exact"/>
        <w:ind w:right="0" w:rightChars="0" w:firstLine="643"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zh-CN"/>
        </w:rPr>
        <w:t>（四）评价方法。</w:t>
      </w:r>
      <w:r>
        <w:rPr>
          <w:rFonts w:hint="eastAsia" w:ascii="仿宋_GB2312" w:hAnsi="仿宋_GB2312" w:eastAsia="仿宋_GB2312" w:cs="仿宋_GB2312"/>
          <w:sz w:val="32"/>
          <w:szCs w:val="32"/>
          <w:lang w:val="zh-CN"/>
        </w:rPr>
        <w:t>本项目通过与项目相关人员座谈及讨论的方法了解项目情况，收集相关资料，综合分析相关情况后，对项目的立项必要性、投入经济性、目标合理性以及方案可行性实施评估。</w:t>
      </w:r>
    </w:p>
    <w:p>
      <w:pPr>
        <w:keepNext w:val="0"/>
        <w:keepLines w:val="0"/>
        <w:pageBreakBefore w:val="0"/>
        <w:kinsoku/>
        <w:wordWrap/>
        <w:overflowPunct/>
        <w:topLinePunct w:val="0"/>
        <w:autoSpaceDE/>
        <w:autoSpaceDN/>
        <w:bidi w:val="0"/>
        <w:spacing w:line="540" w:lineRule="exact"/>
        <w:ind w:right="0" w:rightChars="0" w:firstLine="640"/>
        <w:outlineLvl w:val="9"/>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lang w:val="zh-CN"/>
        </w:rPr>
        <w:t>（五）评价组织。</w:t>
      </w:r>
      <w:r>
        <w:rPr>
          <w:rFonts w:hint="eastAsia" w:ascii="仿宋_GB2312" w:hAnsi="仿宋_GB2312" w:eastAsia="仿宋_GB2312" w:cs="仿宋_GB2312"/>
          <w:bCs/>
          <w:sz w:val="32"/>
          <w:szCs w:val="32"/>
          <w:lang w:val="zh-CN"/>
        </w:rPr>
        <w:t>评价组人员由单位负责人、分管领导及办公室人员组成；单位负责人牵头负责，分管领导组织业办公室自行评价。</w:t>
      </w:r>
    </w:p>
    <w:p>
      <w:pPr>
        <w:keepNext w:val="0"/>
        <w:keepLines w:val="0"/>
        <w:pageBreakBefore w:val="0"/>
        <w:kinsoku/>
        <w:wordWrap/>
        <w:overflowPunct/>
        <w:topLinePunct w:val="0"/>
        <w:autoSpaceDE/>
        <w:autoSpaceDN/>
        <w:bidi w:val="0"/>
        <w:spacing w:line="540" w:lineRule="exact"/>
        <w:ind w:right="0" w:rightChars="0" w:firstLine="640"/>
        <w:outlineLvl w:val="9"/>
        <w:rPr>
          <w:rFonts w:hint="eastAsia" w:ascii="黑体" w:hAnsi="黑体" w:eastAsia="黑体" w:cs="黑体"/>
          <w:b/>
          <w:bCs/>
          <w:sz w:val="32"/>
          <w:szCs w:val="32"/>
          <w:lang w:val="zh-CN"/>
        </w:rPr>
      </w:pPr>
      <w:r>
        <w:rPr>
          <w:rFonts w:hint="eastAsia" w:ascii="黑体" w:hAnsi="黑体" w:eastAsia="黑体" w:cs="黑体"/>
          <w:b/>
          <w:bCs/>
          <w:sz w:val="32"/>
          <w:szCs w:val="32"/>
        </w:rPr>
        <w:t>三、绩效分析</w:t>
      </w:r>
      <w:r>
        <w:rPr>
          <w:rFonts w:hint="eastAsia" w:ascii="黑体" w:hAnsi="黑体" w:eastAsia="黑体" w:cs="黑体"/>
          <w:b/>
          <w:bCs/>
          <w:sz w:val="32"/>
          <w:szCs w:val="32"/>
          <w:lang w:val="zh-CN"/>
        </w:rPr>
        <w:tab/>
      </w:r>
    </w:p>
    <w:p>
      <w:pPr>
        <w:keepNext w:val="0"/>
        <w:keepLines w:val="0"/>
        <w:pageBreakBefore w:val="0"/>
        <w:kinsoku/>
        <w:wordWrap/>
        <w:overflowPunct/>
        <w:topLinePunct w:val="0"/>
        <w:autoSpaceDE/>
        <w:autoSpaceDN/>
        <w:bidi w:val="0"/>
        <w:spacing w:line="540" w:lineRule="exact"/>
        <w:ind w:right="0" w:rightChars="0" w:firstLine="64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根据项目预算绩效评价指标体系“通用指标”“专用指标”“个性指标”涉及二、三级指标进行逐项绩效分析并评分</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spacing w:line="540" w:lineRule="exact"/>
        <w:ind w:right="0" w:rightChars="0" w:firstLine="640"/>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zh-CN"/>
        </w:rPr>
        <w:t>（一）</w:t>
      </w:r>
      <w:r>
        <w:rPr>
          <w:rFonts w:hint="eastAsia" w:ascii="仿宋_GB2312" w:hAnsi="仿宋_GB2312" w:eastAsia="仿宋_GB2312" w:cs="仿宋_GB2312"/>
          <w:b/>
          <w:sz w:val="32"/>
          <w:szCs w:val="32"/>
        </w:rPr>
        <w:t>通用指标</w:t>
      </w:r>
      <w:r>
        <w:rPr>
          <w:rFonts w:hint="eastAsia" w:ascii="仿宋_GB2312" w:hAnsi="仿宋_GB2312" w:eastAsia="仿宋_GB2312" w:cs="仿宋_GB2312"/>
          <w:b/>
          <w:bCs/>
          <w:color w:val="000000"/>
          <w:sz w:val="32"/>
          <w:szCs w:val="32"/>
          <w:shd w:val="clear" w:color="auto" w:fill="FFFFFF"/>
          <w:lang w:val="zh-CN"/>
        </w:rPr>
        <w:t>绩效分析。</w:t>
      </w:r>
    </w:p>
    <w:p>
      <w:pPr>
        <w:keepNext w:val="0"/>
        <w:keepLines w:val="0"/>
        <w:pageBreakBefore w:val="0"/>
        <w:kinsoku/>
        <w:wordWrap/>
        <w:overflowPunct/>
        <w:topLinePunct w:val="0"/>
        <w:autoSpaceDE/>
        <w:autoSpaceDN/>
        <w:bidi w:val="0"/>
        <w:spacing w:line="540" w:lineRule="exact"/>
        <w:ind w:right="0" w:rightChars="0" w:firstLine="640" w:firstLineChars="200"/>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1.项目决策。</w:t>
      </w:r>
      <w:r>
        <w:rPr>
          <w:rFonts w:hint="eastAsia" w:ascii="仿宋_GB2312" w:hAnsi="仿宋_GB2312" w:eastAsia="仿宋_GB2312" w:cs="仿宋_GB2312"/>
          <w:sz w:val="32"/>
          <w:szCs w:val="32"/>
          <w:lang w:val="zh-CN"/>
        </w:rPr>
        <w:t>按照阿州财行(2023)35号文件要求,</w:t>
      </w:r>
      <w:r>
        <w:rPr>
          <w:rFonts w:hint="eastAsia"/>
        </w:rPr>
        <w:t xml:space="preserve"> </w:t>
      </w:r>
      <w:r>
        <w:rPr>
          <w:rFonts w:hint="eastAsia" w:ascii="仿宋_GB2312" w:hAnsi="仿宋_GB2312" w:eastAsia="仿宋_GB2312" w:cs="仿宋_GB2312"/>
          <w:sz w:val="32"/>
          <w:szCs w:val="32"/>
          <w:lang w:val="zh-CN"/>
        </w:rPr>
        <w:t>新建2个童伴之家,</w:t>
      </w:r>
      <w:r>
        <w:rPr>
          <w:rFonts w:hint="eastAsia"/>
        </w:rPr>
        <w:t xml:space="preserve"> </w:t>
      </w:r>
      <w:r>
        <w:rPr>
          <w:rFonts w:hint="eastAsia" w:ascii="仿宋_GB2312" w:hAnsi="仿宋_GB2312" w:eastAsia="仿宋_GB2312" w:cs="仿宋_GB2312"/>
          <w:sz w:val="32"/>
          <w:szCs w:val="32"/>
          <w:lang w:val="zh-CN"/>
        </w:rPr>
        <w:t>在关爱留守儿童课程上积极探索更多更好的有效举措,切实把关爱留守儿童工作做深做实做细。为留守儿童提供优质的教育资源、学习资源，促进其全面发展。</w:t>
      </w:r>
    </w:p>
    <w:p>
      <w:pPr>
        <w:keepNext w:val="0"/>
        <w:keepLines w:val="0"/>
        <w:pageBreakBefore w:val="0"/>
        <w:kinsoku/>
        <w:wordWrap/>
        <w:overflowPunct/>
        <w:topLinePunct w:val="0"/>
        <w:autoSpaceDE/>
        <w:autoSpaceDN/>
        <w:bidi w:val="0"/>
        <w:spacing w:line="540" w:lineRule="exact"/>
        <w:ind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2.项目管理。</w:t>
      </w:r>
      <w:r>
        <w:rPr>
          <w:rFonts w:hint="eastAsia" w:ascii="仿宋_GB2312" w:hAnsi="仿宋_GB2312" w:eastAsia="仿宋_GB2312" w:cs="仿宋_GB2312"/>
          <w:kern w:val="2"/>
          <w:sz w:val="32"/>
          <w:szCs w:val="32"/>
        </w:rPr>
        <w:t>该项目已制定实施方案，组织机构健全，职责分工明确，有明确的工作程序，资金能足额保证。</w:t>
      </w:r>
    </w:p>
    <w:p>
      <w:pPr>
        <w:keepNext w:val="0"/>
        <w:keepLines w:val="0"/>
        <w:pageBreakBefore w:val="0"/>
        <w:kinsoku/>
        <w:wordWrap/>
        <w:overflowPunct/>
        <w:topLinePunct w:val="0"/>
        <w:autoSpaceDE/>
        <w:autoSpaceDN/>
        <w:bidi w:val="0"/>
        <w:spacing w:line="540" w:lineRule="exact"/>
        <w:ind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3.项目实施。团州委拨付2022年度州级留守学生之家补助资金8000元,用于新建2个童伴之家。</w:t>
      </w:r>
    </w:p>
    <w:p>
      <w:pPr>
        <w:keepNext w:val="0"/>
        <w:keepLines w:val="0"/>
        <w:pageBreakBefore w:val="0"/>
        <w:kinsoku/>
        <w:wordWrap/>
        <w:overflowPunct/>
        <w:topLinePunct w:val="0"/>
        <w:autoSpaceDE/>
        <w:autoSpaceDN/>
        <w:bidi w:val="0"/>
        <w:spacing w:line="540" w:lineRule="exact"/>
        <w:ind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项目结果。新建2个童伴之家，为留守儿童提供优质的教育资源、学习资源，促进其全面发展。为留守儿童提供和谐温馨的家庭环境，培养其良好的家庭观念和习惯，提高留守儿童保护意识，加强留守儿童保护意识教育，提高留守儿童自我保护能力，培养健康的生活方式，引导留守儿童养成健康的生活习惯，促进其身心健康发展。</w:t>
      </w:r>
    </w:p>
    <w:p>
      <w:pPr>
        <w:keepNext w:val="0"/>
        <w:keepLines w:val="0"/>
        <w:pageBreakBefore w:val="0"/>
        <w:kinsoku/>
        <w:wordWrap/>
        <w:overflowPunct/>
        <w:topLinePunct w:val="0"/>
        <w:autoSpaceDE/>
        <w:autoSpaceDN/>
        <w:bidi w:val="0"/>
        <w:spacing w:line="540" w:lineRule="exact"/>
        <w:ind w:right="0" w:rightChars="0" w:firstLine="640" w:firstLineChars="200"/>
        <w:outlineLvl w:val="9"/>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zh-CN"/>
        </w:rPr>
        <w:t>（二）专用指标绩效分析。根据专项预算项目资金支持对象选择所属指标进行绩效分析。支持对象包括产业发展、民生保障、基础设施、行政运转等方面。</w:t>
      </w:r>
    </w:p>
    <w:p>
      <w:pPr>
        <w:keepNext w:val="0"/>
        <w:keepLines w:val="0"/>
        <w:pageBreakBefore w:val="0"/>
        <w:kinsoku/>
        <w:wordWrap/>
        <w:overflowPunct/>
        <w:topLinePunct w:val="0"/>
        <w:autoSpaceDE/>
        <w:autoSpaceDN/>
        <w:bidi w:val="0"/>
        <w:spacing w:line="540" w:lineRule="exact"/>
        <w:ind w:right="0" w:rightChars="0" w:firstLine="640"/>
        <w:outlineLvl w:val="9"/>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1.产业发展。无</w:t>
      </w:r>
    </w:p>
    <w:p>
      <w:pPr>
        <w:keepNext w:val="0"/>
        <w:keepLines w:val="0"/>
        <w:pageBreakBefore w:val="0"/>
        <w:kinsoku/>
        <w:wordWrap/>
        <w:overflowPunct/>
        <w:topLinePunct w:val="0"/>
        <w:autoSpaceDE/>
        <w:autoSpaceDN/>
        <w:bidi w:val="0"/>
        <w:spacing w:line="540" w:lineRule="exact"/>
        <w:ind w:right="0" w:rightChars="0" w:firstLine="640"/>
        <w:outlineLvl w:val="9"/>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2.民生保障。新建2个童伴之家, 进一步扩大关爱留守儿童的覆盖面,在关爱留守儿童课程上积极探索更多更好的有效举措,切实把关爱留守儿童工作做深做实做细。</w:t>
      </w:r>
    </w:p>
    <w:p>
      <w:pPr>
        <w:keepNext w:val="0"/>
        <w:keepLines w:val="0"/>
        <w:pageBreakBefore w:val="0"/>
        <w:kinsoku/>
        <w:wordWrap/>
        <w:overflowPunct/>
        <w:topLinePunct w:val="0"/>
        <w:autoSpaceDE/>
        <w:autoSpaceDN/>
        <w:bidi w:val="0"/>
        <w:spacing w:line="540" w:lineRule="exact"/>
        <w:ind w:right="0" w:rightChars="0" w:firstLine="640"/>
        <w:outlineLvl w:val="9"/>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3.基础设施。无</w:t>
      </w:r>
    </w:p>
    <w:p>
      <w:pPr>
        <w:keepNext w:val="0"/>
        <w:keepLines w:val="0"/>
        <w:pageBreakBefore w:val="0"/>
        <w:kinsoku/>
        <w:wordWrap/>
        <w:overflowPunct/>
        <w:topLinePunct w:val="0"/>
        <w:autoSpaceDE/>
        <w:autoSpaceDN/>
        <w:bidi w:val="0"/>
        <w:spacing w:line="540" w:lineRule="exact"/>
        <w:ind w:right="0" w:rightChars="0" w:firstLine="640"/>
        <w:outlineLvl w:val="9"/>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4.行政运转。无</w:t>
      </w:r>
    </w:p>
    <w:p>
      <w:pPr>
        <w:keepNext w:val="0"/>
        <w:keepLines w:val="0"/>
        <w:pageBreakBefore w:val="0"/>
        <w:kinsoku/>
        <w:wordWrap/>
        <w:overflowPunct/>
        <w:topLinePunct w:val="0"/>
        <w:autoSpaceDE/>
        <w:autoSpaceDN/>
        <w:bidi w:val="0"/>
        <w:spacing w:line="540" w:lineRule="exact"/>
        <w:ind w:right="0" w:rightChars="0" w:firstLine="640"/>
        <w:outlineLvl w:val="9"/>
        <w:rPr>
          <w:rFonts w:hint="eastAsia" w:ascii="仿宋_GB2312" w:hAnsi="仿宋_GB2312" w:eastAsia="仿宋_GB2312" w:cs="仿宋_GB2312"/>
          <w:color w:val="000000"/>
          <w:sz w:val="32"/>
          <w:szCs w:val="32"/>
          <w:shd w:val="clear" w:color="auto" w:fill="FFFFFF"/>
          <w:lang w:val="zh-CN"/>
        </w:rPr>
      </w:pPr>
      <w:r>
        <w:rPr>
          <w:rFonts w:hint="eastAsia" w:ascii="仿宋_GB2312" w:hAnsi="仿宋_GB2312" w:eastAsia="仿宋_GB2312" w:cs="仿宋_GB2312"/>
          <w:b/>
          <w:sz w:val="32"/>
          <w:szCs w:val="32"/>
          <w:lang w:val="zh-CN"/>
        </w:rPr>
        <w:t>（三）</w:t>
      </w:r>
      <w:r>
        <w:rPr>
          <w:rFonts w:hint="eastAsia" w:ascii="仿宋_GB2312" w:hAnsi="仿宋_GB2312" w:eastAsia="仿宋_GB2312" w:cs="仿宋_GB2312"/>
          <w:b/>
          <w:sz w:val="32"/>
          <w:szCs w:val="32"/>
        </w:rPr>
        <w:t>个性指标</w:t>
      </w:r>
      <w:r>
        <w:rPr>
          <w:rFonts w:hint="eastAsia" w:ascii="仿宋_GB2312" w:hAnsi="仿宋_GB2312" w:eastAsia="仿宋_GB2312" w:cs="仿宋_GB2312"/>
          <w:b/>
          <w:bCs/>
          <w:color w:val="000000"/>
          <w:sz w:val="32"/>
          <w:szCs w:val="32"/>
          <w:shd w:val="clear" w:color="auto" w:fill="FFFFFF"/>
          <w:lang w:val="zh-CN"/>
        </w:rPr>
        <w:t>绩效分析。</w:t>
      </w:r>
      <w:r>
        <w:rPr>
          <w:rFonts w:hint="eastAsia" w:ascii="仿宋_GB2312" w:hAnsi="仿宋_GB2312" w:eastAsia="仿宋_GB2312" w:cs="仿宋_GB2312"/>
          <w:color w:val="000000"/>
          <w:sz w:val="32"/>
          <w:szCs w:val="32"/>
          <w:shd w:val="clear" w:color="auto" w:fill="FFFFFF"/>
          <w:lang w:val="zh-CN"/>
        </w:rPr>
        <w:t>新建2个童伴之家，为留守儿童提供优质的教育资源、学习资源，促进其全面发展。为留守儿童提供和谐温馨的家庭环境，培养其良好的家庭观念和习惯，提高留守儿童保护意识，加强留守儿童保护意识教育，提高留守儿童自我保护能力，培养健康的生活方式，引导留守儿童养成健康的生活习惯，促进其身心健康发展。</w:t>
      </w:r>
    </w:p>
    <w:p>
      <w:pPr>
        <w:keepNext w:val="0"/>
        <w:keepLines w:val="0"/>
        <w:pageBreakBefore w:val="0"/>
        <w:kinsoku/>
        <w:wordWrap/>
        <w:overflowPunct/>
        <w:topLinePunct w:val="0"/>
        <w:autoSpaceDE/>
        <w:autoSpaceDN/>
        <w:bidi w:val="0"/>
        <w:spacing w:line="540" w:lineRule="exact"/>
        <w:ind w:right="0" w:rightChars="0" w:firstLine="640"/>
        <w:outlineLvl w:val="9"/>
        <w:rPr>
          <w:rFonts w:hint="eastAsia" w:ascii="黑体" w:hAnsi="黑体" w:cs="黑体"/>
          <w:b/>
          <w:bCs/>
          <w:sz w:val="32"/>
          <w:szCs w:val="32"/>
        </w:rPr>
      </w:pPr>
      <w:r>
        <w:rPr>
          <w:rFonts w:hint="eastAsia" w:ascii="黑体" w:hAnsi="黑体" w:cs="黑体"/>
          <w:b/>
          <w:bCs/>
          <w:sz w:val="32"/>
          <w:szCs w:val="32"/>
        </w:rPr>
        <w:t>四、评价结论</w:t>
      </w:r>
    </w:p>
    <w:p>
      <w:pPr>
        <w:pStyle w:val="12"/>
        <w:keepNext w:val="0"/>
        <w:keepLines w:val="0"/>
        <w:pageBreakBefore w:val="0"/>
        <w:tabs>
          <w:tab w:val="left" w:pos="2160"/>
        </w:tabs>
        <w:kinsoku/>
        <w:wordWrap/>
        <w:overflowPunct/>
        <w:topLinePunct w:val="0"/>
        <w:autoSpaceDE/>
        <w:autoSpaceDN/>
        <w:bidi w:val="0"/>
        <w:spacing w:beforeLines="0" w:line="540" w:lineRule="exact"/>
        <w:ind w:right="0" w:rightChars="0" w:firstLine="640" w:firstLineChars="200"/>
        <w:outlineLvl w:val="9"/>
        <w:rPr>
          <w:rFonts w:hint="eastAsia" w:ascii="仿宋_GB2312" w:hAnsi="宋体" w:eastAsia="仿宋_GB2312" w:cs="仿宋_GB2312"/>
          <w:color w:val="000000"/>
          <w:sz w:val="32"/>
          <w:szCs w:val="32"/>
          <w:shd w:val="clear" w:color="auto" w:fill="FFFFFF"/>
          <w:lang w:eastAsia="zh-CN"/>
        </w:rPr>
      </w:pPr>
      <w:r>
        <w:rPr>
          <w:rFonts w:hint="eastAsia" w:ascii="仿宋_GB2312" w:hAnsi="宋体" w:eastAsia="仿宋_GB2312" w:cs="仿宋_GB2312"/>
          <w:color w:val="000000"/>
          <w:sz w:val="32"/>
          <w:szCs w:val="32"/>
          <w:shd w:val="clear" w:color="auto" w:fill="FFFFFF"/>
          <w:lang w:eastAsia="zh-CN"/>
        </w:rPr>
        <w:t>2022年度州级留守学生之家补助资金项目管理规范，预算执行率达到100%，全面完成年度绩效总体目标和各项绩效指标，有效发挥了财政资金的使用效率。通过新建2个童伴之家, 进一步扩大关心关爱留守儿童的覆盖面,在关爱留守儿童课程上积极探索更多更好的有效举措,切实把关爱留守儿童工作做深做实做细。</w:t>
      </w:r>
    </w:p>
    <w:p>
      <w:pPr>
        <w:pStyle w:val="12"/>
        <w:keepNext w:val="0"/>
        <w:keepLines w:val="0"/>
        <w:pageBreakBefore w:val="0"/>
        <w:tabs>
          <w:tab w:val="left" w:pos="2160"/>
        </w:tabs>
        <w:kinsoku/>
        <w:wordWrap/>
        <w:overflowPunct/>
        <w:topLinePunct w:val="0"/>
        <w:autoSpaceDE/>
        <w:autoSpaceDN/>
        <w:bidi w:val="0"/>
        <w:spacing w:beforeLines="0" w:line="540" w:lineRule="exact"/>
        <w:ind w:right="0" w:rightChars="0" w:firstLine="643" w:firstLineChars="200"/>
        <w:outlineLvl w:val="9"/>
        <w:rPr>
          <w:rFonts w:hint="eastAsia" w:ascii="黑体" w:hAnsi="黑体" w:cs="黑体"/>
          <w:b/>
          <w:bCs/>
          <w:sz w:val="32"/>
          <w:szCs w:val="32"/>
          <w:lang w:eastAsia="zh-CN"/>
        </w:rPr>
      </w:pPr>
      <w:r>
        <w:rPr>
          <w:rFonts w:hint="eastAsia" w:ascii="黑体" w:hAnsi="黑体" w:cs="黑体"/>
          <w:b/>
          <w:bCs/>
          <w:sz w:val="32"/>
          <w:szCs w:val="32"/>
          <w:lang w:eastAsia="zh-CN"/>
        </w:rPr>
        <w:t>五、存在主要问题</w:t>
      </w:r>
    </w:p>
    <w:p>
      <w:pPr>
        <w:pStyle w:val="12"/>
        <w:keepNext w:val="0"/>
        <w:keepLines w:val="0"/>
        <w:pageBreakBefore w:val="0"/>
        <w:tabs>
          <w:tab w:val="left" w:pos="2160"/>
        </w:tabs>
        <w:kinsoku/>
        <w:wordWrap/>
        <w:overflowPunct/>
        <w:topLinePunct w:val="0"/>
        <w:autoSpaceDE/>
        <w:autoSpaceDN/>
        <w:bidi w:val="0"/>
        <w:spacing w:beforeLines="0" w:line="540" w:lineRule="exact"/>
        <w:ind w:right="0" w:rightChars="0" w:firstLine="640" w:firstLineChars="200"/>
        <w:outlineLvl w:val="9"/>
        <w:rPr>
          <w:rFonts w:hint="eastAsia" w:ascii="仿宋_GB2312" w:hAnsi="仿宋_GB2312" w:eastAsia="仿宋_GB2312" w:cs="仿宋_GB2312"/>
          <w:kern w:val="2"/>
          <w:position w:val="0"/>
          <w:sz w:val="32"/>
          <w:szCs w:val="32"/>
          <w:lang w:eastAsia="zh-CN"/>
        </w:rPr>
      </w:pPr>
      <w:r>
        <w:rPr>
          <w:rFonts w:hint="eastAsia" w:ascii="仿宋_GB2312" w:hAnsi="仿宋_GB2312" w:eastAsia="仿宋_GB2312" w:cs="仿宋_GB2312"/>
          <w:position w:val="0"/>
          <w:sz w:val="32"/>
          <w:szCs w:val="32"/>
          <w:lang w:eastAsia="zh-CN"/>
        </w:rPr>
        <w:t>无。</w:t>
      </w:r>
    </w:p>
    <w:p>
      <w:pPr>
        <w:pStyle w:val="12"/>
        <w:keepNext w:val="0"/>
        <w:keepLines w:val="0"/>
        <w:pageBreakBefore w:val="0"/>
        <w:tabs>
          <w:tab w:val="left" w:pos="2160"/>
        </w:tabs>
        <w:kinsoku/>
        <w:wordWrap/>
        <w:overflowPunct/>
        <w:topLinePunct w:val="0"/>
        <w:autoSpaceDE/>
        <w:autoSpaceDN/>
        <w:bidi w:val="0"/>
        <w:spacing w:beforeLines="0" w:line="540" w:lineRule="exact"/>
        <w:ind w:right="0" w:rightChars="0" w:firstLine="643" w:firstLineChars="200"/>
        <w:outlineLvl w:val="9"/>
        <w:rPr>
          <w:rFonts w:hint="eastAsia" w:ascii="黑体" w:hAnsi="黑体" w:cs="黑体"/>
          <w:b/>
          <w:bCs/>
          <w:sz w:val="32"/>
          <w:szCs w:val="32"/>
          <w:lang w:val="zh-CN" w:eastAsia="zh-CN"/>
        </w:rPr>
      </w:pPr>
      <w:r>
        <w:rPr>
          <w:rFonts w:hint="eastAsia" w:ascii="黑体" w:hAnsi="黑体" w:cs="黑体"/>
          <w:b/>
          <w:bCs/>
          <w:sz w:val="32"/>
          <w:szCs w:val="32"/>
          <w:lang w:val="zh-CN" w:eastAsia="zh-CN"/>
        </w:rPr>
        <w:t>六、改进建议</w:t>
      </w:r>
    </w:p>
    <w:p>
      <w:pPr>
        <w:keepNext w:val="0"/>
        <w:keepLines w:val="0"/>
        <w:pageBreakBefore w:val="0"/>
        <w:tabs>
          <w:tab w:val="left" w:pos="1911"/>
        </w:tabs>
        <w:kinsoku/>
        <w:wordWrap/>
        <w:overflowPunct/>
        <w:topLinePunct w:val="0"/>
        <w:autoSpaceDE/>
        <w:autoSpaceDN/>
        <w:bidi w:val="0"/>
        <w:spacing w:line="540" w:lineRule="exact"/>
        <w:ind w:right="0" w:rightChars="0"/>
        <w:jc w:val="left"/>
        <w:outlineLvl w:val="9"/>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shd w:val="clear" w:color="auto" w:fill="FFFFFF"/>
          <w:lang w:val="zh-CN"/>
        </w:rPr>
        <w:t xml:space="preserve"> </w:t>
      </w:r>
      <w:r>
        <w:rPr>
          <w:rFonts w:hint="eastAsia"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sz w:val="32"/>
          <w:szCs w:val="32"/>
        </w:rPr>
        <w:t xml:space="preserve"> 无。</w:t>
      </w:r>
    </w:p>
    <w:p>
      <w:pPr>
        <w:keepNext w:val="0"/>
        <w:keepLines w:val="0"/>
        <w:pageBreakBefore w:val="0"/>
        <w:kinsoku/>
        <w:wordWrap/>
        <w:overflowPunct/>
        <w:topLinePunct w:val="0"/>
        <w:autoSpaceDE/>
        <w:autoSpaceDN/>
        <w:bidi w:val="0"/>
        <w:snapToGrid w:val="0"/>
        <w:spacing w:line="540" w:lineRule="exact"/>
        <w:ind w:right="0" w:rightChars="0" w:firstLine="640" w:firstLineChars="200"/>
        <w:outlineLvl w:val="9"/>
        <w:rPr>
          <w:rFonts w:hint="eastAsia" w:ascii="仿宋_GB2312" w:hAnsi="仿宋_GB2312" w:eastAsia="仿宋_GB2312" w:cs="仿宋_GB2312"/>
          <w:color w:val="000000"/>
          <w:sz w:val="32"/>
          <w:szCs w:val="32"/>
          <w:shd w:val="clear" w:color="auto" w:fill="FFFFFF"/>
          <w:lang w:val="zh-CN"/>
        </w:rPr>
      </w:pPr>
    </w:p>
    <w:p>
      <w:pPr>
        <w:keepNext w:val="0"/>
        <w:keepLines w:val="0"/>
        <w:pageBreakBefore w:val="0"/>
        <w:kinsoku/>
        <w:wordWrap/>
        <w:overflowPunct/>
        <w:topLinePunct w:val="0"/>
        <w:autoSpaceDE/>
        <w:autoSpaceDN/>
        <w:bidi w:val="0"/>
        <w:snapToGrid w:val="0"/>
        <w:spacing w:line="540" w:lineRule="exact"/>
        <w:ind w:right="0" w:rightChars="0" w:firstLine="640" w:firstLineChars="200"/>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附表：1.项目资金分配涉及所有点位自评得分情况表</w:t>
      </w:r>
    </w:p>
    <w:p>
      <w:pPr>
        <w:keepNext w:val="0"/>
        <w:keepLines w:val="0"/>
        <w:pageBreakBefore w:val="0"/>
        <w:kinsoku/>
        <w:wordWrap/>
        <w:overflowPunct/>
        <w:topLinePunct w:val="0"/>
        <w:autoSpaceDE/>
        <w:autoSpaceDN/>
        <w:bidi w:val="0"/>
        <w:snapToGrid w:val="0"/>
        <w:spacing w:line="540" w:lineRule="exact"/>
        <w:ind w:right="0" w:rightChars="0" w:firstLine="1600" w:firstLineChars="500"/>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2.专项预算项目绩效目标完成情况自评表</w:t>
      </w:r>
    </w:p>
    <w:p>
      <w:pPr>
        <w:keepNext w:val="0"/>
        <w:keepLines w:val="0"/>
        <w:pageBreakBefore w:val="0"/>
        <w:kinsoku/>
        <w:wordWrap/>
        <w:overflowPunct/>
        <w:topLinePunct w:val="0"/>
        <w:autoSpaceDE/>
        <w:autoSpaceDN/>
        <w:bidi w:val="0"/>
        <w:adjustRightInd w:val="0"/>
        <w:snapToGrid w:val="0"/>
        <w:spacing w:line="540" w:lineRule="exact"/>
        <w:ind w:right="0" w:rightChars="0"/>
        <w:outlineLvl w:val="9"/>
        <w:rPr>
          <w:rFonts w:hint="eastAsia" w:ascii="方正黑体_GBK" w:eastAsia="方正黑体_GBK" w:cs="Times New Roman"/>
          <w:kern w:val="2"/>
          <w:sz w:val="32"/>
          <w:szCs w:val="32"/>
        </w:rPr>
      </w:pPr>
    </w:p>
    <w:p>
      <w:pPr>
        <w:keepNext w:val="0"/>
        <w:keepLines w:val="0"/>
        <w:pageBreakBefore w:val="0"/>
        <w:kinsoku/>
        <w:wordWrap/>
        <w:overflowPunct/>
        <w:topLinePunct w:val="0"/>
        <w:autoSpaceDE/>
        <w:autoSpaceDN/>
        <w:bidi w:val="0"/>
        <w:adjustRightInd w:val="0"/>
        <w:snapToGrid w:val="0"/>
        <w:spacing w:line="540" w:lineRule="exact"/>
        <w:ind w:right="0" w:rightChars="0"/>
        <w:outlineLvl w:val="9"/>
        <w:rPr>
          <w:rFonts w:hint="eastAsia" w:ascii="方正黑体_GBK" w:eastAsia="方正黑体_GBK" w:cs="Times New Roman"/>
          <w:kern w:val="2"/>
          <w:sz w:val="32"/>
          <w:szCs w:val="32"/>
        </w:rPr>
      </w:pPr>
    </w:p>
    <w:p>
      <w:pPr>
        <w:pageBreakBefore w:val="0"/>
        <w:kinsoku/>
        <w:wordWrap/>
        <w:overflowPunct/>
        <w:topLinePunct w:val="0"/>
        <w:autoSpaceDE/>
        <w:autoSpaceDN/>
        <w:bidi w:val="0"/>
        <w:adjustRightInd w:val="0"/>
        <w:snapToGrid w:val="0"/>
        <w:spacing w:line="578" w:lineRule="exact"/>
        <w:outlineLvl w:val="9"/>
        <w:rPr>
          <w:rFonts w:hint="eastAsia" w:ascii="方正黑体_GBK" w:eastAsia="方正黑体_GBK" w:cs="Times New Roman"/>
          <w:kern w:val="2"/>
          <w:sz w:val="32"/>
          <w:szCs w:val="32"/>
        </w:rPr>
      </w:pPr>
    </w:p>
    <w:p>
      <w:pPr>
        <w:pageBreakBefore w:val="0"/>
        <w:kinsoku/>
        <w:wordWrap/>
        <w:overflowPunct/>
        <w:topLinePunct w:val="0"/>
        <w:autoSpaceDE/>
        <w:autoSpaceDN/>
        <w:bidi w:val="0"/>
        <w:adjustRightInd w:val="0"/>
        <w:snapToGrid w:val="0"/>
        <w:spacing w:line="578" w:lineRule="exact"/>
        <w:outlineLvl w:val="9"/>
        <w:rPr>
          <w:rFonts w:hint="eastAsia" w:ascii="方正黑体_GBK" w:eastAsia="方正黑体_GBK" w:cs="Times New Roman"/>
          <w:kern w:val="2"/>
          <w:sz w:val="32"/>
          <w:szCs w:val="32"/>
        </w:rPr>
      </w:pPr>
    </w:p>
    <w:p>
      <w:pPr>
        <w:pageBreakBefore w:val="0"/>
        <w:kinsoku/>
        <w:wordWrap/>
        <w:overflowPunct/>
        <w:topLinePunct w:val="0"/>
        <w:autoSpaceDE/>
        <w:autoSpaceDN/>
        <w:bidi w:val="0"/>
        <w:adjustRightInd w:val="0"/>
        <w:snapToGrid w:val="0"/>
        <w:spacing w:line="578" w:lineRule="exact"/>
        <w:outlineLvl w:val="9"/>
        <w:rPr>
          <w:rFonts w:hint="eastAsia" w:ascii="方正黑体_GBK" w:eastAsia="方正黑体_GBK" w:cs="Times New Roman"/>
          <w:kern w:val="2"/>
          <w:sz w:val="32"/>
          <w:szCs w:val="32"/>
        </w:rPr>
      </w:pPr>
    </w:p>
    <w:p>
      <w:pPr>
        <w:pageBreakBefore w:val="0"/>
        <w:kinsoku/>
        <w:wordWrap/>
        <w:overflowPunct/>
        <w:topLinePunct w:val="0"/>
        <w:autoSpaceDE/>
        <w:autoSpaceDN/>
        <w:bidi w:val="0"/>
        <w:adjustRightInd w:val="0"/>
        <w:snapToGrid w:val="0"/>
        <w:spacing w:line="578" w:lineRule="exact"/>
        <w:outlineLvl w:val="9"/>
        <w:rPr>
          <w:rFonts w:hint="eastAsia" w:ascii="方正黑体_GBK" w:eastAsia="方正黑体_GBK" w:cs="Times New Roman"/>
          <w:kern w:val="2"/>
          <w:sz w:val="32"/>
          <w:szCs w:val="32"/>
        </w:rPr>
      </w:pPr>
    </w:p>
    <w:p>
      <w:pPr>
        <w:pageBreakBefore w:val="0"/>
        <w:kinsoku/>
        <w:wordWrap/>
        <w:overflowPunct/>
        <w:topLinePunct w:val="0"/>
        <w:autoSpaceDE/>
        <w:autoSpaceDN/>
        <w:bidi w:val="0"/>
        <w:adjustRightInd w:val="0"/>
        <w:snapToGrid w:val="0"/>
        <w:spacing w:line="578" w:lineRule="exact"/>
        <w:outlineLvl w:val="9"/>
        <w:rPr>
          <w:rFonts w:hint="eastAsia" w:ascii="方正黑体_GBK" w:eastAsia="方正黑体_GBK" w:cs="Times New Roman"/>
          <w:kern w:val="2"/>
          <w:sz w:val="32"/>
          <w:szCs w:val="32"/>
        </w:rPr>
      </w:pPr>
    </w:p>
    <w:p>
      <w:pPr>
        <w:pageBreakBefore w:val="0"/>
        <w:kinsoku/>
        <w:wordWrap/>
        <w:overflowPunct/>
        <w:topLinePunct w:val="0"/>
        <w:autoSpaceDE/>
        <w:autoSpaceDN/>
        <w:bidi w:val="0"/>
        <w:adjustRightInd w:val="0"/>
        <w:snapToGrid w:val="0"/>
        <w:spacing w:line="578" w:lineRule="exact"/>
        <w:outlineLvl w:val="9"/>
        <w:rPr>
          <w:rFonts w:hint="eastAsia" w:ascii="方正黑体_GBK" w:eastAsia="方正黑体_GBK" w:cs="Times New Roman"/>
          <w:kern w:val="2"/>
          <w:sz w:val="32"/>
          <w:szCs w:val="32"/>
        </w:rPr>
      </w:pPr>
    </w:p>
    <w:p>
      <w:pPr>
        <w:pageBreakBefore w:val="0"/>
        <w:kinsoku/>
        <w:wordWrap/>
        <w:overflowPunct/>
        <w:topLinePunct w:val="0"/>
        <w:autoSpaceDE/>
        <w:autoSpaceDN/>
        <w:bidi w:val="0"/>
        <w:adjustRightInd w:val="0"/>
        <w:snapToGrid w:val="0"/>
        <w:spacing w:line="578" w:lineRule="exact"/>
        <w:outlineLvl w:val="9"/>
        <w:rPr>
          <w:rFonts w:hint="eastAsia" w:ascii="方正黑体_GBK" w:eastAsia="方正黑体_GBK" w:cs="Times New Roman"/>
          <w:kern w:val="2"/>
          <w:sz w:val="32"/>
          <w:szCs w:val="32"/>
        </w:rPr>
      </w:pPr>
    </w:p>
    <w:p>
      <w:pPr>
        <w:pageBreakBefore w:val="0"/>
        <w:kinsoku/>
        <w:wordWrap/>
        <w:overflowPunct/>
        <w:topLinePunct w:val="0"/>
        <w:autoSpaceDE/>
        <w:autoSpaceDN/>
        <w:bidi w:val="0"/>
        <w:adjustRightInd w:val="0"/>
        <w:snapToGrid w:val="0"/>
        <w:spacing w:line="578" w:lineRule="exact"/>
        <w:outlineLvl w:val="9"/>
        <w:rPr>
          <w:rFonts w:hint="eastAsia" w:ascii="方正黑体_GBK" w:eastAsia="方正黑体_GBK" w:cs="Times New Roman"/>
          <w:kern w:val="2"/>
          <w:sz w:val="32"/>
          <w:szCs w:val="32"/>
        </w:rPr>
      </w:pPr>
    </w:p>
    <w:p>
      <w:pPr>
        <w:pageBreakBefore w:val="0"/>
        <w:kinsoku/>
        <w:wordWrap/>
        <w:overflowPunct/>
        <w:topLinePunct w:val="0"/>
        <w:autoSpaceDE/>
        <w:autoSpaceDN/>
        <w:bidi w:val="0"/>
        <w:adjustRightInd w:val="0"/>
        <w:snapToGrid w:val="0"/>
        <w:spacing w:line="578" w:lineRule="exact"/>
        <w:outlineLvl w:val="9"/>
        <w:rPr>
          <w:rFonts w:hint="eastAsia" w:ascii="方正黑体_GBK" w:eastAsia="方正黑体_GBK" w:cs="Times New Roman"/>
          <w:kern w:val="2"/>
          <w:sz w:val="32"/>
          <w:szCs w:val="32"/>
        </w:rPr>
      </w:pPr>
    </w:p>
    <w:p>
      <w:pPr>
        <w:pageBreakBefore w:val="0"/>
        <w:kinsoku/>
        <w:wordWrap/>
        <w:overflowPunct/>
        <w:topLinePunct w:val="0"/>
        <w:autoSpaceDE/>
        <w:autoSpaceDN/>
        <w:bidi w:val="0"/>
        <w:adjustRightInd w:val="0"/>
        <w:snapToGrid w:val="0"/>
        <w:spacing w:line="578" w:lineRule="exact"/>
        <w:outlineLvl w:val="9"/>
        <w:rPr>
          <w:rFonts w:hint="eastAsia" w:ascii="方正黑体_GBK" w:eastAsia="方正黑体_GBK" w:cs="Times New Roman"/>
          <w:kern w:val="2"/>
          <w:sz w:val="32"/>
          <w:szCs w:val="32"/>
        </w:rPr>
      </w:pPr>
    </w:p>
    <w:p>
      <w:pPr>
        <w:pageBreakBefore w:val="0"/>
        <w:kinsoku/>
        <w:wordWrap/>
        <w:overflowPunct/>
        <w:topLinePunct w:val="0"/>
        <w:autoSpaceDE/>
        <w:autoSpaceDN/>
        <w:bidi w:val="0"/>
        <w:adjustRightInd w:val="0"/>
        <w:snapToGrid w:val="0"/>
        <w:spacing w:line="578" w:lineRule="exact"/>
        <w:outlineLvl w:val="9"/>
        <w:rPr>
          <w:rFonts w:hint="eastAsia" w:ascii="方正黑体_GBK" w:eastAsia="方正黑体_GBK" w:cs="Times New Roman"/>
          <w:kern w:val="2"/>
          <w:sz w:val="32"/>
          <w:szCs w:val="32"/>
        </w:rPr>
      </w:pPr>
    </w:p>
    <w:p>
      <w:pPr>
        <w:pStyle w:val="2"/>
        <w:pageBreakBefore w:val="0"/>
        <w:kinsoku/>
        <w:wordWrap/>
        <w:overflowPunct/>
        <w:topLinePunct w:val="0"/>
        <w:autoSpaceDE/>
        <w:autoSpaceDN/>
        <w:bidi w:val="0"/>
        <w:outlineLvl w:val="9"/>
        <w:rPr>
          <w:rFonts w:hint="eastAsia" w:ascii="方正黑体_GBK" w:eastAsia="方正黑体_GBK" w:cs="Times New Roman"/>
          <w:kern w:val="2"/>
          <w:sz w:val="32"/>
          <w:szCs w:val="32"/>
        </w:rPr>
      </w:pPr>
    </w:p>
    <w:p>
      <w:pPr>
        <w:pStyle w:val="3"/>
        <w:pageBreakBefore w:val="0"/>
        <w:kinsoku/>
        <w:wordWrap/>
        <w:overflowPunct/>
        <w:topLinePunct w:val="0"/>
        <w:autoSpaceDE/>
        <w:autoSpaceDN/>
        <w:bidi w:val="0"/>
        <w:outlineLvl w:val="9"/>
        <w:rPr>
          <w:rFonts w:hint="eastAsia" w:ascii="方正黑体_GBK" w:eastAsia="方正黑体_GBK" w:cs="Times New Roman"/>
          <w:kern w:val="2"/>
          <w:sz w:val="32"/>
          <w:szCs w:val="32"/>
        </w:rPr>
      </w:pPr>
    </w:p>
    <w:p>
      <w:pPr>
        <w:pStyle w:val="3"/>
        <w:pageBreakBefore w:val="0"/>
        <w:kinsoku/>
        <w:wordWrap/>
        <w:overflowPunct/>
        <w:topLinePunct w:val="0"/>
        <w:autoSpaceDE/>
        <w:autoSpaceDN/>
        <w:bidi w:val="0"/>
        <w:outlineLvl w:val="9"/>
        <w:rPr>
          <w:rFonts w:hint="eastAsia" w:ascii="方正黑体_GBK" w:eastAsia="方正黑体_GBK" w:cs="Times New Roman"/>
          <w:kern w:val="2"/>
          <w:sz w:val="32"/>
          <w:szCs w:val="32"/>
        </w:rPr>
      </w:pPr>
    </w:p>
    <w:p>
      <w:pPr>
        <w:pStyle w:val="3"/>
        <w:pageBreakBefore w:val="0"/>
        <w:kinsoku/>
        <w:wordWrap/>
        <w:overflowPunct/>
        <w:topLinePunct w:val="0"/>
        <w:autoSpaceDE/>
        <w:autoSpaceDN/>
        <w:bidi w:val="0"/>
        <w:outlineLvl w:val="9"/>
        <w:rPr>
          <w:rFonts w:hint="eastAsia" w:ascii="方正黑体_GBK" w:eastAsia="方正黑体_GBK" w:cs="Times New Roman"/>
          <w:kern w:val="2"/>
          <w:sz w:val="32"/>
          <w:szCs w:val="32"/>
        </w:rPr>
      </w:pPr>
    </w:p>
    <w:p>
      <w:pPr>
        <w:pageBreakBefore w:val="0"/>
        <w:kinsoku/>
        <w:wordWrap/>
        <w:overflowPunct/>
        <w:topLinePunct w:val="0"/>
        <w:autoSpaceDE/>
        <w:autoSpaceDN/>
        <w:bidi w:val="0"/>
        <w:spacing w:line="560" w:lineRule="exact"/>
        <w:jc w:val="both"/>
        <w:outlineLvl w:val="9"/>
        <w:rPr>
          <w:rFonts w:hint="eastAsia" w:ascii="黑体" w:hAnsi="黑体" w:eastAsia="黑体" w:cs="黑体"/>
          <w:kern w:val="2"/>
          <w:sz w:val="30"/>
          <w:szCs w:val="30"/>
          <w:u w:val="none"/>
          <w:lang w:eastAsia="zh-CN"/>
        </w:rPr>
      </w:pPr>
      <w:r>
        <w:rPr>
          <w:rFonts w:hint="eastAsia" w:ascii="黑体" w:hAnsi="黑体" w:eastAsia="黑体" w:cs="黑体"/>
          <w:kern w:val="2"/>
          <w:sz w:val="30"/>
          <w:szCs w:val="30"/>
          <w:u w:val="none"/>
          <w:lang w:val="zh-CN" w:eastAsia="zh-CN"/>
        </w:rPr>
        <w:t>附表</w:t>
      </w:r>
      <w:r>
        <w:rPr>
          <w:rFonts w:hint="eastAsia" w:ascii="黑体" w:hAnsi="黑体" w:eastAsia="黑体" w:cs="黑体"/>
          <w:kern w:val="2"/>
          <w:sz w:val="30"/>
          <w:szCs w:val="30"/>
          <w:u w:val="none"/>
          <w:lang w:eastAsia="zh-CN"/>
        </w:rPr>
        <w:t>1</w:t>
      </w:r>
    </w:p>
    <w:p>
      <w:pPr>
        <w:pStyle w:val="2"/>
        <w:rPr>
          <w:rFonts w:hint="eastAsia"/>
          <w:lang w:val="zh-CN" w:eastAsia="zh-CN"/>
        </w:rPr>
      </w:pPr>
    </w:p>
    <w:p>
      <w:pPr>
        <w:pageBreakBefore w:val="0"/>
        <w:kinsoku/>
        <w:wordWrap/>
        <w:overflowPunct/>
        <w:topLinePunct w:val="0"/>
        <w:autoSpaceDE/>
        <w:autoSpaceDN/>
        <w:bidi w:val="0"/>
        <w:spacing w:line="578" w:lineRule="exact"/>
        <w:jc w:val="center"/>
        <w:outlineLvl w:val="9"/>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项目资金分配涉及所有点位自评得分情况表</w:t>
      </w:r>
    </w:p>
    <w:tbl>
      <w:tblPr>
        <w:tblStyle w:val="26"/>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2678"/>
        <w:gridCol w:w="2410"/>
        <w:gridCol w:w="2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exact"/>
          <w:jc w:val="center"/>
        </w:trPr>
        <w:tc>
          <w:tcPr>
            <w:tcW w:w="1123" w:type="dxa"/>
            <w:noWrap w:val="0"/>
            <w:vAlign w:val="center"/>
          </w:tcPr>
          <w:p>
            <w:pPr>
              <w:pageBreakBefore w:val="0"/>
              <w:kinsoku/>
              <w:wordWrap/>
              <w:overflowPunct/>
              <w:topLinePunct w:val="0"/>
              <w:autoSpaceDE/>
              <w:autoSpaceDN/>
              <w:bidi w:val="0"/>
              <w:spacing w:line="300" w:lineRule="exact"/>
              <w:jc w:val="center"/>
              <w:outlineLvl w:val="9"/>
              <w:rPr>
                <w:rFonts w:hint="eastAsia" w:ascii="黑体" w:hAnsi="黑体" w:eastAsia="黑体"/>
                <w:sz w:val="24"/>
              </w:rPr>
            </w:pPr>
            <w:r>
              <w:rPr>
                <w:rFonts w:hint="eastAsia" w:ascii="黑体" w:hAnsi="黑体" w:eastAsia="黑体"/>
                <w:sz w:val="24"/>
              </w:rPr>
              <w:t>序号</w:t>
            </w:r>
          </w:p>
        </w:tc>
        <w:tc>
          <w:tcPr>
            <w:tcW w:w="2678" w:type="dxa"/>
            <w:noWrap w:val="0"/>
            <w:vAlign w:val="center"/>
          </w:tcPr>
          <w:p>
            <w:pPr>
              <w:pageBreakBefore w:val="0"/>
              <w:kinsoku/>
              <w:wordWrap/>
              <w:overflowPunct/>
              <w:topLinePunct w:val="0"/>
              <w:autoSpaceDE/>
              <w:autoSpaceDN/>
              <w:bidi w:val="0"/>
              <w:spacing w:line="300" w:lineRule="exact"/>
              <w:jc w:val="center"/>
              <w:outlineLvl w:val="9"/>
              <w:rPr>
                <w:rFonts w:hint="eastAsia" w:ascii="黑体" w:hAnsi="黑体" w:eastAsia="黑体"/>
                <w:sz w:val="24"/>
                <w:lang w:val="en"/>
              </w:rPr>
            </w:pPr>
            <w:r>
              <w:rPr>
                <w:rFonts w:hint="eastAsia" w:ascii="黑体" w:hAnsi="黑体" w:eastAsia="黑体"/>
                <w:sz w:val="24"/>
              </w:rPr>
              <w:t>项目资金末端分配点位</w:t>
            </w:r>
          </w:p>
        </w:tc>
        <w:tc>
          <w:tcPr>
            <w:tcW w:w="2410" w:type="dxa"/>
            <w:noWrap w:val="0"/>
            <w:vAlign w:val="center"/>
          </w:tcPr>
          <w:p>
            <w:pPr>
              <w:pageBreakBefore w:val="0"/>
              <w:kinsoku/>
              <w:wordWrap/>
              <w:overflowPunct/>
              <w:topLinePunct w:val="0"/>
              <w:autoSpaceDE/>
              <w:autoSpaceDN/>
              <w:bidi w:val="0"/>
              <w:spacing w:line="300" w:lineRule="exact"/>
              <w:jc w:val="center"/>
              <w:outlineLvl w:val="9"/>
              <w:rPr>
                <w:rFonts w:hint="eastAsia" w:ascii="黑体" w:hAnsi="黑体" w:eastAsia="黑体"/>
                <w:sz w:val="24"/>
              </w:rPr>
            </w:pPr>
            <w:r>
              <w:rPr>
                <w:rFonts w:hint="eastAsia" w:ascii="黑体" w:hAnsi="黑体" w:eastAsia="黑体"/>
                <w:sz w:val="24"/>
                <w:lang w:val="en"/>
              </w:rPr>
              <w:t>自评得分（百分制）</w:t>
            </w:r>
          </w:p>
        </w:tc>
        <w:tc>
          <w:tcPr>
            <w:tcW w:w="2609" w:type="dxa"/>
            <w:noWrap w:val="0"/>
            <w:vAlign w:val="center"/>
          </w:tcPr>
          <w:p>
            <w:pPr>
              <w:pageBreakBefore w:val="0"/>
              <w:kinsoku/>
              <w:wordWrap/>
              <w:overflowPunct/>
              <w:topLinePunct w:val="0"/>
              <w:autoSpaceDE/>
              <w:autoSpaceDN/>
              <w:bidi w:val="0"/>
              <w:spacing w:line="300" w:lineRule="exact"/>
              <w:jc w:val="center"/>
              <w:outlineLvl w:val="9"/>
              <w:rPr>
                <w:rFonts w:hint="eastAsia" w:ascii="黑体" w:hAnsi="黑体" w:eastAsia="黑体"/>
                <w:sz w:val="24"/>
              </w:rPr>
            </w:pPr>
            <w:r>
              <w:rPr>
                <w:rFonts w:hint="eastAsia" w:ascii="黑体" w:hAnsi="黑体" w:eastAsia="黑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3" w:type="dxa"/>
            <w:noWrap w:val="0"/>
            <w:vAlign w:val="center"/>
          </w:tcPr>
          <w:p>
            <w:pPr>
              <w:pageBreakBefore w:val="0"/>
              <w:kinsoku/>
              <w:wordWrap/>
              <w:overflowPunct/>
              <w:topLinePunct w:val="0"/>
              <w:autoSpaceDE/>
              <w:autoSpaceDN/>
              <w:bidi w:val="0"/>
              <w:spacing w:line="300" w:lineRule="exact"/>
              <w:jc w:val="center"/>
              <w:outlineLvl w:val="9"/>
              <w:rPr>
                <w:rFonts w:hint="eastAsia" w:ascii="仿宋_GB2312" w:hAnsi="黑体" w:eastAsia="仿宋_GB2312"/>
                <w:sz w:val="24"/>
              </w:rPr>
            </w:pPr>
            <w:r>
              <w:rPr>
                <w:rFonts w:hint="eastAsia" w:ascii="仿宋_GB2312" w:hAnsi="黑体" w:eastAsia="仿宋_GB2312"/>
                <w:sz w:val="24"/>
              </w:rPr>
              <w:t>1</w:t>
            </w:r>
          </w:p>
        </w:tc>
        <w:tc>
          <w:tcPr>
            <w:tcW w:w="2678" w:type="dxa"/>
            <w:noWrap w:val="0"/>
            <w:vAlign w:val="center"/>
          </w:tcPr>
          <w:p>
            <w:pPr>
              <w:pageBreakBefore w:val="0"/>
              <w:kinsoku/>
              <w:wordWrap/>
              <w:overflowPunct/>
              <w:topLinePunct w:val="0"/>
              <w:autoSpaceDE/>
              <w:autoSpaceDN/>
              <w:bidi w:val="0"/>
              <w:spacing w:line="300" w:lineRule="exact"/>
              <w:jc w:val="center"/>
              <w:outlineLvl w:val="9"/>
              <w:rPr>
                <w:rFonts w:hint="eastAsia" w:ascii="仿宋_GB2312" w:hAnsi="黑体" w:eastAsia="仿宋_GB2312"/>
                <w:sz w:val="24"/>
                <w:lang w:val="en"/>
              </w:rPr>
            </w:pPr>
            <w:r>
              <w:rPr>
                <w:rFonts w:hint="eastAsia" w:ascii="仿宋_GB2312" w:hAnsi="黑体" w:eastAsia="仿宋_GB2312"/>
                <w:sz w:val="24"/>
                <w:lang w:val="en"/>
              </w:rPr>
              <w:t>共青团茂县委员会</w:t>
            </w:r>
          </w:p>
        </w:tc>
        <w:tc>
          <w:tcPr>
            <w:tcW w:w="2410" w:type="dxa"/>
            <w:noWrap w:val="0"/>
            <w:vAlign w:val="center"/>
          </w:tcPr>
          <w:p>
            <w:pPr>
              <w:pageBreakBefore w:val="0"/>
              <w:kinsoku/>
              <w:wordWrap/>
              <w:overflowPunct/>
              <w:topLinePunct w:val="0"/>
              <w:autoSpaceDE/>
              <w:autoSpaceDN/>
              <w:bidi w:val="0"/>
              <w:spacing w:line="300" w:lineRule="exact"/>
              <w:jc w:val="center"/>
              <w:outlineLvl w:val="9"/>
              <w:rPr>
                <w:rFonts w:hint="eastAsia" w:ascii="仿宋_GB2312" w:hAnsi="黑体" w:eastAsia="仿宋_GB2312"/>
                <w:sz w:val="24"/>
                <w:lang w:val="en"/>
              </w:rPr>
            </w:pPr>
            <w:r>
              <w:rPr>
                <w:rFonts w:hint="eastAsia" w:ascii="仿宋_GB2312" w:hAnsi="黑体" w:eastAsia="仿宋_GB2312"/>
                <w:sz w:val="24"/>
              </w:rPr>
              <w:t>94</w:t>
            </w:r>
          </w:p>
        </w:tc>
        <w:tc>
          <w:tcPr>
            <w:tcW w:w="2609" w:type="dxa"/>
            <w:noWrap w:val="0"/>
            <w:vAlign w:val="center"/>
          </w:tcPr>
          <w:p>
            <w:pPr>
              <w:pageBreakBefore w:val="0"/>
              <w:kinsoku/>
              <w:wordWrap/>
              <w:overflowPunct/>
              <w:topLinePunct w:val="0"/>
              <w:autoSpaceDE/>
              <w:autoSpaceDN/>
              <w:bidi w:val="0"/>
              <w:spacing w:line="300" w:lineRule="exact"/>
              <w:jc w:val="left"/>
              <w:outlineLvl w:val="9"/>
              <w:rPr>
                <w:rFonts w:hint="eastAsia" w:ascii="仿宋_GB2312" w:hAnsi="黑体" w:eastAsia="仿宋_GB2312"/>
                <w:sz w:val="24"/>
              </w:rPr>
            </w:pPr>
            <w:r>
              <w:rPr>
                <w:rFonts w:hint="eastAsia" w:ascii="仿宋_GB2312" w:hAnsi="黑体" w:eastAsia="仿宋_GB2312"/>
                <w:sz w:val="24"/>
              </w:rPr>
              <w:t>新建2个留守学生之家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3" w:type="dxa"/>
            <w:noWrap w:val="0"/>
            <w:vAlign w:val="top"/>
          </w:tcPr>
          <w:p>
            <w:pPr>
              <w:pageBreakBefore w:val="0"/>
              <w:kinsoku/>
              <w:wordWrap/>
              <w:overflowPunct/>
              <w:topLinePunct w:val="0"/>
              <w:autoSpaceDE/>
              <w:autoSpaceDN/>
              <w:bidi w:val="0"/>
              <w:spacing w:line="300" w:lineRule="exact"/>
              <w:jc w:val="center"/>
              <w:outlineLvl w:val="9"/>
              <w:rPr>
                <w:rFonts w:hint="eastAsia" w:ascii="黑体" w:hAnsi="黑体" w:eastAsia="黑体"/>
                <w:sz w:val="24"/>
              </w:rPr>
            </w:pPr>
          </w:p>
        </w:tc>
        <w:tc>
          <w:tcPr>
            <w:tcW w:w="2678"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410"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609"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3" w:type="dxa"/>
            <w:noWrap w:val="0"/>
            <w:vAlign w:val="top"/>
          </w:tcPr>
          <w:p>
            <w:pPr>
              <w:pageBreakBefore w:val="0"/>
              <w:kinsoku/>
              <w:wordWrap/>
              <w:overflowPunct/>
              <w:topLinePunct w:val="0"/>
              <w:autoSpaceDE/>
              <w:autoSpaceDN/>
              <w:bidi w:val="0"/>
              <w:spacing w:line="300" w:lineRule="exact"/>
              <w:jc w:val="center"/>
              <w:outlineLvl w:val="9"/>
              <w:rPr>
                <w:rFonts w:hint="eastAsia" w:ascii="黑体" w:hAnsi="黑体" w:eastAsia="黑体"/>
                <w:sz w:val="24"/>
              </w:rPr>
            </w:pPr>
          </w:p>
        </w:tc>
        <w:tc>
          <w:tcPr>
            <w:tcW w:w="2678"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410"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609"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3" w:type="dxa"/>
            <w:noWrap w:val="0"/>
            <w:vAlign w:val="top"/>
          </w:tcPr>
          <w:p>
            <w:pPr>
              <w:pageBreakBefore w:val="0"/>
              <w:kinsoku/>
              <w:wordWrap/>
              <w:overflowPunct/>
              <w:topLinePunct w:val="0"/>
              <w:autoSpaceDE/>
              <w:autoSpaceDN/>
              <w:bidi w:val="0"/>
              <w:spacing w:line="300" w:lineRule="exact"/>
              <w:jc w:val="center"/>
              <w:outlineLvl w:val="9"/>
              <w:rPr>
                <w:rFonts w:hint="eastAsia" w:ascii="黑体" w:hAnsi="黑体" w:eastAsia="黑体"/>
                <w:sz w:val="24"/>
              </w:rPr>
            </w:pPr>
          </w:p>
        </w:tc>
        <w:tc>
          <w:tcPr>
            <w:tcW w:w="2678"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410"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609"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3" w:type="dxa"/>
            <w:noWrap w:val="0"/>
            <w:vAlign w:val="top"/>
          </w:tcPr>
          <w:p>
            <w:pPr>
              <w:pageBreakBefore w:val="0"/>
              <w:kinsoku/>
              <w:wordWrap/>
              <w:overflowPunct/>
              <w:topLinePunct w:val="0"/>
              <w:autoSpaceDE/>
              <w:autoSpaceDN/>
              <w:bidi w:val="0"/>
              <w:spacing w:line="300" w:lineRule="exact"/>
              <w:jc w:val="center"/>
              <w:outlineLvl w:val="9"/>
              <w:rPr>
                <w:rFonts w:hint="eastAsia" w:ascii="黑体" w:hAnsi="黑体" w:eastAsia="黑体"/>
                <w:sz w:val="24"/>
              </w:rPr>
            </w:pPr>
          </w:p>
        </w:tc>
        <w:tc>
          <w:tcPr>
            <w:tcW w:w="2678"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410"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609"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3" w:type="dxa"/>
            <w:noWrap w:val="0"/>
            <w:vAlign w:val="top"/>
          </w:tcPr>
          <w:p>
            <w:pPr>
              <w:pageBreakBefore w:val="0"/>
              <w:kinsoku/>
              <w:wordWrap/>
              <w:overflowPunct/>
              <w:topLinePunct w:val="0"/>
              <w:autoSpaceDE/>
              <w:autoSpaceDN/>
              <w:bidi w:val="0"/>
              <w:spacing w:line="300" w:lineRule="exact"/>
              <w:jc w:val="center"/>
              <w:outlineLvl w:val="9"/>
              <w:rPr>
                <w:rFonts w:hint="eastAsia" w:ascii="黑体" w:hAnsi="黑体" w:eastAsia="黑体"/>
                <w:sz w:val="24"/>
              </w:rPr>
            </w:pPr>
          </w:p>
        </w:tc>
        <w:tc>
          <w:tcPr>
            <w:tcW w:w="2678"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410"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609"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3" w:type="dxa"/>
            <w:noWrap w:val="0"/>
            <w:vAlign w:val="top"/>
          </w:tcPr>
          <w:p>
            <w:pPr>
              <w:pageBreakBefore w:val="0"/>
              <w:kinsoku/>
              <w:wordWrap/>
              <w:overflowPunct/>
              <w:topLinePunct w:val="0"/>
              <w:autoSpaceDE/>
              <w:autoSpaceDN/>
              <w:bidi w:val="0"/>
              <w:spacing w:line="300" w:lineRule="exact"/>
              <w:jc w:val="center"/>
              <w:outlineLvl w:val="9"/>
              <w:rPr>
                <w:rFonts w:hint="eastAsia" w:ascii="黑体" w:hAnsi="黑体" w:eastAsia="黑体"/>
                <w:sz w:val="24"/>
              </w:rPr>
            </w:pPr>
          </w:p>
        </w:tc>
        <w:tc>
          <w:tcPr>
            <w:tcW w:w="2678"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410"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609"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rPr>
            </w:pPr>
          </w:p>
        </w:tc>
      </w:tr>
    </w:tbl>
    <w:p>
      <w:pPr>
        <w:pageBreakBefore w:val="0"/>
        <w:kinsoku/>
        <w:wordWrap/>
        <w:overflowPunct/>
        <w:topLinePunct w:val="0"/>
        <w:autoSpaceDE/>
        <w:autoSpaceDN/>
        <w:bidi w:val="0"/>
        <w:spacing w:line="400" w:lineRule="exact"/>
        <w:jc w:val="left"/>
        <w:outlineLvl w:val="9"/>
        <w:rPr>
          <w:rFonts w:hint="eastAsia" w:ascii="宋体" w:hAnsi="宋体"/>
          <w:sz w:val="24"/>
        </w:rPr>
      </w:pPr>
      <w:r>
        <w:rPr>
          <w:rFonts w:hint="eastAsia" w:ascii="宋体" w:hAnsi="宋体"/>
          <w:sz w:val="24"/>
        </w:rPr>
        <w:t>备注：1.项目资金末端分配点位包括市（州）本级、县（市、区）、省级部门下属单位及一次性单位等。</w:t>
      </w:r>
    </w:p>
    <w:p>
      <w:pPr>
        <w:pageBreakBefore w:val="0"/>
        <w:numPr>
          <w:ilvl w:val="0"/>
          <w:numId w:val="3"/>
        </w:numPr>
        <w:kinsoku/>
        <w:wordWrap/>
        <w:overflowPunct/>
        <w:topLinePunct w:val="0"/>
        <w:autoSpaceDE/>
        <w:autoSpaceDN/>
        <w:bidi w:val="0"/>
        <w:spacing w:line="400" w:lineRule="exact"/>
        <w:ind w:firstLine="720" w:firstLineChars="300"/>
        <w:jc w:val="left"/>
        <w:outlineLvl w:val="9"/>
        <w:rPr>
          <w:rFonts w:hint="eastAsia" w:ascii="宋体" w:hAnsi="宋体"/>
          <w:sz w:val="24"/>
        </w:rPr>
      </w:pPr>
      <w:r>
        <w:rPr>
          <w:rFonts w:hint="eastAsia" w:ascii="宋体" w:hAnsi="宋体"/>
          <w:sz w:val="24"/>
        </w:rPr>
        <w:t>自评得分（百分制）从高到低划分为优、良、中、差四个档次，各个档次数量占比分别为20%、20%、55%、5%，且不同档次间得分分值应体现差异化，同档次得分分值相同的比例不超过该档次总数量的10%。</w:t>
      </w:r>
    </w:p>
    <w:p>
      <w:pPr>
        <w:pageBreakBefore w:val="0"/>
        <w:kinsoku/>
        <w:wordWrap/>
        <w:overflowPunct/>
        <w:topLinePunct w:val="0"/>
        <w:autoSpaceDE/>
        <w:autoSpaceDN/>
        <w:bidi w:val="0"/>
        <w:spacing w:line="240" w:lineRule="atLeast"/>
        <w:ind w:right="-178" w:rightChars="-85" w:firstLine="640" w:firstLineChars="200"/>
        <w:outlineLvl w:val="9"/>
        <w:rPr>
          <w:rFonts w:hint="eastAsia" w:ascii="方正黑体_GBK" w:eastAsia="方正黑体_GBK" w:cs="Times New Roman"/>
          <w:kern w:val="2"/>
          <w:sz w:val="32"/>
          <w:szCs w:val="32"/>
        </w:rPr>
      </w:pPr>
    </w:p>
    <w:p>
      <w:pPr>
        <w:pageBreakBefore w:val="0"/>
        <w:kinsoku/>
        <w:wordWrap/>
        <w:overflowPunct/>
        <w:topLinePunct w:val="0"/>
        <w:autoSpaceDE/>
        <w:autoSpaceDN/>
        <w:bidi w:val="0"/>
        <w:spacing w:line="240" w:lineRule="atLeast"/>
        <w:ind w:right="-178" w:rightChars="-85" w:firstLine="640" w:firstLineChars="200"/>
        <w:outlineLvl w:val="9"/>
        <w:rPr>
          <w:rFonts w:hint="eastAsia" w:ascii="方正黑体_GBK" w:eastAsia="方正黑体_GBK" w:cs="Times New Roman"/>
          <w:kern w:val="2"/>
          <w:sz w:val="32"/>
          <w:szCs w:val="32"/>
        </w:rPr>
      </w:pPr>
    </w:p>
    <w:p>
      <w:pPr>
        <w:pStyle w:val="40"/>
        <w:pageBreakBefore w:val="0"/>
        <w:kinsoku/>
        <w:wordWrap/>
        <w:overflowPunct/>
        <w:topLinePunct w:val="0"/>
        <w:autoSpaceDE/>
        <w:autoSpaceDN/>
        <w:bidi w:val="0"/>
        <w:outlineLvl w:val="9"/>
        <w:rPr>
          <w:rFonts w:hint="eastAsia"/>
        </w:rPr>
      </w:pPr>
    </w:p>
    <w:p>
      <w:pPr>
        <w:pageBreakBefore w:val="0"/>
        <w:kinsoku/>
        <w:wordWrap/>
        <w:overflowPunct/>
        <w:topLinePunct w:val="0"/>
        <w:autoSpaceDE/>
        <w:autoSpaceDN/>
        <w:bidi w:val="0"/>
        <w:outlineLvl w:val="9"/>
        <w:rPr>
          <w:rFonts w:hint="eastAsia"/>
        </w:rPr>
      </w:pPr>
    </w:p>
    <w:p>
      <w:pPr>
        <w:pageBreakBefore w:val="0"/>
        <w:kinsoku/>
        <w:wordWrap/>
        <w:overflowPunct/>
        <w:topLinePunct w:val="0"/>
        <w:autoSpaceDE/>
        <w:autoSpaceDN/>
        <w:bidi w:val="0"/>
        <w:outlineLvl w:val="9"/>
        <w:rPr>
          <w:rFonts w:hint="eastAsia"/>
        </w:rPr>
      </w:pPr>
    </w:p>
    <w:p>
      <w:pPr>
        <w:pageBreakBefore w:val="0"/>
        <w:kinsoku/>
        <w:wordWrap/>
        <w:overflowPunct/>
        <w:topLinePunct w:val="0"/>
        <w:autoSpaceDE/>
        <w:autoSpaceDN/>
        <w:bidi w:val="0"/>
        <w:outlineLvl w:val="9"/>
        <w:rPr>
          <w:rFonts w:hint="eastAsia"/>
        </w:rPr>
      </w:pPr>
    </w:p>
    <w:p>
      <w:pPr>
        <w:pageBreakBefore w:val="0"/>
        <w:kinsoku/>
        <w:wordWrap/>
        <w:overflowPunct/>
        <w:topLinePunct w:val="0"/>
        <w:autoSpaceDE/>
        <w:autoSpaceDN/>
        <w:bidi w:val="0"/>
        <w:outlineLvl w:val="9"/>
        <w:rPr>
          <w:rFonts w:hint="eastAsia"/>
        </w:rPr>
      </w:pPr>
    </w:p>
    <w:p>
      <w:pPr>
        <w:pageBreakBefore w:val="0"/>
        <w:kinsoku/>
        <w:wordWrap/>
        <w:overflowPunct/>
        <w:topLinePunct w:val="0"/>
        <w:autoSpaceDE/>
        <w:autoSpaceDN/>
        <w:bidi w:val="0"/>
        <w:outlineLvl w:val="9"/>
        <w:rPr>
          <w:rFonts w:hint="eastAsia"/>
        </w:rPr>
      </w:pPr>
    </w:p>
    <w:p>
      <w:pPr>
        <w:pageBreakBefore w:val="0"/>
        <w:kinsoku/>
        <w:wordWrap/>
        <w:overflowPunct/>
        <w:topLinePunct w:val="0"/>
        <w:autoSpaceDE/>
        <w:autoSpaceDN/>
        <w:bidi w:val="0"/>
        <w:outlineLvl w:val="9"/>
        <w:rPr>
          <w:rFonts w:hint="eastAsia"/>
        </w:rPr>
      </w:pPr>
    </w:p>
    <w:p>
      <w:pPr>
        <w:pStyle w:val="3"/>
        <w:pageBreakBefore w:val="0"/>
        <w:kinsoku/>
        <w:wordWrap/>
        <w:overflowPunct/>
        <w:topLinePunct w:val="0"/>
        <w:autoSpaceDE/>
        <w:autoSpaceDN/>
        <w:bidi w:val="0"/>
        <w:spacing w:after="0" w:line="578" w:lineRule="exact"/>
        <w:ind w:left="0" w:leftChars="0" w:firstLine="0" w:firstLineChars="0"/>
        <w:outlineLvl w:val="9"/>
        <w:rPr>
          <w:rFonts w:hint="default" w:eastAsia="黑体" w:cs="Times New Roman"/>
          <w:kern w:val="2"/>
          <w:sz w:val="32"/>
        </w:rPr>
      </w:pPr>
    </w:p>
    <w:p>
      <w:pPr>
        <w:pStyle w:val="3"/>
        <w:pageBreakBefore w:val="0"/>
        <w:kinsoku/>
        <w:wordWrap/>
        <w:overflowPunct/>
        <w:topLinePunct w:val="0"/>
        <w:autoSpaceDE/>
        <w:autoSpaceDN/>
        <w:bidi w:val="0"/>
        <w:spacing w:after="0" w:line="578" w:lineRule="exact"/>
        <w:ind w:left="0" w:leftChars="0" w:firstLine="0" w:firstLineChars="0"/>
        <w:outlineLvl w:val="9"/>
        <w:rPr>
          <w:rFonts w:eastAsia="黑体" w:cs="Times New Roman"/>
          <w:kern w:val="2"/>
          <w:sz w:val="32"/>
        </w:rPr>
      </w:pPr>
    </w:p>
    <w:p>
      <w:pPr>
        <w:pStyle w:val="3"/>
        <w:pageBreakBefore w:val="0"/>
        <w:kinsoku/>
        <w:wordWrap/>
        <w:overflowPunct/>
        <w:topLinePunct w:val="0"/>
        <w:autoSpaceDE/>
        <w:autoSpaceDN/>
        <w:bidi w:val="0"/>
        <w:spacing w:after="0" w:line="578" w:lineRule="exact"/>
        <w:ind w:left="0" w:leftChars="0" w:firstLine="0" w:firstLineChars="0"/>
        <w:outlineLvl w:val="9"/>
        <w:rPr>
          <w:rFonts w:hint="default" w:eastAsia="黑体" w:cs="Times New Roman"/>
          <w:kern w:val="2"/>
          <w:sz w:val="24"/>
          <w:szCs w:val="24"/>
        </w:rPr>
      </w:pPr>
    </w:p>
    <w:p>
      <w:pPr>
        <w:pStyle w:val="3"/>
        <w:pageBreakBefore w:val="0"/>
        <w:kinsoku/>
        <w:wordWrap/>
        <w:overflowPunct/>
        <w:topLinePunct w:val="0"/>
        <w:autoSpaceDE/>
        <w:autoSpaceDN/>
        <w:bidi w:val="0"/>
        <w:spacing w:after="0" w:line="578" w:lineRule="exact"/>
        <w:ind w:left="0" w:leftChars="0" w:firstLine="0" w:firstLineChars="0"/>
        <w:outlineLvl w:val="9"/>
        <w:rPr>
          <w:rFonts w:hint="eastAsia" w:ascii="黑体" w:hAnsi="黑体" w:eastAsia="黑体" w:cs="黑体"/>
          <w:b w:val="0"/>
          <w:bCs w:val="0"/>
          <w:kern w:val="2"/>
          <w:sz w:val="30"/>
          <w:szCs w:val="30"/>
        </w:rPr>
      </w:pPr>
      <w:r>
        <w:rPr>
          <w:rFonts w:hint="eastAsia" w:ascii="黑体" w:hAnsi="黑体" w:eastAsia="黑体" w:cs="黑体"/>
          <w:b w:val="0"/>
          <w:bCs w:val="0"/>
          <w:kern w:val="2"/>
          <w:sz w:val="30"/>
          <w:szCs w:val="30"/>
        </w:rPr>
        <w:t>附表2</w:t>
      </w:r>
    </w:p>
    <w:tbl>
      <w:tblPr>
        <w:tblStyle w:val="26"/>
        <w:tblW w:w="10376" w:type="dxa"/>
        <w:jc w:val="center"/>
        <w:tblLayout w:type="fixed"/>
        <w:tblCellMar>
          <w:top w:w="15" w:type="dxa"/>
          <w:left w:w="15" w:type="dxa"/>
          <w:bottom w:w="15" w:type="dxa"/>
          <w:right w:w="15" w:type="dxa"/>
        </w:tblCellMar>
      </w:tblPr>
      <w:tblGrid>
        <w:gridCol w:w="576"/>
        <w:gridCol w:w="725"/>
        <w:gridCol w:w="2410"/>
        <w:gridCol w:w="1279"/>
        <w:gridCol w:w="1541"/>
        <w:gridCol w:w="1170"/>
        <w:gridCol w:w="2675"/>
      </w:tblGrid>
      <w:tr>
        <w:tblPrEx>
          <w:tblCellMar>
            <w:top w:w="15" w:type="dxa"/>
            <w:left w:w="15" w:type="dxa"/>
            <w:bottom w:w="15" w:type="dxa"/>
            <w:right w:w="15" w:type="dxa"/>
          </w:tblCellMar>
        </w:tblPrEx>
        <w:trPr>
          <w:trHeight w:val="540" w:hRule="atLeast"/>
          <w:jc w:val="center"/>
        </w:trPr>
        <w:tc>
          <w:tcPr>
            <w:tcW w:w="10376" w:type="dxa"/>
            <w:gridSpan w:val="7"/>
            <w:noWrap w:val="0"/>
            <w:vAlign w:val="center"/>
          </w:tcPr>
          <w:p>
            <w:pPr>
              <w:pageBreakBefore w:val="0"/>
              <w:widowControl/>
              <w:kinsoku/>
              <w:wordWrap/>
              <w:overflowPunct/>
              <w:topLinePunct w:val="0"/>
              <w:autoSpaceDE/>
              <w:autoSpaceDN/>
              <w:bidi w:val="0"/>
              <w:spacing w:line="600" w:lineRule="exact"/>
              <w:jc w:val="center"/>
              <w:textAlignment w:val="center"/>
              <w:outlineLvl w:val="9"/>
              <w:rPr>
                <w:rFonts w:ascii="黑体" w:hAnsi="宋体" w:eastAsia="黑体" w:cs="黑体"/>
                <w:color w:val="000000"/>
                <w:sz w:val="28"/>
                <w:szCs w:val="28"/>
              </w:rPr>
            </w:pPr>
            <w:r>
              <w:rPr>
                <w:rFonts w:hint="eastAsia" w:ascii="方正小标宋简体" w:hAnsi="方正小标宋简体" w:eastAsia="方正小标宋简体" w:cs="方正小标宋简体"/>
                <w:color w:val="000000"/>
                <w:sz w:val="36"/>
                <w:szCs w:val="36"/>
                <w:lang w:bidi="ar"/>
              </w:rPr>
              <w:t>专项预算项目绩效目标完成情况自评表</w:t>
            </w:r>
          </w:p>
        </w:tc>
      </w:tr>
      <w:tr>
        <w:tblPrEx>
          <w:tblCellMar>
            <w:top w:w="15" w:type="dxa"/>
            <w:left w:w="15" w:type="dxa"/>
            <w:bottom w:w="15" w:type="dxa"/>
            <w:right w:w="15" w:type="dxa"/>
          </w:tblCellMar>
        </w:tblPrEx>
        <w:trPr>
          <w:trHeight w:val="23" w:hRule="atLeast"/>
          <w:jc w:val="center"/>
        </w:trPr>
        <w:tc>
          <w:tcPr>
            <w:tcW w:w="3711" w:type="dxa"/>
            <w:gridSpan w:val="3"/>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项目名称</w:t>
            </w:r>
          </w:p>
        </w:tc>
        <w:tc>
          <w:tcPr>
            <w:tcW w:w="6665"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jc w:val="center"/>
              <w:outlineLvl w:val="9"/>
              <w:rPr>
                <w:rFonts w:hint="eastAsia" w:ascii="宋体" w:hAnsi="宋体"/>
                <w:color w:val="000000"/>
                <w:sz w:val="22"/>
                <w:szCs w:val="22"/>
              </w:rPr>
            </w:pPr>
            <w:r>
              <w:rPr>
                <w:rFonts w:hint="eastAsia" w:ascii="宋体" w:hAnsi="宋体"/>
                <w:color w:val="000000"/>
                <w:sz w:val="22"/>
                <w:szCs w:val="22"/>
              </w:rPr>
              <w:t>2022年度州级留守学生之家补助资金</w:t>
            </w:r>
          </w:p>
        </w:tc>
      </w:tr>
      <w:tr>
        <w:tblPrEx>
          <w:tblCellMar>
            <w:top w:w="15" w:type="dxa"/>
            <w:left w:w="15" w:type="dxa"/>
            <w:bottom w:w="15" w:type="dxa"/>
            <w:right w:w="15" w:type="dxa"/>
          </w:tblCellMar>
        </w:tblPrEx>
        <w:trPr>
          <w:trHeight w:val="23" w:hRule="atLeast"/>
          <w:jc w:val="center"/>
        </w:trPr>
        <w:tc>
          <w:tcPr>
            <w:tcW w:w="3711" w:type="dxa"/>
            <w:gridSpan w:val="3"/>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预算单位</w:t>
            </w:r>
          </w:p>
        </w:tc>
        <w:tc>
          <w:tcPr>
            <w:tcW w:w="6665"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tabs>
                <w:tab w:val="left" w:pos="1365"/>
              </w:tabs>
              <w:kinsoku/>
              <w:wordWrap/>
              <w:overflowPunct/>
              <w:topLinePunct w:val="0"/>
              <w:autoSpaceDE/>
              <w:autoSpaceDN/>
              <w:bidi w:val="0"/>
              <w:spacing w:line="300" w:lineRule="exact"/>
              <w:jc w:val="center"/>
              <w:outlineLvl w:val="9"/>
              <w:rPr>
                <w:rFonts w:hint="eastAsia" w:ascii="宋体" w:hAnsi="宋体"/>
                <w:color w:val="000000"/>
                <w:sz w:val="22"/>
                <w:szCs w:val="22"/>
              </w:rPr>
            </w:pPr>
            <w:r>
              <w:rPr>
                <w:rFonts w:hint="eastAsia" w:ascii="宋体" w:hAnsi="宋体"/>
                <w:color w:val="000000"/>
                <w:sz w:val="22"/>
                <w:szCs w:val="22"/>
              </w:rPr>
              <w:t>共青团茂县委员会</w:t>
            </w:r>
          </w:p>
        </w:tc>
      </w:tr>
      <w:tr>
        <w:tblPrEx>
          <w:tblCellMar>
            <w:top w:w="15" w:type="dxa"/>
            <w:left w:w="15" w:type="dxa"/>
            <w:bottom w:w="15" w:type="dxa"/>
            <w:right w:w="15" w:type="dxa"/>
          </w:tblCellMar>
        </w:tblPrEx>
        <w:trPr>
          <w:trHeight w:val="23" w:hRule="atLeast"/>
          <w:jc w:val="center"/>
        </w:trPr>
        <w:tc>
          <w:tcPr>
            <w:tcW w:w="3711" w:type="dxa"/>
            <w:gridSpan w:val="3"/>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项目类型</w:t>
            </w:r>
          </w:p>
        </w:tc>
        <w:tc>
          <w:tcPr>
            <w:tcW w:w="6665"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jc w:val="center"/>
              <w:outlineLvl w:val="9"/>
              <w:rPr>
                <w:rFonts w:hint="eastAsia" w:ascii="宋体" w:hAnsi="宋体"/>
                <w:color w:val="000000"/>
                <w:sz w:val="22"/>
                <w:szCs w:val="22"/>
              </w:rPr>
            </w:pPr>
            <w:r>
              <w:rPr>
                <w:rFonts w:hint="eastAsia" w:ascii="宋体" w:hAnsi="宋体"/>
                <w:color w:val="000000"/>
                <w:sz w:val="22"/>
                <w:szCs w:val="22"/>
              </w:rPr>
              <w:t>补助资金</w:t>
            </w:r>
          </w:p>
        </w:tc>
      </w:tr>
      <w:tr>
        <w:tblPrEx>
          <w:tblCellMar>
            <w:top w:w="15" w:type="dxa"/>
            <w:left w:w="15" w:type="dxa"/>
            <w:bottom w:w="15" w:type="dxa"/>
            <w:right w:w="15" w:type="dxa"/>
          </w:tblCellMar>
        </w:tblPrEx>
        <w:trPr>
          <w:trHeight w:val="425"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center"/>
              <w:textAlignment w:val="center"/>
              <w:outlineLvl w:val="9"/>
              <w:rPr>
                <w:rFonts w:ascii="宋体" w:hAnsi="宋体"/>
                <w:color w:val="000000"/>
                <w:sz w:val="22"/>
                <w:szCs w:val="22"/>
              </w:rPr>
            </w:pPr>
            <w:r>
              <w:rPr>
                <w:rFonts w:ascii="宋体" w:hAnsi="宋体"/>
                <w:color w:val="000000"/>
                <w:sz w:val="22"/>
                <w:szCs w:val="22"/>
                <w:lang w:bidi="ar"/>
              </w:rPr>
              <w:t>项目 概况</w:t>
            </w:r>
          </w:p>
        </w:tc>
        <w:tc>
          <w:tcPr>
            <w:tcW w:w="313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lang w:bidi="ar"/>
              </w:rPr>
            </w:pPr>
            <w:r>
              <w:rPr>
                <w:rFonts w:ascii="宋体" w:hAnsi="宋体"/>
                <w:color w:val="000000"/>
                <w:sz w:val="22"/>
                <w:szCs w:val="22"/>
                <w:lang w:bidi="ar"/>
              </w:rPr>
              <w:t>中长期规划（名称、文号，仅指</w:t>
            </w:r>
          </w:p>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常年项目）</w:t>
            </w:r>
          </w:p>
        </w:tc>
        <w:tc>
          <w:tcPr>
            <w:tcW w:w="6665"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2"/>
                <w:szCs w:val="22"/>
              </w:rPr>
            </w:pPr>
            <w:r>
              <w:rPr>
                <w:rFonts w:hint="eastAsia" w:ascii="宋体" w:hAnsi="宋体"/>
                <w:color w:val="000000"/>
                <w:sz w:val="22"/>
                <w:szCs w:val="22"/>
              </w:rPr>
              <w:t>阿州财行(2023)35号</w:t>
            </w:r>
          </w:p>
        </w:tc>
      </w:tr>
      <w:tr>
        <w:tblPrEx>
          <w:tblCellMar>
            <w:top w:w="15" w:type="dxa"/>
            <w:left w:w="15" w:type="dxa"/>
            <w:bottom w:w="15" w:type="dxa"/>
            <w:right w:w="15" w:type="dxa"/>
          </w:tblCellMar>
        </w:tblPrEx>
        <w:trPr>
          <w:trHeight w:val="347"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2"/>
                <w:szCs w:val="22"/>
              </w:rPr>
            </w:pPr>
          </w:p>
        </w:tc>
        <w:tc>
          <w:tcPr>
            <w:tcW w:w="313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资金管理办法（名称、文号）</w:t>
            </w:r>
          </w:p>
        </w:tc>
        <w:tc>
          <w:tcPr>
            <w:tcW w:w="6665"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jc w:val="left"/>
              <w:outlineLvl w:val="9"/>
              <w:rPr>
                <w:rFonts w:hint="eastAsia" w:ascii="宋体" w:hAnsi="宋体"/>
                <w:color w:val="000000"/>
                <w:sz w:val="22"/>
                <w:szCs w:val="22"/>
              </w:rPr>
            </w:pPr>
            <w:r>
              <w:rPr>
                <w:rFonts w:hint="eastAsia" w:ascii="宋体" w:hAnsi="宋体"/>
                <w:color w:val="000000"/>
                <w:sz w:val="22"/>
                <w:szCs w:val="22"/>
              </w:rPr>
              <w:t>阿州财行(2023)35号</w:t>
            </w:r>
          </w:p>
        </w:tc>
      </w:tr>
      <w:tr>
        <w:tblPrEx>
          <w:tblCellMar>
            <w:top w:w="15" w:type="dxa"/>
            <w:left w:w="15" w:type="dxa"/>
            <w:bottom w:w="15" w:type="dxa"/>
            <w:right w:w="15" w:type="dxa"/>
          </w:tblCellMar>
        </w:tblPrEx>
        <w:trPr>
          <w:trHeight w:val="385"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2"/>
                <w:szCs w:val="22"/>
              </w:rPr>
            </w:pPr>
          </w:p>
        </w:tc>
        <w:tc>
          <w:tcPr>
            <w:tcW w:w="313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绩效分配方式</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Wingdings 2" w:hAnsi="Wingdings 2" w:eastAsia="Wingdings 2" w:cs="Wingdings 2"/>
                <w:color w:val="000000"/>
                <w:sz w:val="22"/>
                <w:szCs w:val="22"/>
              </w:rPr>
            </w:pPr>
            <w:r>
              <w:rPr>
                <w:rFonts w:ascii="Wingdings 2" w:hAnsi="Wingdings 2" w:eastAsia="Wingdings 2" w:cs="Wingdings 2"/>
                <w:color w:val="000000"/>
                <w:sz w:val="22"/>
                <w:szCs w:val="22"/>
                <w:lang w:bidi="ar"/>
              </w:rPr>
              <w:t></w:t>
            </w:r>
            <w:r>
              <w:rPr>
                <w:rFonts w:ascii="宋体" w:hAnsi="宋体"/>
                <w:color w:val="000000"/>
                <w:sz w:val="22"/>
                <w:szCs w:val="22"/>
                <w:lang w:bidi="ar"/>
              </w:rPr>
              <w:t>因素法</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center"/>
              <w:textAlignment w:val="center"/>
              <w:outlineLvl w:val="9"/>
              <w:rPr>
                <w:rFonts w:ascii="Wingdings 2" w:hAnsi="Wingdings 2" w:eastAsia="Wingdings 2" w:cs="Wingdings 2"/>
                <w:color w:val="000000"/>
                <w:sz w:val="22"/>
                <w:szCs w:val="22"/>
              </w:rPr>
            </w:pPr>
            <w:r>
              <w:rPr>
                <w:rFonts w:ascii="Wingdings 2" w:hAnsi="Wingdings 2" w:eastAsia="Wingdings 2" w:cs="Wingdings 2"/>
                <w:color w:val="000000"/>
                <w:sz w:val="22"/>
                <w:szCs w:val="22"/>
                <w:lang w:bidi="ar"/>
              </w:rPr>
              <w:t>项目法</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center"/>
              <w:textAlignment w:val="center"/>
              <w:outlineLvl w:val="9"/>
              <w:rPr>
                <w:rFonts w:ascii="Wingdings 2" w:hAnsi="Wingdings 2" w:eastAsia="Wingdings 2" w:cs="Wingdings 2"/>
                <w:color w:val="000000"/>
                <w:sz w:val="22"/>
                <w:szCs w:val="22"/>
              </w:rPr>
            </w:pPr>
            <w:r>
              <w:rPr>
                <w:rFonts w:ascii="Wingdings 2" w:hAnsi="Wingdings 2" w:eastAsia="Wingdings 2" w:cs="Wingdings 2"/>
                <w:color w:val="000000"/>
                <w:sz w:val="22"/>
                <w:szCs w:val="22"/>
                <w:lang w:bidi="ar"/>
              </w:rPr>
              <w:sym w:font="Wingdings 2" w:char="0052"/>
            </w:r>
            <w:r>
              <w:rPr>
                <w:rFonts w:ascii="宋体" w:hAnsi="宋体"/>
                <w:color w:val="000000"/>
                <w:sz w:val="22"/>
                <w:szCs w:val="22"/>
                <w:lang w:bidi="ar"/>
              </w:rPr>
              <w:t>据实据效</w:t>
            </w:r>
          </w:p>
        </w:tc>
        <w:tc>
          <w:tcPr>
            <w:tcW w:w="267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center"/>
              <w:textAlignment w:val="center"/>
              <w:outlineLvl w:val="9"/>
              <w:rPr>
                <w:rFonts w:ascii="Wingdings 2" w:hAnsi="Wingdings 2" w:eastAsia="Wingdings 2" w:cs="Wingdings 2"/>
                <w:color w:val="000000"/>
                <w:sz w:val="22"/>
                <w:szCs w:val="22"/>
              </w:rPr>
            </w:pPr>
            <w:r>
              <w:rPr>
                <w:rFonts w:ascii="Wingdings 2" w:hAnsi="Wingdings 2" w:eastAsia="Wingdings 2" w:cs="Wingdings 2"/>
                <w:color w:val="000000"/>
                <w:sz w:val="22"/>
                <w:szCs w:val="22"/>
                <w:lang w:bidi="ar"/>
              </w:rPr>
              <w:t></w:t>
            </w:r>
            <w:r>
              <w:rPr>
                <w:rFonts w:ascii="宋体" w:hAnsi="宋体"/>
                <w:color w:val="000000"/>
                <w:sz w:val="22"/>
                <w:szCs w:val="22"/>
                <w:lang w:bidi="ar"/>
              </w:rPr>
              <w:t>因素法与项目法相结合</w:t>
            </w:r>
          </w:p>
        </w:tc>
      </w:tr>
      <w:tr>
        <w:tblPrEx>
          <w:tblCellMar>
            <w:top w:w="15" w:type="dxa"/>
            <w:left w:w="15" w:type="dxa"/>
            <w:bottom w:w="15" w:type="dxa"/>
            <w:right w:w="15" w:type="dxa"/>
          </w:tblCellMar>
        </w:tblPrEx>
        <w:trPr>
          <w:trHeight w:val="8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2"/>
                <w:szCs w:val="22"/>
              </w:rPr>
            </w:pPr>
          </w:p>
        </w:tc>
        <w:tc>
          <w:tcPr>
            <w:tcW w:w="313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立项依据</w:t>
            </w:r>
          </w:p>
        </w:tc>
        <w:tc>
          <w:tcPr>
            <w:tcW w:w="6665"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jc w:val="left"/>
              <w:outlineLvl w:val="9"/>
              <w:rPr>
                <w:rFonts w:hint="eastAsia" w:ascii="宋体" w:hAnsi="宋体"/>
                <w:color w:val="000000"/>
                <w:sz w:val="21"/>
                <w:szCs w:val="21"/>
              </w:rPr>
            </w:pPr>
            <w:r>
              <w:rPr>
                <w:rFonts w:hint="eastAsia" w:ascii="宋体" w:hAnsi="宋体"/>
                <w:color w:val="000000"/>
                <w:sz w:val="21"/>
                <w:szCs w:val="21"/>
              </w:rPr>
              <w:t>新建2个童伴之家, 进一步扩大关爱留守儿童的覆盖面,在关爱留守儿童课程上积极探索更多更好的有效举措,切实把关爱留守儿童工作做深做实做细。</w:t>
            </w:r>
          </w:p>
        </w:tc>
      </w:tr>
      <w:tr>
        <w:tblPrEx>
          <w:tblCellMar>
            <w:top w:w="15" w:type="dxa"/>
            <w:left w:w="15" w:type="dxa"/>
            <w:bottom w:w="15" w:type="dxa"/>
            <w:right w:w="15" w:type="dxa"/>
          </w:tblCellMar>
        </w:tblPrEx>
        <w:trPr>
          <w:trHeight w:val="30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2"/>
                <w:szCs w:val="22"/>
              </w:rPr>
            </w:pPr>
          </w:p>
        </w:tc>
        <w:tc>
          <w:tcPr>
            <w:tcW w:w="313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使用范围</w:t>
            </w:r>
          </w:p>
        </w:tc>
        <w:tc>
          <w:tcPr>
            <w:tcW w:w="6665"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jc w:val="left"/>
              <w:outlineLvl w:val="9"/>
              <w:rPr>
                <w:rFonts w:hint="eastAsia" w:ascii="宋体" w:hAnsi="宋体"/>
                <w:color w:val="000000"/>
                <w:sz w:val="21"/>
                <w:szCs w:val="21"/>
              </w:rPr>
            </w:pPr>
            <w:r>
              <w:rPr>
                <w:rFonts w:hint="eastAsia" w:ascii="宋体" w:hAnsi="宋体"/>
                <w:color w:val="000000"/>
                <w:sz w:val="21"/>
                <w:szCs w:val="21"/>
              </w:rPr>
              <w:t xml:space="preserve">    新建2个童伴之家</w:t>
            </w:r>
          </w:p>
        </w:tc>
      </w:tr>
      <w:tr>
        <w:tblPrEx>
          <w:tblCellMar>
            <w:top w:w="15" w:type="dxa"/>
            <w:left w:w="15" w:type="dxa"/>
            <w:bottom w:w="15" w:type="dxa"/>
            <w:right w:w="15" w:type="dxa"/>
          </w:tblCellMar>
        </w:tblPrEx>
        <w:trPr>
          <w:trHeight w:val="140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2"/>
                <w:szCs w:val="22"/>
              </w:rPr>
            </w:pPr>
          </w:p>
        </w:tc>
        <w:tc>
          <w:tcPr>
            <w:tcW w:w="313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申报（补助）条件</w:t>
            </w:r>
          </w:p>
        </w:tc>
        <w:tc>
          <w:tcPr>
            <w:tcW w:w="6665"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jc w:val="left"/>
              <w:outlineLvl w:val="9"/>
              <w:rPr>
                <w:rFonts w:hint="eastAsia" w:ascii="宋体" w:hAnsi="宋体"/>
                <w:color w:val="000000"/>
                <w:sz w:val="21"/>
                <w:szCs w:val="21"/>
              </w:rPr>
            </w:pPr>
            <w:r>
              <w:rPr>
                <w:rFonts w:hint="eastAsia" w:ascii="宋体" w:hAnsi="宋体"/>
                <w:color w:val="000000"/>
                <w:sz w:val="21"/>
                <w:szCs w:val="21"/>
              </w:rPr>
              <w:t xml:space="preserve">    新建2个童伴之家，为留守儿童提供优质的教育资源、学习资源，促进其全面发展。为留守儿童提供和谐温馨的家庭环境，培养其良好的家庭观念和习惯，提高留守儿童保护意识，加强留守儿童保护意识教育，提高留守儿童自我保护能力，培养健康的生活方式，引导留守儿童养成健康的生活习惯，促进其身心健康发展。</w:t>
            </w:r>
          </w:p>
        </w:tc>
      </w:tr>
      <w:tr>
        <w:tblPrEx>
          <w:tblCellMar>
            <w:top w:w="15" w:type="dxa"/>
            <w:left w:w="15" w:type="dxa"/>
            <w:bottom w:w="15" w:type="dxa"/>
            <w:right w:w="15" w:type="dxa"/>
          </w:tblCellMar>
        </w:tblPrEx>
        <w:trPr>
          <w:trHeight w:val="34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2"/>
                <w:szCs w:val="22"/>
              </w:rPr>
            </w:pPr>
          </w:p>
        </w:tc>
        <w:tc>
          <w:tcPr>
            <w:tcW w:w="313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项目起止年限</w:t>
            </w:r>
          </w:p>
        </w:tc>
        <w:tc>
          <w:tcPr>
            <w:tcW w:w="6665"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ind w:firstLine="440" w:firstLineChars="200"/>
              <w:outlineLvl w:val="9"/>
              <w:rPr>
                <w:rFonts w:ascii="宋体" w:hAnsi="宋体"/>
                <w:color w:val="000000"/>
                <w:sz w:val="22"/>
                <w:szCs w:val="22"/>
              </w:rPr>
            </w:pPr>
            <w:r>
              <w:rPr>
                <w:rFonts w:hint="eastAsia" w:ascii="宋体" w:hAnsi="宋体"/>
                <w:color w:val="000000"/>
                <w:sz w:val="22"/>
                <w:szCs w:val="22"/>
              </w:rPr>
              <w:t>2023年</w:t>
            </w:r>
          </w:p>
        </w:tc>
      </w:tr>
      <w:tr>
        <w:tblPrEx>
          <w:tblCellMar>
            <w:top w:w="15" w:type="dxa"/>
            <w:left w:w="15" w:type="dxa"/>
            <w:bottom w:w="15" w:type="dxa"/>
            <w:right w:w="15" w:type="dxa"/>
          </w:tblCellMar>
        </w:tblPrEx>
        <w:trPr>
          <w:trHeight w:val="340" w:hRule="atLeast"/>
          <w:jc w:val="center"/>
        </w:trPr>
        <w:tc>
          <w:tcPr>
            <w:tcW w:w="130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center"/>
              <w:textAlignment w:val="center"/>
              <w:outlineLvl w:val="9"/>
              <w:rPr>
                <w:rFonts w:ascii="宋体" w:hAnsi="宋体"/>
                <w:color w:val="000000"/>
                <w:sz w:val="22"/>
                <w:szCs w:val="22"/>
                <w:lang w:bidi="ar"/>
              </w:rPr>
            </w:pPr>
            <w:r>
              <w:rPr>
                <w:rFonts w:ascii="宋体" w:hAnsi="宋体"/>
                <w:color w:val="000000"/>
                <w:sz w:val="22"/>
                <w:szCs w:val="22"/>
                <w:lang w:bidi="ar"/>
              </w:rPr>
              <w:t>项目资金</w:t>
            </w:r>
          </w:p>
          <w:p>
            <w:pPr>
              <w:pageBreakBefore w:val="0"/>
              <w:widowControl/>
              <w:kinsoku/>
              <w:wordWrap/>
              <w:overflowPunct/>
              <w:topLinePunct w:val="0"/>
              <w:autoSpaceDE/>
              <w:autoSpaceDN/>
              <w:bidi w:val="0"/>
              <w:spacing w:line="300" w:lineRule="exact"/>
              <w:jc w:val="center"/>
              <w:textAlignment w:val="center"/>
              <w:outlineLvl w:val="9"/>
              <w:rPr>
                <w:rFonts w:ascii="宋体" w:hAnsi="宋体"/>
                <w:color w:val="000000"/>
                <w:sz w:val="22"/>
                <w:szCs w:val="22"/>
              </w:rPr>
            </w:pPr>
            <w:r>
              <w:rPr>
                <w:rFonts w:ascii="宋体" w:hAnsi="宋体"/>
                <w:color w:val="000000"/>
                <w:sz w:val="22"/>
                <w:szCs w:val="22"/>
                <w:lang w:bidi="ar"/>
              </w:rPr>
              <w:t>（万元）</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 xml:space="preserve">  年度资金总额：</w:t>
            </w:r>
          </w:p>
        </w:tc>
        <w:tc>
          <w:tcPr>
            <w:tcW w:w="6665"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ind w:firstLine="440" w:firstLineChars="200"/>
              <w:jc w:val="left"/>
              <w:outlineLvl w:val="9"/>
              <w:rPr>
                <w:rFonts w:ascii="宋体" w:hAnsi="宋体"/>
                <w:color w:val="000000"/>
                <w:sz w:val="22"/>
                <w:szCs w:val="22"/>
              </w:rPr>
            </w:pPr>
            <w:r>
              <w:rPr>
                <w:rFonts w:hint="eastAsia" w:ascii="宋体" w:hAnsi="宋体"/>
                <w:color w:val="000000"/>
                <w:sz w:val="22"/>
                <w:szCs w:val="22"/>
                <w:lang w:val="en-US" w:eastAsia="zh-CN"/>
              </w:rPr>
              <w:t>5</w:t>
            </w:r>
            <w:r>
              <w:rPr>
                <w:rFonts w:hint="eastAsia" w:ascii="宋体" w:hAnsi="宋体"/>
                <w:color w:val="000000"/>
                <w:sz w:val="22"/>
                <w:szCs w:val="22"/>
              </w:rPr>
              <w:t>.8万元</w:t>
            </w:r>
          </w:p>
        </w:tc>
      </w:tr>
      <w:tr>
        <w:tblPrEx>
          <w:tblCellMar>
            <w:top w:w="15" w:type="dxa"/>
            <w:left w:w="15" w:type="dxa"/>
            <w:bottom w:w="15" w:type="dxa"/>
            <w:right w:w="15" w:type="dxa"/>
          </w:tblCellMar>
        </w:tblPrEx>
        <w:trPr>
          <w:trHeight w:val="340" w:hRule="atLeast"/>
          <w:jc w:val="center"/>
        </w:trPr>
        <w:tc>
          <w:tcPr>
            <w:tcW w:w="130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2"/>
                <w:szCs w:val="22"/>
              </w:rPr>
            </w:pP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 xml:space="preserve">     </w:t>
            </w:r>
            <w:r>
              <w:rPr>
                <w:rFonts w:hint="eastAsia" w:ascii="宋体" w:hAnsi="宋体"/>
                <w:color w:val="000000"/>
                <w:sz w:val="22"/>
                <w:szCs w:val="22"/>
                <w:lang w:bidi="ar"/>
              </w:rPr>
              <w:t xml:space="preserve"> </w:t>
            </w:r>
            <w:r>
              <w:rPr>
                <w:rFonts w:ascii="宋体" w:hAnsi="宋体"/>
                <w:color w:val="000000"/>
                <w:sz w:val="22"/>
                <w:szCs w:val="22"/>
                <w:lang w:bidi="ar"/>
              </w:rPr>
              <w:t>其中：财政拨款</w:t>
            </w:r>
          </w:p>
        </w:tc>
        <w:tc>
          <w:tcPr>
            <w:tcW w:w="6665"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ind w:firstLine="440" w:firstLineChars="200"/>
              <w:jc w:val="left"/>
              <w:outlineLvl w:val="9"/>
              <w:rPr>
                <w:rFonts w:ascii="宋体" w:hAnsi="宋体"/>
                <w:color w:val="000000"/>
                <w:sz w:val="22"/>
                <w:szCs w:val="22"/>
              </w:rPr>
            </w:pPr>
            <w:r>
              <w:rPr>
                <w:rFonts w:hint="eastAsia" w:ascii="宋体" w:hAnsi="宋体"/>
                <w:color w:val="000000"/>
                <w:sz w:val="22"/>
                <w:szCs w:val="22"/>
              </w:rPr>
              <w:t>0.8万元</w:t>
            </w:r>
          </w:p>
        </w:tc>
      </w:tr>
      <w:tr>
        <w:tblPrEx>
          <w:tblCellMar>
            <w:top w:w="15" w:type="dxa"/>
            <w:left w:w="15" w:type="dxa"/>
            <w:bottom w:w="15" w:type="dxa"/>
            <w:right w:w="15" w:type="dxa"/>
          </w:tblCellMar>
        </w:tblPrEx>
        <w:trPr>
          <w:trHeight w:val="340" w:hRule="atLeast"/>
          <w:jc w:val="center"/>
        </w:trPr>
        <w:tc>
          <w:tcPr>
            <w:tcW w:w="130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2"/>
                <w:szCs w:val="22"/>
              </w:rPr>
            </w:pP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 xml:space="preserve">         </w:t>
            </w:r>
            <w:r>
              <w:rPr>
                <w:rFonts w:hint="eastAsia" w:ascii="宋体" w:hAnsi="宋体"/>
                <w:color w:val="000000"/>
                <w:sz w:val="22"/>
                <w:szCs w:val="22"/>
                <w:lang w:val="en-US" w:eastAsia="zh-CN" w:bidi="ar"/>
              </w:rPr>
              <w:t>单位代管</w:t>
            </w:r>
            <w:r>
              <w:rPr>
                <w:rFonts w:ascii="宋体" w:hAnsi="宋体"/>
                <w:color w:val="000000"/>
                <w:sz w:val="22"/>
                <w:szCs w:val="22"/>
                <w:lang w:bidi="ar"/>
              </w:rPr>
              <w:t>资金</w:t>
            </w:r>
          </w:p>
        </w:tc>
        <w:tc>
          <w:tcPr>
            <w:tcW w:w="6665"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ind w:firstLine="440" w:firstLineChars="200"/>
              <w:jc w:val="left"/>
              <w:outlineLvl w:val="9"/>
              <w:rPr>
                <w:rFonts w:hint="eastAsia" w:ascii="宋体" w:hAnsi="宋体"/>
                <w:color w:val="000000"/>
                <w:sz w:val="22"/>
                <w:szCs w:val="22"/>
              </w:rPr>
            </w:pPr>
            <w:r>
              <w:rPr>
                <w:rFonts w:hint="eastAsia" w:ascii="宋体" w:hAnsi="宋体"/>
                <w:color w:val="000000"/>
                <w:sz w:val="22"/>
                <w:szCs w:val="22"/>
                <w:lang w:val="en-US" w:eastAsia="zh-CN"/>
              </w:rPr>
              <w:t>5</w:t>
            </w:r>
            <w:r>
              <w:rPr>
                <w:rFonts w:hint="eastAsia" w:ascii="宋体" w:hAnsi="宋体"/>
                <w:color w:val="000000"/>
                <w:sz w:val="22"/>
                <w:szCs w:val="22"/>
              </w:rPr>
              <w:t>万元</w:t>
            </w:r>
          </w:p>
        </w:tc>
      </w:tr>
      <w:tr>
        <w:tblPrEx>
          <w:tblCellMar>
            <w:top w:w="15" w:type="dxa"/>
            <w:left w:w="15" w:type="dxa"/>
            <w:bottom w:w="15" w:type="dxa"/>
            <w:right w:w="15" w:type="dxa"/>
          </w:tblCellMar>
        </w:tblPrEx>
        <w:trPr>
          <w:trHeight w:val="297"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center"/>
              <w:textAlignment w:val="center"/>
              <w:outlineLvl w:val="9"/>
              <w:rPr>
                <w:rFonts w:ascii="宋体" w:hAnsi="宋体"/>
                <w:color w:val="000000"/>
                <w:sz w:val="22"/>
                <w:szCs w:val="22"/>
              </w:rPr>
            </w:pPr>
            <w:r>
              <w:rPr>
                <w:rFonts w:ascii="宋体" w:hAnsi="宋体"/>
                <w:color w:val="000000"/>
                <w:sz w:val="22"/>
                <w:szCs w:val="22"/>
                <w:lang w:bidi="ar"/>
              </w:rPr>
              <w:t>总体 目标</w:t>
            </w:r>
          </w:p>
        </w:tc>
        <w:tc>
          <w:tcPr>
            <w:tcW w:w="9800" w:type="dxa"/>
            <w:gridSpan w:val="6"/>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center"/>
              <w:textAlignment w:val="center"/>
              <w:outlineLvl w:val="9"/>
              <w:rPr>
                <w:rFonts w:ascii="宋体" w:hAnsi="宋体"/>
                <w:color w:val="000000"/>
                <w:sz w:val="22"/>
                <w:szCs w:val="22"/>
              </w:rPr>
            </w:pPr>
            <w:r>
              <w:rPr>
                <w:rFonts w:ascii="宋体" w:hAnsi="宋体"/>
                <w:color w:val="000000"/>
                <w:sz w:val="22"/>
                <w:szCs w:val="22"/>
                <w:lang w:bidi="ar"/>
              </w:rPr>
              <w:t>年度目标</w:t>
            </w:r>
          </w:p>
        </w:tc>
      </w:tr>
      <w:tr>
        <w:tblPrEx>
          <w:tblCellMar>
            <w:top w:w="15" w:type="dxa"/>
            <w:left w:w="15" w:type="dxa"/>
            <w:bottom w:w="15" w:type="dxa"/>
            <w:right w:w="15" w:type="dxa"/>
          </w:tblCellMar>
        </w:tblPrEx>
        <w:trPr>
          <w:trHeight w:val="48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2"/>
                <w:szCs w:val="22"/>
              </w:rPr>
            </w:pPr>
          </w:p>
        </w:tc>
        <w:tc>
          <w:tcPr>
            <w:tcW w:w="9800" w:type="dxa"/>
            <w:gridSpan w:val="6"/>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ind w:firstLine="440" w:firstLineChars="200"/>
              <w:outlineLvl w:val="9"/>
              <w:rPr>
                <w:rFonts w:hint="eastAsia" w:ascii="宋体" w:hAnsi="宋体"/>
                <w:color w:val="000000"/>
                <w:sz w:val="22"/>
                <w:szCs w:val="22"/>
              </w:rPr>
            </w:pPr>
            <w:r>
              <w:rPr>
                <w:rFonts w:hint="eastAsia" w:ascii="宋体" w:hAnsi="宋体"/>
                <w:color w:val="000000"/>
                <w:sz w:val="22"/>
                <w:szCs w:val="22"/>
              </w:rPr>
              <w:t>新建2个童伴之家，为留守儿童提供优质的教育资源、学习资源，促进其全面发展。</w:t>
            </w:r>
          </w:p>
        </w:tc>
      </w:tr>
    </w:tbl>
    <w:tbl>
      <w:tblPr>
        <w:tblStyle w:val="26"/>
        <w:tblpPr w:leftFromText="180" w:rightFromText="180" w:vertAnchor="text" w:horzAnchor="page" w:tblpXSpec="center" w:tblpY="265"/>
        <w:tblOverlap w:val="never"/>
        <w:tblW w:w="9646" w:type="dxa"/>
        <w:tblInd w:w="0" w:type="dxa"/>
        <w:tblLayout w:type="fixed"/>
        <w:tblCellMar>
          <w:top w:w="0" w:type="dxa"/>
          <w:left w:w="108" w:type="dxa"/>
          <w:bottom w:w="0" w:type="dxa"/>
          <w:right w:w="108" w:type="dxa"/>
        </w:tblCellMar>
      </w:tblPr>
      <w:tblGrid>
        <w:gridCol w:w="520"/>
        <w:gridCol w:w="1147"/>
        <w:gridCol w:w="1905"/>
        <w:gridCol w:w="3210"/>
        <w:gridCol w:w="735"/>
        <w:gridCol w:w="735"/>
        <w:gridCol w:w="675"/>
        <w:gridCol w:w="719"/>
      </w:tblGrid>
      <w:tr>
        <w:tblPrEx>
          <w:tblCellMar>
            <w:top w:w="0" w:type="dxa"/>
            <w:left w:w="108" w:type="dxa"/>
            <w:bottom w:w="0" w:type="dxa"/>
            <w:right w:w="108" w:type="dxa"/>
          </w:tblCellMar>
        </w:tblPrEx>
        <w:trPr>
          <w:trHeight w:val="399" w:hRule="atLeast"/>
        </w:trPr>
        <w:tc>
          <w:tcPr>
            <w:tcW w:w="520" w:type="dxa"/>
            <w:vMerge w:val="restart"/>
            <w:tcBorders>
              <w:top w:val="single" w:color="000000" w:sz="4" w:space="0"/>
              <w:left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22"/>
                <w:szCs w:val="22"/>
                <w:lang w:bidi="ar"/>
              </w:rPr>
            </w:pPr>
            <w:r>
              <w:rPr>
                <w:rFonts w:hint="eastAsia" w:ascii="宋体" w:hAnsi="宋体"/>
                <w:b/>
                <w:bCs/>
                <w:color w:val="000000"/>
                <w:sz w:val="22"/>
                <w:szCs w:val="22"/>
                <w:lang w:bidi="ar"/>
              </w:rPr>
              <w:t>绩效 指标</w:t>
            </w:r>
          </w:p>
        </w:tc>
        <w:tc>
          <w:tcPr>
            <w:tcW w:w="1147"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20"/>
                <w:szCs w:val="20"/>
              </w:rPr>
            </w:pPr>
            <w:r>
              <w:rPr>
                <w:rFonts w:hint="eastAsia" w:ascii="宋体" w:hAnsi="宋体"/>
                <w:b/>
                <w:bCs/>
                <w:color w:val="000000"/>
                <w:sz w:val="20"/>
                <w:szCs w:val="20"/>
                <w:lang w:bidi="ar"/>
              </w:rPr>
              <w:t>一级指标</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20"/>
                <w:szCs w:val="20"/>
              </w:rPr>
            </w:pPr>
            <w:r>
              <w:rPr>
                <w:rFonts w:hint="eastAsia" w:ascii="宋体" w:hAnsi="宋体"/>
                <w:b/>
                <w:bCs/>
                <w:color w:val="000000"/>
                <w:sz w:val="20"/>
                <w:szCs w:val="20"/>
                <w:lang w:bidi="ar"/>
              </w:rPr>
              <w:t>二级指标</w:t>
            </w:r>
          </w:p>
        </w:tc>
        <w:tc>
          <w:tcPr>
            <w:tcW w:w="321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20"/>
                <w:szCs w:val="20"/>
              </w:rPr>
            </w:pPr>
            <w:r>
              <w:rPr>
                <w:rFonts w:hint="eastAsia" w:ascii="宋体" w:hAnsi="宋体"/>
                <w:b/>
                <w:bCs/>
                <w:color w:val="000000"/>
                <w:sz w:val="20"/>
                <w:szCs w:val="20"/>
                <w:lang w:bidi="ar"/>
              </w:rPr>
              <w:t>三级指标</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20"/>
                <w:szCs w:val="20"/>
              </w:rPr>
            </w:pPr>
            <w:r>
              <w:rPr>
                <w:rFonts w:hint="eastAsia" w:ascii="宋体" w:hAnsi="宋体"/>
                <w:b/>
                <w:bCs/>
                <w:color w:val="000000"/>
                <w:sz w:val="20"/>
                <w:szCs w:val="20"/>
                <w:lang w:bidi="ar"/>
              </w:rPr>
              <w:t>指标性质</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20"/>
                <w:szCs w:val="20"/>
              </w:rPr>
            </w:pPr>
            <w:r>
              <w:rPr>
                <w:rFonts w:hint="eastAsia" w:ascii="宋体" w:hAnsi="宋体"/>
                <w:b/>
                <w:bCs/>
                <w:color w:val="000000"/>
                <w:sz w:val="20"/>
                <w:szCs w:val="20"/>
                <w:lang w:bidi="ar"/>
              </w:rPr>
              <w:t>指标值</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20"/>
                <w:szCs w:val="20"/>
              </w:rPr>
            </w:pPr>
            <w:r>
              <w:rPr>
                <w:rFonts w:hint="eastAsia" w:ascii="宋体" w:hAnsi="宋体"/>
                <w:b/>
                <w:bCs/>
                <w:color w:val="000000"/>
                <w:sz w:val="20"/>
                <w:szCs w:val="20"/>
                <w:lang w:bidi="ar"/>
              </w:rPr>
              <w:t>度量单位</w:t>
            </w:r>
          </w:p>
        </w:tc>
        <w:tc>
          <w:tcPr>
            <w:tcW w:w="7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20"/>
                <w:szCs w:val="20"/>
              </w:rPr>
            </w:pPr>
            <w:r>
              <w:rPr>
                <w:rFonts w:hint="eastAsia" w:ascii="宋体" w:hAnsi="宋体"/>
                <w:b/>
                <w:bCs/>
                <w:color w:val="000000"/>
                <w:sz w:val="20"/>
                <w:szCs w:val="20"/>
                <w:lang w:bidi="ar"/>
              </w:rPr>
              <w:t>权重（%）</w:t>
            </w:r>
          </w:p>
        </w:tc>
      </w:tr>
      <w:tr>
        <w:tblPrEx>
          <w:tblCellMar>
            <w:top w:w="0" w:type="dxa"/>
            <w:left w:w="108" w:type="dxa"/>
            <w:bottom w:w="0" w:type="dxa"/>
            <w:right w:w="108" w:type="dxa"/>
          </w:tblCellMar>
        </w:tblPrEx>
        <w:trPr>
          <w:trHeight w:val="426" w:hRule="atLeast"/>
        </w:trPr>
        <w:tc>
          <w:tcPr>
            <w:tcW w:w="520" w:type="dxa"/>
            <w:vMerge w:val="continue"/>
            <w:tcBorders>
              <w:left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lang w:bidi="ar"/>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产出指标</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both"/>
              <w:textAlignment w:val="center"/>
              <w:outlineLvl w:val="9"/>
              <w:rPr>
                <w:rFonts w:hint="eastAsia" w:ascii="宋体" w:hAnsi="宋体"/>
                <w:color w:val="000000"/>
                <w:sz w:val="22"/>
                <w:szCs w:val="22"/>
              </w:rPr>
            </w:pPr>
            <w:r>
              <w:rPr>
                <w:rFonts w:hint="eastAsia" w:ascii="宋体" w:hAnsi="宋体"/>
                <w:color w:val="000000"/>
                <w:sz w:val="22"/>
                <w:szCs w:val="22"/>
                <w:lang w:bidi="ar"/>
              </w:rPr>
              <w:t>数量指标</w:t>
            </w:r>
          </w:p>
        </w:tc>
        <w:tc>
          <w:tcPr>
            <w:tcW w:w="321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0"/>
                <w:szCs w:val="20"/>
              </w:rPr>
            </w:pPr>
            <w:r>
              <w:rPr>
                <w:rFonts w:hint="eastAsia" w:ascii="宋体" w:hAnsi="宋体"/>
                <w:color w:val="000000"/>
                <w:sz w:val="20"/>
                <w:szCs w:val="20"/>
                <w:lang w:bidi="ar"/>
              </w:rPr>
              <w:t>新建2个童伴之家</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2</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个</w:t>
            </w:r>
          </w:p>
        </w:tc>
        <w:tc>
          <w:tcPr>
            <w:tcW w:w="7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10</w:t>
            </w:r>
          </w:p>
        </w:tc>
      </w:tr>
      <w:tr>
        <w:tblPrEx>
          <w:tblCellMar>
            <w:top w:w="0" w:type="dxa"/>
            <w:left w:w="108" w:type="dxa"/>
            <w:bottom w:w="0" w:type="dxa"/>
            <w:right w:w="108" w:type="dxa"/>
          </w:tblCellMar>
        </w:tblPrEx>
        <w:trPr>
          <w:trHeight w:val="401" w:hRule="atLeast"/>
        </w:trPr>
        <w:tc>
          <w:tcPr>
            <w:tcW w:w="520" w:type="dxa"/>
            <w:vMerge w:val="continue"/>
            <w:tcBorders>
              <w:left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lang w:bidi="ar"/>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lang w:bidi="ar"/>
              </w:rPr>
            </w:pPr>
            <w:r>
              <w:rPr>
                <w:rFonts w:hint="eastAsia" w:ascii="宋体" w:hAnsi="宋体"/>
                <w:color w:val="000000"/>
                <w:sz w:val="22"/>
                <w:szCs w:val="22"/>
                <w:lang w:bidi="ar"/>
              </w:rPr>
              <w:t>产出指标</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both"/>
              <w:textAlignment w:val="center"/>
              <w:outlineLvl w:val="9"/>
              <w:rPr>
                <w:rFonts w:hint="eastAsia" w:ascii="宋体" w:hAnsi="宋体"/>
                <w:color w:val="000000"/>
                <w:sz w:val="22"/>
                <w:szCs w:val="22"/>
                <w:lang w:bidi="ar"/>
              </w:rPr>
            </w:pPr>
            <w:r>
              <w:rPr>
                <w:rFonts w:hint="eastAsia" w:ascii="宋体" w:hAnsi="宋体"/>
                <w:color w:val="000000"/>
                <w:sz w:val="22"/>
                <w:szCs w:val="22"/>
                <w:lang w:bidi="ar"/>
              </w:rPr>
              <w:t>数量指标</w:t>
            </w:r>
          </w:p>
        </w:tc>
        <w:tc>
          <w:tcPr>
            <w:tcW w:w="321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0"/>
                <w:szCs w:val="20"/>
                <w:lang w:bidi="ar"/>
              </w:rPr>
            </w:pPr>
            <w:r>
              <w:rPr>
                <w:rFonts w:hint="eastAsia" w:ascii="宋体" w:hAnsi="宋体"/>
                <w:color w:val="000000"/>
                <w:sz w:val="20"/>
                <w:szCs w:val="20"/>
                <w:lang w:bidi="ar"/>
              </w:rPr>
              <w:t>聘请童伴妈妈授课人数</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lang w:bidi="ar"/>
              </w:rPr>
            </w:pPr>
            <w:r>
              <w:rPr>
                <w:rFonts w:hint="eastAsia" w:ascii="宋体" w:hAnsi="宋体"/>
                <w:color w:val="000000"/>
                <w:sz w:val="22"/>
                <w:szCs w:val="22"/>
                <w:lang w:bidi="ar"/>
              </w:rPr>
              <w:t>≥</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lang w:bidi="ar"/>
              </w:rPr>
            </w:pPr>
            <w:r>
              <w:rPr>
                <w:rFonts w:hint="eastAsia" w:ascii="宋体" w:hAnsi="宋体"/>
                <w:color w:val="000000"/>
                <w:sz w:val="22"/>
                <w:szCs w:val="22"/>
                <w:lang w:bidi="ar"/>
              </w:rPr>
              <w:t>5</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lang w:bidi="ar"/>
              </w:rPr>
            </w:pPr>
            <w:r>
              <w:rPr>
                <w:rFonts w:hint="eastAsia" w:ascii="宋体" w:hAnsi="宋体"/>
                <w:color w:val="000000"/>
                <w:sz w:val="22"/>
                <w:szCs w:val="22"/>
                <w:lang w:bidi="ar"/>
              </w:rPr>
              <w:t>人</w:t>
            </w:r>
          </w:p>
        </w:tc>
        <w:tc>
          <w:tcPr>
            <w:tcW w:w="7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lang w:bidi="ar"/>
              </w:rPr>
            </w:pPr>
            <w:r>
              <w:rPr>
                <w:rFonts w:hint="eastAsia" w:ascii="宋体" w:hAnsi="宋体"/>
                <w:color w:val="000000"/>
                <w:sz w:val="22"/>
                <w:szCs w:val="22"/>
                <w:lang w:bidi="ar"/>
              </w:rPr>
              <w:t>10</w:t>
            </w:r>
          </w:p>
        </w:tc>
      </w:tr>
      <w:tr>
        <w:tblPrEx>
          <w:tblCellMar>
            <w:top w:w="0" w:type="dxa"/>
            <w:left w:w="108" w:type="dxa"/>
            <w:bottom w:w="0" w:type="dxa"/>
            <w:right w:w="108" w:type="dxa"/>
          </w:tblCellMar>
        </w:tblPrEx>
        <w:trPr>
          <w:trHeight w:val="240" w:hRule="atLeast"/>
        </w:trPr>
        <w:tc>
          <w:tcPr>
            <w:tcW w:w="520" w:type="dxa"/>
            <w:vMerge w:val="continue"/>
            <w:tcBorders>
              <w:left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lang w:bidi="ar"/>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产出指标</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both"/>
              <w:textAlignment w:val="center"/>
              <w:outlineLvl w:val="9"/>
              <w:rPr>
                <w:rFonts w:hint="eastAsia" w:ascii="宋体" w:hAnsi="宋体"/>
                <w:color w:val="000000"/>
                <w:sz w:val="22"/>
                <w:szCs w:val="22"/>
              </w:rPr>
            </w:pPr>
            <w:r>
              <w:rPr>
                <w:rFonts w:hint="eastAsia" w:ascii="宋体" w:hAnsi="宋体"/>
                <w:color w:val="000000"/>
                <w:sz w:val="22"/>
                <w:szCs w:val="22"/>
                <w:lang w:bidi="ar"/>
              </w:rPr>
              <w:t>数量指标</w:t>
            </w:r>
          </w:p>
        </w:tc>
        <w:tc>
          <w:tcPr>
            <w:tcW w:w="321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0"/>
                <w:szCs w:val="20"/>
              </w:rPr>
            </w:pPr>
            <w:r>
              <w:rPr>
                <w:rFonts w:hint="eastAsia" w:ascii="宋体" w:hAnsi="宋体"/>
                <w:color w:val="000000"/>
                <w:sz w:val="20"/>
                <w:szCs w:val="20"/>
                <w:lang w:bidi="ar"/>
              </w:rPr>
              <w:t>开展活动次数</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40</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次</w:t>
            </w:r>
          </w:p>
        </w:tc>
        <w:tc>
          <w:tcPr>
            <w:tcW w:w="7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10</w:t>
            </w:r>
          </w:p>
        </w:tc>
      </w:tr>
      <w:tr>
        <w:tblPrEx>
          <w:tblCellMar>
            <w:top w:w="0" w:type="dxa"/>
            <w:left w:w="108" w:type="dxa"/>
            <w:bottom w:w="0" w:type="dxa"/>
            <w:right w:w="108" w:type="dxa"/>
          </w:tblCellMar>
        </w:tblPrEx>
        <w:trPr>
          <w:trHeight w:val="240" w:hRule="atLeast"/>
        </w:trPr>
        <w:tc>
          <w:tcPr>
            <w:tcW w:w="520" w:type="dxa"/>
            <w:vMerge w:val="continue"/>
            <w:tcBorders>
              <w:left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lang w:bidi="ar"/>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产出指标</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tabs>
                <w:tab w:val="left" w:pos="372"/>
                <w:tab w:val="center" w:pos="904"/>
              </w:tabs>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时效指标</w:t>
            </w:r>
          </w:p>
        </w:tc>
        <w:tc>
          <w:tcPr>
            <w:tcW w:w="321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0"/>
                <w:szCs w:val="20"/>
              </w:rPr>
            </w:pPr>
            <w:r>
              <w:rPr>
                <w:rFonts w:hint="eastAsia" w:ascii="宋体" w:hAnsi="宋体"/>
                <w:color w:val="000000"/>
                <w:sz w:val="20"/>
                <w:szCs w:val="20"/>
                <w:lang w:bidi="ar"/>
              </w:rPr>
              <w:t>新建完成时间</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定性</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12</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rPr>
              <w:t>月</w:t>
            </w:r>
          </w:p>
        </w:tc>
        <w:tc>
          <w:tcPr>
            <w:tcW w:w="7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10</w:t>
            </w:r>
          </w:p>
        </w:tc>
      </w:tr>
      <w:tr>
        <w:tblPrEx>
          <w:tblCellMar>
            <w:top w:w="0" w:type="dxa"/>
            <w:left w:w="108" w:type="dxa"/>
            <w:bottom w:w="0" w:type="dxa"/>
            <w:right w:w="108" w:type="dxa"/>
          </w:tblCellMar>
        </w:tblPrEx>
        <w:trPr>
          <w:trHeight w:val="240" w:hRule="atLeast"/>
        </w:trPr>
        <w:tc>
          <w:tcPr>
            <w:tcW w:w="520" w:type="dxa"/>
            <w:vMerge w:val="continue"/>
            <w:tcBorders>
              <w:left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lang w:bidi="ar"/>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效益指标</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both"/>
              <w:textAlignment w:val="center"/>
              <w:outlineLvl w:val="9"/>
              <w:rPr>
                <w:rFonts w:hint="eastAsia" w:ascii="宋体" w:hAnsi="宋体"/>
                <w:color w:val="000000"/>
                <w:sz w:val="22"/>
                <w:szCs w:val="22"/>
              </w:rPr>
            </w:pPr>
            <w:r>
              <w:rPr>
                <w:rFonts w:hint="eastAsia" w:ascii="宋体" w:hAnsi="宋体"/>
                <w:color w:val="000000"/>
                <w:sz w:val="22"/>
                <w:szCs w:val="22"/>
                <w:lang w:bidi="ar"/>
              </w:rPr>
              <w:t>社会效益指标</w:t>
            </w:r>
          </w:p>
        </w:tc>
        <w:tc>
          <w:tcPr>
            <w:tcW w:w="321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0"/>
                <w:szCs w:val="20"/>
              </w:rPr>
            </w:pPr>
            <w:r>
              <w:rPr>
                <w:rFonts w:hint="eastAsia" w:ascii="宋体" w:hAnsi="宋体"/>
                <w:color w:val="000000"/>
                <w:sz w:val="20"/>
                <w:szCs w:val="20"/>
                <w:lang w:bidi="ar"/>
              </w:rPr>
              <w:t>通过建设打造童伴之家,关心关爱更多留守儿童</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定性</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好坏</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p>
        </w:tc>
        <w:tc>
          <w:tcPr>
            <w:tcW w:w="7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10</w:t>
            </w:r>
          </w:p>
        </w:tc>
      </w:tr>
      <w:tr>
        <w:tblPrEx>
          <w:tblCellMar>
            <w:top w:w="0" w:type="dxa"/>
            <w:left w:w="108" w:type="dxa"/>
            <w:bottom w:w="0" w:type="dxa"/>
            <w:right w:w="108" w:type="dxa"/>
          </w:tblCellMar>
        </w:tblPrEx>
        <w:trPr>
          <w:trHeight w:val="240" w:hRule="atLeast"/>
        </w:trPr>
        <w:tc>
          <w:tcPr>
            <w:tcW w:w="520" w:type="dxa"/>
            <w:vMerge w:val="continue"/>
            <w:tcBorders>
              <w:left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lang w:bidi="ar"/>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效益指标</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both"/>
              <w:textAlignment w:val="center"/>
              <w:outlineLvl w:val="9"/>
              <w:rPr>
                <w:rFonts w:hint="eastAsia" w:ascii="宋体" w:hAnsi="宋体"/>
                <w:color w:val="000000"/>
                <w:sz w:val="22"/>
                <w:szCs w:val="22"/>
              </w:rPr>
            </w:pPr>
            <w:r>
              <w:rPr>
                <w:rFonts w:hint="eastAsia" w:ascii="宋体" w:hAnsi="宋体"/>
                <w:color w:val="000000"/>
                <w:sz w:val="22"/>
                <w:szCs w:val="22"/>
                <w:lang w:bidi="ar"/>
              </w:rPr>
              <w:t>社会效益指标</w:t>
            </w:r>
          </w:p>
        </w:tc>
        <w:tc>
          <w:tcPr>
            <w:tcW w:w="321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0"/>
                <w:szCs w:val="20"/>
              </w:rPr>
            </w:pPr>
            <w:r>
              <w:rPr>
                <w:rFonts w:hint="eastAsia" w:ascii="宋体" w:hAnsi="宋体"/>
                <w:color w:val="000000"/>
                <w:sz w:val="20"/>
                <w:szCs w:val="20"/>
                <w:lang w:bidi="ar"/>
              </w:rPr>
              <w:t>就地就近开展课余活动,关心关爱留守儿童</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定性</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好坏</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p>
        </w:tc>
        <w:tc>
          <w:tcPr>
            <w:tcW w:w="7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25</w:t>
            </w:r>
          </w:p>
        </w:tc>
      </w:tr>
      <w:tr>
        <w:tblPrEx>
          <w:tblCellMar>
            <w:top w:w="0" w:type="dxa"/>
            <w:left w:w="108" w:type="dxa"/>
            <w:bottom w:w="0" w:type="dxa"/>
            <w:right w:w="108" w:type="dxa"/>
          </w:tblCellMar>
        </w:tblPrEx>
        <w:trPr>
          <w:trHeight w:val="240" w:hRule="atLeast"/>
        </w:trPr>
        <w:tc>
          <w:tcPr>
            <w:tcW w:w="520" w:type="dxa"/>
            <w:vMerge w:val="continue"/>
            <w:tcBorders>
              <w:left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lang w:bidi="ar"/>
              </w:rPr>
            </w:pPr>
          </w:p>
        </w:tc>
        <w:tc>
          <w:tcPr>
            <w:tcW w:w="1147"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效益指标</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both"/>
              <w:textAlignment w:val="center"/>
              <w:outlineLvl w:val="9"/>
              <w:rPr>
                <w:rFonts w:hint="eastAsia" w:ascii="宋体" w:hAnsi="宋体"/>
                <w:color w:val="000000"/>
                <w:sz w:val="22"/>
                <w:szCs w:val="22"/>
              </w:rPr>
            </w:pPr>
            <w:r>
              <w:rPr>
                <w:rFonts w:hint="eastAsia" w:ascii="宋体" w:hAnsi="宋体"/>
                <w:color w:val="000000"/>
                <w:sz w:val="22"/>
                <w:szCs w:val="22"/>
                <w:lang w:bidi="ar"/>
              </w:rPr>
              <w:t>可持续影响指标</w:t>
            </w:r>
          </w:p>
        </w:tc>
        <w:tc>
          <w:tcPr>
            <w:tcW w:w="321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0"/>
                <w:szCs w:val="20"/>
                <w:lang w:bidi="ar"/>
              </w:rPr>
            </w:pPr>
            <w:r>
              <w:rPr>
                <w:rFonts w:hint="eastAsia" w:ascii="宋体" w:hAnsi="宋体"/>
                <w:color w:val="000000"/>
                <w:sz w:val="20"/>
                <w:szCs w:val="20"/>
                <w:lang w:bidi="ar"/>
              </w:rPr>
              <w:t>进一步扩大关爱留守儿童的覆盖面</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lang w:bidi="ar"/>
              </w:rPr>
            </w:pPr>
            <w:r>
              <w:rPr>
                <w:rFonts w:hint="eastAsia" w:ascii="宋体" w:hAnsi="宋体"/>
                <w:color w:val="000000"/>
                <w:sz w:val="21"/>
                <w:szCs w:val="21"/>
                <w:lang w:bidi="ar"/>
              </w:rPr>
              <w:t>定性</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lang w:bidi="ar"/>
              </w:rPr>
            </w:pPr>
            <w:r>
              <w:rPr>
                <w:rFonts w:hint="eastAsia" w:ascii="宋体" w:hAnsi="宋体"/>
                <w:color w:val="000000"/>
                <w:sz w:val="21"/>
                <w:szCs w:val="21"/>
                <w:lang w:bidi="ar"/>
              </w:rPr>
              <w:t>皓</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lang w:bidi="ar"/>
              </w:rPr>
            </w:pPr>
          </w:p>
        </w:tc>
        <w:tc>
          <w:tcPr>
            <w:tcW w:w="7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lang w:bidi="ar"/>
              </w:rPr>
            </w:pPr>
            <w:r>
              <w:rPr>
                <w:rFonts w:hint="eastAsia" w:ascii="宋体" w:hAnsi="宋体"/>
                <w:color w:val="000000"/>
                <w:sz w:val="22"/>
                <w:szCs w:val="22"/>
                <w:lang w:bidi="ar"/>
              </w:rPr>
              <w:t>10</w:t>
            </w:r>
          </w:p>
        </w:tc>
      </w:tr>
      <w:tr>
        <w:tblPrEx>
          <w:tblCellMar>
            <w:top w:w="0" w:type="dxa"/>
            <w:left w:w="108" w:type="dxa"/>
            <w:bottom w:w="0" w:type="dxa"/>
            <w:right w:w="108" w:type="dxa"/>
          </w:tblCellMar>
        </w:tblPrEx>
        <w:trPr>
          <w:trHeight w:val="240" w:hRule="atLeast"/>
        </w:trPr>
        <w:tc>
          <w:tcPr>
            <w:tcW w:w="520" w:type="dxa"/>
            <w:vMerge w:val="continue"/>
            <w:tcBorders>
              <w:left w:val="single" w:color="000000" w:sz="4" w:space="0"/>
              <w:bottom w:val="single" w:color="auto"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lang w:bidi="ar"/>
              </w:rPr>
            </w:pPr>
          </w:p>
        </w:tc>
        <w:tc>
          <w:tcPr>
            <w:tcW w:w="1147" w:type="dxa"/>
            <w:tcBorders>
              <w:top w:val="single" w:color="000000" w:sz="4" w:space="0"/>
              <w:left w:val="single" w:color="000000" w:sz="4" w:space="0"/>
              <w:bottom w:val="single" w:color="auto"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满意度指标</w:t>
            </w:r>
          </w:p>
        </w:tc>
        <w:tc>
          <w:tcPr>
            <w:tcW w:w="190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both"/>
              <w:textAlignment w:val="center"/>
              <w:outlineLvl w:val="9"/>
              <w:rPr>
                <w:rFonts w:hint="eastAsia" w:ascii="宋体" w:hAnsi="宋体"/>
                <w:color w:val="000000"/>
                <w:sz w:val="22"/>
                <w:szCs w:val="22"/>
              </w:rPr>
            </w:pPr>
            <w:r>
              <w:rPr>
                <w:rFonts w:hint="eastAsia" w:ascii="宋体" w:hAnsi="宋体"/>
                <w:color w:val="000000"/>
                <w:sz w:val="22"/>
                <w:szCs w:val="22"/>
                <w:lang w:bidi="ar"/>
              </w:rPr>
              <w:t>服务对象满意度指标</w:t>
            </w:r>
          </w:p>
        </w:tc>
        <w:tc>
          <w:tcPr>
            <w:tcW w:w="321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0"/>
                <w:szCs w:val="20"/>
              </w:rPr>
            </w:pPr>
            <w:r>
              <w:rPr>
                <w:rFonts w:hint="eastAsia" w:ascii="宋体" w:hAnsi="宋体"/>
                <w:color w:val="000000"/>
                <w:sz w:val="20"/>
                <w:szCs w:val="20"/>
                <w:lang w:bidi="ar"/>
              </w:rPr>
              <w:t>受益区域留守儿童对项目实施的满意度</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100</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w:t>
            </w:r>
          </w:p>
        </w:tc>
        <w:tc>
          <w:tcPr>
            <w:tcW w:w="719"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2"/>
                <w:szCs w:val="22"/>
              </w:rPr>
            </w:pPr>
            <w:r>
              <w:rPr>
                <w:rFonts w:hint="eastAsia" w:ascii="宋体" w:hAnsi="宋体"/>
                <w:color w:val="000000"/>
                <w:sz w:val="22"/>
                <w:szCs w:val="22"/>
                <w:lang w:bidi="ar"/>
              </w:rPr>
              <w:t>15</w:t>
            </w:r>
          </w:p>
        </w:tc>
      </w:tr>
    </w:tbl>
    <w:p>
      <w:pPr>
        <w:pageBreakBefore w:val="0"/>
        <w:kinsoku/>
        <w:wordWrap/>
        <w:overflowPunct/>
        <w:topLinePunct w:val="0"/>
        <w:autoSpaceDE/>
        <w:autoSpaceDN/>
        <w:bidi w:val="0"/>
        <w:spacing w:line="560" w:lineRule="exact"/>
        <w:jc w:val="both"/>
        <w:outlineLvl w:val="9"/>
        <w:rPr>
          <w:rFonts w:hint="eastAsia" w:ascii="黑体" w:hAnsi="黑体" w:eastAsia="黑体" w:cs="黑体"/>
          <w:kern w:val="2"/>
          <w:sz w:val="30"/>
          <w:szCs w:val="30"/>
          <w:lang w:val="en-US" w:eastAsia="zh-CN"/>
        </w:rPr>
      </w:pPr>
      <w:r>
        <w:rPr>
          <w:rFonts w:hint="eastAsia" w:ascii="黑体" w:hAnsi="黑体" w:eastAsia="黑体" w:cs="黑体"/>
          <w:kern w:val="2"/>
          <w:sz w:val="30"/>
          <w:szCs w:val="30"/>
          <w:lang w:eastAsia="zh-CN"/>
        </w:rPr>
        <w:t>附件</w:t>
      </w:r>
      <w:r>
        <w:rPr>
          <w:rFonts w:hint="eastAsia" w:ascii="黑体" w:hAnsi="黑体" w:eastAsia="黑体" w:cs="黑体"/>
          <w:kern w:val="2"/>
          <w:sz w:val="30"/>
          <w:szCs w:val="30"/>
          <w:lang w:val="en-US" w:eastAsia="zh-CN"/>
        </w:rPr>
        <w:t>3：</w:t>
      </w:r>
    </w:p>
    <w:p>
      <w:pPr>
        <w:pageBreakBefore w:val="0"/>
        <w:kinsoku/>
        <w:wordWrap/>
        <w:overflowPunct/>
        <w:topLinePunct w:val="0"/>
        <w:autoSpaceDE/>
        <w:autoSpaceDN/>
        <w:bidi w:val="0"/>
        <w:spacing w:line="560" w:lineRule="exact"/>
        <w:ind w:firstLine="880" w:firstLineChars="200"/>
        <w:jc w:val="center"/>
        <w:outlineLvl w:val="9"/>
        <w:rPr>
          <w:rFonts w:hint="eastAsia" w:ascii="方正黑体_GBK" w:eastAsia="方正黑体_GBK" w:cs="Times New Roman"/>
          <w:kern w:val="2"/>
          <w:sz w:val="44"/>
          <w:szCs w:val="44"/>
          <w:u w:val="none"/>
        </w:rPr>
      </w:pPr>
      <w:r>
        <w:rPr>
          <w:rFonts w:hint="eastAsia" w:ascii="方正黑体_GBK" w:eastAsia="方正黑体_GBK" w:cs="Times New Roman"/>
          <w:kern w:val="2"/>
          <w:sz w:val="44"/>
          <w:szCs w:val="44"/>
          <w:u w:val="none"/>
        </w:rPr>
        <w:t>共青团茂县委员会</w:t>
      </w:r>
    </w:p>
    <w:p>
      <w:pPr>
        <w:pageBreakBefore w:val="0"/>
        <w:kinsoku/>
        <w:wordWrap/>
        <w:overflowPunct/>
        <w:topLinePunct w:val="0"/>
        <w:autoSpaceDE/>
        <w:autoSpaceDN/>
        <w:bidi w:val="0"/>
        <w:spacing w:line="560" w:lineRule="exact"/>
        <w:ind w:firstLine="880" w:firstLineChars="200"/>
        <w:jc w:val="center"/>
        <w:outlineLvl w:val="9"/>
        <w:rPr>
          <w:rFonts w:hint="eastAsia" w:ascii="方正黑体_GBK" w:eastAsia="方正黑体_GBK" w:cs="Times New Roman"/>
          <w:kern w:val="2"/>
          <w:sz w:val="44"/>
          <w:szCs w:val="44"/>
        </w:rPr>
      </w:pPr>
      <w:r>
        <w:rPr>
          <w:rFonts w:hint="eastAsia" w:ascii="方正小标宋简体" w:hAnsi="方正小标宋简体" w:eastAsia="方正小标宋简体" w:cs="方正小标宋简体"/>
          <w:kern w:val="2"/>
          <w:sz w:val="44"/>
          <w:szCs w:val="44"/>
        </w:rPr>
        <w:t>专项预算项目绩效评价报告</w:t>
      </w:r>
    </w:p>
    <w:p>
      <w:pPr>
        <w:pageBreakBefore w:val="0"/>
        <w:kinsoku/>
        <w:wordWrap/>
        <w:overflowPunct/>
        <w:topLinePunct w:val="0"/>
        <w:autoSpaceDE/>
        <w:autoSpaceDN/>
        <w:bidi w:val="0"/>
        <w:adjustRightInd w:val="0"/>
        <w:snapToGrid w:val="0"/>
        <w:spacing w:line="578" w:lineRule="exact"/>
        <w:ind w:firstLine="643" w:firstLineChars="200"/>
        <w:outlineLvl w:val="9"/>
        <w:rPr>
          <w:rFonts w:hint="eastAsia" w:ascii="黑体" w:hAnsi="宋体" w:eastAsia="黑体"/>
          <w:b/>
          <w:bCs/>
          <w:sz w:val="32"/>
          <w:szCs w:val="40"/>
        </w:rPr>
      </w:pPr>
    </w:p>
    <w:p>
      <w:pPr>
        <w:pageBreakBefore w:val="0"/>
        <w:kinsoku/>
        <w:wordWrap/>
        <w:overflowPunct/>
        <w:topLinePunct w:val="0"/>
        <w:autoSpaceDE/>
        <w:autoSpaceDN/>
        <w:bidi w:val="0"/>
        <w:adjustRightInd w:val="0"/>
        <w:snapToGrid w:val="0"/>
        <w:spacing w:line="578" w:lineRule="exact"/>
        <w:ind w:firstLine="643" w:firstLineChars="200"/>
        <w:outlineLvl w:val="9"/>
        <w:rPr>
          <w:rFonts w:ascii="黑体" w:hAnsi="宋体" w:eastAsia="黑体"/>
          <w:b/>
          <w:bCs/>
          <w:sz w:val="32"/>
          <w:szCs w:val="40"/>
          <w:lang w:val="zh-CN"/>
        </w:rPr>
      </w:pPr>
      <w:r>
        <w:rPr>
          <w:rFonts w:hint="eastAsia" w:ascii="黑体" w:hAnsi="宋体" w:eastAsia="黑体"/>
          <w:b/>
          <w:bCs/>
          <w:sz w:val="32"/>
          <w:szCs w:val="40"/>
        </w:rPr>
        <w:t>一、</w:t>
      </w:r>
      <w:r>
        <w:rPr>
          <w:rFonts w:hint="eastAsia" w:ascii="黑体" w:hAnsi="宋体" w:eastAsia="黑体"/>
          <w:b/>
          <w:bCs/>
          <w:sz w:val="32"/>
          <w:szCs w:val="40"/>
          <w:lang w:val="zh-CN"/>
        </w:rPr>
        <w:t>项目概况</w:t>
      </w:r>
    </w:p>
    <w:p>
      <w:pPr>
        <w:keepNext w:val="0"/>
        <w:keepLines w:val="0"/>
        <w:pageBreakBefore w:val="0"/>
        <w:widowControl/>
        <w:kinsoku/>
        <w:wordWrap/>
        <w:overflowPunct/>
        <w:topLinePunct w:val="0"/>
        <w:autoSpaceDE/>
        <w:autoSpaceDN/>
        <w:bidi w:val="0"/>
        <w:adjustRightInd w:val="0"/>
        <w:snapToGrid w:val="0"/>
        <w:spacing w:line="540" w:lineRule="exact"/>
        <w:ind w:right="0" w:rightChars="0" w:firstLine="643" w:firstLineChars="200"/>
        <w:contextualSpacing/>
        <w:jc w:val="left"/>
        <w:outlineLvl w:val="9"/>
        <w:rPr>
          <w:rFonts w:hint="eastAsia" w:ascii="仿宋_GB2312" w:hAnsi="仿宋_GB2312" w:eastAsia="仿宋_GB2312" w:cs="仿宋_GB2312"/>
          <w:bCs/>
          <w:sz w:val="32"/>
          <w:szCs w:val="32"/>
          <w:lang w:val="zh-CN"/>
        </w:rPr>
      </w:pPr>
      <w:r>
        <w:rPr>
          <w:rFonts w:hint="eastAsia" w:ascii="仿宋_GB2312" w:hAnsi="仿宋_GB2312" w:eastAsia="仿宋_GB2312" w:cs="仿宋_GB2312"/>
          <w:b/>
          <w:sz w:val="32"/>
          <w:szCs w:val="32"/>
          <w:lang w:val="zh-CN"/>
        </w:rPr>
        <w:t>（一）设立背景及基本情况。</w:t>
      </w:r>
      <w:r>
        <w:rPr>
          <w:rFonts w:hint="eastAsia" w:ascii="仿宋_GB2312" w:hAnsi="仿宋_GB2312" w:eastAsia="仿宋_GB2312" w:cs="仿宋_GB2312"/>
          <w:sz w:val="32"/>
          <w:szCs w:val="32"/>
          <w:lang w:val="zh-CN"/>
        </w:rPr>
        <w:t>2023年,浙江广播电视集团着眼浙川两省青少年全体,以第19届亚运会在浙举办为契机,结合平湖当地教育、文化、企业等特色，继续发挥优势，持续擦亮“浙里石榴红”工作品牌，深化平湖茂县青少年“三交”工作品牌。内容上，将围绕平湖当地特色、企业，让青少年以及青年感受平湖的蓬勃和发展，特建立此次交融交往活动。</w:t>
      </w:r>
    </w:p>
    <w:p>
      <w:pPr>
        <w:keepNext w:val="0"/>
        <w:keepLines w:val="0"/>
        <w:pageBreakBefore w:val="0"/>
        <w:widowControl/>
        <w:kinsoku/>
        <w:wordWrap/>
        <w:overflowPunct/>
        <w:topLinePunct w:val="0"/>
        <w:autoSpaceDE/>
        <w:autoSpaceDN/>
        <w:bidi w:val="0"/>
        <w:adjustRightInd w:val="0"/>
        <w:snapToGrid w:val="0"/>
        <w:spacing w:line="540" w:lineRule="exact"/>
        <w:ind w:right="0" w:rightChars="0" w:firstLine="643" w:firstLineChars="200"/>
        <w:contextualSpacing/>
        <w:jc w:val="left"/>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zh-CN"/>
        </w:rPr>
        <w:t>（二）</w:t>
      </w:r>
      <w:r>
        <w:rPr>
          <w:rFonts w:hint="eastAsia" w:ascii="仿宋_GB2312" w:hAnsi="仿宋_GB2312" w:eastAsia="仿宋_GB2312" w:cs="仿宋_GB2312"/>
          <w:b/>
          <w:sz w:val="32"/>
          <w:szCs w:val="32"/>
        </w:rPr>
        <w:t>实施目的及支持方向。</w:t>
      </w:r>
      <w:r>
        <w:rPr>
          <w:rFonts w:hint="eastAsia" w:ascii="仿宋_GB2312" w:hAnsi="仿宋_GB2312" w:eastAsia="仿宋_GB2312" w:cs="仿宋_GB2312"/>
          <w:sz w:val="32"/>
          <w:szCs w:val="32"/>
        </w:rPr>
        <w:t>为贯彻落实党的二十大精神和中央民族工作会议精神，把铸牢中华民族共同体意识贯穿对口工作全过程各方面，进一步促进嘉阿两地交流交融，团县委组织带领青少年赴浙江开展“民族团结一家亲</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不仅让学生们走出校园、走出大山，在体验中开拓视野、学习知识，更进一步促进了浙阿两地的山海之情，推动了两地的文化交流，同时，</w:t>
      </w:r>
      <w:r>
        <w:rPr>
          <w:rFonts w:hint="eastAsia" w:ascii="仿宋_GB2312" w:hAnsi="仿宋_GB2312" w:eastAsia="仿宋_GB2312" w:cs="仿宋_GB2312"/>
          <w:bCs/>
          <w:sz w:val="32"/>
          <w:szCs w:val="32"/>
        </w:rPr>
        <w:t>激发青年的积极性、主动性、创造性，多学多思、多谋多干，在学思践悟中砥砺奋进，为全面推进乡村振兴贡献一份力量。</w:t>
      </w:r>
    </w:p>
    <w:p>
      <w:pPr>
        <w:keepNext w:val="0"/>
        <w:keepLines w:val="0"/>
        <w:pageBreakBefore w:val="0"/>
        <w:widowControl/>
        <w:kinsoku/>
        <w:wordWrap/>
        <w:overflowPunct/>
        <w:topLinePunct w:val="0"/>
        <w:autoSpaceDE/>
        <w:autoSpaceDN/>
        <w:bidi w:val="0"/>
        <w:adjustRightInd w:val="0"/>
        <w:snapToGrid w:val="0"/>
        <w:spacing w:line="540" w:lineRule="exact"/>
        <w:ind w:right="0" w:rightChars="0" w:firstLine="643" w:firstLineChars="200"/>
        <w:contextualSpacing/>
        <w:jc w:val="left"/>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zh-CN"/>
        </w:rPr>
        <w:t>（三）</w:t>
      </w:r>
      <w:r>
        <w:rPr>
          <w:rFonts w:hint="eastAsia" w:ascii="仿宋_GB2312" w:hAnsi="仿宋_GB2312" w:eastAsia="仿宋_GB2312" w:cs="仿宋_GB2312"/>
          <w:b/>
          <w:sz w:val="32"/>
          <w:szCs w:val="32"/>
        </w:rPr>
        <w:t>预算安排及分配管理</w:t>
      </w:r>
      <w:r>
        <w:rPr>
          <w:rFonts w:hint="eastAsia" w:ascii="仿宋_GB2312" w:hAnsi="仿宋_GB2312" w:eastAsia="仿宋_GB2312" w:cs="仿宋_GB2312"/>
          <w:b/>
          <w:sz w:val="32"/>
          <w:szCs w:val="32"/>
          <w:lang w:val="zh-CN"/>
        </w:rPr>
        <w:t>。</w:t>
      </w:r>
      <w:r>
        <w:rPr>
          <w:rFonts w:hint="eastAsia" w:ascii="仿宋_GB2312" w:hAnsi="仿宋_GB2312" w:eastAsia="仿宋_GB2312" w:cs="仿宋_GB2312"/>
          <w:sz w:val="32"/>
          <w:szCs w:val="32"/>
          <w:lang w:val="zh-CN"/>
        </w:rPr>
        <w:t>该项目预算执行数98万元，分别用于团县委组织75名青少年赴浙江开展“民族团结一家亲，羌山少年心向党”红色传承研学活动和组织基层团干部和优秀创业青年赴浙江开展学习交流活动。</w:t>
      </w:r>
    </w:p>
    <w:p>
      <w:pPr>
        <w:keepNext w:val="0"/>
        <w:keepLines w:val="0"/>
        <w:pageBreakBefore w:val="0"/>
        <w:widowControl/>
        <w:kinsoku/>
        <w:wordWrap/>
        <w:overflowPunct/>
        <w:topLinePunct w:val="0"/>
        <w:autoSpaceDE/>
        <w:autoSpaceDN/>
        <w:bidi w:val="0"/>
        <w:adjustRightInd w:val="0"/>
        <w:snapToGrid w:val="0"/>
        <w:spacing w:line="540" w:lineRule="exact"/>
        <w:ind w:right="0" w:rightChars="0" w:firstLine="643" w:firstLineChars="200"/>
        <w:contextualSpacing/>
        <w:jc w:val="left"/>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sz w:val="32"/>
          <w:szCs w:val="32"/>
          <w:lang w:val="zh-CN"/>
        </w:rPr>
        <w:t>（四）项目绩效目标设置。</w:t>
      </w:r>
      <w:r>
        <w:rPr>
          <w:rFonts w:hint="eastAsia" w:ascii="仿宋_GB2312" w:hAnsi="仿宋_GB2312" w:eastAsia="仿宋_GB2312" w:cs="仿宋_GB2312"/>
          <w:sz w:val="32"/>
          <w:szCs w:val="32"/>
        </w:rPr>
        <w:t>预期成果：团县委组织75名青少年赴浙江开展“民族团结一家亲</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羌山少年心向党”红色传承研学活动和组织基层团干部和优秀创业青年赴浙江开展学习交流活动。通过研学交流活动，不仅让学生们走出校园、走出大山，在体验中开拓视野、学习知识，更进一步促进了浙阿两地的山海之情，推动了两地的文化交流，同时，激发青年的积极性、主动性、创造性，多学多思、多谋多干，在学思践悟中砥砺奋进，为全面推进乡村振兴贡献一份力量。</w:t>
      </w:r>
    </w:p>
    <w:p>
      <w:pPr>
        <w:keepNext w:val="0"/>
        <w:keepLines w:val="0"/>
        <w:pageBreakBefore w:val="0"/>
        <w:widowControl/>
        <w:kinsoku/>
        <w:wordWrap/>
        <w:overflowPunct/>
        <w:topLinePunct w:val="0"/>
        <w:autoSpaceDE/>
        <w:autoSpaceDN/>
        <w:bidi w:val="0"/>
        <w:adjustRightInd w:val="0"/>
        <w:snapToGrid w:val="0"/>
        <w:spacing w:line="540" w:lineRule="exact"/>
        <w:ind w:right="0" w:rightChars="0"/>
        <w:contextualSpacing/>
        <w:jc w:val="center"/>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2023年对口支援交融交往活动资金项目绩效目标表</w:t>
      </w:r>
    </w:p>
    <w:tbl>
      <w:tblPr>
        <w:tblStyle w:val="26"/>
        <w:tblpPr w:leftFromText="180" w:rightFromText="180" w:vertAnchor="text" w:horzAnchor="page" w:tblpXSpec="center" w:tblpY="265"/>
        <w:tblOverlap w:val="never"/>
        <w:tblW w:w="9888" w:type="dxa"/>
        <w:tblInd w:w="0" w:type="dxa"/>
        <w:tblLayout w:type="fixed"/>
        <w:tblCellMar>
          <w:top w:w="0" w:type="dxa"/>
          <w:left w:w="108" w:type="dxa"/>
          <w:bottom w:w="0" w:type="dxa"/>
          <w:right w:w="108" w:type="dxa"/>
        </w:tblCellMar>
      </w:tblPr>
      <w:tblGrid>
        <w:gridCol w:w="520"/>
        <w:gridCol w:w="1500"/>
        <w:gridCol w:w="1459"/>
        <w:gridCol w:w="2010"/>
        <w:gridCol w:w="1185"/>
        <w:gridCol w:w="975"/>
        <w:gridCol w:w="1160"/>
        <w:gridCol w:w="1079"/>
      </w:tblGrid>
      <w:tr>
        <w:tblPrEx>
          <w:tblCellMar>
            <w:top w:w="0" w:type="dxa"/>
            <w:left w:w="108" w:type="dxa"/>
            <w:bottom w:w="0" w:type="dxa"/>
            <w:right w:w="108" w:type="dxa"/>
          </w:tblCellMar>
        </w:tblPrEx>
        <w:trPr>
          <w:trHeight w:val="1108" w:hRule="atLeast"/>
        </w:trPr>
        <w:tc>
          <w:tcPr>
            <w:tcW w:w="520" w:type="dxa"/>
            <w:vMerge w:val="restart"/>
            <w:tcBorders>
              <w:top w:val="single" w:color="000000" w:sz="4" w:space="0"/>
              <w:left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center"/>
              <w:textAlignment w:val="center"/>
              <w:outlineLvl w:val="9"/>
              <w:rPr>
                <w:rFonts w:hint="eastAsia" w:ascii="宋体" w:hAnsi="宋体"/>
                <w:b/>
                <w:bCs/>
                <w:color w:val="000000"/>
                <w:sz w:val="24"/>
                <w:lang w:bidi="ar"/>
              </w:rPr>
            </w:pPr>
            <w:r>
              <w:rPr>
                <w:rFonts w:hint="eastAsia" w:ascii="宋体" w:hAnsi="宋体"/>
                <w:b/>
                <w:bCs/>
                <w:color w:val="000000"/>
                <w:sz w:val="24"/>
                <w:lang w:bidi="ar"/>
              </w:rPr>
              <w:t>绩效 指标</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center"/>
              <w:textAlignment w:val="center"/>
              <w:outlineLvl w:val="9"/>
              <w:rPr>
                <w:rFonts w:hint="eastAsia" w:ascii="宋体" w:hAnsi="宋体"/>
                <w:b/>
                <w:bCs/>
                <w:color w:val="000000"/>
                <w:sz w:val="22"/>
                <w:szCs w:val="22"/>
              </w:rPr>
            </w:pPr>
            <w:r>
              <w:rPr>
                <w:rFonts w:hint="eastAsia" w:ascii="宋体" w:hAnsi="宋体"/>
                <w:b/>
                <w:bCs/>
                <w:color w:val="000000"/>
                <w:sz w:val="22"/>
                <w:szCs w:val="22"/>
                <w:lang w:bidi="ar"/>
              </w:rPr>
              <w:t>一级指标</w:t>
            </w:r>
          </w:p>
        </w:tc>
        <w:tc>
          <w:tcPr>
            <w:tcW w:w="14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center"/>
              <w:textAlignment w:val="center"/>
              <w:outlineLvl w:val="9"/>
              <w:rPr>
                <w:rFonts w:hint="eastAsia" w:ascii="宋体" w:hAnsi="宋体"/>
                <w:b/>
                <w:bCs/>
                <w:color w:val="000000"/>
                <w:sz w:val="22"/>
                <w:szCs w:val="22"/>
              </w:rPr>
            </w:pPr>
            <w:r>
              <w:rPr>
                <w:rFonts w:hint="eastAsia" w:ascii="宋体" w:hAnsi="宋体"/>
                <w:b/>
                <w:bCs/>
                <w:color w:val="000000"/>
                <w:sz w:val="22"/>
                <w:szCs w:val="22"/>
                <w:lang w:bidi="ar"/>
              </w:rPr>
              <w:t>二级指标</w:t>
            </w:r>
          </w:p>
        </w:tc>
        <w:tc>
          <w:tcPr>
            <w:tcW w:w="20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center"/>
              <w:textAlignment w:val="center"/>
              <w:outlineLvl w:val="9"/>
              <w:rPr>
                <w:rFonts w:hint="eastAsia" w:ascii="宋体" w:hAnsi="宋体"/>
                <w:b/>
                <w:bCs/>
                <w:color w:val="000000"/>
                <w:sz w:val="22"/>
                <w:szCs w:val="22"/>
              </w:rPr>
            </w:pPr>
            <w:r>
              <w:rPr>
                <w:rFonts w:hint="eastAsia" w:ascii="宋体" w:hAnsi="宋体"/>
                <w:b/>
                <w:bCs/>
                <w:color w:val="000000"/>
                <w:sz w:val="22"/>
                <w:szCs w:val="22"/>
                <w:lang w:bidi="ar"/>
              </w:rPr>
              <w:t>三级指标</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center"/>
              <w:textAlignment w:val="center"/>
              <w:outlineLvl w:val="9"/>
              <w:rPr>
                <w:rFonts w:hint="eastAsia" w:ascii="宋体" w:hAnsi="宋体"/>
                <w:b/>
                <w:bCs/>
                <w:color w:val="000000"/>
                <w:sz w:val="22"/>
                <w:szCs w:val="22"/>
              </w:rPr>
            </w:pPr>
            <w:r>
              <w:rPr>
                <w:rFonts w:hint="eastAsia" w:ascii="宋体" w:hAnsi="宋体"/>
                <w:b/>
                <w:bCs/>
                <w:color w:val="000000"/>
                <w:sz w:val="22"/>
                <w:szCs w:val="22"/>
                <w:lang w:bidi="ar"/>
              </w:rPr>
              <w:t>指标性质</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center"/>
              <w:textAlignment w:val="center"/>
              <w:outlineLvl w:val="9"/>
              <w:rPr>
                <w:rFonts w:hint="eastAsia" w:ascii="宋体" w:hAnsi="宋体"/>
                <w:b/>
                <w:bCs/>
                <w:color w:val="000000"/>
                <w:sz w:val="22"/>
                <w:szCs w:val="22"/>
              </w:rPr>
            </w:pPr>
            <w:r>
              <w:rPr>
                <w:rFonts w:hint="eastAsia" w:ascii="宋体" w:hAnsi="宋体"/>
                <w:b/>
                <w:bCs/>
                <w:color w:val="000000"/>
                <w:sz w:val="22"/>
                <w:szCs w:val="22"/>
                <w:lang w:bidi="ar"/>
              </w:rPr>
              <w:t>指标值</w:t>
            </w:r>
          </w:p>
        </w:tc>
        <w:tc>
          <w:tcPr>
            <w:tcW w:w="11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center"/>
              <w:textAlignment w:val="center"/>
              <w:outlineLvl w:val="9"/>
              <w:rPr>
                <w:rFonts w:hint="eastAsia" w:ascii="宋体" w:hAnsi="宋体"/>
                <w:b/>
                <w:bCs/>
                <w:color w:val="000000"/>
                <w:sz w:val="22"/>
                <w:szCs w:val="22"/>
              </w:rPr>
            </w:pPr>
            <w:r>
              <w:rPr>
                <w:rFonts w:hint="eastAsia" w:ascii="宋体" w:hAnsi="宋体"/>
                <w:b/>
                <w:bCs/>
                <w:color w:val="000000"/>
                <w:sz w:val="22"/>
                <w:szCs w:val="22"/>
                <w:lang w:bidi="ar"/>
              </w:rPr>
              <w:t>度量单位</w:t>
            </w:r>
          </w:p>
        </w:tc>
        <w:tc>
          <w:tcPr>
            <w:tcW w:w="10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center"/>
              <w:textAlignment w:val="center"/>
              <w:outlineLvl w:val="9"/>
              <w:rPr>
                <w:rFonts w:hint="eastAsia" w:ascii="宋体" w:hAnsi="宋体"/>
                <w:b/>
                <w:bCs/>
                <w:color w:val="000000"/>
                <w:sz w:val="22"/>
                <w:szCs w:val="22"/>
              </w:rPr>
            </w:pPr>
            <w:r>
              <w:rPr>
                <w:rFonts w:hint="eastAsia" w:ascii="宋体" w:hAnsi="宋体"/>
                <w:b/>
                <w:bCs/>
                <w:color w:val="000000"/>
                <w:sz w:val="22"/>
                <w:szCs w:val="22"/>
                <w:lang w:bidi="ar"/>
              </w:rPr>
              <w:t>权重（%）</w:t>
            </w:r>
          </w:p>
        </w:tc>
      </w:tr>
      <w:tr>
        <w:tblPrEx>
          <w:tblCellMar>
            <w:top w:w="0" w:type="dxa"/>
            <w:left w:w="108" w:type="dxa"/>
            <w:bottom w:w="0" w:type="dxa"/>
            <w:right w:w="108" w:type="dxa"/>
          </w:tblCellMar>
        </w:tblPrEx>
        <w:trPr>
          <w:trHeight w:val="240" w:hRule="atLeast"/>
        </w:trPr>
        <w:tc>
          <w:tcPr>
            <w:tcW w:w="520" w:type="dxa"/>
            <w:vMerge w:val="continue"/>
            <w:tcBorders>
              <w:left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产出指标</w:t>
            </w:r>
          </w:p>
        </w:tc>
        <w:tc>
          <w:tcPr>
            <w:tcW w:w="14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center"/>
              <w:textAlignment w:val="center"/>
              <w:outlineLvl w:val="9"/>
              <w:rPr>
                <w:rFonts w:hint="eastAsia" w:ascii="宋体" w:hAnsi="宋体"/>
                <w:color w:val="000000"/>
                <w:sz w:val="21"/>
                <w:szCs w:val="21"/>
              </w:rPr>
            </w:pPr>
            <w:r>
              <w:rPr>
                <w:rFonts w:hint="eastAsia" w:ascii="宋体" w:hAnsi="宋体"/>
                <w:color w:val="000000"/>
                <w:sz w:val="21"/>
                <w:szCs w:val="21"/>
                <w:lang w:bidi="ar"/>
              </w:rPr>
              <w:t>数量指标</w:t>
            </w:r>
          </w:p>
        </w:tc>
        <w:tc>
          <w:tcPr>
            <w:tcW w:w="20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参与培训活动青少年</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90</w:t>
            </w:r>
          </w:p>
        </w:tc>
        <w:tc>
          <w:tcPr>
            <w:tcW w:w="11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人</w:t>
            </w:r>
          </w:p>
        </w:tc>
        <w:tc>
          <w:tcPr>
            <w:tcW w:w="10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10</w:t>
            </w:r>
          </w:p>
        </w:tc>
      </w:tr>
      <w:tr>
        <w:tblPrEx>
          <w:tblCellMar>
            <w:top w:w="0" w:type="dxa"/>
            <w:left w:w="108" w:type="dxa"/>
            <w:bottom w:w="0" w:type="dxa"/>
            <w:right w:w="108" w:type="dxa"/>
          </w:tblCellMar>
        </w:tblPrEx>
        <w:trPr>
          <w:trHeight w:val="240" w:hRule="atLeast"/>
        </w:trPr>
        <w:tc>
          <w:tcPr>
            <w:tcW w:w="520" w:type="dxa"/>
            <w:vMerge w:val="continue"/>
            <w:tcBorders>
              <w:left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产出指标</w:t>
            </w:r>
          </w:p>
        </w:tc>
        <w:tc>
          <w:tcPr>
            <w:tcW w:w="14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center"/>
              <w:textAlignment w:val="center"/>
              <w:outlineLvl w:val="9"/>
              <w:rPr>
                <w:rFonts w:hint="eastAsia" w:ascii="宋体" w:hAnsi="宋体"/>
                <w:color w:val="000000"/>
                <w:sz w:val="21"/>
                <w:szCs w:val="21"/>
              </w:rPr>
            </w:pPr>
            <w:r>
              <w:rPr>
                <w:rFonts w:hint="eastAsia" w:ascii="宋体" w:hAnsi="宋体"/>
                <w:color w:val="000000"/>
                <w:sz w:val="21"/>
                <w:szCs w:val="21"/>
                <w:lang w:bidi="ar"/>
              </w:rPr>
              <w:t>数量指标</w:t>
            </w:r>
          </w:p>
        </w:tc>
        <w:tc>
          <w:tcPr>
            <w:tcW w:w="20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lang w:bidi="ar"/>
              </w:rPr>
            </w:pPr>
            <w:r>
              <w:rPr>
                <w:rFonts w:hint="eastAsia" w:ascii="宋体" w:hAnsi="宋体"/>
                <w:color w:val="000000"/>
                <w:sz w:val="21"/>
                <w:szCs w:val="21"/>
                <w:lang w:bidi="ar"/>
              </w:rPr>
              <w:t>参与活动团干部和优秀创业青年</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lang w:bidi="ar"/>
              </w:rPr>
            </w:pPr>
            <w:r>
              <w:rPr>
                <w:rFonts w:hint="eastAsia" w:ascii="宋体" w:hAnsi="宋体"/>
                <w:color w:val="000000"/>
                <w:sz w:val="21"/>
                <w:szCs w:val="21"/>
                <w:lang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lang w:bidi="ar"/>
              </w:rPr>
            </w:pPr>
            <w:r>
              <w:rPr>
                <w:rFonts w:hint="eastAsia" w:ascii="宋体" w:hAnsi="宋体"/>
                <w:color w:val="000000"/>
                <w:sz w:val="21"/>
                <w:szCs w:val="21"/>
                <w:lang w:bidi="ar"/>
              </w:rPr>
              <w:t>18</w:t>
            </w:r>
          </w:p>
        </w:tc>
        <w:tc>
          <w:tcPr>
            <w:tcW w:w="11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lang w:bidi="ar"/>
              </w:rPr>
            </w:pPr>
            <w:r>
              <w:rPr>
                <w:rFonts w:hint="eastAsia" w:ascii="宋体" w:hAnsi="宋体"/>
                <w:color w:val="000000"/>
                <w:sz w:val="21"/>
                <w:szCs w:val="21"/>
                <w:lang w:bidi="ar"/>
              </w:rPr>
              <w:t>人</w:t>
            </w:r>
          </w:p>
        </w:tc>
        <w:tc>
          <w:tcPr>
            <w:tcW w:w="10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lang w:bidi="ar"/>
              </w:rPr>
            </w:pPr>
            <w:r>
              <w:rPr>
                <w:rFonts w:hint="eastAsia" w:ascii="宋体" w:hAnsi="宋体"/>
                <w:color w:val="000000"/>
                <w:sz w:val="21"/>
                <w:szCs w:val="21"/>
                <w:lang w:bidi="ar"/>
              </w:rPr>
              <w:t>10</w:t>
            </w:r>
          </w:p>
        </w:tc>
      </w:tr>
      <w:tr>
        <w:tblPrEx>
          <w:tblCellMar>
            <w:top w:w="0" w:type="dxa"/>
            <w:left w:w="108" w:type="dxa"/>
            <w:bottom w:w="0" w:type="dxa"/>
            <w:right w:w="108" w:type="dxa"/>
          </w:tblCellMar>
        </w:tblPrEx>
        <w:trPr>
          <w:trHeight w:val="240" w:hRule="atLeast"/>
        </w:trPr>
        <w:tc>
          <w:tcPr>
            <w:tcW w:w="520" w:type="dxa"/>
            <w:vMerge w:val="continue"/>
            <w:tcBorders>
              <w:left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产出指标</w:t>
            </w:r>
          </w:p>
        </w:tc>
        <w:tc>
          <w:tcPr>
            <w:tcW w:w="14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center"/>
              <w:textAlignment w:val="center"/>
              <w:outlineLvl w:val="9"/>
              <w:rPr>
                <w:rFonts w:hint="eastAsia" w:ascii="宋体" w:hAnsi="宋体"/>
                <w:color w:val="000000"/>
                <w:sz w:val="21"/>
                <w:szCs w:val="21"/>
              </w:rPr>
            </w:pPr>
            <w:r>
              <w:rPr>
                <w:rFonts w:hint="eastAsia" w:ascii="宋体" w:hAnsi="宋体"/>
                <w:color w:val="000000"/>
                <w:sz w:val="21"/>
                <w:szCs w:val="21"/>
                <w:lang w:bidi="ar"/>
              </w:rPr>
              <w:t>时效指标</w:t>
            </w:r>
          </w:p>
        </w:tc>
        <w:tc>
          <w:tcPr>
            <w:tcW w:w="20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项目完成后及时结算相关费用</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15</w:t>
            </w:r>
          </w:p>
        </w:tc>
        <w:tc>
          <w:tcPr>
            <w:tcW w:w="11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日</w:t>
            </w:r>
          </w:p>
        </w:tc>
        <w:tc>
          <w:tcPr>
            <w:tcW w:w="10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10</w:t>
            </w:r>
          </w:p>
        </w:tc>
      </w:tr>
      <w:tr>
        <w:tblPrEx>
          <w:tblCellMar>
            <w:top w:w="0" w:type="dxa"/>
            <w:left w:w="108" w:type="dxa"/>
            <w:bottom w:w="0" w:type="dxa"/>
            <w:right w:w="108" w:type="dxa"/>
          </w:tblCellMar>
        </w:tblPrEx>
        <w:trPr>
          <w:trHeight w:val="240" w:hRule="atLeast"/>
        </w:trPr>
        <w:tc>
          <w:tcPr>
            <w:tcW w:w="520" w:type="dxa"/>
            <w:vMerge w:val="continue"/>
            <w:tcBorders>
              <w:left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产出指标</w:t>
            </w:r>
          </w:p>
        </w:tc>
        <w:tc>
          <w:tcPr>
            <w:tcW w:w="14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center"/>
              <w:textAlignment w:val="center"/>
              <w:outlineLvl w:val="9"/>
              <w:rPr>
                <w:rFonts w:hint="eastAsia" w:ascii="宋体" w:hAnsi="宋体"/>
                <w:color w:val="000000"/>
                <w:sz w:val="21"/>
                <w:szCs w:val="21"/>
              </w:rPr>
            </w:pPr>
            <w:r>
              <w:rPr>
                <w:rFonts w:hint="eastAsia" w:ascii="宋体" w:hAnsi="宋体"/>
                <w:color w:val="000000"/>
                <w:sz w:val="21"/>
                <w:szCs w:val="21"/>
                <w:lang w:bidi="ar"/>
              </w:rPr>
              <w:t>时效指标</w:t>
            </w:r>
          </w:p>
        </w:tc>
        <w:tc>
          <w:tcPr>
            <w:tcW w:w="20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textAlignment w:val="center"/>
              <w:outlineLvl w:val="9"/>
              <w:rPr>
                <w:rFonts w:hint="eastAsia" w:ascii="宋体" w:hAnsi="宋体"/>
                <w:color w:val="000000"/>
                <w:sz w:val="21"/>
                <w:szCs w:val="21"/>
              </w:rPr>
            </w:pPr>
            <w:r>
              <w:rPr>
                <w:rFonts w:hint="eastAsia" w:ascii="宋体" w:hAnsi="宋体"/>
                <w:color w:val="000000"/>
                <w:sz w:val="21"/>
                <w:szCs w:val="21"/>
                <w:lang w:bidi="ar"/>
              </w:rPr>
              <w:t>项目及时率</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100</w:t>
            </w:r>
          </w:p>
        </w:tc>
        <w:tc>
          <w:tcPr>
            <w:tcW w:w="11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日</w:t>
            </w:r>
          </w:p>
        </w:tc>
        <w:tc>
          <w:tcPr>
            <w:tcW w:w="10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15</w:t>
            </w:r>
          </w:p>
        </w:tc>
      </w:tr>
      <w:tr>
        <w:tblPrEx>
          <w:tblCellMar>
            <w:top w:w="0" w:type="dxa"/>
            <w:left w:w="108" w:type="dxa"/>
            <w:bottom w:w="0" w:type="dxa"/>
            <w:right w:w="108" w:type="dxa"/>
          </w:tblCellMar>
        </w:tblPrEx>
        <w:trPr>
          <w:trHeight w:val="240" w:hRule="atLeast"/>
        </w:trPr>
        <w:tc>
          <w:tcPr>
            <w:tcW w:w="520" w:type="dxa"/>
            <w:vMerge w:val="continue"/>
            <w:tcBorders>
              <w:left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效益指标</w:t>
            </w:r>
          </w:p>
        </w:tc>
        <w:tc>
          <w:tcPr>
            <w:tcW w:w="14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center"/>
              <w:textAlignment w:val="center"/>
              <w:outlineLvl w:val="9"/>
              <w:rPr>
                <w:rFonts w:hint="eastAsia" w:ascii="宋体" w:hAnsi="宋体"/>
                <w:color w:val="000000"/>
                <w:sz w:val="21"/>
                <w:szCs w:val="21"/>
              </w:rPr>
            </w:pPr>
            <w:r>
              <w:rPr>
                <w:rFonts w:hint="eastAsia" w:ascii="宋体" w:hAnsi="宋体"/>
                <w:color w:val="000000"/>
                <w:sz w:val="21"/>
                <w:szCs w:val="21"/>
                <w:lang w:bidi="ar"/>
              </w:rPr>
              <w:t>社会效益指标</w:t>
            </w:r>
          </w:p>
        </w:tc>
        <w:tc>
          <w:tcPr>
            <w:tcW w:w="20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textAlignment w:val="center"/>
              <w:outlineLvl w:val="9"/>
              <w:rPr>
                <w:rFonts w:hint="eastAsia" w:ascii="宋体" w:hAnsi="宋体"/>
                <w:color w:val="000000"/>
                <w:sz w:val="21"/>
                <w:szCs w:val="21"/>
              </w:rPr>
            </w:pPr>
            <w:r>
              <w:rPr>
                <w:rFonts w:hint="eastAsia" w:ascii="宋体" w:hAnsi="宋体"/>
                <w:color w:val="000000"/>
                <w:sz w:val="21"/>
                <w:szCs w:val="21"/>
              </w:rPr>
              <w:t>保障活动中青少年和青年的生活和支出</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定性</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好坏</w:t>
            </w:r>
          </w:p>
        </w:tc>
        <w:tc>
          <w:tcPr>
            <w:tcW w:w="11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p>
        </w:tc>
        <w:tc>
          <w:tcPr>
            <w:tcW w:w="10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15</w:t>
            </w:r>
          </w:p>
        </w:tc>
      </w:tr>
      <w:tr>
        <w:tblPrEx>
          <w:tblCellMar>
            <w:top w:w="0" w:type="dxa"/>
            <w:left w:w="108" w:type="dxa"/>
            <w:bottom w:w="0" w:type="dxa"/>
            <w:right w:w="108" w:type="dxa"/>
          </w:tblCellMar>
        </w:tblPrEx>
        <w:trPr>
          <w:trHeight w:val="240" w:hRule="atLeast"/>
        </w:trPr>
        <w:tc>
          <w:tcPr>
            <w:tcW w:w="520" w:type="dxa"/>
            <w:vMerge w:val="continue"/>
            <w:tcBorders>
              <w:left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效益指标</w:t>
            </w:r>
          </w:p>
        </w:tc>
        <w:tc>
          <w:tcPr>
            <w:tcW w:w="14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textAlignment w:val="center"/>
              <w:outlineLvl w:val="9"/>
              <w:rPr>
                <w:rFonts w:hint="eastAsia" w:ascii="宋体" w:hAnsi="宋体"/>
                <w:color w:val="000000"/>
                <w:sz w:val="21"/>
                <w:szCs w:val="21"/>
              </w:rPr>
            </w:pPr>
            <w:r>
              <w:rPr>
                <w:rFonts w:hint="eastAsia" w:ascii="宋体" w:hAnsi="宋体"/>
                <w:color w:val="000000"/>
                <w:sz w:val="21"/>
                <w:szCs w:val="21"/>
                <w:lang w:bidi="ar"/>
              </w:rPr>
              <w:t>可持续影响指标</w:t>
            </w:r>
          </w:p>
        </w:tc>
        <w:tc>
          <w:tcPr>
            <w:tcW w:w="20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保障青少年及青年全程交往活动开展</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定性</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好坏</w:t>
            </w:r>
          </w:p>
        </w:tc>
        <w:tc>
          <w:tcPr>
            <w:tcW w:w="11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p>
        </w:tc>
        <w:tc>
          <w:tcPr>
            <w:tcW w:w="10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25</w:t>
            </w:r>
          </w:p>
        </w:tc>
      </w:tr>
      <w:tr>
        <w:tblPrEx>
          <w:tblCellMar>
            <w:top w:w="0" w:type="dxa"/>
            <w:left w:w="108" w:type="dxa"/>
            <w:bottom w:w="0" w:type="dxa"/>
            <w:right w:w="108" w:type="dxa"/>
          </w:tblCellMar>
        </w:tblPrEx>
        <w:trPr>
          <w:trHeight w:val="240" w:hRule="atLeast"/>
        </w:trPr>
        <w:tc>
          <w:tcPr>
            <w:tcW w:w="520" w:type="dxa"/>
            <w:vMerge w:val="continue"/>
            <w:tcBorders>
              <w:left w:val="single" w:color="auto"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540" w:lineRule="exact"/>
              <w:ind w:right="0" w:rightChars="0"/>
              <w:jc w:val="left"/>
              <w:textAlignment w:val="center"/>
              <w:outlineLvl w:val="9"/>
              <w:rPr>
                <w:rFonts w:hint="eastAsia" w:ascii="宋体" w:hAnsi="宋体"/>
                <w:color w:val="000000"/>
                <w:sz w:val="24"/>
                <w:lang w:bidi="ar"/>
              </w:rPr>
            </w:pPr>
          </w:p>
        </w:tc>
        <w:tc>
          <w:tcPr>
            <w:tcW w:w="1500"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满意度指标</w:t>
            </w:r>
          </w:p>
        </w:tc>
        <w:tc>
          <w:tcPr>
            <w:tcW w:w="14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center"/>
              <w:textAlignment w:val="center"/>
              <w:outlineLvl w:val="9"/>
              <w:rPr>
                <w:rFonts w:hint="eastAsia" w:ascii="宋体" w:hAnsi="宋体"/>
                <w:color w:val="000000"/>
                <w:sz w:val="21"/>
                <w:szCs w:val="21"/>
              </w:rPr>
            </w:pPr>
            <w:r>
              <w:rPr>
                <w:rFonts w:hint="eastAsia" w:ascii="宋体" w:hAnsi="宋体"/>
                <w:color w:val="000000"/>
                <w:sz w:val="21"/>
                <w:szCs w:val="21"/>
                <w:lang w:bidi="ar"/>
              </w:rPr>
              <w:t>服务对象满意度指标</w:t>
            </w:r>
          </w:p>
        </w:tc>
        <w:tc>
          <w:tcPr>
            <w:tcW w:w="20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参与者对项目实施的满意度</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95</w:t>
            </w:r>
          </w:p>
        </w:tc>
        <w:tc>
          <w:tcPr>
            <w:tcW w:w="11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w:t>
            </w:r>
          </w:p>
        </w:tc>
        <w:tc>
          <w:tcPr>
            <w:tcW w:w="10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spacing w:line="240" w:lineRule="auto"/>
              <w:ind w:right="0" w:rightChars="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15</w:t>
            </w:r>
          </w:p>
        </w:tc>
      </w:tr>
    </w:tbl>
    <w:p>
      <w:pPr>
        <w:keepNext w:val="0"/>
        <w:keepLines w:val="0"/>
        <w:pageBreakBefore w:val="0"/>
        <w:kinsoku/>
        <w:wordWrap/>
        <w:overflowPunct/>
        <w:topLinePunct w:val="0"/>
        <w:autoSpaceDE/>
        <w:autoSpaceDN/>
        <w:bidi w:val="0"/>
        <w:adjustRightInd w:val="0"/>
        <w:snapToGrid w:val="0"/>
        <w:spacing w:line="540" w:lineRule="exact"/>
        <w:ind w:right="0" w:rightChars="0" w:firstLine="643" w:firstLineChars="200"/>
        <w:outlineLvl w:val="9"/>
        <w:rPr>
          <w:rFonts w:hint="eastAsia" w:ascii="黑体" w:hAnsi="黑体" w:eastAsia="黑体" w:cs="黑体"/>
          <w:b/>
          <w:bCs/>
          <w:sz w:val="32"/>
          <w:szCs w:val="32"/>
        </w:rPr>
      </w:pPr>
      <w:r>
        <w:rPr>
          <w:rFonts w:hint="eastAsia" w:ascii="黑体" w:hAnsi="黑体" w:eastAsia="黑体" w:cs="黑体"/>
          <w:b/>
          <w:bCs/>
          <w:sz w:val="32"/>
          <w:szCs w:val="32"/>
        </w:rPr>
        <w:t>二、评价实施</w:t>
      </w:r>
    </w:p>
    <w:p>
      <w:pPr>
        <w:keepNext w:val="0"/>
        <w:keepLines w:val="0"/>
        <w:pageBreakBefore w:val="0"/>
        <w:kinsoku/>
        <w:wordWrap/>
        <w:overflowPunct/>
        <w:topLinePunct w:val="0"/>
        <w:autoSpaceDE/>
        <w:autoSpaceDN/>
        <w:bidi w:val="0"/>
        <w:spacing w:line="54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zh-CN"/>
        </w:rPr>
        <w:t>（一）评价目的。</w:t>
      </w:r>
      <w:r>
        <w:rPr>
          <w:rFonts w:hint="eastAsia" w:ascii="仿宋_GB2312" w:hAnsi="仿宋_GB2312" w:eastAsia="仿宋_GB2312" w:cs="仿宋_GB2312"/>
          <w:kern w:val="2"/>
          <w:sz w:val="32"/>
          <w:szCs w:val="32"/>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pPr>
        <w:keepNext w:val="0"/>
        <w:keepLines w:val="0"/>
        <w:pageBreakBefore w:val="0"/>
        <w:kinsoku/>
        <w:wordWrap/>
        <w:overflowPunct/>
        <w:topLinePunct w:val="0"/>
        <w:autoSpaceDE/>
        <w:autoSpaceDN/>
        <w:bidi w:val="0"/>
        <w:spacing w:line="54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zh-CN"/>
        </w:rPr>
        <w:t>（二）预设问题及评价重点。</w:t>
      </w:r>
      <w:r>
        <w:rPr>
          <w:rFonts w:hint="eastAsia" w:ascii="仿宋_GB2312" w:hAnsi="仿宋_GB2312" w:eastAsia="仿宋_GB2312" w:cs="仿宋_GB2312"/>
          <w:kern w:val="2"/>
          <w:sz w:val="32"/>
          <w:szCs w:val="32"/>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pPr>
        <w:keepNext w:val="0"/>
        <w:keepLines w:val="0"/>
        <w:pageBreakBefore w:val="0"/>
        <w:kinsoku/>
        <w:wordWrap/>
        <w:overflowPunct/>
        <w:topLinePunct w:val="0"/>
        <w:autoSpaceDE/>
        <w:autoSpaceDN/>
        <w:bidi w:val="0"/>
        <w:spacing w:line="540" w:lineRule="exact"/>
        <w:ind w:right="0" w:rightChars="0" w:firstLine="643" w:firstLineChars="200"/>
        <w:textAlignment w:val="auto"/>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b/>
          <w:sz w:val="32"/>
          <w:szCs w:val="32"/>
          <w:lang w:val="zh-CN"/>
        </w:rPr>
        <w:t>（三）评价选点。</w:t>
      </w:r>
      <w:r>
        <w:rPr>
          <w:rFonts w:hint="eastAsia" w:ascii="仿宋_GB2312" w:hAnsi="仿宋_GB2312" w:eastAsia="仿宋_GB2312" w:cs="仿宋_GB2312"/>
          <w:kern w:val="2"/>
          <w:sz w:val="32"/>
          <w:szCs w:val="32"/>
          <w:u w:val="single"/>
        </w:rPr>
        <w:t xml:space="preserve">2023 </w:t>
      </w:r>
      <w:r>
        <w:rPr>
          <w:rFonts w:hint="eastAsia" w:ascii="仿宋_GB2312" w:hAnsi="仿宋_GB2312" w:eastAsia="仿宋_GB2312" w:cs="仿宋_GB2312"/>
          <w:kern w:val="2"/>
          <w:sz w:val="32"/>
          <w:szCs w:val="32"/>
        </w:rPr>
        <w:t>年度预算项目绩效评估工作通过</w:t>
      </w:r>
      <w:r>
        <w:rPr>
          <w:rFonts w:hint="eastAsia" w:ascii="仿宋_GB2312" w:hAnsi="仿宋_GB2312" w:eastAsia="仿宋_GB2312" w:cs="仿宋_GB2312"/>
          <w:kern w:val="2"/>
          <w:sz w:val="32"/>
          <w:szCs w:val="32"/>
          <w:u w:val="single"/>
        </w:rPr>
        <w:t>线上加线下</w:t>
      </w:r>
      <w:r>
        <w:rPr>
          <w:rFonts w:hint="eastAsia" w:ascii="仿宋_GB2312" w:hAnsi="仿宋_GB2312" w:eastAsia="仿宋_GB2312" w:cs="仿宋_GB2312"/>
          <w:kern w:val="2"/>
          <w:sz w:val="32"/>
          <w:szCs w:val="32"/>
        </w:rPr>
        <w:t>方式开展。按照有关规定和工作安排，我单位开展自行评估，通过</w:t>
      </w:r>
      <w:r>
        <w:rPr>
          <w:rFonts w:hint="eastAsia" w:ascii="仿宋_GB2312" w:hAnsi="仿宋_GB2312" w:eastAsia="仿宋_GB2312" w:cs="仿宋_GB2312"/>
          <w:kern w:val="2"/>
          <w:sz w:val="32"/>
          <w:szCs w:val="32"/>
          <w:u w:val="single"/>
        </w:rPr>
        <w:t>自行成立</w:t>
      </w:r>
      <w:r>
        <w:rPr>
          <w:rFonts w:hint="eastAsia" w:ascii="仿宋_GB2312" w:hAnsi="仿宋_GB2312" w:eastAsia="仿宋_GB2312" w:cs="仿宋_GB2312"/>
          <w:kern w:val="2"/>
          <w:sz w:val="32"/>
          <w:szCs w:val="32"/>
        </w:rPr>
        <w:t>组建评估组，收集被评估项目相关基础资料，并查阅资料、收集数据信息等，深入论证分析，形成绩效评估报告。</w:t>
      </w:r>
    </w:p>
    <w:p>
      <w:pPr>
        <w:keepNext w:val="0"/>
        <w:keepLines w:val="0"/>
        <w:pageBreakBefore w:val="0"/>
        <w:kinsoku/>
        <w:wordWrap/>
        <w:overflowPunct/>
        <w:topLinePunct w:val="0"/>
        <w:autoSpaceDE/>
        <w:autoSpaceDN/>
        <w:bidi w:val="0"/>
        <w:spacing w:line="54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zh-CN"/>
        </w:rPr>
        <w:t>（四）评价方法。</w:t>
      </w:r>
      <w:r>
        <w:rPr>
          <w:rFonts w:hint="eastAsia" w:ascii="仿宋_GB2312" w:hAnsi="仿宋_GB2312" w:eastAsia="仿宋_GB2312" w:cs="仿宋_GB2312"/>
          <w:sz w:val="32"/>
          <w:szCs w:val="32"/>
          <w:lang w:val="zh-CN"/>
        </w:rPr>
        <w:t>本项目通过与项目相关人员座谈及讨论的方法了解项目情况，收集相关资料，综合分析相关情况后，对项目的立项必要性、投入经济性、目标合理性以及方案可行性实施评估。</w:t>
      </w:r>
    </w:p>
    <w:p>
      <w:pPr>
        <w:keepNext w:val="0"/>
        <w:keepLines w:val="0"/>
        <w:pageBreakBefore w:val="0"/>
        <w:kinsoku/>
        <w:wordWrap/>
        <w:overflowPunct/>
        <w:topLinePunct w:val="0"/>
        <w:autoSpaceDE/>
        <w:autoSpaceDN/>
        <w:bidi w:val="0"/>
        <w:spacing w:line="540" w:lineRule="exact"/>
        <w:ind w:right="0" w:rightChars="0" w:firstLine="64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lang w:val="zh-CN"/>
        </w:rPr>
        <w:t>（五）评价组织。</w:t>
      </w:r>
      <w:r>
        <w:rPr>
          <w:rFonts w:hint="eastAsia" w:ascii="仿宋_GB2312" w:hAnsi="仿宋_GB2312" w:eastAsia="仿宋_GB2312" w:cs="仿宋_GB2312"/>
          <w:bCs/>
          <w:sz w:val="32"/>
          <w:szCs w:val="32"/>
          <w:lang w:val="zh-CN"/>
        </w:rPr>
        <w:t>评价组人员由单位负责人、分管领导及办公室人员组成；单位负责人牵头负责，分管领导组织业办公室自行评价。</w:t>
      </w:r>
    </w:p>
    <w:p>
      <w:pPr>
        <w:keepNext w:val="0"/>
        <w:keepLines w:val="0"/>
        <w:pageBreakBefore w:val="0"/>
        <w:kinsoku/>
        <w:wordWrap/>
        <w:overflowPunct/>
        <w:topLinePunct w:val="0"/>
        <w:autoSpaceDE/>
        <w:autoSpaceDN/>
        <w:bidi w:val="0"/>
        <w:adjustRightInd w:val="0"/>
        <w:snapToGrid w:val="0"/>
        <w:spacing w:line="540" w:lineRule="exact"/>
        <w:ind w:right="0" w:rightChars="0" w:firstLine="630" w:firstLineChars="196"/>
        <w:textAlignment w:val="auto"/>
        <w:outlineLvl w:val="9"/>
        <w:rPr>
          <w:rFonts w:hint="eastAsia" w:ascii="黑体" w:hAnsi="黑体" w:eastAsia="黑体" w:cs="黑体"/>
          <w:b/>
          <w:bCs/>
          <w:sz w:val="32"/>
          <w:szCs w:val="32"/>
          <w:lang w:val="zh-CN"/>
        </w:rPr>
      </w:pPr>
      <w:r>
        <w:rPr>
          <w:rFonts w:hint="eastAsia" w:ascii="黑体" w:hAnsi="黑体" w:eastAsia="黑体" w:cs="黑体"/>
          <w:b/>
          <w:bCs/>
          <w:sz w:val="32"/>
          <w:szCs w:val="32"/>
        </w:rPr>
        <w:t>三、绩效分析</w:t>
      </w:r>
      <w:r>
        <w:rPr>
          <w:rFonts w:hint="eastAsia" w:ascii="黑体" w:hAnsi="黑体" w:eastAsia="黑体" w:cs="黑体"/>
          <w:b/>
          <w:bCs/>
          <w:sz w:val="32"/>
          <w:szCs w:val="32"/>
          <w:lang w:val="zh-CN"/>
        </w:rPr>
        <w:tab/>
      </w:r>
    </w:p>
    <w:p>
      <w:pPr>
        <w:keepNext w:val="0"/>
        <w:keepLines w:val="0"/>
        <w:pageBreakBefore w:val="0"/>
        <w:kinsoku/>
        <w:wordWrap/>
        <w:overflowPunct/>
        <w:topLinePunct w:val="0"/>
        <w:autoSpaceDE/>
        <w:autoSpaceDN/>
        <w:bidi w:val="0"/>
        <w:spacing w:line="540" w:lineRule="exact"/>
        <w:ind w:right="0" w:rightChars="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根据项目预算绩效评价指标体系“通用指标”“专用指标”“个性指标”涉及二、三级指标进行逐项绩效分析并评分</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spacing w:line="540" w:lineRule="exact"/>
        <w:ind w:right="0" w:rightChars="0" w:firstLine="64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zh-CN"/>
        </w:rPr>
        <w:t>（一）</w:t>
      </w:r>
      <w:r>
        <w:rPr>
          <w:rFonts w:hint="eastAsia" w:ascii="仿宋_GB2312" w:hAnsi="仿宋_GB2312" w:eastAsia="仿宋_GB2312" w:cs="仿宋_GB2312"/>
          <w:b/>
          <w:sz w:val="32"/>
          <w:szCs w:val="32"/>
        </w:rPr>
        <w:t>通用指标</w:t>
      </w:r>
      <w:r>
        <w:rPr>
          <w:rFonts w:hint="eastAsia" w:ascii="仿宋_GB2312" w:hAnsi="仿宋_GB2312" w:eastAsia="仿宋_GB2312" w:cs="仿宋_GB2312"/>
          <w:b/>
          <w:bCs/>
          <w:color w:val="000000"/>
          <w:sz w:val="32"/>
          <w:szCs w:val="32"/>
          <w:shd w:val="clear" w:color="auto" w:fill="FFFFFF"/>
          <w:lang w:val="zh-CN"/>
        </w:rPr>
        <w:t>绩效分析。</w:t>
      </w:r>
    </w:p>
    <w:p>
      <w:pPr>
        <w:keepNext w:val="0"/>
        <w:keepLines w:val="0"/>
        <w:pageBreakBefore w:val="0"/>
        <w:kinsoku/>
        <w:wordWrap/>
        <w:overflowPunct/>
        <w:topLinePunct w:val="0"/>
        <w:autoSpaceDE/>
        <w:autoSpaceDN/>
        <w:bidi w:val="0"/>
        <w:spacing w:line="540" w:lineRule="exact"/>
        <w:ind w:right="0" w:rightChars="0"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1.项目决策。一是为贯彻落实党的二十大精神和中央民族工作会议精神，把铸牢中华民族共同体意识贯穿对口工作全过程各方面，进一步促进嘉阿两地交流交融，团县委组织青少年赴浙江开展“民族团结一家亲  羌山少年心向党”红色传承研学活动。二是</w:t>
      </w:r>
      <w:r>
        <w:rPr>
          <w:rFonts w:hint="eastAsia" w:ascii="仿宋_GB2312" w:hAnsi="仿宋_GB2312" w:eastAsia="仿宋_GB2312" w:cs="仿宋_GB2312"/>
          <w:sz w:val="32"/>
          <w:szCs w:val="32"/>
          <w:lang w:val="zh-CN"/>
        </w:rPr>
        <w:t xml:space="preserve">为深入贯彻习近平总书记关于青年工作重要论述和对四川工作系列重要指示精神，进一步深化东西协作，促进两地青年交往交流交融，团县委组织基层团干部和优秀创业青年赴浙江开展学习交流活动。  </w:t>
      </w:r>
    </w:p>
    <w:p>
      <w:pPr>
        <w:keepNext w:val="0"/>
        <w:keepLines w:val="0"/>
        <w:pageBreakBefore w:val="0"/>
        <w:kinsoku/>
        <w:wordWrap/>
        <w:overflowPunct/>
        <w:topLinePunct w:val="0"/>
        <w:autoSpaceDE/>
        <w:autoSpaceDN/>
        <w:bidi w:val="0"/>
        <w:spacing w:line="54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2.项目管理。</w:t>
      </w:r>
      <w:r>
        <w:rPr>
          <w:rFonts w:hint="eastAsia" w:ascii="仿宋_GB2312" w:hAnsi="仿宋_GB2312" w:eastAsia="仿宋_GB2312" w:cs="仿宋_GB2312"/>
          <w:kern w:val="2"/>
          <w:sz w:val="32"/>
          <w:szCs w:val="32"/>
        </w:rPr>
        <w:t>该项目已制定实施方案，组织机构健全，职责分工明确，有明确的工作程序，资金能足额保证。</w:t>
      </w:r>
    </w:p>
    <w:p>
      <w:pPr>
        <w:keepNext w:val="0"/>
        <w:keepLines w:val="0"/>
        <w:pageBreakBefore w:val="0"/>
        <w:kinsoku/>
        <w:wordWrap/>
        <w:overflowPunct/>
        <w:topLinePunct w:val="0"/>
        <w:autoSpaceDE/>
        <w:autoSpaceDN/>
        <w:bidi w:val="0"/>
        <w:spacing w:line="54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3.项目实施。该项目预算执行数98万元，主要用于青少年活动交流部分90万元和青年活动交流部分8万元。资金来源为对口帮扶资金。</w:t>
      </w:r>
    </w:p>
    <w:p>
      <w:pPr>
        <w:keepNext w:val="0"/>
        <w:keepLines w:val="0"/>
        <w:pageBreakBefore w:val="0"/>
        <w:widowControl/>
        <w:kinsoku/>
        <w:wordWrap/>
        <w:overflowPunct/>
        <w:topLinePunct w:val="0"/>
        <w:autoSpaceDE/>
        <w:autoSpaceDN/>
        <w:bidi w:val="0"/>
        <w:adjustRightInd w:val="0"/>
        <w:snapToGrid w:val="0"/>
        <w:spacing w:line="540" w:lineRule="exact"/>
        <w:ind w:right="0" w:rightChars="0" w:firstLine="640" w:firstLineChars="200"/>
        <w:contextualSpacing/>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项目结果。通过青少年和青年交流活动的开展，不仅让学生们走出校园、走出大山，在体验中开拓视野、学习知识，更进一步促进了浙阿两地的山海之情，推动了两地的文化交流，同时，激发青年的积极性、主动性、创造性，多学多思、多谋多干，在学思践悟中砥砺奋进，为全面推进乡村振兴贡献一份力量。</w:t>
      </w:r>
    </w:p>
    <w:p>
      <w:pPr>
        <w:keepNext w:val="0"/>
        <w:keepLines w:val="0"/>
        <w:pageBreakBefore w:val="0"/>
        <w:kinsoku/>
        <w:wordWrap/>
        <w:overflowPunct/>
        <w:topLinePunct w:val="0"/>
        <w:autoSpaceDE/>
        <w:autoSpaceDN/>
        <w:bidi w:val="0"/>
        <w:spacing w:line="54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zh-CN"/>
        </w:rPr>
        <w:t>（二）专用指标绩效分析。</w:t>
      </w:r>
      <w:r>
        <w:rPr>
          <w:rFonts w:hint="eastAsia" w:ascii="仿宋_GB2312" w:hAnsi="仿宋_GB2312" w:eastAsia="仿宋_GB2312" w:cs="仿宋_GB2312"/>
          <w:bCs/>
          <w:sz w:val="32"/>
          <w:szCs w:val="32"/>
          <w:lang w:val="zh-CN"/>
        </w:rPr>
        <w:t>根据专项预算项目资金支持对象选择所属指标进行绩效分析。支持对象包括产业发展、民生保障、基础设施、行政运转等方面。</w:t>
      </w:r>
    </w:p>
    <w:p>
      <w:pPr>
        <w:keepNext w:val="0"/>
        <w:keepLines w:val="0"/>
        <w:pageBreakBefore w:val="0"/>
        <w:kinsoku/>
        <w:wordWrap/>
        <w:overflowPunct/>
        <w:topLinePunct w:val="0"/>
        <w:autoSpaceDE/>
        <w:autoSpaceDN/>
        <w:bidi w:val="0"/>
        <w:spacing w:line="540" w:lineRule="exact"/>
        <w:ind w:right="0" w:rightChars="0" w:firstLine="640"/>
        <w:textAlignment w:val="auto"/>
        <w:outlineLvl w:val="9"/>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1.产业发展。无</w:t>
      </w:r>
    </w:p>
    <w:p>
      <w:pPr>
        <w:keepNext w:val="0"/>
        <w:keepLines w:val="0"/>
        <w:pageBreakBefore w:val="0"/>
        <w:kinsoku/>
        <w:wordWrap/>
        <w:overflowPunct/>
        <w:topLinePunct w:val="0"/>
        <w:autoSpaceDE/>
        <w:autoSpaceDN/>
        <w:bidi w:val="0"/>
        <w:spacing w:line="540" w:lineRule="exact"/>
        <w:ind w:right="0" w:rightChars="0" w:firstLine="640"/>
        <w:textAlignment w:val="auto"/>
        <w:outlineLvl w:val="9"/>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 xml:space="preserve">2.民生保障。一是组织青少年赴浙江开展“民族团结一家亲  羌山少年心向党”红色传承研学活动。二是组织基层团干部和优秀创业青年赴浙江开展学习交流活动。  </w:t>
      </w:r>
    </w:p>
    <w:p>
      <w:pPr>
        <w:keepNext w:val="0"/>
        <w:keepLines w:val="0"/>
        <w:pageBreakBefore w:val="0"/>
        <w:kinsoku/>
        <w:wordWrap/>
        <w:overflowPunct/>
        <w:topLinePunct w:val="0"/>
        <w:autoSpaceDE/>
        <w:autoSpaceDN/>
        <w:bidi w:val="0"/>
        <w:spacing w:line="540" w:lineRule="exact"/>
        <w:ind w:right="0" w:rightChars="0" w:firstLine="640"/>
        <w:textAlignment w:val="auto"/>
        <w:outlineLvl w:val="9"/>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3.基础设施。无</w:t>
      </w:r>
    </w:p>
    <w:p>
      <w:pPr>
        <w:keepNext w:val="0"/>
        <w:keepLines w:val="0"/>
        <w:pageBreakBefore w:val="0"/>
        <w:kinsoku/>
        <w:wordWrap/>
        <w:overflowPunct/>
        <w:topLinePunct w:val="0"/>
        <w:autoSpaceDE/>
        <w:autoSpaceDN/>
        <w:bidi w:val="0"/>
        <w:spacing w:line="540" w:lineRule="exact"/>
        <w:ind w:right="0" w:rightChars="0" w:firstLine="640"/>
        <w:textAlignment w:val="auto"/>
        <w:outlineLvl w:val="9"/>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t>4.行政运转。无</w:t>
      </w:r>
    </w:p>
    <w:p>
      <w:pPr>
        <w:keepNext w:val="0"/>
        <w:keepLines w:val="0"/>
        <w:pageBreakBefore w:val="0"/>
        <w:kinsoku/>
        <w:wordWrap/>
        <w:overflowPunct/>
        <w:topLinePunct w:val="0"/>
        <w:autoSpaceDE/>
        <w:autoSpaceDN/>
        <w:bidi w:val="0"/>
        <w:spacing w:line="540" w:lineRule="exact"/>
        <w:ind w:right="0" w:rightChars="0" w:firstLine="640"/>
        <w:textAlignment w:val="auto"/>
        <w:outlineLvl w:val="9"/>
        <w:rPr>
          <w:rFonts w:hint="eastAsia" w:ascii="仿宋_GB2312" w:hAnsi="仿宋_GB2312" w:eastAsia="仿宋_GB2312" w:cs="仿宋_GB2312"/>
          <w:bCs/>
          <w:color w:val="000000"/>
          <w:sz w:val="32"/>
          <w:szCs w:val="32"/>
          <w:shd w:val="clear" w:color="auto" w:fill="FFFFFF"/>
          <w:lang w:val="zh-CN"/>
        </w:rPr>
      </w:pPr>
      <w:r>
        <w:rPr>
          <w:rFonts w:hint="eastAsia" w:ascii="仿宋_GB2312" w:hAnsi="仿宋_GB2312" w:eastAsia="仿宋_GB2312" w:cs="仿宋_GB2312"/>
          <w:b/>
          <w:sz w:val="32"/>
          <w:szCs w:val="32"/>
          <w:lang w:val="zh-CN"/>
        </w:rPr>
        <w:t>（三）</w:t>
      </w:r>
      <w:r>
        <w:rPr>
          <w:rFonts w:hint="eastAsia" w:ascii="仿宋_GB2312" w:hAnsi="仿宋_GB2312" w:eastAsia="仿宋_GB2312" w:cs="仿宋_GB2312"/>
          <w:b/>
          <w:sz w:val="32"/>
          <w:szCs w:val="32"/>
        </w:rPr>
        <w:t>个性指标</w:t>
      </w:r>
      <w:r>
        <w:rPr>
          <w:rFonts w:hint="eastAsia" w:ascii="仿宋_GB2312" w:hAnsi="仿宋_GB2312" w:eastAsia="仿宋_GB2312" w:cs="仿宋_GB2312"/>
          <w:b/>
          <w:bCs/>
          <w:color w:val="000000"/>
          <w:sz w:val="32"/>
          <w:szCs w:val="32"/>
          <w:shd w:val="clear" w:color="auto" w:fill="FFFFFF"/>
          <w:lang w:val="zh-CN"/>
        </w:rPr>
        <w:t>绩效分析。</w:t>
      </w:r>
      <w:r>
        <w:rPr>
          <w:rFonts w:hint="eastAsia" w:ascii="仿宋_GB2312" w:hAnsi="仿宋_GB2312" w:eastAsia="仿宋_GB2312" w:cs="仿宋_GB2312"/>
          <w:bCs/>
          <w:color w:val="000000"/>
          <w:sz w:val="32"/>
          <w:szCs w:val="32"/>
          <w:shd w:val="clear" w:color="auto" w:fill="FFFFFF"/>
          <w:lang w:val="zh-CN"/>
        </w:rPr>
        <w:t>团县委组织青少年参加研学交流活动，不仅让学生们走出校园、走出大山，在体验中开拓视野、学习知识，更进一步促进了浙阿两地的山海之情，推动了两地的文化交流。</w:t>
      </w:r>
    </w:p>
    <w:p>
      <w:pPr>
        <w:keepNext w:val="0"/>
        <w:keepLines w:val="0"/>
        <w:pageBreakBefore w:val="0"/>
        <w:kinsoku/>
        <w:wordWrap/>
        <w:overflowPunct/>
        <w:topLinePunct w:val="0"/>
        <w:autoSpaceDE/>
        <w:autoSpaceDN/>
        <w:bidi w:val="0"/>
        <w:spacing w:line="540" w:lineRule="exact"/>
        <w:ind w:right="0" w:rightChars="0" w:firstLine="640"/>
        <w:textAlignment w:val="auto"/>
        <w:outlineLvl w:val="9"/>
        <w:rPr>
          <w:rFonts w:hint="eastAsia" w:ascii="黑体" w:hAnsi="黑体" w:cs="黑体"/>
          <w:b/>
          <w:bCs/>
          <w:sz w:val="32"/>
          <w:szCs w:val="32"/>
        </w:rPr>
      </w:pPr>
      <w:r>
        <w:rPr>
          <w:rFonts w:hint="eastAsia" w:ascii="黑体" w:hAnsi="黑体" w:cs="黑体"/>
          <w:b/>
          <w:bCs/>
          <w:sz w:val="32"/>
          <w:szCs w:val="32"/>
        </w:rPr>
        <w:t>四、评价结论</w:t>
      </w:r>
    </w:p>
    <w:p>
      <w:pPr>
        <w:pStyle w:val="12"/>
        <w:keepNext w:val="0"/>
        <w:keepLines w:val="0"/>
        <w:pageBreakBefore w:val="0"/>
        <w:tabs>
          <w:tab w:val="left" w:pos="2160"/>
        </w:tabs>
        <w:kinsoku/>
        <w:wordWrap/>
        <w:overflowPunct/>
        <w:topLinePunct w:val="0"/>
        <w:autoSpaceDE/>
        <w:autoSpaceDN/>
        <w:bidi w:val="0"/>
        <w:spacing w:beforeLines="0" w:line="540" w:lineRule="exact"/>
        <w:ind w:right="0" w:rightChars="0" w:firstLine="640" w:firstLineChars="200"/>
        <w:textAlignment w:val="auto"/>
        <w:outlineLvl w:val="9"/>
        <w:rPr>
          <w:rFonts w:hint="eastAsia" w:ascii="仿宋_GB2312" w:hAnsi="宋体" w:eastAsia="仿宋_GB2312" w:cs="仿宋_GB2312"/>
          <w:color w:val="000000"/>
          <w:sz w:val="32"/>
          <w:szCs w:val="32"/>
          <w:shd w:val="clear" w:color="auto" w:fill="FFFFFF"/>
          <w:lang w:eastAsia="zh-CN"/>
        </w:rPr>
      </w:pPr>
      <w:r>
        <w:rPr>
          <w:rFonts w:hint="eastAsia" w:hAnsi="宋体" w:cs="仿宋_GB2312"/>
          <w:color w:val="000000"/>
          <w:sz w:val="32"/>
          <w:szCs w:val="32"/>
          <w:shd w:val="clear" w:color="auto" w:fill="FFFFFF"/>
          <w:lang w:eastAsia="zh-CN"/>
        </w:rPr>
        <w:t>通过组织优秀青年开展学习交流活动，激发了优秀创业青年的积极性、主动性、创造性，多学多思、多谋多干，在学思践悟中砥砺奋进，为全面推进乡村振兴贡献一份力量。</w:t>
      </w:r>
    </w:p>
    <w:p>
      <w:pPr>
        <w:pStyle w:val="12"/>
        <w:keepNext w:val="0"/>
        <w:keepLines w:val="0"/>
        <w:pageBreakBefore w:val="0"/>
        <w:tabs>
          <w:tab w:val="left" w:pos="2160"/>
        </w:tabs>
        <w:kinsoku/>
        <w:wordWrap/>
        <w:overflowPunct/>
        <w:topLinePunct w:val="0"/>
        <w:autoSpaceDE/>
        <w:autoSpaceDN/>
        <w:bidi w:val="0"/>
        <w:spacing w:beforeLines="0" w:line="540" w:lineRule="exact"/>
        <w:ind w:right="0" w:rightChars="0" w:firstLine="643" w:firstLineChars="200"/>
        <w:textAlignment w:val="auto"/>
        <w:outlineLvl w:val="9"/>
        <w:rPr>
          <w:rFonts w:hint="eastAsia" w:ascii="黑体" w:hAnsi="黑体" w:cs="黑体"/>
          <w:b/>
          <w:bCs/>
          <w:sz w:val="32"/>
          <w:szCs w:val="32"/>
          <w:lang w:eastAsia="zh-CN"/>
        </w:rPr>
      </w:pPr>
      <w:r>
        <w:rPr>
          <w:rFonts w:hint="eastAsia" w:ascii="黑体" w:hAnsi="黑体" w:cs="黑体"/>
          <w:b/>
          <w:bCs/>
          <w:sz w:val="32"/>
          <w:szCs w:val="32"/>
          <w:lang w:eastAsia="zh-CN"/>
        </w:rPr>
        <w:t>五、存在主要问题</w:t>
      </w:r>
    </w:p>
    <w:p>
      <w:pPr>
        <w:pStyle w:val="12"/>
        <w:keepNext w:val="0"/>
        <w:keepLines w:val="0"/>
        <w:pageBreakBefore w:val="0"/>
        <w:tabs>
          <w:tab w:val="left" w:pos="2160"/>
        </w:tabs>
        <w:kinsoku/>
        <w:wordWrap/>
        <w:overflowPunct/>
        <w:topLinePunct w:val="0"/>
        <w:autoSpaceDE/>
        <w:autoSpaceDN/>
        <w:bidi w:val="0"/>
        <w:spacing w:beforeLines="0" w:line="540" w:lineRule="exact"/>
        <w:ind w:right="0" w:rightChars="0" w:firstLine="640" w:firstLineChars="200"/>
        <w:textAlignment w:val="auto"/>
        <w:outlineLvl w:val="9"/>
        <w:rPr>
          <w:rFonts w:hint="eastAsia" w:ascii="仿宋_GB2312" w:hAnsi="仿宋_GB2312" w:eastAsia="仿宋_GB2312" w:cs="仿宋_GB2312"/>
          <w:kern w:val="2"/>
          <w:position w:val="0"/>
          <w:sz w:val="32"/>
          <w:szCs w:val="32"/>
          <w:lang w:eastAsia="zh-CN"/>
        </w:rPr>
      </w:pPr>
      <w:r>
        <w:rPr>
          <w:rFonts w:hint="eastAsia" w:ascii="仿宋_GB2312" w:hAnsi="仿宋_GB2312" w:eastAsia="仿宋_GB2312" w:cs="仿宋_GB2312"/>
          <w:position w:val="0"/>
          <w:sz w:val="32"/>
          <w:szCs w:val="32"/>
          <w:lang w:eastAsia="zh-CN"/>
        </w:rPr>
        <w:t>无。</w:t>
      </w:r>
    </w:p>
    <w:p>
      <w:pPr>
        <w:pStyle w:val="12"/>
        <w:keepNext w:val="0"/>
        <w:keepLines w:val="0"/>
        <w:pageBreakBefore w:val="0"/>
        <w:tabs>
          <w:tab w:val="left" w:pos="2160"/>
        </w:tabs>
        <w:kinsoku/>
        <w:wordWrap/>
        <w:overflowPunct/>
        <w:topLinePunct w:val="0"/>
        <w:autoSpaceDE/>
        <w:autoSpaceDN/>
        <w:bidi w:val="0"/>
        <w:spacing w:beforeLines="0" w:line="540" w:lineRule="exact"/>
        <w:ind w:right="0" w:rightChars="0" w:firstLine="643" w:firstLineChars="200"/>
        <w:textAlignment w:val="auto"/>
        <w:outlineLvl w:val="9"/>
        <w:rPr>
          <w:rFonts w:hint="eastAsia" w:ascii="黑体" w:hAnsi="黑体" w:cs="黑体"/>
          <w:b/>
          <w:bCs/>
          <w:sz w:val="32"/>
          <w:szCs w:val="32"/>
          <w:lang w:val="zh-CN" w:eastAsia="zh-CN"/>
        </w:rPr>
      </w:pPr>
      <w:r>
        <w:rPr>
          <w:rFonts w:hint="eastAsia" w:ascii="黑体" w:hAnsi="黑体" w:cs="黑体"/>
          <w:b/>
          <w:bCs/>
          <w:sz w:val="32"/>
          <w:szCs w:val="32"/>
          <w:lang w:val="zh-CN" w:eastAsia="zh-CN"/>
        </w:rPr>
        <w:t>六、改进建议</w:t>
      </w:r>
    </w:p>
    <w:p>
      <w:pPr>
        <w:keepNext w:val="0"/>
        <w:keepLines w:val="0"/>
        <w:pageBreakBefore w:val="0"/>
        <w:tabs>
          <w:tab w:val="left" w:pos="1911"/>
        </w:tabs>
        <w:kinsoku/>
        <w:wordWrap/>
        <w:overflowPunct/>
        <w:topLinePunct w:val="0"/>
        <w:autoSpaceDE/>
        <w:autoSpaceDN/>
        <w:bidi w:val="0"/>
        <w:spacing w:line="540" w:lineRule="exact"/>
        <w:ind w:right="0" w:rightChars="0"/>
        <w:jc w:val="left"/>
        <w:textAlignment w:val="auto"/>
        <w:outlineLvl w:val="9"/>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shd w:val="clear" w:color="auto" w:fill="FFFFFF"/>
          <w:lang w:val="zh-CN"/>
        </w:rPr>
        <w:t xml:space="preserve"> </w:t>
      </w:r>
      <w:r>
        <w:rPr>
          <w:rFonts w:hint="eastAsia"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sz w:val="32"/>
          <w:szCs w:val="32"/>
        </w:rPr>
        <w:t xml:space="preserve"> 无。</w:t>
      </w:r>
    </w:p>
    <w:p>
      <w:pPr>
        <w:keepNext w:val="0"/>
        <w:keepLines w:val="0"/>
        <w:pageBreakBefore w:val="0"/>
        <w:kinsoku/>
        <w:wordWrap/>
        <w:overflowPunct/>
        <w:topLinePunct w:val="0"/>
        <w:autoSpaceDE/>
        <w:autoSpaceDN/>
        <w:bidi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shd w:val="clear" w:color="auto" w:fill="FFFFFF"/>
          <w:lang w:val="zh-CN"/>
        </w:rPr>
      </w:pPr>
    </w:p>
    <w:p>
      <w:pPr>
        <w:keepNext w:val="0"/>
        <w:keepLines w:val="0"/>
        <w:pageBreakBefore w:val="0"/>
        <w:kinsoku/>
        <w:wordWrap/>
        <w:overflowPunct/>
        <w:topLinePunct w:val="0"/>
        <w:autoSpaceDE/>
        <w:autoSpaceDN/>
        <w:bidi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附表：1.项目资金分配涉及所有点位自评得分情况表</w:t>
      </w:r>
    </w:p>
    <w:p>
      <w:pPr>
        <w:keepNext w:val="0"/>
        <w:keepLines w:val="0"/>
        <w:pageBreakBefore w:val="0"/>
        <w:kinsoku/>
        <w:wordWrap/>
        <w:overflowPunct/>
        <w:topLinePunct w:val="0"/>
        <w:autoSpaceDE/>
        <w:autoSpaceDN/>
        <w:bidi w:val="0"/>
        <w:snapToGrid w:val="0"/>
        <w:spacing w:line="560" w:lineRule="exact"/>
        <w:ind w:firstLine="1600" w:firstLineChars="500"/>
        <w:textAlignment w:val="auto"/>
        <w:outlineLvl w:val="9"/>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2.专项预算项目绩效目标完成情况自评表</w:t>
      </w:r>
    </w:p>
    <w:p>
      <w:pPr>
        <w:pageBreakBefore w:val="0"/>
        <w:kinsoku/>
        <w:wordWrap/>
        <w:overflowPunct/>
        <w:topLinePunct w:val="0"/>
        <w:autoSpaceDE/>
        <w:autoSpaceDN/>
        <w:bidi w:val="0"/>
        <w:adjustRightInd w:val="0"/>
        <w:snapToGrid w:val="0"/>
        <w:spacing w:line="578" w:lineRule="exact"/>
        <w:outlineLvl w:val="9"/>
        <w:rPr>
          <w:rFonts w:hint="eastAsia" w:ascii="方正黑体_GBK" w:eastAsia="方正黑体_GBK" w:cs="Times New Roman"/>
          <w:kern w:val="2"/>
          <w:sz w:val="32"/>
          <w:szCs w:val="32"/>
        </w:rPr>
      </w:pPr>
    </w:p>
    <w:p>
      <w:pPr>
        <w:pageBreakBefore w:val="0"/>
        <w:widowControl/>
        <w:kinsoku/>
        <w:wordWrap/>
        <w:overflowPunct/>
        <w:topLinePunct w:val="0"/>
        <w:autoSpaceDE/>
        <w:autoSpaceDN/>
        <w:bidi w:val="0"/>
        <w:adjustRightInd w:val="0"/>
        <w:snapToGrid w:val="0"/>
        <w:spacing w:line="578" w:lineRule="exact"/>
        <w:contextualSpacing/>
        <w:jc w:val="left"/>
        <w:outlineLvl w:val="9"/>
        <w:rPr>
          <w:rFonts w:hint="eastAsia" w:ascii="黑体" w:hAnsi="黑体" w:eastAsia="黑体" w:cs="黑体"/>
          <w:sz w:val="32"/>
          <w:szCs w:val="32"/>
          <w:shd w:val="clear" w:color="auto" w:fill="FFFFFF"/>
          <w:lang w:val="zh-CN"/>
        </w:rPr>
      </w:pPr>
    </w:p>
    <w:p>
      <w:pPr>
        <w:pStyle w:val="2"/>
        <w:pageBreakBefore w:val="0"/>
        <w:kinsoku/>
        <w:wordWrap/>
        <w:overflowPunct/>
        <w:topLinePunct w:val="0"/>
        <w:autoSpaceDE/>
        <w:autoSpaceDN/>
        <w:bidi w:val="0"/>
        <w:outlineLvl w:val="9"/>
        <w:rPr>
          <w:rFonts w:hint="eastAsia" w:ascii="黑体" w:hAnsi="黑体" w:eastAsia="黑体" w:cs="黑体"/>
          <w:sz w:val="32"/>
          <w:szCs w:val="32"/>
          <w:shd w:val="clear" w:color="auto" w:fill="FFFFFF"/>
          <w:lang w:val="zh-CN"/>
        </w:rPr>
      </w:pPr>
    </w:p>
    <w:p>
      <w:pPr>
        <w:pStyle w:val="3"/>
        <w:pageBreakBefore w:val="0"/>
        <w:kinsoku/>
        <w:wordWrap/>
        <w:overflowPunct/>
        <w:topLinePunct w:val="0"/>
        <w:autoSpaceDE/>
        <w:autoSpaceDN/>
        <w:bidi w:val="0"/>
        <w:outlineLvl w:val="9"/>
        <w:rPr>
          <w:rFonts w:hint="eastAsia" w:ascii="黑体" w:hAnsi="黑体" w:eastAsia="黑体" w:cs="黑体"/>
          <w:sz w:val="32"/>
          <w:szCs w:val="32"/>
          <w:shd w:val="clear" w:color="auto" w:fill="FFFFFF"/>
          <w:lang w:val="zh-CN"/>
        </w:rPr>
      </w:pPr>
    </w:p>
    <w:p>
      <w:pPr>
        <w:pStyle w:val="3"/>
        <w:pageBreakBefore w:val="0"/>
        <w:kinsoku/>
        <w:wordWrap/>
        <w:overflowPunct/>
        <w:topLinePunct w:val="0"/>
        <w:autoSpaceDE/>
        <w:autoSpaceDN/>
        <w:bidi w:val="0"/>
        <w:outlineLvl w:val="9"/>
        <w:rPr>
          <w:rFonts w:hint="eastAsia" w:ascii="黑体" w:hAnsi="黑体" w:eastAsia="黑体" w:cs="黑体"/>
          <w:sz w:val="32"/>
          <w:szCs w:val="32"/>
          <w:shd w:val="clear" w:color="auto" w:fill="FFFFFF"/>
          <w:lang w:val="zh-CN"/>
        </w:rPr>
      </w:pPr>
    </w:p>
    <w:p>
      <w:pPr>
        <w:pStyle w:val="3"/>
        <w:pageBreakBefore w:val="0"/>
        <w:kinsoku/>
        <w:wordWrap/>
        <w:overflowPunct/>
        <w:topLinePunct w:val="0"/>
        <w:autoSpaceDE/>
        <w:autoSpaceDN/>
        <w:bidi w:val="0"/>
        <w:outlineLvl w:val="9"/>
        <w:rPr>
          <w:rFonts w:hint="eastAsia" w:ascii="黑体" w:hAnsi="黑体" w:eastAsia="黑体" w:cs="黑体"/>
          <w:sz w:val="32"/>
          <w:szCs w:val="32"/>
          <w:shd w:val="clear" w:color="auto" w:fill="FFFFFF"/>
          <w:lang w:val="zh-CN"/>
        </w:rPr>
      </w:pPr>
    </w:p>
    <w:p>
      <w:pPr>
        <w:pStyle w:val="3"/>
        <w:pageBreakBefore w:val="0"/>
        <w:kinsoku/>
        <w:wordWrap/>
        <w:overflowPunct/>
        <w:topLinePunct w:val="0"/>
        <w:autoSpaceDE/>
        <w:autoSpaceDN/>
        <w:bidi w:val="0"/>
        <w:outlineLvl w:val="9"/>
        <w:rPr>
          <w:rFonts w:hint="eastAsia" w:ascii="黑体" w:hAnsi="黑体" w:eastAsia="黑体" w:cs="黑体"/>
          <w:sz w:val="32"/>
          <w:szCs w:val="32"/>
          <w:shd w:val="clear" w:color="auto" w:fill="FFFFFF"/>
          <w:lang w:val="zh-CN"/>
        </w:rPr>
      </w:pPr>
    </w:p>
    <w:p>
      <w:pPr>
        <w:pStyle w:val="3"/>
        <w:pageBreakBefore w:val="0"/>
        <w:kinsoku/>
        <w:wordWrap/>
        <w:overflowPunct/>
        <w:topLinePunct w:val="0"/>
        <w:autoSpaceDE/>
        <w:autoSpaceDN/>
        <w:bidi w:val="0"/>
        <w:outlineLvl w:val="9"/>
        <w:rPr>
          <w:rFonts w:hint="eastAsia" w:ascii="黑体" w:hAnsi="黑体" w:eastAsia="黑体" w:cs="黑体"/>
          <w:sz w:val="32"/>
          <w:szCs w:val="32"/>
          <w:shd w:val="clear" w:color="auto" w:fill="FFFFFF"/>
          <w:lang w:val="zh-CN"/>
        </w:rPr>
      </w:pPr>
    </w:p>
    <w:p>
      <w:pPr>
        <w:pStyle w:val="3"/>
        <w:pageBreakBefore w:val="0"/>
        <w:kinsoku/>
        <w:wordWrap/>
        <w:overflowPunct/>
        <w:topLinePunct w:val="0"/>
        <w:autoSpaceDE/>
        <w:autoSpaceDN/>
        <w:bidi w:val="0"/>
        <w:outlineLvl w:val="9"/>
        <w:rPr>
          <w:rFonts w:hint="eastAsia" w:ascii="黑体" w:hAnsi="黑体" w:eastAsia="黑体" w:cs="黑体"/>
          <w:sz w:val="32"/>
          <w:szCs w:val="32"/>
          <w:shd w:val="clear" w:color="auto" w:fill="FFFFFF"/>
          <w:lang w:val="zh-CN"/>
        </w:rPr>
      </w:pPr>
    </w:p>
    <w:p>
      <w:pPr>
        <w:pStyle w:val="3"/>
        <w:pageBreakBefore w:val="0"/>
        <w:kinsoku/>
        <w:wordWrap/>
        <w:overflowPunct/>
        <w:topLinePunct w:val="0"/>
        <w:autoSpaceDE/>
        <w:autoSpaceDN/>
        <w:bidi w:val="0"/>
        <w:outlineLvl w:val="9"/>
        <w:rPr>
          <w:rFonts w:hint="eastAsia" w:ascii="黑体" w:hAnsi="黑体" w:eastAsia="黑体" w:cs="黑体"/>
          <w:sz w:val="32"/>
          <w:szCs w:val="32"/>
          <w:shd w:val="clear" w:color="auto" w:fill="FFFFFF"/>
          <w:lang w:val="zh-CN"/>
        </w:rPr>
      </w:pPr>
    </w:p>
    <w:p>
      <w:pPr>
        <w:pStyle w:val="3"/>
        <w:pageBreakBefore w:val="0"/>
        <w:kinsoku/>
        <w:wordWrap/>
        <w:overflowPunct/>
        <w:topLinePunct w:val="0"/>
        <w:autoSpaceDE/>
        <w:autoSpaceDN/>
        <w:bidi w:val="0"/>
        <w:outlineLvl w:val="9"/>
        <w:rPr>
          <w:rFonts w:hint="eastAsia" w:ascii="黑体" w:hAnsi="黑体" w:eastAsia="黑体" w:cs="黑体"/>
          <w:sz w:val="32"/>
          <w:szCs w:val="32"/>
          <w:shd w:val="clear" w:color="auto" w:fill="FFFFFF"/>
          <w:lang w:val="zh-CN"/>
        </w:rPr>
      </w:pPr>
    </w:p>
    <w:p>
      <w:pPr>
        <w:pStyle w:val="3"/>
        <w:pageBreakBefore w:val="0"/>
        <w:kinsoku/>
        <w:wordWrap/>
        <w:overflowPunct/>
        <w:topLinePunct w:val="0"/>
        <w:autoSpaceDE/>
        <w:autoSpaceDN/>
        <w:bidi w:val="0"/>
        <w:outlineLvl w:val="9"/>
        <w:rPr>
          <w:rFonts w:hint="eastAsia" w:ascii="黑体" w:hAnsi="黑体" w:eastAsia="黑体" w:cs="黑体"/>
          <w:sz w:val="32"/>
          <w:szCs w:val="32"/>
          <w:shd w:val="clear" w:color="auto" w:fill="FFFFFF"/>
          <w:lang w:val="zh-CN"/>
        </w:rPr>
      </w:pPr>
    </w:p>
    <w:p>
      <w:pPr>
        <w:pageBreakBefore w:val="0"/>
        <w:widowControl/>
        <w:kinsoku/>
        <w:wordWrap/>
        <w:overflowPunct/>
        <w:topLinePunct w:val="0"/>
        <w:autoSpaceDE/>
        <w:autoSpaceDN/>
        <w:bidi w:val="0"/>
        <w:adjustRightInd w:val="0"/>
        <w:snapToGrid w:val="0"/>
        <w:spacing w:line="578" w:lineRule="exact"/>
        <w:contextualSpacing/>
        <w:jc w:val="left"/>
        <w:outlineLvl w:val="9"/>
        <w:rPr>
          <w:rFonts w:hint="eastAsia" w:ascii="黑体" w:hAnsi="黑体" w:eastAsia="黑体" w:cs="黑体"/>
          <w:sz w:val="30"/>
          <w:szCs w:val="30"/>
          <w:shd w:val="clear" w:color="auto" w:fill="FFFFFF"/>
        </w:rPr>
      </w:pPr>
      <w:r>
        <w:rPr>
          <w:rFonts w:hint="eastAsia" w:ascii="黑体" w:hAnsi="黑体" w:eastAsia="黑体" w:cs="黑体"/>
          <w:sz w:val="30"/>
          <w:szCs w:val="30"/>
          <w:shd w:val="clear" w:color="auto" w:fill="FFFFFF"/>
          <w:lang w:val="zh-CN"/>
        </w:rPr>
        <w:t>附表</w:t>
      </w:r>
      <w:r>
        <w:rPr>
          <w:rFonts w:hint="eastAsia" w:ascii="黑体" w:hAnsi="黑体" w:eastAsia="黑体" w:cs="黑体"/>
          <w:sz w:val="30"/>
          <w:szCs w:val="30"/>
          <w:shd w:val="clear" w:color="auto" w:fill="FFFFFF"/>
        </w:rPr>
        <w:t>1</w:t>
      </w:r>
    </w:p>
    <w:p>
      <w:pPr>
        <w:pageBreakBefore w:val="0"/>
        <w:widowControl/>
        <w:kinsoku/>
        <w:wordWrap/>
        <w:overflowPunct/>
        <w:topLinePunct w:val="0"/>
        <w:autoSpaceDE/>
        <w:autoSpaceDN/>
        <w:bidi w:val="0"/>
        <w:adjustRightInd w:val="0"/>
        <w:snapToGrid w:val="0"/>
        <w:spacing w:line="578" w:lineRule="exact"/>
        <w:ind w:firstLine="400" w:firstLineChars="100"/>
        <w:contextualSpacing/>
        <w:jc w:val="left"/>
        <w:outlineLvl w:val="9"/>
        <w:rPr>
          <w:rFonts w:hint="eastAsia" w:ascii="方正小标宋_GBK" w:hAnsi="方正小标宋_GBK" w:eastAsia="方正小标宋_GBK" w:cs="方正小标宋_GBK"/>
          <w:sz w:val="40"/>
          <w:szCs w:val="40"/>
        </w:rPr>
      </w:pPr>
    </w:p>
    <w:p>
      <w:pPr>
        <w:pageBreakBefore w:val="0"/>
        <w:widowControl/>
        <w:kinsoku/>
        <w:wordWrap/>
        <w:overflowPunct/>
        <w:topLinePunct w:val="0"/>
        <w:autoSpaceDE/>
        <w:autoSpaceDN/>
        <w:bidi w:val="0"/>
        <w:adjustRightInd w:val="0"/>
        <w:snapToGrid w:val="0"/>
        <w:spacing w:line="578" w:lineRule="exact"/>
        <w:ind w:firstLine="400" w:firstLineChars="100"/>
        <w:contextualSpacing/>
        <w:jc w:val="left"/>
        <w:outlineLvl w:val="9"/>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项目资金分配涉及所有点位自评得分情况表</w:t>
      </w:r>
    </w:p>
    <w:tbl>
      <w:tblPr>
        <w:tblStyle w:val="26"/>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2678"/>
        <w:gridCol w:w="2410"/>
        <w:gridCol w:w="2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exact"/>
          <w:jc w:val="center"/>
        </w:trPr>
        <w:tc>
          <w:tcPr>
            <w:tcW w:w="1123" w:type="dxa"/>
            <w:noWrap w:val="0"/>
            <w:vAlign w:val="center"/>
          </w:tcPr>
          <w:p>
            <w:pPr>
              <w:pageBreakBefore w:val="0"/>
              <w:kinsoku/>
              <w:wordWrap/>
              <w:overflowPunct/>
              <w:topLinePunct w:val="0"/>
              <w:autoSpaceDE/>
              <w:autoSpaceDN/>
              <w:bidi w:val="0"/>
              <w:spacing w:line="300" w:lineRule="exact"/>
              <w:jc w:val="center"/>
              <w:outlineLvl w:val="9"/>
              <w:rPr>
                <w:rFonts w:hint="eastAsia" w:ascii="黑体" w:hAnsi="黑体" w:eastAsia="黑体"/>
                <w:sz w:val="24"/>
              </w:rPr>
            </w:pPr>
            <w:r>
              <w:rPr>
                <w:rFonts w:hint="eastAsia" w:ascii="黑体" w:hAnsi="黑体" w:eastAsia="黑体"/>
                <w:sz w:val="24"/>
              </w:rPr>
              <w:t>序号</w:t>
            </w:r>
          </w:p>
        </w:tc>
        <w:tc>
          <w:tcPr>
            <w:tcW w:w="2678" w:type="dxa"/>
            <w:noWrap w:val="0"/>
            <w:vAlign w:val="center"/>
          </w:tcPr>
          <w:p>
            <w:pPr>
              <w:pageBreakBefore w:val="0"/>
              <w:kinsoku/>
              <w:wordWrap/>
              <w:overflowPunct/>
              <w:topLinePunct w:val="0"/>
              <w:autoSpaceDE/>
              <w:autoSpaceDN/>
              <w:bidi w:val="0"/>
              <w:spacing w:line="300" w:lineRule="exact"/>
              <w:jc w:val="center"/>
              <w:outlineLvl w:val="9"/>
              <w:rPr>
                <w:rFonts w:hint="eastAsia" w:ascii="黑体" w:hAnsi="黑体" w:eastAsia="黑体"/>
                <w:sz w:val="24"/>
                <w:lang w:val="en"/>
              </w:rPr>
            </w:pPr>
            <w:r>
              <w:rPr>
                <w:rFonts w:hint="eastAsia" w:ascii="黑体" w:hAnsi="黑体" w:eastAsia="黑体"/>
                <w:sz w:val="24"/>
              </w:rPr>
              <w:t>项目资金末端分配点位</w:t>
            </w:r>
          </w:p>
        </w:tc>
        <w:tc>
          <w:tcPr>
            <w:tcW w:w="2410" w:type="dxa"/>
            <w:noWrap w:val="0"/>
            <w:vAlign w:val="center"/>
          </w:tcPr>
          <w:p>
            <w:pPr>
              <w:pageBreakBefore w:val="0"/>
              <w:kinsoku/>
              <w:wordWrap/>
              <w:overflowPunct/>
              <w:topLinePunct w:val="0"/>
              <w:autoSpaceDE/>
              <w:autoSpaceDN/>
              <w:bidi w:val="0"/>
              <w:spacing w:line="300" w:lineRule="exact"/>
              <w:jc w:val="center"/>
              <w:outlineLvl w:val="9"/>
              <w:rPr>
                <w:rFonts w:hint="eastAsia" w:ascii="黑体" w:hAnsi="黑体" w:eastAsia="黑体"/>
                <w:sz w:val="24"/>
              </w:rPr>
            </w:pPr>
            <w:r>
              <w:rPr>
                <w:rFonts w:hint="eastAsia" w:ascii="黑体" w:hAnsi="黑体" w:eastAsia="黑体"/>
                <w:sz w:val="24"/>
                <w:lang w:val="en"/>
              </w:rPr>
              <w:t>自评得分（百分制）</w:t>
            </w:r>
          </w:p>
        </w:tc>
        <w:tc>
          <w:tcPr>
            <w:tcW w:w="2609" w:type="dxa"/>
            <w:noWrap w:val="0"/>
            <w:vAlign w:val="center"/>
          </w:tcPr>
          <w:p>
            <w:pPr>
              <w:pageBreakBefore w:val="0"/>
              <w:kinsoku/>
              <w:wordWrap/>
              <w:overflowPunct/>
              <w:topLinePunct w:val="0"/>
              <w:autoSpaceDE/>
              <w:autoSpaceDN/>
              <w:bidi w:val="0"/>
              <w:spacing w:line="300" w:lineRule="exact"/>
              <w:jc w:val="center"/>
              <w:outlineLvl w:val="9"/>
              <w:rPr>
                <w:rFonts w:hint="eastAsia" w:ascii="黑体" w:hAnsi="黑体" w:eastAsia="黑体"/>
                <w:sz w:val="24"/>
              </w:rPr>
            </w:pPr>
            <w:r>
              <w:rPr>
                <w:rFonts w:hint="eastAsia" w:ascii="黑体" w:hAnsi="黑体" w:eastAsia="黑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3" w:type="dxa"/>
            <w:noWrap w:val="0"/>
            <w:vAlign w:val="center"/>
          </w:tcPr>
          <w:p>
            <w:pPr>
              <w:pageBreakBefore w:val="0"/>
              <w:kinsoku/>
              <w:wordWrap/>
              <w:overflowPunct/>
              <w:topLinePunct w:val="0"/>
              <w:autoSpaceDE/>
              <w:autoSpaceDN/>
              <w:bidi w:val="0"/>
              <w:spacing w:line="300" w:lineRule="exact"/>
              <w:jc w:val="center"/>
              <w:outlineLvl w:val="9"/>
              <w:rPr>
                <w:rFonts w:hint="eastAsia" w:ascii="仿宋_GB2312" w:hAnsi="黑体" w:eastAsia="仿宋_GB2312"/>
                <w:sz w:val="24"/>
              </w:rPr>
            </w:pPr>
            <w:r>
              <w:rPr>
                <w:rFonts w:hint="eastAsia" w:ascii="仿宋_GB2312" w:hAnsi="黑体" w:eastAsia="仿宋_GB2312"/>
                <w:sz w:val="24"/>
              </w:rPr>
              <w:t>1</w:t>
            </w:r>
          </w:p>
        </w:tc>
        <w:tc>
          <w:tcPr>
            <w:tcW w:w="2678" w:type="dxa"/>
            <w:noWrap w:val="0"/>
            <w:vAlign w:val="center"/>
          </w:tcPr>
          <w:p>
            <w:pPr>
              <w:pageBreakBefore w:val="0"/>
              <w:kinsoku/>
              <w:wordWrap/>
              <w:overflowPunct/>
              <w:topLinePunct w:val="0"/>
              <w:autoSpaceDE/>
              <w:autoSpaceDN/>
              <w:bidi w:val="0"/>
              <w:spacing w:line="300" w:lineRule="exact"/>
              <w:jc w:val="center"/>
              <w:outlineLvl w:val="9"/>
              <w:rPr>
                <w:rFonts w:hint="eastAsia" w:ascii="仿宋_GB2312" w:hAnsi="黑体" w:eastAsia="仿宋_GB2312"/>
                <w:sz w:val="24"/>
                <w:lang w:val="en"/>
              </w:rPr>
            </w:pPr>
            <w:r>
              <w:rPr>
                <w:rFonts w:hint="eastAsia" w:ascii="仿宋_GB2312" w:hAnsi="黑体" w:eastAsia="仿宋_GB2312"/>
                <w:sz w:val="24"/>
                <w:lang w:val="en"/>
              </w:rPr>
              <w:t>共青团茂县委员会</w:t>
            </w:r>
          </w:p>
        </w:tc>
        <w:tc>
          <w:tcPr>
            <w:tcW w:w="2410" w:type="dxa"/>
            <w:noWrap w:val="0"/>
            <w:vAlign w:val="center"/>
          </w:tcPr>
          <w:p>
            <w:pPr>
              <w:pageBreakBefore w:val="0"/>
              <w:kinsoku/>
              <w:wordWrap/>
              <w:overflowPunct/>
              <w:topLinePunct w:val="0"/>
              <w:autoSpaceDE/>
              <w:autoSpaceDN/>
              <w:bidi w:val="0"/>
              <w:spacing w:line="300" w:lineRule="exact"/>
              <w:jc w:val="center"/>
              <w:outlineLvl w:val="9"/>
              <w:rPr>
                <w:rFonts w:hint="eastAsia" w:ascii="仿宋_GB2312" w:hAnsi="黑体" w:eastAsia="仿宋_GB2312"/>
                <w:sz w:val="24"/>
                <w:lang w:val="en"/>
              </w:rPr>
            </w:pPr>
            <w:r>
              <w:rPr>
                <w:rFonts w:hint="eastAsia" w:ascii="仿宋_GB2312" w:hAnsi="黑体" w:eastAsia="仿宋_GB2312"/>
                <w:sz w:val="24"/>
              </w:rPr>
              <w:t>94</w:t>
            </w:r>
          </w:p>
        </w:tc>
        <w:tc>
          <w:tcPr>
            <w:tcW w:w="2609" w:type="dxa"/>
            <w:noWrap w:val="0"/>
            <w:vAlign w:val="center"/>
          </w:tcPr>
          <w:p>
            <w:pPr>
              <w:pageBreakBefore w:val="0"/>
              <w:kinsoku/>
              <w:wordWrap/>
              <w:overflowPunct/>
              <w:topLinePunct w:val="0"/>
              <w:autoSpaceDE/>
              <w:autoSpaceDN/>
              <w:bidi w:val="0"/>
              <w:spacing w:line="300" w:lineRule="exact"/>
              <w:jc w:val="left"/>
              <w:outlineLvl w:val="9"/>
              <w:rPr>
                <w:rFonts w:hint="eastAsia" w:ascii="仿宋_GB2312" w:hAnsi="黑体" w:eastAsia="仿宋_GB2312"/>
                <w:sz w:val="24"/>
              </w:rPr>
            </w:pPr>
            <w:r>
              <w:rPr>
                <w:rFonts w:hint="eastAsia" w:ascii="仿宋_GB2312" w:hAnsi="黑体" w:eastAsia="仿宋_GB2312"/>
                <w:sz w:val="24"/>
              </w:rPr>
              <w:t>开展青少年及青年交融交往活动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3" w:type="dxa"/>
            <w:noWrap w:val="0"/>
            <w:vAlign w:val="top"/>
          </w:tcPr>
          <w:p>
            <w:pPr>
              <w:pageBreakBefore w:val="0"/>
              <w:kinsoku/>
              <w:wordWrap/>
              <w:overflowPunct/>
              <w:topLinePunct w:val="0"/>
              <w:autoSpaceDE/>
              <w:autoSpaceDN/>
              <w:bidi w:val="0"/>
              <w:spacing w:line="300" w:lineRule="exact"/>
              <w:jc w:val="center"/>
              <w:outlineLvl w:val="9"/>
              <w:rPr>
                <w:rFonts w:hint="eastAsia" w:ascii="黑体" w:hAnsi="黑体" w:eastAsia="黑体"/>
                <w:sz w:val="24"/>
              </w:rPr>
            </w:pPr>
          </w:p>
        </w:tc>
        <w:tc>
          <w:tcPr>
            <w:tcW w:w="2678"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410"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609"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3" w:type="dxa"/>
            <w:noWrap w:val="0"/>
            <w:vAlign w:val="top"/>
          </w:tcPr>
          <w:p>
            <w:pPr>
              <w:pageBreakBefore w:val="0"/>
              <w:kinsoku/>
              <w:wordWrap/>
              <w:overflowPunct/>
              <w:topLinePunct w:val="0"/>
              <w:autoSpaceDE/>
              <w:autoSpaceDN/>
              <w:bidi w:val="0"/>
              <w:spacing w:line="300" w:lineRule="exact"/>
              <w:jc w:val="center"/>
              <w:outlineLvl w:val="9"/>
              <w:rPr>
                <w:rFonts w:hint="eastAsia" w:ascii="黑体" w:hAnsi="黑体" w:eastAsia="黑体"/>
                <w:sz w:val="24"/>
              </w:rPr>
            </w:pPr>
          </w:p>
        </w:tc>
        <w:tc>
          <w:tcPr>
            <w:tcW w:w="2678"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410"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609"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3" w:type="dxa"/>
            <w:noWrap w:val="0"/>
            <w:vAlign w:val="top"/>
          </w:tcPr>
          <w:p>
            <w:pPr>
              <w:pageBreakBefore w:val="0"/>
              <w:kinsoku/>
              <w:wordWrap/>
              <w:overflowPunct/>
              <w:topLinePunct w:val="0"/>
              <w:autoSpaceDE/>
              <w:autoSpaceDN/>
              <w:bidi w:val="0"/>
              <w:spacing w:line="300" w:lineRule="exact"/>
              <w:jc w:val="center"/>
              <w:outlineLvl w:val="9"/>
              <w:rPr>
                <w:rFonts w:hint="eastAsia" w:ascii="黑体" w:hAnsi="黑体" w:eastAsia="黑体"/>
                <w:sz w:val="24"/>
              </w:rPr>
            </w:pPr>
          </w:p>
        </w:tc>
        <w:tc>
          <w:tcPr>
            <w:tcW w:w="2678"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410"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609"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3" w:type="dxa"/>
            <w:noWrap w:val="0"/>
            <w:vAlign w:val="top"/>
          </w:tcPr>
          <w:p>
            <w:pPr>
              <w:pageBreakBefore w:val="0"/>
              <w:kinsoku/>
              <w:wordWrap/>
              <w:overflowPunct/>
              <w:topLinePunct w:val="0"/>
              <w:autoSpaceDE/>
              <w:autoSpaceDN/>
              <w:bidi w:val="0"/>
              <w:spacing w:line="300" w:lineRule="exact"/>
              <w:jc w:val="center"/>
              <w:outlineLvl w:val="9"/>
              <w:rPr>
                <w:rFonts w:hint="eastAsia" w:ascii="黑体" w:hAnsi="黑体" w:eastAsia="黑体"/>
                <w:sz w:val="24"/>
              </w:rPr>
            </w:pPr>
          </w:p>
        </w:tc>
        <w:tc>
          <w:tcPr>
            <w:tcW w:w="2678"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410"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609"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3" w:type="dxa"/>
            <w:noWrap w:val="0"/>
            <w:vAlign w:val="top"/>
          </w:tcPr>
          <w:p>
            <w:pPr>
              <w:pageBreakBefore w:val="0"/>
              <w:kinsoku/>
              <w:wordWrap/>
              <w:overflowPunct/>
              <w:topLinePunct w:val="0"/>
              <w:autoSpaceDE/>
              <w:autoSpaceDN/>
              <w:bidi w:val="0"/>
              <w:spacing w:line="300" w:lineRule="exact"/>
              <w:jc w:val="center"/>
              <w:outlineLvl w:val="9"/>
              <w:rPr>
                <w:rFonts w:hint="eastAsia" w:ascii="黑体" w:hAnsi="黑体" w:eastAsia="黑体"/>
                <w:sz w:val="24"/>
              </w:rPr>
            </w:pPr>
          </w:p>
        </w:tc>
        <w:tc>
          <w:tcPr>
            <w:tcW w:w="2678"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410"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609"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3" w:type="dxa"/>
            <w:noWrap w:val="0"/>
            <w:vAlign w:val="top"/>
          </w:tcPr>
          <w:p>
            <w:pPr>
              <w:pageBreakBefore w:val="0"/>
              <w:kinsoku/>
              <w:wordWrap/>
              <w:overflowPunct/>
              <w:topLinePunct w:val="0"/>
              <w:autoSpaceDE/>
              <w:autoSpaceDN/>
              <w:bidi w:val="0"/>
              <w:spacing w:line="300" w:lineRule="exact"/>
              <w:jc w:val="center"/>
              <w:outlineLvl w:val="9"/>
              <w:rPr>
                <w:rFonts w:hint="eastAsia" w:ascii="黑体" w:hAnsi="黑体" w:eastAsia="黑体"/>
                <w:sz w:val="24"/>
              </w:rPr>
            </w:pPr>
          </w:p>
        </w:tc>
        <w:tc>
          <w:tcPr>
            <w:tcW w:w="2678"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410"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lang w:val="en"/>
              </w:rPr>
            </w:pPr>
          </w:p>
        </w:tc>
        <w:tc>
          <w:tcPr>
            <w:tcW w:w="2609" w:type="dxa"/>
            <w:noWrap w:val="0"/>
            <w:vAlign w:val="top"/>
          </w:tcPr>
          <w:p>
            <w:pPr>
              <w:pageBreakBefore w:val="0"/>
              <w:kinsoku/>
              <w:wordWrap/>
              <w:overflowPunct/>
              <w:topLinePunct w:val="0"/>
              <w:autoSpaceDE/>
              <w:autoSpaceDN/>
              <w:bidi w:val="0"/>
              <w:spacing w:line="300" w:lineRule="exact"/>
              <w:outlineLvl w:val="9"/>
              <w:rPr>
                <w:rFonts w:hint="eastAsia" w:ascii="黑体" w:hAnsi="黑体" w:eastAsia="黑体"/>
                <w:sz w:val="24"/>
              </w:rPr>
            </w:pPr>
          </w:p>
        </w:tc>
      </w:tr>
    </w:tbl>
    <w:p>
      <w:pPr>
        <w:pageBreakBefore w:val="0"/>
        <w:kinsoku/>
        <w:wordWrap/>
        <w:overflowPunct/>
        <w:topLinePunct w:val="0"/>
        <w:autoSpaceDE/>
        <w:autoSpaceDN/>
        <w:bidi w:val="0"/>
        <w:spacing w:line="400" w:lineRule="exact"/>
        <w:jc w:val="left"/>
        <w:outlineLvl w:val="9"/>
        <w:rPr>
          <w:rFonts w:hint="eastAsia" w:ascii="宋体" w:hAnsi="宋体"/>
          <w:sz w:val="24"/>
        </w:rPr>
      </w:pPr>
      <w:r>
        <w:rPr>
          <w:rFonts w:hint="eastAsia" w:ascii="宋体" w:hAnsi="宋体"/>
          <w:sz w:val="24"/>
        </w:rPr>
        <w:t>备注：1.项目资金末端分配点位包括市（州）本级、县（市、区）、省级部门下属单位及一次性单位等。</w:t>
      </w:r>
    </w:p>
    <w:p>
      <w:pPr>
        <w:pageBreakBefore w:val="0"/>
        <w:numPr>
          <w:ilvl w:val="0"/>
          <w:numId w:val="3"/>
        </w:numPr>
        <w:kinsoku/>
        <w:wordWrap/>
        <w:overflowPunct/>
        <w:topLinePunct w:val="0"/>
        <w:autoSpaceDE/>
        <w:autoSpaceDN/>
        <w:bidi w:val="0"/>
        <w:spacing w:line="400" w:lineRule="exact"/>
        <w:ind w:firstLine="720" w:firstLineChars="300"/>
        <w:jc w:val="left"/>
        <w:outlineLvl w:val="9"/>
        <w:rPr>
          <w:rFonts w:hint="eastAsia" w:ascii="宋体" w:hAnsi="宋体"/>
          <w:sz w:val="24"/>
        </w:rPr>
      </w:pPr>
      <w:r>
        <w:rPr>
          <w:rFonts w:hint="eastAsia" w:ascii="宋体" w:hAnsi="宋体"/>
          <w:sz w:val="24"/>
        </w:rPr>
        <w:t>自评得分（百分制）从高到低划分为优、良、中、差四个档次，各个档次数量占比分别为20%、20%、55%、5%，且不同档次间得分分值应体现差异化，同档次得分分值相同的比例不超过该档次总数量的10%。</w:t>
      </w:r>
    </w:p>
    <w:p>
      <w:pPr>
        <w:pageBreakBefore w:val="0"/>
        <w:kinsoku/>
        <w:wordWrap/>
        <w:overflowPunct/>
        <w:topLinePunct w:val="0"/>
        <w:autoSpaceDE/>
        <w:autoSpaceDN/>
        <w:bidi w:val="0"/>
        <w:spacing w:line="240" w:lineRule="atLeast"/>
        <w:ind w:right="-178" w:rightChars="-85" w:firstLine="640" w:firstLineChars="200"/>
        <w:outlineLvl w:val="9"/>
        <w:rPr>
          <w:rFonts w:hint="eastAsia" w:ascii="方正黑体_GBK" w:eastAsia="方正黑体_GBK" w:cs="Times New Roman"/>
          <w:kern w:val="2"/>
          <w:sz w:val="32"/>
          <w:szCs w:val="32"/>
        </w:rPr>
      </w:pPr>
    </w:p>
    <w:p>
      <w:pPr>
        <w:pageBreakBefore w:val="0"/>
        <w:kinsoku/>
        <w:wordWrap/>
        <w:overflowPunct/>
        <w:topLinePunct w:val="0"/>
        <w:autoSpaceDE/>
        <w:autoSpaceDN/>
        <w:bidi w:val="0"/>
        <w:spacing w:line="240" w:lineRule="atLeast"/>
        <w:ind w:right="-178" w:rightChars="-85" w:firstLine="640" w:firstLineChars="200"/>
        <w:outlineLvl w:val="9"/>
        <w:rPr>
          <w:rFonts w:hint="eastAsia" w:ascii="方正黑体_GBK" w:eastAsia="方正黑体_GBK" w:cs="Times New Roman"/>
          <w:kern w:val="2"/>
          <w:sz w:val="32"/>
          <w:szCs w:val="32"/>
        </w:rPr>
      </w:pPr>
    </w:p>
    <w:p>
      <w:pPr>
        <w:pStyle w:val="40"/>
        <w:pageBreakBefore w:val="0"/>
        <w:kinsoku/>
        <w:wordWrap/>
        <w:overflowPunct/>
        <w:topLinePunct w:val="0"/>
        <w:autoSpaceDE/>
        <w:autoSpaceDN/>
        <w:bidi w:val="0"/>
        <w:outlineLvl w:val="9"/>
        <w:rPr>
          <w:rFonts w:hint="eastAsia"/>
        </w:rPr>
      </w:pPr>
    </w:p>
    <w:p>
      <w:pPr>
        <w:pageBreakBefore w:val="0"/>
        <w:kinsoku/>
        <w:wordWrap/>
        <w:overflowPunct/>
        <w:topLinePunct w:val="0"/>
        <w:autoSpaceDE/>
        <w:autoSpaceDN/>
        <w:bidi w:val="0"/>
        <w:outlineLvl w:val="9"/>
        <w:rPr>
          <w:rFonts w:hint="eastAsia"/>
        </w:rPr>
      </w:pPr>
    </w:p>
    <w:p>
      <w:pPr>
        <w:pageBreakBefore w:val="0"/>
        <w:kinsoku/>
        <w:wordWrap/>
        <w:overflowPunct/>
        <w:topLinePunct w:val="0"/>
        <w:autoSpaceDE/>
        <w:autoSpaceDN/>
        <w:bidi w:val="0"/>
        <w:outlineLvl w:val="9"/>
        <w:rPr>
          <w:rFonts w:hint="eastAsia"/>
        </w:rPr>
      </w:pPr>
    </w:p>
    <w:p>
      <w:pPr>
        <w:pageBreakBefore w:val="0"/>
        <w:kinsoku/>
        <w:wordWrap/>
        <w:overflowPunct/>
        <w:topLinePunct w:val="0"/>
        <w:autoSpaceDE/>
        <w:autoSpaceDN/>
        <w:bidi w:val="0"/>
        <w:outlineLvl w:val="9"/>
        <w:rPr>
          <w:rFonts w:hint="eastAsia"/>
        </w:rPr>
      </w:pPr>
    </w:p>
    <w:p>
      <w:pPr>
        <w:pageBreakBefore w:val="0"/>
        <w:kinsoku/>
        <w:wordWrap/>
        <w:overflowPunct/>
        <w:topLinePunct w:val="0"/>
        <w:autoSpaceDE/>
        <w:autoSpaceDN/>
        <w:bidi w:val="0"/>
        <w:outlineLvl w:val="9"/>
        <w:rPr>
          <w:rFonts w:hint="eastAsia"/>
        </w:rPr>
      </w:pPr>
    </w:p>
    <w:p>
      <w:pPr>
        <w:pageBreakBefore w:val="0"/>
        <w:kinsoku/>
        <w:wordWrap/>
        <w:overflowPunct/>
        <w:topLinePunct w:val="0"/>
        <w:autoSpaceDE/>
        <w:autoSpaceDN/>
        <w:bidi w:val="0"/>
        <w:outlineLvl w:val="9"/>
        <w:rPr>
          <w:rFonts w:hint="eastAsia"/>
        </w:rPr>
      </w:pPr>
    </w:p>
    <w:p>
      <w:pPr>
        <w:pageBreakBefore w:val="0"/>
        <w:kinsoku/>
        <w:wordWrap/>
        <w:overflowPunct/>
        <w:topLinePunct w:val="0"/>
        <w:autoSpaceDE/>
        <w:autoSpaceDN/>
        <w:bidi w:val="0"/>
        <w:outlineLvl w:val="9"/>
        <w:rPr>
          <w:rFonts w:hint="eastAsia"/>
        </w:rPr>
      </w:pPr>
    </w:p>
    <w:p>
      <w:pPr>
        <w:pStyle w:val="3"/>
        <w:pageBreakBefore w:val="0"/>
        <w:kinsoku/>
        <w:wordWrap/>
        <w:overflowPunct/>
        <w:topLinePunct w:val="0"/>
        <w:autoSpaceDE/>
        <w:autoSpaceDN/>
        <w:bidi w:val="0"/>
        <w:spacing w:after="0" w:line="578" w:lineRule="exact"/>
        <w:ind w:left="0" w:leftChars="0" w:firstLine="0" w:firstLineChars="0"/>
        <w:outlineLvl w:val="9"/>
        <w:rPr>
          <w:rFonts w:hint="default" w:eastAsia="黑体" w:cs="Times New Roman"/>
          <w:kern w:val="2"/>
          <w:sz w:val="32"/>
        </w:rPr>
      </w:pPr>
    </w:p>
    <w:p>
      <w:pPr>
        <w:pStyle w:val="3"/>
        <w:pageBreakBefore w:val="0"/>
        <w:kinsoku/>
        <w:wordWrap/>
        <w:overflowPunct/>
        <w:topLinePunct w:val="0"/>
        <w:autoSpaceDE/>
        <w:autoSpaceDN/>
        <w:bidi w:val="0"/>
        <w:spacing w:after="0" w:line="578" w:lineRule="exact"/>
        <w:ind w:left="0" w:leftChars="0" w:firstLine="0" w:firstLineChars="0"/>
        <w:outlineLvl w:val="9"/>
        <w:rPr>
          <w:rFonts w:eastAsia="黑体" w:cs="Times New Roman"/>
          <w:kern w:val="2"/>
          <w:sz w:val="32"/>
        </w:rPr>
      </w:pPr>
    </w:p>
    <w:p>
      <w:pPr>
        <w:pStyle w:val="3"/>
        <w:pageBreakBefore w:val="0"/>
        <w:kinsoku/>
        <w:wordWrap/>
        <w:overflowPunct/>
        <w:topLinePunct w:val="0"/>
        <w:autoSpaceDE/>
        <w:autoSpaceDN/>
        <w:bidi w:val="0"/>
        <w:spacing w:after="0" w:line="578" w:lineRule="exact"/>
        <w:ind w:left="0" w:leftChars="0" w:firstLine="0" w:firstLineChars="0"/>
        <w:outlineLvl w:val="9"/>
        <w:rPr>
          <w:rFonts w:hint="eastAsia" w:ascii="黑体" w:hAnsi="黑体" w:eastAsia="黑体" w:cs="黑体"/>
          <w:b w:val="0"/>
          <w:bCs w:val="0"/>
          <w:kern w:val="2"/>
          <w:sz w:val="30"/>
          <w:szCs w:val="30"/>
        </w:rPr>
      </w:pPr>
      <w:r>
        <w:rPr>
          <w:rFonts w:hint="eastAsia" w:ascii="黑体" w:hAnsi="黑体" w:eastAsia="黑体" w:cs="黑体"/>
          <w:b w:val="0"/>
          <w:bCs w:val="0"/>
          <w:kern w:val="2"/>
          <w:sz w:val="30"/>
          <w:szCs w:val="30"/>
        </w:rPr>
        <w:t>附表2</w:t>
      </w:r>
    </w:p>
    <w:tbl>
      <w:tblPr>
        <w:tblStyle w:val="26"/>
        <w:tblW w:w="10376" w:type="dxa"/>
        <w:jc w:val="center"/>
        <w:tblLayout w:type="fixed"/>
        <w:tblCellMar>
          <w:top w:w="15" w:type="dxa"/>
          <w:left w:w="15" w:type="dxa"/>
          <w:bottom w:w="15" w:type="dxa"/>
          <w:right w:w="15" w:type="dxa"/>
        </w:tblCellMar>
      </w:tblPr>
      <w:tblGrid>
        <w:gridCol w:w="409"/>
        <w:gridCol w:w="670"/>
        <w:gridCol w:w="1605"/>
        <w:gridCol w:w="2306"/>
        <w:gridCol w:w="1616"/>
        <w:gridCol w:w="1125"/>
        <w:gridCol w:w="2645"/>
      </w:tblGrid>
      <w:tr>
        <w:tblPrEx>
          <w:tblCellMar>
            <w:top w:w="15" w:type="dxa"/>
            <w:left w:w="15" w:type="dxa"/>
            <w:bottom w:w="15" w:type="dxa"/>
            <w:right w:w="15" w:type="dxa"/>
          </w:tblCellMar>
        </w:tblPrEx>
        <w:trPr>
          <w:trHeight w:val="576" w:hRule="atLeast"/>
          <w:jc w:val="center"/>
        </w:trPr>
        <w:tc>
          <w:tcPr>
            <w:tcW w:w="10376" w:type="dxa"/>
            <w:gridSpan w:val="7"/>
            <w:noWrap w:val="0"/>
            <w:vAlign w:val="center"/>
          </w:tcPr>
          <w:p>
            <w:pPr>
              <w:pageBreakBefore w:val="0"/>
              <w:widowControl/>
              <w:kinsoku/>
              <w:wordWrap/>
              <w:overflowPunct/>
              <w:topLinePunct w:val="0"/>
              <w:autoSpaceDE/>
              <w:autoSpaceDN/>
              <w:bidi w:val="0"/>
              <w:spacing w:line="600" w:lineRule="exact"/>
              <w:jc w:val="center"/>
              <w:textAlignment w:val="center"/>
              <w:outlineLvl w:val="9"/>
              <w:rPr>
                <w:rFonts w:ascii="黑体" w:hAnsi="宋体" w:eastAsia="黑体" w:cs="黑体"/>
                <w:color w:val="000000"/>
                <w:sz w:val="30"/>
                <w:szCs w:val="30"/>
              </w:rPr>
            </w:pPr>
            <w:r>
              <w:rPr>
                <w:rFonts w:hint="eastAsia" w:ascii="方正小标宋简体" w:hAnsi="方正小标宋简体" w:eastAsia="方正小标宋简体" w:cs="方正小标宋简体"/>
                <w:color w:val="000000"/>
                <w:sz w:val="36"/>
                <w:szCs w:val="36"/>
                <w:lang w:bidi="ar"/>
              </w:rPr>
              <w:t>专项预算项目绩效目标完成情况自评表</w:t>
            </w:r>
          </w:p>
        </w:tc>
      </w:tr>
      <w:tr>
        <w:tblPrEx>
          <w:tblCellMar>
            <w:top w:w="15" w:type="dxa"/>
            <w:left w:w="15" w:type="dxa"/>
            <w:bottom w:w="15" w:type="dxa"/>
            <w:right w:w="15" w:type="dxa"/>
          </w:tblCellMar>
        </w:tblPrEx>
        <w:trPr>
          <w:trHeight w:val="23" w:hRule="atLeast"/>
          <w:jc w:val="center"/>
        </w:trPr>
        <w:tc>
          <w:tcPr>
            <w:tcW w:w="2684" w:type="dxa"/>
            <w:gridSpan w:val="3"/>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项目名称</w:t>
            </w:r>
          </w:p>
        </w:tc>
        <w:tc>
          <w:tcPr>
            <w:tcW w:w="7692"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jc w:val="center"/>
              <w:outlineLvl w:val="9"/>
              <w:rPr>
                <w:rFonts w:hint="eastAsia" w:ascii="宋体" w:hAnsi="宋体"/>
                <w:color w:val="000000"/>
                <w:sz w:val="22"/>
                <w:szCs w:val="22"/>
              </w:rPr>
            </w:pPr>
            <w:r>
              <w:rPr>
                <w:rFonts w:hint="eastAsia" w:ascii="宋体" w:hAnsi="宋体"/>
                <w:color w:val="000000"/>
                <w:sz w:val="22"/>
                <w:szCs w:val="22"/>
              </w:rPr>
              <w:t>2023年对口支援交融交往活动资金</w:t>
            </w:r>
          </w:p>
        </w:tc>
      </w:tr>
      <w:tr>
        <w:tblPrEx>
          <w:tblCellMar>
            <w:top w:w="15" w:type="dxa"/>
            <w:left w:w="15" w:type="dxa"/>
            <w:bottom w:w="15" w:type="dxa"/>
            <w:right w:w="15" w:type="dxa"/>
          </w:tblCellMar>
        </w:tblPrEx>
        <w:trPr>
          <w:trHeight w:val="23" w:hRule="atLeast"/>
          <w:jc w:val="center"/>
        </w:trPr>
        <w:tc>
          <w:tcPr>
            <w:tcW w:w="2684" w:type="dxa"/>
            <w:gridSpan w:val="3"/>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预算单位</w:t>
            </w:r>
          </w:p>
        </w:tc>
        <w:tc>
          <w:tcPr>
            <w:tcW w:w="7692"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tabs>
                <w:tab w:val="left" w:pos="1365"/>
              </w:tabs>
              <w:kinsoku/>
              <w:wordWrap/>
              <w:overflowPunct/>
              <w:topLinePunct w:val="0"/>
              <w:autoSpaceDE/>
              <w:autoSpaceDN/>
              <w:bidi w:val="0"/>
              <w:spacing w:line="300" w:lineRule="exact"/>
              <w:jc w:val="center"/>
              <w:outlineLvl w:val="9"/>
              <w:rPr>
                <w:rFonts w:hint="eastAsia" w:ascii="宋体" w:hAnsi="宋体"/>
                <w:color w:val="000000"/>
                <w:sz w:val="22"/>
                <w:szCs w:val="22"/>
              </w:rPr>
            </w:pPr>
            <w:r>
              <w:rPr>
                <w:rFonts w:hint="eastAsia" w:ascii="宋体" w:hAnsi="宋体"/>
                <w:color w:val="000000"/>
                <w:sz w:val="22"/>
                <w:szCs w:val="22"/>
              </w:rPr>
              <w:t>共青团茂县委员会</w:t>
            </w:r>
          </w:p>
        </w:tc>
      </w:tr>
      <w:tr>
        <w:tblPrEx>
          <w:tblCellMar>
            <w:top w:w="15" w:type="dxa"/>
            <w:left w:w="15" w:type="dxa"/>
            <w:bottom w:w="15" w:type="dxa"/>
            <w:right w:w="15" w:type="dxa"/>
          </w:tblCellMar>
        </w:tblPrEx>
        <w:trPr>
          <w:trHeight w:val="23" w:hRule="atLeast"/>
          <w:jc w:val="center"/>
        </w:trPr>
        <w:tc>
          <w:tcPr>
            <w:tcW w:w="2684" w:type="dxa"/>
            <w:gridSpan w:val="3"/>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项目类型</w:t>
            </w:r>
          </w:p>
        </w:tc>
        <w:tc>
          <w:tcPr>
            <w:tcW w:w="7692"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jc w:val="center"/>
              <w:outlineLvl w:val="9"/>
              <w:rPr>
                <w:rFonts w:hint="eastAsia" w:ascii="宋体" w:hAnsi="宋体"/>
                <w:color w:val="000000"/>
                <w:sz w:val="22"/>
                <w:szCs w:val="22"/>
              </w:rPr>
            </w:pPr>
            <w:r>
              <w:rPr>
                <w:rFonts w:hint="eastAsia" w:ascii="宋体" w:hAnsi="宋体"/>
                <w:color w:val="000000"/>
                <w:sz w:val="22"/>
                <w:szCs w:val="22"/>
              </w:rPr>
              <w:t>对口帮扶资金</w:t>
            </w:r>
          </w:p>
        </w:tc>
      </w:tr>
      <w:tr>
        <w:tblPrEx>
          <w:tblCellMar>
            <w:top w:w="15" w:type="dxa"/>
            <w:left w:w="15" w:type="dxa"/>
            <w:bottom w:w="15" w:type="dxa"/>
            <w:right w:w="15" w:type="dxa"/>
          </w:tblCellMar>
        </w:tblPrEx>
        <w:trPr>
          <w:trHeight w:val="713" w:hRule="atLeast"/>
          <w:jc w:val="center"/>
        </w:trPr>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center"/>
              <w:textAlignment w:val="center"/>
              <w:outlineLvl w:val="9"/>
              <w:rPr>
                <w:rFonts w:ascii="宋体" w:hAnsi="宋体"/>
                <w:color w:val="000000"/>
                <w:sz w:val="22"/>
                <w:szCs w:val="22"/>
              </w:rPr>
            </w:pPr>
            <w:r>
              <w:rPr>
                <w:rFonts w:ascii="宋体" w:hAnsi="宋体"/>
                <w:color w:val="000000"/>
                <w:sz w:val="22"/>
                <w:szCs w:val="22"/>
                <w:lang w:bidi="ar"/>
              </w:rPr>
              <w:t>项目 概况</w:t>
            </w:r>
          </w:p>
        </w:tc>
        <w:tc>
          <w:tcPr>
            <w:tcW w:w="227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中长期规划（名称、文号，仅指常年项目）</w:t>
            </w:r>
          </w:p>
        </w:tc>
        <w:tc>
          <w:tcPr>
            <w:tcW w:w="7692"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2"/>
                <w:szCs w:val="22"/>
              </w:rPr>
            </w:pPr>
            <w:r>
              <w:rPr>
                <w:rFonts w:hint="eastAsia" w:ascii="宋体" w:hAnsi="宋体"/>
                <w:color w:val="000000"/>
                <w:sz w:val="22"/>
                <w:szCs w:val="22"/>
              </w:rPr>
              <w:t>《“平茂少年手牵手 同心共筑中国梦”——“红色传承”研学活动方案》、《茂县•平湖“山海青年 携手同行”学习交流活动方案》</w:t>
            </w:r>
          </w:p>
        </w:tc>
      </w:tr>
      <w:tr>
        <w:tblPrEx>
          <w:tblCellMar>
            <w:top w:w="15" w:type="dxa"/>
            <w:left w:w="15" w:type="dxa"/>
            <w:bottom w:w="15" w:type="dxa"/>
            <w:right w:w="15" w:type="dxa"/>
          </w:tblCellMar>
        </w:tblPrEx>
        <w:trPr>
          <w:trHeight w:val="492" w:hRule="atLeast"/>
          <w:jc w:val="center"/>
        </w:trPr>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2"/>
                <w:szCs w:val="22"/>
              </w:rPr>
            </w:pPr>
          </w:p>
        </w:tc>
        <w:tc>
          <w:tcPr>
            <w:tcW w:w="227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资金管理办法（名称、文号）</w:t>
            </w:r>
          </w:p>
        </w:tc>
        <w:tc>
          <w:tcPr>
            <w:tcW w:w="7692"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jc w:val="left"/>
              <w:outlineLvl w:val="9"/>
              <w:rPr>
                <w:rFonts w:hint="eastAsia" w:ascii="宋体" w:hAnsi="宋体"/>
                <w:color w:val="000000"/>
                <w:sz w:val="22"/>
                <w:szCs w:val="22"/>
              </w:rPr>
            </w:pPr>
            <w:r>
              <w:rPr>
                <w:rFonts w:hint="eastAsia" w:ascii="宋体" w:hAnsi="宋体"/>
                <w:color w:val="000000"/>
                <w:sz w:val="22"/>
                <w:szCs w:val="22"/>
              </w:rPr>
              <w:t>《“平茂少年手牵手 同心共筑中国梦”——“红色传承”研学活动方案》、《茂县•平湖“山海青年 携手同行”学习交流活动方案》</w:t>
            </w:r>
          </w:p>
        </w:tc>
      </w:tr>
      <w:tr>
        <w:tblPrEx>
          <w:tblCellMar>
            <w:top w:w="15" w:type="dxa"/>
            <w:left w:w="15" w:type="dxa"/>
            <w:bottom w:w="15" w:type="dxa"/>
            <w:right w:w="15" w:type="dxa"/>
          </w:tblCellMar>
        </w:tblPrEx>
        <w:trPr>
          <w:trHeight w:val="23" w:hRule="atLeast"/>
          <w:jc w:val="center"/>
        </w:trPr>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2"/>
                <w:szCs w:val="22"/>
              </w:rPr>
            </w:pPr>
          </w:p>
        </w:tc>
        <w:tc>
          <w:tcPr>
            <w:tcW w:w="227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绩效分配方式</w:t>
            </w:r>
          </w:p>
        </w:tc>
        <w:tc>
          <w:tcPr>
            <w:tcW w:w="230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Wingdings 2" w:hAnsi="Wingdings 2" w:eastAsia="Wingdings 2" w:cs="Wingdings 2"/>
                <w:color w:val="000000"/>
                <w:sz w:val="22"/>
                <w:szCs w:val="22"/>
              </w:rPr>
            </w:pPr>
            <w:r>
              <w:rPr>
                <w:rFonts w:ascii="Wingdings 2" w:hAnsi="Wingdings 2" w:eastAsia="Wingdings 2" w:cs="Wingdings 2"/>
                <w:color w:val="000000"/>
                <w:sz w:val="22"/>
                <w:szCs w:val="22"/>
                <w:lang w:bidi="ar"/>
              </w:rPr>
              <w:t></w:t>
            </w:r>
            <w:r>
              <w:rPr>
                <w:rFonts w:ascii="宋体" w:hAnsi="宋体"/>
                <w:color w:val="000000"/>
                <w:sz w:val="22"/>
                <w:szCs w:val="22"/>
                <w:lang w:bidi="ar"/>
              </w:rPr>
              <w:t>因素法</w:t>
            </w:r>
          </w:p>
        </w:tc>
        <w:tc>
          <w:tcPr>
            <w:tcW w:w="161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center"/>
              <w:textAlignment w:val="center"/>
              <w:outlineLvl w:val="9"/>
              <w:rPr>
                <w:rFonts w:ascii="Wingdings 2" w:hAnsi="Wingdings 2" w:eastAsia="Wingdings 2" w:cs="Wingdings 2"/>
                <w:color w:val="000000"/>
                <w:sz w:val="22"/>
                <w:szCs w:val="22"/>
              </w:rPr>
            </w:pPr>
            <w:r>
              <w:rPr>
                <w:rFonts w:ascii="Wingdings 2" w:hAnsi="Wingdings 2" w:eastAsia="Wingdings 2" w:cs="Wingdings 2"/>
                <w:color w:val="000000"/>
                <w:sz w:val="22"/>
                <w:szCs w:val="22"/>
                <w:lang w:bidi="ar"/>
              </w:rPr>
              <w:t>项目法</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center"/>
              <w:textAlignment w:val="center"/>
              <w:outlineLvl w:val="9"/>
              <w:rPr>
                <w:rFonts w:ascii="Wingdings 2" w:hAnsi="Wingdings 2" w:eastAsia="Wingdings 2" w:cs="Wingdings 2"/>
                <w:color w:val="000000"/>
                <w:sz w:val="22"/>
                <w:szCs w:val="22"/>
              </w:rPr>
            </w:pPr>
            <w:r>
              <w:rPr>
                <w:rFonts w:ascii="Wingdings 2" w:hAnsi="Wingdings 2" w:eastAsia="Wingdings 2" w:cs="Wingdings 2"/>
                <w:color w:val="000000"/>
                <w:sz w:val="22"/>
                <w:szCs w:val="22"/>
                <w:lang w:bidi="ar"/>
              </w:rPr>
              <w:sym w:font="Wingdings 2" w:char="0052"/>
            </w:r>
            <w:r>
              <w:rPr>
                <w:rFonts w:ascii="宋体" w:hAnsi="宋体"/>
                <w:color w:val="000000"/>
                <w:sz w:val="22"/>
                <w:szCs w:val="22"/>
                <w:lang w:bidi="ar"/>
              </w:rPr>
              <w:t>据实据效</w:t>
            </w:r>
          </w:p>
        </w:tc>
        <w:tc>
          <w:tcPr>
            <w:tcW w:w="264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center"/>
              <w:textAlignment w:val="center"/>
              <w:outlineLvl w:val="9"/>
              <w:rPr>
                <w:rFonts w:ascii="Wingdings 2" w:hAnsi="Wingdings 2" w:eastAsia="Wingdings 2" w:cs="Wingdings 2"/>
                <w:color w:val="000000"/>
                <w:sz w:val="22"/>
                <w:szCs w:val="22"/>
              </w:rPr>
            </w:pPr>
            <w:r>
              <w:rPr>
                <w:rFonts w:ascii="Wingdings 2" w:hAnsi="Wingdings 2" w:eastAsia="Wingdings 2" w:cs="Wingdings 2"/>
                <w:color w:val="000000"/>
                <w:sz w:val="22"/>
                <w:szCs w:val="22"/>
                <w:lang w:bidi="ar"/>
              </w:rPr>
              <w:t></w:t>
            </w:r>
            <w:r>
              <w:rPr>
                <w:rFonts w:ascii="宋体" w:hAnsi="宋体"/>
                <w:color w:val="000000"/>
                <w:sz w:val="22"/>
                <w:szCs w:val="22"/>
                <w:lang w:bidi="ar"/>
              </w:rPr>
              <w:t>因素法与项目法相结合</w:t>
            </w:r>
          </w:p>
        </w:tc>
      </w:tr>
      <w:tr>
        <w:tblPrEx>
          <w:tblCellMar>
            <w:top w:w="15" w:type="dxa"/>
            <w:left w:w="15" w:type="dxa"/>
            <w:bottom w:w="15" w:type="dxa"/>
            <w:right w:w="15" w:type="dxa"/>
          </w:tblCellMar>
        </w:tblPrEx>
        <w:trPr>
          <w:trHeight w:val="1305" w:hRule="atLeast"/>
          <w:jc w:val="center"/>
        </w:trPr>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2"/>
                <w:szCs w:val="22"/>
              </w:rPr>
            </w:pPr>
          </w:p>
        </w:tc>
        <w:tc>
          <w:tcPr>
            <w:tcW w:w="227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立项依据</w:t>
            </w:r>
          </w:p>
        </w:tc>
        <w:tc>
          <w:tcPr>
            <w:tcW w:w="7692"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ind w:firstLine="400" w:firstLineChars="200"/>
              <w:jc w:val="left"/>
              <w:outlineLvl w:val="9"/>
              <w:rPr>
                <w:rFonts w:hint="eastAsia" w:ascii="宋体" w:hAnsi="宋体"/>
                <w:color w:val="000000"/>
                <w:sz w:val="22"/>
                <w:szCs w:val="22"/>
              </w:rPr>
            </w:pPr>
            <w:r>
              <w:rPr>
                <w:rFonts w:hint="eastAsia" w:ascii="宋体" w:hAnsi="宋体"/>
                <w:color w:val="000000"/>
                <w:sz w:val="20"/>
                <w:szCs w:val="20"/>
              </w:rPr>
              <w:t>2023年,浙江广播电视集团着眼浙川两省青少年全体,以第19届亚运会在浙举办为契机,结合平湖当地教育、文化、企业等特色，继续发挥优势，持续擦亮“浙里石榴红”工作品牌，深化平湖茂县青少年“三交”工作品牌。内容上，将围绕平湖当地特色、企业，让青少年以及青年感受平湖的蓬勃和发展，特建立此次交融交往活动。</w:t>
            </w:r>
          </w:p>
        </w:tc>
      </w:tr>
      <w:tr>
        <w:tblPrEx>
          <w:tblCellMar>
            <w:top w:w="15" w:type="dxa"/>
            <w:left w:w="15" w:type="dxa"/>
            <w:bottom w:w="15" w:type="dxa"/>
            <w:right w:w="15" w:type="dxa"/>
          </w:tblCellMar>
        </w:tblPrEx>
        <w:trPr>
          <w:trHeight w:val="327" w:hRule="atLeast"/>
          <w:jc w:val="center"/>
        </w:trPr>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2"/>
                <w:szCs w:val="22"/>
              </w:rPr>
            </w:pPr>
          </w:p>
        </w:tc>
        <w:tc>
          <w:tcPr>
            <w:tcW w:w="227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使用范围</w:t>
            </w:r>
          </w:p>
        </w:tc>
        <w:tc>
          <w:tcPr>
            <w:tcW w:w="7692"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jc w:val="left"/>
              <w:outlineLvl w:val="9"/>
              <w:rPr>
                <w:rFonts w:hint="eastAsia" w:ascii="宋体" w:hAnsi="宋体"/>
                <w:color w:val="000000"/>
                <w:sz w:val="21"/>
                <w:szCs w:val="21"/>
              </w:rPr>
            </w:pPr>
            <w:r>
              <w:rPr>
                <w:rFonts w:hint="eastAsia" w:ascii="宋体" w:hAnsi="宋体"/>
                <w:color w:val="000000"/>
                <w:sz w:val="21"/>
                <w:szCs w:val="21"/>
              </w:rPr>
              <w:t xml:space="preserve">    组织青少年及青年赴浙江开展学习交流活动</w:t>
            </w:r>
          </w:p>
        </w:tc>
      </w:tr>
      <w:tr>
        <w:tblPrEx>
          <w:tblCellMar>
            <w:top w:w="15" w:type="dxa"/>
            <w:left w:w="15" w:type="dxa"/>
            <w:bottom w:w="15" w:type="dxa"/>
            <w:right w:w="15" w:type="dxa"/>
          </w:tblCellMar>
        </w:tblPrEx>
        <w:trPr>
          <w:trHeight w:val="700" w:hRule="atLeast"/>
          <w:jc w:val="center"/>
        </w:trPr>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2"/>
                <w:szCs w:val="22"/>
              </w:rPr>
            </w:pPr>
          </w:p>
        </w:tc>
        <w:tc>
          <w:tcPr>
            <w:tcW w:w="227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申报（补助）条件</w:t>
            </w:r>
          </w:p>
        </w:tc>
        <w:tc>
          <w:tcPr>
            <w:tcW w:w="7692"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jc w:val="left"/>
              <w:outlineLvl w:val="9"/>
              <w:rPr>
                <w:rFonts w:hint="eastAsia" w:ascii="宋体" w:hAnsi="宋体"/>
                <w:color w:val="000000"/>
                <w:sz w:val="21"/>
                <w:szCs w:val="21"/>
              </w:rPr>
            </w:pPr>
            <w:r>
              <w:rPr>
                <w:rFonts w:hint="eastAsia" w:ascii="宋体" w:hAnsi="宋体"/>
                <w:color w:val="000000"/>
                <w:sz w:val="21"/>
                <w:szCs w:val="21"/>
              </w:rPr>
              <w:t>一是组织青少年赴浙江开展“民族团结一家亲  羌山少年心向党”红色传承研学活动。二是组织基层团干部和优秀创业青年赴浙江开展学习交流活动。</w:t>
            </w:r>
          </w:p>
        </w:tc>
      </w:tr>
      <w:tr>
        <w:tblPrEx>
          <w:tblCellMar>
            <w:top w:w="15" w:type="dxa"/>
            <w:left w:w="15" w:type="dxa"/>
            <w:bottom w:w="15" w:type="dxa"/>
            <w:right w:w="15" w:type="dxa"/>
          </w:tblCellMar>
        </w:tblPrEx>
        <w:trPr>
          <w:trHeight w:val="340" w:hRule="atLeast"/>
          <w:jc w:val="center"/>
        </w:trPr>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2"/>
                <w:szCs w:val="22"/>
              </w:rPr>
            </w:pPr>
          </w:p>
        </w:tc>
        <w:tc>
          <w:tcPr>
            <w:tcW w:w="2275"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项目起止年限</w:t>
            </w:r>
          </w:p>
        </w:tc>
        <w:tc>
          <w:tcPr>
            <w:tcW w:w="7692"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ind w:firstLine="420" w:firstLineChars="200"/>
              <w:outlineLvl w:val="9"/>
              <w:rPr>
                <w:rFonts w:ascii="宋体" w:hAnsi="宋体"/>
                <w:color w:val="000000"/>
                <w:sz w:val="21"/>
                <w:szCs w:val="21"/>
              </w:rPr>
            </w:pPr>
            <w:r>
              <w:rPr>
                <w:rFonts w:hint="eastAsia" w:ascii="宋体" w:hAnsi="宋体"/>
                <w:color w:val="000000"/>
                <w:sz w:val="21"/>
                <w:szCs w:val="21"/>
              </w:rPr>
              <w:t>2023年</w:t>
            </w:r>
          </w:p>
        </w:tc>
      </w:tr>
      <w:tr>
        <w:tblPrEx>
          <w:tblCellMar>
            <w:top w:w="15" w:type="dxa"/>
            <w:left w:w="15" w:type="dxa"/>
            <w:bottom w:w="15" w:type="dxa"/>
            <w:right w:w="15" w:type="dxa"/>
          </w:tblCellMar>
        </w:tblPrEx>
        <w:trPr>
          <w:trHeight w:val="340" w:hRule="atLeast"/>
          <w:jc w:val="center"/>
        </w:trPr>
        <w:tc>
          <w:tcPr>
            <w:tcW w:w="107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center"/>
              <w:textAlignment w:val="center"/>
              <w:outlineLvl w:val="9"/>
              <w:rPr>
                <w:rFonts w:ascii="宋体" w:hAnsi="宋体"/>
                <w:color w:val="000000"/>
                <w:sz w:val="22"/>
                <w:szCs w:val="22"/>
                <w:lang w:bidi="ar"/>
              </w:rPr>
            </w:pPr>
            <w:r>
              <w:rPr>
                <w:rFonts w:ascii="宋体" w:hAnsi="宋体"/>
                <w:color w:val="000000"/>
                <w:sz w:val="22"/>
                <w:szCs w:val="22"/>
                <w:lang w:bidi="ar"/>
              </w:rPr>
              <w:t>项目资金</w:t>
            </w:r>
          </w:p>
          <w:p>
            <w:pPr>
              <w:pageBreakBefore w:val="0"/>
              <w:widowControl/>
              <w:kinsoku/>
              <w:wordWrap/>
              <w:overflowPunct/>
              <w:topLinePunct w:val="0"/>
              <w:autoSpaceDE/>
              <w:autoSpaceDN/>
              <w:bidi w:val="0"/>
              <w:spacing w:line="300" w:lineRule="exact"/>
              <w:jc w:val="center"/>
              <w:textAlignment w:val="center"/>
              <w:outlineLvl w:val="9"/>
              <w:rPr>
                <w:rFonts w:ascii="宋体" w:hAnsi="宋体"/>
                <w:color w:val="000000"/>
                <w:sz w:val="22"/>
                <w:szCs w:val="22"/>
              </w:rPr>
            </w:pPr>
            <w:r>
              <w:rPr>
                <w:rFonts w:ascii="宋体" w:hAnsi="宋体"/>
                <w:color w:val="000000"/>
                <w:sz w:val="22"/>
                <w:szCs w:val="22"/>
                <w:lang w:bidi="ar"/>
              </w:rPr>
              <w:t>（万元）</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2"/>
                <w:szCs w:val="22"/>
              </w:rPr>
            </w:pPr>
            <w:r>
              <w:rPr>
                <w:rFonts w:ascii="宋体" w:hAnsi="宋体"/>
                <w:color w:val="000000"/>
                <w:sz w:val="22"/>
                <w:szCs w:val="22"/>
                <w:lang w:bidi="ar"/>
              </w:rPr>
              <w:t xml:space="preserve"> 年度资金总额：</w:t>
            </w:r>
          </w:p>
        </w:tc>
        <w:tc>
          <w:tcPr>
            <w:tcW w:w="7692"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ind w:firstLine="420" w:firstLineChars="200"/>
              <w:jc w:val="left"/>
              <w:outlineLvl w:val="9"/>
              <w:rPr>
                <w:rFonts w:ascii="宋体" w:hAnsi="宋体"/>
                <w:color w:val="000000"/>
                <w:sz w:val="21"/>
                <w:szCs w:val="21"/>
              </w:rPr>
            </w:pPr>
            <w:r>
              <w:rPr>
                <w:rFonts w:hint="eastAsia" w:ascii="宋体" w:hAnsi="宋体"/>
                <w:color w:val="000000"/>
                <w:sz w:val="21"/>
                <w:szCs w:val="21"/>
              </w:rPr>
              <w:t>98万元</w:t>
            </w:r>
          </w:p>
        </w:tc>
      </w:tr>
      <w:tr>
        <w:tblPrEx>
          <w:tblCellMar>
            <w:top w:w="15" w:type="dxa"/>
            <w:left w:w="15" w:type="dxa"/>
            <w:bottom w:w="15" w:type="dxa"/>
            <w:right w:w="15" w:type="dxa"/>
          </w:tblCellMar>
        </w:tblPrEx>
        <w:trPr>
          <w:trHeight w:val="340" w:hRule="atLeast"/>
          <w:jc w:val="center"/>
        </w:trPr>
        <w:tc>
          <w:tcPr>
            <w:tcW w:w="107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2"/>
                <w:szCs w:val="22"/>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0"/>
                <w:szCs w:val="20"/>
              </w:rPr>
            </w:pPr>
            <w:r>
              <w:rPr>
                <w:rFonts w:ascii="宋体" w:hAnsi="宋体"/>
                <w:color w:val="000000"/>
                <w:sz w:val="20"/>
                <w:szCs w:val="20"/>
                <w:lang w:bidi="ar"/>
              </w:rPr>
              <w:t>其中：财政拨款</w:t>
            </w:r>
          </w:p>
        </w:tc>
        <w:tc>
          <w:tcPr>
            <w:tcW w:w="7692"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ind w:firstLine="200" w:firstLineChars="100"/>
              <w:jc w:val="left"/>
              <w:outlineLvl w:val="9"/>
              <w:rPr>
                <w:rFonts w:ascii="宋体" w:hAnsi="宋体"/>
                <w:color w:val="000000"/>
                <w:sz w:val="20"/>
                <w:szCs w:val="20"/>
              </w:rPr>
            </w:pPr>
            <w:r>
              <w:rPr>
                <w:rFonts w:hint="eastAsia" w:ascii="宋体" w:hAnsi="宋体"/>
                <w:color w:val="000000"/>
                <w:sz w:val="20"/>
                <w:szCs w:val="20"/>
              </w:rPr>
              <w:t>98万元</w:t>
            </w:r>
          </w:p>
        </w:tc>
      </w:tr>
      <w:tr>
        <w:tblPrEx>
          <w:tblCellMar>
            <w:top w:w="15" w:type="dxa"/>
            <w:left w:w="15" w:type="dxa"/>
            <w:bottom w:w="15" w:type="dxa"/>
            <w:right w:w="15" w:type="dxa"/>
          </w:tblCellMar>
        </w:tblPrEx>
        <w:trPr>
          <w:trHeight w:val="315" w:hRule="atLeast"/>
          <w:jc w:val="center"/>
        </w:trPr>
        <w:tc>
          <w:tcPr>
            <w:tcW w:w="107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2"/>
                <w:szCs w:val="22"/>
              </w:rPr>
            </w:pP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left"/>
              <w:textAlignment w:val="center"/>
              <w:outlineLvl w:val="9"/>
              <w:rPr>
                <w:rFonts w:ascii="宋体" w:hAnsi="宋体"/>
                <w:color w:val="000000"/>
                <w:sz w:val="21"/>
                <w:szCs w:val="21"/>
              </w:rPr>
            </w:pPr>
            <w:r>
              <w:rPr>
                <w:rFonts w:ascii="宋体" w:hAnsi="宋体"/>
                <w:color w:val="000000"/>
                <w:sz w:val="21"/>
                <w:szCs w:val="21"/>
                <w:lang w:bidi="ar"/>
              </w:rPr>
              <w:t xml:space="preserve"> 其他资金</w:t>
            </w:r>
          </w:p>
        </w:tc>
        <w:tc>
          <w:tcPr>
            <w:tcW w:w="7692" w:type="dxa"/>
            <w:gridSpan w:val="4"/>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ind w:firstLine="420" w:firstLineChars="200"/>
              <w:jc w:val="left"/>
              <w:outlineLvl w:val="9"/>
              <w:rPr>
                <w:rFonts w:hint="eastAsia" w:ascii="宋体" w:hAnsi="宋体"/>
                <w:color w:val="000000"/>
                <w:sz w:val="21"/>
                <w:szCs w:val="21"/>
              </w:rPr>
            </w:pPr>
            <w:r>
              <w:rPr>
                <w:rFonts w:hint="eastAsia" w:ascii="宋体" w:hAnsi="宋体"/>
                <w:color w:val="000000"/>
                <w:sz w:val="21"/>
                <w:szCs w:val="21"/>
              </w:rPr>
              <w:t>0万元</w:t>
            </w:r>
          </w:p>
        </w:tc>
      </w:tr>
      <w:tr>
        <w:tblPrEx>
          <w:tblCellMar>
            <w:top w:w="15" w:type="dxa"/>
            <w:left w:w="15" w:type="dxa"/>
            <w:bottom w:w="15" w:type="dxa"/>
            <w:right w:w="15" w:type="dxa"/>
          </w:tblCellMar>
        </w:tblPrEx>
        <w:trPr>
          <w:trHeight w:val="297" w:hRule="atLeast"/>
          <w:jc w:val="center"/>
        </w:trPr>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center"/>
              <w:textAlignment w:val="center"/>
              <w:outlineLvl w:val="9"/>
              <w:rPr>
                <w:rFonts w:ascii="宋体" w:hAnsi="宋体"/>
                <w:color w:val="000000"/>
                <w:sz w:val="22"/>
                <w:szCs w:val="22"/>
              </w:rPr>
            </w:pPr>
            <w:r>
              <w:rPr>
                <w:rFonts w:ascii="宋体" w:hAnsi="宋体"/>
                <w:color w:val="000000"/>
                <w:sz w:val="22"/>
                <w:szCs w:val="22"/>
                <w:lang w:bidi="ar"/>
              </w:rPr>
              <w:t>总体 目标</w:t>
            </w:r>
          </w:p>
        </w:tc>
        <w:tc>
          <w:tcPr>
            <w:tcW w:w="9967" w:type="dxa"/>
            <w:gridSpan w:val="6"/>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spacing w:line="300" w:lineRule="exact"/>
              <w:jc w:val="center"/>
              <w:textAlignment w:val="center"/>
              <w:outlineLvl w:val="9"/>
              <w:rPr>
                <w:rFonts w:ascii="宋体" w:hAnsi="宋体"/>
                <w:color w:val="000000"/>
                <w:sz w:val="22"/>
                <w:szCs w:val="22"/>
              </w:rPr>
            </w:pPr>
            <w:r>
              <w:rPr>
                <w:rFonts w:ascii="宋体" w:hAnsi="宋体"/>
                <w:color w:val="000000"/>
                <w:sz w:val="22"/>
                <w:szCs w:val="22"/>
                <w:lang w:bidi="ar"/>
              </w:rPr>
              <w:t>年度目标</w:t>
            </w:r>
          </w:p>
        </w:tc>
      </w:tr>
      <w:tr>
        <w:tblPrEx>
          <w:tblCellMar>
            <w:top w:w="15" w:type="dxa"/>
            <w:left w:w="15" w:type="dxa"/>
            <w:bottom w:w="15" w:type="dxa"/>
            <w:right w:w="15" w:type="dxa"/>
          </w:tblCellMar>
        </w:tblPrEx>
        <w:trPr>
          <w:trHeight w:val="962" w:hRule="atLeast"/>
          <w:jc w:val="center"/>
        </w:trPr>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outlineLvl w:val="9"/>
              <w:rPr>
                <w:rFonts w:hint="eastAsia" w:ascii="宋体" w:hAnsi="宋体"/>
                <w:color w:val="000000"/>
                <w:sz w:val="22"/>
                <w:szCs w:val="22"/>
              </w:rPr>
            </w:pPr>
          </w:p>
        </w:tc>
        <w:tc>
          <w:tcPr>
            <w:tcW w:w="9967" w:type="dxa"/>
            <w:gridSpan w:val="6"/>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spacing w:line="300" w:lineRule="exact"/>
              <w:ind w:firstLine="440" w:firstLineChars="200"/>
              <w:outlineLvl w:val="9"/>
              <w:rPr>
                <w:rFonts w:hint="eastAsia" w:ascii="宋体" w:hAnsi="宋体"/>
                <w:color w:val="000000"/>
                <w:sz w:val="22"/>
                <w:szCs w:val="22"/>
              </w:rPr>
            </w:pPr>
            <w:r>
              <w:rPr>
                <w:rFonts w:hint="eastAsia" w:ascii="宋体" w:hAnsi="宋体"/>
                <w:color w:val="000000"/>
                <w:sz w:val="22"/>
                <w:szCs w:val="22"/>
              </w:rPr>
              <w:t>通过青少年和青年交流活动的开展，不仅让学生们走出校园、走出大山，在体验中开拓视野、学习知识，更进一步促进了浙阿两地的山海之情，推动了两地的文化交流，同时，激发青年的积极性、主动性、创造性，多学多思、多谋多干，在学思践悟中砥砺奋进，为全面推进乡村振兴贡献一份力量。</w:t>
            </w:r>
          </w:p>
        </w:tc>
      </w:tr>
    </w:tbl>
    <w:tbl>
      <w:tblPr>
        <w:tblStyle w:val="26"/>
        <w:tblpPr w:leftFromText="180" w:rightFromText="180" w:vertAnchor="text" w:horzAnchor="page" w:tblpXSpec="center" w:tblpY="265"/>
        <w:tblOverlap w:val="never"/>
        <w:tblW w:w="10281" w:type="dxa"/>
        <w:tblInd w:w="0" w:type="dxa"/>
        <w:tblLayout w:type="fixed"/>
        <w:tblCellMar>
          <w:top w:w="0" w:type="dxa"/>
          <w:left w:w="108" w:type="dxa"/>
          <w:bottom w:w="0" w:type="dxa"/>
          <w:right w:w="108" w:type="dxa"/>
        </w:tblCellMar>
      </w:tblPr>
      <w:tblGrid>
        <w:gridCol w:w="520"/>
        <w:gridCol w:w="1136"/>
        <w:gridCol w:w="1770"/>
        <w:gridCol w:w="2220"/>
        <w:gridCol w:w="1140"/>
        <w:gridCol w:w="945"/>
        <w:gridCol w:w="688"/>
        <w:gridCol w:w="1185"/>
        <w:gridCol w:w="677"/>
      </w:tblGrid>
      <w:tr>
        <w:tblPrEx>
          <w:tblCellMar>
            <w:top w:w="0" w:type="dxa"/>
            <w:left w:w="108" w:type="dxa"/>
            <w:bottom w:w="0" w:type="dxa"/>
            <w:right w:w="108" w:type="dxa"/>
          </w:tblCellMar>
        </w:tblPrEx>
        <w:trPr>
          <w:trHeight w:val="373" w:hRule="atLeast"/>
        </w:trPr>
        <w:tc>
          <w:tcPr>
            <w:tcW w:w="520" w:type="dxa"/>
            <w:vMerge w:val="restart"/>
            <w:tcBorders>
              <w:top w:val="single" w:color="000000" w:sz="4" w:space="0"/>
              <w:left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22"/>
                <w:szCs w:val="22"/>
                <w:lang w:bidi="ar"/>
              </w:rPr>
            </w:pPr>
            <w:r>
              <w:rPr>
                <w:rFonts w:hint="eastAsia" w:ascii="宋体" w:hAnsi="宋体"/>
                <w:b/>
                <w:bCs/>
                <w:color w:val="000000"/>
                <w:sz w:val="22"/>
                <w:szCs w:val="22"/>
                <w:lang w:bidi="ar"/>
              </w:rPr>
              <w:t>绩效 指标</w:t>
            </w:r>
          </w:p>
        </w:tc>
        <w:tc>
          <w:tcPr>
            <w:tcW w:w="11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18"/>
                <w:szCs w:val="18"/>
              </w:rPr>
            </w:pPr>
            <w:r>
              <w:rPr>
                <w:rFonts w:hint="eastAsia" w:ascii="宋体" w:hAnsi="宋体"/>
                <w:b/>
                <w:bCs/>
                <w:color w:val="000000"/>
                <w:sz w:val="18"/>
                <w:szCs w:val="18"/>
                <w:lang w:bidi="ar"/>
              </w:rPr>
              <w:t>一级指标</w:t>
            </w:r>
          </w:p>
        </w:tc>
        <w:tc>
          <w:tcPr>
            <w:tcW w:w="177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18"/>
                <w:szCs w:val="18"/>
              </w:rPr>
            </w:pPr>
            <w:r>
              <w:rPr>
                <w:rFonts w:hint="eastAsia" w:ascii="宋体" w:hAnsi="宋体"/>
                <w:b/>
                <w:bCs/>
                <w:color w:val="000000"/>
                <w:sz w:val="18"/>
                <w:szCs w:val="18"/>
                <w:lang w:bidi="ar"/>
              </w:rPr>
              <w:t>二级指标</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18"/>
                <w:szCs w:val="18"/>
              </w:rPr>
            </w:pPr>
            <w:r>
              <w:rPr>
                <w:rFonts w:hint="eastAsia" w:ascii="宋体" w:hAnsi="宋体"/>
                <w:b/>
                <w:bCs/>
                <w:color w:val="000000"/>
                <w:sz w:val="18"/>
                <w:szCs w:val="18"/>
                <w:lang w:bidi="ar"/>
              </w:rPr>
              <w:t>三级指标</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18"/>
                <w:szCs w:val="18"/>
              </w:rPr>
            </w:pPr>
            <w:r>
              <w:rPr>
                <w:rFonts w:hint="eastAsia" w:ascii="宋体" w:hAnsi="宋体"/>
                <w:b/>
                <w:bCs/>
                <w:color w:val="000000"/>
                <w:sz w:val="18"/>
                <w:szCs w:val="18"/>
                <w:lang w:bidi="ar"/>
              </w:rPr>
              <w:t>指标性质</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18"/>
                <w:szCs w:val="18"/>
              </w:rPr>
            </w:pPr>
            <w:r>
              <w:rPr>
                <w:rFonts w:hint="eastAsia" w:ascii="宋体" w:hAnsi="宋体"/>
                <w:b/>
                <w:bCs/>
                <w:color w:val="000000"/>
                <w:sz w:val="18"/>
                <w:szCs w:val="18"/>
                <w:lang w:bidi="ar"/>
              </w:rPr>
              <w:t>指标值</w:t>
            </w:r>
          </w:p>
        </w:tc>
        <w:tc>
          <w:tcPr>
            <w:tcW w:w="688"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18"/>
                <w:szCs w:val="18"/>
              </w:rPr>
            </w:pPr>
            <w:r>
              <w:rPr>
                <w:rFonts w:hint="eastAsia" w:ascii="宋体" w:hAnsi="宋体"/>
                <w:b/>
                <w:bCs/>
                <w:color w:val="000000"/>
                <w:sz w:val="18"/>
                <w:szCs w:val="18"/>
                <w:lang w:bidi="ar"/>
              </w:rPr>
              <w:t>单位</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18"/>
                <w:szCs w:val="18"/>
              </w:rPr>
            </w:pPr>
            <w:r>
              <w:rPr>
                <w:rFonts w:hint="eastAsia" w:ascii="宋体" w:hAnsi="宋体"/>
                <w:b/>
                <w:bCs/>
                <w:color w:val="000000"/>
                <w:sz w:val="18"/>
                <w:szCs w:val="18"/>
                <w:lang w:bidi="ar"/>
              </w:rPr>
              <w:t>权重（%）</w:t>
            </w:r>
          </w:p>
        </w:tc>
        <w:tc>
          <w:tcPr>
            <w:tcW w:w="677"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b/>
                <w:bCs/>
                <w:color w:val="000000"/>
                <w:sz w:val="18"/>
                <w:szCs w:val="18"/>
              </w:rPr>
            </w:pPr>
            <w:r>
              <w:rPr>
                <w:rFonts w:hint="eastAsia" w:ascii="宋体" w:hAnsi="宋体"/>
                <w:b/>
                <w:bCs/>
                <w:color w:val="000000"/>
                <w:sz w:val="18"/>
                <w:szCs w:val="18"/>
                <w:lang w:bidi="ar"/>
              </w:rPr>
              <w:t>备注</w:t>
            </w:r>
          </w:p>
        </w:tc>
      </w:tr>
      <w:tr>
        <w:tblPrEx>
          <w:tblCellMar>
            <w:top w:w="0" w:type="dxa"/>
            <w:left w:w="108" w:type="dxa"/>
            <w:bottom w:w="0" w:type="dxa"/>
            <w:right w:w="108" w:type="dxa"/>
          </w:tblCellMar>
        </w:tblPrEx>
        <w:trPr>
          <w:trHeight w:val="90" w:hRule="atLeast"/>
        </w:trPr>
        <w:tc>
          <w:tcPr>
            <w:tcW w:w="520" w:type="dxa"/>
            <w:vMerge w:val="continue"/>
            <w:tcBorders>
              <w:left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lang w:bidi="ar"/>
              </w:rPr>
            </w:pPr>
          </w:p>
        </w:tc>
        <w:tc>
          <w:tcPr>
            <w:tcW w:w="11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产出指标</w:t>
            </w:r>
          </w:p>
        </w:tc>
        <w:tc>
          <w:tcPr>
            <w:tcW w:w="177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1"/>
                <w:szCs w:val="21"/>
              </w:rPr>
            </w:pPr>
            <w:r>
              <w:rPr>
                <w:rFonts w:hint="eastAsia" w:ascii="宋体" w:hAnsi="宋体"/>
                <w:color w:val="000000"/>
                <w:sz w:val="21"/>
                <w:szCs w:val="21"/>
                <w:lang w:bidi="ar"/>
              </w:rPr>
              <w:t>数量指标</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参与培训活动青少年</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90</w:t>
            </w:r>
          </w:p>
        </w:tc>
        <w:tc>
          <w:tcPr>
            <w:tcW w:w="688"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人</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10</w:t>
            </w:r>
          </w:p>
        </w:tc>
        <w:tc>
          <w:tcPr>
            <w:tcW w:w="677"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outlineLvl w:val="9"/>
              <w:rPr>
                <w:rFonts w:hint="eastAsia" w:ascii="宋体" w:hAnsi="宋体"/>
                <w:color w:val="000000"/>
                <w:sz w:val="21"/>
                <w:szCs w:val="21"/>
              </w:rPr>
            </w:pPr>
          </w:p>
        </w:tc>
      </w:tr>
      <w:tr>
        <w:tblPrEx>
          <w:tblCellMar>
            <w:top w:w="0" w:type="dxa"/>
            <w:left w:w="108" w:type="dxa"/>
            <w:bottom w:w="0" w:type="dxa"/>
            <w:right w:w="108" w:type="dxa"/>
          </w:tblCellMar>
        </w:tblPrEx>
        <w:trPr>
          <w:trHeight w:val="240" w:hRule="atLeast"/>
        </w:trPr>
        <w:tc>
          <w:tcPr>
            <w:tcW w:w="520" w:type="dxa"/>
            <w:vMerge w:val="continue"/>
            <w:tcBorders>
              <w:left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lang w:bidi="ar"/>
              </w:rPr>
            </w:pPr>
          </w:p>
        </w:tc>
        <w:tc>
          <w:tcPr>
            <w:tcW w:w="11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产出指标</w:t>
            </w:r>
          </w:p>
        </w:tc>
        <w:tc>
          <w:tcPr>
            <w:tcW w:w="177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1"/>
                <w:szCs w:val="21"/>
              </w:rPr>
            </w:pPr>
            <w:r>
              <w:rPr>
                <w:rFonts w:hint="eastAsia" w:ascii="宋体" w:hAnsi="宋体"/>
                <w:color w:val="000000"/>
                <w:sz w:val="21"/>
                <w:szCs w:val="21"/>
                <w:lang w:bidi="ar"/>
              </w:rPr>
              <w:t>数量指标</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lang w:bidi="ar"/>
              </w:rPr>
            </w:pPr>
            <w:r>
              <w:rPr>
                <w:rFonts w:hint="eastAsia" w:ascii="宋体" w:hAnsi="宋体"/>
                <w:color w:val="000000"/>
                <w:sz w:val="21"/>
                <w:szCs w:val="21"/>
                <w:lang w:bidi="ar"/>
              </w:rPr>
              <w:t>参与活动团干部和优秀创业青年</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lang w:bidi="ar"/>
              </w:rPr>
            </w:pPr>
            <w:r>
              <w:rPr>
                <w:rFonts w:hint="eastAsia" w:ascii="宋体" w:hAnsi="宋体"/>
                <w:color w:val="000000"/>
                <w:sz w:val="21"/>
                <w:szCs w:val="21"/>
                <w:lang w:bidi="ar"/>
              </w:rPr>
              <w:t>≥</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lang w:bidi="ar"/>
              </w:rPr>
            </w:pPr>
            <w:r>
              <w:rPr>
                <w:rFonts w:hint="eastAsia" w:ascii="宋体" w:hAnsi="宋体"/>
                <w:color w:val="000000"/>
                <w:sz w:val="21"/>
                <w:szCs w:val="21"/>
                <w:lang w:bidi="ar"/>
              </w:rPr>
              <w:t>18</w:t>
            </w:r>
          </w:p>
        </w:tc>
        <w:tc>
          <w:tcPr>
            <w:tcW w:w="688"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lang w:bidi="ar"/>
              </w:rPr>
            </w:pPr>
            <w:r>
              <w:rPr>
                <w:rFonts w:hint="eastAsia" w:ascii="宋体" w:hAnsi="宋体"/>
                <w:color w:val="000000"/>
                <w:sz w:val="21"/>
                <w:szCs w:val="21"/>
                <w:lang w:bidi="ar"/>
              </w:rPr>
              <w:t>人</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lang w:bidi="ar"/>
              </w:rPr>
            </w:pPr>
            <w:r>
              <w:rPr>
                <w:rFonts w:hint="eastAsia" w:ascii="宋体" w:hAnsi="宋体"/>
                <w:color w:val="000000"/>
                <w:sz w:val="21"/>
                <w:szCs w:val="21"/>
                <w:lang w:bidi="ar"/>
              </w:rPr>
              <w:t>10</w:t>
            </w:r>
          </w:p>
        </w:tc>
        <w:tc>
          <w:tcPr>
            <w:tcW w:w="677"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outlineLvl w:val="9"/>
              <w:rPr>
                <w:rFonts w:hint="eastAsia" w:ascii="宋体" w:hAnsi="宋体"/>
                <w:color w:val="000000"/>
                <w:sz w:val="21"/>
                <w:szCs w:val="21"/>
              </w:rPr>
            </w:pPr>
          </w:p>
        </w:tc>
      </w:tr>
      <w:tr>
        <w:tblPrEx>
          <w:tblCellMar>
            <w:top w:w="0" w:type="dxa"/>
            <w:left w:w="108" w:type="dxa"/>
            <w:bottom w:w="0" w:type="dxa"/>
            <w:right w:w="108" w:type="dxa"/>
          </w:tblCellMar>
        </w:tblPrEx>
        <w:trPr>
          <w:trHeight w:val="529" w:hRule="atLeast"/>
        </w:trPr>
        <w:tc>
          <w:tcPr>
            <w:tcW w:w="520" w:type="dxa"/>
            <w:vMerge w:val="continue"/>
            <w:tcBorders>
              <w:left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lang w:bidi="ar"/>
              </w:rPr>
            </w:pPr>
          </w:p>
        </w:tc>
        <w:tc>
          <w:tcPr>
            <w:tcW w:w="11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产出指标</w:t>
            </w:r>
          </w:p>
        </w:tc>
        <w:tc>
          <w:tcPr>
            <w:tcW w:w="177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1"/>
                <w:szCs w:val="21"/>
              </w:rPr>
            </w:pPr>
            <w:r>
              <w:rPr>
                <w:rFonts w:hint="eastAsia" w:ascii="宋体" w:hAnsi="宋体"/>
                <w:color w:val="000000"/>
                <w:sz w:val="21"/>
                <w:szCs w:val="21"/>
                <w:lang w:bidi="ar"/>
              </w:rPr>
              <w:t>时效指标</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项目完成后及时结算相关费用</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15</w:t>
            </w:r>
          </w:p>
        </w:tc>
        <w:tc>
          <w:tcPr>
            <w:tcW w:w="688"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日</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10</w:t>
            </w:r>
          </w:p>
        </w:tc>
        <w:tc>
          <w:tcPr>
            <w:tcW w:w="677"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outlineLvl w:val="9"/>
              <w:rPr>
                <w:rFonts w:hint="eastAsia" w:ascii="宋体" w:hAnsi="宋体"/>
                <w:color w:val="000000"/>
                <w:sz w:val="21"/>
                <w:szCs w:val="21"/>
              </w:rPr>
            </w:pPr>
          </w:p>
        </w:tc>
      </w:tr>
      <w:tr>
        <w:tblPrEx>
          <w:tblCellMar>
            <w:top w:w="0" w:type="dxa"/>
            <w:left w:w="108" w:type="dxa"/>
            <w:bottom w:w="0" w:type="dxa"/>
            <w:right w:w="108" w:type="dxa"/>
          </w:tblCellMar>
        </w:tblPrEx>
        <w:trPr>
          <w:trHeight w:val="240" w:hRule="atLeast"/>
        </w:trPr>
        <w:tc>
          <w:tcPr>
            <w:tcW w:w="520" w:type="dxa"/>
            <w:vMerge w:val="continue"/>
            <w:tcBorders>
              <w:left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lang w:bidi="ar"/>
              </w:rPr>
            </w:pPr>
          </w:p>
        </w:tc>
        <w:tc>
          <w:tcPr>
            <w:tcW w:w="11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产出指标</w:t>
            </w:r>
          </w:p>
        </w:tc>
        <w:tc>
          <w:tcPr>
            <w:tcW w:w="177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1"/>
                <w:szCs w:val="21"/>
              </w:rPr>
            </w:pPr>
            <w:r>
              <w:rPr>
                <w:rFonts w:hint="eastAsia" w:ascii="宋体" w:hAnsi="宋体"/>
                <w:color w:val="000000"/>
                <w:sz w:val="21"/>
                <w:szCs w:val="21"/>
                <w:lang w:bidi="ar"/>
              </w:rPr>
              <w:t>时效指标</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textAlignment w:val="center"/>
              <w:outlineLvl w:val="9"/>
              <w:rPr>
                <w:rFonts w:hint="eastAsia" w:ascii="宋体" w:hAnsi="宋体"/>
                <w:color w:val="000000"/>
                <w:sz w:val="21"/>
                <w:szCs w:val="21"/>
              </w:rPr>
            </w:pPr>
            <w:r>
              <w:rPr>
                <w:rFonts w:hint="eastAsia" w:ascii="宋体" w:hAnsi="宋体"/>
                <w:color w:val="000000"/>
                <w:sz w:val="21"/>
                <w:szCs w:val="21"/>
                <w:lang w:bidi="ar"/>
              </w:rPr>
              <w:t>项目及时率</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100</w:t>
            </w:r>
          </w:p>
        </w:tc>
        <w:tc>
          <w:tcPr>
            <w:tcW w:w="688"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日</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15</w:t>
            </w:r>
          </w:p>
        </w:tc>
        <w:tc>
          <w:tcPr>
            <w:tcW w:w="677"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outlineLvl w:val="9"/>
              <w:rPr>
                <w:rFonts w:hint="eastAsia" w:ascii="宋体" w:hAnsi="宋体"/>
                <w:color w:val="000000"/>
                <w:sz w:val="21"/>
                <w:szCs w:val="21"/>
              </w:rPr>
            </w:pPr>
          </w:p>
        </w:tc>
      </w:tr>
      <w:tr>
        <w:tblPrEx>
          <w:tblCellMar>
            <w:top w:w="0" w:type="dxa"/>
            <w:left w:w="108" w:type="dxa"/>
            <w:bottom w:w="0" w:type="dxa"/>
            <w:right w:w="108" w:type="dxa"/>
          </w:tblCellMar>
        </w:tblPrEx>
        <w:trPr>
          <w:trHeight w:val="240" w:hRule="atLeast"/>
        </w:trPr>
        <w:tc>
          <w:tcPr>
            <w:tcW w:w="520" w:type="dxa"/>
            <w:vMerge w:val="continue"/>
            <w:tcBorders>
              <w:left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lang w:bidi="ar"/>
              </w:rPr>
            </w:pPr>
          </w:p>
        </w:tc>
        <w:tc>
          <w:tcPr>
            <w:tcW w:w="11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效益指标</w:t>
            </w:r>
          </w:p>
        </w:tc>
        <w:tc>
          <w:tcPr>
            <w:tcW w:w="177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1"/>
                <w:szCs w:val="21"/>
              </w:rPr>
            </w:pPr>
            <w:r>
              <w:rPr>
                <w:rFonts w:hint="eastAsia" w:ascii="宋体" w:hAnsi="宋体"/>
                <w:color w:val="000000"/>
                <w:sz w:val="21"/>
                <w:szCs w:val="21"/>
                <w:lang w:bidi="ar"/>
              </w:rPr>
              <w:t>社会效益指标</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textAlignment w:val="center"/>
              <w:outlineLvl w:val="9"/>
              <w:rPr>
                <w:rFonts w:hint="eastAsia" w:ascii="宋体" w:hAnsi="宋体"/>
                <w:color w:val="000000"/>
                <w:sz w:val="21"/>
                <w:szCs w:val="21"/>
              </w:rPr>
            </w:pPr>
            <w:r>
              <w:rPr>
                <w:rFonts w:hint="eastAsia" w:ascii="宋体" w:hAnsi="宋体"/>
                <w:color w:val="000000"/>
                <w:sz w:val="21"/>
                <w:szCs w:val="21"/>
              </w:rPr>
              <w:t>保障活动中青少年和青年的生活和支出</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定性</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好坏</w:t>
            </w:r>
          </w:p>
        </w:tc>
        <w:tc>
          <w:tcPr>
            <w:tcW w:w="688"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15</w:t>
            </w:r>
          </w:p>
        </w:tc>
        <w:tc>
          <w:tcPr>
            <w:tcW w:w="677"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outlineLvl w:val="9"/>
              <w:rPr>
                <w:rFonts w:hint="eastAsia" w:ascii="宋体" w:hAnsi="宋体"/>
                <w:color w:val="000000"/>
                <w:sz w:val="21"/>
                <w:szCs w:val="21"/>
              </w:rPr>
            </w:pPr>
          </w:p>
        </w:tc>
      </w:tr>
      <w:tr>
        <w:tblPrEx>
          <w:tblCellMar>
            <w:top w:w="0" w:type="dxa"/>
            <w:left w:w="108" w:type="dxa"/>
            <w:bottom w:w="0" w:type="dxa"/>
            <w:right w:w="108" w:type="dxa"/>
          </w:tblCellMar>
        </w:tblPrEx>
        <w:trPr>
          <w:trHeight w:val="240" w:hRule="atLeast"/>
        </w:trPr>
        <w:tc>
          <w:tcPr>
            <w:tcW w:w="520" w:type="dxa"/>
            <w:vMerge w:val="continue"/>
            <w:tcBorders>
              <w:left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lang w:bidi="ar"/>
              </w:rPr>
            </w:pPr>
          </w:p>
        </w:tc>
        <w:tc>
          <w:tcPr>
            <w:tcW w:w="11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效益指标</w:t>
            </w:r>
          </w:p>
        </w:tc>
        <w:tc>
          <w:tcPr>
            <w:tcW w:w="177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textAlignment w:val="center"/>
              <w:outlineLvl w:val="9"/>
              <w:rPr>
                <w:rFonts w:hint="eastAsia" w:ascii="宋体" w:hAnsi="宋体"/>
                <w:color w:val="000000"/>
                <w:sz w:val="21"/>
                <w:szCs w:val="21"/>
              </w:rPr>
            </w:pPr>
            <w:r>
              <w:rPr>
                <w:rFonts w:hint="eastAsia" w:ascii="宋体" w:hAnsi="宋体"/>
                <w:color w:val="000000"/>
                <w:sz w:val="21"/>
                <w:szCs w:val="21"/>
                <w:lang w:bidi="ar"/>
              </w:rPr>
              <w:t>可持续影响指标</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保障青少年及青年全程交往活动开展</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定性</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好坏</w:t>
            </w:r>
          </w:p>
        </w:tc>
        <w:tc>
          <w:tcPr>
            <w:tcW w:w="688"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25</w:t>
            </w:r>
          </w:p>
        </w:tc>
        <w:tc>
          <w:tcPr>
            <w:tcW w:w="677"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outlineLvl w:val="9"/>
              <w:rPr>
                <w:rFonts w:hint="eastAsia" w:ascii="宋体" w:hAnsi="宋体"/>
                <w:color w:val="000000"/>
                <w:sz w:val="21"/>
                <w:szCs w:val="21"/>
              </w:rPr>
            </w:pPr>
          </w:p>
        </w:tc>
      </w:tr>
      <w:tr>
        <w:tblPrEx>
          <w:tblCellMar>
            <w:top w:w="0" w:type="dxa"/>
            <w:left w:w="108" w:type="dxa"/>
            <w:bottom w:w="0" w:type="dxa"/>
            <w:right w:w="108" w:type="dxa"/>
          </w:tblCellMar>
        </w:tblPrEx>
        <w:trPr>
          <w:trHeight w:val="379" w:hRule="atLeast"/>
        </w:trPr>
        <w:tc>
          <w:tcPr>
            <w:tcW w:w="520" w:type="dxa"/>
            <w:vMerge w:val="continue"/>
            <w:tcBorders>
              <w:left w:val="single" w:color="000000" w:sz="4" w:space="0"/>
              <w:bottom w:val="single" w:color="auto"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lang w:bidi="ar"/>
              </w:rPr>
            </w:pPr>
          </w:p>
        </w:tc>
        <w:tc>
          <w:tcPr>
            <w:tcW w:w="1136"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满意度指标</w:t>
            </w:r>
          </w:p>
        </w:tc>
        <w:tc>
          <w:tcPr>
            <w:tcW w:w="177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center"/>
              <w:textAlignment w:val="center"/>
              <w:outlineLvl w:val="9"/>
              <w:rPr>
                <w:rFonts w:hint="eastAsia" w:ascii="宋体" w:hAnsi="宋体"/>
                <w:color w:val="000000"/>
                <w:sz w:val="21"/>
                <w:szCs w:val="21"/>
              </w:rPr>
            </w:pPr>
            <w:r>
              <w:rPr>
                <w:rFonts w:hint="eastAsia" w:ascii="宋体" w:hAnsi="宋体"/>
                <w:color w:val="000000"/>
                <w:sz w:val="21"/>
                <w:szCs w:val="21"/>
                <w:lang w:bidi="ar"/>
              </w:rPr>
              <w:t>服务对象满意度指标</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参与者对项目实施的满意度</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95</w:t>
            </w:r>
          </w:p>
        </w:tc>
        <w:tc>
          <w:tcPr>
            <w:tcW w:w="688"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autoSpaceDE/>
              <w:autoSpaceDN/>
              <w:bidi w:val="0"/>
              <w:jc w:val="left"/>
              <w:textAlignment w:val="center"/>
              <w:outlineLvl w:val="9"/>
              <w:rPr>
                <w:rFonts w:hint="eastAsia" w:ascii="宋体" w:hAnsi="宋体"/>
                <w:color w:val="000000"/>
                <w:sz w:val="21"/>
                <w:szCs w:val="21"/>
              </w:rPr>
            </w:pPr>
            <w:r>
              <w:rPr>
                <w:rFonts w:hint="eastAsia" w:ascii="宋体" w:hAnsi="宋体"/>
                <w:color w:val="000000"/>
                <w:sz w:val="21"/>
                <w:szCs w:val="21"/>
                <w:lang w:bidi="ar"/>
              </w:rPr>
              <w:t>15</w:t>
            </w:r>
          </w:p>
        </w:tc>
        <w:tc>
          <w:tcPr>
            <w:tcW w:w="677"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autoSpaceDE/>
              <w:autoSpaceDN/>
              <w:bidi w:val="0"/>
              <w:outlineLvl w:val="9"/>
              <w:rPr>
                <w:rFonts w:hint="eastAsia" w:ascii="宋体" w:hAnsi="宋体"/>
                <w:color w:val="000000"/>
                <w:sz w:val="21"/>
                <w:szCs w:val="21"/>
              </w:rPr>
            </w:pPr>
          </w:p>
        </w:tc>
      </w:tr>
    </w:tbl>
    <w:p>
      <w:pPr>
        <w:adjustRightInd w:val="0"/>
        <w:snapToGrid w:val="0"/>
        <w:spacing w:line="240" w:lineRule="auto"/>
        <w:rPr>
          <w:rFonts w:hint="eastAsia" w:ascii="方正黑体_GBK" w:eastAsia="方正黑体_GBK" w:cs="Times New Roman"/>
          <w:kern w:val="2"/>
          <w:sz w:val="24"/>
          <w:szCs w:val="24"/>
        </w:rPr>
      </w:pPr>
    </w:p>
    <w:p>
      <w:pPr>
        <w:spacing w:line="576" w:lineRule="exact"/>
        <w:jc w:val="center"/>
        <w:outlineLvl w:val="0"/>
        <w:rPr>
          <w:rStyle w:val="30"/>
          <w:rFonts w:ascii="方正小标宋简体" w:eastAsia="方正小标宋简体" w:cs="方正小标宋简体"/>
          <w:b w:val="0"/>
        </w:rPr>
      </w:pPr>
      <w:bookmarkStart w:id="119" w:name="_Toc30080"/>
      <w:r>
        <w:rPr>
          <w:rFonts w:hint="eastAsia" w:ascii="方正小标宋简体" w:eastAsia="方正小标宋简体" w:cs="方正小标宋简体"/>
          <w:color w:val="000000"/>
          <w:sz w:val="44"/>
          <w:szCs w:val="44"/>
        </w:rPr>
        <w:t>第</w:t>
      </w:r>
      <w:r>
        <w:rPr>
          <w:rStyle w:val="30"/>
          <w:rFonts w:hint="eastAsia" w:ascii="方正小标宋简体" w:eastAsia="方正小标宋简体" w:cs="方正小标宋简体"/>
          <w:b w:val="0"/>
        </w:rPr>
        <w:t>五部分 附表</w:t>
      </w:r>
      <w:bookmarkEnd w:id="119"/>
    </w:p>
    <w:p>
      <w:pPr>
        <w:spacing w:line="576" w:lineRule="atLeast"/>
        <w:ind w:firstLine="640" w:firstLineChars="200"/>
        <w:rPr>
          <w:rFonts w:hint="eastAsia" w:ascii="仿宋_GB2312" w:eastAsia="仿宋_GB2312" w:cs="宋体"/>
          <w:color w:val="000000"/>
          <w:kern w:val="0"/>
          <w:sz w:val="32"/>
          <w:szCs w:val="32"/>
          <w:shd w:val="clear" w:color="auto" w:fill="FFFFFF"/>
          <w:lang w:val="zh-CN"/>
        </w:rPr>
      </w:pPr>
    </w:p>
    <w:p>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outlineLvl w:val="1"/>
        <w:rPr>
          <w:rFonts w:ascii="仿宋_GB2312" w:eastAsia="仿宋_GB2312" w:cs="宋体"/>
          <w:color w:val="000000"/>
          <w:kern w:val="0"/>
          <w:sz w:val="32"/>
          <w:szCs w:val="32"/>
          <w:shd w:val="clear" w:color="auto" w:fill="FFFFFF"/>
          <w:lang w:val="zh-CN"/>
        </w:rPr>
      </w:pPr>
      <w:bookmarkStart w:id="120" w:name="_Toc16165"/>
      <w:r>
        <w:rPr>
          <w:rFonts w:hint="eastAsia" w:ascii="仿宋_GB2312" w:eastAsia="仿宋_GB2312" w:cs="宋体"/>
          <w:color w:val="000000"/>
          <w:kern w:val="0"/>
          <w:sz w:val="32"/>
          <w:szCs w:val="32"/>
          <w:shd w:val="clear" w:color="auto" w:fill="FFFFFF"/>
          <w:lang w:val="zh-CN"/>
        </w:rPr>
        <w:t>一、收入支出决算总表</w:t>
      </w:r>
      <w:bookmarkEnd w:id="120"/>
    </w:p>
    <w:p>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outlineLvl w:val="1"/>
        <w:rPr>
          <w:rFonts w:ascii="仿宋_GB2312" w:eastAsia="仿宋_GB2312" w:cs="宋体"/>
          <w:color w:val="000000"/>
          <w:kern w:val="0"/>
          <w:sz w:val="32"/>
          <w:szCs w:val="32"/>
          <w:shd w:val="clear" w:color="auto" w:fill="FFFFFF"/>
          <w:lang w:val="zh-CN"/>
        </w:rPr>
      </w:pPr>
      <w:bookmarkStart w:id="121" w:name="_Toc20076"/>
      <w:r>
        <w:rPr>
          <w:rFonts w:hint="eastAsia" w:ascii="仿宋_GB2312" w:eastAsia="仿宋_GB2312" w:cs="宋体"/>
          <w:color w:val="000000"/>
          <w:kern w:val="0"/>
          <w:sz w:val="32"/>
          <w:szCs w:val="32"/>
          <w:shd w:val="clear" w:color="auto" w:fill="FFFFFF"/>
          <w:lang w:val="zh-CN"/>
        </w:rPr>
        <w:t>二、收入决算表</w:t>
      </w:r>
      <w:bookmarkEnd w:id="121"/>
    </w:p>
    <w:p>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outlineLvl w:val="1"/>
        <w:rPr>
          <w:rFonts w:ascii="仿宋_GB2312" w:eastAsia="仿宋_GB2312" w:cs="宋体"/>
          <w:color w:val="000000"/>
          <w:kern w:val="0"/>
          <w:sz w:val="32"/>
          <w:szCs w:val="32"/>
          <w:shd w:val="clear" w:color="auto" w:fill="FFFFFF"/>
          <w:lang w:val="zh-CN"/>
        </w:rPr>
      </w:pPr>
      <w:bookmarkStart w:id="122" w:name="_Toc5927"/>
      <w:r>
        <w:rPr>
          <w:rFonts w:hint="eastAsia" w:ascii="仿宋_GB2312" w:eastAsia="仿宋_GB2312" w:cs="宋体"/>
          <w:color w:val="000000"/>
          <w:kern w:val="0"/>
          <w:sz w:val="32"/>
          <w:szCs w:val="32"/>
          <w:shd w:val="clear" w:color="auto" w:fill="FFFFFF"/>
          <w:lang w:val="zh-CN"/>
        </w:rPr>
        <w:t>三、支出决算表</w:t>
      </w:r>
      <w:bookmarkEnd w:id="122"/>
    </w:p>
    <w:p>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outlineLvl w:val="1"/>
        <w:rPr>
          <w:rFonts w:ascii="仿宋_GB2312" w:eastAsia="仿宋_GB2312" w:cs="宋体"/>
          <w:color w:val="000000"/>
          <w:kern w:val="0"/>
          <w:sz w:val="32"/>
          <w:szCs w:val="32"/>
          <w:shd w:val="clear" w:color="auto" w:fill="FFFFFF"/>
          <w:lang w:val="zh-CN"/>
        </w:rPr>
      </w:pPr>
      <w:bookmarkStart w:id="123" w:name="_Toc26548"/>
      <w:r>
        <w:rPr>
          <w:rFonts w:hint="eastAsia" w:ascii="仿宋_GB2312" w:eastAsia="仿宋_GB2312" w:cs="宋体"/>
          <w:color w:val="000000"/>
          <w:kern w:val="0"/>
          <w:sz w:val="32"/>
          <w:szCs w:val="32"/>
          <w:shd w:val="clear" w:color="auto" w:fill="FFFFFF"/>
          <w:lang w:val="zh-CN"/>
        </w:rPr>
        <w:t>四、财政拨款收入支出决算总表</w:t>
      </w:r>
      <w:bookmarkEnd w:id="123"/>
    </w:p>
    <w:p>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outlineLvl w:val="1"/>
        <w:rPr>
          <w:rFonts w:ascii="仿宋_GB2312" w:eastAsia="仿宋_GB2312" w:cs="宋体"/>
          <w:color w:val="000000"/>
          <w:kern w:val="0"/>
          <w:sz w:val="32"/>
          <w:szCs w:val="32"/>
          <w:shd w:val="clear" w:color="auto" w:fill="FFFFFF"/>
          <w:lang w:val="zh-CN"/>
        </w:rPr>
      </w:pPr>
      <w:bookmarkStart w:id="124" w:name="_Toc2693"/>
      <w:r>
        <w:rPr>
          <w:rFonts w:hint="eastAsia" w:ascii="仿宋_GB2312" w:eastAsia="仿宋_GB2312" w:cs="宋体"/>
          <w:color w:val="000000"/>
          <w:kern w:val="0"/>
          <w:sz w:val="32"/>
          <w:szCs w:val="32"/>
          <w:shd w:val="clear" w:color="auto" w:fill="FFFFFF"/>
          <w:lang w:val="zh-CN"/>
        </w:rPr>
        <w:t>五、财政拨款支出决算明细表</w:t>
      </w:r>
      <w:bookmarkEnd w:id="124"/>
    </w:p>
    <w:p>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outlineLvl w:val="1"/>
        <w:rPr>
          <w:rFonts w:ascii="仿宋_GB2312" w:eastAsia="仿宋_GB2312" w:cs="宋体"/>
          <w:color w:val="000000"/>
          <w:kern w:val="0"/>
          <w:sz w:val="32"/>
          <w:szCs w:val="32"/>
          <w:shd w:val="clear" w:color="auto" w:fill="FFFFFF"/>
          <w:lang w:val="zh-CN"/>
        </w:rPr>
      </w:pPr>
      <w:bookmarkStart w:id="125" w:name="_Toc26266"/>
      <w:r>
        <w:rPr>
          <w:rFonts w:hint="eastAsia" w:ascii="仿宋_GB2312" w:eastAsia="仿宋_GB2312" w:cs="宋体"/>
          <w:color w:val="000000"/>
          <w:kern w:val="0"/>
          <w:sz w:val="32"/>
          <w:szCs w:val="32"/>
          <w:shd w:val="clear" w:color="auto" w:fill="FFFFFF"/>
          <w:lang w:val="zh-CN"/>
        </w:rPr>
        <w:t>六、一般公共预算财政拨款支出决算表</w:t>
      </w:r>
      <w:bookmarkEnd w:id="125"/>
    </w:p>
    <w:p>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outlineLvl w:val="1"/>
        <w:rPr>
          <w:rFonts w:ascii="仿宋_GB2312" w:eastAsia="仿宋_GB2312" w:cs="宋体"/>
          <w:color w:val="000000"/>
          <w:kern w:val="0"/>
          <w:sz w:val="32"/>
          <w:szCs w:val="32"/>
          <w:shd w:val="clear" w:color="auto" w:fill="FFFFFF"/>
          <w:lang w:val="zh-CN"/>
        </w:rPr>
      </w:pPr>
      <w:bookmarkStart w:id="126" w:name="_Toc16111"/>
      <w:r>
        <w:rPr>
          <w:rFonts w:hint="eastAsia" w:ascii="仿宋_GB2312" w:eastAsia="仿宋_GB2312" w:cs="宋体"/>
          <w:color w:val="000000"/>
          <w:kern w:val="0"/>
          <w:sz w:val="32"/>
          <w:szCs w:val="32"/>
          <w:shd w:val="clear" w:color="auto" w:fill="FFFFFF"/>
          <w:lang w:val="zh-CN"/>
        </w:rPr>
        <w:t>七、一般公共预算财政拨款支出决算明细表</w:t>
      </w:r>
      <w:bookmarkEnd w:id="126"/>
    </w:p>
    <w:p>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outlineLvl w:val="1"/>
        <w:rPr>
          <w:rFonts w:ascii="仿宋_GB2312" w:eastAsia="仿宋_GB2312" w:cs="宋体"/>
          <w:color w:val="000000"/>
          <w:kern w:val="0"/>
          <w:sz w:val="32"/>
          <w:szCs w:val="32"/>
          <w:shd w:val="clear" w:color="auto" w:fill="FFFFFF"/>
          <w:lang w:val="zh-CN"/>
        </w:rPr>
      </w:pPr>
      <w:bookmarkStart w:id="127" w:name="_Toc416"/>
      <w:r>
        <w:rPr>
          <w:rFonts w:hint="eastAsia" w:ascii="仿宋_GB2312" w:eastAsia="仿宋_GB2312" w:cs="宋体"/>
          <w:color w:val="000000"/>
          <w:kern w:val="0"/>
          <w:sz w:val="32"/>
          <w:szCs w:val="32"/>
          <w:shd w:val="clear" w:color="auto" w:fill="FFFFFF"/>
          <w:lang w:val="zh-CN"/>
        </w:rPr>
        <w:t>八、一般公共预算财政拨款基本支出决算表</w:t>
      </w:r>
      <w:bookmarkEnd w:id="127"/>
    </w:p>
    <w:p>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outlineLvl w:val="1"/>
        <w:rPr>
          <w:rFonts w:ascii="仿宋_GB2312" w:eastAsia="仿宋_GB2312" w:cs="宋体"/>
          <w:color w:val="000000"/>
          <w:kern w:val="0"/>
          <w:sz w:val="32"/>
          <w:szCs w:val="32"/>
          <w:shd w:val="clear" w:color="auto" w:fill="FFFFFF"/>
          <w:lang w:val="zh-CN"/>
        </w:rPr>
      </w:pPr>
      <w:bookmarkStart w:id="128" w:name="_Toc25137"/>
      <w:r>
        <w:rPr>
          <w:rFonts w:hint="eastAsia" w:ascii="仿宋_GB2312" w:eastAsia="仿宋_GB2312" w:cs="宋体"/>
          <w:color w:val="000000"/>
          <w:kern w:val="0"/>
          <w:sz w:val="32"/>
          <w:szCs w:val="32"/>
          <w:shd w:val="clear" w:color="auto" w:fill="FFFFFF"/>
          <w:lang w:val="zh-CN"/>
        </w:rPr>
        <w:t>九、一般公共预算财政拨款项目支出决算表</w:t>
      </w:r>
      <w:bookmarkEnd w:id="128"/>
    </w:p>
    <w:p>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outlineLvl w:val="1"/>
        <w:rPr>
          <w:rFonts w:ascii="仿宋_GB2312" w:eastAsia="仿宋_GB2312" w:cs="宋体"/>
          <w:color w:val="000000"/>
          <w:kern w:val="0"/>
          <w:sz w:val="32"/>
          <w:szCs w:val="32"/>
          <w:shd w:val="clear" w:color="auto" w:fill="FFFFFF"/>
          <w:lang w:val="zh-CN"/>
        </w:rPr>
      </w:pPr>
      <w:bookmarkStart w:id="129" w:name="_Toc25478"/>
      <w:r>
        <w:rPr>
          <w:rFonts w:hint="eastAsia" w:ascii="仿宋_GB2312" w:eastAsia="仿宋_GB2312" w:cs="宋体"/>
          <w:color w:val="000000"/>
          <w:kern w:val="0"/>
          <w:sz w:val="32"/>
          <w:szCs w:val="32"/>
          <w:shd w:val="clear" w:color="auto" w:fill="FFFFFF"/>
          <w:lang w:val="zh-CN"/>
        </w:rPr>
        <w:t>十、政府性基金预算财政拨款收入支出决算表</w:t>
      </w:r>
      <w:bookmarkEnd w:id="129"/>
    </w:p>
    <w:p>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outlineLvl w:val="1"/>
        <w:rPr>
          <w:rFonts w:ascii="仿宋_GB2312" w:eastAsia="仿宋_GB2312" w:cs="宋体"/>
          <w:color w:val="000000"/>
          <w:kern w:val="0"/>
          <w:sz w:val="32"/>
          <w:szCs w:val="32"/>
          <w:shd w:val="clear" w:color="auto" w:fill="FFFFFF"/>
          <w:lang w:val="zh-CN"/>
        </w:rPr>
      </w:pPr>
      <w:bookmarkStart w:id="130" w:name="_Toc24477"/>
      <w:r>
        <w:rPr>
          <w:rFonts w:hint="eastAsia" w:ascii="仿宋_GB2312" w:eastAsia="仿宋_GB2312" w:cs="宋体"/>
          <w:color w:val="000000"/>
          <w:kern w:val="0"/>
          <w:sz w:val="32"/>
          <w:szCs w:val="32"/>
          <w:shd w:val="clear" w:color="auto" w:fill="FFFFFF"/>
          <w:lang w:val="zh-CN"/>
        </w:rPr>
        <w:t>十一、国有资本经营预算财政拨款收入支出决算表</w:t>
      </w:r>
      <w:bookmarkEnd w:id="130"/>
    </w:p>
    <w:p>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outlineLvl w:val="1"/>
        <w:rPr>
          <w:rFonts w:ascii="仿宋_GB2312" w:eastAsia="仿宋_GB2312" w:cs="宋体"/>
          <w:color w:val="000000"/>
          <w:kern w:val="0"/>
          <w:sz w:val="32"/>
          <w:szCs w:val="32"/>
          <w:shd w:val="clear" w:color="auto" w:fill="FFFFFF"/>
          <w:lang w:val="zh-CN"/>
        </w:rPr>
      </w:pPr>
      <w:bookmarkStart w:id="131" w:name="_Toc28548"/>
      <w:r>
        <w:rPr>
          <w:rFonts w:hint="eastAsia" w:ascii="仿宋_GB2312" w:eastAsia="仿宋_GB2312" w:cs="宋体"/>
          <w:color w:val="000000"/>
          <w:kern w:val="0"/>
          <w:sz w:val="32"/>
          <w:szCs w:val="32"/>
          <w:shd w:val="clear" w:color="auto" w:fill="FFFFFF"/>
          <w:lang w:val="zh-CN"/>
        </w:rPr>
        <w:t>十二、国有资本经营预算财政拨款支出决算表</w:t>
      </w:r>
      <w:bookmarkEnd w:id="131"/>
    </w:p>
    <w:p>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outlineLvl w:val="1"/>
        <w:rPr>
          <w:rFonts w:ascii="仿宋_GB2312" w:eastAsia="仿宋_GB2312" w:cs="宋体"/>
          <w:color w:val="000000"/>
          <w:kern w:val="0"/>
          <w:sz w:val="32"/>
          <w:szCs w:val="32"/>
          <w:shd w:val="clear" w:color="auto" w:fill="FFFFFF"/>
          <w:lang w:val="zh-CN"/>
        </w:rPr>
      </w:pPr>
      <w:bookmarkStart w:id="132" w:name="_Toc26105"/>
      <w:r>
        <w:rPr>
          <w:rFonts w:hint="eastAsia" w:ascii="仿宋_GB2312" w:eastAsia="仿宋_GB2312" w:cs="宋体"/>
          <w:color w:val="000000"/>
          <w:kern w:val="0"/>
          <w:sz w:val="32"/>
          <w:szCs w:val="32"/>
          <w:shd w:val="clear" w:color="auto" w:fill="FFFFFF"/>
          <w:lang w:val="zh-CN"/>
        </w:rPr>
        <w:t>十三、财政拨款“三公”经费支出决算表</w:t>
      </w:r>
      <w:bookmarkEnd w:id="132"/>
    </w:p>
    <w:p>
      <w:pPr>
        <w:spacing w:line="576" w:lineRule="atLeast"/>
        <w:ind w:firstLine="640" w:firstLineChars="200"/>
        <w:rPr>
          <w:rFonts w:ascii="仿宋_GB2312" w:eastAsia="仿宋_GB2312" w:cs="宋体"/>
          <w:color w:val="000000"/>
          <w:kern w:val="0"/>
          <w:sz w:val="32"/>
          <w:szCs w:val="32"/>
          <w:shd w:val="clear" w:color="auto" w:fill="FFFFFF"/>
          <w:lang w:val="zh-CN"/>
        </w:rPr>
      </w:pPr>
    </w:p>
    <w:p>
      <w:pPr>
        <w:spacing w:line="576" w:lineRule="atLeast"/>
        <w:ind w:firstLine="640" w:firstLineChars="200"/>
        <w:rPr>
          <w:rFonts w:ascii="仿宋_GB2312" w:eastAsia="仿宋_GB2312" w:cs="宋体"/>
          <w:color w:val="000000"/>
          <w:kern w:val="0"/>
          <w:sz w:val="32"/>
          <w:szCs w:val="32"/>
          <w:shd w:val="clear" w:color="auto" w:fill="FFFFFF"/>
          <w:lang w:val="zh-CN"/>
        </w:rPr>
      </w:pPr>
    </w:p>
    <w:p>
      <w:pPr>
        <w:spacing w:line="576" w:lineRule="atLeast"/>
        <w:ind w:firstLine="640" w:firstLineChars="200"/>
        <w:rPr>
          <w:rFonts w:ascii="仿宋_GB2312" w:eastAsia="仿宋_GB2312" w:cs="宋体"/>
          <w:color w:val="000000"/>
          <w:kern w:val="0"/>
          <w:sz w:val="32"/>
          <w:szCs w:val="32"/>
          <w:shd w:val="clear" w:color="auto" w:fill="FFFFFF"/>
          <w:lang w:val="zh-CN"/>
        </w:rPr>
      </w:pPr>
    </w:p>
    <w:sectPr>
      <w:footerReference r:id="rId8" w:type="first"/>
      <w:footerReference r:id="rId7" w:type="default"/>
      <w:pgSz w:w="11906" w:h="16838"/>
      <w:pgMar w:top="1383" w:right="1689" w:bottom="986" w:left="1803" w:header="851" w:footer="992" w:gutter="0"/>
      <w:pgNumType w:fmt="decimal"/>
      <w:cols w:space="0" w:num="1"/>
      <w:titlePg/>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细黑">
    <w:altName w:val="微软雅黑"/>
    <w:panose1 w:val="00000000000000000000"/>
    <w:charset w:val="86"/>
    <w:family w:val="auto"/>
    <w:pitch w:val="default"/>
    <w:sig w:usb0="00000000" w:usb1="00000000" w:usb2="00000000" w:usb3="00000000" w:csb0="0004009F" w:csb1="DFD70000"/>
  </w:font>
  <w:font w:name="等线">
    <w:altName w:val="仿宋_GB2312"/>
    <w:panose1 w:val="00000000000000000000"/>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仿宋_GB2312"/>
    <w:panose1 w:val="00000000000000000000"/>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7"/>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pPr>
        <w:ind w:left="0" w:firstLine="0"/>
      </w:pPr>
      <w:rPr>
        <w:rFonts w:hint="eastAsia" w:cs="Times New Roman"/>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2">
    <w:nsid w:val="3659BC9D"/>
    <w:multiLevelType w:val="singleLevel"/>
    <w:tmpl w:val="3659BC9D"/>
    <w:lvl w:ilvl="0" w:tentative="0">
      <w:start w:val="2"/>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61"/>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hZjBiMTE1OTE3YzZhMDA1NDNhMDdiOTk3MjUwY2IifQ=="/>
  </w:docVars>
  <w:rsids>
    <w:rsidRoot w:val="001B4267"/>
    <w:rsid w:val="0003365B"/>
    <w:rsid w:val="00064304"/>
    <w:rsid w:val="000643C5"/>
    <w:rsid w:val="000C0C24"/>
    <w:rsid w:val="000C687D"/>
    <w:rsid w:val="0010139D"/>
    <w:rsid w:val="0018295B"/>
    <w:rsid w:val="001B4267"/>
    <w:rsid w:val="001E5940"/>
    <w:rsid w:val="001F0AE7"/>
    <w:rsid w:val="002277B0"/>
    <w:rsid w:val="002F33BD"/>
    <w:rsid w:val="002F5EC0"/>
    <w:rsid w:val="003558A8"/>
    <w:rsid w:val="003809BD"/>
    <w:rsid w:val="00391C6B"/>
    <w:rsid w:val="003928E3"/>
    <w:rsid w:val="004139E2"/>
    <w:rsid w:val="00457531"/>
    <w:rsid w:val="004639D1"/>
    <w:rsid w:val="00472144"/>
    <w:rsid w:val="00475A41"/>
    <w:rsid w:val="004C43EA"/>
    <w:rsid w:val="005062AE"/>
    <w:rsid w:val="00536F04"/>
    <w:rsid w:val="005658C7"/>
    <w:rsid w:val="0058757D"/>
    <w:rsid w:val="005A69CE"/>
    <w:rsid w:val="005C779E"/>
    <w:rsid w:val="00634F21"/>
    <w:rsid w:val="00647E8F"/>
    <w:rsid w:val="006D3785"/>
    <w:rsid w:val="006D7CF7"/>
    <w:rsid w:val="006E10DF"/>
    <w:rsid w:val="006E53E3"/>
    <w:rsid w:val="0070458D"/>
    <w:rsid w:val="0073205B"/>
    <w:rsid w:val="007A6D12"/>
    <w:rsid w:val="007D3B5A"/>
    <w:rsid w:val="00825334"/>
    <w:rsid w:val="00855EEE"/>
    <w:rsid w:val="00864287"/>
    <w:rsid w:val="00886123"/>
    <w:rsid w:val="00896110"/>
    <w:rsid w:val="009215B6"/>
    <w:rsid w:val="00933F46"/>
    <w:rsid w:val="009552ED"/>
    <w:rsid w:val="00995FFD"/>
    <w:rsid w:val="009A21BE"/>
    <w:rsid w:val="009C1E0C"/>
    <w:rsid w:val="00A33E25"/>
    <w:rsid w:val="00A373B8"/>
    <w:rsid w:val="00A54174"/>
    <w:rsid w:val="00A57FAA"/>
    <w:rsid w:val="00A773E4"/>
    <w:rsid w:val="00B45618"/>
    <w:rsid w:val="00B56CF4"/>
    <w:rsid w:val="00BA27AA"/>
    <w:rsid w:val="00BC1CB9"/>
    <w:rsid w:val="00C10584"/>
    <w:rsid w:val="00C72FBC"/>
    <w:rsid w:val="00D436E7"/>
    <w:rsid w:val="00D47F89"/>
    <w:rsid w:val="00D86018"/>
    <w:rsid w:val="00DB6F94"/>
    <w:rsid w:val="00EA6421"/>
    <w:rsid w:val="00F321C3"/>
    <w:rsid w:val="00F40B69"/>
    <w:rsid w:val="00F47164"/>
    <w:rsid w:val="00FC0ED4"/>
    <w:rsid w:val="00FE3AD9"/>
    <w:rsid w:val="00FF0E03"/>
    <w:rsid w:val="00FF1D85"/>
    <w:rsid w:val="01944F86"/>
    <w:rsid w:val="02A12ECC"/>
    <w:rsid w:val="03637687"/>
    <w:rsid w:val="039D7B38"/>
    <w:rsid w:val="04155DD9"/>
    <w:rsid w:val="050D1E93"/>
    <w:rsid w:val="053A0405"/>
    <w:rsid w:val="05A41F2A"/>
    <w:rsid w:val="05BD5F77"/>
    <w:rsid w:val="05D70B9C"/>
    <w:rsid w:val="070418F7"/>
    <w:rsid w:val="07BE007D"/>
    <w:rsid w:val="08646E76"/>
    <w:rsid w:val="08F04266"/>
    <w:rsid w:val="09BC05EC"/>
    <w:rsid w:val="0A4F1460"/>
    <w:rsid w:val="0AA572D2"/>
    <w:rsid w:val="0AB62408"/>
    <w:rsid w:val="0B297F03"/>
    <w:rsid w:val="0C413E05"/>
    <w:rsid w:val="0D4234FE"/>
    <w:rsid w:val="0DAE649D"/>
    <w:rsid w:val="0E6B3641"/>
    <w:rsid w:val="1028716B"/>
    <w:rsid w:val="11972840"/>
    <w:rsid w:val="11A46535"/>
    <w:rsid w:val="120B3C73"/>
    <w:rsid w:val="12163987"/>
    <w:rsid w:val="130059ED"/>
    <w:rsid w:val="13F3608D"/>
    <w:rsid w:val="147A357D"/>
    <w:rsid w:val="157F7BA4"/>
    <w:rsid w:val="15ED7B5C"/>
    <w:rsid w:val="166167A3"/>
    <w:rsid w:val="166E173E"/>
    <w:rsid w:val="16E53F04"/>
    <w:rsid w:val="176B039E"/>
    <w:rsid w:val="17A3655A"/>
    <w:rsid w:val="18DE7AE3"/>
    <w:rsid w:val="1A4C1518"/>
    <w:rsid w:val="1A626A1A"/>
    <w:rsid w:val="1AEC1896"/>
    <w:rsid w:val="1AF37BE5"/>
    <w:rsid w:val="1C401B44"/>
    <w:rsid w:val="1C524F40"/>
    <w:rsid w:val="1D1F34C2"/>
    <w:rsid w:val="1D422138"/>
    <w:rsid w:val="1D7A676B"/>
    <w:rsid w:val="1D7E7C3A"/>
    <w:rsid w:val="1DC964EA"/>
    <w:rsid w:val="1DE34B2E"/>
    <w:rsid w:val="1F0979D8"/>
    <w:rsid w:val="1FF80E30"/>
    <w:rsid w:val="2059498F"/>
    <w:rsid w:val="20797E47"/>
    <w:rsid w:val="20C5604F"/>
    <w:rsid w:val="21A605AF"/>
    <w:rsid w:val="21B41A3B"/>
    <w:rsid w:val="21D76884"/>
    <w:rsid w:val="22434BD8"/>
    <w:rsid w:val="229B042A"/>
    <w:rsid w:val="22A80817"/>
    <w:rsid w:val="22D8603F"/>
    <w:rsid w:val="24104581"/>
    <w:rsid w:val="243674C1"/>
    <w:rsid w:val="253056B8"/>
    <w:rsid w:val="257E3E60"/>
    <w:rsid w:val="27565784"/>
    <w:rsid w:val="27602AA7"/>
    <w:rsid w:val="280F1196"/>
    <w:rsid w:val="2838132E"/>
    <w:rsid w:val="287713C2"/>
    <w:rsid w:val="28976054"/>
    <w:rsid w:val="29B6075C"/>
    <w:rsid w:val="29C12E6F"/>
    <w:rsid w:val="2B05199B"/>
    <w:rsid w:val="2B3E1294"/>
    <w:rsid w:val="2BBA09D7"/>
    <w:rsid w:val="2BEBE80C"/>
    <w:rsid w:val="2C305780"/>
    <w:rsid w:val="2C7D6C88"/>
    <w:rsid w:val="2D413C72"/>
    <w:rsid w:val="2D842B2A"/>
    <w:rsid w:val="2DFE0184"/>
    <w:rsid w:val="2E536EC1"/>
    <w:rsid w:val="2E8A6182"/>
    <w:rsid w:val="2F940A8D"/>
    <w:rsid w:val="308A4F55"/>
    <w:rsid w:val="31102E48"/>
    <w:rsid w:val="31C059A2"/>
    <w:rsid w:val="321231E6"/>
    <w:rsid w:val="32907D69"/>
    <w:rsid w:val="32DC7485"/>
    <w:rsid w:val="331A61FF"/>
    <w:rsid w:val="336D0A88"/>
    <w:rsid w:val="33F35BE7"/>
    <w:rsid w:val="3461192A"/>
    <w:rsid w:val="34D5072E"/>
    <w:rsid w:val="354E03E2"/>
    <w:rsid w:val="358F6692"/>
    <w:rsid w:val="371263FF"/>
    <w:rsid w:val="37EA2644"/>
    <w:rsid w:val="37EF1A09"/>
    <w:rsid w:val="38266DB5"/>
    <w:rsid w:val="3862292F"/>
    <w:rsid w:val="39002C48"/>
    <w:rsid w:val="39262173"/>
    <w:rsid w:val="39D322A2"/>
    <w:rsid w:val="3A5E2E76"/>
    <w:rsid w:val="3AA54601"/>
    <w:rsid w:val="3AEE2BBB"/>
    <w:rsid w:val="3B7F12F6"/>
    <w:rsid w:val="3C504A40"/>
    <w:rsid w:val="3D116011"/>
    <w:rsid w:val="3D373AF0"/>
    <w:rsid w:val="3DEB2C72"/>
    <w:rsid w:val="3E491D1E"/>
    <w:rsid w:val="3EB07A18"/>
    <w:rsid w:val="3ED17344"/>
    <w:rsid w:val="416C231C"/>
    <w:rsid w:val="417775AE"/>
    <w:rsid w:val="42321B6A"/>
    <w:rsid w:val="42336A5A"/>
    <w:rsid w:val="43FD1639"/>
    <w:rsid w:val="44CE10C4"/>
    <w:rsid w:val="44E346A3"/>
    <w:rsid w:val="458F65D9"/>
    <w:rsid w:val="45CD1983"/>
    <w:rsid w:val="468A0822"/>
    <w:rsid w:val="46DC3AA0"/>
    <w:rsid w:val="471E7C15"/>
    <w:rsid w:val="475875E0"/>
    <w:rsid w:val="477C780F"/>
    <w:rsid w:val="478B2DD0"/>
    <w:rsid w:val="48AD3AA7"/>
    <w:rsid w:val="4A103771"/>
    <w:rsid w:val="4AD30D16"/>
    <w:rsid w:val="4B890B2B"/>
    <w:rsid w:val="4B976D93"/>
    <w:rsid w:val="4C0E53BA"/>
    <w:rsid w:val="4C2F6590"/>
    <w:rsid w:val="4C83051A"/>
    <w:rsid w:val="4D07739D"/>
    <w:rsid w:val="4D453A21"/>
    <w:rsid w:val="4E485577"/>
    <w:rsid w:val="4EC45925"/>
    <w:rsid w:val="4ECE4BFA"/>
    <w:rsid w:val="4F075432"/>
    <w:rsid w:val="4FB753E2"/>
    <w:rsid w:val="508B7C5B"/>
    <w:rsid w:val="50C67853"/>
    <w:rsid w:val="521B41DE"/>
    <w:rsid w:val="527E0E99"/>
    <w:rsid w:val="52E71802"/>
    <w:rsid w:val="53195734"/>
    <w:rsid w:val="532219EA"/>
    <w:rsid w:val="5394125E"/>
    <w:rsid w:val="54134879"/>
    <w:rsid w:val="542F69CA"/>
    <w:rsid w:val="54AB6D6C"/>
    <w:rsid w:val="54BF1265"/>
    <w:rsid w:val="559A48A2"/>
    <w:rsid w:val="5613290E"/>
    <w:rsid w:val="562465E2"/>
    <w:rsid w:val="56876E58"/>
    <w:rsid w:val="574E16ED"/>
    <w:rsid w:val="57A41CF0"/>
    <w:rsid w:val="58C9200F"/>
    <w:rsid w:val="5A2A6479"/>
    <w:rsid w:val="5A964BD8"/>
    <w:rsid w:val="5AB53B49"/>
    <w:rsid w:val="5C1B512D"/>
    <w:rsid w:val="5C7B120D"/>
    <w:rsid w:val="5E8C1493"/>
    <w:rsid w:val="5F013C4C"/>
    <w:rsid w:val="5F2F6B89"/>
    <w:rsid w:val="607B521D"/>
    <w:rsid w:val="60BB607C"/>
    <w:rsid w:val="61115CDA"/>
    <w:rsid w:val="615C0DCD"/>
    <w:rsid w:val="620E7D20"/>
    <w:rsid w:val="622540F5"/>
    <w:rsid w:val="6298315E"/>
    <w:rsid w:val="63C76CDE"/>
    <w:rsid w:val="63F07CAB"/>
    <w:rsid w:val="6432150A"/>
    <w:rsid w:val="646031C3"/>
    <w:rsid w:val="651B17E0"/>
    <w:rsid w:val="65744A4C"/>
    <w:rsid w:val="65DA3F3F"/>
    <w:rsid w:val="65F06C47"/>
    <w:rsid w:val="662513BE"/>
    <w:rsid w:val="66273993"/>
    <w:rsid w:val="67E82424"/>
    <w:rsid w:val="67F0176F"/>
    <w:rsid w:val="68316147"/>
    <w:rsid w:val="68420BFD"/>
    <w:rsid w:val="68867661"/>
    <w:rsid w:val="68F148CF"/>
    <w:rsid w:val="69CB7E06"/>
    <w:rsid w:val="6A6B1E45"/>
    <w:rsid w:val="6AD93CCF"/>
    <w:rsid w:val="6AE10DD5"/>
    <w:rsid w:val="6B6C0359"/>
    <w:rsid w:val="6BB32772"/>
    <w:rsid w:val="6C2E1DF8"/>
    <w:rsid w:val="6D4C6CB6"/>
    <w:rsid w:val="6D8E747B"/>
    <w:rsid w:val="6E6A1C30"/>
    <w:rsid w:val="6E7D0E15"/>
    <w:rsid w:val="6F7B2D58"/>
    <w:rsid w:val="70755B66"/>
    <w:rsid w:val="70A00D30"/>
    <w:rsid w:val="70D07922"/>
    <w:rsid w:val="717A6FCE"/>
    <w:rsid w:val="72313EC3"/>
    <w:rsid w:val="72D57472"/>
    <w:rsid w:val="72DF5BFA"/>
    <w:rsid w:val="72ED2C65"/>
    <w:rsid w:val="730C583E"/>
    <w:rsid w:val="732B0E40"/>
    <w:rsid w:val="73726B40"/>
    <w:rsid w:val="73CA68AB"/>
    <w:rsid w:val="741A394C"/>
    <w:rsid w:val="745E2B7F"/>
    <w:rsid w:val="754C045A"/>
    <w:rsid w:val="754E0E15"/>
    <w:rsid w:val="75635B5A"/>
    <w:rsid w:val="756E78D4"/>
    <w:rsid w:val="75722D56"/>
    <w:rsid w:val="76654669"/>
    <w:rsid w:val="76E031CE"/>
    <w:rsid w:val="77753B36"/>
    <w:rsid w:val="78200DF2"/>
    <w:rsid w:val="7855070D"/>
    <w:rsid w:val="78745037"/>
    <w:rsid w:val="797840E3"/>
    <w:rsid w:val="79E4127B"/>
    <w:rsid w:val="7A2B423D"/>
    <w:rsid w:val="7A2D13ED"/>
    <w:rsid w:val="7B4C229B"/>
    <w:rsid w:val="7B862913"/>
    <w:rsid w:val="7BCC6C7D"/>
    <w:rsid w:val="7DC14660"/>
    <w:rsid w:val="7E7E6C0F"/>
    <w:rsid w:val="7F0C344F"/>
    <w:rsid w:val="7F1D20CF"/>
    <w:rsid w:val="7F427C3D"/>
    <w:rsid w:val="7F7818B1"/>
    <w:rsid w:val="7FF77EA0"/>
    <w:rsid w:val="BBFC9793"/>
    <w:rsid w:val="EA4FD0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0"/>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31"/>
    <w:qFormat/>
    <w:uiPriority w:val="0"/>
    <w:pPr>
      <w:keepNext/>
      <w:keepLines/>
      <w:spacing w:before="260" w:after="260" w:line="415" w:lineRule="auto"/>
      <w:outlineLvl w:val="1"/>
    </w:pPr>
    <w:rPr>
      <w:rFonts w:ascii="Cambria" w:hAnsi="Cambria"/>
      <w:b/>
      <w:bCs/>
      <w:sz w:val="32"/>
      <w:szCs w:val="32"/>
    </w:rPr>
  </w:style>
  <w:style w:type="paragraph" w:styleId="7">
    <w:name w:val="heading 3"/>
    <w:basedOn w:val="1"/>
    <w:next w:val="1"/>
    <w:qFormat/>
    <w:uiPriority w:val="0"/>
    <w:pPr>
      <w:keepNext/>
      <w:keepLines/>
      <w:spacing w:before="260" w:after="260" w:line="415" w:lineRule="auto"/>
      <w:outlineLvl w:val="2"/>
    </w:pPr>
    <w:rPr>
      <w:b/>
      <w:bCs/>
      <w:sz w:val="32"/>
      <w:szCs w:val="32"/>
    </w:rPr>
  </w:style>
  <w:style w:type="character" w:default="1" w:styleId="27">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qFormat/>
    <w:uiPriority w:val="0"/>
    <w:rPr>
      <w:rFonts w:eastAsia="宋体"/>
    </w:rPr>
  </w:style>
  <w:style w:type="paragraph" w:styleId="4">
    <w:name w:val="Body Text Indent"/>
    <w:basedOn w:val="1"/>
    <w:next w:val="3"/>
    <w:qFormat/>
    <w:uiPriority w:val="0"/>
    <w:pPr>
      <w:ind w:firstLine="200" w:firstLineChars="200"/>
    </w:pPr>
    <w:rPr>
      <w:rFonts w:ascii="华文细黑" w:eastAsia="华文细黑" w:cs="华文细黑"/>
      <w:b/>
      <w:bCs/>
      <w:sz w:val="32"/>
      <w:szCs w:val="32"/>
    </w:rPr>
  </w:style>
  <w:style w:type="paragraph" w:styleId="8">
    <w:name w:val="toc 7"/>
    <w:basedOn w:val="1"/>
    <w:next w:val="1"/>
    <w:qFormat/>
    <w:uiPriority w:val="0"/>
    <w:pPr>
      <w:ind w:left="1260"/>
      <w:jc w:val="left"/>
    </w:pPr>
    <w:rPr>
      <w:rFonts w:ascii="等线" w:eastAsia="等线"/>
      <w:sz w:val="18"/>
      <w:szCs w:val="18"/>
    </w:rPr>
  </w:style>
  <w:style w:type="paragraph" w:styleId="9">
    <w:name w:val="Normal Indent"/>
    <w:basedOn w:val="1"/>
    <w:next w:val="10"/>
    <w:qFormat/>
    <w:uiPriority w:val="0"/>
    <w:pPr>
      <w:ind w:firstLine="420" w:firstLineChars="200"/>
    </w:pPr>
    <w:rPr>
      <w:rFonts w:ascii="Times New Roman" w:hAnsi="Times New Roman" w:eastAsia="宋体" w:cs="Times New Roman"/>
    </w:rPr>
  </w:style>
  <w:style w:type="paragraph" w:styleId="10">
    <w:name w:val="Normal (Web)"/>
    <w:basedOn w:val="1"/>
    <w:next w:val="1"/>
    <w:qFormat/>
    <w:uiPriority w:val="0"/>
    <w:pPr>
      <w:jc w:val="left"/>
    </w:pPr>
    <w:rPr>
      <w:kern w:val="0"/>
      <w:sz w:val="24"/>
    </w:rPr>
  </w:style>
  <w:style w:type="paragraph" w:styleId="11">
    <w:name w:val="index 5"/>
    <w:basedOn w:val="1"/>
    <w:next w:val="1"/>
    <w:unhideWhenUsed/>
    <w:qFormat/>
    <w:uiPriority w:val="99"/>
    <w:pPr>
      <w:keepNext w:val="0"/>
      <w:keepLines w:val="0"/>
      <w:widowControl w:val="0"/>
      <w:suppressLineNumbers w:val="0"/>
      <w:spacing w:before="0" w:beforeAutospacing="0" w:after="0" w:afterAutospacing="0" w:line="240" w:lineRule="auto"/>
      <w:ind w:left="1680" w:leftChars="800" w:firstLine="0"/>
      <w:jc w:val="both"/>
    </w:pPr>
    <w:rPr>
      <w:rFonts w:hint="default" w:ascii="Calibri" w:hAnsi="Calibri" w:eastAsia="宋体" w:cs="Calibri"/>
      <w:kern w:val="2"/>
      <w:sz w:val="21"/>
      <w:szCs w:val="24"/>
      <w:lang w:val="en-US" w:eastAsia="zh-CN" w:bidi="ar"/>
    </w:rPr>
  </w:style>
  <w:style w:type="paragraph" w:styleId="12">
    <w:name w:val="Body Text"/>
    <w:basedOn w:val="1"/>
    <w:qFormat/>
    <w:uiPriority w:val="0"/>
    <w:pPr>
      <w:spacing w:beforeLines="30"/>
    </w:pPr>
    <w:rPr>
      <w:rFonts w:ascii="仿宋_GB2312" w:eastAsia="仿宋_GB2312"/>
      <w:kern w:val="0"/>
      <w:sz w:val="24"/>
      <w:szCs w:val="20"/>
      <w:lang w:val="zh-CN"/>
    </w:rPr>
  </w:style>
  <w:style w:type="paragraph" w:styleId="13">
    <w:name w:val="toc 5"/>
    <w:basedOn w:val="1"/>
    <w:next w:val="1"/>
    <w:qFormat/>
    <w:uiPriority w:val="0"/>
    <w:pPr>
      <w:ind w:left="840"/>
      <w:jc w:val="left"/>
    </w:pPr>
    <w:rPr>
      <w:rFonts w:ascii="等线" w:eastAsia="等线"/>
      <w:sz w:val="18"/>
      <w:szCs w:val="18"/>
    </w:rPr>
  </w:style>
  <w:style w:type="paragraph" w:styleId="14">
    <w:name w:val="toc 3"/>
    <w:basedOn w:val="1"/>
    <w:next w:val="1"/>
    <w:qFormat/>
    <w:uiPriority w:val="0"/>
    <w:pPr>
      <w:ind w:left="420"/>
      <w:jc w:val="left"/>
    </w:pPr>
    <w:rPr>
      <w:rFonts w:ascii="等线" w:eastAsia="等线"/>
      <w:i/>
      <w:iCs/>
      <w:sz w:val="20"/>
      <w:szCs w:val="20"/>
    </w:rPr>
  </w:style>
  <w:style w:type="paragraph" w:styleId="15">
    <w:name w:val="toc 8"/>
    <w:basedOn w:val="1"/>
    <w:next w:val="1"/>
    <w:qFormat/>
    <w:uiPriority w:val="0"/>
    <w:pPr>
      <w:ind w:left="1470"/>
      <w:jc w:val="left"/>
    </w:pPr>
    <w:rPr>
      <w:rFonts w:ascii="等线" w:eastAsia="等线"/>
      <w:sz w:val="18"/>
      <w:szCs w:val="18"/>
    </w:rPr>
  </w:style>
  <w:style w:type="paragraph" w:styleId="16">
    <w:name w:val="Balloon Text"/>
    <w:basedOn w:val="1"/>
    <w:qFormat/>
    <w:uiPriority w:val="0"/>
    <w:rPr>
      <w:sz w:val="18"/>
      <w:szCs w:val="18"/>
    </w:rPr>
  </w:style>
  <w:style w:type="paragraph" w:styleId="17">
    <w:name w:val="footer"/>
    <w:basedOn w:val="1"/>
    <w:qFormat/>
    <w:uiPriority w:val="0"/>
    <w:pPr>
      <w:tabs>
        <w:tab w:val="center" w:pos="4153"/>
        <w:tab w:val="right" w:pos="8306"/>
      </w:tabs>
      <w:snapToGrid w:val="0"/>
      <w:jc w:val="left"/>
    </w:pPr>
    <w:rPr>
      <w:rFonts w:ascii="Calibri" w:hAnsi="Calibri"/>
      <w:kern w:val="0"/>
      <w:sz w:val="18"/>
      <w:szCs w:val="20"/>
      <w:lang w:val="zh-CN"/>
    </w:rPr>
  </w:style>
  <w:style w:type="paragraph" w:styleId="18">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9">
    <w:name w:val="toc 1"/>
    <w:basedOn w:val="1"/>
    <w:next w:val="1"/>
    <w:qFormat/>
    <w:uiPriority w:val="0"/>
    <w:pPr>
      <w:spacing w:before="120" w:after="120"/>
      <w:jc w:val="left"/>
    </w:pPr>
    <w:rPr>
      <w:rFonts w:ascii="等线" w:eastAsia="等线"/>
      <w:b/>
      <w:bCs/>
      <w:caps/>
      <w:sz w:val="20"/>
      <w:szCs w:val="20"/>
    </w:rPr>
  </w:style>
  <w:style w:type="paragraph" w:styleId="20">
    <w:name w:val="toc 4"/>
    <w:basedOn w:val="1"/>
    <w:next w:val="1"/>
    <w:qFormat/>
    <w:uiPriority w:val="0"/>
    <w:pPr>
      <w:ind w:left="630"/>
      <w:jc w:val="left"/>
    </w:pPr>
    <w:rPr>
      <w:rFonts w:ascii="等线" w:eastAsia="等线"/>
      <w:sz w:val="18"/>
      <w:szCs w:val="18"/>
    </w:rPr>
  </w:style>
  <w:style w:type="paragraph" w:styleId="21">
    <w:name w:val="toc 6"/>
    <w:basedOn w:val="1"/>
    <w:next w:val="1"/>
    <w:qFormat/>
    <w:uiPriority w:val="0"/>
    <w:pPr>
      <w:ind w:left="1050"/>
      <w:jc w:val="left"/>
    </w:pPr>
    <w:rPr>
      <w:rFonts w:ascii="等线" w:eastAsia="等线"/>
      <w:sz w:val="18"/>
      <w:szCs w:val="18"/>
    </w:rPr>
  </w:style>
  <w:style w:type="paragraph" w:styleId="22">
    <w:name w:val="table of figures"/>
    <w:basedOn w:val="1"/>
    <w:next w:val="1"/>
    <w:unhideWhenUsed/>
    <w:qFormat/>
    <w:uiPriority w:val="99"/>
    <w:pPr>
      <w:ind w:left="200" w:leftChars="200" w:hanging="200" w:hangingChars="200"/>
    </w:pPr>
  </w:style>
  <w:style w:type="paragraph" w:styleId="23">
    <w:name w:val="toc 2"/>
    <w:basedOn w:val="1"/>
    <w:next w:val="1"/>
    <w:qFormat/>
    <w:uiPriority w:val="0"/>
    <w:pPr>
      <w:ind w:left="210"/>
      <w:jc w:val="left"/>
    </w:pPr>
    <w:rPr>
      <w:rFonts w:ascii="等线" w:eastAsia="等线"/>
      <w:smallCaps/>
      <w:sz w:val="20"/>
      <w:szCs w:val="20"/>
    </w:rPr>
  </w:style>
  <w:style w:type="paragraph" w:styleId="24">
    <w:name w:val="toc 9"/>
    <w:basedOn w:val="1"/>
    <w:next w:val="1"/>
    <w:qFormat/>
    <w:uiPriority w:val="0"/>
    <w:pPr>
      <w:ind w:left="1680"/>
      <w:jc w:val="left"/>
    </w:pPr>
    <w:rPr>
      <w:rFonts w:ascii="等线" w:eastAsia="等线"/>
      <w:sz w:val="18"/>
      <w:szCs w:val="18"/>
    </w:rPr>
  </w:style>
  <w:style w:type="paragraph" w:styleId="25">
    <w:name w:val="Body Text First Indent"/>
    <w:basedOn w:val="12"/>
    <w:qFormat/>
    <w:uiPriority w:val="0"/>
    <w:pPr>
      <w:ind w:firstLine="100" w:firstLineChars="100"/>
    </w:pPr>
    <w:rPr>
      <w:rFonts w:ascii="Calibri" w:hAnsi="Calibri" w:cs="Calibri"/>
    </w:rPr>
  </w:style>
  <w:style w:type="character" w:styleId="28">
    <w:name w:val="Strong"/>
    <w:basedOn w:val="27"/>
    <w:qFormat/>
    <w:uiPriority w:val="0"/>
    <w:rPr>
      <w:rFonts w:cs="Times New Roman"/>
      <w:b/>
    </w:rPr>
  </w:style>
  <w:style w:type="character" w:styleId="29">
    <w:name w:val="Hyperlink"/>
    <w:basedOn w:val="27"/>
    <w:qFormat/>
    <w:uiPriority w:val="0"/>
    <w:rPr>
      <w:rFonts w:cs="Times New Roman"/>
      <w:color w:val="0000FF"/>
      <w:u w:val="single"/>
    </w:rPr>
  </w:style>
  <w:style w:type="character" w:customStyle="1" w:styleId="30">
    <w:name w:val="标题 1 Char"/>
    <w:basedOn w:val="27"/>
    <w:link w:val="5"/>
    <w:qFormat/>
    <w:uiPriority w:val="0"/>
    <w:rPr>
      <w:rFonts w:ascii="Times New Roman" w:hAnsi="Times New Roman" w:eastAsia="宋体" w:cs="Times New Roman"/>
      <w:b/>
      <w:bCs/>
      <w:kern w:val="44"/>
      <w:sz w:val="44"/>
      <w:szCs w:val="44"/>
      <w:lang w:val="en-US" w:eastAsia="zh-CN" w:bidi="ar-SA"/>
    </w:rPr>
  </w:style>
  <w:style w:type="character" w:customStyle="1" w:styleId="31">
    <w:name w:val="标题 2 Char"/>
    <w:basedOn w:val="27"/>
    <w:link w:val="6"/>
    <w:qFormat/>
    <w:uiPriority w:val="0"/>
    <w:rPr>
      <w:rFonts w:ascii="Cambria" w:hAnsi="Cambria" w:eastAsia="宋体" w:cs="Times New Roman"/>
      <w:b/>
      <w:bCs/>
      <w:kern w:val="2"/>
      <w:sz w:val="32"/>
      <w:szCs w:val="32"/>
      <w:lang w:val="en-US" w:eastAsia="zh-CN" w:bidi="ar-SA"/>
    </w:rPr>
  </w:style>
  <w:style w:type="character" w:customStyle="1" w:styleId="32">
    <w:name w:val="Body Text Char"/>
    <w:basedOn w:val="27"/>
    <w:qFormat/>
    <w:uiPriority w:val="0"/>
    <w:rPr>
      <w:rFonts w:ascii="Times New Roman" w:hAnsi="Times New Roman" w:cs="Times New Roman"/>
      <w:sz w:val="24"/>
      <w:szCs w:val="24"/>
    </w:rPr>
  </w:style>
  <w:style w:type="character" w:customStyle="1" w:styleId="33">
    <w:name w:val="Footer Char"/>
    <w:basedOn w:val="27"/>
    <w:qFormat/>
    <w:uiPriority w:val="0"/>
    <w:rPr>
      <w:rFonts w:ascii="Times New Roman" w:hAnsi="Times New Roman" w:cs="Times New Roman"/>
      <w:sz w:val="18"/>
      <w:szCs w:val="18"/>
    </w:rPr>
  </w:style>
  <w:style w:type="character" w:customStyle="1" w:styleId="34">
    <w:name w:val="Header Char"/>
    <w:basedOn w:val="27"/>
    <w:qFormat/>
    <w:uiPriority w:val="0"/>
    <w:rPr>
      <w:rFonts w:ascii="Times New Roman" w:hAnsi="Times New Roman" w:cs="Times New Roman"/>
      <w:sz w:val="18"/>
      <w:szCs w:val="18"/>
    </w:rPr>
  </w:style>
  <w:style w:type="paragraph" w:customStyle="1" w:styleId="35">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36">
    <w:name w:val="列表段落1"/>
    <w:basedOn w:val="1"/>
    <w:qFormat/>
    <w:uiPriority w:val="0"/>
    <w:pPr>
      <w:ind w:firstLine="200" w:firstLineChars="200"/>
    </w:pPr>
  </w:style>
  <w:style w:type="paragraph" w:customStyle="1" w:styleId="37">
    <w:name w:val="TOC 标题1"/>
    <w:basedOn w:val="5"/>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8">
    <w:name w:val="TOC Heading1"/>
    <w:basedOn w:val="5"/>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9">
    <w:name w:val="TOC 标题2"/>
    <w:basedOn w:val="5"/>
    <w:next w:val="1"/>
    <w:qFormat/>
    <w:uiPriority w:val="0"/>
    <w:pPr>
      <w:widowControl/>
      <w:spacing w:before="240" w:after="0" w:line="259" w:lineRule="auto"/>
      <w:jc w:val="left"/>
      <w:outlineLvl w:val="9"/>
    </w:pPr>
    <w:rPr>
      <w:rFonts w:ascii="等线 Light" w:eastAsia="等线 Light"/>
      <w:b w:val="0"/>
      <w:bCs w:val="0"/>
      <w:color w:val="2F5597"/>
      <w:kern w:val="0"/>
      <w:sz w:val="32"/>
      <w:szCs w:val="32"/>
    </w:rPr>
  </w:style>
  <w:style w:type="paragraph" w:customStyle="1" w:styleId="4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收支决算总计变动情况图</a:t>
            </a:r>
          </a:p>
        </c:rich>
      </c:tx>
      <c:layout>
        <c:manualLayout>
          <c:xMode val="edge"/>
          <c:yMode val="edge"/>
          <c:x val="0.30007248127567"/>
          <c:y val="0.00956226094347641"/>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106.38</c:v>
                </c:pt>
                <c:pt idx="1">
                  <c:v>216.34</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Sheet1!$C$2:$C$3</c:f>
              <c:numCache>
                <c:formatCode>General</c:formatCode>
                <c:ptCount val="2"/>
                <c:pt idx="0">
                  <c:v>106.38</c:v>
                </c:pt>
                <c:pt idx="1">
                  <c:v>216.34</c:v>
                </c:pt>
              </c:numCache>
            </c:numRef>
          </c:val>
        </c:ser>
        <c:dLbls>
          <c:showLegendKey val="0"/>
          <c:showVal val="1"/>
          <c:showCatName val="0"/>
          <c:showSerName val="0"/>
          <c:showPercent val="0"/>
          <c:showBubbleSize val="0"/>
        </c:dLbls>
        <c:gapWidth val="246"/>
        <c:overlap val="-28"/>
        <c:axId val="670969486"/>
        <c:axId val="378541595"/>
      </c:barChart>
      <c:catAx>
        <c:axId val="67096948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8541595"/>
        <c:crosses val="autoZero"/>
        <c:auto val="1"/>
        <c:lblAlgn val="ctr"/>
        <c:lblOffset val="100"/>
        <c:noMultiLvlLbl val="0"/>
      </c:catAx>
      <c:valAx>
        <c:axId val="37854159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096948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本年收入</c:v>
                </c:pt>
              </c:strCache>
            </c:strRef>
          </c:tx>
          <c:spPr>
            <a:effectLst/>
          </c:spPr>
          <c:explosion val="23"/>
          <c:dPt>
            <c:idx val="0"/>
            <c:bubble3D val="0"/>
            <c:explosion val="23"/>
            <c:spPr>
              <a:solidFill>
                <a:srgbClr val="3B65AE"/>
              </a:solidFill>
              <a:ln>
                <a:noFill/>
              </a:ln>
              <a:effectLst/>
            </c:spPr>
          </c:dPt>
          <c:dPt>
            <c:idx val="1"/>
            <c:bubble3D val="0"/>
            <c:explosion val="23"/>
            <c:spPr>
              <a:solidFill>
                <a:srgbClr val="D36E2A"/>
              </a:solidFill>
              <a:ln>
                <a:noFill/>
              </a:ln>
              <a:effectLst/>
            </c:spPr>
          </c:dPt>
          <c:dPt>
            <c:idx val="2"/>
            <c:bubble3D val="0"/>
            <c:explosion val="23"/>
            <c:spPr>
              <a:solidFill>
                <a:srgbClr val="929292"/>
              </a:solidFill>
              <a:ln>
                <a:noFill/>
              </a:ln>
              <a:effectLst/>
            </c:spPr>
          </c:dPt>
          <c:dPt>
            <c:idx val="3"/>
            <c:bubble3D val="0"/>
            <c:explosion val="23"/>
            <c:spPr>
              <a:solidFill>
                <a:srgbClr val="E3AA00"/>
              </a:solidFill>
              <a:ln>
                <a:noFill/>
              </a:ln>
              <a:effectLst/>
            </c:spPr>
          </c:dPt>
          <c:dPt>
            <c:idx val="4"/>
            <c:bubble3D val="0"/>
            <c:explosion val="23"/>
            <c:spPr>
              <a:solidFill>
                <a:srgbClr val="5089BD"/>
              </a:solidFill>
              <a:ln>
                <a:noFill/>
              </a:ln>
              <a:effectLst/>
            </c:spPr>
          </c:dPt>
          <c:dPt>
            <c:idx val="5"/>
            <c:bubble3D val="0"/>
            <c:explosion val="23"/>
            <c:spPr>
              <a:solidFill>
                <a:srgbClr val="63993E"/>
              </a:solidFill>
              <a:ln>
                <a:noFill/>
              </a:ln>
              <a:effectLst/>
            </c:spPr>
          </c:dPt>
          <c:dPt>
            <c:idx val="6"/>
            <c:bubble3D val="0"/>
            <c:explosion val="23"/>
            <c:spPr>
              <a:solidFill>
                <a:srgbClr val="90A2D4"/>
              </a:solidFill>
              <a:ln>
                <a:noFill/>
              </a:ln>
              <a:effectLst/>
            </c:spPr>
          </c:dPt>
          <c:dLbls>
            <c:delete val="1"/>
          </c:dLbls>
          <c:cat>
            <c:strRef>
              <c:f>'Sheet1'!$A$2:$A$8</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'Sheet1'!$B$2:$B$8</c:f>
              <c:numCache>
                <c:formatCode>General</c:formatCode>
                <c:ptCount val="7"/>
                <c:pt idx="0">
                  <c:v>187.05</c:v>
                </c:pt>
                <c:pt idx="1">
                  <c:v>0</c:v>
                </c:pt>
                <c:pt idx="2">
                  <c:v>0</c:v>
                </c:pt>
                <c:pt idx="3">
                  <c:v>0</c:v>
                </c:pt>
                <c:pt idx="4">
                  <c:v>0</c:v>
                </c:pt>
                <c:pt idx="5">
                  <c:v>0</c:v>
                </c:pt>
                <c:pt idx="6">
                  <c:v>0</c:v>
                </c:pt>
              </c:numCache>
            </c:numRef>
          </c:val>
        </c:ser>
        <c:dLbls>
          <c:showLegendKey val="0"/>
          <c:showVal val="0"/>
          <c:showCatName val="0"/>
          <c:showSerName val="0"/>
          <c:showPercent val="0"/>
          <c:showBubbleSize val="0"/>
          <c:showLeaderLines val="1"/>
        </c:dLbls>
        <c:firstSliceAng val="0"/>
      </c:pieChart>
      <c:spPr>
        <a:solidFill>
          <a:srgbClr val="FFFFFF"/>
        </a:solidFill>
        <a:ln>
          <a:noFill/>
        </a:ln>
        <a:effectLst/>
      </c:spPr>
    </c:plotArea>
    <c:legend>
      <c:legendPos val="r"/>
      <c:legendEntry>
        <c:idx val="3"/>
        <c:delete val="1"/>
      </c:legendEntry>
      <c:legendEntry>
        <c:idx val="5"/>
        <c:delete val="1"/>
      </c:legendEntry>
      <c:legendEntry>
        <c:idx val="6"/>
        <c:delete val="1"/>
      </c:legendEntry>
      <c:layout>
        <c:manualLayout>
          <c:xMode val="edge"/>
          <c:yMode val="edge"/>
          <c:x val="0.651703163017032"/>
          <c:y val="0.206270627062706"/>
          <c:w val="0.333333333333333"/>
          <c:h val="0.584158415841584"/>
        </c:manualLayout>
      </c:layout>
      <c:overlay val="0"/>
      <c:spPr>
        <a:noFill/>
        <a:ln>
          <a:noFill/>
        </a:ln>
        <a:effectLst/>
      </c:spPr>
      <c:txPr>
        <a:bodyPr rot="0" spcFirstLastPara="0" vertOverflow="ellipsis" horzOverflow="overflow"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legend>
    <c:plotVisOnly val="1"/>
    <c:dispBlanksAs val="zero"/>
    <c:showDLblsOverMax val="0"/>
  </c:chart>
  <c:spPr>
    <a:solidFill>
      <a:srgbClr val="FFFFFF"/>
    </a:solidFill>
    <a:ln w="6350" cap="flat" cmpd="sng" algn="ctr">
      <a:solidFill>
        <a:srgbClr val="898989"/>
      </a:solidFill>
      <a:prstDash val="solid"/>
      <a:round/>
    </a:ln>
    <a:effectLst/>
  </c:spPr>
  <c:txPr>
    <a:bodyPr rot="0" spcFirstLastPara="0" vertOverflow="ellipsis" horzOverflow="overflow" vert="horz" wrap="square" anchor="ctr" anchorCtr="1"/>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基本支出33</a:t>
                    </a:r>
                    <a:r>
                      <a:rPr lang="en-US" altLang="zh-CN"/>
                      <a:t>.10</a:t>
                    </a:r>
                    <a:r>
                      <a:t>%</a:t>
                    </a:r>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1"/>
              <c:layout>
                <c:manualLayout>
                  <c:x val="0.125837691825914"/>
                  <c:y val="-0.084226919320489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项目支出6</a:t>
                    </a:r>
                    <a:r>
                      <a:rPr lang="en-US" altLang="zh-CN"/>
                      <a:t>6.90</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71.62</c:v>
                </c:pt>
                <c:pt idx="1">
                  <c:v>144.73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808134160834544"/>
          <c:y val="0.408722592945663"/>
          <c:w val="0.176020071305955"/>
          <c:h val="0.28598665395614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106.38</c:v>
                </c:pt>
                <c:pt idx="1">
                  <c:v>216.34</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Sheet1!$C$2:$C$3</c:f>
              <c:numCache>
                <c:formatCode>General</c:formatCode>
                <c:ptCount val="2"/>
                <c:pt idx="0">
                  <c:v>106.38</c:v>
                </c:pt>
                <c:pt idx="1">
                  <c:v>216.34</c:v>
                </c:pt>
              </c:numCache>
            </c:numRef>
          </c:val>
        </c:ser>
        <c:dLbls>
          <c:showLegendKey val="0"/>
          <c:showVal val="1"/>
          <c:showCatName val="0"/>
          <c:showSerName val="0"/>
          <c:showPercent val="0"/>
          <c:showBubbleSize val="0"/>
        </c:dLbls>
        <c:gapWidth val="150"/>
        <c:overlap val="-25"/>
        <c:axId val="281939274"/>
        <c:axId val="615102275"/>
      </c:barChart>
      <c:catAx>
        <c:axId val="28193927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5102275"/>
        <c:crosses val="autoZero"/>
        <c:auto val="1"/>
        <c:lblAlgn val="ctr"/>
        <c:lblOffset val="100"/>
        <c:noMultiLvlLbl val="0"/>
      </c:catAx>
      <c:valAx>
        <c:axId val="615102275"/>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1939274"/>
        <c:crosses val="autoZero"/>
        <c:crossBetween val="between"/>
      </c:valAx>
      <c:spPr>
        <a:noFill/>
        <a:ln>
          <a:noFill/>
        </a:ln>
        <a:effectLst/>
      </c:spPr>
    </c:plotArea>
    <c:legend>
      <c:legendPos val="t"/>
      <c:layout>
        <c:manualLayout>
          <c:xMode val="edge"/>
          <c:yMode val="edge"/>
          <c:x val="0.364822420874607"/>
          <c:y val="0.134296642583935"/>
          <c:w val="0.284609809132641"/>
          <c:h val="0.10518487037824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Sheet1!$B$2</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Sheet1!$A$3:$A$4</c:f>
              <c:strCache>
                <c:ptCount val="2"/>
                <c:pt idx="0">
                  <c:v>2022年</c:v>
                </c:pt>
                <c:pt idx="1">
                  <c:v>2023年</c:v>
                </c:pt>
              </c:strCache>
            </c:strRef>
          </c:cat>
          <c:val>
            <c:numRef>
              <c:f>Sheet1!$B$3:$B$4</c:f>
              <c:numCache>
                <c:formatCode>General</c:formatCode>
                <c:ptCount val="2"/>
                <c:pt idx="0">
                  <c:v>106.38</c:v>
                </c:pt>
                <c:pt idx="1">
                  <c:v>216.34</c:v>
                </c:pt>
              </c:numCache>
            </c:numRef>
          </c:val>
        </c:ser>
        <c:ser>
          <c:idx val="1"/>
          <c:order val="1"/>
          <c:tx>
            <c:strRef>
              <c:f>Sheet1!$C$2</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Sheet1!$A$3:$A$4</c:f>
              <c:strCache>
                <c:ptCount val="2"/>
                <c:pt idx="0">
                  <c:v>2022年</c:v>
                </c:pt>
                <c:pt idx="1">
                  <c:v>2023年</c:v>
                </c:pt>
              </c:strCache>
            </c:strRef>
          </c:cat>
          <c:val>
            <c:numRef>
              <c:f>Sheet1!$C$3:$C$4</c:f>
              <c:numCache>
                <c:formatCode>General</c:formatCode>
                <c:ptCount val="2"/>
                <c:pt idx="0">
                  <c:v>106.38</c:v>
                </c:pt>
                <c:pt idx="1">
                  <c:v>216.34</c:v>
                </c:pt>
              </c:numCache>
            </c:numRef>
          </c:val>
        </c:ser>
        <c:ser>
          <c:idx val="2"/>
          <c:order val="2"/>
          <c:tx>
            <c:strRef>
              <c:f>Sheet1!$D$2</c:f>
              <c:strCache>
                <c:ptCount val="1"/>
                <c:pt idx="0">
                  <c:v/>
                </c:pt>
              </c:strCache>
            </c:strRef>
          </c:tx>
          <c:spPr>
            <a:solidFill>
              <a:schemeClr val="accent3"/>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Sheet1!$A$3:$A$4</c:f>
              <c:strCache>
                <c:ptCount val="2"/>
                <c:pt idx="0">
                  <c:v>2022年</c:v>
                </c:pt>
                <c:pt idx="1">
                  <c:v>2023年</c:v>
                </c:pt>
              </c:strCache>
            </c:strRef>
          </c:cat>
          <c:val>
            <c:numRef>
              <c:f>Sheet1!$D$3:$D$4</c:f>
              <c:numCache>
                <c:formatCode>General</c:formatCode>
                <c:ptCount val="2"/>
              </c:numCache>
            </c:numRef>
          </c:val>
        </c:ser>
        <c:dLbls>
          <c:showLegendKey val="0"/>
          <c:showVal val="1"/>
          <c:showCatName val="0"/>
          <c:showSerName val="0"/>
          <c:showPercent val="0"/>
          <c:showBubbleSize val="0"/>
        </c:dLbls>
        <c:gapWidth val="246"/>
        <c:overlap val="-28"/>
        <c:axId val="172326132"/>
        <c:axId val="648199424"/>
      </c:barChart>
      <c:catAx>
        <c:axId val="17232613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8199424"/>
        <c:crosses val="autoZero"/>
        <c:auto val="1"/>
        <c:lblAlgn val="ctr"/>
        <c:lblOffset val="100"/>
        <c:noMultiLvlLbl val="0"/>
      </c:catAx>
      <c:valAx>
        <c:axId val="648199424"/>
        <c:scaling>
          <c:orientation val="minMax"/>
          <c:min val="30"/>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32613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4</a:t>
                    </a:r>
                    <a:r>
                      <a:rPr lang="en-US" altLang="zh-CN"/>
                      <a:t>6.37</a:t>
                    </a:r>
                    <a:r>
                      <a:t>%</a:t>
                    </a:r>
                  </a:p>
                </c:rich>
              </c:tx>
              <c:dLblPos val="outEnd"/>
              <c:showLegendKey val="0"/>
              <c:showVal val="0"/>
              <c:showCatName val="0"/>
              <c:showSerName val="0"/>
              <c:showPercent val="1"/>
              <c:showBubbleSize val="0"/>
              <c:extLst>
                <c:ext xmlns:c15="http://schemas.microsoft.com/office/drawing/2012/chart" uri="{CE6537A1-D6FC-4f65-9D91-7224C49458BB}"/>
              </c:extLst>
            </c:dLbl>
            <c:dLbl>
              <c:idx val="1"/>
              <c:layout>
                <c:manualLayout>
                  <c:x val="0.0978497221551099"/>
                  <c:y val="0.00705784503715235"/>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3.77</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101473785938633"/>
                  <c:y val="0.00597224685704018"/>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2.29</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45</a:t>
                    </a:r>
                    <a:r>
                      <a:rPr lang="en-US" altLang="zh-CN"/>
                      <a:t>.30</a:t>
                    </a:r>
                    <a:r>
                      <a:t>%</a:t>
                    </a:r>
                  </a:p>
                </c:rich>
              </c:tx>
              <c:dLblPos val="outEnd"/>
              <c:showLegendKey val="0"/>
              <c:showVal val="0"/>
              <c:showCatName val="0"/>
              <c:showSerName val="0"/>
              <c:showPercent val="1"/>
              <c:showBubbleSize val="0"/>
              <c:extLst>
                <c:ext xmlns:c15="http://schemas.microsoft.com/office/drawing/2012/chart" uri="{CE6537A1-D6FC-4f65-9D91-7224C49458BB}"/>
              </c:extLst>
            </c:dLbl>
            <c:dLbl>
              <c:idx val="4"/>
              <c:layout>
                <c:manualLayout>
                  <c:x val="-0.121406136748007"/>
                  <c:y val="-0.00318742031449214"/>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1.9</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5"/>
              <c:layout>
                <c:manualLayout>
                  <c:x val="0.115970041072723"/>
                  <c:y val="0.0127496812579686"/>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0.37</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一般公共服务支出</c:v>
                </c:pt>
                <c:pt idx="1">
                  <c:v>社会保障和就业支出</c:v>
                </c:pt>
                <c:pt idx="2">
                  <c:v>卫生健康支出</c:v>
                </c:pt>
                <c:pt idx="3">
                  <c:v>农林水支出</c:v>
                </c:pt>
                <c:pt idx="4">
                  <c:v>住房保障支出</c:v>
                </c:pt>
                <c:pt idx="5">
                  <c:v>其他支出</c:v>
                </c:pt>
              </c:strCache>
            </c:strRef>
          </c:cat>
          <c:val>
            <c:numRef>
              <c:f>Sheet1!$B$2:$B$7</c:f>
              <c:numCache>
                <c:formatCode>General</c:formatCode>
                <c:ptCount val="6"/>
                <c:pt idx="0">
                  <c:v>100.32</c:v>
                </c:pt>
                <c:pt idx="1" c:formatCode="0.00_ ">
                  <c:v>8.16</c:v>
                </c:pt>
                <c:pt idx="2" c:formatCode="0.00_ ">
                  <c:v>4.95</c:v>
                </c:pt>
                <c:pt idx="3" c:formatCode="0.00_ ">
                  <c:v>98</c:v>
                </c:pt>
                <c:pt idx="4" c:formatCode="0.00_ ">
                  <c:v>4.11</c:v>
                </c:pt>
                <c:pt idx="5" c:formatCode="0.00_ ">
                  <c:v>0.8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50597984641887"/>
          <c:y val="0.235444113897153"/>
          <c:w val="0.231215269388741"/>
          <c:h val="0.54186145346366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38</Pages>
  <Words>14652</Words>
  <Characters>15564</Characters>
  <Lines>85</Lines>
  <Paragraphs>23</Paragraphs>
  <TotalTime>1</TotalTime>
  <ScaleCrop>false</ScaleCrop>
  <LinksUpToDate>false</LinksUpToDate>
  <CharactersWithSpaces>15822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2023-09-07T17:33:00Z</dcterms:created>
  <dc:creator>曹颖</dc:creator>
  <cp:lastModifiedBy>Administrator</cp:lastModifiedBy>
  <cp:lastPrinted>2024-09-10T03:16:00Z</cp:lastPrinted>
  <dcterms:modified xsi:type="dcterms:W3CDTF">2024-09-18T09:01:32Z</dcterms:modified>
  <dc:title>阿坝州部门决算说明</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B0D79C18201E474AA096D7217937CBCD_13</vt:lpwstr>
  </property>
</Properties>
</file>