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eastAsia="方正小标宋简体"/>
          <w:color w:val="auto"/>
          <w:sz w:val="72"/>
          <w:szCs w:val="72"/>
        </w:rPr>
      </w:pPr>
      <w:bookmarkStart w:id="0" w:name="_Toc15306267"/>
    </w:p>
    <w:p>
      <w:pPr>
        <w:spacing w:line="600" w:lineRule="exact"/>
        <w:jc w:val="center"/>
        <w:outlineLvl w:val="9"/>
        <w:rPr>
          <w:rFonts w:ascii="方正小标宋简体" w:eastAsia="方正小标宋简体"/>
          <w:color w:val="auto"/>
          <w:sz w:val="56"/>
          <w:szCs w:val="56"/>
        </w:rPr>
      </w:pPr>
    </w:p>
    <w:p>
      <w:pPr>
        <w:spacing w:line="600" w:lineRule="exact"/>
        <w:jc w:val="center"/>
        <w:outlineLvl w:val="9"/>
        <w:rPr>
          <w:rFonts w:ascii="方正小标宋简体" w:eastAsia="方正小标宋简体"/>
          <w:color w:val="auto"/>
          <w:sz w:val="56"/>
          <w:szCs w:val="56"/>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eastAsia="方正小标宋简体" w:cs="方正小标宋简体"/>
          <w:color w:val="auto"/>
          <w:sz w:val="56"/>
          <w:szCs w:val="56"/>
          <w:lang w:eastAsia="zh-CN"/>
        </w:rPr>
      </w:pPr>
      <w:bookmarkStart w:id="1" w:name="_Toc15377425"/>
      <w:bookmarkStart w:id="2" w:name="_Toc15377193"/>
      <w:bookmarkStart w:id="3" w:name="_Toc15396475"/>
      <w:bookmarkStart w:id="4" w:name="_Toc15396597"/>
      <w:bookmarkStart w:id="5" w:name="_Toc15378441"/>
      <w:r>
        <w:rPr>
          <w:rFonts w:hint="eastAsia" w:ascii="方正小标宋简体" w:eastAsia="方正小标宋简体" w:cs="方正小标宋简体"/>
          <w:color w:val="auto"/>
          <w:sz w:val="56"/>
          <w:szCs w:val="56"/>
        </w:rPr>
        <w:t>202</w:t>
      </w:r>
      <w:r>
        <w:rPr>
          <w:rFonts w:hint="eastAsia" w:ascii="方正小标宋简体" w:eastAsia="方正小标宋简体" w:cs="方正小标宋简体"/>
          <w:color w:val="auto"/>
          <w:sz w:val="56"/>
          <w:szCs w:val="56"/>
          <w:lang w:val="en-US" w:eastAsia="zh-CN"/>
        </w:rPr>
        <w:t>3</w:t>
      </w:r>
      <w:r>
        <w:rPr>
          <w:rFonts w:hint="eastAsia" w:ascii="方正小标宋简体" w:eastAsia="方正小标宋简体" w:cs="方正小标宋简体"/>
          <w:color w:val="auto"/>
          <w:sz w:val="56"/>
          <w:szCs w:val="56"/>
        </w:rPr>
        <w:t>年度</w:t>
      </w:r>
      <w:bookmarkEnd w:id="0"/>
      <w:bookmarkEnd w:id="1"/>
      <w:bookmarkEnd w:id="2"/>
      <w:bookmarkEnd w:id="3"/>
      <w:bookmarkEnd w:id="4"/>
      <w:bookmarkEnd w:id="5"/>
      <w:bookmarkStart w:id="6" w:name="_Toc15306268"/>
      <w:r>
        <w:rPr>
          <w:rFonts w:hint="eastAsia" w:ascii="方正小标宋简体" w:eastAsia="方正小标宋简体" w:cs="方正小标宋简体"/>
          <w:color w:val="auto"/>
          <w:sz w:val="56"/>
          <w:szCs w:val="56"/>
          <w:lang w:eastAsia="zh-CN"/>
        </w:rPr>
        <w:t>四川省茂县</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黑体" w:eastAsia="黑体"/>
          <w:color w:val="auto"/>
          <w:sz w:val="56"/>
          <w:szCs w:val="56"/>
        </w:rPr>
      </w:pPr>
      <w:r>
        <w:rPr>
          <w:rFonts w:hint="eastAsia" w:ascii="方正小标宋简体" w:eastAsia="方正小标宋简体" w:cs="方正小标宋简体"/>
          <w:color w:val="auto"/>
          <w:sz w:val="56"/>
          <w:szCs w:val="56"/>
        </w:rPr>
        <w:t>青少年活动中心决算</w:t>
      </w:r>
      <w:bookmarkEnd w:id="6"/>
    </w:p>
    <w:p>
      <w:pPr>
        <w:rPr>
          <w:rFonts w:ascii="方正小标宋简体" w:eastAsia="方正小标宋简体"/>
          <w:color w:val="auto"/>
          <w:sz w:val="36"/>
          <w:szCs w:val="36"/>
        </w:rPr>
      </w:pPr>
    </w:p>
    <w:p>
      <w:pPr>
        <w:rPr>
          <w:rFonts w:ascii="方正小标宋简体" w:eastAsia="方正小标宋简体"/>
          <w:color w:val="auto"/>
          <w:sz w:val="36"/>
          <w:szCs w:val="36"/>
        </w:rPr>
      </w:pPr>
    </w:p>
    <w:p>
      <w:pPr>
        <w:rPr>
          <w:rFonts w:ascii="方正小标宋简体" w:eastAsia="方正小标宋简体"/>
          <w:color w:val="auto"/>
          <w:sz w:val="13"/>
          <w:szCs w:val="13"/>
        </w:rPr>
      </w:pPr>
    </w:p>
    <w:p>
      <w:pPr>
        <w:rPr>
          <w:rFonts w:ascii="方正小标宋简体" w:eastAsia="方正小标宋简体"/>
          <w:color w:val="auto"/>
          <w:sz w:val="36"/>
          <w:szCs w:val="36"/>
        </w:rPr>
      </w:pPr>
    </w:p>
    <w:p>
      <w:pPr>
        <w:pStyle w:val="2"/>
      </w:pPr>
    </w:p>
    <w:p>
      <w:pPr>
        <w:rPr>
          <w:rFonts w:ascii="方正小标宋简体" w:eastAsia="方正小标宋简体"/>
          <w:color w:val="auto"/>
          <w:sz w:val="36"/>
          <w:szCs w:val="36"/>
        </w:rPr>
      </w:pPr>
    </w:p>
    <w:p>
      <w:pPr>
        <w:rPr>
          <w:rFonts w:ascii="方正小标宋简体" w:eastAsia="方正小标宋简体"/>
          <w:color w:val="auto"/>
          <w:sz w:val="36"/>
          <w:szCs w:val="36"/>
        </w:rPr>
      </w:pPr>
    </w:p>
    <w:p>
      <w:pPr>
        <w:rPr>
          <w:rFonts w:ascii="方正小标宋简体" w:eastAsia="方正小标宋简体"/>
          <w:color w:val="auto"/>
          <w:sz w:val="36"/>
          <w:szCs w:val="36"/>
        </w:rPr>
      </w:pPr>
    </w:p>
    <w:p>
      <w:pPr>
        <w:rPr>
          <w:rFonts w:ascii="方正小标宋简体" w:eastAsia="方正小标宋简体"/>
          <w:color w:val="auto"/>
          <w:sz w:val="36"/>
          <w:szCs w:val="36"/>
        </w:rPr>
      </w:pPr>
    </w:p>
    <w:p>
      <w:pPr>
        <w:autoSpaceDE w:val="0"/>
        <w:autoSpaceDN w:val="0"/>
        <w:adjustRightInd w:val="0"/>
        <w:ind w:firstLine="1276"/>
        <w:jc w:val="left"/>
        <w:rPr>
          <w:rFonts w:ascii="仿宋_GB2312" w:eastAsia="仿宋_GB2312" w:cs="仿宋_GB2312"/>
          <w:color w:val="auto"/>
          <w:sz w:val="32"/>
          <w:szCs w:val="32"/>
        </w:rPr>
      </w:pPr>
    </w:p>
    <w:p>
      <w:pPr>
        <w:keepNext w:val="0"/>
        <w:keepLines w:val="0"/>
        <w:pageBreakBefore w:val="0"/>
        <w:kinsoku/>
        <w:wordWrap/>
        <w:overflowPunct/>
        <w:topLinePunct w:val="0"/>
        <w:autoSpaceDE w:val="0"/>
        <w:autoSpaceDN w:val="0"/>
        <w:bidi w:val="0"/>
        <w:adjustRightInd w:val="0"/>
        <w:snapToGrid/>
        <w:ind w:firstLine="1276"/>
        <w:jc w:val="left"/>
        <w:textAlignment w:val="auto"/>
        <w:rPr>
          <w:rFonts w:ascii="仿宋_GB2312" w:eastAsia="仿宋_GB2312" w:cs="仿宋_GB2312"/>
          <w:color w:val="auto"/>
          <w:sz w:val="32"/>
          <w:szCs w:val="32"/>
        </w:rPr>
      </w:pPr>
    </w:p>
    <w:p>
      <w:pPr>
        <w:pStyle w:val="2"/>
        <w:keepNext w:val="0"/>
        <w:keepLines w:val="0"/>
        <w:pageBreakBefore w:val="0"/>
        <w:kinsoku/>
        <w:wordWrap/>
        <w:overflowPunct/>
        <w:topLinePunct w:val="0"/>
        <w:bidi w:val="0"/>
        <w:snapToGrid/>
        <w:textAlignment w:val="auto"/>
      </w:pPr>
    </w:p>
    <w:p>
      <w:pPr>
        <w:keepNext w:val="0"/>
        <w:keepLines w:val="0"/>
        <w:pageBreakBefore w:val="0"/>
        <w:kinsoku/>
        <w:wordWrap/>
        <w:overflowPunct/>
        <w:topLinePunct w:val="0"/>
        <w:autoSpaceDE w:val="0"/>
        <w:autoSpaceDN w:val="0"/>
        <w:bidi w:val="0"/>
        <w:adjustRightInd w:val="0"/>
        <w:snapToGrid/>
        <w:ind w:firstLine="1276"/>
        <w:jc w:val="left"/>
        <w:textAlignment w:val="auto"/>
        <w:rPr>
          <w:rFonts w:ascii="仿宋_GB2312" w:eastAsia="仿宋_GB2312" w:cs="仿宋_GB2312"/>
          <w:color w:val="auto"/>
          <w:sz w:val="32"/>
          <w:szCs w:val="32"/>
        </w:rPr>
      </w:pPr>
    </w:p>
    <w:p>
      <w:pPr>
        <w:pStyle w:val="2"/>
        <w:rPr>
          <w:rFonts w:ascii="仿宋_GB2312" w:eastAsia="仿宋_GB2312" w:cs="仿宋_GB2312"/>
          <w:color w:val="auto"/>
          <w:sz w:val="32"/>
          <w:szCs w:val="32"/>
        </w:rPr>
      </w:pPr>
    </w:p>
    <w:p/>
    <w:p>
      <w:pPr>
        <w:autoSpaceDE w:val="0"/>
        <w:autoSpaceDN w:val="0"/>
        <w:adjustRightInd w:val="0"/>
        <w:jc w:val="center"/>
        <w:rPr>
          <w:rFonts w:hint="eastAsia" w:eastAsia="仿宋_GB2312"/>
          <w:sz w:val="32"/>
          <w:szCs w:val="32"/>
          <w:lang w:val="en-US" w:eastAsia="zh-CN"/>
        </w:rPr>
      </w:pPr>
      <w:r>
        <w:rPr>
          <w:rFonts w:hint="eastAsia" w:eastAsia="仿宋_GB2312"/>
          <w:sz w:val="32"/>
          <w:szCs w:val="32"/>
          <w:lang w:val="en-US" w:eastAsia="zh-CN"/>
        </w:rPr>
        <w:t>已经保密审查、内容审定，同意对外公开。</w:t>
      </w:r>
    </w:p>
    <w:p>
      <w:pPr>
        <w:keepNext w:val="0"/>
        <w:keepLines w:val="0"/>
        <w:pageBreakBefore w:val="0"/>
        <w:widowControl/>
        <w:kinsoku/>
        <w:wordWrap/>
        <w:overflowPunct/>
        <w:topLinePunct w:val="0"/>
        <w:bidi w:val="0"/>
        <w:snapToGrid/>
        <w:jc w:val="center"/>
        <w:textAlignment w:val="auto"/>
        <w:rPr>
          <w:rFonts w:ascii="方正小标宋简体" w:eastAsia="方正小标宋简体"/>
          <w:color w:val="auto"/>
          <w:sz w:val="36"/>
          <w:szCs w:val="36"/>
        </w:rPr>
      </w:pPr>
    </w:p>
    <w:p>
      <w:pPr>
        <w:keepNext w:val="0"/>
        <w:keepLines w:val="0"/>
        <w:pageBreakBefore w:val="0"/>
        <w:widowControl/>
        <w:kinsoku/>
        <w:wordWrap/>
        <w:overflowPunct/>
        <w:topLinePunct w:val="0"/>
        <w:autoSpaceDE/>
        <w:autoSpaceDN/>
        <w:bidi w:val="0"/>
        <w:adjustRightInd/>
        <w:snapToGrid/>
        <w:jc w:val="center"/>
        <w:textAlignment w:val="auto"/>
        <w:rPr>
          <w:rFonts w:ascii="黑体" w:eastAsia="黑体"/>
          <w:color w:val="auto"/>
          <w:sz w:val="48"/>
          <w:szCs w:val="48"/>
        </w:rPr>
      </w:pPr>
      <w:r>
        <w:rPr>
          <w:rFonts w:ascii="方正小标宋简体" w:eastAsia="方正小标宋简体"/>
          <w:color w:val="auto"/>
          <w:sz w:val="36"/>
          <w:szCs w:val="36"/>
        </w:rPr>
        <w:br w:type="page"/>
      </w:r>
      <w:r>
        <w:rPr>
          <w:rFonts w:hint="eastAsia" w:ascii="黑体" w:eastAsia="黑体"/>
          <w:color w:val="auto"/>
          <w:sz w:val="48"/>
          <w:szCs w:val="48"/>
        </w:rPr>
        <w:t>目</w:t>
      </w:r>
      <w:r>
        <w:rPr>
          <w:rFonts w:hint="eastAsia" w:ascii="黑体" w:eastAsia="黑体"/>
          <w:color w:val="auto"/>
          <w:sz w:val="48"/>
          <w:szCs w:val="48"/>
          <w:lang w:val="en-US" w:eastAsia="zh-CN"/>
        </w:rPr>
        <w:t xml:space="preserve"> </w:t>
      </w:r>
      <w:r>
        <w:rPr>
          <w:rFonts w:hint="eastAsia" w:ascii="黑体" w:eastAsia="黑体"/>
          <w:color w:val="auto"/>
          <w:sz w:val="48"/>
          <w:szCs w:val="48"/>
        </w:rPr>
        <w:t>录</w:t>
      </w:r>
    </w:p>
    <w:p>
      <w:pPr>
        <w:pStyle w:val="18"/>
        <w:jc w:val="center"/>
        <w:rPr>
          <w:rFonts w:hint="eastAsia" w:asciiTheme="minorEastAsia" w:hAnsiTheme="minorEastAsia" w:eastAsiaTheme="minorEastAsia" w:cstheme="minorEastAsia"/>
          <w:b w:val="0"/>
          <w:caps w:val="0"/>
          <w:color w:val="auto"/>
          <w:kern w:val="0"/>
          <w:sz w:val="30"/>
          <w:szCs w:val="30"/>
          <w:lang w:val="zh-CN"/>
        </w:rPr>
      </w:pPr>
      <w:r>
        <w:rPr>
          <w:rFonts w:hint="eastAsia" w:asciiTheme="minorEastAsia" w:hAnsiTheme="minorEastAsia" w:eastAsiaTheme="minorEastAsia" w:cstheme="minorEastAsia"/>
          <w:b w:val="0"/>
          <w:caps w:val="0"/>
          <w:color w:val="auto"/>
          <w:kern w:val="0"/>
          <w:sz w:val="30"/>
          <w:szCs w:val="30"/>
          <w:lang w:val="zh-CN"/>
        </w:rPr>
        <w:t>公开时间：202</w:t>
      </w:r>
      <w:r>
        <w:rPr>
          <w:rFonts w:hint="eastAsia" w:asciiTheme="minorEastAsia" w:hAnsiTheme="minorEastAsia" w:eastAsiaTheme="minorEastAsia" w:cstheme="minorEastAsia"/>
          <w:b w:val="0"/>
          <w:caps w:val="0"/>
          <w:color w:val="auto"/>
          <w:kern w:val="0"/>
          <w:sz w:val="30"/>
          <w:szCs w:val="30"/>
          <w:lang w:val="en-US" w:eastAsia="zh-CN"/>
        </w:rPr>
        <w:t>4</w:t>
      </w:r>
      <w:r>
        <w:rPr>
          <w:rFonts w:hint="eastAsia" w:asciiTheme="minorEastAsia" w:hAnsiTheme="minorEastAsia" w:eastAsiaTheme="minorEastAsia" w:cstheme="minorEastAsia"/>
          <w:b w:val="0"/>
          <w:caps w:val="0"/>
          <w:color w:val="auto"/>
          <w:kern w:val="0"/>
          <w:sz w:val="30"/>
          <w:szCs w:val="30"/>
          <w:lang w:val="zh-CN"/>
        </w:rPr>
        <w:t>年</w:t>
      </w:r>
      <w:r>
        <w:rPr>
          <w:rFonts w:hint="eastAsia" w:asciiTheme="minorEastAsia" w:hAnsiTheme="minorEastAsia" w:eastAsiaTheme="minorEastAsia" w:cstheme="minorEastAsia"/>
          <w:b w:val="0"/>
          <w:caps w:val="0"/>
          <w:color w:val="auto"/>
          <w:kern w:val="0"/>
          <w:sz w:val="30"/>
          <w:szCs w:val="30"/>
        </w:rPr>
        <w:t>9</w:t>
      </w:r>
      <w:r>
        <w:rPr>
          <w:rFonts w:hint="eastAsia" w:asciiTheme="minorEastAsia" w:hAnsiTheme="minorEastAsia" w:eastAsiaTheme="minorEastAsia" w:cstheme="minorEastAsia"/>
          <w:b w:val="0"/>
          <w:caps w:val="0"/>
          <w:color w:val="auto"/>
          <w:kern w:val="0"/>
          <w:sz w:val="30"/>
          <w:szCs w:val="30"/>
          <w:lang w:val="zh-CN"/>
        </w:rPr>
        <w:t>月</w:t>
      </w:r>
      <w:r>
        <w:rPr>
          <w:rFonts w:hint="eastAsia" w:asciiTheme="minorEastAsia" w:hAnsiTheme="minorEastAsia" w:eastAsiaTheme="minorEastAsia" w:cstheme="minorEastAsia"/>
          <w:b w:val="0"/>
          <w:caps w:val="0"/>
          <w:color w:val="auto"/>
          <w:kern w:val="0"/>
          <w:sz w:val="30"/>
          <w:szCs w:val="30"/>
          <w:lang w:val="en-US" w:eastAsia="zh-CN"/>
        </w:rPr>
        <w:t>25</w:t>
      </w:r>
      <w:r>
        <w:rPr>
          <w:rFonts w:hint="eastAsia" w:asciiTheme="minorEastAsia" w:hAnsiTheme="minorEastAsia" w:eastAsiaTheme="minorEastAsia" w:cstheme="minorEastAsia"/>
          <w:b w:val="0"/>
          <w:caps w:val="0"/>
          <w:color w:val="auto"/>
          <w:kern w:val="0"/>
          <w:sz w:val="30"/>
          <w:szCs w:val="30"/>
          <w:lang w:val="zh-CN"/>
        </w:rPr>
        <w:t>日</w:t>
      </w:r>
    </w:p>
    <w:sdt>
      <w:sdtPr>
        <w:rPr>
          <w:rFonts w:ascii="宋体" w:hAnsi="宋体" w:eastAsia="宋体" w:cs="Times New Roman"/>
          <w:kern w:val="2"/>
          <w:sz w:val="21"/>
          <w:szCs w:val="24"/>
          <w:lang w:val="en-US" w:eastAsia="zh-CN" w:bidi="ar-SA"/>
        </w:rPr>
        <w:id w:val="147483262"/>
        <w15:color w:val="DBDBDB"/>
        <w:docPartObj>
          <w:docPartGallery w:val="Table of Contents"/>
          <w:docPartUnique/>
        </w:docPartObj>
      </w:sdtPr>
      <w:sdtEndPr>
        <w:rPr>
          <w:rFonts w:hint="eastAsia" w:asciiTheme="minorEastAsia" w:hAnsiTheme="minorEastAsia" w:eastAsiaTheme="minorEastAsia" w:cstheme="minorEastAsia"/>
          <w:kern w:val="2"/>
          <w:sz w:val="22"/>
          <w:szCs w:val="22"/>
          <w:lang w:val="zh-CN" w:eastAsia="zh-CN" w:bidi="ar-SA"/>
        </w:rPr>
      </w:sdtEndPr>
      <w:sdtContent>
        <w:p>
          <w:pPr>
            <w:spacing w:before="0" w:beforeLines="0" w:after="0" w:afterLines="0" w:line="240" w:lineRule="auto"/>
            <w:ind w:left="0" w:leftChars="0" w:right="0" w:rightChars="0" w:firstLine="0" w:firstLineChars="0"/>
            <w:jc w:val="center"/>
          </w:pPr>
        </w:p>
        <w:p>
          <w:pPr>
            <w:pStyle w:val="18"/>
            <w:keepNext w:val="0"/>
            <w:keepLines w:val="0"/>
            <w:pageBreakBefore w:val="0"/>
            <w:widowControl w:val="0"/>
            <w:tabs>
              <w:tab w:val="right" w:leader="dot" w:pos="8405"/>
            </w:tabs>
            <w:kinsoku/>
            <w:wordWrap/>
            <w:overflowPunct/>
            <w:topLinePunct w:val="0"/>
            <w:autoSpaceDE/>
            <w:autoSpaceDN/>
            <w:bidi w:val="0"/>
            <w:adjustRightInd/>
            <w:snapToGrid/>
            <w:spacing w:before="0"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TOC \o "1-3" \h \u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_Toc21885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 xml:space="preserve">第一部分 </w:t>
          </w:r>
          <w:r>
            <w:rPr>
              <w:rFonts w:hint="eastAsia" w:asciiTheme="minorEastAsia" w:hAnsiTheme="minorEastAsia" w:eastAsiaTheme="minorEastAsia" w:cstheme="minorEastAsia"/>
              <w:bCs w:val="0"/>
              <w:sz w:val="21"/>
              <w:szCs w:val="21"/>
            </w:rPr>
            <w:t>单位概况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_Toc21885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_Toc24233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主要</w:t>
          </w:r>
          <w:r>
            <w:rPr>
              <w:rFonts w:hint="eastAsia" w:asciiTheme="minorEastAsia" w:hAnsiTheme="minorEastAsia" w:eastAsiaTheme="minorEastAsia" w:cstheme="minorEastAsia"/>
              <w:bCs w:val="0"/>
              <w:sz w:val="21"/>
              <w:szCs w:val="21"/>
              <w:lang w:eastAsia="zh-CN"/>
            </w:rPr>
            <w:t>职责</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_Toc24233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_Toc4527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二、机</w:t>
          </w:r>
          <w:r>
            <w:rPr>
              <w:rFonts w:hint="eastAsia" w:asciiTheme="minorEastAsia" w:hAnsiTheme="minorEastAsia" w:eastAsiaTheme="minorEastAsia" w:cstheme="minorEastAsia"/>
              <w:bCs w:val="0"/>
              <w:sz w:val="21"/>
              <w:szCs w:val="21"/>
            </w:rPr>
            <w:t>构设置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_Toc4527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8"/>
            <w:keepNext w:val="0"/>
            <w:keepLines w:val="0"/>
            <w:pageBreakBefore w:val="0"/>
            <w:widowControl w:val="0"/>
            <w:tabs>
              <w:tab w:val="right" w:leader="dot" w:pos="8405"/>
            </w:tabs>
            <w:kinsoku/>
            <w:wordWrap/>
            <w:overflowPunct/>
            <w:topLinePunct w:val="0"/>
            <w:autoSpaceDE/>
            <w:autoSpaceDN/>
            <w:bidi w:val="0"/>
            <w:adjustRightInd/>
            <w:snapToGrid/>
            <w:spacing w:before="0"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_Toc18226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bCs/>
              <w:kern w:val="44"/>
              <w:sz w:val="21"/>
              <w:szCs w:val="21"/>
            </w:rPr>
            <w:t>第二部分</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val="0"/>
              <w:sz w:val="21"/>
              <w:szCs w:val="21"/>
            </w:rPr>
            <w:t>202</w:t>
          </w:r>
          <w:r>
            <w:rPr>
              <w:rFonts w:hint="eastAsia" w:asciiTheme="minorEastAsia" w:hAnsiTheme="minorEastAsia" w:eastAsiaTheme="minorEastAsia" w:cstheme="minorEastAsia"/>
              <w:bCs w:val="0"/>
              <w:sz w:val="21"/>
              <w:szCs w:val="21"/>
              <w:lang w:val="en-US"/>
            </w:rPr>
            <w:t>3</w:t>
          </w:r>
          <w:r>
            <w:rPr>
              <w:rFonts w:hint="eastAsia" w:asciiTheme="minorEastAsia" w:hAnsiTheme="minorEastAsia" w:eastAsiaTheme="minorEastAsia" w:cstheme="minorEastAsia"/>
              <w:bCs w:val="0"/>
              <w:sz w:val="21"/>
              <w:szCs w:val="21"/>
            </w:rPr>
            <w:t>年度单位决算情况说明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_Toc18226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_Toc19543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一、 收入支出决算总体情况说明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_Toc19543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_Toc22411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二、 收入决算情况说明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_Toc22411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_Toc760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三、支出决算情况说明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_Toc760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_Toc710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四、财政拨款收入支出决算总体情况说明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_Toc710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_Toc393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五、</w:t>
          </w:r>
          <w:r>
            <w:rPr>
              <w:rFonts w:hint="eastAsia" w:asciiTheme="minorEastAsia" w:hAnsiTheme="minorEastAsia" w:eastAsiaTheme="minorEastAsia" w:cstheme="minorEastAsia"/>
              <w:bCs/>
              <w:sz w:val="21"/>
              <w:szCs w:val="21"/>
            </w:rPr>
            <w:t>一</w:t>
          </w:r>
          <w:r>
            <w:rPr>
              <w:rFonts w:hint="eastAsia" w:asciiTheme="minorEastAsia" w:hAnsiTheme="minorEastAsia" w:eastAsiaTheme="minorEastAsia" w:cstheme="minorEastAsia"/>
              <w:sz w:val="21"/>
              <w:szCs w:val="21"/>
            </w:rPr>
            <w:t>般公共预算财政拨款支出决算情况说明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_Toc393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_Toc15721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（一）一般公共预算财政拨款支出决算总体情况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_Toc15721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_Toc2366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（二）一般公共预算财政拨款支出决算结构情况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_Toc2366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_Toc28563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（三）一般公共预算财政拨款支出决算具体情况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_Toc28563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_Toc18059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七、“三公”经费财政拨款支出决算情况说明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_Toc18059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_Toc11630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（一）“三公”经费财政拨款支出决算总体情况说明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_Toc11630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_Toc22608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（二）“三公”经费财政拨款支出决算具体情况说明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_Toc22608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_Toc4151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八、</w:t>
          </w:r>
          <w:r>
            <w:rPr>
              <w:rFonts w:hint="eastAsia" w:asciiTheme="minorEastAsia" w:hAnsiTheme="minorEastAsia" w:eastAsiaTheme="minorEastAsia" w:cstheme="minorEastAsia"/>
              <w:bCs/>
              <w:sz w:val="21"/>
              <w:szCs w:val="21"/>
            </w:rPr>
            <w:t>政府性基金预算支出决算情况说明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_Toc4151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_Toc31054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bCs/>
              <w:sz w:val="21"/>
              <w:szCs w:val="21"/>
            </w:rPr>
            <w:t>九、 国有资本经营预算支出决算情况说明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_Toc31054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_Toc7251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十、其他重要事项的情况说明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_Toc7251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_Toc9812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（一）机关运行经费支出情况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_Toc9812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_Toc17746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（二）政府采购支出情况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_Toc17746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_Toc11973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（三）国有资产占有使用情况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_Toc11973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3"/>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_Toc26323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（四）预算绩效管理情况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_Toc26323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8"/>
            <w:keepNext w:val="0"/>
            <w:keepLines w:val="0"/>
            <w:pageBreakBefore w:val="0"/>
            <w:widowControl w:val="0"/>
            <w:tabs>
              <w:tab w:val="right" w:leader="dot" w:pos="8405"/>
            </w:tabs>
            <w:kinsoku/>
            <w:wordWrap/>
            <w:overflowPunct/>
            <w:topLinePunct w:val="0"/>
            <w:autoSpaceDE/>
            <w:autoSpaceDN/>
            <w:bidi w:val="0"/>
            <w:adjustRightInd/>
            <w:snapToGrid/>
            <w:spacing w:before="0"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_Toc19049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第三部分 名词解释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_Toc19049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8"/>
            <w:keepNext w:val="0"/>
            <w:keepLines w:val="0"/>
            <w:pageBreakBefore w:val="0"/>
            <w:widowControl w:val="0"/>
            <w:tabs>
              <w:tab w:val="right" w:leader="dot" w:pos="8405"/>
            </w:tabs>
            <w:kinsoku/>
            <w:wordWrap/>
            <w:overflowPunct/>
            <w:topLinePunct w:val="0"/>
            <w:autoSpaceDE/>
            <w:autoSpaceDN/>
            <w:bidi w:val="0"/>
            <w:adjustRightInd/>
            <w:snapToGrid/>
            <w:spacing w:before="0"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_Toc409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第四部分 附件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_Toc409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18"/>
            <w:keepNext w:val="0"/>
            <w:keepLines w:val="0"/>
            <w:pageBreakBefore w:val="0"/>
            <w:widowControl w:val="0"/>
            <w:tabs>
              <w:tab w:val="right" w:leader="dot" w:pos="8405"/>
            </w:tabs>
            <w:kinsoku/>
            <w:wordWrap/>
            <w:overflowPunct/>
            <w:topLinePunct w:val="0"/>
            <w:autoSpaceDE/>
            <w:autoSpaceDN/>
            <w:bidi w:val="0"/>
            <w:adjustRightInd/>
            <w:snapToGrid/>
            <w:spacing w:before="0"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_Toc26276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第五部分 附表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_Toc26276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_Toc18015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一、收入支出决算总表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_Toc18015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_Toc11914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二、收入决算表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_Toc11914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_Toc1062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三、支出决算表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_Toc1062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_Toc11368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四、财政拨款收入支出决算总表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_Toc11368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_Toc32274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五、财政拨款支出决算明细表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_Toc32274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_Toc6325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六、一般公共预算财政拨款支出决算表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_Toc6325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_Toc3346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七、一般公共预算财政拨款支出决算明细表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_Toc3346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_Toc18839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八、一般公共预算财政拨款基本支出决算表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_Toc18839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_Toc21479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九、一般公共预算财政拨款项目支出决算表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_Toc21479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_Toc3917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十、政府性基金预算财政拨款收入支出决算表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_Toc3917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_Toc16454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十一、国有资本经营预算财政拨款收入支出决算表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_Toc16454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_Toc27977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十二、国有资本经营预算财政拨款支出决算表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_Toc27977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pStyle w:val="22"/>
            <w:keepNext w:val="0"/>
            <w:keepLines w:val="0"/>
            <w:pageBreakBefore w:val="0"/>
            <w:widowControl w:val="0"/>
            <w:tabs>
              <w:tab w:val="right" w:leader="dot" w:pos="8405"/>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fldChar w:fldCharType="begin"/>
          </w:r>
          <w:r>
            <w:rPr>
              <w:rFonts w:hint="eastAsia" w:asciiTheme="minorEastAsia" w:hAnsiTheme="minorEastAsia" w:eastAsiaTheme="minorEastAsia" w:cstheme="minorEastAsia"/>
              <w:sz w:val="21"/>
              <w:szCs w:val="21"/>
              <w:lang w:val="zh-CN"/>
            </w:rPr>
            <w:instrText xml:space="preserve"> HYPERLINK \l _Toc10794 </w:instrText>
          </w:r>
          <w:r>
            <w:rPr>
              <w:rFonts w:hint="eastAsia" w:asciiTheme="minorEastAsia" w:hAnsiTheme="minorEastAsia" w:eastAsiaTheme="minorEastAsia" w:cstheme="minorEastAsia"/>
              <w:sz w:val="21"/>
              <w:szCs w:val="21"/>
              <w:lang w:val="zh-CN"/>
            </w:rPr>
            <w:fldChar w:fldCharType="separate"/>
          </w:r>
          <w:r>
            <w:rPr>
              <w:rFonts w:hint="eastAsia" w:asciiTheme="minorEastAsia" w:hAnsiTheme="minorEastAsia" w:eastAsiaTheme="minorEastAsia" w:cstheme="minorEastAsia"/>
              <w:sz w:val="21"/>
              <w:szCs w:val="21"/>
            </w:rPr>
            <w:t>十三、财政拨款“三公”经费支出决算表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_Toc10794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lang w:val="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方正小标宋简体" w:eastAsia="方正小标宋简体" w:cs="方正小标宋简体"/>
              <w:b w:val="0"/>
              <w:color w:val="auto"/>
            </w:rPr>
          </w:pPr>
          <w:r>
            <w:rPr>
              <w:rFonts w:hint="eastAsia" w:asciiTheme="minorEastAsia" w:hAnsiTheme="minorEastAsia" w:eastAsiaTheme="minorEastAsia" w:cstheme="minorEastAsia"/>
              <w:sz w:val="21"/>
              <w:szCs w:val="21"/>
              <w:lang w:val="zh-CN"/>
            </w:rPr>
            <w:fldChar w:fldCharType="end"/>
          </w:r>
          <w:bookmarkStart w:id="7" w:name="_Toc79163601"/>
          <w:bookmarkStart w:id="8" w:name="_Toc15377196"/>
          <w:bookmarkStart w:id="9" w:name="_Toc79163851"/>
          <w:bookmarkStart w:id="10" w:name="_Toc15396599"/>
        </w:p>
      </w:sdtContent>
    </w:sdt>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eastAsia="方正小标宋简体" w:cs="方正小标宋简体"/>
          <w:b w:val="0"/>
          <w:color w:val="auto"/>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eastAsia="方正小标宋简体" w:cs="方正小标宋简体"/>
          <w:b w:val="0"/>
          <w:color w:val="auto"/>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eastAsia="方正小标宋简体" w:cs="方正小标宋简体"/>
          <w:b w:val="0"/>
          <w:color w:val="auto"/>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eastAsia="方正小标宋简体" w:cs="方正小标宋简体"/>
          <w:b w:val="0"/>
          <w:color w:val="auto"/>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eastAsia="方正小标宋简体" w:cs="方正小标宋简体"/>
          <w:b w:val="0"/>
          <w:color w:val="auto"/>
        </w:rPr>
      </w:pPr>
    </w:p>
    <w:p>
      <w:pPr>
        <w:rPr>
          <w:rFonts w:hint="eastAsia" w:ascii="方正小标宋简体" w:eastAsia="方正小标宋简体" w:cs="方正小标宋简体"/>
          <w:b w:val="0"/>
          <w:color w:val="auto"/>
        </w:rPr>
      </w:pPr>
    </w:p>
    <w:p>
      <w:pPr>
        <w:pStyle w:val="2"/>
        <w:rPr>
          <w:rFonts w:hint="eastAsia"/>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eastAsia="方正小标宋简体" w:cs="方正小标宋简体"/>
          <w:b w:val="0"/>
          <w:color w:val="auto"/>
        </w:rPr>
        <w:sectPr>
          <w:footerReference r:id="rId5" w:type="first"/>
          <w:headerReference r:id="rId3" w:type="default"/>
          <w:footerReference r:id="rId4" w:type="default"/>
          <w:pgSz w:w="11906" w:h="16838"/>
          <w:pgMar w:top="1440" w:right="1701" w:bottom="1134" w:left="1800" w:header="851" w:footer="992" w:gutter="0"/>
          <w:pgNumType w:fmt="decimal" w:start="1"/>
          <w:cols w:space="0" w:num="1"/>
          <w:titlePg/>
          <w:rtlGutter w:val="0"/>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9"/>
          <w:rFonts w:ascii="方正小标宋简体" w:eastAsia="方正小标宋简体" w:cs="方正小标宋简体"/>
          <w:b/>
          <w:bCs w:val="0"/>
          <w:color w:val="auto"/>
        </w:rPr>
      </w:pPr>
      <w:bookmarkStart w:id="11" w:name="_Toc21885"/>
      <w:r>
        <w:rPr>
          <w:rFonts w:hint="eastAsia" w:ascii="方正小标宋简体" w:eastAsia="方正小标宋简体" w:cs="方正小标宋简体"/>
          <w:b w:val="0"/>
          <w:color w:val="auto"/>
        </w:rPr>
        <w:t xml:space="preserve">第一部分 </w:t>
      </w:r>
      <w:r>
        <w:rPr>
          <w:rStyle w:val="29"/>
          <w:rFonts w:hint="eastAsia" w:ascii="方正小标宋简体" w:eastAsia="方正小标宋简体" w:cs="方正小标宋简体"/>
          <w:b w:val="0"/>
          <w:bCs w:val="0"/>
          <w:color w:val="auto"/>
        </w:rPr>
        <w:t>单位概况</w:t>
      </w:r>
      <w:bookmarkEnd w:id="7"/>
      <w:bookmarkEnd w:id="8"/>
      <w:bookmarkEnd w:id="9"/>
      <w:bookmarkEnd w:id="10"/>
      <w:bookmarkEnd w:id="11"/>
    </w:p>
    <w:p>
      <w:pPr>
        <w:pStyle w:val="4"/>
        <w:keepNext/>
        <w:keepLines/>
        <w:pageBreakBefore w:val="0"/>
        <w:widowControl w:val="0"/>
        <w:kinsoku/>
        <w:wordWrap/>
        <w:overflowPunct/>
        <w:topLinePunct w:val="0"/>
        <w:autoSpaceDE/>
        <w:autoSpaceDN/>
        <w:bidi w:val="0"/>
        <w:adjustRightInd/>
        <w:snapToGrid/>
        <w:spacing w:after="0" w:line="576" w:lineRule="exact"/>
        <w:ind w:firstLine="640" w:firstLineChars="200"/>
        <w:textAlignment w:val="auto"/>
        <w:rPr>
          <w:rStyle w:val="30"/>
          <w:rFonts w:hint="eastAsia" w:ascii="仿宋" w:eastAsia="黑体"/>
          <w:b w:val="0"/>
          <w:bCs w:val="0"/>
          <w:color w:val="auto"/>
          <w:lang w:val="en-US" w:eastAsia="zh-CN"/>
        </w:rPr>
      </w:pPr>
      <w:bookmarkStart w:id="12" w:name="_Toc15377197"/>
      <w:bookmarkStart w:id="13" w:name="_Toc15396600"/>
      <w:bookmarkStart w:id="14" w:name="_Toc79163852"/>
      <w:bookmarkStart w:id="15" w:name="_Toc79163602"/>
      <w:bookmarkStart w:id="16" w:name="_Toc24233"/>
      <w:r>
        <w:rPr>
          <w:rFonts w:hint="eastAsia" w:ascii="黑体" w:eastAsia="黑体"/>
          <w:b w:val="0"/>
          <w:color w:val="auto"/>
        </w:rPr>
        <w:t>一、</w:t>
      </w:r>
      <w:bookmarkEnd w:id="12"/>
      <w:bookmarkEnd w:id="13"/>
      <w:bookmarkEnd w:id="14"/>
      <w:bookmarkEnd w:id="15"/>
      <w:r>
        <w:rPr>
          <w:rFonts w:hint="eastAsia" w:ascii="黑体" w:eastAsia="黑体"/>
          <w:b w:val="0"/>
          <w:color w:val="auto"/>
          <w:lang w:eastAsia="zh-CN"/>
        </w:rPr>
        <w:t>主要</w:t>
      </w:r>
      <w:r>
        <w:rPr>
          <w:rStyle w:val="30"/>
          <w:rFonts w:hint="eastAsia" w:ascii="黑体" w:eastAsia="黑体"/>
          <w:b w:val="0"/>
          <w:bCs w:val="0"/>
          <w:color w:val="auto"/>
          <w:lang w:eastAsia="zh-CN"/>
        </w:rPr>
        <w:t>职责</w:t>
      </w:r>
      <w:bookmarkEnd w:id="16"/>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bookmarkStart w:id="17" w:name="_Toc15378446"/>
      <w:bookmarkStart w:id="18" w:name="_Toc79163854"/>
      <w:bookmarkStart w:id="19" w:name="_Toc79163604"/>
      <w:bookmarkStart w:id="20" w:name="_Toc15377199"/>
      <w:r>
        <w:rPr>
          <w:rFonts w:hint="eastAsia" w:ascii="仿宋_GB2312" w:eastAsia="仿宋_GB2312"/>
          <w:color w:val="auto"/>
          <w:sz w:val="32"/>
          <w:szCs w:val="32"/>
        </w:rPr>
        <w:t>1.完成县委和上级团委的工作部署和要求，结合我委实际，制定团的工作计划；定期召开团委的各级会议，听取基层团委工作汇报和情况反映，布置、研讨和检查团的工作。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4.通过调查研究和认真总结，及时推广先进集体和先进个人的经验，及时发现和掌握团员青年思想上倾向性的问题。不断研究新情况，解决新问题，探索新规律。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5.维护青少年的正当权益。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6.指导基层团委开展工作。依据上级有关规定，负责全县团员团费的收缴、管理和使用。</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7.配合县委抓好青少年党建工作，做好优秀团员入党的推荐工作。</w:t>
      </w:r>
    </w:p>
    <w:bookmarkEnd w:id="17"/>
    <w:bookmarkEnd w:id="18"/>
    <w:bookmarkEnd w:id="19"/>
    <w:bookmarkEnd w:id="20"/>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0"/>
          <w:b w:val="0"/>
          <w:bCs w:val="0"/>
          <w:color w:val="auto"/>
        </w:rPr>
      </w:pPr>
      <w:bookmarkStart w:id="21" w:name="_Toc79163605"/>
      <w:bookmarkStart w:id="22" w:name="_Toc4527"/>
      <w:bookmarkStart w:id="23" w:name="_Toc79163855"/>
      <w:bookmarkStart w:id="24" w:name="_Toc15377200"/>
      <w:bookmarkStart w:id="25" w:name="_Toc15396601"/>
      <w:r>
        <w:rPr>
          <w:rFonts w:hint="eastAsia" w:ascii="黑体" w:eastAsia="黑体"/>
          <w:color w:val="auto"/>
          <w:sz w:val="32"/>
          <w:szCs w:val="32"/>
        </w:rPr>
        <w:t>二、机</w:t>
      </w:r>
      <w:r>
        <w:rPr>
          <w:rStyle w:val="30"/>
          <w:rFonts w:hint="eastAsia" w:ascii="黑体" w:eastAsia="黑体"/>
          <w:b w:val="0"/>
          <w:bCs w:val="0"/>
          <w:color w:val="auto"/>
        </w:rPr>
        <w:t>构设置</w:t>
      </w:r>
      <w:bookmarkEnd w:id="21"/>
      <w:bookmarkEnd w:id="22"/>
      <w:bookmarkEnd w:id="23"/>
      <w:bookmarkEnd w:id="24"/>
      <w:bookmarkEnd w:id="25"/>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茂县青少年活动中心是共青团茂县委员会下属二级单位。</w:t>
      </w:r>
    </w:p>
    <w:p>
      <w:pPr>
        <w:widowControl/>
        <w:spacing w:line="576" w:lineRule="exact"/>
        <w:jc w:val="center"/>
        <w:rPr>
          <w:rFonts w:hint="eastAsia" w:ascii="方正小标宋简体" w:eastAsia="方正小标宋简体" w:cs="方正小标宋简体"/>
          <w:bCs/>
          <w:color w:val="auto"/>
          <w:kern w:val="44"/>
          <w:sz w:val="44"/>
          <w:szCs w:val="44"/>
        </w:rPr>
      </w:pPr>
      <w:bookmarkStart w:id="26" w:name="_Toc15396602"/>
      <w:bookmarkStart w:id="27" w:name="_Toc79163609"/>
      <w:bookmarkStart w:id="28" w:name="_Toc79163859"/>
      <w:bookmarkStart w:id="29" w:name="_Toc15377204"/>
    </w:p>
    <w:p>
      <w:pPr>
        <w:pStyle w:val="2"/>
        <w:rPr>
          <w:rFonts w:hint="eastAsia"/>
        </w:rPr>
      </w:pPr>
    </w:p>
    <w:p>
      <w:pPr>
        <w:pStyle w:val="2"/>
        <w:rPr>
          <w:rFonts w:hint="eastAsia"/>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widowControl/>
        <w:spacing w:line="576" w:lineRule="exact"/>
        <w:jc w:val="center"/>
        <w:outlineLvl w:val="0"/>
        <w:rPr>
          <w:rFonts w:hint="eastAsia" w:ascii="方正小标宋简体" w:eastAsia="方正小标宋简体" w:cs="方正小标宋简体"/>
          <w:bCs/>
          <w:color w:val="auto"/>
          <w:kern w:val="44"/>
          <w:sz w:val="44"/>
          <w:szCs w:val="44"/>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29"/>
          <w:rFonts w:ascii="方正小标宋简体" w:eastAsia="方正小标宋简体" w:cs="方正小标宋简体"/>
          <w:b w:val="0"/>
          <w:bCs w:val="0"/>
          <w:color w:val="auto"/>
        </w:rPr>
      </w:pPr>
      <w:bookmarkStart w:id="30" w:name="_Toc18226"/>
      <w:r>
        <w:rPr>
          <w:rFonts w:hint="eastAsia" w:ascii="方正小标宋简体" w:eastAsia="方正小标宋简体" w:cs="方正小标宋简体"/>
          <w:bCs/>
          <w:color w:val="auto"/>
          <w:kern w:val="44"/>
          <w:sz w:val="44"/>
          <w:szCs w:val="44"/>
        </w:rPr>
        <w:t>第二部分</w:t>
      </w:r>
      <w:r>
        <w:rPr>
          <w:rFonts w:hint="eastAsia" w:ascii="方正小标宋简体" w:eastAsia="方正小标宋简体" w:cs="方正小标宋简体"/>
          <w:color w:val="auto"/>
          <w:sz w:val="44"/>
          <w:szCs w:val="44"/>
        </w:rPr>
        <w:t xml:space="preserve"> </w:t>
      </w:r>
      <w:r>
        <w:rPr>
          <w:rStyle w:val="29"/>
          <w:rFonts w:hint="eastAsia" w:ascii="方正小标宋简体" w:eastAsia="方正小标宋简体" w:cs="方正小标宋简体"/>
          <w:b w:val="0"/>
          <w:bCs w:val="0"/>
          <w:color w:val="auto"/>
        </w:rPr>
        <w:t>202</w:t>
      </w:r>
      <w:r>
        <w:rPr>
          <w:rStyle w:val="29"/>
          <w:rFonts w:hint="eastAsia" w:ascii="方正小标宋简体" w:eastAsia="方正小标宋简体" w:cs="方正小标宋简体"/>
          <w:b w:val="0"/>
          <w:bCs w:val="0"/>
          <w:color w:val="auto"/>
          <w:lang w:val="en-US"/>
        </w:rPr>
        <w:t>3</w:t>
      </w:r>
      <w:r>
        <w:rPr>
          <w:rStyle w:val="29"/>
          <w:rFonts w:hint="eastAsia" w:ascii="方正小标宋简体" w:eastAsia="方正小标宋简体" w:cs="方正小标宋简体"/>
          <w:b w:val="0"/>
          <w:bCs w:val="0"/>
          <w:color w:val="auto"/>
        </w:rPr>
        <w:t>年度单位决算情况说明</w:t>
      </w:r>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rPr>
      </w:pPr>
    </w:p>
    <w:p>
      <w:pPr>
        <w:pStyle w:val="35"/>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0"/>
          <w:rFonts w:ascii="黑体" w:eastAsia="黑体"/>
          <w:b w:val="0"/>
          <w:color w:val="auto"/>
        </w:rPr>
      </w:pPr>
      <w:bookmarkStart w:id="31" w:name="_Toc19543"/>
      <w:bookmarkStart w:id="32" w:name="_Toc79163860"/>
      <w:bookmarkStart w:id="33" w:name="_Toc15377205"/>
      <w:bookmarkStart w:id="34" w:name="_Toc79163610"/>
      <w:bookmarkStart w:id="35" w:name="_Toc15396603"/>
      <w:r>
        <w:rPr>
          <w:rFonts w:hint="eastAsia" w:ascii="黑体" w:eastAsia="黑体"/>
          <w:color w:val="auto"/>
          <w:sz w:val="32"/>
          <w:szCs w:val="32"/>
        </w:rPr>
        <w:t>收</w:t>
      </w:r>
      <w:r>
        <w:rPr>
          <w:rStyle w:val="30"/>
          <w:rFonts w:hint="eastAsia" w:ascii="黑体" w:eastAsia="黑体"/>
          <w:b w:val="0"/>
          <w:color w:val="auto"/>
        </w:rPr>
        <w:t>入支出决算总体情况说明</w:t>
      </w:r>
      <w:bookmarkEnd w:id="31"/>
      <w:bookmarkEnd w:id="32"/>
      <w:bookmarkEnd w:id="33"/>
      <w:bookmarkEnd w:id="34"/>
      <w:bookmarkEnd w:id="35"/>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color w:val="auto"/>
          <w:sz w:val="32"/>
          <w:szCs w:val="32"/>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年度收入总计</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万元。与202</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lang w:val="zh-CN"/>
        </w:rPr>
        <w:t>年相比，收入总计减少</w:t>
      </w:r>
      <w:r>
        <w:rPr>
          <w:rFonts w:hint="eastAsia" w:ascii="仿宋_GB2312" w:eastAsia="仿宋_GB2312" w:cs="仿宋_GB2312"/>
          <w:bCs/>
          <w:color w:val="auto"/>
          <w:kern w:val="0"/>
          <w:sz w:val="32"/>
          <w:szCs w:val="32"/>
          <w:lang w:val="en-US" w:eastAsia="zh-CN"/>
        </w:rPr>
        <w:t>2.83</w:t>
      </w:r>
      <w:r>
        <w:rPr>
          <w:rFonts w:hint="eastAsia" w:ascii="仿宋_GB2312" w:eastAsia="仿宋_GB2312" w:cs="仿宋_GB2312"/>
          <w:bCs/>
          <w:color w:val="auto"/>
          <w:kern w:val="0"/>
          <w:sz w:val="32"/>
          <w:szCs w:val="32"/>
          <w:lang w:val="zh-CN"/>
        </w:rPr>
        <w:t>万元，降低</w:t>
      </w:r>
      <w:r>
        <w:rPr>
          <w:rFonts w:hint="eastAsia" w:ascii="仿宋_GB2312" w:eastAsia="仿宋_GB2312" w:cs="仿宋_GB2312"/>
          <w:bCs/>
          <w:color w:val="auto"/>
          <w:kern w:val="0"/>
          <w:sz w:val="32"/>
          <w:szCs w:val="32"/>
          <w:lang w:val="en-US" w:eastAsia="zh-CN"/>
        </w:rPr>
        <w:t>5.31</w:t>
      </w:r>
      <w:r>
        <w:rPr>
          <w:rFonts w:hint="eastAsia" w:ascii="仿宋_GB2312" w:eastAsia="仿宋_GB2312" w:cs="仿宋_GB2312"/>
          <w:bCs/>
          <w:color w:val="auto"/>
          <w:kern w:val="0"/>
          <w:sz w:val="32"/>
          <w:szCs w:val="32"/>
          <w:lang w:val="zh-CN"/>
        </w:rPr>
        <w:t>%。主要变动原因是“三公”经费减少，开源节流。202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年度支出总计5</w:t>
      </w:r>
      <w:r>
        <w:rPr>
          <w:rFonts w:hint="eastAsia" w:ascii="仿宋_GB2312" w:eastAsia="仿宋_GB2312" w:cs="仿宋_GB2312"/>
          <w:bCs/>
          <w:color w:val="auto"/>
          <w:kern w:val="0"/>
          <w:sz w:val="32"/>
          <w:szCs w:val="32"/>
          <w:lang w:val="en-US" w:eastAsia="zh-CN"/>
        </w:rPr>
        <w:t>0.50</w:t>
      </w:r>
      <w:r>
        <w:rPr>
          <w:rFonts w:hint="eastAsia" w:ascii="仿宋_GB2312" w:eastAsia="仿宋_GB2312" w:cs="仿宋_GB2312"/>
          <w:bCs/>
          <w:color w:val="auto"/>
          <w:kern w:val="0"/>
          <w:sz w:val="32"/>
          <w:szCs w:val="32"/>
          <w:lang w:val="zh-CN"/>
        </w:rPr>
        <w:t>万元。与202</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lang w:val="zh-CN"/>
        </w:rPr>
        <w:t>年相比，支出总计减少</w:t>
      </w:r>
      <w:r>
        <w:rPr>
          <w:rFonts w:hint="eastAsia" w:ascii="仿宋_GB2312" w:eastAsia="仿宋_GB2312" w:cs="仿宋_GB2312"/>
          <w:bCs/>
          <w:color w:val="auto"/>
          <w:kern w:val="0"/>
          <w:sz w:val="32"/>
          <w:szCs w:val="32"/>
          <w:lang w:val="en-US" w:eastAsia="zh-CN"/>
        </w:rPr>
        <w:t>2.83</w:t>
      </w:r>
      <w:r>
        <w:rPr>
          <w:rFonts w:hint="eastAsia" w:ascii="仿宋_GB2312" w:eastAsia="仿宋_GB2312" w:cs="仿宋_GB2312"/>
          <w:bCs/>
          <w:color w:val="auto"/>
          <w:kern w:val="0"/>
          <w:sz w:val="32"/>
          <w:szCs w:val="32"/>
          <w:lang w:val="zh-CN"/>
        </w:rPr>
        <w:t>万元，降低</w:t>
      </w:r>
      <w:r>
        <w:rPr>
          <w:rFonts w:hint="eastAsia" w:ascii="仿宋_GB2312" w:eastAsia="仿宋_GB2312" w:cs="仿宋_GB2312"/>
          <w:bCs/>
          <w:color w:val="auto"/>
          <w:kern w:val="0"/>
          <w:sz w:val="32"/>
          <w:szCs w:val="32"/>
          <w:lang w:val="en-US" w:eastAsia="zh-CN"/>
        </w:rPr>
        <w:t>5.31</w:t>
      </w:r>
      <w:r>
        <w:rPr>
          <w:rFonts w:hint="eastAsia" w:ascii="仿宋_GB2312" w:eastAsia="仿宋_GB2312" w:cs="仿宋_GB2312"/>
          <w:bCs/>
          <w:color w:val="auto"/>
          <w:kern w:val="0"/>
          <w:sz w:val="32"/>
          <w:szCs w:val="32"/>
          <w:lang w:val="zh-CN"/>
        </w:rPr>
        <w:t>%。主要变动原因是“三公”经费减少，开源节流。</w:t>
      </w:r>
      <w:r>
        <w:rPr>
          <w:rFonts w:hint="eastAsia" w:ascii="仿宋_GB2312" w:eastAsia="仿宋_GB2312" w:cs="仿宋_GB2312"/>
          <w:color w:val="auto"/>
          <w:sz w:val="32"/>
          <w:szCs w:val="32"/>
        </w:rPr>
        <w:t>（图1：收、支决算总计变动情况图）（单位：万元）</w:t>
      </w:r>
    </w:p>
    <w:p>
      <w:pPr>
        <w:pageBreakBefore w:val="0"/>
        <w:kinsoku/>
        <w:wordWrap/>
        <w:overflowPunct/>
        <w:topLinePunct w:val="0"/>
        <w:autoSpaceDE/>
        <w:autoSpaceDN/>
        <w:bidi w:val="0"/>
        <w:spacing w:line="240" w:lineRule="auto"/>
        <w:textAlignment w:val="auto"/>
        <w:outlineLvl w:val="9"/>
        <w:rPr>
          <w:rFonts w:hint="eastAsia" w:eastAsia="宋体"/>
          <w:color w:val="auto"/>
          <w:lang w:eastAsia="zh-CN"/>
        </w:rPr>
      </w:pPr>
      <w:r>
        <w:rPr>
          <w:rFonts w:hint="eastAsia" w:eastAsia="宋体"/>
          <w:color w:val="auto"/>
          <w:lang w:eastAsia="zh-CN"/>
        </w:rPr>
        <w:drawing>
          <wp:inline distT="0" distB="0" distL="114300" distR="114300">
            <wp:extent cx="5066665" cy="2473960"/>
            <wp:effectExtent l="4445"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autoSpaceDE/>
        <w:autoSpaceDN/>
        <w:bidi w:val="0"/>
        <w:jc w:val="center"/>
        <w:textAlignment w:val="auto"/>
        <w:outlineLvl w:val="9"/>
        <w:rPr>
          <w:rFonts w:hint="default"/>
          <w:b/>
          <w:bCs/>
          <w:lang w:val="en-US" w:eastAsia="zh-CN"/>
        </w:rPr>
      </w:pPr>
      <w:r>
        <w:rPr>
          <w:rFonts w:hint="eastAsia"/>
          <w:b/>
          <w:bCs/>
          <w:lang w:eastAsia="zh-CN"/>
        </w:rPr>
        <w:t>图</w:t>
      </w:r>
      <w:r>
        <w:rPr>
          <w:rFonts w:hint="eastAsia"/>
          <w:b/>
          <w:bCs/>
          <w:lang w:val="en-US" w:eastAsia="zh-CN"/>
        </w:rPr>
        <w:t>1</w:t>
      </w:r>
    </w:p>
    <w:p>
      <w:pPr>
        <w:pStyle w:val="35"/>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0"/>
          <w:rFonts w:ascii="黑体" w:eastAsia="黑体"/>
          <w:b w:val="0"/>
          <w:color w:val="auto"/>
        </w:rPr>
      </w:pPr>
      <w:bookmarkStart w:id="36" w:name="_Toc79163611"/>
      <w:bookmarkStart w:id="37" w:name="_Toc15377206"/>
      <w:bookmarkStart w:id="38" w:name="_Toc15396604"/>
      <w:bookmarkStart w:id="39" w:name="_Toc22411"/>
      <w:bookmarkStart w:id="40" w:name="_Toc79163861"/>
      <w:r>
        <w:rPr>
          <w:rFonts w:hint="eastAsia" w:ascii="黑体" w:eastAsia="黑体"/>
          <w:color w:val="auto"/>
          <w:sz w:val="32"/>
          <w:szCs w:val="32"/>
        </w:rPr>
        <w:t>收</w:t>
      </w:r>
      <w:r>
        <w:rPr>
          <w:rStyle w:val="30"/>
          <w:rFonts w:hint="eastAsia" w:ascii="黑体" w:eastAsia="黑体"/>
          <w:b w:val="0"/>
          <w:color w:val="auto"/>
        </w:rPr>
        <w:t>入决算情况说明</w:t>
      </w:r>
      <w:bookmarkEnd w:id="36"/>
      <w:bookmarkEnd w:id="37"/>
      <w:bookmarkEnd w:id="38"/>
      <w:bookmarkEnd w:id="39"/>
      <w:bookmarkEnd w:id="40"/>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color w:val="auto"/>
          <w:sz w:val="32"/>
          <w:szCs w:val="32"/>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年度本年收入合计5</w:t>
      </w:r>
      <w:r>
        <w:rPr>
          <w:rFonts w:hint="eastAsia" w:ascii="仿宋_GB2312" w:eastAsia="仿宋_GB2312" w:cs="仿宋_GB2312"/>
          <w:bCs/>
          <w:color w:val="auto"/>
          <w:kern w:val="0"/>
          <w:sz w:val="32"/>
          <w:szCs w:val="32"/>
          <w:lang w:val="en-US" w:eastAsia="zh-CN"/>
        </w:rPr>
        <w:t>0.50</w:t>
      </w:r>
      <w:r>
        <w:rPr>
          <w:rFonts w:hint="eastAsia" w:ascii="仿宋_GB2312" w:eastAsia="仿宋_GB2312" w:cs="仿宋_GB2312"/>
          <w:bCs/>
          <w:color w:val="auto"/>
          <w:kern w:val="0"/>
          <w:sz w:val="32"/>
          <w:szCs w:val="32"/>
          <w:lang w:val="zh-CN"/>
        </w:rPr>
        <w:t>万元，其中：一般公共预算财政拨款收入</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万元，占100%。</w:t>
      </w:r>
      <w:r>
        <w:rPr>
          <w:rFonts w:hint="eastAsia" w:ascii="仿宋_GB2312" w:eastAsia="仿宋_GB2312" w:cs="仿宋_GB2312"/>
          <w:color w:val="auto"/>
          <w:sz w:val="32"/>
          <w:szCs w:val="32"/>
        </w:rPr>
        <w:t>（</w:t>
      </w:r>
      <w:r>
        <w:rPr>
          <w:rFonts w:hint="eastAsia" w:ascii="仿宋" w:eastAsia="仿宋"/>
          <w:color w:val="auto"/>
          <w:sz w:val="32"/>
          <w:szCs w:val="32"/>
        </w:rPr>
        <w:t>图</w:t>
      </w:r>
      <w:r>
        <w:rPr>
          <w:rFonts w:ascii="仿宋" w:eastAsia="仿宋"/>
          <w:color w:val="auto"/>
          <w:sz w:val="32"/>
          <w:szCs w:val="32"/>
        </w:rPr>
        <w:t>2</w:t>
      </w:r>
      <w:r>
        <w:rPr>
          <w:rFonts w:hint="eastAsia" w:ascii="仿宋" w:eastAsia="仿宋"/>
          <w:color w:val="auto"/>
          <w:sz w:val="32"/>
          <w:szCs w:val="32"/>
        </w:rPr>
        <w:t>：收入决算结构图）</w:t>
      </w:r>
      <w:r>
        <w:rPr>
          <w:rFonts w:hint="eastAsia" w:ascii="仿宋_GB2312" w:eastAsia="仿宋_GB2312" w:cs="仿宋_GB2312"/>
          <w:color w:val="auto"/>
          <w:sz w:val="32"/>
          <w:szCs w:val="32"/>
        </w:rPr>
        <w:t>）（单位：万元）</w:t>
      </w:r>
    </w:p>
    <w:p>
      <w:pPr>
        <w:keepNext w:val="0"/>
        <w:keepLines w:val="0"/>
        <w:pageBreakBefore w:val="0"/>
        <w:kinsoku/>
        <w:wordWrap/>
        <w:overflowPunct/>
        <w:topLinePunct w:val="0"/>
        <w:autoSpaceDE/>
        <w:autoSpaceDN/>
        <w:bidi w:val="0"/>
        <w:spacing w:line="576" w:lineRule="exact"/>
        <w:jc w:val="center"/>
        <w:textAlignment w:val="auto"/>
        <w:rPr>
          <w:rFonts w:ascii="仿宋_GB2312" w:eastAsia="仿宋_GB2312" w:cs="仿宋_GB2312"/>
          <w:b/>
          <w:bCs/>
          <w:color w:val="auto"/>
          <w:sz w:val="28"/>
          <w:szCs w:val="28"/>
        </w:rPr>
      </w:pPr>
      <w:r>
        <w:rPr>
          <w:rFonts w:hint="eastAsia" w:ascii="仿宋_GB2312" w:eastAsia="仿宋_GB2312" w:cs="仿宋_GB2312"/>
          <w:b/>
          <w:bCs/>
          <w:color w:val="auto"/>
          <w:sz w:val="28"/>
          <w:szCs w:val="28"/>
        </w:rPr>
        <w:drawing>
          <wp:anchor distT="0" distB="0" distL="114300" distR="114300" simplePos="0" relativeHeight="251660288" behindDoc="0" locked="0" layoutInCell="1" allowOverlap="1">
            <wp:simplePos x="0" y="0"/>
            <wp:positionH relativeFrom="column">
              <wp:posOffset>23495</wp:posOffset>
            </wp:positionH>
            <wp:positionV relativeFrom="paragraph">
              <wp:posOffset>290195</wp:posOffset>
            </wp:positionV>
            <wp:extent cx="5000625" cy="2352040"/>
            <wp:effectExtent l="5080" t="4445" r="4445" b="571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cs="仿宋_GB2312"/>
          <w:b/>
          <w:bCs/>
          <w:color w:val="auto"/>
          <w:sz w:val="28"/>
          <w:szCs w:val="28"/>
        </w:rPr>
        <w:t>图2</w:t>
      </w:r>
    </w:p>
    <w:p>
      <w:pPr>
        <w:pStyle w:val="35"/>
        <w:keepNext w:val="0"/>
        <w:keepLines w:val="0"/>
        <w:pageBreakBefore w:val="0"/>
        <w:widowControl w:val="0"/>
        <w:kinsoku/>
        <w:wordWrap/>
        <w:overflowPunct/>
        <w:topLinePunct w:val="0"/>
        <w:autoSpaceDE/>
        <w:autoSpaceDN/>
        <w:bidi w:val="0"/>
        <w:adjustRightInd/>
        <w:snapToGrid/>
        <w:spacing w:line="576" w:lineRule="exact"/>
        <w:ind w:left="640" w:firstLine="0" w:firstLineChars="0"/>
        <w:textAlignment w:val="auto"/>
        <w:outlineLvl w:val="1"/>
        <w:rPr>
          <w:rStyle w:val="30"/>
          <w:rFonts w:ascii="黑体" w:eastAsia="黑体"/>
          <w:b w:val="0"/>
          <w:color w:val="auto"/>
        </w:rPr>
      </w:pPr>
      <w:bookmarkStart w:id="41" w:name="_Toc79163612"/>
      <w:bookmarkStart w:id="42" w:name="_Toc15377207"/>
      <w:bookmarkStart w:id="43" w:name="_Toc15396605"/>
      <w:bookmarkStart w:id="44" w:name="_Toc760"/>
      <w:bookmarkStart w:id="45" w:name="_Toc79163862"/>
      <w:r>
        <w:rPr>
          <w:rFonts w:hint="eastAsia" w:ascii="黑体" w:eastAsia="黑体"/>
          <w:color w:val="auto"/>
          <w:sz w:val="32"/>
          <w:szCs w:val="32"/>
        </w:rPr>
        <w:t>三、支</w:t>
      </w:r>
      <w:r>
        <w:rPr>
          <w:rStyle w:val="30"/>
          <w:rFonts w:hint="eastAsia" w:ascii="黑体" w:eastAsia="黑体"/>
          <w:b w:val="0"/>
          <w:color w:val="auto"/>
        </w:rPr>
        <w:t>出决算情况说明</w:t>
      </w:r>
      <w:bookmarkEnd w:id="41"/>
      <w:bookmarkEnd w:id="42"/>
      <w:bookmarkEnd w:id="43"/>
      <w:bookmarkEnd w:id="44"/>
      <w:bookmarkEnd w:id="45"/>
    </w:p>
    <w:p>
      <w:pPr>
        <w:widowControl/>
        <w:adjustRightInd w:val="0"/>
        <w:snapToGrid w:val="0"/>
        <w:spacing w:line="576" w:lineRule="atLeast"/>
        <w:ind w:firstLine="640" w:firstLineChars="200"/>
        <w:rPr>
          <w:rFonts w:ascii="仿宋_GB2312" w:eastAsia="仿宋_GB2312" w:cs="仿宋_GB2312"/>
          <w:color w:val="auto"/>
          <w:sz w:val="32"/>
          <w:szCs w:val="32"/>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年本年支出合计</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万元，其中：基本支出</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万元，占100%；项目支出0万元，占0%。</w:t>
      </w:r>
      <w:r>
        <w:rPr>
          <w:rFonts w:hint="eastAsia" w:ascii="仿宋_GB2312" w:eastAsia="仿宋_GB2312" w:cs="仿宋_GB2312"/>
          <w:color w:val="auto"/>
          <w:sz w:val="32"/>
          <w:szCs w:val="32"/>
        </w:rPr>
        <w:t>（</w:t>
      </w:r>
      <w:r>
        <w:rPr>
          <w:rFonts w:hint="eastAsia" w:ascii="仿宋" w:eastAsia="仿宋"/>
          <w:color w:val="auto"/>
          <w:sz w:val="32"/>
          <w:szCs w:val="32"/>
        </w:rPr>
        <w:t>图</w:t>
      </w:r>
      <w:r>
        <w:rPr>
          <w:rFonts w:ascii="仿宋" w:eastAsia="仿宋"/>
          <w:color w:val="auto"/>
          <w:sz w:val="32"/>
          <w:szCs w:val="32"/>
        </w:rPr>
        <w:t>3</w:t>
      </w:r>
      <w:r>
        <w:rPr>
          <w:rFonts w:hint="eastAsia" w:ascii="仿宋" w:eastAsia="仿宋"/>
          <w:color w:val="auto"/>
          <w:sz w:val="32"/>
          <w:szCs w:val="32"/>
        </w:rPr>
        <w:t>：支出决算结构图</w:t>
      </w:r>
      <w:r>
        <w:rPr>
          <w:rFonts w:hint="eastAsia" w:ascii="仿宋_GB2312" w:eastAsia="仿宋_GB2312" w:cs="仿宋_GB2312"/>
          <w:color w:val="auto"/>
          <w:sz w:val="32"/>
          <w:szCs w:val="32"/>
        </w:rPr>
        <w:t>）（单位：万元）</w:t>
      </w:r>
    </w:p>
    <w:p>
      <w:pPr>
        <w:pStyle w:val="3"/>
        <w:outlineLvl w:val="9"/>
        <w:rPr>
          <w:color w:val="auto"/>
        </w:rPr>
      </w:pPr>
      <w:r>
        <w:rPr>
          <w:rFonts w:hint="eastAsia"/>
          <w:color w:val="auto"/>
        </w:rPr>
        <w:t xml:space="preserve">   </w:t>
      </w:r>
      <w:r>
        <w:rPr>
          <w:color w:val="auto"/>
        </w:rPr>
        <w:drawing>
          <wp:inline distT="0" distB="0" distL="0" distR="0">
            <wp:extent cx="4595495" cy="2296160"/>
            <wp:effectExtent l="5080" t="4445" r="952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1"/>
        <w:jc w:val="center"/>
        <w:textAlignment w:val="auto"/>
        <w:rPr>
          <w:rFonts w:ascii="仿宋_GB2312" w:eastAsia="仿宋_GB2312" w:cs="仿宋_GB2312"/>
          <w:b/>
          <w:bCs/>
          <w:color w:val="auto"/>
          <w:sz w:val="28"/>
          <w:szCs w:val="28"/>
        </w:rPr>
      </w:pPr>
      <w:r>
        <w:rPr>
          <w:rFonts w:hint="eastAsia" w:ascii="仿宋_GB2312" w:eastAsia="仿宋_GB2312" w:cs="仿宋_GB2312"/>
          <w:b/>
          <w:bCs/>
          <w:color w:val="auto"/>
          <w:sz w:val="28"/>
          <w:szCs w:val="28"/>
        </w:rPr>
        <w:t>图3</w:t>
      </w:r>
    </w:p>
    <w:p>
      <w:pPr>
        <w:pStyle w:val="35"/>
        <w:keepNext w:val="0"/>
        <w:keepLines w:val="0"/>
        <w:pageBreakBefore w:val="0"/>
        <w:widowControl w:val="0"/>
        <w:kinsoku/>
        <w:wordWrap/>
        <w:overflowPunct/>
        <w:topLinePunct w:val="0"/>
        <w:autoSpaceDE/>
        <w:autoSpaceDN/>
        <w:bidi w:val="0"/>
        <w:adjustRightInd/>
        <w:snapToGrid/>
        <w:spacing w:line="576" w:lineRule="exact"/>
        <w:ind w:left="640" w:firstLine="0" w:firstLineChars="0"/>
        <w:textAlignment w:val="auto"/>
        <w:outlineLvl w:val="1"/>
        <w:rPr>
          <w:rFonts w:ascii="黑体" w:eastAsia="黑体"/>
          <w:color w:val="auto"/>
          <w:sz w:val="32"/>
          <w:szCs w:val="32"/>
        </w:rPr>
      </w:pPr>
      <w:bookmarkStart w:id="46" w:name="_Toc15377208"/>
      <w:bookmarkStart w:id="47" w:name="_Toc15396606"/>
      <w:bookmarkStart w:id="48" w:name="_Toc79163613"/>
      <w:bookmarkStart w:id="49" w:name="_Toc79163863"/>
      <w:bookmarkStart w:id="50" w:name="_Toc710"/>
      <w:r>
        <w:rPr>
          <w:rFonts w:hint="eastAsia" w:ascii="黑体" w:eastAsia="黑体"/>
          <w:color w:val="auto"/>
          <w:sz w:val="32"/>
          <w:szCs w:val="32"/>
        </w:rPr>
        <w:t>四、财政拨款收入支出决算总体情况说明</w:t>
      </w:r>
      <w:bookmarkEnd w:id="46"/>
      <w:bookmarkEnd w:id="47"/>
      <w:bookmarkEnd w:id="48"/>
      <w:bookmarkEnd w:id="49"/>
      <w:bookmarkEnd w:id="50"/>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年度财政拨款收入总计</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万元。与202</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lang w:val="zh-CN"/>
        </w:rPr>
        <w:t>年相比，财政拨款收入总计减少</w:t>
      </w:r>
      <w:r>
        <w:rPr>
          <w:rFonts w:hint="eastAsia" w:ascii="仿宋_GB2312" w:eastAsia="仿宋_GB2312" w:cs="仿宋_GB2312"/>
          <w:bCs/>
          <w:color w:val="auto"/>
          <w:kern w:val="0"/>
          <w:sz w:val="32"/>
          <w:szCs w:val="32"/>
          <w:lang w:val="en-US" w:eastAsia="zh-CN"/>
        </w:rPr>
        <w:t>2.83</w:t>
      </w:r>
      <w:r>
        <w:rPr>
          <w:rFonts w:hint="eastAsia" w:ascii="仿宋_GB2312" w:eastAsia="仿宋_GB2312" w:cs="仿宋_GB2312"/>
          <w:bCs/>
          <w:color w:val="auto"/>
          <w:kern w:val="0"/>
          <w:sz w:val="32"/>
          <w:szCs w:val="32"/>
          <w:lang w:val="zh-CN"/>
        </w:rPr>
        <w:t>万元，降低</w:t>
      </w:r>
      <w:r>
        <w:rPr>
          <w:rFonts w:hint="eastAsia" w:ascii="仿宋_GB2312" w:eastAsia="仿宋_GB2312" w:cs="仿宋_GB2312"/>
          <w:bCs/>
          <w:color w:val="auto"/>
          <w:kern w:val="0"/>
          <w:sz w:val="32"/>
          <w:szCs w:val="32"/>
          <w:lang w:val="en-US" w:eastAsia="zh-CN"/>
        </w:rPr>
        <w:t>5.31</w:t>
      </w:r>
      <w:r>
        <w:rPr>
          <w:rFonts w:hint="eastAsia" w:ascii="仿宋_GB2312" w:eastAsia="仿宋_GB2312" w:cs="仿宋_GB2312"/>
          <w:bCs/>
          <w:color w:val="auto"/>
          <w:kern w:val="0"/>
          <w:sz w:val="32"/>
          <w:szCs w:val="32"/>
          <w:lang w:val="zh-CN"/>
        </w:rPr>
        <w:t>%。主要变动原因是“三公”经费减少，开源节流。202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年度财政拨款支出总计</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万元。与202</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lang w:val="zh-CN"/>
        </w:rPr>
        <w:t>年相比，财政拨款支出总计减少</w:t>
      </w:r>
      <w:r>
        <w:rPr>
          <w:rFonts w:hint="eastAsia" w:ascii="仿宋_GB2312" w:eastAsia="仿宋_GB2312" w:cs="仿宋_GB2312"/>
          <w:bCs/>
          <w:color w:val="auto"/>
          <w:kern w:val="0"/>
          <w:sz w:val="32"/>
          <w:szCs w:val="32"/>
          <w:lang w:val="en-US" w:eastAsia="zh-CN"/>
        </w:rPr>
        <w:t>2.83</w:t>
      </w:r>
      <w:r>
        <w:rPr>
          <w:rFonts w:hint="eastAsia" w:ascii="仿宋_GB2312" w:eastAsia="仿宋_GB2312" w:cs="仿宋_GB2312"/>
          <w:bCs/>
          <w:color w:val="auto"/>
          <w:kern w:val="0"/>
          <w:sz w:val="32"/>
          <w:szCs w:val="32"/>
          <w:lang w:val="zh-CN"/>
        </w:rPr>
        <w:t>万元，降低</w:t>
      </w:r>
      <w:r>
        <w:rPr>
          <w:rFonts w:hint="eastAsia" w:ascii="仿宋_GB2312" w:eastAsia="仿宋_GB2312" w:cs="仿宋_GB2312"/>
          <w:bCs/>
          <w:color w:val="auto"/>
          <w:kern w:val="0"/>
          <w:sz w:val="32"/>
          <w:szCs w:val="32"/>
          <w:lang w:val="en-US" w:eastAsia="zh-CN"/>
        </w:rPr>
        <w:t>5.31</w:t>
      </w:r>
      <w:r>
        <w:rPr>
          <w:rFonts w:hint="eastAsia" w:ascii="仿宋_GB2312" w:eastAsia="仿宋_GB2312" w:cs="仿宋_GB2312"/>
          <w:bCs/>
          <w:color w:val="auto"/>
          <w:kern w:val="0"/>
          <w:sz w:val="32"/>
          <w:szCs w:val="32"/>
          <w:lang w:val="zh-CN"/>
        </w:rPr>
        <w:t>%。主要变动原因是“三公”经费减少，开源节流。（图4：财政拨款收、支决算总计变动情况）（单位：万元）</w:t>
      </w:r>
    </w:p>
    <w:p>
      <w:pPr>
        <w:pStyle w:val="3"/>
        <w:spacing w:before="0" w:after="0" w:line="240" w:lineRule="auto"/>
        <w:outlineLvl w:val="9"/>
        <w:rPr>
          <w:rFonts w:hint="eastAsia" w:eastAsia="宋体"/>
          <w:color w:val="auto"/>
          <w:lang w:eastAsia="zh-CN"/>
        </w:rPr>
      </w:pPr>
      <w:r>
        <w:rPr>
          <w:rFonts w:hint="eastAsia" w:eastAsia="宋体"/>
          <w:color w:val="auto"/>
          <w:lang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default"/>
          <w:b/>
          <w:bCs/>
          <w:sz w:val="24"/>
          <w:szCs w:val="32"/>
          <w:lang w:val="en-US" w:eastAsia="zh-CN"/>
        </w:rPr>
      </w:pPr>
      <w:r>
        <w:rPr>
          <w:rFonts w:hint="eastAsia"/>
          <w:b/>
          <w:bCs/>
          <w:color w:val="auto"/>
          <w:sz w:val="24"/>
          <w:szCs w:val="32"/>
          <w:lang w:eastAsia="zh-CN"/>
        </w:rPr>
        <w:t>图</w:t>
      </w:r>
      <w:r>
        <w:rPr>
          <w:rFonts w:hint="eastAsia"/>
          <w:b/>
          <w:bCs/>
          <w:color w:val="auto"/>
          <w:sz w:val="24"/>
          <w:szCs w:val="32"/>
          <w:lang w:val="en-US" w:eastAsia="zh-CN"/>
        </w:rPr>
        <w:t>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0"/>
          <w:rFonts w:ascii="黑体" w:eastAsia="黑体"/>
          <w:b w:val="0"/>
          <w:color w:val="auto"/>
        </w:rPr>
      </w:pPr>
      <w:bookmarkStart w:id="51" w:name="_Toc15396607"/>
      <w:bookmarkStart w:id="52" w:name="_Toc79163614"/>
      <w:bookmarkStart w:id="53" w:name="_Toc79163864"/>
      <w:bookmarkStart w:id="54" w:name="_Toc393"/>
      <w:bookmarkStart w:id="55" w:name="_Toc15377209"/>
      <w:r>
        <w:rPr>
          <w:rFonts w:hint="eastAsia" w:ascii="黑体" w:eastAsia="黑体"/>
          <w:color w:val="auto"/>
          <w:sz w:val="32"/>
          <w:szCs w:val="32"/>
        </w:rPr>
        <w:t>五、</w:t>
      </w:r>
      <w:r>
        <w:rPr>
          <w:rFonts w:hint="eastAsia" w:ascii="黑体" w:eastAsia="黑体"/>
          <w:bCs/>
          <w:color w:val="auto"/>
          <w:sz w:val="32"/>
          <w:szCs w:val="32"/>
        </w:rPr>
        <w:t>一</w:t>
      </w:r>
      <w:r>
        <w:rPr>
          <w:rStyle w:val="30"/>
          <w:rFonts w:hint="eastAsia" w:ascii="黑体" w:eastAsia="黑体"/>
          <w:b w:val="0"/>
          <w:color w:val="auto"/>
        </w:rPr>
        <w:t>般公共预算财政拨款支出决算情况说明</w:t>
      </w:r>
      <w:bookmarkEnd w:id="51"/>
      <w:bookmarkEnd w:id="52"/>
      <w:bookmarkEnd w:id="53"/>
      <w:bookmarkEnd w:id="54"/>
      <w:bookmarkEnd w:id="55"/>
      <w:bookmarkStart w:id="56" w:name="_Toc79163615"/>
      <w:bookmarkStart w:id="57" w:name="_Toc15377210"/>
      <w:bookmarkStart w:id="58" w:name="_Toc79163865"/>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楷体_GB2312" w:eastAsia="楷体_GB2312" w:cs="楷体_GB2312"/>
          <w:b/>
          <w:color w:val="auto"/>
          <w:sz w:val="32"/>
          <w:szCs w:val="32"/>
        </w:rPr>
      </w:pPr>
      <w:bookmarkStart w:id="59" w:name="_Toc15721"/>
      <w:r>
        <w:rPr>
          <w:rFonts w:hint="eastAsia" w:ascii="楷体_GB2312" w:eastAsia="楷体_GB2312" w:cs="楷体_GB2312"/>
          <w:b/>
          <w:color w:val="auto"/>
          <w:sz w:val="32"/>
          <w:szCs w:val="32"/>
        </w:rPr>
        <w:t>（一）一般公共预算财政拨款支出决算总体情况</w:t>
      </w:r>
      <w:bookmarkEnd w:id="56"/>
      <w:bookmarkEnd w:id="57"/>
      <w:bookmarkEnd w:id="58"/>
      <w:bookmarkEnd w:id="59"/>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年一般公共预算财政拨款支出</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万元，占本年支出合计的100%。与202</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lang w:val="zh-CN"/>
        </w:rPr>
        <w:t>年相比，一般公共预算财政拨款减少</w:t>
      </w:r>
      <w:r>
        <w:rPr>
          <w:rFonts w:hint="eastAsia" w:ascii="仿宋_GB2312" w:eastAsia="仿宋_GB2312" w:cs="仿宋_GB2312"/>
          <w:bCs/>
          <w:color w:val="auto"/>
          <w:kern w:val="0"/>
          <w:sz w:val="32"/>
          <w:szCs w:val="32"/>
          <w:lang w:val="en-US" w:eastAsia="zh-CN"/>
        </w:rPr>
        <w:t>2.83</w:t>
      </w:r>
      <w:r>
        <w:rPr>
          <w:rFonts w:hint="eastAsia" w:ascii="仿宋_GB2312" w:eastAsia="仿宋_GB2312" w:cs="仿宋_GB2312"/>
          <w:bCs/>
          <w:color w:val="auto"/>
          <w:kern w:val="0"/>
          <w:sz w:val="32"/>
          <w:szCs w:val="32"/>
          <w:lang w:val="zh-CN"/>
        </w:rPr>
        <w:t>万元，降低</w:t>
      </w:r>
      <w:r>
        <w:rPr>
          <w:rFonts w:hint="eastAsia" w:ascii="仿宋_GB2312" w:eastAsia="仿宋_GB2312" w:cs="仿宋_GB2312"/>
          <w:bCs/>
          <w:color w:val="auto"/>
          <w:kern w:val="0"/>
          <w:sz w:val="32"/>
          <w:szCs w:val="32"/>
          <w:lang w:val="en-US" w:eastAsia="zh-CN"/>
        </w:rPr>
        <w:t>5.31</w:t>
      </w:r>
      <w:r>
        <w:rPr>
          <w:rFonts w:hint="eastAsia" w:ascii="仿宋_GB2312" w:eastAsia="仿宋_GB2312" w:cs="仿宋_GB2312"/>
          <w:bCs/>
          <w:color w:val="auto"/>
          <w:kern w:val="0"/>
          <w:sz w:val="32"/>
          <w:szCs w:val="32"/>
          <w:lang w:val="zh-CN"/>
        </w:rPr>
        <w:t>%。主要变动原因是“三公”经费减少，开源节流。（图5：一般公共预算财政拨款支出决算变动情况）（单位：万元）</w:t>
      </w:r>
    </w:p>
    <w:p>
      <w:pPr>
        <w:pStyle w:val="3"/>
        <w:spacing w:before="0" w:after="0" w:line="240" w:lineRule="auto"/>
        <w:outlineLvl w:val="9"/>
        <w:rPr>
          <w:rFonts w:hint="eastAsia" w:eastAsia="宋体"/>
          <w:color w:val="auto"/>
          <w:lang w:eastAsia="zh-CN"/>
        </w:rPr>
      </w:pPr>
      <w:r>
        <w:rPr>
          <w:rFonts w:hint="eastAsia"/>
          <w:color w:val="auto"/>
          <w:sz w:val="6"/>
          <w:szCs w:val="6"/>
        </w:rPr>
        <w:t xml:space="preserve">  </w:t>
      </w:r>
      <w:r>
        <w:rPr>
          <w:rFonts w:hint="eastAsia" w:eastAsia="宋体"/>
          <w:color w:val="auto"/>
          <w:lang w:eastAsia="zh-CN"/>
        </w:rPr>
        <w:drawing>
          <wp:inline distT="0" distB="0" distL="114300" distR="114300">
            <wp:extent cx="5189855" cy="2817495"/>
            <wp:effectExtent l="4445" t="4445" r="6350" b="165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hint="default"/>
          <w:b/>
          <w:bCs/>
          <w:sz w:val="24"/>
          <w:szCs w:val="32"/>
          <w:lang w:val="en-US" w:eastAsia="zh-CN"/>
        </w:rPr>
      </w:pPr>
      <w:r>
        <w:rPr>
          <w:rFonts w:hint="eastAsia"/>
          <w:b/>
          <w:bCs/>
          <w:color w:val="auto"/>
          <w:sz w:val="24"/>
          <w:szCs w:val="32"/>
          <w:lang w:eastAsia="zh-CN"/>
        </w:rPr>
        <w:t>图</w:t>
      </w:r>
      <w:r>
        <w:rPr>
          <w:rFonts w:hint="eastAsia"/>
          <w:b/>
          <w:bCs/>
          <w:color w:val="auto"/>
          <w:sz w:val="24"/>
          <w:szCs w:val="32"/>
          <w:lang w:val="en-US" w:eastAsia="zh-CN"/>
        </w:rPr>
        <w:t>5</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楷体_GB2312" w:eastAsia="楷体_GB2312" w:cs="楷体_GB2312"/>
          <w:b/>
          <w:color w:val="auto"/>
          <w:sz w:val="32"/>
          <w:szCs w:val="32"/>
        </w:rPr>
      </w:pPr>
      <w:bookmarkStart w:id="60" w:name="_Toc2366"/>
      <w:bookmarkStart w:id="61" w:name="_Toc79163866"/>
      <w:bookmarkStart w:id="62" w:name="_Toc79163616"/>
      <w:bookmarkStart w:id="63" w:name="_Toc15377211"/>
      <w:r>
        <w:rPr>
          <w:rFonts w:hint="eastAsia" w:ascii="楷体_GB2312" w:eastAsia="楷体_GB2312" w:cs="楷体_GB2312"/>
          <w:b/>
          <w:color w:val="auto"/>
          <w:sz w:val="32"/>
          <w:szCs w:val="32"/>
        </w:rPr>
        <w:t>（二）一般公共预算财政拨款支出决算结构情况</w:t>
      </w:r>
      <w:bookmarkEnd w:id="60"/>
      <w:bookmarkEnd w:id="61"/>
      <w:bookmarkEnd w:id="62"/>
      <w:bookmarkEnd w:id="63"/>
    </w:p>
    <w:p>
      <w:pPr>
        <w:spacing w:line="576" w:lineRule="exact"/>
        <w:ind w:firstLine="640"/>
        <w:rPr>
          <w:rFonts w:ascii="仿宋_GB2312" w:eastAsia="仿宋_GB2312" w:cs="仿宋_GB2312"/>
          <w:color w:val="auto"/>
          <w:sz w:val="32"/>
          <w:szCs w:val="32"/>
        </w:rPr>
      </w:pPr>
      <w:r>
        <w:rPr>
          <w:rFonts w:hint="eastAsia" w:ascii="仿宋_GB2312" w:eastAsia="仿宋_GB2312" w:cs="仿宋_GB2312"/>
          <w:b/>
          <w:color w:val="auto"/>
          <w:sz w:val="32"/>
          <w:szCs w:val="32"/>
        </w:rPr>
        <w:t>202</w:t>
      </w:r>
      <w:r>
        <w:rPr>
          <w:rFonts w:hint="eastAsia" w:ascii="仿宋_GB2312" w:eastAsia="仿宋_GB2312" w:cs="仿宋_GB2312"/>
          <w:b/>
          <w:color w:val="auto"/>
          <w:sz w:val="32"/>
          <w:szCs w:val="32"/>
          <w:lang w:val="en-US" w:eastAsia="zh-CN"/>
        </w:rPr>
        <w:t>3</w:t>
      </w:r>
      <w:r>
        <w:rPr>
          <w:rFonts w:hint="eastAsia" w:ascii="仿宋_GB2312" w:eastAsia="仿宋_GB2312" w:cs="仿宋_GB2312"/>
          <w:b/>
          <w:color w:val="auto"/>
          <w:sz w:val="32"/>
          <w:szCs w:val="32"/>
        </w:rPr>
        <w:t>年一般公共预算财政拨款支出</w:t>
      </w:r>
      <w:r>
        <w:rPr>
          <w:rFonts w:hint="eastAsia" w:ascii="仿宋_GB2312" w:eastAsia="仿宋_GB2312" w:cs="仿宋_GB2312"/>
          <w:color w:val="auto"/>
          <w:sz w:val="32"/>
          <w:szCs w:val="32"/>
        </w:rPr>
        <w:t>5</w:t>
      </w:r>
      <w:r>
        <w:rPr>
          <w:rFonts w:hint="eastAsia" w:ascii="仿宋_GB2312" w:eastAsia="仿宋_GB2312" w:cs="仿宋_GB2312"/>
          <w:color w:val="auto"/>
          <w:sz w:val="32"/>
          <w:szCs w:val="32"/>
          <w:lang w:val="en-US" w:eastAsia="zh-CN"/>
        </w:rPr>
        <w:t>0.50</w:t>
      </w:r>
      <w:r>
        <w:rPr>
          <w:rFonts w:hint="eastAsia" w:ascii="仿宋_GB2312" w:eastAsia="仿宋_GB2312" w:cs="仿宋_GB2312"/>
          <w:color w:val="auto"/>
          <w:sz w:val="32"/>
          <w:szCs w:val="32"/>
        </w:rPr>
        <w:t>万元，主要用于以下方面:</w:t>
      </w:r>
      <w:r>
        <w:rPr>
          <w:rFonts w:hint="eastAsia" w:ascii="仿宋_GB2312" w:eastAsia="仿宋_GB2312" w:cs="仿宋_GB2312"/>
          <w:b/>
          <w:color w:val="auto"/>
          <w:sz w:val="32"/>
          <w:szCs w:val="32"/>
        </w:rPr>
        <w:t>一般公共服务</w:t>
      </w:r>
      <w:r>
        <w:rPr>
          <w:rFonts w:ascii="仿宋_GB2312" w:eastAsia="仿宋_GB2312" w:cs="仿宋_GB2312"/>
          <w:b/>
          <w:color w:val="auto"/>
          <w:sz w:val="32"/>
          <w:szCs w:val="32"/>
        </w:rPr>
        <w:t>支出</w:t>
      </w:r>
      <w:r>
        <w:rPr>
          <w:rFonts w:hint="eastAsia" w:ascii="仿宋_GB2312" w:eastAsia="仿宋_GB2312" w:cs="仿宋_GB2312"/>
          <w:b/>
          <w:color w:val="auto"/>
          <w:sz w:val="32"/>
          <w:szCs w:val="32"/>
        </w:rPr>
        <w:t>（201）</w:t>
      </w:r>
      <w:r>
        <w:rPr>
          <w:rFonts w:hint="eastAsia" w:ascii="仿宋_GB2312" w:eastAsia="仿宋_GB2312" w:cs="仿宋_GB2312"/>
          <w:color w:val="auto"/>
          <w:sz w:val="32"/>
          <w:szCs w:val="32"/>
        </w:rPr>
        <w:t>支出</w:t>
      </w:r>
      <w:r>
        <w:rPr>
          <w:rFonts w:hint="eastAsia" w:ascii="仿宋_GB2312" w:eastAsia="仿宋_GB2312" w:cs="仿宋_GB2312"/>
          <w:color w:val="auto"/>
          <w:sz w:val="32"/>
          <w:szCs w:val="32"/>
          <w:lang w:val="en-US" w:eastAsia="zh-CN"/>
        </w:rPr>
        <w:t>36.92</w:t>
      </w:r>
      <w:r>
        <w:rPr>
          <w:rFonts w:hint="eastAsia" w:ascii="仿宋_GB2312" w:eastAsia="仿宋_GB2312" w:cs="仿宋_GB2312"/>
          <w:color w:val="auto"/>
          <w:sz w:val="32"/>
          <w:szCs w:val="32"/>
        </w:rPr>
        <w:t>万元，占7</w:t>
      </w:r>
      <w:r>
        <w:rPr>
          <w:rFonts w:hint="eastAsia" w:ascii="仿宋_GB2312" w:eastAsia="仿宋_GB2312" w:cs="仿宋_GB2312"/>
          <w:color w:val="auto"/>
          <w:sz w:val="32"/>
          <w:szCs w:val="32"/>
          <w:lang w:val="en-US" w:eastAsia="zh-CN"/>
        </w:rPr>
        <w:t>3.11</w:t>
      </w:r>
      <w:r>
        <w:rPr>
          <w:rFonts w:hint="eastAsia" w:ascii="仿宋_GB2312" w:eastAsia="仿宋_GB2312" w:cs="仿宋_GB2312"/>
          <w:color w:val="auto"/>
          <w:sz w:val="32"/>
          <w:szCs w:val="32"/>
        </w:rPr>
        <w:t>%；</w:t>
      </w:r>
      <w:r>
        <w:rPr>
          <w:rFonts w:hint="eastAsia" w:ascii="仿宋_GB2312" w:eastAsia="仿宋_GB2312" w:cs="仿宋_GB2312"/>
          <w:b/>
          <w:color w:val="auto"/>
          <w:sz w:val="32"/>
          <w:szCs w:val="32"/>
        </w:rPr>
        <w:t>社会保障和就业</w:t>
      </w:r>
      <w:r>
        <w:rPr>
          <w:rFonts w:ascii="仿宋_GB2312" w:eastAsia="仿宋_GB2312" w:cs="仿宋_GB2312"/>
          <w:b/>
          <w:color w:val="auto"/>
          <w:sz w:val="32"/>
          <w:szCs w:val="32"/>
        </w:rPr>
        <w:t>支出</w:t>
      </w:r>
      <w:r>
        <w:rPr>
          <w:rFonts w:hint="eastAsia" w:ascii="仿宋_GB2312" w:eastAsia="仿宋_GB2312" w:cs="仿宋_GB2312"/>
          <w:b/>
          <w:color w:val="auto"/>
          <w:sz w:val="32"/>
          <w:szCs w:val="32"/>
        </w:rPr>
        <w:t>（208）</w:t>
      </w:r>
      <w:r>
        <w:rPr>
          <w:rFonts w:hint="eastAsia" w:ascii="仿宋_GB2312" w:eastAsia="仿宋_GB2312" w:cs="仿宋_GB2312"/>
          <w:color w:val="auto"/>
          <w:sz w:val="32"/>
          <w:szCs w:val="32"/>
        </w:rPr>
        <w:t>支出</w:t>
      </w:r>
      <w:r>
        <w:rPr>
          <w:rFonts w:hint="eastAsia" w:ascii="仿宋_GB2312" w:eastAsia="仿宋_GB2312" w:cs="仿宋_GB2312"/>
          <w:color w:val="auto"/>
          <w:sz w:val="32"/>
          <w:szCs w:val="32"/>
          <w:lang w:val="en-US" w:eastAsia="zh-CN"/>
        </w:rPr>
        <w:t>7.15</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14.16</w:t>
      </w:r>
      <w:r>
        <w:rPr>
          <w:rFonts w:hint="eastAsia" w:ascii="仿宋_GB2312" w:eastAsia="仿宋_GB2312" w:cs="仿宋_GB2312"/>
          <w:color w:val="auto"/>
          <w:sz w:val="32"/>
          <w:szCs w:val="32"/>
        </w:rPr>
        <w:t>%；</w:t>
      </w:r>
      <w:r>
        <w:rPr>
          <w:rFonts w:hint="eastAsia" w:ascii="仿宋_GB2312" w:eastAsia="仿宋_GB2312" w:cs="仿宋_GB2312"/>
          <w:b/>
          <w:bCs/>
          <w:color w:val="auto"/>
          <w:sz w:val="32"/>
          <w:szCs w:val="32"/>
        </w:rPr>
        <w:t>卫生健康支出（210）</w:t>
      </w:r>
      <w:r>
        <w:rPr>
          <w:rFonts w:hint="eastAsia" w:ascii="仿宋_GB2312" w:eastAsia="仿宋_GB2312" w:cs="仿宋_GB2312"/>
          <w:color w:val="auto"/>
          <w:sz w:val="32"/>
          <w:szCs w:val="32"/>
          <w:lang w:val="en-US" w:eastAsia="zh-CN"/>
        </w:rPr>
        <w:t>2.73</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5.41</w:t>
      </w:r>
      <w:r>
        <w:rPr>
          <w:rFonts w:hint="eastAsia" w:ascii="仿宋_GB2312" w:eastAsia="仿宋_GB2312" w:cs="仿宋_GB2312"/>
          <w:color w:val="auto"/>
          <w:sz w:val="32"/>
          <w:szCs w:val="32"/>
        </w:rPr>
        <w:t>%；</w:t>
      </w:r>
      <w:r>
        <w:rPr>
          <w:rFonts w:hint="eastAsia" w:ascii="仿宋_GB2312" w:eastAsia="仿宋_GB2312" w:cs="仿宋_GB2312"/>
          <w:b/>
          <w:bCs/>
          <w:color w:val="auto"/>
          <w:sz w:val="32"/>
          <w:szCs w:val="32"/>
        </w:rPr>
        <w:t>住房保障支出（221）</w:t>
      </w:r>
      <w:r>
        <w:rPr>
          <w:rFonts w:hint="eastAsia" w:ascii="仿宋_GB2312" w:eastAsia="仿宋_GB2312" w:cs="仿宋_GB2312"/>
          <w:color w:val="auto"/>
          <w:sz w:val="32"/>
          <w:szCs w:val="32"/>
        </w:rPr>
        <w:t>3.</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7.32</w:t>
      </w:r>
      <w:r>
        <w:rPr>
          <w:rFonts w:hint="eastAsia" w:ascii="仿宋_GB2312" w:eastAsia="仿宋_GB2312" w:cs="仿宋_GB2312"/>
          <w:color w:val="auto"/>
          <w:sz w:val="32"/>
          <w:szCs w:val="32"/>
        </w:rPr>
        <w:t>%。</w:t>
      </w:r>
      <w:r>
        <w:rPr>
          <w:rFonts w:hint="eastAsia" w:ascii="仿宋_GB2312" w:eastAsia="仿宋_GB2312" w:cs="仿宋_GB2312"/>
          <w:bCs/>
          <w:color w:val="auto"/>
          <w:kern w:val="0"/>
          <w:sz w:val="32"/>
          <w:szCs w:val="32"/>
          <w:lang w:val="zh-CN"/>
        </w:rPr>
        <w:t>（图6：一般公共预算财政拨款支出决算结构）（单位：万元）</w:t>
      </w:r>
    </w:p>
    <w:p>
      <w:pPr>
        <w:ind w:firstLine="640" w:firstLineChars="200"/>
        <w:rPr>
          <w:rFonts w:hint="eastAsia" w:ascii="仿宋" w:eastAsia="仿宋"/>
          <w:color w:val="auto"/>
          <w:sz w:val="32"/>
          <w:szCs w:val="32"/>
          <w:lang w:eastAsia="zh-CN"/>
        </w:rPr>
      </w:pPr>
      <w:r>
        <w:rPr>
          <w:rFonts w:hint="eastAsia" w:ascii="仿宋" w:eastAsia="仿宋"/>
          <w:color w:val="auto"/>
          <w:sz w:val="32"/>
          <w:szCs w:val="32"/>
          <w:lang w:eastAsia="zh-CN"/>
        </w:rPr>
        <w:drawing>
          <wp:inline distT="0" distB="0" distL="114300" distR="114300">
            <wp:extent cx="4866005" cy="2693035"/>
            <wp:effectExtent l="4445" t="5080" r="6350"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ind w:left="0" w:leftChars="0" w:firstLine="0" w:firstLineChars="0"/>
        <w:jc w:val="center"/>
        <w:rPr>
          <w:rFonts w:hint="default" w:eastAsia="仿宋"/>
          <w:b/>
          <w:bCs/>
          <w:sz w:val="20"/>
          <w:szCs w:val="22"/>
          <w:lang w:val="en-US" w:eastAsia="zh-CN"/>
        </w:rPr>
      </w:pPr>
      <w:r>
        <w:rPr>
          <w:rFonts w:hint="eastAsia" w:ascii="仿宋" w:eastAsia="仿宋"/>
          <w:b/>
          <w:bCs/>
          <w:color w:val="auto"/>
          <w:sz w:val="28"/>
          <w:szCs w:val="28"/>
          <w:lang w:eastAsia="zh-CN"/>
        </w:rPr>
        <w:t>图</w:t>
      </w:r>
      <w:r>
        <w:rPr>
          <w:rFonts w:hint="eastAsia" w:ascii="仿宋" w:eastAsia="仿宋"/>
          <w:b/>
          <w:bCs/>
          <w:color w:val="auto"/>
          <w:sz w:val="28"/>
          <w:szCs w:val="28"/>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楷体_GB2312" w:eastAsia="楷体_GB2312" w:cs="楷体_GB2312"/>
          <w:b/>
          <w:color w:val="auto"/>
          <w:sz w:val="32"/>
          <w:szCs w:val="32"/>
        </w:rPr>
      </w:pPr>
      <w:bookmarkStart w:id="64" w:name="_Toc79163617"/>
      <w:bookmarkStart w:id="65" w:name="_Toc15377212"/>
      <w:bookmarkStart w:id="66" w:name="_Toc28563"/>
      <w:bookmarkStart w:id="67" w:name="_Toc79163867"/>
      <w:r>
        <w:rPr>
          <w:rFonts w:hint="eastAsia" w:ascii="楷体_GB2312" w:eastAsia="楷体_GB2312" w:cs="楷体_GB2312"/>
          <w:b/>
          <w:color w:val="auto"/>
          <w:sz w:val="32"/>
          <w:szCs w:val="32"/>
        </w:rPr>
        <w:t>（三）一般公共预算财政拨款支出决算具体情况</w:t>
      </w:r>
      <w:bookmarkEnd w:id="64"/>
      <w:bookmarkEnd w:id="65"/>
      <w:bookmarkEnd w:id="66"/>
      <w:bookmarkEnd w:id="67"/>
    </w:p>
    <w:p>
      <w:pPr>
        <w:keepNext w:val="0"/>
        <w:keepLines w:val="0"/>
        <w:pageBreakBefore w:val="0"/>
        <w:kinsoku/>
        <w:wordWrap/>
        <w:overflowPunct/>
        <w:topLinePunct w:val="0"/>
        <w:autoSpaceDE/>
        <w:autoSpaceDN/>
        <w:bidi w:val="0"/>
        <w:spacing w:line="576" w:lineRule="exact"/>
        <w:ind w:firstLine="643" w:firstLineChars="200"/>
        <w:textAlignment w:val="auto"/>
        <w:outlineLvl w:val="9"/>
        <w:rPr>
          <w:rFonts w:ascii="仿宋_GB2312" w:eastAsia="仿宋_GB2312" w:cs="仿宋_GB2312"/>
          <w:color w:val="auto"/>
          <w:sz w:val="32"/>
          <w:szCs w:val="32"/>
        </w:rPr>
      </w:pPr>
      <w:r>
        <w:rPr>
          <w:rFonts w:hint="eastAsia" w:ascii="仿宋_GB2312" w:eastAsia="仿宋_GB2312" w:cs="仿宋_GB2312"/>
          <w:b/>
          <w:color w:val="auto"/>
          <w:sz w:val="32"/>
          <w:szCs w:val="32"/>
        </w:rPr>
        <w:t>202</w:t>
      </w:r>
      <w:r>
        <w:rPr>
          <w:rFonts w:hint="eastAsia" w:ascii="仿宋_GB2312" w:eastAsia="仿宋_GB2312" w:cs="仿宋_GB2312"/>
          <w:b/>
          <w:color w:val="auto"/>
          <w:sz w:val="32"/>
          <w:szCs w:val="32"/>
          <w:lang w:val="en-US" w:eastAsia="zh-CN"/>
        </w:rPr>
        <w:t>3</w:t>
      </w:r>
      <w:r>
        <w:rPr>
          <w:rFonts w:hint="eastAsia" w:ascii="仿宋_GB2312" w:eastAsia="仿宋_GB2312" w:cs="仿宋_GB2312"/>
          <w:b/>
          <w:color w:val="auto"/>
          <w:sz w:val="32"/>
          <w:szCs w:val="32"/>
        </w:rPr>
        <w:t>年般公共预算支出决算数为</w:t>
      </w:r>
      <w:r>
        <w:rPr>
          <w:rFonts w:hint="eastAsia" w:ascii="仿宋_GB2312" w:eastAsia="仿宋_GB2312" w:cs="仿宋_GB2312"/>
          <w:b/>
          <w:color w:val="auto"/>
          <w:sz w:val="32"/>
          <w:szCs w:val="32"/>
          <w:lang w:val="en-US" w:eastAsia="zh-CN"/>
        </w:rPr>
        <w:t>50.50</w:t>
      </w:r>
      <w:r>
        <w:rPr>
          <w:rFonts w:hint="eastAsia" w:ascii="仿宋_GB2312" w:eastAsia="仿宋_GB2312" w:cs="仿宋_GB2312"/>
          <w:b/>
          <w:color w:val="auto"/>
          <w:sz w:val="32"/>
          <w:szCs w:val="32"/>
        </w:rPr>
        <w:t>万元</w:t>
      </w:r>
      <w:r>
        <w:rPr>
          <w:rFonts w:hint="eastAsia" w:ascii="仿宋_GB2312" w:eastAsia="仿宋_GB2312" w:cs="仿宋_GB2312"/>
          <w:color w:val="auto"/>
          <w:sz w:val="32"/>
          <w:szCs w:val="32"/>
        </w:rPr>
        <w:t>，</w:t>
      </w:r>
      <w:r>
        <w:rPr>
          <w:rStyle w:val="27"/>
          <w:rFonts w:hint="eastAsia" w:ascii="仿宋_GB2312" w:eastAsia="仿宋_GB2312" w:cs="仿宋_GB2312"/>
          <w:bCs/>
          <w:color w:val="auto"/>
          <w:sz w:val="32"/>
          <w:szCs w:val="32"/>
        </w:rPr>
        <w:t>完成预算100%。其中：</w:t>
      </w:r>
    </w:p>
    <w:p>
      <w:pPr>
        <w:keepNext w:val="0"/>
        <w:keepLines w:val="0"/>
        <w:pageBreakBefore w:val="0"/>
        <w:kinsoku/>
        <w:wordWrap/>
        <w:overflowPunct/>
        <w:topLinePunct w:val="0"/>
        <w:autoSpaceDE/>
        <w:autoSpaceDN/>
        <w:bidi w:val="0"/>
        <w:spacing w:line="576" w:lineRule="exact"/>
        <w:ind w:firstLine="643" w:firstLineChars="200"/>
        <w:textAlignment w:val="auto"/>
        <w:outlineLvl w:val="9"/>
        <w:rPr>
          <w:rStyle w:val="27"/>
          <w:rFonts w:ascii="仿宋_GB2312" w:eastAsia="仿宋_GB2312" w:cs="仿宋_GB2312"/>
          <w:b w:val="0"/>
          <w:bCs/>
          <w:color w:val="auto"/>
          <w:sz w:val="32"/>
          <w:szCs w:val="32"/>
        </w:rPr>
      </w:pPr>
      <w:r>
        <w:rPr>
          <w:rStyle w:val="27"/>
          <w:rFonts w:hint="eastAsia" w:ascii="仿宋_GB2312" w:eastAsia="仿宋_GB2312" w:cs="仿宋_GB2312"/>
          <w:bCs/>
          <w:color w:val="auto"/>
          <w:sz w:val="32"/>
          <w:szCs w:val="32"/>
        </w:rPr>
        <w:t>1.一般公共服务（201）群众团体事务（29）事业运行（50）:</w:t>
      </w:r>
      <w:r>
        <w:rPr>
          <w:rStyle w:val="27"/>
          <w:rFonts w:hint="eastAsia" w:ascii="仿宋_GB2312" w:eastAsia="仿宋_GB2312" w:cs="仿宋_GB2312"/>
          <w:b w:val="0"/>
          <w:bCs/>
          <w:color w:val="auto"/>
          <w:sz w:val="32"/>
          <w:szCs w:val="32"/>
        </w:rPr>
        <w:t xml:space="preserve"> 支出决算为</w:t>
      </w:r>
      <w:r>
        <w:rPr>
          <w:rStyle w:val="27"/>
          <w:rFonts w:hint="eastAsia" w:ascii="仿宋_GB2312" w:eastAsia="仿宋_GB2312" w:cs="仿宋_GB2312"/>
          <w:b w:val="0"/>
          <w:bCs/>
          <w:color w:val="auto"/>
          <w:sz w:val="32"/>
          <w:szCs w:val="32"/>
          <w:lang w:val="en-US" w:eastAsia="zh-CN"/>
        </w:rPr>
        <w:t>36.92</w:t>
      </w:r>
      <w:r>
        <w:rPr>
          <w:rStyle w:val="27"/>
          <w:rFonts w:hint="eastAsia" w:ascii="仿宋_GB2312" w:eastAsia="仿宋_GB2312" w:cs="仿宋_GB2312"/>
          <w:b w:val="0"/>
          <w:bCs/>
          <w:color w:val="auto"/>
          <w:sz w:val="32"/>
          <w:szCs w:val="32"/>
        </w:rPr>
        <w:t>万元，完成预算100%</w:t>
      </w:r>
      <w:r>
        <w:rPr>
          <w:rStyle w:val="27"/>
          <w:rFonts w:hint="eastAsia" w:ascii="仿宋_GB2312" w:eastAsia="仿宋_GB2312" w:cs="仿宋_GB2312"/>
          <w:b w:val="0"/>
          <w:bCs/>
          <w:color w:val="auto"/>
          <w:sz w:val="32"/>
          <w:szCs w:val="32"/>
          <w:lang w:eastAsia="zh-CN"/>
        </w:rPr>
        <w:t>，</w:t>
      </w:r>
      <w:r>
        <w:rPr>
          <w:rStyle w:val="27"/>
          <w:rFonts w:hint="eastAsia" w:ascii="仿宋_GB2312" w:eastAsia="仿宋_GB2312" w:cs="仿宋_GB2312"/>
          <w:b w:val="0"/>
          <w:bCs/>
          <w:color w:val="000000"/>
          <w:sz w:val="32"/>
          <w:szCs w:val="32"/>
          <w:lang w:eastAsia="zh-CN"/>
        </w:rPr>
        <w:t>决算数与预算数持平</w:t>
      </w:r>
      <w:r>
        <w:rPr>
          <w:rStyle w:val="27"/>
          <w:rFonts w:hint="eastAsia" w:ascii="仿宋_GB2312" w:eastAsia="仿宋_GB2312" w:cs="仿宋_GB2312"/>
          <w:b w:val="0"/>
          <w:bCs/>
          <w:color w:val="auto"/>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outlineLvl w:val="9"/>
        <w:rPr>
          <w:rStyle w:val="27"/>
          <w:rFonts w:ascii="仿宋_GB2312" w:eastAsia="仿宋_GB2312" w:cs="仿宋_GB2312"/>
          <w:b w:val="0"/>
          <w:bCs/>
          <w:color w:val="auto"/>
          <w:sz w:val="32"/>
          <w:szCs w:val="32"/>
        </w:rPr>
      </w:pPr>
      <w:r>
        <w:rPr>
          <w:rStyle w:val="27"/>
          <w:rFonts w:hint="eastAsia" w:ascii="仿宋_GB2312" w:eastAsia="仿宋_GB2312" w:cs="仿宋_GB2312"/>
          <w:bCs/>
          <w:color w:val="auto"/>
          <w:sz w:val="32"/>
          <w:szCs w:val="32"/>
        </w:rPr>
        <w:t>2.社会保障和就业支出（208）行政事业单位养老支出（05）机关事业单位基本养老保险缴费支出（05）:</w:t>
      </w:r>
      <w:r>
        <w:rPr>
          <w:rStyle w:val="27"/>
          <w:rFonts w:hint="eastAsia" w:ascii="仿宋_GB2312" w:eastAsia="仿宋_GB2312" w:cs="仿宋_GB2312"/>
          <w:b w:val="0"/>
          <w:bCs/>
          <w:color w:val="auto"/>
          <w:sz w:val="32"/>
          <w:szCs w:val="32"/>
        </w:rPr>
        <w:t xml:space="preserve"> 支出决算为</w:t>
      </w:r>
      <w:r>
        <w:rPr>
          <w:rStyle w:val="27"/>
          <w:rFonts w:hint="eastAsia" w:ascii="仿宋_GB2312" w:eastAsia="仿宋_GB2312" w:cs="仿宋_GB2312"/>
          <w:b w:val="0"/>
          <w:bCs/>
          <w:color w:val="auto"/>
          <w:sz w:val="32"/>
          <w:szCs w:val="32"/>
          <w:lang w:val="en-US" w:eastAsia="zh-CN"/>
        </w:rPr>
        <w:t>4.77</w:t>
      </w:r>
      <w:r>
        <w:rPr>
          <w:rStyle w:val="27"/>
          <w:rFonts w:hint="eastAsia" w:ascii="仿宋_GB2312" w:eastAsia="仿宋_GB2312" w:cs="仿宋_GB2312"/>
          <w:b w:val="0"/>
          <w:bCs/>
          <w:color w:val="auto"/>
          <w:sz w:val="32"/>
          <w:szCs w:val="32"/>
        </w:rPr>
        <w:t>万元，完成预算100%</w:t>
      </w:r>
      <w:r>
        <w:rPr>
          <w:rStyle w:val="27"/>
          <w:rFonts w:hint="eastAsia" w:ascii="仿宋_GB2312" w:eastAsia="仿宋_GB2312" w:cs="仿宋_GB2312"/>
          <w:b w:val="0"/>
          <w:bCs/>
          <w:color w:val="auto"/>
          <w:sz w:val="32"/>
          <w:szCs w:val="32"/>
          <w:lang w:eastAsia="zh-CN"/>
        </w:rPr>
        <w:t>，</w:t>
      </w:r>
      <w:r>
        <w:rPr>
          <w:rStyle w:val="27"/>
          <w:rFonts w:hint="eastAsia" w:ascii="仿宋_GB2312" w:eastAsia="仿宋_GB2312" w:cs="仿宋_GB2312"/>
          <w:b w:val="0"/>
          <w:bCs/>
          <w:color w:val="000000"/>
          <w:sz w:val="32"/>
          <w:szCs w:val="32"/>
          <w:lang w:eastAsia="zh-CN"/>
        </w:rPr>
        <w:t>决算数与预算数持平</w:t>
      </w:r>
      <w:r>
        <w:rPr>
          <w:rStyle w:val="27"/>
          <w:rFonts w:hint="eastAsia" w:ascii="仿宋_GB2312" w:eastAsia="仿宋_GB2312" w:cs="仿宋_GB2312"/>
          <w:b w:val="0"/>
          <w:bCs/>
          <w:color w:val="auto"/>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outlineLvl w:val="9"/>
        <w:rPr>
          <w:rFonts w:ascii="仿宋_GB2312" w:eastAsia="仿宋_GB2312" w:cs="仿宋_GB2312"/>
          <w:bCs/>
          <w:color w:val="auto"/>
          <w:sz w:val="32"/>
          <w:szCs w:val="32"/>
        </w:rPr>
      </w:pPr>
      <w:r>
        <w:rPr>
          <w:rStyle w:val="27"/>
          <w:rFonts w:hint="eastAsia" w:ascii="仿宋_GB2312" w:eastAsia="仿宋_GB2312" w:cs="仿宋_GB2312"/>
          <w:bCs/>
          <w:color w:val="auto"/>
          <w:sz w:val="32"/>
          <w:szCs w:val="32"/>
        </w:rPr>
        <w:t>3.社会保障和就业支出（208）行政事业单位养老支出（05）机关事业单位职业年金缴费支出（06）:</w:t>
      </w:r>
      <w:r>
        <w:rPr>
          <w:rStyle w:val="27"/>
          <w:rFonts w:hint="eastAsia" w:ascii="仿宋_GB2312" w:eastAsia="仿宋_GB2312" w:cs="仿宋_GB2312"/>
          <w:b w:val="0"/>
          <w:bCs/>
          <w:color w:val="auto"/>
          <w:sz w:val="32"/>
          <w:szCs w:val="32"/>
        </w:rPr>
        <w:t xml:space="preserve"> 支出决算为</w:t>
      </w:r>
      <w:r>
        <w:rPr>
          <w:rStyle w:val="27"/>
          <w:rFonts w:hint="eastAsia" w:ascii="仿宋_GB2312" w:eastAsia="仿宋_GB2312" w:cs="仿宋_GB2312"/>
          <w:b w:val="0"/>
          <w:bCs/>
          <w:color w:val="auto"/>
          <w:sz w:val="32"/>
          <w:szCs w:val="32"/>
          <w:lang w:val="en-US" w:eastAsia="zh-CN"/>
        </w:rPr>
        <w:t>2.38</w:t>
      </w:r>
      <w:r>
        <w:rPr>
          <w:rStyle w:val="27"/>
          <w:rFonts w:hint="eastAsia" w:ascii="仿宋_GB2312" w:eastAsia="仿宋_GB2312" w:cs="仿宋_GB2312"/>
          <w:b w:val="0"/>
          <w:bCs/>
          <w:color w:val="auto"/>
          <w:sz w:val="32"/>
          <w:szCs w:val="32"/>
        </w:rPr>
        <w:t>万元，完成预算100%</w:t>
      </w:r>
      <w:r>
        <w:rPr>
          <w:rStyle w:val="27"/>
          <w:rFonts w:hint="eastAsia" w:ascii="仿宋_GB2312" w:eastAsia="仿宋_GB2312" w:cs="仿宋_GB2312"/>
          <w:b w:val="0"/>
          <w:bCs/>
          <w:color w:val="auto"/>
          <w:sz w:val="32"/>
          <w:szCs w:val="32"/>
          <w:lang w:eastAsia="zh-CN"/>
        </w:rPr>
        <w:t>，</w:t>
      </w:r>
      <w:r>
        <w:rPr>
          <w:rStyle w:val="27"/>
          <w:rFonts w:hint="eastAsia" w:ascii="仿宋_GB2312" w:eastAsia="仿宋_GB2312" w:cs="仿宋_GB2312"/>
          <w:b w:val="0"/>
          <w:bCs/>
          <w:color w:val="000000"/>
          <w:sz w:val="32"/>
          <w:szCs w:val="32"/>
          <w:lang w:eastAsia="zh-CN"/>
        </w:rPr>
        <w:t>决算数与预算数持平</w:t>
      </w:r>
      <w:r>
        <w:rPr>
          <w:rStyle w:val="27"/>
          <w:rFonts w:hint="eastAsia" w:ascii="仿宋_GB2312" w:eastAsia="仿宋_GB2312" w:cs="仿宋_GB2312"/>
          <w:b w:val="0"/>
          <w:bCs/>
          <w:color w:val="auto"/>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outlineLvl w:val="9"/>
        <w:rPr>
          <w:rStyle w:val="27"/>
          <w:rFonts w:ascii="仿宋_GB2312" w:eastAsia="仿宋_GB2312" w:cs="仿宋_GB2312"/>
          <w:b w:val="0"/>
          <w:bCs/>
          <w:color w:val="auto"/>
          <w:sz w:val="32"/>
          <w:szCs w:val="32"/>
        </w:rPr>
      </w:pPr>
      <w:r>
        <w:rPr>
          <w:rStyle w:val="27"/>
          <w:rFonts w:hint="eastAsia" w:ascii="仿宋_GB2312" w:eastAsia="仿宋_GB2312" w:cs="仿宋_GB2312"/>
          <w:bCs/>
          <w:color w:val="auto"/>
          <w:sz w:val="32"/>
          <w:szCs w:val="32"/>
        </w:rPr>
        <w:t>4.</w:t>
      </w:r>
      <w:r>
        <w:rPr>
          <w:rFonts w:hint="eastAsia" w:ascii="仿宋_GB2312" w:eastAsia="仿宋_GB2312" w:cs="仿宋_GB2312"/>
          <w:b/>
          <w:bCs/>
          <w:color w:val="auto"/>
          <w:sz w:val="32"/>
          <w:szCs w:val="32"/>
        </w:rPr>
        <w:t>卫生健康</w:t>
      </w:r>
      <w:r>
        <w:rPr>
          <w:rStyle w:val="27"/>
          <w:rFonts w:hint="eastAsia" w:ascii="仿宋_GB2312" w:eastAsia="仿宋_GB2312" w:cs="仿宋_GB2312"/>
          <w:bCs/>
          <w:color w:val="auto"/>
          <w:sz w:val="32"/>
          <w:szCs w:val="32"/>
        </w:rPr>
        <w:t>（210）行政事业单位医疗（11）事业单位医疗（02）:</w:t>
      </w:r>
      <w:r>
        <w:rPr>
          <w:rStyle w:val="27"/>
          <w:rFonts w:hint="eastAsia" w:ascii="仿宋_GB2312" w:eastAsia="仿宋_GB2312" w:cs="仿宋_GB2312"/>
          <w:b w:val="0"/>
          <w:bCs/>
          <w:color w:val="auto"/>
          <w:sz w:val="32"/>
          <w:szCs w:val="32"/>
        </w:rPr>
        <w:t xml:space="preserve"> 支出决算为</w:t>
      </w:r>
      <w:r>
        <w:rPr>
          <w:rStyle w:val="27"/>
          <w:rFonts w:ascii="仿宋_GB2312" w:eastAsia="仿宋_GB2312" w:cs="仿宋_GB2312"/>
          <w:b w:val="0"/>
          <w:bCs/>
          <w:color w:val="auto"/>
          <w:sz w:val="32"/>
          <w:szCs w:val="32"/>
        </w:rPr>
        <w:t>2.</w:t>
      </w:r>
      <w:r>
        <w:rPr>
          <w:rStyle w:val="27"/>
          <w:rFonts w:hint="eastAsia" w:ascii="仿宋_GB2312" w:eastAsia="仿宋_GB2312" w:cs="仿宋_GB2312"/>
          <w:b w:val="0"/>
          <w:bCs/>
          <w:color w:val="auto"/>
          <w:sz w:val="32"/>
          <w:szCs w:val="32"/>
          <w:lang w:val="en-US" w:eastAsia="zh-CN"/>
        </w:rPr>
        <w:t>73</w:t>
      </w:r>
      <w:r>
        <w:rPr>
          <w:rStyle w:val="27"/>
          <w:rFonts w:hint="eastAsia" w:ascii="仿宋_GB2312" w:eastAsia="仿宋_GB2312" w:cs="仿宋_GB2312"/>
          <w:b w:val="0"/>
          <w:bCs/>
          <w:color w:val="auto"/>
          <w:sz w:val="32"/>
          <w:szCs w:val="32"/>
        </w:rPr>
        <w:t>万元，完成预算100%</w:t>
      </w:r>
      <w:r>
        <w:rPr>
          <w:rStyle w:val="27"/>
          <w:rFonts w:hint="eastAsia" w:ascii="仿宋_GB2312" w:eastAsia="仿宋_GB2312" w:cs="仿宋_GB2312"/>
          <w:b w:val="0"/>
          <w:bCs/>
          <w:color w:val="auto"/>
          <w:sz w:val="32"/>
          <w:szCs w:val="32"/>
          <w:lang w:eastAsia="zh-CN"/>
        </w:rPr>
        <w:t>，</w:t>
      </w:r>
      <w:r>
        <w:rPr>
          <w:rStyle w:val="27"/>
          <w:rFonts w:hint="eastAsia" w:ascii="仿宋_GB2312" w:eastAsia="仿宋_GB2312" w:cs="仿宋_GB2312"/>
          <w:b w:val="0"/>
          <w:bCs/>
          <w:color w:val="000000"/>
          <w:sz w:val="32"/>
          <w:szCs w:val="32"/>
          <w:lang w:eastAsia="zh-CN"/>
        </w:rPr>
        <w:t>决算数与预算数持平</w:t>
      </w:r>
      <w:r>
        <w:rPr>
          <w:rStyle w:val="27"/>
          <w:rFonts w:hint="eastAsia" w:ascii="仿宋_GB2312" w:eastAsia="仿宋_GB2312" w:cs="仿宋_GB2312"/>
          <w:b w:val="0"/>
          <w:bCs/>
          <w:color w:val="auto"/>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outlineLvl w:val="9"/>
        <w:rPr>
          <w:rStyle w:val="27"/>
          <w:rFonts w:ascii="仿宋_GB2312" w:eastAsia="仿宋_GB2312" w:cs="仿宋_GB2312"/>
          <w:b w:val="0"/>
          <w:bCs/>
          <w:color w:val="auto"/>
          <w:sz w:val="32"/>
          <w:szCs w:val="32"/>
        </w:rPr>
      </w:pPr>
      <w:r>
        <w:rPr>
          <w:rFonts w:hint="eastAsia" w:ascii="仿宋_GB2312" w:eastAsia="仿宋_GB2312" w:cs="仿宋_GB2312"/>
          <w:b/>
          <w:color w:val="auto"/>
          <w:sz w:val="32"/>
          <w:szCs w:val="32"/>
        </w:rPr>
        <w:t>5.住房保障支出(221)</w:t>
      </w:r>
      <w:r>
        <w:rPr>
          <w:rFonts w:hint="eastAsia" w:ascii="仿宋_GB2312" w:eastAsia="仿宋_GB2312" w:cs="仿宋_GB2312"/>
          <w:color w:val="auto"/>
          <w:sz w:val="32"/>
          <w:szCs w:val="32"/>
        </w:rPr>
        <w:t xml:space="preserve"> </w:t>
      </w:r>
      <w:r>
        <w:rPr>
          <w:rFonts w:hint="eastAsia" w:ascii="仿宋_GB2312" w:eastAsia="仿宋_GB2312" w:cs="仿宋_GB2312"/>
          <w:b/>
          <w:color w:val="auto"/>
          <w:sz w:val="32"/>
          <w:szCs w:val="32"/>
        </w:rPr>
        <w:t>住房改革支出(02)</w:t>
      </w:r>
      <w:r>
        <w:rPr>
          <w:rFonts w:hint="eastAsia" w:ascii="仿宋_GB2312" w:eastAsia="仿宋_GB2312" w:cs="仿宋_GB2312"/>
          <w:color w:val="auto"/>
          <w:sz w:val="32"/>
          <w:szCs w:val="32"/>
        </w:rPr>
        <w:t xml:space="preserve"> </w:t>
      </w:r>
      <w:r>
        <w:rPr>
          <w:rFonts w:hint="eastAsia" w:ascii="仿宋_GB2312" w:eastAsia="仿宋_GB2312" w:cs="仿宋_GB2312"/>
          <w:b/>
          <w:color w:val="auto"/>
          <w:sz w:val="32"/>
          <w:szCs w:val="32"/>
        </w:rPr>
        <w:t>住房公积金(01):</w:t>
      </w:r>
      <w:r>
        <w:rPr>
          <w:rStyle w:val="27"/>
          <w:rFonts w:hint="eastAsia" w:ascii="仿宋_GB2312" w:eastAsia="仿宋_GB2312" w:cs="仿宋_GB2312"/>
          <w:b w:val="0"/>
          <w:bCs/>
          <w:color w:val="auto"/>
          <w:sz w:val="32"/>
          <w:szCs w:val="32"/>
        </w:rPr>
        <w:t xml:space="preserve"> 支出决算为3.</w:t>
      </w:r>
      <w:r>
        <w:rPr>
          <w:rStyle w:val="27"/>
          <w:rFonts w:hint="eastAsia" w:ascii="仿宋_GB2312" w:eastAsia="仿宋_GB2312" w:cs="仿宋_GB2312"/>
          <w:b w:val="0"/>
          <w:bCs/>
          <w:color w:val="auto"/>
          <w:sz w:val="32"/>
          <w:szCs w:val="32"/>
          <w:lang w:val="en-US" w:eastAsia="zh-CN"/>
        </w:rPr>
        <w:t>7</w:t>
      </w:r>
      <w:r>
        <w:rPr>
          <w:rStyle w:val="27"/>
          <w:rFonts w:hint="eastAsia" w:ascii="仿宋_GB2312" w:eastAsia="仿宋_GB2312" w:cs="仿宋_GB2312"/>
          <w:b w:val="0"/>
          <w:bCs/>
          <w:color w:val="auto"/>
          <w:sz w:val="32"/>
          <w:szCs w:val="32"/>
        </w:rPr>
        <w:t>万元，完成预算100%</w:t>
      </w:r>
      <w:r>
        <w:rPr>
          <w:rStyle w:val="27"/>
          <w:rFonts w:hint="eastAsia" w:ascii="仿宋_GB2312" w:eastAsia="仿宋_GB2312" w:cs="仿宋_GB2312"/>
          <w:b w:val="0"/>
          <w:bCs/>
          <w:color w:val="auto"/>
          <w:sz w:val="32"/>
          <w:szCs w:val="32"/>
          <w:lang w:eastAsia="zh-CN"/>
        </w:rPr>
        <w:t>，</w:t>
      </w:r>
      <w:r>
        <w:rPr>
          <w:rStyle w:val="27"/>
          <w:rFonts w:hint="eastAsia" w:ascii="仿宋_GB2312" w:eastAsia="仿宋_GB2312" w:cs="仿宋_GB2312"/>
          <w:b w:val="0"/>
          <w:bCs/>
          <w:color w:val="000000"/>
          <w:sz w:val="32"/>
          <w:szCs w:val="32"/>
          <w:lang w:eastAsia="zh-CN"/>
        </w:rPr>
        <w:t>决算数与预算数持平</w:t>
      </w:r>
      <w:r>
        <w:rPr>
          <w:rStyle w:val="27"/>
          <w:rFonts w:hint="eastAsia" w:ascii="仿宋_GB2312" w:eastAsia="仿宋_GB2312" w:cs="仿宋_GB2312"/>
          <w:b w:val="0"/>
          <w:bCs/>
          <w:color w:val="auto"/>
          <w:sz w:val="32"/>
          <w:szCs w:val="32"/>
        </w:rPr>
        <w:t>。</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9"/>
        <w:rPr>
          <w:rStyle w:val="30"/>
          <w:color w:val="auto"/>
        </w:rPr>
      </w:pPr>
      <w:bookmarkStart w:id="68" w:name="_Toc79163618"/>
      <w:bookmarkStart w:id="69" w:name="_Toc15377214"/>
      <w:bookmarkStart w:id="70" w:name="_Toc79163868"/>
      <w:bookmarkStart w:id="71" w:name="_Toc15396608"/>
      <w:r>
        <w:rPr>
          <w:rFonts w:hint="eastAsia" w:ascii="黑体" w:eastAsia="黑体"/>
          <w:color w:val="auto"/>
          <w:sz w:val="32"/>
          <w:szCs w:val="32"/>
        </w:rPr>
        <w:t>六</w:t>
      </w:r>
      <w:r>
        <w:rPr>
          <w:rFonts w:hint="eastAsia" w:ascii="黑体" w:eastAsia="黑体"/>
          <w:b/>
          <w:color w:val="auto"/>
          <w:sz w:val="32"/>
          <w:szCs w:val="32"/>
        </w:rPr>
        <w:t>、一</w:t>
      </w:r>
      <w:r>
        <w:rPr>
          <w:rStyle w:val="30"/>
          <w:rFonts w:hint="eastAsia" w:ascii="黑体" w:eastAsia="黑体"/>
          <w:b w:val="0"/>
          <w:color w:val="auto"/>
        </w:rPr>
        <w:t>般公共预算财政拨款基本支出决算情况说明</w:t>
      </w:r>
      <w:bookmarkEnd w:id="68"/>
      <w:bookmarkEnd w:id="69"/>
      <w:bookmarkEnd w:id="70"/>
      <w:bookmarkEnd w:id="71"/>
      <w:r>
        <w:rPr>
          <w:rStyle w:val="30"/>
          <w:rFonts w:ascii="黑体" w:eastAsia="黑体"/>
          <w:b w:val="0"/>
          <w:color w:val="auto"/>
        </w:rPr>
        <w:tab/>
      </w:r>
    </w:p>
    <w:p>
      <w:pPr>
        <w:keepNext w:val="0"/>
        <w:keepLines w:val="0"/>
        <w:pageBreakBefore w:val="0"/>
        <w:widowControl/>
        <w:kinsoku/>
        <w:wordWrap/>
        <w:overflowPunct/>
        <w:topLinePunct w:val="0"/>
        <w:autoSpaceDE/>
        <w:autoSpaceDN/>
        <w:bidi w:val="0"/>
        <w:adjustRightInd w:val="0"/>
        <w:snapToGrid w:val="0"/>
        <w:spacing w:line="576" w:lineRule="atLeast"/>
        <w:ind w:firstLine="320" w:firstLineChars="1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年一般公共预算财政拨款基本支出5</w:t>
      </w:r>
      <w:r>
        <w:rPr>
          <w:rFonts w:hint="eastAsia" w:ascii="仿宋_GB2312" w:eastAsia="仿宋_GB2312" w:cs="仿宋_GB2312"/>
          <w:bCs/>
          <w:color w:val="auto"/>
          <w:kern w:val="0"/>
          <w:sz w:val="32"/>
          <w:szCs w:val="32"/>
          <w:lang w:val="en-US" w:eastAsia="zh-CN"/>
        </w:rPr>
        <w:t>0.50</w:t>
      </w:r>
      <w:r>
        <w:rPr>
          <w:rFonts w:hint="eastAsia" w:ascii="仿宋_GB2312" w:eastAsia="仿宋_GB2312" w:cs="仿宋_GB2312"/>
          <w:bCs/>
          <w:color w:val="auto"/>
          <w:kern w:val="0"/>
          <w:sz w:val="32"/>
          <w:szCs w:val="32"/>
          <w:lang w:val="zh-CN"/>
        </w:rPr>
        <w:t>万元，其中：</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人员经费</w:t>
      </w:r>
      <w:r>
        <w:rPr>
          <w:rFonts w:hint="eastAsia" w:ascii="仿宋_GB2312" w:eastAsia="仿宋_GB2312" w:cs="仿宋_GB2312"/>
          <w:bCs/>
          <w:color w:val="auto"/>
          <w:kern w:val="0"/>
          <w:sz w:val="32"/>
          <w:szCs w:val="32"/>
          <w:lang w:val="en-US" w:eastAsia="zh-CN"/>
        </w:rPr>
        <w:t>49.07</w:t>
      </w:r>
      <w:r>
        <w:rPr>
          <w:rFonts w:hint="eastAsia" w:ascii="仿宋_GB2312" w:eastAsia="仿宋_GB2312" w:cs="仿宋_GB2312"/>
          <w:bCs/>
          <w:color w:val="auto"/>
          <w:kern w:val="0"/>
          <w:sz w:val="32"/>
          <w:szCs w:val="32"/>
          <w:lang w:val="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日常公用经费1.</w:t>
      </w:r>
      <w:r>
        <w:rPr>
          <w:rFonts w:hint="eastAsia" w:ascii="仿宋_GB2312" w:eastAsia="仿宋_GB2312" w:cs="仿宋_GB2312"/>
          <w:bCs/>
          <w:color w:val="auto"/>
          <w:kern w:val="0"/>
          <w:sz w:val="32"/>
          <w:szCs w:val="32"/>
          <w:lang w:val="en-US" w:eastAsia="zh-CN"/>
        </w:rPr>
        <w:t>43</w:t>
      </w:r>
      <w:r>
        <w:rPr>
          <w:rFonts w:hint="eastAsia" w:ascii="仿宋_GB2312" w:eastAsia="仿宋_GB2312" w:cs="仿宋_GB2312"/>
          <w:bCs/>
          <w:color w:val="auto"/>
          <w:kern w:val="0"/>
          <w:sz w:val="32"/>
          <w:szCs w:val="32"/>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0"/>
          <w:rFonts w:ascii="黑体" w:eastAsia="黑体"/>
          <w:b w:val="0"/>
          <w:color w:val="auto"/>
        </w:rPr>
      </w:pPr>
      <w:bookmarkStart w:id="72" w:name="_Toc79163619"/>
      <w:bookmarkStart w:id="73" w:name="_Toc15377215"/>
      <w:bookmarkStart w:id="74" w:name="_Toc18059"/>
      <w:bookmarkStart w:id="75" w:name="_Toc15396609"/>
      <w:bookmarkStart w:id="76" w:name="_Toc79163869"/>
      <w:r>
        <w:rPr>
          <w:rFonts w:hint="eastAsia" w:ascii="黑体" w:eastAsia="黑体"/>
          <w:color w:val="auto"/>
          <w:sz w:val="32"/>
          <w:szCs w:val="32"/>
        </w:rPr>
        <w:t>七、</w:t>
      </w:r>
      <w:r>
        <w:rPr>
          <w:rStyle w:val="30"/>
          <w:rFonts w:hint="eastAsia" w:ascii="黑体" w:eastAsia="黑体"/>
          <w:color w:val="auto"/>
        </w:rPr>
        <w:t>“</w:t>
      </w:r>
      <w:r>
        <w:rPr>
          <w:rStyle w:val="30"/>
          <w:rFonts w:hint="eastAsia" w:ascii="黑体" w:eastAsia="黑体"/>
          <w:b w:val="0"/>
          <w:color w:val="auto"/>
        </w:rPr>
        <w:t>三公”经费财政拨款支出决算情况说明</w:t>
      </w:r>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2"/>
        <w:rPr>
          <w:rFonts w:ascii="楷体_GB2312" w:eastAsia="楷体_GB2312" w:cs="楷体_GB2312"/>
          <w:b/>
          <w:color w:val="auto"/>
          <w:sz w:val="32"/>
          <w:szCs w:val="32"/>
        </w:rPr>
      </w:pPr>
      <w:bookmarkStart w:id="77" w:name="_Toc15377216"/>
      <w:bookmarkStart w:id="78" w:name="_Toc11630"/>
      <w:bookmarkStart w:id="79" w:name="_Toc79163870"/>
      <w:bookmarkStart w:id="80" w:name="_Toc79163620"/>
      <w:r>
        <w:rPr>
          <w:rFonts w:hint="eastAsia" w:ascii="楷体_GB2312" w:eastAsia="楷体_GB2312" w:cs="楷体_GB2312"/>
          <w:b/>
          <w:color w:val="auto"/>
          <w:sz w:val="32"/>
          <w:szCs w:val="32"/>
        </w:rPr>
        <w:t>（一）“三公”经费财政拨款支出决算总体情况说明</w:t>
      </w:r>
      <w:bookmarkEnd w:id="77"/>
      <w:bookmarkEnd w:id="78"/>
      <w:bookmarkEnd w:id="79"/>
      <w:bookmarkEnd w:id="80"/>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年“三公”经费财政拨款支出决算为0万元。与上年相比，无变化。</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2"/>
        <w:rPr>
          <w:rFonts w:ascii="楷体_GB2312" w:eastAsia="楷体_GB2312" w:cs="楷体_GB2312"/>
          <w:b/>
          <w:color w:val="auto"/>
          <w:sz w:val="32"/>
          <w:szCs w:val="32"/>
        </w:rPr>
      </w:pPr>
      <w:bookmarkStart w:id="81" w:name="_Toc15377217"/>
      <w:bookmarkStart w:id="82" w:name="_Toc79163621"/>
      <w:bookmarkStart w:id="83" w:name="_Toc22608"/>
      <w:bookmarkStart w:id="84" w:name="_Toc79163871"/>
      <w:r>
        <w:rPr>
          <w:rFonts w:hint="eastAsia" w:ascii="楷体_GB2312" w:eastAsia="楷体_GB2312" w:cs="楷体_GB2312"/>
          <w:b/>
          <w:color w:val="auto"/>
          <w:sz w:val="32"/>
          <w:szCs w:val="32"/>
        </w:rPr>
        <w:t>（二）“三公”经费财政拨款支出决算具体情况说明</w:t>
      </w:r>
      <w:bookmarkEnd w:id="81"/>
      <w:bookmarkEnd w:id="82"/>
      <w:bookmarkEnd w:id="83"/>
      <w:bookmarkEnd w:id="84"/>
    </w:p>
    <w:p>
      <w:pPr>
        <w:widowControl/>
        <w:adjustRightInd w:val="0"/>
        <w:snapToGrid w:val="0"/>
        <w:spacing w:line="576" w:lineRule="atLeast"/>
        <w:ind w:firstLine="640" w:firstLineChars="200"/>
        <w:rPr>
          <w:rFonts w:hint="eastAsia"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年“三公”经费财政拨款支出决算中，因公出国（境）费支出决算0万元；公务用车购置及运行维护费支出决算0万元；公务接待费支出决算0万元。具体情况如下：（图</w:t>
      </w:r>
      <w:r>
        <w:rPr>
          <w:rFonts w:hint="eastAsia" w:ascii="仿宋_GB2312" w:eastAsia="仿宋_GB2312" w:cs="仿宋_GB2312"/>
          <w:bCs/>
          <w:color w:val="auto"/>
          <w:kern w:val="0"/>
          <w:sz w:val="32"/>
          <w:szCs w:val="32"/>
          <w:lang w:val="en-US" w:eastAsia="zh-CN"/>
        </w:rPr>
        <w:t>7：“三公”</w:t>
      </w:r>
      <w:r>
        <w:rPr>
          <w:rFonts w:hint="eastAsia" w:ascii="仿宋_GB2312" w:eastAsia="仿宋_GB2312" w:cs="仿宋_GB2312"/>
          <w:bCs/>
          <w:color w:val="auto"/>
          <w:kern w:val="0"/>
          <w:sz w:val="32"/>
          <w:szCs w:val="32"/>
          <w:lang w:val="zh-CN"/>
        </w:rPr>
        <w:t>经费财政拨款支出结构图）</w:t>
      </w:r>
    </w:p>
    <w:p>
      <w:pPr>
        <w:widowControl/>
        <w:adjustRightInd w:val="0"/>
        <w:snapToGrid w:val="0"/>
        <w:spacing w:line="576" w:lineRule="atLeast"/>
        <w:ind w:firstLine="643" w:firstLineChars="200"/>
        <w:rPr>
          <w:rFonts w:ascii="仿宋_GB2312" w:eastAsia="仿宋_GB2312" w:cs="仿宋_GB2312"/>
          <w:bCs/>
          <w:color w:val="auto"/>
          <w:kern w:val="0"/>
          <w:sz w:val="32"/>
          <w:szCs w:val="32"/>
          <w:lang w:val="zh-CN"/>
        </w:rPr>
      </w:pPr>
      <w:r>
        <w:rPr>
          <w:rFonts w:hint="eastAsia" w:ascii="仿宋_GB2312" w:eastAsia="仿宋_GB2312" w:cs="仿宋_GB2312"/>
          <w:b/>
          <w:color w:val="auto"/>
          <w:sz w:val="32"/>
          <w:szCs w:val="32"/>
        </w:rPr>
        <w:t>1.因公出国（境）经费支出</w:t>
      </w:r>
      <w:r>
        <w:rPr>
          <w:rFonts w:hint="eastAsia" w:ascii="仿宋_GB2312" w:eastAsia="仿宋_GB2312" w:cs="仿宋_GB2312"/>
          <w:bCs/>
          <w:color w:val="auto"/>
          <w:kern w:val="0"/>
          <w:sz w:val="32"/>
          <w:szCs w:val="32"/>
          <w:lang w:val="zh-CN"/>
        </w:rPr>
        <w:t>0万元。全年安排因公出国（境）团组0次，出国（境）0人，与上年相比，无变化。</w:t>
      </w:r>
    </w:p>
    <w:p>
      <w:pPr>
        <w:widowControl/>
        <w:adjustRightInd w:val="0"/>
        <w:snapToGrid w:val="0"/>
        <w:spacing w:line="576" w:lineRule="atLeast"/>
        <w:ind w:firstLine="643" w:firstLineChars="200"/>
        <w:rPr>
          <w:rFonts w:ascii="仿宋_GB2312" w:eastAsia="仿宋_GB2312" w:cs="仿宋_GB2312"/>
          <w:b/>
          <w:color w:val="auto"/>
          <w:sz w:val="32"/>
          <w:szCs w:val="32"/>
        </w:rPr>
      </w:pPr>
      <w:r>
        <w:rPr>
          <w:rFonts w:hint="eastAsia" w:ascii="仿宋_GB2312" w:eastAsia="仿宋_GB2312" w:cs="仿宋_GB2312"/>
          <w:b/>
          <w:color w:val="auto"/>
          <w:sz w:val="32"/>
          <w:szCs w:val="32"/>
        </w:rPr>
        <w:t>2.公务用车购置及运行维护费支出</w:t>
      </w:r>
      <w:r>
        <w:rPr>
          <w:rFonts w:hint="eastAsia" w:ascii="仿宋_GB2312" w:eastAsia="仿宋_GB2312" w:cs="仿宋_GB2312"/>
          <w:color w:val="auto"/>
          <w:sz w:val="32"/>
          <w:szCs w:val="32"/>
        </w:rPr>
        <w:t>0万元</w:t>
      </w:r>
      <w:r>
        <w:rPr>
          <w:rStyle w:val="27"/>
          <w:rFonts w:hint="eastAsia" w:ascii="仿宋_GB2312" w:eastAsia="仿宋_GB2312" w:cs="仿宋_GB2312"/>
          <w:b w:val="0"/>
          <w:bCs/>
          <w:color w:val="auto"/>
          <w:sz w:val="32"/>
          <w:szCs w:val="32"/>
          <w:lang w:eastAsia="zh-CN"/>
        </w:rPr>
        <w:t>。</w:t>
      </w:r>
      <w:r>
        <w:rPr>
          <w:rFonts w:hint="eastAsia" w:ascii="仿宋_GB2312" w:eastAsia="仿宋_GB2312" w:cs="仿宋_GB2312"/>
          <w:bCs/>
          <w:color w:val="auto"/>
          <w:kern w:val="0"/>
          <w:sz w:val="32"/>
          <w:szCs w:val="32"/>
          <w:lang w:val="zh-CN"/>
        </w:rPr>
        <w:t>与上年相比，无变化。</w:t>
      </w:r>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color w:val="auto"/>
          <w:sz w:val="32"/>
          <w:szCs w:val="32"/>
        </w:rPr>
        <w:t>其中：</w:t>
      </w:r>
      <w:r>
        <w:rPr>
          <w:rFonts w:hint="eastAsia" w:ascii="仿宋_GB2312" w:eastAsia="仿宋_GB2312" w:cs="仿宋_GB2312"/>
          <w:b/>
          <w:color w:val="auto"/>
          <w:sz w:val="32"/>
          <w:szCs w:val="32"/>
        </w:rPr>
        <w:t>公务用车购置支出</w:t>
      </w:r>
      <w:r>
        <w:rPr>
          <w:rFonts w:hint="eastAsia" w:ascii="仿宋_GB2312" w:eastAsia="仿宋_GB2312" w:cs="仿宋_GB2312"/>
          <w:color w:val="auto"/>
          <w:sz w:val="32"/>
          <w:szCs w:val="32"/>
        </w:rPr>
        <w:t>0万元</w:t>
      </w:r>
      <w:bookmarkStart w:id="161" w:name="_GoBack"/>
      <w:bookmarkEnd w:id="161"/>
      <w:r>
        <w:rPr>
          <w:rFonts w:hint="eastAsia" w:ascii="仿宋_GB2312" w:eastAsia="仿宋_GB2312" w:cs="仿宋_GB2312"/>
          <w:color w:val="auto"/>
          <w:sz w:val="32"/>
          <w:szCs w:val="32"/>
        </w:rPr>
        <w:t>。截至202</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年12月底，单位共有公务用车0辆。</w:t>
      </w:r>
      <w:r>
        <w:rPr>
          <w:rFonts w:hint="eastAsia" w:ascii="仿宋_GB2312" w:eastAsia="仿宋_GB2312" w:cs="仿宋_GB2312"/>
          <w:bCs/>
          <w:color w:val="auto"/>
          <w:kern w:val="0"/>
          <w:sz w:val="32"/>
          <w:szCs w:val="32"/>
          <w:lang w:val="zh-CN"/>
        </w:rPr>
        <w:t>与上年相比，无变化。</w:t>
      </w:r>
    </w:p>
    <w:p>
      <w:pPr>
        <w:widowControl/>
        <w:adjustRightInd w:val="0"/>
        <w:snapToGrid w:val="0"/>
        <w:spacing w:line="576" w:lineRule="atLeast"/>
        <w:ind w:firstLine="643" w:firstLineChars="200"/>
        <w:rPr>
          <w:rFonts w:ascii="仿宋_GB2312" w:eastAsia="仿宋_GB2312" w:cs="仿宋_GB2312"/>
          <w:bCs/>
          <w:color w:val="auto"/>
          <w:kern w:val="0"/>
          <w:sz w:val="32"/>
          <w:szCs w:val="32"/>
          <w:lang w:val="zh-CN"/>
        </w:rPr>
      </w:pPr>
      <w:r>
        <w:rPr>
          <w:rFonts w:hint="eastAsia" w:ascii="仿宋_GB2312" w:eastAsia="仿宋_GB2312" w:cs="仿宋_GB2312"/>
          <w:b/>
          <w:color w:val="auto"/>
          <w:sz w:val="32"/>
          <w:szCs w:val="32"/>
        </w:rPr>
        <w:t>公务用车运行维护费支出</w:t>
      </w:r>
      <w:r>
        <w:rPr>
          <w:rFonts w:hint="eastAsia" w:ascii="仿宋_GB2312" w:eastAsia="仿宋_GB2312" w:cs="仿宋_GB2312"/>
          <w:color w:val="auto"/>
          <w:sz w:val="32"/>
          <w:szCs w:val="32"/>
        </w:rPr>
        <w:t>0万元</w:t>
      </w:r>
      <w:r>
        <w:rPr>
          <w:rFonts w:hint="eastAsia" w:ascii="仿宋_GB2312" w:eastAsia="仿宋_GB2312" w:cs="仿宋_GB2312"/>
          <w:color w:val="auto"/>
          <w:sz w:val="32"/>
          <w:szCs w:val="32"/>
          <w:lang w:eastAsia="zh-CN"/>
        </w:rPr>
        <w:t>。</w:t>
      </w:r>
      <w:r>
        <w:rPr>
          <w:rFonts w:hint="eastAsia" w:ascii="仿宋_GB2312" w:eastAsia="仿宋_GB2312" w:cs="仿宋_GB2312"/>
          <w:bCs/>
          <w:color w:val="auto"/>
          <w:kern w:val="0"/>
          <w:sz w:val="32"/>
          <w:szCs w:val="32"/>
          <w:lang w:val="zh-CN"/>
        </w:rPr>
        <w:t>与上年相比，无变化。</w:t>
      </w:r>
    </w:p>
    <w:p>
      <w:pPr>
        <w:widowControl/>
        <w:adjustRightInd w:val="0"/>
        <w:snapToGrid w:val="0"/>
        <w:spacing w:line="576" w:lineRule="atLeast"/>
        <w:ind w:firstLine="643" w:firstLineChars="200"/>
        <w:rPr>
          <w:rFonts w:ascii="仿宋_GB2312" w:eastAsia="仿宋_GB2312" w:cs="仿宋_GB2312"/>
          <w:color w:val="auto"/>
          <w:sz w:val="32"/>
          <w:szCs w:val="32"/>
        </w:rPr>
      </w:pPr>
      <w:r>
        <w:rPr>
          <w:rFonts w:hint="eastAsia" w:ascii="仿宋_GB2312" w:eastAsia="仿宋_GB2312" w:cs="仿宋_GB2312"/>
          <w:b/>
          <w:color w:val="auto"/>
          <w:sz w:val="32"/>
          <w:szCs w:val="32"/>
        </w:rPr>
        <w:t>3.公务接待费支出</w:t>
      </w:r>
      <w:r>
        <w:rPr>
          <w:rFonts w:hint="eastAsia" w:ascii="仿宋_GB2312" w:eastAsia="仿宋_GB2312" w:cs="仿宋_GB2312"/>
          <w:color w:val="auto"/>
          <w:sz w:val="32"/>
          <w:szCs w:val="32"/>
        </w:rPr>
        <w:t>0万元</w:t>
      </w:r>
      <w:r>
        <w:rPr>
          <w:rFonts w:hint="eastAsia" w:ascii="仿宋_GB2312" w:eastAsia="仿宋_GB2312" w:cs="仿宋_GB2312"/>
          <w:color w:val="auto"/>
          <w:sz w:val="32"/>
          <w:szCs w:val="32"/>
          <w:lang w:eastAsia="zh-CN"/>
        </w:rPr>
        <w:t>。</w:t>
      </w:r>
      <w:r>
        <w:rPr>
          <w:rFonts w:hint="eastAsia" w:ascii="仿宋_GB2312" w:eastAsia="仿宋_GB2312" w:cs="仿宋_GB2312"/>
          <w:bCs/>
          <w:color w:val="auto"/>
          <w:kern w:val="0"/>
          <w:sz w:val="32"/>
          <w:szCs w:val="32"/>
          <w:lang w:val="zh-CN"/>
        </w:rPr>
        <w:t>与上年度相比，无变化。</w:t>
      </w:r>
    </w:p>
    <w:p>
      <w:pPr>
        <w:widowControl/>
        <w:adjustRightInd w:val="0"/>
        <w:snapToGrid w:val="0"/>
        <w:spacing w:line="576" w:lineRule="atLeast"/>
        <w:ind w:firstLine="643" w:firstLineChars="200"/>
        <w:rPr>
          <w:rFonts w:ascii="仿宋_GB2312" w:eastAsia="仿宋_GB2312" w:cs="仿宋_GB2312"/>
          <w:bCs/>
          <w:color w:val="auto"/>
          <w:kern w:val="0"/>
          <w:sz w:val="32"/>
          <w:szCs w:val="32"/>
          <w:lang w:val="zh-CN"/>
        </w:rPr>
      </w:pPr>
      <w:r>
        <w:rPr>
          <w:rFonts w:hint="eastAsia" w:ascii="仿宋_GB2312" w:eastAsia="仿宋_GB2312" w:cs="仿宋_GB2312"/>
          <w:b/>
          <w:color w:val="auto"/>
          <w:sz w:val="32"/>
          <w:szCs w:val="32"/>
        </w:rPr>
        <w:t>国内公务接待支出</w:t>
      </w:r>
      <w:r>
        <w:rPr>
          <w:rFonts w:hint="eastAsia" w:ascii="仿宋_GB2312" w:eastAsia="仿宋_GB2312" w:cs="仿宋_GB2312"/>
          <w:color w:val="auto"/>
          <w:sz w:val="32"/>
          <w:szCs w:val="32"/>
        </w:rPr>
        <w:t>0万元</w:t>
      </w:r>
      <w:r>
        <w:rPr>
          <w:rFonts w:hint="eastAsia" w:ascii="仿宋_GB2312" w:eastAsia="仿宋_GB2312" w:cs="仿宋_GB2312"/>
          <w:color w:val="auto"/>
          <w:sz w:val="32"/>
          <w:szCs w:val="32"/>
          <w:lang w:eastAsia="zh-CN"/>
        </w:rPr>
        <w:t>。</w:t>
      </w:r>
      <w:r>
        <w:rPr>
          <w:rFonts w:hint="eastAsia" w:ascii="仿宋_GB2312" w:eastAsia="仿宋_GB2312" w:cs="仿宋_GB2312"/>
          <w:bCs/>
          <w:color w:val="auto"/>
          <w:kern w:val="0"/>
          <w:sz w:val="32"/>
          <w:szCs w:val="32"/>
          <w:lang w:val="zh-CN"/>
        </w:rPr>
        <w:t>与上年相比，无变化。</w:t>
      </w:r>
    </w:p>
    <w:p>
      <w:pPr>
        <w:widowControl/>
        <w:adjustRightInd w:val="0"/>
        <w:snapToGrid w:val="0"/>
        <w:spacing w:line="576" w:lineRule="atLeast"/>
        <w:ind w:firstLine="643" w:firstLineChars="200"/>
        <w:rPr>
          <w:rFonts w:ascii="仿宋_GB2312" w:eastAsia="仿宋_GB2312" w:cs="仿宋_GB2312"/>
          <w:color w:val="auto"/>
          <w:sz w:val="32"/>
          <w:szCs w:val="32"/>
        </w:rPr>
      </w:pPr>
      <w:r>
        <w:rPr>
          <w:rFonts w:hint="eastAsia" w:ascii="仿宋_GB2312" w:eastAsia="仿宋_GB2312" w:cs="仿宋_GB2312"/>
          <w:b/>
          <w:color w:val="auto"/>
          <w:sz w:val="32"/>
          <w:szCs w:val="32"/>
        </w:rPr>
        <w:t>外事接待支出</w:t>
      </w:r>
      <w:r>
        <w:rPr>
          <w:rFonts w:hint="eastAsia" w:ascii="仿宋_GB2312" w:eastAsia="仿宋_GB2312" w:cs="仿宋_GB2312"/>
          <w:color w:val="auto"/>
          <w:sz w:val="32"/>
          <w:szCs w:val="32"/>
        </w:rPr>
        <w:t>0万元</w:t>
      </w:r>
      <w:r>
        <w:rPr>
          <w:rFonts w:hint="eastAsia" w:ascii="仿宋_GB2312" w:eastAsia="仿宋_GB2312" w:cs="仿宋_GB2312"/>
          <w:color w:val="auto"/>
          <w:sz w:val="32"/>
          <w:szCs w:val="32"/>
          <w:lang w:eastAsia="zh-CN"/>
        </w:rPr>
        <w:t>。</w:t>
      </w:r>
      <w:r>
        <w:rPr>
          <w:rFonts w:hint="eastAsia" w:ascii="仿宋_GB2312" w:eastAsia="仿宋_GB2312" w:cs="仿宋_GB2312"/>
          <w:bCs/>
          <w:color w:val="auto"/>
          <w:kern w:val="0"/>
          <w:sz w:val="32"/>
          <w:szCs w:val="32"/>
          <w:lang w:val="zh-CN"/>
        </w:rPr>
        <w:t>与上年相比，无变化。</w:t>
      </w:r>
      <w:bookmarkStart w:id="85" w:name="_Toc15396610"/>
      <w:bookmarkStart w:id="86" w:name="_Toc153772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黑体" w:eastAsia="黑体" w:cs="仿宋_GB2312"/>
          <w:bCs/>
          <w:color w:val="auto"/>
          <w:sz w:val="32"/>
          <w:szCs w:val="32"/>
        </w:rPr>
      </w:pPr>
      <w:bookmarkStart w:id="87" w:name="_Toc4151"/>
      <w:r>
        <w:rPr>
          <w:rFonts w:hint="eastAsia" w:ascii="黑体" w:eastAsia="黑体" w:cs="仿宋_GB2312"/>
          <w:color w:val="auto"/>
          <w:sz w:val="32"/>
          <w:szCs w:val="32"/>
        </w:rPr>
        <w:t>八、</w:t>
      </w:r>
      <w:r>
        <w:rPr>
          <w:rFonts w:hint="eastAsia" w:ascii="黑体" w:eastAsia="黑体" w:cs="仿宋_GB2312"/>
          <w:bCs/>
          <w:color w:val="auto"/>
          <w:sz w:val="32"/>
          <w:szCs w:val="32"/>
        </w:rPr>
        <w:t>政府性基金预算支出决算情况说明</w:t>
      </w:r>
      <w:bookmarkEnd w:id="85"/>
      <w:bookmarkEnd w:id="86"/>
      <w:bookmarkEnd w:id="87"/>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年政府性基金预算拨款支出0万元。与上年相比，无变化。</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textAlignment w:val="auto"/>
        <w:outlineLvl w:val="1"/>
        <w:rPr>
          <w:rFonts w:ascii="黑体" w:eastAsia="黑体" w:cs="仿宋_GB2312"/>
          <w:bCs/>
          <w:color w:val="auto"/>
          <w:sz w:val="32"/>
          <w:szCs w:val="32"/>
        </w:rPr>
      </w:pPr>
      <w:bookmarkStart w:id="88" w:name="_Toc31054"/>
      <w:bookmarkStart w:id="89" w:name="_Toc15396611"/>
      <w:bookmarkStart w:id="90" w:name="_Toc15377219"/>
      <w:r>
        <w:rPr>
          <w:rFonts w:hint="eastAsia" w:ascii="黑体" w:eastAsia="黑体" w:cs="仿宋_GB2312"/>
          <w:bCs/>
          <w:color w:val="auto"/>
          <w:sz w:val="32"/>
          <w:szCs w:val="32"/>
        </w:rPr>
        <w:t>国有资本经营预算支出决算情况说明</w:t>
      </w:r>
      <w:bookmarkEnd w:id="88"/>
      <w:bookmarkEnd w:id="89"/>
      <w:bookmarkEnd w:id="90"/>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年国有资本经营预算拨款支出0万元。与上年相比，无变化。</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Style w:val="30"/>
          <w:rFonts w:ascii="黑体" w:eastAsia="黑体"/>
          <w:color w:val="auto"/>
        </w:rPr>
      </w:pPr>
      <w:bookmarkStart w:id="91" w:name="_Toc79163624"/>
      <w:bookmarkStart w:id="92" w:name="_Toc15377221"/>
      <w:bookmarkStart w:id="93" w:name="_Toc15396612"/>
      <w:bookmarkStart w:id="94" w:name="_Toc79163874"/>
      <w:r>
        <w:rPr>
          <w:rFonts w:hint="eastAsia" w:ascii="黑体" w:eastAsia="黑体"/>
          <w:color w:val="auto"/>
          <w:sz w:val="32"/>
          <w:szCs w:val="32"/>
        </w:rPr>
        <w:t xml:space="preserve">    </w:t>
      </w:r>
      <w:bookmarkStart w:id="95" w:name="_Toc7251"/>
      <w:r>
        <w:rPr>
          <w:rFonts w:hint="eastAsia" w:ascii="黑体" w:eastAsia="黑体"/>
          <w:color w:val="auto"/>
          <w:sz w:val="32"/>
          <w:szCs w:val="32"/>
        </w:rPr>
        <w:t>十</w:t>
      </w:r>
      <w:r>
        <w:rPr>
          <w:rStyle w:val="30"/>
          <w:rFonts w:hint="eastAsia" w:ascii="黑体" w:eastAsia="黑体"/>
          <w:color w:val="auto"/>
        </w:rPr>
        <w:t>、</w:t>
      </w:r>
      <w:r>
        <w:rPr>
          <w:rStyle w:val="30"/>
          <w:rFonts w:hint="eastAsia" w:ascii="黑体" w:eastAsia="黑体"/>
          <w:b w:val="0"/>
          <w:color w:val="auto"/>
        </w:rPr>
        <w:t>其他重要事项的情况说明</w:t>
      </w:r>
      <w:bookmarkEnd w:id="91"/>
      <w:bookmarkEnd w:id="92"/>
      <w:bookmarkEnd w:id="93"/>
      <w:bookmarkEnd w:id="94"/>
      <w:bookmarkEnd w:id="95"/>
    </w:p>
    <w:p>
      <w:pPr>
        <w:keepNext w:val="0"/>
        <w:keepLines w:val="0"/>
        <w:pageBreakBefore w:val="0"/>
        <w:kinsoku/>
        <w:wordWrap/>
        <w:overflowPunct/>
        <w:topLinePunct w:val="0"/>
        <w:autoSpaceDE/>
        <w:autoSpaceDN/>
        <w:bidi w:val="0"/>
        <w:spacing w:line="576" w:lineRule="exact"/>
        <w:ind w:firstLine="643" w:firstLineChars="200"/>
        <w:textAlignment w:val="auto"/>
        <w:outlineLvl w:val="2"/>
        <w:rPr>
          <w:rFonts w:ascii="楷体_GB2312" w:eastAsia="楷体_GB2312" w:cs="楷体_GB2312"/>
          <w:b/>
          <w:color w:val="auto"/>
          <w:sz w:val="32"/>
          <w:szCs w:val="32"/>
        </w:rPr>
      </w:pPr>
      <w:bookmarkStart w:id="96" w:name="_Toc15377222"/>
      <w:bookmarkStart w:id="97" w:name="_Toc9812"/>
      <w:bookmarkStart w:id="98" w:name="_Toc15377225"/>
      <w:bookmarkStart w:id="99" w:name="_Toc79163629"/>
      <w:bookmarkStart w:id="100" w:name="_Toc15396613"/>
      <w:bookmarkStart w:id="101" w:name="_Toc79163879"/>
      <w:r>
        <w:rPr>
          <w:rFonts w:hint="eastAsia" w:ascii="楷体_GB2312" w:eastAsia="楷体_GB2312" w:cs="楷体_GB2312"/>
          <w:b/>
          <w:color w:val="auto"/>
          <w:sz w:val="32"/>
          <w:szCs w:val="32"/>
        </w:rPr>
        <w:t>（一）机关运行经费支出情况</w:t>
      </w:r>
      <w:bookmarkEnd w:id="96"/>
      <w:bookmarkEnd w:id="97"/>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年，阿坝州茂县青少年活动中心机关运行经费支出1</w:t>
      </w:r>
      <w:r>
        <w:rPr>
          <w:rFonts w:hint="eastAsia" w:ascii="仿宋_GB2312" w:eastAsia="仿宋_GB2312" w:cs="仿宋_GB2312"/>
          <w:bCs/>
          <w:color w:val="auto"/>
          <w:kern w:val="0"/>
          <w:sz w:val="32"/>
          <w:szCs w:val="32"/>
          <w:lang w:val="en-US" w:eastAsia="zh-CN"/>
        </w:rPr>
        <w:t>.43</w:t>
      </w:r>
      <w:r>
        <w:rPr>
          <w:rFonts w:hint="eastAsia" w:ascii="仿宋_GB2312" w:eastAsia="仿宋_GB2312" w:cs="仿宋_GB2312"/>
          <w:bCs/>
          <w:color w:val="auto"/>
          <w:kern w:val="0"/>
          <w:sz w:val="32"/>
          <w:szCs w:val="32"/>
          <w:lang w:val="zh-CN"/>
        </w:rPr>
        <w:t>万元，较202</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lang w:val="zh-CN"/>
        </w:rPr>
        <w:t>年减少0.</w:t>
      </w:r>
      <w:r>
        <w:rPr>
          <w:rFonts w:hint="eastAsia" w:ascii="仿宋_GB2312" w:eastAsia="仿宋_GB2312" w:cs="仿宋_GB2312"/>
          <w:bCs/>
          <w:color w:val="auto"/>
          <w:kern w:val="0"/>
          <w:sz w:val="32"/>
          <w:szCs w:val="32"/>
          <w:lang w:val="en-US" w:eastAsia="zh-CN"/>
        </w:rPr>
        <w:t>26</w:t>
      </w:r>
      <w:r>
        <w:rPr>
          <w:rFonts w:hint="eastAsia" w:ascii="仿宋_GB2312" w:eastAsia="仿宋_GB2312" w:cs="仿宋_GB2312"/>
          <w:bCs/>
          <w:color w:val="auto"/>
          <w:kern w:val="0"/>
          <w:sz w:val="32"/>
          <w:szCs w:val="32"/>
          <w:lang w:val="zh-CN"/>
        </w:rPr>
        <w:t>万元，下降</w:t>
      </w:r>
      <w:r>
        <w:rPr>
          <w:rFonts w:hint="eastAsia" w:ascii="仿宋_GB2312" w:eastAsia="仿宋_GB2312" w:cs="仿宋_GB2312"/>
          <w:bCs/>
          <w:color w:val="auto"/>
          <w:kern w:val="0"/>
          <w:sz w:val="32"/>
          <w:szCs w:val="32"/>
          <w:lang w:val="en-US" w:eastAsia="zh-CN"/>
        </w:rPr>
        <w:t>15.38</w:t>
      </w:r>
      <w:r>
        <w:rPr>
          <w:rFonts w:hint="eastAsia" w:ascii="仿宋_GB2312" w:eastAsia="仿宋_GB2312" w:cs="仿宋_GB2312"/>
          <w:bCs/>
          <w:color w:val="auto"/>
          <w:kern w:val="0"/>
          <w:sz w:val="32"/>
          <w:szCs w:val="32"/>
          <w:lang w:val="zh-CN"/>
        </w:rPr>
        <w:t>%，主要原因是经费减少。</w:t>
      </w:r>
      <w:bookmarkStart w:id="102" w:name="_Toc15377223"/>
    </w:p>
    <w:p>
      <w:pPr>
        <w:keepNext w:val="0"/>
        <w:keepLines w:val="0"/>
        <w:pageBreakBefore w:val="0"/>
        <w:widowControl/>
        <w:kinsoku/>
        <w:wordWrap/>
        <w:overflowPunct/>
        <w:topLinePunct w:val="0"/>
        <w:autoSpaceDE/>
        <w:autoSpaceDN/>
        <w:bidi w:val="0"/>
        <w:adjustRightInd w:val="0"/>
        <w:snapToGrid w:val="0"/>
        <w:spacing w:line="576" w:lineRule="atLeast"/>
        <w:ind w:firstLine="643" w:firstLineChars="200"/>
        <w:textAlignment w:val="auto"/>
        <w:outlineLvl w:val="2"/>
        <w:rPr>
          <w:rFonts w:ascii="楷体_GB2312" w:eastAsia="楷体_GB2312" w:cs="楷体_GB2312"/>
          <w:b/>
          <w:color w:val="auto"/>
          <w:sz w:val="32"/>
          <w:szCs w:val="32"/>
        </w:rPr>
      </w:pPr>
      <w:bookmarkStart w:id="103" w:name="_Toc17746"/>
      <w:r>
        <w:rPr>
          <w:rFonts w:hint="eastAsia" w:ascii="楷体_GB2312" w:eastAsia="楷体_GB2312" w:cs="楷体_GB2312"/>
          <w:b/>
          <w:color w:val="auto"/>
          <w:sz w:val="32"/>
          <w:szCs w:val="32"/>
        </w:rPr>
        <w:t>（二）政府采购支出情况</w:t>
      </w:r>
      <w:bookmarkEnd w:id="102"/>
      <w:bookmarkEnd w:id="103"/>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年，阿坝州茂县青少年活动中心政府采购支出总额0万元。与上年相比，无变化。</w:t>
      </w:r>
      <w:bookmarkStart w:id="104" w:name="_Toc15377224"/>
    </w:p>
    <w:p>
      <w:pPr>
        <w:keepNext w:val="0"/>
        <w:keepLines w:val="0"/>
        <w:pageBreakBefore w:val="0"/>
        <w:widowControl/>
        <w:kinsoku/>
        <w:wordWrap/>
        <w:overflowPunct/>
        <w:topLinePunct w:val="0"/>
        <w:autoSpaceDE/>
        <w:autoSpaceDN/>
        <w:bidi w:val="0"/>
        <w:adjustRightInd w:val="0"/>
        <w:snapToGrid w:val="0"/>
        <w:spacing w:line="576" w:lineRule="atLeast"/>
        <w:ind w:firstLine="643" w:firstLineChars="200"/>
        <w:textAlignment w:val="auto"/>
        <w:outlineLvl w:val="2"/>
        <w:rPr>
          <w:rFonts w:ascii="楷体_GB2312" w:eastAsia="楷体_GB2312" w:cs="楷体_GB2312"/>
          <w:b/>
          <w:color w:val="auto"/>
          <w:sz w:val="32"/>
          <w:szCs w:val="32"/>
        </w:rPr>
      </w:pPr>
      <w:bookmarkStart w:id="105" w:name="_Toc11973"/>
      <w:r>
        <w:rPr>
          <w:rFonts w:hint="eastAsia" w:ascii="楷体_GB2312" w:eastAsia="楷体_GB2312" w:cs="楷体_GB2312"/>
          <w:b/>
          <w:color w:val="auto"/>
          <w:sz w:val="32"/>
          <w:szCs w:val="32"/>
        </w:rPr>
        <w:t>（三）国有资产占有使用情况</w:t>
      </w:r>
      <w:bookmarkEnd w:id="104"/>
      <w:bookmarkEnd w:id="105"/>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截至202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年12月31日，阿坝州茂县青少年活动中心共有车辆0辆。与上年相比，无变化。</w:t>
      </w:r>
    </w:p>
    <w:p>
      <w:pPr>
        <w:keepNext w:val="0"/>
        <w:keepLines w:val="0"/>
        <w:pageBreakBefore w:val="0"/>
        <w:widowControl/>
        <w:kinsoku/>
        <w:wordWrap/>
        <w:overflowPunct/>
        <w:topLinePunct w:val="0"/>
        <w:autoSpaceDE/>
        <w:autoSpaceDN/>
        <w:bidi w:val="0"/>
        <w:adjustRightInd w:val="0"/>
        <w:snapToGrid w:val="0"/>
        <w:spacing w:line="576" w:lineRule="atLeast"/>
        <w:ind w:firstLine="643" w:firstLineChars="200"/>
        <w:textAlignment w:val="auto"/>
        <w:outlineLvl w:val="2"/>
        <w:rPr>
          <w:rFonts w:ascii="楷体_GB2312" w:eastAsia="楷体_GB2312" w:cs="楷体_GB2312"/>
          <w:b/>
          <w:color w:val="auto"/>
          <w:sz w:val="32"/>
          <w:szCs w:val="32"/>
        </w:rPr>
      </w:pPr>
      <w:bookmarkStart w:id="106" w:name="_Toc26323"/>
      <w:r>
        <w:rPr>
          <w:rFonts w:hint="eastAsia" w:ascii="楷体_GB2312" w:eastAsia="楷体_GB2312" w:cs="楷体_GB2312"/>
          <w:b/>
          <w:color w:val="auto"/>
          <w:sz w:val="32"/>
          <w:szCs w:val="32"/>
        </w:rPr>
        <w:t>（四）预算绩效管理情况</w:t>
      </w:r>
      <w:bookmarkEnd w:id="106"/>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根据预算绩效管理要求，我中心202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年无预算项目。</w:t>
      </w:r>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我中心按要求对202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年部门整体支出开展绩效自评，从评价情况来看，202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年我部门整体支出绩效评价自查自评结果良好，全年基本支出保证了部门的正常运行和日常工作的正常开展，绩效目标得到较好实现，绩效管理水平不断提高，绩效指标体系逐渐丰富和完善。</w:t>
      </w:r>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2.部门绩效评价结果。</w:t>
      </w:r>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本部门按要求对202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年部门整体支出绩效评价情况开展自评，《阿坝州茂县青少年活动中心202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年部门整体支出绩效评价报告》见附件1。</w:t>
      </w:r>
    </w:p>
    <w:p>
      <w:pPr>
        <w:widowControl/>
        <w:spacing w:line="576" w:lineRule="exact"/>
        <w:jc w:val="left"/>
        <w:rPr>
          <w:rFonts w:ascii="仿宋_GB2312" w:eastAsia="仿宋_GB2312"/>
          <w:b/>
          <w:color w:val="auto"/>
          <w:sz w:val="32"/>
          <w:szCs w:val="32"/>
        </w:rPr>
      </w:pPr>
      <w:r>
        <w:rPr>
          <w:rFonts w:ascii="仿宋_GB2312" w:eastAsia="仿宋_GB2312"/>
          <w:b/>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ind w:left="315" w:leftChars="150"/>
        <w:jc w:val="center"/>
        <w:textAlignment w:val="auto"/>
        <w:outlineLvl w:val="0"/>
        <w:rPr>
          <w:rStyle w:val="29"/>
          <w:rFonts w:ascii="方正小标宋简体" w:eastAsia="方正小标宋简体" w:cs="方正小标宋简体"/>
          <w:b w:val="0"/>
          <w:color w:val="auto"/>
        </w:rPr>
      </w:pPr>
      <w:bookmarkStart w:id="107" w:name="_Toc19049"/>
      <w:r>
        <w:rPr>
          <w:rFonts w:hint="eastAsia" w:ascii="方正小标宋简体" w:eastAsia="方正小标宋简体" w:cs="方正小标宋简体"/>
          <w:color w:val="auto"/>
          <w:sz w:val="44"/>
          <w:szCs w:val="44"/>
        </w:rPr>
        <w:t>第三部分 名</w:t>
      </w:r>
      <w:r>
        <w:rPr>
          <w:rStyle w:val="29"/>
          <w:rFonts w:hint="eastAsia" w:ascii="方正小标宋简体" w:eastAsia="方正小标宋简体" w:cs="方正小标宋简体"/>
          <w:b w:val="0"/>
          <w:color w:val="auto"/>
        </w:rPr>
        <w:t>词解释</w:t>
      </w:r>
      <w:bookmarkEnd w:id="98"/>
      <w:bookmarkEnd w:id="99"/>
      <w:bookmarkEnd w:id="100"/>
      <w:bookmarkEnd w:id="101"/>
      <w:bookmarkEnd w:id="107"/>
    </w:p>
    <w:p>
      <w:pPr>
        <w:spacing w:line="576" w:lineRule="exact"/>
        <w:jc w:val="left"/>
        <w:rPr>
          <w:rFonts w:ascii="方正小标宋简体" w:eastAsia="方正小标宋简体" w:cs="方正小标宋简体"/>
          <w:b/>
          <w:color w:val="auto"/>
          <w:sz w:val="44"/>
          <w:szCs w:val="44"/>
        </w:rPr>
      </w:pP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bookmarkStart w:id="108" w:name="_Toc15377226"/>
      <w:r>
        <w:rPr>
          <w:rFonts w:hint="eastAsia" w:ascii="仿宋_GB2312" w:eastAsia="仿宋_GB2312" w:cs="仿宋_GB2312"/>
          <w:bCs/>
          <w:color w:val="auto"/>
          <w:kern w:val="0"/>
          <w:sz w:val="32"/>
          <w:szCs w:val="32"/>
          <w:lang w:val="zh-CN"/>
        </w:rPr>
        <w:t>1.财政拨款收入：指单位从同级财政部门取得的财政预算资金。</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2.事业收入：指事业单位开展专业业务活动及辅助活动取得的收入。</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3.经营收入：指事业单位在专业业务活动及其辅助活动之外开展非独立核算经营活动取得的收入。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4.其他收入：指单位取得的除上述收入以外的各项收入</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 xml:space="preserve">6.年初结转和结余：指以前年度尚未完成、结转到本年按有关规定继续使用的资金。 </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7.结余分配：指事业单位按照事业单位会计制度的规定从非财政补助结余中分配的事业基金和职工福利基金等。</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8、年末结转和结余：指单位按有关规定结转到下年或以后年度继续使用的资金。</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9. 一般公共服务（201）群众团体事务（29）行政运行（01）: 人员工资、办公支出，保障日常工作开展。</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10.一般公共服务（201）群众团体事务（29）事业运行（50）: 办公支出，保障日常工作开展。</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11. 社会保障和就业支出（208）行政事业单位养老支出（05）机关事业单位基本养老保险缴费支出（05）: 职工养老保险经费。</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12. 社会保障和就业支出（208）行政事业单位养老支出（05）机关事业单位职业年金缴费支出（06）: 职工职业年金。</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13.卫生健康（210）行政事业单位医疗（11）行政事业单位医疗（01）:职工医疗保险。</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14. 卫生健康（210）行政事业单位医疗（11）事业单位医疗（02）: 职工医疗保险。</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15. 住房保障支出(221) 住房改革支出(02) 住房公积金(01): 职工住房公积金。</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 xml:space="preserve">16. 其他支出(229) 其他支出(99) 其他支出(01): </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17.基本支出：指为保障机构正常运转、完成日常工作任务而发生的人员支出和公用支出。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 xml:space="preserve">18.项目支出：指在基本支出之外为完成特定行政任务和事业发展目标所发生的支出。 </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19.经营支出：指事业单位在专业业务活动及其辅助活动之外开展非独立核算经营活动发生的支出。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adjustRightInd w:val="0"/>
        <w:snapToGrid w:val="0"/>
        <w:spacing w:line="576" w:lineRule="atLeast"/>
        <w:ind w:firstLine="640" w:firstLineChars="200"/>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Style w:val="29"/>
          <w:rFonts w:ascii="方正小标宋简体" w:eastAsia="方正小标宋简体" w:cs="方正小标宋简体"/>
          <w:b w:val="0"/>
          <w:color w:val="auto"/>
        </w:rPr>
      </w:pPr>
      <w:r>
        <w:rPr>
          <w:rFonts w:ascii="宋体"/>
          <w:b/>
          <w:color w:val="auto"/>
          <w:sz w:val="44"/>
          <w:szCs w:val="44"/>
        </w:rPr>
        <w:br w:type="page"/>
      </w:r>
      <w:bookmarkStart w:id="109" w:name="_Toc79163880"/>
      <w:bookmarkStart w:id="110" w:name="_Toc15396614"/>
      <w:bookmarkStart w:id="111" w:name="_Toc79163630"/>
      <w:bookmarkStart w:id="112" w:name="_Toc409"/>
      <w:r>
        <w:rPr>
          <w:rFonts w:hint="eastAsia" w:ascii="方正小标宋简体" w:eastAsia="方正小标宋简体" w:cs="方正小标宋简体"/>
          <w:color w:val="auto"/>
          <w:sz w:val="44"/>
          <w:szCs w:val="44"/>
        </w:rPr>
        <w:t>第</w:t>
      </w:r>
      <w:r>
        <w:rPr>
          <w:rStyle w:val="29"/>
          <w:rFonts w:hint="eastAsia" w:ascii="方正小标宋简体" w:eastAsia="方正小标宋简体" w:cs="方正小标宋简体"/>
          <w:b w:val="0"/>
          <w:color w:val="auto"/>
        </w:rPr>
        <w:t>四部分 附件</w:t>
      </w:r>
      <w:bookmarkEnd w:id="109"/>
      <w:bookmarkEnd w:id="110"/>
      <w:bookmarkEnd w:id="111"/>
      <w:bookmarkEnd w:id="112"/>
    </w:p>
    <w:p>
      <w:pPr>
        <w:pageBreakBefore w:val="0"/>
        <w:kinsoku/>
        <w:wordWrap/>
        <w:overflowPunct/>
        <w:topLinePunct w:val="0"/>
        <w:autoSpaceDE/>
        <w:autoSpaceDN/>
        <w:bidi w:val="0"/>
        <w:spacing w:line="576" w:lineRule="exact"/>
        <w:jc w:val="left"/>
        <w:textAlignment w:val="auto"/>
        <w:outlineLvl w:val="9"/>
        <w:rPr>
          <w:rFonts w:hint="eastAsia" w:ascii="黑体" w:hAnsi="黑体" w:eastAsia="黑体" w:cs="黑体"/>
          <w:b w:val="0"/>
          <w:bCs w:val="0"/>
          <w:color w:val="auto"/>
          <w:sz w:val="30"/>
          <w:szCs w:val="30"/>
        </w:rPr>
      </w:pPr>
      <w:bookmarkStart w:id="113" w:name="_Toc79163881"/>
      <w:bookmarkStart w:id="114" w:name="_Toc79163631"/>
      <w:r>
        <w:rPr>
          <w:rFonts w:hint="eastAsia" w:ascii="黑体" w:hAnsi="黑体" w:eastAsia="黑体" w:cs="黑体"/>
          <w:b w:val="0"/>
          <w:bCs w:val="0"/>
          <w:color w:val="auto"/>
          <w:sz w:val="30"/>
          <w:szCs w:val="30"/>
        </w:rPr>
        <w:t>附件1</w:t>
      </w:r>
      <w:bookmarkEnd w:id="113"/>
      <w:bookmarkEnd w:id="114"/>
      <w:r>
        <w:rPr>
          <w:rFonts w:hint="eastAsia" w:ascii="黑体" w:hAnsi="黑体" w:eastAsia="黑体" w:cs="黑体"/>
          <w:b w:val="0"/>
          <w:bCs w:val="0"/>
          <w:color w:val="auto"/>
          <w:sz w:val="30"/>
          <w:szCs w:val="30"/>
        </w:rPr>
        <w:t>：</w:t>
      </w:r>
    </w:p>
    <w:p>
      <w:pPr>
        <w:pageBreakBefore w:val="0"/>
        <w:kinsoku/>
        <w:wordWrap/>
        <w:overflowPunct/>
        <w:topLinePunct w:val="0"/>
        <w:autoSpaceDE/>
        <w:autoSpaceDN/>
        <w:bidi w:val="0"/>
        <w:spacing w:line="576" w:lineRule="exact"/>
        <w:jc w:val="center"/>
        <w:textAlignment w:val="auto"/>
        <w:outlineLvl w:val="9"/>
        <w:rPr>
          <w:rFonts w:ascii="方正小标宋简体" w:eastAsia="方正小标宋简体" w:cs="方正小标宋简体"/>
          <w:color w:val="auto"/>
          <w:sz w:val="44"/>
          <w:szCs w:val="44"/>
        </w:rPr>
      </w:pPr>
    </w:p>
    <w:p>
      <w:pPr>
        <w:pageBreakBefore w:val="0"/>
        <w:kinsoku/>
        <w:wordWrap/>
        <w:overflowPunct/>
        <w:topLinePunct w:val="0"/>
        <w:autoSpaceDE/>
        <w:autoSpaceDN/>
        <w:bidi w:val="0"/>
        <w:spacing w:line="576" w:lineRule="exact"/>
        <w:jc w:val="center"/>
        <w:textAlignment w:val="auto"/>
        <w:outlineLvl w:val="9"/>
        <w:rPr>
          <w:rFonts w:ascii="方正小标宋简体" w:eastAsia="方正小标宋简体"/>
          <w:color w:val="auto"/>
          <w:kern w:val="0"/>
          <w:sz w:val="44"/>
          <w:szCs w:val="44"/>
        </w:rPr>
      </w:pPr>
      <w:r>
        <w:rPr>
          <w:rFonts w:hint="eastAsia" w:ascii="方正小标宋简体" w:eastAsia="方正小标宋简体"/>
          <w:color w:val="auto"/>
          <w:kern w:val="0"/>
          <w:sz w:val="44"/>
          <w:szCs w:val="44"/>
        </w:rPr>
        <w:t>阿坝州茂县青少年活动中心</w:t>
      </w:r>
    </w:p>
    <w:p>
      <w:pPr>
        <w:pageBreakBefore w:val="0"/>
        <w:kinsoku/>
        <w:wordWrap/>
        <w:overflowPunct/>
        <w:topLinePunct w:val="0"/>
        <w:autoSpaceDE/>
        <w:autoSpaceDN/>
        <w:bidi w:val="0"/>
        <w:spacing w:line="576" w:lineRule="exact"/>
        <w:jc w:val="center"/>
        <w:textAlignment w:val="auto"/>
        <w:outlineLvl w:val="9"/>
        <w:rPr>
          <w:rFonts w:ascii="方正小标宋简体" w:eastAsia="方正小标宋简体"/>
          <w:color w:val="auto"/>
          <w:kern w:val="0"/>
          <w:sz w:val="40"/>
          <w:szCs w:val="44"/>
          <w:lang w:val="zh-CN"/>
        </w:rPr>
      </w:pPr>
      <w:r>
        <w:rPr>
          <w:rFonts w:hint="eastAsia" w:ascii="方正小标宋简体" w:eastAsia="方正小标宋简体"/>
          <w:color w:val="auto"/>
          <w:kern w:val="0"/>
          <w:sz w:val="44"/>
          <w:szCs w:val="44"/>
        </w:rPr>
        <w:t>202</w:t>
      </w:r>
      <w:r>
        <w:rPr>
          <w:rFonts w:hint="eastAsia" w:ascii="方正小标宋简体" w:eastAsia="方正小标宋简体"/>
          <w:color w:val="auto"/>
          <w:kern w:val="0"/>
          <w:sz w:val="44"/>
          <w:szCs w:val="44"/>
          <w:lang w:val="en-US" w:eastAsia="zh-CN"/>
        </w:rPr>
        <w:t>3</w:t>
      </w:r>
      <w:r>
        <w:rPr>
          <w:rFonts w:hint="eastAsia" w:ascii="方正小标宋简体" w:eastAsia="方正小标宋简体"/>
          <w:color w:val="auto"/>
          <w:kern w:val="0"/>
          <w:sz w:val="44"/>
          <w:szCs w:val="44"/>
        </w:rPr>
        <w:t>年部门整体支出</w:t>
      </w:r>
      <w:r>
        <w:rPr>
          <w:rFonts w:hint="eastAsia" w:ascii="方正小标宋简体" w:eastAsia="方正小标宋简体"/>
          <w:color w:val="auto"/>
          <w:kern w:val="0"/>
          <w:sz w:val="44"/>
          <w:szCs w:val="44"/>
          <w:lang w:val="zh-CN"/>
        </w:rPr>
        <w:t>绩效评价报告</w:t>
      </w:r>
    </w:p>
    <w:p>
      <w:pPr>
        <w:pageBreakBefore w:val="0"/>
        <w:widowControl/>
        <w:kinsoku/>
        <w:wordWrap/>
        <w:overflowPunct/>
        <w:topLinePunct w:val="0"/>
        <w:autoSpaceDE/>
        <w:autoSpaceDN/>
        <w:bidi w:val="0"/>
        <w:adjustRightInd w:val="0"/>
        <w:snapToGrid w:val="0"/>
        <w:spacing w:line="576" w:lineRule="atLeast"/>
        <w:ind w:firstLine="640" w:firstLineChars="200"/>
        <w:jc w:val="left"/>
        <w:textAlignment w:val="auto"/>
        <w:outlineLvl w:val="9"/>
        <w:rPr>
          <w:rFonts w:ascii="黑体" w:eastAsia="黑体" w:cs="宋体"/>
          <w:color w:val="auto"/>
          <w:kern w:val="0"/>
          <w:sz w:val="32"/>
          <w:szCs w:val="32"/>
          <w:shd w:val="clear" w:color="auto" w:fill="FFFFFF"/>
        </w:rPr>
      </w:pPr>
    </w:p>
    <w:p>
      <w:pPr>
        <w:pageBreakBefore w:val="0"/>
        <w:widowControl/>
        <w:kinsoku/>
        <w:wordWrap/>
        <w:overflowPunct/>
        <w:topLinePunct w:val="0"/>
        <w:autoSpaceDE/>
        <w:autoSpaceDN/>
        <w:bidi w:val="0"/>
        <w:adjustRightInd w:val="0"/>
        <w:snapToGrid w:val="0"/>
        <w:spacing w:line="576" w:lineRule="atLeast"/>
        <w:ind w:firstLine="640" w:firstLineChars="200"/>
        <w:jc w:val="left"/>
        <w:textAlignment w:val="auto"/>
        <w:outlineLvl w:val="9"/>
        <w:rPr>
          <w:rFonts w:ascii="黑体" w:eastAsia="黑体" w:cs="宋体"/>
          <w:color w:val="auto"/>
          <w:kern w:val="0"/>
          <w:sz w:val="32"/>
          <w:szCs w:val="32"/>
          <w:shd w:val="clear" w:color="auto" w:fill="FFFFFF"/>
          <w:lang w:val="zh-CN"/>
        </w:rPr>
      </w:pPr>
      <w:r>
        <w:rPr>
          <w:rFonts w:hint="eastAsia" w:ascii="黑体" w:eastAsia="黑体" w:cs="宋体"/>
          <w:color w:val="auto"/>
          <w:kern w:val="0"/>
          <w:sz w:val="32"/>
          <w:szCs w:val="32"/>
          <w:shd w:val="clear" w:color="auto" w:fill="FFFFFF"/>
        </w:rPr>
        <w:t>一、</w:t>
      </w:r>
      <w:r>
        <w:rPr>
          <w:rFonts w:hint="eastAsia" w:ascii="黑体" w:eastAsia="黑体" w:cs="宋体"/>
          <w:color w:val="auto"/>
          <w:kern w:val="0"/>
          <w:sz w:val="32"/>
          <w:szCs w:val="32"/>
          <w:shd w:val="clear" w:color="auto" w:fill="FFFFFF"/>
          <w:lang w:val="zh-CN"/>
        </w:rPr>
        <w:t>部门（单位）概况</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b/>
          <w:bCs/>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（一）机构组成</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茂县青少年活动中心是共青团茂县委员会下属二级单位。</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b/>
          <w:bCs/>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（二）机构职能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1.完成县委和上级团委的工作部署和要求，结合我委实际，制定团的工作计划；定期召开团委的各级会议，听取基层团委工作汇报和情况反映，布置、研讨和检查团的工作。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4.通过调查研究和认真总结，及时推广先进集体和先进个人的经验，及时发现和掌握团员青年思想上倾向性的问题。不断研究新情况，解决新问题，探索新规律。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5.维护青少年的正当权益。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6.指导基层团委开展工作。依据上级有关规定，负责全县团员团费的收缴、管理和使用。</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7.配合县委抓好青少年党建工作，做好优秀团员入党的推荐工作。</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b/>
          <w:bCs/>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（三）人员概况</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总编制3名,其中:行政编制0名,事业编制3名。现有在职人员总数3名，其中：事业人员3名。</w:t>
      </w:r>
    </w:p>
    <w:p>
      <w:pPr>
        <w:pageBreakBefore w:val="0"/>
        <w:widowControl/>
        <w:kinsoku/>
        <w:wordWrap/>
        <w:overflowPunct/>
        <w:topLinePunct w:val="0"/>
        <w:autoSpaceDE/>
        <w:autoSpaceDN/>
        <w:bidi w:val="0"/>
        <w:adjustRightInd w:val="0"/>
        <w:snapToGrid w:val="0"/>
        <w:spacing w:line="576" w:lineRule="atLeast"/>
        <w:ind w:firstLine="640" w:firstLineChars="200"/>
        <w:jc w:val="left"/>
        <w:textAlignment w:val="auto"/>
        <w:outlineLvl w:val="9"/>
        <w:rPr>
          <w:rFonts w:ascii="黑体" w:eastAsia="黑体" w:cs="宋体"/>
          <w:color w:val="auto"/>
          <w:kern w:val="0"/>
          <w:sz w:val="32"/>
          <w:szCs w:val="32"/>
          <w:shd w:val="clear" w:color="auto" w:fill="FFFFFF"/>
        </w:rPr>
      </w:pPr>
      <w:r>
        <w:rPr>
          <w:rFonts w:hint="eastAsia" w:ascii="黑体" w:eastAsia="黑体" w:cs="宋体"/>
          <w:color w:val="auto"/>
          <w:kern w:val="0"/>
          <w:sz w:val="32"/>
          <w:szCs w:val="32"/>
          <w:shd w:val="clear" w:color="auto" w:fill="FFFFFF"/>
        </w:rPr>
        <w:t>二、部门财政资金收支情况</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（一）部门财政资金收入情况</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年本年收入合计5</w:t>
      </w:r>
      <w:r>
        <w:rPr>
          <w:rFonts w:hint="eastAsia" w:ascii="仿宋_GB2312" w:eastAsia="仿宋_GB2312" w:cs="仿宋_GB2312"/>
          <w:bCs/>
          <w:color w:val="auto"/>
          <w:kern w:val="0"/>
          <w:sz w:val="32"/>
          <w:szCs w:val="32"/>
          <w:lang w:val="en-US" w:eastAsia="zh-CN"/>
        </w:rPr>
        <w:t>0.50</w:t>
      </w:r>
      <w:r>
        <w:rPr>
          <w:rFonts w:hint="eastAsia" w:ascii="仿宋_GB2312" w:eastAsia="仿宋_GB2312" w:cs="仿宋_GB2312"/>
          <w:bCs/>
          <w:color w:val="auto"/>
          <w:kern w:val="0"/>
          <w:sz w:val="32"/>
          <w:szCs w:val="32"/>
          <w:lang w:val="zh-CN"/>
        </w:rPr>
        <w:t>万元，其中：一般公共预算财政拨款收入</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（二）部门财政资金支出情况</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年一般公共预算财政拨款支出</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1.本年财政拨款支出按功能科目分类包括：一般公共服务支出</w:t>
      </w:r>
      <w:r>
        <w:rPr>
          <w:rFonts w:hint="eastAsia" w:ascii="仿宋_GB2312" w:eastAsia="仿宋_GB2312" w:cs="仿宋_GB2312"/>
          <w:bCs/>
          <w:color w:val="auto"/>
          <w:kern w:val="0"/>
          <w:sz w:val="32"/>
          <w:szCs w:val="32"/>
          <w:lang w:val="en-US" w:eastAsia="zh-CN"/>
        </w:rPr>
        <w:t>36.92</w:t>
      </w:r>
      <w:r>
        <w:rPr>
          <w:rFonts w:hint="eastAsia" w:ascii="仿宋_GB2312" w:eastAsia="仿宋_GB2312" w:cs="仿宋_GB2312"/>
          <w:bCs/>
          <w:color w:val="auto"/>
          <w:kern w:val="0"/>
          <w:sz w:val="32"/>
          <w:szCs w:val="32"/>
          <w:lang w:val="zh-CN"/>
        </w:rPr>
        <w:t>万元；社会保障和就业支出</w:t>
      </w:r>
      <w:r>
        <w:rPr>
          <w:rFonts w:hint="eastAsia" w:ascii="仿宋_GB2312" w:eastAsia="仿宋_GB2312" w:cs="仿宋_GB2312"/>
          <w:bCs/>
          <w:color w:val="auto"/>
          <w:kern w:val="0"/>
          <w:sz w:val="32"/>
          <w:szCs w:val="32"/>
          <w:lang w:val="en-US" w:eastAsia="zh-CN"/>
        </w:rPr>
        <w:t>7.15</w:t>
      </w:r>
      <w:r>
        <w:rPr>
          <w:rFonts w:hint="eastAsia" w:ascii="仿宋_GB2312" w:eastAsia="仿宋_GB2312" w:cs="仿宋_GB2312"/>
          <w:bCs/>
          <w:color w:val="auto"/>
          <w:kern w:val="0"/>
          <w:sz w:val="32"/>
          <w:szCs w:val="32"/>
          <w:lang w:val="zh-CN"/>
        </w:rPr>
        <w:t>万元；卫生健康支出</w:t>
      </w:r>
      <w:r>
        <w:rPr>
          <w:rFonts w:hint="eastAsia" w:ascii="仿宋_GB2312" w:eastAsia="仿宋_GB2312" w:cs="仿宋_GB2312"/>
          <w:bCs/>
          <w:color w:val="auto"/>
          <w:kern w:val="0"/>
          <w:sz w:val="32"/>
          <w:szCs w:val="32"/>
          <w:lang w:val="en-US" w:eastAsia="zh-CN"/>
        </w:rPr>
        <w:t>2.73</w:t>
      </w:r>
      <w:r>
        <w:rPr>
          <w:rFonts w:hint="eastAsia" w:ascii="仿宋_GB2312" w:eastAsia="仿宋_GB2312" w:cs="仿宋_GB2312"/>
          <w:bCs/>
          <w:color w:val="auto"/>
          <w:kern w:val="0"/>
          <w:sz w:val="32"/>
          <w:szCs w:val="32"/>
          <w:lang w:val="zh-CN"/>
        </w:rPr>
        <w:t>万元；住房保障支出3.</w:t>
      </w:r>
      <w:r>
        <w:rPr>
          <w:rFonts w:hint="eastAsia" w:ascii="仿宋_GB2312" w:eastAsia="仿宋_GB2312" w:cs="仿宋_GB2312"/>
          <w:bCs/>
          <w:color w:val="auto"/>
          <w:kern w:val="0"/>
          <w:sz w:val="32"/>
          <w:szCs w:val="32"/>
          <w:lang w:val="en-US" w:eastAsia="zh-CN"/>
        </w:rPr>
        <w:t>7</w:t>
      </w:r>
      <w:r>
        <w:rPr>
          <w:rFonts w:hint="eastAsia" w:ascii="仿宋_GB2312" w:eastAsia="仿宋_GB2312" w:cs="仿宋_GB2312"/>
          <w:bCs/>
          <w:color w:val="auto"/>
          <w:kern w:val="0"/>
          <w:sz w:val="32"/>
          <w:szCs w:val="32"/>
          <w:lang w:val="zh-CN"/>
        </w:rPr>
        <w:t>万元。</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2.本年财政拨款支出按经济科目分类包括：工资福利支出</w:t>
      </w:r>
      <w:r>
        <w:rPr>
          <w:rFonts w:hint="eastAsia" w:ascii="仿宋_GB2312" w:eastAsia="仿宋_GB2312" w:cs="仿宋_GB2312"/>
          <w:bCs/>
          <w:color w:val="auto"/>
          <w:kern w:val="0"/>
          <w:sz w:val="32"/>
          <w:szCs w:val="32"/>
          <w:lang w:val="en-US" w:eastAsia="zh-CN"/>
        </w:rPr>
        <w:t>49.07</w:t>
      </w:r>
      <w:r>
        <w:rPr>
          <w:rFonts w:hint="eastAsia" w:ascii="仿宋_GB2312" w:eastAsia="仿宋_GB2312" w:cs="仿宋_GB2312"/>
          <w:bCs/>
          <w:color w:val="auto"/>
          <w:kern w:val="0"/>
          <w:sz w:val="32"/>
          <w:szCs w:val="32"/>
          <w:lang w:val="zh-CN"/>
        </w:rPr>
        <w:t>万元；商品和服务支出</w:t>
      </w:r>
      <w:r>
        <w:rPr>
          <w:rFonts w:hint="eastAsia" w:ascii="仿宋_GB2312" w:eastAsia="仿宋_GB2312" w:cs="仿宋_GB2312"/>
          <w:bCs/>
          <w:color w:val="auto"/>
          <w:kern w:val="0"/>
          <w:sz w:val="32"/>
          <w:szCs w:val="32"/>
          <w:lang w:val="en-US" w:eastAsia="zh-CN"/>
        </w:rPr>
        <w:t>1.43</w:t>
      </w:r>
      <w:r>
        <w:rPr>
          <w:rFonts w:hint="eastAsia" w:ascii="仿宋_GB2312" w:eastAsia="仿宋_GB2312" w:cs="仿宋_GB2312"/>
          <w:bCs/>
          <w:color w:val="auto"/>
          <w:kern w:val="0"/>
          <w:sz w:val="32"/>
          <w:szCs w:val="32"/>
          <w:lang w:val="zh-CN"/>
        </w:rPr>
        <w:t>万元。</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3.本年财政拨款支出按支出性质分类包括：1.基本支出</w:t>
      </w:r>
      <w:r>
        <w:rPr>
          <w:rFonts w:hint="eastAsia" w:ascii="仿宋_GB2312" w:eastAsia="仿宋_GB2312" w:cs="仿宋_GB2312"/>
          <w:bCs/>
          <w:color w:val="auto"/>
          <w:kern w:val="0"/>
          <w:sz w:val="32"/>
          <w:szCs w:val="32"/>
          <w:lang w:val="en-US" w:eastAsia="zh-CN"/>
        </w:rPr>
        <w:t>50.50</w:t>
      </w:r>
      <w:r>
        <w:rPr>
          <w:rFonts w:hint="eastAsia" w:ascii="仿宋_GB2312" w:eastAsia="仿宋_GB2312" w:cs="仿宋_GB2312"/>
          <w:bCs/>
          <w:color w:val="auto"/>
          <w:kern w:val="0"/>
          <w:sz w:val="32"/>
          <w:szCs w:val="32"/>
          <w:lang w:val="zh-CN"/>
        </w:rPr>
        <w:t>万元（其中：人员经费</w:t>
      </w:r>
      <w:r>
        <w:rPr>
          <w:rFonts w:hint="eastAsia" w:ascii="仿宋_GB2312" w:eastAsia="仿宋_GB2312" w:cs="仿宋_GB2312"/>
          <w:bCs/>
          <w:color w:val="auto"/>
          <w:kern w:val="0"/>
          <w:sz w:val="32"/>
          <w:szCs w:val="32"/>
          <w:lang w:val="en-US" w:eastAsia="zh-CN"/>
        </w:rPr>
        <w:t>49.07</w:t>
      </w:r>
      <w:r>
        <w:rPr>
          <w:rFonts w:hint="eastAsia" w:ascii="仿宋_GB2312" w:eastAsia="仿宋_GB2312" w:cs="仿宋_GB2312"/>
          <w:bCs/>
          <w:color w:val="auto"/>
          <w:kern w:val="0"/>
          <w:sz w:val="32"/>
          <w:szCs w:val="32"/>
          <w:lang w:val="zh-CN"/>
        </w:rPr>
        <w:t>元；日常公用经费1</w:t>
      </w:r>
      <w:r>
        <w:rPr>
          <w:rFonts w:hint="eastAsia" w:ascii="仿宋_GB2312" w:eastAsia="仿宋_GB2312" w:cs="仿宋_GB2312"/>
          <w:bCs/>
          <w:color w:val="auto"/>
          <w:kern w:val="0"/>
          <w:sz w:val="32"/>
          <w:szCs w:val="32"/>
          <w:lang w:val="en-US" w:eastAsia="zh-CN"/>
        </w:rPr>
        <w:t>.43</w:t>
      </w:r>
      <w:r>
        <w:rPr>
          <w:rFonts w:hint="eastAsia" w:ascii="仿宋_GB2312" w:eastAsia="仿宋_GB2312" w:cs="仿宋_GB2312"/>
          <w:bCs/>
          <w:color w:val="auto"/>
          <w:kern w:val="0"/>
          <w:sz w:val="32"/>
          <w:szCs w:val="32"/>
          <w:lang w:val="zh-CN"/>
        </w:rPr>
        <w:t>万元）。</w:t>
      </w:r>
    </w:p>
    <w:p>
      <w:pPr>
        <w:pageBreakBefore w:val="0"/>
        <w:widowControl/>
        <w:kinsoku/>
        <w:wordWrap/>
        <w:overflowPunct/>
        <w:topLinePunct w:val="0"/>
        <w:autoSpaceDE/>
        <w:autoSpaceDN/>
        <w:bidi w:val="0"/>
        <w:adjustRightInd w:val="0"/>
        <w:snapToGrid w:val="0"/>
        <w:spacing w:line="576" w:lineRule="atLeast"/>
        <w:ind w:firstLine="640" w:firstLineChars="200"/>
        <w:jc w:val="left"/>
        <w:textAlignment w:val="auto"/>
        <w:outlineLvl w:val="9"/>
        <w:rPr>
          <w:rFonts w:ascii="黑体" w:eastAsia="黑体" w:cs="宋体"/>
          <w:color w:val="auto"/>
          <w:kern w:val="0"/>
          <w:sz w:val="32"/>
          <w:szCs w:val="32"/>
          <w:shd w:val="clear" w:color="auto" w:fill="FFFFFF"/>
        </w:rPr>
      </w:pPr>
      <w:r>
        <w:rPr>
          <w:rFonts w:hint="eastAsia" w:ascii="黑体" w:eastAsia="黑体" w:cs="宋体"/>
          <w:color w:val="auto"/>
          <w:kern w:val="0"/>
          <w:sz w:val="32"/>
          <w:szCs w:val="32"/>
          <w:shd w:val="clear" w:color="auto" w:fill="FFFFFF"/>
        </w:rPr>
        <w:t>三、部门整体预算绩效管理情况</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b/>
          <w:bCs/>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（一）部门预算管理</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我单位严格按照县级部门预算编制通知和有关要求，按时完成基础库、项目库报送工作，按时完成202</w:t>
      </w: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lang w:val="zh-CN"/>
        </w:rPr>
        <w:t>年预算编制工作，并按时提交部门预算草案。按规定编制政府采购预算，预算编制全面、科学。202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年部门决算、绩效目标填报及年末结余结转都是严格按照县财政局的要求认真完成。 </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b/>
          <w:bCs/>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（二）结果应用情况</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财政拨款支出主要用于保障我单位机构正常运转、完成日常工作任务以及承担本单位事业发展相关工作。基本支出，是用于保障事业单位等机构正常运转的日常支出，包括基本工资、津贴补贴等人员经费以及办公费、印刷费、水电费、办公设备购置等日常公用经费。</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按支出功能分类主要用于以下方面：一般公共服务，社会保障和就业，卫生健康、住房保障等支出。</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我单位认真执行中央八项规定，严格控制三公经费支出。202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年我单位未发生三公经费费用支出。我单位严格执行《茂县县级财政专项资金绩效分配管理暂行办法》进行绩效分配制度。严格按照用款计划，分月、季度执行，按照项目资金管理办法实行专款专用。</w:t>
      </w:r>
    </w:p>
    <w:p>
      <w:pPr>
        <w:pageBreakBefore w:val="0"/>
        <w:widowControl/>
        <w:kinsoku/>
        <w:wordWrap/>
        <w:overflowPunct/>
        <w:topLinePunct w:val="0"/>
        <w:autoSpaceDE/>
        <w:autoSpaceDN/>
        <w:bidi w:val="0"/>
        <w:adjustRightInd w:val="0"/>
        <w:snapToGrid w:val="0"/>
        <w:spacing w:line="576" w:lineRule="atLeast"/>
        <w:ind w:firstLine="640" w:firstLineChars="200"/>
        <w:jc w:val="left"/>
        <w:textAlignment w:val="auto"/>
        <w:outlineLvl w:val="9"/>
        <w:rPr>
          <w:rFonts w:ascii="黑体" w:eastAsia="黑体" w:cs="宋体"/>
          <w:color w:val="auto"/>
          <w:kern w:val="0"/>
          <w:sz w:val="32"/>
          <w:szCs w:val="32"/>
          <w:shd w:val="clear" w:color="auto" w:fill="FFFFFF"/>
        </w:rPr>
      </w:pPr>
      <w:r>
        <w:rPr>
          <w:rFonts w:hint="eastAsia" w:ascii="黑体" w:eastAsia="黑体" w:cs="宋体"/>
          <w:color w:val="auto"/>
          <w:kern w:val="0"/>
          <w:sz w:val="32"/>
          <w:szCs w:val="32"/>
          <w:shd w:val="clear" w:color="auto" w:fill="FFFFFF"/>
        </w:rPr>
        <w:t>四、评价结论及建议</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b/>
          <w:bCs/>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（一）评价结论</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按照预算法按时完成预决算编制。在执行过程中有计划进行资金申报使用，完善资金管理及内部控制制度，确保资金安全，做到账款、账账、账实相符。</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b/>
          <w:bCs/>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（二）存在问题</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由于人员配备不够，对单位资金安排、使用、核算上存在不很合理现象，导致财务工作由滞后等情况。</w:t>
      </w:r>
    </w:p>
    <w:p>
      <w:pPr>
        <w:pageBreakBefore w:val="0"/>
        <w:widowControl/>
        <w:kinsoku/>
        <w:wordWrap/>
        <w:overflowPunct/>
        <w:topLinePunct w:val="0"/>
        <w:autoSpaceDE/>
        <w:autoSpaceDN/>
        <w:bidi w:val="0"/>
        <w:adjustRightInd w:val="0"/>
        <w:snapToGrid w:val="0"/>
        <w:spacing w:line="576" w:lineRule="atLeast"/>
        <w:ind w:firstLine="643" w:firstLineChars="200"/>
        <w:jc w:val="left"/>
        <w:textAlignment w:val="auto"/>
        <w:outlineLvl w:val="9"/>
        <w:rPr>
          <w:rFonts w:ascii="楷体_GB2312" w:eastAsia="楷体_GB2312" w:cs="楷体_GB2312"/>
          <w:b/>
          <w:bCs/>
          <w:color w:val="auto"/>
          <w:kern w:val="0"/>
          <w:sz w:val="32"/>
          <w:szCs w:val="32"/>
          <w:shd w:val="clear" w:color="auto" w:fill="FFFFFF"/>
          <w:lang w:val="zh-CN"/>
        </w:rPr>
      </w:pPr>
      <w:r>
        <w:rPr>
          <w:rFonts w:hint="eastAsia" w:ascii="楷体_GB2312" w:eastAsia="楷体_GB2312" w:cs="楷体_GB2312"/>
          <w:b/>
          <w:bCs/>
          <w:color w:val="auto"/>
          <w:kern w:val="0"/>
          <w:sz w:val="32"/>
          <w:szCs w:val="32"/>
          <w:shd w:val="clear" w:color="auto" w:fill="FFFFFF"/>
          <w:lang w:val="zh-CN"/>
        </w:rPr>
        <w:t>（三）改进建议</w:t>
      </w:r>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在今后工作中，进一步提高工作效率，保障资金安全，更好地完成本职工作。</w:t>
      </w:r>
    </w:p>
    <w:p>
      <w:pPr>
        <w:pageBreakBefore w:val="0"/>
        <w:kinsoku/>
        <w:wordWrap/>
        <w:overflowPunct/>
        <w:topLinePunct w:val="0"/>
        <w:autoSpaceDE/>
        <w:autoSpaceDN/>
        <w:bidi w:val="0"/>
        <w:spacing w:line="576" w:lineRule="atLeast"/>
        <w:ind w:firstLine="640" w:firstLineChars="200"/>
        <w:textAlignment w:val="auto"/>
        <w:outlineLvl w:val="9"/>
        <w:rPr>
          <w:rFonts w:ascii="仿宋_GB2312" w:eastAsia="仿宋_GB2312" w:cs="宋体"/>
          <w:color w:val="auto"/>
          <w:kern w:val="0"/>
          <w:sz w:val="32"/>
          <w:szCs w:val="32"/>
          <w:shd w:val="clear" w:color="auto" w:fill="FFFFFF"/>
          <w:lang w:val="zh-CN"/>
        </w:rPr>
      </w:pPr>
    </w:p>
    <w:p>
      <w:pPr>
        <w:pageBreakBefore w:val="0"/>
        <w:kinsoku/>
        <w:wordWrap/>
        <w:overflowPunct/>
        <w:topLinePunct w:val="0"/>
        <w:autoSpaceDE/>
        <w:autoSpaceDN/>
        <w:bidi w:val="0"/>
        <w:spacing w:line="576" w:lineRule="atLeast"/>
        <w:jc w:val="right"/>
        <w:textAlignment w:val="auto"/>
        <w:outlineLvl w:val="9"/>
        <w:rPr>
          <w:rFonts w:ascii="仿宋_GB2312" w:eastAsia="仿宋_GB2312" w:cs="宋体"/>
          <w:color w:val="auto"/>
          <w:kern w:val="0"/>
          <w:sz w:val="32"/>
          <w:szCs w:val="32"/>
          <w:shd w:val="clear" w:color="auto" w:fill="FFFFFF"/>
          <w:lang w:val="zh-CN"/>
        </w:rPr>
      </w:pPr>
    </w:p>
    <w:p>
      <w:pPr>
        <w:pageBreakBefore w:val="0"/>
        <w:kinsoku/>
        <w:wordWrap/>
        <w:overflowPunct/>
        <w:topLinePunct w:val="0"/>
        <w:autoSpaceDE/>
        <w:autoSpaceDN/>
        <w:bidi w:val="0"/>
        <w:spacing w:line="576" w:lineRule="exact"/>
        <w:jc w:val="center"/>
        <w:textAlignment w:val="auto"/>
        <w:outlineLvl w:val="9"/>
        <w:rPr>
          <w:rFonts w:ascii="方正小标宋简体" w:eastAsia="方正小标宋简体"/>
          <w:color w:val="auto"/>
          <w:kern w:val="0"/>
          <w:sz w:val="40"/>
          <w:szCs w:val="44"/>
          <w:lang w:val="zh-CN"/>
        </w:rPr>
      </w:pPr>
    </w:p>
    <w:p>
      <w:pPr>
        <w:pageBreakBefore w:val="0"/>
        <w:kinsoku/>
        <w:wordWrap/>
        <w:overflowPunct/>
        <w:topLinePunct w:val="0"/>
        <w:autoSpaceDE/>
        <w:autoSpaceDN/>
        <w:bidi w:val="0"/>
        <w:textAlignment w:val="auto"/>
        <w:outlineLvl w:val="9"/>
        <w:rPr>
          <w:color w:val="auto"/>
        </w:rPr>
      </w:pPr>
    </w:p>
    <w:p>
      <w:pPr>
        <w:pageBreakBefore w:val="0"/>
        <w:kinsoku/>
        <w:wordWrap/>
        <w:overflowPunct/>
        <w:topLinePunct w:val="0"/>
        <w:autoSpaceDE/>
        <w:autoSpaceDN/>
        <w:bidi w:val="0"/>
        <w:spacing w:line="576" w:lineRule="exact"/>
        <w:jc w:val="left"/>
        <w:textAlignment w:val="auto"/>
        <w:outlineLvl w:val="9"/>
        <w:rPr>
          <w:rFonts w:ascii="黑体" w:eastAsia="黑体" w:cs="黑体"/>
          <w:color w:val="auto"/>
          <w:sz w:val="32"/>
          <w:szCs w:val="32"/>
        </w:rPr>
      </w:pPr>
      <w:bookmarkStart w:id="115" w:name="_Toc79163885"/>
      <w:bookmarkStart w:id="116" w:name="_Toc79163635"/>
      <w:bookmarkStart w:id="117" w:name="_Toc15396618"/>
    </w:p>
    <w:p>
      <w:pPr>
        <w:pageBreakBefore w:val="0"/>
        <w:kinsoku/>
        <w:wordWrap/>
        <w:overflowPunct/>
        <w:topLinePunct w:val="0"/>
        <w:autoSpaceDE/>
        <w:autoSpaceDN/>
        <w:bidi w:val="0"/>
        <w:spacing w:line="576" w:lineRule="exact"/>
        <w:jc w:val="left"/>
        <w:textAlignment w:val="auto"/>
        <w:outlineLvl w:val="9"/>
        <w:rPr>
          <w:rFonts w:ascii="黑体" w:eastAsia="黑体" w:cs="黑体"/>
          <w:color w:val="auto"/>
          <w:sz w:val="32"/>
          <w:szCs w:val="32"/>
        </w:rPr>
      </w:pPr>
    </w:p>
    <w:p>
      <w:pPr>
        <w:pageBreakBefore w:val="0"/>
        <w:kinsoku/>
        <w:wordWrap/>
        <w:overflowPunct/>
        <w:topLinePunct w:val="0"/>
        <w:autoSpaceDE/>
        <w:autoSpaceDN/>
        <w:bidi w:val="0"/>
        <w:spacing w:line="576" w:lineRule="exact"/>
        <w:jc w:val="left"/>
        <w:textAlignment w:val="auto"/>
        <w:outlineLvl w:val="9"/>
        <w:rPr>
          <w:rFonts w:ascii="黑体" w:eastAsia="黑体" w:cs="黑体"/>
          <w:color w:val="auto"/>
          <w:sz w:val="32"/>
          <w:szCs w:val="32"/>
        </w:rPr>
      </w:pPr>
    </w:p>
    <w:p>
      <w:pPr>
        <w:pageBreakBefore w:val="0"/>
        <w:kinsoku/>
        <w:wordWrap/>
        <w:overflowPunct/>
        <w:topLinePunct w:val="0"/>
        <w:autoSpaceDE/>
        <w:autoSpaceDN/>
        <w:bidi w:val="0"/>
        <w:textAlignment w:val="auto"/>
        <w:outlineLvl w:val="9"/>
        <w:rPr>
          <w:color w:val="auto"/>
        </w:rPr>
      </w:pPr>
    </w:p>
    <w:p>
      <w:pPr>
        <w:pageBreakBefore w:val="0"/>
        <w:kinsoku/>
        <w:wordWrap/>
        <w:overflowPunct/>
        <w:topLinePunct w:val="0"/>
        <w:autoSpaceDE/>
        <w:autoSpaceDN/>
        <w:bidi w:val="0"/>
        <w:textAlignment w:val="auto"/>
        <w:outlineLvl w:val="9"/>
        <w:rPr>
          <w:color w:val="auto"/>
        </w:rPr>
      </w:pPr>
    </w:p>
    <w:p>
      <w:pPr>
        <w:pageBreakBefore w:val="0"/>
        <w:kinsoku/>
        <w:wordWrap/>
        <w:overflowPunct/>
        <w:topLinePunct w:val="0"/>
        <w:autoSpaceDE/>
        <w:autoSpaceDN/>
        <w:bidi w:val="0"/>
        <w:textAlignment w:val="auto"/>
        <w:outlineLvl w:val="9"/>
        <w:rPr>
          <w:color w:val="auto"/>
        </w:rPr>
      </w:pPr>
    </w:p>
    <w:p>
      <w:pPr>
        <w:pageBreakBefore w:val="0"/>
        <w:kinsoku/>
        <w:wordWrap/>
        <w:overflowPunct/>
        <w:topLinePunct w:val="0"/>
        <w:autoSpaceDE/>
        <w:autoSpaceDN/>
        <w:bidi w:val="0"/>
        <w:textAlignment w:val="auto"/>
        <w:outlineLvl w:val="9"/>
        <w:rPr>
          <w:color w:val="auto"/>
        </w:rPr>
      </w:pPr>
    </w:p>
    <w:p>
      <w:pPr>
        <w:pageBreakBefore w:val="0"/>
        <w:kinsoku/>
        <w:wordWrap/>
        <w:overflowPunct/>
        <w:topLinePunct w:val="0"/>
        <w:autoSpaceDE/>
        <w:autoSpaceDN/>
        <w:bidi w:val="0"/>
        <w:textAlignment w:val="auto"/>
        <w:outlineLvl w:val="9"/>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
      <w:pPr>
        <w:pageBreakBefore w:val="0"/>
        <w:kinsoku/>
        <w:wordWrap/>
        <w:overflowPunct/>
        <w:topLinePunct w:val="0"/>
        <w:autoSpaceDE/>
        <w:autoSpaceDN/>
        <w:bidi w:val="0"/>
        <w:spacing w:line="576" w:lineRule="exact"/>
        <w:jc w:val="center"/>
        <w:textAlignment w:val="auto"/>
        <w:outlineLvl w:val="9"/>
        <w:rPr>
          <w:rFonts w:hint="eastAsia" w:ascii="方正小标宋简体" w:eastAsia="方正小标宋简体" w:cs="方正小标宋简体"/>
          <w:color w:val="auto"/>
          <w:sz w:val="44"/>
          <w:szCs w:val="44"/>
        </w:rPr>
      </w:pPr>
    </w:p>
    <w:p>
      <w:pPr>
        <w:pageBreakBefore w:val="0"/>
        <w:kinsoku/>
        <w:wordWrap/>
        <w:overflowPunct/>
        <w:topLinePunct w:val="0"/>
        <w:autoSpaceDE/>
        <w:autoSpaceDN/>
        <w:bidi w:val="0"/>
        <w:spacing w:line="576" w:lineRule="exact"/>
        <w:jc w:val="center"/>
        <w:textAlignment w:val="auto"/>
        <w:outlineLvl w:val="9"/>
        <w:rPr>
          <w:rFonts w:hint="eastAsia" w:ascii="方正小标宋简体" w:eastAsia="方正小标宋简体" w:cs="方正小标宋简体"/>
          <w:color w:val="auto"/>
          <w:sz w:val="44"/>
          <w:szCs w:val="44"/>
        </w:rPr>
      </w:pP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jc w:val="center"/>
        <w:textAlignment w:val="auto"/>
        <w:outlineLvl w:val="0"/>
        <w:rPr>
          <w:rStyle w:val="29"/>
          <w:rFonts w:hint="eastAsia" w:ascii="方正小标宋简体" w:eastAsia="方正小标宋简体" w:cs="方正小标宋简体"/>
          <w:b w:val="0"/>
          <w:color w:val="auto"/>
        </w:rPr>
      </w:pPr>
      <w:bookmarkStart w:id="118" w:name="_Toc26276"/>
      <w:r>
        <w:rPr>
          <w:rStyle w:val="29"/>
          <w:rFonts w:hint="eastAsia" w:ascii="方正小标宋简体" w:eastAsia="方正小标宋简体" w:cs="方正小标宋简体"/>
          <w:b w:val="0"/>
          <w:color w:val="auto"/>
        </w:rPr>
        <w:t>附表</w:t>
      </w:r>
      <w:bookmarkEnd w:id="108"/>
      <w:bookmarkEnd w:id="115"/>
      <w:bookmarkEnd w:id="116"/>
      <w:bookmarkEnd w:id="117"/>
      <w:bookmarkEnd w:id="118"/>
      <w:bookmarkStart w:id="119" w:name="_Toc79163636"/>
      <w:bookmarkStart w:id="120" w:name="_Toc79163886"/>
      <w:bookmarkStart w:id="121" w:name="_Toc15396619"/>
    </w:p>
    <w:p>
      <w:pPr>
        <w:pStyle w:val="2"/>
        <w:numPr>
          <w:ilvl w:val="0"/>
          <w:numId w:val="0"/>
        </w:numPr>
        <w:ind w:leftChars="800"/>
      </w:pPr>
    </w:p>
    <w:bookmarkEnd w:id="119"/>
    <w:bookmarkEnd w:id="120"/>
    <w:bookmarkEnd w:id="121"/>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22" w:name="_Toc12986"/>
      <w:bookmarkStart w:id="123" w:name="_Toc26370"/>
      <w:bookmarkStart w:id="124" w:name="_Toc18015"/>
      <w:r>
        <w:rPr>
          <w:rFonts w:hint="eastAsia" w:ascii="仿宋_GB2312" w:eastAsia="仿宋_GB2312"/>
          <w:b w:val="0"/>
          <w:color w:val="auto"/>
        </w:rPr>
        <w:t>一、收入支出决算总表</w:t>
      </w:r>
      <w:bookmarkEnd w:id="122"/>
      <w:bookmarkEnd w:id="123"/>
      <w:bookmarkEnd w:id="124"/>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25" w:name="_Toc11914"/>
      <w:bookmarkStart w:id="126" w:name="_Toc13591"/>
      <w:bookmarkStart w:id="127" w:name="_Toc13062"/>
      <w:r>
        <w:rPr>
          <w:rFonts w:hint="eastAsia" w:ascii="仿宋_GB2312" w:eastAsia="仿宋_GB2312"/>
          <w:b w:val="0"/>
          <w:color w:val="auto"/>
        </w:rPr>
        <w:t>二、收入决算表</w:t>
      </w:r>
      <w:bookmarkEnd w:id="125"/>
      <w:bookmarkEnd w:id="126"/>
      <w:bookmarkEnd w:id="127"/>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28" w:name="_Toc29688"/>
      <w:bookmarkStart w:id="129" w:name="_Toc1062"/>
      <w:bookmarkStart w:id="130" w:name="_Toc16600"/>
      <w:r>
        <w:rPr>
          <w:rFonts w:hint="eastAsia" w:ascii="仿宋_GB2312" w:eastAsia="仿宋_GB2312"/>
          <w:b w:val="0"/>
          <w:color w:val="auto"/>
        </w:rPr>
        <w:t>三、支出决算表</w:t>
      </w:r>
      <w:bookmarkEnd w:id="128"/>
      <w:bookmarkEnd w:id="129"/>
      <w:bookmarkEnd w:id="130"/>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31" w:name="_Toc11368"/>
      <w:bookmarkStart w:id="132" w:name="_Toc26630"/>
      <w:bookmarkStart w:id="133" w:name="_Toc5964"/>
      <w:r>
        <w:rPr>
          <w:rFonts w:hint="eastAsia" w:ascii="仿宋_GB2312" w:eastAsia="仿宋_GB2312"/>
          <w:b w:val="0"/>
          <w:color w:val="auto"/>
        </w:rPr>
        <w:t>四、财政拨款收入支出决算总表</w:t>
      </w:r>
      <w:bookmarkEnd w:id="131"/>
      <w:bookmarkEnd w:id="132"/>
      <w:bookmarkEnd w:id="133"/>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34" w:name="_Toc14273"/>
      <w:bookmarkStart w:id="135" w:name="_Toc19934"/>
      <w:bookmarkStart w:id="136" w:name="_Toc32274"/>
      <w:r>
        <w:rPr>
          <w:rFonts w:hint="eastAsia" w:ascii="仿宋_GB2312" w:eastAsia="仿宋_GB2312"/>
          <w:b w:val="0"/>
          <w:color w:val="auto"/>
        </w:rPr>
        <w:t>五、财政拨款支出决算明细表</w:t>
      </w:r>
      <w:bookmarkEnd w:id="134"/>
      <w:bookmarkEnd w:id="135"/>
      <w:bookmarkEnd w:id="136"/>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37" w:name="_Toc16449"/>
      <w:bookmarkStart w:id="138" w:name="_Toc6686"/>
      <w:bookmarkStart w:id="139" w:name="_Toc6325"/>
      <w:r>
        <w:rPr>
          <w:rFonts w:hint="eastAsia" w:ascii="仿宋_GB2312" w:eastAsia="仿宋_GB2312"/>
          <w:b w:val="0"/>
          <w:color w:val="auto"/>
        </w:rPr>
        <w:t>六、一般公共预算财政拨款支出决算表</w:t>
      </w:r>
      <w:bookmarkEnd w:id="137"/>
      <w:bookmarkEnd w:id="138"/>
      <w:bookmarkEnd w:id="139"/>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40" w:name="_Toc3346"/>
      <w:bookmarkStart w:id="141" w:name="_Toc3478"/>
      <w:bookmarkStart w:id="142" w:name="_Toc19514"/>
      <w:r>
        <w:rPr>
          <w:rFonts w:hint="eastAsia" w:ascii="仿宋_GB2312" w:eastAsia="仿宋_GB2312"/>
          <w:b w:val="0"/>
          <w:color w:val="auto"/>
        </w:rPr>
        <w:t>七、一般公共预算财政拨款支出决算明细表</w:t>
      </w:r>
      <w:bookmarkEnd w:id="140"/>
      <w:bookmarkEnd w:id="141"/>
      <w:bookmarkEnd w:id="142"/>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43" w:name="_Toc18839"/>
      <w:bookmarkStart w:id="144" w:name="_Toc191"/>
      <w:bookmarkStart w:id="145" w:name="_Toc17352"/>
      <w:r>
        <w:rPr>
          <w:rFonts w:hint="eastAsia" w:ascii="仿宋_GB2312" w:eastAsia="仿宋_GB2312"/>
          <w:b w:val="0"/>
          <w:color w:val="auto"/>
        </w:rPr>
        <w:t>八、一般公共预算财政拨款基本支出决算表</w:t>
      </w:r>
      <w:bookmarkEnd w:id="143"/>
      <w:bookmarkEnd w:id="144"/>
      <w:bookmarkEnd w:id="145"/>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46" w:name="_Toc21479"/>
      <w:bookmarkStart w:id="147" w:name="_Toc3726"/>
      <w:bookmarkStart w:id="148" w:name="_Toc5204"/>
      <w:r>
        <w:rPr>
          <w:rFonts w:hint="eastAsia" w:ascii="仿宋_GB2312" w:eastAsia="仿宋_GB2312"/>
          <w:b w:val="0"/>
          <w:color w:val="auto"/>
        </w:rPr>
        <w:t>九、一般公共预算财政拨款项目支出决算表</w:t>
      </w:r>
      <w:bookmarkEnd w:id="146"/>
      <w:bookmarkEnd w:id="147"/>
      <w:bookmarkEnd w:id="148"/>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49" w:name="_Toc3917"/>
      <w:bookmarkStart w:id="150" w:name="_Toc20756"/>
      <w:bookmarkStart w:id="151" w:name="_Toc20056"/>
      <w:r>
        <w:rPr>
          <w:rFonts w:hint="eastAsia" w:ascii="仿宋_GB2312" w:eastAsia="仿宋_GB2312"/>
          <w:b w:val="0"/>
          <w:color w:val="auto"/>
        </w:rPr>
        <w:t>十、政府性基金预算财政拨款收入支出决算表</w:t>
      </w:r>
      <w:bookmarkEnd w:id="149"/>
      <w:bookmarkEnd w:id="150"/>
      <w:bookmarkEnd w:id="151"/>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52" w:name="_Toc21387"/>
      <w:bookmarkStart w:id="153" w:name="_Toc13849"/>
      <w:bookmarkStart w:id="154" w:name="_Toc16454"/>
      <w:r>
        <w:rPr>
          <w:rFonts w:hint="eastAsia" w:ascii="仿宋_GB2312" w:eastAsia="仿宋_GB2312"/>
          <w:b w:val="0"/>
          <w:color w:val="auto"/>
        </w:rPr>
        <w:t>十一、国有资本经营预算财政拨款收入支出决算表</w:t>
      </w:r>
      <w:bookmarkEnd w:id="152"/>
      <w:bookmarkEnd w:id="153"/>
      <w:bookmarkEnd w:id="154"/>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55" w:name="_Toc27977"/>
      <w:bookmarkStart w:id="156" w:name="_Toc13099"/>
      <w:bookmarkStart w:id="157" w:name="_Toc1140"/>
      <w:r>
        <w:rPr>
          <w:rFonts w:hint="eastAsia" w:ascii="仿宋_GB2312" w:eastAsia="仿宋_GB2312"/>
          <w:b w:val="0"/>
          <w:color w:val="auto"/>
        </w:rPr>
        <w:t>十二、国有资本经营预算财政拨款支出决算表</w:t>
      </w:r>
      <w:bookmarkEnd w:id="155"/>
      <w:bookmarkEnd w:id="156"/>
      <w:bookmarkEnd w:id="157"/>
    </w:p>
    <w:p>
      <w:pPr>
        <w:pStyle w:val="4"/>
        <w:keepNext/>
        <w:keepLines/>
        <w:pageBreakBefore w:val="0"/>
        <w:widowControl w:val="0"/>
        <w:kinsoku/>
        <w:wordWrap/>
        <w:overflowPunct/>
        <w:topLinePunct w:val="0"/>
        <w:autoSpaceDE/>
        <w:autoSpaceDN/>
        <w:bidi w:val="0"/>
        <w:adjustRightInd/>
        <w:snapToGrid/>
        <w:spacing w:before="100" w:after="100" w:line="576" w:lineRule="exact"/>
        <w:textAlignment w:val="auto"/>
        <w:outlineLvl w:val="1"/>
        <w:rPr>
          <w:rFonts w:ascii="仿宋_GB2312" w:eastAsia="仿宋_GB2312"/>
          <w:b w:val="0"/>
          <w:color w:val="auto"/>
        </w:rPr>
      </w:pPr>
      <w:bookmarkStart w:id="158" w:name="_Toc24957"/>
      <w:bookmarkStart w:id="159" w:name="_Toc10794"/>
      <w:bookmarkStart w:id="160" w:name="_Toc25065"/>
      <w:r>
        <w:rPr>
          <w:rFonts w:hint="eastAsia" w:ascii="仿宋_GB2312" w:eastAsia="仿宋_GB2312"/>
          <w:b w:val="0"/>
          <w:color w:val="auto"/>
        </w:rPr>
        <w:t>十三、财政拨款“三公”经费支出决算表</w:t>
      </w:r>
      <w:bookmarkEnd w:id="158"/>
      <w:bookmarkEnd w:id="159"/>
      <w:bookmarkEnd w:id="160"/>
    </w:p>
    <w:p>
      <w:pPr>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auto"/>
          <w:kern w:val="0"/>
          <w:sz w:val="32"/>
          <w:szCs w:val="32"/>
          <w:shd w:val="clear" w:color="auto" w:fill="FFFFFF"/>
          <w:lang w:val="zh-CN"/>
        </w:rPr>
      </w:pPr>
    </w:p>
    <w:sectPr>
      <w:footerReference r:id="rId7" w:type="first"/>
      <w:footerReference r:id="rId6" w:type="default"/>
      <w:pgSz w:w="11906" w:h="16838"/>
      <w:pgMar w:top="1440" w:right="1701" w:bottom="1134" w:left="1800"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6D121095"/>
    <w:multiLevelType w:val="singleLevel"/>
    <w:tmpl w:val="6D121095"/>
    <w:lvl w:ilvl="0" w:tentative="0">
      <w:start w:val="5"/>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1B4267"/>
    <w:rsid w:val="00021935"/>
    <w:rsid w:val="00040F32"/>
    <w:rsid w:val="00054682"/>
    <w:rsid w:val="0007739D"/>
    <w:rsid w:val="000817E1"/>
    <w:rsid w:val="000824A8"/>
    <w:rsid w:val="000C2E78"/>
    <w:rsid w:val="000D0364"/>
    <w:rsid w:val="00120CFE"/>
    <w:rsid w:val="0018295B"/>
    <w:rsid w:val="001B4267"/>
    <w:rsid w:val="001E6251"/>
    <w:rsid w:val="00240F2B"/>
    <w:rsid w:val="00251545"/>
    <w:rsid w:val="00252EB4"/>
    <w:rsid w:val="0028796C"/>
    <w:rsid w:val="002D1D63"/>
    <w:rsid w:val="002D39D8"/>
    <w:rsid w:val="002E50F9"/>
    <w:rsid w:val="00310D1C"/>
    <w:rsid w:val="00343F1B"/>
    <w:rsid w:val="00344B12"/>
    <w:rsid w:val="003809BD"/>
    <w:rsid w:val="003B52F5"/>
    <w:rsid w:val="003C7268"/>
    <w:rsid w:val="003D1ED5"/>
    <w:rsid w:val="00426621"/>
    <w:rsid w:val="00457531"/>
    <w:rsid w:val="00472144"/>
    <w:rsid w:val="00475A41"/>
    <w:rsid w:val="004C43EA"/>
    <w:rsid w:val="00530555"/>
    <w:rsid w:val="0056371D"/>
    <w:rsid w:val="005954DF"/>
    <w:rsid w:val="005A69CE"/>
    <w:rsid w:val="005C2087"/>
    <w:rsid w:val="005F0699"/>
    <w:rsid w:val="005F1706"/>
    <w:rsid w:val="0062435C"/>
    <w:rsid w:val="006A3A6B"/>
    <w:rsid w:val="006B5DC0"/>
    <w:rsid w:val="006D459B"/>
    <w:rsid w:val="00702E6E"/>
    <w:rsid w:val="007275A7"/>
    <w:rsid w:val="00750E0B"/>
    <w:rsid w:val="007A51F1"/>
    <w:rsid w:val="0082553B"/>
    <w:rsid w:val="00853C2F"/>
    <w:rsid w:val="00864287"/>
    <w:rsid w:val="00872C6D"/>
    <w:rsid w:val="00881BE6"/>
    <w:rsid w:val="008B34BB"/>
    <w:rsid w:val="008E4F04"/>
    <w:rsid w:val="00913BB1"/>
    <w:rsid w:val="00933F46"/>
    <w:rsid w:val="00971137"/>
    <w:rsid w:val="00995FFD"/>
    <w:rsid w:val="009B21EA"/>
    <w:rsid w:val="00A54174"/>
    <w:rsid w:val="00A9789B"/>
    <w:rsid w:val="00AA38A9"/>
    <w:rsid w:val="00B02E71"/>
    <w:rsid w:val="00B145A6"/>
    <w:rsid w:val="00B21BE6"/>
    <w:rsid w:val="00B236E9"/>
    <w:rsid w:val="00B45618"/>
    <w:rsid w:val="00B545C7"/>
    <w:rsid w:val="00B71632"/>
    <w:rsid w:val="00BB5F08"/>
    <w:rsid w:val="00C83A37"/>
    <w:rsid w:val="00CD08AE"/>
    <w:rsid w:val="00D35FC8"/>
    <w:rsid w:val="00D436E7"/>
    <w:rsid w:val="00F56D06"/>
    <w:rsid w:val="00FD31EA"/>
    <w:rsid w:val="00FF7E82"/>
    <w:rsid w:val="01B4513D"/>
    <w:rsid w:val="024617F2"/>
    <w:rsid w:val="035F76BC"/>
    <w:rsid w:val="041F61E0"/>
    <w:rsid w:val="05055E1A"/>
    <w:rsid w:val="05FB64DB"/>
    <w:rsid w:val="06941A25"/>
    <w:rsid w:val="06E21C39"/>
    <w:rsid w:val="07320597"/>
    <w:rsid w:val="0781151E"/>
    <w:rsid w:val="08795696"/>
    <w:rsid w:val="09F77021"/>
    <w:rsid w:val="0A2F52C5"/>
    <w:rsid w:val="0C160487"/>
    <w:rsid w:val="0C1977CA"/>
    <w:rsid w:val="0C8C63AB"/>
    <w:rsid w:val="0D8911BA"/>
    <w:rsid w:val="0DBF4B4E"/>
    <w:rsid w:val="0E012A71"/>
    <w:rsid w:val="0E2477B2"/>
    <w:rsid w:val="0E3453C5"/>
    <w:rsid w:val="0E372937"/>
    <w:rsid w:val="0E572FD9"/>
    <w:rsid w:val="0ED537C6"/>
    <w:rsid w:val="0EDB38D1"/>
    <w:rsid w:val="0EE337CA"/>
    <w:rsid w:val="0FE10DAC"/>
    <w:rsid w:val="108D683E"/>
    <w:rsid w:val="10953945"/>
    <w:rsid w:val="10EF1016"/>
    <w:rsid w:val="110539EE"/>
    <w:rsid w:val="123344A7"/>
    <w:rsid w:val="12394A8E"/>
    <w:rsid w:val="1262753D"/>
    <w:rsid w:val="12B207DE"/>
    <w:rsid w:val="13D528A6"/>
    <w:rsid w:val="143129D6"/>
    <w:rsid w:val="14765B89"/>
    <w:rsid w:val="150023E1"/>
    <w:rsid w:val="1620218C"/>
    <w:rsid w:val="16BA78BA"/>
    <w:rsid w:val="18041ADC"/>
    <w:rsid w:val="180F222F"/>
    <w:rsid w:val="188E7589"/>
    <w:rsid w:val="190D49C0"/>
    <w:rsid w:val="197B4E92"/>
    <w:rsid w:val="1AAC1FB7"/>
    <w:rsid w:val="1AF916A0"/>
    <w:rsid w:val="1B09565B"/>
    <w:rsid w:val="1BD45161"/>
    <w:rsid w:val="1C002B1D"/>
    <w:rsid w:val="1C530E3A"/>
    <w:rsid w:val="1D5C70CC"/>
    <w:rsid w:val="1E0A3BC4"/>
    <w:rsid w:val="1E605DA7"/>
    <w:rsid w:val="1EB75AFF"/>
    <w:rsid w:val="1EC024D4"/>
    <w:rsid w:val="1EED69D0"/>
    <w:rsid w:val="1FA53BA4"/>
    <w:rsid w:val="20F725E9"/>
    <w:rsid w:val="213D1BBA"/>
    <w:rsid w:val="216C3D1C"/>
    <w:rsid w:val="21E00C98"/>
    <w:rsid w:val="23BF2D5B"/>
    <w:rsid w:val="25131844"/>
    <w:rsid w:val="253056B8"/>
    <w:rsid w:val="253610D9"/>
    <w:rsid w:val="25366FCA"/>
    <w:rsid w:val="254A1129"/>
    <w:rsid w:val="25530950"/>
    <w:rsid w:val="27574277"/>
    <w:rsid w:val="288A18A7"/>
    <w:rsid w:val="28D92B11"/>
    <w:rsid w:val="29914529"/>
    <w:rsid w:val="29D37560"/>
    <w:rsid w:val="2A1B43AD"/>
    <w:rsid w:val="2A6553E6"/>
    <w:rsid w:val="2A86518A"/>
    <w:rsid w:val="2AC04B85"/>
    <w:rsid w:val="2B206836"/>
    <w:rsid w:val="2B7B6506"/>
    <w:rsid w:val="2BC01D66"/>
    <w:rsid w:val="2C057779"/>
    <w:rsid w:val="2C361A07"/>
    <w:rsid w:val="2E161FE6"/>
    <w:rsid w:val="2E8B665B"/>
    <w:rsid w:val="2E8E7EF9"/>
    <w:rsid w:val="2E9B5853"/>
    <w:rsid w:val="2EED576B"/>
    <w:rsid w:val="2EF266DA"/>
    <w:rsid w:val="2F703D66"/>
    <w:rsid w:val="303D4A11"/>
    <w:rsid w:val="316B410F"/>
    <w:rsid w:val="32B83797"/>
    <w:rsid w:val="32C72206"/>
    <w:rsid w:val="330030A3"/>
    <w:rsid w:val="33BA709B"/>
    <w:rsid w:val="33DB773D"/>
    <w:rsid w:val="343E1DEF"/>
    <w:rsid w:val="3463380A"/>
    <w:rsid w:val="346871C3"/>
    <w:rsid w:val="34F80970"/>
    <w:rsid w:val="35EA20D2"/>
    <w:rsid w:val="363964A4"/>
    <w:rsid w:val="363C023B"/>
    <w:rsid w:val="36A858D0"/>
    <w:rsid w:val="36AE1139"/>
    <w:rsid w:val="36BF3346"/>
    <w:rsid w:val="36C95800"/>
    <w:rsid w:val="377D053A"/>
    <w:rsid w:val="385E6B8E"/>
    <w:rsid w:val="39342F31"/>
    <w:rsid w:val="3962231E"/>
    <w:rsid w:val="3AC02A7F"/>
    <w:rsid w:val="3AEF71A0"/>
    <w:rsid w:val="3C200128"/>
    <w:rsid w:val="3C554DB2"/>
    <w:rsid w:val="3C8164B7"/>
    <w:rsid w:val="3CDD4B8B"/>
    <w:rsid w:val="3D973D25"/>
    <w:rsid w:val="3DA86637"/>
    <w:rsid w:val="3E2D5039"/>
    <w:rsid w:val="3E491D1E"/>
    <w:rsid w:val="3EDC7F63"/>
    <w:rsid w:val="3F4C08E9"/>
    <w:rsid w:val="3FB54248"/>
    <w:rsid w:val="3FD6525C"/>
    <w:rsid w:val="4012098A"/>
    <w:rsid w:val="402715B4"/>
    <w:rsid w:val="40972C3D"/>
    <w:rsid w:val="41224945"/>
    <w:rsid w:val="412429BD"/>
    <w:rsid w:val="41BD4926"/>
    <w:rsid w:val="41ED20A3"/>
    <w:rsid w:val="42282FC7"/>
    <w:rsid w:val="4269322C"/>
    <w:rsid w:val="432033BE"/>
    <w:rsid w:val="442073EE"/>
    <w:rsid w:val="44966F08"/>
    <w:rsid w:val="449F6565"/>
    <w:rsid w:val="45824C19"/>
    <w:rsid w:val="46072613"/>
    <w:rsid w:val="466F5BE5"/>
    <w:rsid w:val="477F7C75"/>
    <w:rsid w:val="48BC129A"/>
    <w:rsid w:val="48CB5B7A"/>
    <w:rsid w:val="48E72288"/>
    <w:rsid w:val="4A2917C4"/>
    <w:rsid w:val="4AA46683"/>
    <w:rsid w:val="4C4415CC"/>
    <w:rsid w:val="4C451485"/>
    <w:rsid w:val="4E1E4C7E"/>
    <w:rsid w:val="4E3C6BD2"/>
    <w:rsid w:val="4EE9065B"/>
    <w:rsid w:val="4F752611"/>
    <w:rsid w:val="504B57F2"/>
    <w:rsid w:val="505521CD"/>
    <w:rsid w:val="50661CDC"/>
    <w:rsid w:val="50BF4D83"/>
    <w:rsid w:val="513F0D1B"/>
    <w:rsid w:val="51E41A5B"/>
    <w:rsid w:val="521F2A93"/>
    <w:rsid w:val="522E0770"/>
    <w:rsid w:val="526D37FE"/>
    <w:rsid w:val="531719BC"/>
    <w:rsid w:val="535350EA"/>
    <w:rsid w:val="54AC059B"/>
    <w:rsid w:val="54DC4C6B"/>
    <w:rsid w:val="553B5E36"/>
    <w:rsid w:val="55D87B28"/>
    <w:rsid w:val="567A473C"/>
    <w:rsid w:val="56A70915"/>
    <w:rsid w:val="57B723BE"/>
    <w:rsid w:val="57D07F8F"/>
    <w:rsid w:val="57F9079B"/>
    <w:rsid w:val="589C07D9"/>
    <w:rsid w:val="5943350B"/>
    <w:rsid w:val="5A003F3A"/>
    <w:rsid w:val="5B1F4649"/>
    <w:rsid w:val="5B535126"/>
    <w:rsid w:val="5BB60E5B"/>
    <w:rsid w:val="5C741C2D"/>
    <w:rsid w:val="5CFC5C6B"/>
    <w:rsid w:val="5D261179"/>
    <w:rsid w:val="5DA91503"/>
    <w:rsid w:val="5E8C1493"/>
    <w:rsid w:val="5F55367B"/>
    <w:rsid w:val="5F7B91F8"/>
    <w:rsid w:val="5F8305AA"/>
    <w:rsid w:val="5F832D98"/>
    <w:rsid w:val="606E3563"/>
    <w:rsid w:val="60FB46CB"/>
    <w:rsid w:val="61C45941"/>
    <w:rsid w:val="621456D4"/>
    <w:rsid w:val="629B6165"/>
    <w:rsid w:val="641206A9"/>
    <w:rsid w:val="641542E4"/>
    <w:rsid w:val="64992B79"/>
    <w:rsid w:val="64B77372"/>
    <w:rsid w:val="65B12F9E"/>
    <w:rsid w:val="65B761F3"/>
    <w:rsid w:val="66AA1BCF"/>
    <w:rsid w:val="66C7577B"/>
    <w:rsid w:val="67444083"/>
    <w:rsid w:val="677B4027"/>
    <w:rsid w:val="67D43165"/>
    <w:rsid w:val="689E446A"/>
    <w:rsid w:val="692F13B6"/>
    <w:rsid w:val="69360996"/>
    <w:rsid w:val="696E6382"/>
    <w:rsid w:val="698711F2"/>
    <w:rsid w:val="69C10D6D"/>
    <w:rsid w:val="6A6A3DBE"/>
    <w:rsid w:val="6AC55427"/>
    <w:rsid w:val="6BB30024"/>
    <w:rsid w:val="6BD85D34"/>
    <w:rsid w:val="6CB06CB1"/>
    <w:rsid w:val="6D146CEB"/>
    <w:rsid w:val="6DA67F7A"/>
    <w:rsid w:val="6DEF3809"/>
    <w:rsid w:val="6EAB3BD4"/>
    <w:rsid w:val="6EDC3E65"/>
    <w:rsid w:val="6F1053E0"/>
    <w:rsid w:val="6FA7439C"/>
    <w:rsid w:val="709E5118"/>
    <w:rsid w:val="70EE667C"/>
    <w:rsid w:val="71566079"/>
    <w:rsid w:val="71663DE2"/>
    <w:rsid w:val="717C7630"/>
    <w:rsid w:val="72785B7B"/>
    <w:rsid w:val="729D3834"/>
    <w:rsid w:val="72B832BB"/>
    <w:rsid w:val="7383162E"/>
    <w:rsid w:val="73E6120B"/>
    <w:rsid w:val="73EF7687"/>
    <w:rsid w:val="73FE73A3"/>
    <w:rsid w:val="74124849"/>
    <w:rsid w:val="75766746"/>
    <w:rsid w:val="7620741F"/>
    <w:rsid w:val="76BD3DFD"/>
    <w:rsid w:val="77511122"/>
    <w:rsid w:val="779D4FA8"/>
    <w:rsid w:val="779E2944"/>
    <w:rsid w:val="787E26C1"/>
    <w:rsid w:val="78CD25BE"/>
    <w:rsid w:val="78DB58DC"/>
    <w:rsid w:val="79222CE5"/>
    <w:rsid w:val="794E177D"/>
    <w:rsid w:val="79F503F9"/>
    <w:rsid w:val="7A545774"/>
    <w:rsid w:val="7B026539"/>
    <w:rsid w:val="7BE539B0"/>
    <w:rsid w:val="7C312C43"/>
    <w:rsid w:val="7C9C2FD3"/>
    <w:rsid w:val="7CB75BD0"/>
    <w:rsid w:val="7D172B17"/>
    <w:rsid w:val="7DBB1900"/>
    <w:rsid w:val="7DFA4230"/>
    <w:rsid w:val="7E0970B8"/>
    <w:rsid w:val="7E480F94"/>
    <w:rsid w:val="7EA63720"/>
    <w:rsid w:val="7EBC7738"/>
    <w:rsid w:val="F5FDD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6">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widowControl w:val="0"/>
      <w:suppressLineNumbers w:val="0"/>
      <w:spacing w:before="0" w:beforeAutospacing="0" w:after="0" w:afterAutospacing="0" w:line="240" w:lineRule="auto"/>
      <w:ind w:left="1680" w:leftChars="800" w:firstLine="0"/>
      <w:jc w:val="both"/>
    </w:pPr>
    <w:rPr>
      <w:rFonts w:hint="default" w:ascii="Calibri" w:hAnsi="Calibri" w:eastAsia="宋体" w:cs="Calibri"/>
      <w:kern w:val="2"/>
      <w:sz w:val="21"/>
      <w:szCs w:val="24"/>
      <w:lang w:val="en-US" w:eastAsia="zh-CN" w:bidi="ar"/>
    </w:rPr>
  </w:style>
  <w:style w:type="paragraph" w:styleId="6">
    <w:name w:val="toc 7"/>
    <w:basedOn w:val="1"/>
    <w:next w:val="1"/>
    <w:qFormat/>
    <w:uiPriority w:val="0"/>
    <w:pPr>
      <w:ind w:left="1260"/>
      <w:jc w:val="left"/>
    </w:pPr>
    <w:rPr>
      <w:rFonts w:ascii="等线" w:eastAsia="等线"/>
      <w:sz w:val="18"/>
      <w:szCs w:val="18"/>
    </w:rPr>
  </w:style>
  <w:style w:type="paragraph" w:styleId="7">
    <w:name w:val="Normal Indent"/>
    <w:basedOn w:val="1"/>
    <w:next w:val="8"/>
    <w:qFormat/>
    <w:uiPriority w:val="0"/>
    <w:pPr>
      <w:ind w:firstLine="420" w:firstLineChars="200"/>
    </w:pPr>
    <w:rPr>
      <w:rFonts w:ascii="Times New Roman" w:hAnsi="Times New Roman" w:eastAsia="宋体" w:cs="Times New Roman"/>
    </w:rPr>
  </w:style>
  <w:style w:type="paragraph" w:styleId="8">
    <w:name w:val="Normal (Web)"/>
    <w:basedOn w:val="1"/>
    <w:next w:val="1"/>
    <w:qFormat/>
    <w:uiPriority w:val="0"/>
    <w:pPr>
      <w:jc w:val="left"/>
    </w:pPr>
    <w:rPr>
      <w:kern w:val="0"/>
      <w:sz w:val="24"/>
    </w:rPr>
  </w:style>
  <w:style w:type="paragraph" w:styleId="9">
    <w:name w:val="Body Text"/>
    <w:basedOn w:val="1"/>
    <w:qFormat/>
    <w:uiPriority w:val="0"/>
    <w:pPr>
      <w:spacing w:beforeLines="30"/>
    </w:pPr>
    <w:rPr>
      <w:rFonts w:ascii="仿宋_GB2312" w:eastAsia="仿宋_GB2312"/>
      <w:kern w:val="0"/>
      <w:sz w:val="24"/>
      <w:szCs w:val="20"/>
      <w:lang w:val="zh-CN"/>
    </w:rPr>
  </w:style>
  <w:style w:type="paragraph" w:styleId="10">
    <w:name w:val="Body Text Indent"/>
    <w:basedOn w:val="1"/>
    <w:next w:val="11"/>
    <w:qFormat/>
    <w:uiPriority w:val="0"/>
    <w:pPr>
      <w:ind w:firstLine="200" w:firstLineChars="200"/>
    </w:pPr>
    <w:rPr>
      <w:rFonts w:ascii="华文细黑" w:eastAsia="华文细黑" w:cs="华文细黑"/>
      <w:b/>
      <w:bCs/>
      <w:sz w:val="32"/>
      <w:szCs w:val="32"/>
    </w:rPr>
  </w:style>
  <w:style w:type="paragraph" w:styleId="11">
    <w:name w:val="Body Text First Indent 2"/>
    <w:basedOn w:val="10"/>
    <w:next w:val="1"/>
    <w:qFormat/>
    <w:uiPriority w:val="0"/>
    <w:rPr>
      <w:rFonts w:eastAsia="宋体"/>
    </w:rPr>
  </w:style>
  <w:style w:type="paragraph" w:styleId="12">
    <w:name w:val="toc 5"/>
    <w:basedOn w:val="1"/>
    <w:next w:val="1"/>
    <w:qFormat/>
    <w:uiPriority w:val="0"/>
    <w:pPr>
      <w:ind w:left="840"/>
      <w:jc w:val="left"/>
    </w:pPr>
    <w:rPr>
      <w:rFonts w:ascii="等线" w:eastAsia="等线"/>
      <w:sz w:val="18"/>
      <w:szCs w:val="18"/>
    </w:rPr>
  </w:style>
  <w:style w:type="paragraph" w:styleId="13">
    <w:name w:val="toc 3"/>
    <w:basedOn w:val="1"/>
    <w:next w:val="1"/>
    <w:qFormat/>
    <w:uiPriority w:val="0"/>
    <w:pPr>
      <w:ind w:left="420"/>
      <w:jc w:val="left"/>
    </w:pPr>
    <w:rPr>
      <w:rFonts w:ascii="等线" w:eastAsia="等线"/>
      <w:i/>
      <w:iCs/>
      <w:sz w:val="20"/>
      <w:szCs w:val="20"/>
    </w:rPr>
  </w:style>
  <w:style w:type="paragraph" w:styleId="14">
    <w:name w:val="toc 8"/>
    <w:basedOn w:val="1"/>
    <w:next w:val="1"/>
    <w:qFormat/>
    <w:uiPriority w:val="0"/>
    <w:pPr>
      <w:ind w:left="1470"/>
      <w:jc w:val="left"/>
    </w:pPr>
    <w:rPr>
      <w:rFonts w:ascii="等线" w:eastAsia="等线"/>
      <w:sz w:val="18"/>
      <w:szCs w:val="1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8">
    <w:name w:val="toc 1"/>
    <w:basedOn w:val="1"/>
    <w:next w:val="1"/>
    <w:qFormat/>
    <w:uiPriority w:val="0"/>
    <w:pPr>
      <w:spacing w:before="120" w:after="120"/>
      <w:jc w:val="left"/>
    </w:pPr>
    <w:rPr>
      <w:rFonts w:ascii="等线" w:eastAsia="等线"/>
      <w:b/>
      <w:bCs/>
      <w:caps/>
      <w:sz w:val="20"/>
      <w:szCs w:val="20"/>
    </w:rPr>
  </w:style>
  <w:style w:type="paragraph" w:styleId="19">
    <w:name w:val="toc 4"/>
    <w:basedOn w:val="1"/>
    <w:next w:val="1"/>
    <w:qFormat/>
    <w:uiPriority w:val="0"/>
    <w:pPr>
      <w:ind w:left="630"/>
      <w:jc w:val="left"/>
    </w:pPr>
    <w:rPr>
      <w:rFonts w:ascii="等线" w:eastAsia="等线"/>
      <w:sz w:val="18"/>
      <w:szCs w:val="18"/>
    </w:rPr>
  </w:style>
  <w:style w:type="paragraph" w:styleId="20">
    <w:name w:val="footnote text"/>
    <w:basedOn w:val="1"/>
    <w:next w:val="11"/>
    <w:semiHidden/>
    <w:qFormat/>
    <w:uiPriority w:val="0"/>
    <w:pPr>
      <w:snapToGrid w:val="0"/>
      <w:jc w:val="left"/>
    </w:pPr>
    <w:rPr>
      <w:sz w:val="18"/>
      <w:szCs w:val="18"/>
    </w:rPr>
  </w:style>
  <w:style w:type="paragraph" w:styleId="21">
    <w:name w:val="toc 6"/>
    <w:basedOn w:val="1"/>
    <w:next w:val="1"/>
    <w:qFormat/>
    <w:uiPriority w:val="0"/>
    <w:pPr>
      <w:ind w:left="1050"/>
      <w:jc w:val="left"/>
    </w:pPr>
    <w:rPr>
      <w:rFonts w:ascii="等线" w:eastAsia="等线"/>
      <w:sz w:val="18"/>
      <w:szCs w:val="18"/>
    </w:rPr>
  </w:style>
  <w:style w:type="paragraph" w:styleId="22">
    <w:name w:val="toc 2"/>
    <w:basedOn w:val="1"/>
    <w:next w:val="1"/>
    <w:qFormat/>
    <w:uiPriority w:val="0"/>
    <w:pPr>
      <w:ind w:left="210"/>
      <w:jc w:val="left"/>
    </w:pPr>
    <w:rPr>
      <w:rFonts w:ascii="等线" w:eastAsia="等线"/>
      <w:smallCaps/>
      <w:sz w:val="20"/>
      <w:szCs w:val="20"/>
    </w:rPr>
  </w:style>
  <w:style w:type="paragraph" w:styleId="23">
    <w:name w:val="toc 9"/>
    <w:basedOn w:val="1"/>
    <w:next w:val="1"/>
    <w:qFormat/>
    <w:uiPriority w:val="0"/>
    <w:pPr>
      <w:ind w:left="1680"/>
      <w:jc w:val="left"/>
    </w:pPr>
    <w:rPr>
      <w:rFonts w:ascii="等线" w:eastAsia="等线"/>
      <w:sz w:val="18"/>
      <w:szCs w:val="18"/>
    </w:rPr>
  </w:style>
  <w:style w:type="paragraph" w:styleId="24">
    <w:name w:val="Body Text First Indent"/>
    <w:basedOn w:val="9"/>
    <w:qFormat/>
    <w:uiPriority w:val="0"/>
    <w:pPr>
      <w:ind w:firstLine="100" w:firstLineChars="100"/>
    </w:pPr>
    <w:rPr>
      <w:rFonts w:ascii="Calibri" w:hAnsi="Calibri" w:cs="Calibri"/>
    </w:rPr>
  </w:style>
  <w:style w:type="character" w:styleId="27">
    <w:name w:val="Strong"/>
    <w:basedOn w:val="26"/>
    <w:qFormat/>
    <w:uiPriority w:val="0"/>
    <w:rPr>
      <w:rFonts w:cs="Times New Roman"/>
      <w:b/>
    </w:rPr>
  </w:style>
  <w:style w:type="character" w:styleId="28">
    <w:name w:val="Hyperlink"/>
    <w:basedOn w:val="26"/>
    <w:qFormat/>
    <w:uiPriority w:val="0"/>
    <w:rPr>
      <w:rFonts w:cs="Times New Roman"/>
      <w:color w:val="0000FF"/>
      <w:u w:val="single"/>
    </w:rPr>
  </w:style>
  <w:style w:type="character" w:customStyle="1" w:styleId="29">
    <w:name w:val="标题 1 Char"/>
    <w:basedOn w:val="26"/>
    <w:link w:val="3"/>
    <w:qFormat/>
    <w:uiPriority w:val="0"/>
    <w:rPr>
      <w:rFonts w:ascii="Times New Roman" w:hAnsi="Times New Roman" w:eastAsia="宋体" w:cs="Times New Roman"/>
      <w:b/>
      <w:bCs/>
      <w:kern w:val="44"/>
      <w:sz w:val="44"/>
      <w:szCs w:val="44"/>
      <w:lang w:val="en-US" w:eastAsia="zh-CN" w:bidi="ar-SA"/>
    </w:rPr>
  </w:style>
  <w:style w:type="character" w:customStyle="1" w:styleId="30">
    <w:name w:val="标题 2 Char"/>
    <w:basedOn w:val="26"/>
    <w:link w:val="4"/>
    <w:qFormat/>
    <w:uiPriority w:val="0"/>
    <w:rPr>
      <w:rFonts w:ascii="Cambria" w:hAnsi="Cambria" w:eastAsia="宋体" w:cs="Times New Roman"/>
      <w:b/>
      <w:bCs/>
      <w:kern w:val="2"/>
      <w:sz w:val="32"/>
      <w:szCs w:val="32"/>
      <w:lang w:val="en-US" w:eastAsia="zh-CN" w:bidi="ar-SA"/>
    </w:rPr>
  </w:style>
  <w:style w:type="character" w:customStyle="1" w:styleId="31">
    <w:name w:val="Body Text Char"/>
    <w:basedOn w:val="26"/>
    <w:qFormat/>
    <w:uiPriority w:val="0"/>
    <w:rPr>
      <w:rFonts w:ascii="Times New Roman" w:hAnsi="Times New Roman" w:cs="Times New Roman"/>
      <w:sz w:val="24"/>
      <w:szCs w:val="24"/>
    </w:rPr>
  </w:style>
  <w:style w:type="character" w:customStyle="1" w:styleId="32">
    <w:name w:val="Footer Char"/>
    <w:basedOn w:val="26"/>
    <w:qFormat/>
    <w:uiPriority w:val="0"/>
    <w:rPr>
      <w:rFonts w:ascii="Times New Roman" w:hAnsi="Times New Roman" w:cs="Times New Roman"/>
      <w:sz w:val="18"/>
      <w:szCs w:val="18"/>
    </w:rPr>
  </w:style>
  <w:style w:type="character" w:customStyle="1" w:styleId="33">
    <w:name w:val="Header Char"/>
    <w:basedOn w:val="26"/>
    <w:qFormat/>
    <w:uiPriority w:val="0"/>
    <w:rPr>
      <w:rFonts w:ascii="Times New Roman" w:hAnsi="Times New Roman" w:cs="Times New Roman"/>
      <w:sz w:val="18"/>
      <w:szCs w:val="18"/>
    </w:rPr>
  </w:style>
  <w:style w:type="paragraph" w:customStyle="1" w:styleId="3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5">
    <w:name w:val="列表段落1"/>
    <w:basedOn w:val="1"/>
    <w:qFormat/>
    <w:uiPriority w:val="0"/>
    <w:pPr>
      <w:ind w:firstLine="200" w:firstLineChars="200"/>
    </w:pPr>
  </w:style>
  <w:style w:type="paragraph" w:customStyle="1" w:styleId="3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8">
    <w:name w:val="TOC 标题2"/>
    <w:basedOn w:val="3"/>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for%20&#26446;&#23159;&#25913;1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收、支决算总计变动情况图</a:t>
            </a:r>
            <a:endParaRPr sz="1080"/>
          </a:p>
        </c:rich>
      </c:tx>
      <c:layout/>
      <c:overlay val="0"/>
      <c:spPr>
        <a:noFill/>
        <a:ln>
          <a:noFill/>
        </a:ln>
        <a:effectLst/>
      </c:spPr>
    </c:title>
    <c:autoTitleDeleted val="0"/>
    <c:plotArea>
      <c:layout>
        <c:manualLayout>
          <c:layoutTarget val="inner"/>
          <c:xMode val="edge"/>
          <c:yMode val="edge"/>
          <c:x val="0.054071031650157"/>
          <c:y val="0.142371440713982"/>
          <c:w val="0.919352500604011"/>
          <c:h val="0.65541861453463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53.33</c:v>
                </c:pt>
                <c:pt idx="1" c:formatCode="0.00_ ">
                  <c:v>50.5</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53.33</c:v>
                </c:pt>
                <c:pt idx="1" c:formatCode="0.00_ ">
                  <c:v>50.5</c:v>
                </c:pt>
              </c:numCache>
            </c:numRef>
          </c:val>
        </c:ser>
        <c:dLbls>
          <c:showLegendKey val="0"/>
          <c:showVal val="1"/>
          <c:showCatName val="0"/>
          <c:showSerName val="0"/>
          <c:showPercent val="0"/>
          <c:showBubbleSize val="0"/>
        </c:dLbls>
        <c:gapWidth val="246"/>
        <c:overlap val="-28"/>
        <c:axId val="805623982"/>
        <c:axId val="119645629"/>
      </c:barChart>
      <c:catAx>
        <c:axId val="8056239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645629"/>
        <c:crosses val="autoZero"/>
        <c:auto val="1"/>
        <c:lblAlgn val="ctr"/>
        <c:lblOffset val="100"/>
        <c:noMultiLvlLbl val="0"/>
      </c:catAx>
      <c:valAx>
        <c:axId val="119645629"/>
        <c:scaling>
          <c:orientation val="minMax"/>
          <c:min val="35"/>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562398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81130707900459"/>
          <c:y val="0.903739906502337"/>
          <c:w val="0.271804783764194"/>
          <c:h val="0.07076073098172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4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440"/>
              <a:t>收入决算结构图</a:t>
            </a:r>
            <a:endParaRPr lang="zh-CN" sz="1440"/>
          </a:p>
        </c:rich>
      </c:tx>
      <c:layout>
        <c:manualLayout>
          <c:xMode val="edge"/>
          <c:yMode val="edge"/>
          <c:x val="0.332"/>
          <c:y val="0.0261259019656631"/>
        </c:manualLayout>
      </c:layout>
      <c:overlay val="0"/>
      <c:spPr>
        <a:noFill/>
        <a:ln>
          <a:noFill/>
        </a:ln>
        <a:effectLst/>
      </c:spPr>
    </c:title>
    <c:autoTitleDeleted val="0"/>
    <c:plotArea>
      <c:layout/>
      <c:pieChart>
        <c:varyColors val="1"/>
        <c:ser>
          <c:idx val="0"/>
          <c:order val="0"/>
          <c:tx>
            <c:strRef>
              <c:f>'Sheet1'!$B$1</c:f>
              <c:strCache>
                <c:ptCount val="1"/>
                <c:pt idx="0">
                  <c:v>本年收入</c:v>
                </c:pt>
              </c:strCache>
            </c:strRef>
          </c:tx>
          <c:spPr>
            <a:effectLst/>
          </c:spPr>
          <c:explosion val="23"/>
          <c:dPt>
            <c:idx val="0"/>
            <c:bubble3D val="0"/>
            <c:explosion val="23"/>
            <c:spPr>
              <a:solidFill>
                <a:srgbClr val="3B65AE"/>
              </a:solidFill>
              <a:ln>
                <a:noFill/>
              </a:ln>
              <a:effectLst/>
            </c:spPr>
          </c:dPt>
          <c:dPt>
            <c:idx val="1"/>
            <c:bubble3D val="0"/>
            <c:explosion val="23"/>
            <c:spPr>
              <a:solidFill>
                <a:srgbClr val="D36E2A"/>
              </a:solidFill>
              <a:ln>
                <a:noFill/>
              </a:ln>
              <a:effectLst/>
            </c:spPr>
          </c:dPt>
          <c:dPt>
            <c:idx val="2"/>
            <c:bubble3D val="0"/>
            <c:explosion val="23"/>
            <c:spPr>
              <a:solidFill>
                <a:srgbClr val="929292"/>
              </a:solidFill>
              <a:ln>
                <a:noFill/>
              </a:ln>
              <a:effectLst/>
            </c:spPr>
          </c:dPt>
          <c:dPt>
            <c:idx val="3"/>
            <c:bubble3D val="0"/>
            <c:explosion val="23"/>
            <c:spPr>
              <a:solidFill>
                <a:srgbClr val="E3AA00"/>
              </a:solidFill>
              <a:ln>
                <a:noFill/>
              </a:ln>
              <a:effectLst/>
            </c:spPr>
          </c:dPt>
          <c:dPt>
            <c:idx val="4"/>
            <c:bubble3D val="0"/>
            <c:explosion val="23"/>
            <c:spPr>
              <a:solidFill>
                <a:srgbClr val="5089BD"/>
              </a:solidFill>
              <a:ln>
                <a:noFill/>
              </a:ln>
              <a:effectLst/>
            </c:spPr>
          </c:dPt>
          <c:dPt>
            <c:idx val="5"/>
            <c:bubble3D val="0"/>
            <c:explosion val="23"/>
            <c:spPr>
              <a:solidFill>
                <a:srgbClr val="63993E"/>
              </a:solidFill>
              <a:ln>
                <a:noFill/>
              </a:ln>
              <a:effectLst/>
            </c:spPr>
          </c:dPt>
          <c:dPt>
            <c:idx val="6"/>
            <c:bubble3D val="0"/>
            <c:explosion val="23"/>
            <c:spPr>
              <a:solidFill>
                <a:srgbClr val="90A2D4"/>
              </a:solidFill>
              <a:ln>
                <a:noFill/>
              </a:ln>
              <a:effectLst/>
            </c:spPr>
          </c:dPt>
          <c:dLbls>
            <c:delete val="1"/>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187.05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solidFill>
          <a:srgbClr val="FFFFFF"/>
        </a:solidFill>
        <a:ln>
          <a:noFill/>
        </a:ln>
        <a:effectLst/>
      </c:spPr>
    </c:plotArea>
    <c:legend>
      <c:legendPos val="r"/>
      <c:legendEntry>
        <c:idx val="0"/>
        <c:txPr>
          <a:bodyPr rot="0" spcFirstLastPara="0" vertOverflow="ellipsis"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1"/>
        <c:txPr>
          <a:bodyPr rot="0" spcFirstLastPara="0" vertOverflow="ellipsis"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2"/>
        <c:txPr>
          <a:bodyPr rot="0" spcFirstLastPara="0" vertOverflow="ellipsis"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3"/>
        <c:txPr>
          <a:bodyPr rot="0" spcFirstLastPara="0" vertOverflow="ellipsis"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4"/>
        <c:txPr>
          <a:bodyPr rot="0" spcFirstLastPara="0" vertOverflow="ellipsis"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5"/>
        <c:txPr>
          <a:bodyPr rot="0" spcFirstLastPara="0" vertOverflow="ellipsis"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6"/>
        <c:txPr>
          <a:bodyPr rot="0" spcFirstLastPara="0" vertOverflow="ellipsis"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ayout/>
      <c:overlay val="0"/>
      <c:spPr>
        <a:noFill/>
        <a:ln>
          <a:noFill/>
        </a:ln>
        <a:effectLst/>
      </c:spPr>
      <c:txPr>
        <a:bodyPr rot="0" spcFirstLastPara="0" vertOverflow="ellipsis" horzOverflow="overflow"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2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080" b="0" i="0" u="none" strike="noStrike" kern="1200" spc="0" baseline="0">
                <a:solidFill>
                  <a:schemeClr val="tx1">
                    <a:lumMod val="65000"/>
                    <a:lumOff val="35000"/>
                  </a:schemeClr>
                </a:solidFill>
                <a:latin typeface="+mn-lt"/>
                <a:ea typeface="+mn-ea"/>
                <a:cs typeface="+mn-cs"/>
              </a:defRPr>
            </a:pPr>
            <a:r>
              <a:rPr lang="zh-CN" altLang="en-US" sz="1080" b="1"/>
              <a:t>支出决算结构图</a:t>
            </a:r>
            <a:endParaRPr lang="zh-CN" altLang="en-US" sz="1080" b="1"/>
          </a:p>
        </c:rich>
      </c:tx>
      <c:layout>
        <c:manualLayout>
          <c:xMode val="edge"/>
          <c:yMode val="edge"/>
          <c:x val="0.358919441757634"/>
          <c:y val="0.0331858407079646"/>
        </c:manualLayout>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
                  <c:y val="0.00357142857142857"/>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a:t>100</a:t>
                    </a:r>
                    <a:r>
                      <a:rPr sz="900"/>
                      <a:t>%</a:t>
                    </a:r>
                    <a:endParaRPr sz="900"/>
                  </a:p>
                </c:rich>
              </c:tx>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Sheet1!$A$19:$A$20</c:f>
              <c:strCache>
                <c:ptCount val="2"/>
                <c:pt idx="0">
                  <c:v>基本支出</c:v>
                </c:pt>
                <c:pt idx="1">
                  <c:v>项目支出</c:v>
                </c:pt>
              </c:strCache>
            </c:strRef>
          </c:cat>
          <c:val>
            <c:numRef>
              <c:f>Sheet1!$B$19:$B$20</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zh-CN"/>
              <a:t>财政拨款收支决算总计变动情况图</a:t>
            </a:r>
            <a:endParaRPr altLang="zh-CN"/>
          </a:p>
        </c:rich>
      </c:tx>
      <c:layout/>
      <c:overlay val="0"/>
      <c:spPr>
        <a:noFill/>
        <a:ln>
          <a:noFill/>
        </a:ln>
        <a:effectLst/>
      </c:spPr>
    </c:title>
    <c:autoTitleDeleted val="0"/>
    <c:plotArea>
      <c:layout/>
      <c:barChart>
        <c:barDir val="col"/>
        <c:grouping val="clustered"/>
        <c:varyColors val="0"/>
        <c:ser>
          <c:idx val="1"/>
          <c:order val="0"/>
          <c:tx>
            <c:strRef>
              <c:f>Sheet1!$B$1</c:f>
              <c:strCache>
                <c:ptCount val="1"/>
                <c:pt idx="0">
                  <c:v>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 </c:v>
                </c:pt>
                <c:pt idx="1">
                  <c:v>2023年</c:v>
                </c:pt>
              </c:strCache>
            </c:strRef>
          </c:cat>
          <c:val>
            <c:numRef>
              <c:f>Sheet1!$B$2:$B$3</c:f>
              <c:numCache>
                <c:formatCode>General</c:formatCode>
                <c:ptCount val="2"/>
                <c:pt idx="0">
                  <c:v>53.33</c:v>
                </c:pt>
                <c:pt idx="1" c:formatCode="0.00_ ">
                  <c:v>50.5</c:v>
                </c:pt>
              </c:numCache>
            </c:numRef>
          </c:val>
        </c:ser>
        <c:ser>
          <c:idx val="2"/>
          <c:order val="1"/>
          <c:tx>
            <c:strRef>
              <c:f>Sheet1!$C$1</c:f>
              <c:strCache>
                <c:ptCount val="1"/>
                <c:pt idx="0">
                  <c:v>支出</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 </c:v>
                </c:pt>
                <c:pt idx="1">
                  <c:v>2023年</c:v>
                </c:pt>
              </c:strCache>
            </c:strRef>
          </c:cat>
          <c:val>
            <c:numRef>
              <c:f>Sheet1!$C$2:$C$3</c:f>
              <c:numCache>
                <c:formatCode>General</c:formatCode>
                <c:ptCount val="2"/>
                <c:pt idx="0">
                  <c:v>53.33</c:v>
                </c:pt>
                <c:pt idx="1" c:formatCode="0.00_ ">
                  <c:v>50.5</c:v>
                </c:pt>
              </c:numCache>
            </c:numRef>
          </c:val>
        </c:ser>
        <c:dLbls>
          <c:showLegendKey val="0"/>
          <c:showVal val="1"/>
          <c:showCatName val="0"/>
          <c:showSerName val="0"/>
          <c:showPercent val="0"/>
          <c:showBubbleSize val="0"/>
        </c:dLbls>
        <c:gapWidth val="75"/>
        <c:overlap val="-25"/>
        <c:axId val="32118728"/>
        <c:axId val="505316087"/>
      </c:barChart>
      <c:catAx>
        <c:axId val="321187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316087"/>
        <c:crosses val="autoZero"/>
        <c:auto val="1"/>
        <c:lblAlgn val="ctr"/>
        <c:lblOffset val="100"/>
        <c:noMultiLvlLbl val="0"/>
      </c:catAx>
      <c:valAx>
        <c:axId val="505316087"/>
        <c:scaling>
          <c:orientation val="minMax"/>
          <c:min val="35"/>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18728"/>
        <c:crosses val="autoZero"/>
        <c:crossBetween val="between"/>
      </c:valAx>
      <c:spPr>
        <a:noFill/>
        <a:ln>
          <a:noFill/>
        </a:ln>
        <a:effectLst/>
      </c:spPr>
    </c:plotArea>
    <c:legend>
      <c:legendPos val="b"/>
      <c:layout>
        <c:manualLayout>
          <c:xMode val="edge"/>
          <c:yMode val="edge"/>
          <c:x val="0.384754771683982"/>
          <c:y val="0.903739906502337"/>
          <c:w val="0.300918096158492"/>
          <c:h val="0.07076073098172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53.33</c:v>
                </c:pt>
                <c:pt idx="1" c:formatCode="0.00_ ">
                  <c:v>50.5</c:v>
                </c:pt>
              </c:numCache>
            </c:numRef>
          </c:val>
        </c:ser>
        <c:dLbls>
          <c:showLegendKey val="0"/>
          <c:showVal val="1"/>
          <c:showCatName val="0"/>
          <c:showSerName val="0"/>
          <c:showPercent val="0"/>
          <c:showBubbleSize val="0"/>
        </c:dLbls>
        <c:gapWidth val="246"/>
        <c:overlap val="-28"/>
        <c:axId val="795097981"/>
        <c:axId val="570512968"/>
      </c:barChart>
      <c:catAx>
        <c:axId val="7950979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512968"/>
        <c:crosses val="autoZero"/>
        <c:auto val="1"/>
        <c:lblAlgn val="ctr"/>
        <c:lblOffset val="100"/>
        <c:noMultiLvlLbl val="0"/>
      </c:catAx>
      <c:valAx>
        <c:axId val="570512968"/>
        <c:scaling>
          <c:orientation val="minMax"/>
          <c:min val="35"/>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097981"/>
        <c:crosses val="autoZero"/>
        <c:crossBetween val="between"/>
      </c:valAx>
      <c:spPr>
        <a:noFill/>
        <a:ln>
          <a:noFill/>
        </a:ln>
        <a:effectLst/>
      </c:spPr>
    </c:plotArea>
    <c:legend>
      <c:legendPos val="b"/>
      <c:layout>
        <c:manualLayout>
          <c:xMode val="edge"/>
          <c:yMode val="edge"/>
          <c:x val="0.492597577388964"/>
          <c:y val="0.880897942215756"/>
          <c:w val="0.159427382845956"/>
          <c:h val="0.1037206401995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0"/>
          <c:order val="0"/>
          <c:tx>
            <c:strRef>
              <c:f>Sheet1!$B$2</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73</a:t>
                    </a:r>
                    <a:r>
                      <a:rPr lang="en-US" altLang="zh-CN"/>
                      <a:t>.11</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14</a:t>
                    </a:r>
                    <a:r>
                      <a:rPr lang="en-US" altLang="zh-CN"/>
                      <a:t>.16</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5.41</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a:t>
                    </a:r>
                    <a:r>
                      <a:rPr lang="en-US" altLang="zh-CN"/>
                      <a:t>.32</a:t>
                    </a:r>
                    <a:r>
                      <a:t>%</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一般公共服务支出</c:v>
                </c:pt>
                <c:pt idx="1">
                  <c:v>社会保障和就业支出</c:v>
                </c:pt>
                <c:pt idx="2">
                  <c:v>卫生健康支出</c:v>
                </c:pt>
                <c:pt idx="3">
                  <c:v>住房保障支出</c:v>
                </c:pt>
              </c:strCache>
            </c:strRef>
          </c:cat>
          <c:val>
            <c:numRef>
              <c:f>Sheet1!$B$3:$B$6</c:f>
              <c:numCache>
                <c:formatCode>General</c:formatCode>
                <c:ptCount val="4"/>
                <c:pt idx="0">
                  <c:v>36.92</c:v>
                </c:pt>
                <c:pt idx="1">
                  <c:v>7.15</c:v>
                </c:pt>
                <c:pt idx="2">
                  <c:v>2.73</c:v>
                </c:pt>
                <c:pt idx="3">
                  <c:v>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54288475477168"/>
          <c:y val="0.350403739906502"/>
          <c:w val="0.231215269388741"/>
          <c:h val="0.3920526986825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6292</Words>
  <Characters>6795</Characters>
  <Lines>70</Lines>
  <Paragraphs>19</Paragraphs>
  <TotalTime>4</TotalTime>
  <ScaleCrop>false</ScaleCrop>
  <LinksUpToDate>false</LinksUpToDate>
  <CharactersWithSpaces>6960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2023-09-07T07:49:00Z</dcterms:created>
  <dc:creator>曹颖</dc:creator>
  <cp:lastModifiedBy>Administrator</cp:lastModifiedBy>
  <cp:lastPrinted>2022-09-23T17:21:00Z</cp:lastPrinted>
  <dcterms:modified xsi:type="dcterms:W3CDTF">2024-09-18T08:59:10Z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494D9E8A622044169F0B593E8BD7DE4E_13</vt:lpwstr>
  </property>
</Properties>
</file>