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B275">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96597"/>
      <w:bookmarkStart w:id="1" w:name="_Toc15377425"/>
      <w:bookmarkStart w:id="2" w:name="_Toc15377193"/>
      <w:bookmarkStart w:id="3" w:name="_Toc15396475"/>
      <w:bookmarkStart w:id="4" w:name="_Toc15378441"/>
      <w:bookmarkStart w:id="5" w:name="_Toc15306267"/>
    </w:p>
    <w:p w14:paraId="0CCAF1C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0614559">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598"/>
      <w:bookmarkStart w:id="9" w:name="_Toc15378442"/>
      <w:bookmarkStart w:id="10" w:name="_Toc15396476"/>
    </w:p>
    <w:p w14:paraId="21B5266D">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6C5BD29">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w:t>
      </w:r>
      <w:r>
        <w:rPr>
          <w:rFonts w:hint="eastAsia" w:ascii="Times New Roman" w:hAnsi="Times New Roman" w:eastAsia="方正小标宋简体" w:cs="Times New Roman"/>
          <w:color w:val="auto"/>
          <w:kern w:val="2"/>
          <w:sz w:val="44"/>
          <w:szCs w:val="44"/>
          <w:highlight w:val="none"/>
          <w:lang w:val="en-US" w:eastAsia="zh-CN" w:bidi="ar-SA"/>
        </w:rPr>
        <w:t>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阿坝州</w:t>
      </w:r>
    </w:p>
    <w:p w14:paraId="0B264CA4">
      <w:pPr>
        <w:pStyle w:val="6"/>
        <w:jc w:val="center"/>
        <w:rPr>
          <w:rFonts w:hint="eastAsia" w:ascii="Times New Roman" w:hAnsi="Times New Roman" w:eastAsia="仿宋_GB2312" w:cs="仿宋_GB2312"/>
          <w:color w:val="auto"/>
          <w:sz w:val="32"/>
          <w:szCs w:val="32"/>
          <w:highlight w:val="none"/>
          <w:lang w:val="en-US" w:eastAsia="zh-CN"/>
        </w:rPr>
      </w:pPr>
      <w:r>
        <w:rPr>
          <w:rFonts w:hint="eastAsia" w:ascii="Times New Roman" w:eastAsia="方正小标宋简体" w:cs="Times New Roman"/>
          <w:color w:val="auto"/>
          <w:kern w:val="2"/>
          <w:sz w:val="44"/>
          <w:szCs w:val="44"/>
          <w:highlight w:val="none"/>
          <w:lang w:val="en-US" w:eastAsia="zh-CN" w:bidi="ar-SA"/>
        </w:rPr>
        <w:t>茂县科学技术协会部门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CE76AA0">
      <w:pPr>
        <w:widowControl/>
        <w:jc w:val="center"/>
        <w:rPr>
          <w:rFonts w:ascii="Times New Roman" w:hAnsi="Times New Roman" w:eastAsia="方正小标宋简体"/>
          <w:color w:val="auto"/>
          <w:sz w:val="36"/>
          <w:szCs w:val="36"/>
          <w:highlight w:val="none"/>
        </w:rPr>
      </w:pPr>
    </w:p>
    <w:p w14:paraId="162CDB39">
      <w:pPr>
        <w:widowControl/>
        <w:jc w:val="center"/>
        <w:rPr>
          <w:rFonts w:ascii="Times New Roman" w:hAnsi="Times New Roman" w:eastAsia="方正小标宋简体"/>
          <w:color w:val="auto"/>
          <w:sz w:val="36"/>
          <w:szCs w:val="36"/>
          <w:highlight w:val="none"/>
        </w:rPr>
      </w:pPr>
    </w:p>
    <w:p w14:paraId="79CBAA65">
      <w:pPr>
        <w:widowControl/>
        <w:jc w:val="center"/>
        <w:rPr>
          <w:rFonts w:ascii="Times New Roman" w:hAnsi="Times New Roman" w:eastAsia="方正小标宋简体"/>
          <w:color w:val="auto"/>
          <w:sz w:val="36"/>
          <w:szCs w:val="36"/>
          <w:highlight w:val="none"/>
        </w:rPr>
      </w:pPr>
    </w:p>
    <w:p w14:paraId="1F0045CD">
      <w:pPr>
        <w:widowControl/>
        <w:jc w:val="center"/>
        <w:rPr>
          <w:rFonts w:ascii="Times New Roman" w:hAnsi="Times New Roman" w:eastAsia="方正小标宋简体"/>
          <w:color w:val="auto"/>
          <w:sz w:val="36"/>
          <w:szCs w:val="36"/>
          <w:highlight w:val="none"/>
        </w:rPr>
      </w:pPr>
    </w:p>
    <w:p w14:paraId="445D4AE7">
      <w:pPr>
        <w:widowControl/>
        <w:jc w:val="center"/>
        <w:rPr>
          <w:rFonts w:ascii="Times New Roman" w:hAnsi="Times New Roman" w:eastAsia="方正小标宋简体"/>
          <w:color w:val="auto"/>
          <w:sz w:val="36"/>
          <w:szCs w:val="36"/>
          <w:highlight w:val="none"/>
        </w:rPr>
      </w:pPr>
    </w:p>
    <w:p w14:paraId="486B2FB7">
      <w:pPr>
        <w:widowControl/>
        <w:jc w:val="center"/>
        <w:rPr>
          <w:rFonts w:ascii="Times New Roman" w:hAnsi="Times New Roman" w:eastAsia="方正小标宋简体"/>
          <w:color w:val="auto"/>
          <w:sz w:val="36"/>
          <w:szCs w:val="36"/>
          <w:highlight w:val="none"/>
        </w:rPr>
      </w:pPr>
    </w:p>
    <w:p w14:paraId="62C26FB7">
      <w:pPr>
        <w:widowControl/>
        <w:jc w:val="center"/>
        <w:rPr>
          <w:rFonts w:ascii="Times New Roman" w:hAnsi="Times New Roman" w:eastAsia="方正小标宋简体"/>
          <w:color w:val="auto"/>
          <w:sz w:val="36"/>
          <w:szCs w:val="36"/>
          <w:highlight w:val="none"/>
        </w:rPr>
      </w:pPr>
    </w:p>
    <w:p w14:paraId="16B6C525">
      <w:pPr>
        <w:widowControl/>
        <w:jc w:val="center"/>
        <w:rPr>
          <w:rFonts w:ascii="Times New Roman" w:hAnsi="Times New Roman" w:eastAsia="方正小标宋简体"/>
          <w:color w:val="auto"/>
          <w:sz w:val="36"/>
          <w:szCs w:val="36"/>
          <w:highlight w:val="none"/>
        </w:rPr>
      </w:pPr>
    </w:p>
    <w:p w14:paraId="2820E070">
      <w:pPr>
        <w:widowControl/>
        <w:jc w:val="center"/>
        <w:rPr>
          <w:rFonts w:ascii="Times New Roman" w:hAnsi="Times New Roman" w:eastAsia="方正小标宋简体"/>
          <w:color w:val="auto"/>
          <w:sz w:val="36"/>
          <w:szCs w:val="36"/>
          <w:highlight w:val="none"/>
        </w:rPr>
      </w:pPr>
    </w:p>
    <w:p w14:paraId="10D87058">
      <w:pPr>
        <w:widowControl/>
        <w:jc w:val="center"/>
        <w:rPr>
          <w:rFonts w:ascii="Times New Roman" w:hAnsi="Times New Roman" w:eastAsia="方正小标宋简体"/>
          <w:color w:val="auto"/>
          <w:sz w:val="36"/>
          <w:szCs w:val="36"/>
          <w:highlight w:val="none"/>
        </w:rPr>
      </w:pPr>
    </w:p>
    <w:p w14:paraId="302B1753">
      <w:pPr>
        <w:widowControl/>
        <w:jc w:val="both"/>
        <w:rPr>
          <w:rFonts w:ascii="Times New Roman" w:hAnsi="Times New Roman" w:eastAsia="方正小标宋简体"/>
          <w:color w:val="auto"/>
          <w:sz w:val="36"/>
          <w:szCs w:val="36"/>
          <w:highlight w:val="none"/>
        </w:rPr>
      </w:pPr>
    </w:p>
    <w:p w14:paraId="3035DC32">
      <w:pPr>
        <w:widowControl/>
        <w:jc w:val="center"/>
        <w:rPr>
          <w:rFonts w:ascii="Times New Roman" w:hAnsi="Times New Roman" w:eastAsia="方正小标宋简体"/>
          <w:color w:val="auto"/>
          <w:sz w:val="36"/>
          <w:szCs w:val="36"/>
          <w:highlight w:val="none"/>
        </w:rPr>
      </w:pPr>
    </w:p>
    <w:p w14:paraId="0392E8AF">
      <w:pPr>
        <w:widowControl/>
        <w:jc w:val="center"/>
        <w:rPr>
          <w:rFonts w:ascii="Times New Roman" w:hAnsi="Times New Roman" w:eastAsia="黑体"/>
          <w:color w:val="auto"/>
          <w:sz w:val="48"/>
          <w:szCs w:val="48"/>
          <w:highlight w:val="none"/>
        </w:rPr>
      </w:pPr>
      <w:r>
        <w:rPr>
          <w:rFonts w:hint="eastAsia" w:eastAsia="仿宋_GB2312"/>
          <w:sz w:val="32"/>
          <w:szCs w:val="32"/>
          <w:lang w:val="en-US" w:eastAsia="zh-CN"/>
        </w:rPr>
        <w:t>已经保密审查、内容审定，同意对外公开</w:t>
      </w: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34723D7">
      <w:pPr>
        <w:widowControl/>
        <w:jc w:val="center"/>
        <w:rPr>
          <w:rFonts w:ascii="Times New Roman" w:hAnsi="Times New Roman" w:eastAsia="黑体" w:cstheme="minorBidi"/>
          <w:color w:val="auto"/>
          <w:sz w:val="28"/>
          <w:szCs w:val="28"/>
          <w:highlight w:val="none"/>
        </w:rPr>
      </w:pPr>
    </w:p>
    <w:p w14:paraId="4352A45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2072"/>
        <w15:color w:val="DBDBDB"/>
        <w:docPartObj>
          <w:docPartGallery w:val="Table of Contents"/>
          <w:docPartUnique/>
        </w:docPartObj>
      </w:sdtPr>
      <w:sdtEndPr>
        <w:rPr>
          <w:rFonts w:hint="eastAsia" w:ascii="Times New Roman" w:hAnsi="Times New Roman" w:eastAsia="仿宋_GB2312" w:cs="仿宋_GB2312"/>
          <w:bCs/>
          <w:color w:val="auto"/>
          <w:kern w:val="2"/>
          <w:sz w:val="21"/>
          <w:szCs w:val="32"/>
          <w:highlight w:val="none"/>
          <w:lang w:val="en-US" w:eastAsia="zh-CN" w:bidi="ar-SA"/>
        </w:rPr>
      </w:sdtEndPr>
      <w:sdtContent>
        <w:p w14:paraId="1B5E2CAB">
          <w:pPr>
            <w:spacing w:before="0" w:beforeLines="0" w:after="0" w:afterLines="0" w:line="240" w:lineRule="auto"/>
            <w:ind w:left="0" w:leftChars="0" w:right="0" w:rightChars="0" w:firstLine="0" w:firstLineChars="0"/>
            <w:jc w:val="center"/>
          </w:pPr>
        </w:p>
        <w:p w14:paraId="3A4AF5AB">
          <w:pPr>
            <w:pStyle w:val="12"/>
            <w:tabs>
              <w:tab w:val="right" w:leader="dot" w:pos="8845"/>
              <w:tab w:val="clear" w:pos="8296"/>
            </w:tabs>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"1-3" \h \u </w:instrText>
          </w:r>
          <w:r>
            <w:rPr>
              <w:rFonts w:hint="eastAsia" w:ascii="Times New Roman" w:hAnsi="Times New Roman" w:eastAsia="仿宋_GB2312" w:cs="仿宋_GB2312"/>
              <w:b/>
              <w:bCs/>
              <w:color w:val="auto"/>
              <w:sz w:val="32"/>
              <w:szCs w:val="32"/>
              <w:highlight w:val="none"/>
              <w:lang w:eastAsia="zh-CN"/>
            </w:rPr>
            <w:fldChar w:fldCharType="separate"/>
          </w: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_Toc6539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rPr>
              <w:rFonts w:hint="eastAsia" w:ascii="Times New Roman" w:hAnsi="Times New Roman" w:eastAsia="仿宋_GB2312" w:cs="仿宋_GB2312"/>
              <w:bCs/>
              <w:color w:val="auto"/>
              <w:szCs w:val="32"/>
              <w:highlight w:val="none"/>
              <w:lang w:val="en-US" w:eastAsia="zh-CN"/>
            </w:rPr>
            <w:fldChar w:fldCharType="begin"/>
          </w:r>
          <w:r>
            <w:rPr>
              <w:rFonts w:hint="eastAsia" w:ascii="Times New Roman" w:hAnsi="Times New Roman" w:eastAsia="仿宋_GB2312" w:cs="仿宋_GB2312"/>
              <w:bCs/>
              <w:color w:val="auto"/>
              <w:szCs w:val="32"/>
              <w:highlight w:val="none"/>
              <w:lang w:val="en-US" w:eastAsia="zh-CN"/>
            </w:rPr>
            <w:instrText xml:space="preserve"> PAGEREF _Toc6539 \h </w:instrText>
          </w:r>
          <w:r>
            <w:rPr>
              <w:rFonts w:hint="eastAsia" w:ascii="Times New Roman" w:hAnsi="Times New Roman" w:eastAsia="仿宋_GB2312" w:cs="仿宋_GB2312"/>
              <w:bCs/>
              <w:color w:val="auto"/>
              <w:szCs w:val="32"/>
              <w:highlight w:val="none"/>
              <w:lang w:val="en-US" w:eastAsia="zh-CN"/>
            </w:rPr>
            <w:fldChar w:fldCharType="separate"/>
          </w:r>
          <w:r>
            <w:rPr>
              <w:rFonts w:hint="eastAsia" w:ascii="Times New Roman" w:hAnsi="Times New Roman" w:eastAsia="仿宋_GB2312" w:cs="仿宋_GB2312"/>
              <w:bCs/>
              <w:color w:val="auto"/>
              <w:szCs w:val="32"/>
              <w:highlight w:val="none"/>
              <w:lang w:val="en-US" w:eastAsia="zh-CN"/>
            </w:rPr>
            <w:t>1</w:t>
          </w:r>
          <w:r>
            <w:rPr>
              <w:rFonts w:hint="eastAsia" w:ascii="Times New Roman" w:hAnsi="Times New Roman" w:eastAsia="仿宋_GB2312" w:cs="仿宋_GB2312"/>
              <w:bCs/>
              <w:color w:val="auto"/>
              <w:szCs w:val="32"/>
              <w:highlight w:val="none"/>
              <w:lang w:val="en-US" w:eastAsia="zh-CN"/>
            </w:rPr>
            <w:fldChar w:fldCharType="end"/>
          </w:r>
          <w:r>
            <w:rPr>
              <w:rFonts w:hint="eastAsia" w:ascii="Times New Roman" w:hAnsi="Times New Roman" w:eastAsia="仿宋_GB2312" w:cs="仿宋_GB2312"/>
              <w:bCs/>
              <w:color w:val="auto"/>
              <w:szCs w:val="32"/>
              <w:highlight w:val="none"/>
              <w:lang w:eastAsia="zh-CN"/>
            </w:rPr>
            <w:fldChar w:fldCharType="end"/>
          </w:r>
        </w:p>
        <w:p w14:paraId="21F2B188">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_Toc26335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rPr>
              <w:rFonts w:hint="eastAsia"/>
              <w:lang w:val="en-US" w:eastAsia="zh-CN"/>
            </w:rPr>
            <w:t>1</w:t>
          </w:r>
          <w:r>
            <w:rPr>
              <w:rFonts w:hint="eastAsia" w:ascii="Times New Roman" w:hAnsi="Times New Roman" w:eastAsia="仿宋_GB2312" w:cs="仿宋_GB2312"/>
              <w:bCs/>
              <w:color w:val="auto"/>
              <w:szCs w:val="32"/>
              <w:highlight w:val="none"/>
              <w:lang w:eastAsia="zh-CN"/>
            </w:rPr>
            <w:fldChar w:fldCharType="end"/>
          </w:r>
        </w:p>
        <w:p w14:paraId="125A3052">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_Toc14359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rPr>
              <w:rFonts w:hint="eastAsia"/>
              <w:lang w:val="en-US" w:eastAsia="zh-CN"/>
            </w:rPr>
            <w:t>1</w:t>
          </w:r>
          <w:r>
            <w:rPr>
              <w:rFonts w:hint="eastAsia" w:ascii="Times New Roman" w:hAnsi="Times New Roman" w:eastAsia="仿宋_GB2312" w:cs="仿宋_GB2312"/>
              <w:bCs/>
              <w:color w:val="auto"/>
              <w:szCs w:val="32"/>
              <w:highlight w:val="none"/>
              <w:lang w:eastAsia="zh-CN"/>
            </w:rPr>
            <w:fldChar w:fldCharType="end"/>
          </w:r>
        </w:p>
        <w:p w14:paraId="227C4D41">
          <w:pPr>
            <w:pStyle w:val="12"/>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_Toc8774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方正小标宋简体" w:hAnsi="方正小标宋简体" w:eastAsia="方正小标宋简体" w:cs="方正小标宋简体"/>
              <w:highlight w:val="none"/>
              <w:lang w:val="en-US" w:eastAsia="zh-CN"/>
            </w:rPr>
            <w:t>2024</w:t>
          </w:r>
          <w:r>
            <w:rPr>
              <w:rFonts w:hint="eastAsia" w:ascii="Times New Roman" w:hAnsi="Times New Roman" w:eastAsia="方正小标宋简体" w:cs="方正小标宋简体"/>
              <w:highlight w:val="none"/>
              <w:lang w:val="en-US" w:eastAsia="zh-CN"/>
            </w:rPr>
            <w:t>年度</w:t>
          </w:r>
          <w:r>
            <w:rPr>
              <w:rFonts w:hint="eastAsia" w:ascii="Times New Roman" w:hAnsi="Times New Roman" w:eastAsia="方正小标宋简体" w:cs="方正小标宋简体"/>
              <w:highlight w:val="none"/>
            </w:rPr>
            <w:t>部门决算情况说明</w:t>
          </w:r>
          <w:r>
            <w:tab/>
          </w:r>
          <w:r>
            <w:rPr>
              <w:rFonts w:ascii="Times New Roman" w:hAnsi="Times New Roman" w:eastAsia="宋体" w:cs="Times New Roman"/>
              <w:kern w:val="2"/>
              <w:sz w:val="28"/>
              <w:szCs w:val="36"/>
              <w:lang w:val="en-US" w:eastAsia="zh-CN" w:bidi="ar-SA"/>
            </w:rPr>
            <w:fldChar w:fldCharType="begin"/>
          </w:r>
          <w:r>
            <w:rPr>
              <w:rFonts w:ascii="Times New Roman" w:hAnsi="Times New Roman" w:eastAsia="宋体" w:cs="Times New Roman"/>
              <w:kern w:val="2"/>
              <w:sz w:val="28"/>
              <w:szCs w:val="36"/>
              <w:lang w:val="en-US" w:eastAsia="zh-CN" w:bidi="ar-SA"/>
            </w:rPr>
            <w:instrText xml:space="preserve"> PAGEREF _Toc8774 \h </w:instrText>
          </w:r>
          <w:r>
            <w:rPr>
              <w:rFonts w:ascii="Times New Roman" w:hAnsi="Times New Roman" w:eastAsia="宋体" w:cs="Times New Roman"/>
              <w:kern w:val="2"/>
              <w:sz w:val="28"/>
              <w:szCs w:val="36"/>
              <w:lang w:val="en-US" w:eastAsia="zh-CN" w:bidi="ar-SA"/>
            </w:rPr>
            <w:fldChar w:fldCharType="separate"/>
          </w:r>
          <w:r>
            <w:rPr>
              <w:rFonts w:ascii="Times New Roman" w:hAnsi="Times New Roman" w:eastAsia="宋体" w:cs="Times New Roman"/>
              <w:kern w:val="2"/>
              <w:sz w:val="28"/>
              <w:szCs w:val="36"/>
              <w:lang w:val="en-US" w:eastAsia="zh-CN" w:bidi="ar-SA"/>
            </w:rPr>
            <w:t>3</w:t>
          </w:r>
          <w:r>
            <w:rPr>
              <w:rFonts w:ascii="Times New Roman" w:hAnsi="Times New Roman" w:eastAsia="宋体" w:cs="Times New Roman"/>
              <w:kern w:val="2"/>
              <w:sz w:val="28"/>
              <w:szCs w:val="36"/>
              <w:lang w:val="en-US" w:eastAsia="zh-CN" w:bidi="ar-SA"/>
            </w:rPr>
            <w:fldChar w:fldCharType="end"/>
          </w:r>
          <w:r>
            <w:rPr>
              <w:rFonts w:hint="eastAsia" w:ascii="Times New Roman" w:hAnsi="Times New Roman" w:eastAsia="仿宋_GB2312" w:cs="仿宋_GB2312"/>
              <w:bCs/>
              <w:color w:val="auto"/>
              <w:szCs w:val="32"/>
              <w:highlight w:val="none"/>
              <w:lang w:eastAsia="zh-CN"/>
            </w:rPr>
            <w:fldChar w:fldCharType="end"/>
          </w:r>
        </w:p>
        <w:p w14:paraId="458964C8">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_Toc28136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_Toc28136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14:paraId="6DBBABFB">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_Toc16736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_Toc16736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14:paraId="0F7A0C43">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_Toc25868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_Toc25868 \h </w:instrText>
          </w:r>
          <w:r>
            <w:fldChar w:fldCharType="separate"/>
          </w:r>
          <w:r>
            <w:t>4</w:t>
          </w:r>
          <w:r>
            <w:fldChar w:fldCharType="end"/>
          </w:r>
          <w:r>
            <w:rPr>
              <w:rFonts w:hint="eastAsia" w:ascii="Times New Roman" w:hAnsi="Times New Roman" w:eastAsia="仿宋_GB2312" w:cs="仿宋_GB2312"/>
              <w:bCs/>
              <w:color w:val="auto"/>
              <w:szCs w:val="32"/>
              <w:highlight w:val="none"/>
              <w:lang w:eastAsia="zh-CN"/>
            </w:rPr>
            <w:fldChar w:fldCharType="end"/>
          </w:r>
        </w:p>
        <w:p w14:paraId="49CA905D">
          <w:pPr>
            <w:pStyle w:val="16"/>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_Toc7229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rPr>
              <w:rFonts w:hint="eastAsia" w:ascii="Times New Roman" w:hAnsi="Times New Roman" w:eastAsia="仿宋_GB2312" w:cs="仿宋_GB2312"/>
              <w:bCs/>
              <w:color w:val="auto"/>
              <w:szCs w:val="32"/>
              <w:highlight w:val="none"/>
              <w:lang w:eastAsia="zh-CN"/>
            </w:rPr>
            <w:fldChar w:fldCharType="end"/>
          </w:r>
          <w:r>
            <w:rPr>
              <w:rFonts w:hint="eastAsia" w:eastAsia="仿宋_GB2312" w:cs="仿宋_GB2312"/>
              <w:bCs/>
              <w:color w:val="auto"/>
              <w:szCs w:val="32"/>
              <w:highlight w:val="none"/>
              <w:lang w:val="en-US" w:eastAsia="zh-CN"/>
            </w:rPr>
            <w:t>4</w:t>
          </w:r>
        </w:p>
        <w:p w14:paraId="452AC97B">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_Toc23232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_Toc23232 \h </w:instrText>
          </w:r>
          <w:r>
            <w:fldChar w:fldCharType="separate"/>
          </w:r>
          <w:r>
            <w:t>5</w:t>
          </w:r>
          <w:r>
            <w:fldChar w:fldCharType="end"/>
          </w:r>
          <w:r>
            <w:rPr>
              <w:rFonts w:hint="eastAsia" w:ascii="Times New Roman" w:hAnsi="Times New Roman" w:eastAsia="仿宋_GB2312" w:cs="仿宋_GB2312"/>
              <w:bCs/>
              <w:color w:val="auto"/>
              <w:szCs w:val="32"/>
              <w:highlight w:val="none"/>
              <w:lang w:eastAsia="zh-CN"/>
            </w:rPr>
            <w:fldChar w:fldCharType="end"/>
          </w:r>
        </w:p>
        <w:p w14:paraId="56A5CCC2">
          <w:pPr>
            <w:pStyle w:val="16"/>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_Toc21216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rPr>
              <w:rFonts w:hint="eastAsia" w:ascii="Times New Roman" w:hAnsi="Times New Roman" w:eastAsia="仿宋_GB2312" w:cs="仿宋_GB2312"/>
              <w:bCs/>
              <w:color w:val="auto"/>
              <w:szCs w:val="32"/>
              <w:highlight w:val="none"/>
              <w:lang w:eastAsia="zh-CN"/>
            </w:rPr>
            <w:fldChar w:fldCharType="end"/>
          </w:r>
          <w:r>
            <w:rPr>
              <w:rFonts w:hint="eastAsia" w:eastAsia="仿宋_GB2312" w:cs="仿宋_GB2312"/>
              <w:bCs/>
              <w:color w:val="auto"/>
              <w:szCs w:val="32"/>
              <w:highlight w:val="none"/>
              <w:lang w:val="en-US" w:eastAsia="zh-CN"/>
            </w:rPr>
            <w:t>7</w:t>
          </w:r>
        </w:p>
        <w:p w14:paraId="1623090E">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_Toc28593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_Toc28593 \h </w:instrText>
          </w:r>
          <w:r>
            <w:fldChar w:fldCharType="separate"/>
          </w:r>
          <w:r>
            <w:t>8</w:t>
          </w:r>
          <w:r>
            <w:fldChar w:fldCharType="end"/>
          </w:r>
          <w:r>
            <w:rPr>
              <w:rFonts w:hint="eastAsia" w:ascii="Times New Roman" w:hAnsi="Times New Roman" w:eastAsia="仿宋_GB2312" w:cs="仿宋_GB2312"/>
              <w:bCs/>
              <w:color w:val="auto"/>
              <w:szCs w:val="32"/>
              <w:highlight w:val="none"/>
              <w:lang w:eastAsia="zh-CN"/>
            </w:rPr>
            <w:fldChar w:fldCharType="end"/>
          </w:r>
        </w:p>
        <w:p w14:paraId="64259085">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_Toc26907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rPr>
              <w:rFonts w:hint="eastAsia"/>
              <w:lang w:val="en-US" w:eastAsia="zh-CN"/>
            </w:rPr>
            <w:t>9</w:t>
          </w:r>
          <w:r>
            <w:rPr>
              <w:rFonts w:hint="eastAsia" w:ascii="Times New Roman" w:hAnsi="Times New Roman" w:eastAsia="仿宋_GB2312" w:cs="仿宋_GB2312"/>
              <w:bCs/>
              <w:color w:val="auto"/>
              <w:szCs w:val="32"/>
              <w:highlight w:val="none"/>
              <w:lang w:eastAsia="zh-CN"/>
            </w:rPr>
            <w:fldChar w:fldCharType="end"/>
          </w:r>
        </w:p>
        <w:p w14:paraId="09AF18E1">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_Toc12025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_Toc12025 \h </w:instrText>
          </w:r>
          <w:r>
            <w:fldChar w:fldCharType="separate"/>
          </w:r>
          <w:r>
            <w:t>10</w:t>
          </w:r>
          <w:r>
            <w:fldChar w:fldCharType="end"/>
          </w:r>
          <w:r>
            <w:rPr>
              <w:rFonts w:hint="eastAsia" w:ascii="Times New Roman" w:hAnsi="Times New Roman" w:eastAsia="仿宋_GB2312" w:cs="仿宋_GB2312"/>
              <w:bCs/>
              <w:color w:val="auto"/>
              <w:szCs w:val="32"/>
              <w:highlight w:val="none"/>
              <w:lang w:eastAsia="zh-CN"/>
            </w:rPr>
            <w:fldChar w:fldCharType="end"/>
          </w:r>
        </w:p>
        <w:p w14:paraId="0228BEF7">
          <w:pPr>
            <w:pStyle w:val="16"/>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_Toc8705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rPr>
              <w:rFonts w:hint="eastAsia"/>
              <w:lang w:val="en-US" w:eastAsia="zh-CN"/>
            </w:rPr>
            <w:t>1</w:t>
          </w:r>
          <w:r>
            <w:rPr>
              <w:rFonts w:hint="eastAsia" w:ascii="Times New Roman" w:hAnsi="Times New Roman" w:eastAsia="仿宋_GB2312" w:cs="仿宋_GB2312"/>
              <w:bCs/>
              <w:color w:val="auto"/>
              <w:szCs w:val="32"/>
              <w:highlight w:val="none"/>
              <w:lang w:eastAsia="zh-CN"/>
            </w:rPr>
            <w:fldChar w:fldCharType="end"/>
          </w:r>
          <w:r>
            <w:rPr>
              <w:rFonts w:hint="eastAsia" w:eastAsia="仿宋_GB2312" w:cs="仿宋_GB2312"/>
              <w:bCs/>
              <w:color w:val="auto"/>
              <w:szCs w:val="32"/>
              <w:highlight w:val="none"/>
              <w:lang w:val="en-US" w:eastAsia="zh-CN"/>
            </w:rPr>
            <w:t>0</w:t>
          </w:r>
        </w:p>
        <w:p w14:paraId="22742C6F">
          <w:pPr>
            <w:pStyle w:val="12"/>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_Toc10801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rPr>
              <w:rFonts w:hint="eastAsia" w:ascii="Times New Roman" w:hAnsi="Times New Roman" w:eastAsia="仿宋_GB2312" w:cs="仿宋_GB2312"/>
              <w:bCs/>
              <w:color w:val="auto"/>
              <w:szCs w:val="32"/>
              <w:highlight w:val="none"/>
              <w:lang w:val="en-US" w:eastAsia="zh-CN"/>
            </w:rPr>
            <w:t>1</w:t>
          </w:r>
          <w:r>
            <w:rPr>
              <w:rFonts w:hint="eastAsia" w:ascii="Times New Roman" w:hAnsi="Times New Roman" w:eastAsia="仿宋_GB2312" w:cs="仿宋_GB2312"/>
              <w:bCs/>
              <w:color w:val="auto"/>
              <w:szCs w:val="32"/>
              <w:highlight w:val="none"/>
              <w:lang w:eastAsia="zh-CN"/>
            </w:rPr>
            <w:fldChar w:fldCharType="end"/>
          </w:r>
          <w:r>
            <w:rPr>
              <w:rFonts w:hint="eastAsia" w:ascii="Times New Roman" w:hAnsi="Times New Roman" w:eastAsia="仿宋_GB2312" w:cs="仿宋_GB2312"/>
              <w:bCs/>
              <w:color w:val="auto"/>
              <w:szCs w:val="32"/>
              <w:highlight w:val="none"/>
              <w:lang w:val="en-US" w:eastAsia="zh-CN"/>
            </w:rPr>
            <w:t>2</w:t>
          </w:r>
        </w:p>
        <w:p w14:paraId="700DE60C">
          <w:pPr>
            <w:pStyle w:val="12"/>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_Toc8244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rPr>
              <w:rFonts w:hint="eastAsia" w:ascii="Times New Roman" w:hAnsi="Times New Roman" w:eastAsia="仿宋_GB2312" w:cs="仿宋_GB2312"/>
              <w:bCs/>
              <w:color w:val="auto"/>
              <w:szCs w:val="32"/>
              <w:highlight w:val="none"/>
              <w:lang w:val="en-US" w:eastAsia="zh-CN"/>
            </w:rPr>
            <w:t>1</w:t>
          </w:r>
          <w:r>
            <w:rPr>
              <w:rFonts w:hint="eastAsia" w:ascii="Times New Roman" w:hAnsi="Times New Roman" w:eastAsia="仿宋_GB2312" w:cs="仿宋_GB2312"/>
              <w:bCs/>
              <w:color w:val="auto"/>
              <w:szCs w:val="32"/>
              <w:highlight w:val="none"/>
              <w:lang w:val="en-US" w:eastAsia="zh-CN"/>
            </w:rPr>
            <w:fldChar w:fldCharType="end"/>
          </w:r>
          <w:r>
            <w:rPr>
              <w:rFonts w:hint="eastAsia" w:ascii="Times New Roman" w:hAnsi="Times New Roman" w:eastAsia="仿宋_GB2312" w:cs="仿宋_GB2312"/>
              <w:bCs/>
              <w:color w:val="auto"/>
              <w:szCs w:val="32"/>
              <w:highlight w:val="none"/>
              <w:lang w:val="en-US" w:eastAsia="zh-CN"/>
            </w:rPr>
            <w:t>5</w:t>
          </w:r>
        </w:p>
        <w:p w14:paraId="45FA8C16">
          <w:pPr>
            <w:pStyle w:val="12"/>
            <w:tabs>
              <w:tab w:val="right" w:leader="dot" w:pos="8845"/>
              <w:tab w:val="clear" w:pos="8296"/>
            </w:tabs>
            <w:rPr>
              <w:rFonts w:hint="default"/>
              <w:lang w:val="en-US"/>
            </w:rPr>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_Toc15140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ascii="Times New Roman" w:hAnsi="Times New Roman" w:eastAsia="黑体"/>
              <w:highlight w:val="none"/>
            </w:rPr>
            <w:t>五部分 附表</w:t>
          </w:r>
          <w:r>
            <w:tab/>
          </w:r>
          <w:r>
            <w:rPr>
              <w:rFonts w:hint="eastAsia" w:ascii="Times New Roman" w:hAnsi="Times New Roman" w:eastAsia="仿宋_GB2312" w:cs="仿宋_GB2312"/>
              <w:bCs/>
              <w:color w:val="auto"/>
              <w:szCs w:val="32"/>
              <w:highlight w:val="none"/>
              <w:lang w:val="en-US" w:eastAsia="zh-CN"/>
            </w:rPr>
            <w:t>4</w:t>
          </w:r>
          <w:r>
            <w:rPr>
              <w:rFonts w:hint="eastAsia" w:ascii="Times New Roman" w:hAnsi="Times New Roman" w:eastAsia="仿宋_GB2312" w:cs="仿宋_GB2312"/>
              <w:bCs/>
              <w:color w:val="auto"/>
              <w:szCs w:val="32"/>
              <w:highlight w:val="none"/>
              <w:lang w:val="en-US" w:eastAsia="zh-CN"/>
            </w:rPr>
            <w:fldChar w:fldCharType="end"/>
          </w:r>
          <w:r>
            <w:rPr>
              <w:rFonts w:hint="eastAsia" w:ascii="Times New Roman" w:hAnsi="Times New Roman" w:eastAsia="仿宋_GB2312" w:cs="仿宋_GB2312"/>
              <w:bCs/>
              <w:color w:val="auto"/>
              <w:szCs w:val="32"/>
              <w:highlight w:val="none"/>
              <w:lang w:val="en-US" w:eastAsia="zh-CN"/>
            </w:rPr>
            <w:t>8</w:t>
          </w:r>
        </w:p>
        <w:p w14:paraId="26867F54">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_Toc14683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_Toc14683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08DAD6A3">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_Toc16340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_Toc16340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63D2FB34">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_Toc7805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_Toc7805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044018DE">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_Toc3063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_Toc3063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459B69D8">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_Toc18462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_Toc18462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15603196">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_Toc25368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_Toc25368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5FA5D7C6">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_Toc19531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_Toc19531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30FBDB22">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_Toc10493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_Toc10493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125C465A">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_Toc13816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_Toc13816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66CF53DF">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_Toc8707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_Toc8707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05714959">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_Toc28765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_Toc28765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3840EBC1">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_Toc11148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十二、国有资本经营预算财政拨款支出决算表</w:t>
          </w:r>
          <w:r>
            <w:tab/>
          </w:r>
          <w:r>
            <w:fldChar w:fldCharType="begin"/>
          </w:r>
          <w:r>
            <w:instrText xml:space="preserve"> PAGEREF _Toc11148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67CF717B">
          <w:pPr>
            <w:pStyle w:val="16"/>
            <w:tabs>
              <w:tab w:val="right" w:leader="dot" w:pos="8845"/>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_Toc11833 </w:instrText>
          </w:r>
          <w:r>
            <w:rPr>
              <w:rFonts w:hint="eastAsia" w:ascii="Times New Roman" w:hAnsi="Times New Roman" w:eastAsia="仿宋_GB2312" w:cs="仿宋_GB2312"/>
              <w:bCs/>
              <w:szCs w:val="32"/>
              <w:highlight w:val="none"/>
              <w:lang w:eastAsia="zh-CN"/>
            </w:rPr>
            <w:fldChar w:fldCharType="separate"/>
          </w:r>
          <w:r>
            <w:rPr>
              <w:rFonts w:hint="eastAsia" w:ascii="仿宋" w:hAnsi="仿宋" w:eastAsia="仿宋"/>
              <w:bCs w:val="0"/>
            </w:rPr>
            <w:t>十三、财政拨款“三公”经费支出决算表</w:t>
          </w:r>
          <w:r>
            <w:tab/>
          </w:r>
          <w:r>
            <w:fldChar w:fldCharType="begin"/>
          </w:r>
          <w:r>
            <w:instrText xml:space="preserve"> PAGEREF _Toc11833 \h </w:instrText>
          </w:r>
          <w:r>
            <w:fldChar w:fldCharType="separate"/>
          </w:r>
          <w:r>
            <w:t>46</w:t>
          </w:r>
          <w:r>
            <w:fldChar w:fldCharType="end"/>
          </w:r>
          <w:r>
            <w:rPr>
              <w:rFonts w:hint="eastAsia" w:ascii="Times New Roman" w:hAnsi="Times New Roman" w:eastAsia="仿宋_GB2312" w:cs="仿宋_GB2312"/>
              <w:bCs/>
              <w:color w:val="auto"/>
              <w:szCs w:val="32"/>
              <w:highlight w:val="none"/>
              <w:lang w:eastAsia="zh-CN"/>
            </w:rPr>
            <w:fldChar w:fldCharType="end"/>
          </w:r>
        </w:p>
        <w:p w14:paraId="32C8DA65">
          <w:pPr>
            <w:pStyle w:val="16"/>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bCs/>
              <w:color w:val="auto"/>
              <w:kern w:val="2"/>
              <w:sz w:val="21"/>
              <w:szCs w:val="32"/>
              <w:highlight w:val="none"/>
              <w:lang w:val="en-US" w:eastAsia="zh-CN" w:bidi="ar-SA"/>
            </w:rPr>
          </w:pPr>
          <w:r>
            <w:rPr>
              <w:rFonts w:hint="eastAsia" w:ascii="Times New Roman" w:hAnsi="Times New Roman" w:eastAsia="仿宋_GB2312" w:cs="仿宋_GB2312"/>
              <w:bCs/>
              <w:color w:val="auto"/>
              <w:szCs w:val="32"/>
              <w:highlight w:val="none"/>
              <w:lang w:eastAsia="zh-CN"/>
            </w:rPr>
            <w:fldChar w:fldCharType="end"/>
          </w:r>
        </w:p>
      </w:sdtContent>
    </w:sdt>
    <w:p w14:paraId="7F348402">
      <w:pPr>
        <w:rPr>
          <w:rFonts w:hint="eastAsia"/>
          <w:lang w:eastAsia="zh-CN"/>
        </w:rPr>
      </w:pPr>
    </w:p>
    <w:p w14:paraId="1FB4B886">
      <w:pPr>
        <w:pStyle w:val="2"/>
        <w:jc w:val="center"/>
        <w:rPr>
          <w:rFonts w:hint="eastAsia" w:ascii="Times New Roman" w:hAnsi="Times New Roman" w:eastAsia="方正小标宋简体" w:cs="方正小标宋简体"/>
          <w:b w:val="0"/>
          <w:color w:val="auto"/>
          <w:highlight w:val="none"/>
        </w:rPr>
        <w:sectPr>
          <w:headerReference r:id="rId3" w:type="default"/>
          <w:pgSz w:w="11906" w:h="16838"/>
          <w:pgMar w:top="2098" w:right="1474" w:bottom="1984" w:left="1587" w:header="851" w:footer="992" w:gutter="0"/>
          <w:pgNumType w:fmt="decimal"/>
          <w:cols w:space="425" w:num="1"/>
          <w:docGrid w:type="lines" w:linePitch="435" w:charSpace="0"/>
        </w:sectPr>
      </w:pPr>
      <w:bookmarkStart w:id="12" w:name="_Toc15377196"/>
      <w:bookmarkStart w:id="13" w:name="_Toc15396599"/>
    </w:p>
    <w:p w14:paraId="008C2D81">
      <w:pPr>
        <w:pStyle w:val="2"/>
        <w:jc w:val="center"/>
        <w:rPr>
          <w:rFonts w:hint="eastAsia" w:ascii="Times New Roman" w:hAnsi="Times New Roman" w:eastAsia="黑体"/>
          <w:b w:val="0"/>
          <w:color w:val="auto"/>
          <w:highlight w:val="none"/>
          <w:lang w:eastAsia="zh-CN"/>
        </w:rPr>
      </w:pPr>
      <w:bookmarkStart w:id="14" w:name="_Toc6539"/>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bookmarkEnd w:id="14"/>
    </w:p>
    <w:p w14:paraId="56CE6BC9">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r>
        <w:rPr>
          <w:rStyle w:val="31"/>
          <w:rFonts w:hint="eastAsia" w:ascii="Times New Roman" w:hAnsi="Times New Roman" w:eastAsia="黑体"/>
          <w:b w:val="0"/>
          <w:color w:val="auto"/>
          <w:highlight w:val="none"/>
          <w:lang w:val="en-US" w:eastAsia="zh-CN" w:bidi="ar-SA"/>
        </w:rPr>
        <w:t>一、部门职责</w:t>
      </w:r>
    </w:p>
    <w:p w14:paraId="032AB61D">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Fonts w:hint="eastAsia" w:cs="仿宋_GB2312"/>
          <w:bCs/>
          <w:color w:val="000000"/>
          <w:sz w:val="32"/>
          <w:szCs w:val="32"/>
          <w:lang w:val="en-US" w:eastAsia="zh-CN"/>
        </w:rPr>
      </w:pPr>
      <w:r>
        <w:rPr>
          <w:rFonts w:hint="eastAsia" w:cs="仿宋_GB2312"/>
          <w:bCs/>
          <w:color w:val="000000"/>
          <w:sz w:val="32"/>
          <w:szCs w:val="32"/>
          <w:lang w:val="en-US" w:eastAsia="zh-CN"/>
        </w:rPr>
        <w:t>1.开展学术交流，活跃学术思想，促进学科和经济发展。</w:t>
      </w:r>
    </w:p>
    <w:p w14:paraId="1C0D7607">
      <w:pPr>
        <w:pStyle w:val="6"/>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2.为科技、经济、社会协调发展献计献策，开展科学论证、技术咨询</w:t>
      </w:r>
      <w:r>
        <w:rPr>
          <w:rFonts w:hint="eastAsia" w:cs="仿宋_GB2312"/>
          <w:bCs/>
          <w:color w:val="000000"/>
          <w:sz w:val="32"/>
          <w:szCs w:val="32"/>
          <w:lang w:val="zh-CN"/>
        </w:rPr>
        <w:t>服务，促进科学技术成果的转化，兴办科技经济实体。</w:t>
      </w:r>
    </w:p>
    <w:p w14:paraId="1914536B">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3.</w:t>
      </w:r>
      <w:r>
        <w:rPr>
          <w:rFonts w:hint="eastAsia" w:cs="仿宋_GB2312"/>
          <w:bCs/>
          <w:color w:val="000000"/>
          <w:sz w:val="32"/>
          <w:szCs w:val="32"/>
          <w:lang w:val="zh-CN"/>
        </w:rPr>
        <w:t>开展对民间科技交流与合作，发展同国内外的科技团体和科技工作者的友好往来。</w:t>
      </w:r>
    </w:p>
    <w:p w14:paraId="1B659B11">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4.</w:t>
      </w:r>
      <w:r>
        <w:rPr>
          <w:rFonts w:hint="eastAsia" w:cs="仿宋_GB2312"/>
          <w:bCs/>
          <w:color w:val="000000"/>
          <w:sz w:val="32"/>
          <w:szCs w:val="32"/>
          <w:lang w:val="zh-CN"/>
        </w:rPr>
        <w:t>普及科学知识，推广先进技术，开展青少年科技教育活动，提高全民科学文化素质。</w:t>
      </w:r>
    </w:p>
    <w:p w14:paraId="167F88C1">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5.</w:t>
      </w:r>
      <w:r>
        <w:rPr>
          <w:rFonts w:hint="eastAsia" w:cs="仿宋_GB2312"/>
          <w:bCs/>
          <w:color w:val="000000"/>
          <w:sz w:val="32"/>
          <w:szCs w:val="32"/>
          <w:lang w:val="zh-CN"/>
        </w:rPr>
        <w:t>开展继续教育和技术培训工作。</w:t>
      </w:r>
    </w:p>
    <w:p w14:paraId="04A37D1F">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6.</w:t>
      </w:r>
      <w:r>
        <w:rPr>
          <w:rFonts w:hint="eastAsia" w:cs="仿宋_GB2312"/>
          <w:bCs/>
          <w:color w:val="000000"/>
          <w:sz w:val="32"/>
          <w:szCs w:val="32"/>
          <w:lang w:val="zh-CN"/>
        </w:rPr>
        <w:t>编辑科普刊物、资料</w:t>
      </w:r>
      <w:r>
        <w:rPr>
          <w:rFonts w:hint="eastAsia" w:cs="仿宋_GB2312"/>
          <w:bCs/>
          <w:color w:val="000000"/>
          <w:sz w:val="32"/>
          <w:szCs w:val="32"/>
          <w:lang w:val="en-US" w:eastAsia="zh-CN"/>
        </w:rPr>
        <w:t>,</w:t>
      </w:r>
      <w:r>
        <w:rPr>
          <w:rFonts w:hint="eastAsia" w:cs="仿宋_GB2312"/>
          <w:bCs/>
          <w:color w:val="000000"/>
          <w:sz w:val="32"/>
          <w:szCs w:val="32"/>
          <w:lang w:val="zh-CN"/>
        </w:rPr>
        <w:t>举办为科技工作者服务的事业。</w:t>
      </w:r>
    </w:p>
    <w:p w14:paraId="597148FD">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7.</w:t>
      </w:r>
      <w:r>
        <w:rPr>
          <w:rFonts w:hint="eastAsia" w:cs="仿宋_GB2312"/>
          <w:bCs/>
          <w:color w:val="000000"/>
          <w:sz w:val="32"/>
          <w:szCs w:val="32"/>
          <w:lang w:val="zh-CN"/>
        </w:rPr>
        <w:t>对所属全县协会、学会，镇科协进行业务指导。</w:t>
      </w:r>
    </w:p>
    <w:p w14:paraId="28666786">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8.反映</w:t>
      </w:r>
      <w:r>
        <w:rPr>
          <w:rFonts w:hint="eastAsia" w:cs="仿宋_GB2312"/>
          <w:bCs/>
          <w:color w:val="000000"/>
          <w:sz w:val="32"/>
          <w:szCs w:val="32"/>
          <w:lang w:val="zh-CN"/>
        </w:rPr>
        <w:t>科技工作者的意见和要求，维护科技工作者的合法权益，组织科技工作者参加科技政策、法规的制度和重大事务的政治协商、科学决策、民主监督工作。</w:t>
      </w:r>
    </w:p>
    <w:p w14:paraId="7DE1FAB1">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hAnsi="Times New Roman" w:cs="仿宋_GB2312"/>
          <w:bCs/>
          <w:color w:val="000000"/>
          <w:sz w:val="32"/>
          <w:szCs w:val="32"/>
          <w:lang w:val="zh-CN"/>
        </w:rPr>
      </w:pPr>
      <w:r>
        <w:rPr>
          <w:rFonts w:hint="eastAsia" w:hAnsi="Times New Roman" w:cs="仿宋_GB2312"/>
          <w:bCs/>
          <w:color w:val="000000"/>
          <w:sz w:val="32"/>
          <w:szCs w:val="32"/>
          <w:lang w:val="en-US" w:eastAsia="zh-CN"/>
        </w:rPr>
        <w:t>9.</w:t>
      </w:r>
      <w:r>
        <w:rPr>
          <w:rFonts w:hint="eastAsia" w:hAnsi="Times New Roman" w:cs="仿宋_GB2312"/>
          <w:bCs/>
          <w:color w:val="000000"/>
          <w:sz w:val="32"/>
          <w:szCs w:val="32"/>
          <w:lang w:val="zh-CN"/>
        </w:rPr>
        <w:t>表彰优秀学术论文、优秀科学技术工作者、举荐人才。</w:t>
      </w:r>
    </w:p>
    <w:p w14:paraId="33D3CE2D">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hAnsi="Times New Roman" w:cs="仿宋_GB2312"/>
          <w:bCs/>
          <w:color w:val="000000"/>
          <w:sz w:val="32"/>
          <w:szCs w:val="32"/>
          <w:lang w:val="zh-CN"/>
        </w:rPr>
      </w:pPr>
      <w:r>
        <w:rPr>
          <w:rFonts w:hint="eastAsia" w:hAnsi="Times New Roman" w:cs="仿宋_GB2312"/>
          <w:bCs/>
          <w:color w:val="000000"/>
          <w:sz w:val="32"/>
          <w:szCs w:val="32"/>
          <w:lang w:val="en-US" w:eastAsia="zh-CN"/>
        </w:rPr>
        <w:t>10.</w:t>
      </w:r>
      <w:r>
        <w:rPr>
          <w:rFonts w:hint="eastAsia" w:hAnsi="Times New Roman" w:cs="仿宋_GB2312"/>
          <w:bCs/>
          <w:color w:val="000000"/>
          <w:sz w:val="32"/>
          <w:szCs w:val="32"/>
          <w:lang w:val="zh-CN"/>
        </w:rPr>
        <w:t>县委、</w:t>
      </w:r>
      <w:r>
        <w:rPr>
          <w:rFonts w:hint="eastAsia" w:hAnsi="Times New Roman" w:cs="仿宋_GB2312"/>
          <w:bCs/>
          <w:color w:val="000000"/>
          <w:sz w:val="32"/>
          <w:szCs w:val="32"/>
          <w:lang w:val="zh-CN" w:eastAsia="zh-CN"/>
        </w:rPr>
        <w:t>县</w:t>
      </w:r>
      <w:r>
        <w:rPr>
          <w:rFonts w:hint="eastAsia" w:hAnsi="Times New Roman" w:cs="仿宋_GB2312"/>
          <w:bCs/>
          <w:color w:val="000000"/>
          <w:sz w:val="32"/>
          <w:szCs w:val="32"/>
          <w:lang w:val="zh-CN"/>
        </w:rPr>
        <w:t>政府交办的其他工作。</w:t>
      </w:r>
    </w:p>
    <w:p w14:paraId="44B8CD45">
      <w:pPr>
        <w:pageBreakBefore w:val="0"/>
        <w:widowControl w:val="0"/>
        <w:numPr>
          <w:ilvl w:val="0"/>
          <w:numId w:val="0"/>
        </w:numPr>
        <w:kinsoku/>
        <w:wordWrap/>
        <w:overflowPunct/>
        <w:topLinePunct w:val="0"/>
        <w:autoSpaceDE/>
        <w:autoSpaceDN/>
        <w:bidi w:val="0"/>
        <w:spacing w:line="600" w:lineRule="exact"/>
        <w:textAlignment w:val="auto"/>
        <w:rPr>
          <w:rFonts w:hint="eastAsia"/>
          <w:lang w:eastAsia="zh-CN"/>
        </w:rPr>
      </w:pPr>
    </w:p>
    <w:p w14:paraId="169ABF18">
      <w:pPr>
        <w:pStyle w:val="3"/>
        <w:keepNext/>
        <w:keepLines/>
        <w:pageBreakBefore w:val="0"/>
        <w:widowControl w:val="0"/>
        <w:kinsoku/>
        <w:wordWrap/>
        <w:overflowPunct/>
        <w:topLinePunct w:val="0"/>
        <w:autoSpaceDE/>
        <w:autoSpaceDN/>
        <w:bidi w:val="0"/>
        <w:adjustRightInd/>
        <w:snapToGrid/>
        <w:spacing w:line="600" w:lineRule="exact"/>
        <w:textAlignment w:val="auto"/>
        <w:rPr>
          <w:rStyle w:val="31"/>
          <w:rFonts w:ascii="Times New Roman" w:hAnsi="Times New Roman"/>
          <w:b w:val="0"/>
          <w:bCs w:val="0"/>
          <w:color w:val="auto"/>
          <w:highlight w:val="none"/>
        </w:rPr>
      </w:pPr>
    </w:p>
    <w:p w14:paraId="2377351E"/>
    <w:p w14:paraId="5111BC10">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r>
        <w:rPr>
          <w:rStyle w:val="31"/>
          <w:rFonts w:hint="eastAsia" w:ascii="Times New Roman" w:hAnsi="Times New Roman" w:eastAsia="黑体"/>
          <w:b w:val="0"/>
          <w:color w:val="auto"/>
          <w:highlight w:val="none"/>
          <w:lang w:val="en-US" w:eastAsia="zh-CN" w:bidi="ar-SA"/>
        </w:rPr>
        <w:t>二、机构设置</w:t>
      </w:r>
    </w:p>
    <w:p w14:paraId="7141AD1D">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600" w:lineRule="exact"/>
        <w:ind w:firstLine="640" w:firstLineChars="200"/>
        <w:jc w:val="left"/>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茂县科学技术协会下属二级单位1个，其中行政单位0个，参照公务员法管理的事业单位0个，其他事业单位1个。</w:t>
      </w:r>
    </w:p>
    <w:p w14:paraId="43E0752D">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600" w:lineRule="exact"/>
        <w:ind w:firstLine="640" w:firstLineChars="200"/>
        <w:jc w:val="left"/>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纳入茂县科学技术协会202</w:t>
      </w:r>
      <w:r>
        <w:rPr>
          <w:rFonts w:hint="eastAsia" w:cs="仿宋_GB2312"/>
          <w:bCs/>
          <w:color w:val="000000"/>
          <w:sz w:val="32"/>
          <w:szCs w:val="32"/>
          <w:lang w:val="en-US" w:eastAsia="zh-CN"/>
        </w:rPr>
        <w:t>4</w:t>
      </w:r>
      <w:r>
        <w:rPr>
          <w:rFonts w:hint="eastAsia" w:cs="仿宋_GB2312"/>
          <w:bCs/>
          <w:color w:val="000000"/>
          <w:sz w:val="32"/>
          <w:szCs w:val="32"/>
          <w:lang w:val="zh-CN" w:eastAsia="zh-CN"/>
        </w:rPr>
        <w:t>年度部门决算编制范围的二级预算单位包括：四川省茂县科普服务中心。</w:t>
      </w:r>
    </w:p>
    <w:p w14:paraId="4BD38F12">
      <w:pPr>
        <w:keepNext w:val="0"/>
        <w:keepLines w:val="0"/>
        <w:pageBreakBefore w:val="0"/>
        <w:widowControl/>
        <w:kinsoku/>
        <w:wordWrap/>
        <w:overflowPunct/>
        <w:topLinePunct w:val="0"/>
        <w:autoSpaceDE/>
        <w:autoSpaceDN/>
        <w:bidi w:val="0"/>
        <w:spacing w:line="600"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3D40BDC">
      <w:pPr>
        <w:pStyle w:val="2"/>
        <w:jc w:val="center"/>
        <w:rPr>
          <w:rFonts w:ascii="Times New Roman" w:hAnsi="Times New Roman"/>
          <w:color w:val="auto"/>
          <w:highlight w:val="none"/>
        </w:rPr>
      </w:pPr>
      <w:bookmarkStart w:id="15" w:name="_Toc8774"/>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w:t>
      </w:r>
      <w:r>
        <w:rPr>
          <w:rFonts w:hint="eastAsia" w:ascii="Times New Roman" w:hAnsi="Times New Roman" w:eastAsia="方正小标宋简体" w:cs="方正小标宋简体"/>
          <w:b w:val="0"/>
          <w:color w:val="auto"/>
          <w:highlight w:val="none"/>
          <w:lang w:val="en-US" w:eastAsia="zh-CN"/>
        </w:rPr>
        <w:t>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6C0AE918">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bookmarkStart w:id="18" w:name="_Toc15396603"/>
      <w:bookmarkStart w:id="19" w:name="_Toc28136"/>
      <w:bookmarkStart w:id="20" w:name="_Toc15377205"/>
      <w:r>
        <w:rPr>
          <w:rStyle w:val="31"/>
          <w:rFonts w:hint="eastAsia" w:ascii="Times New Roman" w:hAnsi="Times New Roman" w:eastAsia="黑体"/>
          <w:b w:val="0"/>
          <w:color w:val="auto"/>
          <w:highlight w:val="none"/>
          <w:lang w:val="en-US" w:eastAsia="zh-CN" w:bidi="ar-SA"/>
        </w:rPr>
        <w:t>一、收入支出决算总体情况说明</w:t>
      </w:r>
      <w:bookmarkEnd w:id="18"/>
      <w:bookmarkEnd w:id="19"/>
      <w:bookmarkEnd w:id="20"/>
    </w:p>
    <w:p w14:paraId="087F1B4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216.08</w:t>
      </w:r>
      <w:r>
        <w:rPr>
          <w:rFonts w:hint="eastAsia" w:ascii="Times New Roman" w:hAnsi="Times New Roman"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14.43</w:t>
      </w:r>
      <w:r>
        <w:rPr>
          <w:rFonts w:hint="eastAsia" w:ascii="Times New Roman" w:hAnsi="Times New Roman"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6.26</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是：人员减少。</w:t>
      </w:r>
    </w:p>
    <w:p w14:paraId="6183C8D0">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Times New Roman"/>
          <w:color w:val="000000"/>
          <w:sz w:val="32"/>
          <w:szCs w:val="32"/>
          <w:lang w:eastAsia="zh-CN" w:bidi="ar-SA"/>
        </w:rPr>
      </w:pPr>
      <w:r>
        <w:rPr>
          <w:rFonts w:ascii="仿宋" w:eastAsia="仿宋" w:cs="Times New Roman"/>
          <w:color w:val="000000"/>
          <w:sz w:val="32"/>
          <w:szCs w:val="32"/>
          <w:lang w:eastAsia="zh-CN" w:bidi="ar-SA"/>
        </w:rPr>
        <w:object>
          <v:shape id="_x0000_i1025" o:spt="75" alt="1.emf" type="#_x0000_t75" style="height:187.2pt;width:340.65pt;" o:ole="t" filled="f" o:preferrelative="t" stroked="f" coordsize="21600,21600">
            <v:path/>
            <v:fill on="f" focussize="0,0"/>
            <v:stroke on="f"/>
            <v:imagedata r:id="rId8" o:title=""/>
            <o:lock v:ext="edit" aspectratio="t"/>
            <w10:wrap type="none"/>
            <w10:anchorlock/>
          </v:shape>
          <o:OLEObject Type="Embed" ProgID="Excel.Sheet.8" ShapeID="_x0000_i1025" DrawAspect="Content" ObjectID="_1468075725" r:id="rId7">
            <o:LockedField>false</o:LockedField>
          </o:OLEObject>
        </w:object>
      </w:r>
      <w:bookmarkStart w:id="21" w:name="_Toc15377206"/>
      <w:bookmarkStart w:id="22" w:name="_Toc15396604"/>
      <w:bookmarkStart w:id="23" w:name="_Toc16736"/>
    </w:p>
    <w:p w14:paraId="7561EC63">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r>
        <w:rPr>
          <w:rStyle w:val="31"/>
          <w:rFonts w:hint="eastAsia" w:ascii="Times New Roman" w:hAnsi="Times New Roman" w:eastAsia="黑体"/>
          <w:b w:val="0"/>
          <w:color w:val="auto"/>
          <w:highlight w:val="none"/>
          <w:lang w:val="en-US" w:eastAsia="zh-CN" w:bidi="ar-SA"/>
        </w:rPr>
        <w:t>二、收入决算情况说明</w:t>
      </w:r>
      <w:bookmarkEnd w:id="21"/>
      <w:bookmarkEnd w:id="22"/>
      <w:bookmarkEnd w:id="23"/>
    </w:p>
    <w:p w14:paraId="5E283505">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216.08万元，其中：一般公共预算财政拨款收入216.08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14:paraId="790458BB">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outlineLvl w:val="9"/>
        <w:rPr>
          <w:rFonts w:hint="eastAsia" w:ascii="Times New Roman" w:hAnsi="Times New Roman" w:eastAsia="仿宋_GB2312" w:cs="仿宋_GB2312"/>
          <w:color w:val="auto"/>
          <w:sz w:val="32"/>
          <w:szCs w:val="32"/>
          <w:highlight w:val="none"/>
          <w:lang w:eastAsia="zh-CN"/>
        </w:rPr>
      </w:pPr>
      <w:r>
        <w:rPr>
          <w:rFonts w:eastAsia="仿宋"/>
          <w:lang w:eastAsia="zh-CN"/>
        </w:rPr>
        <w:object>
          <v:shape id="_x0000_i1026" o:spt="75" alt="2.emf" type="#_x0000_t75" style="height:187.3pt;width:346.55pt;" o:ole="t" filled="f" o:preferrelative="t" stroked="f" coordsize="21600,21600">
            <v:path/>
            <v:fill on="f" focussize="0,0"/>
            <v:stroke on="f"/>
            <v:imagedata r:id="rId10" o:title=""/>
            <o:lock v:ext="edit" aspectratio="t"/>
            <w10:wrap type="none"/>
            <w10:anchorlock/>
          </v:shape>
          <o:OLEObject Type="Embed" ProgID="Excel.Sheet.8" ShapeID="_x0000_i1026" DrawAspect="Content" ObjectID="_1468075726" r:id="rId9">
            <o:LockedField>false</o:LockedField>
          </o:OLEObject>
        </w:object>
      </w:r>
    </w:p>
    <w:p w14:paraId="2D879906">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bookmarkStart w:id="24" w:name="_Toc15396605"/>
      <w:bookmarkStart w:id="25" w:name="_Toc25868"/>
      <w:bookmarkStart w:id="26" w:name="_Toc15377207"/>
      <w:r>
        <w:rPr>
          <w:rStyle w:val="31"/>
          <w:rFonts w:hint="eastAsia" w:ascii="Times New Roman" w:hAnsi="Times New Roman" w:eastAsia="黑体"/>
          <w:b w:val="0"/>
          <w:color w:val="auto"/>
          <w:highlight w:val="none"/>
          <w:lang w:val="en-US" w:eastAsia="zh-CN" w:bidi="ar-SA"/>
        </w:rPr>
        <w:t>三、支出决算情况说明</w:t>
      </w:r>
      <w:bookmarkEnd w:id="24"/>
      <w:bookmarkEnd w:id="25"/>
      <w:bookmarkEnd w:id="26"/>
    </w:p>
    <w:p w14:paraId="17F8E11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216.08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196.08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90.74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w:t>
      </w:r>
    </w:p>
    <w:p w14:paraId="25BC733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lang w:eastAsia="zh-CN"/>
        </w:rPr>
      </w:pPr>
      <w:bookmarkStart w:id="27" w:name="_Toc15396606"/>
      <w:bookmarkStart w:id="28" w:name="_Toc15377208"/>
      <w:r>
        <w:rPr>
          <w:rFonts w:hint="eastAsia" w:ascii="仿宋_GB2312" w:hAnsi="仿宋_GB2312" w:eastAsia="仿宋_GB2312" w:cs="仿宋_GB2312"/>
          <w:sz w:val="32"/>
          <w:szCs w:val="32"/>
          <w:lang w:eastAsia="zh-CN"/>
        </w:rPr>
        <w:object>
          <v:shape id="_x0000_i1027" o:spt="75" alt="3.emf" type="#_x0000_t75" style="height:214.65pt;width:377.2pt;" o:ole="t" filled="f" o:preferrelative="t" stroked="f" coordsize="21600,21600">
            <v:path/>
            <v:fill on="f" focussize="0,0"/>
            <v:stroke on="f"/>
            <v:imagedata r:id="rId12" o:title=""/>
            <o:lock v:ext="edit" aspectratio="t"/>
            <w10:wrap type="none"/>
            <w10:anchorlock/>
          </v:shape>
          <o:OLEObject Type="Embed" ProgID="Excel.Sheet.8" ShapeID="_x0000_i1027" DrawAspect="Content" ObjectID="_1468075727" r:id="rId11">
            <o:LockedField>false</o:LockedField>
          </o:OLEObject>
        </w:object>
      </w:r>
    </w:p>
    <w:p w14:paraId="7548D9CD">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bookmarkStart w:id="29" w:name="_Toc7229"/>
      <w:r>
        <w:rPr>
          <w:rStyle w:val="31"/>
          <w:rFonts w:hint="eastAsia" w:ascii="Times New Roman" w:hAnsi="Times New Roman" w:eastAsia="黑体"/>
          <w:b w:val="0"/>
          <w:color w:val="auto"/>
          <w:highlight w:val="none"/>
          <w:lang w:val="en-US" w:eastAsia="zh-CN" w:bidi="ar-SA"/>
        </w:rPr>
        <w:t>四、财政拨款收入支出决算总体情况说明</w:t>
      </w:r>
      <w:bookmarkEnd w:id="27"/>
      <w:bookmarkEnd w:id="28"/>
      <w:bookmarkEnd w:id="29"/>
    </w:p>
    <w:p w14:paraId="24B700E8">
      <w:pPr>
        <w:spacing w:line="600" w:lineRule="exact"/>
        <w:ind w:firstLine="640"/>
        <w:rPr>
          <w:rFonts w:hint="eastAsia"/>
          <w:lang w:eastAsia="zh-CN"/>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年度财政拨款收入、支出总计均为</w:t>
      </w:r>
      <w:r>
        <w:rPr>
          <w:rFonts w:hint="eastAsia" w:ascii="仿宋_GB2312" w:hAnsi="仿宋_GB2312" w:eastAsia="仿宋_GB2312" w:cs="仿宋_GB2312"/>
          <w:color w:val="auto"/>
          <w:kern w:val="2"/>
          <w:sz w:val="32"/>
          <w:szCs w:val="32"/>
          <w:highlight w:val="none"/>
          <w:lang w:val="en-US" w:eastAsia="zh-CN" w:bidi="ar-SA"/>
        </w:rPr>
        <w:t>216.08万元。与2023年度相比，财政拨款收入、支出总计各减少14.43万元，下降6.26%。主要变动原因是</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人员减少。</w:t>
      </w:r>
    </w:p>
    <w:p w14:paraId="0E42F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eastAsia="zh-CN" w:bidi="ar-SA"/>
        </w:rPr>
        <w:object>
          <v:shape id="_x0000_i1028" o:spt="75" alt="4.emf" type="#_x0000_t75" style="height:234.3pt;width:365.15pt;" o:ole="t" filled="f" o:preferrelative="t" stroked="f" coordsize="21600,21600">
            <v:path/>
            <v:fill on="f" focussize="0,0"/>
            <v:stroke on="f"/>
            <v:imagedata r:id="rId14" o:title=""/>
            <o:lock v:ext="edit" aspectratio="t"/>
            <w10:wrap type="none"/>
            <w10:anchorlock/>
          </v:shape>
          <o:OLEObject Type="Embed" ProgID="Excel.Sheet.8" ShapeID="_x0000_i1028" DrawAspect="Content" ObjectID="_1468075728" r:id="rId13">
            <o:LockedField>false</o:LockedField>
          </o:OLEObject>
        </w:object>
      </w:r>
    </w:p>
    <w:p w14:paraId="11781442">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40" w:firstLineChars="200"/>
        <w:textAlignment w:val="auto"/>
        <w:outlineLvl w:val="9"/>
        <w:rPr>
          <w:rStyle w:val="31"/>
          <w:rFonts w:hint="eastAsia" w:ascii="Times New Roman" w:hAnsi="Times New Roman" w:eastAsia="黑体"/>
          <w:b w:val="0"/>
          <w:color w:val="auto"/>
          <w:highlight w:val="none"/>
          <w:lang w:val="en-US" w:eastAsia="zh-CN" w:bidi="ar-SA"/>
        </w:rPr>
      </w:pPr>
      <w:bookmarkStart w:id="30" w:name="_Toc23232"/>
      <w:bookmarkStart w:id="31" w:name="_Toc15396607"/>
      <w:bookmarkStart w:id="32" w:name="_Toc15377209"/>
      <w:r>
        <w:rPr>
          <w:rStyle w:val="31"/>
          <w:rFonts w:hint="eastAsia" w:ascii="Times New Roman" w:hAnsi="Times New Roman" w:eastAsia="黑体"/>
          <w:b w:val="0"/>
          <w:color w:val="auto"/>
          <w:highlight w:val="none"/>
          <w:lang w:val="en-US" w:eastAsia="zh-CN" w:bidi="ar-SA"/>
        </w:rPr>
        <w:t>五、一般公共预算财政拨款支出决算情况说明</w:t>
      </w:r>
      <w:bookmarkEnd w:id="30"/>
      <w:bookmarkEnd w:id="31"/>
      <w:bookmarkEnd w:id="32"/>
    </w:p>
    <w:p w14:paraId="2B9DC8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2F7F15FE">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216.08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%。与2023年度相比，一般公共预算财政拨款支出减少14.43万元，下降6.26%。主要变动原因是：</w:t>
      </w:r>
      <w:r>
        <w:rPr>
          <w:rFonts w:hint="eastAsia" w:eastAsia="仿宋_GB2312" w:cs="仿宋_GB2312"/>
          <w:color w:val="auto"/>
          <w:sz w:val="32"/>
          <w:szCs w:val="32"/>
          <w:highlight w:val="none"/>
          <w:lang w:eastAsia="zh-CN"/>
        </w:rPr>
        <w:t>人员减少。</w:t>
      </w:r>
    </w:p>
    <w:p w14:paraId="4F59CBFE">
      <w:pPr>
        <w:pStyle w:val="15"/>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eastAsia="zh-CN" w:bidi="ar-SA"/>
        </w:rPr>
        <w:object>
          <v:shape id="_x0000_i1029" o:spt="75" alt="4.emf" type="#_x0000_t75" style="height:284.1pt;width:378.25pt;" o:ole="t" filled="f" o:preferrelative="t" stroked="f" coordsize="21600,21600">
            <v:path/>
            <v:fill on="f" focussize="0,0"/>
            <v:stroke on="f"/>
            <v:imagedata r:id="rId16" o:title=""/>
            <o:lock v:ext="edit" aspectratio="t"/>
            <w10:wrap type="none"/>
            <w10:anchorlock/>
          </v:shape>
          <o:OLEObject Type="Embed" ProgID="Excel.Sheet.8" ShapeID="_x0000_i1029" DrawAspect="Content" ObjectID="_1468075729" r:id="rId15">
            <o:LockedField>false</o:LockedField>
          </o:OLEObject>
        </w:object>
      </w:r>
    </w:p>
    <w:p w14:paraId="0438F8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5B01BD7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ascii="仿宋_GB2312" w:hAnsi="仿宋_GB2312" w:eastAsia="仿宋_GB2312" w:cs="仿宋_GB2312"/>
          <w:sz w:val="32"/>
          <w:szCs w:val="32"/>
        </w:rPr>
        <w:t>216.08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科学</w:t>
      </w:r>
      <w:r>
        <w:rPr>
          <w:rFonts w:hint="eastAsia" w:ascii="仿宋_GB2312" w:hAnsi="仿宋_GB2312" w:eastAsia="仿宋_GB2312" w:cs="仿宋_GB2312"/>
          <w:color w:val="auto"/>
          <w:kern w:val="2"/>
          <w:sz w:val="32"/>
          <w:szCs w:val="32"/>
          <w:highlight w:val="none"/>
          <w:lang w:val="en-US" w:eastAsia="zh-CN" w:bidi="ar-SA"/>
        </w:rPr>
        <w:t>技术支出161.75万元，占74.86%；社会保障和就业支出26.84万元，占12.42%；卫生健康支出11.70万元，占5.41%；住房保障支出15.79万元，占7.31%。</w:t>
      </w:r>
    </w:p>
    <w:p w14:paraId="5431CE38">
      <w:pPr>
        <w:pStyle w:val="15"/>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lang w:eastAsia="zh-CN"/>
        </w:rPr>
        <w:object>
          <v:shape id="_x0000_i1030" o:spt="75" alt="5.emf" type="#_x0000_t75" style="height:269.5pt;width:367.6pt;" o:ole="t" filled="f" o:preferrelative="t" stroked="f" coordsize="21600,21600">
            <v:path/>
            <v:fill on="f" focussize="0,0"/>
            <v:stroke on="f"/>
            <v:imagedata r:id="rId18" o:title=""/>
            <o:lock v:ext="edit" aspectratio="t"/>
            <w10:wrap type="none"/>
            <w10:anchorlock/>
          </v:shape>
          <o:OLEObject Type="Embed" ProgID="Excel.Sheet.8" ShapeID="_x0000_i1030" DrawAspect="Content" ObjectID="_1468075730" r:id="rId17">
            <o:LockedField>false</o:LockedField>
          </o:OLEObject>
        </w:object>
      </w:r>
    </w:p>
    <w:p w14:paraId="534288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1EBBAA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8460"/>
      <w:bookmarkStart w:id="37" w:name="_Toc15377444"/>
      <w:bookmarkStart w:id="38" w:name="_Toc15377213"/>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Times New Roman" w:hAnsi="Times New Roman"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kern w:val="2"/>
          <w:sz w:val="32"/>
          <w:szCs w:val="32"/>
          <w:highlight w:val="none"/>
          <w:lang w:val="en-US" w:eastAsia="zh-CN" w:bidi="ar-SA"/>
        </w:rPr>
        <w:t>般公共预算财政拨款支出决算数为216.08万元，完成预算100%。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7A2D4F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.科学技术（</w:t>
      </w:r>
      <w:r>
        <w:rPr>
          <w:rFonts w:hint="eastAsia" w:ascii="仿宋_GB2312" w:hAnsi="仿宋_GB2312" w:eastAsia="仿宋_GB2312" w:cs="仿宋_GB2312"/>
          <w:b/>
          <w:bCs w:val="0"/>
          <w:color w:val="000000"/>
          <w:sz w:val="32"/>
          <w:szCs w:val="32"/>
          <w:lang w:val="en-US" w:eastAsia="zh-CN"/>
        </w:rPr>
        <w:t>206）科学技术管理事务（01）行政运行（01</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bCs w:val="0"/>
          <w:color w:val="000000"/>
          <w:sz w:val="32"/>
          <w:szCs w:val="32"/>
          <w:lang w:eastAsia="zh-CN"/>
        </w:rPr>
        <w:t>：</w:t>
      </w:r>
      <w:r>
        <w:rPr>
          <w:rStyle w:val="19"/>
          <w:rFonts w:hint="eastAsia" w:ascii="仿宋_GB2312" w:eastAsia="仿宋_GB2312" w:cs="仿宋_GB2312"/>
          <w:b w:val="0"/>
          <w:bCs/>
          <w:color w:val="000000"/>
          <w:sz w:val="32"/>
          <w:szCs w:val="32"/>
        </w:rPr>
        <w:t>支出决算为</w:t>
      </w:r>
      <w:r>
        <w:rPr>
          <w:rStyle w:val="19"/>
          <w:rFonts w:hint="eastAsia" w:ascii="仿宋_GB2312" w:eastAsia="仿宋_GB2312" w:cs="仿宋_GB2312"/>
          <w:b w:val="0"/>
          <w:bCs/>
          <w:color w:val="000000"/>
          <w:sz w:val="32"/>
          <w:szCs w:val="32"/>
          <w:lang w:val="en-US" w:eastAsia="zh-CN"/>
        </w:rPr>
        <w:t>112.65</w:t>
      </w:r>
      <w:r>
        <w:rPr>
          <w:rStyle w:val="19"/>
          <w:rFonts w:hint="eastAsia" w:ascii="仿宋_GB2312" w:eastAsia="仿宋_GB2312" w:cs="仿宋_GB2312"/>
          <w:b w:val="0"/>
          <w:bCs/>
          <w:color w:val="000000"/>
          <w:sz w:val="32"/>
          <w:szCs w:val="32"/>
        </w:rPr>
        <w:t>万元，完成预算</w:t>
      </w:r>
      <w:r>
        <w:rPr>
          <w:rStyle w:val="19"/>
          <w:rFonts w:hint="eastAsia" w:ascii="仿宋_GB2312" w:eastAsia="仿宋_GB2312" w:cs="仿宋_GB2312"/>
          <w:b w:val="0"/>
          <w:bCs/>
          <w:color w:val="000000"/>
          <w:sz w:val="32"/>
          <w:szCs w:val="32"/>
          <w:lang w:val="en-US" w:eastAsia="zh-CN"/>
        </w:rPr>
        <w:t>100</w:t>
      </w:r>
      <w:r>
        <w:rPr>
          <w:rStyle w:val="19"/>
          <w:rFonts w:hint="eastAsia" w:ascii="仿宋_GB2312" w:eastAsia="仿宋_GB2312" w:cs="仿宋_GB2312"/>
          <w:b w:val="0"/>
          <w:bCs/>
          <w:color w:val="000000"/>
          <w:sz w:val="32"/>
          <w:szCs w:val="32"/>
        </w:rPr>
        <w:t>%，决算</w:t>
      </w:r>
      <w:r>
        <w:rPr>
          <w:rStyle w:val="19"/>
          <w:rFonts w:hint="eastAsia" w:ascii="仿宋_GB2312" w:eastAsia="仿宋_GB2312" w:cs="仿宋_GB2312"/>
          <w:b w:val="0"/>
          <w:bCs/>
          <w:color w:val="000000"/>
          <w:sz w:val="32"/>
          <w:szCs w:val="32"/>
          <w:lang w:eastAsia="zh-CN"/>
        </w:rPr>
        <w:t>与</w:t>
      </w:r>
      <w:r>
        <w:rPr>
          <w:rStyle w:val="19"/>
          <w:rFonts w:hint="eastAsia" w:ascii="仿宋_GB2312" w:eastAsia="仿宋_GB2312" w:cs="仿宋_GB2312"/>
          <w:b w:val="0"/>
          <w:bCs/>
          <w:color w:val="000000"/>
          <w:sz w:val="32"/>
          <w:szCs w:val="32"/>
        </w:rPr>
        <w:t>预算数</w:t>
      </w:r>
      <w:r>
        <w:rPr>
          <w:rStyle w:val="19"/>
          <w:rFonts w:hint="eastAsia" w:ascii="仿宋_GB2312" w:eastAsia="仿宋_GB2312" w:cs="仿宋_GB2312"/>
          <w:b w:val="0"/>
          <w:bCs/>
          <w:color w:val="000000"/>
          <w:sz w:val="32"/>
          <w:szCs w:val="32"/>
          <w:lang w:eastAsia="zh-CN"/>
        </w:rPr>
        <w:t>持平。</w:t>
      </w:r>
    </w:p>
    <w:p w14:paraId="4087729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2.科学技术（206）科学技术管理事务（01）其他科学技术管理事务（99）：</w:t>
      </w:r>
      <w:r>
        <w:rPr>
          <w:rStyle w:val="19"/>
          <w:rFonts w:hint="eastAsia" w:ascii="仿宋_GB2312" w:eastAsia="仿宋_GB2312" w:cs="仿宋_GB2312"/>
          <w:b w:val="0"/>
          <w:bCs/>
          <w:color w:val="000000"/>
          <w:sz w:val="32"/>
          <w:szCs w:val="32"/>
          <w:lang w:val="en-US" w:eastAsia="zh-CN"/>
        </w:rPr>
        <w:t>支出决算为32.10万元，完成预算100%，决算与预算数持平。</w:t>
      </w:r>
    </w:p>
    <w:p w14:paraId="6D3E2CF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3.科学技术（206）科学技术普及（07）其他科学技术普及支出（99）：</w:t>
      </w:r>
      <w:r>
        <w:rPr>
          <w:rStyle w:val="19"/>
          <w:rFonts w:hint="eastAsia" w:ascii="仿宋_GB2312" w:eastAsia="仿宋_GB2312" w:cs="仿宋_GB2312"/>
          <w:b w:val="0"/>
          <w:bCs/>
          <w:color w:val="000000"/>
          <w:sz w:val="32"/>
          <w:szCs w:val="32"/>
          <w:lang w:val="en-US" w:eastAsia="zh-CN"/>
        </w:rPr>
        <w:t>支出决算为17.00</w:t>
      </w:r>
      <w:r>
        <w:rPr>
          <w:rStyle w:val="19"/>
          <w:rFonts w:hint="eastAsia" w:ascii="仿宋_GB2312" w:eastAsia="仿宋_GB2312" w:cs="仿宋_GB2312" w:hAnsiTheme="minorHAnsi"/>
          <w:b w:val="0"/>
          <w:bCs/>
          <w:color w:val="000000"/>
          <w:sz w:val="32"/>
          <w:szCs w:val="32"/>
          <w:lang w:val="en-US" w:eastAsia="zh-CN"/>
        </w:rPr>
        <w:t>万元</w:t>
      </w:r>
      <w:r>
        <w:rPr>
          <w:rStyle w:val="19"/>
          <w:rFonts w:hint="eastAsia" w:ascii="仿宋_GB2312" w:eastAsia="仿宋_GB2312" w:cs="仿宋_GB2312"/>
          <w:b w:val="0"/>
          <w:bCs/>
          <w:color w:val="000000"/>
          <w:sz w:val="32"/>
          <w:szCs w:val="32"/>
          <w:lang w:val="en-US" w:eastAsia="zh-CN"/>
        </w:rPr>
        <w:t>，完成预算100%，决算与预算数持平。</w:t>
      </w:r>
    </w:p>
    <w:p w14:paraId="42B368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4.社会保障和就业（208）行政事业单位养老支出（05）机关事业单位基本养老保险缴费支出（05）:</w:t>
      </w:r>
      <w:r>
        <w:rPr>
          <w:rStyle w:val="19"/>
          <w:rFonts w:hint="eastAsia" w:ascii="仿宋_GB2312" w:eastAsia="仿宋_GB2312" w:cs="仿宋_GB2312"/>
          <w:b w:val="0"/>
          <w:bCs/>
          <w:color w:val="000000"/>
          <w:sz w:val="32"/>
          <w:szCs w:val="32"/>
          <w:lang w:val="en-US" w:eastAsia="zh-CN"/>
        </w:rPr>
        <w:t>支出决算为17.90万元，完成预算100%，决算与预算数持平。</w:t>
      </w:r>
    </w:p>
    <w:p w14:paraId="393DE19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eastAsia" w:ascii="楷体_GB2312" w:eastAsia="楷体_GB2312" w:cs="楷体_GB2312"/>
          <w:b w:val="0"/>
          <w:bCs/>
          <w:color w:val="000000"/>
          <w:sz w:val="32"/>
          <w:szCs w:val="32"/>
        </w:rPr>
      </w:pPr>
      <w:r>
        <w:rPr>
          <w:rFonts w:hint="eastAsia" w:ascii="仿宋_GB2312" w:hAnsi="仿宋_GB2312" w:eastAsia="仿宋_GB2312" w:cs="仿宋_GB2312"/>
          <w:b/>
          <w:bCs w:val="0"/>
          <w:color w:val="000000"/>
          <w:sz w:val="32"/>
          <w:szCs w:val="32"/>
          <w:lang w:val="en-US" w:eastAsia="zh-CN"/>
        </w:rPr>
        <w:t>5.社会保障和就业（208）行政事业单位养老支出（05）机关事业单位职业年金缴费支出（06）:</w:t>
      </w:r>
      <w:r>
        <w:rPr>
          <w:rStyle w:val="19"/>
          <w:rFonts w:hint="eastAsia" w:ascii="仿宋_GB2312" w:eastAsia="仿宋_GB2312" w:cs="仿宋_GB2312"/>
          <w:b w:val="0"/>
          <w:bCs/>
          <w:color w:val="000000"/>
          <w:sz w:val="32"/>
          <w:szCs w:val="32"/>
          <w:lang w:val="en-US" w:eastAsia="zh-CN"/>
        </w:rPr>
        <w:t>支出决算为8.94万元，完成预算100%，决算与预算数持平。</w:t>
      </w:r>
    </w:p>
    <w:p w14:paraId="64CCD2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6.卫生健康（210）行政事业单位医疗（11）行政单位医疗（01）:</w:t>
      </w:r>
      <w:r>
        <w:rPr>
          <w:rStyle w:val="19"/>
          <w:rFonts w:hint="eastAsia" w:ascii="仿宋_GB2312" w:eastAsia="仿宋_GB2312" w:cs="仿宋_GB2312"/>
          <w:b w:val="0"/>
          <w:bCs/>
          <w:color w:val="000000"/>
          <w:sz w:val="32"/>
          <w:szCs w:val="32"/>
          <w:lang w:val="en-US" w:eastAsia="zh-CN"/>
        </w:rPr>
        <w:t>支出决算为9.18万元，完成预算100%，决算与预算数持平。</w:t>
      </w:r>
    </w:p>
    <w:p w14:paraId="2130880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7.卫生健康（210）行政事业单位医疗（11）事业单位医疗（02）:</w:t>
      </w:r>
      <w:r>
        <w:rPr>
          <w:rStyle w:val="19"/>
          <w:rFonts w:hint="eastAsia" w:ascii="仿宋_GB2312" w:eastAsia="仿宋_GB2312" w:cs="仿宋_GB2312"/>
          <w:b w:val="0"/>
          <w:bCs/>
          <w:color w:val="000000"/>
          <w:sz w:val="32"/>
          <w:szCs w:val="32"/>
          <w:lang w:val="en-US" w:eastAsia="zh-CN"/>
        </w:rPr>
        <w:t>支出决算为2.52万元，完成预算100%，决算与预算数持平。</w:t>
      </w:r>
    </w:p>
    <w:p w14:paraId="43328B4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19"/>
          <w:rFonts w:hint="eastAsia" w:asci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8.住房保障（221）住房改革支出（02）住房公积金（01）:</w:t>
      </w:r>
      <w:r>
        <w:rPr>
          <w:rStyle w:val="19"/>
          <w:rFonts w:hint="eastAsia" w:ascii="仿宋_GB2312" w:eastAsia="仿宋_GB2312" w:cs="仿宋_GB2312"/>
          <w:b w:val="0"/>
          <w:bCs/>
          <w:color w:val="000000"/>
          <w:sz w:val="32"/>
          <w:szCs w:val="32"/>
          <w:lang w:val="en-US" w:eastAsia="zh-CN"/>
        </w:rPr>
        <w:t>支出决算为</w:t>
      </w:r>
      <w:r>
        <w:rPr>
          <w:rStyle w:val="19"/>
          <w:rFonts w:hint="eastAsia" w:ascii="仿宋_GB2312" w:eastAsia="仿宋_GB2312" w:cs="仿宋_GB2312" w:hAnsiTheme="minorHAnsi"/>
          <w:b w:val="0"/>
          <w:bCs/>
          <w:color w:val="000000"/>
          <w:sz w:val="32"/>
          <w:szCs w:val="32"/>
          <w:lang w:val="en-US" w:eastAsia="zh-CN"/>
        </w:rPr>
        <w:t>14.59万</w:t>
      </w:r>
      <w:r>
        <w:rPr>
          <w:rStyle w:val="19"/>
          <w:rFonts w:hint="eastAsia" w:ascii="仿宋_GB2312" w:eastAsia="仿宋_GB2312" w:cs="仿宋_GB2312"/>
          <w:b w:val="0"/>
          <w:bCs/>
          <w:color w:val="000000"/>
          <w:sz w:val="32"/>
          <w:szCs w:val="32"/>
          <w:lang w:val="en-US" w:eastAsia="zh-CN"/>
        </w:rPr>
        <w:t>元，完成预算100%，决算与预算数持平。</w:t>
      </w:r>
    </w:p>
    <w:p w14:paraId="4B5E9346">
      <w:pPr>
        <w:pStyle w:val="15"/>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lang w:val="en-US" w:eastAsia="zh-CN"/>
        </w:rPr>
      </w:pPr>
      <w:r>
        <w:rPr>
          <w:rFonts w:hint="eastAsia" w:ascii="仿宋_GB2312" w:hAnsi="仿宋_GB2312" w:eastAsia="仿宋_GB2312" w:cs="仿宋_GB2312"/>
          <w:b/>
          <w:bCs w:val="0"/>
          <w:color w:val="000000"/>
          <w:kern w:val="2"/>
          <w:sz w:val="32"/>
          <w:szCs w:val="32"/>
          <w:lang w:val="en-US" w:eastAsia="zh-CN" w:bidi="ar-SA"/>
        </w:rPr>
        <w:t>9.住房保障（221）住房改革支出（02）购房补贴（02）:</w:t>
      </w:r>
      <w:r>
        <w:rPr>
          <w:rStyle w:val="19"/>
          <w:rFonts w:hint="eastAsia" w:ascii="仿宋_GB2312" w:eastAsia="仿宋_GB2312" w:cs="仿宋_GB2312"/>
          <w:b w:val="0"/>
          <w:bCs/>
          <w:color w:val="000000"/>
          <w:sz w:val="32"/>
          <w:szCs w:val="32"/>
          <w:lang w:val="en-US" w:eastAsia="zh-CN"/>
        </w:rPr>
        <w:t>支出决算为1.20万元，完成预算100%，决算与预算数持平。</w:t>
      </w:r>
    </w:p>
    <w:p w14:paraId="1983168E">
      <w:pPr>
        <w:tabs>
          <w:tab w:val="right" w:pos="8306"/>
        </w:tabs>
        <w:spacing w:line="600" w:lineRule="exact"/>
        <w:outlineLvl w:val="1"/>
        <w:rPr>
          <w:rStyle w:val="31"/>
          <w:rFonts w:ascii="Times New Roman" w:hAnsi="Times New Roman"/>
          <w:color w:val="auto"/>
          <w:highlight w:val="none"/>
        </w:rPr>
      </w:pPr>
      <w:bookmarkStart w:id="39" w:name="_Toc15396608"/>
      <w:bookmarkStart w:id="40" w:name="_Toc21216"/>
      <w:bookmarkStart w:id="41" w:name="_Toc15377214"/>
      <w:r>
        <w:rPr>
          <w:rStyle w:val="31"/>
          <w:rFonts w:hint="eastAsia" w:ascii="Times New Roman" w:hAnsi="Times New Roman" w:eastAsia="黑体"/>
          <w:b w:val="0"/>
          <w:color w:val="auto"/>
          <w:highlight w:val="none"/>
          <w:lang w:val="en-US" w:eastAsia="zh-CN" w:bidi="ar-SA"/>
        </w:rPr>
        <w:t>六、一般公共预算财政拨款基本支出决算情况说明</w:t>
      </w:r>
      <w:bookmarkEnd w:id="39"/>
      <w:bookmarkEnd w:id="40"/>
      <w:bookmarkEnd w:id="41"/>
      <w:r>
        <w:rPr>
          <w:rStyle w:val="31"/>
          <w:rFonts w:ascii="Times New Roman" w:hAnsi="Times New Roman" w:eastAsia="黑体"/>
          <w:b w:val="0"/>
          <w:color w:val="auto"/>
          <w:highlight w:val="none"/>
        </w:rPr>
        <w:tab/>
      </w:r>
    </w:p>
    <w:p w14:paraId="4613A08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w:t>
      </w:r>
      <w:r>
        <w:rPr>
          <w:rFonts w:hint="eastAsia" w:ascii="仿宋_GB2312" w:hAnsi="仿宋_GB2312" w:eastAsia="仿宋_GB2312" w:cs="仿宋_GB2312"/>
          <w:color w:val="auto"/>
          <w:kern w:val="2"/>
          <w:sz w:val="32"/>
          <w:szCs w:val="32"/>
          <w:highlight w:val="none"/>
          <w:lang w:val="en-US" w:eastAsia="zh-CN" w:bidi="ar-SA"/>
        </w:rPr>
        <w:t>算财政拨款基本支出196.08万元，其中：</w:t>
      </w:r>
    </w:p>
    <w:p w14:paraId="3FDF5A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人员经费188.60万元，主要包括：基本工资、津贴补贴、奖金、伙食补助费、绩效工资、机关事业单位基本养老保险缴费、职业年金缴费、其他社会保障缴费、其他工资福利支出、离休费、退休费、抚恤金、生活补</w:t>
      </w:r>
      <w:r>
        <w:rPr>
          <w:rFonts w:hint="eastAsia" w:ascii="Times New Roman" w:hAnsi="Times New Roman" w:eastAsia="仿宋_GB2312" w:cs="仿宋_GB2312"/>
          <w:color w:val="auto"/>
          <w:kern w:val="2"/>
          <w:sz w:val="32"/>
          <w:szCs w:val="32"/>
          <w:highlight w:val="none"/>
          <w:lang w:val="en-US" w:eastAsia="zh-CN" w:bidi="ar-SA"/>
        </w:rPr>
        <w:t>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7.48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EBA79A8">
      <w:pPr>
        <w:spacing w:line="600" w:lineRule="exact"/>
        <w:outlineLvl w:val="1"/>
        <w:rPr>
          <w:rStyle w:val="31"/>
          <w:rFonts w:ascii="Times New Roman" w:hAnsi="Times New Roman" w:eastAsia="黑体"/>
          <w:b w:val="0"/>
          <w:color w:val="auto"/>
          <w:highlight w:val="none"/>
        </w:rPr>
      </w:pPr>
      <w:bookmarkStart w:id="42" w:name="_Toc28593"/>
      <w:bookmarkStart w:id="43" w:name="_Toc15396609"/>
      <w:bookmarkStart w:id="44"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2"/>
      <w:bookmarkEnd w:id="43"/>
      <w:bookmarkEnd w:id="44"/>
    </w:p>
    <w:p w14:paraId="00356F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14:paraId="6FB59F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度“三公”经费财政拨款支出决算为1.60万元，完成预算38.92%，较上年度减少2.51万元，下降61.07%。决算数小于预算数的主要原因是：厉行节约。</w:t>
      </w:r>
    </w:p>
    <w:p w14:paraId="3ABE43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14:paraId="2A9B0C8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3A8FF75">
      <w:pPr>
        <w:pStyle w:val="15"/>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lang w:eastAsia="zh-CN"/>
        </w:rPr>
        <w:object>
          <v:shape id="_x0000_i1031" o:spt="75" alt="5.emf" type="#_x0000_t75" style="height:212.6pt;width:348pt;" o:ole="t" filled="f" o:preferrelative="t" stroked="f" coordsize="21600,21600">
            <v:path/>
            <v:fill on="f" focussize="0,0"/>
            <v:stroke on="f"/>
            <v:imagedata r:id="rId20" o:title=""/>
            <o:lock v:ext="edit" aspectratio="t"/>
            <w10:wrap type="none"/>
            <w10:anchorlock/>
          </v:shape>
          <o:OLEObject Type="Embed" ProgID="Excel.Sheet.8" ShapeID="_x0000_i1031" DrawAspect="Content" ObjectID="_1468075731" r:id="rId19">
            <o:LockedField>false</o:LockedField>
          </o:OLEObject>
        </w:object>
      </w:r>
    </w:p>
    <w:p w14:paraId="2AD953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w:t>
      </w:r>
      <w:r>
        <w:rPr>
          <w:rFonts w:hint="eastAsia" w:ascii="仿宋_GB2312" w:hAnsi="仿宋_GB2312" w:eastAsia="仿宋_GB2312" w:cs="仿宋_GB2312"/>
          <w:b/>
          <w:bCs/>
          <w:color w:val="auto"/>
          <w:kern w:val="2"/>
          <w:sz w:val="32"/>
          <w:szCs w:val="32"/>
          <w:highlight w:val="none"/>
          <w:lang w:val="en-US" w:eastAsia="zh-CN" w:bidi="ar-SA"/>
        </w:rPr>
        <w:t>）经费支出0.00万元，完成预算100%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ascii="仿宋_GB2312" w:hAnsi="仿宋_GB2312" w:eastAsia="仿宋_GB2312" w:cs="仿宋_GB2312"/>
          <w:color w:val="auto"/>
          <w:kern w:val="2"/>
          <w:sz w:val="32"/>
          <w:szCs w:val="32"/>
          <w:highlight w:val="none"/>
          <w:lang w:val="en-US" w:eastAsia="zh-CN" w:bidi="ar-SA"/>
        </w:rPr>
        <w:t>与2023</w:t>
      </w:r>
      <w:r>
        <w:rPr>
          <w:rFonts w:hint="eastAsia" w:ascii="Times New Roman" w:hAnsi="Times New Roman"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相比持平。</w:t>
      </w:r>
    </w:p>
    <w:p w14:paraId="799C489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2.公务用车购置及运行维护费支出1.60万元，完成预算100%。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w:t>
      </w:r>
      <w:r>
        <w:rPr>
          <w:rFonts w:hint="eastAsia" w:ascii="仿宋_GB2312" w:hAnsi="仿宋_GB2312" w:eastAsia="仿宋_GB2312" w:cs="仿宋_GB2312"/>
          <w:color w:val="auto"/>
          <w:kern w:val="2"/>
          <w:sz w:val="32"/>
          <w:szCs w:val="32"/>
          <w:highlight w:val="none"/>
          <w:lang w:val="en-US" w:eastAsia="zh-CN" w:bidi="ar-SA"/>
        </w:rPr>
        <w:t>2023年</w:t>
      </w:r>
      <w:r>
        <w:rPr>
          <w:rFonts w:hint="eastAsia" w:ascii="Times New Roman" w:hAnsi="Times New Roman" w:eastAsia="仿宋_GB2312" w:cs="仿宋_GB2312"/>
          <w:color w:val="auto"/>
          <w:kern w:val="2"/>
          <w:sz w:val="32"/>
          <w:szCs w:val="32"/>
          <w:highlight w:val="none"/>
          <w:lang w:val="en-US" w:eastAsia="zh-CN" w:bidi="ar-SA"/>
        </w:rPr>
        <w:t>度增</w:t>
      </w:r>
      <w:r>
        <w:rPr>
          <w:rFonts w:hint="eastAsia" w:ascii="仿宋_GB2312" w:hAnsi="仿宋_GB2312" w:eastAsia="仿宋_GB2312" w:cs="仿宋_GB2312"/>
          <w:color w:val="auto"/>
          <w:kern w:val="2"/>
          <w:sz w:val="32"/>
          <w:szCs w:val="32"/>
          <w:highlight w:val="none"/>
          <w:lang w:val="en-US" w:eastAsia="zh-CN" w:bidi="ar-SA"/>
        </w:rPr>
        <w:t>减少2.38万元，下降59.8%。主要原因是：外出开展业务活动减少。</w:t>
      </w:r>
    </w:p>
    <w:p w14:paraId="1093DC9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0.00万元。全年按规定更新购置公务用车0辆，其中：轿车0辆，金额0.00万元；越野车0辆，金额0.00万元；载客汽车0辆，金额0.00万元。截至2024年12月31日，单位共有公务用车1辆，其中：轿车0辆、越野车1辆、载客汽车0辆。</w:t>
      </w:r>
    </w:p>
    <w:p w14:paraId="6E289B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公务用车运行维护费支出1.60万元。</w:t>
      </w:r>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ascii="仿宋_GB2312" w:eastAsia="仿宋_GB2312" w:cs="仿宋_GB2312"/>
          <w:color w:val="000000"/>
          <w:sz w:val="32"/>
          <w:szCs w:val="32"/>
          <w:lang w:eastAsia="zh-CN" w:bidi="ar-SA"/>
        </w:rPr>
        <w:t>参加培训</w:t>
      </w:r>
      <w:r>
        <w:rPr>
          <w:rFonts w:hint="eastAsia" w:ascii="仿宋_GB2312" w:eastAsia="仿宋_GB2312" w:cs="仿宋_GB2312"/>
          <w:color w:val="000000"/>
          <w:sz w:val="32"/>
          <w:szCs w:val="32"/>
          <w:lang w:val="en-US" w:eastAsia="zh-CN" w:bidi="ar-SA"/>
        </w:rPr>
        <w:t xml:space="preserve"> </w:t>
      </w:r>
      <w:r>
        <w:rPr>
          <w:rFonts w:hint="eastAsia" w:ascii="仿宋_GB2312" w:eastAsia="仿宋_GB2312" w:cs="仿宋_GB2312"/>
          <w:color w:val="000000"/>
          <w:sz w:val="32"/>
          <w:szCs w:val="32"/>
          <w:lang w:eastAsia="zh-CN" w:bidi="ar-SA"/>
        </w:rPr>
        <w:t>、开展科普工作等</w:t>
      </w:r>
      <w:r>
        <w:rPr>
          <w:rFonts w:hint="eastAsia" w:ascii="仿宋_GB2312" w:eastAsia="仿宋_GB2312" w:cs="仿宋_GB2312"/>
          <w:color w:val="000000"/>
          <w:sz w:val="32"/>
          <w:szCs w:val="32"/>
          <w:lang w:bidi="ar-SA"/>
        </w:rPr>
        <w:t>所需的</w:t>
      </w:r>
      <w:r>
        <w:rPr>
          <w:rFonts w:hint="eastAsia" w:ascii="Times New Roman" w:hAnsi="Times New Roman" w:eastAsia="仿宋_GB2312" w:cs="仿宋_GB2312"/>
          <w:color w:val="auto"/>
          <w:kern w:val="2"/>
          <w:sz w:val="32"/>
          <w:szCs w:val="32"/>
          <w:highlight w:val="none"/>
          <w:lang w:val="en-US" w:eastAsia="zh-CN" w:bidi="ar-SA"/>
        </w:rPr>
        <w:t>公务用车燃料费、维修费、过路过桥费、保险费等支出。</w:t>
      </w:r>
    </w:p>
    <w:p w14:paraId="7440D1F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3.公务接待费支出0.00万元，完成预算100%。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w:t>
      </w:r>
      <w:r>
        <w:rPr>
          <w:rFonts w:hint="eastAsia" w:ascii="仿宋_GB2312" w:hAnsi="仿宋_GB2312" w:eastAsia="仿宋_GB2312" w:cs="仿宋_GB2312"/>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度减少0.14万元，下降100%。主要原因是：厉行节约。</w:t>
      </w:r>
    </w:p>
    <w:p w14:paraId="59166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w:t>
      </w:r>
      <w:bookmarkStart w:id="47" w:name="_Toc15377218"/>
      <w:bookmarkStart w:id="48" w:name="_Toc15396610"/>
    </w:p>
    <w:p w14:paraId="6F8845DE">
      <w:pPr>
        <w:spacing w:line="600" w:lineRule="exact"/>
        <w:outlineLvl w:val="1"/>
        <w:rPr>
          <w:rStyle w:val="31"/>
          <w:rFonts w:ascii="Times New Roman" w:hAnsi="Times New Roman" w:eastAsia="黑体"/>
          <w:color w:val="auto"/>
          <w:highlight w:val="none"/>
        </w:rPr>
      </w:pPr>
      <w:bookmarkStart w:id="49" w:name="_Toc26907"/>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7"/>
      <w:bookmarkEnd w:id="48"/>
      <w:bookmarkEnd w:id="49"/>
    </w:p>
    <w:p w14:paraId="63A668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_GB2312" w:hAnsi="仿宋_GB2312" w:eastAsia="仿宋_GB2312" w:cs="仿宋_GB2312"/>
          <w:color w:val="auto"/>
          <w:kern w:val="2"/>
          <w:sz w:val="32"/>
          <w:szCs w:val="32"/>
          <w:highlight w:val="none"/>
          <w:lang w:val="en-US" w:eastAsia="zh-CN" w:bidi="ar-SA"/>
        </w:rPr>
        <w:t>2023年</w:t>
      </w:r>
      <w:r>
        <w:rPr>
          <w:rFonts w:hint="eastAsia" w:ascii="Times New Roman" w:hAnsi="Times New Roman" w:eastAsia="仿宋_GB2312" w:cs="仿宋_GB2312"/>
          <w:color w:val="auto"/>
          <w:kern w:val="2"/>
          <w:sz w:val="32"/>
          <w:szCs w:val="32"/>
          <w:highlight w:val="none"/>
          <w:lang w:val="en-US" w:eastAsia="zh-CN" w:bidi="ar-SA"/>
        </w:rPr>
        <w:t>度相比，政府性基金预算财政拨款支出</w:t>
      </w:r>
      <w:r>
        <w:rPr>
          <w:rFonts w:hint="eastAsia" w:eastAsia="仿宋_GB2312" w:cs="仿宋_GB2312"/>
          <w:color w:val="auto"/>
          <w:kern w:val="2"/>
          <w:sz w:val="32"/>
          <w:szCs w:val="32"/>
          <w:highlight w:val="none"/>
          <w:lang w:val="en-US" w:eastAsia="zh-CN" w:bidi="ar-SA"/>
        </w:rPr>
        <w:t>持平。</w:t>
      </w:r>
    </w:p>
    <w:p w14:paraId="73C4AA7E">
      <w:pPr>
        <w:numPr>
          <w:ilvl w:val="0"/>
          <w:numId w:val="0"/>
        </w:numPr>
        <w:spacing w:line="600" w:lineRule="exact"/>
        <w:outlineLvl w:val="1"/>
        <w:rPr>
          <w:rStyle w:val="31"/>
          <w:rFonts w:ascii="Times New Roman" w:hAnsi="Times New Roman" w:eastAsia="黑体"/>
          <w:b w:val="0"/>
          <w:color w:val="auto"/>
          <w:highlight w:val="none"/>
        </w:rPr>
      </w:pPr>
      <w:bookmarkStart w:id="50" w:name="_Toc15396611"/>
      <w:bookmarkStart w:id="51" w:name="_Toc15377219"/>
      <w:bookmarkStart w:id="52" w:name="_Toc12025"/>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0"/>
      <w:bookmarkEnd w:id="51"/>
      <w:bookmarkEnd w:id="52"/>
    </w:p>
    <w:p w14:paraId="346BA73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2024年度国有资本经营预算财政拨款支出0.00万元，占本年支出合计的0%。与2023年度相比，国有资本经营预算财政拨款支出持平。</w:t>
      </w:r>
    </w:p>
    <w:p w14:paraId="32111075">
      <w:pPr>
        <w:numPr>
          <w:ilvl w:val="0"/>
          <w:numId w:val="0"/>
        </w:numPr>
        <w:spacing w:line="600" w:lineRule="exact"/>
        <w:outlineLvl w:val="1"/>
        <w:rPr>
          <w:rStyle w:val="31"/>
          <w:rFonts w:hint="eastAsia" w:ascii="Times New Roman" w:hAnsi="Times New Roman" w:eastAsia="黑体"/>
          <w:b w:val="0"/>
          <w:color w:val="auto"/>
          <w:highlight w:val="none"/>
        </w:rPr>
      </w:pPr>
      <w:bookmarkStart w:id="53" w:name="_Toc8705"/>
      <w:bookmarkStart w:id="54" w:name="_Toc15377221"/>
      <w:bookmarkStart w:id="55"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3"/>
      <w:bookmarkEnd w:id="54"/>
      <w:bookmarkEnd w:id="55"/>
    </w:p>
    <w:p w14:paraId="607CC4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6" w:name="_Toc15377222"/>
      <w:r>
        <w:rPr>
          <w:rFonts w:hint="eastAsia" w:ascii="Times New Roman" w:hAnsi="Times New Roman" w:eastAsia="楷体_GB2312" w:cs="楷体_GB2312"/>
          <w:b/>
          <w:color w:val="auto"/>
          <w:sz w:val="32"/>
          <w:szCs w:val="32"/>
          <w:highlight w:val="none"/>
        </w:rPr>
        <w:t>（一）机关运行经费支出情况</w:t>
      </w:r>
      <w:bookmarkEnd w:id="56"/>
    </w:p>
    <w:p w14:paraId="5B2C2B7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2024年度，四川省阿坝州茂县科学技术协会机关运行经费支出6.25万元，比2023年度减少2.03万元，下降24.51%。主要原因是：人员减少。</w:t>
      </w:r>
    </w:p>
    <w:p w14:paraId="719796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7" w:name="_Toc15377223"/>
      <w:r>
        <w:rPr>
          <w:rFonts w:hint="eastAsia" w:ascii="Times New Roman" w:hAnsi="Times New Roman" w:eastAsia="楷体_GB2312" w:cs="楷体_GB2312"/>
          <w:b/>
          <w:color w:val="auto"/>
          <w:sz w:val="32"/>
          <w:szCs w:val="32"/>
          <w:highlight w:val="none"/>
        </w:rPr>
        <w:t>（二）政府采购支出情况</w:t>
      </w:r>
      <w:bookmarkEnd w:id="57"/>
    </w:p>
    <w:p w14:paraId="149881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四川省阿坝州茂县科学技术协会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8B41A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8" w:name="_Toc15377224"/>
      <w:r>
        <w:rPr>
          <w:rFonts w:hint="eastAsia" w:ascii="Times New Roman" w:hAnsi="Times New Roman" w:eastAsia="楷体_GB2312" w:cs="楷体_GB2312"/>
          <w:b/>
          <w:color w:val="auto"/>
          <w:sz w:val="32"/>
          <w:szCs w:val="32"/>
          <w:highlight w:val="none"/>
        </w:rPr>
        <w:t>（三）国有资产占有使用情况</w:t>
      </w:r>
      <w:bookmarkEnd w:id="58"/>
    </w:p>
    <w:p w14:paraId="357DD9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四川省阿坝州茂县科学技术协会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8536D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61C720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s="仿宋_GB2312"/>
          <w:color w:val="auto"/>
          <w:sz w:val="32"/>
          <w:szCs w:val="32"/>
          <w:lang w:bidi="ar-SA"/>
        </w:rPr>
        <w:t>根据预算绩效管理要求，</w:t>
      </w:r>
      <w:r>
        <w:rPr>
          <w:rFonts w:hint="eastAsia" w:ascii="仿宋_GB2312" w:eastAsia="仿宋_GB2312" w:cs="仿宋_GB2312"/>
          <w:color w:val="auto"/>
          <w:sz w:val="32"/>
          <w:szCs w:val="32"/>
          <w:lang w:eastAsia="zh-CN" w:bidi="ar-SA"/>
        </w:rPr>
        <w:t>本单位</w:t>
      </w:r>
      <w:r>
        <w:rPr>
          <w:rFonts w:hint="eastAsia" w:ascii="仿宋_GB2312" w:eastAsia="仿宋_GB2312" w:cs="仿宋_GB2312"/>
          <w:color w:val="auto"/>
          <w:sz w:val="32"/>
          <w:szCs w:val="32"/>
          <w:lang w:bidi="ar-SA"/>
        </w:rPr>
        <w:t>在</w:t>
      </w:r>
      <w:r>
        <w:rPr>
          <w:rFonts w:hint="eastAsia" w:ascii="仿宋_GB2312" w:eastAsia="仿宋_GB2312" w:cs="仿宋_GB2312"/>
          <w:color w:val="auto"/>
          <w:sz w:val="32"/>
          <w:szCs w:val="32"/>
          <w:lang w:val="en-US" w:eastAsia="zh-CN" w:bidi="ar-SA"/>
        </w:rPr>
        <w:t>2024年度</w:t>
      </w:r>
      <w:r>
        <w:rPr>
          <w:rFonts w:hint="eastAsia" w:ascii="仿宋_GB2312" w:eastAsia="仿宋_GB2312" w:cs="仿宋_GB2312"/>
          <w:color w:val="auto"/>
          <w:sz w:val="32"/>
          <w:szCs w:val="32"/>
          <w:lang w:bidi="ar-SA"/>
        </w:rPr>
        <w:t>预算编制阶段，组织对</w:t>
      </w:r>
      <w:r>
        <w:rPr>
          <w:rFonts w:hint="eastAsia" w:ascii="仿宋_GB2312" w:eastAsia="仿宋_GB2312" w:cs="仿宋_GB2312"/>
          <w:color w:val="auto"/>
          <w:sz w:val="32"/>
          <w:szCs w:val="32"/>
          <w:lang w:eastAsia="zh-CN" w:bidi="ar-SA"/>
        </w:rPr>
        <w:t>“</w:t>
      </w:r>
      <w:r>
        <w:rPr>
          <w:rFonts w:hint="eastAsia" w:ascii="仿宋_GB2312" w:hAnsi="Times New Roman" w:eastAsia="仿宋_GB2312" w:cs="仿宋_GB2312"/>
          <w:color w:val="auto"/>
          <w:sz w:val="32"/>
          <w:szCs w:val="32"/>
          <w:lang w:bidi="ar-SA"/>
        </w:rPr>
        <w:t>2023年度科普工作经费</w:t>
      </w:r>
      <w:r>
        <w:rPr>
          <w:rFonts w:hint="eastAsia" w:ascii="仿宋_GB2312" w:hAnsi="Times New Roman" w:eastAsia="仿宋_GB2312" w:cs="仿宋_GB2312"/>
          <w:color w:val="auto"/>
          <w:sz w:val="32"/>
          <w:szCs w:val="32"/>
          <w:lang w:eastAsia="zh-CN" w:bidi="ar-SA"/>
        </w:rPr>
        <w:t>”</w:t>
      </w:r>
      <w:r>
        <w:rPr>
          <w:rFonts w:hint="eastAsia" w:ascii="仿宋_GB2312" w:eastAsia="仿宋_GB2312" w:cs="仿宋_GB2312"/>
          <w:color w:val="auto"/>
          <w:sz w:val="32"/>
          <w:szCs w:val="32"/>
          <w:lang w:eastAsia="zh-CN" w:bidi="ar-SA"/>
        </w:rPr>
        <w:t>和“2023年度四川省科普专项资金”项目</w:t>
      </w:r>
      <w:r>
        <w:rPr>
          <w:rFonts w:hint="eastAsia" w:ascii="仿宋_GB2312" w:eastAsia="仿宋_GB2312" w:cs="仿宋_GB2312"/>
          <w:color w:val="auto"/>
          <w:sz w:val="32"/>
          <w:szCs w:val="32"/>
          <w:lang w:bidi="ar-SA"/>
        </w:rPr>
        <w:t>开展了预算事前绩效评估，</w:t>
      </w:r>
      <w:r>
        <w:rPr>
          <w:rFonts w:hint="eastAsia" w:ascii="仿宋_GB2312" w:eastAsia="仿宋_GB2312" w:cs="仿宋_GB2312"/>
          <w:color w:val="auto"/>
          <w:sz w:val="32"/>
          <w:szCs w:val="32"/>
          <w:lang w:eastAsia="zh-CN" w:bidi="ar-SA"/>
        </w:rPr>
        <w:t>对其</w:t>
      </w:r>
      <w:r>
        <w:rPr>
          <w:rFonts w:hint="eastAsia" w:ascii="仿宋_GB2312" w:eastAsia="仿宋_GB2312" w:cs="仿宋_GB2312"/>
          <w:color w:val="auto"/>
          <w:sz w:val="32"/>
          <w:szCs w:val="32"/>
          <w:lang w:bidi="ar-SA"/>
        </w:rPr>
        <w:t>编制了绩效目标，预算执行过程中，项目开展绩效监控</w:t>
      </w:r>
      <w:r>
        <w:rPr>
          <w:rFonts w:hint="eastAsia" w:ascii="仿宋_GB2312" w:eastAsia="仿宋_GB2312" w:cs="仿宋_GB2312"/>
          <w:color w:val="auto"/>
          <w:sz w:val="32"/>
          <w:szCs w:val="32"/>
          <w:lang w:eastAsia="zh-CN" w:bidi="ar-SA"/>
        </w:rPr>
        <w:t>和绩效自评。</w:t>
      </w:r>
      <w:r>
        <w:rPr>
          <w:rFonts w:hint="eastAsia" w:ascii="仿宋_GB2312" w:eastAsia="仿宋_GB2312" w:cs="仿宋_GB2312"/>
          <w:color w:val="000000"/>
          <w:sz w:val="32"/>
          <w:szCs w:val="32"/>
        </w:rPr>
        <w:t xml:space="preserve">从评价情况来看，部门整体支出绩效评价自查自评结果良好，全年基本支出保证了部门的正常运行和日常工作的正常开展，项目支出保障了重点工作的开展，绩效目标得到较好实现，绩效管理水平不断提高，绩效指标体系逐渐丰富和完善。  </w:t>
      </w:r>
    </w:p>
    <w:p w14:paraId="7D645E2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eastAsia="仿宋_GB2312"/>
          <w:color w:val="FF0000"/>
          <w:sz w:val="32"/>
          <w:szCs w:val="32"/>
        </w:rPr>
      </w:pPr>
      <w:r>
        <w:rPr>
          <w:rFonts w:hint="eastAsia" w:ascii="仿宋_GB2312" w:eastAsia="仿宋_GB2312"/>
          <w:color w:val="auto"/>
          <w:sz w:val="32"/>
          <w:szCs w:val="32"/>
        </w:rPr>
        <w:t>绩效</w:t>
      </w:r>
      <w:r>
        <w:rPr>
          <w:rFonts w:hint="eastAsia" w:ascii="仿宋_GB2312" w:eastAsia="仿宋_GB2312"/>
          <w:color w:val="auto"/>
          <w:sz w:val="32"/>
          <w:szCs w:val="32"/>
          <w:lang w:eastAsia="zh-CN"/>
        </w:rPr>
        <w:t>评价报告和</w:t>
      </w:r>
      <w:r>
        <w:rPr>
          <w:rFonts w:hint="eastAsia" w:ascii="仿宋_GB2312" w:eastAsia="仿宋_GB2312"/>
          <w:color w:val="auto"/>
          <w:sz w:val="32"/>
          <w:szCs w:val="32"/>
        </w:rPr>
        <w:t>自评表详见第四部分附件。</w:t>
      </w:r>
    </w:p>
    <w:p w14:paraId="6BB414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FE0D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0C20EE">
      <w:pPr>
        <w:pStyle w:val="13"/>
        <w:rPr>
          <w:rFonts w:hint="eastAsia" w:ascii="Times New Roman" w:hAnsi="Times New Roman" w:eastAsia="仿宋_GB2312" w:cs="仿宋_GB2312"/>
          <w:color w:val="auto"/>
          <w:kern w:val="2"/>
          <w:sz w:val="32"/>
          <w:szCs w:val="32"/>
          <w:highlight w:val="none"/>
          <w:lang w:val="en-US" w:eastAsia="zh-CN" w:bidi="ar-SA"/>
        </w:rPr>
      </w:pPr>
    </w:p>
    <w:p w14:paraId="2E4FA3B4">
      <w:pPr>
        <w:pStyle w:val="14"/>
        <w:rPr>
          <w:rFonts w:hint="eastAsia" w:ascii="Times New Roman" w:hAnsi="Times New Roman" w:eastAsia="仿宋_GB2312" w:cs="仿宋_GB2312"/>
          <w:color w:val="auto"/>
          <w:kern w:val="2"/>
          <w:sz w:val="32"/>
          <w:szCs w:val="32"/>
          <w:highlight w:val="none"/>
          <w:lang w:val="en-US" w:eastAsia="zh-CN" w:bidi="ar-SA"/>
        </w:rPr>
      </w:pPr>
    </w:p>
    <w:p w14:paraId="7842D50D">
      <w:pPr>
        <w:pStyle w:val="14"/>
        <w:rPr>
          <w:rFonts w:hint="eastAsia" w:ascii="Times New Roman" w:hAnsi="Times New Roman" w:eastAsia="仿宋_GB2312" w:cs="仿宋_GB2312"/>
          <w:color w:val="auto"/>
          <w:kern w:val="2"/>
          <w:sz w:val="32"/>
          <w:szCs w:val="32"/>
          <w:highlight w:val="none"/>
          <w:lang w:val="en-US" w:eastAsia="zh-CN" w:bidi="ar-SA"/>
        </w:rPr>
      </w:pPr>
    </w:p>
    <w:p w14:paraId="47C97A78">
      <w:pPr>
        <w:pStyle w:val="14"/>
        <w:rPr>
          <w:rFonts w:hint="eastAsia" w:ascii="Times New Roman" w:hAnsi="Times New Roman" w:eastAsia="仿宋_GB2312" w:cs="仿宋_GB2312"/>
          <w:color w:val="auto"/>
          <w:kern w:val="2"/>
          <w:sz w:val="32"/>
          <w:szCs w:val="32"/>
          <w:highlight w:val="none"/>
          <w:lang w:val="en-US" w:eastAsia="zh-CN" w:bidi="ar-SA"/>
        </w:rPr>
      </w:pPr>
    </w:p>
    <w:p w14:paraId="22FB8F2D">
      <w:pPr>
        <w:pStyle w:val="15"/>
        <w:rPr>
          <w:rFonts w:hint="eastAsia" w:ascii="Times New Roman" w:hAnsi="Times New Roman" w:eastAsia="仿宋_GB2312" w:cs="仿宋_GB2312"/>
          <w:color w:val="auto"/>
          <w:kern w:val="2"/>
          <w:sz w:val="32"/>
          <w:szCs w:val="32"/>
          <w:highlight w:val="none"/>
          <w:lang w:val="en-US" w:eastAsia="zh-CN" w:bidi="ar-SA"/>
        </w:rPr>
      </w:pPr>
    </w:p>
    <w:p w14:paraId="75C4E4BF">
      <w:pPr>
        <w:rPr>
          <w:rFonts w:hint="eastAsia" w:ascii="Times New Roman" w:hAnsi="Times New Roman" w:eastAsia="仿宋_GB2312" w:cs="仿宋_GB2312"/>
          <w:color w:val="auto"/>
          <w:kern w:val="2"/>
          <w:sz w:val="32"/>
          <w:szCs w:val="32"/>
          <w:highlight w:val="none"/>
          <w:lang w:val="en-US" w:eastAsia="zh-CN" w:bidi="ar-SA"/>
        </w:rPr>
      </w:pPr>
    </w:p>
    <w:p w14:paraId="2873EF69">
      <w:pPr>
        <w:pStyle w:val="15"/>
        <w:rPr>
          <w:rFonts w:hint="eastAsia" w:ascii="Times New Roman" w:hAnsi="Times New Roman" w:eastAsia="仿宋_GB2312" w:cs="仿宋_GB2312"/>
          <w:color w:val="auto"/>
          <w:kern w:val="2"/>
          <w:sz w:val="32"/>
          <w:szCs w:val="32"/>
          <w:highlight w:val="none"/>
          <w:lang w:val="en-US" w:eastAsia="zh-CN" w:bidi="ar-SA"/>
        </w:rPr>
      </w:pPr>
    </w:p>
    <w:p w14:paraId="1CDB8D74">
      <w:pPr>
        <w:rPr>
          <w:rFonts w:hint="eastAsia" w:ascii="Times New Roman" w:hAnsi="Times New Roman" w:eastAsia="仿宋_GB2312" w:cs="仿宋_GB2312"/>
          <w:color w:val="auto"/>
          <w:kern w:val="2"/>
          <w:sz w:val="32"/>
          <w:szCs w:val="32"/>
          <w:highlight w:val="none"/>
          <w:lang w:val="en-US" w:eastAsia="zh-CN" w:bidi="ar-SA"/>
        </w:rPr>
      </w:pPr>
    </w:p>
    <w:p w14:paraId="584E22B6">
      <w:pPr>
        <w:pStyle w:val="15"/>
        <w:rPr>
          <w:rFonts w:hint="eastAsia" w:ascii="Times New Roman" w:hAnsi="Times New Roman" w:eastAsia="仿宋_GB2312" w:cs="仿宋_GB2312"/>
          <w:color w:val="auto"/>
          <w:kern w:val="2"/>
          <w:sz w:val="32"/>
          <w:szCs w:val="32"/>
          <w:highlight w:val="none"/>
          <w:lang w:val="en-US" w:eastAsia="zh-CN" w:bidi="ar-SA"/>
        </w:rPr>
      </w:pPr>
    </w:p>
    <w:p w14:paraId="6D9DC4CF">
      <w:pPr>
        <w:rPr>
          <w:rFonts w:hint="eastAsia" w:ascii="Times New Roman" w:hAnsi="Times New Roman" w:eastAsia="仿宋_GB2312" w:cs="仿宋_GB2312"/>
          <w:color w:val="auto"/>
          <w:kern w:val="2"/>
          <w:sz w:val="32"/>
          <w:szCs w:val="32"/>
          <w:highlight w:val="none"/>
          <w:lang w:val="en-US" w:eastAsia="zh-CN" w:bidi="ar-SA"/>
        </w:rPr>
      </w:pPr>
    </w:p>
    <w:p w14:paraId="57467F38">
      <w:pPr>
        <w:pStyle w:val="15"/>
        <w:rPr>
          <w:rFonts w:hint="eastAsia" w:ascii="Times New Roman" w:hAnsi="Times New Roman" w:eastAsia="仿宋_GB2312" w:cs="仿宋_GB2312"/>
          <w:color w:val="auto"/>
          <w:kern w:val="2"/>
          <w:sz w:val="32"/>
          <w:szCs w:val="32"/>
          <w:highlight w:val="none"/>
          <w:lang w:val="en-US" w:eastAsia="zh-CN" w:bidi="ar-SA"/>
        </w:rPr>
      </w:pPr>
    </w:p>
    <w:p w14:paraId="78D05240">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59" w:name="_Toc15377225"/>
      <w:bookmarkStart w:id="60" w:name="_Toc15396613"/>
    </w:p>
    <w:p w14:paraId="2D046773">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5BCEE81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080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9"/>
      <w:bookmarkEnd w:id="60"/>
      <w:bookmarkEnd w:id="61"/>
    </w:p>
    <w:p w14:paraId="131DF68B">
      <w:pPr>
        <w:spacing w:line="600" w:lineRule="exact"/>
        <w:jc w:val="left"/>
        <w:rPr>
          <w:rFonts w:ascii="Times New Roman" w:hAnsi="Times New Roman"/>
          <w:b/>
          <w:color w:val="auto"/>
          <w:sz w:val="44"/>
          <w:szCs w:val="44"/>
          <w:highlight w:val="none"/>
        </w:rPr>
      </w:pPr>
    </w:p>
    <w:p w14:paraId="6024D5B3">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bookmarkStart w:id="62" w:name="_Toc15377226"/>
      <w:r>
        <w:rPr>
          <w:rFonts w:hint="eastAsia" w:ascii="仿宋_GB2312" w:eastAsia="仿宋_GB2312"/>
          <w:sz w:val="32"/>
          <w:szCs w:val="32"/>
        </w:rPr>
        <w:t>1.财政拨款收入：指单位从同级财政部门取得的财政预算资金。</w:t>
      </w:r>
    </w:p>
    <w:p w14:paraId="7F08C256">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3D8DF506">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7B1FDA70">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4B643274">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14:paraId="69423E07">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08BFFC02">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0F42E34F">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48788B9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bidi="ar-SA"/>
        </w:rPr>
        <w:t>反映财政部门安排的行政单位的</w:t>
      </w:r>
      <w:r>
        <w:rPr>
          <w:rFonts w:hint="eastAsia" w:ascii="仿宋_GB2312" w:eastAsia="仿宋_GB2312" w:cs="仿宋_GB2312"/>
          <w:sz w:val="32"/>
          <w:szCs w:val="32"/>
          <w:lang w:eastAsia="zh-CN" w:bidi="ar-SA"/>
        </w:rPr>
        <w:t>基本医疗保险缴费经费，未参加医疗保险的行政单位的公费医疗经费，</w:t>
      </w:r>
      <w:r>
        <w:rPr>
          <w:rFonts w:hint="eastAsia" w:ascii="仿宋_GB2312" w:eastAsia="仿宋_GB2312" w:cs="仿宋_GB2312"/>
          <w:sz w:val="32"/>
          <w:szCs w:val="32"/>
          <w:lang w:bidi="ar-SA"/>
        </w:rPr>
        <w:t>按国家规定享受离休人员、红军老战士待遇人员的医疗经费。</w:t>
      </w:r>
    </w:p>
    <w:p w14:paraId="546C0609">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lang w:bidi="ar-SA"/>
        </w:rPr>
        <w:t>：</w:t>
      </w:r>
      <w:r>
        <w:rPr>
          <w:rFonts w:hint="eastAsia" w:ascii="仿宋_GB2312" w:eastAsia="仿宋_GB2312" w:cs="仿宋_GB2312"/>
          <w:b w:val="0"/>
          <w:bCs/>
          <w:sz w:val="32"/>
          <w:szCs w:val="32"/>
          <w:lang w:bidi="ar-SA"/>
        </w:rPr>
        <w:t>反映财政部门安排的</w:t>
      </w:r>
      <w:r>
        <w:rPr>
          <w:rFonts w:hint="eastAsia" w:ascii="仿宋_GB2312" w:eastAsia="仿宋_GB2312" w:cs="仿宋_GB2312"/>
          <w:b w:val="0"/>
          <w:bCs/>
          <w:sz w:val="32"/>
          <w:szCs w:val="32"/>
          <w:lang w:eastAsia="zh-CN" w:bidi="ar-SA"/>
        </w:rPr>
        <w:t>事业</w:t>
      </w:r>
      <w:r>
        <w:rPr>
          <w:rFonts w:hint="eastAsia" w:ascii="仿宋_GB2312" w:eastAsia="仿宋_GB2312" w:cs="仿宋_GB2312"/>
          <w:b w:val="0"/>
          <w:bCs/>
          <w:sz w:val="32"/>
          <w:szCs w:val="32"/>
          <w:lang w:bidi="ar-SA"/>
        </w:rPr>
        <w:t>单位的</w:t>
      </w:r>
      <w:r>
        <w:rPr>
          <w:rFonts w:hint="eastAsia" w:ascii="仿宋_GB2312" w:eastAsia="仿宋_GB2312" w:cs="仿宋_GB2312"/>
          <w:b w:val="0"/>
          <w:bCs/>
          <w:sz w:val="32"/>
          <w:szCs w:val="32"/>
          <w:lang w:eastAsia="zh-CN" w:bidi="ar-SA"/>
        </w:rPr>
        <w:t>基本医疗保险缴费经费，未参加医疗保险的事业单位的公费医疗经费，</w:t>
      </w:r>
      <w:r>
        <w:rPr>
          <w:rFonts w:hint="eastAsia" w:ascii="仿宋_GB2312" w:eastAsia="仿宋_GB2312" w:cs="仿宋_GB2312"/>
          <w:b w:val="0"/>
          <w:bCs/>
          <w:sz w:val="32"/>
          <w:szCs w:val="32"/>
          <w:lang w:bidi="ar-SA"/>
        </w:rPr>
        <w:t>按国家规定享受离休人员待遇人员的医疗经费。</w:t>
      </w:r>
    </w:p>
    <w:p w14:paraId="6B688EF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.住房保障支出（类）住房改革支出（款）住房公积金（项）：反映行政事业单位按人力资源和社会保障部、财政部规定的基本工资和津贴补贴以及规定比例为职工缴纳的住房公积金。</w:t>
      </w:r>
    </w:p>
    <w:p w14:paraId="5D4B476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.社会保障和就业（类）行政事业单位离退休（款）养老保险（项）：机关事业单位基本养老保险缴费支出，反映机关事业单位实施养老保险制度由单位缴纳的基本养老保险费支出。</w:t>
      </w:r>
    </w:p>
    <w:p w14:paraId="2B2E312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lang w:bidi="ar-SA"/>
        </w:rPr>
        <w:t>。</w:t>
      </w:r>
    </w:p>
    <w:p w14:paraId="2436879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14:paraId="30273913">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14:paraId="7483B894">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16.科学技术（类）科学技术普及（款）科普活动（项）: 反映用于控制科普活动的支出。</w:t>
      </w:r>
    </w:p>
    <w:p w14:paraId="0FBB3FE2">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eastAsia="仿宋_GB2312" w:cs="Times New Roman"/>
          <w:b w:val="0"/>
          <w:bCs/>
          <w:kern w:val="2"/>
          <w:sz w:val="32"/>
          <w:szCs w:val="32"/>
          <w:lang w:val="en-US" w:eastAsia="zh-CN" w:bidi="ar-SA"/>
        </w:rPr>
        <w:t>科学技术普及</w:t>
      </w:r>
      <w:r>
        <w:rPr>
          <w:rFonts w:hint="eastAsia" w:ascii="仿宋_GB2312" w:eastAsia="仿宋_GB2312"/>
          <w:b w:val="0"/>
          <w:bCs/>
          <w:sz w:val="32"/>
          <w:szCs w:val="32"/>
          <w:lang w:val="en-US" w:eastAsia="zh-CN"/>
        </w:rPr>
        <w:t>（款）其他</w:t>
      </w:r>
      <w:r>
        <w:rPr>
          <w:rFonts w:hint="eastAsia" w:ascii="仿宋_GB2312" w:eastAsia="仿宋_GB2312" w:cs="Times New Roman"/>
          <w:b w:val="0"/>
          <w:bCs/>
          <w:kern w:val="2"/>
          <w:sz w:val="32"/>
          <w:szCs w:val="32"/>
          <w:lang w:val="en-US" w:eastAsia="zh-CN" w:bidi="ar-SA"/>
        </w:rPr>
        <w:t>科学技术普及支出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eastAsia="仿宋_GB2312" w:cs="Times New Roman"/>
          <w:b w:val="0"/>
          <w:bCs/>
          <w:kern w:val="2"/>
          <w:sz w:val="32"/>
          <w:szCs w:val="32"/>
          <w:lang w:val="en-US" w:eastAsia="zh-CN" w:bidi="ar-SA"/>
        </w:rPr>
        <w:t>科学技术普及方面的支出。</w:t>
      </w:r>
    </w:p>
    <w:p w14:paraId="64254A5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.基本支出：指为保障机构正常运转、完成日常工作任务而发生的人员支出和公用支出。</w:t>
      </w:r>
    </w:p>
    <w:p w14:paraId="1BD52A0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 xml:space="preserve">.项目支出：指在基本支出之外为完成特定行政任务和事业发展目标所发生的支出。 </w:t>
      </w:r>
    </w:p>
    <w:p w14:paraId="7FC4D6E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14:paraId="347636B3">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C798E3">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p>
    <w:p w14:paraId="66D1F6C4">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880" w:firstLineChars="200"/>
        <w:jc w:val="center"/>
        <w:textAlignment w:val="auto"/>
        <w:outlineLvl w:val="0"/>
        <w:rPr>
          <w:rFonts w:hint="eastAsia" w:ascii="Times New Roman" w:hAnsi="Times New Roman" w:eastAsia="黑体"/>
          <w:color w:val="auto"/>
          <w:sz w:val="44"/>
          <w:szCs w:val="44"/>
          <w:highlight w:val="none"/>
        </w:rPr>
      </w:pPr>
      <w:bookmarkStart w:id="63" w:name="_Toc15396614"/>
      <w:bookmarkStart w:id="64" w:name="_Toc824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3"/>
      <w:bookmarkEnd w:id="64"/>
    </w:p>
    <w:p w14:paraId="7CDF4BAD">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83375CF">
      <w:pPr>
        <w:widowControl/>
        <w:spacing w:line="578" w:lineRule="exact"/>
        <w:contextualSpacing/>
        <w:jc w:val="both"/>
        <w:rPr>
          <w:rFonts w:hint="eastAsia" w:eastAsia="方正小标宋简体"/>
          <w:bCs/>
          <w:sz w:val="44"/>
          <w:szCs w:val="44"/>
          <w:shd w:val="clear" w:color="auto" w:fill="FFFFFF"/>
          <w:lang w:eastAsia="zh-CN"/>
        </w:rPr>
      </w:pPr>
    </w:p>
    <w:p w14:paraId="139FDEBB">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eastAsia="zh-CN"/>
        </w:rPr>
        <w:t>茂县科学技术协会</w:t>
      </w:r>
      <w:r>
        <w:rPr>
          <w:rFonts w:eastAsia="方正小标宋简体"/>
          <w:bCs/>
          <w:sz w:val="44"/>
          <w:szCs w:val="44"/>
          <w:shd w:val="clear" w:color="auto" w:fill="FFFFFF"/>
        </w:rPr>
        <w:t>预算绩效</w:t>
      </w:r>
      <w:r>
        <w:rPr>
          <w:rFonts w:hint="eastAsia" w:eastAsia="方正小标宋简体"/>
          <w:bCs/>
          <w:sz w:val="44"/>
          <w:szCs w:val="44"/>
          <w:shd w:val="clear" w:color="auto" w:fill="FFFFFF"/>
          <w:lang w:eastAsia="zh-CN"/>
        </w:rPr>
        <w:t>自评</w:t>
      </w:r>
      <w:r>
        <w:rPr>
          <w:rFonts w:eastAsia="方正小标宋简体"/>
          <w:bCs/>
          <w:sz w:val="44"/>
          <w:szCs w:val="44"/>
          <w:shd w:val="clear" w:color="auto" w:fill="FFFFFF"/>
        </w:rPr>
        <w:t>报告</w:t>
      </w:r>
    </w:p>
    <w:p w14:paraId="41B8DF95">
      <w:pPr>
        <w:widowControl/>
        <w:adjustRightInd w:val="0"/>
        <w:snapToGrid w:val="0"/>
        <w:spacing w:line="578" w:lineRule="exact"/>
        <w:ind w:firstLine="880" w:firstLineChars="200"/>
        <w:contextualSpacing/>
        <w:jc w:val="center"/>
        <w:rPr>
          <w:rFonts w:eastAsia="方正小标宋简体"/>
          <w:bCs/>
          <w:sz w:val="44"/>
          <w:szCs w:val="44"/>
          <w:shd w:val="clear" w:color="auto" w:fill="FFFFFF"/>
        </w:rPr>
      </w:pPr>
    </w:p>
    <w:p w14:paraId="242C673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一、部门（单位）基本情况</w:t>
      </w:r>
    </w:p>
    <w:p w14:paraId="4A833F0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（一）机构组成</w:t>
      </w:r>
    </w:p>
    <w:p w14:paraId="5821F47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本部门属一级预算单位，参照公务员法管理的行政单位</w:t>
      </w:r>
      <w:r>
        <w:rPr>
          <w:rFonts w:hint="eastAsia" w:ascii="仿宋_GB2312" w:hAnsi="仿宋_GB2312" w:eastAsia="仿宋_GB2312" w:cs="仿宋_GB2312"/>
          <w:b w:val="0"/>
          <w:kern w:val="2"/>
          <w:sz w:val="32"/>
          <w:szCs w:val="32"/>
          <w:lang w:val="en-US" w:eastAsia="zh-CN" w:bidi="ar-SA"/>
        </w:rPr>
        <w:t>1</w:t>
      </w:r>
      <w:r>
        <w:rPr>
          <w:rFonts w:hint="eastAsia" w:ascii="Times New Roman" w:hAnsi="Times New Roman" w:eastAsia="仿宋_GB2312" w:cs="Times New Roman"/>
          <w:b w:val="0"/>
          <w:kern w:val="2"/>
          <w:sz w:val="32"/>
          <w:szCs w:val="32"/>
          <w:lang w:val="en-US" w:eastAsia="zh-CN" w:bidi="ar-SA"/>
        </w:rPr>
        <w:t>个，内设机构：</w:t>
      </w:r>
      <w:r>
        <w:rPr>
          <w:rFonts w:hint="eastAsia" w:ascii="Times New Roman" w:hAnsi="Times New Roman" w:eastAsia="仿宋_GB2312" w:cs="Times New Roman"/>
          <w:b w:val="0"/>
          <w:kern w:val="2"/>
          <w:sz w:val="32"/>
          <w:szCs w:val="32"/>
          <w:lang w:val="zh-CN" w:eastAsia="zh-CN" w:bidi="ar-SA"/>
        </w:rPr>
        <w:t>综合业务股、办公室、科普服务中心。</w:t>
      </w:r>
    </w:p>
    <w:p w14:paraId="42BADA5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（二）机构职能</w:t>
      </w:r>
    </w:p>
    <w:p w14:paraId="2061260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1.综合办公室</w:t>
      </w:r>
    </w:p>
    <w:p w14:paraId="2DE01B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eastAsia="仿宋_GB2312" w:cs="Times New Roman"/>
          <w:b w:val="0"/>
          <w:kern w:val="2"/>
          <w:sz w:val="32"/>
          <w:szCs w:val="32"/>
          <w:lang w:val="zh-CN" w:eastAsia="zh-CN" w:bidi="ar-SA"/>
        </w:rPr>
        <w:t>（</w:t>
      </w:r>
      <w:r>
        <w:rPr>
          <w:rFonts w:hint="eastAsia" w:ascii="仿宋_GB2312" w:hAnsi="仿宋_GB2312" w:eastAsia="仿宋_GB2312" w:cs="仿宋_GB2312"/>
          <w:b w:val="0"/>
          <w:kern w:val="2"/>
          <w:sz w:val="32"/>
          <w:szCs w:val="32"/>
          <w:lang w:val="en-US" w:eastAsia="zh-CN" w:bidi="ar-SA"/>
        </w:rPr>
        <w:t>1</w:t>
      </w:r>
      <w:r>
        <w:rPr>
          <w:rFonts w:hint="eastAsia" w:eastAsia="仿宋_GB2312" w:cs="Times New Roman"/>
          <w:b w:val="0"/>
          <w:kern w:val="2"/>
          <w:sz w:val="32"/>
          <w:szCs w:val="32"/>
          <w:lang w:val="zh-CN" w:eastAsia="zh-CN" w:bidi="ar-SA"/>
        </w:rPr>
        <w:t>）</w:t>
      </w:r>
      <w:r>
        <w:rPr>
          <w:rFonts w:hint="eastAsia" w:ascii="Times New Roman" w:hAnsi="Times New Roman" w:eastAsia="仿宋_GB2312" w:cs="Times New Roman"/>
          <w:b w:val="0"/>
          <w:kern w:val="2"/>
          <w:sz w:val="32"/>
          <w:szCs w:val="32"/>
          <w:lang w:val="zh-CN" w:eastAsia="zh-CN" w:bidi="ar-SA"/>
        </w:rPr>
        <w:t>编制科协工作规划、年度计划和工作总结，组织调查研究，提出科协工作中重大政策性问题的建议;协助领导对有关工作进行综合、协调、督促、检查;负责文书处理，重要会议的组织、来信来访、机关财务、房产物资及档案管理，科协退休干部职工的管理。</w:t>
      </w:r>
    </w:p>
    <w:p w14:paraId="1F3B7BB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eastAsia="仿宋_GB2312" w:cs="Times New Roman"/>
          <w:b w:val="0"/>
          <w:kern w:val="2"/>
          <w:sz w:val="32"/>
          <w:szCs w:val="32"/>
          <w:lang w:val="zh-CN" w:eastAsia="zh-CN" w:bidi="ar-SA"/>
        </w:rPr>
        <w:t>（</w:t>
      </w:r>
      <w:r>
        <w:rPr>
          <w:rFonts w:hint="eastAsia" w:ascii="仿宋_GB2312" w:hAnsi="仿宋_GB2312" w:eastAsia="仿宋_GB2312" w:cs="仿宋_GB2312"/>
          <w:b w:val="0"/>
          <w:kern w:val="2"/>
          <w:sz w:val="32"/>
          <w:szCs w:val="32"/>
          <w:lang w:val="en-US" w:eastAsia="zh-CN" w:bidi="ar-SA"/>
        </w:rPr>
        <w:t>2</w:t>
      </w:r>
      <w:r>
        <w:rPr>
          <w:rFonts w:hint="eastAsia" w:eastAsia="仿宋_GB2312" w:cs="Times New Roman"/>
          <w:b w:val="0"/>
          <w:kern w:val="2"/>
          <w:sz w:val="32"/>
          <w:szCs w:val="32"/>
          <w:lang w:val="zh-CN" w:eastAsia="zh-CN" w:bidi="ar-SA"/>
        </w:rPr>
        <w:t>）</w:t>
      </w:r>
      <w:r>
        <w:rPr>
          <w:rFonts w:hint="eastAsia" w:ascii="仿宋_GB2312" w:hAnsi="仿宋_GB2312" w:eastAsia="仿宋_GB2312" w:cs="仿宋_GB2312"/>
          <w:b w:val="0"/>
          <w:kern w:val="2"/>
          <w:sz w:val="32"/>
          <w:szCs w:val="32"/>
          <w:lang w:val="zh-CN" w:eastAsia="zh-CN" w:bidi="ar-SA"/>
        </w:rPr>
        <w:t>组织协调多学科的重要课题、学术研讨活动;负责县级协学会的组织管理，指导和日常联络工作;参与人民团体、科教社团制定法规、政策工作;负责对外交流与合作的组织联络工作;宣传党和政府关于知识分子工作的方针、政策，反应科技工作者的呼声和要求，维护科技人员的合法权益;负责科技人员的教育组织协调工作。</w:t>
      </w:r>
    </w:p>
    <w:p w14:paraId="323B21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eastAsia="仿宋_GB2312" w:cs="Times New Roman"/>
          <w:b w:val="0"/>
          <w:kern w:val="2"/>
          <w:sz w:val="32"/>
          <w:szCs w:val="32"/>
          <w:lang w:val="zh-CN" w:eastAsia="zh-CN" w:bidi="ar-SA"/>
        </w:rPr>
        <w:t>（</w:t>
      </w:r>
      <w:r>
        <w:rPr>
          <w:rFonts w:hint="eastAsia" w:ascii="仿宋_GB2312" w:hAnsi="仿宋_GB2312" w:eastAsia="仿宋_GB2312" w:cs="仿宋_GB2312"/>
          <w:b w:val="0"/>
          <w:kern w:val="2"/>
          <w:sz w:val="32"/>
          <w:szCs w:val="32"/>
          <w:lang w:val="en-US" w:eastAsia="zh-CN" w:bidi="ar-SA"/>
        </w:rPr>
        <w:t>3</w:t>
      </w:r>
      <w:r>
        <w:rPr>
          <w:rFonts w:hint="eastAsia" w:eastAsia="仿宋_GB2312" w:cs="Times New Roman"/>
          <w:b w:val="0"/>
          <w:kern w:val="2"/>
          <w:sz w:val="32"/>
          <w:szCs w:val="32"/>
          <w:lang w:val="zh-CN" w:eastAsia="zh-CN" w:bidi="ar-SA"/>
        </w:rPr>
        <w:t>）</w:t>
      </w:r>
      <w:r>
        <w:rPr>
          <w:rFonts w:hint="eastAsia" w:ascii="仿宋_GB2312" w:hAnsi="仿宋_GB2312" w:eastAsia="仿宋_GB2312" w:cs="仿宋_GB2312"/>
          <w:b w:val="0"/>
          <w:kern w:val="2"/>
          <w:sz w:val="32"/>
          <w:szCs w:val="32"/>
          <w:lang w:val="zh-CN" w:eastAsia="zh-CN" w:bidi="ar-SA"/>
        </w:rPr>
        <w:t>负责联络、协调和指导科协系统的科普工作，大力宣传科学技术是第一生产力的思想，宣传党和政府的科技方针、政策，普及科学知识，努力提高全县各民族和科学文化素质，负责农村科技人才的培训和技术职称评定;负责指导乡镇科协和农村专业技术协会的工作;负责科普刊物和技术资料的编辑和青少年科技教育工作。</w:t>
      </w:r>
    </w:p>
    <w:p w14:paraId="680D12B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2.科普服务中心</w:t>
      </w:r>
    </w:p>
    <w:p w14:paraId="6E208C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(1)负责贯彻《中华</w:t>
      </w:r>
      <w:r>
        <w:rPr>
          <w:rFonts w:hint="eastAsia" w:ascii="仿宋_GB2312" w:hAnsi="仿宋_GB2312" w:eastAsia="仿宋_GB2312" w:cs="仿宋_GB2312"/>
          <w:b w:val="0"/>
          <w:kern w:val="2"/>
          <w:sz w:val="32"/>
          <w:szCs w:val="32"/>
          <w:lang w:val="en-US" w:eastAsia="zh-CN" w:bidi="ar-SA"/>
        </w:rPr>
        <w:t>人</w:t>
      </w:r>
      <w:r>
        <w:rPr>
          <w:rFonts w:hint="eastAsia" w:ascii="仿宋_GB2312" w:hAnsi="仿宋_GB2312" w:eastAsia="仿宋_GB2312" w:cs="仿宋_GB2312"/>
          <w:b w:val="0"/>
          <w:kern w:val="2"/>
          <w:sz w:val="32"/>
          <w:szCs w:val="32"/>
          <w:lang w:val="zh-CN" w:eastAsia="zh-CN" w:bidi="ar-SA"/>
        </w:rPr>
        <w:t>民共和国科普法》，宣传科普法，</w:t>
      </w:r>
      <w:bookmarkStart w:id="120" w:name="_GoBack"/>
      <w:bookmarkEnd w:id="120"/>
      <w:r>
        <w:rPr>
          <w:rFonts w:hint="eastAsia" w:ascii="仿宋_GB2312" w:hAnsi="仿宋_GB2312" w:eastAsia="仿宋_GB2312" w:cs="仿宋_GB2312"/>
          <w:b w:val="0"/>
          <w:kern w:val="2"/>
          <w:sz w:val="32"/>
          <w:szCs w:val="32"/>
          <w:lang w:val="zh-CN" w:eastAsia="zh-CN" w:bidi="ar-SA"/>
        </w:rPr>
        <w:t>落实科普法，宣传各级科普活动的决策。</w:t>
      </w:r>
    </w:p>
    <w:p w14:paraId="1B0E108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(2)拟订年度科普宣传计划，负责抓好落实。</w:t>
      </w:r>
    </w:p>
    <w:p w14:paraId="45352A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(3)在上级科协和科普协会的指导下，积极组织开展科普活动，认真做好科普活动记录及科普档案管理，并及时向上级汇报工作开展情况，做好信息反馈工作。</w:t>
      </w:r>
    </w:p>
    <w:p w14:paraId="4F4AD24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（三）人员概况</w:t>
      </w:r>
    </w:p>
    <w:p w14:paraId="1D672A5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截至202</w:t>
      </w:r>
      <w:r>
        <w:rPr>
          <w:rFonts w:hint="eastAsia" w:ascii="仿宋_GB2312" w:hAnsi="仿宋_GB2312" w:eastAsia="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年末，在职职工</w:t>
      </w:r>
      <w:r>
        <w:rPr>
          <w:rFonts w:hint="eastAsia" w:ascii="仿宋_GB2312" w:hAnsi="仿宋_GB2312" w:eastAsia="仿宋_GB2312" w:cs="仿宋_GB2312"/>
          <w:b w:val="0"/>
          <w:kern w:val="2"/>
          <w:sz w:val="32"/>
          <w:szCs w:val="32"/>
          <w:lang w:val="en-US" w:eastAsia="zh-CN" w:bidi="ar-SA"/>
        </w:rPr>
        <w:t>共9</w:t>
      </w:r>
      <w:r>
        <w:rPr>
          <w:rFonts w:hint="eastAsia" w:ascii="仿宋_GB2312" w:hAnsi="仿宋_GB2312" w:eastAsia="仿宋_GB2312" w:cs="仿宋_GB2312"/>
          <w:b w:val="0"/>
          <w:kern w:val="2"/>
          <w:sz w:val="32"/>
          <w:szCs w:val="32"/>
          <w:lang w:val="zh-CN" w:eastAsia="zh-CN" w:bidi="ar-SA"/>
        </w:rPr>
        <w:t>人，其中:参公人员</w:t>
      </w:r>
      <w:r>
        <w:rPr>
          <w:rFonts w:hint="eastAsia" w:ascii="仿宋_GB2312" w:hAnsi="仿宋_GB2312" w:eastAsia="仿宋_GB2312" w:cs="仿宋_GB2312"/>
          <w:b w:val="0"/>
          <w:kern w:val="2"/>
          <w:sz w:val="32"/>
          <w:szCs w:val="32"/>
          <w:lang w:val="en-US" w:eastAsia="zh-CN" w:bidi="ar-SA"/>
        </w:rPr>
        <w:t>6</w:t>
      </w:r>
      <w:r>
        <w:rPr>
          <w:rFonts w:hint="eastAsia" w:ascii="仿宋_GB2312" w:hAnsi="仿宋_GB2312" w:eastAsia="仿宋_GB2312" w:cs="仿宋_GB2312"/>
          <w:b w:val="0"/>
          <w:kern w:val="2"/>
          <w:sz w:val="32"/>
          <w:szCs w:val="32"/>
          <w:lang w:val="zh-CN" w:eastAsia="zh-CN" w:bidi="ar-SA"/>
        </w:rPr>
        <w:t>人，事业人员</w:t>
      </w:r>
      <w:r>
        <w:rPr>
          <w:rFonts w:hint="eastAsia" w:ascii="仿宋_GB2312" w:hAnsi="仿宋_GB2312" w:eastAsia="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人，行政工勤</w:t>
      </w:r>
      <w:r>
        <w:rPr>
          <w:rFonts w:hint="eastAsia" w:ascii="仿宋_GB2312" w:hAnsi="仿宋_GB2312" w:eastAsia="仿宋_GB2312" w:cs="仿宋_GB2312"/>
          <w:b w:val="0"/>
          <w:kern w:val="2"/>
          <w:sz w:val="32"/>
          <w:szCs w:val="32"/>
          <w:lang w:val="en-US" w:eastAsia="zh-CN" w:bidi="ar-SA"/>
        </w:rPr>
        <w:t>1人。</w:t>
      </w:r>
    </w:p>
    <w:p w14:paraId="660CAD9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二、部门资金收支情况</w:t>
      </w:r>
    </w:p>
    <w:p w14:paraId="4BCD308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p>
    <w:p w14:paraId="17DB62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zh-CN" w:eastAsia="zh-CN" w:bidi="ar-SA"/>
        </w:rPr>
        <w:t>茂县科学技术协会202</w:t>
      </w:r>
      <w:r>
        <w:rPr>
          <w:rFonts w:hint="eastAsia" w:ascii="仿宋_GB2312" w:hAnsi="仿宋_GB2312" w:eastAsia="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年年初预算收入</w:t>
      </w:r>
      <w:r>
        <w:rPr>
          <w:rFonts w:hint="eastAsia" w:ascii="仿宋_GB2312" w:hAnsi="仿宋_GB2312" w:eastAsia="仿宋_GB2312" w:cs="仿宋_GB2312"/>
          <w:b w:val="0"/>
          <w:kern w:val="2"/>
          <w:sz w:val="32"/>
          <w:szCs w:val="32"/>
          <w:lang w:val="en-US" w:eastAsia="zh-CN" w:bidi="ar-SA"/>
        </w:rPr>
        <w:t>191.61</w:t>
      </w:r>
      <w:r>
        <w:rPr>
          <w:rFonts w:hint="eastAsia" w:ascii="仿宋_GB2312" w:hAnsi="仿宋_GB2312" w:eastAsia="仿宋_GB2312" w:cs="仿宋_GB2312"/>
          <w:b w:val="0"/>
          <w:kern w:val="2"/>
          <w:sz w:val="32"/>
          <w:szCs w:val="32"/>
          <w:lang w:val="zh-CN" w:eastAsia="zh-CN" w:bidi="ar-SA"/>
        </w:rPr>
        <w:t>万元，全年预算收入为</w:t>
      </w:r>
      <w:r>
        <w:rPr>
          <w:rFonts w:hint="eastAsia" w:ascii="仿宋_GB2312" w:hAnsi="仿宋_GB2312" w:eastAsia="仿宋_GB2312" w:cs="仿宋_GB2312"/>
          <w:b w:val="0"/>
          <w:kern w:val="2"/>
          <w:sz w:val="32"/>
          <w:szCs w:val="32"/>
          <w:lang w:val="en-US" w:eastAsia="zh-CN" w:bidi="ar-SA"/>
        </w:rPr>
        <w:t>216.08</w:t>
      </w:r>
      <w:r>
        <w:rPr>
          <w:rFonts w:hint="eastAsia" w:ascii="仿宋_GB2312" w:hAnsi="仿宋_GB2312" w:eastAsia="仿宋_GB2312" w:cs="仿宋_GB2312"/>
          <w:b w:val="0"/>
          <w:kern w:val="2"/>
          <w:sz w:val="32"/>
          <w:szCs w:val="32"/>
          <w:lang w:val="zh-CN" w:eastAsia="zh-CN" w:bidi="ar-SA"/>
        </w:rPr>
        <w:t>万元</w:t>
      </w:r>
      <w:r>
        <w:rPr>
          <w:rFonts w:hint="eastAsia" w:ascii="仿宋_GB2312" w:hAnsi="仿宋_GB2312" w:eastAsia="仿宋_GB2312" w:cs="仿宋_GB2312"/>
          <w:b w:val="0"/>
          <w:kern w:val="2"/>
          <w:sz w:val="32"/>
          <w:szCs w:val="32"/>
          <w:lang w:val="en-US" w:eastAsia="zh-CN" w:bidi="ar-SA"/>
        </w:rPr>
        <w:t>，全年决算收入为216.08</w:t>
      </w:r>
      <w:r>
        <w:rPr>
          <w:rFonts w:hint="eastAsia" w:ascii="仿宋_GB2312" w:hAnsi="仿宋_GB2312" w:eastAsia="仿宋_GB2312" w:cs="仿宋_GB2312"/>
          <w:b w:val="0"/>
          <w:kern w:val="2"/>
          <w:sz w:val="32"/>
          <w:szCs w:val="32"/>
          <w:lang w:val="zh-CN" w:eastAsia="zh-CN" w:bidi="ar-SA"/>
        </w:rPr>
        <w:t>万元</w:t>
      </w:r>
      <w:r>
        <w:rPr>
          <w:rFonts w:hint="eastAsia" w:ascii="仿宋_GB2312" w:hAnsi="仿宋_GB2312" w:eastAsia="仿宋_GB2312" w:cs="仿宋_GB2312"/>
          <w:b w:val="0"/>
          <w:kern w:val="2"/>
          <w:sz w:val="32"/>
          <w:szCs w:val="32"/>
          <w:lang w:val="en-US" w:eastAsia="zh-CN" w:bidi="ar-SA"/>
        </w:rPr>
        <w:t>，年初结转结余0.00万元。</w:t>
      </w:r>
    </w:p>
    <w:p w14:paraId="4915B8A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cs="仿宋_GB2312"/>
          <w:b/>
          <w:bCs/>
          <w:color w:val="auto"/>
          <w:kern w:val="0"/>
          <w:sz w:val="32"/>
          <w:szCs w:val="32"/>
          <w:shd w:val="clear" w:color="auto" w:fill="FFFFFF"/>
          <w:lang w:val="zh-CN"/>
        </w:rPr>
        <w:t>（二）</w:t>
      </w:r>
      <w:r>
        <w:rPr>
          <w:rFonts w:hint="eastAsia" w:ascii="仿宋_GB2312" w:hAnsi="仿宋_GB2312" w:eastAsia="仿宋_GB2312" w:cs="仿宋_GB2312"/>
          <w:b/>
          <w:bCs/>
          <w:color w:val="auto"/>
          <w:kern w:val="0"/>
          <w:sz w:val="32"/>
          <w:szCs w:val="32"/>
          <w:shd w:val="clear" w:color="auto" w:fill="FFFFFF"/>
          <w:lang w:val="zh-CN"/>
        </w:rPr>
        <w:t>支出情况</w:t>
      </w:r>
    </w:p>
    <w:p w14:paraId="1A71B93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茂县科学技术协会202</w:t>
      </w:r>
      <w:r>
        <w:rPr>
          <w:rFonts w:hint="eastAsia" w:ascii="仿宋_GB2312" w:hAnsi="仿宋_GB2312" w:eastAsia="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年年初预算支出</w:t>
      </w:r>
      <w:r>
        <w:rPr>
          <w:rFonts w:hint="eastAsia" w:ascii="仿宋_GB2312" w:hAnsi="仿宋_GB2312" w:eastAsia="仿宋_GB2312" w:cs="仿宋_GB2312"/>
          <w:b w:val="0"/>
          <w:kern w:val="2"/>
          <w:sz w:val="32"/>
          <w:szCs w:val="32"/>
          <w:lang w:val="en-US" w:eastAsia="zh-CN" w:bidi="ar-SA"/>
        </w:rPr>
        <w:t>191.61</w:t>
      </w:r>
      <w:r>
        <w:rPr>
          <w:rFonts w:hint="eastAsia" w:ascii="仿宋_GB2312" w:hAnsi="仿宋_GB2312" w:eastAsia="仿宋_GB2312" w:cs="仿宋_GB2312"/>
          <w:b w:val="0"/>
          <w:kern w:val="2"/>
          <w:sz w:val="32"/>
          <w:szCs w:val="32"/>
          <w:lang w:val="zh-CN" w:eastAsia="zh-CN" w:bidi="ar-SA"/>
        </w:rPr>
        <w:t>万元，决算支出</w:t>
      </w:r>
      <w:r>
        <w:rPr>
          <w:rFonts w:hint="eastAsia" w:ascii="仿宋_GB2312" w:hAnsi="仿宋_GB2312" w:eastAsia="仿宋_GB2312" w:cs="仿宋_GB2312"/>
          <w:b w:val="0"/>
          <w:kern w:val="2"/>
          <w:sz w:val="32"/>
          <w:szCs w:val="32"/>
          <w:lang w:val="en-US" w:eastAsia="zh-CN" w:bidi="ar-SA"/>
        </w:rPr>
        <w:t>216.08</w:t>
      </w:r>
      <w:r>
        <w:rPr>
          <w:rFonts w:hint="eastAsia" w:ascii="仿宋_GB2312" w:hAnsi="仿宋_GB2312" w:eastAsia="仿宋_GB2312" w:cs="仿宋_GB2312"/>
          <w:b w:val="0"/>
          <w:kern w:val="2"/>
          <w:sz w:val="32"/>
          <w:szCs w:val="32"/>
          <w:lang w:val="zh-CN" w:eastAsia="zh-CN" w:bidi="ar-SA"/>
        </w:rPr>
        <w:t>万元</w:t>
      </w:r>
      <w:r>
        <w:rPr>
          <w:rFonts w:hint="eastAsia" w:ascii="仿宋_GB2312" w:hAnsi="仿宋_GB2312" w:eastAsia="仿宋_GB2312" w:cs="仿宋_GB2312"/>
          <w:b w:val="0"/>
          <w:kern w:val="2"/>
          <w:sz w:val="32"/>
          <w:szCs w:val="32"/>
          <w:lang w:val="en-US" w:eastAsia="zh-CN" w:bidi="ar-SA"/>
        </w:rPr>
        <w:t>，</w:t>
      </w:r>
      <w:r>
        <w:rPr>
          <w:rFonts w:hint="eastAsia" w:ascii="仿宋_GB2312" w:hAnsi="仿宋_GB2312" w:eastAsia="仿宋_GB2312" w:cs="仿宋_GB2312"/>
          <w:b w:val="0"/>
          <w:kern w:val="2"/>
          <w:sz w:val="32"/>
          <w:szCs w:val="32"/>
          <w:lang w:val="zh-CN" w:eastAsia="zh-CN" w:bidi="ar-SA"/>
        </w:rPr>
        <w:t>其中按功能分类，科学技术支出</w:t>
      </w:r>
      <w:r>
        <w:rPr>
          <w:rFonts w:hint="eastAsia" w:ascii="仿宋_GB2312" w:hAnsi="仿宋_GB2312" w:eastAsia="仿宋_GB2312" w:cs="仿宋_GB2312"/>
          <w:b w:val="0"/>
          <w:kern w:val="2"/>
          <w:sz w:val="32"/>
          <w:szCs w:val="32"/>
          <w:lang w:val="en-US" w:eastAsia="zh-CN" w:bidi="ar-SA"/>
        </w:rPr>
        <w:t>161.75</w:t>
      </w:r>
      <w:r>
        <w:rPr>
          <w:rFonts w:hint="eastAsia" w:ascii="仿宋_GB2312" w:hAnsi="仿宋_GB2312" w:eastAsia="仿宋_GB2312" w:cs="仿宋_GB2312"/>
          <w:b w:val="0"/>
          <w:kern w:val="2"/>
          <w:sz w:val="32"/>
          <w:szCs w:val="32"/>
          <w:lang w:val="zh-CN" w:eastAsia="zh-CN" w:bidi="ar-SA"/>
        </w:rPr>
        <w:t>万元、社会保障和就业支出</w:t>
      </w:r>
      <w:r>
        <w:rPr>
          <w:rFonts w:hint="eastAsia" w:ascii="仿宋_GB2312" w:hAnsi="仿宋_GB2312" w:eastAsia="仿宋_GB2312" w:cs="仿宋_GB2312"/>
          <w:b w:val="0"/>
          <w:kern w:val="2"/>
          <w:sz w:val="32"/>
          <w:szCs w:val="32"/>
          <w:lang w:val="en-US" w:eastAsia="zh-CN" w:bidi="ar-SA"/>
        </w:rPr>
        <w:t>26.84</w:t>
      </w:r>
      <w:r>
        <w:rPr>
          <w:rFonts w:hint="eastAsia" w:ascii="仿宋_GB2312" w:hAnsi="仿宋_GB2312" w:eastAsia="仿宋_GB2312" w:cs="仿宋_GB2312"/>
          <w:b w:val="0"/>
          <w:kern w:val="2"/>
          <w:sz w:val="32"/>
          <w:szCs w:val="32"/>
          <w:lang w:val="zh-CN" w:eastAsia="zh-CN" w:bidi="ar-SA"/>
        </w:rPr>
        <w:t>万元、卫生健康支出</w:t>
      </w:r>
      <w:r>
        <w:rPr>
          <w:rFonts w:hint="eastAsia" w:ascii="仿宋_GB2312" w:hAnsi="仿宋_GB2312" w:eastAsia="仿宋_GB2312" w:cs="仿宋_GB2312"/>
          <w:b w:val="0"/>
          <w:kern w:val="2"/>
          <w:sz w:val="32"/>
          <w:szCs w:val="32"/>
          <w:lang w:val="en-US" w:eastAsia="zh-CN" w:bidi="ar-SA"/>
        </w:rPr>
        <w:t>11.70</w:t>
      </w:r>
      <w:r>
        <w:rPr>
          <w:rFonts w:hint="eastAsia" w:ascii="仿宋_GB2312" w:hAnsi="仿宋_GB2312" w:eastAsia="仿宋_GB2312" w:cs="仿宋_GB2312"/>
          <w:b w:val="0"/>
          <w:kern w:val="2"/>
          <w:sz w:val="32"/>
          <w:szCs w:val="32"/>
          <w:lang w:val="zh-CN" w:eastAsia="zh-CN" w:bidi="ar-SA"/>
        </w:rPr>
        <w:t>万元、住房保障支出</w:t>
      </w:r>
      <w:r>
        <w:rPr>
          <w:rFonts w:hint="eastAsia" w:ascii="仿宋_GB2312" w:hAnsi="仿宋_GB2312" w:eastAsia="仿宋_GB2312" w:cs="仿宋_GB2312"/>
          <w:b w:val="0"/>
          <w:kern w:val="2"/>
          <w:sz w:val="32"/>
          <w:szCs w:val="32"/>
          <w:lang w:val="en-US" w:eastAsia="zh-CN" w:bidi="ar-SA"/>
        </w:rPr>
        <w:t>15.79</w:t>
      </w:r>
      <w:r>
        <w:rPr>
          <w:rFonts w:hint="eastAsia" w:ascii="仿宋_GB2312" w:hAnsi="仿宋_GB2312" w:eastAsia="仿宋_GB2312" w:cs="仿宋_GB2312"/>
          <w:b w:val="0"/>
          <w:kern w:val="2"/>
          <w:sz w:val="32"/>
          <w:szCs w:val="32"/>
          <w:lang w:val="zh-CN" w:eastAsia="zh-CN" w:bidi="ar-SA"/>
        </w:rPr>
        <w:t>万元;按支出性质分类，基本支出</w:t>
      </w:r>
      <w:r>
        <w:rPr>
          <w:rFonts w:hint="eastAsia" w:ascii="仿宋_GB2312" w:hAnsi="仿宋_GB2312" w:eastAsia="仿宋_GB2312" w:cs="仿宋_GB2312"/>
          <w:b w:val="0"/>
          <w:kern w:val="2"/>
          <w:sz w:val="32"/>
          <w:szCs w:val="32"/>
          <w:lang w:val="en-US" w:eastAsia="zh-CN" w:bidi="ar-SA"/>
        </w:rPr>
        <w:t>196.08</w:t>
      </w:r>
      <w:r>
        <w:rPr>
          <w:rFonts w:hint="eastAsia" w:ascii="仿宋_GB2312" w:hAnsi="仿宋_GB2312" w:eastAsia="仿宋_GB2312" w:cs="仿宋_GB2312"/>
          <w:b w:val="0"/>
          <w:kern w:val="2"/>
          <w:sz w:val="32"/>
          <w:szCs w:val="32"/>
          <w:lang w:val="zh-CN" w:eastAsia="zh-CN" w:bidi="ar-SA"/>
        </w:rPr>
        <w:t>万元，项目支出</w:t>
      </w:r>
      <w:r>
        <w:rPr>
          <w:rFonts w:hint="eastAsia" w:ascii="仿宋_GB2312" w:hAnsi="仿宋_GB2312" w:eastAsia="仿宋_GB2312" w:cs="仿宋_GB2312"/>
          <w:b w:val="0"/>
          <w:kern w:val="2"/>
          <w:sz w:val="32"/>
          <w:szCs w:val="32"/>
          <w:lang w:val="en-US" w:eastAsia="zh-CN" w:bidi="ar-SA"/>
        </w:rPr>
        <w:t>20.00</w:t>
      </w:r>
      <w:r>
        <w:rPr>
          <w:rFonts w:hint="eastAsia" w:ascii="仿宋_GB2312" w:hAnsi="仿宋_GB2312" w:eastAsia="仿宋_GB2312" w:cs="仿宋_GB2312"/>
          <w:b w:val="0"/>
          <w:kern w:val="2"/>
          <w:sz w:val="32"/>
          <w:szCs w:val="32"/>
          <w:lang w:val="zh-CN" w:eastAsia="zh-CN" w:bidi="ar-SA"/>
        </w:rPr>
        <w:t>万元;按经济分类，工资福利支出</w:t>
      </w:r>
      <w:r>
        <w:rPr>
          <w:rFonts w:hint="eastAsia" w:ascii="仿宋_GB2312" w:hAnsi="仿宋_GB2312" w:eastAsia="仿宋_GB2312" w:cs="仿宋_GB2312"/>
          <w:b w:val="0"/>
          <w:kern w:val="2"/>
          <w:sz w:val="32"/>
          <w:szCs w:val="32"/>
          <w:lang w:val="en-US" w:eastAsia="zh-CN" w:bidi="ar-SA"/>
        </w:rPr>
        <w:t>188.60</w:t>
      </w:r>
      <w:r>
        <w:rPr>
          <w:rFonts w:hint="eastAsia" w:ascii="仿宋_GB2312" w:hAnsi="仿宋_GB2312" w:eastAsia="仿宋_GB2312" w:cs="仿宋_GB2312"/>
          <w:b w:val="0"/>
          <w:kern w:val="2"/>
          <w:sz w:val="32"/>
          <w:szCs w:val="32"/>
          <w:lang w:val="zh-CN" w:eastAsia="zh-CN" w:bidi="ar-SA"/>
        </w:rPr>
        <w:t>万元，商品服务支出</w:t>
      </w:r>
      <w:r>
        <w:rPr>
          <w:rFonts w:hint="eastAsia" w:ascii="仿宋_GB2312" w:hAnsi="仿宋_GB2312" w:eastAsia="仿宋_GB2312" w:cs="仿宋_GB2312"/>
          <w:b w:val="0"/>
          <w:kern w:val="2"/>
          <w:sz w:val="32"/>
          <w:szCs w:val="32"/>
          <w:lang w:val="en-US" w:eastAsia="zh-CN" w:bidi="ar-SA"/>
        </w:rPr>
        <w:t>7.48</w:t>
      </w:r>
      <w:r>
        <w:rPr>
          <w:rFonts w:hint="eastAsia" w:ascii="仿宋_GB2312" w:hAnsi="仿宋_GB2312" w:eastAsia="仿宋_GB2312" w:cs="仿宋_GB2312"/>
          <w:b w:val="0"/>
          <w:kern w:val="2"/>
          <w:sz w:val="32"/>
          <w:szCs w:val="32"/>
          <w:lang w:val="zh-CN" w:eastAsia="zh-CN" w:bidi="ar-SA"/>
        </w:rPr>
        <w:t>万元，个人及家庭补助支出</w:t>
      </w:r>
      <w:r>
        <w:rPr>
          <w:rFonts w:hint="eastAsia" w:ascii="仿宋_GB2312" w:hAnsi="仿宋_GB2312" w:eastAsia="仿宋_GB2312" w:cs="仿宋_GB2312"/>
          <w:b w:val="0"/>
          <w:kern w:val="2"/>
          <w:sz w:val="32"/>
          <w:szCs w:val="32"/>
          <w:lang w:val="en-US" w:eastAsia="zh-CN" w:bidi="ar-SA"/>
        </w:rPr>
        <w:t>0.00</w:t>
      </w:r>
      <w:r>
        <w:rPr>
          <w:rFonts w:hint="eastAsia" w:ascii="仿宋_GB2312" w:hAnsi="仿宋_GB2312" w:eastAsia="仿宋_GB2312" w:cs="仿宋_GB2312"/>
          <w:b w:val="0"/>
          <w:kern w:val="2"/>
          <w:sz w:val="32"/>
          <w:szCs w:val="32"/>
          <w:lang w:val="zh-CN" w:eastAsia="zh-CN" w:bidi="ar-SA"/>
        </w:rPr>
        <w:t>万元。</w:t>
      </w:r>
    </w:p>
    <w:p w14:paraId="7D14618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kern w:val="2"/>
          <w:sz w:val="32"/>
          <w:szCs w:val="32"/>
          <w:lang w:val="zh-CN" w:eastAsia="zh-CN" w:bidi="ar-SA"/>
        </w:rPr>
        <w:t>（三）结余分配和结转结余</w:t>
      </w:r>
      <w:r>
        <w:rPr>
          <w:rFonts w:hint="eastAsia" w:ascii="仿宋_GB2312" w:hAnsi="仿宋_GB2312" w:eastAsia="仿宋_GB2312" w:cs="仿宋_GB2312"/>
          <w:b/>
          <w:bCs/>
          <w:color w:val="auto"/>
          <w:kern w:val="0"/>
          <w:sz w:val="32"/>
          <w:szCs w:val="32"/>
          <w:shd w:val="clear" w:color="auto" w:fill="FFFFFF"/>
          <w:lang w:val="zh-CN"/>
        </w:rPr>
        <w:t>情况。</w:t>
      </w:r>
    </w:p>
    <w:p w14:paraId="67E6AE7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茂县科学技术协202</w:t>
      </w:r>
      <w:r>
        <w:rPr>
          <w:rFonts w:hint="eastAsia" w:ascii="仿宋_GB2312" w:hAnsi="仿宋_GB2312" w:eastAsia="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年决算报表结转结余</w:t>
      </w:r>
      <w:r>
        <w:rPr>
          <w:rFonts w:hint="eastAsia" w:ascii="仿宋_GB2312" w:hAnsi="仿宋_GB2312" w:eastAsia="仿宋_GB2312" w:cs="仿宋_GB2312"/>
          <w:b w:val="0"/>
          <w:kern w:val="2"/>
          <w:sz w:val="32"/>
          <w:szCs w:val="32"/>
          <w:lang w:val="en-US" w:eastAsia="zh-CN" w:bidi="ar-SA"/>
        </w:rPr>
        <w:t>0万元</w:t>
      </w:r>
      <w:r>
        <w:rPr>
          <w:rFonts w:hint="eastAsia" w:ascii="仿宋_GB2312" w:hAnsi="仿宋_GB2312" w:eastAsia="仿宋_GB2312" w:cs="仿宋_GB2312"/>
          <w:b w:val="0"/>
          <w:kern w:val="2"/>
          <w:sz w:val="32"/>
          <w:szCs w:val="32"/>
          <w:lang w:val="zh-CN" w:eastAsia="zh-CN" w:bidi="ar-SA"/>
        </w:rPr>
        <w:t>。</w:t>
      </w:r>
    </w:p>
    <w:p w14:paraId="2D64708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三、部门预算绩效分析</w:t>
      </w:r>
    </w:p>
    <w:p w14:paraId="4C7A7AE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（一）部门预算总体绩效分析</w:t>
      </w:r>
    </w:p>
    <w:p w14:paraId="2388C59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zh-CN" w:eastAsia="zh-CN"/>
        </w:rPr>
        <w:t>1.履职效能</w:t>
      </w:r>
    </w:p>
    <w:p w14:paraId="5B7DEF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茂县科学技术协会围绕中心、服务大局，不断提升“四服务”效能，团结引领科技工作者坚持“四个面向”，扎实推动全民科学素质稳步提升，科学素质提升行动扎实推进、全域科普服务成效显著、青少年科技教育亮点纷呈、科普基础建设逐步完善。通过对比实际完成情况与预设目标，整体目标完成率达到100%。</w:t>
      </w:r>
    </w:p>
    <w:p w14:paraId="34BB4F4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2.</w:t>
      </w:r>
      <w:r>
        <w:rPr>
          <w:rFonts w:hint="eastAsia" w:ascii="仿宋_GB2312" w:hAnsi="仿宋_GB2312" w:eastAsia="仿宋_GB2312" w:cs="仿宋_GB2312"/>
          <w:b/>
          <w:bCs/>
          <w:color w:val="auto"/>
          <w:kern w:val="0"/>
          <w:sz w:val="32"/>
          <w:szCs w:val="32"/>
          <w:shd w:val="clear" w:color="auto" w:fill="FFFFFF"/>
          <w:lang w:val="zh-CN" w:eastAsia="zh-CN"/>
        </w:rPr>
        <w:t>预算管理</w:t>
      </w:r>
    </w:p>
    <w:p w14:paraId="14A40E6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p>
    <w:p w14:paraId="54553D8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3.</w:t>
      </w:r>
      <w:r>
        <w:rPr>
          <w:rFonts w:hint="eastAsia" w:ascii="仿宋_GB2312" w:hAnsi="仿宋_GB2312" w:eastAsia="仿宋_GB2312" w:cs="仿宋_GB2312"/>
          <w:b/>
          <w:bCs/>
          <w:color w:val="auto"/>
          <w:kern w:val="0"/>
          <w:sz w:val="32"/>
          <w:szCs w:val="32"/>
          <w:shd w:val="clear" w:color="auto" w:fill="FFFFFF"/>
          <w:lang w:val="zh-CN" w:eastAsia="zh-CN"/>
        </w:rPr>
        <w:t>财务管理</w:t>
      </w:r>
    </w:p>
    <w:p w14:paraId="2AA066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255845F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4.</w:t>
      </w:r>
      <w:r>
        <w:rPr>
          <w:rFonts w:hint="eastAsia" w:ascii="仿宋_GB2312" w:hAnsi="仿宋_GB2312" w:eastAsia="仿宋_GB2312" w:cs="仿宋_GB2312"/>
          <w:b/>
          <w:bCs/>
          <w:color w:val="auto"/>
          <w:kern w:val="0"/>
          <w:sz w:val="32"/>
          <w:szCs w:val="32"/>
          <w:shd w:val="clear" w:color="auto" w:fill="FFFFFF"/>
          <w:lang w:val="zh-CN" w:eastAsia="zh-CN"/>
        </w:rPr>
        <w:t>资产管理</w:t>
      </w:r>
    </w:p>
    <w:p w14:paraId="7FE816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围绕资产变化率、资产利用率和资产盘活率进行了绩效分析。这些指标直接关联到资产的运营效率和价值实现。通过绩效分析，及时了解资产的使用情况和价值变化，从而采取相应措施提高资产利用率和盘活率。</w:t>
      </w:r>
    </w:p>
    <w:p w14:paraId="2A04F48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5.</w:t>
      </w:r>
      <w:r>
        <w:rPr>
          <w:rFonts w:hint="eastAsia" w:ascii="仿宋_GB2312" w:hAnsi="仿宋_GB2312" w:eastAsia="仿宋_GB2312" w:cs="仿宋_GB2312"/>
          <w:b/>
          <w:bCs/>
          <w:color w:val="auto"/>
          <w:kern w:val="0"/>
          <w:sz w:val="32"/>
          <w:szCs w:val="32"/>
          <w:shd w:val="clear" w:color="auto" w:fill="FFFFFF"/>
          <w:lang w:val="zh-CN" w:eastAsia="zh-CN"/>
        </w:rPr>
        <w:t>采购管理</w:t>
      </w:r>
    </w:p>
    <w:p w14:paraId="26304AC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单位内部控制严格按照《政府采购内控管理制度》遵守执行。并</w:t>
      </w:r>
      <w:r>
        <w:rPr>
          <w:rFonts w:hint="eastAsia" w:ascii="Times New Roman" w:hAnsi="Times New Roman" w:eastAsia="仿宋_GB2312" w:cs="Times New Roman"/>
          <w:b w:val="0"/>
          <w:kern w:val="2"/>
          <w:sz w:val="32"/>
          <w:szCs w:val="32"/>
          <w:lang w:val="zh-CN" w:eastAsia="zh-CN" w:bidi="ar-SA"/>
        </w:rPr>
        <w:t>加强采购预算编制、采购活动组织、政策功能落实等内容的审核，强化采购监督管理水平，确保采购活动的透明度和效率。</w:t>
      </w:r>
    </w:p>
    <w:p w14:paraId="13A6D9A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cs="仿宋_GB2312"/>
          <w:b/>
          <w:bCs/>
          <w:color w:val="auto"/>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（二）部门预算项目绩效分析</w:t>
      </w:r>
    </w:p>
    <w:p w14:paraId="1B6BEB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常年项目绩效分析。</w:t>
      </w:r>
      <w:r>
        <w:rPr>
          <w:rFonts w:hint="eastAsia" w:ascii="仿宋_GB2312" w:hAnsi="仿宋_GB2312" w:eastAsia="仿宋_GB2312" w:cs="仿宋_GB2312"/>
          <w:b w:val="0"/>
          <w:kern w:val="2"/>
          <w:sz w:val="32"/>
          <w:szCs w:val="32"/>
          <w:lang w:val="zh-CN" w:eastAsia="zh-CN" w:bidi="ar-SA"/>
        </w:rPr>
        <w:t>该类项目总数</w:t>
      </w:r>
      <w:r>
        <w:rPr>
          <w:rFonts w:hint="eastAsia" w:ascii="仿宋_GB2312" w:hAnsi="仿宋_GB2312" w:eastAsia="仿宋_GB2312" w:cs="仿宋_GB2312"/>
          <w:b w:val="0"/>
          <w:kern w:val="2"/>
          <w:sz w:val="32"/>
          <w:szCs w:val="32"/>
          <w:lang w:val="en-US" w:eastAsia="zh-CN" w:bidi="ar-SA"/>
        </w:rPr>
        <w:t>0</w:t>
      </w:r>
      <w:r>
        <w:rPr>
          <w:rFonts w:hint="eastAsia" w:ascii="仿宋_GB2312" w:hAnsi="仿宋_GB2312" w:eastAsia="仿宋_GB2312" w:cs="仿宋_GB2312"/>
          <w:b w:val="0"/>
          <w:kern w:val="2"/>
          <w:sz w:val="32"/>
          <w:szCs w:val="32"/>
          <w:lang w:val="zh-CN" w:eastAsia="zh-CN" w:bidi="ar-SA"/>
        </w:rPr>
        <w:t>个，涉及预算总金额</w:t>
      </w:r>
      <w:r>
        <w:rPr>
          <w:rFonts w:hint="eastAsia" w:ascii="仿宋_GB2312" w:hAnsi="仿宋_GB2312" w:eastAsia="仿宋_GB2312" w:cs="仿宋_GB2312"/>
          <w:b w:val="0"/>
          <w:kern w:val="2"/>
          <w:sz w:val="32"/>
          <w:szCs w:val="32"/>
          <w:lang w:val="en-US" w:eastAsia="zh-CN" w:bidi="ar-SA"/>
        </w:rPr>
        <w:t>0.00</w:t>
      </w:r>
      <w:r>
        <w:rPr>
          <w:rFonts w:hint="eastAsia" w:ascii="仿宋_GB2312" w:hAnsi="仿宋_GB2312" w:eastAsia="仿宋_GB2312" w:cs="仿宋_GB2312"/>
          <w:b w:val="0"/>
          <w:kern w:val="2"/>
          <w:sz w:val="32"/>
          <w:szCs w:val="32"/>
          <w:lang w:val="zh-CN" w:eastAsia="zh-CN" w:bidi="ar-SA"/>
        </w:rPr>
        <w:t>万元，</w:t>
      </w:r>
      <w:r>
        <w:rPr>
          <w:rFonts w:hint="eastAsia" w:ascii="仿宋_GB2312" w:hAnsi="仿宋_GB2312" w:eastAsia="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zh-CN" w:eastAsia="zh-CN" w:bidi="ar-SA"/>
        </w:rPr>
        <w:t>其中：预算结余率大于</w:t>
      </w:r>
      <w:r>
        <w:rPr>
          <w:rFonts w:hint="eastAsia" w:ascii="仿宋_GB2312" w:hAnsi="仿宋_GB2312" w:eastAsia="仿宋_GB2312" w:cs="仿宋_GB2312"/>
          <w:b w:val="0"/>
          <w:kern w:val="2"/>
          <w:sz w:val="32"/>
          <w:szCs w:val="32"/>
          <w:lang w:val="en-US" w:eastAsia="zh-CN" w:bidi="ar-SA"/>
        </w:rPr>
        <w:t>10%</w:t>
      </w:r>
      <w:r>
        <w:rPr>
          <w:rFonts w:hint="eastAsia" w:ascii="仿宋_GB2312" w:hAnsi="仿宋_GB2312" w:eastAsia="仿宋_GB2312" w:cs="仿宋_GB2312"/>
          <w:b w:val="0"/>
          <w:kern w:val="2"/>
          <w:sz w:val="32"/>
          <w:szCs w:val="32"/>
          <w:lang w:val="zh-CN" w:eastAsia="zh-CN" w:bidi="ar-SA"/>
        </w:rPr>
        <w:t>的项目共计</w:t>
      </w:r>
      <w:r>
        <w:rPr>
          <w:rFonts w:hint="eastAsia" w:ascii="仿宋_GB2312" w:hAnsi="仿宋_GB2312" w:eastAsia="仿宋_GB2312" w:cs="仿宋_GB2312"/>
          <w:b w:val="0"/>
          <w:kern w:val="2"/>
          <w:sz w:val="32"/>
          <w:szCs w:val="32"/>
          <w:lang w:val="en-US" w:eastAsia="zh-CN" w:bidi="ar-SA"/>
        </w:rPr>
        <w:t>0</w:t>
      </w:r>
      <w:r>
        <w:rPr>
          <w:rFonts w:hint="eastAsia" w:ascii="仿宋_GB2312" w:hAnsi="仿宋_GB2312" w:eastAsia="仿宋_GB2312" w:cs="仿宋_GB2312"/>
          <w:b w:val="0"/>
          <w:kern w:val="2"/>
          <w:sz w:val="32"/>
          <w:szCs w:val="32"/>
          <w:lang w:val="zh-CN" w:eastAsia="zh-CN" w:bidi="ar-SA"/>
        </w:rPr>
        <w:t>个。</w:t>
      </w:r>
    </w:p>
    <w:p w14:paraId="128254A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阶段（一次性）项目绩效分析。</w:t>
      </w:r>
      <w:r>
        <w:rPr>
          <w:rFonts w:hint="eastAsia" w:ascii="仿宋_GB2312" w:hAnsi="仿宋_GB2312" w:eastAsia="仿宋_GB2312" w:cs="仿宋_GB2312"/>
          <w:b w:val="0"/>
          <w:kern w:val="2"/>
          <w:sz w:val="32"/>
          <w:szCs w:val="32"/>
          <w:lang w:val="zh-CN" w:eastAsia="zh-CN" w:bidi="ar-SA"/>
        </w:rPr>
        <w:t>该类项目总数</w:t>
      </w:r>
      <w:r>
        <w:rPr>
          <w:rFonts w:hint="eastAsia" w:ascii="仿宋_GB2312" w:hAnsi="仿宋_GB2312" w:eastAsia="仿宋_GB2312" w:cs="仿宋_GB2312"/>
          <w:b w:val="0"/>
          <w:kern w:val="2"/>
          <w:sz w:val="32"/>
          <w:szCs w:val="32"/>
          <w:lang w:val="en-US" w:eastAsia="zh-CN" w:bidi="ar-SA"/>
        </w:rPr>
        <w:t>1</w:t>
      </w:r>
      <w:r>
        <w:rPr>
          <w:rFonts w:hint="eastAsia" w:ascii="仿宋_GB2312" w:hAnsi="仿宋_GB2312" w:eastAsia="仿宋_GB2312" w:cs="仿宋_GB2312"/>
          <w:b w:val="0"/>
          <w:kern w:val="2"/>
          <w:sz w:val="32"/>
          <w:szCs w:val="32"/>
          <w:lang w:val="zh-CN" w:eastAsia="zh-CN" w:bidi="ar-SA"/>
        </w:rPr>
        <w:t>个，涉及预算总金额</w:t>
      </w:r>
      <w:r>
        <w:rPr>
          <w:rFonts w:hint="eastAsia" w:ascii="仿宋_GB2312" w:hAnsi="仿宋_GB2312" w:eastAsia="仿宋_GB2312" w:cs="仿宋_GB2312"/>
          <w:b w:val="0"/>
          <w:kern w:val="2"/>
          <w:sz w:val="32"/>
          <w:szCs w:val="32"/>
          <w:lang w:val="en-US" w:eastAsia="zh-CN" w:bidi="ar-SA"/>
        </w:rPr>
        <w:t>25.00</w:t>
      </w:r>
      <w:r>
        <w:rPr>
          <w:rFonts w:hint="eastAsia" w:ascii="仿宋_GB2312" w:hAnsi="仿宋_GB2312" w:eastAsia="仿宋_GB2312" w:cs="仿宋_GB2312"/>
          <w:b w:val="0"/>
          <w:kern w:val="2"/>
          <w:sz w:val="32"/>
          <w:szCs w:val="32"/>
          <w:lang w:val="zh-CN" w:eastAsia="zh-CN" w:bidi="ar-SA"/>
        </w:rPr>
        <w:t>万元，1—1</w:t>
      </w:r>
      <w:r>
        <w:rPr>
          <w:rFonts w:hint="eastAsia" w:ascii="仿宋_GB2312" w:hAnsi="仿宋_GB2312" w:eastAsia="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月预算执行总体进度为</w:t>
      </w:r>
      <w:r>
        <w:rPr>
          <w:rFonts w:hint="eastAsia" w:ascii="仿宋_GB2312" w:hAnsi="仿宋_GB2312" w:eastAsia="仿宋_GB2312" w:cs="仿宋_GB2312"/>
          <w:b w:val="0"/>
          <w:kern w:val="2"/>
          <w:sz w:val="32"/>
          <w:szCs w:val="32"/>
          <w:lang w:val="en-US" w:eastAsia="zh-CN" w:bidi="ar-SA"/>
        </w:rPr>
        <w:t>100</w:t>
      </w:r>
      <w:r>
        <w:rPr>
          <w:rFonts w:hint="eastAsia" w:ascii="仿宋_GB2312" w:hAnsi="仿宋_GB2312" w:eastAsia="仿宋_GB2312" w:cs="仿宋_GB2312"/>
          <w:b w:val="0"/>
          <w:kern w:val="2"/>
          <w:sz w:val="32"/>
          <w:szCs w:val="32"/>
          <w:lang w:val="zh-CN" w:eastAsia="zh-CN" w:bidi="ar-SA"/>
        </w:rPr>
        <w:t>%，其中：预算结余率大于</w:t>
      </w:r>
      <w:r>
        <w:rPr>
          <w:rFonts w:hint="eastAsia" w:ascii="仿宋_GB2312" w:hAnsi="仿宋_GB2312" w:eastAsia="仿宋_GB2312" w:cs="仿宋_GB2312"/>
          <w:b w:val="0"/>
          <w:kern w:val="2"/>
          <w:sz w:val="32"/>
          <w:szCs w:val="32"/>
          <w:lang w:val="en-US" w:eastAsia="zh-CN" w:bidi="ar-SA"/>
        </w:rPr>
        <w:t>10%</w:t>
      </w:r>
      <w:r>
        <w:rPr>
          <w:rFonts w:hint="eastAsia" w:ascii="仿宋_GB2312" w:hAnsi="仿宋_GB2312" w:eastAsia="仿宋_GB2312" w:cs="仿宋_GB2312"/>
          <w:b w:val="0"/>
          <w:kern w:val="2"/>
          <w:sz w:val="32"/>
          <w:szCs w:val="32"/>
          <w:lang w:val="zh-CN" w:eastAsia="zh-CN" w:bidi="ar-SA"/>
        </w:rPr>
        <w:t>的项目共计</w:t>
      </w:r>
      <w:r>
        <w:rPr>
          <w:rFonts w:hint="eastAsia" w:ascii="仿宋_GB2312" w:hAnsi="仿宋_GB2312" w:eastAsia="仿宋_GB2312" w:cs="仿宋_GB2312"/>
          <w:b w:val="0"/>
          <w:kern w:val="2"/>
          <w:sz w:val="32"/>
          <w:szCs w:val="32"/>
          <w:lang w:val="en-US" w:eastAsia="zh-CN" w:bidi="ar-SA"/>
        </w:rPr>
        <w:t>0</w:t>
      </w:r>
      <w:r>
        <w:rPr>
          <w:rFonts w:hint="eastAsia" w:ascii="仿宋_GB2312" w:hAnsi="仿宋_GB2312" w:eastAsia="仿宋_GB2312" w:cs="仿宋_GB2312"/>
          <w:b w:val="0"/>
          <w:kern w:val="2"/>
          <w:sz w:val="32"/>
          <w:szCs w:val="32"/>
          <w:lang w:val="zh-CN" w:eastAsia="zh-CN" w:bidi="ar-SA"/>
        </w:rPr>
        <w:t>个。</w:t>
      </w:r>
    </w:p>
    <w:p w14:paraId="524E324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1.</w:t>
      </w:r>
      <w:r>
        <w:rPr>
          <w:rFonts w:hint="eastAsia" w:ascii="仿宋_GB2312" w:hAnsi="仿宋_GB2312" w:eastAsia="仿宋_GB2312" w:cs="仿宋_GB2312"/>
          <w:b/>
          <w:bCs/>
          <w:color w:val="auto"/>
          <w:kern w:val="0"/>
          <w:sz w:val="32"/>
          <w:szCs w:val="32"/>
          <w:shd w:val="clear" w:color="auto" w:fill="FFFFFF"/>
          <w:lang w:val="zh-CN" w:eastAsia="zh-CN"/>
        </w:rPr>
        <w:t>项目决策</w:t>
      </w:r>
    </w:p>
    <w:p w14:paraId="008E4F3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eastAsia="仿宋_GB2312" w:cs="Times New Roman"/>
          <w:b w:val="0"/>
          <w:kern w:val="2"/>
          <w:sz w:val="32"/>
          <w:szCs w:val="32"/>
          <w:lang w:val="en-US" w:eastAsia="zh-CN" w:bidi="ar-SA"/>
        </w:rPr>
        <w:t>按照</w:t>
      </w:r>
      <w:r>
        <w:rPr>
          <w:rFonts w:hint="eastAsia" w:ascii="Times New Roman" w:hAnsi="Times New Roman" w:eastAsia="仿宋_GB2312" w:cs="Times New Roman"/>
          <w:b w:val="0"/>
          <w:kern w:val="2"/>
          <w:sz w:val="32"/>
          <w:szCs w:val="32"/>
          <w:lang w:val="en-US" w:eastAsia="zh-CN" w:bidi="ar-SA"/>
        </w:rPr>
        <w:t>省科协和财政厅发布</w:t>
      </w:r>
      <w:r>
        <w:rPr>
          <w:rFonts w:hint="eastAsia" w:eastAsia="仿宋_GB2312" w:cs="Times New Roman"/>
          <w:b w:val="0"/>
          <w:kern w:val="2"/>
          <w:sz w:val="32"/>
          <w:szCs w:val="32"/>
          <w:lang w:val="en-US" w:eastAsia="zh-CN" w:bidi="ar-SA"/>
        </w:rPr>
        <w:t>的</w:t>
      </w:r>
      <w:r>
        <w:rPr>
          <w:rFonts w:hint="eastAsia" w:ascii="Times New Roman" w:hAnsi="Times New Roman" w:eastAsia="仿宋_GB2312" w:cs="Times New Roman"/>
          <w:b w:val="0"/>
          <w:kern w:val="2"/>
          <w:sz w:val="32"/>
          <w:szCs w:val="32"/>
          <w:lang w:val="en-US" w:eastAsia="zh-CN" w:bidi="ar-SA"/>
        </w:rPr>
        <w:t>项目指南</w:t>
      </w:r>
      <w:r>
        <w:rPr>
          <w:rFonts w:hint="eastAsia" w:eastAsia="仿宋_GB2312" w:cs="Times New Roman"/>
          <w:b w:val="0"/>
          <w:kern w:val="2"/>
          <w:sz w:val="32"/>
          <w:szCs w:val="32"/>
          <w:lang w:val="en-US" w:eastAsia="zh-CN" w:bidi="ar-SA"/>
        </w:rPr>
        <w:t>，经</w:t>
      </w:r>
      <w:r>
        <w:rPr>
          <w:rFonts w:hint="eastAsia" w:ascii="Times New Roman" w:hAnsi="Times New Roman" w:eastAsia="仿宋_GB2312" w:cs="Times New Roman"/>
          <w:b w:val="0"/>
          <w:kern w:val="2"/>
          <w:sz w:val="32"/>
          <w:szCs w:val="32"/>
          <w:lang w:val="en-US" w:eastAsia="zh-CN" w:bidi="ar-SA"/>
        </w:rPr>
        <w:t>项目申报、组织评审、提出方案、审批备案等程序确定。制定项目验收实施细则，组织开展验收工作，专项资金按照“谁使用、谁负责”的原则。</w:t>
      </w:r>
    </w:p>
    <w:p w14:paraId="6024856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2.项目执行</w:t>
      </w:r>
    </w:p>
    <w:p w14:paraId="488F20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（1）2024年度科普工作经费3.00万元已全部到位，资金到位率100%。实际支出3.00万元，预算执行率100%，主要用于科普资料购置、流动科技馆展览费等。</w:t>
      </w:r>
    </w:p>
    <w:p w14:paraId="64C6AB7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w:t>
      </w:r>
      <w:r>
        <w:rPr>
          <w:rFonts w:hint="eastAsia" w:ascii="仿宋_GB2312" w:hAnsi="仿宋_GB2312" w:eastAsia="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）根据下达我县一般公共预算项目支出经费17</w:t>
      </w:r>
      <w:r>
        <w:rPr>
          <w:rFonts w:hint="eastAsia" w:ascii="仿宋_GB2312" w:hAnsi="仿宋_GB2312" w:eastAsia="仿宋_GB2312" w:cs="仿宋_GB2312"/>
          <w:b w:val="0"/>
          <w:kern w:val="2"/>
          <w:sz w:val="32"/>
          <w:szCs w:val="32"/>
          <w:lang w:val="en-US" w:eastAsia="zh-CN" w:bidi="ar-SA"/>
        </w:rPr>
        <w:t>.00</w:t>
      </w:r>
      <w:r>
        <w:rPr>
          <w:rFonts w:hint="eastAsia" w:ascii="仿宋_GB2312" w:hAnsi="仿宋_GB2312" w:eastAsia="仿宋_GB2312" w:cs="仿宋_GB2312"/>
          <w:b w:val="0"/>
          <w:kern w:val="2"/>
          <w:sz w:val="32"/>
          <w:szCs w:val="32"/>
          <w:lang w:val="zh-CN" w:eastAsia="zh-CN" w:bidi="ar-SA"/>
        </w:rPr>
        <w:t>万元，其中“天府科技云”运维经费17</w:t>
      </w:r>
      <w:r>
        <w:rPr>
          <w:rFonts w:hint="eastAsia" w:ascii="仿宋_GB2312" w:hAnsi="仿宋_GB2312" w:eastAsia="仿宋_GB2312" w:cs="仿宋_GB2312"/>
          <w:b w:val="0"/>
          <w:kern w:val="2"/>
          <w:sz w:val="32"/>
          <w:szCs w:val="32"/>
          <w:lang w:val="en-US" w:eastAsia="zh-CN" w:bidi="ar-SA"/>
        </w:rPr>
        <w:t>.00</w:t>
      </w:r>
      <w:r>
        <w:rPr>
          <w:rFonts w:hint="eastAsia" w:ascii="仿宋_GB2312" w:hAnsi="仿宋_GB2312" w:eastAsia="仿宋_GB2312" w:cs="仿宋_GB2312"/>
          <w:b w:val="0"/>
          <w:kern w:val="2"/>
          <w:sz w:val="32"/>
          <w:szCs w:val="32"/>
          <w:lang w:val="zh-CN" w:eastAsia="zh-CN" w:bidi="ar-SA"/>
        </w:rPr>
        <w:t>万元，</w:t>
      </w:r>
      <w:r>
        <w:rPr>
          <w:rFonts w:hint="eastAsia" w:ascii="仿宋_GB2312" w:hAnsi="仿宋_GB2312" w:eastAsia="仿宋_GB2312" w:cs="仿宋_GB2312"/>
          <w:b w:val="0"/>
          <w:kern w:val="2"/>
          <w:sz w:val="32"/>
          <w:szCs w:val="32"/>
          <w:lang w:val="en-US" w:eastAsia="zh-CN" w:bidi="ar-SA"/>
        </w:rPr>
        <w:t>预算执行率100%</w:t>
      </w:r>
      <w:r>
        <w:rPr>
          <w:rFonts w:hint="eastAsia" w:ascii="仿宋_GB2312" w:hAnsi="仿宋_GB2312" w:eastAsia="仿宋_GB2312" w:cs="仿宋_GB2312"/>
          <w:b w:val="0"/>
          <w:kern w:val="2"/>
          <w:sz w:val="32"/>
          <w:szCs w:val="32"/>
          <w:lang w:val="zh-CN" w:eastAsia="zh-CN" w:bidi="ar-SA"/>
        </w:rPr>
        <w:t>。主要用于市“天府科技云”服务中心运行维护、购买服务、执行预算、信息系统完善升级、推广使用、操作培训、注册、需求发布、科普浏览、交易及工作室建设、案例建设等方面。经费支出均通过“三重一大”会议集体研究决定，并严格按照项目管理要求全程监督、指导、验收。项目资金拨付严格执行相关财务管理规定，账务处理及时，会计核算规范。</w:t>
      </w:r>
    </w:p>
    <w:p w14:paraId="55D1D92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en-US" w:eastAsia="zh-CN"/>
        </w:rPr>
        <w:t>3.</w:t>
      </w:r>
      <w:r>
        <w:rPr>
          <w:rFonts w:hint="eastAsia" w:ascii="仿宋_GB2312" w:hAnsi="仿宋_GB2312" w:eastAsia="仿宋_GB2312" w:cs="仿宋_GB2312"/>
          <w:b/>
          <w:bCs/>
          <w:color w:val="auto"/>
          <w:kern w:val="0"/>
          <w:sz w:val="32"/>
          <w:szCs w:val="32"/>
          <w:shd w:val="clear" w:color="auto" w:fill="FFFFFF"/>
          <w:lang w:val="zh-CN" w:eastAsia="zh-CN"/>
        </w:rPr>
        <w:t>目标实现</w:t>
      </w:r>
    </w:p>
    <w:p w14:paraId="18A442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按照项目备案书执行进度的要求，通过收集项目数据、进度报告，对比分析实际完成情况与计划目标的差距。这一过程有助于及时发现潜在问题，为采取必要的调整措施提供依据。当发现实际完成情况与计划目标存在偏差时，进行深入的目标偏离分析。</w:t>
      </w:r>
    </w:p>
    <w:p w14:paraId="67FC1C1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（三）重点领域绩效分析</w:t>
      </w:r>
    </w:p>
    <w:p w14:paraId="016D32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无。</w:t>
      </w:r>
    </w:p>
    <w:p w14:paraId="7760BD2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（四）绩效结果应用情况</w:t>
      </w:r>
    </w:p>
    <w:p w14:paraId="10DEB0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1、将绩效自评结果作为改进预算管理和安排以后年度预算的重要依据。在今后编制预算时，不断完善绩效评价指标，及时调整和优化预算支出的方向和结构，合理配置资源。加强资金使用的监管和跟踪，完善内部控制制度，明确责任，提高财政资金使用效益和部门工作效率。</w:t>
      </w:r>
    </w:p>
    <w:p w14:paraId="1FC64E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2、根据要求做到预算绩效公开，监督合理安排使用财政资金。</w:t>
      </w:r>
    </w:p>
    <w:p w14:paraId="0E570FD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四、评价结论及建议</w:t>
      </w:r>
    </w:p>
    <w:p w14:paraId="083A2EC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14:paraId="7840B2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zh-CN" w:eastAsia="zh-CN" w:bidi="ar-SA"/>
        </w:rPr>
        <w:t>202</w:t>
      </w:r>
      <w:r>
        <w:rPr>
          <w:rFonts w:hint="eastAsia" w:ascii="仿宋_GB2312" w:hAnsi="仿宋_GB2312" w:eastAsia="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年我单位积极履职，强化管理，较好地完成了年度工作目标。通过加强预算收支管理，不断建立健全内部管理制度，梳理内部管理流程，部门整体支出管理水平得到提升，根据部门整体支出绩效评价指标体系，我单位年度得分</w:t>
      </w:r>
      <w:r>
        <w:rPr>
          <w:rFonts w:hint="eastAsia" w:ascii="仿宋_GB2312" w:hAnsi="仿宋_GB2312" w:eastAsia="仿宋_GB2312" w:cs="仿宋_GB2312"/>
          <w:b w:val="0"/>
          <w:kern w:val="2"/>
          <w:sz w:val="32"/>
          <w:szCs w:val="32"/>
          <w:lang w:val="en-US" w:eastAsia="zh-CN" w:bidi="ar-SA"/>
        </w:rPr>
        <w:t>88</w:t>
      </w:r>
      <w:r>
        <w:rPr>
          <w:rFonts w:hint="eastAsia" w:ascii="仿宋_GB2312" w:hAnsi="仿宋_GB2312" w:eastAsia="仿宋_GB2312" w:cs="仿宋_GB2312"/>
          <w:b w:val="0"/>
          <w:kern w:val="2"/>
          <w:sz w:val="32"/>
          <w:szCs w:val="32"/>
          <w:lang w:val="zh-CN" w:eastAsia="zh-CN" w:bidi="ar-SA"/>
        </w:rPr>
        <w:t>分。整体绩效自评良好，绩效管理水平再不断提高。</w:t>
      </w:r>
    </w:p>
    <w:p w14:paraId="607AE78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en-US" w:eastAsia="zh-CN"/>
        </w:rPr>
      </w:pPr>
      <w:r>
        <w:rPr>
          <w:rFonts w:hint="eastAsia" w:ascii="Times New Roman" w:hAnsi="Times New Roman" w:eastAsia="楷体_GB2312" w:cs="Times New Roman"/>
          <w:b/>
          <w:bCs/>
          <w:color w:val="000000"/>
          <w:kern w:val="0"/>
          <w:sz w:val="32"/>
          <w:szCs w:val="32"/>
          <w:shd w:val="clear" w:color="auto" w:fill="FFFFFF"/>
          <w:lang w:val="zh-CN"/>
        </w:rPr>
        <w:t>（二）存在问题</w:t>
      </w:r>
    </w:p>
    <w:p w14:paraId="1D73E4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1.</w:t>
      </w:r>
      <w:r>
        <w:rPr>
          <w:rFonts w:hint="eastAsia" w:ascii="仿宋_GB2312" w:hAnsi="仿宋_GB2312" w:eastAsia="仿宋_GB2312" w:cs="仿宋_GB2312"/>
          <w:b w:val="0"/>
          <w:kern w:val="2"/>
          <w:sz w:val="32"/>
          <w:szCs w:val="32"/>
          <w:lang w:val="zh-CN" w:eastAsia="zh-CN" w:bidi="ar-SA"/>
        </w:rPr>
        <w:t>预算绩效目标设置不够合理</w:t>
      </w:r>
    </w:p>
    <w:p w14:paraId="5ED15A2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（1）</w:t>
      </w:r>
      <w:r>
        <w:rPr>
          <w:rFonts w:hint="eastAsia" w:ascii="仿宋_GB2312" w:hAnsi="仿宋_GB2312" w:eastAsia="仿宋_GB2312" w:cs="仿宋_GB2312"/>
          <w:b w:val="0"/>
          <w:kern w:val="2"/>
          <w:sz w:val="32"/>
          <w:szCs w:val="32"/>
          <w:lang w:val="zh-CN" w:eastAsia="zh-CN" w:bidi="ar-SA"/>
        </w:rPr>
        <w:t>绩效指标设置不完整。</w:t>
      </w:r>
    </w:p>
    <w:p w14:paraId="2A545E3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部分绩效目标与年度工作、绩效指标不匹配。</w:t>
      </w:r>
    </w:p>
    <w:p w14:paraId="70BE601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预算编制规范性不足，资金细化率不高</w:t>
      </w:r>
    </w:p>
    <w:p w14:paraId="0702A1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3.</w:t>
      </w:r>
      <w:r>
        <w:rPr>
          <w:rFonts w:hint="eastAsia" w:ascii="仿宋_GB2312" w:hAnsi="仿宋_GB2312" w:eastAsia="仿宋_GB2312" w:cs="仿宋_GB2312"/>
          <w:b w:val="0"/>
          <w:kern w:val="2"/>
          <w:sz w:val="32"/>
          <w:szCs w:val="32"/>
          <w:lang w:val="zh-CN" w:eastAsia="zh-CN" w:bidi="ar-SA"/>
        </w:rPr>
        <w:t>资产管理制度落实不到位</w:t>
      </w:r>
    </w:p>
    <w:p w14:paraId="558312F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（三）改进建议</w:t>
      </w:r>
      <w:bookmarkStart w:id="65" w:name="_Hlk110546638"/>
    </w:p>
    <w:p w14:paraId="578C23C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1.强化绩效评价意识，改进绩效目标管理</w:t>
      </w:r>
    </w:p>
    <w:p w14:paraId="7A1CEB1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2.积极推进预算编制和预算执行的统筹协调</w:t>
      </w:r>
    </w:p>
    <w:p w14:paraId="65977A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3.健全资产管理体系和制度，明确管理主体与职责</w:t>
      </w:r>
    </w:p>
    <w:p w14:paraId="3FED7C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zh-CN" w:eastAsia="zh-CN" w:bidi="ar-SA"/>
        </w:rPr>
      </w:pPr>
    </w:p>
    <w:bookmarkEnd w:id="65"/>
    <w:p w14:paraId="72B5CAE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kern w:val="2"/>
          <w:sz w:val="32"/>
          <w:szCs w:val="32"/>
          <w:lang w:val="en-US" w:eastAsia="zh-CN" w:bidi="ar-SA"/>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b w:val="0"/>
          <w:kern w:val="2"/>
          <w:sz w:val="32"/>
          <w:szCs w:val="32"/>
          <w:lang w:val="en-US" w:eastAsia="zh-CN" w:bidi="ar-SA"/>
        </w:rPr>
        <w:t>附表：部门整体支出绩效目标完成情况自评表</w:t>
      </w:r>
    </w:p>
    <w:p w14:paraId="5CB8ED72">
      <w:pPr>
        <w:spacing w:line="578" w:lineRule="exact"/>
        <w:rPr>
          <w:rFonts w:hint="eastAsia" w:ascii="黑体" w:hAnsi="黑体" w:eastAsia="黑体" w:cs="黑体"/>
          <w:sz w:val="28"/>
          <w:szCs w:val="22"/>
        </w:rPr>
      </w:pPr>
    </w:p>
    <w:tbl>
      <w:tblPr>
        <w:tblStyle w:val="17"/>
        <w:tblW w:w="15566" w:type="dxa"/>
        <w:tblInd w:w="-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220"/>
        <w:gridCol w:w="684"/>
        <w:gridCol w:w="900"/>
        <w:gridCol w:w="1616"/>
        <w:gridCol w:w="2650"/>
        <w:gridCol w:w="2067"/>
        <w:gridCol w:w="325"/>
        <w:gridCol w:w="658"/>
        <w:gridCol w:w="1500"/>
        <w:gridCol w:w="2084"/>
        <w:gridCol w:w="378"/>
        <w:gridCol w:w="638"/>
      </w:tblGrid>
      <w:tr w14:paraId="2FA1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46" w:type="dxa"/>
          <w:wAfter w:w="638" w:type="dxa"/>
          <w:trHeight w:val="904" w:hRule="atLeast"/>
        </w:trPr>
        <w:tc>
          <w:tcPr>
            <w:tcW w:w="14082" w:type="dxa"/>
            <w:gridSpan w:val="11"/>
            <w:tcBorders>
              <w:top w:val="nil"/>
              <w:left w:val="nil"/>
              <w:bottom w:val="nil"/>
              <w:right w:val="nil"/>
            </w:tcBorders>
            <w:shd w:val="clear" w:color="auto" w:fill="auto"/>
            <w:vAlign w:val="center"/>
          </w:tcPr>
          <w:p w14:paraId="69854F1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eastAsia="方正小标宋简体"/>
                <w:color w:val="000000"/>
                <w:kern w:val="0"/>
                <w:sz w:val="40"/>
                <w:szCs w:val="40"/>
                <w:lang w:bidi="ar"/>
              </w:rPr>
              <w:t>部门整体支出绩效目标完成情况自评表</w:t>
            </w:r>
          </w:p>
        </w:tc>
      </w:tr>
      <w:tr w14:paraId="51B7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566" w:type="dxa"/>
            <w:gridSpan w:val="13"/>
            <w:tcBorders>
              <w:top w:val="nil"/>
              <w:left w:val="nil"/>
              <w:bottom w:val="nil"/>
              <w:right w:val="nil"/>
            </w:tcBorders>
            <w:shd w:val="clear" w:color="auto" w:fill="auto"/>
            <w:vAlign w:val="center"/>
          </w:tcPr>
          <w:p w14:paraId="79C814D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（2024年度）</w:t>
            </w:r>
          </w:p>
        </w:tc>
      </w:tr>
      <w:tr w14:paraId="0A2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566" w:type="dxa"/>
            <w:gridSpan w:val="13"/>
            <w:tcBorders>
              <w:top w:val="nil"/>
              <w:left w:val="nil"/>
              <w:bottom w:val="single" w:color="000000" w:sz="4" w:space="0"/>
              <w:right w:val="nil"/>
            </w:tcBorders>
            <w:shd w:val="clear" w:color="auto" w:fill="auto"/>
            <w:vAlign w:val="center"/>
          </w:tcPr>
          <w:p w14:paraId="232EADAA">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金额单位：万元</w:t>
            </w:r>
          </w:p>
        </w:tc>
      </w:tr>
      <w:tr w14:paraId="3080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E467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部门名称</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4B83D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茂县科学技术协会</w:t>
            </w:r>
          </w:p>
        </w:tc>
      </w:tr>
      <w:tr w14:paraId="4A29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316C2">
            <w:pPr>
              <w:keepNext w:val="0"/>
              <w:keepLines w:val="0"/>
              <w:widowControl/>
              <w:suppressLineNumbers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年度部门整体</w:t>
            </w:r>
          </w:p>
          <w:p w14:paraId="71FCE29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支出预算</w:t>
            </w: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BFE6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资金总额</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828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财政拨款</w:t>
            </w:r>
          </w:p>
        </w:tc>
        <w:tc>
          <w:tcPr>
            <w:tcW w:w="5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C643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其他资金</w:t>
            </w:r>
          </w:p>
        </w:tc>
      </w:tr>
      <w:tr w14:paraId="1D38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7C09">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D8EA3">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191.61</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DE10F">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191.61</w:t>
            </w:r>
          </w:p>
        </w:tc>
        <w:tc>
          <w:tcPr>
            <w:tcW w:w="5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33C02">
            <w:pPr>
              <w:jc w:val="right"/>
              <w:rPr>
                <w:rFonts w:hint="eastAsia" w:ascii="宋体" w:hAnsi="宋体" w:eastAsia="宋体" w:cs="宋体"/>
                <w:i w:val="0"/>
                <w:iCs w:val="0"/>
                <w:color w:val="000000"/>
                <w:sz w:val="24"/>
                <w:szCs w:val="24"/>
                <w:u w:val="none"/>
              </w:rPr>
            </w:pPr>
          </w:p>
        </w:tc>
      </w:tr>
      <w:tr w14:paraId="04E1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3BAB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年度总体目标</w:t>
            </w:r>
          </w:p>
        </w:tc>
        <w:tc>
          <w:tcPr>
            <w:tcW w:w="12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1A284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开展学术交流、民间科技交流与合作、普及科学知识、推广先进技术</w:t>
            </w:r>
            <w:r>
              <w:rPr>
                <w:rFonts w:hint="eastAsia" w:ascii="宋体" w:hAnsi="宋体" w:eastAsia="宋体" w:cs="宋体"/>
                <w:i w:val="0"/>
                <w:iCs w:val="0"/>
                <w:color w:val="000000"/>
                <w:kern w:val="0"/>
                <w:sz w:val="24"/>
                <w:szCs w:val="24"/>
                <w:u w:val="none"/>
                <w:lang w:val="en-US" w:eastAsia="zh-CN" w:bidi="ar"/>
              </w:rPr>
              <w:t>。</w:t>
            </w:r>
          </w:p>
        </w:tc>
      </w:tr>
      <w:tr w14:paraId="322B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B923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年度主要任务</w:t>
            </w: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ECE4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任务名称</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23185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主要内容</w:t>
            </w:r>
          </w:p>
        </w:tc>
      </w:tr>
      <w:tr w14:paraId="6E25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9D54">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5612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加强对农技协的指导和服务。</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BD8D2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促进农技协完善机制，壮大规模，增强实力，助力乡村振兴。</w:t>
            </w:r>
          </w:p>
        </w:tc>
      </w:tr>
      <w:tr w14:paraId="644F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8211">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F25E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继续抓好科普宣传、科技培训和科技服务工作。</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768AB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解决群众所需。</w:t>
            </w:r>
          </w:p>
        </w:tc>
      </w:tr>
      <w:tr w14:paraId="7823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5EE4">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7BA5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继续加强“天府科技云”建设推广、积极争取国家、省级基层科普行动项目</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8C559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ascii="宋体" w:hAnsi="宋体" w:eastAsia="宋体" w:cs="宋体"/>
                <w:i w:val="0"/>
                <w:iCs w:val="0"/>
                <w:color w:val="000000"/>
                <w:kern w:val="0"/>
                <w:sz w:val="24"/>
                <w:szCs w:val="24"/>
                <w:u w:val="none"/>
                <w:lang w:val="en-US" w:eastAsia="zh-CN" w:bidi="ar"/>
              </w:rPr>
              <w:t>继续加强“天府科技云”建设推广，切实有效精准发挥科学技术“第一生产力”作用</w:t>
            </w:r>
            <w:r>
              <w:rPr>
                <w:rFonts w:hint="eastAsia" w:ascii="宋体" w:hAnsi="宋体" w:cs="宋体"/>
                <w:i w:val="0"/>
                <w:iCs w:val="0"/>
                <w:color w:val="000000"/>
                <w:kern w:val="0"/>
                <w:sz w:val="24"/>
                <w:szCs w:val="24"/>
                <w:u w:val="none"/>
                <w:lang w:val="en-US" w:eastAsia="zh-CN" w:bidi="ar"/>
              </w:rPr>
              <w:t>。</w:t>
            </w:r>
          </w:p>
        </w:tc>
      </w:tr>
      <w:tr w14:paraId="52AB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F0A9">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F989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继续深入学习宣传贯彻党的二十大精神。</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AD443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将党的二十大精神落实到科协各项工作之中。</w:t>
            </w:r>
          </w:p>
        </w:tc>
      </w:tr>
      <w:tr w14:paraId="4331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51D8">
            <w:pPr>
              <w:jc w:val="center"/>
              <w:rPr>
                <w:rFonts w:hint="eastAsia" w:ascii="宋体" w:hAnsi="宋体" w:eastAsia="宋体" w:cs="宋体"/>
                <w:i w:val="0"/>
                <w:iCs w:val="0"/>
                <w:color w:val="000000"/>
                <w:sz w:val="24"/>
                <w:szCs w:val="24"/>
                <w:u w:val="none"/>
              </w:rPr>
            </w:pP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660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继续开展好“两联一进”，结对帮扶工作。</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B7121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定期定时组织干部职工深入联系户家中开展走访慰问，积极解决包联群众实际困难。</w:t>
            </w:r>
          </w:p>
        </w:tc>
      </w:tr>
      <w:tr w14:paraId="0C56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516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年度绩效指标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010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81C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二级指标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C11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三级指标</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104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绩效指标性质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CD3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绩效指标值</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40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绩效度量单位</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7B7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权重</w:t>
            </w:r>
          </w:p>
        </w:tc>
      </w:tr>
      <w:tr w14:paraId="7BC9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A0306">
            <w:pPr>
              <w:jc w:val="center"/>
              <w:rPr>
                <w:rFonts w:hint="eastAsia" w:ascii="宋体" w:hAnsi="宋体" w:eastAsia="宋体" w:cs="宋体"/>
                <w:i w:val="0"/>
                <w:iCs w:val="0"/>
                <w:color w:val="000000"/>
                <w:sz w:val="24"/>
                <w:szCs w:val="24"/>
                <w:u w:val="none"/>
              </w:rPr>
            </w:pPr>
          </w:p>
        </w:tc>
        <w:tc>
          <w:tcPr>
            <w:tcW w:w="1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E4D8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21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数量指标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A0F9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保证人员支出和单位正常运转支出</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372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64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1916078.93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988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元/年</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C63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r>
      <w:tr w14:paraId="0610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F3FD">
            <w:pPr>
              <w:jc w:val="center"/>
              <w:rPr>
                <w:rFonts w:hint="eastAsia" w:ascii="宋体" w:hAnsi="宋体" w:eastAsia="宋体" w:cs="宋体"/>
                <w:i w:val="0"/>
                <w:iCs w:val="0"/>
                <w:color w:val="000000"/>
                <w:sz w:val="24"/>
                <w:szCs w:val="24"/>
                <w:u w:val="none"/>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D2D1">
            <w:pPr>
              <w:jc w:val="left"/>
              <w:rPr>
                <w:rFonts w:hint="eastAsia" w:ascii="宋体" w:hAnsi="宋体" w:eastAsia="宋体" w:cs="宋体"/>
                <w:i w:val="0"/>
                <w:iCs w:val="0"/>
                <w:color w:val="000000"/>
                <w:sz w:val="24"/>
                <w:szCs w:val="24"/>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DA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4549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保证工作支出和正常运转支出，确保工作顺利进行。</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6FBD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B9F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949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EEAB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r>
      <w:tr w14:paraId="6899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FE49">
            <w:pPr>
              <w:jc w:val="center"/>
              <w:rPr>
                <w:rFonts w:hint="eastAsia" w:ascii="宋体" w:hAnsi="宋体" w:eastAsia="宋体" w:cs="宋体"/>
                <w:i w:val="0"/>
                <w:iCs w:val="0"/>
                <w:color w:val="000000"/>
                <w:sz w:val="24"/>
                <w:szCs w:val="24"/>
                <w:u w:val="none"/>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3131">
            <w:pPr>
              <w:jc w:val="left"/>
              <w:rPr>
                <w:rFonts w:hint="eastAsia" w:ascii="宋体" w:hAnsi="宋体" w:eastAsia="宋体" w:cs="宋体"/>
                <w:i w:val="0"/>
                <w:iCs w:val="0"/>
                <w:color w:val="000000"/>
                <w:sz w:val="24"/>
                <w:szCs w:val="24"/>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1E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时效指标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295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2024年12月完成</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3D7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14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E8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05A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r>
      <w:tr w14:paraId="06E7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EA05">
            <w:pPr>
              <w:jc w:val="center"/>
              <w:rPr>
                <w:rFonts w:hint="eastAsia" w:ascii="宋体" w:hAnsi="宋体" w:eastAsia="宋体" w:cs="宋体"/>
                <w:i w:val="0"/>
                <w:iCs w:val="0"/>
                <w:color w:val="000000"/>
                <w:sz w:val="24"/>
                <w:szCs w:val="24"/>
                <w:u w:val="none"/>
              </w:rPr>
            </w:pPr>
          </w:p>
        </w:tc>
        <w:tc>
          <w:tcPr>
            <w:tcW w:w="1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F0B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效益指标</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2DE3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EF6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传播科学思想和科学方法</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210E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D9B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08A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E615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r>
      <w:tr w14:paraId="7179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BA6B">
            <w:pPr>
              <w:jc w:val="center"/>
              <w:rPr>
                <w:rFonts w:hint="eastAsia" w:ascii="宋体" w:hAnsi="宋体" w:eastAsia="宋体" w:cs="宋体"/>
                <w:i w:val="0"/>
                <w:iCs w:val="0"/>
                <w:color w:val="000000"/>
                <w:sz w:val="24"/>
                <w:szCs w:val="24"/>
                <w:u w:val="none"/>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82BF">
            <w:pPr>
              <w:jc w:val="left"/>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EEF9">
            <w:pPr>
              <w:jc w:val="left"/>
              <w:rPr>
                <w:rFonts w:hint="eastAsia" w:ascii="宋体" w:hAnsi="宋体" w:eastAsia="宋体" w:cs="宋体"/>
                <w:i w:val="0"/>
                <w:iCs w:val="0"/>
                <w:color w:val="000000"/>
                <w:sz w:val="24"/>
                <w:szCs w:val="24"/>
                <w:u w:val="none"/>
              </w:rPr>
            </w:pP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1977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充分发挥社科管作用，成为群众接受社科普及的重要场所</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E380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54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5000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4F0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人次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F60D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r>
      <w:tr w14:paraId="42A9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FB7B">
            <w:pPr>
              <w:jc w:val="center"/>
              <w:rPr>
                <w:rFonts w:hint="eastAsia" w:ascii="宋体" w:hAnsi="宋体" w:eastAsia="宋体" w:cs="宋体"/>
                <w:i w:val="0"/>
                <w:iCs w:val="0"/>
                <w:color w:val="000000"/>
                <w:sz w:val="24"/>
                <w:szCs w:val="24"/>
                <w:u w:val="none"/>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4121">
            <w:pPr>
              <w:jc w:val="left"/>
              <w:rPr>
                <w:rFonts w:hint="eastAsia" w:ascii="宋体" w:hAnsi="宋体" w:eastAsia="宋体" w:cs="宋体"/>
                <w:i w:val="0"/>
                <w:iCs w:val="0"/>
                <w:color w:val="000000"/>
                <w:sz w:val="24"/>
                <w:szCs w:val="24"/>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4C4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可持续发展指标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EA9B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群众科学素质得到了提升</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041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69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300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6D8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r>
      <w:tr w14:paraId="5291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F7E3">
            <w:pPr>
              <w:jc w:val="center"/>
              <w:rPr>
                <w:rFonts w:hint="eastAsia" w:ascii="宋体" w:hAnsi="宋体" w:eastAsia="宋体" w:cs="宋体"/>
                <w:i w:val="0"/>
                <w:iCs w:val="0"/>
                <w:color w:val="000000"/>
                <w:sz w:val="24"/>
                <w:szCs w:val="24"/>
                <w:u w:val="none"/>
              </w:rPr>
            </w:pP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8D30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820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4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0CE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受群众满意</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723D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定性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C6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高</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77AD">
            <w:pPr>
              <w:jc w:val="left"/>
              <w:rPr>
                <w:rFonts w:hint="eastAsia" w:ascii="宋体" w:hAnsi="宋体" w:eastAsia="宋体" w:cs="宋体"/>
                <w:i w:val="0"/>
                <w:iCs w:val="0"/>
                <w:color w:val="000000"/>
                <w:sz w:val="24"/>
                <w:szCs w:val="24"/>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AE17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r>
    </w:tbl>
    <w:p w14:paraId="3E08BA6D">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sectPr>
          <w:pgSz w:w="16838" w:h="11906" w:orient="landscape"/>
          <w:pgMar w:top="1800" w:right="1440" w:bottom="1800" w:left="1440" w:header="851" w:footer="992" w:gutter="0"/>
          <w:pgNumType w:fmt="decimal"/>
          <w:cols w:space="425" w:num="1"/>
          <w:titlePg/>
          <w:docGrid w:type="lines" w:linePitch="312" w:charSpace="0"/>
        </w:sectPr>
      </w:pPr>
      <w:bookmarkStart w:id="66" w:name="_Toc15396618"/>
    </w:p>
    <w:p w14:paraId="2A0EA272">
      <w:pPr>
        <w:spacing w:line="578" w:lineRule="exact"/>
        <w:rPr>
          <w:rFonts w:hint="eastAsia" w:ascii="Times New Roman" w:hAnsi="Times New Roman" w:eastAsia="黑体" w:cs="Times New Roman"/>
          <w:kern w:val="2"/>
          <w:sz w:val="32"/>
          <w:szCs w:val="32"/>
          <w:lang w:val="en-US" w:eastAsia="zh-CN"/>
        </w:rPr>
      </w:pPr>
      <w:r>
        <w:rPr>
          <w:rFonts w:ascii="Times New Roman" w:hAnsi="Times New Roman" w:eastAsia="黑体" w:cs="Times New Roman"/>
          <w:kern w:val="2"/>
          <w:sz w:val="32"/>
          <w:szCs w:val="32"/>
        </w:rPr>
        <w:t>附件</w:t>
      </w:r>
      <w:r>
        <w:rPr>
          <w:rFonts w:hint="eastAsia" w:ascii="Times New Roman" w:hAnsi="Times New Roman" w:eastAsia="黑体" w:cs="Times New Roman"/>
          <w:kern w:val="2"/>
          <w:sz w:val="32"/>
          <w:szCs w:val="32"/>
          <w:lang w:val="en-US" w:eastAsia="zh-CN"/>
        </w:rPr>
        <w:t>2</w:t>
      </w:r>
    </w:p>
    <w:p w14:paraId="3DB0C16A">
      <w:pPr>
        <w:spacing w:line="560" w:lineRule="exact"/>
        <w:ind w:firstLine="640" w:firstLineChars="200"/>
        <w:jc w:val="center"/>
        <w:rPr>
          <w:rFonts w:hint="eastAsia" w:ascii="方正小标宋简体" w:hAnsi="方正小标宋简体" w:eastAsia="方正小标宋简体" w:cs="方正小标宋简体"/>
          <w:kern w:val="2"/>
          <w:sz w:val="32"/>
          <w:szCs w:val="32"/>
          <w:u w:val="none"/>
        </w:rPr>
      </w:pPr>
    </w:p>
    <w:p w14:paraId="38CD53BF">
      <w:pPr>
        <w:spacing w:line="560" w:lineRule="exact"/>
        <w:ind w:left="880" w:hanging="880" w:hangingChars="200"/>
        <w:jc w:val="center"/>
        <w:rPr>
          <w:rFonts w:hint="eastAsia" w:ascii="方正小标宋简体" w:hAnsi="方正小标宋简体" w:eastAsia="方正小标宋简体" w:cs="方正小标宋简体"/>
          <w:kern w:val="2"/>
          <w:sz w:val="44"/>
          <w:szCs w:val="44"/>
          <w:u w:val="none"/>
          <w:lang w:eastAsia="zh-CN"/>
        </w:rPr>
      </w:pPr>
      <w:r>
        <w:rPr>
          <w:rFonts w:hint="eastAsia" w:ascii="方正小标宋简体" w:hAnsi="方正小标宋简体" w:eastAsia="方正小标宋简体" w:cs="方正小标宋简体"/>
          <w:kern w:val="2"/>
          <w:sz w:val="44"/>
          <w:szCs w:val="44"/>
          <w:u w:val="none"/>
          <w:lang w:eastAsia="zh-CN"/>
        </w:rPr>
        <w:t>茂县科学技术协会科普工作经费</w:t>
      </w:r>
    </w:p>
    <w:p w14:paraId="79468503">
      <w:pPr>
        <w:spacing w:line="560" w:lineRule="exact"/>
        <w:ind w:left="880" w:hanging="880" w:hangingChars="200"/>
        <w:jc w:val="center"/>
        <w:rPr>
          <w:rFonts w:hint="eastAsia" w:ascii="方正小标宋简体" w:hAnsi="方正小标宋简体" w:eastAsia="方正小标宋简体" w:cs="方正小标宋简体"/>
          <w:kern w:val="2"/>
          <w:sz w:val="44"/>
          <w:szCs w:val="44"/>
          <w:u w:val="none"/>
        </w:rPr>
      </w:pPr>
      <w:r>
        <w:rPr>
          <w:rFonts w:hint="eastAsia" w:ascii="方正小标宋简体" w:hAnsi="方正小标宋简体" w:eastAsia="方正小标宋简体" w:cs="方正小标宋简体"/>
          <w:color w:val="auto"/>
          <w:kern w:val="2"/>
          <w:sz w:val="44"/>
          <w:szCs w:val="44"/>
          <w:highlight w:val="none"/>
          <w:u w:val="none"/>
          <w:lang w:val="en-US" w:eastAsia="zh-CN"/>
        </w:rPr>
        <w:t>项目绩效评价报告</w:t>
      </w:r>
    </w:p>
    <w:p w14:paraId="3B42E730">
      <w:pPr>
        <w:spacing w:line="240" w:lineRule="atLeast"/>
        <w:ind w:right="-178" w:rightChars="-85"/>
        <w:jc w:val="center"/>
        <w:rPr>
          <w:rFonts w:hint="eastAsia" w:ascii="仿宋" w:hAnsi="仿宋" w:eastAsia="仿宋" w:cs="仿宋"/>
          <w:kern w:val="2"/>
          <w:sz w:val="24"/>
          <w:szCs w:val="24"/>
          <w:lang w:eastAsia="zh-CN"/>
        </w:rPr>
      </w:pPr>
    </w:p>
    <w:p w14:paraId="3558EE5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rPr>
        <w:t>一、</w:t>
      </w:r>
      <w:r>
        <w:rPr>
          <w:rFonts w:hint="eastAsia" w:eastAsia="黑体"/>
          <w:color w:val="000000"/>
          <w:kern w:val="0"/>
          <w:sz w:val="32"/>
          <w:szCs w:val="32"/>
          <w:shd w:val="clear" w:color="auto" w:fill="FFFFFF"/>
          <w:lang w:val="zh-CN" w:eastAsia="zh-CN"/>
        </w:rPr>
        <w:t>项目概况</w:t>
      </w:r>
    </w:p>
    <w:p w14:paraId="0BDEE7A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zh-CN" w:eastAsia="zh-CN"/>
        </w:rPr>
        <w:t>（一）设立背景及基本情况</w:t>
      </w:r>
    </w:p>
    <w:p w14:paraId="6F04B07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b w:val="0"/>
          <w:bCs/>
          <w:color w:val="auto"/>
          <w:sz w:val="32"/>
          <w:szCs w:val="32"/>
          <w:highlight w:val="none"/>
          <w:u w:val="none"/>
          <w:lang w:val="zh-CN"/>
        </w:rPr>
      </w:pPr>
      <w:r>
        <w:rPr>
          <w:rFonts w:hint="eastAsia" w:ascii="仿宋_GB2312" w:hAnsi="仿宋_GB2312" w:eastAsia="仿宋_GB2312" w:cs="仿宋_GB2312"/>
          <w:b w:val="0"/>
          <w:bCs/>
          <w:color w:val="auto"/>
          <w:sz w:val="32"/>
          <w:szCs w:val="32"/>
          <w:highlight w:val="none"/>
          <w:u w:val="none"/>
          <w:lang w:val="zh-CN"/>
        </w:rPr>
        <w:t>为进一步推进我县科普事业的发展，加强科普宣传工作，强化科协工作经费保障。按照《中共阿坝州委</w:t>
      </w:r>
      <w:r>
        <w:rPr>
          <w:rFonts w:hint="eastAsia" w:ascii="仿宋_GB2312" w:hAnsi="仿宋_GB2312" w:eastAsia="仿宋_GB2312" w:cs="仿宋_GB2312"/>
          <w:b w:val="0"/>
          <w:bCs/>
          <w:color w:val="auto"/>
          <w:sz w:val="32"/>
          <w:szCs w:val="32"/>
          <w:highlight w:val="none"/>
          <w:u w:val="none"/>
          <w:lang w:val="en-US" w:eastAsia="zh-CN"/>
        </w:rPr>
        <w:t xml:space="preserve"> </w:t>
      </w:r>
      <w:r>
        <w:rPr>
          <w:rFonts w:hint="eastAsia" w:ascii="仿宋_GB2312" w:hAnsi="仿宋_GB2312" w:eastAsia="仿宋_GB2312" w:cs="仿宋_GB2312"/>
          <w:b w:val="0"/>
          <w:bCs/>
          <w:color w:val="auto"/>
          <w:sz w:val="32"/>
          <w:szCs w:val="32"/>
          <w:highlight w:val="none"/>
          <w:u w:val="none"/>
          <w:lang w:val="zh-CN"/>
        </w:rPr>
        <w:t>阿坝州人民政府关于进一步加强新时期科协工作的意见》(阿委办发</w:t>
      </w:r>
      <w:r>
        <w:rPr>
          <w:rFonts w:hint="eastAsia" w:ascii="仿宋_GB2312" w:hAnsi="仿宋_GB2312" w:eastAsia="仿宋_GB2312" w:cs="仿宋_GB2312"/>
          <w:b w:val="0"/>
          <w:bCs/>
          <w:color w:val="auto"/>
          <w:sz w:val="32"/>
          <w:szCs w:val="32"/>
          <w:highlight w:val="none"/>
          <w:u w:val="none"/>
          <w:lang w:val="zh-CN" w:eastAsia="zh-CN"/>
        </w:rPr>
        <w:t>〔20</w:t>
      </w:r>
      <w:r>
        <w:rPr>
          <w:rFonts w:hint="eastAsia" w:ascii="仿宋_GB2312" w:hAnsi="仿宋_GB2312" w:eastAsia="仿宋_GB2312" w:cs="仿宋_GB2312"/>
          <w:b w:val="0"/>
          <w:bCs/>
          <w:color w:val="auto"/>
          <w:sz w:val="32"/>
          <w:szCs w:val="32"/>
          <w:highlight w:val="none"/>
          <w:u w:val="none"/>
          <w:lang w:val="en-US" w:eastAsia="zh-CN"/>
        </w:rPr>
        <w:t>12</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zh-CN"/>
        </w:rPr>
        <w:t>21号)文件要求:“各县要保障科协科普经费、全民科学素质纲要经费”，我县是全州科普大县，也是科普重点县，根据我县科普工作实际，县政府解决科协</w:t>
      </w:r>
      <w:r>
        <w:rPr>
          <w:rFonts w:hint="eastAsia" w:ascii="仿宋_GB2312" w:hAnsi="仿宋_GB2312" w:eastAsia="仿宋_GB2312" w:cs="仿宋_GB2312"/>
          <w:b w:val="0"/>
          <w:bCs/>
          <w:color w:val="auto"/>
          <w:sz w:val="32"/>
          <w:szCs w:val="32"/>
          <w:highlight w:val="none"/>
          <w:u w:val="none"/>
          <w:lang w:val="en-US" w:eastAsia="zh-CN"/>
        </w:rPr>
        <w:t>2023年度</w:t>
      </w:r>
      <w:r>
        <w:rPr>
          <w:rFonts w:hint="eastAsia" w:ascii="仿宋_GB2312" w:hAnsi="仿宋_GB2312" w:eastAsia="仿宋_GB2312" w:cs="仿宋_GB2312"/>
          <w:b w:val="0"/>
          <w:bCs/>
          <w:color w:val="auto"/>
          <w:sz w:val="32"/>
          <w:szCs w:val="32"/>
          <w:highlight w:val="none"/>
          <w:u w:val="none"/>
          <w:lang w:val="zh-CN"/>
        </w:rPr>
        <w:t>科普工作经费3</w:t>
      </w:r>
      <w:r>
        <w:rPr>
          <w:rFonts w:hint="eastAsia" w:ascii="仿宋_GB2312" w:hAnsi="仿宋_GB2312" w:eastAsia="仿宋_GB2312" w:cs="仿宋_GB2312"/>
          <w:b w:val="0"/>
          <w:bCs/>
          <w:color w:val="auto"/>
          <w:sz w:val="32"/>
          <w:szCs w:val="32"/>
          <w:highlight w:val="none"/>
          <w:u w:val="none"/>
          <w:lang w:val="en-US" w:eastAsia="zh-CN"/>
        </w:rPr>
        <w:t>.00</w:t>
      </w:r>
      <w:r>
        <w:rPr>
          <w:rFonts w:hint="eastAsia" w:ascii="仿宋_GB2312" w:hAnsi="仿宋_GB2312" w:eastAsia="仿宋_GB2312" w:cs="仿宋_GB2312"/>
          <w:b w:val="0"/>
          <w:bCs/>
          <w:color w:val="auto"/>
          <w:sz w:val="32"/>
          <w:szCs w:val="32"/>
          <w:highlight w:val="none"/>
          <w:u w:val="none"/>
          <w:lang w:val="zh-CN"/>
        </w:rPr>
        <w:t>万元。</w:t>
      </w:r>
    </w:p>
    <w:p w14:paraId="3104E8B3">
      <w:pPr>
        <w:keepNext w:val="0"/>
        <w:keepLines w:val="0"/>
        <w:pageBreakBefore w:val="0"/>
        <w:kinsoku/>
        <w:wordWrap/>
        <w:overflowPunct/>
        <w:topLinePunct w:val="0"/>
        <w:autoSpaceDE/>
        <w:autoSpaceDN/>
        <w:bidi w:val="0"/>
        <w:spacing w:line="560" w:lineRule="exact"/>
        <w:ind w:right="-178" w:rightChars="-85" w:firstLine="643" w:firstLineChars="200"/>
        <w:jc w:val="left"/>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zh-CN" w:eastAsia="zh-CN"/>
        </w:rPr>
        <w:t>（</w:t>
      </w:r>
      <w:r>
        <w:rPr>
          <w:rFonts w:hint="eastAsia" w:ascii="方正楷体_GB2312" w:hAnsi="方正楷体_GB2312" w:eastAsia="方正楷体_GB2312" w:cs="方正楷体_GB2312"/>
          <w:b/>
          <w:bCs/>
          <w:sz w:val="32"/>
          <w:szCs w:val="32"/>
          <w:lang w:val="zh-CN" w:eastAsia="zh-CN"/>
        </w:rPr>
        <w:t>二）实施</w:t>
      </w:r>
      <w:r>
        <w:rPr>
          <w:rFonts w:hint="eastAsia" w:ascii="方正楷体_GB2312" w:hAnsi="方正楷体_GB2312" w:eastAsia="方正楷体_GB2312" w:cs="方正楷体_GB2312"/>
          <w:b/>
          <w:bCs/>
          <w:kern w:val="2"/>
          <w:sz w:val="32"/>
          <w:szCs w:val="32"/>
          <w:lang w:val="zh-CN" w:eastAsia="zh-CN"/>
        </w:rPr>
        <w:t>目的及支持方向</w:t>
      </w:r>
    </w:p>
    <w:p w14:paraId="4BF05812">
      <w:pPr>
        <w:keepNext w:val="0"/>
        <w:keepLines w:val="0"/>
        <w:pageBreakBefore w:val="0"/>
        <w:kinsoku/>
        <w:wordWrap/>
        <w:overflowPunct/>
        <w:topLinePunct w:val="0"/>
        <w:autoSpaceDE/>
        <w:autoSpaceDN/>
        <w:bidi w:val="0"/>
        <w:spacing w:line="560" w:lineRule="exact"/>
        <w:ind w:right="-178" w:rightChars="-85" w:firstLine="640" w:firstLineChars="200"/>
        <w:jc w:val="left"/>
        <w:textAlignment w:val="auto"/>
        <w:rPr>
          <w:rFonts w:hint="eastAsia" w:ascii="仿宋" w:hAnsi="仿宋" w:eastAsia="仿宋" w:cs="仿宋"/>
          <w:sz w:val="32"/>
          <w:szCs w:val="32"/>
          <w:lang w:val="zh-CN" w:eastAsia="zh-CN"/>
        </w:rPr>
      </w:pPr>
      <w:r>
        <w:rPr>
          <w:rFonts w:hint="eastAsia" w:ascii="仿宋_GB2312" w:hAnsi="仿宋_GB2312" w:eastAsia="仿宋_GB2312" w:cs="仿宋_GB2312"/>
          <w:sz w:val="32"/>
          <w:szCs w:val="32"/>
          <w:lang w:val="en-US" w:eastAsia="zh-CN"/>
        </w:rPr>
        <w:t>开展各类科普活动，以“全国科普日”“科技活动月”“科技活动周”等各类科普活动为载体，全方位、多角度覆盖群众，集中宣传科学知识；大力开展“科普进社区”“科普进校园”活动，同“主题党日”等活动相结合，做到内容上更贴近群众需求，在活动形式上有更多创新，开展群众喜闻乐见的科普活动。</w:t>
      </w:r>
      <w:r>
        <w:rPr>
          <w:rFonts w:hint="eastAsia" w:ascii="仿宋" w:hAnsi="仿宋" w:eastAsia="仿宋" w:cs="仿宋"/>
          <w:sz w:val="32"/>
          <w:szCs w:val="32"/>
          <w:lang w:val="en-US" w:eastAsia="zh-CN"/>
        </w:rPr>
        <w:t xml:space="preserve">                               </w:t>
      </w:r>
    </w:p>
    <w:p w14:paraId="5056C7D7">
      <w:pPr>
        <w:keepNext w:val="0"/>
        <w:keepLines w:val="0"/>
        <w:pageBreakBefore w:val="0"/>
        <w:kinsoku/>
        <w:wordWrap/>
        <w:overflowPunct/>
        <w:topLinePunct w:val="0"/>
        <w:autoSpaceDE/>
        <w:autoSpaceDN/>
        <w:bidi w:val="0"/>
        <w:spacing w:line="560" w:lineRule="exact"/>
        <w:ind w:right="-178" w:rightChars="-85" w:firstLine="643" w:firstLineChars="200"/>
        <w:jc w:val="left"/>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zh-CN" w:eastAsia="zh-CN"/>
        </w:rPr>
        <w:t>（三）</w:t>
      </w:r>
      <w:r>
        <w:rPr>
          <w:rFonts w:hint="eastAsia" w:ascii="方正楷体_GB2312" w:hAnsi="方正楷体_GB2312" w:eastAsia="方正楷体_GB2312" w:cs="方正楷体_GB2312"/>
          <w:b/>
          <w:bCs/>
          <w:sz w:val="32"/>
          <w:szCs w:val="32"/>
          <w:lang w:val="en-US" w:eastAsia="zh-CN"/>
        </w:rPr>
        <w:t>预算安排及分配管理</w:t>
      </w:r>
    </w:p>
    <w:p w14:paraId="136E2879">
      <w:pPr>
        <w:keepNext w:val="0"/>
        <w:keepLines w:val="0"/>
        <w:pageBreakBefore w:val="0"/>
        <w:kinsoku/>
        <w:wordWrap/>
        <w:overflowPunct/>
        <w:topLinePunct w:val="0"/>
        <w:autoSpaceDE/>
        <w:autoSpaceDN/>
        <w:bidi w:val="0"/>
        <w:spacing w:line="560" w:lineRule="exact"/>
        <w:ind w:right="-178" w:rightChars="-85"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2023年度科普工作经费</w:t>
      </w:r>
      <w:r>
        <w:rPr>
          <w:rFonts w:hint="eastAsia" w:ascii="仿宋_GB2312" w:hAnsi="仿宋_GB2312" w:eastAsia="仿宋_GB2312" w:cs="仿宋_GB2312"/>
          <w:kern w:val="2"/>
          <w:sz w:val="32"/>
          <w:szCs w:val="32"/>
          <w:lang w:val="en-US" w:eastAsia="zh-CN"/>
        </w:rPr>
        <w:t>3.00</w:t>
      </w:r>
      <w:r>
        <w:rPr>
          <w:rFonts w:hint="eastAsia" w:ascii="仿宋_GB2312" w:hAnsi="仿宋_GB2312" w:eastAsia="仿宋_GB2312" w:cs="仿宋_GB2312"/>
          <w:kern w:val="2"/>
          <w:sz w:val="32"/>
          <w:szCs w:val="32"/>
          <w:lang w:eastAsia="zh-CN"/>
        </w:rPr>
        <w:t>万元已全部到位，资金到位率100%。实际支出</w:t>
      </w:r>
      <w:r>
        <w:rPr>
          <w:rFonts w:hint="eastAsia" w:ascii="仿宋_GB2312" w:hAnsi="仿宋_GB2312" w:eastAsia="仿宋_GB2312" w:cs="仿宋_GB2312"/>
          <w:kern w:val="2"/>
          <w:sz w:val="32"/>
          <w:szCs w:val="32"/>
          <w:lang w:val="en-US" w:eastAsia="zh-CN"/>
        </w:rPr>
        <w:t>3.00万</w:t>
      </w:r>
      <w:r>
        <w:rPr>
          <w:rFonts w:hint="eastAsia" w:ascii="仿宋_GB2312" w:hAnsi="仿宋_GB2312" w:eastAsia="仿宋_GB2312" w:cs="仿宋_GB2312"/>
          <w:kern w:val="2"/>
          <w:sz w:val="32"/>
          <w:szCs w:val="32"/>
          <w:lang w:eastAsia="zh-CN"/>
        </w:rPr>
        <w:t>元，预算执行率</w:t>
      </w:r>
      <w:r>
        <w:rPr>
          <w:rFonts w:hint="eastAsia" w:ascii="仿宋_GB2312" w:hAnsi="仿宋_GB2312" w:eastAsia="仿宋_GB2312" w:cs="仿宋_GB2312"/>
          <w:kern w:val="2"/>
          <w:sz w:val="32"/>
          <w:szCs w:val="32"/>
          <w:lang w:val="en-US" w:eastAsia="zh-CN"/>
        </w:rPr>
        <w:t>100</w:t>
      </w:r>
      <w:r>
        <w:rPr>
          <w:rFonts w:hint="eastAsia" w:ascii="仿宋_GB2312" w:hAnsi="仿宋_GB2312" w:eastAsia="仿宋_GB2312" w:cs="仿宋_GB2312"/>
          <w:kern w:val="2"/>
          <w:sz w:val="32"/>
          <w:szCs w:val="32"/>
          <w:lang w:eastAsia="zh-CN"/>
        </w:rPr>
        <w:t>%，主要用于科普资料购置、流动科技馆展览费等。</w:t>
      </w:r>
    </w:p>
    <w:p w14:paraId="6EF3902F">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2312" w:hAnsi="方正楷体_GB2312" w:eastAsia="方正楷体_GB2312" w:cs="方正楷体_GB2312"/>
          <w:b/>
          <w:bCs/>
          <w:sz w:val="32"/>
          <w:szCs w:val="32"/>
          <w:lang w:val="zh-CN" w:eastAsia="zh-CN"/>
        </w:rPr>
      </w:pPr>
      <w:r>
        <w:rPr>
          <w:rFonts w:hint="eastAsia" w:ascii="方正楷体_GB2312" w:hAnsi="方正楷体_GB2312" w:eastAsia="方正楷体_GB2312" w:cs="方正楷体_GB2312"/>
          <w:b/>
          <w:bCs/>
          <w:sz w:val="32"/>
          <w:szCs w:val="32"/>
          <w:lang w:val="zh-CN" w:eastAsia="zh-CN"/>
        </w:rPr>
        <w:t>（四）项目绩效目标设置</w:t>
      </w:r>
    </w:p>
    <w:p w14:paraId="23F68DB2">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举办科普活动（包含活动策划、设计、开发服务、运营费用），编辑发布科普资源，管理辖区社群运营。全方位、多角度覆盖群众，集中宣传科学知识。  </w:t>
      </w:r>
    </w:p>
    <w:p w14:paraId="1D695DC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二、评价实施</w:t>
      </w:r>
    </w:p>
    <w:p w14:paraId="4839AEB2">
      <w:pPr>
        <w:keepNext w:val="0"/>
        <w:keepLines w:val="0"/>
        <w:pageBreakBefore w:val="0"/>
        <w:kinsoku/>
        <w:wordWrap/>
        <w:overflowPunct/>
        <w:topLinePunct w:val="0"/>
        <w:autoSpaceDE/>
        <w:autoSpaceDN/>
        <w:bidi w:val="0"/>
        <w:spacing w:line="560" w:lineRule="exact"/>
        <w:ind w:firstLine="640"/>
        <w:jc w:val="left"/>
        <w:textAlignment w:val="auto"/>
        <w:rPr>
          <w:rFonts w:eastAsia="楷体_GB2312"/>
          <w:b/>
          <w:sz w:val="32"/>
          <w:szCs w:val="40"/>
          <w:lang w:val="zh-CN" w:eastAsia="zh-CN"/>
        </w:rPr>
      </w:pPr>
      <w:r>
        <w:rPr>
          <w:rFonts w:eastAsia="楷体_GB2312"/>
          <w:b/>
          <w:sz w:val="28"/>
          <w:szCs w:val="36"/>
          <w:lang w:val="zh-CN" w:eastAsia="zh-CN"/>
        </w:rPr>
        <w:t>（</w:t>
      </w:r>
      <w:r>
        <w:rPr>
          <w:rFonts w:eastAsia="楷体_GB2312"/>
          <w:b/>
          <w:sz w:val="32"/>
          <w:szCs w:val="40"/>
          <w:lang w:val="zh-CN" w:eastAsia="zh-CN"/>
        </w:rPr>
        <w:t>一）评价目的</w:t>
      </w:r>
    </w:p>
    <w:p w14:paraId="66334024">
      <w:pPr>
        <w:keepNext w:val="0"/>
        <w:keepLines w:val="0"/>
        <w:pageBreakBefore w:val="0"/>
        <w:kinsoku/>
        <w:wordWrap/>
        <w:overflowPunct/>
        <w:topLinePunct w:val="0"/>
        <w:autoSpaceDE/>
        <w:autoSpaceDN/>
        <w:bidi w:val="0"/>
        <w:spacing w:line="560" w:lineRule="exact"/>
        <w:ind w:firstLine="640"/>
        <w:jc w:val="left"/>
        <w:textAlignment w:val="auto"/>
        <w:rPr>
          <w:sz w:val="28"/>
          <w:szCs w:val="36"/>
        </w:rPr>
      </w:pPr>
      <w:r>
        <w:rPr>
          <w:rFonts w:hint="eastAsia" w:ascii="仿宋_GB2312" w:hAnsi="仿宋_GB2312" w:eastAsia="仿宋_GB2312" w:cs="仿宋_GB2312"/>
          <w:kern w:val="2"/>
          <w:sz w:val="32"/>
          <w:szCs w:val="32"/>
          <w:lang w:eastAsia="zh-CN"/>
        </w:rPr>
        <w:t>全面了解 2023年度</w:t>
      </w:r>
      <w:r>
        <w:rPr>
          <w:rFonts w:hint="eastAsia" w:ascii="仿宋_GB2312" w:hAnsi="仿宋_GB2312" w:eastAsia="仿宋_GB2312" w:cs="仿宋_GB2312"/>
          <w:kern w:val="2"/>
          <w:sz w:val="32"/>
          <w:szCs w:val="32"/>
          <w:lang w:val="en-US" w:eastAsia="zh-CN"/>
        </w:rPr>
        <w:t>3.00</w:t>
      </w:r>
      <w:r>
        <w:rPr>
          <w:rFonts w:hint="eastAsia" w:ascii="仿宋_GB2312" w:hAnsi="仿宋_GB2312" w:eastAsia="仿宋_GB2312" w:cs="仿宋_GB2312"/>
          <w:kern w:val="2"/>
          <w:sz w:val="32"/>
          <w:szCs w:val="32"/>
          <w:lang w:eastAsia="zh-CN"/>
        </w:rPr>
        <w:t>万元科普工作经费的使用效益和项目实施效果，总结经验，发现问题，为后续项目实施和资金管理提供参考。</w:t>
      </w:r>
    </w:p>
    <w:p w14:paraId="5A195573">
      <w:pPr>
        <w:keepNext w:val="0"/>
        <w:keepLines w:val="0"/>
        <w:pageBreakBefore w:val="0"/>
        <w:kinsoku/>
        <w:wordWrap/>
        <w:overflowPunct/>
        <w:topLinePunct w:val="0"/>
        <w:autoSpaceDE/>
        <w:autoSpaceDN/>
        <w:bidi w:val="0"/>
        <w:spacing w:line="560" w:lineRule="exact"/>
        <w:ind w:firstLine="643" w:firstLineChars="200"/>
        <w:jc w:val="left"/>
        <w:textAlignment w:val="auto"/>
        <w:rPr>
          <w:rFonts w:eastAsia="楷体_GB2312"/>
          <w:b/>
          <w:sz w:val="32"/>
          <w:szCs w:val="40"/>
          <w:lang w:val="zh-CN" w:eastAsia="zh-CN"/>
        </w:rPr>
      </w:pPr>
      <w:r>
        <w:rPr>
          <w:rFonts w:eastAsia="楷体_GB2312"/>
          <w:b/>
          <w:sz w:val="32"/>
          <w:szCs w:val="40"/>
          <w:lang w:val="zh-CN" w:eastAsia="zh-CN"/>
        </w:rPr>
        <w:t>（二）预设问题及评价重点</w:t>
      </w:r>
    </w:p>
    <w:p w14:paraId="5273020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22A6E174">
      <w:pPr>
        <w:keepNext w:val="0"/>
        <w:keepLines w:val="0"/>
        <w:pageBreakBefore w:val="0"/>
        <w:kinsoku/>
        <w:wordWrap/>
        <w:overflowPunct/>
        <w:topLinePunct w:val="0"/>
        <w:autoSpaceDE/>
        <w:autoSpaceDN/>
        <w:bidi w:val="0"/>
        <w:spacing w:line="560" w:lineRule="exact"/>
        <w:ind w:firstLine="643" w:firstLineChars="200"/>
        <w:jc w:val="left"/>
        <w:textAlignment w:val="auto"/>
        <w:rPr>
          <w:rFonts w:eastAsia="楷体_GB2312"/>
          <w:b/>
          <w:sz w:val="32"/>
          <w:szCs w:val="40"/>
          <w:lang w:val="zh-CN" w:eastAsia="zh-CN"/>
        </w:rPr>
      </w:pPr>
      <w:r>
        <w:rPr>
          <w:rFonts w:eastAsia="楷体_GB2312"/>
          <w:b/>
          <w:sz w:val="32"/>
          <w:szCs w:val="40"/>
          <w:lang w:val="zh-CN" w:eastAsia="zh-CN"/>
        </w:rPr>
        <w:t>（三）评价选点</w:t>
      </w:r>
    </w:p>
    <w:p w14:paraId="4DA7275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按照有关规定和工作安排，我单位开展自行评估，通过组建评估组，收集被评估项目相关基础资料，并查阅资料、收集数据信息等</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zh-CN" w:eastAsia="zh-CN"/>
        </w:rPr>
        <w:t>查看“全国流动科技馆”茂县站到访人次等，</w:t>
      </w:r>
      <w:r>
        <w:rPr>
          <w:rFonts w:hint="eastAsia" w:ascii="仿宋_GB2312" w:hAnsi="仿宋_GB2312" w:eastAsia="仿宋_GB2312" w:cs="仿宋_GB2312"/>
          <w:kern w:val="2"/>
          <w:sz w:val="32"/>
          <w:szCs w:val="32"/>
        </w:rPr>
        <w:t>深入论证分析</w:t>
      </w:r>
      <w:r>
        <w:rPr>
          <w:rFonts w:hint="eastAsia" w:ascii="仿宋_GB2312" w:hAnsi="仿宋_GB2312" w:eastAsia="仿宋_GB2312" w:cs="仿宋_GB2312"/>
          <w:kern w:val="2"/>
          <w:sz w:val="32"/>
          <w:szCs w:val="32"/>
          <w:lang w:eastAsia="zh-CN"/>
        </w:rPr>
        <w:t>。</w:t>
      </w:r>
    </w:p>
    <w:p w14:paraId="3F123A00">
      <w:pPr>
        <w:keepNext w:val="0"/>
        <w:keepLines w:val="0"/>
        <w:pageBreakBefore w:val="0"/>
        <w:kinsoku/>
        <w:wordWrap/>
        <w:overflowPunct/>
        <w:topLinePunct w:val="0"/>
        <w:autoSpaceDE/>
        <w:autoSpaceDN/>
        <w:bidi w:val="0"/>
        <w:spacing w:line="560" w:lineRule="exact"/>
        <w:ind w:firstLine="643" w:firstLineChars="200"/>
        <w:jc w:val="left"/>
        <w:textAlignment w:val="auto"/>
        <w:rPr>
          <w:rFonts w:eastAsia="楷体_GB2312"/>
          <w:b/>
          <w:sz w:val="32"/>
          <w:szCs w:val="40"/>
          <w:lang w:val="zh-CN" w:eastAsia="zh-CN"/>
        </w:rPr>
      </w:pPr>
      <w:r>
        <w:rPr>
          <w:rFonts w:eastAsia="楷体_GB2312"/>
          <w:b/>
          <w:sz w:val="32"/>
          <w:szCs w:val="40"/>
          <w:lang w:val="zh-CN" w:eastAsia="zh-CN"/>
        </w:rPr>
        <w:t>（四）评价方法</w:t>
      </w:r>
    </w:p>
    <w:p w14:paraId="487C7A5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rPr>
        <w:t>根据项目情况和评价重点，</w:t>
      </w:r>
      <w:r>
        <w:rPr>
          <w:rFonts w:hint="eastAsia" w:ascii="仿宋_GB2312" w:hAnsi="仿宋_GB2312" w:eastAsia="仿宋_GB2312" w:cs="仿宋_GB2312"/>
          <w:b w:val="0"/>
          <w:bCs/>
          <w:color w:val="auto"/>
          <w:sz w:val="32"/>
          <w:szCs w:val="32"/>
          <w:highlight w:val="none"/>
          <w:u w:val="none"/>
          <w:lang w:val="zh-CN" w:eastAsia="zh-CN"/>
        </w:rPr>
        <w:t>主要采用</w:t>
      </w:r>
      <w:r>
        <w:rPr>
          <w:rFonts w:hint="eastAsia" w:ascii="仿宋_GB2312" w:hAnsi="仿宋_GB2312" w:eastAsia="仿宋_GB2312" w:cs="仿宋_GB2312"/>
          <w:b w:val="0"/>
          <w:bCs/>
          <w:color w:val="auto"/>
          <w:sz w:val="32"/>
          <w:szCs w:val="32"/>
          <w:highlight w:val="none"/>
          <w:u w:val="none"/>
          <w:lang w:val="zh-CN"/>
        </w:rPr>
        <w:t>单位自评法</w:t>
      </w:r>
      <w:r>
        <w:rPr>
          <w:rFonts w:hint="eastAsia" w:ascii="仿宋_GB2312" w:hAnsi="仿宋_GB2312" w:eastAsia="仿宋_GB2312" w:cs="仿宋_GB2312"/>
          <w:b w:val="0"/>
          <w:bCs/>
          <w:color w:val="auto"/>
          <w:sz w:val="32"/>
          <w:szCs w:val="32"/>
          <w:highlight w:val="none"/>
          <w:u w:val="none"/>
          <w:lang w:val="zh-CN" w:eastAsia="zh-CN"/>
        </w:rPr>
        <w:t>，结合评价内容，做到有计划、有安排。按照下达的项目支出绩效评价指标体系，针对实施内容、实施情况、资金兑现、财务管理、社会效益等做出自评。</w:t>
      </w:r>
    </w:p>
    <w:p w14:paraId="77DD54C9">
      <w:pPr>
        <w:keepNext w:val="0"/>
        <w:keepLines w:val="0"/>
        <w:pageBreakBefore w:val="0"/>
        <w:widowControl w:val="0"/>
        <w:kinsoku/>
        <w:wordWrap/>
        <w:overflowPunct/>
        <w:topLinePunct w:val="0"/>
        <w:autoSpaceDE/>
        <w:autoSpaceDN/>
        <w:bidi w:val="0"/>
        <w:spacing w:line="560" w:lineRule="exact"/>
        <w:ind w:firstLine="640"/>
        <w:jc w:val="left"/>
        <w:textAlignment w:val="auto"/>
        <w:outlineLvl w:val="9"/>
        <w:rPr>
          <w:rFonts w:eastAsia="楷体_GB2312"/>
          <w:b/>
          <w:sz w:val="32"/>
          <w:szCs w:val="40"/>
          <w:lang w:val="zh-CN" w:eastAsia="zh-CN"/>
        </w:rPr>
      </w:pPr>
      <w:r>
        <w:rPr>
          <w:rFonts w:eastAsia="楷体_GB2312"/>
          <w:b/>
          <w:sz w:val="32"/>
          <w:szCs w:val="40"/>
          <w:lang w:val="zh-CN" w:eastAsia="zh-CN"/>
        </w:rPr>
        <w:t>（五）评价组织</w:t>
      </w:r>
    </w:p>
    <w:p w14:paraId="69B4E811">
      <w:pPr>
        <w:keepNext w:val="0"/>
        <w:keepLines w:val="0"/>
        <w:pageBreakBefore w:val="0"/>
        <w:widowControl w:val="0"/>
        <w:kinsoku/>
        <w:wordWrap/>
        <w:overflowPunct/>
        <w:topLinePunct w:val="0"/>
        <w:autoSpaceDE/>
        <w:autoSpaceDN/>
        <w:bidi w:val="0"/>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评价组人员由单位负责人、分管领导及业务科室负责人组成；单位负责人牵头负责，分管领导组织业务科室自行评价。</w:t>
      </w:r>
    </w:p>
    <w:p w14:paraId="3F1387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eastAsia="黑体"/>
          <w:color w:val="000000"/>
          <w:kern w:val="0"/>
          <w:sz w:val="32"/>
          <w:szCs w:val="32"/>
          <w:shd w:val="clear" w:color="auto" w:fill="FFFFFF"/>
          <w:lang w:val="zh-CN"/>
        </w:rPr>
        <w:t>三、绩效分析</w:t>
      </w:r>
      <w:r>
        <w:rPr>
          <w:rFonts w:hint="eastAsia" w:eastAsia="黑体"/>
          <w:color w:val="000000"/>
          <w:kern w:val="0"/>
          <w:sz w:val="32"/>
          <w:szCs w:val="32"/>
          <w:shd w:val="clear" w:color="auto" w:fill="FFFFFF"/>
          <w:lang w:val="zh-CN" w:eastAsia="zh-CN"/>
        </w:rPr>
        <w:tab/>
      </w:r>
    </w:p>
    <w:p w14:paraId="0CE625B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（一）</w:t>
      </w:r>
      <w:r>
        <w:rPr>
          <w:rFonts w:hint="eastAsia" w:ascii="仿宋_GB2312" w:hAnsi="仿宋_GB2312" w:eastAsia="仿宋_GB2312" w:cs="仿宋_GB2312"/>
          <w:b/>
          <w:color w:val="auto"/>
          <w:sz w:val="32"/>
          <w:szCs w:val="32"/>
          <w:highlight w:val="none"/>
          <w:u w:val="none"/>
          <w:lang w:val="en-US" w:eastAsia="zh-CN"/>
        </w:rPr>
        <w:t>通用指标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5D423DC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项目决策。通过问卷、走访等调研，了解到大众对科普需求强烈。据此确定提升公众科学素养目标。将3</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lang w:eastAsia="zh-CN"/>
        </w:rPr>
        <w:t>万元经费用于：全国流动科技馆茂县站、校园科普活动，设立校园科普图书角等。</w:t>
      </w:r>
    </w:p>
    <w:p w14:paraId="7AC1D80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w:t>
      </w:r>
      <w:r>
        <w:rPr>
          <w:rFonts w:hint="eastAsia" w:ascii="仿宋_GB2312" w:hAnsi="仿宋_GB2312" w:eastAsia="仿宋_GB2312" w:cs="仿宋_GB2312"/>
          <w:kern w:val="2"/>
          <w:sz w:val="32"/>
          <w:szCs w:val="32"/>
          <w:lang w:eastAsia="zh-CN"/>
        </w:rPr>
        <w:t>建立涵盖活动组织、资金使用等的完善制度，严格执行财务审批与内部检查。组建专业团队，针对不同岗位开展培训，加强沟通协作，定期召开项目推进会。</w:t>
      </w:r>
    </w:p>
    <w:p w14:paraId="75D0B2CF">
      <w:pPr>
        <w:keepNext w:val="0"/>
        <w:keepLines w:val="0"/>
        <w:pageBreakBefore w:val="0"/>
        <w:kinsoku/>
        <w:wordWrap/>
        <w:overflowPunct/>
        <w:topLinePunct w:val="0"/>
        <w:autoSpaceDE/>
        <w:autoSpaceDN/>
        <w:bidi w:val="0"/>
        <w:spacing w:line="560" w:lineRule="exact"/>
        <w:ind w:right="-178" w:rightChars="-85"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color w:val="auto"/>
          <w:sz w:val="32"/>
          <w:szCs w:val="32"/>
          <w:lang w:val="en-US" w:eastAsia="zh-CN"/>
        </w:rPr>
        <w:t>3.项目实施。县</w:t>
      </w:r>
      <w:r>
        <w:rPr>
          <w:rFonts w:hint="eastAsia" w:ascii="仿宋_GB2312" w:hAnsi="仿宋_GB2312" w:eastAsia="仿宋_GB2312" w:cs="仿宋_GB2312"/>
          <w:kern w:val="2"/>
          <w:sz w:val="32"/>
          <w:szCs w:val="32"/>
          <w:lang w:eastAsia="zh-CN"/>
        </w:rPr>
        <w:t>科协按计划开展了</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场科普活动，涵盖青少年科普、农业技术、科技创新等多个领域；举办“中国流动科技馆”四川省茂县站巡展活动，</w:t>
      </w:r>
      <w:r>
        <w:rPr>
          <w:rFonts w:hint="eastAsia" w:ascii="仿宋_GB2312" w:hAnsi="仿宋_GB2312" w:eastAsia="仿宋_GB2312" w:cs="仿宋_GB2312"/>
          <w:kern w:val="2"/>
          <w:sz w:val="32"/>
          <w:szCs w:val="32"/>
          <w:lang w:val="en-US" w:eastAsia="zh-CN"/>
        </w:rPr>
        <w:t>为公众提供免费的科学教育服务，旨在实现科学教育的公平和普惠。</w:t>
      </w:r>
    </w:p>
    <w:p w14:paraId="1E5A9049">
      <w:pPr>
        <w:keepNext w:val="0"/>
        <w:keepLines w:val="0"/>
        <w:pageBreakBefore w:val="0"/>
        <w:kinsoku/>
        <w:wordWrap/>
        <w:overflowPunct/>
        <w:topLinePunct w:val="0"/>
        <w:autoSpaceDE/>
        <w:autoSpaceDN/>
        <w:bidi w:val="0"/>
        <w:spacing w:line="560" w:lineRule="exact"/>
        <w:ind w:right="-178" w:rightChars="-85"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val="0"/>
          <w:bCs w:val="0"/>
          <w:sz w:val="32"/>
          <w:szCs w:val="32"/>
        </w:rPr>
        <w:t>4.项目结果。</w:t>
      </w:r>
      <w:r>
        <w:rPr>
          <w:rFonts w:hint="eastAsia" w:ascii="仿宋_GB2312" w:hAnsi="仿宋_GB2312" w:eastAsia="仿宋_GB2312" w:cs="仿宋_GB2312"/>
          <w:kern w:val="2"/>
          <w:sz w:val="32"/>
          <w:szCs w:val="32"/>
          <w:lang w:eastAsia="zh-CN"/>
        </w:rPr>
        <w:t>2023年度茂县科学技术协会</w:t>
      </w:r>
      <w:r>
        <w:rPr>
          <w:rFonts w:hint="eastAsia" w:ascii="仿宋_GB2312" w:hAnsi="仿宋_GB2312" w:eastAsia="仿宋_GB2312" w:cs="仿宋_GB2312"/>
          <w:kern w:val="2"/>
          <w:sz w:val="32"/>
          <w:szCs w:val="32"/>
          <w:lang w:val="en-US" w:eastAsia="zh-CN"/>
        </w:rPr>
        <w:t>3.00</w:t>
      </w:r>
      <w:r>
        <w:rPr>
          <w:rFonts w:hint="eastAsia" w:ascii="仿宋_GB2312" w:hAnsi="仿宋_GB2312" w:eastAsia="仿宋_GB2312" w:cs="仿宋_GB2312"/>
          <w:kern w:val="2"/>
          <w:sz w:val="32"/>
          <w:szCs w:val="32"/>
          <w:lang w:eastAsia="zh-CN"/>
        </w:rPr>
        <w:t>万元科普工作经费项目在提升公众科学素养方面取得了一定成效，资金使用合理，项目执行情况良好。但仍存在科普资源整合不足和活动针对性不够等问题。通过采取针对性的改进措施，有望进一步提高科普工作质量和效益，为茂县公众科学素养的持续提升发挥更大作用。</w:t>
      </w:r>
    </w:p>
    <w:p w14:paraId="720EFD74">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sz w:val="32"/>
          <w:szCs w:val="32"/>
          <w:lang w:val="zh-CN" w:eastAsia="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eastAsia="zh-CN"/>
        </w:rPr>
        <w:t>绩效分析</w:t>
      </w:r>
    </w:p>
    <w:p w14:paraId="62C5CB7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1.产业发展类。科普</w:t>
      </w:r>
      <w:r>
        <w:rPr>
          <w:rFonts w:hint="eastAsia" w:ascii="仿宋_GB2312" w:hAnsi="仿宋_GB2312" w:eastAsia="仿宋_GB2312" w:cs="仿宋_GB2312"/>
          <w:sz w:val="32"/>
          <w:szCs w:val="32"/>
          <w:lang w:eastAsia="zh-CN"/>
        </w:rPr>
        <w:t>发放图书</w:t>
      </w:r>
      <w:r>
        <w:rPr>
          <w:rFonts w:hint="eastAsia" w:ascii="仿宋_GB2312" w:hAnsi="仿宋_GB2312" w:eastAsia="仿宋_GB2312" w:cs="仿宋_GB2312"/>
          <w:sz w:val="32"/>
          <w:szCs w:val="32"/>
        </w:rPr>
        <w:t>紧密围绕</w:t>
      </w:r>
      <w:r>
        <w:rPr>
          <w:rFonts w:hint="eastAsia" w:ascii="仿宋_GB2312" w:hAnsi="仿宋_GB2312" w:eastAsia="仿宋_GB2312" w:cs="仿宋_GB2312"/>
          <w:sz w:val="32"/>
          <w:szCs w:val="32"/>
          <w:lang w:eastAsia="zh-CN"/>
        </w:rPr>
        <w:t>大众科普，农业农村科普，</w:t>
      </w:r>
      <w:r>
        <w:rPr>
          <w:rFonts w:hint="eastAsia" w:ascii="仿宋_GB2312" w:hAnsi="仿宋_GB2312" w:eastAsia="仿宋_GB2312" w:cs="仿宋_GB2312"/>
          <w:sz w:val="32"/>
          <w:szCs w:val="32"/>
        </w:rPr>
        <w:t>有力推动产业技术升级，绩效显著。</w:t>
      </w:r>
    </w:p>
    <w:p w14:paraId="4DB7A36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eastAsia="zh-CN"/>
        </w:rPr>
        <w:t>民生保障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科普活动覆盖多个乡镇及中小学，校园科普活动走进多所学校，一定程度上保障了区域内不同群体获取科普资源的均衡性。</w:t>
      </w:r>
    </w:p>
    <w:p w14:paraId="20BB968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3.基础设施类。</w:t>
      </w:r>
      <w:r>
        <w:rPr>
          <w:rFonts w:hint="eastAsia" w:ascii="仿宋_GB2312" w:hAnsi="仿宋_GB2312" w:eastAsia="仿宋_GB2312" w:cs="仿宋_GB2312"/>
          <w:sz w:val="32"/>
          <w:szCs w:val="32"/>
          <w:lang w:eastAsia="zh-CN"/>
        </w:rPr>
        <w:t>“全国流动科技馆”在茂县展出科普设施达</w:t>
      </w:r>
      <w:r>
        <w:rPr>
          <w:rFonts w:hint="eastAsia" w:ascii="仿宋_GB2312" w:hAnsi="仿宋_GB2312" w:eastAsia="仿宋_GB2312" w:cs="仿宋_GB2312"/>
          <w:sz w:val="32"/>
          <w:szCs w:val="32"/>
          <w:lang w:val="en-US" w:eastAsia="zh-CN"/>
        </w:rPr>
        <w:t>80余种，展品完好率95</w:t>
      </w:r>
      <w:r>
        <w:rPr>
          <w:rFonts w:hint="eastAsia" w:ascii="仿宋_GB2312" w:hAnsi="仿宋_GB2312" w:eastAsia="仿宋_GB2312" w:cs="仿宋_GB2312"/>
          <w:sz w:val="32"/>
          <w:szCs w:val="32"/>
          <w:lang w:eastAsia="zh-CN"/>
        </w:rPr>
        <w:t>％。</w:t>
      </w:r>
    </w:p>
    <w:p w14:paraId="4A79A1D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eastAsia="zh-CN"/>
        </w:rPr>
        <w:t>行政运转</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eastAsia="zh-CN"/>
        </w:rPr>
        <w:t>。用途合规性：3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eastAsia="zh-CN"/>
        </w:rPr>
        <w:t>万元科普经费严格用于既定的科普工作，用途合规；程序合规性：经费使用遵循财务审批流程，活动开展、物资采购等按制度执行，程序规范。标准合规性：各项费用支出符合相关标准，如设备安装等费用合理，无超标准开支情况。</w:t>
      </w:r>
    </w:p>
    <w:p w14:paraId="33527B8C">
      <w:pPr>
        <w:keepNext w:val="0"/>
        <w:keepLines w:val="0"/>
        <w:pageBreakBefore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sz w:val="32"/>
          <w:szCs w:val="32"/>
          <w:lang w:val="zh-CN" w:eastAsia="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kern w:val="0"/>
          <w:sz w:val="32"/>
          <w:szCs w:val="32"/>
          <w:shd w:val="clear" w:color="auto" w:fill="FFFFFF"/>
          <w:lang w:val="zh-CN" w:eastAsia="zh-CN"/>
        </w:rPr>
        <w:t>绩效分析</w:t>
      </w:r>
    </w:p>
    <w:p w14:paraId="76596DF4">
      <w:pPr>
        <w:keepNext w:val="0"/>
        <w:keepLines w:val="0"/>
        <w:pageBreakBefore w:val="0"/>
        <w:kinsoku/>
        <w:wordWrap/>
        <w:overflowPunct/>
        <w:topLinePunct w:val="0"/>
        <w:autoSpaceDE/>
        <w:autoSpaceDN/>
        <w:bidi w:val="0"/>
        <w:spacing w:line="560" w:lineRule="exact"/>
        <w:ind w:firstLine="640"/>
        <w:jc w:val="left"/>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shd w:val="clear" w:color="auto" w:fill="FFFFFF"/>
          <w:lang w:val="zh-CN" w:eastAsia="zh-CN"/>
        </w:rPr>
        <w:t>被科普人次为</w:t>
      </w:r>
      <w:r>
        <w:rPr>
          <w:rFonts w:hint="eastAsia" w:ascii="仿宋_GB2312" w:hAnsi="仿宋_GB2312" w:eastAsia="仿宋_GB2312" w:cs="仿宋_GB2312"/>
          <w:b w:val="0"/>
          <w:bCs w:val="0"/>
          <w:color w:val="000000"/>
          <w:kern w:val="0"/>
          <w:sz w:val="32"/>
          <w:szCs w:val="32"/>
          <w:shd w:val="clear" w:color="auto" w:fill="FFFFFF"/>
          <w:lang w:val="en-US" w:eastAsia="zh-CN"/>
        </w:rPr>
        <w:t>3.20万人次，超出预计人数。</w:t>
      </w:r>
    </w:p>
    <w:p w14:paraId="3D3426A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en-US" w:eastAsia="zh-CN"/>
        </w:rPr>
      </w:pPr>
      <w:r>
        <w:rPr>
          <w:rFonts w:hint="eastAsia" w:eastAsia="黑体"/>
          <w:color w:val="000000"/>
          <w:kern w:val="0"/>
          <w:sz w:val="32"/>
          <w:szCs w:val="32"/>
          <w:shd w:val="clear" w:color="auto" w:fill="FFFFFF"/>
          <w:lang w:val="en-US" w:eastAsia="zh-CN"/>
        </w:rPr>
        <w:t>四、评价结论</w:t>
      </w:r>
    </w:p>
    <w:p w14:paraId="3A1341CE">
      <w:pPr>
        <w:pStyle w:val="6"/>
        <w:keepNext w:val="0"/>
        <w:keepLines w:val="0"/>
        <w:pageBreakBefore w:val="0"/>
        <w:tabs>
          <w:tab w:val="left" w:pos="216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项目围绕产业发展、民生保障等多方面开展科普活动，经费使用合规，活动执行到位，达到预期目标，有效提升公众科学素养。</w:t>
      </w:r>
    </w:p>
    <w:p w14:paraId="106477D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en-US" w:eastAsia="zh-CN"/>
        </w:rPr>
      </w:pPr>
      <w:r>
        <w:rPr>
          <w:rFonts w:hint="eastAsia" w:eastAsia="黑体"/>
          <w:color w:val="000000"/>
          <w:kern w:val="0"/>
          <w:sz w:val="32"/>
          <w:szCs w:val="32"/>
          <w:shd w:val="clear" w:color="auto" w:fill="FFFFFF"/>
          <w:lang w:val="en-US" w:eastAsia="zh-CN"/>
        </w:rPr>
        <w:t>五、存在主要问题</w:t>
      </w:r>
    </w:p>
    <w:p w14:paraId="0E4B0A6F">
      <w:pPr>
        <w:pStyle w:val="6"/>
        <w:keepNext w:val="0"/>
        <w:keepLines w:val="0"/>
        <w:pageBreakBefore w:val="0"/>
        <w:tabs>
          <w:tab w:val="left" w:pos="216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1.科普资源在偏远乡村覆盖仍不足，区域均衡性有待进一步提高。</w:t>
      </w:r>
    </w:p>
    <w:p w14:paraId="7E577030">
      <w:pPr>
        <w:pStyle w:val="6"/>
        <w:keepNext w:val="0"/>
        <w:keepLines w:val="0"/>
        <w:pageBreakBefore w:val="0"/>
        <w:tabs>
          <w:tab w:val="left" w:pos="216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position w:val="0"/>
          <w:sz w:val="32"/>
          <w:szCs w:val="32"/>
          <w:lang w:eastAsia="zh-CN"/>
        </w:rPr>
      </w:pPr>
      <w:r>
        <w:rPr>
          <w:rFonts w:hint="eastAsia" w:hAnsi="仿宋_GB2312" w:cs="仿宋_GB2312"/>
          <w:position w:val="0"/>
          <w:sz w:val="32"/>
          <w:szCs w:val="32"/>
          <w:lang w:val="en-US" w:eastAsia="zh-CN"/>
        </w:rPr>
        <w:t>2.</w:t>
      </w:r>
      <w:r>
        <w:rPr>
          <w:rFonts w:hint="eastAsia" w:ascii="仿宋_GB2312" w:hAnsi="仿宋_GB2312" w:eastAsia="仿宋_GB2312" w:cs="仿宋_GB2312"/>
          <w:position w:val="0"/>
          <w:sz w:val="32"/>
          <w:szCs w:val="32"/>
          <w:lang w:eastAsia="zh-CN"/>
        </w:rPr>
        <w:t>校园科普活动形式创新性不足，对部分学生吸引力有限。</w:t>
      </w:r>
    </w:p>
    <w:p w14:paraId="42641D0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六、改进建议</w:t>
      </w:r>
    </w:p>
    <w:p w14:paraId="52F19B3E">
      <w:pPr>
        <w:pStyle w:val="6"/>
        <w:keepNext w:val="0"/>
        <w:keepLines w:val="0"/>
        <w:pageBreakBefore w:val="0"/>
        <w:tabs>
          <w:tab w:val="left" w:pos="216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预算安排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1.增加对偏远乡村科普资源投入预算，如增设宣传栏、开展流动科普服务，提升区域均衡性。2.预留部分预算用于校园科普活动创新策划，探索新颖活动形式，提高学生参与度。</w:t>
      </w:r>
      <w:r>
        <w:rPr>
          <w:rFonts w:hint="eastAsia" w:hAnsi="仿宋_GB2312" w:cs="仿宋_GB2312"/>
          <w:kern w:val="0"/>
          <w:sz w:val="32"/>
          <w:szCs w:val="32"/>
          <w:lang w:val="en-US" w:eastAsia="zh-CN"/>
        </w:rPr>
        <w:t>3.</w:t>
      </w:r>
      <w:r>
        <w:rPr>
          <w:rFonts w:hint="eastAsia" w:ascii="仿宋_GB2312" w:hAnsi="仿宋_GB2312" w:eastAsia="仿宋_GB2312" w:cs="仿宋_GB2312"/>
          <w:kern w:val="0"/>
          <w:sz w:val="32"/>
          <w:szCs w:val="32"/>
        </w:rPr>
        <w:t>制定鼓励社会力量参与偏远乡村科普工作的政策，吸引更多资源投入，改善科普资源分布不均状况。</w:t>
      </w:r>
    </w:p>
    <w:p w14:paraId="37AA98B7">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lang w:val="en" w:eastAsia="en"/>
        </w:rPr>
      </w:pPr>
      <w:r>
        <w:rPr>
          <w:rFonts w:hint="eastAsia" w:ascii="仿宋_GB2312" w:hAnsi="仿宋_GB2312" w:eastAsia="仿宋_GB2312" w:cs="仿宋_GB2312"/>
          <w:kern w:val="0"/>
          <w:sz w:val="32"/>
          <w:szCs w:val="32"/>
        </w:rPr>
        <w:t>改进管理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1.加强对偏远乡村科普工作的管理与监督，确保资源有效利用，提高覆盖效果。2.定期组织校园科普活动策划人员培训交流，学习先进经验，提升活动创新能力。</w:t>
      </w:r>
    </w:p>
    <w:p w14:paraId="2EF792A8">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eastAsia="zh-CN"/>
        </w:rPr>
      </w:pPr>
    </w:p>
    <w:p w14:paraId="6109CCF3">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附表：1.专项预算绩效自评打分表</w:t>
      </w:r>
    </w:p>
    <w:p w14:paraId="6D23F6F9">
      <w:pPr>
        <w:keepNext w:val="0"/>
        <w:keepLines w:val="0"/>
        <w:pageBreakBefore w:val="0"/>
        <w:kinsoku/>
        <w:wordWrap/>
        <w:overflowPunct/>
        <w:topLinePunct w:val="0"/>
        <w:autoSpaceDE/>
        <w:autoSpaceDN/>
        <w:bidi w:val="0"/>
        <w:snapToGrid w:val="0"/>
        <w:spacing w:line="560" w:lineRule="exact"/>
        <w:ind w:firstLine="1600" w:firstLineChars="5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2.专项预算项目绩效目标完成情况自评表</w:t>
      </w:r>
    </w:p>
    <w:p w14:paraId="1073C846">
      <w:pPr>
        <w:keepNext w:val="0"/>
        <w:keepLines w:val="0"/>
        <w:pageBreakBefore w:val="0"/>
        <w:kinsoku/>
        <w:wordWrap/>
        <w:overflowPunct/>
        <w:topLinePunct w:val="0"/>
        <w:autoSpaceDE/>
        <w:autoSpaceDN/>
        <w:bidi w:val="0"/>
        <w:snapToGrid w:val="0"/>
        <w:spacing w:line="560" w:lineRule="exact"/>
        <w:jc w:val="left"/>
        <w:textAlignment w:val="auto"/>
        <w:rPr>
          <w:rFonts w:hint="eastAsia" w:ascii="仿宋_GB2312" w:hAnsi="仿宋_GB2312" w:eastAsia="仿宋_GB2312" w:cs="仿宋_GB2312"/>
          <w:kern w:val="0"/>
          <w:shd w:val="clear" w:color="auto" w:fill="FFFFFF"/>
        </w:rPr>
      </w:pPr>
      <w:r>
        <w:rPr>
          <w:rFonts w:hint="eastAsia" w:ascii="仿宋_GB2312" w:hAnsi="仿宋_GB2312" w:eastAsia="仿宋_GB2312" w:cs="仿宋_GB2312"/>
          <w:color w:val="000000"/>
          <w:kern w:val="0"/>
          <w:sz w:val="32"/>
          <w:szCs w:val="32"/>
          <w:shd w:val="clear" w:color="auto" w:fill="FFFFFF"/>
          <w:lang w:val="zh-CN" w:eastAsia="zh-CN"/>
        </w:rPr>
        <w:br w:type="page"/>
      </w:r>
    </w:p>
    <w:p w14:paraId="329A3177">
      <w:pPr>
        <w:spacing w:line="578" w:lineRule="exact"/>
        <w:jc w:val="center"/>
        <w:rPr>
          <w:rFonts w:hint="eastAsia" w:ascii="Times New Roman" w:hAnsi="Times New Roman" w:eastAsia="方正小标宋_GBK" w:cs="Times New Roman"/>
          <w:kern w:val="2"/>
          <w:sz w:val="40"/>
          <w:szCs w:val="40"/>
        </w:rPr>
      </w:pPr>
      <w:r>
        <w:rPr>
          <w:rFonts w:hint="eastAsia" w:ascii="Times New Roman" w:hAnsi="Times New Roman" w:eastAsia="方正小标宋_GBK" w:cs="Times New Roman"/>
          <w:kern w:val="2"/>
          <w:sz w:val="40"/>
          <w:szCs w:val="40"/>
        </w:rPr>
        <w:t>专项预算绩效自评打分表</w:t>
      </w:r>
    </w:p>
    <w:tbl>
      <w:tblPr>
        <w:tblStyle w:val="17"/>
        <w:tblW w:w="10901" w:type="dxa"/>
        <w:jc w:val="center"/>
        <w:tblLayout w:type="fixed"/>
        <w:tblCellMar>
          <w:top w:w="0" w:type="dxa"/>
          <w:left w:w="108" w:type="dxa"/>
          <w:bottom w:w="0" w:type="dxa"/>
          <w:right w:w="108" w:type="dxa"/>
        </w:tblCellMar>
      </w:tblPr>
      <w:tblGrid>
        <w:gridCol w:w="93"/>
        <w:gridCol w:w="627"/>
        <w:gridCol w:w="31"/>
        <w:gridCol w:w="734"/>
        <w:gridCol w:w="341"/>
        <w:gridCol w:w="484"/>
        <w:gridCol w:w="1591"/>
        <w:gridCol w:w="487"/>
        <w:gridCol w:w="213"/>
        <w:gridCol w:w="914"/>
        <w:gridCol w:w="2032"/>
        <w:gridCol w:w="938"/>
        <w:gridCol w:w="1216"/>
        <w:gridCol w:w="732"/>
        <w:gridCol w:w="168"/>
        <w:gridCol w:w="300"/>
      </w:tblGrid>
      <w:tr w14:paraId="3DC7AD52">
        <w:tblPrEx>
          <w:tblCellMar>
            <w:top w:w="0" w:type="dxa"/>
            <w:left w:w="108" w:type="dxa"/>
            <w:bottom w:w="0" w:type="dxa"/>
            <w:right w:w="108" w:type="dxa"/>
          </w:tblCellMar>
        </w:tblPrEx>
        <w:trPr>
          <w:trHeight w:val="440" w:hRule="atLeast"/>
          <w:jc w:val="center"/>
        </w:trPr>
        <w:tc>
          <w:tcPr>
            <w:tcW w:w="4601" w:type="dxa"/>
            <w:gridSpan w:val="9"/>
            <w:tcBorders>
              <w:top w:val="single" w:color="000000" w:sz="4" w:space="0"/>
              <w:left w:val="single" w:color="000000" w:sz="4" w:space="0"/>
              <w:bottom w:val="nil"/>
              <w:right w:val="nil"/>
            </w:tcBorders>
            <w:noWrap w:val="0"/>
            <w:vAlign w:val="center"/>
          </w:tcPr>
          <w:p w14:paraId="316B0027">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绩效评价指标</w:t>
            </w:r>
          </w:p>
        </w:tc>
        <w:tc>
          <w:tcPr>
            <w:tcW w:w="510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91ADEE7">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1744FC06">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自评得分</w:t>
            </w:r>
          </w:p>
        </w:tc>
        <w:tc>
          <w:tcPr>
            <w:tcW w:w="468" w:type="dxa"/>
            <w:gridSpan w:val="2"/>
            <w:vMerge w:val="restart"/>
            <w:tcBorders>
              <w:top w:val="single" w:color="000000" w:sz="4" w:space="0"/>
              <w:left w:val="single" w:color="000000" w:sz="4" w:space="0"/>
              <w:bottom w:val="nil"/>
              <w:right w:val="single" w:color="000000" w:sz="4" w:space="0"/>
            </w:tcBorders>
            <w:noWrap w:val="0"/>
            <w:vAlign w:val="center"/>
          </w:tcPr>
          <w:p w14:paraId="25FB2A80">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备注</w:t>
            </w:r>
          </w:p>
        </w:tc>
      </w:tr>
      <w:tr w14:paraId="2309FE4A">
        <w:tblPrEx>
          <w:tblCellMar>
            <w:top w:w="0" w:type="dxa"/>
            <w:left w:w="108" w:type="dxa"/>
            <w:bottom w:w="0" w:type="dxa"/>
            <w:right w:w="108" w:type="dxa"/>
          </w:tblCellMar>
        </w:tblPrEx>
        <w:trPr>
          <w:trHeight w:val="93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7CF5619B">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一级指标</w:t>
            </w:r>
          </w:p>
        </w:tc>
        <w:tc>
          <w:tcPr>
            <w:tcW w:w="1590" w:type="dxa"/>
            <w:gridSpan w:val="4"/>
            <w:tcBorders>
              <w:top w:val="single" w:color="000000" w:sz="4" w:space="0"/>
              <w:left w:val="single" w:color="000000" w:sz="4" w:space="0"/>
              <w:bottom w:val="single" w:color="000000" w:sz="4" w:space="0"/>
              <w:right w:val="single" w:color="000000" w:sz="4" w:space="0"/>
            </w:tcBorders>
            <w:noWrap w:val="0"/>
            <w:vAlign w:val="center"/>
          </w:tcPr>
          <w:p w14:paraId="433FA88D">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二级指标</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1DEE890">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三级指标</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36D1729F">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分值</w:t>
            </w:r>
          </w:p>
        </w:tc>
        <w:tc>
          <w:tcPr>
            <w:tcW w:w="510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D4F28B6">
            <w:pPr>
              <w:rPr>
                <w:rFonts w:hint="eastAsia" w:ascii="仿宋_GB2312" w:hAnsi="仿宋_GB2312" w:eastAsia="仿宋_GB2312" w:cs="仿宋_GB2312"/>
              </w:rPr>
            </w:pPr>
          </w:p>
        </w:tc>
        <w:tc>
          <w:tcPr>
            <w:tcW w:w="732" w:type="dxa"/>
            <w:vMerge w:val="continue"/>
            <w:tcBorders>
              <w:top w:val="nil"/>
              <w:left w:val="single" w:color="000000" w:sz="4" w:space="0"/>
              <w:bottom w:val="single" w:color="000000" w:sz="4" w:space="0"/>
              <w:right w:val="single" w:color="000000" w:sz="4" w:space="0"/>
            </w:tcBorders>
            <w:noWrap w:val="0"/>
            <w:vAlign w:val="center"/>
          </w:tcPr>
          <w:p w14:paraId="351C66F3">
            <w:pPr>
              <w:rPr>
                <w:rFonts w:hint="eastAsia" w:ascii="仿宋_GB2312" w:hAnsi="仿宋_GB2312" w:eastAsia="仿宋_GB2312" w:cs="仿宋_GB2312"/>
              </w:rPr>
            </w:pPr>
          </w:p>
        </w:tc>
        <w:tc>
          <w:tcPr>
            <w:tcW w:w="468" w:type="dxa"/>
            <w:gridSpan w:val="2"/>
            <w:vMerge w:val="continue"/>
            <w:tcBorders>
              <w:top w:val="nil"/>
              <w:left w:val="single" w:color="000000" w:sz="4" w:space="0"/>
              <w:bottom w:val="single" w:color="000000" w:sz="4" w:space="0"/>
              <w:right w:val="single" w:color="000000" w:sz="4" w:space="0"/>
            </w:tcBorders>
            <w:noWrap w:val="0"/>
            <w:vAlign w:val="center"/>
          </w:tcPr>
          <w:p w14:paraId="135A10DB">
            <w:pPr>
              <w:rPr>
                <w:rFonts w:hint="eastAsia" w:ascii="仿宋_GB2312" w:hAnsi="仿宋_GB2312" w:eastAsia="仿宋_GB2312" w:cs="仿宋_GB2312"/>
              </w:rPr>
            </w:pPr>
          </w:p>
        </w:tc>
      </w:tr>
      <w:tr w14:paraId="1CDA0003">
        <w:tblPrEx>
          <w:tblCellMar>
            <w:top w:w="0" w:type="dxa"/>
            <w:left w:w="108" w:type="dxa"/>
            <w:bottom w:w="0" w:type="dxa"/>
            <w:right w:w="108" w:type="dxa"/>
          </w:tblCellMar>
        </w:tblPrEx>
        <w:trPr>
          <w:trHeight w:val="23" w:hRule="atLeast"/>
          <w:jc w:val="center"/>
        </w:trPr>
        <w:tc>
          <w:tcPr>
            <w:tcW w:w="7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88F951">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通用指标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（54分）</w:t>
            </w: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7D3473AB">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项目决策</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（18分）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311C2F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决策程序</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B99A93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7A11E221">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0E2075">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70021003">
            <w:pPr>
              <w:widowControl/>
              <w:spacing w:line="360" w:lineRule="auto"/>
              <w:jc w:val="center"/>
              <w:textAlignment w:val="center"/>
              <w:rPr>
                <w:rFonts w:hint="eastAsia" w:ascii="宋体" w:hAnsi="宋体" w:eastAsia="宋体" w:cs="宋体"/>
                <w:color w:val="000000"/>
                <w:kern w:val="0"/>
                <w:sz w:val="24"/>
                <w:szCs w:val="24"/>
                <w:lang w:bidi="ar"/>
              </w:rPr>
            </w:pPr>
          </w:p>
        </w:tc>
      </w:tr>
      <w:tr w14:paraId="6E87CC44">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D68EBB">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E2D3830">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59D3BD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规划论证</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0FF2C16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2C0EAAEB">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1B8285">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7AA9577F">
            <w:pPr>
              <w:widowControl/>
              <w:spacing w:line="360" w:lineRule="auto"/>
              <w:jc w:val="center"/>
              <w:textAlignment w:val="center"/>
              <w:rPr>
                <w:rFonts w:hint="eastAsia" w:ascii="宋体" w:hAnsi="宋体" w:eastAsia="宋体" w:cs="宋体"/>
                <w:color w:val="000000"/>
                <w:kern w:val="0"/>
                <w:sz w:val="24"/>
                <w:szCs w:val="24"/>
                <w:lang w:bidi="ar"/>
              </w:rPr>
            </w:pPr>
          </w:p>
        </w:tc>
      </w:tr>
      <w:tr w14:paraId="7DB01A8B">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F7FBFE">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269336A">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649A1A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资金投向</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C5B892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7D4AC99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97C5CC">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336E3889">
            <w:pPr>
              <w:widowControl/>
              <w:spacing w:line="360" w:lineRule="auto"/>
              <w:jc w:val="center"/>
              <w:textAlignment w:val="center"/>
              <w:rPr>
                <w:rFonts w:hint="eastAsia" w:ascii="宋体" w:hAnsi="宋体" w:eastAsia="宋体" w:cs="宋体"/>
                <w:color w:val="000000"/>
                <w:kern w:val="0"/>
                <w:sz w:val="24"/>
                <w:szCs w:val="24"/>
                <w:lang w:bidi="ar"/>
              </w:rPr>
            </w:pPr>
          </w:p>
        </w:tc>
      </w:tr>
      <w:tr w14:paraId="3375E299">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915924">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767EE39C">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项目管理</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（18分）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81A0308">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制度办法</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61A40728">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542474B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556406">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1C82346F">
            <w:pPr>
              <w:widowControl/>
              <w:spacing w:line="360" w:lineRule="auto"/>
              <w:jc w:val="center"/>
              <w:textAlignment w:val="center"/>
              <w:rPr>
                <w:rFonts w:hint="eastAsia" w:ascii="宋体" w:hAnsi="宋体" w:eastAsia="宋体" w:cs="宋体"/>
                <w:color w:val="000000"/>
                <w:kern w:val="0"/>
                <w:sz w:val="24"/>
                <w:szCs w:val="24"/>
                <w:lang w:bidi="ar"/>
              </w:rPr>
            </w:pPr>
          </w:p>
        </w:tc>
      </w:tr>
      <w:tr w14:paraId="1E4BFBBB">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254771">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867B115">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15B5EA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分配管理</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6F964B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571A115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964A30">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69056C50">
            <w:pPr>
              <w:widowControl/>
              <w:spacing w:line="360" w:lineRule="auto"/>
              <w:jc w:val="center"/>
              <w:textAlignment w:val="center"/>
              <w:rPr>
                <w:rFonts w:hint="eastAsia" w:ascii="宋体" w:hAnsi="宋体" w:eastAsia="宋体" w:cs="宋体"/>
                <w:color w:val="000000"/>
                <w:kern w:val="0"/>
                <w:sz w:val="24"/>
                <w:szCs w:val="24"/>
                <w:lang w:bidi="ar"/>
              </w:rPr>
            </w:pPr>
          </w:p>
        </w:tc>
      </w:tr>
      <w:tr w14:paraId="559BEFA5">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3164C">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C946736">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7288A352">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绩效监管</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36F494E9">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2DDA9EDD">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03D7C9C">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54D7306E">
            <w:pPr>
              <w:widowControl/>
              <w:spacing w:line="360" w:lineRule="auto"/>
              <w:jc w:val="center"/>
              <w:textAlignment w:val="center"/>
              <w:rPr>
                <w:rFonts w:hint="eastAsia" w:ascii="宋体" w:hAnsi="宋体" w:eastAsia="宋体" w:cs="宋体"/>
                <w:color w:val="000000"/>
                <w:kern w:val="0"/>
                <w:sz w:val="24"/>
                <w:szCs w:val="24"/>
                <w:lang w:bidi="ar"/>
              </w:rPr>
            </w:pPr>
          </w:p>
        </w:tc>
      </w:tr>
      <w:tr w14:paraId="2573AFA3">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67856E">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056F2BA">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项目实施</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（9分）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3C1D9E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预算执行</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ACE5DB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02908005">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F96F37">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223DAE8D">
            <w:pPr>
              <w:widowControl/>
              <w:spacing w:line="360" w:lineRule="auto"/>
              <w:jc w:val="center"/>
              <w:textAlignment w:val="center"/>
              <w:rPr>
                <w:rFonts w:hint="eastAsia" w:ascii="宋体" w:hAnsi="宋体" w:eastAsia="宋体" w:cs="宋体"/>
                <w:color w:val="000000"/>
                <w:kern w:val="0"/>
                <w:sz w:val="24"/>
                <w:szCs w:val="24"/>
                <w:lang w:bidi="ar"/>
              </w:rPr>
            </w:pPr>
          </w:p>
        </w:tc>
      </w:tr>
      <w:tr w14:paraId="0EE4D3A0">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2E41D0">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7102067">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89EFDF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资金使用</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10E360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354D298B">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4A188F">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43D4754D">
            <w:pPr>
              <w:widowControl/>
              <w:spacing w:line="360" w:lineRule="auto"/>
              <w:jc w:val="center"/>
              <w:textAlignment w:val="center"/>
              <w:rPr>
                <w:rFonts w:hint="eastAsia" w:ascii="宋体" w:hAnsi="宋体" w:eastAsia="宋体" w:cs="宋体"/>
                <w:color w:val="000000"/>
                <w:kern w:val="0"/>
                <w:sz w:val="24"/>
                <w:szCs w:val="24"/>
                <w:lang w:bidi="ar"/>
              </w:rPr>
            </w:pPr>
          </w:p>
        </w:tc>
      </w:tr>
      <w:tr w14:paraId="1BFBFE67">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8F2FDA">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EF55833">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项目结果</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（9分）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597EF7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目标完成</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25A6574">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6F7F8FB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8D2865">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51D7DAD3">
            <w:pPr>
              <w:widowControl/>
              <w:spacing w:line="360" w:lineRule="auto"/>
              <w:jc w:val="center"/>
              <w:textAlignment w:val="center"/>
              <w:rPr>
                <w:rFonts w:hint="eastAsia" w:ascii="宋体" w:hAnsi="宋体" w:eastAsia="宋体" w:cs="宋体"/>
                <w:color w:val="000000"/>
                <w:kern w:val="0"/>
                <w:sz w:val="24"/>
                <w:szCs w:val="24"/>
                <w:lang w:bidi="ar"/>
              </w:rPr>
            </w:pPr>
          </w:p>
        </w:tc>
      </w:tr>
      <w:tr w14:paraId="59E3A222">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1F5ECA">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0BB85D0">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F73961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完成时效</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1371D7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48A6F8C0">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5858A9">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0B9C3CD5">
            <w:pPr>
              <w:widowControl/>
              <w:spacing w:line="360" w:lineRule="auto"/>
              <w:jc w:val="center"/>
              <w:textAlignment w:val="center"/>
              <w:rPr>
                <w:rFonts w:hint="eastAsia" w:ascii="宋体" w:hAnsi="宋体" w:eastAsia="宋体" w:cs="宋体"/>
                <w:color w:val="000000"/>
                <w:kern w:val="0"/>
                <w:sz w:val="24"/>
                <w:szCs w:val="24"/>
                <w:lang w:bidi="ar"/>
              </w:rPr>
            </w:pPr>
          </w:p>
        </w:tc>
      </w:tr>
      <w:tr w14:paraId="2B4E2FDA">
        <w:tblPrEx>
          <w:tblCellMar>
            <w:top w:w="0" w:type="dxa"/>
            <w:left w:w="108" w:type="dxa"/>
            <w:bottom w:w="0" w:type="dxa"/>
            <w:right w:w="108" w:type="dxa"/>
          </w:tblCellMar>
        </w:tblPrEx>
        <w:trPr>
          <w:trHeight w:val="23" w:hRule="atLeast"/>
          <w:jc w:val="center"/>
        </w:trPr>
        <w:tc>
          <w:tcPr>
            <w:tcW w:w="7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A7E0E6">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专用指标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6D9D2B6">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产业发展</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F7BA3D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符合性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E7DCCBF">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0ED5CBA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50DB5B">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69070077">
            <w:pPr>
              <w:widowControl/>
              <w:spacing w:line="360" w:lineRule="auto"/>
              <w:jc w:val="center"/>
              <w:textAlignment w:val="center"/>
              <w:rPr>
                <w:rFonts w:hint="eastAsia" w:ascii="宋体" w:hAnsi="宋体" w:eastAsia="宋体" w:cs="宋体"/>
                <w:color w:val="000000"/>
                <w:kern w:val="0"/>
                <w:sz w:val="24"/>
                <w:szCs w:val="24"/>
                <w:lang w:bidi="ar"/>
              </w:rPr>
            </w:pPr>
          </w:p>
        </w:tc>
      </w:tr>
      <w:tr w14:paraId="4B2A7F8E">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FD335F">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DB6C71">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A69E0C5">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成长性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0641C649">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0FD3A725">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52FDBD">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256C813E">
            <w:pPr>
              <w:widowControl/>
              <w:spacing w:line="360" w:lineRule="auto"/>
              <w:jc w:val="center"/>
              <w:textAlignment w:val="center"/>
              <w:rPr>
                <w:rFonts w:hint="eastAsia" w:ascii="宋体" w:hAnsi="宋体" w:eastAsia="宋体" w:cs="宋体"/>
                <w:color w:val="000000"/>
                <w:kern w:val="0"/>
                <w:sz w:val="24"/>
                <w:szCs w:val="24"/>
                <w:lang w:bidi="ar"/>
              </w:rPr>
            </w:pPr>
          </w:p>
        </w:tc>
      </w:tr>
      <w:tr w14:paraId="51A24C89">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7B2D2D">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A2050CD">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E5AAF39">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经济性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204F37F">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68AB91D9">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E81877">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360426B4">
            <w:pPr>
              <w:widowControl/>
              <w:spacing w:line="360" w:lineRule="auto"/>
              <w:jc w:val="center"/>
              <w:textAlignment w:val="center"/>
              <w:rPr>
                <w:rFonts w:hint="eastAsia" w:ascii="宋体" w:hAnsi="宋体" w:eastAsia="宋体" w:cs="宋体"/>
                <w:color w:val="000000"/>
                <w:kern w:val="0"/>
                <w:sz w:val="24"/>
                <w:szCs w:val="24"/>
                <w:lang w:bidi="ar"/>
              </w:rPr>
            </w:pPr>
          </w:p>
        </w:tc>
      </w:tr>
      <w:tr w14:paraId="3FB0B80C">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4FB7DD">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14426ED">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民生保障</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8127F2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区域均衡性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643D7D4">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3E980C9A">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CBA5E7">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31B4A8E4">
            <w:pPr>
              <w:widowControl/>
              <w:spacing w:line="360" w:lineRule="auto"/>
              <w:jc w:val="center"/>
              <w:textAlignment w:val="center"/>
              <w:rPr>
                <w:rFonts w:hint="eastAsia" w:ascii="宋体" w:hAnsi="宋体" w:eastAsia="宋体" w:cs="宋体"/>
                <w:color w:val="000000"/>
                <w:kern w:val="0"/>
                <w:sz w:val="24"/>
                <w:szCs w:val="24"/>
                <w:lang w:bidi="ar"/>
              </w:rPr>
            </w:pPr>
          </w:p>
        </w:tc>
      </w:tr>
      <w:tr w14:paraId="341CBEE7">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A0A663">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C470C74">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B14295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对象精准性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8E2BE8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57473A0D">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786244B">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6EDCF0D4">
            <w:pPr>
              <w:widowControl/>
              <w:spacing w:line="360" w:lineRule="auto"/>
              <w:jc w:val="center"/>
              <w:textAlignment w:val="center"/>
              <w:rPr>
                <w:rFonts w:hint="eastAsia" w:ascii="宋体" w:hAnsi="宋体" w:eastAsia="宋体" w:cs="宋体"/>
                <w:color w:val="000000"/>
                <w:kern w:val="0"/>
                <w:sz w:val="24"/>
                <w:szCs w:val="24"/>
                <w:lang w:bidi="ar"/>
              </w:rPr>
            </w:pPr>
          </w:p>
        </w:tc>
      </w:tr>
      <w:tr w14:paraId="4F09CAF7">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07E9C2">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ACF8207">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10B9CDF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标准合理性</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6A369C3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69602B9B">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944A02">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27BD3359">
            <w:pPr>
              <w:widowControl/>
              <w:spacing w:line="360" w:lineRule="auto"/>
              <w:jc w:val="center"/>
              <w:textAlignment w:val="center"/>
              <w:rPr>
                <w:rFonts w:hint="eastAsia" w:ascii="宋体" w:hAnsi="宋体" w:eastAsia="宋体" w:cs="宋体"/>
                <w:color w:val="000000"/>
                <w:kern w:val="0"/>
                <w:sz w:val="24"/>
                <w:szCs w:val="24"/>
                <w:lang w:bidi="ar"/>
              </w:rPr>
            </w:pPr>
          </w:p>
        </w:tc>
      </w:tr>
      <w:tr w14:paraId="7DE13F08">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1F7B2A">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9E53699">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017261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群众满意度</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6D44D8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23163E9D">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32F6CF">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0C1E486B">
            <w:pPr>
              <w:widowControl/>
              <w:spacing w:line="360" w:lineRule="auto"/>
              <w:jc w:val="center"/>
              <w:textAlignment w:val="center"/>
              <w:rPr>
                <w:rFonts w:hint="eastAsia" w:ascii="宋体" w:hAnsi="宋体" w:eastAsia="宋体" w:cs="宋体"/>
                <w:color w:val="000000"/>
                <w:kern w:val="0"/>
                <w:sz w:val="24"/>
                <w:szCs w:val="24"/>
                <w:lang w:bidi="ar"/>
              </w:rPr>
            </w:pPr>
          </w:p>
        </w:tc>
      </w:tr>
      <w:tr w14:paraId="3027CE00">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53E312">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7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96A78B">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基础</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设施</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7EB9AA">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在建</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项目</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13DAFA2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工程进度</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6F08C09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45D438CB">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0D3134">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0637C680">
            <w:pPr>
              <w:widowControl/>
              <w:spacing w:line="360" w:lineRule="auto"/>
              <w:jc w:val="center"/>
              <w:textAlignment w:val="center"/>
              <w:rPr>
                <w:rFonts w:hint="eastAsia" w:ascii="宋体" w:hAnsi="宋体" w:eastAsia="宋体" w:cs="宋体"/>
                <w:color w:val="000000"/>
                <w:kern w:val="0"/>
                <w:sz w:val="24"/>
                <w:szCs w:val="24"/>
                <w:lang w:bidi="ar"/>
              </w:rPr>
            </w:pPr>
          </w:p>
        </w:tc>
      </w:tr>
      <w:tr w14:paraId="3B07D7A6">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99DE3A">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680E7E">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1BD864">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723DE848">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资金拨付</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B042B28">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0940B24E">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8E16176">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230EB98B">
            <w:pPr>
              <w:widowControl/>
              <w:spacing w:line="360" w:lineRule="auto"/>
              <w:jc w:val="center"/>
              <w:textAlignment w:val="center"/>
              <w:rPr>
                <w:rFonts w:hint="eastAsia" w:ascii="宋体" w:hAnsi="宋体" w:eastAsia="宋体" w:cs="宋体"/>
                <w:color w:val="000000"/>
                <w:kern w:val="0"/>
                <w:sz w:val="24"/>
                <w:szCs w:val="24"/>
                <w:lang w:bidi="ar"/>
              </w:rPr>
            </w:pPr>
          </w:p>
        </w:tc>
      </w:tr>
      <w:tr w14:paraId="41A35F4A">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F48F27">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9E933E">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65D0D3">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建成</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项目</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9180631">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项目验收</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40D1E62">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21A6B455">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5F40A0">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4649E9F4">
            <w:pPr>
              <w:widowControl/>
              <w:spacing w:line="360" w:lineRule="auto"/>
              <w:jc w:val="center"/>
              <w:textAlignment w:val="center"/>
              <w:rPr>
                <w:rFonts w:hint="eastAsia" w:ascii="宋体" w:hAnsi="宋体" w:eastAsia="宋体" w:cs="宋体"/>
                <w:color w:val="000000"/>
                <w:kern w:val="0"/>
                <w:sz w:val="24"/>
                <w:szCs w:val="24"/>
                <w:lang w:bidi="ar"/>
              </w:rPr>
            </w:pPr>
          </w:p>
        </w:tc>
      </w:tr>
      <w:tr w14:paraId="35CC1653">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807A47">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F7912C">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6AF7B6">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577F181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功能实现</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F9BCFD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2FC87D9C">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28680D">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55C70622">
            <w:pPr>
              <w:widowControl/>
              <w:spacing w:line="360" w:lineRule="auto"/>
              <w:jc w:val="center"/>
              <w:textAlignment w:val="center"/>
              <w:rPr>
                <w:rFonts w:hint="eastAsia" w:ascii="宋体" w:hAnsi="宋体" w:eastAsia="宋体" w:cs="宋体"/>
                <w:color w:val="000000"/>
                <w:kern w:val="0"/>
                <w:sz w:val="24"/>
                <w:szCs w:val="24"/>
                <w:lang w:bidi="ar"/>
              </w:rPr>
            </w:pPr>
          </w:p>
        </w:tc>
      </w:tr>
      <w:tr w14:paraId="4FBF1AEC">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7C0A81">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7C34D5">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8089A7">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CB4E13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后续管护</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2E78A1D">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1A80A44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A31040">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080693C1">
            <w:pPr>
              <w:widowControl/>
              <w:spacing w:line="360" w:lineRule="auto"/>
              <w:jc w:val="center"/>
              <w:textAlignment w:val="center"/>
              <w:rPr>
                <w:rFonts w:hint="eastAsia" w:ascii="宋体" w:hAnsi="宋体" w:eastAsia="宋体" w:cs="宋体"/>
                <w:color w:val="000000"/>
                <w:kern w:val="0"/>
                <w:sz w:val="24"/>
                <w:szCs w:val="24"/>
                <w:lang w:bidi="ar"/>
              </w:rPr>
            </w:pPr>
          </w:p>
        </w:tc>
      </w:tr>
      <w:tr w14:paraId="32150D52">
        <w:tblPrEx>
          <w:tblCellMar>
            <w:top w:w="0" w:type="dxa"/>
            <w:left w:w="108" w:type="dxa"/>
            <w:bottom w:w="0" w:type="dxa"/>
            <w:right w:w="108" w:type="dxa"/>
          </w:tblCellMar>
        </w:tblPrEx>
        <w:trPr>
          <w:trHeight w:val="23" w:hRule="atLeast"/>
          <w:jc w:val="center"/>
        </w:trPr>
        <w:tc>
          <w:tcPr>
            <w:tcW w:w="7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9581F1">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专用指标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15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474B286">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行政运转</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（30分）</w:t>
            </w:r>
          </w:p>
        </w:tc>
        <w:tc>
          <w:tcPr>
            <w:tcW w:w="1591" w:type="dxa"/>
            <w:tcBorders>
              <w:top w:val="nil"/>
              <w:left w:val="single" w:color="000000" w:sz="4" w:space="0"/>
              <w:bottom w:val="single" w:color="000000" w:sz="4" w:space="0"/>
              <w:right w:val="single" w:color="000000" w:sz="4" w:space="0"/>
            </w:tcBorders>
            <w:noWrap w:val="0"/>
            <w:vAlign w:val="center"/>
          </w:tcPr>
          <w:p w14:paraId="7FBBE3D9">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用途合规性</w:t>
            </w:r>
          </w:p>
        </w:tc>
        <w:tc>
          <w:tcPr>
            <w:tcW w:w="700" w:type="dxa"/>
            <w:gridSpan w:val="2"/>
            <w:tcBorders>
              <w:top w:val="nil"/>
              <w:left w:val="single" w:color="000000" w:sz="4" w:space="0"/>
              <w:bottom w:val="single" w:color="000000" w:sz="4" w:space="0"/>
              <w:right w:val="single" w:color="000000" w:sz="4" w:space="0"/>
            </w:tcBorders>
            <w:noWrap w:val="0"/>
            <w:vAlign w:val="center"/>
          </w:tcPr>
          <w:p w14:paraId="58F378D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nil"/>
              <w:left w:val="single" w:color="000000" w:sz="4" w:space="0"/>
              <w:bottom w:val="single" w:color="000000" w:sz="4" w:space="0"/>
              <w:right w:val="single" w:color="000000" w:sz="4" w:space="0"/>
            </w:tcBorders>
            <w:noWrap w:val="0"/>
            <w:vAlign w:val="center"/>
          </w:tcPr>
          <w:p w14:paraId="709FEF0A">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3485EBEF">
            <w:pPr>
              <w:widowControl/>
              <w:spacing w:line="360" w:lineRule="auto"/>
              <w:jc w:val="center"/>
              <w:textAlignment w:val="center"/>
              <w:rPr>
                <w:rFonts w:hint="default" w:ascii="宋体" w:hAnsi="宋体" w:eastAsia="宋体" w:cs="宋体"/>
                <w:color w:val="000000"/>
                <w:kern w:val="0"/>
                <w:sz w:val="24"/>
                <w:szCs w:val="24"/>
                <w:lang w:val="en-US" w:eastAsia="zh-CN" w:bidi="ar"/>
              </w:rPr>
            </w:pPr>
          </w:p>
        </w:tc>
        <w:tc>
          <w:tcPr>
            <w:tcW w:w="468" w:type="dxa"/>
            <w:gridSpan w:val="2"/>
            <w:tcBorders>
              <w:top w:val="nil"/>
              <w:left w:val="single" w:color="000000" w:sz="4" w:space="0"/>
              <w:bottom w:val="single" w:color="000000" w:sz="4" w:space="0"/>
              <w:right w:val="single" w:color="000000" w:sz="4" w:space="0"/>
            </w:tcBorders>
            <w:noWrap w:val="0"/>
            <w:vAlign w:val="center"/>
          </w:tcPr>
          <w:p w14:paraId="57F56A4F">
            <w:pPr>
              <w:widowControl/>
              <w:spacing w:line="360" w:lineRule="auto"/>
              <w:jc w:val="center"/>
              <w:textAlignment w:val="center"/>
              <w:rPr>
                <w:rFonts w:hint="eastAsia" w:ascii="宋体" w:hAnsi="宋体" w:eastAsia="宋体" w:cs="宋体"/>
                <w:color w:val="000000"/>
                <w:kern w:val="0"/>
                <w:sz w:val="24"/>
                <w:szCs w:val="24"/>
                <w:lang w:bidi="ar"/>
              </w:rPr>
            </w:pPr>
          </w:p>
        </w:tc>
      </w:tr>
      <w:tr w14:paraId="7014DEDA">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155319">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8EB04CD">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nil"/>
              <w:left w:val="single" w:color="000000" w:sz="4" w:space="0"/>
              <w:bottom w:val="single" w:color="000000" w:sz="4" w:space="0"/>
              <w:right w:val="single" w:color="000000" w:sz="4" w:space="0"/>
            </w:tcBorders>
            <w:noWrap w:val="0"/>
            <w:vAlign w:val="center"/>
          </w:tcPr>
          <w:p w14:paraId="71FDBFA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程序合规性</w:t>
            </w:r>
          </w:p>
        </w:tc>
        <w:tc>
          <w:tcPr>
            <w:tcW w:w="700" w:type="dxa"/>
            <w:gridSpan w:val="2"/>
            <w:tcBorders>
              <w:top w:val="nil"/>
              <w:left w:val="single" w:color="000000" w:sz="4" w:space="0"/>
              <w:bottom w:val="single" w:color="000000" w:sz="4" w:space="0"/>
              <w:right w:val="single" w:color="000000" w:sz="4" w:space="0"/>
            </w:tcBorders>
            <w:noWrap w:val="0"/>
            <w:vAlign w:val="center"/>
          </w:tcPr>
          <w:p w14:paraId="3C2463C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434DF5A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7FB5EB">
            <w:pPr>
              <w:widowControl/>
              <w:spacing w:line="360" w:lineRule="auto"/>
              <w:jc w:val="center"/>
              <w:textAlignment w:val="center"/>
              <w:rPr>
                <w:rFonts w:hint="default" w:ascii="宋体" w:hAnsi="宋体" w:eastAsia="宋体" w:cs="宋体"/>
                <w:color w:val="000000"/>
                <w:kern w:val="0"/>
                <w:sz w:val="24"/>
                <w:szCs w:val="24"/>
                <w:lang w:val="en-US" w:eastAsia="zh-CN"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155C9A86">
            <w:pPr>
              <w:widowControl/>
              <w:spacing w:line="360" w:lineRule="auto"/>
              <w:jc w:val="center"/>
              <w:textAlignment w:val="center"/>
              <w:rPr>
                <w:rFonts w:hint="eastAsia" w:ascii="宋体" w:hAnsi="宋体" w:eastAsia="宋体" w:cs="宋体"/>
                <w:color w:val="000000"/>
                <w:kern w:val="0"/>
                <w:sz w:val="24"/>
                <w:szCs w:val="24"/>
                <w:lang w:bidi="ar"/>
              </w:rPr>
            </w:pPr>
          </w:p>
        </w:tc>
      </w:tr>
      <w:tr w14:paraId="3636CA48">
        <w:tblPrEx>
          <w:tblCellMar>
            <w:top w:w="0" w:type="dxa"/>
            <w:left w:w="108" w:type="dxa"/>
            <w:bottom w:w="0" w:type="dxa"/>
            <w:right w:w="108" w:type="dxa"/>
          </w:tblCellMar>
        </w:tblPrEx>
        <w:trPr>
          <w:trHeight w:val="23" w:hRule="atLeast"/>
          <w:jc w:val="center"/>
        </w:trPr>
        <w:tc>
          <w:tcPr>
            <w:tcW w:w="7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347B3F">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08C0A49">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nil"/>
              <w:left w:val="single" w:color="000000" w:sz="4" w:space="0"/>
              <w:bottom w:val="single" w:color="000000" w:sz="4" w:space="0"/>
              <w:right w:val="single" w:color="000000" w:sz="4" w:space="0"/>
            </w:tcBorders>
            <w:noWrap w:val="0"/>
            <w:vAlign w:val="center"/>
          </w:tcPr>
          <w:p w14:paraId="0517662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标准合规性</w:t>
            </w:r>
          </w:p>
        </w:tc>
        <w:tc>
          <w:tcPr>
            <w:tcW w:w="700" w:type="dxa"/>
            <w:gridSpan w:val="2"/>
            <w:tcBorders>
              <w:top w:val="nil"/>
              <w:left w:val="single" w:color="000000" w:sz="4" w:space="0"/>
              <w:bottom w:val="single" w:color="000000" w:sz="4" w:space="0"/>
              <w:right w:val="single" w:color="000000" w:sz="4" w:space="0"/>
            </w:tcBorders>
            <w:noWrap w:val="0"/>
            <w:vAlign w:val="center"/>
          </w:tcPr>
          <w:p w14:paraId="4B29581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076A41F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0FCF71">
            <w:pPr>
              <w:widowControl/>
              <w:spacing w:line="360" w:lineRule="auto"/>
              <w:jc w:val="center"/>
              <w:textAlignment w:val="center"/>
              <w:rPr>
                <w:rFonts w:hint="default" w:ascii="宋体" w:hAnsi="宋体" w:eastAsia="宋体" w:cs="宋体"/>
                <w:color w:val="000000"/>
                <w:kern w:val="0"/>
                <w:sz w:val="24"/>
                <w:szCs w:val="24"/>
                <w:lang w:val="en-US" w:eastAsia="zh-CN"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50D52771">
            <w:pPr>
              <w:widowControl/>
              <w:spacing w:line="360" w:lineRule="auto"/>
              <w:jc w:val="center"/>
              <w:textAlignment w:val="center"/>
              <w:rPr>
                <w:rFonts w:hint="eastAsia" w:ascii="宋体" w:hAnsi="宋体" w:eastAsia="宋体" w:cs="宋体"/>
                <w:color w:val="000000"/>
                <w:kern w:val="0"/>
                <w:sz w:val="24"/>
                <w:szCs w:val="24"/>
                <w:lang w:bidi="ar"/>
              </w:rPr>
            </w:pPr>
          </w:p>
        </w:tc>
      </w:tr>
      <w:tr w14:paraId="5CC0D38D">
        <w:tblPrEx>
          <w:tblCellMar>
            <w:top w:w="0" w:type="dxa"/>
            <w:left w:w="108" w:type="dxa"/>
            <w:bottom w:w="0" w:type="dxa"/>
            <w:right w:w="108" w:type="dxa"/>
          </w:tblCellMar>
        </w:tblPrEx>
        <w:trPr>
          <w:trHeight w:val="23" w:hRule="atLeast"/>
          <w:jc w:val="center"/>
        </w:trPr>
        <w:tc>
          <w:tcPr>
            <w:tcW w:w="231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02BCCDE">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个性指标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（16分）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80A18B9">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科普人次</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51954D3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5D80C5E2">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  3.2万人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111EF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72F05D65">
            <w:pPr>
              <w:widowControl/>
              <w:spacing w:line="360" w:lineRule="auto"/>
              <w:jc w:val="center"/>
              <w:textAlignment w:val="center"/>
              <w:rPr>
                <w:rFonts w:hint="eastAsia" w:ascii="宋体" w:hAnsi="宋体" w:eastAsia="宋体" w:cs="宋体"/>
                <w:color w:val="000000"/>
                <w:kern w:val="0"/>
                <w:sz w:val="24"/>
                <w:szCs w:val="24"/>
                <w:lang w:bidi="ar"/>
              </w:rPr>
            </w:pPr>
          </w:p>
        </w:tc>
      </w:tr>
      <w:tr w14:paraId="679844B5">
        <w:tblPrEx>
          <w:tblCellMar>
            <w:top w:w="0" w:type="dxa"/>
            <w:left w:w="108" w:type="dxa"/>
            <w:bottom w:w="0" w:type="dxa"/>
            <w:right w:w="108" w:type="dxa"/>
          </w:tblCellMar>
        </w:tblPrEx>
        <w:trPr>
          <w:trHeight w:val="23" w:hRule="atLeast"/>
          <w:jc w:val="center"/>
        </w:trPr>
        <w:tc>
          <w:tcPr>
            <w:tcW w:w="231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28C67B4">
            <w:pPr>
              <w:widowControl/>
              <w:spacing w:line="240" w:lineRule="exact"/>
              <w:jc w:val="center"/>
              <w:textAlignment w:val="center"/>
              <w:rPr>
                <w:rFonts w:hint="eastAsia" w:ascii="宋体" w:hAnsi="Times New Roman" w:eastAsia="宋体" w:cs="宋体"/>
                <w:b/>
                <w:color w:val="000000"/>
                <w:kern w:val="0"/>
                <w:sz w:val="24"/>
                <w:szCs w:val="24"/>
                <w:lang w:bidi="ar"/>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D1F8042">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满意度指标</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9571EB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76196A50">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F16F1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0F857B70">
            <w:pPr>
              <w:widowControl/>
              <w:spacing w:line="360" w:lineRule="auto"/>
              <w:jc w:val="center"/>
              <w:textAlignment w:val="center"/>
              <w:rPr>
                <w:rFonts w:hint="eastAsia" w:ascii="宋体" w:hAnsi="宋体" w:eastAsia="宋体" w:cs="宋体"/>
                <w:color w:val="000000"/>
                <w:kern w:val="0"/>
                <w:sz w:val="24"/>
                <w:szCs w:val="24"/>
                <w:lang w:bidi="ar"/>
              </w:rPr>
            </w:pPr>
          </w:p>
        </w:tc>
      </w:tr>
      <w:tr w14:paraId="42975EF7">
        <w:tblPrEx>
          <w:tblCellMar>
            <w:top w:w="0" w:type="dxa"/>
            <w:left w:w="108" w:type="dxa"/>
            <w:bottom w:w="0" w:type="dxa"/>
            <w:right w:w="108" w:type="dxa"/>
          </w:tblCellMar>
        </w:tblPrEx>
        <w:trPr>
          <w:trHeight w:val="23" w:hRule="atLeast"/>
          <w:jc w:val="center"/>
        </w:trPr>
        <w:tc>
          <w:tcPr>
            <w:tcW w:w="2310" w:type="dxa"/>
            <w:gridSpan w:val="6"/>
            <w:tcBorders>
              <w:top w:val="single" w:color="000000" w:sz="4" w:space="0"/>
              <w:left w:val="single" w:color="000000" w:sz="4" w:space="0"/>
              <w:bottom w:val="single" w:color="000000" w:sz="4" w:space="0"/>
              <w:right w:val="single" w:color="000000" w:sz="4" w:space="0"/>
            </w:tcBorders>
            <w:noWrap w:val="0"/>
            <w:vAlign w:val="center"/>
          </w:tcPr>
          <w:p w14:paraId="6C7583E2">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扣分项</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（10分）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39E6555">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8CAF10D">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5100" w:type="dxa"/>
            <w:gridSpan w:val="4"/>
            <w:tcBorders>
              <w:top w:val="single" w:color="000000" w:sz="4" w:space="0"/>
              <w:left w:val="single" w:color="000000" w:sz="4" w:space="0"/>
              <w:bottom w:val="single" w:color="000000" w:sz="4" w:space="0"/>
              <w:right w:val="single" w:color="000000" w:sz="4" w:space="0"/>
            </w:tcBorders>
            <w:noWrap w:val="0"/>
            <w:vAlign w:val="center"/>
          </w:tcPr>
          <w:p w14:paraId="6D552290">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A904A2">
            <w:pPr>
              <w:widowControl/>
              <w:spacing w:line="360" w:lineRule="auto"/>
              <w:jc w:val="center"/>
              <w:textAlignment w:val="center"/>
              <w:rPr>
                <w:rFonts w:hint="eastAsia" w:ascii="宋体" w:hAnsi="宋体" w:eastAsia="宋体" w:cs="宋体"/>
                <w:color w:val="000000"/>
                <w:kern w:val="0"/>
                <w:sz w:val="24"/>
                <w:szCs w:val="24"/>
                <w:lang w:bidi="ar"/>
              </w:rPr>
            </w:pPr>
          </w:p>
        </w:tc>
        <w:tc>
          <w:tcPr>
            <w:tcW w:w="468" w:type="dxa"/>
            <w:gridSpan w:val="2"/>
            <w:tcBorders>
              <w:top w:val="single" w:color="000000" w:sz="4" w:space="0"/>
              <w:left w:val="single" w:color="000000" w:sz="4" w:space="0"/>
              <w:bottom w:val="single" w:color="000000" w:sz="4" w:space="0"/>
              <w:right w:val="single" w:color="000000" w:sz="4" w:space="0"/>
            </w:tcBorders>
            <w:noWrap w:val="0"/>
            <w:vAlign w:val="center"/>
          </w:tcPr>
          <w:p w14:paraId="783FFE8A">
            <w:pPr>
              <w:widowControl/>
              <w:spacing w:line="360" w:lineRule="auto"/>
              <w:jc w:val="center"/>
              <w:textAlignment w:val="center"/>
              <w:rPr>
                <w:rFonts w:hint="eastAsia" w:ascii="宋体" w:hAnsi="宋体" w:eastAsia="宋体" w:cs="宋体"/>
                <w:color w:val="000000"/>
                <w:kern w:val="0"/>
                <w:sz w:val="24"/>
                <w:szCs w:val="24"/>
                <w:lang w:bidi="ar"/>
              </w:rPr>
            </w:pPr>
          </w:p>
        </w:tc>
      </w:tr>
      <w:tr w14:paraId="5FC9392D">
        <w:tblPrEx>
          <w:tblCellMar>
            <w:top w:w="0" w:type="dxa"/>
            <w:left w:w="108" w:type="dxa"/>
            <w:bottom w:w="0" w:type="dxa"/>
            <w:right w:w="108" w:type="dxa"/>
          </w:tblCellMar>
        </w:tblPrEx>
        <w:trPr>
          <w:trHeight w:val="804" w:hRule="atLeast"/>
          <w:jc w:val="center"/>
        </w:trPr>
        <w:tc>
          <w:tcPr>
            <w:tcW w:w="10901" w:type="dxa"/>
            <w:gridSpan w:val="16"/>
            <w:tcBorders>
              <w:top w:val="single" w:color="000000" w:sz="4" w:space="0"/>
              <w:left w:val="single" w:color="000000" w:sz="4" w:space="0"/>
              <w:bottom w:val="single" w:color="000000" w:sz="4" w:space="0"/>
              <w:right w:val="single" w:color="000000" w:sz="4" w:space="0"/>
            </w:tcBorders>
            <w:noWrap w:val="0"/>
            <w:vAlign w:val="center"/>
          </w:tcPr>
          <w:p w14:paraId="0824FDAD">
            <w:pPr>
              <w:widowControl/>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w:t>
            </w:r>
            <w:r>
              <w:rPr>
                <w:rFonts w:hint="eastAsia" w:ascii="宋体" w:hAnsi="Times New Roman" w:eastAsia="宋体" w:cs="宋体"/>
                <w:color w:val="000000"/>
                <w:kern w:val="0"/>
                <w:sz w:val="24"/>
                <w:szCs w:val="24"/>
                <w:lang w:val="en-US" w:eastAsia="zh-CN" w:bidi="ar"/>
              </w:rPr>
              <w:t xml:space="preserve">     </w:t>
            </w:r>
            <w:r>
              <w:rPr>
                <w:rFonts w:hint="eastAsia" w:ascii="宋体" w:hAnsi="Times New Roman" w:eastAsia="宋体" w:cs="宋体"/>
                <w:color w:val="000000"/>
                <w:kern w:val="0"/>
                <w:sz w:val="24"/>
                <w:szCs w:val="24"/>
                <w:lang w:eastAsia="zh-CN" w:bidi="ar"/>
              </w:rPr>
              <w:t>总分</w:t>
            </w:r>
            <w:r>
              <w:rPr>
                <w:rFonts w:hint="eastAsia" w:ascii="宋体" w:hAnsi="Times New Roman" w:eastAsia="宋体" w:cs="宋体"/>
                <w:color w:val="000000"/>
                <w:kern w:val="0"/>
                <w:sz w:val="24"/>
                <w:szCs w:val="24"/>
                <w:lang w:val="en-US" w:eastAsia="zh-CN" w:bidi="ar"/>
              </w:rPr>
              <w:t xml:space="preserve">                                         82</w:t>
            </w:r>
          </w:p>
        </w:tc>
      </w:tr>
      <w:tr w14:paraId="7A2795D8">
        <w:tblPrEx>
          <w:tblCellMar>
            <w:top w:w="15" w:type="dxa"/>
            <w:left w:w="15" w:type="dxa"/>
            <w:bottom w:w="15" w:type="dxa"/>
            <w:right w:w="15" w:type="dxa"/>
          </w:tblCellMar>
        </w:tblPrEx>
        <w:trPr>
          <w:gridBefore w:val="1"/>
          <w:gridAfter w:val="1"/>
          <w:wBefore w:w="93" w:type="dxa"/>
          <w:wAfter w:w="300" w:type="dxa"/>
          <w:trHeight w:val="576" w:hRule="atLeast"/>
          <w:jc w:val="center"/>
        </w:trPr>
        <w:tc>
          <w:tcPr>
            <w:tcW w:w="10508" w:type="dxa"/>
            <w:gridSpan w:val="14"/>
            <w:tcBorders>
              <w:top w:val="nil"/>
              <w:left w:val="nil"/>
              <w:bottom w:val="nil"/>
              <w:right w:val="nil"/>
            </w:tcBorders>
            <w:noWrap w:val="0"/>
            <w:vAlign w:val="center"/>
          </w:tcPr>
          <w:p w14:paraId="7ED7E420">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03AB4E1F">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399C3A71">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6F8445DA">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6D6C121C">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04C29D72">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296C401B">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5D79A342">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7F9C6E10">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5558B459">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76989E5B">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1FA3D7B0">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480F61ED">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55307775">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0D278141">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126245B6">
            <w:pPr>
              <w:widowControl/>
              <w:spacing w:line="600" w:lineRule="exact"/>
              <w:ind w:firstLine="2000" w:firstLineChars="500"/>
              <w:jc w:val="both"/>
              <w:textAlignment w:val="center"/>
              <w:rPr>
                <w:rFonts w:hint="eastAsia" w:ascii="仿宋_GB2312" w:hAnsi="仿宋_GB2312" w:eastAsia="仿宋_GB2312" w:cs="仿宋_GB2312"/>
                <w:color w:val="000000"/>
                <w:kern w:val="0"/>
                <w:sz w:val="40"/>
                <w:szCs w:val="40"/>
                <w:lang w:bidi="ar"/>
              </w:rPr>
            </w:pPr>
          </w:p>
          <w:p w14:paraId="3EE1587B">
            <w:pPr>
              <w:widowControl/>
              <w:spacing w:line="600" w:lineRule="exact"/>
              <w:ind w:firstLine="2400" w:firstLineChars="600"/>
              <w:jc w:val="both"/>
              <w:textAlignment w:val="center"/>
              <w:rPr>
                <w:rFonts w:hint="eastAsia" w:ascii="仿宋_GB2312" w:hAnsi="仿宋_GB2312" w:eastAsia="仿宋_GB2312" w:cs="仿宋_GB2312"/>
                <w:color w:val="000000"/>
                <w:kern w:val="0"/>
                <w:sz w:val="40"/>
                <w:szCs w:val="40"/>
                <w:lang w:bidi="ar"/>
              </w:rPr>
            </w:pPr>
          </w:p>
          <w:p w14:paraId="4E77B23B">
            <w:pPr>
              <w:widowControl/>
              <w:spacing w:line="600" w:lineRule="exact"/>
              <w:ind w:firstLine="2400" w:firstLineChars="600"/>
              <w:jc w:val="both"/>
              <w:textAlignment w:val="center"/>
              <w:rPr>
                <w:rFonts w:hint="eastAsia" w:ascii="仿宋_GB2312" w:hAnsi="仿宋_GB2312" w:eastAsia="仿宋_GB2312" w:cs="仿宋_GB2312"/>
                <w:color w:val="000000"/>
                <w:kern w:val="0"/>
                <w:sz w:val="40"/>
                <w:szCs w:val="40"/>
                <w:lang w:bidi="ar"/>
              </w:rPr>
            </w:pPr>
          </w:p>
          <w:p w14:paraId="140160AA">
            <w:pPr>
              <w:widowControl/>
              <w:spacing w:line="600" w:lineRule="exact"/>
              <w:ind w:firstLine="2400" w:firstLineChars="600"/>
              <w:jc w:val="both"/>
              <w:textAlignment w:val="center"/>
              <w:rPr>
                <w:rFonts w:hint="eastAsia" w:ascii="仿宋_GB2312" w:hAnsi="仿宋_GB2312" w:eastAsia="仿宋_GB2312" w:cs="仿宋_GB2312"/>
                <w:color w:val="000000"/>
                <w:kern w:val="0"/>
                <w:sz w:val="40"/>
                <w:szCs w:val="40"/>
                <w:lang w:bidi="ar"/>
              </w:rPr>
            </w:pPr>
          </w:p>
          <w:p w14:paraId="4F58442E">
            <w:pPr>
              <w:widowControl/>
              <w:spacing w:line="600" w:lineRule="exact"/>
              <w:ind w:firstLine="2400" w:firstLineChars="600"/>
              <w:jc w:val="both"/>
              <w:textAlignment w:val="center"/>
              <w:rPr>
                <w:rFonts w:hint="eastAsia" w:ascii="仿宋_GB2312" w:hAnsi="仿宋_GB2312" w:eastAsia="仿宋_GB2312" w:cs="仿宋_GB2312"/>
                <w:color w:val="000000"/>
                <w:sz w:val="30"/>
                <w:szCs w:val="30"/>
              </w:rPr>
            </w:pPr>
            <w:r>
              <w:rPr>
                <w:rFonts w:hint="eastAsia" w:eastAsia="方正小标宋简体"/>
                <w:color w:val="000000"/>
                <w:kern w:val="0"/>
                <w:sz w:val="40"/>
                <w:szCs w:val="40"/>
                <w:lang w:bidi="ar"/>
              </w:rPr>
              <w:t>专项预算项目绩效目标完成情况自评表</w:t>
            </w:r>
          </w:p>
        </w:tc>
      </w:tr>
      <w:tr w14:paraId="00235456">
        <w:tblPrEx>
          <w:tblCellMar>
            <w:top w:w="15" w:type="dxa"/>
            <w:left w:w="15" w:type="dxa"/>
            <w:bottom w:w="15" w:type="dxa"/>
            <w:right w:w="15" w:type="dxa"/>
          </w:tblCellMar>
        </w:tblPrEx>
        <w:trPr>
          <w:gridBefore w:val="1"/>
          <w:gridAfter w:val="1"/>
          <w:wBefore w:w="93" w:type="dxa"/>
          <w:wAfter w:w="300" w:type="dxa"/>
          <w:trHeight w:val="621" w:hRule="atLeast"/>
          <w:jc w:val="center"/>
        </w:trPr>
        <w:tc>
          <w:tcPr>
            <w:tcW w:w="4295" w:type="dxa"/>
            <w:gridSpan w:val="7"/>
            <w:tcBorders>
              <w:top w:val="single" w:color="000000" w:sz="4" w:space="0"/>
              <w:left w:val="single" w:color="000000" w:sz="4" w:space="0"/>
              <w:bottom w:val="single" w:color="000000" w:sz="4" w:space="0"/>
              <w:right w:val="single" w:color="000000" w:sz="4" w:space="0"/>
            </w:tcBorders>
            <w:noWrap w:val="0"/>
            <w:vAlign w:val="center"/>
          </w:tcPr>
          <w:p w14:paraId="4D099933">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493786C7">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2023年</w:t>
            </w:r>
            <w:r>
              <w:rPr>
                <w:rFonts w:hint="eastAsia" w:ascii="宋体" w:hAnsi="宋体" w:eastAsia="宋体" w:cs="宋体"/>
                <w:kern w:val="2"/>
                <w:sz w:val="24"/>
                <w:szCs w:val="24"/>
                <w:lang w:eastAsia="zh-CN"/>
              </w:rPr>
              <w:t>度茂县科学技术协会科普工作经费</w:t>
            </w:r>
          </w:p>
        </w:tc>
      </w:tr>
      <w:tr w14:paraId="41A6A67A">
        <w:tblPrEx>
          <w:tblCellMar>
            <w:top w:w="15" w:type="dxa"/>
            <w:left w:w="15" w:type="dxa"/>
            <w:bottom w:w="15" w:type="dxa"/>
            <w:right w:w="15" w:type="dxa"/>
          </w:tblCellMar>
        </w:tblPrEx>
        <w:trPr>
          <w:gridBefore w:val="1"/>
          <w:gridAfter w:val="1"/>
          <w:wBefore w:w="93" w:type="dxa"/>
          <w:wAfter w:w="300" w:type="dxa"/>
          <w:trHeight w:val="622" w:hRule="atLeast"/>
          <w:jc w:val="center"/>
        </w:trPr>
        <w:tc>
          <w:tcPr>
            <w:tcW w:w="4295" w:type="dxa"/>
            <w:gridSpan w:val="7"/>
            <w:tcBorders>
              <w:top w:val="single" w:color="000000" w:sz="4" w:space="0"/>
              <w:left w:val="single" w:color="000000" w:sz="4" w:space="0"/>
              <w:bottom w:val="single" w:color="000000" w:sz="4" w:space="0"/>
              <w:right w:val="single" w:color="000000" w:sz="4" w:space="0"/>
            </w:tcBorders>
            <w:noWrap w:val="0"/>
            <w:vAlign w:val="center"/>
          </w:tcPr>
          <w:p w14:paraId="621FEE89">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预算单位</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214C1435">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茂县科学技术协会</w:t>
            </w:r>
          </w:p>
        </w:tc>
      </w:tr>
      <w:tr w14:paraId="33911E6A">
        <w:tblPrEx>
          <w:tblCellMar>
            <w:top w:w="15" w:type="dxa"/>
            <w:left w:w="15" w:type="dxa"/>
            <w:bottom w:w="15" w:type="dxa"/>
            <w:right w:w="15" w:type="dxa"/>
          </w:tblCellMar>
        </w:tblPrEx>
        <w:trPr>
          <w:gridBefore w:val="1"/>
          <w:gridAfter w:val="1"/>
          <w:wBefore w:w="93" w:type="dxa"/>
          <w:wAfter w:w="300" w:type="dxa"/>
          <w:trHeight w:val="704" w:hRule="atLeast"/>
          <w:jc w:val="center"/>
        </w:trPr>
        <w:tc>
          <w:tcPr>
            <w:tcW w:w="4295" w:type="dxa"/>
            <w:gridSpan w:val="7"/>
            <w:tcBorders>
              <w:top w:val="single" w:color="000000" w:sz="4" w:space="0"/>
              <w:left w:val="single" w:color="000000" w:sz="4" w:space="0"/>
              <w:bottom w:val="single" w:color="000000" w:sz="4" w:space="0"/>
              <w:right w:val="single" w:color="000000" w:sz="4" w:space="0"/>
            </w:tcBorders>
            <w:noWrap w:val="0"/>
            <w:vAlign w:val="center"/>
          </w:tcPr>
          <w:p w14:paraId="533D663D">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项目类型</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693B7D42">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科普资金</w:t>
            </w:r>
          </w:p>
        </w:tc>
      </w:tr>
      <w:tr w14:paraId="3FAD548D">
        <w:tblPrEx>
          <w:tblCellMar>
            <w:top w:w="15" w:type="dxa"/>
            <w:left w:w="15" w:type="dxa"/>
            <w:bottom w:w="15" w:type="dxa"/>
            <w:right w:w="15" w:type="dxa"/>
          </w:tblCellMar>
        </w:tblPrEx>
        <w:trPr>
          <w:gridBefore w:val="1"/>
          <w:gridAfter w:val="1"/>
          <w:wBefore w:w="93" w:type="dxa"/>
          <w:wAfter w:w="300" w:type="dxa"/>
          <w:trHeight w:val="410" w:hRule="atLeast"/>
          <w:jc w:val="center"/>
        </w:trPr>
        <w:tc>
          <w:tcPr>
            <w:tcW w:w="65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A66626">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项目概况</w:t>
            </w: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50BE50E2">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中长期规划（名称、文号，仅指</w:t>
            </w:r>
          </w:p>
          <w:p w14:paraId="65FE1297">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常年项目）</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1EA123A4">
            <w:pPr>
              <w:spacing w:line="360" w:lineRule="auto"/>
              <w:rPr>
                <w:rFonts w:hint="eastAsia" w:ascii="宋体" w:hAnsi="宋体" w:eastAsia="宋体" w:cs="宋体"/>
                <w:kern w:val="2"/>
                <w:sz w:val="24"/>
                <w:szCs w:val="24"/>
              </w:rPr>
            </w:pPr>
          </w:p>
        </w:tc>
      </w:tr>
      <w:tr w14:paraId="7C5D11CB">
        <w:tblPrEx>
          <w:tblCellMar>
            <w:top w:w="15" w:type="dxa"/>
            <w:left w:w="15" w:type="dxa"/>
            <w:bottom w:w="15" w:type="dxa"/>
            <w:right w:w="15" w:type="dxa"/>
          </w:tblCellMar>
        </w:tblPrEx>
        <w:trPr>
          <w:gridBefore w:val="1"/>
          <w:gridAfter w:val="1"/>
          <w:wBefore w:w="93" w:type="dxa"/>
          <w:wAfter w:w="300" w:type="dxa"/>
          <w:trHeight w:val="23"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D2E7C9">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4B59D911">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资金管理办法（名称、文号）</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17CCB3FD">
            <w:pPr>
              <w:spacing w:line="360" w:lineRule="auto"/>
              <w:rPr>
                <w:rFonts w:hint="eastAsia" w:ascii="宋体" w:hAnsi="宋体" w:eastAsia="宋体" w:cs="宋体"/>
                <w:kern w:val="2"/>
                <w:sz w:val="24"/>
                <w:szCs w:val="24"/>
              </w:rPr>
            </w:pPr>
          </w:p>
        </w:tc>
      </w:tr>
      <w:tr w14:paraId="0E59D77C">
        <w:tblPrEx>
          <w:tblCellMar>
            <w:top w:w="15" w:type="dxa"/>
            <w:left w:w="15" w:type="dxa"/>
            <w:bottom w:w="15" w:type="dxa"/>
            <w:right w:w="15" w:type="dxa"/>
          </w:tblCellMar>
        </w:tblPrEx>
        <w:trPr>
          <w:gridBefore w:val="1"/>
          <w:gridAfter w:val="1"/>
          <w:wBefore w:w="93" w:type="dxa"/>
          <w:wAfter w:w="300" w:type="dxa"/>
          <w:trHeight w:val="1362"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041447">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26E51E9D">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绩效分配方式</w:t>
            </w:r>
          </w:p>
        </w:tc>
        <w:tc>
          <w:tcPr>
            <w:tcW w:w="1127" w:type="dxa"/>
            <w:gridSpan w:val="2"/>
            <w:tcBorders>
              <w:top w:val="single" w:color="000000" w:sz="4" w:space="0"/>
              <w:left w:val="single" w:color="000000" w:sz="4" w:space="0"/>
              <w:bottom w:val="single" w:color="000000" w:sz="4" w:space="0"/>
              <w:right w:val="single" w:color="000000" w:sz="4" w:space="0"/>
            </w:tcBorders>
            <w:noWrap w:val="0"/>
            <w:vAlign w:val="center"/>
          </w:tcPr>
          <w:p w14:paraId="5A620BC2">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£因素法</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25C0C1E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8AC0E6C">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sym w:font="Wingdings 2" w:char="0052"/>
            </w:r>
            <w:r>
              <w:rPr>
                <w:rFonts w:hint="eastAsia" w:ascii="宋体" w:hAnsi="宋体" w:eastAsia="宋体" w:cs="宋体"/>
                <w:kern w:val="2"/>
                <w:sz w:val="24"/>
                <w:szCs w:val="24"/>
              </w:rPr>
              <w:t>£据实据效</w:t>
            </w:r>
          </w:p>
        </w:tc>
        <w:tc>
          <w:tcPr>
            <w:tcW w:w="2116" w:type="dxa"/>
            <w:gridSpan w:val="3"/>
            <w:tcBorders>
              <w:top w:val="single" w:color="000000" w:sz="4" w:space="0"/>
              <w:left w:val="single" w:color="000000" w:sz="4" w:space="0"/>
              <w:bottom w:val="single" w:color="000000" w:sz="4" w:space="0"/>
              <w:right w:val="single" w:color="000000" w:sz="4" w:space="0"/>
            </w:tcBorders>
            <w:noWrap w:val="0"/>
            <w:vAlign w:val="center"/>
          </w:tcPr>
          <w:p w14:paraId="2D32598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£因素法与项目法相结合</w:t>
            </w:r>
          </w:p>
        </w:tc>
      </w:tr>
      <w:tr w14:paraId="5AA26CBF">
        <w:tblPrEx>
          <w:tblCellMar>
            <w:top w:w="15" w:type="dxa"/>
            <w:left w:w="15" w:type="dxa"/>
            <w:bottom w:w="15" w:type="dxa"/>
            <w:right w:w="15" w:type="dxa"/>
          </w:tblCellMar>
        </w:tblPrEx>
        <w:trPr>
          <w:gridBefore w:val="1"/>
          <w:gridAfter w:val="1"/>
          <w:wBefore w:w="93" w:type="dxa"/>
          <w:wAfter w:w="300" w:type="dxa"/>
          <w:trHeight w:val="1122"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E5639F">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6D03F4E2">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立项依据</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63CCF81A">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茂科协〔2023]25号</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茂县科学技术协会关于</w:t>
            </w:r>
            <w:r>
              <w:rPr>
                <w:rFonts w:hint="eastAsia" w:ascii="宋体" w:hAnsi="宋体" w:eastAsia="宋体" w:cs="宋体"/>
                <w:kern w:val="2"/>
                <w:sz w:val="24"/>
                <w:szCs w:val="24"/>
                <w:lang w:eastAsia="zh-CN"/>
              </w:rPr>
              <w:t>请求解决</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23</w:t>
            </w:r>
            <w:r>
              <w:rPr>
                <w:rFonts w:hint="eastAsia" w:ascii="宋体" w:hAnsi="宋体" w:eastAsia="宋体" w:cs="宋体"/>
                <w:kern w:val="2"/>
                <w:sz w:val="24"/>
                <w:szCs w:val="24"/>
              </w:rPr>
              <w:t>年</w:t>
            </w:r>
            <w:r>
              <w:rPr>
                <w:rFonts w:hint="eastAsia" w:ascii="宋体" w:hAnsi="宋体" w:eastAsia="宋体" w:cs="宋体"/>
                <w:kern w:val="2"/>
                <w:sz w:val="24"/>
                <w:szCs w:val="24"/>
                <w:lang w:eastAsia="zh-CN"/>
              </w:rPr>
              <w:t>度县级科普</w:t>
            </w:r>
            <w:r>
              <w:rPr>
                <w:rFonts w:hint="eastAsia" w:ascii="宋体" w:hAnsi="宋体" w:eastAsia="宋体" w:cs="宋体"/>
                <w:kern w:val="2"/>
                <w:sz w:val="24"/>
                <w:szCs w:val="24"/>
              </w:rPr>
              <w:t>经费的请示</w:t>
            </w:r>
          </w:p>
        </w:tc>
      </w:tr>
      <w:tr w14:paraId="0BD8770E">
        <w:tblPrEx>
          <w:tblCellMar>
            <w:top w:w="15" w:type="dxa"/>
            <w:left w:w="15" w:type="dxa"/>
            <w:bottom w:w="15" w:type="dxa"/>
            <w:right w:w="15" w:type="dxa"/>
          </w:tblCellMar>
        </w:tblPrEx>
        <w:trPr>
          <w:gridBefore w:val="1"/>
          <w:gridAfter w:val="1"/>
          <w:wBefore w:w="93" w:type="dxa"/>
          <w:wAfter w:w="300" w:type="dxa"/>
          <w:trHeight w:val="771"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E456B2">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4A2785D3">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使用范围</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7DF18D11">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茂县科普工作</w:t>
            </w:r>
          </w:p>
        </w:tc>
      </w:tr>
      <w:tr w14:paraId="5A06E8E5">
        <w:tblPrEx>
          <w:tblCellMar>
            <w:top w:w="15" w:type="dxa"/>
            <w:left w:w="15" w:type="dxa"/>
            <w:bottom w:w="15" w:type="dxa"/>
            <w:right w:w="15" w:type="dxa"/>
          </w:tblCellMar>
        </w:tblPrEx>
        <w:trPr>
          <w:gridBefore w:val="1"/>
          <w:gridAfter w:val="1"/>
          <w:wBefore w:w="93" w:type="dxa"/>
          <w:wAfter w:w="300" w:type="dxa"/>
          <w:trHeight w:val="1807"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34F5F2">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5451B7DE">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申报（补助）条件</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1CEF76AE">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eastAsia="zh-CN"/>
              </w:rPr>
              <w:t>一是</w:t>
            </w:r>
            <w:r>
              <w:rPr>
                <w:rFonts w:hint="eastAsia" w:ascii="宋体" w:hAnsi="宋体" w:eastAsia="宋体" w:cs="宋体"/>
                <w:kern w:val="2"/>
                <w:sz w:val="24"/>
                <w:szCs w:val="24"/>
              </w:rPr>
              <w:t>落实有关财政资金管理，确保项目按照有关规定用款</w:t>
            </w:r>
            <w:r>
              <w:rPr>
                <w:rFonts w:hint="eastAsia" w:ascii="宋体" w:hAnsi="宋体" w:eastAsia="宋体" w:cs="宋体"/>
                <w:kern w:val="2"/>
                <w:sz w:val="24"/>
                <w:szCs w:val="24"/>
                <w:lang w:eastAsia="zh-CN"/>
              </w:rPr>
              <w:t>，二是</w:t>
            </w:r>
            <w:r>
              <w:rPr>
                <w:rFonts w:hint="eastAsia" w:ascii="宋体" w:hAnsi="宋体" w:eastAsia="宋体" w:cs="宋体"/>
                <w:kern w:val="2"/>
                <w:sz w:val="24"/>
                <w:szCs w:val="24"/>
              </w:rPr>
              <w:t>落实项目内控制度，按照要求编制项目绩效管理评价</w:t>
            </w:r>
            <w:r>
              <w:rPr>
                <w:rFonts w:hint="eastAsia" w:ascii="宋体" w:hAnsi="宋体" w:eastAsia="宋体" w:cs="宋体"/>
                <w:kern w:val="2"/>
                <w:sz w:val="24"/>
                <w:szCs w:val="24"/>
                <w:lang w:eastAsia="zh-CN"/>
              </w:rPr>
              <w:t>，三是</w:t>
            </w:r>
            <w:r>
              <w:rPr>
                <w:rFonts w:hint="eastAsia" w:ascii="宋体" w:hAnsi="宋体" w:eastAsia="宋体" w:cs="宋体"/>
                <w:kern w:val="2"/>
                <w:sz w:val="24"/>
                <w:szCs w:val="24"/>
              </w:rPr>
              <w:t>严格执行有关规定，实现项目的质量和效率</w:t>
            </w:r>
          </w:p>
        </w:tc>
      </w:tr>
      <w:tr w14:paraId="0169E9BD">
        <w:tblPrEx>
          <w:tblCellMar>
            <w:top w:w="15" w:type="dxa"/>
            <w:left w:w="15" w:type="dxa"/>
            <w:bottom w:w="15" w:type="dxa"/>
            <w:right w:w="15" w:type="dxa"/>
          </w:tblCellMar>
        </w:tblPrEx>
        <w:trPr>
          <w:gridBefore w:val="1"/>
          <w:gridAfter w:val="1"/>
          <w:wBefore w:w="93" w:type="dxa"/>
          <w:wAfter w:w="300" w:type="dxa"/>
          <w:trHeight w:val="758"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43856B">
            <w:pPr>
              <w:spacing w:line="360" w:lineRule="auto"/>
              <w:rPr>
                <w:rFonts w:hint="eastAsia" w:ascii="宋体" w:hAnsi="宋体" w:eastAsia="宋体" w:cs="宋体"/>
                <w:kern w:val="2"/>
                <w:sz w:val="24"/>
                <w:szCs w:val="24"/>
              </w:rPr>
            </w:pPr>
          </w:p>
        </w:tc>
        <w:tc>
          <w:tcPr>
            <w:tcW w:w="3637" w:type="dxa"/>
            <w:gridSpan w:val="5"/>
            <w:tcBorders>
              <w:top w:val="single" w:color="000000" w:sz="4" w:space="0"/>
              <w:left w:val="single" w:color="000000" w:sz="4" w:space="0"/>
              <w:bottom w:val="single" w:color="000000" w:sz="4" w:space="0"/>
              <w:right w:val="single" w:color="000000" w:sz="4" w:space="0"/>
            </w:tcBorders>
            <w:noWrap w:val="0"/>
            <w:vAlign w:val="center"/>
          </w:tcPr>
          <w:p w14:paraId="3277DAB4">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项目起止年限</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51651C9C">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2023-2024</w:t>
            </w:r>
          </w:p>
        </w:tc>
      </w:tr>
      <w:tr w14:paraId="2B69A205">
        <w:tblPrEx>
          <w:tblCellMar>
            <w:top w:w="15" w:type="dxa"/>
            <w:left w:w="15" w:type="dxa"/>
            <w:bottom w:w="15" w:type="dxa"/>
            <w:right w:w="15" w:type="dxa"/>
          </w:tblCellMar>
        </w:tblPrEx>
        <w:trPr>
          <w:gridBefore w:val="1"/>
          <w:gridAfter w:val="1"/>
          <w:wBefore w:w="93" w:type="dxa"/>
          <w:wAfter w:w="300" w:type="dxa"/>
          <w:trHeight w:val="754" w:hRule="atLeast"/>
          <w:jc w:val="center"/>
        </w:trPr>
        <w:tc>
          <w:tcPr>
            <w:tcW w:w="1733"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5F3E28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项目资金</w:t>
            </w:r>
          </w:p>
          <w:p w14:paraId="5B7CBF3C">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（万元）</w:t>
            </w:r>
          </w:p>
        </w:tc>
        <w:tc>
          <w:tcPr>
            <w:tcW w:w="2562" w:type="dxa"/>
            <w:gridSpan w:val="3"/>
            <w:tcBorders>
              <w:top w:val="single" w:color="000000" w:sz="4" w:space="0"/>
              <w:left w:val="single" w:color="000000" w:sz="4" w:space="0"/>
              <w:bottom w:val="single" w:color="000000" w:sz="4" w:space="0"/>
              <w:right w:val="single" w:color="000000" w:sz="4" w:space="0"/>
            </w:tcBorders>
            <w:noWrap w:val="0"/>
            <w:vAlign w:val="center"/>
          </w:tcPr>
          <w:p w14:paraId="03B15135">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年度资金总额：</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20323997">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3万元</w:t>
            </w:r>
          </w:p>
        </w:tc>
      </w:tr>
      <w:tr w14:paraId="7B8C9E60">
        <w:tblPrEx>
          <w:tblCellMar>
            <w:top w:w="15" w:type="dxa"/>
            <w:left w:w="15" w:type="dxa"/>
            <w:bottom w:w="15" w:type="dxa"/>
            <w:right w:w="15" w:type="dxa"/>
          </w:tblCellMar>
        </w:tblPrEx>
        <w:trPr>
          <w:gridBefore w:val="1"/>
          <w:gridAfter w:val="1"/>
          <w:wBefore w:w="93" w:type="dxa"/>
          <w:wAfter w:w="300" w:type="dxa"/>
          <w:trHeight w:val="855" w:hRule="atLeast"/>
          <w:jc w:val="center"/>
        </w:trPr>
        <w:tc>
          <w:tcPr>
            <w:tcW w:w="173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BF2C984">
            <w:pPr>
              <w:spacing w:line="360" w:lineRule="auto"/>
              <w:rPr>
                <w:rFonts w:hint="eastAsia" w:ascii="宋体" w:hAnsi="宋体" w:eastAsia="宋体" w:cs="宋体"/>
                <w:kern w:val="2"/>
                <w:sz w:val="24"/>
                <w:szCs w:val="24"/>
              </w:rPr>
            </w:pPr>
          </w:p>
        </w:tc>
        <w:tc>
          <w:tcPr>
            <w:tcW w:w="2562" w:type="dxa"/>
            <w:gridSpan w:val="3"/>
            <w:tcBorders>
              <w:top w:val="single" w:color="000000" w:sz="4" w:space="0"/>
              <w:left w:val="single" w:color="000000" w:sz="4" w:space="0"/>
              <w:bottom w:val="single" w:color="000000" w:sz="4" w:space="0"/>
              <w:right w:val="single" w:color="000000" w:sz="4" w:space="0"/>
            </w:tcBorders>
            <w:noWrap w:val="0"/>
            <w:vAlign w:val="center"/>
          </w:tcPr>
          <w:p w14:paraId="78B82962">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 xml:space="preserve">      其中：财政拨款</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0EA7687B">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3万元</w:t>
            </w:r>
          </w:p>
        </w:tc>
      </w:tr>
      <w:tr w14:paraId="11173204">
        <w:tblPrEx>
          <w:tblCellMar>
            <w:top w:w="15" w:type="dxa"/>
            <w:left w:w="15" w:type="dxa"/>
            <w:bottom w:w="15" w:type="dxa"/>
            <w:right w:w="15" w:type="dxa"/>
          </w:tblCellMar>
        </w:tblPrEx>
        <w:trPr>
          <w:gridBefore w:val="1"/>
          <w:gridAfter w:val="1"/>
          <w:wBefore w:w="93" w:type="dxa"/>
          <w:wAfter w:w="300" w:type="dxa"/>
          <w:trHeight w:val="788" w:hRule="atLeast"/>
          <w:jc w:val="center"/>
        </w:trPr>
        <w:tc>
          <w:tcPr>
            <w:tcW w:w="173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571A642">
            <w:pPr>
              <w:spacing w:line="360" w:lineRule="auto"/>
              <w:rPr>
                <w:rFonts w:hint="eastAsia" w:ascii="宋体" w:hAnsi="宋体" w:eastAsia="宋体" w:cs="宋体"/>
                <w:kern w:val="2"/>
                <w:sz w:val="24"/>
                <w:szCs w:val="24"/>
              </w:rPr>
            </w:pPr>
          </w:p>
        </w:tc>
        <w:tc>
          <w:tcPr>
            <w:tcW w:w="2562" w:type="dxa"/>
            <w:gridSpan w:val="3"/>
            <w:tcBorders>
              <w:top w:val="single" w:color="000000" w:sz="4" w:space="0"/>
              <w:left w:val="single" w:color="000000" w:sz="4" w:space="0"/>
              <w:bottom w:val="single" w:color="000000" w:sz="4" w:space="0"/>
              <w:right w:val="single" w:color="000000" w:sz="4" w:space="0"/>
            </w:tcBorders>
            <w:noWrap w:val="0"/>
            <w:vAlign w:val="center"/>
          </w:tcPr>
          <w:p w14:paraId="0905CEC2">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 xml:space="preserve">            其他资金</w:t>
            </w:r>
          </w:p>
        </w:tc>
        <w:tc>
          <w:tcPr>
            <w:tcW w:w="6213" w:type="dxa"/>
            <w:gridSpan w:val="7"/>
            <w:tcBorders>
              <w:top w:val="single" w:color="000000" w:sz="4" w:space="0"/>
              <w:left w:val="single" w:color="000000" w:sz="4" w:space="0"/>
              <w:bottom w:val="single" w:color="000000" w:sz="4" w:space="0"/>
              <w:right w:val="single" w:color="000000" w:sz="4" w:space="0"/>
            </w:tcBorders>
            <w:noWrap w:val="0"/>
            <w:vAlign w:val="center"/>
          </w:tcPr>
          <w:p w14:paraId="61141417">
            <w:pPr>
              <w:spacing w:line="360" w:lineRule="auto"/>
              <w:rPr>
                <w:rFonts w:hint="eastAsia" w:ascii="宋体" w:hAnsi="宋体" w:eastAsia="宋体" w:cs="宋体"/>
                <w:kern w:val="2"/>
                <w:sz w:val="24"/>
                <w:szCs w:val="24"/>
              </w:rPr>
            </w:pPr>
          </w:p>
        </w:tc>
      </w:tr>
      <w:tr w14:paraId="481E3505">
        <w:tblPrEx>
          <w:tblCellMar>
            <w:top w:w="15" w:type="dxa"/>
            <w:left w:w="15" w:type="dxa"/>
            <w:bottom w:w="15" w:type="dxa"/>
            <w:right w:w="15" w:type="dxa"/>
          </w:tblCellMar>
        </w:tblPrEx>
        <w:trPr>
          <w:gridBefore w:val="1"/>
          <w:gridAfter w:val="1"/>
          <w:wBefore w:w="93" w:type="dxa"/>
          <w:wAfter w:w="300" w:type="dxa"/>
          <w:trHeight w:val="738" w:hRule="atLeast"/>
          <w:jc w:val="center"/>
        </w:trPr>
        <w:tc>
          <w:tcPr>
            <w:tcW w:w="65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8580B1">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总体 目标</w:t>
            </w:r>
          </w:p>
        </w:tc>
        <w:tc>
          <w:tcPr>
            <w:tcW w:w="9850" w:type="dxa"/>
            <w:gridSpan w:val="12"/>
            <w:tcBorders>
              <w:top w:val="single" w:color="000000" w:sz="4" w:space="0"/>
              <w:left w:val="single" w:color="000000" w:sz="4" w:space="0"/>
              <w:bottom w:val="single" w:color="000000" w:sz="4" w:space="0"/>
              <w:right w:val="single" w:color="000000" w:sz="4" w:space="0"/>
            </w:tcBorders>
            <w:noWrap w:val="0"/>
            <w:vAlign w:val="center"/>
          </w:tcPr>
          <w:p w14:paraId="3D53EC7C">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年度目标</w:t>
            </w:r>
          </w:p>
        </w:tc>
      </w:tr>
      <w:tr w14:paraId="0B28E1E1">
        <w:tblPrEx>
          <w:tblCellMar>
            <w:top w:w="15" w:type="dxa"/>
            <w:left w:w="15" w:type="dxa"/>
            <w:bottom w:w="15" w:type="dxa"/>
            <w:right w:w="15" w:type="dxa"/>
          </w:tblCellMar>
        </w:tblPrEx>
        <w:trPr>
          <w:gridBefore w:val="1"/>
          <w:gridAfter w:val="1"/>
          <w:wBefore w:w="93" w:type="dxa"/>
          <w:wAfter w:w="300" w:type="dxa"/>
          <w:trHeight w:val="1773" w:hRule="atLeast"/>
          <w:jc w:val="center"/>
        </w:trPr>
        <w:tc>
          <w:tcPr>
            <w:tcW w:w="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6F4A6A">
            <w:pPr>
              <w:spacing w:line="360" w:lineRule="auto"/>
              <w:rPr>
                <w:rFonts w:hint="eastAsia" w:ascii="宋体" w:hAnsi="宋体" w:eastAsia="宋体" w:cs="宋体"/>
                <w:kern w:val="2"/>
                <w:sz w:val="24"/>
                <w:szCs w:val="24"/>
              </w:rPr>
            </w:pPr>
          </w:p>
        </w:tc>
        <w:tc>
          <w:tcPr>
            <w:tcW w:w="9850" w:type="dxa"/>
            <w:gridSpan w:val="12"/>
            <w:tcBorders>
              <w:top w:val="single" w:color="000000" w:sz="4" w:space="0"/>
              <w:left w:val="single" w:color="000000" w:sz="4" w:space="0"/>
              <w:bottom w:val="single" w:color="000000" w:sz="4" w:space="0"/>
              <w:right w:val="single" w:color="000000" w:sz="4" w:space="0"/>
            </w:tcBorders>
            <w:noWrap w:val="0"/>
            <w:vAlign w:val="center"/>
          </w:tcPr>
          <w:p w14:paraId="1C405AB4">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举办科普活动（包含活动策划、设计、开发服务、运营费用），编辑发布科普资源，管理辖区社群运营。全方位、多角度覆盖群众，集中宣传科学知识。  </w:t>
            </w:r>
          </w:p>
        </w:tc>
      </w:tr>
    </w:tbl>
    <w:p w14:paraId="1D49970A">
      <w:pPr>
        <w:spacing w:line="360" w:lineRule="auto"/>
        <w:rPr>
          <w:rFonts w:hint="eastAsia" w:ascii="宋体" w:hAnsi="宋体" w:eastAsia="宋体" w:cs="宋体"/>
          <w:kern w:val="2"/>
          <w:sz w:val="24"/>
          <w:szCs w:val="24"/>
        </w:rPr>
      </w:pPr>
    </w:p>
    <w:tbl>
      <w:tblPr>
        <w:tblStyle w:val="17"/>
        <w:tblW w:w="105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43"/>
        <w:gridCol w:w="1066"/>
        <w:gridCol w:w="1500"/>
        <w:gridCol w:w="1938"/>
        <w:gridCol w:w="546"/>
        <w:gridCol w:w="1216"/>
        <w:gridCol w:w="634"/>
        <w:gridCol w:w="816"/>
        <w:gridCol w:w="1758"/>
      </w:tblGrid>
      <w:tr w14:paraId="59C04A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6" w:hRule="atLeast"/>
          <w:jc w:val="center"/>
        </w:trPr>
        <w:tc>
          <w:tcPr>
            <w:tcW w:w="1043" w:type="dxa"/>
            <w:vMerge w:val="restart"/>
            <w:tcBorders>
              <w:top w:val="single" w:color="000000" w:sz="4" w:space="0"/>
              <w:left w:val="single" w:color="000000" w:sz="4" w:space="0"/>
              <w:bottom w:val="single" w:color="000000" w:sz="4" w:space="0"/>
              <w:right w:val="nil"/>
            </w:tcBorders>
            <w:noWrap w:val="0"/>
            <w:vAlign w:val="center"/>
          </w:tcPr>
          <w:p w14:paraId="7CFAA69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绩效</w:t>
            </w:r>
          </w:p>
          <w:p w14:paraId="2742BFB3">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BDAEAE">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一级指标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FD9640">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二级指标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80140C0">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三级指标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089F63">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指标性质</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6DBAC6A">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指标值</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6E02FFE">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度量单位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097B679">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权重</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4215DB3B">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实际完成指标值</w:t>
            </w:r>
          </w:p>
        </w:tc>
      </w:tr>
      <w:tr w14:paraId="413EF8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224FC421">
            <w:pPr>
              <w:spacing w:line="360" w:lineRule="auto"/>
              <w:rPr>
                <w:rFonts w:hint="eastAsia" w:ascii="宋体" w:hAnsi="宋体" w:eastAsia="宋体" w:cs="宋体"/>
                <w:kern w:val="2"/>
                <w:sz w:val="24"/>
                <w:szCs w:val="24"/>
              </w:rPr>
            </w:pPr>
          </w:p>
        </w:tc>
        <w:tc>
          <w:tcPr>
            <w:tcW w:w="10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275CE">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产出指标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6275BD0">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数量指标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532C7837">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科普人次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554EB67">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6B8F45C">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3万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41875FE">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人次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AEB108">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348AC7DA">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3.3万人次</w:t>
            </w:r>
          </w:p>
        </w:tc>
      </w:tr>
      <w:tr w14:paraId="6324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21E44876">
            <w:pPr>
              <w:spacing w:line="360" w:lineRule="auto"/>
              <w:rPr>
                <w:rFonts w:hint="eastAsia" w:ascii="宋体" w:hAnsi="宋体" w:eastAsia="宋体" w:cs="宋体"/>
                <w:kern w:val="2"/>
                <w:sz w:val="24"/>
                <w:szCs w:val="24"/>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96CE">
            <w:pPr>
              <w:spacing w:line="360" w:lineRule="auto"/>
              <w:rPr>
                <w:rFonts w:hint="eastAsia" w:ascii="宋体" w:hAnsi="宋体" w:eastAsia="宋体" w:cs="宋体"/>
                <w:kern w:val="2"/>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AC32369">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数量指标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8EA2C55">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发放科普资料</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9873391">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2620EDD">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1200 </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781B7DE">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39683B">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2F93A284">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1500份</w:t>
            </w:r>
          </w:p>
        </w:tc>
      </w:tr>
      <w:tr w14:paraId="1A34FE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3"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0E36A21E">
            <w:pPr>
              <w:spacing w:line="360" w:lineRule="auto"/>
              <w:rPr>
                <w:rFonts w:hint="eastAsia" w:ascii="宋体" w:hAnsi="宋体" w:eastAsia="宋体" w:cs="宋体"/>
                <w:kern w:val="2"/>
                <w:sz w:val="24"/>
                <w:szCs w:val="24"/>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0B14F">
            <w:pPr>
              <w:spacing w:line="360" w:lineRule="auto"/>
              <w:rPr>
                <w:rFonts w:hint="eastAsia" w:ascii="宋体" w:hAnsi="宋体" w:eastAsia="宋体" w:cs="宋体"/>
                <w:kern w:val="2"/>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88C4D49">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数量指标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0FD76F44">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青少年受益人数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A520FEB">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DAED202">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840735E">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826DB6">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7B943627">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2.1万人</w:t>
            </w:r>
          </w:p>
        </w:tc>
      </w:tr>
      <w:tr w14:paraId="6F47C9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3"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72A13F49">
            <w:pPr>
              <w:spacing w:line="360" w:lineRule="auto"/>
              <w:rPr>
                <w:rFonts w:hint="eastAsia" w:ascii="宋体" w:hAnsi="宋体" w:eastAsia="宋体" w:cs="宋体"/>
                <w:kern w:val="2"/>
                <w:sz w:val="24"/>
                <w:szCs w:val="24"/>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CF572">
            <w:pPr>
              <w:spacing w:line="360" w:lineRule="auto"/>
              <w:rPr>
                <w:rFonts w:hint="eastAsia" w:ascii="宋体" w:hAnsi="宋体" w:eastAsia="宋体" w:cs="宋体"/>
                <w:kern w:val="2"/>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F03AA3">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质量指标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5667FD2A">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科普场次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B2949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CC2D0ED">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E8686DB">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7ABD7A">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4CD9B76F">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16次</w:t>
            </w:r>
          </w:p>
        </w:tc>
      </w:tr>
      <w:tr w14:paraId="25E574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52BA6609">
            <w:pPr>
              <w:spacing w:line="360" w:lineRule="auto"/>
              <w:rPr>
                <w:rFonts w:hint="eastAsia" w:ascii="宋体" w:hAnsi="宋体" w:eastAsia="宋体" w:cs="宋体"/>
                <w:kern w:val="2"/>
                <w:sz w:val="24"/>
                <w:szCs w:val="24"/>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9FE5">
            <w:pPr>
              <w:spacing w:line="360" w:lineRule="auto"/>
              <w:rPr>
                <w:rFonts w:hint="eastAsia" w:ascii="宋体" w:hAnsi="宋体" w:eastAsia="宋体" w:cs="宋体"/>
                <w:kern w:val="2"/>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C2C616">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时效指标</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3E5F93B4">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完成时间</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B8E5BBE">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定性</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73B9134">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202年12月31日前</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832FB7">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定性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1DA1DF">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2ADAEC04">
            <w:pPr>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完成</w:t>
            </w:r>
          </w:p>
        </w:tc>
      </w:tr>
      <w:tr w14:paraId="475FC8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5" w:hRule="atLeast"/>
          <w:jc w:val="center"/>
        </w:trPr>
        <w:tc>
          <w:tcPr>
            <w:tcW w:w="1043" w:type="dxa"/>
            <w:vMerge w:val="continue"/>
            <w:tcBorders>
              <w:top w:val="single" w:color="000000" w:sz="4" w:space="0"/>
              <w:left w:val="single" w:color="000000" w:sz="4" w:space="0"/>
              <w:bottom w:val="single" w:color="000000" w:sz="4" w:space="0"/>
              <w:right w:val="nil"/>
            </w:tcBorders>
            <w:noWrap w:val="0"/>
            <w:vAlign w:val="center"/>
          </w:tcPr>
          <w:p w14:paraId="63239756">
            <w:pPr>
              <w:widowControl/>
              <w:spacing w:line="360" w:lineRule="auto"/>
              <w:jc w:val="left"/>
              <w:textAlignment w:val="center"/>
              <w:rPr>
                <w:rFonts w:hint="eastAsia" w:ascii="宋体" w:hAnsi="宋体" w:eastAsia="宋体" w:cs="宋体"/>
                <w:color w:val="000000"/>
                <w:kern w:val="0"/>
                <w:sz w:val="24"/>
                <w:szCs w:val="24"/>
                <w:lang w:bidi="ar"/>
              </w:rPr>
            </w:pPr>
          </w:p>
        </w:tc>
        <w:tc>
          <w:tcPr>
            <w:tcW w:w="1066" w:type="dxa"/>
            <w:tcBorders>
              <w:top w:val="single" w:color="000000" w:sz="4" w:space="0"/>
              <w:left w:val="single" w:color="000000" w:sz="4" w:space="0"/>
              <w:bottom w:val="single" w:color="auto" w:sz="4" w:space="0"/>
              <w:right w:val="single" w:color="000000" w:sz="4" w:space="0"/>
            </w:tcBorders>
            <w:noWrap w:val="0"/>
            <w:vAlign w:val="center"/>
          </w:tcPr>
          <w:p w14:paraId="36EBE14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效益指标</w:t>
            </w:r>
          </w:p>
        </w:tc>
        <w:tc>
          <w:tcPr>
            <w:tcW w:w="1500" w:type="dxa"/>
            <w:tcBorders>
              <w:top w:val="single" w:color="000000" w:sz="4" w:space="0"/>
              <w:left w:val="single" w:color="000000" w:sz="4" w:space="0"/>
              <w:bottom w:val="single" w:color="auto" w:sz="4" w:space="0"/>
              <w:right w:val="single" w:color="000000" w:sz="4" w:space="0"/>
            </w:tcBorders>
            <w:noWrap w:val="0"/>
            <w:vAlign w:val="center"/>
          </w:tcPr>
          <w:p w14:paraId="0FF4E494">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社会效益指标</w:t>
            </w:r>
          </w:p>
        </w:tc>
        <w:tc>
          <w:tcPr>
            <w:tcW w:w="1938" w:type="dxa"/>
            <w:tcBorders>
              <w:top w:val="single" w:color="000000" w:sz="4" w:space="0"/>
              <w:left w:val="single" w:color="000000" w:sz="4" w:space="0"/>
              <w:bottom w:val="single" w:color="auto" w:sz="4" w:space="0"/>
              <w:right w:val="single" w:color="000000" w:sz="4" w:space="0"/>
            </w:tcBorders>
            <w:noWrap w:val="0"/>
            <w:vAlign w:val="center"/>
          </w:tcPr>
          <w:p w14:paraId="10E18F4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科普人才队伍成长数量</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A3AA7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0AF1D63">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965245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人</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8A9E2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16F54916">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r>
      <w:tr w14:paraId="22A6EE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5" w:hRule="atLeast"/>
          <w:jc w:val="center"/>
        </w:trPr>
        <w:tc>
          <w:tcPr>
            <w:tcW w:w="1043" w:type="dxa"/>
            <w:vMerge w:val="continue"/>
            <w:tcBorders>
              <w:top w:val="single" w:color="000000" w:sz="4" w:space="0"/>
              <w:left w:val="single" w:color="000000" w:sz="4" w:space="0"/>
              <w:bottom w:val="single" w:color="000000" w:sz="4" w:space="0"/>
              <w:right w:val="single" w:color="auto" w:sz="4" w:space="0"/>
            </w:tcBorders>
            <w:noWrap w:val="0"/>
            <w:vAlign w:val="center"/>
          </w:tcPr>
          <w:p w14:paraId="31C9F3B4">
            <w:pPr>
              <w:widowControl/>
              <w:spacing w:line="360" w:lineRule="auto"/>
              <w:jc w:val="left"/>
              <w:textAlignment w:val="center"/>
              <w:rPr>
                <w:rFonts w:hint="eastAsia" w:ascii="宋体" w:hAnsi="宋体" w:eastAsia="宋体" w:cs="宋体"/>
                <w:color w:val="000000"/>
                <w:kern w:val="0"/>
                <w:sz w:val="24"/>
                <w:szCs w:val="24"/>
                <w:lang w:bidi="ar"/>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38457D4">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满意度</w:t>
            </w:r>
          </w:p>
          <w:p w14:paraId="6AFF7F9C">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指标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97B235">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满意度指标</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F14EA5D">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云平台用户满意度</w:t>
            </w:r>
          </w:p>
        </w:tc>
        <w:tc>
          <w:tcPr>
            <w:tcW w:w="546" w:type="dxa"/>
            <w:tcBorders>
              <w:top w:val="single" w:color="000000" w:sz="4" w:space="0"/>
              <w:left w:val="single" w:color="auto" w:sz="4" w:space="0"/>
              <w:bottom w:val="single" w:color="000000" w:sz="4" w:space="0"/>
              <w:right w:val="single" w:color="000000" w:sz="4" w:space="0"/>
            </w:tcBorders>
            <w:noWrap w:val="0"/>
            <w:vAlign w:val="center"/>
          </w:tcPr>
          <w:p w14:paraId="1E64067F">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3E3C573">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C7ACDC9">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1DA14C">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72F68BB5">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90%</w:t>
            </w:r>
          </w:p>
        </w:tc>
      </w:tr>
    </w:tbl>
    <w:p w14:paraId="267385B5">
      <w:pPr>
        <w:spacing w:line="578" w:lineRule="exact"/>
        <w:rPr>
          <w:rFonts w:eastAsia="黑体"/>
        </w:rPr>
      </w:pPr>
    </w:p>
    <w:p w14:paraId="15C172A7">
      <w:pPr>
        <w:spacing w:line="578" w:lineRule="exact"/>
        <w:rPr>
          <w:rFonts w:eastAsia="黑体"/>
        </w:rPr>
      </w:pPr>
    </w:p>
    <w:p w14:paraId="68E14961">
      <w:pPr>
        <w:spacing w:line="578" w:lineRule="exact"/>
        <w:rPr>
          <w:rFonts w:eastAsia="黑体"/>
        </w:rPr>
      </w:pPr>
    </w:p>
    <w:p w14:paraId="61AA38C7">
      <w:pPr>
        <w:spacing w:line="560" w:lineRule="exact"/>
        <w:jc w:val="both"/>
        <w:rPr>
          <w:rFonts w:hint="eastAsia" w:eastAsia="黑体"/>
          <w:lang w:eastAsia="zh-CN"/>
        </w:rPr>
      </w:pPr>
    </w:p>
    <w:p w14:paraId="28256D12">
      <w:pPr>
        <w:spacing w:line="578" w:lineRule="exact"/>
        <w:rPr>
          <w:rFonts w:hint="eastAsia"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3 </w:t>
      </w:r>
      <w:r>
        <w:rPr>
          <w:rFonts w:hint="eastAsia" w:ascii="Times New Roman" w:hAnsi="Times New Roman" w:eastAsia="黑体" w:cs="Times New Roman"/>
          <w:sz w:val="32"/>
          <w:szCs w:val="32"/>
          <w:lang w:val="en-US" w:eastAsia="zh-CN"/>
        </w:rPr>
        <w:t xml:space="preserve">        </w:t>
      </w:r>
    </w:p>
    <w:p w14:paraId="6BF40140">
      <w:pPr>
        <w:spacing w:line="578" w:lineRule="exact"/>
        <w:rPr>
          <w:rFonts w:hint="eastAsia" w:ascii="Times New Roman" w:hAnsi="Times New Roman" w:eastAsia="黑体" w:cs="Times New Roman"/>
          <w:sz w:val="32"/>
          <w:szCs w:val="32"/>
          <w:lang w:val="en-US" w:eastAsia="zh-CN"/>
        </w:rPr>
      </w:pPr>
    </w:p>
    <w:p w14:paraId="14CCE357">
      <w:pPr>
        <w:spacing w:line="560" w:lineRule="exact"/>
        <w:ind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茂县科学技术协会专项预算</w:t>
      </w:r>
    </w:p>
    <w:p w14:paraId="5F529A7E">
      <w:pPr>
        <w:spacing w:line="560" w:lineRule="exact"/>
        <w:ind w:firstLine="880" w:firstLineChars="200"/>
        <w:jc w:val="center"/>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14:paraId="72AFD0E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宋体" w:eastAsia="黑体"/>
          <w:b/>
          <w:bCs/>
          <w:sz w:val="32"/>
          <w:szCs w:val="40"/>
          <w:highlight w:val="none"/>
        </w:rPr>
      </w:pPr>
    </w:p>
    <w:p w14:paraId="159CDD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一、项目概况</w:t>
      </w:r>
    </w:p>
    <w:p w14:paraId="3D224F5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（一）设立背景及基本情况</w:t>
      </w:r>
    </w:p>
    <w:p w14:paraId="7A434B9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color w:val="auto"/>
          <w:kern w:val="0"/>
          <w:sz w:val="32"/>
          <w:szCs w:val="32"/>
          <w:highlight w:val="none"/>
          <w:u w:val="none"/>
          <w:shd w:val="clear" w:color="auto" w:fill="FFFFFF"/>
          <w:lang w:val="zh-CN"/>
        </w:rPr>
      </w:pPr>
      <w:r>
        <w:rPr>
          <w:rFonts w:hint="eastAsia" w:ascii="仿宋_GB2312" w:hAnsi="仿宋_GB2312" w:eastAsia="仿宋_GB2312" w:cs="仿宋_GB2312"/>
          <w:b w:val="0"/>
          <w:bCs/>
          <w:color w:val="auto"/>
          <w:sz w:val="32"/>
          <w:szCs w:val="32"/>
          <w:highlight w:val="none"/>
          <w:u w:val="none"/>
          <w:lang w:val="zh-CN"/>
        </w:rPr>
        <w:t>根据</w:t>
      </w:r>
      <w:r>
        <w:rPr>
          <w:rFonts w:hint="eastAsia" w:ascii="仿宋_GB2312" w:hAnsi="仿宋_GB2312" w:eastAsia="仿宋_GB2312" w:cs="仿宋_GB2312"/>
          <w:b w:val="0"/>
          <w:bCs/>
          <w:color w:val="auto"/>
          <w:sz w:val="32"/>
          <w:szCs w:val="32"/>
          <w:highlight w:val="none"/>
          <w:u w:val="none"/>
          <w:lang w:val="zh-CN" w:eastAsia="zh-CN"/>
        </w:rPr>
        <w:t>四川省科学技术协会《关于印发各级云服务中心“专职保姆”管理和服务指南（试行）》（川科协发〔2022〕52号）文件、四川省科学技术协会《关于深化“天府科技云服务”助力“四化同步、城乡融合、五区共兴”实施十二项科创行动的决定》（川科协发〔2023〕13号）文件、四川省科学技术协会《关于印发</w:t>
      </w:r>
      <w:r>
        <w:rPr>
          <w:rFonts w:hint="eastAsia" w:ascii="仿宋_GB2312" w:hAnsi="仿宋_GB2312" w:eastAsia="仿宋_GB2312" w:cs="仿宋_GB2312"/>
          <w:b w:val="0"/>
          <w:bCs/>
          <w:color w:val="auto"/>
          <w:sz w:val="32"/>
          <w:szCs w:val="32"/>
          <w:highlight w:val="none"/>
          <w:u w:val="none"/>
          <w:lang w:val="en-US" w:eastAsia="zh-CN"/>
        </w:rPr>
        <w:t>&lt;</w:t>
      </w:r>
      <w:r>
        <w:rPr>
          <w:rFonts w:hint="eastAsia" w:ascii="仿宋_GB2312" w:hAnsi="仿宋_GB2312" w:eastAsia="仿宋_GB2312" w:cs="仿宋_GB2312"/>
          <w:b w:val="0"/>
          <w:bCs/>
          <w:color w:val="auto"/>
          <w:sz w:val="32"/>
          <w:szCs w:val="32"/>
          <w:highlight w:val="none"/>
          <w:u w:val="none"/>
          <w:lang w:val="zh-CN" w:eastAsia="zh-CN"/>
        </w:rPr>
        <w:t>深化天府科技云需求侧“保姆式”服务为企事业单位创造效益的十三项措施</w:t>
      </w:r>
      <w:r>
        <w:rPr>
          <w:rFonts w:hint="eastAsia" w:ascii="仿宋_GB2312" w:hAnsi="仿宋_GB2312" w:eastAsia="仿宋_GB2312" w:cs="仿宋_GB2312"/>
          <w:b w:val="0"/>
          <w:bCs/>
          <w:color w:val="auto"/>
          <w:sz w:val="32"/>
          <w:szCs w:val="32"/>
          <w:highlight w:val="none"/>
          <w:u w:val="none"/>
          <w:lang w:val="en-US" w:eastAsia="zh-CN"/>
        </w:rPr>
        <w:t>&gt;</w:t>
      </w:r>
      <w:r>
        <w:rPr>
          <w:rFonts w:hint="eastAsia" w:ascii="仿宋_GB2312" w:hAnsi="仿宋_GB2312" w:eastAsia="仿宋_GB2312" w:cs="仿宋_GB2312"/>
          <w:b w:val="0"/>
          <w:bCs/>
          <w:color w:val="auto"/>
          <w:sz w:val="32"/>
          <w:szCs w:val="32"/>
          <w:highlight w:val="none"/>
          <w:u w:val="none"/>
          <w:lang w:val="zh-CN" w:eastAsia="zh-CN"/>
        </w:rPr>
        <w:t>的通知》等文件</w:t>
      </w:r>
      <w:r>
        <w:rPr>
          <w:rFonts w:hint="eastAsia" w:ascii="仿宋_GB2312" w:hAnsi="仿宋_GB2312" w:eastAsia="仿宋_GB2312" w:cs="仿宋_GB2312"/>
          <w:b w:val="0"/>
          <w:bCs/>
          <w:color w:val="auto"/>
          <w:sz w:val="32"/>
          <w:szCs w:val="32"/>
          <w:highlight w:val="none"/>
          <w:u w:val="none"/>
          <w:lang w:val="zh-CN"/>
        </w:rPr>
        <w:t>精神，有效推进“天府科技云”科技保姆服务工作。</w:t>
      </w:r>
    </w:p>
    <w:p w14:paraId="7DC05E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（二）</w:t>
      </w:r>
      <w:r>
        <w:rPr>
          <w:rFonts w:hint="eastAsia" w:ascii="仿宋_GB2312" w:hAnsi="仿宋_GB2312" w:eastAsia="仿宋_GB2312" w:cs="仿宋_GB2312"/>
          <w:b/>
          <w:color w:val="auto"/>
          <w:sz w:val="32"/>
          <w:szCs w:val="32"/>
          <w:highlight w:val="none"/>
          <w:u w:val="none"/>
          <w:lang w:val="en-US" w:eastAsia="zh-CN"/>
        </w:rPr>
        <w:t>实施目的及支持方向</w:t>
      </w:r>
    </w:p>
    <w:p w14:paraId="2AEBE60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有效开展全员常态“保姆式”服务，按照省、州科协要求配备“专职保姆”3名，通过购买第三方服务，实现“应配尽配”，持续为</w:t>
      </w:r>
      <w:r>
        <w:rPr>
          <w:rFonts w:hint="eastAsia" w:ascii="仿宋_GB2312" w:hAnsi="仿宋_GB2312" w:eastAsia="仿宋_GB2312" w:cs="仿宋_GB2312"/>
          <w:b w:val="0"/>
          <w:bCs/>
          <w:color w:val="auto"/>
          <w:sz w:val="32"/>
          <w:szCs w:val="32"/>
          <w:highlight w:val="none"/>
          <w:u w:val="none"/>
          <w:lang w:val="zh-CN"/>
        </w:rPr>
        <w:t>“天府科技云”</w:t>
      </w:r>
      <w:r>
        <w:rPr>
          <w:rFonts w:hint="eastAsia" w:ascii="仿宋_GB2312" w:hAnsi="仿宋_GB2312" w:eastAsia="仿宋_GB2312" w:cs="仿宋_GB2312"/>
          <w:b w:val="0"/>
          <w:bCs/>
          <w:color w:val="auto"/>
          <w:sz w:val="32"/>
          <w:szCs w:val="32"/>
          <w:highlight w:val="none"/>
          <w:u w:val="none"/>
          <w:lang w:val="en-US" w:eastAsia="zh-CN"/>
        </w:rPr>
        <w:t>平台引入真实有效的科技服务供给、科技服务需求、助力形成有效科技市场。为达到宣传范围更广、服务群众数量更多的目的，通过会议培训、现场指导、科普活动等方式，向群众宣传、推广、指导下载“天府科技云”APP，利用LED大平台和短信宣传平台，增加群众获取科普知识的载体和途径，促进科学知识宣传普及，对</w:t>
      </w:r>
      <w:r>
        <w:rPr>
          <w:rFonts w:hint="eastAsia" w:ascii="仿宋_GB2312" w:hAnsi="仿宋_GB2312" w:eastAsia="仿宋_GB2312" w:cs="仿宋_GB2312"/>
          <w:b w:val="0"/>
          <w:bCs/>
          <w:color w:val="auto"/>
          <w:sz w:val="32"/>
          <w:szCs w:val="32"/>
          <w:highlight w:val="none"/>
          <w:u w:val="none"/>
          <w:lang w:val="zh-CN"/>
        </w:rPr>
        <w:t>“天府科技云”</w:t>
      </w:r>
      <w:r>
        <w:rPr>
          <w:rFonts w:hint="eastAsia" w:ascii="仿宋_GB2312" w:hAnsi="仿宋_GB2312" w:eastAsia="仿宋_GB2312" w:cs="仿宋_GB2312"/>
          <w:b w:val="0"/>
          <w:bCs/>
          <w:color w:val="auto"/>
          <w:sz w:val="32"/>
          <w:szCs w:val="32"/>
          <w:highlight w:val="none"/>
          <w:u w:val="none"/>
          <w:lang w:val="en-US" w:eastAsia="zh-CN"/>
        </w:rPr>
        <w:t xml:space="preserve">进行重点宣传。                                      </w:t>
      </w:r>
    </w:p>
    <w:p w14:paraId="79B9212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eastAsia="zh-CN"/>
        </w:rPr>
        <w:t>（三）</w:t>
      </w:r>
      <w:r>
        <w:rPr>
          <w:rFonts w:hint="eastAsia" w:ascii="仿宋_GB2312" w:hAnsi="仿宋_GB2312" w:eastAsia="仿宋_GB2312" w:cs="仿宋_GB2312"/>
          <w:b/>
          <w:color w:val="auto"/>
          <w:sz w:val="32"/>
          <w:szCs w:val="32"/>
          <w:highlight w:val="none"/>
          <w:u w:val="none"/>
          <w:lang w:val="en-US" w:eastAsia="zh-CN"/>
        </w:rPr>
        <w:t>预算安排及分配管理</w:t>
      </w:r>
    </w:p>
    <w:p w14:paraId="14F9589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val="0"/>
          <w:bCs/>
          <w:color w:val="auto"/>
          <w:sz w:val="32"/>
          <w:szCs w:val="32"/>
          <w:highlight w:val="none"/>
          <w:u w:val="none"/>
          <w:lang w:val="zh-CN" w:eastAsia="zh-CN"/>
        </w:rPr>
        <w:t>根据四川省财政厅、省科协《关于下达2023年四川省科普专项资金预算通知》（川财教〔2023〕147号）；阿坝州财政局、阿坝州科学技术协会《关于下达2023年四川省科普专项资金预算通知》（阿州财教〔2023〕36号）文件，下达我县一般公共预算项目支出经费17</w:t>
      </w:r>
      <w:r>
        <w:rPr>
          <w:rFonts w:hint="eastAsia" w:ascii="仿宋_GB2312" w:hAnsi="仿宋_GB2312" w:eastAsia="仿宋_GB2312" w:cs="仿宋_GB2312"/>
          <w:b w:val="0"/>
          <w:bCs/>
          <w:color w:val="auto"/>
          <w:sz w:val="32"/>
          <w:szCs w:val="32"/>
          <w:highlight w:val="none"/>
          <w:u w:val="none"/>
          <w:lang w:val="en-US" w:eastAsia="zh-CN"/>
        </w:rPr>
        <w:t>.00</w:t>
      </w:r>
      <w:r>
        <w:rPr>
          <w:rFonts w:hint="eastAsia" w:ascii="仿宋_GB2312" w:hAnsi="仿宋_GB2312" w:eastAsia="仿宋_GB2312" w:cs="仿宋_GB2312"/>
          <w:b w:val="0"/>
          <w:bCs/>
          <w:color w:val="auto"/>
          <w:sz w:val="32"/>
          <w:szCs w:val="32"/>
          <w:highlight w:val="none"/>
          <w:u w:val="none"/>
          <w:lang w:val="zh-CN" w:eastAsia="zh-CN"/>
        </w:rPr>
        <w:t>万元，其中“天府科技云”运维经费17</w:t>
      </w:r>
      <w:r>
        <w:rPr>
          <w:rFonts w:hint="eastAsia" w:ascii="仿宋_GB2312" w:hAnsi="仿宋_GB2312" w:eastAsia="仿宋_GB2312" w:cs="仿宋_GB2312"/>
          <w:b w:val="0"/>
          <w:bCs/>
          <w:color w:val="auto"/>
          <w:sz w:val="32"/>
          <w:szCs w:val="32"/>
          <w:highlight w:val="none"/>
          <w:u w:val="none"/>
          <w:lang w:val="en-US" w:eastAsia="zh-CN"/>
        </w:rPr>
        <w:t>.00</w:t>
      </w:r>
      <w:r>
        <w:rPr>
          <w:rFonts w:hint="eastAsia" w:ascii="仿宋_GB2312" w:hAnsi="仿宋_GB2312" w:eastAsia="仿宋_GB2312" w:cs="仿宋_GB2312"/>
          <w:b w:val="0"/>
          <w:bCs/>
          <w:color w:val="auto"/>
          <w:sz w:val="32"/>
          <w:szCs w:val="32"/>
          <w:highlight w:val="none"/>
          <w:u w:val="none"/>
          <w:lang w:val="zh-CN" w:eastAsia="zh-CN"/>
        </w:rPr>
        <w:t>万元，项目进行中，未完成</w:t>
      </w:r>
      <w:r>
        <w:rPr>
          <w:rFonts w:hint="eastAsia" w:ascii="仿宋_GB2312" w:hAnsi="仿宋_GB2312" w:eastAsia="仿宋_GB2312" w:cs="仿宋_GB2312"/>
          <w:b w:val="0"/>
          <w:bCs/>
          <w:color w:val="auto"/>
          <w:sz w:val="32"/>
          <w:szCs w:val="32"/>
          <w:highlight w:val="none"/>
          <w:u w:val="none"/>
          <w:lang w:val="en-US" w:eastAsia="zh-CN"/>
        </w:rPr>
        <w:t>100％支付</w:t>
      </w:r>
      <w:r>
        <w:rPr>
          <w:rFonts w:hint="eastAsia" w:ascii="仿宋_GB2312" w:hAnsi="仿宋_GB2312" w:eastAsia="仿宋_GB2312" w:cs="仿宋_GB2312"/>
          <w:b w:val="0"/>
          <w:bCs/>
          <w:color w:val="auto"/>
          <w:sz w:val="32"/>
          <w:szCs w:val="32"/>
          <w:highlight w:val="none"/>
          <w:u w:val="none"/>
          <w:lang w:val="zh-CN" w:eastAsia="zh-CN"/>
        </w:rPr>
        <w:t>。主要用于市“天府科技云”服务中心运行维护、购买服务、执行预算、信息系统完善升级、推广使用、操作培训、注册、需求发布、科普浏览、交易及工作室建设、案例建设等方面。经费支出均通过“三重一大”会议集体研究决定，并严格按照项目管理要求全程监督、指导、验收。项目资金拨付严格执行相关财务管理规定，账务处理及时，会计核算规范。</w:t>
      </w:r>
    </w:p>
    <w:tbl>
      <w:tblPr>
        <w:tblStyle w:val="17"/>
        <w:tblW w:w="9527"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755"/>
        <w:gridCol w:w="2805"/>
        <w:gridCol w:w="3090"/>
      </w:tblGrid>
      <w:tr w14:paraId="528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77" w:type="dxa"/>
            <w:noWrap w:val="0"/>
            <w:vAlign w:val="center"/>
          </w:tcPr>
          <w:p w14:paraId="1038C6CA">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实施阶段</w:t>
            </w:r>
          </w:p>
        </w:tc>
        <w:tc>
          <w:tcPr>
            <w:tcW w:w="1755" w:type="dxa"/>
            <w:noWrap w:val="0"/>
            <w:vAlign w:val="center"/>
          </w:tcPr>
          <w:p w14:paraId="22FF5D7D">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经费预算</w:t>
            </w:r>
          </w:p>
          <w:p w14:paraId="1E16877E">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（万元）</w:t>
            </w:r>
          </w:p>
        </w:tc>
        <w:tc>
          <w:tcPr>
            <w:tcW w:w="2805" w:type="dxa"/>
            <w:noWrap w:val="0"/>
            <w:vAlign w:val="center"/>
          </w:tcPr>
          <w:p w14:paraId="48524E56">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目标内容</w:t>
            </w:r>
          </w:p>
        </w:tc>
        <w:tc>
          <w:tcPr>
            <w:tcW w:w="3090" w:type="dxa"/>
            <w:noWrap w:val="0"/>
            <w:vAlign w:val="center"/>
          </w:tcPr>
          <w:p w14:paraId="33335762">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时间跨度</w:t>
            </w:r>
          </w:p>
        </w:tc>
      </w:tr>
      <w:tr w14:paraId="52CD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877" w:type="dxa"/>
            <w:noWrap w:val="0"/>
            <w:vAlign w:val="center"/>
          </w:tcPr>
          <w:p w14:paraId="5F2E16E8">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第一阶段</w:t>
            </w:r>
          </w:p>
        </w:tc>
        <w:tc>
          <w:tcPr>
            <w:tcW w:w="1755" w:type="dxa"/>
            <w:noWrap w:val="0"/>
            <w:vAlign w:val="center"/>
          </w:tcPr>
          <w:p w14:paraId="55803586">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eastAsia" w:ascii="仿宋" w:eastAsia="仿宋"/>
                <w:color w:val="000000"/>
                <w:sz w:val="28"/>
                <w:szCs w:val="28"/>
                <w:lang w:val="en-US" w:eastAsia="zh-CN"/>
              </w:rPr>
              <w:t>15.00</w:t>
            </w:r>
          </w:p>
        </w:tc>
        <w:tc>
          <w:tcPr>
            <w:tcW w:w="2805" w:type="dxa"/>
            <w:noWrap w:val="0"/>
            <w:vAlign w:val="center"/>
          </w:tcPr>
          <w:p w14:paraId="301819F0">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eastAsia" w:ascii="仿宋" w:eastAsia="仿宋" w:cs="仿宋_GB2312"/>
                <w:color w:val="000000"/>
                <w:sz w:val="28"/>
                <w:szCs w:val="28"/>
                <w:lang w:val="en-US" w:eastAsia="zh-CN"/>
              </w:rPr>
              <w:t>购买第三方保姆服务</w:t>
            </w:r>
          </w:p>
        </w:tc>
        <w:tc>
          <w:tcPr>
            <w:tcW w:w="3090" w:type="dxa"/>
            <w:noWrap w:val="0"/>
            <w:vAlign w:val="center"/>
          </w:tcPr>
          <w:p w14:paraId="1C07413E">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default" w:ascii="仿宋" w:eastAsia="仿宋"/>
                <w:color w:val="000000"/>
                <w:kern w:val="2"/>
                <w:sz w:val="28"/>
                <w:szCs w:val="28"/>
                <w:lang w:val="en-US" w:eastAsia="zh-CN" w:bidi="ar-SA"/>
              </w:rPr>
              <w:t>202</w:t>
            </w:r>
            <w:r>
              <w:rPr>
                <w:rFonts w:hint="eastAsia" w:ascii="仿宋" w:eastAsia="仿宋"/>
                <w:color w:val="000000"/>
                <w:kern w:val="2"/>
                <w:sz w:val="28"/>
                <w:szCs w:val="28"/>
                <w:lang w:val="en-US" w:eastAsia="zh-CN" w:bidi="ar-SA"/>
              </w:rPr>
              <w:t>3.</w:t>
            </w:r>
            <w:r>
              <w:rPr>
                <w:rFonts w:hint="default" w:ascii="仿宋" w:eastAsia="仿宋"/>
                <w:color w:val="000000"/>
                <w:kern w:val="2"/>
                <w:sz w:val="28"/>
                <w:szCs w:val="28"/>
                <w:lang w:val="en-US" w:eastAsia="zh-CN" w:bidi="ar-SA"/>
              </w:rPr>
              <w:t>7</w:t>
            </w:r>
            <w:r>
              <w:rPr>
                <w:rFonts w:hint="eastAsia" w:ascii="仿宋" w:eastAsia="仿宋"/>
                <w:color w:val="000000"/>
                <w:kern w:val="2"/>
                <w:sz w:val="28"/>
                <w:szCs w:val="28"/>
                <w:lang w:val="en-US" w:eastAsia="zh-CN" w:bidi="ar-SA"/>
              </w:rPr>
              <w:t>.</w:t>
            </w:r>
            <w:r>
              <w:rPr>
                <w:rFonts w:hint="default" w:ascii="仿宋" w:eastAsia="仿宋"/>
                <w:color w:val="000000"/>
                <w:kern w:val="2"/>
                <w:sz w:val="28"/>
                <w:szCs w:val="28"/>
                <w:lang w:val="en-US" w:eastAsia="zh-CN" w:bidi="ar-SA"/>
              </w:rPr>
              <w:t>1</w:t>
            </w:r>
            <w:r>
              <w:rPr>
                <w:rFonts w:hint="eastAsia" w:ascii="仿宋" w:eastAsia="仿宋"/>
                <w:color w:val="000000"/>
                <w:kern w:val="2"/>
                <w:sz w:val="28"/>
                <w:szCs w:val="28"/>
                <w:lang w:val="en-US" w:eastAsia="zh-CN" w:bidi="ar-SA"/>
              </w:rPr>
              <w:t>.</w:t>
            </w:r>
            <w:r>
              <w:rPr>
                <w:rFonts w:hint="default" w:ascii="仿宋" w:eastAsia="仿宋"/>
                <w:color w:val="000000"/>
                <w:kern w:val="2"/>
                <w:sz w:val="28"/>
                <w:szCs w:val="28"/>
                <w:lang w:val="en-US" w:eastAsia="zh-CN" w:bidi="ar-SA"/>
              </w:rPr>
              <w:t>——202</w:t>
            </w:r>
            <w:r>
              <w:rPr>
                <w:rFonts w:hint="eastAsia" w:ascii="仿宋" w:eastAsia="仿宋"/>
                <w:color w:val="000000"/>
                <w:kern w:val="2"/>
                <w:sz w:val="28"/>
                <w:szCs w:val="28"/>
                <w:lang w:val="en-US" w:eastAsia="zh-CN" w:bidi="ar-SA"/>
              </w:rPr>
              <w:t>4.</w:t>
            </w:r>
            <w:r>
              <w:rPr>
                <w:rFonts w:hint="default" w:ascii="仿宋" w:eastAsia="仿宋"/>
                <w:color w:val="000000"/>
                <w:kern w:val="2"/>
                <w:sz w:val="28"/>
                <w:szCs w:val="28"/>
                <w:lang w:val="en-US" w:eastAsia="zh-CN" w:bidi="ar-SA"/>
              </w:rPr>
              <w:t>6</w:t>
            </w:r>
            <w:r>
              <w:rPr>
                <w:rFonts w:hint="eastAsia" w:ascii="仿宋" w:eastAsia="仿宋"/>
                <w:color w:val="000000"/>
                <w:kern w:val="2"/>
                <w:sz w:val="28"/>
                <w:szCs w:val="28"/>
                <w:lang w:val="en-US" w:eastAsia="zh-CN" w:bidi="ar-SA"/>
              </w:rPr>
              <w:t>.</w:t>
            </w:r>
            <w:r>
              <w:rPr>
                <w:rFonts w:hint="default" w:ascii="仿宋" w:eastAsia="仿宋"/>
                <w:color w:val="000000"/>
                <w:kern w:val="2"/>
                <w:sz w:val="28"/>
                <w:szCs w:val="28"/>
                <w:lang w:val="en-US" w:eastAsia="zh-CN" w:bidi="ar-SA"/>
              </w:rPr>
              <w:t>30</w:t>
            </w:r>
          </w:p>
        </w:tc>
      </w:tr>
      <w:tr w14:paraId="0A22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877" w:type="dxa"/>
            <w:noWrap w:val="0"/>
            <w:vAlign w:val="center"/>
          </w:tcPr>
          <w:p w14:paraId="20BCF146">
            <w:pPr>
              <w:keepNext w:val="0"/>
              <w:keepLines w:val="0"/>
              <w:pageBreakBefore w:val="0"/>
              <w:kinsoku/>
              <w:wordWrap/>
              <w:overflowPunct/>
              <w:topLinePunct w:val="0"/>
              <w:autoSpaceDE/>
              <w:autoSpaceDN/>
              <w:bidi w:val="0"/>
              <w:spacing w:line="560" w:lineRule="exact"/>
              <w:jc w:val="left"/>
              <w:textAlignment w:val="auto"/>
              <w:rPr>
                <w:rFonts w:hint="eastAsia" w:ascii="仿宋" w:eastAsia="仿宋"/>
                <w:color w:val="000000"/>
                <w:sz w:val="28"/>
                <w:szCs w:val="28"/>
              </w:rPr>
            </w:pPr>
            <w:r>
              <w:rPr>
                <w:rFonts w:hint="eastAsia" w:ascii="仿宋" w:eastAsia="仿宋"/>
                <w:color w:val="000000"/>
                <w:sz w:val="28"/>
                <w:szCs w:val="28"/>
              </w:rPr>
              <w:t>第二阶段</w:t>
            </w:r>
          </w:p>
        </w:tc>
        <w:tc>
          <w:tcPr>
            <w:tcW w:w="1755" w:type="dxa"/>
            <w:noWrap w:val="0"/>
            <w:vAlign w:val="center"/>
          </w:tcPr>
          <w:p w14:paraId="6C929F18">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eastAsia" w:ascii="仿宋" w:eastAsia="仿宋"/>
                <w:color w:val="000000"/>
                <w:sz w:val="28"/>
                <w:szCs w:val="28"/>
                <w:lang w:val="en-US" w:eastAsia="zh-CN"/>
              </w:rPr>
              <w:t>2.00</w:t>
            </w:r>
          </w:p>
        </w:tc>
        <w:tc>
          <w:tcPr>
            <w:tcW w:w="2805" w:type="dxa"/>
            <w:noWrap w:val="0"/>
            <w:vAlign w:val="center"/>
          </w:tcPr>
          <w:p w14:paraId="07DE0688">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eastAsia" w:ascii="仿宋" w:eastAsia="仿宋"/>
                <w:color w:val="000000"/>
                <w:w w:val="90"/>
                <w:sz w:val="28"/>
                <w:szCs w:val="28"/>
                <w:lang w:val="en-US" w:eastAsia="zh-CN"/>
              </w:rPr>
              <w:t>服务中心运维经费</w:t>
            </w:r>
          </w:p>
        </w:tc>
        <w:tc>
          <w:tcPr>
            <w:tcW w:w="3090" w:type="dxa"/>
            <w:noWrap w:val="0"/>
            <w:vAlign w:val="center"/>
          </w:tcPr>
          <w:p w14:paraId="36B62694">
            <w:pPr>
              <w:keepNext w:val="0"/>
              <w:keepLines w:val="0"/>
              <w:pageBreakBefore w:val="0"/>
              <w:kinsoku/>
              <w:wordWrap/>
              <w:overflowPunct/>
              <w:topLinePunct w:val="0"/>
              <w:autoSpaceDE/>
              <w:autoSpaceDN/>
              <w:bidi w:val="0"/>
              <w:spacing w:line="560" w:lineRule="exact"/>
              <w:jc w:val="left"/>
              <w:textAlignment w:val="auto"/>
              <w:rPr>
                <w:rFonts w:hint="eastAsia" w:ascii="仿宋" w:hAnsi="Times New Roman" w:eastAsia="仿宋" w:cs="Times New Roman"/>
                <w:color w:val="000000"/>
                <w:kern w:val="2"/>
                <w:sz w:val="28"/>
                <w:szCs w:val="28"/>
                <w:lang w:val="en-US" w:eastAsia="zh-CN" w:bidi="ar-SA"/>
              </w:rPr>
            </w:pPr>
            <w:r>
              <w:rPr>
                <w:rFonts w:hint="eastAsia" w:ascii="仿宋" w:eastAsia="仿宋"/>
                <w:color w:val="000000"/>
                <w:sz w:val="28"/>
                <w:szCs w:val="28"/>
                <w:lang w:val="en-US" w:eastAsia="zh-CN"/>
              </w:rPr>
              <w:t>2023.1.1-2024.1.1</w:t>
            </w:r>
          </w:p>
        </w:tc>
      </w:tr>
    </w:tbl>
    <w:p w14:paraId="19A72E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color w:val="auto"/>
          <w:sz w:val="32"/>
          <w:szCs w:val="32"/>
          <w:highlight w:val="none"/>
          <w:u w:val="none"/>
          <w:lang w:val="zh-CN" w:eastAsia="zh-CN"/>
        </w:rPr>
        <w:t>（四）项目绩效目标设置</w:t>
      </w:r>
    </w:p>
    <w:p w14:paraId="1E614B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lang w:val="zh-CN" w:eastAsia="zh-CN"/>
        </w:rPr>
      </w:pPr>
      <w:r>
        <w:rPr>
          <w:rFonts w:hint="eastAsia" w:ascii="仿宋_GB2312" w:hAnsi="仿宋_GB2312" w:eastAsia="仿宋_GB2312" w:cs="仿宋_GB2312"/>
          <w:sz w:val="32"/>
          <w:szCs w:val="32"/>
          <w:lang w:val="en-US" w:eastAsia="zh-CN"/>
        </w:rPr>
        <w:t>预期成果：有效保障为平台用户提供“保姆式”服务，利用媒体、各类活动开展线上线下宣传，形成学先进、用平台的良好氛围，带动更多的科技工作者、企事业单位上平台、创效益。</w:t>
      </w:r>
    </w:p>
    <w:p w14:paraId="19CAD7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二、评价实施</w:t>
      </w:r>
    </w:p>
    <w:p w14:paraId="4C973647">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（一）评价目的</w:t>
      </w:r>
    </w:p>
    <w:p w14:paraId="0DA1CE0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04362817">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bCs/>
          <w:kern w:val="2"/>
          <w:sz w:val="32"/>
          <w:szCs w:val="32"/>
          <w:lang w:eastAsia="zh-CN"/>
        </w:rPr>
        <w:t>（二）</w:t>
      </w:r>
      <w:r>
        <w:rPr>
          <w:rFonts w:hint="eastAsia" w:ascii="仿宋_GB2312" w:hAnsi="仿宋_GB2312" w:eastAsia="仿宋_GB2312" w:cs="仿宋_GB2312"/>
          <w:b/>
          <w:color w:val="auto"/>
          <w:sz w:val="32"/>
          <w:szCs w:val="32"/>
          <w:highlight w:val="none"/>
          <w:u w:val="none"/>
          <w:lang w:val="zh-CN"/>
        </w:rPr>
        <w:t>预设问题及评价重点</w:t>
      </w:r>
    </w:p>
    <w:p w14:paraId="568694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00C678E6">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（三）评价选点</w:t>
      </w:r>
    </w:p>
    <w:p w14:paraId="595AD7D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u w:val="none"/>
          <w:lang w:val="en-US" w:eastAsia="zh-CN"/>
        </w:rPr>
        <w:t>2023</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color w:val="auto"/>
          <w:kern w:val="2"/>
          <w:sz w:val="32"/>
          <w:szCs w:val="32"/>
          <w:u w:val="none"/>
          <w:lang w:eastAsia="zh-CN"/>
        </w:rPr>
        <w:t>线上加线下</w:t>
      </w:r>
      <w:r>
        <w:rPr>
          <w:rFonts w:hint="eastAsia" w:ascii="仿宋_GB2312" w:hAnsi="仿宋_GB2312" w:eastAsia="仿宋_GB2312" w:cs="仿宋_GB2312"/>
          <w:kern w:val="2"/>
          <w:sz w:val="32"/>
          <w:szCs w:val="32"/>
        </w:rPr>
        <w:t>方式开展。按照有关规定和工作安排，我单位开展自行评估，通过组建评估组，收集被评估项目相关基础资料，并查阅资料、收集数据信息等，</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zh-CN" w:eastAsia="zh-CN"/>
        </w:rPr>
        <w:t>查看天府科技云后台管理系统，</w:t>
      </w:r>
      <w:r>
        <w:rPr>
          <w:rFonts w:hint="eastAsia" w:ascii="仿宋_GB2312" w:hAnsi="仿宋_GB2312" w:eastAsia="仿宋_GB2312" w:cs="仿宋_GB2312"/>
          <w:kern w:val="2"/>
          <w:sz w:val="32"/>
          <w:szCs w:val="32"/>
        </w:rPr>
        <w:t>深入论证分析</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专职保姆工作完成情况、完成时效、完成质量等</w:t>
      </w:r>
      <w:r>
        <w:rPr>
          <w:rFonts w:hint="eastAsia" w:ascii="仿宋_GB2312" w:hAnsi="仿宋_GB2312" w:eastAsia="仿宋_GB2312" w:cs="仿宋_GB2312"/>
          <w:kern w:val="2"/>
          <w:sz w:val="32"/>
          <w:szCs w:val="32"/>
        </w:rPr>
        <w:t>。</w:t>
      </w:r>
    </w:p>
    <w:p w14:paraId="36B2D0A0">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（四）评价方法</w:t>
      </w:r>
    </w:p>
    <w:p w14:paraId="7AD3B50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rPr>
        <w:t>根据项目情况和评价重点，</w:t>
      </w:r>
      <w:r>
        <w:rPr>
          <w:rFonts w:hint="eastAsia" w:ascii="仿宋_GB2312" w:hAnsi="仿宋_GB2312" w:eastAsia="仿宋_GB2312" w:cs="仿宋_GB2312"/>
          <w:b w:val="0"/>
          <w:bCs/>
          <w:color w:val="auto"/>
          <w:sz w:val="32"/>
          <w:szCs w:val="32"/>
          <w:highlight w:val="none"/>
          <w:u w:val="none"/>
          <w:lang w:val="zh-CN" w:eastAsia="zh-CN"/>
        </w:rPr>
        <w:t>主要采用</w:t>
      </w:r>
      <w:r>
        <w:rPr>
          <w:rFonts w:hint="eastAsia" w:ascii="仿宋_GB2312" w:hAnsi="仿宋_GB2312" w:eastAsia="仿宋_GB2312" w:cs="仿宋_GB2312"/>
          <w:b w:val="0"/>
          <w:bCs/>
          <w:color w:val="auto"/>
          <w:sz w:val="32"/>
          <w:szCs w:val="32"/>
          <w:highlight w:val="none"/>
          <w:u w:val="none"/>
          <w:lang w:val="zh-CN"/>
        </w:rPr>
        <w:t>单位自评法</w:t>
      </w:r>
      <w:r>
        <w:rPr>
          <w:rFonts w:hint="eastAsia" w:ascii="仿宋_GB2312" w:hAnsi="仿宋_GB2312" w:eastAsia="仿宋_GB2312" w:cs="仿宋_GB2312"/>
          <w:b w:val="0"/>
          <w:bCs/>
          <w:color w:val="auto"/>
          <w:sz w:val="32"/>
          <w:szCs w:val="32"/>
          <w:highlight w:val="none"/>
          <w:u w:val="none"/>
          <w:lang w:val="zh-CN" w:eastAsia="zh-CN"/>
        </w:rPr>
        <w:t>，项目采取县自评与州级汇总相结合的方式，结合评价内容，做到有计划、有安排。按照上级下达的项目支出绩效评价指标体系，针对建设内容、实施情况、资金兑现、财务管理、社会效益等做出自评。</w:t>
      </w:r>
    </w:p>
    <w:p w14:paraId="1EB08D28">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color w:val="auto"/>
          <w:sz w:val="32"/>
          <w:szCs w:val="32"/>
          <w:highlight w:val="none"/>
          <w:u w:val="none"/>
          <w:lang w:val="zh-CN" w:eastAsia="zh-CN"/>
        </w:rPr>
        <w:t>（五）</w:t>
      </w:r>
      <w:r>
        <w:rPr>
          <w:rFonts w:hint="eastAsia" w:ascii="仿宋_GB2312" w:hAnsi="仿宋_GB2312" w:eastAsia="仿宋_GB2312" w:cs="仿宋_GB2312"/>
          <w:b/>
          <w:bCs w:val="0"/>
          <w:color w:val="auto"/>
          <w:sz w:val="32"/>
          <w:szCs w:val="32"/>
          <w:highlight w:val="none"/>
          <w:u w:val="none"/>
          <w:lang w:val="zh-CN"/>
        </w:rPr>
        <w:t>评价组织</w:t>
      </w:r>
    </w:p>
    <w:p w14:paraId="20310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color w:val="auto"/>
          <w:sz w:val="32"/>
          <w:szCs w:val="32"/>
          <w:highlight w:val="none"/>
          <w:u w:val="none"/>
          <w:lang w:val="zh-CN" w:eastAsia="zh-CN"/>
        </w:rPr>
        <w:t>评价组人员由单位负责人、分管领导及业务科室负责人组成；单位负责人牵头负责，分管领导组织业务科室自行评价。自评结果报州科协，并结合指标体系认真做好汇总自评工作。</w:t>
      </w:r>
    </w:p>
    <w:p w14:paraId="00CA1A5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eastAsia="黑体"/>
          <w:color w:val="000000"/>
          <w:kern w:val="0"/>
          <w:sz w:val="32"/>
          <w:szCs w:val="32"/>
          <w:shd w:val="clear" w:color="auto" w:fill="FFFFFF"/>
          <w:lang w:val="zh-CN" w:eastAsia="zh-CN"/>
        </w:rPr>
        <w:t>三、绩效分析</w:t>
      </w:r>
      <w:r>
        <w:rPr>
          <w:rFonts w:hint="eastAsia" w:eastAsia="黑体"/>
          <w:color w:val="000000"/>
          <w:kern w:val="0"/>
          <w:sz w:val="32"/>
          <w:szCs w:val="32"/>
          <w:shd w:val="clear" w:color="auto" w:fill="FFFFFF"/>
          <w:lang w:val="zh-CN" w:eastAsia="zh-CN"/>
        </w:rPr>
        <w:tab/>
      </w:r>
    </w:p>
    <w:p w14:paraId="634847D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（一）</w:t>
      </w:r>
      <w:r>
        <w:rPr>
          <w:rFonts w:hint="eastAsia" w:ascii="仿宋_GB2312" w:hAnsi="仿宋_GB2312" w:eastAsia="仿宋_GB2312" w:cs="仿宋_GB2312"/>
          <w:b/>
          <w:color w:val="auto"/>
          <w:sz w:val="32"/>
          <w:szCs w:val="32"/>
          <w:highlight w:val="none"/>
          <w:u w:val="none"/>
          <w:lang w:val="en-US" w:eastAsia="zh-CN"/>
        </w:rPr>
        <w:t>通用指标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34EC762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项目决策。按照</w:t>
      </w:r>
      <w:r>
        <w:rPr>
          <w:rFonts w:hint="eastAsia" w:ascii="仿宋_GB2312" w:hAnsi="仿宋_GB2312" w:eastAsia="仿宋_GB2312" w:cs="仿宋_GB2312"/>
          <w:color w:val="auto"/>
          <w:sz w:val="32"/>
          <w:szCs w:val="32"/>
          <w:lang w:val="zh-CN" w:eastAsia="zh-CN"/>
        </w:rPr>
        <w:t>省科协和财政厅发布的项目指南，经项目申报、组织评审、提出方案、审批备案等程序确定。制定项目验收实施细则，组织开展验收工作，专项资金按照“谁使用、谁负责”的原则。</w:t>
      </w:r>
    </w:p>
    <w:p w14:paraId="6BBE684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w:t>
      </w:r>
      <w:r>
        <w:rPr>
          <w:rFonts w:hint="eastAsia" w:ascii="仿宋_GB2312" w:hAnsi="仿宋_GB2312" w:eastAsia="仿宋_GB2312" w:cs="仿宋_GB2312"/>
          <w:kern w:val="2"/>
          <w:sz w:val="32"/>
          <w:szCs w:val="32"/>
          <w:lang w:eastAsia="zh-CN"/>
        </w:rPr>
        <w:t>该项目已</w:t>
      </w:r>
      <w:r>
        <w:rPr>
          <w:rFonts w:hint="eastAsia" w:ascii="仿宋_GB2312" w:hAns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hAnsi="仿宋_GB2312" w:eastAsia="仿宋_GB2312" w:cs="仿宋_GB2312"/>
          <w:kern w:val="2"/>
          <w:sz w:val="32"/>
          <w:szCs w:val="32"/>
          <w:lang w:eastAsia="zh-CN"/>
        </w:rPr>
        <w:t>。</w:t>
      </w:r>
    </w:p>
    <w:p w14:paraId="35D272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实施。2021年预算安排25.00万元，实际执行25.00万元；2022年预算安排23.00万元，实际执行20.39万元;2023年拟申请资金下达17.00万元，较上年下降6.00万元，下降的主要原因为：上级统筹安排。一是购买第三方服务预算使用财政资金15.00万元；二是服务中心运维经费2.00万元，深入基层开展保姆式服务活动及科创会费用等，共计执行预算拨付资金17.00万元，占预算支出的100%。</w:t>
      </w:r>
    </w:p>
    <w:p w14:paraId="2AA2B7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4.项目结果。</w:t>
      </w:r>
      <w:r>
        <w:rPr>
          <w:rFonts w:hint="eastAsia" w:ascii="仿宋_GB2312" w:hAnsi="仿宋_GB2312" w:eastAsia="仿宋_GB2312" w:cs="仿宋_GB2312"/>
          <w:b w:val="0"/>
          <w:bCs/>
          <w:color w:val="000000"/>
          <w:kern w:val="0"/>
          <w:sz w:val="32"/>
          <w:szCs w:val="32"/>
          <w:lang w:val="en-US" w:eastAsia="zh-CN" w:bidi="ar-SA"/>
        </w:rPr>
        <w:t>保证了部门的正常运行和业务工作的正常开展，项目支出保障了重点工作的开展，绩效目标得到较好实现，绩效管理水平不断提高，绩效指标体系逐渐丰富和完善。</w:t>
      </w:r>
    </w:p>
    <w:p w14:paraId="2D5C731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bCs w:val="0"/>
          <w:color w:val="auto"/>
          <w:sz w:val="32"/>
          <w:szCs w:val="32"/>
          <w:highlight w:val="none"/>
          <w:u w:val="none"/>
          <w:lang w:val="zh-CN"/>
        </w:rPr>
        <w:t>（二）</w:t>
      </w:r>
      <w:r>
        <w:rPr>
          <w:rFonts w:hint="eastAsia" w:ascii="仿宋_GB2312" w:hAnsi="仿宋_GB2312" w:eastAsia="仿宋_GB2312" w:cs="仿宋_GB2312"/>
          <w:b/>
          <w:bCs w:val="0"/>
          <w:color w:val="auto"/>
          <w:sz w:val="32"/>
          <w:szCs w:val="32"/>
          <w:highlight w:val="none"/>
          <w:u w:val="none"/>
          <w:lang w:val="zh-CN" w:eastAsia="zh-CN"/>
        </w:rPr>
        <w:t>专用指标</w:t>
      </w:r>
      <w:r>
        <w:rPr>
          <w:rFonts w:hint="eastAsia" w:ascii="仿宋_GB2312" w:hAnsi="仿宋_GB2312" w:eastAsia="仿宋_GB2312" w:cs="仿宋_GB2312"/>
          <w:b/>
          <w:bCs w:val="0"/>
          <w:color w:val="auto"/>
          <w:sz w:val="32"/>
          <w:szCs w:val="32"/>
          <w:highlight w:val="none"/>
          <w:u w:val="none"/>
          <w:lang w:val="zh-CN"/>
        </w:rPr>
        <w:t>绩效分析</w:t>
      </w:r>
    </w:p>
    <w:p w14:paraId="26CC7CD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1.产业发展：无。</w:t>
      </w:r>
    </w:p>
    <w:p w14:paraId="752A287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2.民生保障：开展精准科技服务，创新驱动发展服务、全民科普服务，着力提高全民科学素质纲要。</w:t>
      </w:r>
    </w:p>
    <w:p w14:paraId="7B8C15A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3.基础设施：无。</w:t>
      </w:r>
    </w:p>
    <w:p w14:paraId="5CFACA8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4.行政运转：无。</w:t>
      </w:r>
    </w:p>
    <w:p w14:paraId="37A2416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color w:val="auto"/>
          <w:sz w:val="32"/>
          <w:szCs w:val="32"/>
          <w:highlight w:val="none"/>
          <w:u w:val="none"/>
          <w:lang w:val="zh-CN"/>
        </w:rPr>
        <w:t>（三）</w:t>
      </w:r>
      <w:r>
        <w:rPr>
          <w:rFonts w:hint="eastAsia" w:ascii="仿宋_GB2312" w:hAnsi="仿宋_GB2312" w:eastAsia="仿宋_GB2312" w:cs="仿宋_GB2312"/>
          <w:b/>
          <w:color w:val="auto"/>
          <w:sz w:val="32"/>
          <w:szCs w:val="32"/>
          <w:highlight w:val="none"/>
          <w:u w:val="none"/>
          <w:lang w:val="en-US" w:eastAsia="zh-CN"/>
        </w:rPr>
        <w:t>个性指标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0929343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rPr>
        <w:t>完成第三届“天府科技云服务大会”项目落地不低于4个（5分），每季度不低于1个，少1个扣1.2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分，截至</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2024年7月18日，对上年“科创会”项目进行回访跟踪，积极对接所能、所需方，已在平台完成7单交易，超出目标任务数。</w:t>
      </w:r>
    </w:p>
    <w:p w14:paraId="0FCCA93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四、评价结论</w:t>
      </w:r>
    </w:p>
    <w:p w14:paraId="6B6F4ACA">
      <w:pPr>
        <w:pStyle w:val="6"/>
        <w:keepNext w:val="0"/>
        <w:keepLines w:val="0"/>
        <w:pageBreakBefore w:val="0"/>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bCs/>
          <w:color w:val="auto"/>
          <w:sz w:val="32"/>
          <w:szCs w:val="32"/>
          <w:highlight w:val="none"/>
          <w:u w:val="none"/>
          <w:lang w:eastAsia="zh-CN"/>
        </w:rPr>
      </w:pPr>
      <w:r>
        <w:rPr>
          <w:rFonts w:ascii="仿宋_GB2312" w:hAnsi="宋体" w:eastAsia="仿宋_GB2312" w:cs="仿宋_GB2312"/>
          <w:i w:val="0"/>
          <w:iCs w:val="0"/>
          <w:caps w:val="0"/>
          <w:color w:val="000000"/>
          <w:spacing w:val="0"/>
          <w:sz w:val="32"/>
          <w:szCs w:val="32"/>
          <w:shd w:val="clear" w:color="auto" w:fill="FFFFFF"/>
        </w:rPr>
        <w:t>天府科技云服务项目管理规范，预算执行率达到100%，全面完成年度绩效总体目标和各项绩效指标，有效发挥了财政资金的使用效率。通过项目实施，科普服务更加精准化，天府科技云成为助力区域科技创新发展新平台，成为全</w:t>
      </w:r>
      <w:r>
        <w:rPr>
          <w:rFonts w:hint="eastAsia" w:ascii="仿宋_GB2312" w:hAnsi="宋体" w:eastAsia="仿宋_GB2312" w:cs="仿宋_GB2312"/>
          <w:i w:val="0"/>
          <w:iCs w:val="0"/>
          <w:caps w:val="0"/>
          <w:color w:val="000000"/>
          <w:spacing w:val="0"/>
          <w:sz w:val="32"/>
          <w:szCs w:val="32"/>
          <w:shd w:val="clear" w:color="auto" w:fill="FFFFFF"/>
          <w:lang w:eastAsia="zh-CN"/>
        </w:rPr>
        <w:t>县</w:t>
      </w:r>
      <w:r>
        <w:rPr>
          <w:rFonts w:ascii="仿宋_GB2312" w:hAnsi="宋体" w:eastAsia="仿宋_GB2312" w:cs="仿宋_GB2312"/>
          <w:i w:val="0"/>
          <w:iCs w:val="0"/>
          <w:caps w:val="0"/>
          <w:color w:val="000000"/>
          <w:spacing w:val="0"/>
          <w:sz w:val="32"/>
          <w:szCs w:val="32"/>
          <w:shd w:val="clear" w:color="auto" w:fill="FFFFFF"/>
        </w:rPr>
        <w:t>科技工作者、企事业单位、城乡群众科技（科普）交流的新载体，有力推动了全区公民科学素质提升。</w:t>
      </w:r>
    </w:p>
    <w:p w14:paraId="093F63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五、存在主要问题</w:t>
      </w:r>
    </w:p>
    <w:p w14:paraId="04D3E098">
      <w:pPr>
        <w:pStyle w:val="6"/>
        <w:keepNext w:val="0"/>
        <w:keepLines w:val="0"/>
        <w:pageBreakBefore w:val="0"/>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2C3296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eastAsia="黑体"/>
          <w:color w:val="000000"/>
          <w:kern w:val="0"/>
          <w:sz w:val="32"/>
          <w:szCs w:val="32"/>
          <w:shd w:val="clear" w:color="auto" w:fill="FFFFFF"/>
          <w:lang w:val="zh-CN" w:eastAsia="zh-CN"/>
        </w:rPr>
      </w:pPr>
      <w:r>
        <w:rPr>
          <w:rFonts w:hint="eastAsia" w:eastAsia="黑体"/>
          <w:color w:val="000000"/>
          <w:kern w:val="0"/>
          <w:sz w:val="32"/>
          <w:szCs w:val="32"/>
          <w:shd w:val="clear" w:color="auto" w:fill="FFFFFF"/>
          <w:lang w:val="zh-CN" w:eastAsia="zh-CN"/>
        </w:rPr>
        <w:t>六、改进建议</w:t>
      </w:r>
    </w:p>
    <w:p w14:paraId="40F51D84">
      <w:pPr>
        <w:keepNext w:val="0"/>
        <w:keepLines w:val="0"/>
        <w:pageBreakBefore w:val="0"/>
        <w:tabs>
          <w:tab w:val="left" w:pos="1911"/>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无。</w:t>
      </w:r>
    </w:p>
    <w:p w14:paraId="3373F313">
      <w:pPr>
        <w:keepNext w:val="0"/>
        <w:keepLines w:val="0"/>
        <w:pageBreakBefore w:val="0"/>
        <w:kinsoku/>
        <w:wordWrap/>
        <w:overflowPunct/>
        <w:topLinePunct w:val="0"/>
        <w:autoSpaceDE/>
        <w:autoSpaceDN/>
        <w:bidi w:val="0"/>
        <w:snapToGrid w:val="0"/>
        <w:spacing w:line="560" w:lineRule="exact"/>
        <w:ind w:firstLine="420" w:firstLineChars="200"/>
        <w:jc w:val="left"/>
        <w:textAlignment w:val="auto"/>
        <w:rPr>
          <w:color w:val="000000"/>
          <w:kern w:val="0"/>
          <w:shd w:val="clear" w:color="auto" w:fill="FFFFFF"/>
          <w:lang w:val="zh-CN" w:eastAsia="zh-CN"/>
        </w:rPr>
      </w:pPr>
    </w:p>
    <w:p w14:paraId="039CED22">
      <w:pPr>
        <w:pStyle w:val="6"/>
        <w:keepNext w:val="0"/>
        <w:keepLines w:val="0"/>
        <w:pageBreakBefore w:val="0"/>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仿宋_GB2312"/>
          <w:i w:val="0"/>
          <w:iCs w:val="0"/>
          <w:caps w:val="0"/>
          <w:color w:val="000000"/>
          <w:spacing w:val="0"/>
          <w:sz w:val="32"/>
          <w:szCs w:val="32"/>
          <w:shd w:val="clear" w:color="auto" w:fill="FFFFFF"/>
        </w:rPr>
      </w:pPr>
      <w:r>
        <w:rPr>
          <w:rFonts w:ascii="仿宋_GB2312" w:hAnsi="宋体" w:eastAsia="仿宋_GB2312" w:cs="仿宋_GB2312"/>
          <w:i w:val="0"/>
          <w:iCs w:val="0"/>
          <w:caps w:val="0"/>
          <w:color w:val="000000"/>
          <w:spacing w:val="0"/>
          <w:sz w:val="32"/>
          <w:szCs w:val="32"/>
          <w:shd w:val="clear" w:color="auto" w:fill="FFFFFF"/>
        </w:rPr>
        <w:t>附表：1.</w:t>
      </w:r>
      <w:r>
        <w:rPr>
          <w:rFonts w:hint="eastAsia" w:ascii="仿宋_GB2312" w:hAnsi="宋体" w:eastAsia="仿宋_GB2312" w:cs="仿宋_GB2312"/>
          <w:i w:val="0"/>
          <w:iCs w:val="0"/>
          <w:caps w:val="0"/>
          <w:color w:val="000000"/>
          <w:spacing w:val="0"/>
          <w:sz w:val="32"/>
          <w:szCs w:val="32"/>
          <w:shd w:val="clear" w:color="auto" w:fill="FFFFFF"/>
        </w:rPr>
        <w:t>专项</w:t>
      </w:r>
      <w:r>
        <w:rPr>
          <w:rFonts w:ascii="仿宋_GB2312" w:hAnsi="宋体" w:eastAsia="仿宋_GB2312" w:cs="仿宋_GB2312"/>
          <w:i w:val="0"/>
          <w:iCs w:val="0"/>
          <w:caps w:val="0"/>
          <w:color w:val="000000"/>
          <w:spacing w:val="0"/>
          <w:sz w:val="32"/>
          <w:szCs w:val="32"/>
          <w:shd w:val="clear" w:color="auto" w:fill="FFFFFF"/>
        </w:rPr>
        <w:t>预算绩效自评打分表</w:t>
      </w:r>
    </w:p>
    <w:p w14:paraId="4DE20C52">
      <w:pPr>
        <w:pStyle w:val="6"/>
        <w:keepNext w:val="0"/>
        <w:keepLines w:val="0"/>
        <w:pageBreakBefore w:val="0"/>
        <w:numPr>
          <w:ilvl w:val="0"/>
          <w:numId w:val="0"/>
        </w:numPr>
        <w:tabs>
          <w:tab w:val="left" w:pos="2160"/>
        </w:tabs>
        <w:kinsoku/>
        <w:wordWrap/>
        <w:overflowPunct/>
        <w:topLinePunct w:val="0"/>
        <w:autoSpaceDE/>
        <w:autoSpaceDN/>
        <w:bidi w:val="0"/>
        <w:adjustRightInd/>
        <w:spacing w:line="560" w:lineRule="exact"/>
        <w:ind w:firstLine="1600" w:firstLineChars="500"/>
        <w:jc w:val="left"/>
        <w:textAlignment w:val="auto"/>
        <w:rPr>
          <w:rFonts w:ascii="仿宋_GB2312" w:hAnsi="宋体" w:eastAsia="仿宋_GB2312" w:cs="仿宋_GB2312"/>
          <w:i w:val="0"/>
          <w:iCs w:val="0"/>
          <w:caps w:val="0"/>
          <w:color w:val="000000"/>
          <w:spacing w:val="0"/>
          <w:sz w:val="32"/>
          <w:szCs w:val="32"/>
          <w:shd w:val="clear" w:color="auto" w:fill="FFFFFF"/>
        </w:rPr>
      </w:pPr>
      <w:r>
        <w:rPr>
          <w:rFonts w:ascii="仿宋_GB2312" w:hAnsi="宋体" w:eastAsia="仿宋_GB2312" w:cs="仿宋_GB2312"/>
          <w:i w:val="0"/>
          <w:iCs w:val="0"/>
          <w:caps w:val="0"/>
          <w:color w:val="000000"/>
          <w:spacing w:val="0"/>
          <w:sz w:val="32"/>
          <w:szCs w:val="32"/>
          <w:shd w:val="clear" w:color="auto" w:fill="FFFFFF"/>
        </w:rPr>
        <w:t>2.专项预算项目绩效目标完成情况自评表</w:t>
      </w:r>
    </w:p>
    <w:p w14:paraId="2EE9C2A5">
      <w:pPr>
        <w:keepNext w:val="0"/>
        <w:keepLines w:val="0"/>
        <w:pageBreakBefore w:val="0"/>
        <w:kinsoku/>
        <w:wordWrap/>
        <w:overflowPunct/>
        <w:topLinePunct w:val="0"/>
        <w:autoSpaceDE/>
        <w:autoSpaceDN/>
        <w:bidi w:val="0"/>
        <w:snapToGrid w:val="0"/>
        <w:spacing w:line="560" w:lineRule="exact"/>
        <w:jc w:val="left"/>
        <w:textAlignment w:val="auto"/>
        <w:rPr>
          <w:rFonts w:eastAsia="黑体"/>
          <w:kern w:val="0"/>
          <w:shd w:val="clear" w:color="auto" w:fill="FFFFFF"/>
        </w:rPr>
      </w:pPr>
    </w:p>
    <w:p w14:paraId="225D2282">
      <w:pPr>
        <w:keepNext w:val="0"/>
        <w:keepLines w:val="0"/>
        <w:pageBreakBefore w:val="0"/>
        <w:kinsoku/>
        <w:wordWrap/>
        <w:overflowPunct/>
        <w:topLinePunct w:val="0"/>
        <w:autoSpaceDE/>
        <w:autoSpaceDN/>
        <w:bidi w:val="0"/>
        <w:snapToGrid w:val="0"/>
        <w:spacing w:line="560" w:lineRule="exact"/>
        <w:jc w:val="left"/>
        <w:textAlignment w:val="auto"/>
        <w:rPr>
          <w:rFonts w:eastAsia="黑体"/>
          <w:kern w:val="0"/>
          <w:shd w:val="clear" w:color="auto" w:fill="FFFFFF"/>
        </w:rPr>
      </w:pPr>
    </w:p>
    <w:p w14:paraId="0CC2B00E">
      <w:pPr>
        <w:keepNext w:val="0"/>
        <w:keepLines w:val="0"/>
        <w:pageBreakBefore w:val="0"/>
        <w:kinsoku/>
        <w:wordWrap/>
        <w:overflowPunct/>
        <w:topLinePunct w:val="0"/>
        <w:autoSpaceDE/>
        <w:autoSpaceDN/>
        <w:bidi w:val="0"/>
        <w:snapToGrid w:val="0"/>
        <w:spacing w:line="560" w:lineRule="exact"/>
        <w:jc w:val="left"/>
        <w:textAlignment w:val="auto"/>
        <w:rPr>
          <w:rFonts w:eastAsia="黑体"/>
          <w:kern w:val="0"/>
          <w:shd w:val="clear" w:color="auto" w:fill="FFFFFF"/>
        </w:rPr>
      </w:pPr>
    </w:p>
    <w:p w14:paraId="22479FBF">
      <w:pPr>
        <w:keepNext w:val="0"/>
        <w:keepLines w:val="0"/>
        <w:pageBreakBefore w:val="0"/>
        <w:kinsoku/>
        <w:wordWrap/>
        <w:overflowPunct/>
        <w:topLinePunct w:val="0"/>
        <w:autoSpaceDE/>
        <w:autoSpaceDN/>
        <w:bidi w:val="0"/>
        <w:snapToGrid w:val="0"/>
        <w:spacing w:line="560" w:lineRule="exact"/>
        <w:jc w:val="left"/>
        <w:textAlignment w:val="auto"/>
        <w:rPr>
          <w:rFonts w:eastAsia="黑体"/>
          <w:kern w:val="0"/>
          <w:shd w:val="clear" w:color="auto" w:fill="FFFFFF"/>
        </w:rPr>
      </w:pPr>
    </w:p>
    <w:p w14:paraId="760CD312">
      <w:pPr>
        <w:keepNext w:val="0"/>
        <w:keepLines w:val="0"/>
        <w:pageBreakBefore w:val="0"/>
        <w:kinsoku/>
        <w:wordWrap/>
        <w:overflowPunct/>
        <w:topLinePunct w:val="0"/>
        <w:autoSpaceDE/>
        <w:autoSpaceDN/>
        <w:bidi w:val="0"/>
        <w:snapToGrid w:val="0"/>
        <w:spacing w:line="560" w:lineRule="exact"/>
        <w:jc w:val="left"/>
        <w:textAlignment w:val="auto"/>
        <w:rPr>
          <w:rFonts w:eastAsia="黑体"/>
          <w:kern w:val="0"/>
          <w:shd w:val="clear" w:color="auto" w:fill="FFFFFF"/>
        </w:rPr>
      </w:pPr>
    </w:p>
    <w:p w14:paraId="497CD364">
      <w:pPr>
        <w:snapToGrid w:val="0"/>
        <w:spacing w:line="578" w:lineRule="exact"/>
        <w:rPr>
          <w:rFonts w:eastAsia="黑体"/>
          <w:kern w:val="0"/>
          <w:shd w:val="clear" w:color="auto" w:fill="FFFFFF"/>
        </w:rPr>
      </w:pPr>
    </w:p>
    <w:p w14:paraId="494E2355">
      <w:pPr>
        <w:snapToGrid w:val="0"/>
        <w:spacing w:line="578" w:lineRule="exact"/>
        <w:rPr>
          <w:rFonts w:eastAsia="黑体"/>
          <w:kern w:val="0"/>
          <w:shd w:val="clear" w:color="auto" w:fill="FFFFFF"/>
        </w:rPr>
      </w:pPr>
    </w:p>
    <w:p w14:paraId="6B112499">
      <w:pPr>
        <w:snapToGrid w:val="0"/>
        <w:spacing w:line="578" w:lineRule="exact"/>
        <w:rPr>
          <w:rFonts w:eastAsia="黑体"/>
          <w:kern w:val="0"/>
          <w:shd w:val="clear" w:color="auto" w:fill="FFFFFF"/>
        </w:rPr>
      </w:pPr>
    </w:p>
    <w:p w14:paraId="143E8CB0">
      <w:pPr>
        <w:snapToGrid w:val="0"/>
        <w:spacing w:line="578" w:lineRule="exact"/>
        <w:rPr>
          <w:rFonts w:eastAsia="黑体"/>
          <w:kern w:val="0"/>
          <w:shd w:val="clear" w:color="auto" w:fill="FFFFFF"/>
        </w:rPr>
      </w:pPr>
    </w:p>
    <w:p w14:paraId="751B33C4">
      <w:pPr>
        <w:snapToGrid w:val="0"/>
        <w:spacing w:line="578" w:lineRule="exact"/>
        <w:rPr>
          <w:rFonts w:eastAsia="黑体"/>
          <w:kern w:val="0"/>
          <w:shd w:val="clear" w:color="auto" w:fill="FFFFFF"/>
        </w:rPr>
      </w:pPr>
    </w:p>
    <w:p w14:paraId="0A973044">
      <w:pPr>
        <w:snapToGrid w:val="0"/>
        <w:spacing w:line="578" w:lineRule="exact"/>
        <w:rPr>
          <w:rFonts w:hint="eastAsia" w:eastAsia="黑体"/>
          <w:kern w:val="0"/>
          <w:shd w:val="clear" w:color="auto" w:fill="FFFFFF"/>
          <w:lang w:val="en-US" w:eastAsia="zh-CN"/>
        </w:rPr>
      </w:pPr>
      <w:r>
        <w:rPr>
          <w:rFonts w:hint="eastAsia" w:eastAsia="黑体"/>
          <w:kern w:val="0"/>
          <w:shd w:val="clear" w:color="auto" w:fill="FFFFFF"/>
          <w:lang w:val="en-US" w:eastAsia="zh-CN"/>
        </w:rPr>
        <w:t xml:space="preserve"> </w:t>
      </w:r>
    </w:p>
    <w:p w14:paraId="67C82D92">
      <w:pPr>
        <w:snapToGrid w:val="0"/>
        <w:spacing w:line="578" w:lineRule="exact"/>
        <w:rPr>
          <w:rFonts w:hint="eastAsia" w:eastAsia="黑体"/>
          <w:kern w:val="0"/>
          <w:shd w:val="clear" w:color="auto" w:fill="FFFFFF"/>
          <w:lang w:val="en-US" w:eastAsia="zh-CN"/>
        </w:rPr>
      </w:pPr>
    </w:p>
    <w:p w14:paraId="35C32292">
      <w:pPr>
        <w:snapToGrid w:val="0"/>
        <w:spacing w:line="578" w:lineRule="exact"/>
        <w:rPr>
          <w:rFonts w:hint="eastAsia" w:eastAsia="黑体"/>
          <w:kern w:val="0"/>
          <w:shd w:val="clear" w:color="auto" w:fill="FFFFFF"/>
          <w:lang w:val="en-US" w:eastAsia="zh-CN"/>
        </w:rPr>
      </w:pPr>
    </w:p>
    <w:p w14:paraId="5325CC44">
      <w:pPr>
        <w:snapToGrid w:val="0"/>
        <w:spacing w:line="578" w:lineRule="exact"/>
        <w:rPr>
          <w:rFonts w:hint="eastAsia" w:eastAsia="黑体"/>
          <w:kern w:val="0"/>
          <w:shd w:val="clear" w:color="auto" w:fill="FFFFFF"/>
          <w:lang w:val="en-US" w:eastAsia="zh-CN"/>
        </w:rPr>
      </w:pPr>
    </w:p>
    <w:p w14:paraId="5BD3E52B">
      <w:pPr>
        <w:snapToGrid w:val="0"/>
        <w:spacing w:line="578" w:lineRule="exact"/>
        <w:rPr>
          <w:rFonts w:hint="eastAsia" w:eastAsia="黑体"/>
          <w:kern w:val="0"/>
          <w:shd w:val="clear" w:color="auto" w:fill="FFFFFF"/>
          <w:lang w:val="en-US" w:eastAsia="zh-CN"/>
        </w:rPr>
      </w:pPr>
    </w:p>
    <w:p w14:paraId="1408EE4C">
      <w:pPr>
        <w:snapToGrid w:val="0"/>
        <w:spacing w:line="578" w:lineRule="exact"/>
        <w:rPr>
          <w:rFonts w:hint="eastAsia" w:eastAsia="黑体"/>
          <w:kern w:val="0"/>
          <w:shd w:val="clear" w:color="auto" w:fill="FFFFFF"/>
          <w:lang w:val="en-US" w:eastAsia="zh-CN"/>
        </w:rPr>
      </w:pPr>
    </w:p>
    <w:p w14:paraId="0C0773F1">
      <w:pPr>
        <w:snapToGrid w:val="0"/>
        <w:spacing w:line="578" w:lineRule="exact"/>
        <w:rPr>
          <w:rFonts w:hint="eastAsia" w:eastAsia="黑体"/>
          <w:kern w:val="0"/>
          <w:shd w:val="clear" w:color="auto" w:fill="FFFFFF"/>
          <w:lang w:val="en-US" w:eastAsia="zh-CN"/>
        </w:rPr>
      </w:pPr>
    </w:p>
    <w:p w14:paraId="188F6405">
      <w:pPr>
        <w:spacing w:line="578" w:lineRule="exact"/>
        <w:jc w:val="both"/>
        <w:rPr>
          <w:rFonts w:hint="eastAsia" w:eastAsia="方正小标宋_GBK"/>
          <w:sz w:val="40"/>
          <w:szCs w:val="40"/>
        </w:rPr>
      </w:pPr>
    </w:p>
    <w:p w14:paraId="72422243">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7"/>
        <w:tblW w:w="10901" w:type="dxa"/>
        <w:jc w:val="center"/>
        <w:tblLayout w:type="fixed"/>
        <w:tblCellMar>
          <w:top w:w="0" w:type="dxa"/>
          <w:left w:w="108" w:type="dxa"/>
          <w:bottom w:w="0" w:type="dxa"/>
          <w:right w:w="108" w:type="dxa"/>
        </w:tblCellMar>
      </w:tblPr>
      <w:tblGrid>
        <w:gridCol w:w="720"/>
        <w:gridCol w:w="765"/>
        <w:gridCol w:w="825"/>
        <w:gridCol w:w="1525"/>
        <w:gridCol w:w="833"/>
        <w:gridCol w:w="5033"/>
        <w:gridCol w:w="732"/>
        <w:gridCol w:w="468"/>
      </w:tblGrid>
      <w:tr w14:paraId="1ACE162E">
        <w:tblPrEx>
          <w:tblCellMar>
            <w:top w:w="0" w:type="dxa"/>
            <w:left w:w="108" w:type="dxa"/>
            <w:bottom w:w="0" w:type="dxa"/>
            <w:right w:w="108" w:type="dxa"/>
          </w:tblCellMar>
        </w:tblPrEx>
        <w:trPr>
          <w:trHeight w:val="23" w:hRule="atLeast"/>
          <w:jc w:val="center"/>
        </w:trPr>
        <w:tc>
          <w:tcPr>
            <w:tcW w:w="4668" w:type="dxa"/>
            <w:gridSpan w:val="5"/>
            <w:tcBorders>
              <w:top w:val="single" w:color="000000" w:sz="4" w:space="0"/>
              <w:left w:val="single" w:color="000000" w:sz="4" w:space="0"/>
              <w:bottom w:val="nil"/>
              <w:right w:val="nil"/>
            </w:tcBorders>
            <w:noWrap w:val="0"/>
            <w:vAlign w:val="center"/>
          </w:tcPr>
          <w:p w14:paraId="713E9D37">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绩效评价指标</w:t>
            </w:r>
          </w:p>
        </w:tc>
        <w:tc>
          <w:tcPr>
            <w:tcW w:w="5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8C1E5">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477FA218">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16A6E73B">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备注</w:t>
            </w:r>
          </w:p>
        </w:tc>
      </w:tr>
      <w:tr w14:paraId="7016D34F">
        <w:tblPrEx>
          <w:tblCellMar>
            <w:top w:w="0" w:type="dxa"/>
            <w:left w:w="108" w:type="dxa"/>
            <w:bottom w:w="0" w:type="dxa"/>
            <w:right w:w="108" w:type="dxa"/>
          </w:tblCellMar>
        </w:tblPrEx>
        <w:trPr>
          <w:trHeight w:val="74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BD6135">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0FC06ADD">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二级指标</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62721C1">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三级指标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5CFACAD">
            <w:pPr>
              <w:widowControl/>
              <w:spacing w:line="240" w:lineRule="exact"/>
              <w:jc w:val="center"/>
              <w:textAlignment w:val="center"/>
              <w:rPr>
                <w:rFonts w:hint="eastAsia" w:ascii="宋体" w:hAnsi="Times New Roman" w:eastAsia="宋体" w:cs="宋体"/>
                <w:b/>
                <w:color w:val="000000"/>
                <w:kern w:val="0"/>
                <w:sz w:val="24"/>
                <w:szCs w:val="24"/>
                <w:lang w:bidi="ar"/>
              </w:rPr>
            </w:pPr>
            <w:r>
              <w:rPr>
                <w:rFonts w:hint="eastAsia" w:ascii="宋体" w:hAnsi="Times New Roman" w:eastAsia="宋体" w:cs="宋体"/>
                <w:b/>
                <w:color w:val="000000"/>
                <w:kern w:val="0"/>
                <w:sz w:val="24"/>
                <w:szCs w:val="24"/>
                <w:lang w:bidi="ar"/>
              </w:rPr>
              <w:t>指标</w:t>
            </w:r>
            <w:r>
              <w:rPr>
                <w:rFonts w:hint="eastAsia" w:ascii="宋体" w:hAnsi="Times New Roman" w:eastAsia="宋体" w:cs="宋体"/>
                <w:b/>
                <w:color w:val="000000"/>
                <w:kern w:val="0"/>
                <w:sz w:val="24"/>
                <w:szCs w:val="24"/>
                <w:lang w:bidi="ar"/>
              </w:rPr>
              <w:br w:type="textWrapping"/>
            </w:r>
            <w:r>
              <w:rPr>
                <w:rFonts w:hint="eastAsia" w:ascii="宋体" w:hAnsi="Times New Roman" w:eastAsia="宋体" w:cs="宋体"/>
                <w:b/>
                <w:color w:val="000000"/>
                <w:kern w:val="0"/>
                <w:sz w:val="24"/>
                <w:szCs w:val="24"/>
                <w:lang w:bidi="ar"/>
              </w:rPr>
              <w:t>分值</w:t>
            </w:r>
          </w:p>
        </w:tc>
        <w:tc>
          <w:tcPr>
            <w:tcW w:w="5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97200"/>
        </w:tc>
        <w:tc>
          <w:tcPr>
            <w:tcW w:w="732" w:type="dxa"/>
            <w:vMerge w:val="continue"/>
            <w:tcBorders>
              <w:top w:val="nil"/>
              <w:left w:val="single" w:color="000000" w:sz="4" w:space="0"/>
              <w:bottom w:val="single" w:color="000000" w:sz="4" w:space="0"/>
              <w:right w:val="single" w:color="000000" w:sz="4" w:space="0"/>
            </w:tcBorders>
            <w:noWrap w:val="0"/>
            <w:vAlign w:val="center"/>
          </w:tcPr>
          <w:p w14:paraId="1F855285"/>
        </w:tc>
        <w:tc>
          <w:tcPr>
            <w:tcW w:w="468" w:type="dxa"/>
            <w:vMerge w:val="continue"/>
            <w:tcBorders>
              <w:top w:val="nil"/>
              <w:left w:val="single" w:color="000000" w:sz="4" w:space="0"/>
              <w:bottom w:val="single" w:color="000000" w:sz="4" w:space="0"/>
              <w:right w:val="single" w:color="000000" w:sz="4" w:space="0"/>
            </w:tcBorders>
            <w:noWrap w:val="0"/>
            <w:vAlign w:val="center"/>
          </w:tcPr>
          <w:p w14:paraId="5B067708"/>
        </w:tc>
      </w:tr>
      <w:tr w14:paraId="09E884F1">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A0907">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通用指标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956CCD">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项目决策</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（18分）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E012A85">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决策程序</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0E4ACAE">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5F23457">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D47E08">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B3889E">
            <w:pPr>
              <w:widowControl/>
              <w:spacing w:line="240" w:lineRule="exact"/>
              <w:jc w:val="left"/>
              <w:textAlignment w:val="center"/>
              <w:rPr>
                <w:rFonts w:hint="eastAsia" w:ascii="宋体" w:hAnsi="宋体" w:eastAsia="宋体" w:cs="宋体"/>
                <w:color w:val="000000"/>
                <w:kern w:val="0"/>
                <w:sz w:val="24"/>
                <w:szCs w:val="24"/>
                <w:lang w:bidi="ar"/>
              </w:rPr>
            </w:pPr>
          </w:p>
        </w:tc>
      </w:tr>
      <w:tr w14:paraId="00FF2B4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34215"/>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CAE0D3"/>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FD2B7C4">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规划论证</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2E87350">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1CFB0AD">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3AA875">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7CC113">
            <w:pPr>
              <w:widowControl/>
              <w:spacing w:line="240" w:lineRule="exact"/>
              <w:jc w:val="left"/>
              <w:textAlignment w:val="center"/>
              <w:rPr>
                <w:rFonts w:hint="eastAsia" w:ascii="宋体" w:hAnsi="宋体" w:eastAsia="宋体" w:cs="宋体"/>
                <w:color w:val="000000"/>
                <w:kern w:val="0"/>
                <w:sz w:val="24"/>
                <w:szCs w:val="24"/>
                <w:lang w:bidi="ar"/>
              </w:rPr>
            </w:pPr>
          </w:p>
        </w:tc>
      </w:tr>
      <w:tr w14:paraId="54F4FE1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A5765"/>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B64488"/>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E3AC1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资金投向</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D06A40">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72B8EA07">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100CEF">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2A655B">
            <w:pPr>
              <w:widowControl/>
              <w:spacing w:line="240" w:lineRule="exact"/>
              <w:jc w:val="left"/>
              <w:textAlignment w:val="center"/>
              <w:rPr>
                <w:rFonts w:hint="eastAsia" w:ascii="宋体" w:hAnsi="宋体" w:eastAsia="宋体" w:cs="宋体"/>
                <w:color w:val="000000"/>
                <w:kern w:val="0"/>
                <w:sz w:val="24"/>
                <w:szCs w:val="24"/>
                <w:lang w:bidi="ar"/>
              </w:rPr>
            </w:pPr>
          </w:p>
        </w:tc>
      </w:tr>
      <w:tr w14:paraId="4FE9AB7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F88FE"/>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8F6527">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项目管理</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（18分）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1DB098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制度办法</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7A46F67">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2</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22702294">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C98E26">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08B555">
            <w:pPr>
              <w:widowControl/>
              <w:spacing w:line="240" w:lineRule="exact"/>
              <w:jc w:val="left"/>
              <w:textAlignment w:val="center"/>
              <w:rPr>
                <w:rFonts w:hint="eastAsia" w:ascii="宋体" w:hAnsi="宋体" w:eastAsia="宋体" w:cs="宋体"/>
                <w:color w:val="000000"/>
                <w:kern w:val="0"/>
                <w:sz w:val="24"/>
                <w:szCs w:val="24"/>
                <w:lang w:bidi="ar"/>
              </w:rPr>
            </w:pPr>
          </w:p>
        </w:tc>
      </w:tr>
      <w:tr w14:paraId="186D1C8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B3028"/>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07CA38"/>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D5D0328">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分配管理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A001ED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589EBC61">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A11B43">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85CAFD">
            <w:pPr>
              <w:widowControl/>
              <w:spacing w:line="240" w:lineRule="exact"/>
              <w:jc w:val="left"/>
              <w:textAlignment w:val="center"/>
              <w:rPr>
                <w:rFonts w:hint="eastAsia" w:ascii="宋体" w:hAnsi="宋体" w:eastAsia="宋体" w:cs="宋体"/>
                <w:color w:val="000000"/>
                <w:kern w:val="0"/>
                <w:sz w:val="24"/>
                <w:szCs w:val="24"/>
                <w:lang w:bidi="ar"/>
              </w:rPr>
            </w:pPr>
          </w:p>
        </w:tc>
      </w:tr>
      <w:tr w14:paraId="6E38CDC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2D222"/>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010243"/>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13BBD1E">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绩效监管</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DAFD882">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4F6919D4">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05BA5F">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7E2E0C">
            <w:pPr>
              <w:widowControl/>
              <w:spacing w:line="240" w:lineRule="exact"/>
              <w:jc w:val="left"/>
              <w:textAlignment w:val="center"/>
              <w:rPr>
                <w:rFonts w:hint="eastAsia" w:ascii="宋体" w:hAnsi="宋体" w:eastAsia="宋体" w:cs="宋体"/>
                <w:color w:val="000000"/>
                <w:kern w:val="0"/>
                <w:sz w:val="24"/>
                <w:szCs w:val="24"/>
                <w:lang w:bidi="ar"/>
              </w:rPr>
            </w:pPr>
          </w:p>
        </w:tc>
      </w:tr>
      <w:tr w14:paraId="69C9265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9D8F4"/>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DB5B7B">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项目实施</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（9分）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91440D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预算执行</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A82859A">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4912C4A6">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E1FD38">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823CAB">
            <w:pPr>
              <w:widowControl/>
              <w:spacing w:line="240" w:lineRule="exact"/>
              <w:jc w:val="left"/>
              <w:textAlignment w:val="center"/>
              <w:rPr>
                <w:rFonts w:hint="eastAsia" w:ascii="宋体" w:hAnsi="宋体" w:eastAsia="宋体" w:cs="宋体"/>
                <w:color w:val="000000"/>
                <w:kern w:val="0"/>
                <w:sz w:val="24"/>
                <w:szCs w:val="24"/>
                <w:lang w:bidi="ar"/>
              </w:rPr>
            </w:pPr>
          </w:p>
        </w:tc>
      </w:tr>
      <w:tr w14:paraId="1993E93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B9580"/>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AF56F5"/>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4F19A34">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资金使用</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31F47E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3</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4AFFF48">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31A9A5">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C27EDA">
            <w:pPr>
              <w:widowControl/>
              <w:spacing w:line="240" w:lineRule="exact"/>
              <w:jc w:val="left"/>
              <w:textAlignment w:val="center"/>
              <w:rPr>
                <w:rFonts w:hint="eastAsia" w:ascii="宋体" w:hAnsi="宋体" w:eastAsia="宋体" w:cs="宋体"/>
                <w:color w:val="000000"/>
                <w:kern w:val="0"/>
                <w:sz w:val="24"/>
                <w:szCs w:val="24"/>
                <w:lang w:bidi="ar"/>
              </w:rPr>
            </w:pPr>
          </w:p>
        </w:tc>
      </w:tr>
      <w:tr w14:paraId="79B0FA8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CB3DA"/>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C42FD0">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项目结果</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（9分）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1F2EBC0">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目标完成</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3AD73D7">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7178237B">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91245C">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F235C8E">
            <w:pPr>
              <w:widowControl/>
              <w:spacing w:line="240" w:lineRule="exact"/>
              <w:jc w:val="left"/>
              <w:textAlignment w:val="center"/>
              <w:rPr>
                <w:rFonts w:hint="eastAsia" w:ascii="宋体" w:hAnsi="宋体" w:eastAsia="宋体" w:cs="宋体"/>
                <w:color w:val="000000"/>
                <w:kern w:val="0"/>
                <w:sz w:val="24"/>
                <w:szCs w:val="24"/>
                <w:lang w:bidi="ar"/>
              </w:rPr>
            </w:pPr>
          </w:p>
        </w:tc>
      </w:tr>
      <w:tr w14:paraId="748567B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5891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A1C59A"/>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7E8C0B">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完成时效</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CEBFEA1">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3</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C71B79F">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38763D">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ADB09A">
            <w:pPr>
              <w:widowControl/>
              <w:spacing w:line="240" w:lineRule="exact"/>
              <w:jc w:val="left"/>
              <w:textAlignment w:val="center"/>
              <w:rPr>
                <w:rFonts w:hint="eastAsia" w:ascii="宋体" w:hAnsi="宋体" w:eastAsia="宋体" w:cs="宋体"/>
                <w:color w:val="000000"/>
                <w:kern w:val="0"/>
                <w:sz w:val="24"/>
                <w:szCs w:val="24"/>
                <w:lang w:bidi="ar"/>
              </w:rPr>
            </w:pPr>
          </w:p>
        </w:tc>
      </w:tr>
      <w:tr w14:paraId="3FC8DC9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DD894">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专用指标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5F6DE0">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产业发展</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F37010E">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符合性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B58BC6A">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1E374A86">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433E89">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9498B">
            <w:pPr>
              <w:widowControl/>
              <w:spacing w:line="240" w:lineRule="exact"/>
              <w:jc w:val="left"/>
              <w:textAlignment w:val="center"/>
              <w:rPr>
                <w:rFonts w:hint="eastAsia" w:ascii="宋体" w:hAnsi="宋体" w:eastAsia="宋体" w:cs="宋体"/>
                <w:color w:val="000000"/>
                <w:kern w:val="0"/>
                <w:sz w:val="24"/>
                <w:szCs w:val="24"/>
                <w:lang w:bidi="ar"/>
              </w:rPr>
            </w:pPr>
          </w:p>
        </w:tc>
      </w:tr>
      <w:tr w14:paraId="0F1A19B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0887A"/>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573F02"/>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90FC17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成长性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B737098">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71929AD">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81EC22">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555821">
            <w:pPr>
              <w:widowControl/>
              <w:spacing w:line="240" w:lineRule="exact"/>
              <w:jc w:val="left"/>
              <w:textAlignment w:val="center"/>
              <w:rPr>
                <w:rFonts w:hint="eastAsia" w:ascii="宋体" w:hAnsi="宋体" w:eastAsia="宋体" w:cs="宋体"/>
                <w:color w:val="000000"/>
                <w:kern w:val="0"/>
                <w:sz w:val="24"/>
                <w:szCs w:val="24"/>
                <w:lang w:bidi="ar"/>
              </w:rPr>
            </w:pPr>
          </w:p>
        </w:tc>
      </w:tr>
      <w:tr w14:paraId="578DD3A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923E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6FED52"/>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B75CC91">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经济性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38937B9">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452BEA21">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3AEB693">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B7DAA9">
            <w:pPr>
              <w:widowControl/>
              <w:spacing w:line="240" w:lineRule="exact"/>
              <w:jc w:val="left"/>
              <w:textAlignment w:val="center"/>
              <w:rPr>
                <w:rFonts w:hint="eastAsia" w:ascii="宋体" w:hAnsi="宋体" w:eastAsia="宋体" w:cs="宋体"/>
                <w:color w:val="000000"/>
                <w:kern w:val="0"/>
                <w:sz w:val="24"/>
                <w:szCs w:val="24"/>
                <w:lang w:bidi="ar"/>
              </w:rPr>
            </w:pPr>
          </w:p>
        </w:tc>
      </w:tr>
      <w:tr w14:paraId="00A4D32D">
        <w:tblPrEx>
          <w:tblCellMar>
            <w:top w:w="0" w:type="dxa"/>
            <w:left w:w="108" w:type="dxa"/>
            <w:bottom w:w="0" w:type="dxa"/>
            <w:right w:w="108" w:type="dxa"/>
          </w:tblCellMar>
        </w:tblPrEx>
        <w:trPr>
          <w:trHeight w:val="691"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DB317"/>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5E8E29">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民生保障</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AD725EC">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区域均衡性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32B91D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183383A1">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BFD9BC">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1B2512">
            <w:pPr>
              <w:widowControl/>
              <w:spacing w:line="240" w:lineRule="exact"/>
              <w:jc w:val="left"/>
              <w:textAlignment w:val="center"/>
              <w:rPr>
                <w:rFonts w:hint="eastAsia" w:ascii="宋体" w:hAnsi="宋体" w:eastAsia="宋体" w:cs="宋体"/>
                <w:color w:val="000000"/>
                <w:kern w:val="0"/>
                <w:sz w:val="24"/>
                <w:szCs w:val="24"/>
                <w:lang w:bidi="ar"/>
              </w:rPr>
            </w:pPr>
          </w:p>
        </w:tc>
      </w:tr>
      <w:tr w14:paraId="5380F5F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1AA6A"/>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502A5B"/>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60CBE0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对象精准性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ACBF86C">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337EB43E">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230C207">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DA1F0C">
            <w:pPr>
              <w:widowControl/>
              <w:spacing w:line="240" w:lineRule="exact"/>
              <w:jc w:val="left"/>
              <w:textAlignment w:val="center"/>
              <w:rPr>
                <w:rFonts w:hint="eastAsia" w:ascii="宋体" w:hAnsi="宋体" w:eastAsia="宋体" w:cs="宋体"/>
                <w:color w:val="000000"/>
                <w:kern w:val="0"/>
                <w:sz w:val="24"/>
                <w:szCs w:val="24"/>
                <w:lang w:bidi="ar"/>
              </w:rPr>
            </w:pPr>
          </w:p>
        </w:tc>
      </w:tr>
      <w:tr w14:paraId="548DC8A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F8EFC"/>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087BC8"/>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DD1ADF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标准合理性</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1347CC5">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5</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5CE54769">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0F80FF">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2A48BB">
            <w:pPr>
              <w:widowControl/>
              <w:spacing w:line="240" w:lineRule="exact"/>
              <w:jc w:val="left"/>
              <w:textAlignment w:val="center"/>
              <w:rPr>
                <w:rFonts w:hint="eastAsia" w:ascii="宋体" w:hAnsi="宋体" w:eastAsia="宋体" w:cs="宋体"/>
                <w:color w:val="000000"/>
                <w:kern w:val="0"/>
                <w:sz w:val="24"/>
                <w:szCs w:val="24"/>
                <w:lang w:bidi="ar"/>
              </w:rPr>
            </w:pPr>
          </w:p>
        </w:tc>
      </w:tr>
      <w:tr w14:paraId="1F037A6A">
        <w:tblPrEx>
          <w:tblCellMar>
            <w:top w:w="0" w:type="dxa"/>
            <w:left w:w="108" w:type="dxa"/>
            <w:bottom w:w="0" w:type="dxa"/>
            <w:right w:w="108" w:type="dxa"/>
          </w:tblCellMar>
        </w:tblPrEx>
        <w:trPr>
          <w:trHeight w:val="11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1A16E"/>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A9B9D3"/>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410CF94">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群众满意度</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FD505F5">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5</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66E67534">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4B91D3">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80A67B">
            <w:pPr>
              <w:widowControl/>
              <w:spacing w:line="240" w:lineRule="exact"/>
              <w:jc w:val="left"/>
              <w:textAlignment w:val="center"/>
              <w:rPr>
                <w:rFonts w:hint="eastAsia" w:ascii="宋体" w:hAnsi="宋体" w:eastAsia="宋体" w:cs="宋体"/>
                <w:color w:val="000000"/>
                <w:kern w:val="0"/>
                <w:sz w:val="24"/>
                <w:szCs w:val="24"/>
                <w:lang w:bidi="ar"/>
              </w:rPr>
            </w:pPr>
          </w:p>
        </w:tc>
      </w:tr>
      <w:tr w14:paraId="7061F90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3EF09"/>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6840B">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基础</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设施</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19DE3">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在建</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项目</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EDF60AA">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工程进度</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3A9A70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15</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795FA5ED">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FF7A9F">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C38026">
            <w:pPr>
              <w:widowControl/>
              <w:spacing w:line="240" w:lineRule="exact"/>
              <w:jc w:val="left"/>
              <w:textAlignment w:val="center"/>
              <w:rPr>
                <w:rFonts w:hint="eastAsia" w:ascii="宋体" w:hAnsi="宋体" w:eastAsia="宋体" w:cs="宋体"/>
                <w:color w:val="000000"/>
                <w:kern w:val="0"/>
                <w:sz w:val="24"/>
                <w:szCs w:val="24"/>
                <w:lang w:bidi="ar"/>
              </w:rPr>
            </w:pPr>
          </w:p>
        </w:tc>
      </w:tr>
      <w:tr w14:paraId="4D62BA0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AFB53"/>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2F5D6"/>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37B42"/>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98C765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资金拨付</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AF4FC3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15</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2FB56D72">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DB4290">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7D4CA4">
            <w:pPr>
              <w:widowControl/>
              <w:spacing w:line="240" w:lineRule="exact"/>
              <w:jc w:val="left"/>
              <w:textAlignment w:val="center"/>
              <w:rPr>
                <w:rFonts w:hint="eastAsia" w:ascii="宋体" w:hAnsi="宋体" w:eastAsia="宋体" w:cs="宋体"/>
                <w:color w:val="000000"/>
                <w:kern w:val="0"/>
                <w:sz w:val="24"/>
                <w:szCs w:val="24"/>
                <w:lang w:bidi="ar"/>
              </w:rPr>
            </w:pPr>
          </w:p>
        </w:tc>
      </w:tr>
      <w:tr w14:paraId="0FFC37E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DCBDD"/>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73DE9"/>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8703F">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建成</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项目</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FC899A5">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项目验收</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2DA9A7B">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04504C2D">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6B9741">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F5C9F5">
            <w:pPr>
              <w:widowControl/>
              <w:spacing w:line="240" w:lineRule="exact"/>
              <w:jc w:val="left"/>
              <w:textAlignment w:val="center"/>
              <w:rPr>
                <w:rFonts w:hint="eastAsia" w:ascii="宋体" w:hAnsi="宋体" w:eastAsia="宋体" w:cs="宋体"/>
                <w:color w:val="000000"/>
                <w:kern w:val="0"/>
                <w:sz w:val="24"/>
                <w:szCs w:val="24"/>
                <w:lang w:bidi="ar"/>
              </w:rPr>
            </w:pPr>
          </w:p>
        </w:tc>
      </w:tr>
      <w:tr w14:paraId="3FC80E8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A4841"/>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4E89D"/>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7167F"/>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3247969">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功能实现</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17D9CD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77CAA708">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452672">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3F3F72">
            <w:pPr>
              <w:widowControl/>
              <w:spacing w:line="240" w:lineRule="exact"/>
              <w:jc w:val="left"/>
              <w:textAlignment w:val="center"/>
              <w:rPr>
                <w:rFonts w:hint="eastAsia" w:ascii="宋体" w:hAnsi="宋体" w:eastAsia="宋体" w:cs="宋体"/>
                <w:color w:val="000000"/>
                <w:kern w:val="0"/>
                <w:sz w:val="24"/>
                <w:szCs w:val="24"/>
                <w:lang w:bidi="ar"/>
              </w:rPr>
            </w:pPr>
          </w:p>
        </w:tc>
      </w:tr>
      <w:tr w14:paraId="50DC9F7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F4B57"/>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159CB"/>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3E472"/>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23E400">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后续管护</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A37D0AF">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3F1F567F">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7FD25C">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195B1A">
            <w:pPr>
              <w:widowControl/>
              <w:spacing w:line="240" w:lineRule="exact"/>
              <w:jc w:val="left"/>
              <w:textAlignment w:val="center"/>
              <w:rPr>
                <w:rFonts w:hint="eastAsia" w:ascii="宋体" w:hAnsi="宋体" w:eastAsia="宋体" w:cs="宋体"/>
                <w:color w:val="000000"/>
                <w:kern w:val="0"/>
                <w:sz w:val="24"/>
                <w:szCs w:val="24"/>
                <w:lang w:bidi="ar"/>
              </w:rPr>
            </w:pPr>
          </w:p>
        </w:tc>
      </w:tr>
      <w:tr w14:paraId="7C79385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754B4">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专用指标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2758C2A">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行政运转</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（30分）</w:t>
            </w:r>
          </w:p>
        </w:tc>
        <w:tc>
          <w:tcPr>
            <w:tcW w:w="1525" w:type="dxa"/>
            <w:tcBorders>
              <w:top w:val="nil"/>
              <w:left w:val="single" w:color="000000" w:sz="4" w:space="0"/>
              <w:bottom w:val="single" w:color="000000" w:sz="4" w:space="0"/>
              <w:right w:val="single" w:color="000000" w:sz="4" w:space="0"/>
            </w:tcBorders>
            <w:noWrap w:val="0"/>
            <w:vAlign w:val="center"/>
          </w:tcPr>
          <w:p w14:paraId="4578889B">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用途合规性</w:t>
            </w:r>
          </w:p>
        </w:tc>
        <w:tc>
          <w:tcPr>
            <w:tcW w:w="833" w:type="dxa"/>
            <w:tcBorders>
              <w:top w:val="nil"/>
              <w:left w:val="single" w:color="000000" w:sz="4" w:space="0"/>
              <w:bottom w:val="single" w:color="000000" w:sz="4" w:space="0"/>
              <w:right w:val="single" w:color="000000" w:sz="4" w:space="0"/>
            </w:tcBorders>
            <w:noWrap w:val="0"/>
            <w:vAlign w:val="center"/>
          </w:tcPr>
          <w:p w14:paraId="561F4A1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nil"/>
              <w:left w:val="single" w:color="000000" w:sz="4" w:space="0"/>
              <w:bottom w:val="single" w:color="000000" w:sz="4" w:space="0"/>
              <w:right w:val="single" w:color="000000" w:sz="4" w:space="0"/>
            </w:tcBorders>
            <w:noWrap w:val="0"/>
            <w:vAlign w:val="center"/>
          </w:tcPr>
          <w:p w14:paraId="3487804F">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58ACE359">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5F06EA45">
            <w:pPr>
              <w:widowControl/>
              <w:spacing w:line="240" w:lineRule="exact"/>
              <w:jc w:val="left"/>
              <w:textAlignment w:val="center"/>
              <w:rPr>
                <w:rFonts w:hint="eastAsia" w:ascii="宋体" w:hAnsi="宋体" w:eastAsia="宋体" w:cs="宋体"/>
                <w:color w:val="000000"/>
                <w:kern w:val="0"/>
                <w:sz w:val="24"/>
                <w:szCs w:val="24"/>
                <w:lang w:bidi="ar"/>
              </w:rPr>
            </w:pPr>
          </w:p>
        </w:tc>
      </w:tr>
      <w:tr w14:paraId="6291735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430C"/>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6CE003"/>
        </w:tc>
        <w:tc>
          <w:tcPr>
            <w:tcW w:w="1525" w:type="dxa"/>
            <w:tcBorders>
              <w:top w:val="nil"/>
              <w:left w:val="single" w:color="000000" w:sz="4" w:space="0"/>
              <w:bottom w:val="single" w:color="000000" w:sz="4" w:space="0"/>
              <w:right w:val="single" w:color="000000" w:sz="4" w:space="0"/>
            </w:tcBorders>
            <w:noWrap w:val="0"/>
            <w:vAlign w:val="center"/>
          </w:tcPr>
          <w:p w14:paraId="47D1572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程序合规性</w:t>
            </w:r>
          </w:p>
        </w:tc>
        <w:tc>
          <w:tcPr>
            <w:tcW w:w="833" w:type="dxa"/>
            <w:tcBorders>
              <w:top w:val="nil"/>
              <w:left w:val="single" w:color="000000" w:sz="4" w:space="0"/>
              <w:bottom w:val="single" w:color="000000" w:sz="4" w:space="0"/>
              <w:right w:val="single" w:color="000000" w:sz="4" w:space="0"/>
            </w:tcBorders>
            <w:noWrap w:val="0"/>
            <w:vAlign w:val="center"/>
          </w:tcPr>
          <w:p w14:paraId="3306B947">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47B0F809">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A5654F">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6BA55D">
            <w:pPr>
              <w:widowControl/>
              <w:spacing w:line="240" w:lineRule="exact"/>
              <w:jc w:val="left"/>
              <w:textAlignment w:val="center"/>
              <w:rPr>
                <w:rFonts w:hint="eastAsia" w:ascii="宋体" w:hAnsi="宋体" w:eastAsia="宋体" w:cs="宋体"/>
                <w:color w:val="000000"/>
                <w:kern w:val="0"/>
                <w:sz w:val="24"/>
                <w:szCs w:val="24"/>
                <w:lang w:bidi="ar"/>
              </w:rPr>
            </w:pPr>
          </w:p>
        </w:tc>
      </w:tr>
      <w:tr w14:paraId="5F65B1AD">
        <w:tblPrEx>
          <w:tblCellMar>
            <w:top w:w="0" w:type="dxa"/>
            <w:left w:w="108" w:type="dxa"/>
            <w:bottom w:w="0" w:type="dxa"/>
            <w:right w:w="108" w:type="dxa"/>
          </w:tblCellMar>
        </w:tblPrEx>
        <w:trPr>
          <w:trHeight w:val="1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61D9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5BD111"/>
        </w:tc>
        <w:tc>
          <w:tcPr>
            <w:tcW w:w="1525" w:type="dxa"/>
            <w:tcBorders>
              <w:top w:val="nil"/>
              <w:left w:val="single" w:color="000000" w:sz="4" w:space="0"/>
              <w:bottom w:val="single" w:color="000000" w:sz="4" w:space="0"/>
              <w:right w:val="single" w:color="000000" w:sz="4" w:space="0"/>
            </w:tcBorders>
            <w:noWrap w:val="0"/>
            <w:vAlign w:val="center"/>
          </w:tcPr>
          <w:p w14:paraId="70770E01">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标准合规性</w:t>
            </w:r>
          </w:p>
        </w:tc>
        <w:tc>
          <w:tcPr>
            <w:tcW w:w="833" w:type="dxa"/>
            <w:tcBorders>
              <w:top w:val="nil"/>
              <w:left w:val="single" w:color="000000" w:sz="4" w:space="0"/>
              <w:bottom w:val="single" w:color="000000" w:sz="4" w:space="0"/>
              <w:right w:val="single" w:color="000000" w:sz="4" w:space="0"/>
            </w:tcBorders>
            <w:noWrap w:val="0"/>
            <w:vAlign w:val="center"/>
          </w:tcPr>
          <w:p w14:paraId="3ACCC34D">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4119AFDC">
            <w:pPr>
              <w:widowControl/>
              <w:spacing w:line="360" w:lineRule="auto"/>
              <w:jc w:val="left"/>
              <w:textAlignment w:val="center"/>
              <w:rPr>
                <w:rFonts w:hint="eastAsia" w:ascii="宋体" w:hAnsi="宋体" w:eastAsia="宋体" w:cs="宋体"/>
                <w:color w:val="000000"/>
                <w:sz w:val="24"/>
                <w:szCs w:val="24"/>
                <w:lang w:bidi="ar-SA"/>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2E2633B">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AC1C9A">
            <w:pPr>
              <w:widowControl/>
              <w:spacing w:line="240" w:lineRule="exact"/>
              <w:jc w:val="left"/>
              <w:textAlignment w:val="center"/>
              <w:rPr>
                <w:rFonts w:hint="eastAsia" w:ascii="宋体" w:hAnsi="宋体" w:eastAsia="宋体" w:cs="宋体"/>
                <w:color w:val="000000"/>
                <w:kern w:val="0"/>
                <w:sz w:val="24"/>
                <w:szCs w:val="24"/>
                <w:lang w:bidi="ar"/>
              </w:rPr>
            </w:pPr>
          </w:p>
        </w:tc>
      </w:tr>
      <w:tr w14:paraId="49217DE8">
        <w:tblPrEx>
          <w:tblCellMar>
            <w:top w:w="0" w:type="dxa"/>
            <w:left w:w="108" w:type="dxa"/>
            <w:bottom w:w="0" w:type="dxa"/>
            <w:right w:w="108" w:type="dxa"/>
          </w:tblCellMar>
        </w:tblPrEx>
        <w:trPr>
          <w:trHeight w:val="305"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EEA4791">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个性指标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（16分）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0D43955">
            <w:pPr>
              <w:widowControl/>
              <w:spacing w:line="360" w:lineRule="auto"/>
              <w:jc w:val="both"/>
              <w:textAlignment w:val="center"/>
              <w:rPr>
                <w:rFonts w:hint="eastAsia" w:ascii="宋体" w:hAnsi="宋体" w:eastAsia="宋体" w:cs="宋体"/>
                <w:color w:val="000000"/>
                <w:sz w:val="24"/>
                <w:szCs w:val="24"/>
                <w:lang w:bidi="ar-SA"/>
              </w:rPr>
            </w:pPr>
            <w:r>
              <w:rPr>
                <w:rFonts w:hint="eastAsia" w:ascii="宋体" w:hAnsi="宋体" w:eastAsia="宋体" w:cs="宋体"/>
                <w:i w:val="0"/>
                <w:iCs w:val="0"/>
                <w:color w:val="000000"/>
                <w:kern w:val="0"/>
                <w:sz w:val="24"/>
                <w:szCs w:val="24"/>
                <w:u w:val="none"/>
                <w:lang w:val="en-US" w:eastAsia="zh-CN" w:bidi="ar"/>
              </w:rPr>
              <w:t>科技工作者注册</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DED3AB5">
            <w:pPr>
              <w:widowControl/>
              <w:spacing w:line="360" w:lineRule="auto"/>
              <w:jc w:val="center"/>
              <w:textAlignment w:val="center"/>
              <w:rPr>
                <w:rFonts w:hint="eastAsia" w:ascii="宋体" w:hAnsi="宋体" w:eastAsia="宋体" w:cs="宋体"/>
                <w:color w:val="000000"/>
                <w:sz w:val="24"/>
                <w:szCs w:val="24"/>
                <w:lang w:val="en-US" w:bidi="ar-SA"/>
              </w:rPr>
            </w:pPr>
            <w:r>
              <w:rPr>
                <w:rFonts w:hint="eastAsia" w:ascii="宋体" w:hAnsi="宋体" w:eastAsia="宋体" w:cs="宋体"/>
                <w:i w:val="0"/>
                <w:iCs w:val="0"/>
                <w:color w:val="000000"/>
                <w:kern w:val="0"/>
                <w:sz w:val="24"/>
                <w:szCs w:val="24"/>
                <w:u w:val="none"/>
                <w:lang w:val="en-US" w:eastAsia="zh-CN" w:bidi="ar"/>
              </w:rPr>
              <w:t>10</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7491168C">
            <w:pPr>
              <w:widowControl/>
              <w:spacing w:line="360" w:lineRule="auto"/>
              <w:jc w:val="left"/>
              <w:textAlignment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 平台注册量是否达到200人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F8D0034">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04FCD5">
            <w:pPr>
              <w:widowControl/>
              <w:spacing w:line="240" w:lineRule="exact"/>
              <w:jc w:val="left"/>
              <w:textAlignment w:val="center"/>
              <w:rPr>
                <w:rFonts w:hint="eastAsia" w:ascii="宋体" w:hAnsi="宋体" w:eastAsia="宋体" w:cs="宋体"/>
                <w:color w:val="000000"/>
                <w:kern w:val="0"/>
                <w:sz w:val="24"/>
                <w:szCs w:val="24"/>
                <w:lang w:bidi="ar"/>
              </w:rPr>
            </w:pPr>
          </w:p>
        </w:tc>
      </w:tr>
      <w:tr w14:paraId="09A3D5E5">
        <w:tblPrEx>
          <w:tblCellMar>
            <w:top w:w="0" w:type="dxa"/>
            <w:left w:w="108" w:type="dxa"/>
            <w:bottom w:w="0" w:type="dxa"/>
            <w:right w:w="108" w:type="dxa"/>
          </w:tblCellMar>
        </w:tblPrEx>
        <w:trPr>
          <w:trHeight w:val="485"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134B31C"/>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BCCC974">
            <w:pPr>
              <w:widowControl/>
              <w:spacing w:line="360" w:lineRule="auto"/>
              <w:jc w:val="both"/>
              <w:textAlignment w:val="center"/>
              <w:rPr>
                <w:rFonts w:hint="eastAsia" w:ascii="宋体" w:hAnsi="宋体" w:eastAsia="宋体" w:cs="宋体"/>
                <w:color w:val="000000"/>
                <w:sz w:val="24"/>
                <w:szCs w:val="24"/>
                <w:lang w:bidi="ar-SA"/>
              </w:rPr>
            </w:pPr>
            <w:r>
              <w:rPr>
                <w:rFonts w:hint="eastAsia" w:ascii="宋体" w:hAnsi="宋体" w:eastAsia="宋体" w:cs="宋体"/>
                <w:i w:val="0"/>
                <w:iCs w:val="0"/>
                <w:color w:val="000000"/>
                <w:kern w:val="0"/>
                <w:sz w:val="24"/>
                <w:szCs w:val="24"/>
                <w:u w:val="none"/>
                <w:lang w:val="en-US" w:eastAsia="zh-CN" w:bidi="ar"/>
              </w:rPr>
              <w:t>天府科技云工作完成率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4F43E9D">
            <w:pPr>
              <w:widowControl/>
              <w:spacing w:line="360" w:lineRule="auto"/>
              <w:jc w:val="center"/>
              <w:textAlignment w:val="center"/>
              <w:rPr>
                <w:rFonts w:hint="eastAsia" w:ascii="宋体" w:hAnsi="宋体" w:eastAsia="宋体" w:cs="宋体"/>
                <w:color w:val="000000"/>
                <w:sz w:val="24"/>
                <w:szCs w:val="24"/>
                <w:lang w:eastAsia="zh-CN" w:bidi="ar-SA"/>
              </w:rPr>
            </w:pPr>
            <w:r>
              <w:rPr>
                <w:rFonts w:hint="eastAsia" w:ascii="宋体" w:hAnsi="宋体" w:eastAsia="宋体" w:cs="宋体"/>
                <w:color w:val="000000"/>
                <w:kern w:val="0"/>
                <w:sz w:val="24"/>
                <w:szCs w:val="24"/>
                <w:lang w:val="en-US" w:eastAsia="zh-CN" w:bidi="ar"/>
              </w:rPr>
              <w:t>6</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23502B37">
            <w:pPr>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bidi="ar-SA"/>
              </w:rPr>
              <w:t>根据绩效管理，完成率是否高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B77269">
            <w:pPr>
              <w:widowControl/>
              <w:spacing w:line="360" w:lineRule="auto"/>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D7F50F">
            <w:pPr>
              <w:widowControl/>
              <w:spacing w:line="240" w:lineRule="exact"/>
              <w:jc w:val="left"/>
              <w:rPr>
                <w:rFonts w:hint="eastAsia" w:ascii="宋体" w:hAnsi="宋体" w:eastAsia="宋体" w:cs="宋体"/>
                <w:color w:val="000000"/>
                <w:sz w:val="24"/>
                <w:szCs w:val="24"/>
                <w:lang w:bidi="ar-SA"/>
              </w:rPr>
            </w:pPr>
          </w:p>
        </w:tc>
      </w:tr>
      <w:tr w14:paraId="3FB97E07">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21FF02D7">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扣分项</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（10分）</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8271C89">
            <w:pPr>
              <w:widowControl/>
              <w:spacing w:line="360" w:lineRule="auto"/>
              <w:jc w:val="both"/>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被价部门配合度</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ED9BD26">
            <w:pPr>
              <w:widowControl/>
              <w:spacing w:line="360" w:lineRule="auto"/>
              <w:jc w:val="center"/>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w:t>
            </w:r>
          </w:p>
        </w:tc>
        <w:tc>
          <w:tcPr>
            <w:tcW w:w="5033" w:type="dxa"/>
            <w:tcBorders>
              <w:top w:val="single" w:color="000000" w:sz="4" w:space="0"/>
              <w:left w:val="single" w:color="000000" w:sz="4" w:space="0"/>
              <w:bottom w:val="single" w:color="000000" w:sz="4" w:space="0"/>
              <w:right w:val="single" w:color="000000" w:sz="4" w:space="0"/>
            </w:tcBorders>
            <w:noWrap w:val="0"/>
            <w:vAlign w:val="center"/>
          </w:tcPr>
          <w:p w14:paraId="37B9A8D8">
            <w:pPr>
              <w:widowControl/>
              <w:spacing w:line="360" w:lineRule="auto"/>
              <w:jc w:val="left"/>
              <w:textAlignment w:val="center"/>
              <w:rPr>
                <w:rFonts w:hint="eastAsia" w:ascii="宋体" w:hAnsi="宋体" w:eastAsia="宋体" w:cs="宋体"/>
                <w:color w:val="000000"/>
                <w:sz w:val="24"/>
                <w:szCs w:val="24"/>
                <w:lang w:bidi="ar-SA"/>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25E42D">
            <w:pPr>
              <w:widowControl/>
              <w:spacing w:line="360" w:lineRule="auto"/>
              <w:jc w:val="left"/>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9AE33C">
            <w:pPr>
              <w:widowControl/>
              <w:spacing w:line="240" w:lineRule="exact"/>
              <w:jc w:val="left"/>
              <w:textAlignment w:val="center"/>
              <w:rPr>
                <w:rFonts w:hint="eastAsia" w:ascii="宋体" w:hAnsi="宋体" w:eastAsia="宋体" w:cs="宋体"/>
                <w:color w:val="000000"/>
                <w:kern w:val="0"/>
                <w:sz w:val="24"/>
                <w:szCs w:val="24"/>
                <w:lang w:bidi="ar"/>
              </w:rPr>
            </w:pPr>
          </w:p>
        </w:tc>
      </w:tr>
      <w:tr w14:paraId="7B2F13AE">
        <w:tblPrEx>
          <w:tblCellMar>
            <w:top w:w="0" w:type="dxa"/>
            <w:left w:w="108" w:type="dxa"/>
            <w:bottom w:w="0" w:type="dxa"/>
            <w:right w:w="108" w:type="dxa"/>
          </w:tblCellMar>
        </w:tblPrEx>
        <w:trPr>
          <w:trHeight w:val="555"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noWrap w:val="0"/>
            <w:vAlign w:val="center"/>
          </w:tcPr>
          <w:p w14:paraId="6E4EB14C">
            <w:pPr>
              <w:widowControl/>
              <w:spacing w:line="240" w:lineRule="exact"/>
              <w:ind w:firstLine="5520" w:firstLineChars="2300"/>
              <w:jc w:val="left"/>
              <w:textAlignment w:val="center"/>
              <w:rPr>
                <w:rFonts w:hint="default" w:ascii="宋体" w:eastAsia="宋体" w:cs="宋体"/>
                <w:color w:val="000000"/>
                <w:kern w:val="0"/>
                <w:sz w:val="24"/>
                <w:szCs w:val="24"/>
                <w:lang w:val="en-US" w:eastAsia="zh-CN" w:bidi="ar"/>
              </w:rPr>
            </w:pPr>
            <w:r>
              <w:rPr>
                <w:rFonts w:hint="eastAsia" w:ascii="宋体" w:eastAsia="宋体" w:cs="宋体"/>
                <w:color w:val="000000"/>
                <w:kern w:val="0"/>
                <w:sz w:val="24"/>
                <w:szCs w:val="24"/>
                <w:lang w:eastAsia="zh-CN" w:bidi="ar"/>
              </w:rPr>
              <w:t>总</w:t>
            </w:r>
            <w:r>
              <w:rPr>
                <w:rFonts w:hint="eastAsia" w:ascii="宋体" w:eastAsia="宋体" w:cs="宋体"/>
                <w:color w:val="000000"/>
                <w:kern w:val="0"/>
                <w:sz w:val="24"/>
                <w:szCs w:val="24"/>
                <w:lang w:val="en-US" w:eastAsia="zh-CN" w:bidi="ar"/>
              </w:rPr>
              <w:t xml:space="preserve"> </w:t>
            </w:r>
            <w:r>
              <w:rPr>
                <w:rFonts w:hint="eastAsia" w:ascii="宋体" w:eastAsia="宋体" w:cs="宋体"/>
                <w:color w:val="000000"/>
                <w:kern w:val="0"/>
                <w:sz w:val="24"/>
                <w:szCs w:val="24"/>
                <w:lang w:eastAsia="zh-CN" w:bidi="ar"/>
              </w:rPr>
              <w:t>分</w:t>
            </w:r>
            <w:r>
              <w:rPr>
                <w:rFonts w:hint="eastAsia" w:ascii="宋体" w:eastAsia="宋体" w:cs="宋体"/>
                <w:color w:val="000000"/>
                <w:kern w:val="0"/>
                <w:sz w:val="24"/>
                <w:szCs w:val="24"/>
                <w:lang w:val="en-US" w:eastAsia="zh-CN" w:bidi="ar"/>
              </w:rPr>
              <w:t xml:space="preserve">                              84</w:t>
            </w:r>
          </w:p>
        </w:tc>
      </w:tr>
    </w:tbl>
    <w:p w14:paraId="0790687C">
      <w:pPr>
        <w:spacing w:line="578" w:lineRule="exact"/>
        <w:rPr>
          <w:rFonts w:eastAsia="黑体"/>
          <w:kern w:val="0"/>
          <w:shd w:val="clear" w:color="auto" w:fill="FFFFFF"/>
        </w:rPr>
      </w:pPr>
    </w:p>
    <w:p w14:paraId="43571610">
      <w:pPr>
        <w:spacing w:line="578" w:lineRule="exact"/>
        <w:rPr>
          <w:rFonts w:eastAsia="黑体"/>
          <w:kern w:val="0"/>
          <w:shd w:val="clear" w:color="auto" w:fill="FFFFFF"/>
        </w:rPr>
      </w:pPr>
    </w:p>
    <w:p w14:paraId="41681013">
      <w:pPr>
        <w:spacing w:line="578" w:lineRule="exact"/>
        <w:rPr>
          <w:rFonts w:eastAsia="黑体"/>
          <w:kern w:val="0"/>
          <w:shd w:val="clear" w:color="auto" w:fill="FFFFFF"/>
        </w:rPr>
      </w:pPr>
    </w:p>
    <w:p w14:paraId="71BFC51C">
      <w:pPr>
        <w:spacing w:line="578" w:lineRule="exact"/>
        <w:rPr>
          <w:rFonts w:eastAsia="黑体"/>
          <w:kern w:val="0"/>
          <w:shd w:val="clear" w:color="auto" w:fill="FFFFFF"/>
        </w:rPr>
      </w:pPr>
    </w:p>
    <w:p w14:paraId="16C95FAC">
      <w:pPr>
        <w:spacing w:line="578" w:lineRule="exact"/>
        <w:rPr>
          <w:rFonts w:eastAsia="黑体"/>
          <w:kern w:val="0"/>
          <w:shd w:val="clear" w:color="auto" w:fill="FFFFFF"/>
        </w:rPr>
      </w:pPr>
    </w:p>
    <w:p w14:paraId="03678766">
      <w:pPr>
        <w:spacing w:line="578" w:lineRule="exact"/>
        <w:rPr>
          <w:rFonts w:eastAsia="黑体"/>
          <w:kern w:val="0"/>
          <w:shd w:val="clear" w:color="auto" w:fill="FFFFFF"/>
        </w:rPr>
      </w:pPr>
    </w:p>
    <w:p w14:paraId="224E92AB">
      <w:pPr>
        <w:spacing w:line="578" w:lineRule="exact"/>
        <w:rPr>
          <w:rFonts w:eastAsia="黑体"/>
          <w:kern w:val="0"/>
          <w:shd w:val="clear" w:color="auto" w:fill="FFFFFF"/>
        </w:rPr>
      </w:pPr>
    </w:p>
    <w:p w14:paraId="5D73D719">
      <w:pPr>
        <w:spacing w:line="578" w:lineRule="exact"/>
        <w:rPr>
          <w:rFonts w:eastAsia="黑体"/>
          <w:kern w:val="0"/>
          <w:shd w:val="clear" w:color="auto" w:fill="FFFFFF"/>
        </w:rPr>
      </w:pPr>
    </w:p>
    <w:p w14:paraId="00F40EC8">
      <w:pPr>
        <w:spacing w:line="578" w:lineRule="exact"/>
        <w:rPr>
          <w:rFonts w:eastAsia="黑体"/>
          <w:kern w:val="0"/>
          <w:shd w:val="clear" w:color="auto" w:fill="FFFFFF"/>
        </w:rPr>
      </w:pPr>
    </w:p>
    <w:p w14:paraId="25E7E6F9">
      <w:pPr>
        <w:spacing w:line="578" w:lineRule="exact"/>
        <w:rPr>
          <w:rFonts w:eastAsia="黑体"/>
          <w:kern w:val="0"/>
          <w:shd w:val="clear" w:color="auto" w:fill="FFFFFF"/>
        </w:rPr>
      </w:pPr>
    </w:p>
    <w:p w14:paraId="62B0A866">
      <w:pPr>
        <w:spacing w:line="578" w:lineRule="exact"/>
        <w:rPr>
          <w:rFonts w:eastAsia="黑体"/>
          <w:kern w:val="0"/>
          <w:shd w:val="clear" w:color="auto" w:fill="FFFFFF"/>
        </w:rPr>
      </w:pPr>
    </w:p>
    <w:p w14:paraId="1FB2BCB8">
      <w:pPr>
        <w:spacing w:line="578" w:lineRule="exact"/>
        <w:rPr>
          <w:rFonts w:eastAsia="黑体"/>
          <w:kern w:val="0"/>
          <w:shd w:val="clear" w:color="auto" w:fill="FFFFFF"/>
        </w:rPr>
      </w:pPr>
    </w:p>
    <w:p w14:paraId="1E2B017E">
      <w:pPr>
        <w:spacing w:line="578" w:lineRule="exact"/>
        <w:rPr>
          <w:rFonts w:eastAsia="黑体"/>
          <w:kern w:val="0"/>
          <w:shd w:val="clear" w:color="auto" w:fill="FFFFFF"/>
        </w:rPr>
      </w:pPr>
    </w:p>
    <w:p w14:paraId="6B0786A8">
      <w:pPr>
        <w:spacing w:line="578" w:lineRule="exact"/>
        <w:rPr>
          <w:rFonts w:eastAsia="黑体"/>
          <w:kern w:val="0"/>
          <w:shd w:val="clear" w:color="auto" w:fill="FFFFFF"/>
        </w:rPr>
      </w:pPr>
    </w:p>
    <w:p w14:paraId="62770EB5">
      <w:pPr>
        <w:spacing w:line="578" w:lineRule="exact"/>
        <w:rPr>
          <w:rFonts w:eastAsia="黑体"/>
          <w:kern w:val="0"/>
          <w:shd w:val="clear" w:color="auto" w:fill="FFFFFF"/>
        </w:rPr>
      </w:pPr>
    </w:p>
    <w:p w14:paraId="0CB38B9D">
      <w:pPr>
        <w:spacing w:line="578" w:lineRule="exact"/>
        <w:rPr>
          <w:rFonts w:eastAsia="黑体"/>
          <w:kern w:val="0"/>
          <w:shd w:val="clear" w:color="auto" w:fill="FFFFFF"/>
        </w:rPr>
      </w:pPr>
    </w:p>
    <w:p w14:paraId="6B6E7A87">
      <w:pPr>
        <w:spacing w:line="578" w:lineRule="exact"/>
        <w:rPr>
          <w:rFonts w:eastAsia="黑体"/>
          <w:kern w:val="0"/>
          <w:shd w:val="clear" w:color="auto" w:fill="FFFFFF"/>
        </w:rPr>
      </w:pPr>
    </w:p>
    <w:p w14:paraId="5A26CAAE">
      <w:pPr>
        <w:spacing w:line="578" w:lineRule="exact"/>
        <w:rPr>
          <w:rFonts w:eastAsia="黑体"/>
          <w:kern w:val="0"/>
          <w:shd w:val="clear" w:color="auto" w:fill="FFFFFF"/>
        </w:rPr>
      </w:pPr>
    </w:p>
    <w:tbl>
      <w:tblPr>
        <w:tblStyle w:val="17"/>
        <w:tblW w:w="10233" w:type="dxa"/>
        <w:jc w:val="center"/>
        <w:tblLayout w:type="fixed"/>
        <w:tblCellMar>
          <w:top w:w="15" w:type="dxa"/>
          <w:left w:w="15" w:type="dxa"/>
          <w:bottom w:w="15" w:type="dxa"/>
          <w:right w:w="15" w:type="dxa"/>
        </w:tblCellMar>
      </w:tblPr>
      <w:tblGrid>
        <w:gridCol w:w="652"/>
        <w:gridCol w:w="1081"/>
        <w:gridCol w:w="601"/>
        <w:gridCol w:w="1961"/>
        <w:gridCol w:w="157"/>
        <w:gridCol w:w="970"/>
        <w:gridCol w:w="1175"/>
        <w:gridCol w:w="735"/>
        <w:gridCol w:w="122"/>
        <w:gridCol w:w="747"/>
        <w:gridCol w:w="191"/>
        <w:gridCol w:w="530"/>
        <w:gridCol w:w="825"/>
        <w:gridCol w:w="480"/>
        <w:gridCol w:w="6"/>
      </w:tblGrid>
      <w:tr w14:paraId="076BE458">
        <w:tblPrEx>
          <w:tblCellMar>
            <w:top w:w="15" w:type="dxa"/>
            <w:left w:w="15" w:type="dxa"/>
            <w:bottom w:w="15" w:type="dxa"/>
            <w:right w:w="15" w:type="dxa"/>
          </w:tblCellMar>
        </w:tblPrEx>
        <w:trPr>
          <w:trHeight w:val="576" w:hRule="atLeast"/>
          <w:jc w:val="center"/>
        </w:trPr>
        <w:tc>
          <w:tcPr>
            <w:tcW w:w="10233" w:type="dxa"/>
            <w:gridSpan w:val="15"/>
            <w:tcBorders>
              <w:top w:val="nil"/>
              <w:left w:val="nil"/>
              <w:bottom w:val="nil"/>
              <w:right w:val="nil"/>
            </w:tcBorders>
            <w:noWrap w:val="0"/>
            <w:vAlign w:val="center"/>
          </w:tcPr>
          <w:p w14:paraId="72217AA4">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656E66FB">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0A8D19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项目名称</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74FBCA6E">
            <w:pPr>
              <w:spacing w:line="360" w:lineRule="auto"/>
              <w:rPr>
                <w:rFonts w:eastAsia="宋体"/>
                <w:color w:val="000000"/>
                <w:sz w:val="24"/>
                <w:szCs w:val="24"/>
              </w:rPr>
            </w:pPr>
            <w:r>
              <w:rPr>
                <w:rFonts w:hint="eastAsia" w:eastAsia="宋体"/>
                <w:color w:val="000000"/>
                <w:sz w:val="24"/>
                <w:szCs w:val="24"/>
              </w:rPr>
              <w:t>2023年</w:t>
            </w:r>
            <w:r>
              <w:rPr>
                <w:rFonts w:hint="eastAsia" w:eastAsia="宋体"/>
                <w:color w:val="000000"/>
                <w:sz w:val="24"/>
                <w:szCs w:val="24"/>
                <w:lang w:eastAsia="zh-CN"/>
              </w:rPr>
              <w:t>度四川省科普专项资金</w:t>
            </w:r>
          </w:p>
        </w:tc>
      </w:tr>
      <w:tr w14:paraId="0AF31D57">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71DA881">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预算单位</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1E2B71C1">
            <w:pPr>
              <w:spacing w:line="360" w:lineRule="auto"/>
              <w:rPr>
                <w:rFonts w:hint="eastAsia" w:eastAsia="宋体"/>
                <w:color w:val="000000"/>
                <w:sz w:val="24"/>
                <w:szCs w:val="24"/>
                <w:lang w:eastAsia="zh-CN"/>
              </w:rPr>
            </w:pPr>
            <w:r>
              <w:rPr>
                <w:rFonts w:hint="eastAsia" w:eastAsia="宋体"/>
                <w:color w:val="000000"/>
                <w:sz w:val="24"/>
                <w:szCs w:val="24"/>
                <w:lang w:eastAsia="zh-CN"/>
              </w:rPr>
              <w:t>茂县科学技术协会</w:t>
            </w:r>
          </w:p>
        </w:tc>
      </w:tr>
      <w:tr w14:paraId="2BE0F08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8577CA9">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项目类型</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233B04D1">
            <w:pPr>
              <w:spacing w:line="360" w:lineRule="auto"/>
              <w:jc w:val="left"/>
              <w:rPr>
                <w:rFonts w:hint="eastAsia" w:eastAsia="宋体"/>
                <w:color w:val="000000"/>
                <w:sz w:val="24"/>
                <w:szCs w:val="24"/>
                <w:lang w:eastAsia="zh-CN"/>
              </w:rPr>
            </w:pPr>
            <w:r>
              <w:rPr>
                <w:rFonts w:hint="eastAsia" w:eastAsia="宋体"/>
                <w:color w:val="000000"/>
                <w:sz w:val="24"/>
                <w:szCs w:val="24"/>
                <w:lang w:eastAsia="zh-CN"/>
              </w:rPr>
              <w:t>科普资金</w:t>
            </w:r>
          </w:p>
        </w:tc>
      </w:tr>
      <w:tr w14:paraId="67CC478F">
        <w:tblPrEx>
          <w:tblCellMar>
            <w:top w:w="15" w:type="dxa"/>
            <w:left w:w="15" w:type="dxa"/>
            <w:bottom w:w="15" w:type="dxa"/>
            <w:right w:w="15" w:type="dxa"/>
          </w:tblCellMar>
        </w:tblPrEx>
        <w:trPr>
          <w:trHeight w:val="455"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50A311">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86947AA">
            <w:pPr>
              <w:widowControl/>
              <w:spacing w:line="300" w:lineRule="exact"/>
              <w:jc w:val="left"/>
              <w:textAlignment w:val="center"/>
              <w:rPr>
                <w:rFonts w:eastAsia="宋体"/>
                <w:color w:val="000000"/>
                <w:kern w:val="0"/>
                <w:sz w:val="24"/>
                <w:szCs w:val="24"/>
                <w:lang w:bidi="ar"/>
              </w:rPr>
            </w:pPr>
            <w:r>
              <w:rPr>
                <w:rFonts w:eastAsia="宋体"/>
                <w:color w:val="000000"/>
                <w:kern w:val="0"/>
                <w:sz w:val="24"/>
                <w:szCs w:val="24"/>
                <w:lang w:bidi="ar"/>
              </w:rPr>
              <w:t>中长期规划（名称、文号，仅指</w:t>
            </w:r>
          </w:p>
          <w:p w14:paraId="5624B22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常年项目）</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63FC4652">
            <w:pPr>
              <w:spacing w:line="360" w:lineRule="auto"/>
              <w:jc w:val="left"/>
              <w:rPr>
                <w:rFonts w:eastAsia="宋体"/>
                <w:color w:val="000000"/>
                <w:sz w:val="24"/>
                <w:szCs w:val="24"/>
              </w:rPr>
            </w:pPr>
            <w:r>
              <w:rPr>
                <w:rFonts w:hint="eastAsia" w:ascii="宋体" w:hAnsi="宋体" w:eastAsia="宋体" w:cs="宋体"/>
                <w:i w:val="0"/>
                <w:color w:val="000000"/>
                <w:sz w:val="24"/>
                <w:szCs w:val="24"/>
                <w:u w:val="none"/>
                <w:lang w:eastAsia="zh-CN"/>
              </w:rPr>
              <w:t>四川</w:t>
            </w:r>
            <w:r>
              <w:rPr>
                <w:rFonts w:hint="eastAsia" w:ascii="宋体" w:hAnsi="宋体" w:eastAsia="宋体" w:cs="宋体"/>
                <w:i w:val="0"/>
                <w:color w:val="000000"/>
                <w:sz w:val="24"/>
                <w:szCs w:val="24"/>
                <w:u w:val="none"/>
              </w:rPr>
              <w:t>省级科普专项资金</w:t>
            </w:r>
          </w:p>
        </w:tc>
      </w:tr>
      <w:tr w14:paraId="2823E4F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0F605"/>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B4137C1">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资金管理办法（名称、文号）</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0F891F03">
            <w:pPr>
              <w:spacing w:line="360" w:lineRule="auto"/>
              <w:jc w:val="left"/>
              <w:rPr>
                <w:rFonts w:eastAsia="宋体"/>
                <w:color w:val="000000"/>
                <w:sz w:val="24"/>
                <w:szCs w:val="24"/>
              </w:rPr>
            </w:pPr>
            <w:r>
              <w:rPr>
                <w:rFonts w:hint="eastAsia" w:ascii="宋体" w:hAnsi="宋体" w:eastAsia="宋体" w:cs="宋体"/>
                <w:i w:val="0"/>
                <w:color w:val="000000"/>
                <w:sz w:val="24"/>
                <w:szCs w:val="24"/>
                <w:u w:val="none"/>
              </w:rPr>
              <w:t>《四川省科普专项资金管理办法》（川财教〔2020〕83号）</w:t>
            </w:r>
          </w:p>
        </w:tc>
      </w:tr>
      <w:tr w14:paraId="3674C8E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383C4"/>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0746CB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绩效分配方式</w:t>
            </w:r>
          </w:p>
        </w:tc>
        <w:tc>
          <w:tcPr>
            <w:tcW w:w="1127" w:type="dxa"/>
            <w:gridSpan w:val="2"/>
            <w:tcBorders>
              <w:top w:val="single" w:color="000000" w:sz="4" w:space="0"/>
              <w:left w:val="single" w:color="000000" w:sz="4" w:space="0"/>
              <w:bottom w:val="single" w:color="000000" w:sz="4" w:space="0"/>
              <w:right w:val="single" w:color="000000" w:sz="4" w:space="0"/>
            </w:tcBorders>
            <w:noWrap w:val="0"/>
            <w:vAlign w:val="center"/>
          </w:tcPr>
          <w:p w14:paraId="7DD2D218">
            <w:pPr>
              <w:widowControl/>
              <w:spacing w:line="360" w:lineRule="auto"/>
              <w:jc w:val="left"/>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w:t>
            </w:r>
          </w:p>
        </w:tc>
        <w:tc>
          <w:tcPr>
            <w:tcW w:w="2032" w:type="dxa"/>
            <w:gridSpan w:val="3"/>
            <w:tcBorders>
              <w:top w:val="single" w:color="000000" w:sz="4" w:space="0"/>
              <w:left w:val="single" w:color="000000" w:sz="4" w:space="0"/>
              <w:bottom w:val="single" w:color="000000" w:sz="4" w:space="0"/>
              <w:right w:val="single" w:color="000000" w:sz="4" w:space="0"/>
            </w:tcBorders>
            <w:noWrap w:val="0"/>
            <w:vAlign w:val="center"/>
          </w:tcPr>
          <w:p w14:paraId="624EB1E4">
            <w:pPr>
              <w:widowControl/>
              <w:spacing w:line="360" w:lineRule="auto"/>
              <w:jc w:val="center"/>
              <w:textAlignment w:val="center"/>
              <w:rPr>
                <w:rFonts w:eastAsia="Wingdings 2"/>
                <w:color w:val="000000"/>
                <w:sz w:val="24"/>
                <w:szCs w:val="24"/>
              </w:rPr>
            </w:pPr>
            <w:r>
              <w:rPr>
                <w:rFonts w:eastAsia="Wingdings 2"/>
                <w:color w:val="000000"/>
                <w:kern w:val="0"/>
                <w:sz w:val="24"/>
                <w:szCs w:val="24"/>
                <w:lang w:bidi="ar"/>
              </w:rPr>
              <w:t>£项目法</w:t>
            </w:r>
          </w:p>
        </w:tc>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3A0526FB">
            <w:pPr>
              <w:widowControl/>
              <w:spacing w:line="360" w:lineRule="auto"/>
              <w:jc w:val="center"/>
              <w:textAlignment w:val="center"/>
              <w:rPr>
                <w:rFonts w:eastAsia="Wingdings 2"/>
                <w:color w:val="000000"/>
                <w:sz w:val="24"/>
                <w:szCs w:val="24"/>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eastAsia="Wingdings 2"/>
                <w:color w:val="000000"/>
                <w:kern w:val="0"/>
                <w:sz w:val="24"/>
                <w:szCs w:val="24"/>
                <w:lang w:bidi="ar"/>
              </w:rPr>
              <w:t>£</w:t>
            </w:r>
            <w:r>
              <w:rPr>
                <w:rFonts w:eastAsia="宋体"/>
                <w:color w:val="000000"/>
                <w:kern w:val="0"/>
                <w:sz w:val="24"/>
                <w:szCs w:val="24"/>
                <w:lang w:bidi="ar"/>
              </w:rPr>
              <w:t>据实据效</w:t>
            </w:r>
          </w:p>
        </w:tc>
        <w:tc>
          <w:tcPr>
            <w:tcW w:w="1841" w:type="dxa"/>
            <w:gridSpan w:val="4"/>
            <w:tcBorders>
              <w:top w:val="single" w:color="000000" w:sz="4" w:space="0"/>
              <w:left w:val="single" w:color="000000" w:sz="4" w:space="0"/>
              <w:bottom w:val="single" w:color="000000" w:sz="4" w:space="0"/>
              <w:right w:val="single" w:color="000000" w:sz="4" w:space="0"/>
            </w:tcBorders>
            <w:noWrap w:val="0"/>
            <w:vAlign w:val="center"/>
          </w:tcPr>
          <w:p w14:paraId="5CC69ACA">
            <w:pPr>
              <w:widowControl/>
              <w:spacing w:line="360" w:lineRule="auto"/>
              <w:jc w:val="center"/>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因素法与项目法相结合</w:t>
            </w:r>
          </w:p>
        </w:tc>
      </w:tr>
      <w:tr w14:paraId="619015D5">
        <w:tblPrEx>
          <w:tblCellMar>
            <w:top w:w="15" w:type="dxa"/>
            <w:left w:w="15" w:type="dxa"/>
            <w:bottom w:w="15" w:type="dxa"/>
            <w:right w:w="15" w:type="dxa"/>
          </w:tblCellMar>
        </w:tblPrEx>
        <w:trPr>
          <w:trHeight w:val="293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4F297"/>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0ED1B66">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立项依据</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5A13DDFC">
            <w:pPr>
              <w:spacing w:line="360" w:lineRule="auto"/>
              <w:jc w:val="left"/>
              <w:rPr>
                <w:rFonts w:eastAsia="宋体"/>
                <w:color w:val="000000"/>
                <w:sz w:val="24"/>
                <w:szCs w:val="24"/>
              </w:rPr>
            </w:pPr>
            <w:r>
              <w:rPr>
                <w:rFonts w:hint="eastAsia" w:ascii="宋体" w:hAnsi="宋体" w:eastAsia="宋体" w:cs="宋体"/>
                <w:i w:val="0"/>
                <w:color w:val="000000"/>
                <w:sz w:val="24"/>
                <w:szCs w:val="24"/>
                <w:u w:val="none"/>
              </w:rPr>
              <w:t>根据</w:t>
            </w:r>
            <w:r>
              <w:rPr>
                <w:rFonts w:hint="eastAsia" w:ascii="宋体" w:hAnsi="宋体" w:eastAsia="宋体" w:cs="宋体"/>
                <w:i w:val="0"/>
                <w:color w:val="000000"/>
                <w:sz w:val="24"/>
                <w:szCs w:val="24"/>
                <w:u w:val="none"/>
                <w:lang w:eastAsia="zh-CN"/>
              </w:rPr>
              <w:t>四川省科学技术协会《关于印发各级云服务中心“专职保姆”管理和服务指南（试行）》川科协发〔</w:t>
            </w:r>
            <w:r>
              <w:rPr>
                <w:rFonts w:hint="eastAsia" w:ascii="宋体" w:hAnsi="宋体" w:eastAsia="宋体" w:cs="宋体"/>
                <w:i w:val="0"/>
                <w:color w:val="000000"/>
                <w:sz w:val="24"/>
                <w:szCs w:val="24"/>
                <w:u w:val="none"/>
                <w:lang w:val="en-US" w:eastAsia="zh-CN"/>
              </w:rPr>
              <w:t>2022</w:t>
            </w: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52号文件、四川省科学技术协会《关于深化“天府科技云服务”助力“四化同步、城乡融合、五区共兴”实施十二项科创行动的决定》</w:t>
            </w:r>
            <w:r>
              <w:rPr>
                <w:rFonts w:hint="eastAsia" w:ascii="宋体" w:hAnsi="宋体" w:eastAsia="宋体" w:cs="宋体"/>
                <w:i w:val="0"/>
                <w:color w:val="000000"/>
                <w:sz w:val="24"/>
                <w:szCs w:val="24"/>
                <w:u w:val="none"/>
                <w:lang w:eastAsia="zh-CN"/>
              </w:rPr>
              <w:t>川科协发〔</w:t>
            </w:r>
            <w:r>
              <w:rPr>
                <w:rFonts w:hint="eastAsia" w:ascii="宋体" w:hAnsi="宋体" w:eastAsia="宋体" w:cs="宋体"/>
                <w:i w:val="0"/>
                <w:color w:val="000000"/>
                <w:sz w:val="24"/>
                <w:szCs w:val="24"/>
                <w:u w:val="none"/>
                <w:lang w:val="en-US" w:eastAsia="zh-CN"/>
              </w:rPr>
              <w:t>2023</w:t>
            </w: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13号文件、四川省科学技术协会《关于印发深化天府科技云需求侧“保姆式”服务为企事业单位创造效益的十三项措施》的通知等文件</w:t>
            </w:r>
            <w:r>
              <w:rPr>
                <w:rFonts w:hint="eastAsia" w:ascii="宋体" w:hAnsi="宋体" w:eastAsia="宋体" w:cs="宋体"/>
                <w:i w:val="0"/>
                <w:color w:val="000000"/>
                <w:sz w:val="24"/>
                <w:szCs w:val="24"/>
                <w:u w:val="none"/>
              </w:rPr>
              <w:t>精神，有效推进天府科技云科技保姆服务工作。</w:t>
            </w:r>
          </w:p>
        </w:tc>
      </w:tr>
      <w:tr w14:paraId="3683DC4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AAE9C"/>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F14EEB3">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使用范围</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715DC263">
            <w:pPr>
              <w:spacing w:line="360" w:lineRule="auto"/>
              <w:jc w:val="left"/>
              <w:rPr>
                <w:rFonts w:eastAsia="宋体"/>
                <w:color w:val="000000"/>
                <w:sz w:val="24"/>
                <w:szCs w:val="24"/>
              </w:rPr>
            </w:pPr>
            <w:r>
              <w:rPr>
                <w:rFonts w:hint="eastAsia" w:ascii="宋体" w:hAnsi="宋体" w:eastAsia="宋体" w:cs="宋体"/>
                <w:i w:val="0"/>
                <w:color w:val="000000"/>
                <w:sz w:val="24"/>
                <w:szCs w:val="24"/>
                <w:u w:val="none"/>
                <w:lang w:eastAsia="zh-CN"/>
              </w:rPr>
              <w:t>茂县云服务中心运维</w:t>
            </w:r>
          </w:p>
        </w:tc>
      </w:tr>
      <w:tr w14:paraId="7D855F0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F5375"/>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2A5C4E5">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申报（补助）条件</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57B74B11">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1、落实有关财政资金管理，确保项目按照有关规定用款</w:t>
            </w:r>
          </w:p>
          <w:p w14:paraId="5B8A75DF">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w:t>
            </w:r>
            <w:r>
              <w:rPr>
                <w:rFonts w:hint="eastAsia" w:ascii="宋体" w:hAnsi="宋体" w:eastAsia="宋体" w:cs="宋体"/>
                <w:i w:val="0"/>
                <w:color w:val="000000"/>
                <w:sz w:val="24"/>
                <w:szCs w:val="24"/>
                <w:u w:val="none"/>
              </w:rPr>
              <w:t>落实项目内控制度，按照要求编制项目绩效管理评价</w:t>
            </w:r>
          </w:p>
          <w:p w14:paraId="7FAC877A">
            <w:pPr>
              <w:spacing w:line="360" w:lineRule="auto"/>
              <w:jc w:val="left"/>
              <w:rPr>
                <w:rFonts w:eastAsia="宋体"/>
                <w:color w:val="000000"/>
                <w:sz w:val="24"/>
                <w:szCs w:val="24"/>
              </w:rPr>
            </w:pPr>
            <w:r>
              <w:rPr>
                <w:rFonts w:hint="eastAsia" w:ascii="宋体" w:hAnsi="宋体" w:eastAsia="宋体" w:cs="宋体"/>
                <w:i w:val="0"/>
                <w:color w:val="000000"/>
                <w:sz w:val="24"/>
                <w:szCs w:val="24"/>
                <w:u w:val="none"/>
              </w:rPr>
              <w:t>3、严格执行有关规定，实现项目的质量和效率</w:t>
            </w:r>
          </w:p>
        </w:tc>
      </w:tr>
      <w:tr w14:paraId="730DBF5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5FDE5"/>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BAA8003">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项目起止年限</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44F574EA">
            <w:pPr>
              <w:spacing w:line="360" w:lineRule="auto"/>
              <w:rPr>
                <w:rFonts w:eastAsia="宋体"/>
                <w:color w:val="000000"/>
                <w:sz w:val="24"/>
                <w:szCs w:val="24"/>
              </w:rPr>
            </w:pPr>
            <w:r>
              <w:rPr>
                <w:rFonts w:hint="eastAsia" w:ascii="宋体" w:hAnsi="宋体" w:eastAsia="宋体" w:cs="宋体"/>
                <w:i w:val="0"/>
                <w:color w:val="000000"/>
                <w:sz w:val="24"/>
                <w:szCs w:val="24"/>
                <w:u w:val="none"/>
                <w:lang w:val="en-US" w:eastAsia="zh-CN"/>
              </w:rPr>
              <w:t>2023年——2024年</w:t>
            </w:r>
          </w:p>
        </w:tc>
      </w:tr>
      <w:tr w14:paraId="11E0601F">
        <w:tblPrEx>
          <w:tblCellMar>
            <w:top w:w="15" w:type="dxa"/>
            <w:left w:w="15" w:type="dxa"/>
            <w:bottom w:w="15" w:type="dxa"/>
            <w:right w:w="15" w:type="dxa"/>
          </w:tblCellMar>
        </w:tblPrEx>
        <w:trPr>
          <w:trHeight w:val="588"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EF8A18">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项目资金</w:t>
            </w:r>
          </w:p>
          <w:p w14:paraId="688B7CFE">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1FBC38B">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年度资金总额：</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3EDAC074">
            <w:pPr>
              <w:spacing w:line="360" w:lineRule="auto"/>
              <w:jc w:val="left"/>
              <w:rPr>
                <w:rFonts w:eastAsia="宋体"/>
                <w:color w:val="000000"/>
                <w:sz w:val="24"/>
                <w:szCs w:val="24"/>
              </w:rPr>
            </w:pPr>
            <w:r>
              <w:rPr>
                <w:rFonts w:hint="eastAsia" w:ascii="宋体" w:hAnsi="宋体" w:eastAsia="宋体" w:cs="宋体"/>
                <w:i w:val="0"/>
                <w:color w:val="000000"/>
                <w:sz w:val="24"/>
                <w:szCs w:val="24"/>
                <w:u w:val="none"/>
                <w:lang w:val="en-US" w:eastAsia="zh-CN"/>
              </w:rPr>
              <w:t>17万元</w:t>
            </w:r>
          </w:p>
        </w:tc>
      </w:tr>
      <w:tr w14:paraId="34DDD03B">
        <w:tblPrEx>
          <w:tblCellMar>
            <w:top w:w="15" w:type="dxa"/>
            <w:left w:w="15" w:type="dxa"/>
            <w:bottom w:w="15" w:type="dxa"/>
            <w:right w:w="15" w:type="dxa"/>
          </w:tblCellMar>
        </w:tblPrEx>
        <w:trPr>
          <w:trHeight w:val="638"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219AB1"/>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9C09E4B">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其中：财政拨款</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0A465294">
            <w:pPr>
              <w:spacing w:line="360" w:lineRule="auto"/>
              <w:jc w:val="left"/>
              <w:rPr>
                <w:rFonts w:eastAsia="宋体"/>
                <w:color w:val="000000"/>
                <w:sz w:val="24"/>
                <w:szCs w:val="24"/>
              </w:rPr>
            </w:pPr>
            <w:r>
              <w:rPr>
                <w:rFonts w:hint="eastAsia" w:ascii="宋体" w:hAnsi="宋体" w:eastAsia="宋体" w:cs="宋体"/>
                <w:i w:val="0"/>
                <w:color w:val="000000"/>
                <w:sz w:val="24"/>
                <w:szCs w:val="24"/>
                <w:u w:val="none"/>
                <w:lang w:val="en-US" w:eastAsia="zh-CN"/>
              </w:rPr>
              <w:t>17万元</w:t>
            </w:r>
          </w:p>
        </w:tc>
      </w:tr>
      <w:tr w14:paraId="6ACA7ED5">
        <w:tblPrEx>
          <w:tblCellMar>
            <w:top w:w="15" w:type="dxa"/>
            <w:left w:w="15" w:type="dxa"/>
            <w:bottom w:w="15" w:type="dxa"/>
            <w:right w:w="15" w:type="dxa"/>
          </w:tblCellMar>
        </w:tblPrEx>
        <w:trPr>
          <w:trHeight w:val="537"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6C6BC7"/>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96AE07A">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其他资金</w:t>
            </w:r>
          </w:p>
        </w:tc>
        <w:tc>
          <w:tcPr>
            <w:tcW w:w="5938" w:type="dxa"/>
            <w:gridSpan w:val="11"/>
            <w:tcBorders>
              <w:top w:val="single" w:color="000000" w:sz="4" w:space="0"/>
              <w:left w:val="single" w:color="000000" w:sz="4" w:space="0"/>
              <w:bottom w:val="single" w:color="000000" w:sz="4" w:space="0"/>
              <w:right w:val="single" w:color="000000" w:sz="4" w:space="0"/>
            </w:tcBorders>
            <w:noWrap w:val="0"/>
            <w:vAlign w:val="center"/>
          </w:tcPr>
          <w:p w14:paraId="341FD066">
            <w:pPr>
              <w:spacing w:line="300" w:lineRule="exact"/>
              <w:jc w:val="right"/>
              <w:rPr>
                <w:rFonts w:eastAsia="宋体"/>
                <w:color w:val="000000"/>
                <w:sz w:val="24"/>
                <w:szCs w:val="24"/>
              </w:rPr>
            </w:pPr>
          </w:p>
        </w:tc>
      </w:tr>
      <w:tr w14:paraId="45E28395">
        <w:tblPrEx>
          <w:tblCellMar>
            <w:top w:w="15" w:type="dxa"/>
            <w:left w:w="15" w:type="dxa"/>
            <w:bottom w:w="15" w:type="dxa"/>
            <w:right w:w="15" w:type="dxa"/>
          </w:tblCellMar>
        </w:tblPrEx>
        <w:trPr>
          <w:trHeight w:val="57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975F6">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总体 目标</w:t>
            </w:r>
          </w:p>
        </w:tc>
        <w:tc>
          <w:tcPr>
            <w:tcW w:w="9581" w:type="dxa"/>
            <w:gridSpan w:val="14"/>
            <w:tcBorders>
              <w:top w:val="single" w:color="000000" w:sz="4" w:space="0"/>
              <w:left w:val="single" w:color="000000" w:sz="4" w:space="0"/>
              <w:bottom w:val="single" w:color="000000" w:sz="4" w:space="0"/>
              <w:right w:val="single" w:color="000000" w:sz="4" w:space="0"/>
            </w:tcBorders>
            <w:noWrap w:val="0"/>
            <w:vAlign w:val="center"/>
          </w:tcPr>
          <w:p w14:paraId="588EBFEF">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年度目标</w:t>
            </w:r>
          </w:p>
        </w:tc>
      </w:tr>
      <w:tr w14:paraId="2EF9B039">
        <w:tblPrEx>
          <w:tblCellMar>
            <w:top w:w="15" w:type="dxa"/>
            <w:left w:w="15" w:type="dxa"/>
            <w:bottom w:w="15" w:type="dxa"/>
            <w:right w:w="15" w:type="dxa"/>
          </w:tblCellMar>
        </w:tblPrEx>
        <w:trPr>
          <w:trHeight w:val="407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FB5A0"/>
        </w:tc>
        <w:tc>
          <w:tcPr>
            <w:tcW w:w="9581" w:type="dxa"/>
            <w:gridSpan w:val="14"/>
            <w:tcBorders>
              <w:top w:val="single" w:color="000000" w:sz="4" w:space="0"/>
              <w:left w:val="single" w:color="000000" w:sz="4" w:space="0"/>
              <w:bottom w:val="single" w:color="000000" w:sz="4" w:space="0"/>
              <w:right w:val="single" w:color="000000" w:sz="4" w:space="0"/>
            </w:tcBorders>
            <w:noWrap w:val="0"/>
            <w:vAlign w:val="center"/>
          </w:tcPr>
          <w:p w14:paraId="46116F40">
            <w:pPr>
              <w:keepNext w:val="0"/>
              <w:keepLines w:val="0"/>
              <w:pageBreakBefore w:val="0"/>
              <w:kinsoku/>
              <w:wordWrap/>
              <w:overflowPunct/>
              <w:topLinePunct w:val="0"/>
              <w:autoSpaceDE/>
              <w:autoSpaceDN/>
              <w:bidi w:val="0"/>
              <w:adjustRightInd/>
              <w:snapToGrid/>
              <w:spacing w:line="360" w:lineRule="auto"/>
              <w:ind w:firstLine="480" w:firstLineChars="200"/>
              <w:rPr>
                <w:rFonts w:eastAsia="宋体"/>
                <w:color w:val="000000"/>
                <w:sz w:val="24"/>
                <w:szCs w:val="24"/>
              </w:rPr>
            </w:pPr>
            <w:r>
              <w:rPr>
                <w:rFonts w:hint="eastAsia" w:ascii="宋体" w:hAnsi="宋体" w:eastAsia="宋体" w:cs="宋体"/>
                <w:i w:val="0"/>
                <w:color w:val="000000"/>
                <w:sz w:val="24"/>
                <w:szCs w:val="24"/>
                <w:u w:val="none"/>
              </w:rPr>
              <w:t>有效保障为平台用户提供“保姆式”服务，利用媒体、各类活动开展线上线下宣传，形成学先进、用平台的良好氛围，带动更多的科技工作者、企事业单位上平台、创效益。一是有效开展全员常态“保姆式”服务，按照省、州科协要求配备“专职保姆”3名，通过购买第三方服务，实现“应配尽配”，持续为天府科技云平台引入真实有效的科技服务供给、科技服务需求、助力形成有效科技市场。二是为达到宣传范围更广、服务群众数量更多的目的，通过会议培训、现场指导、科普活动等方式，向群众宣传、推广、指导下载“天府科技云”APP，利用LED大平台和短信宣传平台，增加群众获取科普知识的载体和途径，促进科学知识宣传普及，对天府科技云进行重点宣传。</w:t>
            </w:r>
          </w:p>
        </w:tc>
      </w:tr>
      <w:tr w14:paraId="4C3F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3" w:hRule="atLeast"/>
          <w:jc w:val="center"/>
        </w:trPr>
        <w:tc>
          <w:tcPr>
            <w:tcW w:w="652" w:type="dxa"/>
            <w:vMerge w:val="restart"/>
            <w:tcBorders>
              <w:top w:val="single" w:color="auto" w:sz="4" w:space="0"/>
              <w:left w:val="single" w:color="auto" w:sz="4" w:space="0"/>
              <w:right w:val="single" w:color="000000" w:sz="4" w:space="0"/>
            </w:tcBorders>
            <w:noWrap/>
            <w:vAlign w:val="center"/>
          </w:tcPr>
          <w:p w14:paraId="03AF52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绩效 指标</w:t>
            </w:r>
          </w:p>
        </w:tc>
        <w:tc>
          <w:tcPr>
            <w:tcW w:w="1682" w:type="dxa"/>
            <w:gridSpan w:val="2"/>
            <w:tcBorders>
              <w:top w:val="single" w:color="auto" w:sz="4" w:space="0"/>
              <w:left w:val="single" w:color="000000" w:sz="4" w:space="0"/>
              <w:bottom w:val="single" w:color="000000" w:sz="4" w:space="0"/>
              <w:right w:val="single" w:color="auto" w:sz="4" w:space="0"/>
            </w:tcBorders>
            <w:noWrap/>
            <w:vAlign w:val="center"/>
          </w:tcPr>
          <w:p w14:paraId="779F1C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118" w:type="dxa"/>
            <w:gridSpan w:val="2"/>
            <w:tcBorders>
              <w:top w:val="single" w:color="000000" w:sz="4" w:space="0"/>
              <w:left w:val="single" w:color="auto" w:sz="4" w:space="0"/>
              <w:bottom w:val="single" w:color="000000" w:sz="4" w:space="0"/>
              <w:right w:val="single" w:color="000000" w:sz="4" w:space="0"/>
            </w:tcBorders>
            <w:noWrap/>
            <w:vAlign w:val="center"/>
          </w:tcPr>
          <w:p w14:paraId="73F713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38EEE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8B0C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指标性质</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558D5A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5C58E5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34894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4CE66E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E91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right w:val="single" w:color="000000" w:sz="4" w:space="0"/>
            </w:tcBorders>
            <w:noWrap/>
            <w:vAlign w:val="center"/>
          </w:tcPr>
          <w:p w14:paraId="4A99E2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000000" w:sz="4" w:space="0"/>
              <w:right w:val="single" w:color="auto" w:sz="4" w:space="0"/>
            </w:tcBorders>
            <w:noWrap/>
            <w:vAlign w:val="center"/>
          </w:tcPr>
          <w:p w14:paraId="65697FC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118" w:type="dxa"/>
            <w:gridSpan w:val="2"/>
            <w:tcBorders>
              <w:top w:val="single" w:color="000000" w:sz="4" w:space="0"/>
              <w:left w:val="single" w:color="auto" w:sz="4" w:space="0"/>
              <w:bottom w:val="single" w:color="000000" w:sz="4" w:space="0"/>
              <w:right w:val="single" w:color="000000" w:sz="4" w:space="0"/>
            </w:tcBorders>
            <w:noWrap/>
            <w:vAlign w:val="center"/>
          </w:tcPr>
          <w:p w14:paraId="52EFD4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3078CD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科技工作者注册</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F9809E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1364359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4D908FF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5AE96F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41A9ACDB">
            <w:pPr>
              <w:spacing w:line="360" w:lineRule="auto"/>
              <w:rPr>
                <w:rFonts w:hint="eastAsia" w:ascii="宋体" w:hAnsi="宋体" w:eastAsia="宋体" w:cs="宋体"/>
                <w:i w:val="0"/>
                <w:iCs w:val="0"/>
                <w:color w:val="000000"/>
                <w:sz w:val="24"/>
                <w:szCs w:val="24"/>
                <w:u w:val="none"/>
              </w:rPr>
            </w:pPr>
          </w:p>
        </w:tc>
      </w:tr>
      <w:tr w14:paraId="015C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bottom w:val="single" w:color="auto" w:sz="4" w:space="0"/>
              <w:right w:val="single" w:color="000000" w:sz="4" w:space="0"/>
            </w:tcBorders>
            <w:noWrap/>
            <w:vAlign w:val="center"/>
          </w:tcPr>
          <w:p w14:paraId="5B5315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auto" w:sz="4" w:space="0"/>
              <w:right w:val="single" w:color="auto" w:sz="4" w:space="0"/>
            </w:tcBorders>
            <w:noWrap/>
            <w:vAlign w:val="center"/>
          </w:tcPr>
          <w:p w14:paraId="17A7F0D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118" w:type="dxa"/>
            <w:gridSpan w:val="2"/>
            <w:tcBorders>
              <w:top w:val="single" w:color="000000" w:sz="4" w:space="0"/>
              <w:left w:val="single" w:color="auto" w:sz="4" w:space="0"/>
              <w:bottom w:val="single" w:color="000000" w:sz="4" w:space="0"/>
              <w:right w:val="single" w:color="000000" w:sz="4" w:space="0"/>
            </w:tcBorders>
            <w:noWrap/>
            <w:vAlign w:val="center"/>
          </w:tcPr>
          <w:p w14:paraId="2DECB2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D6D0A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天府科技云工作完成率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C334B4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51E4A9F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6A448CC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1E717E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4E76717D">
            <w:pPr>
              <w:spacing w:line="360" w:lineRule="auto"/>
              <w:rPr>
                <w:rFonts w:hint="eastAsia" w:ascii="宋体" w:hAnsi="宋体" w:eastAsia="宋体" w:cs="宋体"/>
                <w:i w:val="0"/>
                <w:iCs w:val="0"/>
                <w:color w:val="000000"/>
                <w:sz w:val="24"/>
                <w:szCs w:val="24"/>
                <w:u w:val="none"/>
              </w:rPr>
            </w:pPr>
          </w:p>
        </w:tc>
      </w:tr>
      <w:tr w14:paraId="381F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top w:val="single" w:color="auto" w:sz="4" w:space="0"/>
              <w:left w:val="single" w:color="auto" w:sz="4" w:space="0"/>
              <w:right w:val="single" w:color="000000" w:sz="4" w:space="0"/>
            </w:tcBorders>
            <w:noWrap/>
            <w:vAlign w:val="center"/>
          </w:tcPr>
          <w:p w14:paraId="6E8FB0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auto" w:sz="4" w:space="0"/>
              <w:left w:val="single" w:color="000000" w:sz="4" w:space="0"/>
              <w:bottom w:val="single" w:color="000000" w:sz="4" w:space="0"/>
              <w:right w:val="single" w:color="000000" w:sz="4" w:space="0"/>
            </w:tcBorders>
            <w:noWrap/>
            <w:vAlign w:val="center"/>
          </w:tcPr>
          <w:p w14:paraId="7A5566C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118" w:type="dxa"/>
            <w:gridSpan w:val="2"/>
            <w:tcBorders>
              <w:top w:val="single" w:color="000000" w:sz="4" w:space="0"/>
              <w:left w:val="single" w:color="000000" w:sz="4" w:space="0"/>
              <w:bottom w:val="single" w:color="000000" w:sz="4" w:space="0"/>
              <w:right w:val="single" w:color="000000" w:sz="4" w:space="0"/>
            </w:tcBorders>
            <w:noWrap/>
            <w:vAlign w:val="center"/>
          </w:tcPr>
          <w:p w14:paraId="4982D1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5A8B00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项目完成时间</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EFF04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3BC0EA7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5AA6CFC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87EEA6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22FDA20">
            <w:pPr>
              <w:spacing w:line="360" w:lineRule="auto"/>
              <w:rPr>
                <w:rFonts w:hint="eastAsia" w:ascii="宋体" w:hAnsi="宋体" w:eastAsia="宋体" w:cs="宋体"/>
                <w:i w:val="0"/>
                <w:iCs w:val="0"/>
                <w:color w:val="000000"/>
                <w:sz w:val="24"/>
                <w:szCs w:val="24"/>
                <w:u w:val="none"/>
              </w:rPr>
            </w:pPr>
          </w:p>
        </w:tc>
      </w:tr>
      <w:tr w14:paraId="5144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right w:val="single" w:color="000000" w:sz="4" w:space="0"/>
            </w:tcBorders>
            <w:noWrap/>
            <w:vAlign w:val="center"/>
          </w:tcPr>
          <w:p w14:paraId="52BFF8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63467AE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118" w:type="dxa"/>
            <w:gridSpan w:val="2"/>
            <w:tcBorders>
              <w:top w:val="single" w:color="000000" w:sz="4" w:space="0"/>
              <w:left w:val="single" w:color="000000" w:sz="4" w:space="0"/>
              <w:bottom w:val="single" w:color="000000" w:sz="4" w:space="0"/>
              <w:right w:val="single" w:color="000000" w:sz="4" w:space="0"/>
            </w:tcBorders>
            <w:noWrap/>
            <w:vAlign w:val="center"/>
          </w:tcPr>
          <w:p w14:paraId="2E87E4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7ACCF9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保姆数量</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69D9D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24E4C36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248A260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70EA52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7D622E0A">
            <w:pPr>
              <w:spacing w:line="360" w:lineRule="auto"/>
              <w:rPr>
                <w:rFonts w:hint="eastAsia" w:ascii="宋体" w:hAnsi="宋体" w:eastAsia="宋体" w:cs="宋体"/>
                <w:i w:val="0"/>
                <w:iCs w:val="0"/>
                <w:color w:val="000000"/>
                <w:sz w:val="24"/>
                <w:szCs w:val="24"/>
                <w:u w:val="none"/>
              </w:rPr>
            </w:pPr>
          </w:p>
        </w:tc>
      </w:tr>
      <w:tr w14:paraId="1615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right w:val="single" w:color="000000" w:sz="4" w:space="0"/>
            </w:tcBorders>
            <w:noWrap/>
            <w:vAlign w:val="center"/>
          </w:tcPr>
          <w:p w14:paraId="6EE3BA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157BFD8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118" w:type="dxa"/>
            <w:gridSpan w:val="2"/>
            <w:tcBorders>
              <w:top w:val="single" w:color="000000" w:sz="4" w:space="0"/>
              <w:left w:val="single" w:color="000000" w:sz="4" w:space="0"/>
              <w:bottom w:val="single" w:color="000000" w:sz="4" w:space="0"/>
              <w:right w:val="single" w:color="000000" w:sz="4" w:space="0"/>
            </w:tcBorders>
            <w:noWrap/>
            <w:vAlign w:val="center"/>
          </w:tcPr>
          <w:p w14:paraId="3CA473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561FAB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促成平台交易单数</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89A42C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244C4A0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7BA98E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491BB2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322685CB">
            <w:pPr>
              <w:spacing w:line="360" w:lineRule="auto"/>
              <w:rPr>
                <w:rFonts w:hint="eastAsia" w:ascii="宋体" w:hAnsi="宋体" w:eastAsia="宋体" w:cs="宋体"/>
                <w:i w:val="0"/>
                <w:iCs w:val="0"/>
                <w:color w:val="000000"/>
                <w:sz w:val="24"/>
                <w:szCs w:val="24"/>
                <w:u w:val="none"/>
              </w:rPr>
            </w:pPr>
          </w:p>
        </w:tc>
      </w:tr>
      <w:tr w14:paraId="2194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right w:val="single" w:color="000000" w:sz="4" w:space="0"/>
            </w:tcBorders>
            <w:noWrap/>
            <w:vAlign w:val="center"/>
          </w:tcPr>
          <w:p w14:paraId="092075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724538D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118" w:type="dxa"/>
            <w:gridSpan w:val="2"/>
            <w:tcBorders>
              <w:top w:val="single" w:color="000000" w:sz="4" w:space="0"/>
              <w:left w:val="single" w:color="000000" w:sz="4" w:space="0"/>
              <w:bottom w:val="single" w:color="000000" w:sz="4" w:space="0"/>
              <w:right w:val="single" w:color="000000" w:sz="4" w:space="0"/>
            </w:tcBorders>
            <w:noWrap/>
            <w:vAlign w:val="center"/>
          </w:tcPr>
          <w:p w14:paraId="56298C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2C7C1E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天府科技云用户满意度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5D5E1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6BCE309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2AA7DCE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3A902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6CAAA80">
            <w:pPr>
              <w:spacing w:line="360" w:lineRule="auto"/>
              <w:rPr>
                <w:rFonts w:hint="eastAsia" w:ascii="宋体" w:hAnsi="宋体" w:eastAsia="宋体" w:cs="宋体"/>
                <w:i w:val="0"/>
                <w:iCs w:val="0"/>
                <w:color w:val="000000"/>
                <w:sz w:val="24"/>
                <w:szCs w:val="24"/>
                <w:u w:val="none"/>
              </w:rPr>
            </w:pPr>
          </w:p>
        </w:tc>
      </w:tr>
      <w:tr w14:paraId="55DC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40" w:hRule="atLeast"/>
          <w:jc w:val="center"/>
        </w:trPr>
        <w:tc>
          <w:tcPr>
            <w:tcW w:w="652" w:type="dxa"/>
            <w:vMerge w:val="continue"/>
            <w:tcBorders>
              <w:left w:val="single" w:color="auto" w:sz="4" w:space="0"/>
              <w:bottom w:val="single" w:color="000000" w:sz="4" w:space="0"/>
              <w:right w:val="single" w:color="000000" w:sz="4" w:space="0"/>
            </w:tcBorders>
            <w:noWrap/>
            <w:vAlign w:val="center"/>
          </w:tcPr>
          <w:p w14:paraId="08EE32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0AF65D6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118" w:type="dxa"/>
            <w:gridSpan w:val="2"/>
            <w:tcBorders>
              <w:top w:val="single" w:color="000000" w:sz="4" w:space="0"/>
              <w:left w:val="single" w:color="000000" w:sz="4" w:space="0"/>
              <w:bottom w:val="single" w:color="000000" w:sz="4" w:space="0"/>
              <w:right w:val="single" w:color="000000" w:sz="4" w:space="0"/>
            </w:tcBorders>
            <w:noWrap/>
            <w:vAlign w:val="center"/>
          </w:tcPr>
          <w:p w14:paraId="7D6EDE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0629FC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聘用人员成本</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0BA1A8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9" w:type="dxa"/>
            <w:gridSpan w:val="2"/>
            <w:tcBorders>
              <w:top w:val="single" w:color="000000" w:sz="4" w:space="0"/>
              <w:left w:val="single" w:color="000000" w:sz="4" w:space="0"/>
              <w:bottom w:val="single" w:color="000000" w:sz="4" w:space="0"/>
              <w:right w:val="single" w:color="000000" w:sz="4" w:space="0"/>
            </w:tcBorders>
            <w:noWrap/>
            <w:vAlign w:val="center"/>
          </w:tcPr>
          <w:p w14:paraId="790DB22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721" w:type="dxa"/>
            <w:gridSpan w:val="2"/>
            <w:tcBorders>
              <w:top w:val="single" w:color="000000" w:sz="4" w:space="0"/>
              <w:left w:val="single" w:color="000000" w:sz="4" w:space="0"/>
              <w:bottom w:val="single" w:color="000000" w:sz="4" w:space="0"/>
              <w:right w:val="single" w:color="000000" w:sz="4" w:space="0"/>
            </w:tcBorders>
            <w:noWrap/>
            <w:vAlign w:val="center"/>
          </w:tcPr>
          <w:p w14:paraId="2662EC7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元/人年</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17BE21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68C424E1">
            <w:pPr>
              <w:spacing w:line="360" w:lineRule="auto"/>
              <w:rPr>
                <w:rFonts w:hint="eastAsia" w:ascii="宋体" w:hAnsi="宋体" w:eastAsia="宋体" w:cs="宋体"/>
                <w:i w:val="0"/>
                <w:iCs w:val="0"/>
                <w:color w:val="000000"/>
                <w:sz w:val="24"/>
                <w:szCs w:val="24"/>
                <w:u w:val="none"/>
              </w:rPr>
            </w:pPr>
          </w:p>
        </w:tc>
      </w:tr>
    </w:tbl>
    <w:p w14:paraId="4967555D">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sectPr>
          <w:pgSz w:w="11906" w:h="16838"/>
          <w:pgMar w:top="1440" w:right="1800" w:bottom="1440" w:left="1800" w:header="851" w:footer="992" w:gutter="0"/>
          <w:pgNumType w:fmt="decimal"/>
          <w:cols w:space="0" w:num="1"/>
          <w:titlePg/>
          <w:rtlGutter w:val="0"/>
          <w:docGrid w:type="lines" w:linePitch="312" w:charSpace="0"/>
        </w:sectPr>
      </w:pPr>
    </w:p>
    <w:p w14:paraId="6B0CE9D7">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仿宋"/>
          <w:b w:val="0"/>
          <w:color w:val="auto"/>
          <w:highlight w:val="none"/>
        </w:rPr>
      </w:pPr>
      <w:bookmarkStart w:id="67" w:name="_Toc15140"/>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62"/>
      <w:bookmarkEnd w:id="66"/>
      <w:bookmarkEnd w:id="67"/>
      <w:bookmarkStart w:id="68" w:name="_Toc15396619"/>
    </w:p>
    <w:p w14:paraId="3A8D93E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bookmarkEnd w:id="68"/>
    <w:p w14:paraId="1AB44B9B">
      <w:pPr>
        <w:pStyle w:val="3"/>
        <w:rPr>
          <w:rFonts w:ascii="仿宋" w:hAnsi="仿宋" w:eastAsia="仿宋"/>
        </w:rPr>
      </w:pPr>
      <w:bookmarkStart w:id="69" w:name="_Toc14683"/>
      <w:bookmarkStart w:id="70" w:name="_Toc7822"/>
      <w:bookmarkStart w:id="71" w:name="_Toc11127"/>
      <w:r>
        <w:rPr>
          <w:rFonts w:hint="eastAsia" w:ascii="仿宋" w:hAnsi="仿宋" w:eastAsia="仿宋"/>
          <w:b w:val="0"/>
        </w:rPr>
        <w:t>一、收</w:t>
      </w:r>
      <w:r>
        <w:rPr>
          <w:rStyle w:val="37"/>
          <w:rFonts w:hint="eastAsia" w:ascii="仿宋" w:hAnsi="仿宋" w:eastAsia="仿宋"/>
          <w:b w:val="0"/>
          <w:bCs w:val="0"/>
        </w:rPr>
        <w:t>入支出决算总表</w:t>
      </w:r>
      <w:bookmarkEnd w:id="69"/>
      <w:bookmarkEnd w:id="70"/>
      <w:bookmarkEnd w:id="71"/>
    </w:p>
    <w:p w14:paraId="006C3689">
      <w:pPr>
        <w:pStyle w:val="3"/>
        <w:rPr>
          <w:rFonts w:ascii="仿宋" w:hAnsi="仿宋" w:eastAsia="仿宋"/>
        </w:rPr>
      </w:pPr>
      <w:bookmarkStart w:id="72" w:name="_Toc15396620"/>
      <w:bookmarkStart w:id="73" w:name="_Toc12412"/>
      <w:bookmarkStart w:id="74" w:name="_Toc16125"/>
      <w:bookmarkStart w:id="75" w:name="_Toc16340"/>
      <w:r>
        <w:rPr>
          <w:rFonts w:hint="eastAsia" w:ascii="仿宋" w:hAnsi="仿宋" w:eastAsia="仿宋"/>
          <w:b w:val="0"/>
        </w:rPr>
        <w:t>二、收</w:t>
      </w:r>
      <w:r>
        <w:rPr>
          <w:rStyle w:val="37"/>
          <w:rFonts w:hint="eastAsia" w:ascii="仿宋" w:hAnsi="仿宋" w:eastAsia="仿宋"/>
          <w:b w:val="0"/>
          <w:bCs w:val="0"/>
        </w:rPr>
        <w:t>入决算表</w:t>
      </w:r>
      <w:bookmarkEnd w:id="72"/>
      <w:bookmarkEnd w:id="73"/>
      <w:bookmarkEnd w:id="74"/>
      <w:bookmarkEnd w:id="75"/>
    </w:p>
    <w:p w14:paraId="03B4837B">
      <w:pPr>
        <w:pStyle w:val="3"/>
        <w:rPr>
          <w:rFonts w:ascii="仿宋" w:hAnsi="仿宋" w:eastAsia="仿宋"/>
        </w:rPr>
      </w:pPr>
      <w:bookmarkStart w:id="76" w:name="_Toc15396621"/>
      <w:bookmarkStart w:id="77" w:name="_Toc30765"/>
      <w:bookmarkStart w:id="78" w:name="_Toc32557"/>
      <w:bookmarkStart w:id="79" w:name="_Toc7805"/>
      <w:r>
        <w:rPr>
          <w:rStyle w:val="37"/>
          <w:rFonts w:hint="eastAsia" w:ascii="仿宋" w:hAnsi="仿宋" w:eastAsia="仿宋"/>
          <w:b w:val="0"/>
          <w:bCs w:val="0"/>
        </w:rPr>
        <w:t>三、</w:t>
      </w:r>
      <w:r>
        <w:rPr>
          <w:rFonts w:hint="eastAsia" w:ascii="仿宋" w:hAnsi="仿宋" w:eastAsia="仿宋"/>
          <w:b w:val="0"/>
        </w:rPr>
        <w:t>支</w:t>
      </w:r>
      <w:r>
        <w:rPr>
          <w:rStyle w:val="37"/>
          <w:rFonts w:hint="eastAsia" w:ascii="仿宋" w:hAnsi="仿宋" w:eastAsia="仿宋"/>
          <w:b w:val="0"/>
          <w:bCs w:val="0"/>
        </w:rPr>
        <w:t>出决算表</w:t>
      </w:r>
      <w:bookmarkEnd w:id="76"/>
      <w:bookmarkEnd w:id="77"/>
      <w:bookmarkEnd w:id="78"/>
      <w:bookmarkEnd w:id="79"/>
    </w:p>
    <w:p w14:paraId="189EA131">
      <w:pPr>
        <w:pStyle w:val="3"/>
        <w:rPr>
          <w:rFonts w:ascii="仿宋" w:hAnsi="仿宋" w:eastAsia="仿宋"/>
          <w:b w:val="0"/>
        </w:rPr>
      </w:pPr>
      <w:bookmarkStart w:id="80" w:name="_Toc15118"/>
      <w:bookmarkStart w:id="81" w:name="_Toc3063"/>
      <w:bookmarkStart w:id="82" w:name="_Toc15396622"/>
      <w:bookmarkStart w:id="83" w:name="_Toc3865"/>
      <w:r>
        <w:rPr>
          <w:rStyle w:val="37"/>
          <w:rFonts w:hint="eastAsia" w:ascii="仿宋" w:hAnsi="仿宋" w:eastAsia="仿宋"/>
          <w:b w:val="0"/>
          <w:bCs w:val="0"/>
        </w:rPr>
        <w:t>四、</w:t>
      </w:r>
      <w:r>
        <w:rPr>
          <w:rFonts w:hint="eastAsia" w:ascii="仿宋" w:hAnsi="仿宋" w:eastAsia="仿宋"/>
          <w:b w:val="0"/>
        </w:rPr>
        <w:t>财</w:t>
      </w:r>
      <w:r>
        <w:rPr>
          <w:rStyle w:val="37"/>
          <w:rFonts w:hint="eastAsia" w:ascii="仿宋" w:hAnsi="仿宋" w:eastAsia="仿宋"/>
          <w:b w:val="0"/>
          <w:bCs w:val="0"/>
        </w:rPr>
        <w:t>政拨款收入支出决算总表</w:t>
      </w:r>
      <w:bookmarkEnd w:id="80"/>
      <w:bookmarkEnd w:id="81"/>
      <w:bookmarkEnd w:id="82"/>
      <w:bookmarkEnd w:id="83"/>
    </w:p>
    <w:p w14:paraId="6E30C4EC">
      <w:pPr>
        <w:pStyle w:val="3"/>
        <w:rPr>
          <w:rStyle w:val="37"/>
          <w:rFonts w:ascii="仿宋" w:hAnsi="仿宋" w:eastAsia="仿宋"/>
          <w:b w:val="0"/>
          <w:bCs w:val="0"/>
        </w:rPr>
      </w:pPr>
      <w:bookmarkStart w:id="84" w:name="_Toc3071"/>
      <w:bookmarkStart w:id="85" w:name="_Toc15396623"/>
      <w:bookmarkStart w:id="86" w:name="_Toc18462"/>
      <w:bookmarkStart w:id="87" w:name="_Toc3341"/>
      <w:r>
        <w:rPr>
          <w:rStyle w:val="37"/>
          <w:rFonts w:hint="eastAsia" w:ascii="仿宋" w:hAnsi="仿宋" w:eastAsia="仿宋"/>
          <w:b w:val="0"/>
          <w:bCs w:val="0"/>
        </w:rPr>
        <w:t>五、</w:t>
      </w:r>
      <w:r>
        <w:rPr>
          <w:rFonts w:hint="eastAsia" w:ascii="仿宋" w:hAnsi="仿宋" w:eastAsia="仿宋"/>
          <w:b w:val="0"/>
        </w:rPr>
        <w:t>财</w:t>
      </w:r>
      <w:r>
        <w:rPr>
          <w:rStyle w:val="37"/>
          <w:rFonts w:hint="eastAsia" w:ascii="仿宋" w:hAnsi="仿宋" w:eastAsia="仿宋"/>
          <w:b w:val="0"/>
          <w:bCs w:val="0"/>
        </w:rPr>
        <w:t>政拨款支出决算明细表</w:t>
      </w:r>
      <w:bookmarkEnd w:id="84"/>
      <w:bookmarkEnd w:id="85"/>
      <w:bookmarkEnd w:id="86"/>
      <w:bookmarkEnd w:id="87"/>
      <w:bookmarkStart w:id="88" w:name="_Toc15396624"/>
    </w:p>
    <w:p w14:paraId="4AC8ADC8">
      <w:pPr>
        <w:pStyle w:val="3"/>
        <w:rPr>
          <w:rFonts w:ascii="仿宋" w:hAnsi="仿宋" w:eastAsia="仿宋"/>
        </w:rPr>
      </w:pPr>
      <w:bookmarkStart w:id="89" w:name="_Toc25368"/>
      <w:bookmarkStart w:id="90" w:name="_Toc27766"/>
      <w:bookmarkStart w:id="91" w:name="_Toc22049"/>
      <w:r>
        <w:rPr>
          <w:rStyle w:val="37"/>
          <w:rFonts w:hint="eastAsia" w:ascii="仿宋" w:hAnsi="仿宋" w:eastAsia="仿宋"/>
          <w:b w:val="0"/>
          <w:bCs w:val="0"/>
        </w:rPr>
        <w:t>六、</w:t>
      </w:r>
      <w:r>
        <w:rPr>
          <w:rFonts w:hint="eastAsia" w:ascii="仿宋" w:hAnsi="仿宋" w:eastAsia="仿宋"/>
          <w:b w:val="0"/>
        </w:rPr>
        <w:t>一</w:t>
      </w:r>
      <w:r>
        <w:rPr>
          <w:rStyle w:val="37"/>
          <w:rFonts w:hint="eastAsia" w:ascii="仿宋" w:hAnsi="仿宋" w:eastAsia="仿宋"/>
          <w:b w:val="0"/>
          <w:bCs w:val="0"/>
        </w:rPr>
        <w:t>般公共预算财政拨款支出决算表</w:t>
      </w:r>
      <w:bookmarkEnd w:id="88"/>
      <w:bookmarkEnd w:id="89"/>
      <w:bookmarkEnd w:id="90"/>
      <w:bookmarkEnd w:id="91"/>
    </w:p>
    <w:p w14:paraId="5C3540C7">
      <w:pPr>
        <w:pStyle w:val="3"/>
        <w:rPr>
          <w:rFonts w:ascii="仿宋" w:hAnsi="仿宋" w:eastAsia="仿宋"/>
        </w:rPr>
      </w:pPr>
      <w:bookmarkStart w:id="92" w:name="_Toc7712"/>
      <w:bookmarkStart w:id="93" w:name="_Toc15396625"/>
      <w:bookmarkStart w:id="94" w:name="_Toc8391"/>
      <w:bookmarkStart w:id="95" w:name="_Toc19531"/>
      <w:r>
        <w:rPr>
          <w:rStyle w:val="37"/>
          <w:rFonts w:hint="eastAsia" w:ascii="仿宋" w:hAnsi="仿宋" w:eastAsia="仿宋"/>
          <w:b w:val="0"/>
          <w:bCs w:val="0"/>
        </w:rPr>
        <w:t>七、</w:t>
      </w:r>
      <w:r>
        <w:rPr>
          <w:rFonts w:hint="eastAsia" w:ascii="仿宋" w:hAnsi="仿宋" w:eastAsia="仿宋"/>
          <w:b w:val="0"/>
        </w:rPr>
        <w:t>一</w:t>
      </w:r>
      <w:r>
        <w:rPr>
          <w:rStyle w:val="37"/>
          <w:rFonts w:hint="eastAsia" w:ascii="仿宋" w:hAnsi="仿宋" w:eastAsia="仿宋"/>
          <w:b w:val="0"/>
          <w:bCs w:val="0"/>
        </w:rPr>
        <w:t>般公共预算财政拨款支出决算明细表</w:t>
      </w:r>
      <w:bookmarkEnd w:id="92"/>
      <w:bookmarkEnd w:id="93"/>
      <w:bookmarkEnd w:id="94"/>
      <w:bookmarkEnd w:id="95"/>
    </w:p>
    <w:p w14:paraId="7F8E0EBB">
      <w:pPr>
        <w:pStyle w:val="3"/>
        <w:rPr>
          <w:rFonts w:ascii="仿宋" w:hAnsi="仿宋" w:eastAsia="仿宋"/>
        </w:rPr>
      </w:pPr>
      <w:bookmarkStart w:id="96" w:name="_Toc18014"/>
      <w:bookmarkStart w:id="97" w:name="_Toc26085"/>
      <w:bookmarkStart w:id="98" w:name="_Toc15396626"/>
      <w:bookmarkStart w:id="99" w:name="_Toc10493"/>
      <w:r>
        <w:rPr>
          <w:rStyle w:val="37"/>
          <w:rFonts w:hint="eastAsia" w:ascii="仿宋" w:hAnsi="仿宋" w:eastAsia="仿宋"/>
          <w:b w:val="0"/>
          <w:bCs w:val="0"/>
        </w:rPr>
        <w:t>八、</w:t>
      </w:r>
      <w:r>
        <w:rPr>
          <w:rFonts w:hint="eastAsia" w:ascii="仿宋" w:hAnsi="仿宋" w:eastAsia="仿宋"/>
          <w:b w:val="0"/>
        </w:rPr>
        <w:t>一</w:t>
      </w:r>
      <w:r>
        <w:rPr>
          <w:rStyle w:val="37"/>
          <w:rFonts w:hint="eastAsia" w:ascii="仿宋" w:hAnsi="仿宋" w:eastAsia="仿宋"/>
          <w:b w:val="0"/>
          <w:bCs w:val="0"/>
        </w:rPr>
        <w:t>般公共预算财政拨款基本支出决算表</w:t>
      </w:r>
      <w:bookmarkEnd w:id="96"/>
      <w:bookmarkEnd w:id="97"/>
      <w:bookmarkEnd w:id="98"/>
      <w:bookmarkEnd w:id="99"/>
    </w:p>
    <w:p w14:paraId="50971D39">
      <w:pPr>
        <w:pStyle w:val="3"/>
        <w:rPr>
          <w:rFonts w:ascii="仿宋" w:hAnsi="仿宋" w:eastAsia="仿宋"/>
        </w:rPr>
      </w:pPr>
      <w:bookmarkStart w:id="100" w:name="_Toc15396627"/>
      <w:bookmarkStart w:id="101" w:name="_Toc1737"/>
      <w:bookmarkStart w:id="102" w:name="_Toc13816"/>
      <w:bookmarkStart w:id="103" w:name="_Toc20255"/>
      <w:r>
        <w:rPr>
          <w:rStyle w:val="37"/>
          <w:rFonts w:hint="eastAsia" w:ascii="仿宋" w:hAnsi="仿宋" w:eastAsia="仿宋"/>
          <w:b w:val="0"/>
          <w:bCs w:val="0"/>
        </w:rPr>
        <w:t>九、</w:t>
      </w:r>
      <w:r>
        <w:rPr>
          <w:rFonts w:hint="eastAsia" w:ascii="仿宋" w:hAnsi="仿宋" w:eastAsia="仿宋"/>
          <w:b w:val="0"/>
        </w:rPr>
        <w:t>一</w:t>
      </w:r>
      <w:r>
        <w:rPr>
          <w:rStyle w:val="37"/>
          <w:rFonts w:hint="eastAsia" w:ascii="仿宋" w:hAnsi="仿宋" w:eastAsia="仿宋"/>
          <w:b w:val="0"/>
          <w:bCs w:val="0"/>
        </w:rPr>
        <w:t>般公共预算财政拨款项目支出决算表</w:t>
      </w:r>
      <w:bookmarkEnd w:id="100"/>
      <w:bookmarkEnd w:id="101"/>
      <w:bookmarkEnd w:id="102"/>
      <w:bookmarkEnd w:id="103"/>
    </w:p>
    <w:p w14:paraId="41F31434">
      <w:pPr>
        <w:pStyle w:val="3"/>
        <w:rPr>
          <w:rFonts w:ascii="仿宋" w:hAnsi="仿宋" w:eastAsia="仿宋"/>
        </w:rPr>
      </w:pPr>
      <w:bookmarkStart w:id="104" w:name="_Toc15396628"/>
      <w:bookmarkStart w:id="105" w:name="_Toc17631"/>
      <w:bookmarkStart w:id="106" w:name="_Toc29976"/>
      <w:bookmarkStart w:id="107" w:name="_Toc8707"/>
      <w:r>
        <w:rPr>
          <w:rStyle w:val="37"/>
          <w:rFonts w:hint="eastAsia" w:ascii="仿宋" w:hAnsi="仿宋" w:eastAsia="仿宋"/>
          <w:b w:val="0"/>
          <w:bCs w:val="0"/>
        </w:rPr>
        <w:t>十、</w:t>
      </w:r>
      <w:bookmarkEnd w:id="104"/>
      <w:r>
        <w:rPr>
          <w:rFonts w:hint="eastAsia" w:ascii="仿宋" w:hAnsi="仿宋" w:eastAsia="仿宋"/>
          <w:b w:val="0"/>
        </w:rPr>
        <w:t>政</w:t>
      </w:r>
      <w:r>
        <w:rPr>
          <w:rStyle w:val="37"/>
          <w:rFonts w:hint="eastAsia" w:ascii="仿宋" w:hAnsi="仿宋" w:eastAsia="仿宋"/>
          <w:b w:val="0"/>
          <w:bCs w:val="0"/>
        </w:rPr>
        <w:t>府性基金预算财政拨款收入支出决算表</w:t>
      </w:r>
      <w:bookmarkEnd w:id="105"/>
      <w:bookmarkEnd w:id="106"/>
      <w:bookmarkEnd w:id="107"/>
    </w:p>
    <w:p w14:paraId="2535759D">
      <w:pPr>
        <w:pStyle w:val="3"/>
        <w:rPr>
          <w:rFonts w:ascii="仿宋" w:hAnsi="仿宋" w:eastAsia="仿宋"/>
        </w:rPr>
      </w:pPr>
      <w:bookmarkStart w:id="108" w:name="_Toc15396629"/>
      <w:bookmarkStart w:id="109" w:name="_Toc13900"/>
      <w:bookmarkStart w:id="110" w:name="_Toc28765"/>
      <w:bookmarkStart w:id="111" w:name="_Toc4652"/>
      <w:r>
        <w:rPr>
          <w:rStyle w:val="37"/>
          <w:rFonts w:hint="eastAsia" w:ascii="仿宋" w:hAnsi="仿宋" w:eastAsia="仿宋"/>
          <w:b w:val="0"/>
          <w:bCs w:val="0"/>
        </w:rPr>
        <w:t>十一、</w:t>
      </w:r>
      <w:bookmarkEnd w:id="108"/>
      <w:r>
        <w:rPr>
          <w:rFonts w:hint="eastAsia" w:ascii="仿宋" w:hAnsi="仿宋" w:eastAsia="仿宋"/>
          <w:b w:val="0"/>
        </w:rPr>
        <w:t>国</w:t>
      </w:r>
      <w:r>
        <w:rPr>
          <w:rStyle w:val="37"/>
          <w:rFonts w:hint="eastAsia" w:ascii="仿宋" w:hAnsi="仿宋" w:eastAsia="仿宋"/>
          <w:b w:val="0"/>
          <w:bCs w:val="0"/>
        </w:rPr>
        <w:t>有资本经营预算财政拨款收入支出决算表</w:t>
      </w:r>
      <w:bookmarkEnd w:id="109"/>
      <w:bookmarkEnd w:id="110"/>
      <w:bookmarkEnd w:id="111"/>
    </w:p>
    <w:p w14:paraId="333E4324">
      <w:pPr>
        <w:pStyle w:val="3"/>
        <w:rPr>
          <w:rFonts w:ascii="仿宋" w:hAnsi="仿宋" w:eastAsia="仿宋"/>
        </w:rPr>
      </w:pPr>
      <w:bookmarkStart w:id="112" w:name="_Toc15396630"/>
      <w:bookmarkStart w:id="113" w:name="_Toc11148"/>
      <w:bookmarkStart w:id="114" w:name="_Toc8684"/>
      <w:bookmarkStart w:id="115" w:name="_Toc12824"/>
      <w:r>
        <w:rPr>
          <w:rStyle w:val="37"/>
          <w:rFonts w:hint="eastAsia" w:ascii="仿宋" w:hAnsi="仿宋" w:eastAsia="仿宋"/>
          <w:b w:val="0"/>
          <w:bCs w:val="0"/>
        </w:rPr>
        <w:t>十二、</w:t>
      </w:r>
      <w:bookmarkEnd w:id="112"/>
      <w:r>
        <w:rPr>
          <w:rStyle w:val="37"/>
          <w:rFonts w:hint="eastAsia" w:ascii="仿宋" w:hAnsi="仿宋" w:eastAsia="仿宋"/>
          <w:b w:val="0"/>
          <w:bCs w:val="0"/>
        </w:rPr>
        <w:t>国有资本经营预算财政拨款支出决算表</w:t>
      </w:r>
      <w:bookmarkEnd w:id="113"/>
      <w:bookmarkEnd w:id="114"/>
      <w:bookmarkEnd w:id="115"/>
    </w:p>
    <w:p w14:paraId="50C6FCE6">
      <w:pPr>
        <w:pStyle w:val="3"/>
        <w:rPr>
          <w:rFonts w:eastAsia="仿宋"/>
        </w:rPr>
      </w:pPr>
      <w:bookmarkStart w:id="116" w:name="_Toc15396631"/>
      <w:bookmarkStart w:id="117" w:name="_Toc11833"/>
      <w:bookmarkStart w:id="118" w:name="_Toc8007"/>
      <w:bookmarkStart w:id="119" w:name="_Toc14211"/>
      <w:r>
        <w:rPr>
          <w:rStyle w:val="37"/>
          <w:rFonts w:hint="eastAsia" w:ascii="仿宋" w:hAnsi="仿宋" w:eastAsia="仿宋"/>
          <w:b w:val="0"/>
          <w:bCs w:val="0"/>
        </w:rPr>
        <w:t>十三、</w:t>
      </w:r>
      <w:bookmarkEnd w:id="116"/>
      <w:r>
        <w:rPr>
          <w:rStyle w:val="37"/>
          <w:rFonts w:hint="eastAsia" w:ascii="仿宋" w:hAnsi="仿宋" w:eastAsia="仿宋"/>
          <w:b w:val="0"/>
          <w:bCs w:val="0"/>
        </w:rPr>
        <w:t>财政拨款“三公”经费支出决算表</w:t>
      </w:r>
      <w:bookmarkEnd w:id="117"/>
      <w:bookmarkEnd w:id="118"/>
      <w:bookmarkEnd w:id="119"/>
    </w:p>
    <w:p w14:paraId="46D6B08F">
      <w:pPr>
        <w:rPr>
          <w:rFonts w:hint="eastAsia" w:ascii="Times New Roman" w:hAnsi="Times New Roman"/>
          <w:lang w:eastAsia="zh-CN"/>
        </w:rPr>
      </w:pPr>
    </w:p>
    <w:p w14:paraId="59869906">
      <w:pPr>
        <w:rPr>
          <w:rFonts w:hint="eastAsia"/>
          <w:lang w:eastAsia="zh-CN"/>
        </w:rPr>
      </w:pPr>
    </w:p>
    <w:sectPr>
      <w:pgSz w:w="11906" w:h="16838"/>
      <w:pgMar w:top="1440" w:right="1800" w:bottom="1440" w:left="1800"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2000000000000000000"/>
    <w:charset w:val="86"/>
    <w:family w:val="auto"/>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71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E5ABD">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E5ABD">
                    <w:pPr>
                      <w:pStyle w:val="10"/>
                    </w:pPr>
                    <w:r>
                      <w:fldChar w:fldCharType="begin"/>
                    </w:r>
                    <w:r>
                      <w:instrText xml:space="preserve"> PAGE  \* MERGEFORMAT </w:instrText>
                    </w:r>
                    <w:r>
                      <w:fldChar w:fldCharType="separate"/>
                    </w:r>
                    <w:r>
                      <w:t>5</w:t>
                    </w:r>
                    <w:r>
                      <w:fldChar w:fldCharType="end"/>
                    </w:r>
                  </w:p>
                </w:txbxContent>
              </v:textbox>
            </v:shape>
          </w:pict>
        </mc:Fallback>
      </mc:AlternateContent>
    </w:r>
  </w:p>
  <w:p w14:paraId="4D73BDA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1AA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DB3C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BDB3C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115C">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ZDZlNDUxZTBkZTRlNDM4N2ZiZmM0MjdmNjY3M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713F4"/>
    <w:rsid w:val="012A5EC2"/>
    <w:rsid w:val="014852B3"/>
    <w:rsid w:val="015975B8"/>
    <w:rsid w:val="016025FC"/>
    <w:rsid w:val="01E50D53"/>
    <w:rsid w:val="01EB45BC"/>
    <w:rsid w:val="02FEBE30"/>
    <w:rsid w:val="032507A2"/>
    <w:rsid w:val="0448750B"/>
    <w:rsid w:val="04916F1E"/>
    <w:rsid w:val="04E23328"/>
    <w:rsid w:val="061E35DE"/>
    <w:rsid w:val="066E0107"/>
    <w:rsid w:val="067A4160"/>
    <w:rsid w:val="07996F6E"/>
    <w:rsid w:val="07DFD8BA"/>
    <w:rsid w:val="08A52C48"/>
    <w:rsid w:val="08BB636A"/>
    <w:rsid w:val="09867E8F"/>
    <w:rsid w:val="0A2032A3"/>
    <w:rsid w:val="0A7B04A7"/>
    <w:rsid w:val="0A9652E1"/>
    <w:rsid w:val="0AB13EC9"/>
    <w:rsid w:val="0B116715"/>
    <w:rsid w:val="0B534F80"/>
    <w:rsid w:val="0C8A20E7"/>
    <w:rsid w:val="0CA8290A"/>
    <w:rsid w:val="0D091841"/>
    <w:rsid w:val="0D35B1ED"/>
    <w:rsid w:val="0E254B6B"/>
    <w:rsid w:val="0E5F9150"/>
    <w:rsid w:val="0EA605AF"/>
    <w:rsid w:val="0F98263C"/>
    <w:rsid w:val="0FD605C9"/>
    <w:rsid w:val="0FEB1C2B"/>
    <w:rsid w:val="101860EC"/>
    <w:rsid w:val="101F47CC"/>
    <w:rsid w:val="10C055FF"/>
    <w:rsid w:val="114950F1"/>
    <w:rsid w:val="11694EBD"/>
    <w:rsid w:val="11772AA4"/>
    <w:rsid w:val="118107EC"/>
    <w:rsid w:val="12E24EE2"/>
    <w:rsid w:val="12FC7CAB"/>
    <w:rsid w:val="13D50BC4"/>
    <w:rsid w:val="14B17F78"/>
    <w:rsid w:val="14BB6070"/>
    <w:rsid w:val="14F74BCE"/>
    <w:rsid w:val="156404B5"/>
    <w:rsid w:val="15F44823"/>
    <w:rsid w:val="165A5414"/>
    <w:rsid w:val="165E0673"/>
    <w:rsid w:val="1699418F"/>
    <w:rsid w:val="16B831D5"/>
    <w:rsid w:val="16BB723D"/>
    <w:rsid w:val="16EA0BC1"/>
    <w:rsid w:val="179662E5"/>
    <w:rsid w:val="17E50567"/>
    <w:rsid w:val="186504BB"/>
    <w:rsid w:val="189A41EE"/>
    <w:rsid w:val="18E37943"/>
    <w:rsid w:val="19445F08"/>
    <w:rsid w:val="19A445FC"/>
    <w:rsid w:val="1B4D379A"/>
    <w:rsid w:val="1B8C6519"/>
    <w:rsid w:val="1BE8440E"/>
    <w:rsid w:val="1D155CEE"/>
    <w:rsid w:val="1D1638FE"/>
    <w:rsid w:val="1E312DEB"/>
    <w:rsid w:val="1E740ACF"/>
    <w:rsid w:val="1FD476E5"/>
    <w:rsid w:val="1FF35744"/>
    <w:rsid w:val="1FF6BC77"/>
    <w:rsid w:val="1FFF16F4"/>
    <w:rsid w:val="2186353C"/>
    <w:rsid w:val="227F78B3"/>
    <w:rsid w:val="22C32593"/>
    <w:rsid w:val="22D24889"/>
    <w:rsid w:val="23860B96"/>
    <w:rsid w:val="23B73EA6"/>
    <w:rsid w:val="240371BF"/>
    <w:rsid w:val="244F3473"/>
    <w:rsid w:val="24C97D99"/>
    <w:rsid w:val="25034EC9"/>
    <w:rsid w:val="256E3D69"/>
    <w:rsid w:val="25A718F0"/>
    <w:rsid w:val="25BB59F6"/>
    <w:rsid w:val="260F557C"/>
    <w:rsid w:val="26471A97"/>
    <w:rsid w:val="26970054"/>
    <w:rsid w:val="28072F22"/>
    <w:rsid w:val="281408E2"/>
    <w:rsid w:val="29C63011"/>
    <w:rsid w:val="29E553C8"/>
    <w:rsid w:val="29F64FFC"/>
    <w:rsid w:val="29FD04D3"/>
    <w:rsid w:val="2A571F3F"/>
    <w:rsid w:val="2AB363E9"/>
    <w:rsid w:val="2BFF7BC6"/>
    <w:rsid w:val="2C1D2D14"/>
    <w:rsid w:val="2C8A61B5"/>
    <w:rsid w:val="2DF04E50"/>
    <w:rsid w:val="2E586DFA"/>
    <w:rsid w:val="2E8AC96D"/>
    <w:rsid w:val="2F040D46"/>
    <w:rsid w:val="2F0B32F8"/>
    <w:rsid w:val="2F4405B8"/>
    <w:rsid w:val="2F6B035B"/>
    <w:rsid w:val="2FAE5751"/>
    <w:rsid w:val="2FB1A395"/>
    <w:rsid w:val="2FD9A7D8"/>
    <w:rsid w:val="2FDBF714"/>
    <w:rsid w:val="30095CB8"/>
    <w:rsid w:val="30482885"/>
    <w:rsid w:val="30AB6865"/>
    <w:rsid w:val="30EE2ED1"/>
    <w:rsid w:val="315B7806"/>
    <w:rsid w:val="319F7F4E"/>
    <w:rsid w:val="31E3055C"/>
    <w:rsid w:val="32BD1EF1"/>
    <w:rsid w:val="3304709D"/>
    <w:rsid w:val="339F9008"/>
    <w:rsid w:val="33A773CB"/>
    <w:rsid w:val="33AE2166"/>
    <w:rsid w:val="349D6851"/>
    <w:rsid w:val="35470E02"/>
    <w:rsid w:val="360A4309"/>
    <w:rsid w:val="36513CE6"/>
    <w:rsid w:val="36AA5135"/>
    <w:rsid w:val="36B62683"/>
    <w:rsid w:val="36BE0DA7"/>
    <w:rsid w:val="37621F50"/>
    <w:rsid w:val="376B6AA6"/>
    <w:rsid w:val="376D39B2"/>
    <w:rsid w:val="37E16F03"/>
    <w:rsid w:val="37F53A3B"/>
    <w:rsid w:val="389B6C89"/>
    <w:rsid w:val="38D469F0"/>
    <w:rsid w:val="39627CCD"/>
    <w:rsid w:val="397BAF1F"/>
    <w:rsid w:val="3AB79AF3"/>
    <w:rsid w:val="3ACE7FFB"/>
    <w:rsid w:val="3ADB0022"/>
    <w:rsid w:val="3AE834C0"/>
    <w:rsid w:val="3B7EF35A"/>
    <w:rsid w:val="3B9FDB6C"/>
    <w:rsid w:val="3BB3E3C3"/>
    <w:rsid w:val="3BF5BC2F"/>
    <w:rsid w:val="3CDE029E"/>
    <w:rsid w:val="3CEBA265"/>
    <w:rsid w:val="3D793B23"/>
    <w:rsid w:val="3D98207C"/>
    <w:rsid w:val="3DBB081F"/>
    <w:rsid w:val="3DEE7CF3"/>
    <w:rsid w:val="3E740A63"/>
    <w:rsid w:val="3E78745D"/>
    <w:rsid w:val="3EE17838"/>
    <w:rsid w:val="3F55381A"/>
    <w:rsid w:val="3F7DA3D1"/>
    <w:rsid w:val="3F7F7599"/>
    <w:rsid w:val="3FD00372"/>
    <w:rsid w:val="3FF4CAE0"/>
    <w:rsid w:val="3FF7B227"/>
    <w:rsid w:val="41AB4DED"/>
    <w:rsid w:val="41EF20F5"/>
    <w:rsid w:val="4355293C"/>
    <w:rsid w:val="448259B3"/>
    <w:rsid w:val="448478FB"/>
    <w:rsid w:val="44BB002C"/>
    <w:rsid w:val="44D652C4"/>
    <w:rsid w:val="44E268DA"/>
    <w:rsid w:val="450D13D7"/>
    <w:rsid w:val="45506656"/>
    <w:rsid w:val="45C2075D"/>
    <w:rsid w:val="478D08F6"/>
    <w:rsid w:val="486A6C7A"/>
    <w:rsid w:val="48F85640"/>
    <w:rsid w:val="4A627F82"/>
    <w:rsid w:val="4A8E3303"/>
    <w:rsid w:val="4B0E749A"/>
    <w:rsid w:val="4B2477C4"/>
    <w:rsid w:val="4B4F25DA"/>
    <w:rsid w:val="4B612C3A"/>
    <w:rsid w:val="4BE068DB"/>
    <w:rsid w:val="4D577224"/>
    <w:rsid w:val="4DBF1CEB"/>
    <w:rsid w:val="4DF0007C"/>
    <w:rsid w:val="4E2521D3"/>
    <w:rsid w:val="4E453CD9"/>
    <w:rsid w:val="4E9407BC"/>
    <w:rsid w:val="4EAB630A"/>
    <w:rsid w:val="4ECE2238"/>
    <w:rsid w:val="4F833267"/>
    <w:rsid w:val="4F8B1BBF"/>
    <w:rsid w:val="4FE9BD67"/>
    <w:rsid w:val="4FFB052F"/>
    <w:rsid w:val="506B7C43"/>
    <w:rsid w:val="50B842E5"/>
    <w:rsid w:val="50DF1400"/>
    <w:rsid w:val="51071719"/>
    <w:rsid w:val="511F530E"/>
    <w:rsid w:val="5246001F"/>
    <w:rsid w:val="52C8137C"/>
    <w:rsid w:val="52D27B05"/>
    <w:rsid w:val="536A41E2"/>
    <w:rsid w:val="537E6D0A"/>
    <w:rsid w:val="53F74C96"/>
    <w:rsid w:val="543E7B49"/>
    <w:rsid w:val="54BF40B9"/>
    <w:rsid w:val="55170BA8"/>
    <w:rsid w:val="553218C9"/>
    <w:rsid w:val="565C6063"/>
    <w:rsid w:val="567E1AA5"/>
    <w:rsid w:val="56E47B74"/>
    <w:rsid w:val="57175D52"/>
    <w:rsid w:val="57BD3DD4"/>
    <w:rsid w:val="5A820063"/>
    <w:rsid w:val="5AF92295"/>
    <w:rsid w:val="5B250254"/>
    <w:rsid w:val="5BDD79E6"/>
    <w:rsid w:val="5BEEED43"/>
    <w:rsid w:val="5BEF1368"/>
    <w:rsid w:val="5BF561CA"/>
    <w:rsid w:val="5BFF5DFC"/>
    <w:rsid w:val="5C115B42"/>
    <w:rsid w:val="5CD050B5"/>
    <w:rsid w:val="5CD71FC4"/>
    <w:rsid w:val="5D1F11B5"/>
    <w:rsid w:val="5D695134"/>
    <w:rsid w:val="5D964551"/>
    <w:rsid w:val="5DAE1B18"/>
    <w:rsid w:val="5DE7D9E5"/>
    <w:rsid w:val="5DF03535"/>
    <w:rsid w:val="5ECEC941"/>
    <w:rsid w:val="5EF05EE3"/>
    <w:rsid w:val="5F09216A"/>
    <w:rsid w:val="5FBF9FF3"/>
    <w:rsid w:val="5FC52ECB"/>
    <w:rsid w:val="5FCD4E2C"/>
    <w:rsid w:val="5FEF394A"/>
    <w:rsid w:val="5FF67715"/>
    <w:rsid w:val="61161505"/>
    <w:rsid w:val="62BF3928"/>
    <w:rsid w:val="62DE42A4"/>
    <w:rsid w:val="63B3701E"/>
    <w:rsid w:val="647F5392"/>
    <w:rsid w:val="64B13A1E"/>
    <w:rsid w:val="64C909CF"/>
    <w:rsid w:val="65E66580"/>
    <w:rsid w:val="664B1D71"/>
    <w:rsid w:val="664B4E8E"/>
    <w:rsid w:val="66D12CF5"/>
    <w:rsid w:val="67277B67"/>
    <w:rsid w:val="674A2E4A"/>
    <w:rsid w:val="67AA3209"/>
    <w:rsid w:val="698D0931"/>
    <w:rsid w:val="69912070"/>
    <w:rsid w:val="6A7FE5F3"/>
    <w:rsid w:val="6B053271"/>
    <w:rsid w:val="6B0D0EFB"/>
    <w:rsid w:val="6BAFB4FC"/>
    <w:rsid w:val="6BDD78B3"/>
    <w:rsid w:val="6BF79A7B"/>
    <w:rsid w:val="6C050317"/>
    <w:rsid w:val="6C4A05C8"/>
    <w:rsid w:val="6C5416A8"/>
    <w:rsid w:val="6C8742B8"/>
    <w:rsid w:val="6CDF1345"/>
    <w:rsid w:val="6DBF5E93"/>
    <w:rsid w:val="6DFF077E"/>
    <w:rsid w:val="6E5C0E9F"/>
    <w:rsid w:val="6E714EF0"/>
    <w:rsid w:val="6E7E3605"/>
    <w:rsid w:val="6E7FDCC7"/>
    <w:rsid w:val="6ED6A62E"/>
    <w:rsid w:val="6EE00B15"/>
    <w:rsid w:val="6F6FB3EB"/>
    <w:rsid w:val="6F7E3097"/>
    <w:rsid w:val="6F8731EA"/>
    <w:rsid w:val="6FCE6052"/>
    <w:rsid w:val="6FD57C00"/>
    <w:rsid w:val="6FEFFFD8"/>
    <w:rsid w:val="6FF5CC65"/>
    <w:rsid w:val="6FFB47EC"/>
    <w:rsid w:val="6FFF034A"/>
    <w:rsid w:val="70484440"/>
    <w:rsid w:val="712A28F1"/>
    <w:rsid w:val="715C0E4B"/>
    <w:rsid w:val="71992E7C"/>
    <w:rsid w:val="71EC253A"/>
    <w:rsid w:val="72233669"/>
    <w:rsid w:val="723D4B43"/>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F58312"/>
    <w:rsid w:val="77FC724F"/>
    <w:rsid w:val="77FE5B8C"/>
    <w:rsid w:val="783E271A"/>
    <w:rsid w:val="78616DE9"/>
    <w:rsid w:val="78E875D7"/>
    <w:rsid w:val="79086DAD"/>
    <w:rsid w:val="79515378"/>
    <w:rsid w:val="79B7FB47"/>
    <w:rsid w:val="79D7FD79"/>
    <w:rsid w:val="79EE5BA4"/>
    <w:rsid w:val="7A4153ED"/>
    <w:rsid w:val="7A894339"/>
    <w:rsid w:val="7AD284E8"/>
    <w:rsid w:val="7AFF7572"/>
    <w:rsid w:val="7B6C7DFB"/>
    <w:rsid w:val="7BBFBED0"/>
    <w:rsid w:val="7BC3E394"/>
    <w:rsid w:val="7BFD9C3E"/>
    <w:rsid w:val="7C1F3737"/>
    <w:rsid w:val="7CBFC87B"/>
    <w:rsid w:val="7CEF2E8B"/>
    <w:rsid w:val="7CFE0F48"/>
    <w:rsid w:val="7D272ABC"/>
    <w:rsid w:val="7D67A710"/>
    <w:rsid w:val="7D7EC23E"/>
    <w:rsid w:val="7DC8B850"/>
    <w:rsid w:val="7DF76866"/>
    <w:rsid w:val="7E464D80"/>
    <w:rsid w:val="7E5E4E7E"/>
    <w:rsid w:val="7E6FC42C"/>
    <w:rsid w:val="7E8ADEBF"/>
    <w:rsid w:val="7EEF11D3"/>
    <w:rsid w:val="7EFE4840"/>
    <w:rsid w:val="7F0971A6"/>
    <w:rsid w:val="7F1D62E7"/>
    <w:rsid w:val="7F2D5F40"/>
    <w:rsid w:val="7F3F679B"/>
    <w:rsid w:val="7F4FC4EF"/>
    <w:rsid w:val="7F5E4D54"/>
    <w:rsid w:val="7F6E0135"/>
    <w:rsid w:val="7F704999"/>
    <w:rsid w:val="7F79F205"/>
    <w:rsid w:val="7F7F2C3F"/>
    <w:rsid w:val="7FA30C79"/>
    <w:rsid w:val="7FA3574A"/>
    <w:rsid w:val="7FA646D5"/>
    <w:rsid w:val="7FA79C44"/>
    <w:rsid w:val="7FAF8ABF"/>
    <w:rsid w:val="7FAFD611"/>
    <w:rsid w:val="7FB7269E"/>
    <w:rsid w:val="7FC96657"/>
    <w:rsid w:val="7FDA9588"/>
    <w:rsid w:val="7FDBE7E9"/>
    <w:rsid w:val="7FDF220F"/>
    <w:rsid w:val="7FEDC5F7"/>
    <w:rsid w:val="7FEDD9DE"/>
    <w:rsid w:val="7FF5890D"/>
    <w:rsid w:val="7FF93490"/>
    <w:rsid w:val="97F7FF1C"/>
    <w:rsid w:val="99FF2014"/>
    <w:rsid w:val="9A4F4D59"/>
    <w:rsid w:val="A6DD0D7F"/>
    <w:rsid w:val="ACFF4FBB"/>
    <w:rsid w:val="ADC6F725"/>
    <w:rsid w:val="B7CF06AB"/>
    <w:rsid w:val="B7CFA926"/>
    <w:rsid w:val="B7F8786B"/>
    <w:rsid w:val="BABB6AA1"/>
    <w:rsid w:val="BB2F4199"/>
    <w:rsid w:val="BCFFB442"/>
    <w:rsid w:val="BD079C78"/>
    <w:rsid w:val="BD733540"/>
    <w:rsid w:val="BF07EE5C"/>
    <w:rsid w:val="BF3735D5"/>
    <w:rsid w:val="BF7E2BFF"/>
    <w:rsid w:val="BF7F09AC"/>
    <w:rsid w:val="BFAD95A5"/>
    <w:rsid w:val="BFD475C3"/>
    <w:rsid w:val="BFDE5EA6"/>
    <w:rsid w:val="BFEF096A"/>
    <w:rsid w:val="CE3DC260"/>
    <w:rsid w:val="CE9FBDFA"/>
    <w:rsid w:val="CF6FC6F3"/>
    <w:rsid w:val="CFD3D3D7"/>
    <w:rsid w:val="CFDF1009"/>
    <w:rsid w:val="D3FA91B7"/>
    <w:rsid w:val="D7D7B16A"/>
    <w:rsid w:val="D8D6DB89"/>
    <w:rsid w:val="DB6F4CAB"/>
    <w:rsid w:val="DB777682"/>
    <w:rsid w:val="DC3FDE00"/>
    <w:rsid w:val="DD1FB521"/>
    <w:rsid w:val="DEF9241C"/>
    <w:rsid w:val="DEFBFEAE"/>
    <w:rsid w:val="DEFEF62D"/>
    <w:rsid w:val="DF1F3B80"/>
    <w:rsid w:val="DF6F9789"/>
    <w:rsid w:val="DFE9BE81"/>
    <w:rsid w:val="DFFB4D6F"/>
    <w:rsid w:val="DFFFA9E8"/>
    <w:rsid w:val="E5F4E9DC"/>
    <w:rsid w:val="E70FE695"/>
    <w:rsid w:val="EB2E368B"/>
    <w:rsid w:val="ECFED1BC"/>
    <w:rsid w:val="ED1D69BB"/>
    <w:rsid w:val="ED7FD312"/>
    <w:rsid w:val="EE79FD1C"/>
    <w:rsid w:val="EF2E1AC6"/>
    <w:rsid w:val="EF53993F"/>
    <w:rsid w:val="EF6FD633"/>
    <w:rsid w:val="EFBFB2F4"/>
    <w:rsid w:val="EFBFFA21"/>
    <w:rsid w:val="EFF70DA1"/>
    <w:rsid w:val="EFFE30C8"/>
    <w:rsid w:val="F29FDF9E"/>
    <w:rsid w:val="F2BEBCB8"/>
    <w:rsid w:val="F36FB518"/>
    <w:rsid w:val="F3DE1A04"/>
    <w:rsid w:val="F3F722E5"/>
    <w:rsid w:val="F4FBCD07"/>
    <w:rsid w:val="F55F9545"/>
    <w:rsid w:val="F73EF540"/>
    <w:rsid w:val="F77F32EF"/>
    <w:rsid w:val="FA5F1E70"/>
    <w:rsid w:val="FA5FDB97"/>
    <w:rsid w:val="FB7F486A"/>
    <w:rsid w:val="FBFF5B2E"/>
    <w:rsid w:val="FCEAA8F4"/>
    <w:rsid w:val="FD7FFE2B"/>
    <w:rsid w:val="FDEE196B"/>
    <w:rsid w:val="FDFE6575"/>
    <w:rsid w:val="FE9F188E"/>
    <w:rsid w:val="FEDFDDC2"/>
    <w:rsid w:val="FEED32F6"/>
    <w:rsid w:val="FEF781DD"/>
    <w:rsid w:val="FF3F7E3F"/>
    <w:rsid w:val="FF533E82"/>
    <w:rsid w:val="FFBA12D7"/>
    <w:rsid w:val="FFC9EC82"/>
    <w:rsid w:val="FFCBD314"/>
    <w:rsid w:val="FFDFF91C"/>
    <w:rsid w:val="FFDFFAEE"/>
    <w:rsid w:val="FFEF6777"/>
    <w:rsid w:val="FFF9B57B"/>
    <w:rsid w:val="FFFD61D9"/>
    <w:rsid w:val="FFFD8F59"/>
    <w:rsid w:val="FFFF2BB1"/>
    <w:rsid w:val="FFFFB04D"/>
    <w:rsid w:val="FFFFDF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able of figures"/>
    <w:basedOn w:val="1"/>
    <w:next w:val="1"/>
    <w:unhideWhenUsed/>
    <w:qFormat/>
    <w:uiPriority w:val="0"/>
    <w:pPr>
      <w:ind w:left="200" w:leftChars="200" w:hanging="200" w:hangingChars="200"/>
    </w:pPr>
    <w:rPr>
      <w:rFonts w:hint="eastAsia"/>
      <w:sz w:val="32"/>
      <w:szCs w:val="21"/>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标题 2 字符"/>
    <w:basedOn w:val="18"/>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5777</Words>
  <Characters>6352</Characters>
  <Lines>61</Lines>
  <Paragraphs>17</Paragraphs>
  <TotalTime>1</TotalTime>
  <ScaleCrop>false</ScaleCrop>
  <LinksUpToDate>false</LinksUpToDate>
  <CharactersWithSpaces>6475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花红易衰</cp:lastModifiedBy>
  <cp:lastPrinted>2025-09-25T15:45:00Z</cp:lastPrinted>
  <dcterms:modified xsi:type="dcterms:W3CDTF">2026-02-12T09:24:53Z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BE8CE8EE7739449E819A4CF452830973_13</vt:lpwstr>
  </property>
  <property fmtid="{D5CDD505-2E9C-101B-9397-08002B2CF9AE}" pid="4" name="KSOTemplateDocerSaveRecord">
    <vt:lpwstr>eyJoZGlkIjoiOGUxMjc5MjYzMDQzZjQ3YjY1MjJkZmYwMWJhNDdkY2EiLCJ1c2VySWQiOiI0MzMxNDkwMDYifQ==</vt:lpwstr>
  </property>
</Properties>
</file>