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rPr>
          <w:rFonts w:hint="eastAsia" w:ascii="Times New Roman" w:hAnsi="Times New Roman" w:eastAsia="方正小标宋简体" w:cs="Times New Roman"/>
          <w:color w:val="auto"/>
          <w:kern w:val="2"/>
          <w:sz w:val="72"/>
          <w:szCs w:val="72"/>
          <w:highlight w:val="none"/>
          <w:lang w:val="en-US" w:eastAsia="zh-CN" w:bidi="ar-SA"/>
        </w:rPr>
      </w:pPr>
      <w:bookmarkStart w:id="0" w:name="_Toc15396597"/>
      <w:bookmarkStart w:id="1" w:name="_Toc15396475"/>
      <w:bookmarkStart w:id="2" w:name="_Toc15377425"/>
      <w:bookmarkStart w:id="3" w:name="_Toc15378441"/>
      <w:bookmarkStart w:id="4" w:name="_Toc15377193"/>
      <w:bookmarkStart w:id="5" w:name="_Toc15306267"/>
    </w:p>
    <w:p>
      <w:pPr>
        <w:pStyle w:val="6"/>
        <w:rPr>
          <w:rFonts w:hint="eastAsia" w:ascii="Times New Roman" w:hAnsi="Times New Roman" w:eastAsia="方正小标宋简体" w:cs="Times New Roman"/>
          <w:color w:val="auto"/>
          <w:kern w:val="2"/>
          <w:sz w:val="72"/>
          <w:szCs w:val="72"/>
          <w:highlight w:val="none"/>
          <w:lang w:val="en-US" w:eastAsia="zh-CN" w:bidi="ar-SA"/>
        </w:rPr>
      </w:pPr>
    </w:p>
    <w:p>
      <w:pPr>
        <w:pStyle w:val="6"/>
        <w:rPr>
          <w:rFonts w:hint="eastAsia" w:ascii="Times New Roman" w:hAnsi="Times New Roman" w:eastAsia="方正小标宋简体" w:cs="Times New Roman"/>
          <w:color w:val="auto"/>
          <w:kern w:val="2"/>
          <w:sz w:val="72"/>
          <w:szCs w:val="72"/>
          <w:highlight w:val="none"/>
          <w:lang w:val="en-US" w:eastAsia="zh-CN" w:bidi="ar-SA"/>
        </w:rPr>
      </w:pPr>
    </w:p>
    <w:p>
      <w:pPr>
        <w:rPr>
          <w:rFonts w:ascii="Times New Roman" w:hAnsi="Times New Roman"/>
        </w:rPr>
      </w:pPr>
    </w:p>
    <w:p>
      <w:pPr>
        <w:pStyle w:val="6"/>
        <w:jc w:val="center"/>
        <w:rPr>
          <w:rFonts w:hint="eastAsia" w:ascii="Times New Roman" w:hAnsi="Times New Roman" w:eastAsia="方正小标宋简体" w:cs="Times New Roman"/>
          <w:color w:val="auto"/>
          <w:kern w:val="2"/>
          <w:sz w:val="44"/>
          <w:szCs w:val="44"/>
          <w:highlight w:val="none"/>
          <w:lang w:val="en-US" w:eastAsia="zh-CN" w:bidi="ar-SA"/>
        </w:rPr>
      </w:pPr>
    </w:p>
    <w:p>
      <w:pPr>
        <w:pStyle w:val="6"/>
        <w:jc w:val="both"/>
        <w:rPr>
          <w:rFonts w:hint="eastAsia" w:ascii="Times New Roman" w:hAnsi="Times New Roman" w:eastAsia="方正小标宋简体" w:cs="Times New Roman"/>
          <w:color w:val="auto"/>
          <w:kern w:val="2"/>
          <w:sz w:val="44"/>
          <w:szCs w:val="44"/>
          <w:highlight w:val="none"/>
          <w:lang w:val="en-US" w:eastAsia="zh-CN" w:bidi="ar-SA"/>
        </w:rPr>
      </w:pPr>
    </w:p>
    <w:bookmarkEnd w:id="0"/>
    <w:bookmarkEnd w:id="1"/>
    <w:bookmarkEnd w:id="2"/>
    <w:bookmarkEnd w:id="3"/>
    <w:bookmarkEnd w:id="4"/>
    <w:p>
      <w:pPr>
        <w:pStyle w:val="6"/>
        <w:jc w:val="center"/>
        <w:rPr>
          <w:rFonts w:hint="eastAsia" w:ascii="Times New Roman" w:hAnsi="Times New Roman" w:eastAsia="方正小标宋简体" w:cs="Times New Roman"/>
          <w:color w:val="auto"/>
          <w:kern w:val="2"/>
          <w:sz w:val="44"/>
          <w:szCs w:val="44"/>
          <w:highlight w:val="none"/>
          <w:lang w:val="en-US" w:eastAsia="zh-CN" w:bidi="ar-SA"/>
        </w:rPr>
      </w:pPr>
      <w:bookmarkStart w:id="6" w:name="_Toc15396598"/>
      <w:bookmarkStart w:id="7" w:name="_Toc15378442"/>
      <w:bookmarkStart w:id="8" w:name="_Toc15377194"/>
      <w:bookmarkStart w:id="9" w:name="_Toc15377426"/>
      <w:bookmarkStart w:id="10" w:name="_Toc15396476"/>
      <w:r>
        <w:rPr>
          <w:rFonts w:hint="eastAsia" w:ascii="方正小标宋简体" w:hAnsi="方正小标宋简体" w:eastAsia="方正小标宋简体" w:cs="方正小标宋简体"/>
          <w:color w:val="auto"/>
          <w:kern w:val="2"/>
          <w:sz w:val="44"/>
          <w:szCs w:val="44"/>
          <w:highlight w:val="none"/>
          <w:lang w:val="en-US" w:eastAsia="zh-CN" w:bidi="ar-SA"/>
        </w:rPr>
        <w:t>2024</w:t>
      </w:r>
      <w:r>
        <w:rPr>
          <w:rFonts w:hint="eastAsia" w:ascii="Times New Roman" w:hAnsi="Times New Roman" w:eastAsia="方正小标宋简体" w:cs="Times New Roman"/>
          <w:color w:val="auto"/>
          <w:kern w:val="2"/>
          <w:sz w:val="44"/>
          <w:szCs w:val="44"/>
          <w:highlight w:val="none"/>
          <w:lang w:val="en-US" w:eastAsia="zh-CN" w:bidi="ar-SA"/>
        </w:rPr>
        <w:t>年度四川省</w:t>
      </w:r>
      <w:bookmarkEnd w:id="5"/>
      <w:bookmarkStart w:id="11" w:name="_Toc15306268"/>
      <w:r>
        <w:rPr>
          <w:rFonts w:hint="eastAsia" w:ascii="Times New Roman" w:eastAsia="方正小标宋简体" w:cs="Times New Roman"/>
          <w:color w:val="auto"/>
          <w:kern w:val="2"/>
          <w:sz w:val="44"/>
          <w:szCs w:val="44"/>
          <w:highlight w:val="none"/>
          <w:lang w:val="en-US" w:eastAsia="zh-CN" w:bidi="ar-SA"/>
        </w:rPr>
        <w:t>阿坝州</w:t>
      </w:r>
    </w:p>
    <w:p>
      <w:pPr>
        <w:pStyle w:val="6"/>
        <w:jc w:val="center"/>
        <w:rPr>
          <w:rFonts w:hint="eastAsia" w:ascii="Times New Roman" w:hAnsi="Times New Roman" w:eastAsia="方正小标宋简体" w:cs="Times New Roman"/>
          <w:color w:val="auto"/>
          <w:kern w:val="2"/>
          <w:sz w:val="44"/>
          <w:szCs w:val="44"/>
          <w:highlight w:val="none"/>
          <w:lang w:val="en-US" w:eastAsia="zh-CN" w:bidi="ar-SA"/>
        </w:rPr>
      </w:pPr>
      <w:r>
        <w:rPr>
          <w:rFonts w:hint="eastAsia" w:ascii="Times New Roman" w:eastAsia="方正小标宋简体" w:cs="Times New Roman"/>
          <w:color w:val="auto"/>
          <w:kern w:val="2"/>
          <w:sz w:val="44"/>
          <w:szCs w:val="44"/>
          <w:highlight w:val="none"/>
          <w:lang w:val="en-US" w:eastAsia="zh-CN" w:bidi="ar-SA"/>
        </w:rPr>
        <w:t>茂县科学技术协会（本级）单位</w:t>
      </w:r>
      <w:r>
        <w:rPr>
          <w:rFonts w:hint="eastAsia" w:ascii="Times New Roman" w:hAnsi="Times New Roman" w:eastAsia="方正小标宋简体" w:cs="Times New Roman"/>
          <w:color w:val="auto"/>
          <w:kern w:val="2"/>
          <w:sz w:val="44"/>
          <w:szCs w:val="44"/>
          <w:highlight w:val="none"/>
          <w:lang w:val="en-US" w:eastAsia="zh-CN" w:bidi="ar-SA"/>
        </w:rPr>
        <w:t>决算</w:t>
      </w:r>
      <w:bookmarkEnd w:id="6"/>
      <w:bookmarkEnd w:id="7"/>
      <w:bookmarkEnd w:id="8"/>
      <w:bookmarkEnd w:id="9"/>
      <w:bookmarkEnd w:id="10"/>
      <w:bookmarkEnd w:id="11"/>
    </w:p>
    <w:p>
      <w:pPr>
        <w:widowControl/>
        <w:jc w:val="center"/>
        <w:rPr>
          <w:rFonts w:hint="eastAsia" w:ascii="Times New Roman" w:hAnsi="Times New Roman" w:eastAsia="黑体"/>
          <w:color w:val="auto"/>
          <w:sz w:val="48"/>
          <w:szCs w:val="48"/>
          <w:highlight w:val="none"/>
        </w:rPr>
      </w:pPr>
    </w:p>
    <w:p>
      <w:pPr>
        <w:widowControl/>
        <w:jc w:val="center"/>
        <w:rPr>
          <w:rFonts w:hint="eastAsia" w:ascii="Times New Roman" w:hAnsi="Times New Roman" w:eastAsia="黑体"/>
          <w:color w:val="auto"/>
          <w:sz w:val="48"/>
          <w:szCs w:val="48"/>
          <w:highlight w:val="none"/>
        </w:rPr>
      </w:pPr>
    </w:p>
    <w:p>
      <w:pPr>
        <w:widowControl/>
        <w:jc w:val="center"/>
        <w:rPr>
          <w:rFonts w:hint="eastAsia" w:ascii="Times New Roman" w:hAnsi="Times New Roman" w:eastAsia="黑体"/>
          <w:color w:val="auto"/>
          <w:sz w:val="48"/>
          <w:szCs w:val="48"/>
          <w:highlight w:val="none"/>
        </w:rPr>
      </w:pPr>
    </w:p>
    <w:p>
      <w:pPr>
        <w:widowControl/>
        <w:jc w:val="center"/>
        <w:rPr>
          <w:rFonts w:hint="eastAsia" w:ascii="Times New Roman" w:hAnsi="Times New Roman" w:eastAsia="黑体"/>
          <w:color w:val="auto"/>
          <w:sz w:val="48"/>
          <w:szCs w:val="48"/>
          <w:highlight w:val="none"/>
        </w:rPr>
      </w:pPr>
    </w:p>
    <w:p>
      <w:pPr>
        <w:widowControl/>
        <w:jc w:val="center"/>
        <w:rPr>
          <w:rFonts w:hint="eastAsia" w:ascii="Times New Roman" w:hAnsi="Times New Roman" w:eastAsia="黑体"/>
          <w:color w:val="auto"/>
          <w:sz w:val="48"/>
          <w:szCs w:val="48"/>
          <w:highlight w:val="none"/>
        </w:rPr>
      </w:pPr>
    </w:p>
    <w:p>
      <w:pPr>
        <w:widowControl/>
        <w:jc w:val="center"/>
        <w:rPr>
          <w:rFonts w:hint="eastAsia" w:ascii="Times New Roman" w:hAnsi="Times New Roman" w:eastAsia="黑体"/>
          <w:color w:val="auto"/>
          <w:sz w:val="48"/>
          <w:szCs w:val="48"/>
          <w:highlight w:val="none"/>
        </w:rPr>
      </w:pPr>
    </w:p>
    <w:p>
      <w:pPr>
        <w:widowControl/>
        <w:jc w:val="center"/>
        <w:rPr>
          <w:rFonts w:hint="eastAsia" w:ascii="Times New Roman" w:hAnsi="Times New Roman" w:eastAsia="黑体"/>
          <w:color w:val="auto"/>
          <w:sz w:val="48"/>
          <w:szCs w:val="48"/>
          <w:highlight w:val="none"/>
        </w:rPr>
      </w:pPr>
    </w:p>
    <w:p>
      <w:pPr>
        <w:widowControl/>
        <w:jc w:val="center"/>
        <w:rPr>
          <w:rFonts w:hint="eastAsia" w:ascii="Times New Roman" w:hAnsi="Times New Roman" w:eastAsia="黑体"/>
          <w:color w:val="auto"/>
          <w:sz w:val="48"/>
          <w:szCs w:val="48"/>
          <w:highlight w:val="none"/>
        </w:rPr>
      </w:pPr>
    </w:p>
    <w:p>
      <w:pPr>
        <w:widowControl/>
        <w:jc w:val="center"/>
        <w:rPr>
          <w:rFonts w:hint="eastAsia" w:ascii="Times New Roman" w:hAnsi="Times New Roman" w:eastAsia="黑体"/>
          <w:color w:val="auto"/>
          <w:sz w:val="48"/>
          <w:szCs w:val="48"/>
          <w:highlight w:val="none"/>
        </w:rPr>
      </w:pPr>
    </w:p>
    <w:p>
      <w:pPr>
        <w:widowControl/>
        <w:jc w:val="center"/>
        <w:rPr>
          <w:rFonts w:hint="eastAsia" w:ascii="Times New Roman" w:hAnsi="Times New Roman" w:eastAsia="黑体"/>
          <w:color w:val="auto"/>
          <w:sz w:val="48"/>
          <w:szCs w:val="48"/>
          <w:highlight w:val="none"/>
        </w:rPr>
      </w:pPr>
      <w:r>
        <w:rPr>
          <w:rFonts w:hint="eastAsia" w:eastAsia="仿宋_GB2312"/>
          <w:sz w:val="32"/>
          <w:szCs w:val="32"/>
          <w:lang w:val="en-US" w:eastAsia="zh-CN"/>
        </w:rPr>
        <w:t>已经保密审查、内容审定，同意对外公开</w:t>
      </w:r>
      <w:r>
        <w:rPr>
          <w:rFonts w:ascii="Times New Roman" w:hAnsi="Times New Roman" w:eastAsia="方正小标宋简体"/>
          <w:color w:val="auto"/>
          <w:sz w:val="36"/>
          <w:szCs w:val="36"/>
          <w:highlight w:val="none"/>
        </w:rPr>
        <w:br w:type="page"/>
      </w:r>
    </w:p>
    <w:p>
      <w:pPr>
        <w:widowControl/>
        <w:jc w:val="center"/>
        <w:rPr>
          <w:rFonts w:ascii="Times New Roman" w:hAnsi="Times New Roman" w:eastAsia="黑体"/>
          <w:color w:val="auto"/>
          <w:sz w:val="48"/>
          <w:szCs w:val="48"/>
          <w:highlight w:val="none"/>
        </w:rPr>
      </w:pPr>
      <w:r>
        <w:rPr>
          <w:rFonts w:hint="eastAsia" w:ascii="Times New Roman" w:hAnsi="Times New Roman" w:eastAsia="黑体"/>
          <w:color w:val="auto"/>
          <w:sz w:val="48"/>
          <w:szCs w:val="48"/>
          <w:highlight w:val="none"/>
        </w:rPr>
        <w:t>目录</w:t>
      </w:r>
    </w:p>
    <w:p>
      <w:pPr>
        <w:widowControl/>
        <w:jc w:val="center"/>
        <w:rPr>
          <w:rFonts w:ascii="Times New Roman" w:hAnsi="Times New Roman" w:eastAsia="黑体" w:cstheme="minorBidi"/>
          <w:color w:val="auto"/>
          <w:sz w:val="28"/>
          <w:szCs w:val="28"/>
          <w:highlight w:val="none"/>
        </w:rPr>
      </w:pPr>
    </w:p>
    <w:p>
      <w:pPr>
        <w:pStyle w:val="12"/>
        <w:rPr>
          <w:rFonts w:hint="eastAsia" w:ascii="仿宋_GB2312" w:hAnsi="仿宋_GB2312" w:eastAsia="仿宋_GB2312" w:cs="仿宋_GB2312"/>
          <w:color w:val="auto"/>
          <w:highlight w:val="none"/>
        </w:rPr>
      </w:pPr>
      <w:r>
        <w:rPr>
          <w:rFonts w:hint="eastAsia" w:ascii="Times New Roman" w:hAnsi="Times New Roman" w:eastAsia="仿宋_GB2312" w:cs="仿宋_GB2312"/>
          <w:color w:val="auto"/>
          <w:sz w:val="32"/>
          <w:szCs w:val="32"/>
          <w:highlight w:val="none"/>
        </w:rPr>
        <w:t>公开时间：</w:t>
      </w:r>
      <w:r>
        <w:rPr>
          <w:rFonts w:hint="eastAsia" w:ascii="仿宋_GB2312" w:hAnsi="仿宋_GB2312" w:eastAsia="仿宋_GB2312" w:cs="仿宋_GB2312"/>
          <w:color w:val="auto"/>
          <w:sz w:val="32"/>
          <w:szCs w:val="32"/>
          <w:highlight w:val="none"/>
        </w:rPr>
        <w:t>20</w:t>
      </w:r>
      <w:r>
        <w:rPr>
          <w:rFonts w:hint="eastAsia" w:ascii="仿宋_GB2312" w:hAnsi="仿宋_GB2312" w:eastAsia="仿宋_GB2312" w:cs="仿宋_GB2312"/>
          <w:color w:val="auto"/>
          <w:sz w:val="32"/>
          <w:szCs w:val="32"/>
          <w:highlight w:val="none"/>
          <w:lang w:val="en-US" w:eastAsia="zh-CN"/>
        </w:rPr>
        <w:t>25</w:t>
      </w:r>
      <w:r>
        <w:rPr>
          <w:rFonts w:hint="eastAsia" w:ascii="Times New Roman" w:hAnsi="Times New Roman"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lang w:val="en-US" w:eastAsia="zh-CN"/>
        </w:rPr>
        <w:t>9</w:t>
      </w:r>
      <w:r>
        <w:rPr>
          <w:rFonts w:hint="eastAsia" w:ascii="仿宋_GB2312" w:hAnsi="仿宋_GB2312" w:eastAsia="仿宋_GB2312" w:cs="仿宋_GB2312"/>
          <w:color w:val="auto"/>
          <w:sz w:val="32"/>
          <w:szCs w:val="32"/>
          <w:highlight w:val="none"/>
        </w:rPr>
        <w:t>月</w:t>
      </w:r>
      <w:r>
        <w:rPr>
          <w:rFonts w:hint="eastAsia" w:ascii="仿宋_GB2312" w:hAnsi="仿宋_GB2312" w:eastAsia="仿宋_GB2312" w:cs="仿宋_GB2312"/>
          <w:color w:val="auto"/>
          <w:sz w:val="32"/>
          <w:szCs w:val="32"/>
          <w:highlight w:val="none"/>
          <w:lang w:val="en-US" w:eastAsia="zh-CN"/>
        </w:rPr>
        <w:t>25</w:t>
      </w:r>
      <w:r>
        <w:rPr>
          <w:rFonts w:hint="eastAsia" w:ascii="仿宋_GB2312" w:hAnsi="仿宋_GB2312" w:eastAsia="仿宋_GB2312" w:cs="仿宋_GB2312"/>
          <w:color w:val="auto"/>
          <w:sz w:val="32"/>
          <w:szCs w:val="32"/>
          <w:highlight w:val="none"/>
        </w:rPr>
        <w:t>日</w:t>
      </w:r>
    </w:p>
    <w:sdt>
      <w:sdtPr>
        <w:rPr>
          <w:rFonts w:ascii="宋体" w:hAnsi="宋体" w:eastAsia="宋体" w:cs="Times New Roman"/>
          <w:kern w:val="2"/>
          <w:sz w:val="21"/>
          <w:szCs w:val="24"/>
          <w:lang w:val="en-US" w:eastAsia="zh-CN" w:bidi="ar-SA"/>
        </w:rPr>
        <w:id w:val="147470016"/>
        <w15:color w:val="DBDBDB"/>
        <w:docPartObj>
          <w:docPartGallery w:val="Table of Contents"/>
          <w:docPartUnique/>
        </w:docPartObj>
      </w:sdtPr>
      <w:sdtEndPr>
        <w:rPr>
          <w:rFonts w:ascii="宋体" w:hAnsi="宋体" w:eastAsia="宋体" w:cs="Times New Roman"/>
          <w:kern w:val="2"/>
          <w:sz w:val="21"/>
          <w:szCs w:val="24"/>
          <w:lang w:val="en-US" w:eastAsia="zh-CN" w:bidi="ar-SA"/>
        </w:rPr>
      </w:sdtEndPr>
      <w:sdtContent>
        <w:p>
          <w:pPr>
            <w:spacing w:before="0" w:beforeLines="0" w:afterAutospacing="0" w:line="240" w:lineRule="auto"/>
            <w:ind w:left="0" w:leftChars="0" w:right="0" w:rightChars="0" w:firstLine="0" w:firstLineChars="0"/>
            <w:jc w:val="center"/>
          </w:pPr>
          <w:bookmarkStart w:id="124" w:name="_GoBack"/>
          <w:bookmarkEnd w:id="124"/>
        </w:p>
        <w:p>
          <w:pPr>
            <w:pStyle w:val="12"/>
            <w:tabs>
              <w:tab w:val="right" w:leader="dot" w:pos="8306"/>
              <w:tab w:val="clear" w:pos="8296"/>
            </w:tabs>
            <w:spacing w:before="0" w:beforeAutospacing="0"/>
          </w:pPr>
          <w:r>
            <w:fldChar w:fldCharType="begin"/>
          </w:r>
          <w:r>
            <w:instrText xml:space="preserve">TOC \o "1-3" \h \u </w:instrText>
          </w:r>
          <w:r>
            <w:fldChar w:fldCharType="separate"/>
          </w:r>
          <w:r>
            <w:fldChar w:fldCharType="begin"/>
          </w:r>
          <w:r>
            <w:instrText xml:space="preserve"> HYPERLINK \l _Toc17462 </w:instrText>
          </w:r>
          <w:r>
            <w:fldChar w:fldCharType="separate"/>
          </w:r>
          <w:r>
            <w:rPr>
              <w:rFonts w:hint="eastAsia" w:ascii="Times New Roman" w:hAnsi="Times New Roman" w:eastAsia="方正小标宋简体" w:cs="方正小标宋简体"/>
              <w:highlight w:val="none"/>
            </w:rPr>
            <w:t>第一部分</w:t>
          </w:r>
          <w:r>
            <w:rPr>
              <w:rFonts w:hint="eastAsia" w:ascii="Times New Roman" w:hAnsi="Times New Roman" w:eastAsia="方正小标宋简体" w:cs="方正小标宋简体"/>
              <w:highlight w:val="none"/>
              <w:lang w:val="en-US" w:eastAsia="zh-CN"/>
            </w:rPr>
            <w:t xml:space="preserve"> </w:t>
          </w:r>
          <w:r>
            <w:rPr>
              <w:rFonts w:hint="eastAsia" w:ascii="Times New Roman" w:hAnsi="Times New Roman" w:eastAsia="方正小标宋简体" w:cs="方正小标宋简体"/>
              <w:highlight w:val="none"/>
            </w:rPr>
            <w:t xml:space="preserve"> </w:t>
          </w:r>
          <w:r>
            <w:rPr>
              <w:rFonts w:hint="eastAsia" w:ascii="Times New Roman" w:hAnsi="Times New Roman" w:eastAsia="方正小标宋简体" w:cs="方正小标宋简体"/>
              <w:bCs w:val="0"/>
              <w:highlight w:val="none"/>
            </w:rPr>
            <w:t>部门概况</w:t>
          </w:r>
          <w:r>
            <w:tab/>
          </w:r>
          <w:r>
            <w:rPr>
              <w:rFonts w:ascii="Times New Roman" w:hAnsi="Times New Roman" w:eastAsia="宋体" w:cs="Times New Roman"/>
              <w:b w:val="0"/>
              <w:bCs w:val="0"/>
              <w:kern w:val="2"/>
              <w:sz w:val="28"/>
              <w:szCs w:val="36"/>
              <w:lang w:val="en-US" w:eastAsia="zh-CN" w:bidi="ar-SA"/>
            </w:rPr>
            <w:fldChar w:fldCharType="begin"/>
          </w:r>
          <w:r>
            <w:rPr>
              <w:rFonts w:ascii="Times New Roman" w:hAnsi="Times New Roman" w:eastAsia="宋体" w:cs="Times New Roman"/>
              <w:b w:val="0"/>
              <w:bCs w:val="0"/>
              <w:kern w:val="2"/>
              <w:sz w:val="28"/>
              <w:szCs w:val="36"/>
              <w:lang w:val="en-US" w:eastAsia="zh-CN" w:bidi="ar-SA"/>
            </w:rPr>
            <w:instrText xml:space="preserve"> PAGEREF _Toc17462 \h </w:instrText>
          </w:r>
          <w:r>
            <w:rPr>
              <w:rFonts w:ascii="Times New Roman" w:hAnsi="Times New Roman" w:eastAsia="宋体" w:cs="Times New Roman"/>
              <w:b w:val="0"/>
              <w:bCs w:val="0"/>
              <w:kern w:val="2"/>
              <w:sz w:val="28"/>
              <w:szCs w:val="36"/>
              <w:lang w:val="en-US" w:eastAsia="zh-CN" w:bidi="ar-SA"/>
            </w:rPr>
            <w:fldChar w:fldCharType="separate"/>
          </w:r>
          <w:r>
            <w:rPr>
              <w:rFonts w:ascii="Times New Roman" w:hAnsi="Times New Roman" w:eastAsia="宋体" w:cs="Times New Roman"/>
              <w:b w:val="0"/>
              <w:bCs w:val="0"/>
              <w:kern w:val="2"/>
              <w:sz w:val="28"/>
              <w:szCs w:val="36"/>
              <w:lang w:val="en-US" w:eastAsia="zh-CN" w:bidi="ar-SA"/>
            </w:rPr>
            <w:t>1</w:t>
          </w:r>
          <w:r>
            <w:rPr>
              <w:rFonts w:ascii="Times New Roman" w:hAnsi="Times New Roman" w:eastAsia="宋体" w:cs="Times New Roman"/>
              <w:b w:val="0"/>
              <w:bCs w:val="0"/>
              <w:kern w:val="2"/>
              <w:sz w:val="28"/>
              <w:szCs w:val="36"/>
              <w:lang w:val="en-US" w:eastAsia="zh-CN" w:bidi="ar-SA"/>
            </w:rPr>
            <w:fldChar w:fldCharType="end"/>
          </w:r>
          <w:r>
            <w:fldChar w:fldCharType="end"/>
          </w:r>
        </w:p>
        <w:p>
          <w:pPr>
            <w:pStyle w:val="15"/>
            <w:tabs>
              <w:tab w:val="right" w:leader="dot" w:pos="8306"/>
              <w:tab w:val="clear" w:pos="8296"/>
            </w:tabs>
          </w:pPr>
          <w:r>
            <w:fldChar w:fldCharType="begin"/>
          </w:r>
          <w:r>
            <w:instrText xml:space="preserve"> HYPERLINK \l _Toc17590 </w:instrText>
          </w:r>
          <w:r>
            <w:fldChar w:fldCharType="separate"/>
          </w:r>
          <w:r>
            <w:rPr>
              <w:rFonts w:hint="eastAsia" w:ascii="Times New Roman" w:hAnsi="Times New Roman" w:eastAsia="黑体"/>
              <w:lang w:eastAsia="zh-CN"/>
            </w:rPr>
            <w:t xml:space="preserve">一、 </w:t>
          </w:r>
          <w:r>
            <w:rPr>
              <w:rFonts w:hint="eastAsia" w:ascii="Times New Roman" w:hAnsi="Times New Roman" w:eastAsia="黑体"/>
              <w:highlight w:val="none"/>
              <w:lang w:eastAsia="zh-CN"/>
            </w:rPr>
            <w:t>部门职责</w:t>
          </w:r>
          <w:r>
            <w:tab/>
          </w:r>
          <w:r>
            <w:fldChar w:fldCharType="begin"/>
          </w:r>
          <w:r>
            <w:instrText xml:space="preserve"> PAGEREF _Toc17590 \h </w:instrText>
          </w:r>
          <w:r>
            <w:fldChar w:fldCharType="separate"/>
          </w:r>
          <w:r>
            <w:t>1</w:t>
          </w:r>
          <w:r>
            <w:fldChar w:fldCharType="end"/>
          </w:r>
          <w:r>
            <w:fldChar w:fldCharType="end"/>
          </w:r>
        </w:p>
        <w:p>
          <w:pPr>
            <w:pStyle w:val="15"/>
            <w:tabs>
              <w:tab w:val="right" w:leader="dot" w:pos="8306"/>
              <w:tab w:val="clear" w:pos="8296"/>
            </w:tabs>
            <w:spacing w:afterAutospacing="0"/>
          </w:pPr>
          <w:r>
            <w:fldChar w:fldCharType="begin"/>
          </w:r>
          <w:r>
            <w:instrText xml:space="preserve"> HYPERLINK \l _Toc9134 </w:instrText>
          </w:r>
          <w:r>
            <w:fldChar w:fldCharType="separate"/>
          </w:r>
          <w:r>
            <w:rPr>
              <w:rFonts w:hint="eastAsia" w:ascii="Times New Roman" w:hAnsi="Times New Roman" w:eastAsia="黑体"/>
              <w:highlight w:val="none"/>
            </w:rPr>
            <w:t>二、机</w:t>
          </w:r>
          <w:r>
            <w:rPr>
              <w:rFonts w:hint="eastAsia" w:ascii="Times New Roman" w:hAnsi="Times New Roman" w:eastAsia="黑体"/>
              <w:bCs w:val="0"/>
              <w:highlight w:val="none"/>
            </w:rPr>
            <w:t>构设置</w:t>
          </w:r>
          <w:r>
            <w:tab/>
          </w:r>
          <w:r>
            <w:fldChar w:fldCharType="begin"/>
          </w:r>
          <w:r>
            <w:instrText xml:space="preserve"> PAGEREF _Toc9134 \h </w:instrText>
          </w:r>
          <w:r>
            <w:fldChar w:fldCharType="separate"/>
          </w:r>
          <w:r>
            <w:t>2</w:t>
          </w:r>
          <w:r>
            <w:fldChar w:fldCharType="end"/>
          </w:r>
          <w:r>
            <w:fldChar w:fldCharType="end"/>
          </w:r>
        </w:p>
        <w:p>
          <w:pPr>
            <w:pStyle w:val="12"/>
            <w:tabs>
              <w:tab w:val="right" w:leader="dot" w:pos="8306"/>
              <w:tab w:val="clear" w:pos="8296"/>
            </w:tabs>
            <w:spacing w:before="0" w:beforeAutospacing="0"/>
          </w:pPr>
          <w:r>
            <w:fldChar w:fldCharType="begin"/>
          </w:r>
          <w:r>
            <w:instrText xml:space="preserve"> HYPERLINK \l _Toc29775 </w:instrText>
          </w:r>
          <w:r>
            <w:fldChar w:fldCharType="separate"/>
          </w:r>
          <w:r>
            <w:rPr>
              <w:rFonts w:hint="eastAsia" w:ascii="Times New Roman" w:hAnsi="Times New Roman" w:eastAsia="方正小标宋简体" w:cs="方正小标宋简体"/>
              <w:highlight w:val="none"/>
            </w:rPr>
            <w:t>第二部分</w:t>
          </w:r>
          <w:r>
            <w:rPr>
              <w:rFonts w:hint="eastAsia" w:ascii="Times New Roman" w:hAnsi="Times New Roman" w:eastAsia="方正小标宋简体" w:cs="方正小标宋简体"/>
              <w:highlight w:val="none"/>
              <w:lang w:val="en-US" w:eastAsia="zh-CN"/>
            </w:rPr>
            <w:t xml:space="preserve"> </w:t>
          </w:r>
          <w:r>
            <w:rPr>
              <w:rFonts w:hint="eastAsia" w:ascii="Times New Roman" w:hAnsi="Times New Roman" w:eastAsia="方正小标宋简体" w:cs="方正小标宋简体"/>
              <w:highlight w:val="none"/>
            </w:rPr>
            <w:t xml:space="preserve"> </w:t>
          </w:r>
          <w:r>
            <w:rPr>
              <w:rFonts w:hint="eastAsia" w:ascii="方正小标宋简体" w:hAnsi="方正小标宋简体" w:eastAsia="方正小标宋简体" w:cs="方正小标宋简体"/>
              <w:highlight w:val="none"/>
              <w:lang w:val="en-US" w:eastAsia="zh-CN"/>
            </w:rPr>
            <w:t>2024</w:t>
          </w:r>
          <w:r>
            <w:rPr>
              <w:rFonts w:hint="eastAsia" w:ascii="Times New Roman" w:hAnsi="Times New Roman" w:eastAsia="方正小标宋简体" w:cs="方正小标宋简体"/>
              <w:highlight w:val="none"/>
              <w:lang w:val="en-US" w:eastAsia="zh-CN"/>
            </w:rPr>
            <w:t>年度</w:t>
          </w:r>
          <w:r>
            <w:rPr>
              <w:rFonts w:hint="eastAsia" w:ascii="Times New Roman" w:hAnsi="Times New Roman" w:eastAsia="方正小标宋简体" w:cs="方正小标宋简体"/>
              <w:highlight w:val="none"/>
            </w:rPr>
            <w:t>部门决算情况说明</w:t>
          </w:r>
          <w:r>
            <w:tab/>
          </w:r>
          <w:r>
            <w:rPr>
              <w:rFonts w:ascii="Times New Roman" w:hAnsi="Times New Roman" w:eastAsia="宋体" w:cs="Times New Roman"/>
              <w:b w:val="0"/>
              <w:bCs w:val="0"/>
              <w:kern w:val="2"/>
              <w:sz w:val="28"/>
              <w:szCs w:val="36"/>
              <w:lang w:val="en-US" w:eastAsia="zh-CN" w:bidi="ar-SA"/>
            </w:rPr>
            <w:fldChar w:fldCharType="begin"/>
          </w:r>
          <w:r>
            <w:rPr>
              <w:rFonts w:ascii="Times New Roman" w:hAnsi="Times New Roman" w:eastAsia="宋体" w:cs="Times New Roman"/>
              <w:b w:val="0"/>
              <w:bCs w:val="0"/>
              <w:kern w:val="2"/>
              <w:sz w:val="28"/>
              <w:szCs w:val="36"/>
              <w:lang w:val="en-US" w:eastAsia="zh-CN" w:bidi="ar-SA"/>
            </w:rPr>
            <w:instrText xml:space="preserve"> PAGEREF _Toc29775 \h </w:instrText>
          </w:r>
          <w:r>
            <w:rPr>
              <w:rFonts w:ascii="Times New Roman" w:hAnsi="Times New Roman" w:eastAsia="宋体" w:cs="Times New Roman"/>
              <w:b w:val="0"/>
              <w:bCs w:val="0"/>
              <w:kern w:val="2"/>
              <w:sz w:val="28"/>
              <w:szCs w:val="36"/>
              <w:lang w:val="en-US" w:eastAsia="zh-CN" w:bidi="ar-SA"/>
            </w:rPr>
            <w:fldChar w:fldCharType="separate"/>
          </w:r>
          <w:r>
            <w:rPr>
              <w:rFonts w:ascii="Times New Roman" w:hAnsi="Times New Roman" w:eastAsia="宋体" w:cs="Times New Roman"/>
              <w:b w:val="0"/>
              <w:bCs w:val="0"/>
              <w:kern w:val="2"/>
              <w:sz w:val="28"/>
              <w:szCs w:val="36"/>
              <w:lang w:val="en-US" w:eastAsia="zh-CN" w:bidi="ar-SA"/>
            </w:rPr>
            <w:t>3</w:t>
          </w:r>
          <w:r>
            <w:rPr>
              <w:rFonts w:ascii="Times New Roman" w:hAnsi="Times New Roman" w:eastAsia="宋体" w:cs="Times New Roman"/>
              <w:b w:val="0"/>
              <w:bCs w:val="0"/>
              <w:kern w:val="2"/>
              <w:sz w:val="28"/>
              <w:szCs w:val="36"/>
              <w:lang w:val="en-US" w:eastAsia="zh-CN" w:bidi="ar-SA"/>
            </w:rPr>
            <w:fldChar w:fldCharType="end"/>
          </w:r>
          <w:r>
            <w:fldChar w:fldCharType="end"/>
          </w:r>
        </w:p>
        <w:p>
          <w:pPr>
            <w:pStyle w:val="15"/>
            <w:tabs>
              <w:tab w:val="right" w:leader="dot" w:pos="8306"/>
              <w:tab w:val="clear" w:pos="8296"/>
            </w:tabs>
          </w:pPr>
          <w:r>
            <w:fldChar w:fldCharType="begin"/>
          </w:r>
          <w:r>
            <w:instrText xml:space="preserve"> HYPERLINK \l _Toc19709 </w:instrText>
          </w:r>
          <w:r>
            <w:fldChar w:fldCharType="separate"/>
          </w:r>
          <w:r>
            <w:rPr>
              <w:rFonts w:hint="eastAsia" w:ascii="Times New Roman" w:hAnsi="Times New Roman" w:eastAsia="黑体"/>
              <w:szCs w:val="32"/>
              <w:highlight w:val="none"/>
              <w:lang w:eastAsia="zh-CN"/>
            </w:rPr>
            <w:t>一、</w:t>
          </w:r>
          <w:r>
            <w:rPr>
              <w:rFonts w:hint="eastAsia" w:ascii="Times New Roman" w:hAnsi="Times New Roman" w:eastAsia="黑体"/>
              <w:szCs w:val="32"/>
              <w:highlight w:val="none"/>
            </w:rPr>
            <w:t>收</w:t>
          </w:r>
          <w:r>
            <w:rPr>
              <w:rFonts w:hint="eastAsia" w:ascii="Times New Roman" w:hAnsi="Times New Roman" w:eastAsia="黑体"/>
              <w:highlight w:val="none"/>
            </w:rPr>
            <w:t>入支出决算总体情况说明</w:t>
          </w:r>
          <w:r>
            <w:tab/>
          </w:r>
          <w:r>
            <w:fldChar w:fldCharType="begin"/>
          </w:r>
          <w:r>
            <w:instrText xml:space="preserve"> PAGEREF _Toc19709 \h </w:instrText>
          </w:r>
          <w:r>
            <w:fldChar w:fldCharType="separate"/>
          </w:r>
          <w:r>
            <w:t>3</w:t>
          </w:r>
          <w:r>
            <w:fldChar w:fldCharType="end"/>
          </w:r>
          <w:r>
            <w:fldChar w:fldCharType="end"/>
          </w:r>
        </w:p>
        <w:p>
          <w:pPr>
            <w:pStyle w:val="15"/>
            <w:tabs>
              <w:tab w:val="right" w:leader="dot" w:pos="8306"/>
              <w:tab w:val="clear" w:pos="8296"/>
            </w:tabs>
          </w:pPr>
          <w:r>
            <w:fldChar w:fldCharType="begin"/>
          </w:r>
          <w:r>
            <w:instrText xml:space="preserve"> HYPERLINK \l _Toc27062 </w:instrText>
          </w:r>
          <w:r>
            <w:fldChar w:fldCharType="separate"/>
          </w:r>
          <w:r>
            <w:rPr>
              <w:rFonts w:hint="eastAsia" w:ascii="Times New Roman" w:hAnsi="Times New Roman" w:eastAsia="黑体"/>
              <w:szCs w:val="32"/>
              <w:highlight w:val="none"/>
              <w:lang w:eastAsia="zh-CN"/>
            </w:rPr>
            <w:t>二、收入决算情况说明</w:t>
          </w:r>
          <w:r>
            <w:tab/>
          </w:r>
          <w:r>
            <w:fldChar w:fldCharType="begin"/>
          </w:r>
          <w:r>
            <w:instrText xml:space="preserve"> PAGEREF _Toc27062 \h </w:instrText>
          </w:r>
          <w:r>
            <w:fldChar w:fldCharType="separate"/>
          </w:r>
          <w:r>
            <w:t>3</w:t>
          </w:r>
          <w:r>
            <w:fldChar w:fldCharType="end"/>
          </w:r>
          <w:r>
            <w:fldChar w:fldCharType="end"/>
          </w:r>
        </w:p>
        <w:p>
          <w:pPr>
            <w:pStyle w:val="15"/>
            <w:tabs>
              <w:tab w:val="right" w:leader="dot" w:pos="8306"/>
              <w:tab w:val="clear" w:pos="8296"/>
            </w:tabs>
          </w:pPr>
          <w:r>
            <w:fldChar w:fldCharType="begin"/>
          </w:r>
          <w:r>
            <w:instrText xml:space="preserve"> HYPERLINK \l _Toc19441 </w:instrText>
          </w:r>
          <w:r>
            <w:fldChar w:fldCharType="separate"/>
          </w:r>
          <w:r>
            <w:rPr>
              <w:rFonts w:hint="eastAsia" w:ascii="Times New Roman" w:hAnsi="Times New Roman" w:eastAsia="黑体"/>
              <w:szCs w:val="32"/>
              <w:highlight w:val="none"/>
              <w:lang w:eastAsia="zh-CN"/>
            </w:rPr>
            <w:t>三、</w:t>
          </w:r>
          <w:r>
            <w:rPr>
              <w:rFonts w:hint="eastAsia" w:ascii="Times New Roman" w:hAnsi="Times New Roman" w:eastAsia="黑体"/>
              <w:szCs w:val="32"/>
              <w:highlight w:val="none"/>
            </w:rPr>
            <w:t>支</w:t>
          </w:r>
          <w:r>
            <w:rPr>
              <w:rFonts w:hint="eastAsia" w:ascii="Times New Roman" w:hAnsi="Times New Roman" w:eastAsia="黑体"/>
              <w:highlight w:val="none"/>
            </w:rPr>
            <w:t>出决算情况说明</w:t>
          </w:r>
          <w:r>
            <w:tab/>
          </w:r>
          <w:r>
            <w:fldChar w:fldCharType="begin"/>
          </w:r>
          <w:r>
            <w:instrText xml:space="preserve"> PAGEREF _Toc19441 \h </w:instrText>
          </w:r>
          <w:r>
            <w:fldChar w:fldCharType="separate"/>
          </w:r>
          <w:r>
            <w:t>4</w:t>
          </w:r>
          <w:r>
            <w:fldChar w:fldCharType="end"/>
          </w:r>
          <w:r>
            <w:fldChar w:fldCharType="end"/>
          </w:r>
        </w:p>
        <w:p>
          <w:pPr>
            <w:pStyle w:val="15"/>
            <w:tabs>
              <w:tab w:val="right" w:leader="dot" w:pos="8306"/>
              <w:tab w:val="clear" w:pos="8296"/>
            </w:tabs>
          </w:pPr>
          <w:r>
            <w:fldChar w:fldCharType="begin"/>
          </w:r>
          <w:r>
            <w:instrText xml:space="preserve"> HYPERLINK \l _Toc13823 </w:instrText>
          </w:r>
          <w:r>
            <w:fldChar w:fldCharType="separate"/>
          </w:r>
          <w:r>
            <w:rPr>
              <w:rFonts w:hint="eastAsia" w:ascii="Times New Roman" w:hAnsi="Times New Roman" w:eastAsia="黑体"/>
              <w:szCs w:val="32"/>
              <w:highlight w:val="none"/>
            </w:rPr>
            <w:t>四、财</w:t>
          </w:r>
          <w:r>
            <w:rPr>
              <w:rFonts w:hint="eastAsia" w:ascii="Times New Roman" w:hAnsi="Times New Roman" w:eastAsia="黑体"/>
              <w:highlight w:val="none"/>
            </w:rPr>
            <w:t>政拨款收入支出决算总体情况说明</w:t>
          </w:r>
          <w:r>
            <w:tab/>
          </w:r>
          <w:r>
            <w:rPr>
              <w:b w:val="0"/>
              <w:bCs w:val="0"/>
            </w:rPr>
            <w:fldChar w:fldCharType="begin"/>
          </w:r>
          <w:r>
            <w:rPr>
              <w:b w:val="0"/>
              <w:bCs w:val="0"/>
            </w:rPr>
            <w:instrText xml:space="preserve"> PAGEREF _Toc13823 \h </w:instrText>
          </w:r>
          <w:r>
            <w:rPr>
              <w:b w:val="0"/>
              <w:bCs w:val="0"/>
            </w:rPr>
            <w:fldChar w:fldCharType="separate"/>
          </w:r>
          <w:r>
            <w:rPr>
              <w:b w:val="0"/>
              <w:bCs w:val="0"/>
            </w:rPr>
            <w:t>4</w:t>
          </w:r>
          <w:r>
            <w:rPr>
              <w:b w:val="0"/>
              <w:bCs w:val="0"/>
            </w:rPr>
            <w:fldChar w:fldCharType="end"/>
          </w:r>
          <w:r>
            <w:fldChar w:fldCharType="end"/>
          </w:r>
        </w:p>
        <w:p>
          <w:pPr>
            <w:pStyle w:val="15"/>
            <w:tabs>
              <w:tab w:val="right" w:leader="dot" w:pos="8306"/>
              <w:tab w:val="clear" w:pos="8296"/>
            </w:tabs>
          </w:pPr>
          <w:r>
            <w:fldChar w:fldCharType="begin"/>
          </w:r>
          <w:r>
            <w:instrText xml:space="preserve"> HYPERLINK \l _Toc22471 </w:instrText>
          </w:r>
          <w:r>
            <w:fldChar w:fldCharType="separate"/>
          </w:r>
          <w:r>
            <w:rPr>
              <w:rFonts w:hint="eastAsia" w:ascii="Times New Roman" w:hAnsi="Times New Roman" w:eastAsia="黑体"/>
              <w:szCs w:val="32"/>
              <w:highlight w:val="none"/>
            </w:rPr>
            <w:t>五、一</w:t>
          </w:r>
          <w:r>
            <w:rPr>
              <w:rFonts w:hint="eastAsia" w:ascii="Times New Roman" w:hAnsi="Times New Roman" w:eastAsia="黑体"/>
              <w:highlight w:val="none"/>
            </w:rPr>
            <w:t>般公共预算财政拨款支出决算情况说明</w:t>
          </w:r>
          <w:r>
            <w:tab/>
          </w:r>
          <w:r>
            <w:fldChar w:fldCharType="begin"/>
          </w:r>
          <w:r>
            <w:instrText xml:space="preserve"> PAGEREF _Toc22471 \h </w:instrText>
          </w:r>
          <w:r>
            <w:fldChar w:fldCharType="separate"/>
          </w:r>
          <w:r>
            <w:t>5</w:t>
          </w:r>
          <w:r>
            <w:fldChar w:fldCharType="end"/>
          </w:r>
          <w:r>
            <w:fldChar w:fldCharType="end"/>
          </w:r>
        </w:p>
        <w:p>
          <w:pPr>
            <w:pStyle w:val="15"/>
            <w:tabs>
              <w:tab w:val="right" w:leader="dot" w:pos="8306"/>
              <w:tab w:val="clear" w:pos="8296"/>
            </w:tabs>
          </w:pPr>
          <w:r>
            <w:fldChar w:fldCharType="begin"/>
          </w:r>
          <w:r>
            <w:instrText xml:space="preserve"> HYPERLINK \l _Toc23558 </w:instrText>
          </w:r>
          <w:r>
            <w:fldChar w:fldCharType="separate"/>
          </w:r>
          <w:r>
            <w:rPr>
              <w:rFonts w:hint="eastAsia" w:ascii="Times New Roman" w:hAnsi="Times New Roman" w:eastAsia="黑体"/>
              <w:szCs w:val="32"/>
              <w:highlight w:val="none"/>
            </w:rPr>
            <w:t>六、一</w:t>
          </w:r>
          <w:r>
            <w:rPr>
              <w:rFonts w:hint="eastAsia" w:ascii="Times New Roman" w:hAnsi="Times New Roman" w:eastAsia="黑体"/>
              <w:highlight w:val="none"/>
            </w:rPr>
            <w:t>般公共预算财政拨款基本支出决算情况说明</w:t>
          </w:r>
          <w:r>
            <w:tab/>
          </w:r>
          <w:r>
            <w:fldChar w:fldCharType="begin"/>
          </w:r>
          <w:r>
            <w:instrText xml:space="preserve"> PAGEREF _Toc23558 \h </w:instrText>
          </w:r>
          <w:r>
            <w:fldChar w:fldCharType="separate"/>
          </w:r>
          <w:r>
            <w:t>7</w:t>
          </w:r>
          <w:r>
            <w:fldChar w:fldCharType="end"/>
          </w:r>
          <w:r>
            <w:fldChar w:fldCharType="end"/>
          </w:r>
        </w:p>
        <w:p>
          <w:pPr>
            <w:pStyle w:val="15"/>
            <w:tabs>
              <w:tab w:val="right" w:leader="dot" w:pos="8306"/>
              <w:tab w:val="clear" w:pos="8296"/>
            </w:tabs>
          </w:pPr>
          <w:r>
            <w:fldChar w:fldCharType="begin"/>
          </w:r>
          <w:r>
            <w:instrText xml:space="preserve"> HYPERLINK \l _Toc13880 </w:instrText>
          </w:r>
          <w:r>
            <w:fldChar w:fldCharType="separate"/>
          </w:r>
          <w:r>
            <w:rPr>
              <w:rFonts w:hint="eastAsia" w:ascii="Times New Roman" w:hAnsi="Times New Roman" w:eastAsia="黑体"/>
              <w:szCs w:val="32"/>
              <w:highlight w:val="none"/>
            </w:rPr>
            <w:t>七、</w:t>
          </w:r>
          <w:r>
            <w:rPr>
              <w:rFonts w:hint="eastAsia" w:ascii="Times New Roman" w:hAnsi="Times New Roman" w:eastAsia="黑体"/>
              <w:highlight w:val="none"/>
            </w:rPr>
            <w:t>财政拨款“三公”经费支出决算情况说明</w:t>
          </w:r>
          <w:r>
            <w:tab/>
          </w:r>
          <w:r>
            <w:fldChar w:fldCharType="begin"/>
          </w:r>
          <w:r>
            <w:instrText xml:space="preserve"> PAGEREF _Toc13880 \h </w:instrText>
          </w:r>
          <w:r>
            <w:fldChar w:fldCharType="separate"/>
          </w:r>
          <w:r>
            <w:t>7</w:t>
          </w:r>
          <w:r>
            <w:fldChar w:fldCharType="end"/>
          </w:r>
          <w:r>
            <w:fldChar w:fldCharType="end"/>
          </w:r>
        </w:p>
        <w:p>
          <w:pPr>
            <w:pStyle w:val="15"/>
            <w:tabs>
              <w:tab w:val="right" w:leader="dot" w:pos="8306"/>
              <w:tab w:val="clear" w:pos="8296"/>
            </w:tabs>
          </w:pPr>
          <w:r>
            <w:fldChar w:fldCharType="begin"/>
          </w:r>
          <w:r>
            <w:instrText xml:space="preserve"> HYPERLINK \l _Toc18370 </w:instrText>
          </w:r>
          <w:r>
            <w:fldChar w:fldCharType="separate"/>
          </w:r>
          <w:r>
            <w:rPr>
              <w:rFonts w:hint="eastAsia" w:ascii="Times New Roman" w:hAnsi="Times New Roman" w:eastAsia="黑体"/>
              <w:szCs w:val="32"/>
              <w:highlight w:val="none"/>
            </w:rPr>
            <w:t>八、</w:t>
          </w:r>
          <w:r>
            <w:rPr>
              <w:rFonts w:hint="eastAsia" w:ascii="Times New Roman" w:hAnsi="Times New Roman" w:eastAsia="黑体"/>
              <w:highlight w:val="none"/>
            </w:rPr>
            <w:t>政府性基金预算支出决算情况说明</w:t>
          </w:r>
          <w:r>
            <w:tab/>
          </w:r>
          <w:r>
            <w:fldChar w:fldCharType="begin"/>
          </w:r>
          <w:r>
            <w:instrText xml:space="preserve"> PAGEREF _Toc18370 \h </w:instrText>
          </w:r>
          <w:r>
            <w:fldChar w:fldCharType="separate"/>
          </w:r>
          <w:r>
            <w:t>9</w:t>
          </w:r>
          <w:r>
            <w:fldChar w:fldCharType="end"/>
          </w:r>
          <w:r>
            <w:fldChar w:fldCharType="end"/>
          </w:r>
        </w:p>
        <w:p>
          <w:pPr>
            <w:pStyle w:val="15"/>
            <w:tabs>
              <w:tab w:val="right" w:leader="dot" w:pos="8306"/>
              <w:tab w:val="clear" w:pos="8296"/>
            </w:tabs>
          </w:pPr>
          <w:r>
            <w:fldChar w:fldCharType="begin"/>
          </w:r>
          <w:r>
            <w:instrText xml:space="preserve"> HYPERLINK \l _Toc29688 </w:instrText>
          </w:r>
          <w:r>
            <w:fldChar w:fldCharType="separate"/>
          </w:r>
          <w:r>
            <w:rPr>
              <w:rFonts w:hint="eastAsia" w:ascii="Times New Roman" w:hAnsi="Times New Roman" w:eastAsia="黑体"/>
              <w:highlight w:val="none"/>
              <w:lang w:eastAsia="zh-CN"/>
            </w:rPr>
            <w:t>九、</w:t>
          </w:r>
          <w:r>
            <w:rPr>
              <w:rFonts w:hint="eastAsia" w:ascii="Times New Roman" w:hAnsi="Times New Roman" w:eastAsia="黑体"/>
              <w:highlight w:val="none"/>
            </w:rPr>
            <w:t>国有资本经营预算支出决算情况说明</w:t>
          </w:r>
          <w:r>
            <w:tab/>
          </w:r>
          <w:r>
            <w:fldChar w:fldCharType="begin"/>
          </w:r>
          <w:r>
            <w:instrText xml:space="preserve"> PAGEREF _Toc29688 \h </w:instrText>
          </w:r>
          <w:r>
            <w:fldChar w:fldCharType="separate"/>
          </w:r>
          <w:r>
            <w:t>9</w:t>
          </w:r>
          <w:r>
            <w:fldChar w:fldCharType="end"/>
          </w:r>
          <w:r>
            <w:fldChar w:fldCharType="end"/>
          </w:r>
        </w:p>
        <w:p>
          <w:pPr>
            <w:pStyle w:val="15"/>
            <w:tabs>
              <w:tab w:val="right" w:leader="dot" w:pos="8306"/>
              <w:tab w:val="clear" w:pos="8296"/>
            </w:tabs>
            <w:spacing w:afterAutospacing="0"/>
          </w:pPr>
          <w:r>
            <w:fldChar w:fldCharType="begin"/>
          </w:r>
          <w:r>
            <w:instrText xml:space="preserve"> HYPERLINK \l _Toc18760 </w:instrText>
          </w:r>
          <w:r>
            <w:fldChar w:fldCharType="separate"/>
          </w:r>
          <w:r>
            <w:rPr>
              <w:rFonts w:hint="eastAsia" w:ascii="Times New Roman" w:hAnsi="Times New Roman" w:eastAsia="黑体"/>
              <w:highlight w:val="none"/>
              <w:lang w:eastAsia="zh-CN"/>
            </w:rPr>
            <w:t>十、</w:t>
          </w:r>
          <w:r>
            <w:rPr>
              <w:rFonts w:hint="eastAsia" w:ascii="Times New Roman" w:hAnsi="Times New Roman" w:eastAsia="黑体"/>
              <w:highlight w:val="none"/>
            </w:rPr>
            <w:t>其他重要事项的情况说明</w:t>
          </w:r>
          <w:r>
            <w:tab/>
          </w:r>
          <w:r>
            <w:fldChar w:fldCharType="begin"/>
          </w:r>
          <w:r>
            <w:instrText xml:space="preserve"> PAGEREF _Toc18760 \h </w:instrText>
          </w:r>
          <w:r>
            <w:fldChar w:fldCharType="separate"/>
          </w:r>
          <w:r>
            <w:t>9</w:t>
          </w:r>
          <w:r>
            <w:fldChar w:fldCharType="end"/>
          </w:r>
          <w:r>
            <w:fldChar w:fldCharType="end"/>
          </w:r>
        </w:p>
        <w:p>
          <w:pPr>
            <w:pStyle w:val="12"/>
            <w:tabs>
              <w:tab w:val="right" w:leader="dot" w:pos="8306"/>
              <w:tab w:val="clear" w:pos="8296"/>
            </w:tabs>
            <w:spacing w:before="0" w:beforeAutospacing="0" w:afterAutospacing="0"/>
          </w:pPr>
          <w:r>
            <w:fldChar w:fldCharType="begin"/>
          </w:r>
          <w:r>
            <w:instrText xml:space="preserve"> HYPERLINK \l _Toc1582 </w:instrText>
          </w:r>
          <w:r>
            <w:fldChar w:fldCharType="separate"/>
          </w:r>
          <w:r>
            <w:rPr>
              <w:rFonts w:hint="eastAsia" w:ascii="Times New Roman" w:hAnsi="Times New Roman" w:eastAsia="黑体"/>
              <w:szCs w:val="44"/>
              <w:highlight w:val="none"/>
            </w:rPr>
            <w:t>第</w:t>
          </w:r>
          <w:r>
            <w:rPr>
              <w:rFonts w:hint="eastAsia" w:eastAsia="黑体"/>
              <w:szCs w:val="44"/>
              <w:highlight w:val="none"/>
              <w:lang w:eastAsia="zh-CN"/>
            </w:rPr>
            <w:t>三</w:t>
          </w:r>
          <w:r>
            <w:rPr>
              <w:rFonts w:hint="eastAsia" w:ascii="Times New Roman" w:hAnsi="Times New Roman" w:eastAsia="黑体"/>
              <w:szCs w:val="44"/>
              <w:highlight w:val="none"/>
            </w:rPr>
            <w:t>部分</w:t>
          </w:r>
          <w:r>
            <w:rPr>
              <w:rFonts w:hint="eastAsia" w:ascii="Times New Roman" w:hAnsi="Times New Roman" w:eastAsia="黑体"/>
              <w:szCs w:val="44"/>
              <w:highlight w:val="none"/>
              <w:lang w:val="en-US" w:eastAsia="zh-CN"/>
            </w:rPr>
            <w:t xml:space="preserve"> </w:t>
          </w:r>
          <w:r>
            <w:rPr>
              <w:rFonts w:hint="eastAsia" w:eastAsia="黑体"/>
              <w:szCs w:val="44"/>
              <w:highlight w:val="none"/>
              <w:lang w:val="en-US" w:eastAsia="zh-CN"/>
            </w:rPr>
            <w:t xml:space="preserve"> </w:t>
          </w:r>
          <w:r>
            <w:rPr>
              <w:rFonts w:hint="eastAsia" w:ascii="Times New Roman" w:hAnsi="Times New Roman" w:eastAsia="黑体"/>
              <w:szCs w:val="44"/>
              <w:highlight w:val="none"/>
            </w:rPr>
            <w:t>名词解释</w:t>
          </w:r>
          <w:r>
            <w:tab/>
          </w:r>
          <w:r>
            <w:rPr>
              <w:rFonts w:ascii="Times New Roman" w:hAnsi="Times New Roman" w:eastAsia="宋体" w:cs="Times New Roman"/>
              <w:b w:val="0"/>
              <w:bCs w:val="0"/>
              <w:kern w:val="2"/>
              <w:sz w:val="28"/>
              <w:szCs w:val="36"/>
              <w:lang w:val="en-US" w:eastAsia="zh-CN" w:bidi="ar-SA"/>
            </w:rPr>
            <w:fldChar w:fldCharType="begin"/>
          </w:r>
          <w:r>
            <w:rPr>
              <w:rFonts w:ascii="Times New Roman" w:hAnsi="Times New Roman" w:eastAsia="宋体" w:cs="Times New Roman"/>
              <w:b w:val="0"/>
              <w:bCs w:val="0"/>
              <w:kern w:val="2"/>
              <w:sz w:val="28"/>
              <w:szCs w:val="36"/>
              <w:lang w:val="en-US" w:eastAsia="zh-CN" w:bidi="ar-SA"/>
            </w:rPr>
            <w:instrText xml:space="preserve"> PAGEREF _Toc1582 \h </w:instrText>
          </w:r>
          <w:r>
            <w:rPr>
              <w:rFonts w:ascii="Times New Roman" w:hAnsi="Times New Roman" w:eastAsia="宋体" w:cs="Times New Roman"/>
              <w:b w:val="0"/>
              <w:bCs w:val="0"/>
              <w:kern w:val="2"/>
              <w:sz w:val="28"/>
              <w:szCs w:val="36"/>
              <w:lang w:val="en-US" w:eastAsia="zh-CN" w:bidi="ar-SA"/>
            </w:rPr>
            <w:fldChar w:fldCharType="separate"/>
          </w:r>
          <w:r>
            <w:rPr>
              <w:rFonts w:ascii="Times New Roman" w:hAnsi="Times New Roman" w:eastAsia="宋体" w:cs="Times New Roman"/>
              <w:b w:val="0"/>
              <w:bCs w:val="0"/>
              <w:kern w:val="2"/>
              <w:sz w:val="28"/>
              <w:szCs w:val="36"/>
              <w:lang w:val="en-US" w:eastAsia="zh-CN" w:bidi="ar-SA"/>
            </w:rPr>
            <w:t>11</w:t>
          </w:r>
          <w:r>
            <w:rPr>
              <w:rFonts w:ascii="Times New Roman" w:hAnsi="Times New Roman" w:eastAsia="宋体" w:cs="Times New Roman"/>
              <w:b w:val="0"/>
              <w:bCs w:val="0"/>
              <w:kern w:val="2"/>
              <w:sz w:val="28"/>
              <w:szCs w:val="36"/>
              <w:lang w:val="en-US" w:eastAsia="zh-CN" w:bidi="ar-SA"/>
            </w:rPr>
            <w:fldChar w:fldCharType="end"/>
          </w:r>
          <w:r>
            <w:fldChar w:fldCharType="end"/>
          </w:r>
        </w:p>
        <w:p>
          <w:pPr>
            <w:pStyle w:val="12"/>
            <w:tabs>
              <w:tab w:val="right" w:leader="dot" w:pos="8306"/>
              <w:tab w:val="clear" w:pos="8296"/>
            </w:tabs>
            <w:spacing w:before="0" w:beforeAutospacing="0" w:afterAutospacing="0"/>
          </w:pPr>
          <w:r>
            <w:fldChar w:fldCharType="begin"/>
          </w:r>
          <w:r>
            <w:instrText xml:space="preserve"> HYPERLINK \l _Toc30951 </w:instrText>
          </w:r>
          <w:r>
            <w:fldChar w:fldCharType="separate"/>
          </w:r>
          <w:r>
            <w:rPr>
              <w:rFonts w:hint="eastAsia" w:ascii="黑体" w:hAnsi="黑体" w:eastAsia="黑体" w:cs="黑体"/>
              <w:szCs w:val="44"/>
              <w:lang w:val="en-US" w:eastAsia="zh-CN"/>
            </w:rPr>
            <w:t xml:space="preserve">第四部分 </w:t>
          </w:r>
          <w:r>
            <w:rPr>
              <w:rFonts w:hint="eastAsia" w:ascii="黑体" w:hAnsi="黑体" w:eastAsia="黑体"/>
            </w:rPr>
            <w:t>附件</w:t>
          </w:r>
          <w:r>
            <w:tab/>
          </w:r>
          <w:r>
            <w:rPr>
              <w:rFonts w:ascii="Times New Roman" w:hAnsi="Times New Roman" w:eastAsia="宋体" w:cs="Times New Roman"/>
              <w:b w:val="0"/>
              <w:bCs w:val="0"/>
              <w:kern w:val="2"/>
              <w:sz w:val="28"/>
              <w:szCs w:val="36"/>
              <w:lang w:val="en-US" w:eastAsia="zh-CN" w:bidi="ar-SA"/>
            </w:rPr>
            <w:fldChar w:fldCharType="begin"/>
          </w:r>
          <w:r>
            <w:rPr>
              <w:rFonts w:ascii="Times New Roman" w:hAnsi="Times New Roman" w:eastAsia="宋体" w:cs="Times New Roman"/>
              <w:b w:val="0"/>
              <w:bCs w:val="0"/>
              <w:kern w:val="2"/>
              <w:sz w:val="28"/>
              <w:szCs w:val="36"/>
              <w:lang w:val="en-US" w:eastAsia="zh-CN" w:bidi="ar-SA"/>
            </w:rPr>
            <w:instrText xml:space="preserve"> PAGEREF _Toc30951 \h </w:instrText>
          </w:r>
          <w:r>
            <w:rPr>
              <w:rFonts w:ascii="Times New Roman" w:hAnsi="Times New Roman" w:eastAsia="宋体" w:cs="Times New Roman"/>
              <w:b w:val="0"/>
              <w:bCs w:val="0"/>
              <w:kern w:val="2"/>
              <w:sz w:val="28"/>
              <w:szCs w:val="36"/>
              <w:lang w:val="en-US" w:eastAsia="zh-CN" w:bidi="ar-SA"/>
            </w:rPr>
            <w:fldChar w:fldCharType="separate"/>
          </w:r>
          <w:r>
            <w:rPr>
              <w:rFonts w:ascii="Times New Roman" w:hAnsi="Times New Roman" w:eastAsia="宋体" w:cs="Times New Roman"/>
              <w:b w:val="0"/>
              <w:bCs w:val="0"/>
              <w:kern w:val="2"/>
              <w:sz w:val="28"/>
              <w:szCs w:val="36"/>
              <w:lang w:val="en-US" w:eastAsia="zh-CN" w:bidi="ar-SA"/>
            </w:rPr>
            <w:t>14</w:t>
          </w:r>
          <w:r>
            <w:rPr>
              <w:rFonts w:ascii="Times New Roman" w:hAnsi="Times New Roman" w:eastAsia="宋体" w:cs="Times New Roman"/>
              <w:b w:val="0"/>
              <w:bCs w:val="0"/>
              <w:kern w:val="2"/>
              <w:sz w:val="28"/>
              <w:szCs w:val="36"/>
              <w:lang w:val="en-US" w:eastAsia="zh-CN" w:bidi="ar-SA"/>
            </w:rPr>
            <w:fldChar w:fldCharType="end"/>
          </w:r>
          <w:r>
            <w:fldChar w:fldCharType="end"/>
          </w:r>
        </w:p>
        <w:p>
          <w:pPr>
            <w:pStyle w:val="12"/>
            <w:tabs>
              <w:tab w:val="right" w:leader="dot" w:pos="8306"/>
              <w:tab w:val="clear" w:pos="8296"/>
            </w:tabs>
            <w:spacing w:before="0" w:beforeAutospacing="0"/>
          </w:pPr>
          <w:r>
            <w:fldChar w:fldCharType="begin"/>
          </w:r>
          <w:r>
            <w:instrText xml:space="preserve"> HYPERLINK \l _Toc17582 </w:instrText>
          </w:r>
          <w:r>
            <w:fldChar w:fldCharType="separate"/>
          </w:r>
          <w:r>
            <w:rPr>
              <w:rFonts w:hint="eastAsia" w:eastAsia="黑体"/>
              <w:bCs/>
              <w:highlight w:val="none"/>
              <w:lang w:eastAsia="zh-CN"/>
            </w:rPr>
            <w:t>第五部分</w:t>
          </w:r>
          <w:r>
            <w:rPr>
              <w:rFonts w:hint="eastAsia" w:eastAsia="黑体"/>
              <w:bCs/>
              <w:highlight w:val="none"/>
              <w:lang w:val="en-US" w:eastAsia="zh-CN"/>
            </w:rPr>
            <w:t xml:space="preserve">  附表</w:t>
          </w:r>
          <w:r>
            <w:tab/>
          </w:r>
          <w:r>
            <w:rPr>
              <w:rFonts w:ascii="Times New Roman" w:hAnsi="Times New Roman" w:eastAsia="宋体" w:cs="Times New Roman"/>
              <w:b w:val="0"/>
              <w:bCs w:val="0"/>
              <w:kern w:val="2"/>
              <w:sz w:val="28"/>
              <w:szCs w:val="36"/>
              <w:lang w:val="en-US" w:eastAsia="zh-CN" w:bidi="ar-SA"/>
            </w:rPr>
            <w:fldChar w:fldCharType="begin"/>
          </w:r>
          <w:r>
            <w:rPr>
              <w:rFonts w:ascii="Times New Roman" w:hAnsi="Times New Roman" w:eastAsia="宋体" w:cs="Times New Roman"/>
              <w:b w:val="0"/>
              <w:bCs w:val="0"/>
              <w:kern w:val="2"/>
              <w:sz w:val="28"/>
              <w:szCs w:val="36"/>
              <w:lang w:val="en-US" w:eastAsia="zh-CN" w:bidi="ar-SA"/>
            </w:rPr>
            <w:instrText xml:space="preserve"> PAGEREF _Toc17582 \h </w:instrText>
          </w:r>
          <w:r>
            <w:rPr>
              <w:rFonts w:ascii="Times New Roman" w:hAnsi="Times New Roman" w:eastAsia="宋体" w:cs="Times New Roman"/>
              <w:b w:val="0"/>
              <w:bCs w:val="0"/>
              <w:kern w:val="2"/>
              <w:sz w:val="28"/>
              <w:szCs w:val="36"/>
              <w:lang w:val="en-US" w:eastAsia="zh-CN" w:bidi="ar-SA"/>
            </w:rPr>
            <w:fldChar w:fldCharType="separate"/>
          </w:r>
          <w:r>
            <w:rPr>
              <w:rFonts w:ascii="Times New Roman" w:hAnsi="Times New Roman" w:eastAsia="宋体" w:cs="Times New Roman"/>
              <w:b w:val="0"/>
              <w:bCs w:val="0"/>
              <w:kern w:val="2"/>
              <w:sz w:val="28"/>
              <w:szCs w:val="36"/>
              <w:lang w:val="en-US" w:eastAsia="zh-CN" w:bidi="ar-SA"/>
            </w:rPr>
            <w:t>18</w:t>
          </w:r>
          <w:r>
            <w:rPr>
              <w:rFonts w:ascii="Times New Roman" w:hAnsi="Times New Roman" w:eastAsia="宋体" w:cs="Times New Roman"/>
              <w:b w:val="0"/>
              <w:bCs w:val="0"/>
              <w:kern w:val="2"/>
              <w:sz w:val="28"/>
              <w:szCs w:val="36"/>
              <w:lang w:val="en-US" w:eastAsia="zh-CN" w:bidi="ar-SA"/>
            </w:rPr>
            <w:fldChar w:fldCharType="end"/>
          </w:r>
          <w:r>
            <w:fldChar w:fldCharType="end"/>
          </w:r>
        </w:p>
        <w:p>
          <w:pPr>
            <w:pStyle w:val="15"/>
            <w:tabs>
              <w:tab w:val="right" w:leader="dot" w:pos="8306"/>
              <w:tab w:val="clear" w:pos="8296"/>
            </w:tabs>
          </w:pPr>
          <w:r>
            <w:fldChar w:fldCharType="begin"/>
          </w:r>
          <w:r>
            <w:instrText xml:space="preserve"> HYPERLINK \l _Toc21750 </w:instrText>
          </w:r>
          <w:r>
            <w:fldChar w:fldCharType="separate"/>
          </w:r>
          <w:r>
            <w:rPr>
              <w:rFonts w:hint="eastAsia" w:ascii="仿宋" w:hAnsi="仿宋" w:eastAsia="仿宋"/>
            </w:rPr>
            <w:t>一、收</w:t>
          </w:r>
          <w:r>
            <w:rPr>
              <w:rFonts w:hint="eastAsia" w:ascii="仿宋" w:hAnsi="仿宋" w:eastAsia="仿宋"/>
              <w:bCs w:val="0"/>
            </w:rPr>
            <w:t>入支出决算总表</w:t>
          </w:r>
          <w:r>
            <w:tab/>
          </w:r>
          <w:r>
            <w:fldChar w:fldCharType="begin"/>
          </w:r>
          <w:r>
            <w:instrText xml:space="preserve"> PAGEREF _Toc21750 \h </w:instrText>
          </w:r>
          <w:r>
            <w:fldChar w:fldCharType="separate"/>
          </w:r>
          <w:r>
            <w:t>18</w:t>
          </w:r>
          <w:r>
            <w:fldChar w:fldCharType="end"/>
          </w:r>
          <w:r>
            <w:fldChar w:fldCharType="end"/>
          </w:r>
        </w:p>
        <w:p>
          <w:pPr>
            <w:pStyle w:val="15"/>
            <w:tabs>
              <w:tab w:val="right" w:leader="dot" w:pos="8306"/>
              <w:tab w:val="clear" w:pos="8296"/>
            </w:tabs>
          </w:pPr>
          <w:r>
            <w:fldChar w:fldCharType="begin"/>
          </w:r>
          <w:r>
            <w:instrText xml:space="preserve"> HYPERLINK \l _Toc27385 </w:instrText>
          </w:r>
          <w:r>
            <w:fldChar w:fldCharType="separate"/>
          </w:r>
          <w:r>
            <w:rPr>
              <w:rFonts w:hint="eastAsia" w:ascii="仿宋" w:hAnsi="仿宋" w:eastAsia="仿宋"/>
            </w:rPr>
            <w:t>二、收</w:t>
          </w:r>
          <w:r>
            <w:rPr>
              <w:rFonts w:hint="eastAsia" w:ascii="仿宋" w:hAnsi="仿宋" w:eastAsia="仿宋"/>
              <w:bCs w:val="0"/>
            </w:rPr>
            <w:t>入决算表</w:t>
          </w:r>
          <w:r>
            <w:tab/>
          </w:r>
          <w:r>
            <w:fldChar w:fldCharType="begin"/>
          </w:r>
          <w:r>
            <w:instrText xml:space="preserve"> PAGEREF _Toc27385 \h </w:instrText>
          </w:r>
          <w:r>
            <w:fldChar w:fldCharType="separate"/>
          </w:r>
          <w:r>
            <w:t>18</w:t>
          </w:r>
          <w:r>
            <w:fldChar w:fldCharType="end"/>
          </w:r>
          <w:r>
            <w:fldChar w:fldCharType="end"/>
          </w:r>
        </w:p>
        <w:p>
          <w:pPr>
            <w:pStyle w:val="15"/>
            <w:tabs>
              <w:tab w:val="right" w:leader="dot" w:pos="8306"/>
              <w:tab w:val="clear" w:pos="8296"/>
            </w:tabs>
          </w:pPr>
          <w:r>
            <w:fldChar w:fldCharType="begin"/>
          </w:r>
          <w:r>
            <w:instrText xml:space="preserve"> HYPERLINK \l _Toc12113 </w:instrText>
          </w:r>
          <w:r>
            <w:fldChar w:fldCharType="separate"/>
          </w:r>
          <w:r>
            <w:rPr>
              <w:rFonts w:hint="eastAsia" w:ascii="仿宋" w:hAnsi="仿宋" w:eastAsia="仿宋"/>
              <w:bCs w:val="0"/>
            </w:rPr>
            <w:t>三、</w:t>
          </w:r>
          <w:r>
            <w:rPr>
              <w:rFonts w:hint="eastAsia" w:ascii="仿宋" w:hAnsi="仿宋" w:eastAsia="仿宋"/>
            </w:rPr>
            <w:t>支</w:t>
          </w:r>
          <w:r>
            <w:rPr>
              <w:rFonts w:hint="eastAsia" w:ascii="仿宋" w:hAnsi="仿宋" w:eastAsia="仿宋"/>
              <w:bCs w:val="0"/>
            </w:rPr>
            <w:t>出决算表</w:t>
          </w:r>
          <w:r>
            <w:tab/>
          </w:r>
          <w:r>
            <w:fldChar w:fldCharType="begin"/>
          </w:r>
          <w:r>
            <w:instrText xml:space="preserve"> PAGEREF _Toc12113 \h </w:instrText>
          </w:r>
          <w:r>
            <w:fldChar w:fldCharType="separate"/>
          </w:r>
          <w:r>
            <w:t>18</w:t>
          </w:r>
          <w:r>
            <w:fldChar w:fldCharType="end"/>
          </w:r>
          <w:r>
            <w:fldChar w:fldCharType="end"/>
          </w:r>
        </w:p>
        <w:p>
          <w:pPr>
            <w:pStyle w:val="15"/>
            <w:tabs>
              <w:tab w:val="right" w:leader="dot" w:pos="8306"/>
              <w:tab w:val="clear" w:pos="8296"/>
            </w:tabs>
          </w:pPr>
          <w:r>
            <w:fldChar w:fldCharType="begin"/>
          </w:r>
          <w:r>
            <w:instrText xml:space="preserve"> HYPERLINK \l _Toc32338 </w:instrText>
          </w:r>
          <w:r>
            <w:fldChar w:fldCharType="separate"/>
          </w:r>
          <w:r>
            <w:rPr>
              <w:rFonts w:hint="eastAsia" w:ascii="仿宋" w:hAnsi="仿宋" w:eastAsia="仿宋"/>
              <w:bCs w:val="0"/>
            </w:rPr>
            <w:t>四、</w:t>
          </w:r>
          <w:r>
            <w:rPr>
              <w:rFonts w:hint="eastAsia" w:ascii="仿宋" w:hAnsi="仿宋" w:eastAsia="仿宋"/>
            </w:rPr>
            <w:t>财</w:t>
          </w:r>
          <w:r>
            <w:rPr>
              <w:rFonts w:hint="eastAsia" w:ascii="仿宋" w:hAnsi="仿宋" w:eastAsia="仿宋"/>
              <w:bCs w:val="0"/>
            </w:rPr>
            <w:t>政拨款收入支出决算总表</w:t>
          </w:r>
          <w:r>
            <w:tab/>
          </w:r>
          <w:r>
            <w:fldChar w:fldCharType="begin"/>
          </w:r>
          <w:r>
            <w:instrText xml:space="preserve"> PAGEREF _Toc32338 \h </w:instrText>
          </w:r>
          <w:r>
            <w:fldChar w:fldCharType="separate"/>
          </w:r>
          <w:r>
            <w:t>18</w:t>
          </w:r>
          <w:r>
            <w:fldChar w:fldCharType="end"/>
          </w:r>
          <w:r>
            <w:fldChar w:fldCharType="end"/>
          </w:r>
        </w:p>
        <w:p>
          <w:pPr>
            <w:pStyle w:val="15"/>
            <w:tabs>
              <w:tab w:val="right" w:leader="dot" w:pos="8306"/>
              <w:tab w:val="clear" w:pos="8296"/>
            </w:tabs>
          </w:pPr>
          <w:r>
            <w:fldChar w:fldCharType="begin"/>
          </w:r>
          <w:r>
            <w:instrText xml:space="preserve"> HYPERLINK \l _Toc28578 </w:instrText>
          </w:r>
          <w:r>
            <w:fldChar w:fldCharType="separate"/>
          </w:r>
          <w:r>
            <w:rPr>
              <w:rFonts w:hint="eastAsia" w:ascii="仿宋" w:hAnsi="仿宋" w:eastAsia="仿宋"/>
              <w:bCs w:val="0"/>
            </w:rPr>
            <w:t>五、</w:t>
          </w:r>
          <w:r>
            <w:rPr>
              <w:rFonts w:hint="eastAsia" w:ascii="仿宋" w:hAnsi="仿宋" w:eastAsia="仿宋"/>
            </w:rPr>
            <w:t>财</w:t>
          </w:r>
          <w:r>
            <w:rPr>
              <w:rFonts w:hint="eastAsia" w:ascii="仿宋" w:hAnsi="仿宋" w:eastAsia="仿宋"/>
              <w:bCs w:val="0"/>
            </w:rPr>
            <w:t>政拨款支出决算明细表</w:t>
          </w:r>
          <w:r>
            <w:tab/>
          </w:r>
          <w:r>
            <w:fldChar w:fldCharType="begin"/>
          </w:r>
          <w:r>
            <w:instrText xml:space="preserve"> PAGEREF _Toc28578 \h </w:instrText>
          </w:r>
          <w:r>
            <w:fldChar w:fldCharType="separate"/>
          </w:r>
          <w:r>
            <w:t>18</w:t>
          </w:r>
          <w:r>
            <w:fldChar w:fldCharType="end"/>
          </w:r>
          <w:r>
            <w:fldChar w:fldCharType="end"/>
          </w:r>
        </w:p>
        <w:p>
          <w:pPr>
            <w:pStyle w:val="15"/>
            <w:tabs>
              <w:tab w:val="right" w:leader="dot" w:pos="8306"/>
              <w:tab w:val="clear" w:pos="8296"/>
            </w:tabs>
          </w:pPr>
          <w:r>
            <w:fldChar w:fldCharType="begin"/>
          </w:r>
          <w:r>
            <w:instrText xml:space="preserve"> HYPERLINK \l _Toc10602 </w:instrText>
          </w:r>
          <w:r>
            <w:fldChar w:fldCharType="separate"/>
          </w:r>
          <w:r>
            <w:rPr>
              <w:rFonts w:hint="eastAsia" w:ascii="仿宋" w:hAnsi="仿宋" w:eastAsia="仿宋"/>
              <w:bCs w:val="0"/>
            </w:rPr>
            <w:t>六、</w:t>
          </w:r>
          <w:r>
            <w:rPr>
              <w:rFonts w:hint="eastAsia" w:ascii="仿宋" w:hAnsi="仿宋" w:eastAsia="仿宋"/>
            </w:rPr>
            <w:t>一</w:t>
          </w:r>
          <w:r>
            <w:rPr>
              <w:rFonts w:hint="eastAsia" w:ascii="仿宋" w:hAnsi="仿宋" w:eastAsia="仿宋"/>
              <w:bCs w:val="0"/>
            </w:rPr>
            <w:t>般公共预算财政拨款支出决算表</w:t>
          </w:r>
          <w:r>
            <w:tab/>
          </w:r>
          <w:r>
            <w:fldChar w:fldCharType="begin"/>
          </w:r>
          <w:r>
            <w:instrText xml:space="preserve"> PAGEREF _Toc10602 \h </w:instrText>
          </w:r>
          <w:r>
            <w:fldChar w:fldCharType="separate"/>
          </w:r>
          <w:r>
            <w:t>18</w:t>
          </w:r>
          <w:r>
            <w:fldChar w:fldCharType="end"/>
          </w:r>
          <w:r>
            <w:fldChar w:fldCharType="end"/>
          </w:r>
        </w:p>
        <w:p>
          <w:pPr>
            <w:pStyle w:val="15"/>
            <w:tabs>
              <w:tab w:val="right" w:leader="dot" w:pos="8306"/>
              <w:tab w:val="clear" w:pos="8296"/>
            </w:tabs>
          </w:pPr>
          <w:r>
            <w:fldChar w:fldCharType="begin"/>
          </w:r>
          <w:r>
            <w:instrText xml:space="preserve"> HYPERLINK \l _Toc6360 </w:instrText>
          </w:r>
          <w:r>
            <w:fldChar w:fldCharType="separate"/>
          </w:r>
          <w:r>
            <w:rPr>
              <w:rFonts w:hint="eastAsia" w:ascii="仿宋" w:hAnsi="仿宋" w:eastAsia="仿宋"/>
              <w:bCs w:val="0"/>
            </w:rPr>
            <w:t>七、</w:t>
          </w:r>
          <w:r>
            <w:rPr>
              <w:rFonts w:hint="eastAsia" w:ascii="仿宋" w:hAnsi="仿宋" w:eastAsia="仿宋"/>
            </w:rPr>
            <w:t>一</w:t>
          </w:r>
          <w:r>
            <w:rPr>
              <w:rFonts w:hint="eastAsia" w:ascii="仿宋" w:hAnsi="仿宋" w:eastAsia="仿宋"/>
              <w:bCs w:val="0"/>
            </w:rPr>
            <w:t>般公共预算财政拨款支出决算明细表</w:t>
          </w:r>
          <w:r>
            <w:tab/>
          </w:r>
          <w:r>
            <w:fldChar w:fldCharType="begin"/>
          </w:r>
          <w:r>
            <w:instrText xml:space="preserve"> PAGEREF _Toc6360 \h </w:instrText>
          </w:r>
          <w:r>
            <w:fldChar w:fldCharType="separate"/>
          </w:r>
          <w:r>
            <w:t>18</w:t>
          </w:r>
          <w:r>
            <w:fldChar w:fldCharType="end"/>
          </w:r>
          <w:r>
            <w:fldChar w:fldCharType="end"/>
          </w:r>
        </w:p>
        <w:p>
          <w:pPr>
            <w:pStyle w:val="15"/>
            <w:tabs>
              <w:tab w:val="right" w:leader="dot" w:pos="8306"/>
              <w:tab w:val="clear" w:pos="8296"/>
            </w:tabs>
          </w:pPr>
          <w:r>
            <w:fldChar w:fldCharType="begin"/>
          </w:r>
          <w:r>
            <w:instrText xml:space="preserve"> HYPERLINK \l _Toc25197 </w:instrText>
          </w:r>
          <w:r>
            <w:fldChar w:fldCharType="separate"/>
          </w:r>
          <w:r>
            <w:rPr>
              <w:rFonts w:hint="eastAsia" w:ascii="仿宋" w:hAnsi="仿宋" w:eastAsia="仿宋"/>
              <w:bCs w:val="0"/>
            </w:rPr>
            <w:t>八、</w:t>
          </w:r>
          <w:r>
            <w:rPr>
              <w:rFonts w:hint="eastAsia" w:ascii="仿宋" w:hAnsi="仿宋" w:eastAsia="仿宋"/>
            </w:rPr>
            <w:t>一</w:t>
          </w:r>
          <w:r>
            <w:rPr>
              <w:rFonts w:hint="eastAsia" w:ascii="仿宋" w:hAnsi="仿宋" w:eastAsia="仿宋"/>
              <w:bCs w:val="0"/>
            </w:rPr>
            <w:t>般公共预算财政拨款基本支出决算表</w:t>
          </w:r>
          <w:r>
            <w:tab/>
          </w:r>
          <w:r>
            <w:fldChar w:fldCharType="begin"/>
          </w:r>
          <w:r>
            <w:instrText xml:space="preserve"> PAGEREF _Toc25197 \h </w:instrText>
          </w:r>
          <w:r>
            <w:fldChar w:fldCharType="separate"/>
          </w:r>
          <w:r>
            <w:t>18</w:t>
          </w:r>
          <w:r>
            <w:fldChar w:fldCharType="end"/>
          </w:r>
          <w:r>
            <w:fldChar w:fldCharType="end"/>
          </w:r>
        </w:p>
        <w:p>
          <w:pPr>
            <w:pStyle w:val="15"/>
            <w:tabs>
              <w:tab w:val="right" w:leader="dot" w:pos="8306"/>
              <w:tab w:val="clear" w:pos="8296"/>
            </w:tabs>
          </w:pPr>
          <w:r>
            <w:fldChar w:fldCharType="begin"/>
          </w:r>
          <w:r>
            <w:instrText xml:space="preserve"> HYPERLINK \l _Toc13186 </w:instrText>
          </w:r>
          <w:r>
            <w:fldChar w:fldCharType="separate"/>
          </w:r>
          <w:r>
            <w:rPr>
              <w:rFonts w:hint="eastAsia" w:ascii="仿宋" w:hAnsi="仿宋" w:eastAsia="仿宋"/>
              <w:bCs w:val="0"/>
            </w:rPr>
            <w:t>九、</w:t>
          </w:r>
          <w:r>
            <w:rPr>
              <w:rFonts w:hint="eastAsia" w:ascii="仿宋" w:hAnsi="仿宋" w:eastAsia="仿宋"/>
            </w:rPr>
            <w:t>一</w:t>
          </w:r>
          <w:r>
            <w:rPr>
              <w:rFonts w:hint="eastAsia" w:ascii="仿宋" w:hAnsi="仿宋" w:eastAsia="仿宋"/>
              <w:bCs w:val="0"/>
            </w:rPr>
            <w:t>般公共预算财政拨款项目支出决算表</w:t>
          </w:r>
          <w:r>
            <w:tab/>
          </w:r>
          <w:r>
            <w:fldChar w:fldCharType="begin"/>
          </w:r>
          <w:r>
            <w:instrText xml:space="preserve"> PAGEREF _Toc13186 \h </w:instrText>
          </w:r>
          <w:r>
            <w:fldChar w:fldCharType="separate"/>
          </w:r>
          <w:r>
            <w:t>18</w:t>
          </w:r>
          <w:r>
            <w:fldChar w:fldCharType="end"/>
          </w:r>
          <w:r>
            <w:fldChar w:fldCharType="end"/>
          </w:r>
        </w:p>
        <w:p>
          <w:pPr>
            <w:pStyle w:val="15"/>
            <w:tabs>
              <w:tab w:val="right" w:leader="dot" w:pos="8306"/>
              <w:tab w:val="clear" w:pos="8296"/>
            </w:tabs>
          </w:pPr>
          <w:r>
            <w:fldChar w:fldCharType="begin"/>
          </w:r>
          <w:r>
            <w:instrText xml:space="preserve"> HYPERLINK \l _Toc5751 </w:instrText>
          </w:r>
          <w:r>
            <w:fldChar w:fldCharType="separate"/>
          </w:r>
          <w:r>
            <w:rPr>
              <w:rFonts w:hint="eastAsia" w:ascii="仿宋" w:hAnsi="仿宋" w:eastAsia="仿宋"/>
              <w:bCs w:val="0"/>
            </w:rPr>
            <w:t>十、</w:t>
          </w:r>
          <w:r>
            <w:rPr>
              <w:rFonts w:hint="eastAsia" w:ascii="仿宋" w:hAnsi="仿宋" w:eastAsia="仿宋"/>
            </w:rPr>
            <w:t>政</w:t>
          </w:r>
          <w:r>
            <w:rPr>
              <w:rFonts w:hint="eastAsia" w:ascii="仿宋" w:hAnsi="仿宋" w:eastAsia="仿宋"/>
              <w:bCs w:val="0"/>
            </w:rPr>
            <w:t>府性基金预算财政拨款收入支出决算表</w:t>
          </w:r>
          <w:r>
            <w:tab/>
          </w:r>
          <w:r>
            <w:fldChar w:fldCharType="begin"/>
          </w:r>
          <w:r>
            <w:instrText xml:space="preserve"> PAGEREF _Toc5751 \h </w:instrText>
          </w:r>
          <w:r>
            <w:fldChar w:fldCharType="separate"/>
          </w:r>
          <w:r>
            <w:t>18</w:t>
          </w:r>
          <w:r>
            <w:fldChar w:fldCharType="end"/>
          </w:r>
          <w:r>
            <w:fldChar w:fldCharType="end"/>
          </w:r>
        </w:p>
        <w:p>
          <w:pPr>
            <w:pStyle w:val="15"/>
            <w:tabs>
              <w:tab w:val="right" w:leader="dot" w:pos="8306"/>
              <w:tab w:val="clear" w:pos="8296"/>
            </w:tabs>
          </w:pPr>
          <w:r>
            <w:fldChar w:fldCharType="begin"/>
          </w:r>
          <w:r>
            <w:instrText xml:space="preserve"> HYPERLINK \l _Toc3052 </w:instrText>
          </w:r>
          <w:r>
            <w:fldChar w:fldCharType="separate"/>
          </w:r>
          <w:r>
            <w:rPr>
              <w:rFonts w:hint="eastAsia" w:ascii="仿宋" w:hAnsi="仿宋" w:eastAsia="仿宋"/>
              <w:bCs w:val="0"/>
            </w:rPr>
            <w:t>十一、</w:t>
          </w:r>
          <w:r>
            <w:rPr>
              <w:rFonts w:hint="eastAsia" w:ascii="仿宋" w:hAnsi="仿宋" w:eastAsia="仿宋"/>
            </w:rPr>
            <w:t>国</w:t>
          </w:r>
          <w:r>
            <w:rPr>
              <w:rFonts w:hint="eastAsia" w:ascii="仿宋" w:hAnsi="仿宋" w:eastAsia="仿宋"/>
              <w:bCs w:val="0"/>
            </w:rPr>
            <w:t>有资本经营预算财政拨款收入支出决算表</w:t>
          </w:r>
          <w:r>
            <w:tab/>
          </w:r>
          <w:r>
            <w:fldChar w:fldCharType="begin"/>
          </w:r>
          <w:r>
            <w:instrText xml:space="preserve"> PAGEREF _Toc3052 \h </w:instrText>
          </w:r>
          <w:r>
            <w:fldChar w:fldCharType="separate"/>
          </w:r>
          <w:r>
            <w:t>18</w:t>
          </w:r>
          <w:r>
            <w:fldChar w:fldCharType="end"/>
          </w:r>
          <w:r>
            <w:fldChar w:fldCharType="end"/>
          </w:r>
        </w:p>
        <w:p>
          <w:pPr>
            <w:pStyle w:val="15"/>
            <w:tabs>
              <w:tab w:val="right" w:leader="dot" w:pos="8306"/>
              <w:tab w:val="clear" w:pos="8296"/>
            </w:tabs>
          </w:pPr>
          <w:r>
            <w:fldChar w:fldCharType="begin"/>
          </w:r>
          <w:r>
            <w:instrText xml:space="preserve"> HYPERLINK \l _Toc11709 </w:instrText>
          </w:r>
          <w:r>
            <w:fldChar w:fldCharType="separate"/>
          </w:r>
          <w:r>
            <w:rPr>
              <w:rFonts w:hint="eastAsia" w:ascii="仿宋" w:hAnsi="仿宋" w:eastAsia="仿宋"/>
              <w:bCs w:val="0"/>
            </w:rPr>
            <w:t>十二、国有资本经营预算财政拨款支出决算表</w:t>
          </w:r>
          <w:r>
            <w:tab/>
          </w:r>
          <w:r>
            <w:fldChar w:fldCharType="begin"/>
          </w:r>
          <w:r>
            <w:instrText xml:space="preserve"> PAGEREF _Toc11709 \h </w:instrText>
          </w:r>
          <w:r>
            <w:fldChar w:fldCharType="separate"/>
          </w:r>
          <w:r>
            <w:t>18</w:t>
          </w:r>
          <w:r>
            <w:fldChar w:fldCharType="end"/>
          </w:r>
          <w:r>
            <w:fldChar w:fldCharType="end"/>
          </w:r>
        </w:p>
        <w:p>
          <w:pPr>
            <w:pStyle w:val="15"/>
            <w:tabs>
              <w:tab w:val="right" w:leader="dot" w:pos="8306"/>
              <w:tab w:val="clear" w:pos="8296"/>
            </w:tabs>
          </w:pPr>
          <w:r>
            <w:fldChar w:fldCharType="begin"/>
          </w:r>
          <w:r>
            <w:instrText xml:space="preserve"> HYPERLINK \l _Toc27179 </w:instrText>
          </w:r>
          <w:r>
            <w:fldChar w:fldCharType="separate"/>
          </w:r>
          <w:r>
            <w:rPr>
              <w:rFonts w:hint="eastAsia" w:ascii="仿宋" w:hAnsi="仿宋" w:eastAsia="仿宋"/>
              <w:bCs w:val="0"/>
            </w:rPr>
            <w:t>十三、财政拨款“三公”经费支出决算表</w:t>
          </w:r>
          <w:r>
            <w:tab/>
          </w:r>
          <w:r>
            <w:fldChar w:fldCharType="begin"/>
          </w:r>
          <w:r>
            <w:instrText xml:space="preserve"> PAGEREF _Toc27179 \h </w:instrText>
          </w:r>
          <w:r>
            <w:fldChar w:fldCharType="separate"/>
          </w:r>
          <w:r>
            <w:t>18</w:t>
          </w:r>
          <w:r>
            <w:fldChar w:fldCharType="end"/>
          </w:r>
          <w:r>
            <w:fldChar w:fldCharType="end"/>
          </w:r>
        </w:p>
        <w:p>
          <w:pPr>
            <w:rPr>
              <w:rFonts w:hint="eastAsia"/>
            </w:rPr>
          </w:pPr>
          <w:r>
            <w:fldChar w:fldCharType="end"/>
          </w:r>
        </w:p>
      </w:sdtContent>
    </w:sdt>
    <w:p>
      <w:pPr>
        <w:pStyle w:val="3"/>
        <w:jc w:val="center"/>
        <w:rPr>
          <w:rFonts w:hint="eastAsia" w:ascii="Times New Roman" w:hAnsi="Times New Roman" w:eastAsia="方正小标宋简体" w:cs="方正小标宋简体"/>
          <w:b w:val="0"/>
          <w:color w:val="auto"/>
          <w:highlight w:val="none"/>
        </w:rPr>
        <w:sectPr>
          <w:headerReference r:id="rId3" w:type="default"/>
          <w:footerReference r:id="rId4" w:type="default"/>
          <w:pgSz w:w="11906" w:h="16838"/>
          <w:pgMar w:top="1440" w:right="1800" w:bottom="1440" w:left="1800" w:header="851" w:footer="992" w:gutter="0"/>
          <w:pgNumType w:fmt="decimal"/>
          <w:cols w:space="0" w:num="1"/>
          <w:titlePg/>
          <w:rtlGutter w:val="0"/>
          <w:docGrid w:type="lines" w:linePitch="312" w:charSpace="0"/>
        </w:sectPr>
      </w:pPr>
    </w:p>
    <w:p>
      <w:pPr>
        <w:pStyle w:val="3"/>
        <w:jc w:val="center"/>
        <w:rPr>
          <w:rFonts w:ascii="Times New Roman" w:hAnsi="Times New Roman" w:eastAsia="黑体"/>
          <w:color w:val="auto"/>
          <w:sz w:val="32"/>
          <w:szCs w:val="32"/>
          <w:highlight w:val="none"/>
        </w:rPr>
      </w:pPr>
      <w:bookmarkStart w:id="12" w:name="_Toc17462"/>
      <w:r>
        <w:rPr>
          <w:rFonts w:hint="eastAsia" w:ascii="Times New Roman" w:hAnsi="Times New Roman" w:eastAsia="方正小标宋简体" w:cs="方正小标宋简体"/>
          <w:b w:val="0"/>
          <w:color w:val="auto"/>
          <w:highlight w:val="none"/>
        </w:rPr>
        <w:t>第一部分</w:t>
      </w:r>
      <w:r>
        <w:rPr>
          <w:rFonts w:hint="eastAsia" w:ascii="Times New Roman" w:hAnsi="Times New Roman" w:eastAsia="方正小标宋简体" w:cs="方正小标宋简体"/>
          <w:b w:val="0"/>
          <w:color w:val="auto"/>
          <w:highlight w:val="none"/>
          <w:lang w:val="en-US" w:eastAsia="zh-CN"/>
        </w:rPr>
        <w:t xml:space="preserve"> </w:t>
      </w:r>
      <w:r>
        <w:rPr>
          <w:rFonts w:hint="eastAsia" w:ascii="Times New Roman" w:hAnsi="Times New Roman" w:eastAsia="方正小标宋简体" w:cs="方正小标宋简体"/>
          <w:b w:val="0"/>
          <w:color w:val="auto"/>
          <w:highlight w:val="none"/>
        </w:rPr>
        <w:t xml:space="preserve"> </w:t>
      </w:r>
      <w:r>
        <w:rPr>
          <w:rStyle w:val="30"/>
          <w:rFonts w:hint="eastAsia" w:ascii="Times New Roman" w:hAnsi="Times New Roman" w:eastAsia="方正小标宋简体" w:cs="方正小标宋简体"/>
          <w:b w:val="0"/>
          <w:bCs w:val="0"/>
          <w:color w:val="auto"/>
          <w:highlight w:val="none"/>
        </w:rPr>
        <w:t>部门概况</w:t>
      </w:r>
      <w:bookmarkEnd w:id="12"/>
    </w:p>
    <w:p>
      <w:pPr>
        <w:pStyle w:val="4"/>
        <w:keepNext/>
        <w:keepLines/>
        <w:pageBreakBefore w:val="0"/>
        <w:widowControl w:val="0"/>
        <w:numPr>
          <w:ilvl w:val="0"/>
          <w:numId w:val="0"/>
        </w:numPr>
        <w:kinsoku/>
        <w:wordWrap/>
        <w:overflowPunct/>
        <w:topLinePunct w:val="0"/>
        <w:autoSpaceDE/>
        <w:autoSpaceDN/>
        <w:bidi w:val="0"/>
        <w:adjustRightInd/>
        <w:snapToGrid/>
        <w:spacing w:before="0" w:after="0" w:line="600" w:lineRule="exact"/>
        <w:ind w:firstLine="640" w:firstLineChars="200"/>
        <w:jc w:val="left"/>
        <w:textAlignment w:val="auto"/>
        <w:rPr>
          <w:rFonts w:hint="eastAsia" w:ascii="Times New Roman" w:hAnsi="Times New Roman" w:eastAsia="黑体"/>
          <w:b w:val="0"/>
          <w:color w:val="auto"/>
          <w:highlight w:val="none"/>
          <w:lang w:eastAsia="zh-CN"/>
        </w:rPr>
      </w:pPr>
      <w:bookmarkStart w:id="13" w:name="_Toc17590"/>
      <w:r>
        <w:rPr>
          <w:rFonts w:hint="eastAsia" w:ascii="Times New Roman" w:hAnsi="Times New Roman" w:eastAsia="黑体"/>
          <w:b w:val="0"/>
          <w:color w:val="auto"/>
          <w:highlight w:val="none"/>
          <w:lang w:eastAsia="zh-CN"/>
        </w:rPr>
        <w:t>一、部门职责</w:t>
      </w:r>
      <w:bookmarkEnd w:id="13"/>
    </w:p>
    <w:p>
      <w:pPr>
        <w:pStyle w:val="6"/>
        <w:keepNext w:val="0"/>
        <w:keepLines w:val="0"/>
        <w:pageBreakBefore w:val="0"/>
        <w:widowControl w:val="0"/>
        <w:kinsoku/>
        <w:wordWrap/>
        <w:overflowPunct/>
        <w:topLinePunct w:val="0"/>
        <w:autoSpaceDE/>
        <w:autoSpaceDN/>
        <w:bidi w:val="0"/>
        <w:adjustRightInd w:val="0"/>
        <w:snapToGrid w:val="0"/>
        <w:spacing w:before="0" w:line="600" w:lineRule="exact"/>
        <w:ind w:firstLine="665" w:firstLineChars="208"/>
        <w:jc w:val="left"/>
        <w:textAlignment w:val="auto"/>
        <w:outlineLvl w:val="9"/>
        <w:rPr>
          <w:rFonts w:hint="eastAsia" w:cs="仿宋_GB2312"/>
          <w:bCs/>
          <w:color w:val="000000"/>
          <w:sz w:val="32"/>
          <w:szCs w:val="32"/>
          <w:lang w:val="en-US" w:eastAsia="zh-CN" w:bidi="ar-SA"/>
        </w:rPr>
      </w:pPr>
      <w:r>
        <w:rPr>
          <w:rFonts w:hint="eastAsia" w:cs="仿宋_GB2312"/>
          <w:bCs/>
          <w:color w:val="000000"/>
          <w:sz w:val="32"/>
          <w:szCs w:val="32"/>
          <w:lang w:val="en-US" w:eastAsia="zh-CN" w:bidi="ar-SA"/>
        </w:rPr>
        <w:t>1.开展学术交流，活跃学术思想，促进学科和经济发展。</w:t>
      </w:r>
    </w:p>
    <w:p>
      <w:pPr>
        <w:pStyle w:val="6"/>
        <w:keepNext w:val="0"/>
        <w:keepLines w:val="0"/>
        <w:pageBreakBefore w:val="0"/>
        <w:widowControl w:val="0"/>
        <w:kinsoku/>
        <w:wordWrap/>
        <w:overflowPunct/>
        <w:topLinePunct w:val="0"/>
        <w:autoSpaceDE/>
        <w:autoSpaceDN/>
        <w:bidi w:val="0"/>
        <w:adjustRightInd w:val="0"/>
        <w:snapToGrid w:val="0"/>
        <w:spacing w:before="0" w:line="600" w:lineRule="exact"/>
        <w:ind w:firstLine="665" w:firstLineChars="208"/>
        <w:jc w:val="left"/>
        <w:textAlignment w:val="auto"/>
        <w:outlineLvl w:val="9"/>
        <w:rPr>
          <w:rFonts w:hint="eastAsia" w:cs="仿宋_GB2312"/>
          <w:bCs/>
          <w:color w:val="000000"/>
          <w:sz w:val="32"/>
          <w:szCs w:val="32"/>
          <w:lang w:val="zh-CN" w:eastAsia="zh-CN" w:bidi="ar-SA"/>
        </w:rPr>
      </w:pPr>
      <w:r>
        <w:rPr>
          <w:rFonts w:hint="eastAsia" w:cs="仿宋_GB2312"/>
          <w:bCs/>
          <w:color w:val="000000"/>
          <w:sz w:val="32"/>
          <w:szCs w:val="32"/>
          <w:lang w:val="en-US" w:eastAsia="zh-CN" w:bidi="ar-SA"/>
        </w:rPr>
        <w:t>2.为科技、经济、社会协调发展献计献策，开展科学论证、技术咨询</w:t>
      </w:r>
      <w:r>
        <w:rPr>
          <w:rFonts w:hint="eastAsia" w:cs="仿宋_GB2312"/>
          <w:bCs/>
          <w:color w:val="000000"/>
          <w:sz w:val="32"/>
          <w:szCs w:val="32"/>
          <w:lang w:val="zh-CN" w:eastAsia="zh-CN" w:bidi="ar-SA"/>
        </w:rPr>
        <w:t>服务，促进科学技术成果的转化，兴办科技经济实体。</w:t>
      </w:r>
    </w:p>
    <w:p>
      <w:pPr>
        <w:pStyle w:val="6"/>
        <w:keepNext w:val="0"/>
        <w:keepLines w:val="0"/>
        <w:pageBreakBefore w:val="0"/>
        <w:widowControl w:val="0"/>
        <w:kinsoku/>
        <w:wordWrap/>
        <w:overflowPunct/>
        <w:topLinePunct w:val="0"/>
        <w:autoSpaceDE/>
        <w:autoSpaceDN/>
        <w:bidi w:val="0"/>
        <w:adjustRightInd w:val="0"/>
        <w:snapToGrid w:val="0"/>
        <w:spacing w:before="0" w:line="600" w:lineRule="exact"/>
        <w:ind w:firstLine="665" w:firstLineChars="208"/>
        <w:jc w:val="left"/>
        <w:textAlignment w:val="auto"/>
        <w:outlineLvl w:val="9"/>
        <w:rPr>
          <w:rFonts w:hint="eastAsia" w:cs="仿宋_GB2312"/>
          <w:bCs/>
          <w:color w:val="000000"/>
          <w:sz w:val="32"/>
          <w:szCs w:val="32"/>
          <w:lang w:val="zh-CN" w:eastAsia="zh-CN" w:bidi="ar-SA"/>
        </w:rPr>
      </w:pPr>
      <w:r>
        <w:rPr>
          <w:rFonts w:hint="eastAsia" w:cs="仿宋_GB2312"/>
          <w:bCs/>
          <w:color w:val="000000"/>
          <w:sz w:val="32"/>
          <w:szCs w:val="32"/>
          <w:lang w:val="en-US" w:eastAsia="zh-CN" w:bidi="ar-SA"/>
        </w:rPr>
        <w:t>3.</w:t>
      </w:r>
      <w:r>
        <w:rPr>
          <w:rFonts w:hint="eastAsia" w:cs="仿宋_GB2312"/>
          <w:bCs/>
          <w:color w:val="000000"/>
          <w:sz w:val="32"/>
          <w:szCs w:val="32"/>
          <w:lang w:val="zh-CN" w:eastAsia="zh-CN" w:bidi="ar-SA"/>
        </w:rPr>
        <w:t>开展对民间科技交流与合作，发展同国内外的科技团体和科技工作者的友好往来。</w:t>
      </w:r>
    </w:p>
    <w:p>
      <w:pPr>
        <w:pStyle w:val="6"/>
        <w:keepNext w:val="0"/>
        <w:keepLines w:val="0"/>
        <w:pageBreakBefore w:val="0"/>
        <w:widowControl w:val="0"/>
        <w:kinsoku/>
        <w:wordWrap/>
        <w:overflowPunct/>
        <w:topLinePunct w:val="0"/>
        <w:autoSpaceDE/>
        <w:autoSpaceDN/>
        <w:bidi w:val="0"/>
        <w:adjustRightInd w:val="0"/>
        <w:snapToGrid w:val="0"/>
        <w:spacing w:before="0" w:line="600" w:lineRule="exact"/>
        <w:ind w:firstLine="665" w:firstLineChars="208"/>
        <w:jc w:val="left"/>
        <w:textAlignment w:val="auto"/>
        <w:outlineLvl w:val="9"/>
        <w:rPr>
          <w:rFonts w:hint="eastAsia" w:cs="仿宋_GB2312"/>
          <w:bCs/>
          <w:color w:val="000000"/>
          <w:sz w:val="32"/>
          <w:szCs w:val="32"/>
          <w:lang w:val="zh-CN" w:eastAsia="zh-CN" w:bidi="ar-SA"/>
        </w:rPr>
      </w:pPr>
      <w:r>
        <w:rPr>
          <w:rFonts w:hint="eastAsia" w:cs="仿宋_GB2312"/>
          <w:bCs/>
          <w:color w:val="000000"/>
          <w:sz w:val="32"/>
          <w:szCs w:val="32"/>
          <w:lang w:val="en-US" w:eastAsia="zh-CN" w:bidi="ar-SA"/>
        </w:rPr>
        <w:t>4.</w:t>
      </w:r>
      <w:r>
        <w:rPr>
          <w:rFonts w:hint="eastAsia" w:cs="仿宋_GB2312"/>
          <w:bCs/>
          <w:color w:val="000000"/>
          <w:sz w:val="32"/>
          <w:szCs w:val="32"/>
          <w:lang w:val="zh-CN" w:eastAsia="zh-CN" w:bidi="ar-SA"/>
        </w:rPr>
        <w:t>普及科学知识，推广先进技术，开展青少年科技教育活动，提高全民科学文化素质。</w:t>
      </w:r>
    </w:p>
    <w:p>
      <w:pPr>
        <w:pStyle w:val="6"/>
        <w:keepNext w:val="0"/>
        <w:keepLines w:val="0"/>
        <w:pageBreakBefore w:val="0"/>
        <w:widowControl w:val="0"/>
        <w:kinsoku/>
        <w:wordWrap/>
        <w:overflowPunct/>
        <w:topLinePunct w:val="0"/>
        <w:autoSpaceDE/>
        <w:autoSpaceDN/>
        <w:bidi w:val="0"/>
        <w:adjustRightInd w:val="0"/>
        <w:snapToGrid w:val="0"/>
        <w:spacing w:before="0" w:line="600" w:lineRule="exact"/>
        <w:ind w:firstLine="665" w:firstLineChars="208"/>
        <w:jc w:val="left"/>
        <w:textAlignment w:val="auto"/>
        <w:outlineLvl w:val="9"/>
        <w:rPr>
          <w:rFonts w:hint="eastAsia" w:cs="仿宋_GB2312"/>
          <w:bCs/>
          <w:color w:val="000000"/>
          <w:sz w:val="32"/>
          <w:szCs w:val="32"/>
          <w:lang w:val="zh-CN" w:eastAsia="zh-CN" w:bidi="ar-SA"/>
        </w:rPr>
      </w:pPr>
      <w:r>
        <w:rPr>
          <w:rFonts w:hint="eastAsia" w:cs="仿宋_GB2312"/>
          <w:bCs/>
          <w:color w:val="000000"/>
          <w:sz w:val="32"/>
          <w:szCs w:val="32"/>
          <w:lang w:val="en-US" w:eastAsia="zh-CN" w:bidi="ar-SA"/>
        </w:rPr>
        <w:t>5.</w:t>
      </w:r>
      <w:r>
        <w:rPr>
          <w:rFonts w:hint="eastAsia" w:cs="仿宋_GB2312"/>
          <w:bCs/>
          <w:color w:val="000000"/>
          <w:sz w:val="32"/>
          <w:szCs w:val="32"/>
          <w:lang w:val="zh-CN" w:eastAsia="zh-CN" w:bidi="ar-SA"/>
        </w:rPr>
        <w:t>开展继续教育和技术培训工作。</w:t>
      </w:r>
    </w:p>
    <w:p>
      <w:pPr>
        <w:pStyle w:val="6"/>
        <w:keepNext w:val="0"/>
        <w:keepLines w:val="0"/>
        <w:pageBreakBefore w:val="0"/>
        <w:widowControl w:val="0"/>
        <w:kinsoku/>
        <w:wordWrap/>
        <w:overflowPunct/>
        <w:topLinePunct w:val="0"/>
        <w:autoSpaceDE/>
        <w:autoSpaceDN/>
        <w:bidi w:val="0"/>
        <w:adjustRightInd w:val="0"/>
        <w:snapToGrid w:val="0"/>
        <w:spacing w:before="0" w:line="600" w:lineRule="exact"/>
        <w:ind w:firstLine="665" w:firstLineChars="208"/>
        <w:jc w:val="left"/>
        <w:textAlignment w:val="auto"/>
        <w:outlineLvl w:val="9"/>
        <w:rPr>
          <w:rFonts w:hint="eastAsia" w:cs="仿宋_GB2312"/>
          <w:bCs/>
          <w:color w:val="000000"/>
          <w:sz w:val="32"/>
          <w:szCs w:val="32"/>
          <w:lang w:val="zh-CN" w:eastAsia="zh-CN" w:bidi="ar-SA"/>
        </w:rPr>
      </w:pPr>
      <w:r>
        <w:rPr>
          <w:rFonts w:hint="eastAsia" w:cs="仿宋_GB2312"/>
          <w:bCs/>
          <w:color w:val="000000"/>
          <w:sz w:val="32"/>
          <w:szCs w:val="32"/>
          <w:lang w:val="en-US" w:eastAsia="zh-CN" w:bidi="ar-SA"/>
        </w:rPr>
        <w:t>6.</w:t>
      </w:r>
      <w:r>
        <w:rPr>
          <w:rFonts w:hint="eastAsia" w:cs="仿宋_GB2312"/>
          <w:bCs/>
          <w:color w:val="000000"/>
          <w:sz w:val="32"/>
          <w:szCs w:val="32"/>
          <w:lang w:val="zh-CN" w:eastAsia="zh-CN" w:bidi="ar-SA"/>
        </w:rPr>
        <w:t>编辑科普刊物、资料、举办为科技工作者服务的事业。</w:t>
      </w:r>
    </w:p>
    <w:p>
      <w:pPr>
        <w:pStyle w:val="6"/>
        <w:keepNext w:val="0"/>
        <w:keepLines w:val="0"/>
        <w:pageBreakBefore w:val="0"/>
        <w:widowControl w:val="0"/>
        <w:kinsoku/>
        <w:wordWrap/>
        <w:overflowPunct/>
        <w:topLinePunct w:val="0"/>
        <w:autoSpaceDE/>
        <w:autoSpaceDN/>
        <w:bidi w:val="0"/>
        <w:adjustRightInd w:val="0"/>
        <w:snapToGrid w:val="0"/>
        <w:spacing w:before="0" w:line="600" w:lineRule="exact"/>
        <w:ind w:firstLine="665" w:firstLineChars="208"/>
        <w:jc w:val="left"/>
        <w:textAlignment w:val="auto"/>
        <w:outlineLvl w:val="9"/>
        <w:rPr>
          <w:rFonts w:hint="eastAsia" w:cs="仿宋_GB2312"/>
          <w:bCs/>
          <w:color w:val="000000"/>
          <w:sz w:val="32"/>
          <w:szCs w:val="32"/>
          <w:lang w:val="zh-CN" w:eastAsia="zh-CN" w:bidi="ar-SA"/>
        </w:rPr>
      </w:pPr>
      <w:r>
        <w:rPr>
          <w:rFonts w:hint="eastAsia" w:cs="仿宋_GB2312"/>
          <w:bCs/>
          <w:color w:val="000000"/>
          <w:sz w:val="32"/>
          <w:szCs w:val="32"/>
          <w:lang w:val="en-US" w:eastAsia="zh-CN" w:bidi="ar-SA"/>
        </w:rPr>
        <w:t>7.</w:t>
      </w:r>
      <w:r>
        <w:rPr>
          <w:rFonts w:hint="eastAsia" w:cs="仿宋_GB2312"/>
          <w:bCs/>
          <w:color w:val="000000"/>
          <w:sz w:val="32"/>
          <w:szCs w:val="32"/>
          <w:lang w:val="zh-CN" w:eastAsia="zh-CN" w:bidi="ar-SA"/>
        </w:rPr>
        <w:t>对所属全县协会、学会，镇科协进行业务指导。</w:t>
      </w:r>
    </w:p>
    <w:p>
      <w:pPr>
        <w:pStyle w:val="6"/>
        <w:keepNext w:val="0"/>
        <w:keepLines w:val="0"/>
        <w:pageBreakBefore w:val="0"/>
        <w:widowControl w:val="0"/>
        <w:kinsoku/>
        <w:wordWrap/>
        <w:overflowPunct/>
        <w:topLinePunct w:val="0"/>
        <w:autoSpaceDE/>
        <w:autoSpaceDN/>
        <w:bidi w:val="0"/>
        <w:adjustRightInd w:val="0"/>
        <w:snapToGrid w:val="0"/>
        <w:spacing w:before="0" w:line="600" w:lineRule="exact"/>
        <w:ind w:firstLine="665" w:firstLineChars="208"/>
        <w:jc w:val="left"/>
        <w:textAlignment w:val="auto"/>
        <w:outlineLvl w:val="9"/>
        <w:rPr>
          <w:rFonts w:hint="eastAsia" w:cs="仿宋_GB2312"/>
          <w:bCs/>
          <w:color w:val="000000"/>
          <w:sz w:val="32"/>
          <w:szCs w:val="32"/>
          <w:lang w:val="zh-CN" w:eastAsia="zh-CN" w:bidi="ar-SA"/>
        </w:rPr>
      </w:pPr>
      <w:r>
        <w:rPr>
          <w:rFonts w:hint="eastAsia" w:cs="仿宋_GB2312"/>
          <w:bCs/>
          <w:color w:val="000000"/>
          <w:sz w:val="32"/>
          <w:szCs w:val="32"/>
          <w:lang w:val="en-US" w:eastAsia="zh-CN" w:bidi="ar-SA"/>
        </w:rPr>
        <w:t>8.反映</w:t>
      </w:r>
      <w:r>
        <w:rPr>
          <w:rFonts w:hint="eastAsia" w:cs="仿宋_GB2312"/>
          <w:bCs/>
          <w:color w:val="000000"/>
          <w:sz w:val="32"/>
          <w:szCs w:val="32"/>
          <w:lang w:val="zh-CN" w:eastAsia="zh-CN" w:bidi="ar-SA"/>
        </w:rPr>
        <w:t>科技工作者的意见和要求，维护科技工作者的合法权益，组织科技工作者参加科技政策、法规的制度和重大事务的政治协商、科学决策、民主监督工作。</w:t>
      </w:r>
    </w:p>
    <w:p>
      <w:pPr>
        <w:pStyle w:val="6"/>
        <w:keepNext w:val="0"/>
        <w:keepLines w:val="0"/>
        <w:pageBreakBefore w:val="0"/>
        <w:widowControl w:val="0"/>
        <w:kinsoku/>
        <w:wordWrap/>
        <w:overflowPunct/>
        <w:topLinePunct w:val="0"/>
        <w:autoSpaceDE/>
        <w:autoSpaceDN/>
        <w:bidi w:val="0"/>
        <w:adjustRightInd w:val="0"/>
        <w:snapToGrid w:val="0"/>
        <w:spacing w:before="0" w:line="600" w:lineRule="exact"/>
        <w:ind w:firstLine="665" w:firstLineChars="208"/>
        <w:jc w:val="left"/>
        <w:textAlignment w:val="auto"/>
        <w:outlineLvl w:val="9"/>
        <w:rPr>
          <w:rFonts w:hint="eastAsia" w:cs="仿宋_GB2312"/>
          <w:bCs/>
          <w:color w:val="000000"/>
          <w:sz w:val="32"/>
          <w:szCs w:val="32"/>
          <w:lang w:val="zh-CN" w:eastAsia="zh-CN" w:bidi="ar-SA"/>
        </w:rPr>
      </w:pPr>
      <w:r>
        <w:rPr>
          <w:rFonts w:hint="eastAsia" w:cs="仿宋_GB2312"/>
          <w:bCs/>
          <w:color w:val="000000"/>
          <w:sz w:val="32"/>
          <w:szCs w:val="32"/>
          <w:lang w:val="en-US" w:eastAsia="zh-CN" w:bidi="ar-SA"/>
        </w:rPr>
        <w:t>9.</w:t>
      </w:r>
      <w:r>
        <w:rPr>
          <w:rFonts w:hint="eastAsia" w:cs="仿宋_GB2312"/>
          <w:bCs/>
          <w:color w:val="000000"/>
          <w:sz w:val="32"/>
          <w:szCs w:val="32"/>
          <w:lang w:val="zh-CN" w:eastAsia="zh-CN" w:bidi="ar-SA"/>
        </w:rPr>
        <w:t>表彰优秀学术论文、优秀科学技术工作者、举荐人才。</w:t>
      </w:r>
    </w:p>
    <w:p>
      <w:pPr>
        <w:pStyle w:val="6"/>
        <w:keepNext w:val="0"/>
        <w:keepLines w:val="0"/>
        <w:pageBreakBefore w:val="0"/>
        <w:widowControl w:val="0"/>
        <w:kinsoku/>
        <w:wordWrap/>
        <w:overflowPunct/>
        <w:topLinePunct w:val="0"/>
        <w:autoSpaceDE/>
        <w:autoSpaceDN/>
        <w:bidi w:val="0"/>
        <w:adjustRightInd w:val="0"/>
        <w:snapToGrid w:val="0"/>
        <w:spacing w:before="0" w:line="600" w:lineRule="exact"/>
        <w:ind w:firstLine="665" w:firstLineChars="208"/>
        <w:jc w:val="left"/>
        <w:textAlignment w:val="auto"/>
        <w:outlineLvl w:val="9"/>
        <w:rPr>
          <w:rFonts w:hint="eastAsia"/>
          <w:lang w:eastAsia="zh-CN"/>
        </w:rPr>
      </w:pPr>
      <w:r>
        <w:rPr>
          <w:rFonts w:hint="eastAsia" w:cs="仿宋_GB2312"/>
          <w:bCs/>
          <w:color w:val="000000"/>
          <w:sz w:val="32"/>
          <w:szCs w:val="32"/>
          <w:lang w:val="en-US" w:eastAsia="zh-CN" w:bidi="ar-SA"/>
        </w:rPr>
        <w:t>10.</w:t>
      </w:r>
      <w:r>
        <w:rPr>
          <w:rFonts w:hint="eastAsia" w:cs="仿宋_GB2312"/>
          <w:bCs/>
          <w:color w:val="000000"/>
          <w:sz w:val="32"/>
          <w:szCs w:val="32"/>
          <w:lang w:val="zh-CN" w:eastAsia="zh-CN" w:bidi="ar-SA"/>
        </w:rPr>
        <w:t>县委、县政府交办的其他工作。</w:t>
      </w:r>
    </w:p>
    <w:p>
      <w:pPr>
        <w:pStyle w:val="4"/>
        <w:pageBreakBefore w:val="0"/>
        <w:kinsoku/>
        <w:wordWrap/>
        <w:overflowPunct/>
        <w:topLinePunct w:val="0"/>
        <w:autoSpaceDE/>
        <w:autoSpaceDN/>
        <w:bidi w:val="0"/>
        <w:spacing w:line="600" w:lineRule="exact"/>
        <w:jc w:val="left"/>
        <w:textAlignment w:val="auto"/>
        <w:rPr>
          <w:rFonts w:hint="eastAsia" w:ascii="Times New Roman" w:hAnsi="Times New Roman" w:eastAsia="黑体"/>
          <w:b w:val="0"/>
          <w:color w:val="auto"/>
          <w:highlight w:val="none"/>
        </w:rPr>
        <w:sectPr>
          <w:footerReference r:id="rId6" w:type="first"/>
          <w:footerReference r:id="rId5" w:type="default"/>
          <w:pgSz w:w="11906" w:h="16838"/>
          <w:pgMar w:top="1440" w:right="1800" w:bottom="1440" w:left="1800" w:header="851" w:footer="992" w:gutter="0"/>
          <w:pgNumType w:fmt="decimal" w:start="1"/>
          <w:cols w:space="0" w:num="1"/>
          <w:titlePg/>
          <w:rtlGutter w:val="0"/>
          <w:docGrid w:type="lines" w:linePitch="312" w:charSpace="0"/>
        </w:sectPr>
      </w:pPr>
      <w:bookmarkStart w:id="14" w:name="_Toc15377200"/>
      <w:bookmarkStart w:id="15" w:name="_Toc15396601"/>
    </w:p>
    <w:p>
      <w:pPr>
        <w:pStyle w:val="4"/>
        <w:keepNext/>
        <w:keepLines/>
        <w:pageBreakBefore w:val="0"/>
        <w:widowControl w:val="0"/>
        <w:numPr>
          <w:ilvl w:val="0"/>
          <w:numId w:val="0"/>
        </w:numPr>
        <w:kinsoku/>
        <w:wordWrap/>
        <w:overflowPunct/>
        <w:topLinePunct w:val="0"/>
        <w:autoSpaceDE/>
        <w:autoSpaceDN/>
        <w:bidi w:val="0"/>
        <w:adjustRightInd/>
        <w:snapToGrid/>
        <w:spacing w:before="0" w:after="0" w:line="600" w:lineRule="exact"/>
        <w:ind w:firstLine="640" w:firstLineChars="200"/>
        <w:jc w:val="left"/>
        <w:textAlignment w:val="auto"/>
        <w:rPr>
          <w:rFonts w:hint="eastAsia" w:ascii="Times New Roman" w:hAnsi="Times New Roman" w:eastAsia="黑体"/>
          <w:b w:val="0"/>
          <w:color w:val="auto"/>
          <w:highlight w:val="none"/>
          <w:lang w:eastAsia="zh-CN"/>
        </w:rPr>
      </w:pPr>
      <w:bookmarkStart w:id="16" w:name="_Toc9134"/>
      <w:r>
        <w:rPr>
          <w:rFonts w:hint="eastAsia" w:ascii="Times New Roman" w:hAnsi="Times New Roman" w:eastAsia="黑体"/>
          <w:b w:val="0"/>
          <w:color w:val="auto"/>
          <w:highlight w:val="none"/>
          <w:lang w:eastAsia="zh-CN"/>
        </w:rPr>
        <w:t>二、机构设置</w:t>
      </w:r>
      <w:bookmarkEnd w:id="14"/>
      <w:bookmarkEnd w:id="15"/>
      <w:bookmarkEnd w:id="16"/>
    </w:p>
    <w:p>
      <w:pPr>
        <w:pStyle w:val="6"/>
        <w:keepNext w:val="0"/>
        <w:keepLines w:val="0"/>
        <w:pageBreakBefore w:val="0"/>
        <w:widowControl w:val="0"/>
        <w:kinsoku/>
        <w:wordWrap/>
        <w:overflowPunct/>
        <w:topLinePunct w:val="0"/>
        <w:autoSpaceDE/>
        <w:autoSpaceDN/>
        <w:bidi w:val="0"/>
        <w:adjustRightInd w:val="0"/>
        <w:snapToGrid w:val="0"/>
        <w:spacing w:before="0" w:line="600" w:lineRule="exact"/>
        <w:ind w:firstLine="665" w:firstLineChars="208"/>
        <w:jc w:val="left"/>
        <w:textAlignment w:val="auto"/>
        <w:outlineLvl w:val="9"/>
        <w:rPr>
          <w:rFonts w:hint="eastAsia" w:cs="仿宋_GB2312"/>
          <w:bCs/>
          <w:color w:val="000000"/>
          <w:sz w:val="32"/>
          <w:szCs w:val="32"/>
          <w:lang w:val="zh-CN" w:eastAsia="zh-CN" w:bidi="ar-SA"/>
        </w:rPr>
      </w:pPr>
      <w:r>
        <w:rPr>
          <w:rFonts w:hint="eastAsia" w:cs="仿宋_GB2312"/>
          <w:bCs/>
          <w:color w:val="000000"/>
          <w:sz w:val="32"/>
          <w:szCs w:val="32"/>
          <w:lang w:val="zh-CN" w:eastAsia="zh-CN" w:bidi="ar-SA"/>
        </w:rPr>
        <w:t>茂县科学技术协会（本级）下属二级单位</w:t>
      </w:r>
      <w:r>
        <w:rPr>
          <w:rFonts w:hint="eastAsia" w:cs="仿宋_GB2312"/>
          <w:bCs/>
          <w:color w:val="000000"/>
          <w:sz w:val="32"/>
          <w:szCs w:val="32"/>
          <w:lang w:val="en-US" w:eastAsia="zh-CN" w:bidi="ar-SA"/>
        </w:rPr>
        <w:t>0</w:t>
      </w:r>
      <w:r>
        <w:rPr>
          <w:rFonts w:hint="eastAsia" w:cs="仿宋_GB2312"/>
          <w:bCs/>
          <w:color w:val="000000"/>
          <w:sz w:val="32"/>
          <w:szCs w:val="32"/>
          <w:lang w:val="zh-CN" w:eastAsia="zh-CN" w:bidi="ar-SA"/>
        </w:rPr>
        <w:t>个，其中行政单位0个，参照公务员法管理的事业单位0个，其他事业单位</w:t>
      </w:r>
      <w:r>
        <w:rPr>
          <w:rFonts w:hint="eastAsia" w:cs="仿宋_GB2312"/>
          <w:bCs/>
          <w:color w:val="000000"/>
          <w:sz w:val="32"/>
          <w:szCs w:val="32"/>
          <w:lang w:val="en-US" w:eastAsia="zh-CN" w:bidi="ar-SA"/>
        </w:rPr>
        <w:t>0</w:t>
      </w:r>
      <w:r>
        <w:rPr>
          <w:rFonts w:hint="eastAsia" w:cs="仿宋_GB2312"/>
          <w:bCs/>
          <w:color w:val="000000"/>
          <w:sz w:val="32"/>
          <w:szCs w:val="32"/>
          <w:lang w:val="zh-CN" w:eastAsia="zh-CN" w:bidi="ar-SA"/>
        </w:rPr>
        <w:t>个。</w:t>
      </w:r>
    </w:p>
    <w:p>
      <w:pPr>
        <w:pStyle w:val="6"/>
        <w:keepNext w:val="0"/>
        <w:keepLines w:val="0"/>
        <w:pageBreakBefore w:val="0"/>
        <w:widowControl w:val="0"/>
        <w:kinsoku/>
        <w:wordWrap/>
        <w:overflowPunct/>
        <w:topLinePunct w:val="0"/>
        <w:autoSpaceDE/>
        <w:autoSpaceDN/>
        <w:bidi w:val="0"/>
        <w:adjustRightInd w:val="0"/>
        <w:snapToGrid w:val="0"/>
        <w:spacing w:before="0" w:line="600" w:lineRule="exact"/>
        <w:ind w:firstLine="665" w:firstLineChars="208"/>
        <w:jc w:val="left"/>
        <w:textAlignment w:val="auto"/>
        <w:outlineLvl w:val="9"/>
        <w:rPr>
          <w:rFonts w:hint="eastAsia" w:cs="仿宋_GB2312"/>
          <w:bCs/>
          <w:color w:val="000000"/>
          <w:sz w:val="32"/>
          <w:szCs w:val="32"/>
          <w:lang w:val="zh-CN" w:eastAsia="zh-CN" w:bidi="ar-SA"/>
        </w:rPr>
      </w:pPr>
      <w:r>
        <w:rPr>
          <w:rFonts w:hint="eastAsia" w:cs="仿宋_GB2312"/>
          <w:bCs/>
          <w:color w:val="000000"/>
          <w:sz w:val="32"/>
          <w:szCs w:val="32"/>
          <w:lang w:val="zh-CN" w:eastAsia="zh-CN" w:bidi="ar-SA"/>
        </w:rPr>
        <w:t>纳入茂县科学技术协会（本级）202</w:t>
      </w:r>
      <w:r>
        <w:rPr>
          <w:rFonts w:hint="eastAsia" w:cs="仿宋_GB2312"/>
          <w:bCs/>
          <w:color w:val="000000"/>
          <w:sz w:val="32"/>
          <w:szCs w:val="32"/>
          <w:lang w:val="en-US" w:eastAsia="zh-CN" w:bidi="ar-SA"/>
        </w:rPr>
        <w:t>4</w:t>
      </w:r>
      <w:r>
        <w:rPr>
          <w:rFonts w:hint="eastAsia" w:cs="仿宋_GB2312"/>
          <w:bCs/>
          <w:color w:val="000000"/>
          <w:sz w:val="32"/>
          <w:szCs w:val="32"/>
          <w:lang w:val="zh-CN" w:eastAsia="zh-CN" w:bidi="ar-SA"/>
        </w:rPr>
        <w:t>年度部门决算编制预算单位包括：茂县科学技术协会（本级）</w:t>
      </w:r>
      <w:r>
        <w:rPr>
          <w:rFonts w:hint="eastAsia" w:cs="仿宋_GB2312"/>
          <w:bCs/>
          <w:color w:val="000000"/>
          <w:sz w:val="32"/>
          <w:szCs w:val="32"/>
          <w:lang w:val="en-US" w:eastAsia="zh-CN" w:bidi="ar-SA"/>
        </w:rPr>
        <w:t>。</w:t>
      </w:r>
    </w:p>
    <w:p>
      <w:pPr>
        <w:pageBreakBefore w:val="0"/>
        <w:widowControl/>
        <w:kinsoku/>
        <w:wordWrap/>
        <w:overflowPunct/>
        <w:topLinePunct w:val="0"/>
        <w:autoSpaceDE/>
        <w:autoSpaceDN/>
        <w:bidi w:val="0"/>
        <w:spacing w:line="600" w:lineRule="exact"/>
        <w:jc w:val="left"/>
        <w:textAlignment w:val="auto"/>
        <w:rPr>
          <w:rFonts w:ascii="Times New Roman" w:hAnsi="Times New Roman" w:eastAsia="仿宋"/>
          <w:color w:val="auto"/>
          <w:kern w:val="0"/>
          <w:sz w:val="32"/>
          <w:szCs w:val="32"/>
          <w:highlight w:val="none"/>
        </w:rPr>
      </w:pPr>
      <w:r>
        <w:rPr>
          <w:rFonts w:ascii="Times New Roman" w:hAnsi="Times New Roman" w:eastAsia="仿宋"/>
          <w:color w:val="auto"/>
          <w:sz w:val="32"/>
          <w:szCs w:val="32"/>
          <w:highlight w:val="none"/>
        </w:rPr>
        <w:br w:type="page"/>
      </w:r>
    </w:p>
    <w:p>
      <w:pPr>
        <w:pStyle w:val="3"/>
        <w:jc w:val="center"/>
        <w:rPr>
          <w:rFonts w:ascii="Times New Roman" w:hAnsi="Times New Roman"/>
          <w:color w:val="auto"/>
          <w:highlight w:val="none"/>
        </w:rPr>
      </w:pPr>
      <w:bookmarkStart w:id="17" w:name="_Toc15396602"/>
      <w:bookmarkStart w:id="18" w:name="_Toc29775"/>
      <w:bookmarkStart w:id="19" w:name="_Toc15377204"/>
      <w:r>
        <w:rPr>
          <w:rFonts w:hint="eastAsia" w:ascii="Times New Roman" w:hAnsi="Times New Roman" w:eastAsia="方正小标宋简体" w:cs="方正小标宋简体"/>
          <w:b w:val="0"/>
          <w:color w:val="auto"/>
          <w:highlight w:val="none"/>
        </w:rPr>
        <w:t>第二部分</w:t>
      </w:r>
      <w:r>
        <w:rPr>
          <w:rFonts w:hint="eastAsia" w:ascii="Times New Roman" w:hAnsi="Times New Roman" w:eastAsia="方正小标宋简体" w:cs="方正小标宋简体"/>
          <w:b w:val="0"/>
          <w:color w:val="auto"/>
          <w:highlight w:val="none"/>
          <w:lang w:val="en-US" w:eastAsia="zh-CN"/>
        </w:rPr>
        <w:t xml:space="preserve"> </w:t>
      </w:r>
      <w:r>
        <w:rPr>
          <w:rFonts w:hint="eastAsia" w:ascii="Times New Roman" w:hAnsi="Times New Roman" w:eastAsia="方正小标宋简体" w:cs="方正小标宋简体"/>
          <w:b w:val="0"/>
          <w:color w:val="auto"/>
          <w:highlight w:val="none"/>
        </w:rPr>
        <w:t xml:space="preserve"> </w:t>
      </w:r>
      <w:r>
        <w:rPr>
          <w:rFonts w:hint="eastAsia" w:ascii="方正小标宋简体" w:hAnsi="方正小标宋简体" w:eastAsia="方正小标宋简体" w:cs="方正小标宋简体"/>
          <w:b w:val="0"/>
          <w:color w:val="auto"/>
          <w:highlight w:val="none"/>
          <w:lang w:val="en-US" w:eastAsia="zh-CN"/>
        </w:rPr>
        <w:t>2024</w:t>
      </w:r>
      <w:r>
        <w:rPr>
          <w:rFonts w:hint="eastAsia" w:ascii="Times New Roman" w:hAnsi="Times New Roman" w:eastAsia="方正小标宋简体" w:cs="方正小标宋简体"/>
          <w:b w:val="0"/>
          <w:color w:val="auto"/>
          <w:highlight w:val="none"/>
          <w:lang w:val="en-US" w:eastAsia="zh-CN"/>
        </w:rPr>
        <w:t>年度</w:t>
      </w:r>
      <w:r>
        <w:rPr>
          <w:rFonts w:hint="eastAsia" w:ascii="Times New Roman" w:hAnsi="Times New Roman" w:eastAsia="方正小标宋简体" w:cs="方正小标宋简体"/>
          <w:b w:val="0"/>
          <w:color w:val="auto"/>
          <w:highlight w:val="none"/>
        </w:rPr>
        <w:t>部门决算情况说明</w:t>
      </w:r>
      <w:bookmarkEnd w:id="17"/>
      <w:bookmarkEnd w:id="18"/>
      <w:bookmarkEnd w:id="19"/>
    </w:p>
    <w:p>
      <w:pPr>
        <w:pStyle w:val="29"/>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Style w:val="31"/>
          <w:rFonts w:hint="eastAsia" w:ascii="Times New Roman" w:hAnsi="Times New Roman" w:eastAsia="黑体"/>
          <w:b w:val="0"/>
          <w:color w:val="auto"/>
          <w:highlight w:val="none"/>
        </w:rPr>
      </w:pPr>
      <w:bookmarkStart w:id="20" w:name="_Toc19709"/>
      <w:bookmarkStart w:id="21" w:name="_Toc15396603"/>
      <w:bookmarkStart w:id="22" w:name="_Toc15377205"/>
      <w:r>
        <w:rPr>
          <w:rFonts w:hint="eastAsia" w:ascii="Times New Roman" w:hAnsi="Times New Roman" w:eastAsia="黑体"/>
          <w:color w:val="auto"/>
          <w:sz w:val="32"/>
          <w:szCs w:val="32"/>
          <w:highlight w:val="none"/>
          <w:lang w:eastAsia="zh-CN"/>
        </w:rPr>
        <w:t>一、</w:t>
      </w:r>
      <w:r>
        <w:rPr>
          <w:rFonts w:hint="eastAsia" w:ascii="Times New Roman" w:hAnsi="Times New Roman" w:eastAsia="黑体"/>
          <w:color w:val="auto"/>
          <w:sz w:val="32"/>
          <w:szCs w:val="32"/>
          <w:highlight w:val="none"/>
        </w:rPr>
        <w:t>收</w:t>
      </w:r>
      <w:r>
        <w:rPr>
          <w:rStyle w:val="31"/>
          <w:rFonts w:hint="eastAsia" w:ascii="Times New Roman" w:hAnsi="Times New Roman" w:eastAsia="黑体"/>
          <w:b w:val="0"/>
          <w:color w:val="auto"/>
          <w:highlight w:val="none"/>
        </w:rPr>
        <w:t>入支出决算总体情况说明</w:t>
      </w:r>
      <w:bookmarkEnd w:id="20"/>
      <w:bookmarkEnd w:id="21"/>
      <w:bookmarkEnd w:id="22"/>
    </w:p>
    <w:p>
      <w:pPr>
        <w:pStyle w:val="29"/>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2024</w:t>
      </w:r>
      <w:r>
        <w:rPr>
          <w:rFonts w:hint="eastAsia" w:ascii="Times New Roman" w:hAnsi="Times New Roman" w:eastAsia="仿宋_GB2312" w:cs="仿宋_GB2312"/>
          <w:color w:val="auto"/>
          <w:sz w:val="32"/>
          <w:szCs w:val="32"/>
          <w:highlight w:val="none"/>
          <w:lang w:eastAsia="zh-CN"/>
        </w:rPr>
        <w:t>年度收入</w:t>
      </w:r>
      <w:r>
        <w:rPr>
          <w:rFonts w:hint="eastAsia" w:ascii="Times New Roman" w:hAnsi="Times New Roman"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支出总计均为177.21万元。与202</w:t>
      </w: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lang w:eastAsia="zh-CN"/>
        </w:rPr>
        <w:t>年度相比，收入、支出总计各减少</w:t>
      </w:r>
      <w:r>
        <w:rPr>
          <w:rFonts w:hint="eastAsia" w:ascii="仿宋_GB2312" w:hAnsi="仿宋_GB2312" w:eastAsia="仿宋_GB2312" w:cs="仿宋_GB2312"/>
          <w:color w:val="auto"/>
          <w:sz w:val="32"/>
          <w:szCs w:val="32"/>
          <w:highlight w:val="none"/>
          <w:lang w:val="en-US" w:eastAsia="zh-CN"/>
        </w:rPr>
        <w:t>2.67</w:t>
      </w:r>
      <w:r>
        <w:rPr>
          <w:rFonts w:hint="eastAsia" w:ascii="仿宋_GB2312" w:hAnsi="仿宋_GB2312" w:eastAsia="仿宋_GB2312" w:cs="仿宋_GB2312"/>
          <w:color w:val="auto"/>
          <w:sz w:val="32"/>
          <w:szCs w:val="32"/>
          <w:highlight w:val="none"/>
          <w:lang w:eastAsia="zh-CN"/>
        </w:rPr>
        <w:t>万元，下降</w:t>
      </w:r>
      <w:r>
        <w:rPr>
          <w:rFonts w:hint="eastAsia" w:ascii="仿宋_GB2312" w:hAnsi="仿宋_GB2312" w:eastAsia="仿宋_GB2312" w:cs="仿宋_GB2312"/>
          <w:color w:val="auto"/>
          <w:sz w:val="32"/>
          <w:szCs w:val="32"/>
          <w:highlight w:val="none"/>
          <w:lang w:val="en-US" w:eastAsia="zh-CN"/>
        </w:rPr>
        <w:t>1.48</w:t>
      </w:r>
      <w:r>
        <w:rPr>
          <w:rFonts w:hint="eastAsia" w:ascii="仿宋_GB2312" w:hAnsi="仿宋_GB2312" w:eastAsia="仿宋_GB2312" w:cs="仿宋_GB2312"/>
          <w:color w:val="auto"/>
          <w:sz w:val="32"/>
          <w:szCs w:val="32"/>
          <w:highlight w:val="none"/>
          <w:lang w:eastAsia="zh-CN"/>
        </w:rPr>
        <w:t>%。主要变动原因是</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lang w:eastAsia="zh-CN"/>
        </w:rPr>
        <w:t>人员减少。</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仿宋_GB2312" w:cs="仿宋_GB2312"/>
          <w:color w:val="auto"/>
          <w:sz w:val="32"/>
          <w:szCs w:val="32"/>
          <w:highlight w:val="none"/>
        </w:rPr>
      </w:pPr>
      <w:r>
        <w:rPr>
          <w:rFonts w:hint="eastAsia" w:ascii="仿宋_GB2312" w:hAnsi="仿宋_GB2312" w:eastAsia="仿宋_GB2312" w:cs="仿宋_GB2312"/>
          <w:color w:val="000000"/>
          <w:sz w:val="32"/>
          <w:szCs w:val="32"/>
          <w:lang w:eastAsia="zh-CN" w:bidi="ar-SA"/>
        </w:rPr>
        <w:object>
          <v:shape id="_x0000_i1025" o:spt="75" alt="1.emf" type="#_x0000_t75" style="height:185.8pt;width:342.25pt;" o:ole="t" filled="f" o:preferrelative="t" stroked="f" coordsize="21600,21600">
            <v:path/>
            <v:fill on="f" focussize="0,0"/>
            <v:stroke on="f"/>
            <v:imagedata r:id="rId11" o:title=""/>
            <o:lock v:ext="edit" aspectratio="t"/>
            <w10:wrap type="none"/>
            <w10:anchorlock/>
          </v:shape>
          <o:OLEObject Type="Embed" ProgID="Excel.Sheet.8" ShapeID="_x0000_i1025" DrawAspect="Content" ObjectID="_1468075725" r:id="rId10">
            <o:LockedField>false</o:LockedField>
          </o:OLEObject>
        </w:object>
      </w:r>
    </w:p>
    <w:p>
      <w:pPr>
        <w:pStyle w:val="29"/>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Times New Roman" w:hAnsi="Times New Roman" w:eastAsia="黑体"/>
          <w:color w:val="auto"/>
          <w:sz w:val="32"/>
          <w:szCs w:val="32"/>
          <w:highlight w:val="none"/>
          <w:lang w:eastAsia="zh-CN"/>
        </w:rPr>
      </w:pPr>
      <w:bookmarkStart w:id="23" w:name="_Toc15377206"/>
      <w:bookmarkStart w:id="24" w:name="_Toc27062"/>
      <w:bookmarkStart w:id="25" w:name="_Toc15396604"/>
      <w:r>
        <w:rPr>
          <w:rFonts w:hint="eastAsia" w:ascii="Times New Roman" w:hAnsi="Times New Roman" w:eastAsia="黑体"/>
          <w:color w:val="auto"/>
          <w:sz w:val="32"/>
          <w:szCs w:val="32"/>
          <w:highlight w:val="none"/>
          <w:lang w:eastAsia="zh-CN"/>
        </w:rPr>
        <w:t>二、收入决算情况说明</w:t>
      </w:r>
      <w:bookmarkEnd w:id="23"/>
      <w:bookmarkEnd w:id="24"/>
      <w:bookmarkEnd w:id="25"/>
    </w:p>
    <w:p>
      <w:pPr>
        <w:pStyle w:val="29"/>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9"/>
        <w:rPr>
          <w:rFonts w:hint="eastAsia" w:ascii="Times New Roman" w:hAnsi="Times New Roman"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val="en-US" w:eastAsia="zh-CN"/>
        </w:rPr>
        <w:t>2024年度本年收入合计177.21万元，其中：一般公共预算财政拨款收入177.21万元，占100%；政府性基金预算财政拨款收入0.00万元，占0%。</w:t>
      </w:r>
    </w:p>
    <w:p>
      <w:pPr>
        <w:pStyle w:val="29"/>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9"/>
        <w:rPr>
          <w:rFonts w:hint="eastAsia" w:ascii="Times New Roman" w:hAnsi="Times New Roman" w:eastAsia="仿宋_GB2312" w:cs="仿宋_GB2312"/>
          <w:color w:val="auto"/>
          <w:sz w:val="32"/>
          <w:szCs w:val="32"/>
          <w:highlight w:val="none"/>
          <w:lang w:eastAsia="zh-CN"/>
        </w:rPr>
      </w:pPr>
      <w:r>
        <w:rPr>
          <w:rFonts w:eastAsia="仿宋"/>
          <w:lang w:eastAsia="zh-CN"/>
        </w:rPr>
        <w:object>
          <v:shape id="_x0000_i1026" o:spt="75" alt="2.emf" type="#_x0000_t75" style="height:193.05pt;width:349.95pt;" o:ole="t" filled="f" o:preferrelative="t" stroked="f" coordsize="21600,21600">
            <v:path/>
            <v:fill on="f" focussize="0,0"/>
            <v:stroke on="f"/>
            <v:imagedata r:id="rId13" o:title=""/>
            <o:lock v:ext="edit" aspectratio="t"/>
            <w10:wrap type="none"/>
            <w10:anchorlock/>
          </v:shape>
          <o:OLEObject Type="Embed" ProgID="Excel.Sheet.8" ShapeID="_x0000_i1026" DrawAspect="Content" ObjectID="_1468075726" r:id="rId12">
            <o:LockedField>false</o:LockedField>
          </o:OLEObject>
        </w:object>
      </w:r>
    </w:p>
    <w:p>
      <w:pPr>
        <w:pStyle w:val="29"/>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Times New Roman" w:hAnsi="Times New Roman" w:eastAsia="黑体"/>
          <w:color w:val="auto"/>
          <w:sz w:val="32"/>
          <w:szCs w:val="32"/>
          <w:highlight w:val="none"/>
          <w:lang w:eastAsia="zh-CN"/>
        </w:rPr>
      </w:pPr>
      <w:bookmarkStart w:id="26" w:name="_Toc15396605"/>
      <w:bookmarkStart w:id="27" w:name="_Toc15377207"/>
      <w:bookmarkStart w:id="28" w:name="_Toc19441"/>
      <w:r>
        <w:rPr>
          <w:rFonts w:hint="eastAsia" w:ascii="Times New Roman" w:hAnsi="Times New Roman" w:eastAsia="黑体"/>
          <w:color w:val="auto"/>
          <w:sz w:val="32"/>
          <w:szCs w:val="32"/>
          <w:highlight w:val="none"/>
          <w:lang w:eastAsia="zh-CN"/>
        </w:rPr>
        <w:t>三、支出决算情况说明</w:t>
      </w:r>
      <w:bookmarkEnd w:id="26"/>
      <w:bookmarkEnd w:id="27"/>
      <w:bookmarkEnd w:id="28"/>
    </w:p>
    <w:p>
      <w:pPr>
        <w:pStyle w:val="29"/>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2024年度本年支出合计177.21万元，其中：基本支出157.21万元，占88.71%；项目支出20.00万元，占11.29%。</w:t>
      </w:r>
    </w:p>
    <w:p>
      <w:pPr>
        <w:pStyle w:val="29"/>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9"/>
        <w:rPr>
          <w:rFonts w:hint="eastAsia" w:ascii="Times New Roman" w:hAnsi="Times New Roman" w:eastAsia="仿宋_GB2312" w:cs="仿宋_GB2312"/>
          <w:color w:val="auto"/>
          <w:sz w:val="32"/>
          <w:szCs w:val="32"/>
          <w:highlight w:val="none"/>
          <w:lang w:eastAsia="zh-CN"/>
        </w:rPr>
      </w:pPr>
      <w:r>
        <w:rPr>
          <w:rFonts w:eastAsia="宋体"/>
          <w:lang w:eastAsia="zh-CN"/>
        </w:rPr>
        <w:object>
          <v:shape id="_x0000_i1027" o:spt="75" alt="3.emf" type="#_x0000_t75" style="height:219.65pt;width:365.75pt;" o:ole="t" filled="f" o:preferrelative="t" stroked="f" coordsize="21600,21600">
            <v:path/>
            <v:fill on="f" focussize="0,0"/>
            <v:stroke on="f"/>
            <v:imagedata r:id="rId15" o:title=""/>
            <o:lock v:ext="edit" aspectratio="t"/>
            <w10:wrap type="none"/>
            <w10:anchorlock/>
          </v:shape>
          <o:OLEObject Type="Embed" ProgID="Excel.Sheet.8" ShapeID="_x0000_i1027" DrawAspect="Content" ObjectID="_1468075727" r:id="rId14">
            <o:LockedField>false</o:LockedField>
          </o:OLEObject>
        </w:object>
      </w:r>
    </w:p>
    <w:p>
      <w:pPr>
        <w:pStyle w:val="29"/>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Times New Roman" w:hAnsi="Times New Roman" w:eastAsia="黑体"/>
          <w:color w:val="auto"/>
          <w:sz w:val="32"/>
          <w:szCs w:val="32"/>
          <w:highlight w:val="none"/>
          <w:lang w:eastAsia="zh-CN"/>
        </w:rPr>
      </w:pPr>
      <w:bookmarkStart w:id="29" w:name="_Toc15377208"/>
      <w:bookmarkStart w:id="30" w:name="_Toc13823"/>
      <w:bookmarkStart w:id="31" w:name="_Toc15396606"/>
      <w:r>
        <w:rPr>
          <w:rFonts w:hint="eastAsia" w:ascii="Times New Roman" w:hAnsi="Times New Roman" w:eastAsia="黑体"/>
          <w:color w:val="auto"/>
          <w:sz w:val="32"/>
          <w:szCs w:val="32"/>
          <w:highlight w:val="none"/>
          <w:lang w:eastAsia="zh-CN"/>
        </w:rPr>
        <w:t>四、财政拨款收入支出决算总体情况说明</w:t>
      </w:r>
      <w:bookmarkEnd w:id="29"/>
      <w:bookmarkEnd w:id="30"/>
      <w:bookmarkEnd w:id="31"/>
    </w:p>
    <w:p>
      <w:pPr>
        <w:pStyle w:val="29"/>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2024年度财政拨款收入、支出总计均为177.21万元。与2023年度相比，财政拨款收入总计、支出总计各减少2.67万元，下降1.48%。主要变动原因是：人员减少。</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auto"/>
          <w:kern w:val="2"/>
          <w:sz w:val="32"/>
          <w:szCs w:val="32"/>
          <w:highlight w:val="none"/>
          <w:lang w:val="en-US" w:eastAsia="zh-CN" w:bidi="ar-SA"/>
        </w:rPr>
      </w:pPr>
      <w:r>
        <w:rPr>
          <w:rFonts w:ascii="仿宋" w:eastAsia="仿宋" w:cs="Times New Roman"/>
          <w:color w:val="000000"/>
          <w:sz w:val="32"/>
          <w:szCs w:val="32"/>
          <w:lang w:eastAsia="zh-CN" w:bidi="ar-SA"/>
        </w:rPr>
        <w:object>
          <v:shape id="_x0000_i1032" o:spt="75" alt="4.emf" type="#_x0000_t75" style="height:233.55pt;width:362.1pt;" o:ole="t" filled="f" o:preferrelative="t" stroked="f" coordsize="21600,21600">
            <v:path/>
            <v:fill on="f" focussize="0,0"/>
            <v:stroke on="f"/>
            <v:imagedata r:id="rId17" o:title=""/>
            <o:lock v:ext="edit" aspectratio="t"/>
            <w10:wrap type="none"/>
            <w10:anchorlock/>
          </v:shape>
          <o:OLEObject Type="Embed" ProgID="Excel.Sheet.8" ShapeID="_x0000_i1032" DrawAspect="Content" ObjectID="_1468075728" r:id="rId16">
            <o:LockedField>false</o:LockedField>
          </o:OLEObject>
        </w:object>
      </w:r>
    </w:p>
    <w:p>
      <w:pPr>
        <w:pStyle w:val="29"/>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Times New Roman" w:hAnsi="Times New Roman" w:eastAsia="黑体"/>
          <w:color w:val="auto"/>
          <w:sz w:val="32"/>
          <w:szCs w:val="32"/>
          <w:highlight w:val="none"/>
          <w:lang w:eastAsia="zh-CN"/>
        </w:rPr>
      </w:pPr>
      <w:bookmarkStart w:id="32" w:name="_Toc22471"/>
      <w:bookmarkStart w:id="33" w:name="_Toc15396607"/>
      <w:bookmarkStart w:id="34" w:name="_Toc15377209"/>
      <w:r>
        <w:rPr>
          <w:rFonts w:hint="eastAsia" w:ascii="Times New Roman" w:hAnsi="Times New Roman" w:eastAsia="黑体"/>
          <w:color w:val="auto"/>
          <w:sz w:val="32"/>
          <w:szCs w:val="32"/>
          <w:highlight w:val="none"/>
          <w:lang w:eastAsia="zh-CN"/>
        </w:rPr>
        <w:t>五、一般公共预算财政拨款支出决算情况说明</w:t>
      </w:r>
      <w:bookmarkEnd w:id="32"/>
      <w:bookmarkEnd w:id="33"/>
      <w:bookmarkEnd w:id="34"/>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outlineLvl w:val="9"/>
        <w:rPr>
          <w:rFonts w:hint="eastAsia" w:ascii="Times New Roman" w:hAnsi="Times New Roman" w:eastAsia="楷体_GB2312" w:cs="楷体_GB2312"/>
          <w:b/>
          <w:color w:val="auto"/>
          <w:sz w:val="32"/>
          <w:szCs w:val="32"/>
          <w:highlight w:val="none"/>
        </w:rPr>
      </w:pPr>
      <w:bookmarkStart w:id="35" w:name="_Toc15377210"/>
      <w:r>
        <w:rPr>
          <w:rFonts w:hint="eastAsia" w:ascii="Times New Roman" w:hAnsi="Times New Roman" w:eastAsia="楷体_GB2312" w:cs="楷体_GB2312"/>
          <w:b/>
          <w:color w:val="auto"/>
          <w:sz w:val="32"/>
          <w:szCs w:val="32"/>
          <w:highlight w:val="none"/>
        </w:rPr>
        <w:t>（一）一般公共预算财政拨款支出决算总体情况</w:t>
      </w:r>
      <w:bookmarkEnd w:id="35"/>
    </w:p>
    <w:p>
      <w:pPr>
        <w:pStyle w:val="29"/>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9"/>
        <w:rPr>
          <w:rFonts w:hint="eastAsia" w:ascii="Times New Roman" w:hAnsi="Times New Roman"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2024年度一般公共预算财政拨款支出177.21万元，占本年支出合计的100%。与2023年度相比，一般公共预算财政拨款支出减少2.67万元，下降1.48%。主要变动原因是：人员减少。</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auto"/>
          <w:kern w:val="2"/>
          <w:sz w:val="32"/>
          <w:szCs w:val="32"/>
          <w:highlight w:val="none"/>
          <w:lang w:val="en-US" w:eastAsia="zh-CN" w:bidi="ar-SA"/>
        </w:rPr>
      </w:pPr>
      <w:r>
        <w:rPr>
          <w:rFonts w:ascii="仿宋" w:eastAsia="仿宋" w:cs="Times New Roman"/>
          <w:color w:val="000000"/>
          <w:sz w:val="32"/>
          <w:szCs w:val="32"/>
          <w:lang w:eastAsia="zh-CN" w:bidi="ar-SA"/>
        </w:rPr>
        <w:object>
          <v:shape id="_x0000_i1029" o:spt="75" alt="4.emf" type="#_x0000_t75" style="height:166.9pt;width:321.55pt;" o:ole="t" filled="f" o:preferrelative="t" stroked="f" coordsize="21600,21600">
            <v:path/>
            <v:fill on="f" focussize="0,0"/>
            <v:stroke on="f"/>
            <v:imagedata r:id="rId19" o:title=""/>
            <o:lock v:ext="edit" aspectratio="t"/>
            <w10:wrap type="none"/>
            <w10:anchorlock/>
          </v:shape>
          <o:OLEObject Type="Embed" ProgID="Excel.Sheet.8" ShapeID="_x0000_i1029" DrawAspect="Content" ObjectID="_1468075729" r:id="rId18">
            <o:LockedField>false</o:LockedField>
          </o:OLEObject>
        </w:objec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outlineLvl w:val="9"/>
        <w:rPr>
          <w:rFonts w:hint="eastAsia" w:ascii="Times New Roman" w:hAnsi="Times New Roman" w:eastAsia="楷体_GB2312" w:cs="楷体_GB2312"/>
          <w:b/>
          <w:color w:val="auto"/>
          <w:sz w:val="32"/>
          <w:szCs w:val="32"/>
          <w:highlight w:val="none"/>
        </w:rPr>
      </w:pPr>
      <w:bookmarkStart w:id="36" w:name="_Toc15377211"/>
      <w:r>
        <w:rPr>
          <w:rFonts w:hint="eastAsia" w:ascii="Times New Roman" w:hAnsi="Times New Roman" w:eastAsia="楷体_GB2312" w:cs="楷体_GB2312"/>
          <w:b/>
          <w:color w:val="auto"/>
          <w:sz w:val="32"/>
          <w:szCs w:val="32"/>
          <w:highlight w:val="none"/>
        </w:rPr>
        <w:t>（二）一般公共预算财政拨款支出决算结构情况</w:t>
      </w:r>
      <w:bookmarkEnd w:id="36"/>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outlineLvl w:val="9"/>
        <w:rPr>
          <w:rFonts w:hint="eastAsia" w:ascii="Times New Roman" w:hAnsi="Times New Roman"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2024年度一般公共预算财政拨款支出177.21万元，主要用于以下方面：科学技术支出133.60万元，占75.39%；社会保障和就业支出21.67万元，占12.23%；卫生健康支出9.18万元，占5.18%；住房保障支出12.76万元，占7.20%。</w:t>
      </w:r>
    </w:p>
    <w:p>
      <w:pPr>
        <w:pStyle w:val="2"/>
        <w:ind w:left="0" w:leftChars="0" w:firstLine="0" w:firstLineChars="0"/>
        <w:jc w:val="center"/>
        <w:rPr>
          <w:rFonts w:hint="eastAsia"/>
          <w:lang w:val="en-US" w:eastAsia="zh-CN"/>
        </w:rPr>
      </w:pPr>
      <w:r>
        <w:rPr>
          <w:rFonts w:hint="eastAsia" w:ascii="仿宋_GB2312" w:hAnsi="仿宋_GB2312" w:eastAsia="仿宋_GB2312" w:cs="仿宋_GB2312"/>
          <w:lang w:eastAsia="zh-CN"/>
        </w:rPr>
        <w:object>
          <v:shape id="_x0000_i1030" o:spt="75" alt="5.emf" type="#_x0000_t75" style="height:188.95pt;width:324.3pt;" o:ole="t" filled="f" o:preferrelative="t" stroked="f" coordsize="21600,21600">
            <v:path/>
            <v:fill on="f" focussize="0,0"/>
            <v:stroke on="f"/>
            <v:imagedata r:id="rId21" o:title=""/>
            <o:lock v:ext="edit" aspectratio="t"/>
            <w10:wrap type="none"/>
            <w10:anchorlock/>
          </v:shape>
          <o:OLEObject Type="Embed" ProgID="Excel.Sheet.8" ShapeID="_x0000_i1030" DrawAspect="Content" ObjectID="_1468075730" r:id="rId20">
            <o:LockedField>false</o:LockedField>
          </o:OLEObject>
        </w:objec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outlineLvl w:val="9"/>
        <w:rPr>
          <w:rFonts w:hint="eastAsia" w:ascii="Times New Roman" w:hAnsi="Times New Roman" w:eastAsia="楷体_GB2312" w:cs="楷体_GB2312"/>
          <w:b/>
          <w:color w:val="auto"/>
          <w:sz w:val="32"/>
          <w:szCs w:val="32"/>
          <w:highlight w:val="none"/>
        </w:rPr>
      </w:pPr>
      <w:bookmarkStart w:id="37" w:name="_Toc15377212"/>
      <w:r>
        <w:rPr>
          <w:rFonts w:hint="eastAsia" w:ascii="Times New Roman" w:hAnsi="Times New Roman" w:eastAsia="楷体_GB2312" w:cs="楷体_GB2312"/>
          <w:b/>
          <w:color w:val="auto"/>
          <w:sz w:val="32"/>
          <w:szCs w:val="32"/>
          <w:highlight w:val="none"/>
        </w:rPr>
        <w:t>（三）一般公共预算财政拨款支出决算具体情况</w:t>
      </w:r>
      <w:bookmarkEnd w:id="37"/>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outlineLvl w:val="9"/>
        <w:rPr>
          <w:rFonts w:hint="eastAsia" w:ascii="Times New Roman" w:hAnsi="Times New Roman" w:eastAsia="仿宋_GB2312" w:cs="仿宋_GB2312"/>
          <w:color w:val="auto"/>
          <w:kern w:val="2"/>
          <w:sz w:val="32"/>
          <w:szCs w:val="32"/>
          <w:highlight w:val="none"/>
          <w:lang w:val="en-US" w:eastAsia="zh-CN" w:bidi="ar-SA"/>
        </w:rPr>
      </w:pPr>
      <w:bookmarkStart w:id="38" w:name="_Toc15377444"/>
      <w:bookmarkStart w:id="39" w:name="_Toc15378460"/>
      <w:bookmarkStart w:id="40" w:name="_Toc15377213"/>
      <w:r>
        <w:rPr>
          <w:rFonts w:hint="eastAsia" w:ascii="仿宋_GB2312" w:hAnsi="仿宋_GB2312" w:eastAsia="仿宋_GB2312" w:cs="仿宋_GB2312"/>
          <w:color w:val="auto"/>
          <w:kern w:val="2"/>
          <w:sz w:val="32"/>
          <w:szCs w:val="32"/>
          <w:highlight w:val="none"/>
          <w:lang w:val="en-US" w:eastAsia="zh-CN" w:bidi="ar-SA"/>
        </w:rPr>
        <w:t>2024年度一</w:t>
      </w:r>
      <w:r>
        <w:rPr>
          <w:rFonts w:hint="eastAsia" w:ascii="Times New Roman" w:hAnsi="Times New Roman" w:eastAsia="仿宋_GB2312" w:cs="仿宋_GB2312"/>
          <w:color w:val="auto"/>
          <w:kern w:val="2"/>
          <w:sz w:val="32"/>
          <w:szCs w:val="32"/>
          <w:highlight w:val="none"/>
          <w:lang w:val="en-US" w:eastAsia="zh-CN" w:bidi="ar-SA"/>
        </w:rPr>
        <w:t>般</w:t>
      </w:r>
      <w:r>
        <w:rPr>
          <w:rFonts w:hint="eastAsia" w:ascii="仿宋_GB2312" w:hAnsi="仿宋_GB2312" w:eastAsia="仿宋_GB2312" w:cs="仿宋_GB2312"/>
          <w:color w:val="auto"/>
          <w:kern w:val="2"/>
          <w:sz w:val="32"/>
          <w:szCs w:val="32"/>
          <w:highlight w:val="none"/>
          <w:lang w:val="en-US" w:eastAsia="zh-CN" w:bidi="ar-SA"/>
        </w:rPr>
        <w:t>公共预算财政拨款支出决算数为177.21万元 ，完成预算100%。其</w:t>
      </w:r>
      <w:r>
        <w:rPr>
          <w:rFonts w:hint="eastAsia" w:ascii="Times New Roman" w:hAnsi="Times New Roman" w:eastAsia="仿宋_GB2312" w:cs="仿宋_GB2312"/>
          <w:color w:val="auto"/>
          <w:kern w:val="2"/>
          <w:sz w:val="32"/>
          <w:szCs w:val="32"/>
          <w:highlight w:val="none"/>
          <w:lang w:val="en-US" w:eastAsia="zh-CN" w:bidi="ar-SA"/>
        </w:rPr>
        <w:t>中：</w:t>
      </w:r>
      <w:bookmarkEnd w:id="38"/>
      <w:bookmarkEnd w:id="39"/>
      <w:bookmarkEnd w:id="40"/>
    </w:p>
    <w:p>
      <w:pPr>
        <w:keepNext w:val="0"/>
        <w:keepLines w:val="0"/>
        <w:pageBreakBefore w:val="0"/>
        <w:widowControl w:val="0"/>
        <w:kinsoku/>
        <w:wordWrap/>
        <w:overflowPunct/>
        <w:topLinePunct w:val="0"/>
        <w:autoSpaceDE/>
        <w:autoSpaceDN/>
        <w:bidi w:val="0"/>
        <w:adjustRightInd/>
        <w:snapToGrid/>
        <w:spacing w:line="576" w:lineRule="exact"/>
        <w:ind w:firstLine="642" w:firstLineChars="200"/>
        <w:textAlignment w:val="auto"/>
        <w:outlineLvl w:val="9"/>
        <w:rPr>
          <w:rFonts w:hint="eastAsia" w:ascii="楷体_GB2312" w:hAnsi="Times New Roman" w:eastAsia="楷体_GB2312" w:cs="楷体_GB2312"/>
          <w:b w:val="0"/>
          <w:bCs/>
          <w:color w:val="000000"/>
          <w:sz w:val="32"/>
          <w:szCs w:val="32"/>
          <w:lang w:val="en-US" w:eastAsia="zh-CN"/>
        </w:rPr>
      </w:pPr>
      <w:bookmarkStart w:id="41" w:name="_Toc15396608"/>
      <w:bookmarkStart w:id="42" w:name="_Toc15377214"/>
      <w:r>
        <w:rPr>
          <w:rFonts w:hint="eastAsia" w:ascii="仿宋_GB2312" w:hAnsi="仿宋_GB2312" w:eastAsia="仿宋_GB2312" w:cs="仿宋_GB2312"/>
          <w:b/>
          <w:bCs w:val="0"/>
          <w:color w:val="000000"/>
          <w:sz w:val="32"/>
          <w:szCs w:val="32"/>
          <w:lang w:val="en-US" w:eastAsia="zh-CN"/>
        </w:rPr>
        <w:t>1.科学技术（206）科学技术管理事务（01）行政运行（01）:</w:t>
      </w:r>
      <w:r>
        <w:rPr>
          <w:rFonts w:hint="eastAsia" w:ascii="楷体_GB2312" w:hAnsi="Times New Roman" w:eastAsia="楷体_GB2312" w:cs="楷体_GB2312"/>
          <w:b w:val="0"/>
          <w:bCs/>
          <w:color w:val="000000"/>
          <w:sz w:val="32"/>
          <w:szCs w:val="32"/>
          <w:lang w:val="en-US" w:eastAsia="zh-CN"/>
        </w:rPr>
        <w:t>支出决算为112.65万元，完成预算100%，决算与预算数持平。</w:t>
      </w:r>
    </w:p>
    <w:p>
      <w:pPr>
        <w:keepNext w:val="0"/>
        <w:keepLines w:val="0"/>
        <w:pageBreakBefore w:val="0"/>
        <w:widowControl w:val="0"/>
        <w:kinsoku/>
        <w:wordWrap/>
        <w:overflowPunct/>
        <w:topLinePunct w:val="0"/>
        <w:autoSpaceDE/>
        <w:autoSpaceDN/>
        <w:bidi w:val="0"/>
        <w:adjustRightInd/>
        <w:snapToGrid/>
        <w:spacing w:line="576" w:lineRule="exact"/>
        <w:ind w:firstLine="642" w:firstLineChars="200"/>
        <w:textAlignment w:val="auto"/>
        <w:outlineLvl w:val="9"/>
        <w:rPr>
          <w:rFonts w:hint="eastAsia"/>
          <w:lang w:eastAsia="zh-CN"/>
        </w:rPr>
      </w:pPr>
      <w:r>
        <w:rPr>
          <w:rFonts w:hint="eastAsia" w:ascii="仿宋_GB2312" w:hAnsi="仿宋_GB2312" w:eastAsia="仿宋_GB2312" w:cs="仿宋_GB2312"/>
          <w:b/>
          <w:bCs w:val="0"/>
          <w:color w:val="000000"/>
          <w:sz w:val="32"/>
          <w:szCs w:val="32"/>
          <w:lang w:val="en-US" w:eastAsia="zh-CN"/>
        </w:rPr>
        <w:t>2.科学技术（206）科学技术管理事务（01）其他科学技术管理事务（99）:</w:t>
      </w:r>
      <w:r>
        <w:rPr>
          <w:rStyle w:val="19"/>
          <w:rFonts w:hint="eastAsia" w:ascii="仿宋_GB2312" w:eastAsia="仿宋_GB2312" w:cs="仿宋_GB2312"/>
          <w:b w:val="0"/>
          <w:bCs/>
          <w:color w:val="000000"/>
          <w:sz w:val="32"/>
          <w:szCs w:val="32"/>
          <w:lang w:val="en-US" w:eastAsia="zh-CN"/>
        </w:rPr>
        <w:t>支出决算为3.95万元，完成预算100%，决算与预算数持平。</w:t>
      </w:r>
    </w:p>
    <w:p>
      <w:pPr>
        <w:keepNext w:val="0"/>
        <w:keepLines w:val="0"/>
        <w:pageBreakBefore w:val="0"/>
        <w:kinsoku/>
        <w:wordWrap/>
        <w:overflowPunct/>
        <w:topLinePunct w:val="0"/>
        <w:autoSpaceDE/>
        <w:autoSpaceDN/>
        <w:bidi w:val="0"/>
        <w:adjustRightInd/>
        <w:snapToGrid/>
        <w:spacing w:line="576" w:lineRule="exact"/>
        <w:ind w:firstLine="642" w:firstLineChars="200"/>
        <w:textAlignment w:val="auto"/>
        <w:outlineLvl w:val="9"/>
        <w:rPr>
          <w:rStyle w:val="19"/>
          <w:rFonts w:hint="eastAsia" w:ascii="仿宋_GB2312" w:eastAsia="仿宋_GB2312" w:cs="仿宋_GB2312"/>
          <w:b w:val="0"/>
          <w:bCs/>
          <w:color w:val="000000"/>
          <w:sz w:val="32"/>
          <w:szCs w:val="32"/>
          <w:lang w:val="en-US" w:eastAsia="zh-CN" w:bidi="ar-SA"/>
        </w:rPr>
      </w:pPr>
      <w:r>
        <w:rPr>
          <w:rFonts w:hint="eastAsia" w:ascii="仿宋_GB2312" w:hAnsi="仿宋_GB2312" w:eastAsia="仿宋_GB2312" w:cs="仿宋_GB2312"/>
          <w:b/>
          <w:bCs w:val="0"/>
          <w:color w:val="000000"/>
          <w:sz w:val="32"/>
          <w:szCs w:val="32"/>
          <w:lang w:val="en-US" w:eastAsia="zh-CN"/>
        </w:rPr>
        <w:t>3.科学技术（206）科学技术普及（07）其他科学技术普及支出（99）:</w:t>
      </w:r>
      <w:r>
        <w:rPr>
          <w:rStyle w:val="19"/>
          <w:rFonts w:hint="eastAsia" w:ascii="仿宋_GB2312" w:eastAsia="仿宋_GB2312" w:cs="仿宋_GB2312"/>
          <w:b w:val="0"/>
          <w:bCs/>
          <w:color w:val="000000"/>
          <w:sz w:val="32"/>
          <w:szCs w:val="32"/>
          <w:lang w:val="en-US" w:eastAsia="zh-CN" w:bidi="ar-SA"/>
        </w:rPr>
        <w:t>支出决算为17.00万元，完成预算100%，决算与预算数持平。</w:t>
      </w:r>
    </w:p>
    <w:p>
      <w:pPr>
        <w:keepNext w:val="0"/>
        <w:keepLines w:val="0"/>
        <w:pageBreakBefore w:val="0"/>
        <w:kinsoku/>
        <w:wordWrap/>
        <w:overflowPunct/>
        <w:topLinePunct w:val="0"/>
        <w:autoSpaceDE/>
        <w:autoSpaceDN/>
        <w:bidi w:val="0"/>
        <w:adjustRightInd/>
        <w:snapToGrid/>
        <w:spacing w:line="576" w:lineRule="exact"/>
        <w:ind w:firstLine="642" w:firstLineChars="200"/>
        <w:textAlignment w:val="auto"/>
        <w:outlineLvl w:val="9"/>
        <w:rPr>
          <w:rStyle w:val="19"/>
          <w:rFonts w:hint="eastAsia" w:ascii="仿宋_GB2312" w:eastAsia="仿宋_GB2312" w:cs="仿宋_GB2312"/>
          <w:b w:val="0"/>
          <w:bCs/>
          <w:color w:val="000000"/>
          <w:sz w:val="32"/>
          <w:szCs w:val="32"/>
          <w:lang w:val="en-US" w:eastAsia="zh-CN" w:bidi="ar-SA"/>
        </w:rPr>
      </w:pPr>
      <w:r>
        <w:rPr>
          <w:rFonts w:hint="eastAsia" w:ascii="仿宋_GB2312" w:hAnsi="仿宋_GB2312" w:eastAsia="仿宋_GB2312" w:cs="仿宋_GB2312"/>
          <w:b/>
          <w:bCs w:val="0"/>
          <w:color w:val="000000"/>
          <w:sz w:val="32"/>
          <w:szCs w:val="32"/>
          <w:lang w:val="en-US" w:eastAsia="zh-CN"/>
        </w:rPr>
        <w:t>4.社会保障和就业（208）行政事业单位养老支出（05）机关事业单位基本养老保险缴费支出（05）:</w:t>
      </w:r>
      <w:r>
        <w:rPr>
          <w:rStyle w:val="19"/>
          <w:rFonts w:hint="eastAsia" w:ascii="仿宋_GB2312" w:eastAsia="仿宋_GB2312" w:cs="仿宋_GB2312"/>
          <w:b w:val="0"/>
          <w:bCs/>
          <w:color w:val="000000"/>
          <w:sz w:val="32"/>
          <w:szCs w:val="32"/>
          <w:lang w:val="en-US" w:eastAsia="zh-CN" w:bidi="ar-SA"/>
        </w:rPr>
        <w:t>支出决算为14.45万元，完成预算100%，决算与预算数持平。</w:t>
      </w:r>
    </w:p>
    <w:p>
      <w:pPr>
        <w:keepNext w:val="0"/>
        <w:keepLines w:val="0"/>
        <w:pageBreakBefore w:val="0"/>
        <w:kinsoku/>
        <w:wordWrap/>
        <w:overflowPunct/>
        <w:topLinePunct w:val="0"/>
        <w:autoSpaceDE/>
        <w:autoSpaceDN/>
        <w:bidi w:val="0"/>
        <w:adjustRightInd/>
        <w:snapToGrid/>
        <w:spacing w:line="576" w:lineRule="exact"/>
        <w:ind w:firstLine="642" w:firstLineChars="200"/>
        <w:textAlignment w:val="auto"/>
        <w:outlineLvl w:val="9"/>
        <w:rPr>
          <w:rFonts w:hint="eastAsia" w:ascii="楷体_GB2312" w:eastAsia="楷体_GB2312" w:cs="楷体_GB2312"/>
          <w:bCs/>
          <w:color w:val="000000"/>
          <w:sz w:val="32"/>
          <w:szCs w:val="32"/>
          <w:lang w:bidi="ar-SA"/>
        </w:rPr>
      </w:pPr>
      <w:r>
        <w:rPr>
          <w:rFonts w:hint="eastAsia" w:ascii="仿宋_GB2312" w:hAnsi="仿宋_GB2312" w:eastAsia="仿宋_GB2312" w:cs="仿宋_GB2312"/>
          <w:b/>
          <w:bCs w:val="0"/>
          <w:color w:val="000000"/>
          <w:sz w:val="32"/>
          <w:szCs w:val="32"/>
          <w:lang w:val="en-US" w:eastAsia="zh-CN"/>
        </w:rPr>
        <w:t>5.社会保障和就业（208）行政事业单位养老支出（05）机关事业单位职业年金缴费支出（06）:</w:t>
      </w:r>
      <w:r>
        <w:rPr>
          <w:rStyle w:val="19"/>
          <w:rFonts w:hint="eastAsia" w:ascii="仿宋_GB2312" w:eastAsia="仿宋_GB2312" w:cs="仿宋_GB2312"/>
          <w:b w:val="0"/>
          <w:bCs/>
          <w:color w:val="000000"/>
          <w:sz w:val="32"/>
          <w:szCs w:val="32"/>
          <w:lang w:val="en-US" w:eastAsia="zh-CN" w:bidi="ar-SA"/>
        </w:rPr>
        <w:t>支出决算为7.22万元，完成预算100%，决算与预算数持平。</w:t>
      </w:r>
    </w:p>
    <w:p>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firstLine="642" w:firstLineChars="200"/>
        <w:textAlignment w:val="auto"/>
        <w:outlineLvl w:val="9"/>
        <w:rPr>
          <w:rStyle w:val="19"/>
          <w:rFonts w:hint="eastAsia" w:ascii="仿宋_GB2312" w:eastAsia="仿宋_GB2312" w:cs="仿宋_GB2312"/>
          <w:b w:val="0"/>
          <w:bCs/>
          <w:color w:val="000000"/>
          <w:sz w:val="32"/>
          <w:szCs w:val="32"/>
          <w:lang w:val="en-US" w:eastAsia="zh-CN" w:bidi="ar-SA"/>
        </w:rPr>
      </w:pPr>
      <w:r>
        <w:rPr>
          <w:rFonts w:hint="eastAsia" w:ascii="仿宋_GB2312" w:hAnsi="仿宋_GB2312" w:eastAsia="仿宋_GB2312" w:cs="仿宋_GB2312"/>
          <w:b/>
          <w:bCs w:val="0"/>
          <w:color w:val="000000"/>
          <w:sz w:val="32"/>
          <w:szCs w:val="32"/>
          <w:lang w:val="en-US" w:eastAsia="zh-CN"/>
        </w:rPr>
        <w:t>6.卫生健康（210）行政事业单位医疗（11） 行政单位医疗（01）:</w:t>
      </w:r>
      <w:r>
        <w:rPr>
          <w:rStyle w:val="19"/>
          <w:rFonts w:hint="eastAsia" w:ascii="仿宋_GB2312" w:eastAsia="仿宋_GB2312" w:cs="仿宋_GB2312"/>
          <w:b w:val="0"/>
          <w:bCs/>
          <w:color w:val="000000"/>
          <w:sz w:val="32"/>
          <w:szCs w:val="32"/>
          <w:lang w:val="en-US" w:eastAsia="zh-CN" w:bidi="ar-SA"/>
        </w:rPr>
        <w:t>支出决算为9.18万元，完成预算100%，决算与预算数持平。</w:t>
      </w:r>
    </w:p>
    <w:p>
      <w:pPr>
        <w:pStyle w:val="1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6" w:lineRule="exact"/>
        <w:ind w:firstLine="642" w:firstLineChars="200"/>
        <w:jc w:val="left"/>
        <w:textAlignment w:val="auto"/>
        <w:outlineLvl w:val="9"/>
        <w:rPr>
          <w:rStyle w:val="19"/>
          <w:rFonts w:hint="eastAsia" w:ascii="仿宋_GB2312" w:eastAsia="仿宋_GB2312" w:cs="仿宋_GB2312"/>
          <w:b w:val="0"/>
          <w:bCs/>
          <w:color w:val="000000"/>
          <w:sz w:val="32"/>
          <w:szCs w:val="32"/>
          <w:lang w:val="en-US" w:eastAsia="zh-CN" w:bidi="ar-SA"/>
        </w:rPr>
      </w:pPr>
      <w:r>
        <w:rPr>
          <w:rFonts w:hint="eastAsia" w:ascii="仿宋_GB2312" w:hAnsi="仿宋_GB2312" w:eastAsia="仿宋_GB2312" w:cs="仿宋_GB2312"/>
          <w:b/>
          <w:bCs w:val="0"/>
          <w:color w:val="000000"/>
          <w:kern w:val="2"/>
          <w:sz w:val="32"/>
          <w:szCs w:val="32"/>
          <w:lang w:val="en-US" w:eastAsia="zh-CN" w:bidi="ar-SA"/>
        </w:rPr>
        <w:t>7.住房保障（221）住房改革支出（02）住房公积金（01）:</w:t>
      </w:r>
      <w:r>
        <w:rPr>
          <w:rStyle w:val="19"/>
          <w:rFonts w:hint="eastAsia" w:ascii="仿宋_GB2312" w:eastAsia="仿宋_GB2312" w:cs="仿宋_GB2312"/>
          <w:b w:val="0"/>
          <w:bCs/>
          <w:color w:val="000000"/>
          <w:sz w:val="32"/>
          <w:szCs w:val="32"/>
          <w:lang w:val="en-US" w:eastAsia="zh-CN" w:bidi="ar-SA"/>
        </w:rPr>
        <w:t>支出决算为11.56万元，完成预算100%，决算与预算数持平。</w:t>
      </w:r>
    </w:p>
    <w:p>
      <w:pPr>
        <w:pStyle w:val="1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6" w:lineRule="exact"/>
        <w:ind w:firstLine="642" w:firstLineChars="200"/>
        <w:jc w:val="left"/>
        <w:textAlignment w:val="auto"/>
        <w:outlineLvl w:val="9"/>
        <w:rPr>
          <w:rStyle w:val="19"/>
          <w:rFonts w:hint="default" w:ascii="仿宋_GB2312" w:eastAsia="仿宋_GB2312" w:cs="仿宋_GB2312"/>
          <w:b w:val="0"/>
          <w:bCs/>
          <w:color w:val="000000"/>
          <w:sz w:val="32"/>
          <w:szCs w:val="32"/>
          <w:lang w:val="en-US" w:eastAsia="zh-CN" w:bidi="ar-SA"/>
        </w:rPr>
      </w:pPr>
      <w:r>
        <w:rPr>
          <w:rFonts w:hint="eastAsia" w:ascii="仿宋_GB2312" w:hAnsi="仿宋_GB2312" w:eastAsia="仿宋_GB2312" w:cs="仿宋_GB2312"/>
          <w:b/>
          <w:bCs w:val="0"/>
          <w:color w:val="000000"/>
          <w:kern w:val="2"/>
          <w:sz w:val="32"/>
          <w:szCs w:val="32"/>
          <w:lang w:val="en-US" w:eastAsia="zh-CN" w:bidi="ar-SA"/>
        </w:rPr>
        <w:t>8.住房保障（221）住房改革支出（02）购房补贴（02）:</w:t>
      </w:r>
      <w:r>
        <w:rPr>
          <w:rStyle w:val="19"/>
          <w:rFonts w:hint="eastAsia" w:ascii="仿宋_GB2312" w:eastAsia="仿宋_GB2312" w:cs="仿宋_GB2312"/>
          <w:b w:val="0"/>
          <w:bCs/>
          <w:color w:val="000000"/>
          <w:sz w:val="32"/>
          <w:szCs w:val="32"/>
          <w:lang w:val="en-US" w:eastAsia="zh-CN" w:bidi="ar-SA"/>
        </w:rPr>
        <w:t>支出决算为1.20万元，完成预算100%，决算与预算数持平。</w:t>
      </w:r>
    </w:p>
    <w:p>
      <w:pPr>
        <w:pStyle w:val="29"/>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Times New Roman" w:hAnsi="Times New Roman" w:eastAsia="黑体"/>
          <w:color w:val="auto"/>
          <w:sz w:val="32"/>
          <w:szCs w:val="32"/>
          <w:highlight w:val="none"/>
          <w:lang w:eastAsia="zh-CN"/>
        </w:rPr>
      </w:pPr>
      <w:bookmarkStart w:id="43" w:name="_Toc23558"/>
      <w:r>
        <w:rPr>
          <w:rFonts w:hint="eastAsia" w:ascii="Times New Roman" w:hAnsi="Times New Roman" w:eastAsia="黑体"/>
          <w:color w:val="auto"/>
          <w:sz w:val="32"/>
          <w:szCs w:val="32"/>
          <w:highlight w:val="none"/>
          <w:lang w:eastAsia="zh-CN"/>
        </w:rPr>
        <w:t>六、一般公共预算财政拨款基本支出决算情况说明</w:t>
      </w:r>
      <w:bookmarkEnd w:id="41"/>
      <w:bookmarkEnd w:id="42"/>
      <w:bookmarkEnd w:id="43"/>
      <w:r>
        <w:rPr>
          <w:rFonts w:hint="eastAsia" w:ascii="Times New Roman" w:hAnsi="Times New Roman" w:eastAsia="黑体"/>
          <w:color w:val="auto"/>
          <w:sz w:val="32"/>
          <w:szCs w:val="32"/>
          <w:highlight w:val="none"/>
          <w:lang w:eastAsia="zh-CN"/>
        </w:rPr>
        <w:tab/>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2024年度一般公</w:t>
      </w:r>
      <w:r>
        <w:rPr>
          <w:rFonts w:hint="eastAsia" w:ascii="Times New Roman" w:hAnsi="Times New Roman" w:eastAsia="仿宋_GB2312" w:cs="仿宋_GB2312"/>
          <w:color w:val="auto"/>
          <w:kern w:val="2"/>
          <w:sz w:val="32"/>
          <w:szCs w:val="32"/>
          <w:highlight w:val="none"/>
          <w:lang w:val="en-US" w:eastAsia="zh-CN" w:bidi="ar-SA"/>
        </w:rPr>
        <w:t>共预算财政拨款基本支出</w:t>
      </w:r>
      <w:r>
        <w:rPr>
          <w:rFonts w:hint="eastAsia" w:ascii="仿宋_GB2312" w:hAnsi="仿宋_GB2312" w:eastAsia="仿宋_GB2312" w:cs="仿宋_GB2312"/>
          <w:sz w:val="32"/>
          <w:szCs w:val="32"/>
        </w:rPr>
        <w:t>157.21</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元，其中：</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人员经费</w:t>
      </w:r>
      <w:r>
        <w:rPr>
          <w:rFonts w:hint="eastAsia" w:ascii="仿宋_GB2312" w:hAnsi="仿宋_GB2312" w:eastAsia="仿宋_GB2312" w:cs="仿宋_GB2312"/>
          <w:sz w:val="32"/>
          <w:szCs w:val="32"/>
        </w:rPr>
        <w:t>150.96</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r>
        <w:rPr>
          <w:rFonts w:hint="eastAsia" w:ascii="Times New Roman" w:hAnsi="Times New Roman" w:eastAsia="仿宋_GB2312" w:cs="仿宋_GB2312"/>
          <w:color w:val="auto"/>
          <w:kern w:val="2"/>
          <w:sz w:val="32"/>
          <w:szCs w:val="32"/>
          <w:highlight w:val="none"/>
          <w:lang w:val="en-US" w:eastAsia="zh-CN" w:bidi="ar-SA"/>
        </w:rPr>
        <w:br w:type="textWrapping"/>
      </w:r>
      <w:r>
        <w:rPr>
          <w:rFonts w:hint="eastAsia" w:ascii="Times New Roman" w:hAnsi="Times New Roman" w:eastAsia="仿宋_GB2312" w:cs="仿宋_GB2312"/>
          <w:color w:val="auto"/>
          <w:kern w:val="2"/>
          <w:sz w:val="32"/>
          <w:szCs w:val="32"/>
          <w:highlight w:val="none"/>
          <w:lang w:val="en-US" w:eastAsia="zh-CN" w:bidi="ar-SA"/>
        </w:rPr>
        <w:t>　　公用经费</w:t>
      </w:r>
      <w:r>
        <w:rPr>
          <w:rFonts w:hint="eastAsia" w:ascii="仿宋_GB2312" w:hAnsi="仿宋_GB2312" w:eastAsia="仿宋_GB2312" w:cs="仿宋_GB2312"/>
          <w:sz w:val="32"/>
          <w:szCs w:val="32"/>
        </w:rPr>
        <w:t>6.2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pPr>
        <w:pStyle w:val="29"/>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Times New Roman" w:hAnsi="Times New Roman" w:eastAsia="黑体"/>
          <w:color w:val="auto"/>
          <w:sz w:val="32"/>
          <w:szCs w:val="32"/>
          <w:highlight w:val="none"/>
          <w:lang w:eastAsia="zh-CN"/>
        </w:rPr>
      </w:pPr>
      <w:bookmarkStart w:id="44" w:name="_Toc15377215"/>
      <w:bookmarkStart w:id="45" w:name="_Toc15396609"/>
      <w:bookmarkStart w:id="46" w:name="_Toc13880"/>
      <w:r>
        <w:rPr>
          <w:rFonts w:hint="eastAsia" w:ascii="Times New Roman" w:hAnsi="Times New Roman" w:eastAsia="黑体"/>
          <w:color w:val="auto"/>
          <w:sz w:val="32"/>
          <w:szCs w:val="32"/>
          <w:highlight w:val="none"/>
          <w:lang w:eastAsia="zh-CN"/>
        </w:rPr>
        <w:t>七、财政拨款“三公”经费支出决算情况说明</w:t>
      </w:r>
      <w:bookmarkEnd w:id="44"/>
      <w:bookmarkEnd w:id="45"/>
      <w:bookmarkEnd w:id="46"/>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outlineLvl w:val="9"/>
        <w:rPr>
          <w:rFonts w:hint="eastAsia" w:ascii="Times New Roman" w:hAnsi="Times New Roman" w:eastAsia="楷体_GB2312" w:cs="楷体_GB2312"/>
          <w:b/>
          <w:color w:val="auto"/>
          <w:sz w:val="32"/>
          <w:szCs w:val="32"/>
          <w:highlight w:val="none"/>
        </w:rPr>
      </w:pPr>
      <w:bookmarkStart w:id="47" w:name="_Toc15377216"/>
      <w:r>
        <w:rPr>
          <w:rFonts w:hint="eastAsia" w:ascii="Times New Roman" w:hAnsi="Times New Roman" w:eastAsia="楷体_GB2312" w:cs="楷体_GB2312"/>
          <w:b/>
          <w:color w:val="auto"/>
          <w:sz w:val="32"/>
          <w:szCs w:val="32"/>
          <w:highlight w:val="none"/>
        </w:rPr>
        <w:t>（一）“三公”经费财政拨款支出决算总体情况说明</w:t>
      </w:r>
      <w:bookmarkEnd w:id="47"/>
    </w:p>
    <w:p>
      <w:pPr>
        <w:spacing w:line="600" w:lineRule="exact"/>
        <w:ind w:firstLine="64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2024年度“三公”经费财政拨款支出决算为1.60万元，完成预算100%，较上年度减少2.47万元，下降6.07%。决算数小于预算数2.51万元的主要原因是：厉行节约。</w:t>
      </w:r>
    </w:p>
    <w:p>
      <w:pPr>
        <w:pStyle w:val="2"/>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outlineLvl w:val="9"/>
        <w:rPr>
          <w:rFonts w:hint="eastAsia" w:ascii="Times New Roman" w:hAnsi="Times New Roman" w:eastAsia="楷体_GB2312" w:cs="楷体_GB2312"/>
          <w:b/>
          <w:color w:val="auto"/>
          <w:sz w:val="32"/>
          <w:szCs w:val="32"/>
          <w:highlight w:val="none"/>
        </w:rPr>
      </w:pPr>
      <w:bookmarkStart w:id="48" w:name="_Toc15377217"/>
      <w:r>
        <w:rPr>
          <w:rFonts w:hint="eastAsia" w:ascii="Times New Roman" w:hAnsi="Times New Roman" w:eastAsia="楷体_GB2312" w:cs="楷体_GB2312"/>
          <w:b/>
          <w:color w:val="auto"/>
          <w:sz w:val="32"/>
          <w:szCs w:val="32"/>
          <w:highlight w:val="none"/>
        </w:rPr>
        <w:t>（二）“三公”经费财政拨款支出决算具体情况说明</w:t>
      </w:r>
      <w:bookmarkEnd w:id="48"/>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outlineLvl w:val="9"/>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2024年度“三公”经费财政拨款支出决算中，因公出国（境）费支出决算</w:t>
      </w:r>
      <w:r>
        <w:rPr>
          <w:rFonts w:hint="eastAsia" w:ascii="仿宋_GB2312" w:hAnsi="仿宋_GB2312" w:eastAsia="仿宋_GB2312" w:cs="仿宋_GB2312"/>
          <w:sz w:val="32"/>
          <w:szCs w:val="32"/>
        </w:rPr>
        <w:t>0</w:t>
      </w:r>
      <w:r>
        <w:rPr>
          <w:rFonts w:hint="eastAsia" w:ascii="仿宋_GB2312" w:hAnsi="仿宋_GB2312" w:eastAsia="仿宋_GB2312" w:cs="仿宋_GB2312"/>
          <w:sz w:val="32"/>
          <w:szCs w:val="32"/>
          <w:lang w:val="en-US" w:eastAsia="zh-CN"/>
        </w:rPr>
        <w:t>.00</w:t>
      </w:r>
      <w:r>
        <w:rPr>
          <w:rFonts w:hint="eastAsia" w:ascii="仿宋_GB2312" w:hAnsi="仿宋_GB2312" w:eastAsia="仿宋_GB2312" w:cs="仿宋_GB2312"/>
          <w:color w:val="auto"/>
          <w:kern w:val="2"/>
          <w:sz w:val="32"/>
          <w:szCs w:val="32"/>
          <w:highlight w:val="none"/>
          <w:lang w:val="en-US" w:eastAsia="zh-CN" w:bidi="ar-SA"/>
        </w:rPr>
        <w:t>万元，占0%；公务用车购置及运行维护费支出决算</w:t>
      </w:r>
      <w:r>
        <w:rPr>
          <w:rFonts w:hint="eastAsia" w:ascii="仿宋_GB2312" w:hAnsi="仿宋_GB2312" w:eastAsia="仿宋_GB2312" w:cs="仿宋_GB2312"/>
          <w:sz w:val="32"/>
          <w:szCs w:val="32"/>
        </w:rPr>
        <w:t>1.6</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color w:val="auto"/>
          <w:kern w:val="2"/>
          <w:sz w:val="32"/>
          <w:szCs w:val="32"/>
          <w:highlight w:val="none"/>
          <w:lang w:val="en-US" w:eastAsia="zh-CN" w:bidi="ar-SA"/>
        </w:rPr>
        <w:t>万元，占100%；公务接待费支出决算</w:t>
      </w:r>
      <w:r>
        <w:rPr>
          <w:rFonts w:hint="eastAsia" w:ascii="仿宋_GB2312" w:hAnsi="仿宋_GB2312" w:eastAsia="仿宋_GB2312" w:cs="仿宋_GB2312"/>
          <w:sz w:val="32"/>
          <w:szCs w:val="32"/>
        </w:rPr>
        <w:t>0</w:t>
      </w:r>
      <w:r>
        <w:rPr>
          <w:rFonts w:hint="eastAsia" w:ascii="仿宋_GB2312" w:hAnsi="仿宋_GB2312" w:eastAsia="仿宋_GB2312" w:cs="仿宋_GB2312"/>
          <w:sz w:val="32"/>
          <w:szCs w:val="32"/>
          <w:lang w:val="en-US" w:eastAsia="zh-CN"/>
        </w:rPr>
        <w:t>.00</w:t>
      </w:r>
      <w:r>
        <w:rPr>
          <w:rFonts w:hint="eastAsia" w:ascii="仿宋_GB2312" w:hAnsi="仿宋_GB2312" w:eastAsia="仿宋_GB2312" w:cs="仿宋_GB2312"/>
          <w:color w:val="auto"/>
          <w:kern w:val="2"/>
          <w:sz w:val="32"/>
          <w:szCs w:val="32"/>
          <w:highlight w:val="none"/>
          <w:lang w:val="en-US" w:eastAsia="zh-CN" w:bidi="ar-SA"/>
        </w:rPr>
        <w:t>万元，占0%。具体情况如下：</w:t>
      </w:r>
    </w:p>
    <w:p>
      <w:pPr>
        <w:pStyle w:val="2"/>
        <w:rPr>
          <w:rFonts w:hint="eastAsia" w:ascii="Times New Roman" w:hAnsi="Times New Roman" w:eastAsia="仿宋_GB2312" w:cs="仿宋_GB2312"/>
          <w:color w:val="auto"/>
          <w:kern w:val="2"/>
          <w:sz w:val="32"/>
          <w:szCs w:val="32"/>
          <w:highlight w:val="none"/>
          <w:lang w:val="en-US" w:eastAsia="zh-CN" w:bidi="ar-SA"/>
        </w:rPr>
      </w:pPr>
      <w:r>
        <w:rPr>
          <w:rFonts w:eastAsia="宋体"/>
          <w:lang w:eastAsia="zh-CN"/>
        </w:rPr>
        <w:object>
          <v:shape id="_x0000_i1031" o:spt="75" alt="5.emf" type="#_x0000_t75" style="height:220.9pt;width:353.95pt;" o:ole="t" filled="f" o:preferrelative="t" stroked="f" coordsize="21600,21600">
            <v:path/>
            <v:fill on="f" focussize="0,0"/>
            <v:stroke on="f"/>
            <v:imagedata r:id="rId23" o:title=""/>
            <o:lock v:ext="edit" aspectratio="t"/>
            <w10:wrap type="none"/>
            <w10:anchorlock/>
          </v:shape>
          <o:OLEObject Type="Embed" ProgID="Excel.Sheet.8" ShapeID="_x0000_i1031" DrawAspect="Content" ObjectID="_1468075731" r:id="rId22">
            <o:LockedField>false</o:LockedField>
          </o:OLEObject>
        </w:objec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outlineLvl w:val="9"/>
        <w:rPr>
          <w:rFonts w:hint="eastAsia" w:ascii="仿宋_GB2312" w:hAnsi="仿宋_GB2312" w:eastAsia="仿宋_GB2312" w:cs="仿宋_GB2312"/>
          <w:color w:val="auto"/>
          <w:kern w:val="2"/>
          <w:sz w:val="32"/>
          <w:szCs w:val="32"/>
          <w:highlight w:val="none"/>
          <w:lang w:val="en-US" w:eastAsia="zh-CN" w:bidi="ar-SA"/>
        </w:rPr>
      </w:pPr>
      <w:bookmarkStart w:id="49" w:name="_Toc15377218"/>
      <w:bookmarkStart w:id="50" w:name="_Toc15396610"/>
      <w:r>
        <w:rPr>
          <w:rFonts w:hint="eastAsia" w:ascii="仿宋_GB2312" w:hAnsi="仿宋_GB2312" w:eastAsia="仿宋_GB2312" w:cs="仿宋_GB2312"/>
          <w:b/>
          <w:bCs/>
          <w:color w:val="auto"/>
          <w:kern w:val="2"/>
          <w:sz w:val="32"/>
          <w:szCs w:val="32"/>
          <w:highlight w:val="none"/>
          <w:lang w:val="en-US" w:eastAsia="zh-CN" w:bidi="ar-SA"/>
        </w:rPr>
        <w:t>1.因公出国（境）经费支出0.00万元，完成预算100%。</w:t>
      </w:r>
      <w:r>
        <w:rPr>
          <w:rFonts w:hint="eastAsia" w:ascii="仿宋_GB2312" w:hAnsi="仿宋_GB2312" w:eastAsia="仿宋_GB2312" w:cs="仿宋_GB2312"/>
          <w:color w:val="auto"/>
          <w:kern w:val="2"/>
          <w:sz w:val="32"/>
          <w:szCs w:val="32"/>
          <w:highlight w:val="none"/>
          <w:lang w:val="en-US" w:eastAsia="zh-CN" w:bidi="ar-SA"/>
        </w:rPr>
        <w:t>全年安排因公出国（境）团组0次，出国（境）0人。因公出国（境）支出决算与2023年相比持平。</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outlineLvl w:val="9"/>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b/>
          <w:bCs/>
          <w:color w:val="auto"/>
          <w:kern w:val="2"/>
          <w:sz w:val="32"/>
          <w:szCs w:val="32"/>
          <w:highlight w:val="none"/>
          <w:lang w:val="en-US" w:eastAsia="zh-CN" w:bidi="ar-SA"/>
        </w:rPr>
        <w:t>2.公务用车购置及运行维护费支出1.60万元，完成预算100%。</w:t>
      </w:r>
      <w:r>
        <w:rPr>
          <w:rFonts w:hint="eastAsia" w:ascii="仿宋_GB2312" w:hAnsi="仿宋_GB2312" w:eastAsia="仿宋_GB2312" w:cs="仿宋_GB2312"/>
          <w:color w:val="auto"/>
          <w:kern w:val="2"/>
          <w:sz w:val="32"/>
          <w:szCs w:val="32"/>
          <w:highlight w:val="none"/>
          <w:lang w:val="en-US" w:eastAsia="zh-CN" w:bidi="ar-SA"/>
        </w:rPr>
        <w:t>公务用车购置及运行维护费支出决算比2023年度增减少2.38万元，下降59.8%。主要原因是：外出开展业务活动减少。</w:t>
      </w:r>
    </w:p>
    <w:p>
      <w:pPr>
        <w:spacing w:line="600" w:lineRule="exact"/>
        <w:ind w:firstLine="640"/>
        <w:rPr>
          <w:rFonts w:hint="eastAsia" w:ascii="仿宋_GB2312" w:eastAsia="仿宋_GB2312"/>
          <w:sz w:val="32"/>
          <w:szCs w:val="32"/>
        </w:rPr>
      </w:pPr>
      <w:r>
        <w:rPr>
          <w:rFonts w:hint="eastAsia" w:ascii="Times New Roman" w:hAnsi="Times New Roman" w:eastAsia="仿宋_GB2312" w:cs="仿宋_GB2312"/>
          <w:color w:val="auto"/>
          <w:kern w:val="2"/>
          <w:sz w:val="32"/>
          <w:szCs w:val="32"/>
          <w:highlight w:val="none"/>
          <w:lang w:val="en-US" w:eastAsia="zh-CN" w:bidi="ar-SA"/>
        </w:rPr>
        <w:t>其中：公务用车购置支</w:t>
      </w:r>
      <w:r>
        <w:rPr>
          <w:rFonts w:hint="eastAsia" w:ascii="仿宋_GB2312" w:hAnsi="仿宋_GB2312" w:eastAsia="仿宋_GB2312" w:cs="仿宋_GB2312"/>
          <w:color w:val="auto"/>
          <w:kern w:val="2"/>
          <w:sz w:val="32"/>
          <w:szCs w:val="32"/>
          <w:highlight w:val="none"/>
          <w:lang w:val="en-US" w:eastAsia="zh-CN" w:bidi="ar-SA"/>
        </w:rPr>
        <w:t>出</w:t>
      </w:r>
      <w:r>
        <w:rPr>
          <w:rFonts w:hint="eastAsia" w:ascii="仿宋_GB2312" w:hAnsi="仿宋_GB2312" w:eastAsia="仿宋_GB2312" w:cs="仿宋_GB2312"/>
          <w:sz w:val="32"/>
          <w:szCs w:val="32"/>
        </w:rPr>
        <w:t>0</w:t>
      </w:r>
      <w:r>
        <w:rPr>
          <w:rFonts w:hint="eastAsia" w:ascii="仿宋_GB2312" w:hAnsi="仿宋_GB2312" w:eastAsia="仿宋_GB2312" w:cs="仿宋_GB2312"/>
          <w:sz w:val="32"/>
          <w:szCs w:val="32"/>
          <w:lang w:val="en-US" w:eastAsia="zh-CN"/>
        </w:rPr>
        <w:t>.00</w:t>
      </w:r>
      <w:r>
        <w:rPr>
          <w:rFonts w:hint="eastAsia" w:ascii="Times New Roman" w:hAnsi="Times New Roman" w:eastAsia="仿宋_GB2312" w:cs="仿宋_GB2312"/>
          <w:color w:val="auto"/>
          <w:kern w:val="2"/>
          <w:sz w:val="32"/>
          <w:szCs w:val="32"/>
          <w:highlight w:val="none"/>
          <w:lang w:val="en-US" w:eastAsia="zh-CN" w:bidi="ar-SA"/>
        </w:rPr>
        <w:t>万元。</w:t>
      </w:r>
      <w:r>
        <w:rPr>
          <w:rFonts w:hint="eastAsia" w:ascii="仿宋_GB2312" w:eastAsia="仿宋_GB2312"/>
          <w:sz w:val="32"/>
          <w:szCs w:val="32"/>
        </w:rPr>
        <w:t>全年按规定更新购置公务用车</w:t>
      </w:r>
      <w:r>
        <w:rPr>
          <w:rFonts w:hint="eastAsia" w:ascii="仿宋_GB2312" w:eastAsia="仿宋_GB2312"/>
          <w:sz w:val="32"/>
          <w:szCs w:val="32"/>
          <w:lang w:val="en-US" w:eastAsia="zh-CN"/>
        </w:rPr>
        <w:t>0</w:t>
      </w:r>
      <w:r>
        <w:rPr>
          <w:rFonts w:hint="eastAsia" w:ascii="仿宋_GB2312" w:eastAsia="仿宋_GB2312"/>
          <w:sz w:val="32"/>
          <w:szCs w:val="32"/>
        </w:rPr>
        <w:t>辆，其中：轿车</w:t>
      </w:r>
      <w:r>
        <w:rPr>
          <w:rFonts w:hint="eastAsia" w:ascii="仿宋_GB2312" w:eastAsia="仿宋_GB2312"/>
          <w:sz w:val="32"/>
          <w:szCs w:val="32"/>
          <w:lang w:val="en-US" w:eastAsia="zh-CN"/>
        </w:rPr>
        <w:t>0</w:t>
      </w:r>
      <w:r>
        <w:rPr>
          <w:rFonts w:hint="eastAsia" w:ascii="仿宋_GB2312" w:eastAsia="仿宋_GB2312"/>
          <w:sz w:val="32"/>
          <w:szCs w:val="32"/>
        </w:rPr>
        <w:t>辆</w:t>
      </w:r>
      <w:r>
        <w:rPr>
          <w:rFonts w:hint="eastAsia" w:ascii="仿宋_GB2312" w:eastAsia="仿宋_GB2312"/>
          <w:sz w:val="32"/>
          <w:szCs w:val="32"/>
          <w:lang w:eastAsia="zh-CN"/>
        </w:rPr>
        <w:t>，</w:t>
      </w:r>
      <w:r>
        <w:rPr>
          <w:rFonts w:hint="eastAsia" w:ascii="仿宋_GB2312" w:eastAsia="仿宋_GB2312"/>
          <w:sz w:val="32"/>
          <w:szCs w:val="32"/>
        </w:rPr>
        <w:t>金额</w:t>
      </w:r>
      <w:r>
        <w:rPr>
          <w:rFonts w:hint="eastAsia" w:ascii="仿宋_GB2312" w:eastAsia="仿宋_GB2312"/>
          <w:sz w:val="32"/>
          <w:szCs w:val="32"/>
          <w:lang w:val="en-US" w:eastAsia="zh-CN"/>
        </w:rPr>
        <w:t>0.00</w:t>
      </w:r>
      <w:r>
        <w:rPr>
          <w:rFonts w:hint="eastAsia" w:ascii="仿宋_GB2312" w:eastAsia="仿宋_GB2312"/>
          <w:sz w:val="32"/>
          <w:szCs w:val="32"/>
        </w:rPr>
        <w:t>万元</w:t>
      </w:r>
      <w:r>
        <w:rPr>
          <w:rFonts w:hint="eastAsia" w:ascii="仿宋_GB2312" w:eastAsia="仿宋_GB2312"/>
          <w:sz w:val="32"/>
          <w:szCs w:val="32"/>
          <w:lang w:eastAsia="zh-CN"/>
        </w:rPr>
        <w:t>；</w:t>
      </w:r>
      <w:r>
        <w:rPr>
          <w:rFonts w:hint="eastAsia" w:ascii="仿宋_GB2312" w:eastAsia="仿宋_GB2312"/>
          <w:sz w:val="32"/>
          <w:szCs w:val="32"/>
        </w:rPr>
        <w:t>越野车</w:t>
      </w:r>
      <w:r>
        <w:rPr>
          <w:rFonts w:hint="eastAsia" w:ascii="仿宋_GB2312" w:eastAsia="仿宋_GB2312"/>
          <w:sz w:val="32"/>
          <w:szCs w:val="32"/>
          <w:lang w:val="en-US" w:eastAsia="zh-CN"/>
        </w:rPr>
        <w:t>0</w:t>
      </w:r>
      <w:r>
        <w:rPr>
          <w:rFonts w:hint="eastAsia" w:ascii="仿宋_GB2312" w:eastAsia="仿宋_GB2312"/>
          <w:sz w:val="32"/>
          <w:szCs w:val="32"/>
        </w:rPr>
        <w:t>辆</w:t>
      </w:r>
      <w:r>
        <w:rPr>
          <w:rFonts w:hint="eastAsia" w:ascii="仿宋_GB2312" w:eastAsia="仿宋_GB2312"/>
          <w:sz w:val="32"/>
          <w:szCs w:val="32"/>
          <w:lang w:eastAsia="zh-CN"/>
        </w:rPr>
        <w:t>，</w:t>
      </w:r>
      <w:r>
        <w:rPr>
          <w:rFonts w:hint="eastAsia" w:ascii="仿宋_GB2312" w:eastAsia="仿宋_GB2312"/>
          <w:sz w:val="32"/>
          <w:szCs w:val="32"/>
        </w:rPr>
        <w:t>金额</w:t>
      </w:r>
      <w:r>
        <w:rPr>
          <w:rFonts w:hint="eastAsia" w:ascii="仿宋_GB2312" w:eastAsia="仿宋_GB2312"/>
          <w:sz w:val="32"/>
          <w:szCs w:val="32"/>
          <w:lang w:val="en-US" w:eastAsia="zh-CN"/>
        </w:rPr>
        <w:t>0.00</w:t>
      </w:r>
      <w:r>
        <w:rPr>
          <w:rFonts w:hint="eastAsia" w:ascii="仿宋_GB2312" w:eastAsia="仿宋_GB2312"/>
          <w:sz w:val="32"/>
          <w:szCs w:val="32"/>
        </w:rPr>
        <w:t>万元</w:t>
      </w:r>
      <w:r>
        <w:rPr>
          <w:rFonts w:hint="eastAsia" w:ascii="仿宋_GB2312" w:eastAsia="仿宋_GB2312"/>
          <w:sz w:val="32"/>
          <w:szCs w:val="32"/>
          <w:lang w:eastAsia="zh-CN"/>
        </w:rPr>
        <w:t>；</w:t>
      </w:r>
      <w:r>
        <w:rPr>
          <w:rFonts w:hint="eastAsia" w:ascii="仿宋_GB2312" w:eastAsia="仿宋_GB2312"/>
          <w:sz w:val="32"/>
          <w:szCs w:val="32"/>
        </w:rPr>
        <w:t>载客汽车</w:t>
      </w:r>
      <w:r>
        <w:rPr>
          <w:rFonts w:hint="eastAsia" w:ascii="仿宋_GB2312" w:eastAsia="仿宋_GB2312"/>
          <w:sz w:val="32"/>
          <w:szCs w:val="32"/>
          <w:lang w:val="en-US" w:eastAsia="zh-CN"/>
        </w:rPr>
        <w:t>0</w:t>
      </w:r>
      <w:r>
        <w:rPr>
          <w:rFonts w:hint="eastAsia" w:ascii="仿宋_GB2312" w:eastAsia="仿宋_GB2312"/>
          <w:sz w:val="32"/>
          <w:szCs w:val="32"/>
        </w:rPr>
        <w:t>辆</w:t>
      </w:r>
      <w:r>
        <w:rPr>
          <w:rFonts w:hint="eastAsia" w:ascii="仿宋_GB2312" w:eastAsia="仿宋_GB2312"/>
          <w:sz w:val="32"/>
          <w:szCs w:val="32"/>
          <w:lang w:eastAsia="zh-CN"/>
        </w:rPr>
        <w:t>，</w:t>
      </w:r>
      <w:r>
        <w:rPr>
          <w:rFonts w:hint="eastAsia" w:ascii="仿宋_GB2312" w:eastAsia="仿宋_GB2312"/>
          <w:sz w:val="32"/>
          <w:szCs w:val="32"/>
        </w:rPr>
        <w:t>金额</w:t>
      </w:r>
      <w:r>
        <w:rPr>
          <w:rFonts w:hint="eastAsia" w:ascii="仿宋_GB2312" w:eastAsia="仿宋_GB2312"/>
          <w:sz w:val="32"/>
          <w:szCs w:val="32"/>
          <w:lang w:val="en-US" w:eastAsia="zh-CN"/>
        </w:rPr>
        <w:t>0.00</w:t>
      </w:r>
      <w:r>
        <w:rPr>
          <w:rFonts w:hint="eastAsia" w:ascii="仿宋_GB2312" w:eastAsia="仿宋_GB2312"/>
          <w:sz w:val="32"/>
          <w:szCs w:val="32"/>
        </w:rPr>
        <w:t>万元。截至202</w:t>
      </w:r>
      <w:r>
        <w:rPr>
          <w:rFonts w:hint="eastAsia" w:ascii="仿宋_GB2312" w:eastAsia="仿宋_GB2312"/>
          <w:sz w:val="32"/>
          <w:szCs w:val="32"/>
          <w:lang w:val="en-US" w:eastAsia="zh-CN"/>
        </w:rPr>
        <w:t>4</w:t>
      </w:r>
      <w:r>
        <w:rPr>
          <w:rFonts w:hint="eastAsia" w:ascii="仿宋_GB2312" w:eastAsia="仿宋_GB2312"/>
          <w:sz w:val="32"/>
          <w:szCs w:val="32"/>
        </w:rPr>
        <w:t>年</w:t>
      </w:r>
      <w:r>
        <w:rPr>
          <w:rFonts w:ascii="仿宋_GB2312" w:eastAsia="仿宋_GB2312"/>
          <w:sz w:val="32"/>
          <w:szCs w:val="32"/>
        </w:rPr>
        <w:t>12</w:t>
      </w:r>
      <w:r>
        <w:rPr>
          <w:rFonts w:hint="eastAsia" w:ascii="仿宋_GB2312" w:eastAsia="仿宋_GB2312"/>
          <w:sz w:val="32"/>
          <w:szCs w:val="32"/>
        </w:rPr>
        <w:t>月31日，单位共有公务用车</w:t>
      </w:r>
      <w:r>
        <w:rPr>
          <w:rFonts w:hint="eastAsia" w:ascii="仿宋_GB2312" w:eastAsia="仿宋_GB2312"/>
          <w:sz w:val="32"/>
          <w:szCs w:val="32"/>
          <w:lang w:val="en-US" w:eastAsia="zh-CN"/>
        </w:rPr>
        <w:t>1</w:t>
      </w:r>
      <w:r>
        <w:rPr>
          <w:rFonts w:hint="eastAsia" w:ascii="仿宋_GB2312" w:eastAsia="仿宋_GB2312"/>
          <w:sz w:val="32"/>
          <w:szCs w:val="32"/>
        </w:rPr>
        <w:t>辆，其中：轿车</w:t>
      </w:r>
      <w:r>
        <w:rPr>
          <w:rFonts w:hint="eastAsia" w:ascii="仿宋_GB2312" w:eastAsia="仿宋_GB2312"/>
          <w:sz w:val="32"/>
          <w:szCs w:val="32"/>
          <w:lang w:val="en-US" w:eastAsia="zh-CN"/>
        </w:rPr>
        <w:t>0</w:t>
      </w:r>
      <w:r>
        <w:rPr>
          <w:rFonts w:hint="eastAsia" w:ascii="仿宋_GB2312" w:eastAsia="仿宋_GB2312"/>
          <w:sz w:val="32"/>
          <w:szCs w:val="32"/>
        </w:rPr>
        <w:t>辆、越野车</w:t>
      </w:r>
      <w:r>
        <w:rPr>
          <w:rFonts w:hint="eastAsia" w:ascii="仿宋_GB2312" w:eastAsia="仿宋_GB2312"/>
          <w:sz w:val="32"/>
          <w:szCs w:val="32"/>
          <w:lang w:val="en-US" w:eastAsia="zh-CN"/>
        </w:rPr>
        <w:t>1</w:t>
      </w:r>
      <w:r>
        <w:rPr>
          <w:rFonts w:hint="eastAsia" w:ascii="仿宋_GB2312" w:eastAsia="仿宋_GB2312"/>
          <w:sz w:val="32"/>
          <w:szCs w:val="32"/>
        </w:rPr>
        <w:t>辆、载客汽车</w:t>
      </w:r>
      <w:r>
        <w:rPr>
          <w:rFonts w:hint="eastAsia" w:ascii="仿宋_GB2312" w:eastAsia="仿宋_GB2312"/>
          <w:sz w:val="32"/>
          <w:szCs w:val="32"/>
          <w:lang w:val="en-US" w:eastAsia="zh-CN"/>
        </w:rPr>
        <w:t>0</w:t>
      </w:r>
      <w:r>
        <w:rPr>
          <w:rFonts w:hint="eastAsia" w:ascii="仿宋_GB2312" w:eastAsia="仿宋_GB2312"/>
          <w:sz w:val="32"/>
          <w:szCs w:val="32"/>
        </w:rPr>
        <w:t>辆。</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仿宋_GB2312" w:hAnsi="仿宋_GB2312" w:eastAsia="仿宋_GB2312" w:cs="仿宋_GB2312"/>
          <w:b/>
          <w:bCs/>
          <w:color w:val="auto"/>
          <w:kern w:val="2"/>
          <w:sz w:val="32"/>
          <w:szCs w:val="32"/>
          <w:highlight w:val="none"/>
          <w:lang w:val="en-US" w:eastAsia="zh-CN" w:bidi="ar-SA"/>
        </w:rPr>
        <w:t>公务用车运行维护费支出1.60万元。</w:t>
      </w:r>
      <w:r>
        <w:rPr>
          <w:rFonts w:hint="eastAsia" w:ascii="Times New Roman" w:hAnsi="Times New Roman" w:eastAsia="仿宋_GB2312" w:cs="仿宋_GB2312"/>
          <w:color w:val="auto"/>
          <w:kern w:val="2"/>
          <w:sz w:val="32"/>
          <w:szCs w:val="32"/>
          <w:highlight w:val="none"/>
          <w:lang w:val="en-US" w:eastAsia="zh-CN" w:bidi="ar-SA"/>
        </w:rPr>
        <w:t>主要用于</w:t>
      </w:r>
      <w:r>
        <w:rPr>
          <w:rFonts w:hint="eastAsia" w:ascii="仿宋_GB2312" w:eastAsia="仿宋_GB2312" w:cs="仿宋_GB2312"/>
          <w:color w:val="000000"/>
          <w:sz w:val="32"/>
          <w:szCs w:val="32"/>
          <w:lang w:eastAsia="zh-CN" w:bidi="ar-SA"/>
        </w:rPr>
        <w:t>参加培训、开展科普工作等</w:t>
      </w:r>
      <w:r>
        <w:rPr>
          <w:rFonts w:hint="eastAsia" w:ascii="仿宋_GB2312" w:eastAsia="仿宋_GB2312" w:cs="仿宋_GB2312"/>
          <w:color w:val="000000"/>
          <w:sz w:val="32"/>
          <w:szCs w:val="32"/>
          <w:lang w:bidi="ar-SA"/>
        </w:rPr>
        <w:t>所需的</w:t>
      </w:r>
      <w:r>
        <w:rPr>
          <w:rFonts w:hint="eastAsia" w:ascii="Times New Roman" w:hAnsi="Times New Roman" w:eastAsia="仿宋_GB2312" w:cs="仿宋_GB2312"/>
          <w:color w:val="auto"/>
          <w:kern w:val="2"/>
          <w:sz w:val="32"/>
          <w:szCs w:val="32"/>
          <w:highlight w:val="none"/>
          <w:lang w:val="en-US" w:eastAsia="zh-CN" w:bidi="ar-SA"/>
        </w:rPr>
        <w:t>公务用车燃料费、维修费、过路过桥费、保险费等支出。</w:t>
      </w:r>
    </w:p>
    <w:p>
      <w:pPr>
        <w:spacing w:line="600" w:lineRule="exact"/>
        <w:ind w:firstLine="64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b/>
          <w:bCs/>
          <w:color w:val="auto"/>
          <w:kern w:val="2"/>
          <w:sz w:val="32"/>
          <w:szCs w:val="32"/>
          <w:highlight w:val="none"/>
          <w:lang w:val="en-US" w:eastAsia="zh-CN" w:bidi="ar-SA"/>
        </w:rPr>
        <w:t>3.公务接待费支出0.00万元，完成预算100%。</w:t>
      </w:r>
      <w:r>
        <w:rPr>
          <w:rFonts w:hint="eastAsia" w:ascii="仿宋_GB2312" w:hAnsi="仿宋_GB2312" w:eastAsia="仿宋_GB2312" w:cs="仿宋_GB2312"/>
          <w:color w:val="auto"/>
          <w:kern w:val="2"/>
          <w:sz w:val="32"/>
          <w:szCs w:val="32"/>
          <w:highlight w:val="none"/>
          <w:lang w:val="en-US" w:eastAsia="zh-CN" w:bidi="ar-SA"/>
        </w:rPr>
        <w:t>公务接待费支出决算比2023年度减少0.14万元，下降100%。主要原因是：厉行节约。</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国内公务接待支</w:t>
      </w:r>
      <w:r>
        <w:rPr>
          <w:rFonts w:hint="eastAsia" w:ascii="仿宋_GB2312" w:hAnsi="仿宋_GB2312" w:eastAsia="仿宋_GB2312" w:cs="仿宋_GB2312"/>
          <w:color w:val="auto"/>
          <w:kern w:val="2"/>
          <w:sz w:val="32"/>
          <w:szCs w:val="32"/>
          <w:highlight w:val="none"/>
          <w:lang w:val="en-US" w:eastAsia="zh-CN" w:bidi="ar-SA"/>
        </w:rPr>
        <w:t>出</w:t>
      </w:r>
      <w:r>
        <w:rPr>
          <w:rFonts w:hint="eastAsia" w:ascii="仿宋_GB2312" w:hAnsi="仿宋_GB2312" w:eastAsia="仿宋_GB2312" w:cs="仿宋_GB2312"/>
          <w:sz w:val="32"/>
          <w:szCs w:val="32"/>
        </w:rPr>
        <w:t>0</w:t>
      </w:r>
      <w:r>
        <w:rPr>
          <w:rFonts w:hint="eastAsia" w:ascii="仿宋_GB2312" w:hAnsi="仿宋_GB2312" w:eastAsia="仿宋_GB2312" w:cs="仿宋_GB2312"/>
          <w:sz w:val="32"/>
          <w:szCs w:val="32"/>
          <w:lang w:val="en-US" w:eastAsia="zh-CN"/>
        </w:rPr>
        <w:t>.00</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元。外事接待支</w:t>
      </w:r>
      <w:r>
        <w:rPr>
          <w:rFonts w:hint="eastAsia" w:ascii="仿宋_GB2312" w:hAnsi="仿宋_GB2312" w:eastAsia="仿宋_GB2312" w:cs="仿宋_GB2312"/>
          <w:color w:val="auto"/>
          <w:kern w:val="2"/>
          <w:sz w:val="32"/>
          <w:szCs w:val="32"/>
          <w:highlight w:val="none"/>
          <w:lang w:val="en-US" w:eastAsia="zh-CN" w:bidi="ar-SA"/>
        </w:rPr>
        <w:t>出</w:t>
      </w:r>
      <w:r>
        <w:rPr>
          <w:rFonts w:hint="eastAsia" w:ascii="仿宋_GB2312" w:hAnsi="仿宋_GB2312" w:eastAsia="仿宋_GB2312" w:cs="仿宋_GB2312"/>
          <w:sz w:val="32"/>
          <w:szCs w:val="32"/>
        </w:rPr>
        <w:t>0</w:t>
      </w:r>
      <w:r>
        <w:rPr>
          <w:rFonts w:hint="eastAsia" w:ascii="仿宋_GB2312" w:hAnsi="仿宋_GB2312" w:eastAsia="仿宋_GB2312" w:cs="仿宋_GB2312"/>
          <w:sz w:val="32"/>
          <w:szCs w:val="32"/>
          <w:lang w:val="en-US" w:eastAsia="zh-CN"/>
        </w:rPr>
        <w:t>.00</w:t>
      </w:r>
      <w:r>
        <w:rPr>
          <w:rFonts w:hint="eastAsia" w:ascii="仿宋_GB2312" w:hAnsi="仿宋_GB2312" w:eastAsia="仿宋_GB2312" w:cs="仿宋_GB2312"/>
          <w:color w:val="auto"/>
          <w:kern w:val="2"/>
          <w:sz w:val="32"/>
          <w:szCs w:val="32"/>
          <w:highlight w:val="none"/>
          <w:lang w:val="en-US" w:eastAsia="zh-CN" w:bidi="ar-SA"/>
        </w:rPr>
        <w:t>万元。</w:t>
      </w:r>
    </w:p>
    <w:p>
      <w:pPr>
        <w:pStyle w:val="29"/>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Times New Roman" w:hAnsi="Times New Roman" w:eastAsia="黑体"/>
          <w:color w:val="auto"/>
          <w:sz w:val="32"/>
          <w:szCs w:val="32"/>
          <w:highlight w:val="none"/>
          <w:lang w:eastAsia="zh-CN"/>
        </w:rPr>
      </w:pPr>
      <w:bookmarkStart w:id="51" w:name="_Toc18370"/>
      <w:r>
        <w:rPr>
          <w:rFonts w:hint="eastAsia" w:ascii="Times New Roman" w:hAnsi="Times New Roman" w:eastAsia="黑体"/>
          <w:color w:val="auto"/>
          <w:sz w:val="32"/>
          <w:szCs w:val="32"/>
          <w:highlight w:val="none"/>
          <w:lang w:eastAsia="zh-CN"/>
        </w:rPr>
        <w:t>八、政府性基金预算支出决算情况说明</w:t>
      </w:r>
      <w:bookmarkEnd w:id="49"/>
      <w:bookmarkEnd w:id="50"/>
      <w:bookmarkEnd w:id="51"/>
    </w:p>
    <w:p>
      <w:pPr>
        <w:spacing w:line="600" w:lineRule="exact"/>
        <w:ind w:firstLine="640"/>
        <w:rPr>
          <w:rFonts w:hint="eastAsia" w:ascii="仿宋_GB2312" w:hAnsi="仿宋_GB2312" w:eastAsia="仿宋_GB2312" w:cs="仿宋_GB2312"/>
          <w:color w:val="auto"/>
          <w:kern w:val="2"/>
          <w:sz w:val="32"/>
          <w:szCs w:val="32"/>
          <w:highlight w:val="none"/>
          <w:lang w:val="en-US" w:eastAsia="zh-CN" w:bidi="ar-SA"/>
        </w:rPr>
      </w:pPr>
      <w:bookmarkStart w:id="52" w:name="_Toc15377219"/>
      <w:bookmarkStart w:id="53" w:name="_Toc15396611"/>
      <w:r>
        <w:rPr>
          <w:rFonts w:hint="eastAsia" w:ascii="仿宋_GB2312" w:hAnsi="仿宋_GB2312" w:eastAsia="仿宋_GB2312" w:cs="仿宋_GB2312"/>
          <w:color w:val="auto"/>
          <w:kern w:val="2"/>
          <w:sz w:val="32"/>
          <w:szCs w:val="32"/>
          <w:highlight w:val="none"/>
          <w:lang w:val="en-US" w:eastAsia="zh-CN" w:bidi="ar-SA"/>
        </w:rPr>
        <w:t>2024年</w:t>
      </w:r>
      <w:r>
        <w:rPr>
          <w:rFonts w:hint="eastAsia" w:ascii="Times New Roman" w:hAnsi="Times New Roman" w:eastAsia="仿宋_GB2312" w:cs="仿宋_GB2312"/>
          <w:color w:val="auto"/>
          <w:kern w:val="2"/>
          <w:sz w:val="32"/>
          <w:szCs w:val="32"/>
          <w:highlight w:val="none"/>
          <w:lang w:val="en-US" w:eastAsia="zh-CN" w:bidi="ar-SA"/>
        </w:rPr>
        <w:t>度</w:t>
      </w:r>
      <w:r>
        <w:rPr>
          <w:rFonts w:hint="eastAsia" w:ascii="仿宋_GB2312" w:hAnsi="仿宋_GB2312" w:eastAsia="仿宋_GB2312" w:cs="仿宋_GB2312"/>
          <w:color w:val="auto"/>
          <w:kern w:val="2"/>
          <w:sz w:val="32"/>
          <w:szCs w:val="32"/>
          <w:highlight w:val="none"/>
          <w:lang w:val="en-US" w:eastAsia="zh-CN" w:bidi="ar-SA"/>
        </w:rPr>
        <w:t>政府性基金预算财政拨款支出0.00万元，占本年支出合计的0%。与2023年度相比，政府性基金预算财政拨款支出持平。</w:t>
      </w:r>
    </w:p>
    <w:p>
      <w:pPr>
        <w:pStyle w:val="29"/>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Times New Roman" w:hAnsi="Times New Roman" w:eastAsia="黑体"/>
          <w:color w:val="auto"/>
          <w:sz w:val="32"/>
          <w:szCs w:val="32"/>
          <w:highlight w:val="none"/>
          <w:lang w:eastAsia="zh-CN"/>
        </w:rPr>
      </w:pPr>
      <w:bookmarkStart w:id="54" w:name="_Toc29688"/>
      <w:r>
        <w:rPr>
          <w:rFonts w:hint="eastAsia" w:ascii="Times New Roman" w:hAnsi="Times New Roman" w:eastAsia="黑体"/>
          <w:color w:val="auto"/>
          <w:sz w:val="32"/>
          <w:szCs w:val="32"/>
          <w:highlight w:val="none"/>
          <w:lang w:eastAsia="zh-CN"/>
        </w:rPr>
        <w:t>九、国有资本经营预算支出决算情况说明</w:t>
      </w:r>
      <w:bookmarkEnd w:id="52"/>
      <w:bookmarkEnd w:id="53"/>
      <w:bookmarkEnd w:id="54"/>
    </w:p>
    <w:p>
      <w:pPr>
        <w:spacing w:line="600" w:lineRule="exact"/>
        <w:ind w:firstLine="64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2024年度国有资本经营预算财政拨款支出0.00万元，占本年支出合计的0%。与2023年度相比，国有资本经营预算财政拨款支出持平。</w:t>
      </w:r>
    </w:p>
    <w:p>
      <w:pPr>
        <w:pStyle w:val="29"/>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Times New Roman" w:hAnsi="Times New Roman" w:eastAsia="黑体"/>
          <w:color w:val="auto"/>
          <w:sz w:val="32"/>
          <w:szCs w:val="32"/>
          <w:highlight w:val="none"/>
          <w:lang w:eastAsia="zh-CN"/>
        </w:rPr>
      </w:pPr>
      <w:bookmarkStart w:id="55" w:name="_Toc18760"/>
      <w:bookmarkStart w:id="56" w:name="_Toc15396612"/>
      <w:bookmarkStart w:id="57" w:name="_Toc15377221"/>
      <w:r>
        <w:rPr>
          <w:rFonts w:hint="eastAsia" w:ascii="Times New Roman" w:hAnsi="Times New Roman" w:eastAsia="黑体"/>
          <w:color w:val="auto"/>
          <w:sz w:val="32"/>
          <w:szCs w:val="32"/>
          <w:highlight w:val="none"/>
          <w:lang w:eastAsia="zh-CN"/>
        </w:rPr>
        <w:t>十、其他重要事项的情况说明</w:t>
      </w:r>
      <w:bookmarkEnd w:id="55"/>
      <w:bookmarkEnd w:id="56"/>
      <w:bookmarkEnd w:id="57"/>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outlineLvl w:val="9"/>
        <w:rPr>
          <w:rFonts w:hint="eastAsia" w:ascii="Times New Roman" w:hAnsi="Times New Roman" w:eastAsia="楷体_GB2312" w:cs="楷体_GB2312"/>
          <w:b/>
          <w:color w:val="auto"/>
          <w:sz w:val="32"/>
          <w:szCs w:val="32"/>
          <w:highlight w:val="none"/>
        </w:rPr>
      </w:pPr>
      <w:bookmarkStart w:id="58" w:name="_Toc15377222"/>
      <w:r>
        <w:rPr>
          <w:rFonts w:hint="eastAsia" w:ascii="Times New Roman" w:hAnsi="Times New Roman" w:eastAsia="楷体_GB2312" w:cs="楷体_GB2312"/>
          <w:b/>
          <w:color w:val="auto"/>
          <w:sz w:val="32"/>
          <w:szCs w:val="32"/>
          <w:highlight w:val="none"/>
        </w:rPr>
        <w:t>（一）机关运行经费支出情况</w:t>
      </w:r>
      <w:bookmarkEnd w:id="58"/>
    </w:p>
    <w:p>
      <w:pPr>
        <w:spacing w:line="600" w:lineRule="exact"/>
        <w:ind w:firstLine="64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2024年度，茂县科学技术协会（本级）机关运行经费支出6.25万元，比2023年度减少2.03万元，下降24.51%。主要原因是:人员减少。</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outlineLvl w:val="9"/>
        <w:rPr>
          <w:rFonts w:hint="eastAsia" w:ascii="Times New Roman" w:hAnsi="Times New Roman" w:eastAsia="楷体_GB2312" w:cs="楷体_GB2312"/>
          <w:b/>
          <w:color w:val="auto"/>
          <w:sz w:val="32"/>
          <w:szCs w:val="32"/>
          <w:highlight w:val="none"/>
        </w:rPr>
      </w:pPr>
      <w:bookmarkStart w:id="59" w:name="_Toc15377223"/>
      <w:r>
        <w:rPr>
          <w:rFonts w:hint="eastAsia" w:ascii="Times New Roman" w:hAnsi="Times New Roman" w:eastAsia="楷体_GB2312" w:cs="楷体_GB2312"/>
          <w:b/>
          <w:color w:val="auto"/>
          <w:sz w:val="32"/>
          <w:szCs w:val="32"/>
          <w:highlight w:val="none"/>
        </w:rPr>
        <w:t>（二）政府采购支出情况</w:t>
      </w:r>
      <w:bookmarkEnd w:id="59"/>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bookmarkStart w:id="60" w:name="_Toc15377224"/>
      <w:r>
        <w:rPr>
          <w:rFonts w:hint="eastAsia" w:ascii="仿宋_GB2312" w:hAnsi="仿宋_GB2312" w:eastAsia="仿宋_GB2312" w:cs="仿宋_GB2312"/>
          <w:color w:val="auto"/>
          <w:kern w:val="2"/>
          <w:sz w:val="32"/>
          <w:szCs w:val="32"/>
          <w:highlight w:val="none"/>
          <w:lang w:val="en-US" w:eastAsia="zh-CN" w:bidi="ar-SA"/>
        </w:rPr>
        <w:t>2024年度，</w:t>
      </w:r>
      <w:r>
        <w:rPr>
          <w:rFonts w:hint="eastAsia" w:ascii="仿宋_GB2312" w:hAnsi="仿宋_GB2312" w:eastAsia="仿宋_GB2312" w:cs="仿宋_GB2312"/>
          <w:sz w:val="32"/>
          <w:szCs w:val="32"/>
        </w:rPr>
        <w:t>四川省阿坝州茂县科学技术协会</w:t>
      </w:r>
      <w:r>
        <w:rPr>
          <w:rFonts w:hint="eastAsia" w:ascii="仿宋_GB2312" w:hAnsi="仿宋_GB2312" w:eastAsia="仿宋_GB2312" w:cs="仿宋_GB2312"/>
          <w:color w:val="auto"/>
          <w:kern w:val="2"/>
          <w:sz w:val="32"/>
          <w:szCs w:val="32"/>
          <w:highlight w:val="none"/>
          <w:lang w:val="en-US" w:eastAsia="zh-CN" w:bidi="ar-SA"/>
        </w:rPr>
        <w:t>政府采购支出总额</w:t>
      </w:r>
      <w:r>
        <w:rPr>
          <w:rFonts w:hint="eastAsia" w:ascii="仿宋_GB2312" w:hAnsi="仿宋_GB2312" w:eastAsia="仿宋_GB2312" w:cs="仿宋_GB2312"/>
          <w:sz w:val="32"/>
          <w:szCs w:val="32"/>
        </w:rPr>
        <w:t>0</w:t>
      </w:r>
      <w:r>
        <w:rPr>
          <w:rFonts w:hint="eastAsia" w:ascii="仿宋_GB2312" w:hAnsi="仿宋_GB2312" w:eastAsia="仿宋_GB2312" w:cs="仿宋_GB2312"/>
          <w:sz w:val="32"/>
          <w:szCs w:val="32"/>
          <w:lang w:val="en-US" w:eastAsia="zh-CN"/>
        </w:rPr>
        <w:t>.00</w:t>
      </w:r>
      <w:r>
        <w:rPr>
          <w:rFonts w:hint="eastAsia" w:ascii="仿宋_GB2312" w:hAnsi="仿宋_GB2312" w:eastAsia="仿宋_GB2312" w:cs="仿宋_GB2312"/>
          <w:color w:val="auto"/>
          <w:kern w:val="2"/>
          <w:sz w:val="32"/>
          <w:szCs w:val="32"/>
          <w:highlight w:val="none"/>
          <w:lang w:val="en-US" w:eastAsia="zh-CN" w:bidi="ar-SA"/>
        </w:rPr>
        <w:t>万元，其中：政府采购货物支出0.00万元、政府采购工程支出0.00万元、政府采购服务支出0.00万元。授予中小企业合同金额</w:t>
      </w:r>
      <w:r>
        <w:rPr>
          <w:rFonts w:hint="eastAsia" w:ascii="仿宋_GB2312" w:hAnsi="仿宋_GB2312" w:eastAsia="仿宋_GB2312" w:cs="仿宋_GB2312"/>
          <w:sz w:val="32"/>
          <w:szCs w:val="32"/>
        </w:rPr>
        <w:t>0</w:t>
      </w:r>
      <w:r>
        <w:rPr>
          <w:rFonts w:hint="eastAsia" w:ascii="仿宋_GB2312" w:hAnsi="仿宋_GB2312" w:eastAsia="仿宋_GB2312" w:cs="仿宋_GB2312"/>
          <w:sz w:val="32"/>
          <w:szCs w:val="32"/>
          <w:lang w:val="en-US" w:eastAsia="zh-CN"/>
        </w:rPr>
        <w:t>.00</w:t>
      </w:r>
      <w:r>
        <w:rPr>
          <w:rFonts w:hint="eastAsia" w:ascii="仿宋_GB2312" w:hAnsi="仿宋_GB2312" w:eastAsia="仿宋_GB2312" w:cs="仿宋_GB2312"/>
          <w:color w:val="auto"/>
          <w:kern w:val="2"/>
          <w:sz w:val="32"/>
          <w:szCs w:val="32"/>
          <w:highlight w:val="none"/>
          <w:lang w:val="en-US" w:eastAsia="zh-CN" w:bidi="ar-SA"/>
        </w:rPr>
        <w:t>万元，占政府采购支出总额的</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%，其中：授予小微企业合同金额</w:t>
      </w:r>
      <w:r>
        <w:rPr>
          <w:rFonts w:hint="eastAsia" w:ascii="仿宋_GB2312" w:hAnsi="仿宋_GB2312" w:eastAsia="仿宋_GB2312" w:cs="仿宋_GB2312"/>
          <w:sz w:val="32"/>
          <w:szCs w:val="32"/>
        </w:rPr>
        <w:t>0</w:t>
      </w:r>
      <w:r>
        <w:rPr>
          <w:rFonts w:hint="eastAsia" w:ascii="仿宋_GB2312" w:hAnsi="仿宋_GB2312" w:eastAsia="仿宋_GB2312" w:cs="仿宋_GB2312"/>
          <w:sz w:val="32"/>
          <w:szCs w:val="32"/>
          <w:lang w:val="en-US" w:eastAsia="zh-CN"/>
        </w:rPr>
        <w:t>.00</w:t>
      </w:r>
      <w:r>
        <w:rPr>
          <w:rFonts w:hint="eastAsia" w:ascii="仿宋_GB2312" w:hAnsi="仿宋_GB2312" w:eastAsia="仿宋_GB2312" w:cs="仿宋_GB2312"/>
          <w:color w:val="auto"/>
          <w:kern w:val="2"/>
          <w:sz w:val="32"/>
          <w:szCs w:val="32"/>
          <w:highlight w:val="none"/>
          <w:lang w:val="en-US" w:eastAsia="zh-CN" w:bidi="ar-SA"/>
        </w:rPr>
        <w:t>万元，占政府采购支出总额的</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outlineLvl w:val="9"/>
        <w:rPr>
          <w:rFonts w:hint="eastAsia" w:ascii="Times New Roman" w:hAnsi="Times New Roman" w:eastAsia="楷体_GB2312" w:cs="楷体_GB2312"/>
          <w:b/>
          <w:color w:val="auto"/>
          <w:sz w:val="32"/>
          <w:szCs w:val="32"/>
          <w:highlight w:val="none"/>
        </w:rPr>
      </w:pPr>
      <w:r>
        <w:rPr>
          <w:rFonts w:hint="eastAsia" w:ascii="Times New Roman" w:hAnsi="Times New Roman" w:eastAsia="楷体_GB2312" w:cs="楷体_GB2312"/>
          <w:b/>
          <w:color w:val="auto"/>
          <w:sz w:val="32"/>
          <w:szCs w:val="32"/>
          <w:highlight w:val="none"/>
        </w:rPr>
        <w:t>（三）国有资产占有使用情况</w:t>
      </w:r>
      <w:bookmarkEnd w:id="60"/>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截至2024年12月31日，</w:t>
      </w:r>
      <w:r>
        <w:rPr>
          <w:rFonts w:hint="eastAsia" w:ascii="仿宋_GB2312" w:hAnsi="仿宋_GB2312" w:eastAsia="仿宋_GB2312" w:cs="仿宋_GB2312"/>
          <w:sz w:val="32"/>
          <w:szCs w:val="32"/>
        </w:rPr>
        <w:t>四川省阿坝州茂县科学技术协会</w:t>
      </w:r>
      <w:r>
        <w:rPr>
          <w:rFonts w:hint="eastAsia" w:ascii="仿宋_GB2312" w:hAnsi="仿宋_GB2312" w:eastAsia="仿宋_GB2312" w:cs="仿宋_GB2312"/>
          <w:color w:val="auto"/>
          <w:kern w:val="2"/>
          <w:sz w:val="32"/>
          <w:szCs w:val="32"/>
          <w:highlight w:val="none"/>
          <w:lang w:val="en-US" w:eastAsia="zh-CN" w:bidi="ar-SA"/>
        </w:rPr>
        <w:t>共有车辆</w:t>
      </w:r>
      <w:r>
        <w:rPr>
          <w:rFonts w:hint="eastAsia" w:ascii="仿宋_GB2312" w:hAnsi="仿宋_GB2312" w:eastAsia="仿宋_GB2312" w:cs="仿宋_GB2312"/>
          <w:sz w:val="32"/>
          <w:szCs w:val="32"/>
        </w:rPr>
        <w:t>1</w:t>
      </w:r>
      <w:r>
        <w:rPr>
          <w:rFonts w:hint="eastAsia" w:ascii="仿宋_GB2312" w:hAnsi="仿宋_GB2312" w:eastAsia="仿宋_GB2312" w:cs="仿宋_GB2312"/>
          <w:color w:val="auto"/>
          <w:kern w:val="2"/>
          <w:sz w:val="32"/>
          <w:szCs w:val="32"/>
          <w:highlight w:val="none"/>
          <w:lang w:val="en-US" w:eastAsia="zh-CN" w:bidi="ar-SA"/>
        </w:rPr>
        <w:t>辆，其中：主要负责人用车</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辆、机要通信用车</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辆、应急保障用车</w:t>
      </w:r>
      <w:r>
        <w:rPr>
          <w:rFonts w:hint="eastAsia" w:ascii="仿宋_GB2312" w:hAnsi="仿宋_GB2312" w:eastAsia="仿宋_GB2312" w:cs="仿宋_GB2312"/>
          <w:sz w:val="32"/>
          <w:szCs w:val="32"/>
        </w:rPr>
        <w:t>1</w:t>
      </w:r>
      <w:r>
        <w:rPr>
          <w:rFonts w:hint="eastAsia" w:ascii="仿宋_GB2312" w:hAnsi="仿宋_GB2312" w:eastAsia="仿宋_GB2312" w:cs="仿宋_GB2312"/>
          <w:color w:val="auto"/>
          <w:kern w:val="2"/>
          <w:sz w:val="32"/>
          <w:szCs w:val="32"/>
          <w:highlight w:val="none"/>
          <w:lang w:val="en-US" w:eastAsia="zh-CN" w:bidi="ar-SA"/>
        </w:rPr>
        <w:t>辆、其他用车</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辆。单价100.00万元（含）以上设备（不含车辆）</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台（套）</w:t>
      </w:r>
      <w:r>
        <w:rPr>
          <w:rFonts w:hint="eastAsia" w:ascii="Times New Roman" w:hAnsi="Times New Roman" w:eastAsia="仿宋_GB2312" w:cs="仿宋_GB2312"/>
          <w:color w:val="auto"/>
          <w:kern w:val="2"/>
          <w:sz w:val="32"/>
          <w:szCs w:val="32"/>
          <w:highlight w:val="none"/>
          <w:lang w:val="en-US" w:eastAsia="zh-CN" w:bidi="ar-SA"/>
        </w:rPr>
        <w:t>。</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outlineLvl w:val="9"/>
        <w:rPr>
          <w:rFonts w:hint="eastAsia" w:ascii="Times New Roman" w:hAnsi="Times New Roman" w:eastAsia="楷体_GB2312" w:cs="楷体_GB2312"/>
          <w:b/>
          <w:color w:val="auto"/>
          <w:sz w:val="32"/>
          <w:szCs w:val="32"/>
          <w:highlight w:val="none"/>
        </w:rPr>
      </w:pPr>
      <w:r>
        <w:rPr>
          <w:rFonts w:hint="eastAsia" w:ascii="Times New Roman" w:hAnsi="Times New Roman" w:eastAsia="楷体_GB2312" w:cs="楷体_GB2312"/>
          <w:b/>
          <w:color w:val="auto"/>
          <w:sz w:val="32"/>
          <w:szCs w:val="32"/>
          <w:highlight w:val="none"/>
        </w:rPr>
        <w:t>（四）预算绩效管理情况</w:t>
      </w:r>
    </w:p>
    <w:p>
      <w:pPr>
        <w:spacing w:line="600" w:lineRule="exact"/>
        <w:ind w:firstLine="640"/>
        <w:rPr>
          <w:rFonts w:hint="eastAsia" w:ascii="仿宋_GB2312" w:hAnsi="仿宋_GB2312" w:eastAsia="仿宋_GB2312" w:cs="仿宋_GB2312"/>
          <w:color w:val="auto"/>
          <w:kern w:val="2"/>
          <w:sz w:val="32"/>
          <w:szCs w:val="32"/>
          <w:highlight w:val="none"/>
          <w:lang w:val="en-US" w:eastAsia="zh-CN" w:bidi="ar-SA"/>
        </w:rPr>
      </w:pPr>
      <w:bookmarkStart w:id="61" w:name="_Toc15396613"/>
      <w:bookmarkStart w:id="62" w:name="_Toc15377225"/>
      <w:r>
        <w:rPr>
          <w:rFonts w:hint="eastAsia" w:ascii="仿宋_GB2312" w:hAnsi="仿宋_GB2312" w:eastAsia="仿宋_GB2312" w:cs="仿宋_GB2312"/>
          <w:color w:val="auto"/>
          <w:kern w:val="2"/>
          <w:sz w:val="32"/>
          <w:szCs w:val="32"/>
          <w:highlight w:val="none"/>
          <w:lang w:val="en-US" w:eastAsia="zh-CN" w:bidi="ar-SA"/>
        </w:rPr>
        <w:t>据预算绩效管理要求，本单位在2024年度预算编制阶段，对“2023年度科普工作经费”和“2023年度四川省科普专项资金”项目进行了预算事前绩效评估，并编制了绩效目标。在预算执行过程中，项目实施了绩效监控和自评。评价结果显示，部门整体支出绩效良好，全年基本支出确保了部门正常运行和日常工作的开展，项目支出保障了重点工作的推进，绩效目标得以较好实现，绩效管理水平不断提升，绩效指标体系逐步完善。</w:t>
      </w:r>
    </w:p>
    <w:p>
      <w:pPr>
        <w:pStyle w:val="2"/>
        <w:rPr>
          <w:rFonts w:hint="eastAsia" w:ascii="仿宋_GB2312" w:hAnsi="仿宋_GB2312" w:eastAsia="仿宋_GB2312" w:cs="仿宋_GB2312"/>
          <w:color w:val="auto"/>
          <w:kern w:val="2"/>
          <w:sz w:val="32"/>
          <w:szCs w:val="32"/>
          <w:highlight w:val="none"/>
          <w:lang w:val="en-US" w:eastAsia="zh-CN" w:bidi="ar-SA"/>
        </w:rPr>
      </w:pPr>
    </w:p>
    <w:p>
      <w:pPr>
        <w:rPr>
          <w:rFonts w:hint="eastAsia" w:ascii="仿宋_GB2312" w:hAnsi="仿宋_GB2312" w:eastAsia="仿宋_GB2312" w:cs="仿宋_GB2312"/>
          <w:color w:val="auto"/>
          <w:kern w:val="2"/>
          <w:sz w:val="32"/>
          <w:szCs w:val="32"/>
          <w:highlight w:val="none"/>
          <w:lang w:val="en-US" w:eastAsia="zh-CN" w:bidi="ar-SA"/>
        </w:rPr>
      </w:pPr>
    </w:p>
    <w:p>
      <w:pPr>
        <w:pStyle w:val="2"/>
        <w:rPr>
          <w:rFonts w:hint="eastAsia" w:ascii="仿宋_GB2312" w:hAnsi="仿宋_GB2312" w:eastAsia="仿宋_GB2312" w:cs="仿宋_GB2312"/>
          <w:color w:val="auto"/>
          <w:kern w:val="2"/>
          <w:sz w:val="32"/>
          <w:szCs w:val="32"/>
          <w:highlight w:val="none"/>
          <w:lang w:val="en-US" w:eastAsia="zh-CN" w:bidi="ar-SA"/>
        </w:rPr>
      </w:pPr>
    </w:p>
    <w:p>
      <w:pPr>
        <w:rPr>
          <w:rFonts w:hint="eastAsia"/>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outlineLvl w:val="0"/>
        <w:rPr>
          <w:rFonts w:hint="eastAsia" w:ascii="Times New Roman" w:hAnsi="Times New Roman" w:eastAsia="黑体"/>
          <w:color w:val="auto"/>
          <w:sz w:val="44"/>
          <w:szCs w:val="44"/>
          <w:highlight w:val="none"/>
        </w:rPr>
      </w:pPr>
      <w:bookmarkStart w:id="63" w:name="_Toc1582"/>
      <w:r>
        <w:rPr>
          <w:rFonts w:hint="eastAsia" w:ascii="Times New Roman" w:hAnsi="Times New Roman" w:eastAsia="黑体"/>
          <w:color w:val="auto"/>
          <w:sz w:val="44"/>
          <w:szCs w:val="44"/>
          <w:highlight w:val="none"/>
        </w:rPr>
        <w:t>第</w:t>
      </w:r>
      <w:r>
        <w:rPr>
          <w:rFonts w:hint="eastAsia" w:eastAsia="黑体"/>
          <w:color w:val="auto"/>
          <w:sz w:val="44"/>
          <w:szCs w:val="44"/>
          <w:highlight w:val="none"/>
          <w:lang w:eastAsia="zh-CN"/>
        </w:rPr>
        <w:t>三</w:t>
      </w:r>
      <w:r>
        <w:rPr>
          <w:rFonts w:hint="eastAsia" w:ascii="Times New Roman" w:hAnsi="Times New Roman" w:eastAsia="黑体"/>
          <w:color w:val="auto"/>
          <w:sz w:val="44"/>
          <w:szCs w:val="44"/>
          <w:highlight w:val="none"/>
        </w:rPr>
        <w:t>部分</w:t>
      </w:r>
      <w:r>
        <w:rPr>
          <w:rFonts w:hint="eastAsia" w:ascii="Times New Roman" w:hAnsi="Times New Roman" w:eastAsia="黑体"/>
          <w:color w:val="auto"/>
          <w:sz w:val="44"/>
          <w:szCs w:val="44"/>
          <w:highlight w:val="none"/>
          <w:lang w:val="en-US" w:eastAsia="zh-CN"/>
        </w:rPr>
        <w:t xml:space="preserve"> </w:t>
      </w:r>
      <w:r>
        <w:rPr>
          <w:rFonts w:hint="eastAsia" w:eastAsia="黑体"/>
          <w:color w:val="auto"/>
          <w:sz w:val="44"/>
          <w:szCs w:val="44"/>
          <w:highlight w:val="none"/>
          <w:lang w:val="en-US" w:eastAsia="zh-CN"/>
        </w:rPr>
        <w:t xml:space="preserve"> </w:t>
      </w:r>
      <w:r>
        <w:rPr>
          <w:rFonts w:hint="eastAsia" w:ascii="Times New Roman" w:hAnsi="Times New Roman" w:eastAsia="黑体"/>
          <w:color w:val="auto"/>
          <w:sz w:val="44"/>
          <w:szCs w:val="44"/>
          <w:highlight w:val="none"/>
        </w:rPr>
        <w:t>名词解释</w:t>
      </w:r>
      <w:bookmarkEnd w:id="61"/>
      <w:bookmarkEnd w:id="62"/>
      <w:bookmarkEnd w:id="63"/>
    </w:p>
    <w:p>
      <w:pPr>
        <w:spacing w:line="600" w:lineRule="exact"/>
        <w:jc w:val="left"/>
        <w:rPr>
          <w:rFonts w:ascii="Times New Roman" w:hAnsi="Times New Roman"/>
          <w:b/>
          <w:color w:val="auto"/>
          <w:sz w:val="44"/>
          <w:szCs w:val="44"/>
          <w:highlight w:val="none"/>
        </w:rPr>
      </w:pPr>
    </w:p>
    <w:p>
      <w:pPr>
        <w:pStyle w:val="28"/>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outlineLvl w:val="9"/>
        <w:rPr>
          <w:rFonts w:hint="eastAsia" w:ascii="仿宋_GB2312" w:eastAsia="仿宋_GB2312"/>
          <w:sz w:val="32"/>
          <w:szCs w:val="32"/>
        </w:rPr>
      </w:pPr>
      <w:bookmarkStart w:id="64" w:name="_Toc15377226"/>
      <w:bookmarkStart w:id="65" w:name="_Toc15396614"/>
      <w:r>
        <w:rPr>
          <w:rFonts w:hint="eastAsia" w:ascii="仿宋_GB2312" w:eastAsia="仿宋_GB2312"/>
          <w:sz w:val="32"/>
          <w:szCs w:val="32"/>
        </w:rPr>
        <w:t>1.财政拨款收入：指单位从同级财政部门取得的财政预算资金。</w:t>
      </w:r>
    </w:p>
    <w:p>
      <w:pPr>
        <w:pStyle w:val="28"/>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2.事业收入：指事业单位开展专业业务活动及辅助活动取得的收入。</w:t>
      </w:r>
    </w:p>
    <w:p>
      <w:pPr>
        <w:pStyle w:val="28"/>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3.经营收入：指事业单位在专业业务活动及其辅助活动之外开展非独立核算经营活动取得的收入。</w:t>
      </w:r>
    </w:p>
    <w:p>
      <w:pPr>
        <w:pStyle w:val="28"/>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outlineLvl w:val="9"/>
        <w:rPr>
          <w:rFonts w:hint="eastAsia" w:ascii="仿宋_GB2312" w:eastAsia="仿宋_GB2312"/>
          <w:sz w:val="32"/>
          <w:szCs w:val="32"/>
        </w:rPr>
      </w:pPr>
      <w:r>
        <w:rPr>
          <w:rFonts w:hint="eastAsia" w:ascii="仿宋_GB2312" w:eastAsia="仿宋_GB2312"/>
          <w:sz w:val="32"/>
          <w:szCs w:val="32"/>
        </w:rPr>
        <w:t xml:space="preserve">4.其他收入：指单位取得的除上述收入以外的各项收入。 </w:t>
      </w:r>
    </w:p>
    <w:p>
      <w:pPr>
        <w:pStyle w:val="28"/>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 xml:space="preserve">5.使用非财政拨款结余：指事业单位使用以前年度积累的非财政拨款结余弥补当年收支差额的金额。 </w:t>
      </w:r>
    </w:p>
    <w:p>
      <w:pPr>
        <w:pStyle w:val="28"/>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 xml:space="preserve">6.年初结转和结余：指以前年度尚未完成、结转到本年按有关规定继续使用的资金。 </w:t>
      </w:r>
    </w:p>
    <w:p>
      <w:pPr>
        <w:pStyle w:val="28"/>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7.结余分配：指事业单位按照会计制度规定缴纳的所得税、提取的专用结余以及转入非财政拨款结余的金额等。</w:t>
      </w:r>
    </w:p>
    <w:p>
      <w:pPr>
        <w:pStyle w:val="28"/>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8</w:t>
      </w:r>
      <w:r>
        <w:rPr>
          <w:rFonts w:hint="eastAsia" w:ascii="仿宋_GB2312" w:eastAsia="仿宋_GB2312"/>
          <w:sz w:val="32"/>
          <w:szCs w:val="32"/>
          <w:lang w:val="en-US" w:eastAsia="zh-CN"/>
        </w:rPr>
        <w:t>.</w:t>
      </w:r>
      <w:r>
        <w:rPr>
          <w:rFonts w:hint="eastAsia" w:ascii="仿宋_GB2312" w:eastAsia="仿宋_GB2312"/>
          <w:sz w:val="32"/>
          <w:szCs w:val="32"/>
        </w:rPr>
        <w:t>年末结转和结余：指单位按有关规定结转到下年或以后年度继续使用的资金。</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_GB2312" w:eastAsia="仿宋_GB2312" w:cs="仿宋_GB2312"/>
          <w:sz w:val="32"/>
          <w:szCs w:val="32"/>
          <w:lang w:bidi="ar-SA"/>
        </w:rPr>
      </w:pPr>
      <w:r>
        <w:rPr>
          <w:rFonts w:hint="eastAsia" w:ascii="仿宋_GB2312" w:eastAsia="仿宋_GB2312"/>
          <w:sz w:val="32"/>
          <w:szCs w:val="32"/>
          <w:lang w:val="en-US" w:eastAsia="zh-CN"/>
        </w:rPr>
        <w:t>9</w:t>
      </w:r>
      <w:r>
        <w:rPr>
          <w:rFonts w:hint="eastAsia" w:ascii="仿宋_GB2312" w:eastAsia="仿宋_GB2312"/>
          <w:sz w:val="32"/>
          <w:szCs w:val="32"/>
        </w:rPr>
        <w:t>.卫生健康（</w:t>
      </w:r>
      <w:r>
        <w:rPr>
          <w:rFonts w:hint="eastAsia" w:ascii="仿宋_GB2312" w:eastAsia="仿宋_GB2312"/>
          <w:sz w:val="32"/>
          <w:szCs w:val="32"/>
          <w:lang w:val="en-US" w:eastAsia="zh-CN"/>
        </w:rPr>
        <w:t>类）行政事业单位医疗（款） 行政单位医疗（项</w:t>
      </w:r>
      <w:r>
        <w:rPr>
          <w:rFonts w:hint="eastAsia" w:ascii="仿宋_GB2312" w:eastAsia="仿宋_GB2312"/>
          <w:sz w:val="32"/>
          <w:szCs w:val="32"/>
        </w:rPr>
        <w:t>）</w:t>
      </w:r>
      <w:r>
        <w:rPr>
          <w:rFonts w:hint="eastAsia" w:ascii="仿宋_GB2312" w:eastAsia="仿宋_GB2312" w:cs="仿宋_GB2312"/>
          <w:color w:val="000000"/>
          <w:sz w:val="32"/>
          <w:szCs w:val="32"/>
          <w:lang w:bidi="ar-SA"/>
        </w:rPr>
        <w:t>：</w:t>
      </w:r>
      <w:r>
        <w:rPr>
          <w:rFonts w:hint="eastAsia" w:ascii="仿宋_GB2312" w:eastAsia="仿宋_GB2312" w:cs="仿宋_GB2312"/>
          <w:sz w:val="32"/>
          <w:szCs w:val="32"/>
          <w:lang w:bidi="ar-SA"/>
        </w:rPr>
        <w:t>反映财政部门安排的行政单位的</w:t>
      </w:r>
      <w:r>
        <w:rPr>
          <w:rFonts w:hint="eastAsia" w:ascii="仿宋_GB2312" w:eastAsia="仿宋_GB2312" w:cs="仿宋_GB2312"/>
          <w:sz w:val="32"/>
          <w:szCs w:val="32"/>
          <w:lang w:eastAsia="zh-CN" w:bidi="ar-SA"/>
        </w:rPr>
        <w:t>基本医疗保险缴费经费，未参加医疗保险的行政单位的公费医疗经费，</w:t>
      </w:r>
      <w:r>
        <w:rPr>
          <w:rFonts w:hint="eastAsia" w:ascii="仿宋_GB2312" w:eastAsia="仿宋_GB2312" w:cs="仿宋_GB2312"/>
          <w:sz w:val="32"/>
          <w:szCs w:val="32"/>
          <w:lang w:bidi="ar-SA"/>
        </w:rPr>
        <w:t>按国家规定享受离休人员、红军老战士待遇人员的医疗经费。</w:t>
      </w:r>
    </w:p>
    <w:p>
      <w:pPr>
        <w:pStyle w:val="14"/>
        <w:keepNext w:val="0"/>
        <w:keepLines w:val="0"/>
        <w:pageBreakBefore w:val="0"/>
        <w:widowControl w:val="0"/>
        <w:kinsoku/>
        <w:wordWrap/>
        <w:overflowPunct/>
        <w:topLinePunct w:val="0"/>
        <w:bidi w:val="0"/>
        <w:snapToGrid/>
        <w:spacing w:after="0" w:line="560" w:lineRule="exact"/>
        <w:ind w:left="0" w:leftChars="0" w:firstLine="640" w:firstLineChars="200"/>
        <w:textAlignment w:val="auto"/>
        <w:rPr>
          <w:b w:val="0"/>
          <w:bCs/>
        </w:rPr>
      </w:pPr>
      <w:r>
        <w:rPr>
          <w:rFonts w:hint="eastAsia" w:ascii="仿宋_GB2312" w:eastAsia="仿宋_GB2312"/>
          <w:b w:val="0"/>
          <w:bCs/>
          <w:sz w:val="32"/>
          <w:szCs w:val="32"/>
          <w:lang w:val="en-US" w:eastAsia="zh-CN"/>
        </w:rPr>
        <w:t>10.</w:t>
      </w:r>
      <w:r>
        <w:rPr>
          <w:rFonts w:hint="eastAsia" w:ascii="仿宋_GB2312" w:eastAsia="仿宋_GB2312"/>
          <w:b w:val="0"/>
          <w:bCs/>
          <w:sz w:val="32"/>
          <w:szCs w:val="32"/>
        </w:rPr>
        <w:t>卫生健康（</w:t>
      </w:r>
      <w:r>
        <w:rPr>
          <w:rFonts w:hint="eastAsia" w:ascii="仿宋_GB2312" w:eastAsia="仿宋_GB2312"/>
          <w:b w:val="0"/>
          <w:bCs/>
          <w:sz w:val="32"/>
          <w:szCs w:val="32"/>
          <w:lang w:val="en-US" w:eastAsia="zh-CN"/>
        </w:rPr>
        <w:t>类）行政事业单位医疗（款） 事业单位医疗（项</w:t>
      </w:r>
      <w:r>
        <w:rPr>
          <w:rFonts w:hint="eastAsia" w:ascii="仿宋_GB2312" w:eastAsia="仿宋_GB2312"/>
          <w:b w:val="0"/>
          <w:bCs/>
          <w:sz w:val="32"/>
          <w:szCs w:val="32"/>
        </w:rPr>
        <w:t>）</w:t>
      </w:r>
      <w:r>
        <w:rPr>
          <w:rFonts w:hint="eastAsia" w:ascii="仿宋_GB2312" w:eastAsia="仿宋_GB2312" w:cs="仿宋_GB2312"/>
          <w:b w:val="0"/>
          <w:bCs/>
          <w:color w:val="000000"/>
          <w:sz w:val="32"/>
          <w:szCs w:val="32"/>
          <w:lang w:bidi="ar-SA"/>
        </w:rPr>
        <w:t>：</w:t>
      </w:r>
      <w:r>
        <w:rPr>
          <w:rFonts w:hint="eastAsia" w:ascii="仿宋_GB2312" w:eastAsia="仿宋_GB2312" w:cs="仿宋_GB2312"/>
          <w:b w:val="0"/>
          <w:bCs/>
          <w:sz w:val="32"/>
          <w:szCs w:val="32"/>
          <w:lang w:bidi="ar-SA"/>
        </w:rPr>
        <w:t>反映财政部门安排的</w:t>
      </w:r>
      <w:r>
        <w:rPr>
          <w:rFonts w:hint="eastAsia" w:ascii="仿宋_GB2312" w:eastAsia="仿宋_GB2312" w:cs="仿宋_GB2312"/>
          <w:b w:val="0"/>
          <w:bCs/>
          <w:sz w:val="32"/>
          <w:szCs w:val="32"/>
          <w:lang w:eastAsia="zh-CN" w:bidi="ar-SA"/>
        </w:rPr>
        <w:t>事业</w:t>
      </w:r>
      <w:r>
        <w:rPr>
          <w:rFonts w:hint="eastAsia" w:ascii="仿宋_GB2312" w:eastAsia="仿宋_GB2312" w:cs="仿宋_GB2312"/>
          <w:b w:val="0"/>
          <w:bCs/>
          <w:sz w:val="32"/>
          <w:szCs w:val="32"/>
          <w:lang w:bidi="ar-SA"/>
        </w:rPr>
        <w:t>单位的</w:t>
      </w:r>
      <w:r>
        <w:rPr>
          <w:rFonts w:hint="eastAsia" w:ascii="仿宋_GB2312" w:eastAsia="仿宋_GB2312" w:cs="仿宋_GB2312"/>
          <w:b w:val="0"/>
          <w:bCs/>
          <w:sz w:val="32"/>
          <w:szCs w:val="32"/>
          <w:lang w:eastAsia="zh-CN" w:bidi="ar-SA"/>
        </w:rPr>
        <w:t>基本医疗保险缴费经费，未参加医疗保险的事业单位的公费医疗经费，</w:t>
      </w:r>
      <w:r>
        <w:rPr>
          <w:rFonts w:hint="eastAsia" w:ascii="仿宋_GB2312" w:eastAsia="仿宋_GB2312" w:cs="仿宋_GB2312"/>
          <w:b w:val="0"/>
          <w:bCs/>
          <w:sz w:val="32"/>
          <w:szCs w:val="32"/>
          <w:lang w:bidi="ar-SA"/>
        </w:rPr>
        <w:t>按国家规定享受离休人员待遇人员的医疗经费。</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_GB2312" w:eastAsia="仿宋_GB2312"/>
          <w:sz w:val="32"/>
          <w:szCs w:val="32"/>
        </w:rPr>
      </w:pPr>
      <w:r>
        <w:rPr>
          <w:rFonts w:hint="eastAsia" w:ascii="仿宋_GB2312" w:eastAsia="仿宋_GB2312" w:cs="仿宋_GB2312"/>
          <w:sz w:val="32"/>
          <w:szCs w:val="32"/>
          <w:lang w:bidi="ar-SA"/>
        </w:rPr>
        <w:t>1</w:t>
      </w:r>
      <w:r>
        <w:rPr>
          <w:rFonts w:hint="eastAsia" w:ascii="仿宋_GB2312" w:eastAsia="仿宋_GB2312" w:cs="仿宋_GB2312"/>
          <w:sz w:val="32"/>
          <w:szCs w:val="32"/>
          <w:lang w:val="en-US" w:eastAsia="zh-CN" w:bidi="ar-SA"/>
        </w:rPr>
        <w:t>1</w:t>
      </w:r>
      <w:r>
        <w:rPr>
          <w:rFonts w:hint="eastAsia" w:ascii="仿宋_GB2312" w:eastAsia="仿宋_GB2312" w:cs="仿宋_GB2312"/>
          <w:sz w:val="32"/>
          <w:szCs w:val="32"/>
          <w:lang w:bidi="ar-SA"/>
        </w:rPr>
        <w:t>.住房保障支出（类）住房改革支出（款）住房公积金（项）：反映行政事业单位按人力资源和社会保障部、财政部规定的基本工资和津贴补贴以及规定比例为职工缴纳的住房公积金。</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_GB2312" w:eastAsia="仿宋_GB2312"/>
          <w:sz w:val="32"/>
          <w:szCs w:val="32"/>
        </w:rPr>
      </w:pPr>
      <w:r>
        <w:rPr>
          <w:rFonts w:hint="eastAsia" w:ascii="仿宋_GB2312" w:eastAsia="仿宋_GB2312" w:cs="仿宋_GB2312"/>
          <w:sz w:val="32"/>
          <w:szCs w:val="32"/>
          <w:lang w:bidi="ar-SA"/>
        </w:rPr>
        <w:t>1</w:t>
      </w:r>
      <w:r>
        <w:rPr>
          <w:rFonts w:hint="eastAsia" w:ascii="仿宋_GB2312" w:eastAsia="仿宋_GB2312" w:cs="仿宋_GB2312"/>
          <w:sz w:val="32"/>
          <w:szCs w:val="32"/>
          <w:lang w:val="en-US" w:eastAsia="zh-CN" w:bidi="ar-SA"/>
        </w:rPr>
        <w:t>2</w:t>
      </w:r>
      <w:r>
        <w:rPr>
          <w:rFonts w:hint="eastAsia" w:ascii="仿宋_GB2312" w:eastAsia="仿宋_GB2312" w:cs="仿宋_GB2312"/>
          <w:sz w:val="32"/>
          <w:szCs w:val="32"/>
          <w:lang w:bidi="ar-SA"/>
        </w:rPr>
        <w:t>.社会保障和就业（类）行政事业单位离退休（款）养老保险（项）：机关事业单位基本养老保险缴费支出，反映机关事业单位实施养老保险制度由单位缴纳的基本养老保险费支出。</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_GB2312" w:eastAsia="仿宋_GB2312" w:cs="仿宋_GB2312"/>
          <w:color w:val="000000"/>
          <w:sz w:val="32"/>
          <w:szCs w:val="32"/>
          <w:lang w:bidi="ar-SA"/>
        </w:rPr>
      </w:pPr>
      <w:r>
        <w:rPr>
          <w:rFonts w:hint="eastAsia" w:ascii="仿宋_GB2312" w:eastAsia="仿宋_GB2312" w:cs="仿宋_GB2312"/>
          <w:sz w:val="32"/>
          <w:szCs w:val="32"/>
          <w:lang w:bidi="ar-SA"/>
        </w:rPr>
        <w:t>1</w:t>
      </w:r>
      <w:r>
        <w:rPr>
          <w:rFonts w:hint="eastAsia" w:ascii="仿宋_GB2312" w:eastAsia="仿宋_GB2312" w:cs="仿宋_GB2312"/>
          <w:sz w:val="32"/>
          <w:szCs w:val="32"/>
          <w:lang w:val="en-US" w:eastAsia="zh-CN" w:bidi="ar-SA"/>
        </w:rPr>
        <w:t>3</w:t>
      </w:r>
      <w:r>
        <w:rPr>
          <w:rFonts w:hint="eastAsia" w:ascii="仿宋_GB2312" w:eastAsia="仿宋_GB2312" w:cs="仿宋_GB2312"/>
          <w:sz w:val="32"/>
          <w:szCs w:val="32"/>
          <w:lang w:bidi="ar-SA"/>
        </w:rPr>
        <w:t>.社会保障和就业（类）行政事业单位离退休（款）职业年金（项）：机关事业单位职业年金缴费支出，反映机关事业单位实施养老保险制度由单位实际缴纳的职业年金支出</w:t>
      </w:r>
      <w:r>
        <w:rPr>
          <w:rFonts w:hint="eastAsia" w:ascii="仿宋_GB2312" w:eastAsia="仿宋_GB2312" w:cs="仿宋_GB2312"/>
          <w:color w:val="000000"/>
          <w:sz w:val="32"/>
          <w:szCs w:val="32"/>
          <w:lang w:bidi="ar-SA"/>
        </w:rPr>
        <w:t>。</w:t>
      </w:r>
    </w:p>
    <w:p>
      <w:pPr>
        <w:keepNext w:val="0"/>
        <w:keepLines w:val="0"/>
        <w:pageBreakBefore w:val="0"/>
        <w:widowControl w:val="0"/>
        <w:kinsoku/>
        <w:wordWrap/>
        <w:overflowPunct/>
        <w:topLinePunct w:val="0"/>
        <w:bidi w:val="0"/>
        <w:snapToGrid/>
        <w:spacing w:line="560" w:lineRule="exact"/>
        <w:ind w:firstLine="640" w:firstLineChars="200"/>
        <w:jc w:val="both"/>
        <w:textAlignment w:val="auto"/>
        <w:rPr>
          <w:rFonts w:hint="eastAsia" w:ascii="仿宋_GB2312" w:eastAsia="仿宋_GB2312"/>
          <w:sz w:val="32"/>
          <w:szCs w:val="32"/>
          <w:lang w:eastAsia="zh-CN"/>
        </w:rPr>
      </w:pPr>
      <w:r>
        <w:rPr>
          <w:rFonts w:hint="eastAsia" w:ascii="仿宋_GB2312" w:eastAsia="仿宋_GB2312"/>
          <w:sz w:val="32"/>
          <w:szCs w:val="32"/>
          <w:lang w:val="en-US" w:eastAsia="zh-CN"/>
        </w:rPr>
        <w:t>14</w:t>
      </w:r>
      <w:r>
        <w:rPr>
          <w:rFonts w:hint="eastAsia" w:ascii="仿宋_GB2312" w:eastAsia="仿宋_GB2312"/>
          <w:sz w:val="32"/>
          <w:szCs w:val="32"/>
        </w:rPr>
        <w:t>.科学技术（</w:t>
      </w:r>
      <w:r>
        <w:rPr>
          <w:rFonts w:hint="eastAsia" w:ascii="仿宋_GB2312" w:eastAsia="仿宋_GB2312"/>
          <w:sz w:val="32"/>
          <w:szCs w:val="32"/>
          <w:lang w:val="en-US" w:eastAsia="zh-CN"/>
        </w:rPr>
        <w:t>类）科学技术管理事务（款）行政运行（项</w:t>
      </w:r>
      <w:r>
        <w:rPr>
          <w:rFonts w:hint="eastAsia" w:ascii="仿宋_GB2312" w:eastAsia="仿宋_GB2312"/>
          <w:sz w:val="32"/>
          <w:szCs w:val="32"/>
        </w:rPr>
        <w:t xml:space="preserve">）: </w:t>
      </w:r>
      <w:r>
        <w:rPr>
          <w:rFonts w:hint="eastAsia" w:ascii="仿宋_GB2312" w:eastAsia="仿宋_GB2312"/>
          <w:sz w:val="32"/>
          <w:szCs w:val="32"/>
          <w:lang w:eastAsia="zh-CN"/>
        </w:rPr>
        <w:t>反映行政单位（包括实行公务员管理的事业单位）的基本支出。</w:t>
      </w:r>
    </w:p>
    <w:p>
      <w:pPr>
        <w:pStyle w:val="14"/>
        <w:keepNext w:val="0"/>
        <w:keepLines w:val="0"/>
        <w:pageBreakBefore w:val="0"/>
        <w:widowControl w:val="0"/>
        <w:kinsoku/>
        <w:wordWrap/>
        <w:overflowPunct/>
        <w:topLinePunct w:val="0"/>
        <w:bidi w:val="0"/>
        <w:snapToGrid/>
        <w:spacing w:after="0" w:line="560" w:lineRule="exact"/>
        <w:ind w:left="0" w:leftChars="0" w:firstLine="640" w:firstLineChars="200"/>
        <w:textAlignment w:val="auto"/>
        <w:rPr>
          <w:rFonts w:hint="eastAsia" w:ascii="仿宋_GB2312" w:eastAsia="仿宋_GB2312" w:cs="Times New Roman"/>
          <w:b w:val="0"/>
          <w:bCs/>
          <w:kern w:val="2"/>
          <w:sz w:val="32"/>
          <w:szCs w:val="32"/>
          <w:lang w:val="en-US" w:eastAsia="zh-CN" w:bidi="ar-SA"/>
        </w:rPr>
      </w:pPr>
      <w:r>
        <w:rPr>
          <w:rFonts w:hint="eastAsia" w:ascii="仿宋_GB2312" w:eastAsia="仿宋_GB2312" w:cs="Times New Roman"/>
          <w:b w:val="0"/>
          <w:bCs/>
          <w:kern w:val="2"/>
          <w:sz w:val="32"/>
          <w:szCs w:val="32"/>
          <w:lang w:val="en-US" w:eastAsia="zh-CN" w:bidi="ar-SA"/>
        </w:rPr>
        <w:t>15.科学技术（类）</w:t>
      </w:r>
      <w:r>
        <w:rPr>
          <w:rFonts w:hint="eastAsia" w:ascii="仿宋_GB2312" w:eastAsia="仿宋_GB2312"/>
          <w:b w:val="0"/>
          <w:bCs/>
          <w:sz w:val="32"/>
          <w:szCs w:val="32"/>
          <w:lang w:val="en-US" w:eastAsia="zh-CN"/>
        </w:rPr>
        <w:t>科学技术管理事务（款）其他科学技术管理事务</w:t>
      </w:r>
      <w:r>
        <w:rPr>
          <w:rFonts w:hint="eastAsia" w:ascii="仿宋_GB2312" w:eastAsia="仿宋_GB2312" w:cs="Times New Roman"/>
          <w:b w:val="0"/>
          <w:bCs/>
          <w:kern w:val="2"/>
          <w:sz w:val="32"/>
          <w:szCs w:val="32"/>
          <w:lang w:val="en-US" w:eastAsia="zh-CN" w:bidi="ar-SA"/>
        </w:rPr>
        <w:t xml:space="preserve">（项）: </w:t>
      </w:r>
      <w:r>
        <w:rPr>
          <w:rFonts w:hint="eastAsia" w:ascii="仿宋_GB2312" w:eastAsia="仿宋_GB2312"/>
          <w:b w:val="0"/>
          <w:bCs/>
          <w:sz w:val="32"/>
          <w:szCs w:val="32"/>
          <w:lang w:eastAsia="zh-CN"/>
        </w:rPr>
        <w:t>反映其他用于科学技术管理事务方面的支出</w:t>
      </w:r>
      <w:r>
        <w:rPr>
          <w:rFonts w:hint="eastAsia" w:ascii="仿宋_GB2312" w:eastAsia="仿宋_GB2312" w:cs="Times New Roman"/>
          <w:b w:val="0"/>
          <w:bCs/>
          <w:kern w:val="2"/>
          <w:sz w:val="32"/>
          <w:szCs w:val="32"/>
          <w:lang w:val="en-US" w:eastAsia="zh-CN" w:bidi="ar-SA"/>
        </w:rPr>
        <w:t>。</w:t>
      </w:r>
    </w:p>
    <w:p>
      <w:pPr>
        <w:pStyle w:val="14"/>
        <w:keepNext w:val="0"/>
        <w:keepLines w:val="0"/>
        <w:pageBreakBefore w:val="0"/>
        <w:widowControl w:val="0"/>
        <w:kinsoku/>
        <w:wordWrap/>
        <w:overflowPunct/>
        <w:topLinePunct w:val="0"/>
        <w:bidi w:val="0"/>
        <w:snapToGrid/>
        <w:spacing w:after="0" w:line="560" w:lineRule="exact"/>
        <w:ind w:left="0" w:leftChars="0" w:firstLine="640" w:firstLineChars="200"/>
        <w:textAlignment w:val="auto"/>
        <w:rPr>
          <w:rFonts w:hint="eastAsia" w:ascii="仿宋_GB2312" w:eastAsia="仿宋_GB2312" w:cs="Times New Roman"/>
          <w:b w:val="0"/>
          <w:bCs/>
          <w:kern w:val="2"/>
          <w:sz w:val="32"/>
          <w:szCs w:val="32"/>
          <w:lang w:val="en-US" w:eastAsia="zh-CN" w:bidi="ar-SA"/>
        </w:rPr>
      </w:pPr>
      <w:r>
        <w:rPr>
          <w:rFonts w:hint="eastAsia" w:ascii="仿宋_GB2312" w:eastAsia="仿宋_GB2312" w:cs="Times New Roman"/>
          <w:b w:val="0"/>
          <w:bCs/>
          <w:kern w:val="2"/>
          <w:sz w:val="32"/>
          <w:szCs w:val="32"/>
          <w:lang w:val="en-US" w:eastAsia="zh-CN" w:bidi="ar-SA"/>
        </w:rPr>
        <w:t>16.科学技术（类）科学技术普及（款）科普活动（项）: 反映用于控制科普活动的支出。</w:t>
      </w:r>
    </w:p>
    <w:p>
      <w:pPr>
        <w:pStyle w:val="14"/>
        <w:keepNext w:val="0"/>
        <w:keepLines w:val="0"/>
        <w:pageBreakBefore w:val="0"/>
        <w:widowControl w:val="0"/>
        <w:kinsoku/>
        <w:wordWrap/>
        <w:overflowPunct/>
        <w:topLinePunct w:val="0"/>
        <w:bidi w:val="0"/>
        <w:snapToGrid/>
        <w:spacing w:after="0" w:line="560" w:lineRule="exact"/>
        <w:ind w:left="0" w:leftChars="0" w:firstLine="640" w:firstLineChars="200"/>
        <w:textAlignment w:val="auto"/>
        <w:rPr>
          <w:rFonts w:hint="eastAsia" w:eastAsia="仿宋_GB2312"/>
          <w:b w:val="0"/>
          <w:bCs/>
          <w:lang w:eastAsia="zh-CN"/>
        </w:rPr>
      </w:pPr>
      <w:r>
        <w:rPr>
          <w:rFonts w:hint="eastAsia" w:ascii="仿宋_GB2312" w:eastAsia="仿宋_GB2312" w:cs="Times New Roman"/>
          <w:b w:val="0"/>
          <w:bCs/>
          <w:kern w:val="2"/>
          <w:sz w:val="32"/>
          <w:szCs w:val="32"/>
          <w:lang w:val="en-US" w:eastAsia="zh-CN" w:bidi="ar-SA"/>
        </w:rPr>
        <w:t>17.科学技术</w:t>
      </w:r>
      <w:r>
        <w:rPr>
          <w:rFonts w:hint="eastAsia" w:ascii="仿宋_GB2312" w:eastAsia="仿宋_GB2312"/>
          <w:b w:val="0"/>
          <w:bCs/>
          <w:sz w:val="32"/>
          <w:szCs w:val="32"/>
        </w:rPr>
        <w:t>（</w:t>
      </w:r>
      <w:r>
        <w:rPr>
          <w:rFonts w:hint="eastAsia" w:ascii="仿宋_GB2312" w:eastAsia="仿宋_GB2312"/>
          <w:b w:val="0"/>
          <w:bCs/>
          <w:sz w:val="32"/>
          <w:szCs w:val="32"/>
          <w:lang w:val="en-US" w:eastAsia="zh-CN"/>
        </w:rPr>
        <w:t>类）</w:t>
      </w:r>
      <w:r>
        <w:rPr>
          <w:rFonts w:hint="eastAsia" w:ascii="仿宋_GB2312" w:eastAsia="仿宋_GB2312" w:cs="Times New Roman"/>
          <w:b w:val="0"/>
          <w:bCs/>
          <w:kern w:val="2"/>
          <w:sz w:val="32"/>
          <w:szCs w:val="32"/>
          <w:lang w:val="en-US" w:eastAsia="zh-CN" w:bidi="ar-SA"/>
        </w:rPr>
        <w:t>科学技术普及</w:t>
      </w:r>
      <w:r>
        <w:rPr>
          <w:rFonts w:hint="eastAsia" w:ascii="仿宋_GB2312" w:eastAsia="仿宋_GB2312"/>
          <w:b w:val="0"/>
          <w:bCs/>
          <w:sz w:val="32"/>
          <w:szCs w:val="32"/>
          <w:lang w:val="en-US" w:eastAsia="zh-CN"/>
        </w:rPr>
        <w:t>（款）其他</w:t>
      </w:r>
      <w:r>
        <w:rPr>
          <w:rFonts w:hint="eastAsia" w:ascii="仿宋_GB2312" w:eastAsia="仿宋_GB2312" w:cs="Times New Roman"/>
          <w:b w:val="0"/>
          <w:bCs/>
          <w:kern w:val="2"/>
          <w:sz w:val="32"/>
          <w:szCs w:val="32"/>
          <w:lang w:val="en-US" w:eastAsia="zh-CN" w:bidi="ar-SA"/>
        </w:rPr>
        <w:t>科学技术普及支出</w:t>
      </w:r>
      <w:r>
        <w:rPr>
          <w:rFonts w:hint="eastAsia" w:ascii="仿宋_GB2312" w:eastAsia="仿宋_GB2312"/>
          <w:b w:val="0"/>
          <w:bCs/>
          <w:sz w:val="32"/>
          <w:szCs w:val="32"/>
          <w:lang w:val="en-US" w:eastAsia="zh-CN"/>
        </w:rPr>
        <w:t>（项</w:t>
      </w:r>
      <w:r>
        <w:rPr>
          <w:rFonts w:hint="eastAsia" w:ascii="仿宋_GB2312" w:eastAsia="仿宋_GB2312"/>
          <w:b w:val="0"/>
          <w:bCs/>
          <w:sz w:val="32"/>
          <w:szCs w:val="32"/>
        </w:rPr>
        <w:t>）</w:t>
      </w:r>
      <w:r>
        <w:rPr>
          <w:rFonts w:hint="eastAsia" w:ascii="仿宋_GB2312" w:eastAsia="仿宋_GB2312" w:cs="Times New Roman"/>
          <w:b w:val="0"/>
          <w:bCs/>
          <w:kern w:val="2"/>
          <w:sz w:val="32"/>
          <w:szCs w:val="32"/>
          <w:lang w:val="en-US" w:eastAsia="zh-CN" w:bidi="ar-SA"/>
        </w:rPr>
        <w:t>:</w:t>
      </w:r>
      <w:r>
        <w:rPr>
          <w:rFonts w:hint="eastAsia" w:ascii="仿宋_GB2312" w:eastAsia="仿宋_GB2312"/>
          <w:b w:val="0"/>
          <w:bCs/>
          <w:color w:val="auto"/>
          <w:sz w:val="32"/>
          <w:szCs w:val="32"/>
          <w:lang w:eastAsia="zh-CN"/>
        </w:rPr>
        <w:t>反映其他用于</w:t>
      </w:r>
      <w:r>
        <w:rPr>
          <w:rFonts w:hint="eastAsia" w:ascii="仿宋_GB2312" w:eastAsia="仿宋_GB2312" w:cs="Times New Roman"/>
          <w:b w:val="0"/>
          <w:bCs/>
          <w:kern w:val="2"/>
          <w:sz w:val="32"/>
          <w:szCs w:val="32"/>
          <w:lang w:val="en-US" w:eastAsia="zh-CN" w:bidi="ar-SA"/>
        </w:rPr>
        <w:t>科学技术普及方面的支出。</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_GB2312" w:eastAsia="仿宋_GB2312"/>
          <w:color w:val="000000"/>
          <w:sz w:val="32"/>
          <w:szCs w:val="32"/>
        </w:rPr>
      </w:pPr>
      <w:r>
        <w:rPr>
          <w:rFonts w:hint="eastAsia" w:ascii="仿宋_GB2312" w:eastAsia="仿宋_GB2312"/>
          <w:color w:val="000000"/>
          <w:sz w:val="32"/>
          <w:szCs w:val="32"/>
          <w:lang w:val="en-US" w:eastAsia="zh-CN"/>
        </w:rPr>
        <w:t>18</w:t>
      </w:r>
      <w:r>
        <w:rPr>
          <w:rFonts w:hint="eastAsia" w:ascii="仿宋_GB2312" w:eastAsia="仿宋_GB2312"/>
          <w:color w:val="000000"/>
          <w:sz w:val="32"/>
          <w:szCs w:val="32"/>
        </w:rPr>
        <w:t>.基本支出：指为保障机构正常运转、完成日常工作任务而发生的人员支出和公用支出。</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_GB2312" w:eastAsia="仿宋_GB2312"/>
          <w:color w:val="000000"/>
          <w:sz w:val="32"/>
          <w:szCs w:val="32"/>
        </w:rPr>
      </w:pPr>
      <w:r>
        <w:rPr>
          <w:rFonts w:hint="eastAsia" w:ascii="仿宋_GB2312" w:eastAsia="仿宋_GB2312"/>
          <w:color w:val="000000"/>
          <w:sz w:val="32"/>
          <w:szCs w:val="32"/>
          <w:lang w:val="en-US" w:eastAsia="zh-CN"/>
        </w:rPr>
        <w:t>19</w:t>
      </w:r>
      <w:r>
        <w:rPr>
          <w:rFonts w:hint="eastAsia" w:ascii="仿宋_GB2312" w:eastAsia="仿宋_GB2312"/>
          <w:color w:val="000000"/>
          <w:sz w:val="32"/>
          <w:szCs w:val="32"/>
        </w:rPr>
        <w:t xml:space="preserve">.项目支出：指在基本支出之外为完成特定行政任务和事业发展目标所发生的支出。 </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_GB2312" w:eastAsia="仿宋_GB2312"/>
          <w:color w:val="000000"/>
          <w:sz w:val="32"/>
          <w:szCs w:val="32"/>
        </w:rPr>
      </w:pPr>
      <w:r>
        <w:rPr>
          <w:rFonts w:hint="eastAsia" w:ascii="仿宋_GB2312" w:eastAsia="仿宋_GB2312"/>
          <w:color w:val="000000"/>
          <w:sz w:val="32"/>
          <w:szCs w:val="32"/>
          <w:lang w:val="en-US" w:eastAsia="zh-CN"/>
        </w:rPr>
        <w:t>20.</w:t>
      </w:r>
      <w:r>
        <w:rPr>
          <w:rFonts w:hint="eastAsia" w:ascii="仿宋_GB2312" w:eastAsia="仿宋_GB2312"/>
          <w:color w:val="000000"/>
          <w:sz w:val="32"/>
          <w:szCs w:val="32"/>
        </w:rPr>
        <w:t>经营支出：指事业单位在专业业务活动及其辅助活动之外开展非独立核算经营活动发生的支出。</w:t>
      </w:r>
    </w:p>
    <w:p>
      <w:pPr>
        <w:pStyle w:val="28"/>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lang w:val="en-US" w:eastAsia="zh-CN"/>
        </w:rPr>
        <w:t>21</w:t>
      </w:r>
      <w:r>
        <w:rPr>
          <w:rFonts w:hint="eastAsia" w:ascii="仿宋_GB2312" w:eastAsia="仿宋_GB2312"/>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28"/>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eastAsia" w:ascii="Times New Roman" w:hAnsi="Times New Roman" w:eastAsia="仿宋_GB2312" w:cs="仿宋_GB2312"/>
          <w:color w:val="auto"/>
          <w:kern w:val="2"/>
          <w:sz w:val="32"/>
          <w:szCs w:val="32"/>
          <w:highlight w:val="none"/>
          <w:lang w:val="en-US" w:eastAsia="zh-CN" w:bidi="ar-SA"/>
        </w:rPr>
        <w:sectPr>
          <w:footerReference r:id="rId8" w:type="first"/>
          <w:footerReference r:id="rId7" w:type="default"/>
          <w:pgSz w:w="11906" w:h="16838"/>
          <w:pgMar w:top="1440" w:right="1800" w:bottom="1440" w:left="1800" w:header="851" w:footer="992" w:gutter="0"/>
          <w:pgNumType w:fmt="decimal"/>
          <w:cols w:space="0" w:num="1"/>
          <w:rtlGutter w:val="0"/>
          <w:docGrid w:type="lines" w:linePitch="312" w:charSpace="0"/>
        </w:sectPr>
      </w:pPr>
      <w:r>
        <w:rPr>
          <w:rFonts w:hint="eastAsia" w:ascii="仿宋_GB2312" w:eastAsia="仿宋_GB2312"/>
          <w:sz w:val="32"/>
          <w:szCs w:val="32"/>
          <w:lang w:val="en-US" w:eastAsia="zh-CN"/>
        </w:rPr>
        <w:t>22</w:t>
      </w:r>
      <w:r>
        <w:rPr>
          <w:rFonts w:hint="eastAsia" w:ascii="仿宋_GB2312" w:eastAsia="仿宋_GB2312"/>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bookmarkEnd w:id="64"/>
    <w:bookmarkEnd w:id="65"/>
    <w:tbl>
      <w:tblPr>
        <w:tblStyle w:val="17"/>
        <w:tblW w:w="1472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02"/>
        <w:gridCol w:w="2021"/>
        <w:gridCol w:w="1447"/>
        <w:gridCol w:w="1916"/>
        <w:gridCol w:w="774"/>
        <w:gridCol w:w="1419"/>
        <w:gridCol w:w="2155"/>
        <w:gridCol w:w="928"/>
        <w:gridCol w:w="486"/>
        <w:gridCol w:w="396"/>
        <w:gridCol w:w="217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89" w:hRule="atLeast"/>
          <w:jc w:val="center"/>
        </w:trPr>
        <w:tc>
          <w:tcPr>
            <w:tcW w:w="14720" w:type="dxa"/>
            <w:gridSpan w:val="11"/>
            <w:tcBorders>
              <w:top w:val="nil"/>
              <w:left w:val="nil"/>
              <w:bottom w:val="single" w:color="auto" w:sz="4" w:space="0"/>
              <w:right w:val="nil"/>
            </w:tcBorders>
            <w:shd w:val="clear" w:color="auto" w:fill="auto"/>
            <w:vAlign w:val="center"/>
          </w:tcPr>
          <w:p>
            <w:pPr>
              <w:keepNext w:val="0"/>
              <w:keepLines w:val="0"/>
              <w:widowControl/>
              <w:suppressLineNumbers w:val="0"/>
              <w:jc w:val="both"/>
              <w:textAlignment w:val="center"/>
              <w:rPr>
                <w:rFonts w:hint="eastAsia" w:ascii="黑体" w:hAnsi="宋体" w:eastAsia="黑体" w:cs="黑体"/>
                <w:b/>
                <w:bCs/>
                <w:i w:val="0"/>
                <w:iCs w:val="0"/>
                <w:color w:val="000000"/>
                <w:kern w:val="0"/>
                <w:sz w:val="30"/>
                <w:szCs w:val="30"/>
                <w:u w:val="none"/>
                <w:lang w:val="en-US" w:eastAsia="zh-CN" w:bidi="ar"/>
              </w:rPr>
            </w:pPr>
            <w:bookmarkStart w:id="66" w:name="_Toc15396618"/>
            <w:bookmarkStart w:id="67" w:name="_Toc23055"/>
          </w:p>
          <w:p>
            <w:pPr>
              <w:pStyle w:val="2"/>
              <w:numPr>
                <w:ilvl w:val="0"/>
                <w:numId w:val="1"/>
              </w:numPr>
              <w:jc w:val="center"/>
              <w:rPr>
                <w:rFonts w:hint="eastAsia"/>
                <w:lang w:val="en-US" w:eastAsia="zh-CN"/>
              </w:rPr>
            </w:pPr>
            <w:bookmarkStart w:id="68" w:name="_Toc19103"/>
            <w:bookmarkStart w:id="69" w:name="_Toc2070"/>
            <w:bookmarkStart w:id="70" w:name="_Toc30951"/>
            <w:r>
              <w:rPr>
                <w:rStyle w:val="38"/>
                <w:rFonts w:hint="eastAsia" w:ascii="黑体" w:hAnsi="黑体" w:eastAsia="黑体"/>
                <w:b w:val="0"/>
              </w:rPr>
              <w:t>附件</w:t>
            </w:r>
            <w:bookmarkEnd w:id="68"/>
            <w:bookmarkEnd w:id="69"/>
            <w:bookmarkEnd w:id="70"/>
          </w:p>
          <w:p>
            <w:pPr>
              <w:keepNext w:val="0"/>
              <w:keepLines w:val="0"/>
              <w:pageBreakBefore w:val="0"/>
              <w:widowControl w:val="0"/>
              <w:kinsoku/>
              <w:wordWrap/>
              <w:overflowPunct/>
              <w:topLinePunct w:val="0"/>
              <w:autoSpaceDE/>
              <w:autoSpaceDN/>
              <w:bidi w:val="0"/>
              <w:adjustRightInd/>
              <w:snapToGrid/>
              <w:spacing w:line="572" w:lineRule="exact"/>
              <w:ind w:firstLine="960" w:firstLineChars="300"/>
              <w:jc w:val="left"/>
              <w:textAlignment w:val="auto"/>
              <w:outlineLvl w:val="9"/>
              <w:rPr>
                <w:rFonts w:hint="eastAsia" w:ascii="Times New Roman" w:hAnsi="Times New Roman" w:eastAsia="黑体" w:cs="方正小标宋简体"/>
                <w:color w:val="auto"/>
                <w:sz w:val="44"/>
                <w:szCs w:val="44"/>
                <w:highlight w:val="none"/>
                <w:lang w:val="en-US" w:eastAsia="zh-CN"/>
              </w:rPr>
            </w:pPr>
            <w:r>
              <w:rPr>
                <w:rFonts w:hint="eastAsia" w:ascii="Times New Roman" w:hAnsi="Times New Roman" w:eastAsia="黑体" w:cs="黑体"/>
                <w:color w:val="auto"/>
                <w:sz w:val="32"/>
                <w:szCs w:val="32"/>
                <w:highlight w:val="none"/>
              </w:rPr>
              <w:t>附件</w:t>
            </w:r>
            <w:r>
              <w:rPr>
                <w:rFonts w:hint="eastAsia" w:ascii="Times New Roman" w:hAnsi="Times New Roman" w:eastAsia="黑体" w:cs="黑体"/>
                <w:color w:val="auto"/>
                <w:sz w:val="32"/>
                <w:szCs w:val="32"/>
                <w:highlight w:val="none"/>
                <w:lang w:val="en-US" w:eastAsia="zh-CN"/>
              </w:rPr>
              <w:t>1</w:t>
            </w:r>
          </w:p>
          <w:p>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2"/>
                <w:szCs w:val="32"/>
                <w:u w:val="none"/>
                <w:lang w:val="en-US" w:eastAsia="zh-CN" w:bidi="ar"/>
              </w:rPr>
              <w:t>部门预算项目支出绩效自评表（2024年度）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6" w:hRule="atLeast"/>
          <w:jc w:val="center"/>
        </w:trPr>
        <w:tc>
          <w:tcPr>
            <w:tcW w:w="3027" w:type="dxa"/>
            <w:gridSpan w:val="2"/>
            <w:tcBorders>
              <w:top w:val="single" w:color="auto"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1693" w:type="dxa"/>
            <w:gridSpan w:val="9"/>
            <w:tcBorders>
              <w:top w:val="single" w:color="auto"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51322324T000011153698-2023年度科普工作经费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4" w:hRule="atLeast"/>
          <w:jc w:val="center"/>
        </w:trPr>
        <w:tc>
          <w:tcPr>
            <w:tcW w:w="3027" w:type="dxa"/>
            <w:gridSpan w:val="2"/>
            <w:tcBorders>
              <w:top w:val="single" w:color="000000" w:sz="4" w:space="0"/>
              <w:left w:val="single" w:color="auto" w:sz="4" w:space="0"/>
              <w:bottom w:val="single" w:color="auto"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7722" w:type="dxa"/>
            <w:gridSpan w:val="5"/>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茂县科学技术协会</w:t>
            </w:r>
          </w:p>
        </w:tc>
        <w:tc>
          <w:tcPr>
            <w:tcW w:w="928" w:type="dxa"/>
            <w:tcBorders>
              <w:top w:val="nil"/>
              <w:left w:val="nil"/>
              <w:bottom w:val="single" w:color="auto" w:sz="4" w:space="0"/>
              <w:right w:val="nil"/>
            </w:tcBorders>
            <w:shd w:val="clear" w:color="auto" w:fill="auto"/>
            <w:vAlign w:val="center"/>
          </w:tcPr>
          <w:p>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043" w:type="dxa"/>
            <w:gridSpan w:val="3"/>
            <w:tcBorders>
              <w:top w:val="single" w:color="000000" w:sz="4" w:space="0"/>
              <w:left w:val="single" w:color="000000"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茂县科学技术协会（行政）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6" w:hRule="atLeast"/>
          <w:jc w:val="center"/>
        </w:trPr>
        <w:tc>
          <w:tcPr>
            <w:tcW w:w="1003" w:type="dxa"/>
            <w:vMerge w:val="restart"/>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2024" w:type="dxa"/>
            <w:vMerge w:val="restart"/>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7722" w:type="dxa"/>
            <w:gridSpan w:val="5"/>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971" w:type="dxa"/>
            <w:gridSpan w:val="4"/>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jc w:val="center"/>
        </w:trPr>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0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72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目标任务：开展各类科普活动，以“全国科普日”“科技活动月”“科技活动周”等各类科普活动为载体，全方位、多角度覆盖群众，集中宣传科学知识；大力开展“科普进社区”“科普进校园”活动，同“两联一进”“主题党日”等活动相结合，做到内容上更贴近群众需求，在活动形式上有更多创新，开展群众喜闻乐见的科普活动。</w:t>
            </w:r>
          </w:p>
        </w:tc>
        <w:tc>
          <w:tcPr>
            <w:tcW w:w="397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该项目于2023年度全部完成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4" w:hRule="atLeast"/>
          <w:jc w:val="center"/>
        </w:trPr>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0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1169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4" w:hRule="atLeast"/>
          <w:jc w:val="center"/>
        </w:trPr>
        <w:tc>
          <w:tcPr>
            <w:tcW w:w="100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20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4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43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3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1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6" w:hRule="atLeast"/>
          <w:jc w:val="center"/>
        </w:trPr>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4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3.00</w:t>
            </w:r>
          </w:p>
        </w:tc>
        <w:tc>
          <w:tcPr>
            <w:tcW w:w="43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3.00</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1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6" w:hRule="atLeast"/>
          <w:jc w:val="center"/>
        </w:trPr>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4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3.00</w:t>
            </w:r>
          </w:p>
        </w:tc>
        <w:tc>
          <w:tcPr>
            <w:tcW w:w="43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3.00</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1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6" w:hRule="atLeast"/>
          <w:jc w:val="center"/>
        </w:trPr>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4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3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1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6" w:hRule="atLeast"/>
          <w:jc w:val="center"/>
        </w:trPr>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4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3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1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6" w:hRule="atLeast"/>
          <w:jc w:val="center"/>
        </w:trPr>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4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3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1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4" w:hRule="atLeast"/>
          <w:jc w:val="center"/>
        </w:trPr>
        <w:tc>
          <w:tcPr>
            <w:tcW w:w="100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20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4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21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3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1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4" w:hRule="atLeast"/>
          <w:jc w:val="center"/>
        </w:trPr>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4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全方位、多角度覆盖群众，集中宣传科学知识</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21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40</w:t>
            </w:r>
          </w:p>
        </w:tc>
        <w:tc>
          <w:tcPr>
            <w:tcW w:w="3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1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6" w:hRule="atLeast"/>
          <w:jc w:val="center"/>
        </w:trPr>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4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人民群众满意</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w:t>
            </w:r>
          </w:p>
        </w:tc>
        <w:tc>
          <w:tcPr>
            <w:tcW w:w="21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3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1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6" w:hRule="atLeast"/>
          <w:jc w:val="center"/>
        </w:trPr>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4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受群众满意度</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21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1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6" w:hRule="atLeast"/>
          <w:jc w:val="center"/>
        </w:trPr>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14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科普工作经费3万元</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w:t>
            </w:r>
          </w:p>
        </w:tc>
        <w:tc>
          <w:tcPr>
            <w:tcW w:w="21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3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1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6" w:hRule="atLeast"/>
          <w:jc w:val="center"/>
        </w:trPr>
        <w:tc>
          <w:tcPr>
            <w:tcW w:w="1167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38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17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6" w:hRule="atLeast"/>
          <w:jc w:val="center"/>
        </w:trPr>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371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该项目自评得分82分。项目围绕产业发展、民生保障等多方面开展科普活动，经费使用合规，活动执行到位，达到预期目标，有效提升公众科学素养。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6" w:hRule="atLeast"/>
          <w:jc w:val="center"/>
        </w:trPr>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371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 科普资源在偏远乡村覆盖仍不足，区域均衡性有待进一步提高。2.校园科普活动形式创新性不足，对部分学生吸引力有限。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2" w:hRule="atLeast"/>
          <w:jc w:val="center"/>
        </w:trPr>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371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预算安排：1. 增加对偏远乡村科普资源投入预算，如增设宣传栏、开展流动科普服务，提升区域均衡性。2. 预留部分预算用于校园科普活动创新策划，探索新颖活动形式，提高学生参与度。制定鼓励社会力量参与偏远乡村科普工作的政策，吸引更多资源投入，改善科普资源分布不均状况。</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改进管理：1. 加强对偏远乡村科普工作的管理与监督，确保资源有效利用，提高覆盖效果。2. 定期组织校园科普活动策划人员培训交流，学习先进经验，提升活动创新能力。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717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755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bl>
    <w:p>
      <w:pPr>
        <w:keepNext w:val="0"/>
        <w:keepLines w:val="0"/>
        <w:pageBreakBefore w:val="0"/>
        <w:widowControl/>
        <w:kinsoku/>
        <w:wordWrap/>
        <w:overflowPunct/>
        <w:topLinePunct w:val="0"/>
        <w:autoSpaceDE/>
        <w:autoSpaceDN/>
        <w:bidi w:val="0"/>
        <w:adjustRightInd/>
        <w:snapToGrid/>
        <w:spacing w:line="240" w:lineRule="auto"/>
        <w:jc w:val="center"/>
        <w:textAlignment w:val="auto"/>
        <w:outlineLvl w:val="0"/>
        <w:rPr>
          <w:rFonts w:hint="eastAsia" w:ascii="Times New Roman" w:hAnsi="Times New Roman" w:eastAsia="黑体"/>
          <w:color w:val="auto"/>
          <w:sz w:val="44"/>
          <w:szCs w:val="44"/>
          <w:highlight w:val="none"/>
        </w:rPr>
      </w:pPr>
    </w:p>
    <w:p>
      <w:pPr>
        <w:keepNext w:val="0"/>
        <w:keepLines w:val="0"/>
        <w:pageBreakBefore w:val="0"/>
        <w:widowControl/>
        <w:kinsoku/>
        <w:wordWrap/>
        <w:overflowPunct/>
        <w:topLinePunct w:val="0"/>
        <w:autoSpaceDE/>
        <w:autoSpaceDN/>
        <w:bidi w:val="0"/>
        <w:adjustRightInd/>
        <w:snapToGrid/>
        <w:jc w:val="center"/>
        <w:textAlignment w:val="auto"/>
        <w:outlineLvl w:val="0"/>
        <w:rPr>
          <w:rFonts w:hint="eastAsia" w:ascii="Times New Roman" w:hAnsi="Times New Roman" w:eastAsia="黑体"/>
          <w:color w:val="auto"/>
          <w:sz w:val="44"/>
          <w:szCs w:val="44"/>
          <w:highlight w:val="none"/>
        </w:rPr>
      </w:pPr>
    </w:p>
    <w:p>
      <w:pPr>
        <w:keepNext w:val="0"/>
        <w:keepLines w:val="0"/>
        <w:pageBreakBefore w:val="0"/>
        <w:widowControl/>
        <w:kinsoku/>
        <w:wordWrap/>
        <w:overflowPunct/>
        <w:topLinePunct w:val="0"/>
        <w:autoSpaceDE/>
        <w:autoSpaceDN/>
        <w:bidi w:val="0"/>
        <w:adjustRightInd/>
        <w:snapToGrid/>
        <w:jc w:val="center"/>
        <w:textAlignment w:val="auto"/>
        <w:outlineLvl w:val="0"/>
        <w:rPr>
          <w:rFonts w:hint="eastAsia" w:ascii="Times New Roman" w:hAnsi="Times New Roman" w:eastAsia="黑体"/>
          <w:color w:val="auto"/>
          <w:sz w:val="44"/>
          <w:szCs w:val="44"/>
          <w:highlight w:val="none"/>
        </w:rPr>
      </w:pPr>
    </w:p>
    <w:p>
      <w:pPr>
        <w:keepNext w:val="0"/>
        <w:keepLines w:val="0"/>
        <w:pageBreakBefore w:val="0"/>
        <w:widowControl/>
        <w:kinsoku/>
        <w:wordWrap/>
        <w:overflowPunct/>
        <w:topLinePunct w:val="0"/>
        <w:autoSpaceDE/>
        <w:autoSpaceDN/>
        <w:bidi w:val="0"/>
        <w:adjustRightInd/>
        <w:snapToGrid/>
        <w:jc w:val="center"/>
        <w:textAlignment w:val="auto"/>
        <w:outlineLvl w:val="0"/>
        <w:rPr>
          <w:rFonts w:hint="eastAsia" w:ascii="Times New Roman" w:hAnsi="Times New Roman" w:eastAsia="黑体"/>
          <w:color w:val="auto"/>
          <w:sz w:val="44"/>
          <w:szCs w:val="44"/>
          <w:highlight w:val="none"/>
        </w:rPr>
      </w:pPr>
    </w:p>
    <w:p>
      <w:pPr>
        <w:keepNext w:val="0"/>
        <w:keepLines w:val="0"/>
        <w:pageBreakBefore w:val="0"/>
        <w:widowControl/>
        <w:kinsoku/>
        <w:wordWrap/>
        <w:overflowPunct/>
        <w:topLinePunct w:val="0"/>
        <w:autoSpaceDE/>
        <w:autoSpaceDN/>
        <w:bidi w:val="0"/>
        <w:adjustRightInd/>
        <w:snapToGrid/>
        <w:jc w:val="center"/>
        <w:textAlignment w:val="auto"/>
        <w:outlineLvl w:val="0"/>
        <w:rPr>
          <w:rFonts w:hint="eastAsia" w:ascii="Times New Roman" w:hAnsi="Times New Roman" w:eastAsia="黑体"/>
          <w:color w:val="auto"/>
          <w:sz w:val="44"/>
          <w:szCs w:val="44"/>
          <w:highlight w:val="none"/>
        </w:rPr>
      </w:pPr>
    </w:p>
    <w:p>
      <w:pPr>
        <w:keepNext w:val="0"/>
        <w:keepLines w:val="0"/>
        <w:pageBreakBefore w:val="0"/>
        <w:widowControl/>
        <w:kinsoku/>
        <w:wordWrap/>
        <w:overflowPunct/>
        <w:topLinePunct w:val="0"/>
        <w:autoSpaceDE/>
        <w:autoSpaceDN/>
        <w:bidi w:val="0"/>
        <w:adjustRightInd/>
        <w:snapToGrid/>
        <w:jc w:val="center"/>
        <w:textAlignment w:val="auto"/>
        <w:outlineLvl w:val="0"/>
        <w:rPr>
          <w:rFonts w:hint="eastAsia" w:ascii="Times New Roman" w:hAnsi="Times New Roman" w:eastAsia="黑体"/>
          <w:color w:val="auto"/>
          <w:sz w:val="44"/>
          <w:szCs w:val="44"/>
          <w:highlight w:val="none"/>
        </w:rPr>
      </w:pPr>
    </w:p>
    <w:p>
      <w:pPr>
        <w:pStyle w:val="2"/>
        <w:ind w:left="0" w:leftChars="0" w:firstLine="0" w:firstLineChars="0"/>
        <w:rPr>
          <w:rFonts w:hint="eastAsia" w:ascii="Times New Roman" w:hAnsi="Times New Roman" w:eastAsia="黑体"/>
          <w:color w:val="auto"/>
          <w:sz w:val="44"/>
          <w:szCs w:val="44"/>
          <w:highlight w:val="none"/>
        </w:rPr>
      </w:pPr>
    </w:p>
    <w:p>
      <w:pPr>
        <w:rPr>
          <w:rFonts w:hint="eastAsia" w:ascii="Times New Roman" w:hAnsi="Times New Roman" w:eastAsia="黑体"/>
          <w:color w:val="auto"/>
          <w:sz w:val="44"/>
          <w:szCs w:val="44"/>
          <w:highlight w:val="none"/>
        </w:rPr>
      </w:pPr>
    </w:p>
    <w:p>
      <w:pPr>
        <w:pStyle w:val="2"/>
        <w:rPr>
          <w:rFonts w:hint="eastAsia" w:ascii="Times New Roman" w:hAnsi="Times New Roman" w:eastAsia="黑体"/>
          <w:color w:val="auto"/>
          <w:sz w:val="44"/>
          <w:szCs w:val="44"/>
          <w:highlight w:val="none"/>
        </w:rPr>
      </w:pPr>
    </w:p>
    <w:p>
      <w:pPr>
        <w:pStyle w:val="2"/>
        <w:ind w:left="0" w:leftChars="0" w:firstLine="0" w:firstLineChars="0"/>
        <w:rPr>
          <w:rFonts w:hint="eastAsia"/>
        </w:rPr>
      </w:pPr>
    </w:p>
    <w:p>
      <w:pPr>
        <w:keepNext w:val="0"/>
        <w:keepLines w:val="0"/>
        <w:pageBreakBefore w:val="0"/>
        <w:widowControl w:val="0"/>
        <w:kinsoku/>
        <w:wordWrap/>
        <w:overflowPunct/>
        <w:topLinePunct w:val="0"/>
        <w:autoSpaceDE/>
        <w:autoSpaceDN/>
        <w:bidi w:val="0"/>
        <w:adjustRightInd/>
        <w:snapToGrid/>
        <w:spacing w:line="572" w:lineRule="exact"/>
        <w:ind w:firstLine="960" w:firstLineChars="300"/>
        <w:jc w:val="left"/>
        <w:textAlignment w:val="auto"/>
        <w:outlineLvl w:val="9"/>
        <w:rPr>
          <w:rFonts w:hint="eastAsia"/>
          <w:lang w:val="en-US" w:eastAsia="zh-CN"/>
        </w:rPr>
      </w:pPr>
      <w:r>
        <w:rPr>
          <w:rFonts w:hint="eastAsia" w:ascii="Times New Roman" w:hAnsi="Times New Roman" w:eastAsia="黑体" w:cs="黑体"/>
          <w:color w:val="auto"/>
          <w:sz w:val="32"/>
          <w:szCs w:val="32"/>
          <w:highlight w:val="none"/>
        </w:rPr>
        <w:t>附件</w:t>
      </w:r>
      <w:r>
        <w:rPr>
          <w:rFonts w:hint="eastAsia" w:ascii="Times New Roman" w:hAnsi="Times New Roman" w:eastAsia="黑体" w:cs="黑体"/>
          <w:color w:val="auto"/>
          <w:sz w:val="32"/>
          <w:szCs w:val="32"/>
          <w:highlight w:val="none"/>
          <w:lang w:val="en-US" w:eastAsia="zh-CN"/>
        </w:rPr>
        <w:t>2</w:t>
      </w:r>
    </w:p>
    <w:tbl>
      <w:tblPr>
        <w:tblStyle w:val="17"/>
        <w:tblpPr w:leftFromText="180" w:rightFromText="180" w:vertAnchor="text" w:horzAnchor="page" w:tblpXSpec="center" w:tblpY="728"/>
        <w:tblOverlap w:val="never"/>
        <w:tblW w:w="1532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47"/>
        <w:gridCol w:w="2108"/>
        <w:gridCol w:w="1509"/>
        <w:gridCol w:w="1999"/>
        <w:gridCol w:w="809"/>
        <w:gridCol w:w="1481"/>
        <w:gridCol w:w="2246"/>
        <w:gridCol w:w="966"/>
        <w:gridCol w:w="486"/>
        <w:gridCol w:w="403"/>
        <w:gridCol w:w="226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9" w:hRule="atLeast"/>
          <w:jc w:val="center"/>
        </w:trPr>
        <w:tc>
          <w:tcPr>
            <w:tcW w:w="1532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2"/>
                <w:szCs w:val="32"/>
                <w:u w:val="none"/>
                <w:lang w:val="en-US" w:eastAsia="zh-CN" w:bidi="ar"/>
              </w:rPr>
              <w:t>部门预算项目支出绩效自评表（2024年度）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9" w:hRule="atLeast"/>
          <w:jc w:val="center"/>
        </w:trPr>
        <w:tc>
          <w:tcPr>
            <w:tcW w:w="31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216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51322324T000012002425-2023年度四川省科普专项资金项目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9" w:hRule="atLeast"/>
          <w:jc w:val="center"/>
        </w:trPr>
        <w:tc>
          <w:tcPr>
            <w:tcW w:w="31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804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茂县科学技术协会</w:t>
            </w:r>
          </w:p>
        </w:tc>
        <w:tc>
          <w:tcPr>
            <w:tcW w:w="966"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14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茂县科学技术协会（行政）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9" w:hRule="atLeast"/>
          <w:jc w:val="center"/>
        </w:trPr>
        <w:tc>
          <w:tcPr>
            <w:tcW w:w="10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21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804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11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57" w:hRule="atLeast"/>
          <w:jc w:val="center"/>
        </w:trPr>
        <w:tc>
          <w:tcPr>
            <w:tcW w:w="10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1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804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有效开展全员常态“保姆式”服务，按照省、州科协要求配备“专职保姆”3名，通过购买第三方服务，实现“应配尽配”，持续为天府科技云平台引入真实有效的科技服务供给、科技服务需求、助力形成有效科技市场。为达到宣传范围更广、服务群众数量更多的目的，通过会议培训、现场指导、科普活动等方式，向群众宣传、推广、指导下载“天府科技云”APP，利用LED大平台和短信宣传平台，增加群众获取科普知识的载体和途径，促进科学知识宣传普及，对天府科技云进行重点宣传。</w:t>
            </w:r>
          </w:p>
        </w:tc>
        <w:tc>
          <w:tcPr>
            <w:tcW w:w="411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该项目于2024年度全部完成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9" w:hRule="atLeast"/>
          <w:jc w:val="center"/>
        </w:trPr>
        <w:tc>
          <w:tcPr>
            <w:tcW w:w="10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1216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9" w:hRule="atLeast"/>
          <w:jc w:val="center"/>
        </w:trPr>
        <w:tc>
          <w:tcPr>
            <w:tcW w:w="10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2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2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453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2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9" w:hRule="atLeast"/>
          <w:jc w:val="center"/>
        </w:trPr>
        <w:tc>
          <w:tcPr>
            <w:tcW w:w="10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17.00</w:t>
            </w:r>
          </w:p>
        </w:tc>
        <w:tc>
          <w:tcPr>
            <w:tcW w:w="453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17.00</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2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9" w:hRule="atLeast"/>
          <w:jc w:val="center"/>
        </w:trPr>
        <w:tc>
          <w:tcPr>
            <w:tcW w:w="10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17.00</w:t>
            </w:r>
          </w:p>
        </w:tc>
        <w:tc>
          <w:tcPr>
            <w:tcW w:w="453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17.00</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2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9" w:hRule="atLeast"/>
          <w:jc w:val="center"/>
        </w:trPr>
        <w:tc>
          <w:tcPr>
            <w:tcW w:w="10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53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2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9" w:hRule="atLeast"/>
          <w:jc w:val="center"/>
        </w:trPr>
        <w:tc>
          <w:tcPr>
            <w:tcW w:w="10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53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2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9" w:hRule="atLeast"/>
          <w:jc w:val="center"/>
        </w:trPr>
        <w:tc>
          <w:tcPr>
            <w:tcW w:w="10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5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0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53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2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9" w:hRule="atLeast"/>
          <w:jc w:val="center"/>
        </w:trPr>
        <w:tc>
          <w:tcPr>
            <w:tcW w:w="10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2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22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2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9" w:hRule="atLeast"/>
          <w:jc w:val="center"/>
        </w:trPr>
        <w:tc>
          <w:tcPr>
            <w:tcW w:w="10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1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5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2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科技工作者注册</w:t>
            </w: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w:t>
            </w:r>
          </w:p>
        </w:tc>
        <w:tc>
          <w:tcPr>
            <w:tcW w:w="22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2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9" w:hRule="atLeast"/>
          <w:jc w:val="center"/>
        </w:trPr>
        <w:tc>
          <w:tcPr>
            <w:tcW w:w="10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1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保姆数量</w:t>
            </w: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22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2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9" w:hRule="atLeast"/>
          <w:jc w:val="center"/>
        </w:trPr>
        <w:tc>
          <w:tcPr>
            <w:tcW w:w="10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1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2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天府科技云工作完成率</w:t>
            </w: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2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2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9" w:hRule="atLeast"/>
          <w:jc w:val="center"/>
        </w:trPr>
        <w:tc>
          <w:tcPr>
            <w:tcW w:w="10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1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2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项目完成时间</w:t>
            </w: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18</w:t>
            </w:r>
          </w:p>
        </w:tc>
        <w:tc>
          <w:tcPr>
            <w:tcW w:w="22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月</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2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9" w:hRule="atLeast"/>
          <w:jc w:val="center"/>
        </w:trPr>
        <w:tc>
          <w:tcPr>
            <w:tcW w:w="10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2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促成平台交易单数</w:t>
            </w: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120</w:t>
            </w:r>
          </w:p>
        </w:tc>
        <w:tc>
          <w:tcPr>
            <w:tcW w:w="22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份</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25</w:t>
            </w:r>
          </w:p>
        </w:tc>
        <w:tc>
          <w:tcPr>
            <w:tcW w:w="4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2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9" w:hRule="atLeast"/>
          <w:jc w:val="center"/>
        </w:trPr>
        <w:tc>
          <w:tcPr>
            <w:tcW w:w="10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2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天府科技云用户满意度</w:t>
            </w: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22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2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9" w:hRule="atLeast"/>
          <w:jc w:val="center"/>
        </w:trPr>
        <w:tc>
          <w:tcPr>
            <w:tcW w:w="10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1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2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聘用人员成本</w:t>
            </w: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50000</w:t>
            </w:r>
          </w:p>
        </w:tc>
        <w:tc>
          <w:tcPr>
            <w:tcW w:w="22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元/人年</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2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9" w:hRule="atLeast"/>
          <w:jc w:val="center"/>
        </w:trPr>
        <w:tc>
          <w:tcPr>
            <w:tcW w:w="12173"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26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9" w:hRule="atLeast"/>
          <w:jc w:val="center"/>
        </w:trPr>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427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该项目自评得分84分。天府科技云服务项目管理规范，预算执行率达到100%，全面完成年度绩效总体目标和各项绩效指标，有效发挥了财政资金的使用效率。通过项目实施，科普服务更加精准化，天府科技云成为助力区域科技创新发展新平台，成为全县科技工作者、企事业单位、城乡群众科技（科普）交流的新载体，有力推动了全区公民科学素质提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9" w:hRule="atLeast"/>
          <w:jc w:val="center"/>
        </w:trPr>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427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9" w:hRule="atLeast"/>
          <w:jc w:val="center"/>
        </w:trPr>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427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jc w:val="center"/>
        </w:trPr>
        <w:tc>
          <w:tcPr>
            <w:tcW w:w="747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784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bl>
    <w:p>
      <w:pPr>
        <w:keepNext w:val="0"/>
        <w:keepLines w:val="0"/>
        <w:pageBreakBefore w:val="0"/>
        <w:widowControl/>
        <w:kinsoku/>
        <w:wordWrap/>
        <w:overflowPunct/>
        <w:topLinePunct w:val="0"/>
        <w:autoSpaceDE/>
        <w:autoSpaceDN/>
        <w:bidi w:val="0"/>
        <w:adjustRightInd/>
        <w:snapToGrid/>
        <w:jc w:val="both"/>
        <w:textAlignment w:val="auto"/>
        <w:outlineLvl w:val="0"/>
        <w:rPr>
          <w:rFonts w:hint="eastAsia" w:ascii="Times New Roman" w:hAnsi="Times New Roman" w:eastAsia="黑体"/>
          <w:color w:val="auto"/>
          <w:sz w:val="44"/>
          <w:szCs w:val="44"/>
          <w:highlight w:val="none"/>
        </w:rPr>
        <w:sectPr>
          <w:pgSz w:w="16838" w:h="11906" w:orient="landscape"/>
          <w:pgMar w:top="0" w:right="0" w:bottom="0" w:left="0" w:header="851" w:footer="992" w:gutter="0"/>
          <w:pgNumType w:fmt="decimal"/>
          <w:cols w:space="0" w:num="1"/>
          <w:titlePg/>
          <w:rtlGutter w:val="0"/>
          <w:docGrid w:type="lines" w:linePitch="319" w:charSpace="0"/>
        </w:sectPr>
      </w:pPr>
    </w:p>
    <w:p>
      <w:pPr>
        <w:pStyle w:val="3"/>
        <w:keepNext/>
        <w:keepLines/>
        <w:pageBreakBefore w:val="0"/>
        <w:widowControl w:val="0"/>
        <w:numPr>
          <w:ilvl w:val="0"/>
          <w:numId w:val="0"/>
        </w:numPr>
        <w:kinsoku/>
        <w:wordWrap/>
        <w:overflowPunct/>
        <w:topLinePunct w:val="0"/>
        <w:autoSpaceDE/>
        <w:autoSpaceDN/>
        <w:bidi w:val="0"/>
        <w:adjustRightInd/>
        <w:snapToGrid/>
        <w:spacing w:line="416" w:lineRule="auto"/>
        <w:ind w:left="198" w:leftChars="0"/>
        <w:jc w:val="center"/>
        <w:textAlignment w:val="auto"/>
        <w:outlineLvl w:val="0"/>
        <w:rPr>
          <w:rStyle w:val="30"/>
          <w:rFonts w:hint="default" w:eastAsia="黑体"/>
          <w:b w:val="0"/>
          <w:bCs/>
          <w:color w:val="auto"/>
          <w:highlight w:val="none"/>
          <w:lang w:val="en-US" w:eastAsia="zh-CN"/>
        </w:rPr>
      </w:pPr>
      <w:bookmarkStart w:id="71" w:name="_Toc17582"/>
      <w:r>
        <w:rPr>
          <w:rStyle w:val="30"/>
          <w:rFonts w:hint="eastAsia" w:eastAsia="黑体"/>
          <w:b w:val="0"/>
          <w:bCs/>
          <w:color w:val="auto"/>
          <w:highlight w:val="none"/>
          <w:lang w:eastAsia="zh-CN"/>
        </w:rPr>
        <w:t>第五部分</w:t>
      </w:r>
      <w:r>
        <w:rPr>
          <w:rStyle w:val="30"/>
          <w:rFonts w:hint="eastAsia" w:eastAsia="黑体"/>
          <w:b w:val="0"/>
          <w:bCs/>
          <w:color w:val="auto"/>
          <w:highlight w:val="none"/>
          <w:lang w:val="en-US" w:eastAsia="zh-CN"/>
        </w:rPr>
        <w:t xml:space="preserve">  附表</w:t>
      </w:r>
      <w:bookmarkEnd w:id="71"/>
    </w:p>
    <w:bookmarkEnd w:id="66"/>
    <w:bookmarkEnd w:id="67"/>
    <w:p>
      <w:pPr>
        <w:pStyle w:val="4"/>
        <w:rPr>
          <w:rFonts w:ascii="仿宋" w:hAnsi="仿宋" w:eastAsia="仿宋"/>
        </w:rPr>
      </w:pPr>
      <w:bookmarkStart w:id="72" w:name="_Toc11127"/>
      <w:bookmarkStart w:id="73" w:name="_Toc21750"/>
      <w:bookmarkStart w:id="74" w:name="_Toc7822"/>
      <w:bookmarkStart w:id="75" w:name="_Toc15396619"/>
      <w:r>
        <w:rPr>
          <w:rFonts w:hint="eastAsia" w:ascii="仿宋" w:hAnsi="仿宋" w:eastAsia="仿宋"/>
          <w:b w:val="0"/>
        </w:rPr>
        <w:t>一、收</w:t>
      </w:r>
      <w:r>
        <w:rPr>
          <w:rStyle w:val="37"/>
          <w:rFonts w:hint="eastAsia" w:ascii="仿宋" w:hAnsi="仿宋" w:eastAsia="仿宋"/>
          <w:b w:val="0"/>
          <w:bCs w:val="0"/>
        </w:rPr>
        <w:t>入支出决算总表</w:t>
      </w:r>
      <w:bookmarkEnd w:id="72"/>
      <w:bookmarkEnd w:id="73"/>
      <w:bookmarkEnd w:id="74"/>
    </w:p>
    <w:p>
      <w:pPr>
        <w:pStyle w:val="4"/>
        <w:rPr>
          <w:rFonts w:ascii="仿宋" w:hAnsi="仿宋" w:eastAsia="仿宋"/>
        </w:rPr>
      </w:pPr>
      <w:bookmarkStart w:id="76" w:name="_Toc27385"/>
      <w:bookmarkStart w:id="77" w:name="_Toc15396620"/>
      <w:bookmarkStart w:id="78" w:name="_Toc16125"/>
      <w:bookmarkStart w:id="79" w:name="_Toc12412"/>
      <w:r>
        <w:rPr>
          <w:rFonts w:hint="eastAsia" w:ascii="仿宋" w:hAnsi="仿宋" w:eastAsia="仿宋"/>
          <w:b w:val="0"/>
        </w:rPr>
        <w:t>二、收</w:t>
      </w:r>
      <w:r>
        <w:rPr>
          <w:rStyle w:val="37"/>
          <w:rFonts w:hint="eastAsia" w:ascii="仿宋" w:hAnsi="仿宋" w:eastAsia="仿宋"/>
          <w:b w:val="0"/>
          <w:bCs w:val="0"/>
        </w:rPr>
        <w:t>入决算表</w:t>
      </w:r>
      <w:bookmarkEnd w:id="76"/>
      <w:bookmarkEnd w:id="77"/>
      <w:bookmarkEnd w:id="78"/>
      <w:bookmarkEnd w:id="79"/>
    </w:p>
    <w:p>
      <w:pPr>
        <w:pStyle w:val="4"/>
        <w:rPr>
          <w:rFonts w:ascii="仿宋" w:hAnsi="仿宋" w:eastAsia="仿宋"/>
        </w:rPr>
      </w:pPr>
      <w:bookmarkStart w:id="80" w:name="_Toc12113"/>
      <w:bookmarkStart w:id="81" w:name="_Toc15396621"/>
      <w:bookmarkStart w:id="82" w:name="_Toc32557"/>
      <w:bookmarkStart w:id="83" w:name="_Toc30765"/>
      <w:r>
        <w:rPr>
          <w:rStyle w:val="37"/>
          <w:rFonts w:hint="eastAsia" w:ascii="仿宋" w:hAnsi="仿宋" w:eastAsia="仿宋"/>
          <w:b w:val="0"/>
          <w:bCs w:val="0"/>
        </w:rPr>
        <w:t>三、</w:t>
      </w:r>
      <w:r>
        <w:rPr>
          <w:rFonts w:hint="eastAsia" w:ascii="仿宋" w:hAnsi="仿宋" w:eastAsia="仿宋"/>
          <w:b w:val="0"/>
        </w:rPr>
        <w:t>支</w:t>
      </w:r>
      <w:r>
        <w:rPr>
          <w:rStyle w:val="37"/>
          <w:rFonts w:hint="eastAsia" w:ascii="仿宋" w:hAnsi="仿宋" w:eastAsia="仿宋"/>
          <w:b w:val="0"/>
          <w:bCs w:val="0"/>
        </w:rPr>
        <w:t>出决算表</w:t>
      </w:r>
      <w:bookmarkEnd w:id="80"/>
      <w:bookmarkEnd w:id="81"/>
      <w:bookmarkEnd w:id="82"/>
      <w:bookmarkEnd w:id="83"/>
    </w:p>
    <w:p>
      <w:pPr>
        <w:pStyle w:val="4"/>
        <w:rPr>
          <w:rFonts w:ascii="仿宋" w:hAnsi="仿宋" w:eastAsia="仿宋"/>
          <w:b w:val="0"/>
        </w:rPr>
      </w:pPr>
      <w:bookmarkStart w:id="84" w:name="_Toc15396622"/>
      <w:bookmarkStart w:id="85" w:name="_Toc3865"/>
      <w:bookmarkStart w:id="86" w:name="_Toc32338"/>
      <w:bookmarkStart w:id="87" w:name="_Toc15118"/>
      <w:r>
        <w:rPr>
          <w:rStyle w:val="37"/>
          <w:rFonts w:hint="eastAsia" w:ascii="仿宋" w:hAnsi="仿宋" w:eastAsia="仿宋"/>
          <w:b w:val="0"/>
          <w:bCs w:val="0"/>
        </w:rPr>
        <w:t>四、</w:t>
      </w:r>
      <w:r>
        <w:rPr>
          <w:rFonts w:hint="eastAsia" w:ascii="仿宋" w:hAnsi="仿宋" w:eastAsia="仿宋"/>
          <w:b w:val="0"/>
        </w:rPr>
        <w:t>财</w:t>
      </w:r>
      <w:r>
        <w:rPr>
          <w:rStyle w:val="37"/>
          <w:rFonts w:hint="eastAsia" w:ascii="仿宋" w:hAnsi="仿宋" w:eastAsia="仿宋"/>
          <w:b w:val="0"/>
          <w:bCs w:val="0"/>
        </w:rPr>
        <w:t>政拨款收入支出决算总表</w:t>
      </w:r>
      <w:bookmarkEnd w:id="84"/>
      <w:bookmarkEnd w:id="85"/>
      <w:bookmarkEnd w:id="86"/>
      <w:bookmarkEnd w:id="87"/>
    </w:p>
    <w:p>
      <w:pPr>
        <w:pStyle w:val="4"/>
        <w:rPr>
          <w:rStyle w:val="37"/>
          <w:rFonts w:ascii="仿宋" w:hAnsi="仿宋" w:eastAsia="仿宋"/>
          <w:b w:val="0"/>
          <w:bCs w:val="0"/>
        </w:rPr>
      </w:pPr>
      <w:bookmarkStart w:id="88" w:name="_Toc28578"/>
      <w:bookmarkStart w:id="89" w:name="_Toc3071"/>
      <w:bookmarkStart w:id="90" w:name="_Toc15396623"/>
      <w:bookmarkStart w:id="91" w:name="_Toc3341"/>
      <w:r>
        <w:rPr>
          <w:rStyle w:val="37"/>
          <w:rFonts w:hint="eastAsia" w:ascii="仿宋" w:hAnsi="仿宋" w:eastAsia="仿宋"/>
          <w:b w:val="0"/>
          <w:bCs w:val="0"/>
        </w:rPr>
        <w:t>五、</w:t>
      </w:r>
      <w:r>
        <w:rPr>
          <w:rFonts w:hint="eastAsia" w:ascii="仿宋" w:hAnsi="仿宋" w:eastAsia="仿宋"/>
          <w:b w:val="0"/>
        </w:rPr>
        <w:t>财</w:t>
      </w:r>
      <w:r>
        <w:rPr>
          <w:rStyle w:val="37"/>
          <w:rFonts w:hint="eastAsia" w:ascii="仿宋" w:hAnsi="仿宋" w:eastAsia="仿宋"/>
          <w:b w:val="0"/>
          <w:bCs w:val="0"/>
        </w:rPr>
        <w:t>政拨款支出决算明细表</w:t>
      </w:r>
      <w:bookmarkEnd w:id="88"/>
      <w:bookmarkEnd w:id="89"/>
      <w:bookmarkEnd w:id="90"/>
      <w:bookmarkEnd w:id="91"/>
      <w:bookmarkStart w:id="92" w:name="_Toc15396624"/>
    </w:p>
    <w:p>
      <w:pPr>
        <w:pStyle w:val="4"/>
        <w:rPr>
          <w:rFonts w:ascii="仿宋" w:hAnsi="仿宋" w:eastAsia="仿宋"/>
        </w:rPr>
      </w:pPr>
      <w:bookmarkStart w:id="93" w:name="_Toc10602"/>
      <w:bookmarkStart w:id="94" w:name="_Toc27766"/>
      <w:bookmarkStart w:id="95" w:name="_Toc22049"/>
      <w:r>
        <w:rPr>
          <w:rStyle w:val="37"/>
          <w:rFonts w:hint="eastAsia" w:ascii="仿宋" w:hAnsi="仿宋" w:eastAsia="仿宋"/>
          <w:b w:val="0"/>
          <w:bCs w:val="0"/>
        </w:rPr>
        <w:t>六、</w:t>
      </w:r>
      <w:r>
        <w:rPr>
          <w:rFonts w:hint="eastAsia" w:ascii="仿宋" w:hAnsi="仿宋" w:eastAsia="仿宋"/>
          <w:b w:val="0"/>
        </w:rPr>
        <w:t>一</w:t>
      </w:r>
      <w:r>
        <w:rPr>
          <w:rStyle w:val="37"/>
          <w:rFonts w:hint="eastAsia" w:ascii="仿宋" w:hAnsi="仿宋" w:eastAsia="仿宋"/>
          <w:b w:val="0"/>
          <w:bCs w:val="0"/>
        </w:rPr>
        <w:t>般公共预算财政拨款支出决算表</w:t>
      </w:r>
      <w:bookmarkEnd w:id="92"/>
      <w:bookmarkEnd w:id="93"/>
      <w:bookmarkEnd w:id="94"/>
      <w:bookmarkEnd w:id="95"/>
    </w:p>
    <w:p>
      <w:pPr>
        <w:pStyle w:val="4"/>
        <w:rPr>
          <w:rFonts w:ascii="仿宋" w:hAnsi="仿宋" w:eastAsia="仿宋"/>
        </w:rPr>
      </w:pPr>
      <w:bookmarkStart w:id="96" w:name="_Toc8391"/>
      <w:bookmarkStart w:id="97" w:name="_Toc15396625"/>
      <w:bookmarkStart w:id="98" w:name="_Toc6360"/>
      <w:bookmarkStart w:id="99" w:name="_Toc7712"/>
      <w:r>
        <w:rPr>
          <w:rStyle w:val="37"/>
          <w:rFonts w:hint="eastAsia" w:ascii="仿宋" w:hAnsi="仿宋" w:eastAsia="仿宋"/>
          <w:b w:val="0"/>
          <w:bCs w:val="0"/>
        </w:rPr>
        <w:t>七、</w:t>
      </w:r>
      <w:r>
        <w:rPr>
          <w:rFonts w:hint="eastAsia" w:ascii="仿宋" w:hAnsi="仿宋" w:eastAsia="仿宋"/>
          <w:b w:val="0"/>
        </w:rPr>
        <w:t>一</w:t>
      </w:r>
      <w:r>
        <w:rPr>
          <w:rStyle w:val="37"/>
          <w:rFonts w:hint="eastAsia" w:ascii="仿宋" w:hAnsi="仿宋" w:eastAsia="仿宋"/>
          <w:b w:val="0"/>
          <w:bCs w:val="0"/>
        </w:rPr>
        <w:t>般公共预算财政拨款支出决算明细表</w:t>
      </w:r>
      <w:bookmarkEnd w:id="96"/>
      <w:bookmarkEnd w:id="97"/>
      <w:bookmarkEnd w:id="98"/>
      <w:bookmarkEnd w:id="99"/>
    </w:p>
    <w:p>
      <w:pPr>
        <w:pStyle w:val="4"/>
        <w:rPr>
          <w:rFonts w:ascii="仿宋" w:hAnsi="仿宋" w:eastAsia="仿宋"/>
        </w:rPr>
      </w:pPr>
      <w:bookmarkStart w:id="100" w:name="_Toc18014"/>
      <w:bookmarkStart w:id="101" w:name="_Toc25197"/>
      <w:bookmarkStart w:id="102" w:name="_Toc15396626"/>
      <w:bookmarkStart w:id="103" w:name="_Toc26085"/>
      <w:r>
        <w:rPr>
          <w:rStyle w:val="37"/>
          <w:rFonts w:hint="eastAsia" w:ascii="仿宋" w:hAnsi="仿宋" w:eastAsia="仿宋"/>
          <w:b w:val="0"/>
          <w:bCs w:val="0"/>
        </w:rPr>
        <w:t>八、</w:t>
      </w:r>
      <w:r>
        <w:rPr>
          <w:rFonts w:hint="eastAsia" w:ascii="仿宋" w:hAnsi="仿宋" w:eastAsia="仿宋"/>
          <w:b w:val="0"/>
        </w:rPr>
        <w:t>一</w:t>
      </w:r>
      <w:r>
        <w:rPr>
          <w:rStyle w:val="37"/>
          <w:rFonts w:hint="eastAsia" w:ascii="仿宋" w:hAnsi="仿宋" w:eastAsia="仿宋"/>
          <w:b w:val="0"/>
          <w:bCs w:val="0"/>
        </w:rPr>
        <w:t>般公共预算财政拨款基本支出决算表</w:t>
      </w:r>
      <w:bookmarkEnd w:id="100"/>
      <w:bookmarkEnd w:id="101"/>
      <w:bookmarkEnd w:id="102"/>
      <w:bookmarkEnd w:id="103"/>
    </w:p>
    <w:p>
      <w:pPr>
        <w:pStyle w:val="4"/>
        <w:rPr>
          <w:rFonts w:ascii="仿宋" w:hAnsi="仿宋" w:eastAsia="仿宋"/>
        </w:rPr>
      </w:pPr>
      <w:bookmarkStart w:id="104" w:name="_Toc1737"/>
      <w:bookmarkStart w:id="105" w:name="_Toc20255"/>
      <w:bookmarkStart w:id="106" w:name="_Toc13186"/>
      <w:bookmarkStart w:id="107" w:name="_Toc15396627"/>
      <w:r>
        <w:rPr>
          <w:rStyle w:val="37"/>
          <w:rFonts w:hint="eastAsia" w:ascii="仿宋" w:hAnsi="仿宋" w:eastAsia="仿宋"/>
          <w:b w:val="0"/>
          <w:bCs w:val="0"/>
        </w:rPr>
        <w:t>九、</w:t>
      </w:r>
      <w:r>
        <w:rPr>
          <w:rFonts w:hint="eastAsia" w:ascii="仿宋" w:hAnsi="仿宋" w:eastAsia="仿宋"/>
          <w:b w:val="0"/>
        </w:rPr>
        <w:t>一</w:t>
      </w:r>
      <w:r>
        <w:rPr>
          <w:rStyle w:val="37"/>
          <w:rFonts w:hint="eastAsia" w:ascii="仿宋" w:hAnsi="仿宋" w:eastAsia="仿宋"/>
          <w:b w:val="0"/>
          <w:bCs w:val="0"/>
        </w:rPr>
        <w:t>般公共预算财政拨款项目支出决算表</w:t>
      </w:r>
      <w:bookmarkEnd w:id="104"/>
      <w:bookmarkEnd w:id="105"/>
      <w:bookmarkEnd w:id="106"/>
      <w:bookmarkEnd w:id="107"/>
    </w:p>
    <w:p>
      <w:pPr>
        <w:pStyle w:val="4"/>
        <w:rPr>
          <w:rFonts w:ascii="仿宋" w:hAnsi="仿宋" w:eastAsia="仿宋"/>
        </w:rPr>
      </w:pPr>
      <w:bookmarkStart w:id="108" w:name="_Toc15396628"/>
      <w:bookmarkStart w:id="109" w:name="_Toc5751"/>
      <w:bookmarkStart w:id="110" w:name="_Toc29976"/>
      <w:bookmarkStart w:id="111" w:name="_Toc17631"/>
      <w:r>
        <w:rPr>
          <w:rStyle w:val="37"/>
          <w:rFonts w:hint="eastAsia" w:ascii="仿宋" w:hAnsi="仿宋" w:eastAsia="仿宋"/>
          <w:b w:val="0"/>
          <w:bCs w:val="0"/>
        </w:rPr>
        <w:t>十、</w:t>
      </w:r>
      <w:bookmarkEnd w:id="108"/>
      <w:r>
        <w:rPr>
          <w:rFonts w:hint="eastAsia" w:ascii="仿宋" w:hAnsi="仿宋" w:eastAsia="仿宋"/>
          <w:b w:val="0"/>
        </w:rPr>
        <w:t>政</w:t>
      </w:r>
      <w:r>
        <w:rPr>
          <w:rStyle w:val="37"/>
          <w:rFonts w:hint="eastAsia" w:ascii="仿宋" w:hAnsi="仿宋" w:eastAsia="仿宋"/>
          <w:b w:val="0"/>
          <w:bCs w:val="0"/>
        </w:rPr>
        <w:t>府性基金预算财政拨款收入支出决算表</w:t>
      </w:r>
      <w:bookmarkEnd w:id="109"/>
      <w:bookmarkEnd w:id="110"/>
      <w:bookmarkEnd w:id="111"/>
    </w:p>
    <w:p>
      <w:pPr>
        <w:pStyle w:val="4"/>
        <w:rPr>
          <w:rFonts w:ascii="仿宋" w:hAnsi="仿宋" w:eastAsia="仿宋"/>
        </w:rPr>
      </w:pPr>
      <w:bookmarkStart w:id="112" w:name="_Toc15396629"/>
      <w:bookmarkStart w:id="113" w:name="_Toc13900"/>
      <w:bookmarkStart w:id="114" w:name="_Toc3052"/>
      <w:bookmarkStart w:id="115" w:name="_Toc4652"/>
      <w:r>
        <w:rPr>
          <w:rStyle w:val="37"/>
          <w:rFonts w:hint="eastAsia" w:ascii="仿宋" w:hAnsi="仿宋" w:eastAsia="仿宋"/>
          <w:b w:val="0"/>
          <w:bCs w:val="0"/>
        </w:rPr>
        <w:t>十一、</w:t>
      </w:r>
      <w:bookmarkEnd w:id="112"/>
      <w:r>
        <w:rPr>
          <w:rFonts w:hint="eastAsia" w:ascii="仿宋" w:hAnsi="仿宋" w:eastAsia="仿宋"/>
          <w:b w:val="0"/>
        </w:rPr>
        <w:t>国</w:t>
      </w:r>
      <w:r>
        <w:rPr>
          <w:rStyle w:val="37"/>
          <w:rFonts w:hint="eastAsia" w:ascii="仿宋" w:hAnsi="仿宋" w:eastAsia="仿宋"/>
          <w:b w:val="0"/>
          <w:bCs w:val="0"/>
        </w:rPr>
        <w:t>有资本经营预算财政拨款收入支出决算表</w:t>
      </w:r>
      <w:bookmarkEnd w:id="113"/>
      <w:bookmarkEnd w:id="114"/>
      <w:bookmarkEnd w:id="115"/>
    </w:p>
    <w:p>
      <w:pPr>
        <w:pStyle w:val="4"/>
        <w:rPr>
          <w:rFonts w:ascii="仿宋" w:hAnsi="仿宋" w:eastAsia="仿宋"/>
        </w:rPr>
      </w:pPr>
      <w:bookmarkStart w:id="116" w:name="_Toc15396630"/>
      <w:bookmarkStart w:id="117" w:name="_Toc12824"/>
      <w:bookmarkStart w:id="118" w:name="_Toc11709"/>
      <w:bookmarkStart w:id="119" w:name="_Toc8684"/>
      <w:r>
        <w:rPr>
          <w:rStyle w:val="37"/>
          <w:rFonts w:hint="eastAsia" w:ascii="仿宋" w:hAnsi="仿宋" w:eastAsia="仿宋"/>
          <w:b w:val="0"/>
          <w:bCs w:val="0"/>
        </w:rPr>
        <w:t>十二、</w:t>
      </w:r>
      <w:bookmarkEnd w:id="116"/>
      <w:r>
        <w:rPr>
          <w:rStyle w:val="37"/>
          <w:rFonts w:hint="eastAsia" w:ascii="仿宋" w:hAnsi="仿宋" w:eastAsia="仿宋"/>
          <w:b w:val="0"/>
          <w:bCs w:val="0"/>
        </w:rPr>
        <w:t>国有资本经营预算财政拨款支出决算表</w:t>
      </w:r>
      <w:bookmarkEnd w:id="117"/>
      <w:bookmarkEnd w:id="118"/>
      <w:bookmarkEnd w:id="119"/>
    </w:p>
    <w:p>
      <w:pPr>
        <w:pStyle w:val="4"/>
        <w:rPr>
          <w:rStyle w:val="30"/>
          <w:rFonts w:hint="eastAsia" w:ascii="Times New Roman" w:hAnsi="Times New Roman" w:eastAsia="黑体"/>
          <w:b w:val="0"/>
          <w:bCs/>
          <w:color w:val="auto"/>
          <w:highlight w:val="none"/>
        </w:rPr>
      </w:pPr>
      <w:bookmarkStart w:id="120" w:name="_Toc15396631"/>
      <w:bookmarkStart w:id="121" w:name="_Toc14211"/>
      <w:bookmarkStart w:id="122" w:name="_Toc8007"/>
      <w:bookmarkStart w:id="123" w:name="_Toc27179"/>
      <w:r>
        <w:rPr>
          <w:rStyle w:val="37"/>
          <w:rFonts w:hint="eastAsia" w:ascii="仿宋" w:hAnsi="仿宋" w:eastAsia="仿宋"/>
          <w:b w:val="0"/>
          <w:bCs w:val="0"/>
        </w:rPr>
        <w:t>十三、</w:t>
      </w:r>
      <w:bookmarkEnd w:id="120"/>
      <w:r>
        <w:rPr>
          <w:rStyle w:val="37"/>
          <w:rFonts w:hint="eastAsia" w:ascii="仿宋" w:hAnsi="仿宋" w:eastAsia="仿宋"/>
          <w:b w:val="0"/>
          <w:bCs w:val="0"/>
        </w:rPr>
        <w:t>财政拨款“三公”经费支出决算表</w:t>
      </w:r>
      <w:bookmarkEnd w:id="121"/>
      <w:bookmarkEnd w:id="122"/>
      <w:bookmarkEnd w:id="123"/>
    </w:p>
    <w:bookmarkEnd w:id="75"/>
    <w:p>
      <w:pPr>
        <w:pStyle w:val="2"/>
        <w:widowControl w:val="0"/>
        <w:numPr>
          <w:ilvl w:val="0"/>
          <w:numId w:val="0"/>
        </w:numPr>
        <w:jc w:val="both"/>
        <w:rPr>
          <w:rFonts w:hint="eastAsia"/>
          <w:lang w:eastAsia="zh-CN"/>
        </w:rPr>
      </w:pPr>
    </w:p>
    <w:sectPr>
      <w:pgSz w:w="11906" w:h="16838"/>
      <w:pgMar w:top="1440" w:right="1803" w:bottom="1440" w:left="1803" w:header="851" w:footer="992" w:gutter="0"/>
      <w:pgNumType w:fmt="decimal"/>
      <w:cols w:space="0" w:num="1"/>
      <w:titlePg/>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Cambria">
    <w:altName w:val="FreeSerif"/>
    <w:panose1 w:val="02040503050406030204"/>
    <w:charset w:val="00"/>
    <w:family w:val="roman"/>
    <w:pitch w:val="default"/>
    <w:sig w:usb0="00000000" w:usb1="00000000" w:usb2="00000000" w:usb3="00000000" w:csb0="2000019F" w:csb1="00000000"/>
  </w:font>
  <w:font w:name="FreeSerif">
    <w:panose1 w:val="02020603050405020304"/>
    <w:charset w:val="00"/>
    <w:family w:val="auto"/>
    <w:pitch w:val="default"/>
    <w:sig w:usb0="E59FAFFF" w:usb1="C200FDFF" w:usb2="43501B29" w:usb3="04000043" w:csb0="600101FF" w:csb1="FFFF0000"/>
  </w:font>
  <w:font w:name="仿宋_GB2312">
    <w:panose1 w:val="02010609030101010101"/>
    <w:charset w:val="86"/>
    <w:family w:val="modern"/>
    <w:pitch w:val="default"/>
    <w:sig w:usb0="00000001" w:usb1="080E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
    <w:altName w:val="C059"/>
    <w:panose1 w:val="00000000000000000000"/>
    <w:charset w:val="00"/>
    <w:family w:val="roman"/>
    <w:pitch w:val="default"/>
    <w:sig w:usb0="00000000" w:usb1="00000000" w:usb2="00000000" w:usb3="00000000" w:csb0="00000000" w:csb1="00000000"/>
  </w:font>
  <w:font w:name="C059">
    <w:panose1 w:val="00000500000000000000"/>
    <w:charset w:val="00"/>
    <w:family w:val="auto"/>
    <w:pitch w:val="default"/>
    <w:sig w:usb0="00000287" w:usb1="00000800" w:usb2="00000000" w:usb3="00000000" w:csb0="6000009F" w:csb1="00000000"/>
  </w:font>
  <w:font w:name="方正小标宋简体">
    <w:panose1 w:val="02000000000000000000"/>
    <w:charset w:val="86"/>
    <w:family w:val="script"/>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微软雅黑">
    <w:altName w:val="方正黑体_GBK"/>
    <w:panose1 w:val="020B0503020204020204"/>
    <w:charset w:val="86"/>
    <w:family w:val="auto"/>
    <w:pitch w:val="default"/>
    <w:sig w:usb0="00000000" w:usb1="00000000" w:usb2="00000016" w:usb3="00000000" w:csb0="0004001F" w:csb1="00000000"/>
  </w:font>
  <w:font w:name="Liberation Serif">
    <w:panose1 w:val="02020603050405020304"/>
    <w:charset w:val="00"/>
    <w:family w:val="auto"/>
    <w:pitch w:val="default"/>
    <w:sig w:usb0="A00002AF" w:usb1="500078FB" w:usb2="00000000" w:usb3="00000000" w:csb0="6000009F" w:csb1="DFD70000"/>
  </w:font>
  <w:font w:name="MathJax_Vector">
    <w:panose1 w:val="02000603000000000000"/>
    <w:charset w:val="00"/>
    <w:family w:val="auto"/>
    <w:pitch w:val="default"/>
    <w:sig w:usb0="00000001" w:usb1="0000002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p>
  <w:p>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ClSD0MgIAAGEEAAAOAAAAZHJz&#10;L2Uyb0RvYy54bWytVM2O0zAQviPxDpbvNGkRq27VdFW2KkKq2JUWxNl1nCaS/2S7TcoDwBtw4sKd&#10;5+pz8NlpumjhsAcuztgz/sbfNzOZ33RKkoNwvjG6oONRTonQ3JSN3hX008f1qyklPjBdMmm0KOhR&#10;eHqzePli3tqZmJjayFI4AhDtZ60taB2CnWWZ57VQzI+MFRrOyjjFArZul5WOtUBXMpvk+VXWGlda&#10;Z7jwHqer3knPiO45gKaqGi5Whu+V0KFHdUKyAEq+bqyni/TaqhI83FWVF4HIgoJpSCuSwN7GNVvM&#10;2WznmK0bfn4Ce84TnnBSrNFIeoFascDI3jV/QamGO+NNFUbcqKwnkhQBi3H+RJuHmlmRuEBqby+i&#10;+/8Hyz8c7h1pyoJeU6KZQsFP37+dfvw6/fxKrqM8rfUzRD1YxIXurenQNMO5x2Fk3VVOxS/4EPgh&#10;7vEirugC4fHSdDKd5nBx+IYN8LPH69b58E4YRaJRUIfqJVHZYeNDHzqExGzarBspUwWlJm1Br16/&#10;ydOFiwfgUiNHJNE/Nlqh23ZnZltTHkHMmb4zvOXrBsk3zId75tAKeDCGJdxhqaRBEnO2KKmN+/Kv&#10;8xiPCsFLSYvWKqjGJFEi32tUDoBhMNxgbAdD79WtQa+OMYSWJxMXXJCDWTmjPmOCljEHXExzZCpo&#10;GMzb0Lc3JpCL5TIF7a1rdnV/AX1nWdjoB8tjmiikt8t9gJhJ4yhQr8pZN3ReqtJ5SmJr/7lPUY9/&#10;hsV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FgAAAGRycy9QSwECFAAUAAAACACHTuJAs0lY7tAAAAAFAQAADwAAAAAAAAABACAAAAA4AAAA&#10;ZHJzL2Rvd25yZXYueG1sUEsBAhQAFAAAAAgAh07iQAKVIPQyAgAAYQQAAA4AAAAAAAAAAQAgAAAA&#10;NQEAAGRycy9lMm9Eb2MueG1sUEsFBgAAAAAGAAYAWQEAANkFA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1</w:t>
                    </w:r>
                    <w:r>
                      <w:fldChar w:fldCharType="end"/>
                    </w:r>
                  </w:p>
                </w:txbxContent>
              </v:textbox>
            </v:shape>
          </w:pict>
        </mc:Fallback>
      </mc:AlternateContent>
    </w:r>
  </w:p>
  <w:p>
    <w:pPr>
      <w:pStyle w:val="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pqK+VMQIAAGMEAAAOAAAAZHJz&#10;L2Uyb0RvYy54bWytVEuOEzEQ3SNxB8t70kkQoyhKZxQmCkKKmJECYu243WlL/sl20h0OADdgxYY9&#10;58o5eO5PBg0sZsHGXXaVX/m9qurFbaMVOQkfpDU5nYzGlAjDbSHNIaefPm5ezSgJkZmCKWtETs8i&#10;0NvlyxeL2s3F1FZWFcITgJgwr11OqxjdPMsCr4RmYWSdMHCW1msWsfWHrPCsBrpW2XQ8vslq6wvn&#10;LRch4HTdOWmP6J8DaMtScrG2/KiFiR2qF4pFUAqVdIEu29eWpeDxviyDiETlFExjuyIJ7H1as+WC&#10;zQ+euUry/gnsOU94wkkzaZD0CrVmkZGjl39Bacm9DbaMI2511hFpFQGLyfiJNruKOdFygdTBXUUP&#10;/w+Wfzg9eCILdAIkMUyj4pfv3y4/fl1+fiU4g0C1C3PE7RwiY/PWNggezgMOE++m9Dp9wYjAD6zz&#10;VV7RRMLTpdl0NhvDxeEbNsDPHq87H+I7YTVJRk496tfKyk7bELvQISRlM3YjlWprqAypc3rz+s24&#10;vXD1AFwZ5EgkuscmKzb7pme2t8UZxLzteiM4vpFIvmUhPjCPZsCDMS7xHkupLJLY3qKksv7Lv85T&#10;PGoELyU1miunBrNEiXpvUDsAxsHwg7EfDHPUdxbdOsEYOt6auOCjGszSW/0ZM7RKOeBihiNTTuNg&#10;3sWuwTGDXKxWbdDReXmougvoPMfi1uwcT2mSkMGtjhFithongTpVet3Qe22V+jlJzf3nvo16/Dcs&#10;fwN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qaivlTECAABjBAAADgAAAAAAAAABACAAAAA1&#10;AQAAZHJzL2Uyb0RvYy54bWxQSwUGAAAAAAYABgBZAQAA2AU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1i4dkMgIAAGEEAAAOAAAAZHJz&#10;L2Uyb0RvYy54bWytVM2O0zAQviPxDpbvNGkRu1XVdFW2KkKq2JUWxNl1nCaS/2S7TcoDwBtw4sKd&#10;5+pz8NlpumjhsAcuztgz/sbfNzOZ33RKkoNwvjG6oONRTonQ3JSN3hX008f1qyklPjBdMmm0KOhR&#10;eHqzePli3tqZmJjayFI4AhDtZ60taB2CnWWZ57VQzI+MFRrOyjjFArZul5WOtUBXMpvk+VXWGlda&#10;Z7jwHqer3knPiO45gKaqGi5Whu+V0KFHdUKyAEq+bqyni/TaqhI83FWVF4HIgoJpSCuSwN7GNVvM&#10;2WznmK0bfn4Ce84TnnBSrNFIeoFascDI3jV/QamGO+NNFUbcqKwnkhQBi3H+RJuHmlmRuEBqby+i&#10;+/8Hyz8c7h1pyoJeU6KZQsFP37+dfvw6/fxKrqM8rfUzRD1YxIXurenQNMO5x2Fk3VVOxS/4EPgh&#10;7vEirugC4fHSdDKd5nBx+IYN8LPH69b58E4YRaJRUIfqJVHZYeNDHzqExGzarBspUwWlJm1Br16/&#10;ydOFiwfgUiNHJNE/Nlqh23ZnZltTHkHMmb4zvOXrBsk3zId75tAKeDCGJdxhqaRBEnO2KKmN+/Kv&#10;8xiPCsFLSYvWKqjGJFEi32tUDoBhMNxgbAdD79WtQa+OMYSWJxMXXJCDWTmjPmOCljEHXExzZCpo&#10;GMzb0Lc3JpCL5TIF7a1rdnV/AX1nWdjoB8tjmiikt8t9gJhJ4yhQr8pZN3ReqtJ5SmJr/7lPUY9/&#10;hsV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FgAAAGRycy9QSwECFAAUAAAACACHTuJAs0lY7tAAAAAFAQAADwAAAAAAAAABACAAAAA4AAAA&#10;ZHJzL2Rvd25yZXYueG1sUEsBAhQAFAAAAAgAh07iQPWLh2QyAgAAYQQAAA4AAAAAAAAAAQAgAAAA&#10;NQEAAGRycy9lMm9Eb2MueG1sUEsFBgAAAAAGAAYAWQEAANkFA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1</w:t>
                    </w:r>
                    <w:r>
                      <w:fldChar w:fldCharType="end"/>
                    </w:r>
                  </w:p>
                </w:txbxContent>
              </v:textbox>
            </v:shape>
          </w:pict>
        </mc:Fallback>
      </mc:AlternateContent>
    </w:r>
  </w:p>
  <w:p>
    <w:pPr>
      <w:pStyle w:val="1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25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Hl7XOMQIAAGEEAAAOAAAAZHJz&#10;L2Uyb0RvYy54bWytVEuOEzEQ3SNxB8t70kkQoyhKZxQmCkKKmJECYu243WlL/sl20h0OADdgxYY9&#10;58o5eO5PBg0sZsHGXXaVX/m9qurFbaMVOQkfpDU5nYzGlAjDbSHNIaefPm5ezSgJkZmCKWtETs8i&#10;0NvlyxeL2s3F1FZWFcITgJgwr11OqxjdPMsCr4RmYWSdMHCW1msWsfWHrPCsBrpW2XQ8vslq6wvn&#10;LRch4HTdOWmP6J8DaMtScrG2/KiFiR2qF4pFUAqVdIEu29eWpeDxviyDiETlFExjuyIJ7H1as+WC&#10;zQ+euUry/gnsOU94wkkzaZD0CrVmkZGjl39Bacm9DbaMI2511hFpFQGLyfiJNruKOdFygdTBXUUP&#10;/w+Wfzg9eCKLnKLshmkU/PL92+XHr8vPr2SW5KldmCNq5xAXm7e2QdMM5wGHiXVTep2+4EPgh7jn&#10;q7iiiYSnS7PpbDaGi8M3bICfPV53PsR3wmqSjJx6VK8VlZ22IXahQ0jKZuxGKtVWUBlS5/Tm9Ztx&#10;e+HqAbgyyJFIdI9NVmz2Tc9sb4sziHnbdUZwfCORfMtCfGAerYAHY1jiPZZSWSSxvUVJZf2Xf52n&#10;eFQIXkpqtFZODSaJEvXeoHIAjIPhB2M/GOao7yx6dYIhdLw1ccFHNZilt/ozJmiVcsDFDEemnMbB&#10;vItde2MCuVit2qCj8/JQdRfQd47Frdk5ntIkIYNbHSPEbDVOAnWq9Lqh89oq9VOSWvvPfRv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x5e1zjECAABhBAAADgAAAAAAAAABACAAAAA1&#10;AQAAZHJzL2Uyb0RvYy54bWxQSwUGAAAAAAYABgBZAQAA2AU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25</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EB8774"/>
    <w:multiLevelType w:val="singleLevel"/>
    <w:tmpl w:val="91EB8774"/>
    <w:lvl w:ilvl="0" w:tentative="0">
      <w:start w:val="4"/>
      <w:numFmt w:val="chineseCounting"/>
      <w:suff w:val="space"/>
      <w:lvlText w:val="第%1部分"/>
      <w:lvlJc w:val="left"/>
      <w:rPr>
        <w:rFonts w:hint="eastAsia" w:ascii="黑体" w:hAnsi="黑体" w:eastAsia="黑体" w:cs="黑体"/>
        <w:sz w:val="44"/>
        <w:szCs w:val="44"/>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6550"/>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4633"/>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2A5EC2"/>
    <w:rsid w:val="013B0DE8"/>
    <w:rsid w:val="015975B8"/>
    <w:rsid w:val="02FEBE30"/>
    <w:rsid w:val="04916F1E"/>
    <w:rsid w:val="061E35DE"/>
    <w:rsid w:val="066E0107"/>
    <w:rsid w:val="07996F6E"/>
    <w:rsid w:val="07DFD8BA"/>
    <w:rsid w:val="09867E8F"/>
    <w:rsid w:val="0A2032A3"/>
    <w:rsid w:val="0C8C24F7"/>
    <w:rsid w:val="0CA8290A"/>
    <w:rsid w:val="0CC021A1"/>
    <w:rsid w:val="0D35B1ED"/>
    <w:rsid w:val="0E254B6B"/>
    <w:rsid w:val="0F2A5FF8"/>
    <w:rsid w:val="0F98263C"/>
    <w:rsid w:val="0F9A317D"/>
    <w:rsid w:val="101860EC"/>
    <w:rsid w:val="101F47CC"/>
    <w:rsid w:val="10C055FF"/>
    <w:rsid w:val="11694EBD"/>
    <w:rsid w:val="11772AA4"/>
    <w:rsid w:val="118107EC"/>
    <w:rsid w:val="12E24EE2"/>
    <w:rsid w:val="13D50BC4"/>
    <w:rsid w:val="14B17F78"/>
    <w:rsid w:val="15E05662"/>
    <w:rsid w:val="15EF58A5"/>
    <w:rsid w:val="165E0673"/>
    <w:rsid w:val="16AEFE19"/>
    <w:rsid w:val="16B831D5"/>
    <w:rsid w:val="16BB723D"/>
    <w:rsid w:val="171001C9"/>
    <w:rsid w:val="17875E92"/>
    <w:rsid w:val="17E50567"/>
    <w:rsid w:val="186504BB"/>
    <w:rsid w:val="19A445FC"/>
    <w:rsid w:val="1B2E6E70"/>
    <w:rsid w:val="1BE8440E"/>
    <w:rsid w:val="1D155CEE"/>
    <w:rsid w:val="1D1638FE"/>
    <w:rsid w:val="1E312DEB"/>
    <w:rsid w:val="1E740ACF"/>
    <w:rsid w:val="1F3709E9"/>
    <w:rsid w:val="1FF35744"/>
    <w:rsid w:val="1FF6BC77"/>
    <w:rsid w:val="2093370A"/>
    <w:rsid w:val="20F6042F"/>
    <w:rsid w:val="2186353C"/>
    <w:rsid w:val="23860B96"/>
    <w:rsid w:val="240371BF"/>
    <w:rsid w:val="244F3473"/>
    <w:rsid w:val="24776664"/>
    <w:rsid w:val="24C97D99"/>
    <w:rsid w:val="25987D07"/>
    <w:rsid w:val="25A718F0"/>
    <w:rsid w:val="25BB59F6"/>
    <w:rsid w:val="25DC5E46"/>
    <w:rsid w:val="260F557C"/>
    <w:rsid w:val="265956E8"/>
    <w:rsid w:val="26970054"/>
    <w:rsid w:val="27DF1C1D"/>
    <w:rsid w:val="281408E2"/>
    <w:rsid w:val="29FD04D3"/>
    <w:rsid w:val="2BFF7BC6"/>
    <w:rsid w:val="2C8A61B5"/>
    <w:rsid w:val="2CB5192D"/>
    <w:rsid w:val="2CD45AC9"/>
    <w:rsid w:val="2DF04E50"/>
    <w:rsid w:val="2E4C5B33"/>
    <w:rsid w:val="2E586DFA"/>
    <w:rsid w:val="2F040D46"/>
    <w:rsid w:val="2F234AE5"/>
    <w:rsid w:val="2F6B035B"/>
    <w:rsid w:val="2FA84FEB"/>
    <w:rsid w:val="2FAE5751"/>
    <w:rsid w:val="2FB1A395"/>
    <w:rsid w:val="2FD9A7D8"/>
    <w:rsid w:val="2FDBF714"/>
    <w:rsid w:val="2FEC4ED7"/>
    <w:rsid w:val="2FFF89CA"/>
    <w:rsid w:val="30AB6865"/>
    <w:rsid w:val="319F7F4E"/>
    <w:rsid w:val="32BD1EF1"/>
    <w:rsid w:val="3304709D"/>
    <w:rsid w:val="33A773CB"/>
    <w:rsid w:val="349D6851"/>
    <w:rsid w:val="36AA5135"/>
    <w:rsid w:val="36BE0DA7"/>
    <w:rsid w:val="371F5B92"/>
    <w:rsid w:val="372F06AE"/>
    <w:rsid w:val="376B6AA6"/>
    <w:rsid w:val="376D39B2"/>
    <w:rsid w:val="37E16F03"/>
    <w:rsid w:val="37F53A3B"/>
    <w:rsid w:val="389B6C89"/>
    <w:rsid w:val="38CC6D1C"/>
    <w:rsid w:val="38D469F0"/>
    <w:rsid w:val="39627CCD"/>
    <w:rsid w:val="397BAF1F"/>
    <w:rsid w:val="3AB79AF3"/>
    <w:rsid w:val="3AE834C0"/>
    <w:rsid w:val="3B7EF35A"/>
    <w:rsid w:val="3B9C4E79"/>
    <w:rsid w:val="3B9FDB6C"/>
    <w:rsid w:val="3BEAA5DE"/>
    <w:rsid w:val="3BF5BC2F"/>
    <w:rsid w:val="3CDE3DFA"/>
    <w:rsid w:val="3CEBA265"/>
    <w:rsid w:val="3D98207C"/>
    <w:rsid w:val="3DEE7CF3"/>
    <w:rsid w:val="3E5D38D3"/>
    <w:rsid w:val="3E740A63"/>
    <w:rsid w:val="3E78745D"/>
    <w:rsid w:val="3EE17838"/>
    <w:rsid w:val="3F55381A"/>
    <w:rsid w:val="3F77E41D"/>
    <w:rsid w:val="3F7F7599"/>
    <w:rsid w:val="3FF4CAE0"/>
    <w:rsid w:val="3FF57B14"/>
    <w:rsid w:val="3FF7B227"/>
    <w:rsid w:val="407F58F4"/>
    <w:rsid w:val="40A26D62"/>
    <w:rsid w:val="44E268DA"/>
    <w:rsid w:val="450D13D7"/>
    <w:rsid w:val="45506656"/>
    <w:rsid w:val="486A6C7A"/>
    <w:rsid w:val="4A627F82"/>
    <w:rsid w:val="4AB810A7"/>
    <w:rsid w:val="4AD549D5"/>
    <w:rsid w:val="4B0E749A"/>
    <w:rsid w:val="4B2477C4"/>
    <w:rsid w:val="4B4F25DA"/>
    <w:rsid w:val="4BE068DB"/>
    <w:rsid w:val="4D577224"/>
    <w:rsid w:val="4DBF1CEB"/>
    <w:rsid w:val="4DF0007C"/>
    <w:rsid w:val="4EAB630A"/>
    <w:rsid w:val="4ECE2238"/>
    <w:rsid w:val="4F642884"/>
    <w:rsid w:val="4F833267"/>
    <w:rsid w:val="4FE9BD67"/>
    <w:rsid w:val="4FFB052F"/>
    <w:rsid w:val="51DA5080"/>
    <w:rsid w:val="52817309"/>
    <w:rsid w:val="537E6D0A"/>
    <w:rsid w:val="53F74C96"/>
    <w:rsid w:val="55170BA8"/>
    <w:rsid w:val="553218C9"/>
    <w:rsid w:val="567E1AA5"/>
    <w:rsid w:val="56E47B74"/>
    <w:rsid w:val="57175D52"/>
    <w:rsid w:val="57BD3DD4"/>
    <w:rsid w:val="5AF92295"/>
    <w:rsid w:val="5B250254"/>
    <w:rsid w:val="5B767BC7"/>
    <w:rsid w:val="5BDD79E6"/>
    <w:rsid w:val="5BF561CA"/>
    <w:rsid w:val="5BFF5DFC"/>
    <w:rsid w:val="5CD71FC4"/>
    <w:rsid w:val="5D1F11B5"/>
    <w:rsid w:val="5D695134"/>
    <w:rsid w:val="5DAE1B18"/>
    <w:rsid w:val="5DE7D9E5"/>
    <w:rsid w:val="5ECEC941"/>
    <w:rsid w:val="5FBF9FF3"/>
    <w:rsid w:val="5FCD4E2C"/>
    <w:rsid w:val="5FDE421F"/>
    <w:rsid w:val="5FEF394A"/>
    <w:rsid w:val="5FF67715"/>
    <w:rsid w:val="61502C69"/>
    <w:rsid w:val="620B6B90"/>
    <w:rsid w:val="62BF3928"/>
    <w:rsid w:val="63B3701E"/>
    <w:rsid w:val="647F5392"/>
    <w:rsid w:val="64B870CB"/>
    <w:rsid w:val="65E66580"/>
    <w:rsid w:val="664B1D71"/>
    <w:rsid w:val="664B4E8E"/>
    <w:rsid w:val="665705F5"/>
    <w:rsid w:val="67277B67"/>
    <w:rsid w:val="67AA3209"/>
    <w:rsid w:val="67AF687B"/>
    <w:rsid w:val="681E3BCE"/>
    <w:rsid w:val="6966360B"/>
    <w:rsid w:val="698D0931"/>
    <w:rsid w:val="6A7FE5F3"/>
    <w:rsid w:val="6B053271"/>
    <w:rsid w:val="6B5C045C"/>
    <w:rsid w:val="6BDD78B3"/>
    <w:rsid w:val="6C306E1C"/>
    <w:rsid w:val="6C385376"/>
    <w:rsid w:val="6C4A05C8"/>
    <w:rsid w:val="6C8742B8"/>
    <w:rsid w:val="6CFD54A1"/>
    <w:rsid w:val="6DBF5E93"/>
    <w:rsid w:val="6DE0518A"/>
    <w:rsid w:val="6DFF077E"/>
    <w:rsid w:val="6E714EF0"/>
    <w:rsid w:val="6E7E3605"/>
    <w:rsid w:val="6E7FDCC7"/>
    <w:rsid w:val="6ED6A62E"/>
    <w:rsid w:val="6EE00B15"/>
    <w:rsid w:val="6F6FB3EB"/>
    <w:rsid w:val="6F8731EA"/>
    <w:rsid w:val="6FCE6052"/>
    <w:rsid w:val="6FD57C00"/>
    <w:rsid w:val="6FEFFFD8"/>
    <w:rsid w:val="6FF5CC65"/>
    <w:rsid w:val="6FFB47EC"/>
    <w:rsid w:val="6FFF034A"/>
    <w:rsid w:val="70484440"/>
    <w:rsid w:val="712A28F1"/>
    <w:rsid w:val="715C0E4B"/>
    <w:rsid w:val="71992E7C"/>
    <w:rsid w:val="72233669"/>
    <w:rsid w:val="72734D90"/>
    <w:rsid w:val="73160E6D"/>
    <w:rsid w:val="732D031F"/>
    <w:rsid w:val="7332FE48"/>
    <w:rsid w:val="73AB61DA"/>
    <w:rsid w:val="73AD73D5"/>
    <w:rsid w:val="73B6EB34"/>
    <w:rsid w:val="73FA497D"/>
    <w:rsid w:val="73FAFFE4"/>
    <w:rsid w:val="740272F3"/>
    <w:rsid w:val="743644E6"/>
    <w:rsid w:val="744731E5"/>
    <w:rsid w:val="74BBD01D"/>
    <w:rsid w:val="74ED5379"/>
    <w:rsid w:val="75DEEEC2"/>
    <w:rsid w:val="75E32345"/>
    <w:rsid w:val="76DF266D"/>
    <w:rsid w:val="76E3355F"/>
    <w:rsid w:val="76FF5125"/>
    <w:rsid w:val="776F6FFA"/>
    <w:rsid w:val="778769C8"/>
    <w:rsid w:val="77A75DCA"/>
    <w:rsid w:val="77AB06D7"/>
    <w:rsid w:val="77DC22F5"/>
    <w:rsid w:val="783E271A"/>
    <w:rsid w:val="78616DE9"/>
    <w:rsid w:val="78E875D7"/>
    <w:rsid w:val="79086DAD"/>
    <w:rsid w:val="79D7FD79"/>
    <w:rsid w:val="79EE5BA4"/>
    <w:rsid w:val="7A635363"/>
    <w:rsid w:val="7A76DAFA"/>
    <w:rsid w:val="7A894339"/>
    <w:rsid w:val="7AD284E8"/>
    <w:rsid w:val="7AFF7572"/>
    <w:rsid w:val="7B6C7DFB"/>
    <w:rsid w:val="7BBFBED0"/>
    <w:rsid w:val="7BC3E394"/>
    <w:rsid w:val="7BFDF400"/>
    <w:rsid w:val="7BFE40C4"/>
    <w:rsid w:val="7C1F3737"/>
    <w:rsid w:val="7CBFC87B"/>
    <w:rsid w:val="7CFE0F48"/>
    <w:rsid w:val="7D272ABC"/>
    <w:rsid w:val="7D7EC23E"/>
    <w:rsid w:val="7DEF014A"/>
    <w:rsid w:val="7DFF6BAB"/>
    <w:rsid w:val="7E8ADEBF"/>
    <w:rsid w:val="7EA5419C"/>
    <w:rsid w:val="7EEF11D3"/>
    <w:rsid w:val="7EF26CB5"/>
    <w:rsid w:val="7EFE4840"/>
    <w:rsid w:val="7F0971A6"/>
    <w:rsid w:val="7F1D62E7"/>
    <w:rsid w:val="7F3F679B"/>
    <w:rsid w:val="7F4FC4EF"/>
    <w:rsid w:val="7F5E4D54"/>
    <w:rsid w:val="7F6E0135"/>
    <w:rsid w:val="7F79F205"/>
    <w:rsid w:val="7FA30C79"/>
    <w:rsid w:val="7FA79C44"/>
    <w:rsid w:val="7FAF8ABF"/>
    <w:rsid w:val="7FB7269E"/>
    <w:rsid w:val="7FC96657"/>
    <w:rsid w:val="7FDA9588"/>
    <w:rsid w:val="7FDF220F"/>
    <w:rsid w:val="7FEDC5F7"/>
    <w:rsid w:val="7FEDD9DE"/>
    <w:rsid w:val="7FEF3F3B"/>
    <w:rsid w:val="7FF5890D"/>
    <w:rsid w:val="7FF93490"/>
    <w:rsid w:val="99FF2014"/>
    <w:rsid w:val="9DFFB9E2"/>
    <w:rsid w:val="9EFFD067"/>
    <w:rsid w:val="A6DD0D7F"/>
    <w:rsid w:val="ACFF4FBB"/>
    <w:rsid w:val="ADC6F725"/>
    <w:rsid w:val="ADF6D6CE"/>
    <w:rsid w:val="B7CF06AB"/>
    <w:rsid w:val="B7CFA926"/>
    <w:rsid w:val="B7F8786B"/>
    <w:rsid w:val="BABB6AA1"/>
    <w:rsid w:val="BB2F4199"/>
    <w:rsid w:val="BCFFB442"/>
    <w:rsid w:val="BD079C78"/>
    <w:rsid w:val="BD733540"/>
    <w:rsid w:val="BF3735D5"/>
    <w:rsid w:val="BF7F09AC"/>
    <w:rsid w:val="BFD475C3"/>
    <w:rsid w:val="BFDE5EA6"/>
    <w:rsid w:val="CF6FC6F3"/>
    <w:rsid w:val="CFD3D3D7"/>
    <w:rsid w:val="CFDF1009"/>
    <w:rsid w:val="D6CF12C7"/>
    <w:rsid w:val="D7D7B16A"/>
    <w:rsid w:val="D8D6DB89"/>
    <w:rsid w:val="DB6F4CAB"/>
    <w:rsid w:val="DB777682"/>
    <w:rsid w:val="DD1FB521"/>
    <w:rsid w:val="DEFBFEAE"/>
    <w:rsid w:val="DF1F3B80"/>
    <w:rsid w:val="DF6F9789"/>
    <w:rsid w:val="DFE9BE81"/>
    <w:rsid w:val="DFFFA9E8"/>
    <w:rsid w:val="E5F4E9DC"/>
    <w:rsid w:val="E70FE695"/>
    <w:rsid w:val="EB2E368B"/>
    <w:rsid w:val="ECFED1BC"/>
    <w:rsid w:val="ED1D69BB"/>
    <w:rsid w:val="ED7FD312"/>
    <w:rsid w:val="EF2E1AC6"/>
    <w:rsid w:val="EF53993F"/>
    <w:rsid w:val="EF6FD633"/>
    <w:rsid w:val="EFBFB2F4"/>
    <w:rsid w:val="EFBFFA21"/>
    <w:rsid w:val="F2BEBCB8"/>
    <w:rsid w:val="F36FB518"/>
    <w:rsid w:val="F3DE1A04"/>
    <w:rsid w:val="F3F722E5"/>
    <w:rsid w:val="F4FBCD07"/>
    <w:rsid w:val="FA5F1E70"/>
    <w:rsid w:val="FA5FDB97"/>
    <w:rsid w:val="FB7F486A"/>
    <w:rsid w:val="FBFF5B2E"/>
    <w:rsid w:val="FD7FFE2B"/>
    <w:rsid w:val="FDEE196B"/>
    <w:rsid w:val="FDFE6575"/>
    <w:rsid w:val="FEDF7C29"/>
    <w:rsid w:val="FEDFDDC2"/>
    <w:rsid w:val="FEED32F6"/>
    <w:rsid w:val="FEF781DD"/>
    <w:rsid w:val="FF3F2ED2"/>
    <w:rsid w:val="FF3F7E3F"/>
    <w:rsid w:val="FFBA12D7"/>
    <w:rsid w:val="FFCBD314"/>
    <w:rsid w:val="FFDE4609"/>
    <w:rsid w:val="FFDFF91C"/>
    <w:rsid w:val="FFDFFAEE"/>
    <w:rsid w:val="FFEF6777"/>
    <w:rsid w:val="FFF9B57B"/>
    <w:rsid w:val="FFFD61D9"/>
    <w:rsid w:val="FFFD8F59"/>
    <w:rsid w:val="FFFF2BB1"/>
    <w:rsid w:val="FFFFB04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qFormat="1" w:unhideWhenUsed="0" w:uiPriority="0" w:semiHidden="0"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38"/>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37"/>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4"/>
    <w:unhideWhenUsed/>
    <w:qFormat/>
    <w:uiPriority w:val="9"/>
    <w:pPr>
      <w:keepNext/>
      <w:keepLines/>
      <w:spacing w:before="260" w:after="260" w:line="416" w:lineRule="auto"/>
      <w:outlineLvl w:val="2"/>
    </w:pPr>
    <w:rPr>
      <w:b/>
      <w:bCs/>
      <w:sz w:val="32"/>
      <w:szCs w:val="32"/>
    </w:rPr>
  </w:style>
  <w:style w:type="character" w:default="1" w:styleId="18">
    <w:name w:val="Default Paragraph Font"/>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2">
    <w:name w:val="table of figures"/>
    <w:basedOn w:val="1"/>
    <w:next w:val="1"/>
    <w:qFormat/>
    <w:uiPriority w:val="0"/>
    <w:pPr>
      <w:ind w:left="400" w:leftChars="200" w:hanging="200" w:hangingChars="200"/>
    </w:pPr>
    <w:rPr>
      <w:sz w:val="32"/>
      <w:szCs w:val="21"/>
    </w:rPr>
  </w:style>
  <w:style w:type="paragraph" w:styleId="6">
    <w:name w:val="Body Text"/>
    <w:basedOn w:val="1"/>
    <w:link w:val="27"/>
    <w:qFormat/>
    <w:uiPriority w:val="99"/>
    <w:pPr>
      <w:spacing w:beforeLines="30"/>
    </w:pPr>
    <w:rPr>
      <w:rFonts w:ascii="仿宋_GB2312" w:eastAsia="仿宋_GB2312"/>
      <w:kern w:val="0"/>
      <w:sz w:val="30"/>
    </w:rPr>
  </w:style>
  <w:style w:type="paragraph" w:styleId="7">
    <w:name w:val="Body Text Indent"/>
    <w:basedOn w:val="1"/>
    <w:qFormat/>
    <w:uiPriority w:val="0"/>
    <w:pPr>
      <w:spacing w:after="120"/>
      <w:ind w:leftChars="200"/>
    </w:pPr>
    <w:rPr>
      <w:rFonts w:ascii="仿宋_GB2312"/>
      <w:szCs w:val="32"/>
    </w:rPr>
  </w:style>
  <w:style w:type="paragraph" w:styleId="8">
    <w:name w:val="toc 3"/>
    <w:basedOn w:val="1"/>
    <w:next w:val="1"/>
    <w:unhideWhenUsed/>
    <w:qFormat/>
    <w:uiPriority w:val="39"/>
    <w:pPr>
      <w:tabs>
        <w:tab w:val="right" w:leader="dot" w:pos="8296"/>
      </w:tabs>
      <w:ind w:left="840" w:leftChars="400"/>
    </w:pPr>
  </w:style>
  <w:style w:type="paragraph" w:styleId="9">
    <w:name w:val="Balloon Text"/>
    <w:basedOn w:val="1"/>
    <w:link w:val="33"/>
    <w:semiHidden/>
    <w:unhideWhenUsed/>
    <w:qFormat/>
    <w:uiPriority w:val="99"/>
    <w:rPr>
      <w:sz w:val="18"/>
      <w:szCs w:val="18"/>
    </w:rPr>
  </w:style>
  <w:style w:type="paragraph" w:styleId="10">
    <w:name w:val="footer"/>
    <w:basedOn w:val="1"/>
    <w:link w:val="25"/>
    <w:qFormat/>
    <w:uiPriority w:val="99"/>
    <w:pPr>
      <w:tabs>
        <w:tab w:val="center" w:pos="4153"/>
        <w:tab w:val="right" w:pos="8306"/>
      </w:tabs>
      <w:snapToGrid w:val="0"/>
      <w:jc w:val="left"/>
    </w:pPr>
    <w:rPr>
      <w:rFonts w:ascii="Calibri" w:hAnsi="Calibri"/>
      <w:kern w:val="0"/>
      <w:sz w:val="18"/>
      <w:szCs w:val="18"/>
    </w:rPr>
  </w:style>
  <w:style w:type="paragraph" w:styleId="11">
    <w:name w:val="header"/>
    <w:basedOn w:val="1"/>
    <w:link w:val="23"/>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2">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3">
    <w:name w:val="footnote text"/>
    <w:basedOn w:val="1"/>
    <w:next w:val="14"/>
    <w:semiHidden/>
    <w:qFormat/>
    <w:uiPriority w:val="0"/>
    <w:pPr>
      <w:snapToGrid w:val="0"/>
      <w:jc w:val="left"/>
    </w:pPr>
    <w:rPr>
      <w:sz w:val="18"/>
      <w:szCs w:val="18"/>
    </w:rPr>
  </w:style>
  <w:style w:type="paragraph" w:styleId="14">
    <w:name w:val="Body Text First Indent 2"/>
    <w:basedOn w:val="7"/>
    <w:unhideWhenUsed/>
    <w:qFormat/>
    <w:uiPriority w:val="99"/>
    <w:pPr>
      <w:ind w:firstLine="420" w:firstLineChars="200"/>
    </w:pPr>
  </w:style>
  <w:style w:type="paragraph" w:styleId="15">
    <w:name w:val="toc 2"/>
    <w:basedOn w:val="1"/>
    <w:next w:val="1"/>
    <w:unhideWhenUsed/>
    <w:qFormat/>
    <w:uiPriority w:val="39"/>
    <w:pPr>
      <w:tabs>
        <w:tab w:val="right" w:leader="dot" w:pos="8296"/>
      </w:tabs>
      <w:ind w:left="420" w:leftChars="200"/>
    </w:pPr>
  </w:style>
  <w:style w:type="paragraph" w:styleId="16">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19">
    <w:name w:val="Strong"/>
    <w:basedOn w:val="18"/>
    <w:qFormat/>
    <w:uiPriority w:val="99"/>
    <w:rPr>
      <w:b/>
    </w:rPr>
  </w:style>
  <w:style w:type="character" w:styleId="20">
    <w:name w:val="Hyperlink"/>
    <w:basedOn w:val="18"/>
    <w:unhideWhenUsed/>
    <w:qFormat/>
    <w:uiPriority w:val="99"/>
    <w:rPr>
      <w:color w:val="0000FF" w:themeColor="hyperlink"/>
      <w:u w:val="single"/>
      <w14:textFill>
        <w14:solidFill>
          <w14:schemeClr w14:val="hlink"/>
        </w14:solidFill>
      </w14:textFill>
    </w:rPr>
  </w:style>
  <w:style w:type="paragraph" w:customStyle="1" w:styleId="21">
    <w:name w:val="标题 5（有编号）（绿盟科技）"/>
    <w:next w:val="1"/>
    <w:qFormat/>
    <w:uiPriority w:val="99"/>
    <w:pPr>
      <w:keepNext/>
      <w:keepLines/>
      <w:widowControl w:val="0"/>
      <w:spacing w:before="280" w:after="156" w:line="377" w:lineRule="auto"/>
      <w:jc w:val="left"/>
      <w:outlineLvl w:val="4"/>
    </w:pPr>
    <w:rPr>
      <w:rFonts w:ascii="Arial" w:hAnsi="Arial" w:eastAsia="黑体" w:cs="Times New Roman"/>
      <w:b/>
      <w:kern w:val="2"/>
      <w:sz w:val="24"/>
      <w:szCs w:val="28"/>
      <w:lang w:val="en-US" w:eastAsia="zh-CN" w:bidi="ar-SA"/>
    </w:rPr>
  </w:style>
  <w:style w:type="character" w:customStyle="1" w:styleId="22">
    <w:name w:val="Header Char"/>
    <w:basedOn w:val="18"/>
    <w:semiHidden/>
    <w:qFormat/>
    <w:uiPriority w:val="99"/>
    <w:rPr>
      <w:rFonts w:ascii="Times New Roman" w:hAnsi="Times New Roman"/>
      <w:sz w:val="18"/>
      <w:szCs w:val="18"/>
    </w:rPr>
  </w:style>
  <w:style w:type="character" w:customStyle="1" w:styleId="23">
    <w:name w:val="页眉 Char"/>
    <w:link w:val="11"/>
    <w:semiHidden/>
    <w:qFormat/>
    <w:locked/>
    <w:uiPriority w:val="99"/>
    <w:rPr>
      <w:sz w:val="18"/>
    </w:rPr>
  </w:style>
  <w:style w:type="character" w:customStyle="1" w:styleId="24">
    <w:name w:val="Footer Char"/>
    <w:basedOn w:val="18"/>
    <w:semiHidden/>
    <w:qFormat/>
    <w:uiPriority w:val="99"/>
    <w:rPr>
      <w:rFonts w:ascii="Times New Roman" w:hAnsi="Times New Roman"/>
      <w:sz w:val="18"/>
      <w:szCs w:val="18"/>
    </w:rPr>
  </w:style>
  <w:style w:type="character" w:customStyle="1" w:styleId="25">
    <w:name w:val="页脚 Char"/>
    <w:link w:val="10"/>
    <w:qFormat/>
    <w:locked/>
    <w:uiPriority w:val="99"/>
    <w:rPr>
      <w:sz w:val="18"/>
    </w:rPr>
  </w:style>
  <w:style w:type="character" w:customStyle="1" w:styleId="26">
    <w:name w:val="Body Text Char"/>
    <w:basedOn w:val="18"/>
    <w:semiHidden/>
    <w:qFormat/>
    <w:uiPriority w:val="99"/>
    <w:rPr>
      <w:rFonts w:ascii="Times New Roman" w:hAnsi="Times New Roman"/>
      <w:szCs w:val="24"/>
    </w:rPr>
  </w:style>
  <w:style w:type="character" w:customStyle="1" w:styleId="27">
    <w:name w:val="正文文本 Char"/>
    <w:link w:val="6"/>
    <w:qFormat/>
    <w:locked/>
    <w:uiPriority w:val="99"/>
    <w:rPr>
      <w:rFonts w:ascii="仿宋_GB2312" w:hAnsi="Times New Roman" w:eastAsia="仿宋_GB2312"/>
      <w:sz w:val="24"/>
    </w:rPr>
  </w:style>
  <w:style w:type="paragraph" w:customStyle="1" w:styleId="28">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9">
    <w:name w:val="List Paragraph"/>
    <w:basedOn w:val="1"/>
    <w:qFormat/>
    <w:uiPriority w:val="34"/>
    <w:pPr>
      <w:ind w:firstLine="420" w:firstLineChars="200"/>
    </w:pPr>
  </w:style>
  <w:style w:type="character" w:customStyle="1" w:styleId="30">
    <w:name w:val="标题 1 Char"/>
    <w:basedOn w:val="18"/>
    <w:link w:val="3"/>
    <w:qFormat/>
    <w:uiPriority w:val="9"/>
    <w:rPr>
      <w:rFonts w:ascii="Times New Roman" w:hAnsi="Times New Roman"/>
      <w:b/>
      <w:bCs/>
      <w:kern w:val="44"/>
      <w:sz w:val="44"/>
      <w:szCs w:val="44"/>
    </w:rPr>
  </w:style>
  <w:style w:type="character" w:customStyle="1" w:styleId="31">
    <w:name w:val="标题 2 Char"/>
    <w:basedOn w:val="18"/>
    <w:link w:val="4"/>
    <w:qFormat/>
    <w:uiPriority w:val="9"/>
    <w:rPr>
      <w:rFonts w:asciiTheme="majorHAnsi" w:hAnsiTheme="majorHAnsi" w:eastAsiaTheme="majorEastAsia" w:cstheme="majorBidi"/>
      <w:b/>
      <w:bCs/>
      <w:kern w:val="2"/>
      <w:sz w:val="32"/>
      <w:szCs w:val="32"/>
    </w:rPr>
  </w:style>
  <w:style w:type="paragraph" w:customStyle="1" w:styleId="32">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3">
    <w:name w:val="批注框文本 Char"/>
    <w:basedOn w:val="18"/>
    <w:link w:val="9"/>
    <w:semiHidden/>
    <w:qFormat/>
    <w:uiPriority w:val="99"/>
    <w:rPr>
      <w:rFonts w:ascii="Times New Roman" w:hAnsi="Times New Roman"/>
      <w:kern w:val="2"/>
      <w:sz w:val="18"/>
      <w:szCs w:val="18"/>
    </w:rPr>
  </w:style>
  <w:style w:type="character" w:customStyle="1" w:styleId="34">
    <w:name w:val="标题 3 Char"/>
    <w:basedOn w:val="18"/>
    <w:link w:val="5"/>
    <w:qFormat/>
    <w:uiPriority w:val="9"/>
    <w:rPr>
      <w:rFonts w:ascii="Times New Roman" w:hAnsi="Times New Roman"/>
      <w:b/>
      <w:bCs/>
      <w:kern w:val="2"/>
      <w:sz w:val="32"/>
      <w:szCs w:val="32"/>
    </w:rPr>
  </w:style>
  <w:style w:type="paragraph" w:customStyle="1" w:styleId="35">
    <w:name w:val="TOC Heading"/>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6">
    <w:name w:val="四号正文"/>
    <w:basedOn w:val="1"/>
    <w:qFormat/>
    <w:uiPriority w:val="0"/>
    <w:pPr>
      <w:spacing w:line="360" w:lineRule="auto"/>
    </w:pPr>
    <w:rPr>
      <w:rFonts w:ascii="??" w:hAnsi="??" w:eastAsia="宋体"/>
      <w:color w:val="000000"/>
      <w:kern w:val="0"/>
      <w:sz w:val="28"/>
      <w:szCs w:val="21"/>
      <w:lang w:val="zh-CN" w:eastAsia="zh-CN"/>
    </w:rPr>
  </w:style>
  <w:style w:type="character" w:customStyle="1" w:styleId="37">
    <w:name w:val="标题 2 字符"/>
    <w:basedOn w:val="18"/>
    <w:link w:val="4"/>
    <w:qFormat/>
    <w:uiPriority w:val="9"/>
    <w:rPr>
      <w:rFonts w:asciiTheme="majorHAnsi" w:hAnsiTheme="majorHAnsi" w:eastAsiaTheme="majorEastAsia" w:cstheme="majorBidi"/>
      <w:b/>
      <w:bCs/>
      <w:kern w:val="2"/>
      <w:sz w:val="32"/>
      <w:szCs w:val="32"/>
    </w:rPr>
  </w:style>
  <w:style w:type="character" w:customStyle="1" w:styleId="38">
    <w:name w:val="标题 1 字符"/>
    <w:basedOn w:val="18"/>
    <w:link w:val="3"/>
    <w:qFormat/>
    <w:uiPriority w:val="9"/>
    <w:rPr>
      <w:rFonts w:ascii="Times New Roman" w:hAnsi="Times New Roman"/>
      <w:b/>
      <w:bCs/>
      <w:kern w:val="44"/>
      <w:sz w:val="44"/>
      <w:szCs w:val="4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6" Type="http://schemas.openxmlformats.org/officeDocument/2006/relationships/fontTable" Target="fontTable.xml"/><Relationship Id="rId25" Type="http://schemas.openxmlformats.org/officeDocument/2006/relationships/numbering" Target="numbering.xml"/><Relationship Id="rId24" Type="http://schemas.openxmlformats.org/officeDocument/2006/relationships/customXml" Target="../customXml/item1.xml"/><Relationship Id="rId23" Type="http://schemas.openxmlformats.org/officeDocument/2006/relationships/image" Target="media/image7.emf"/><Relationship Id="rId22" Type="http://schemas.openxmlformats.org/officeDocument/2006/relationships/oleObject" Target="embeddings/oleObject7.bin"/><Relationship Id="rId21" Type="http://schemas.openxmlformats.org/officeDocument/2006/relationships/image" Target="media/image6.emf"/><Relationship Id="rId20" Type="http://schemas.openxmlformats.org/officeDocument/2006/relationships/oleObject" Target="embeddings/oleObject6.bin"/><Relationship Id="rId2" Type="http://schemas.openxmlformats.org/officeDocument/2006/relationships/settings" Target="settings.xml"/><Relationship Id="rId19" Type="http://schemas.openxmlformats.org/officeDocument/2006/relationships/image" Target="media/image5.emf"/><Relationship Id="rId18" Type="http://schemas.openxmlformats.org/officeDocument/2006/relationships/oleObject" Target="embeddings/oleObject5.bin"/><Relationship Id="rId17" Type="http://schemas.openxmlformats.org/officeDocument/2006/relationships/image" Target="media/image4.emf"/><Relationship Id="rId16" Type="http://schemas.openxmlformats.org/officeDocument/2006/relationships/oleObject" Target="embeddings/oleObject4.bin"/><Relationship Id="rId15" Type="http://schemas.openxmlformats.org/officeDocument/2006/relationships/image" Target="media/image3.emf"/><Relationship Id="rId14" Type="http://schemas.openxmlformats.org/officeDocument/2006/relationships/oleObject" Target="embeddings/oleObject3.bin"/><Relationship Id="rId13" Type="http://schemas.openxmlformats.org/officeDocument/2006/relationships/image" Target="media/image2.emf"/><Relationship Id="rId12" Type="http://schemas.openxmlformats.org/officeDocument/2006/relationships/oleObject" Target="embeddings/oleObject2.bin"/><Relationship Id="rId11" Type="http://schemas.openxmlformats.org/officeDocument/2006/relationships/image" Target="media/image1.emf"/><Relationship Id="rId10" Type="http://schemas.openxmlformats.org/officeDocument/2006/relationships/oleObject" Target="embeddings/oleObject1.bin"/><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21</Pages>
  <Words>9331</Words>
  <Characters>9975</Characters>
  <Lines>61</Lines>
  <Paragraphs>17</Paragraphs>
  <TotalTime>211</TotalTime>
  <ScaleCrop>false</ScaleCrop>
  <LinksUpToDate>false</LinksUpToDate>
  <CharactersWithSpaces>10104</CharactersWithSpaces>
  <Application>WPS Office_11.8.2.12128_F1E327BC-269C-435d-A152-05C5408002CA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2020-08-10T17:49:00Z</dcterms:created>
  <dc:creator>曹颖</dc:creator>
  <cp:lastModifiedBy>usr</cp:lastModifiedBy>
  <cp:lastPrinted>2025-09-25T15:44:00Z</cp:lastPrinted>
  <dcterms:modified xsi:type="dcterms:W3CDTF">2025-09-25T15:45:11Z</dcterms:modified>
  <dc:title>四川省***</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2052-11.8.2.12128</vt:lpwstr>
  </property>
  <property fmtid="{D5CDD505-2E9C-101B-9397-08002B2CF9AE}" pid="3" name="ICV">
    <vt:lpwstr>8F50B193D8B74F66B37721B5547D154D_13</vt:lpwstr>
  </property>
  <property fmtid="{D5CDD505-2E9C-101B-9397-08002B2CF9AE}" pid="4" name="KSOTemplateDocerSaveRecord">
    <vt:lpwstr>eyJoZGlkIjoiNmIyZjhjMDk4MGIxYzhiMDA0ZjA1NWQ4OWVkODk4YjAiLCJ1c2VySWQiOiIzNzMyMTczMjkifQ==</vt:lpwstr>
  </property>
</Properties>
</file>