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8.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6"/>
        <w:jc w:val="both"/>
        <w:rPr>
          <w:rFonts w:ascii="Times New Roman" w:eastAsia="方正小标宋简体" w:cs="Times New Roman" w:hAnsi="Times New Roman" w:hint="eastAsia"/>
          <w:color w:val="auto"/>
          <w:kern w:val="2"/>
          <w:sz w:val="44"/>
          <w:szCs w:val="44"/>
          <w:lang w:val="en-US" w:eastAsia="zh-CN" w:bidi="ar-SA"/>
          <w:highlight w:val="auto"/>
        </w:rPr>
      </w:pPr>
      <w:bookmarkStart w:id="0" w:name="_Toc15378441"/>
      <w:bookmarkStart w:id="1" w:name="_Toc15396475"/>
      <w:bookmarkStart w:id="2" w:name="_Toc15396597"/>
      <w:bookmarkStart w:id="3" w:name="_Toc15377425"/>
      <w:bookmarkStart w:id="4" w:name="_Toc15377193"/>
      <w:bookmarkStart w:id="5" w:name="_Toc15306267"/>
      <w:bookmarkStart w:id="6" w:name="_GoBack"/>
      <w:bookmarkEnd w:id="6"/>
    </w:p>
    <w:p>
      <w:pPr>
        <w:pStyle w:val="16"/>
        <w:jc w:val="both"/>
        <w:rPr>
          <w:rFonts w:ascii="Times New Roman" w:eastAsia="方正小标宋简体" w:cs="Times New Roman" w:hAnsi="Times New Roman" w:hint="eastAsia"/>
          <w:color w:val="auto"/>
          <w:kern w:val="2"/>
          <w:sz w:val="44"/>
          <w:szCs w:val="44"/>
          <w:lang w:val="en-US" w:eastAsia="zh-CN" w:bidi="ar-SA"/>
          <w:highlight w:val="auto"/>
        </w:rPr>
      </w:pPr>
    </w:p>
    <w:p>
      <w:pPr>
        <w:pStyle w:val="16"/>
        <w:jc w:val="both"/>
        <w:rPr>
          <w:rFonts w:ascii="Times New Roman" w:eastAsia="方正小标宋简体" w:cs="Times New Roman" w:hAnsi="Times New Roman" w:hint="eastAsia"/>
          <w:color w:val="auto"/>
          <w:kern w:val="2"/>
          <w:sz w:val="44"/>
          <w:szCs w:val="44"/>
          <w:lang w:val="en-US" w:eastAsia="zh-CN" w:bidi="ar-SA"/>
          <w:highlight w:val="auto"/>
        </w:rPr>
      </w:pPr>
    </w:p>
    <w:p>
      <w:pPr>
        <w:pStyle w:val="16"/>
        <w:jc w:val="both"/>
        <w:rPr>
          <w:rFonts w:ascii="Times New Roman" w:eastAsia="方正小标宋简体" w:cs="Times New Roman" w:hAnsi="Times New Roman" w:hint="eastAsia"/>
          <w:color w:val="auto"/>
          <w:kern w:val="2"/>
          <w:sz w:val="44"/>
          <w:szCs w:val="44"/>
          <w:lang w:val="en-US" w:eastAsia="zh-CN" w:bidi="ar-SA"/>
          <w:highlight w:val="auto"/>
        </w:rPr>
      </w:pPr>
    </w:p>
    <w:p>
      <w:pPr>
        <w:pStyle w:val="16"/>
        <w:jc w:val="both"/>
        <w:rPr>
          <w:rFonts w:ascii="Times New Roman" w:eastAsia="方正小标宋简体" w:cs="Times New Roman" w:hAnsi="Times New Roman" w:hint="eastAsia"/>
          <w:color w:val="auto"/>
          <w:kern w:val="2"/>
          <w:sz w:val="44"/>
          <w:szCs w:val="44"/>
          <w:lang w:val="en-US" w:eastAsia="zh-CN" w:bidi="ar-SA"/>
          <w:highlight w:val="auto"/>
        </w:rPr>
      </w:pPr>
    </w:p>
    <w:p>
      <w:pPr>
        <w:pStyle w:val="16"/>
        <w:jc w:val="both"/>
        <w:rPr>
          <w:rFonts w:ascii="Times New Roman" w:eastAsia="方正小标宋简体" w:cs="Times New Roman" w:hAnsi="Times New Roman" w:hint="eastAsia"/>
          <w:color w:val="auto"/>
          <w:kern w:val="2"/>
          <w:sz w:val="44"/>
          <w:szCs w:val="44"/>
          <w:lang w:val="en-US" w:eastAsia="zh-CN" w:bidi="ar-SA"/>
          <w:highlight w:val="auto"/>
        </w:rPr>
      </w:pPr>
    </w:p>
    <w:p>
      <w:pPr>
        <w:pStyle w:val="16"/>
        <w:jc w:val="center"/>
        <w:rPr>
          <w:rFonts w:ascii="Times New Roman" w:eastAsia="方正小标宋简体" w:cs="Times New Roman" w:hAnsi="Times New Roman" w:hint="eastAsia"/>
          <w:color w:val="auto"/>
          <w:kern w:val="2"/>
          <w:sz w:val="44"/>
          <w:szCs w:val="44"/>
          <w:lang w:val="en-US" w:eastAsia="zh-CN" w:bidi="ar-SA"/>
          <w:highlight w:val="auto"/>
        </w:rPr>
      </w:pPr>
      <w:bookmarkStart w:id="7" w:name="_Toc15377194"/>
      <w:bookmarkStart w:id="8" w:name="_Toc15396598"/>
      <w:bookmarkStart w:id="9" w:name="_Toc15378442"/>
      <w:bookmarkStart w:id="10" w:name="_Toc15396476"/>
      <w:bookmarkStart w:id="11" w:name="_Toc15377426"/>
      <w:bookmarkEnd w:id="0"/>
      <w:bookmarkEnd w:id="1"/>
      <w:bookmarkEnd w:id="2"/>
      <w:bookmarkEnd w:id="3"/>
      <w:bookmarkEnd w:id="4"/>
      <w:r>
        <w:rPr>
          <w:rFonts w:ascii="方正小标宋简体" w:eastAsia="方正小标宋简体" w:cs="方正小标宋简体" w:hint="eastAsia"/>
          <w:color w:val="auto"/>
          <w:kern w:val="2"/>
          <w:sz w:val="44"/>
          <w:szCs w:val="44"/>
          <w:lang w:val="en-US" w:eastAsia="zh-CN" w:bidi="ar-SA"/>
          <w:highlight w:val="auto"/>
        </w:rPr>
        <w:t>2025</w:t>
      </w:r>
      <w:r>
        <w:rPr>
          <w:rFonts w:ascii="Times New Roman" w:eastAsia="方正小标宋简体" w:cs="Times New Roman" w:hAnsi="Times New Roman" w:hint="eastAsia"/>
          <w:color w:val="auto"/>
          <w:kern w:val="2"/>
          <w:sz w:val="44"/>
          <w:szCs w:val="44"/>
          <w:lang w:val="en-US" w:eastAsia="zh-CN" w:bidi="ar-SA"/>
          <w:highlight w:val="auto"/>
        </w:rPr>
        <w:t>年度四川省</w:t>
      </w:r>
      <w:bookmarkStart w:id="12" w:name="_Toc15306268"/>
      <w:bookmarkEnd w:id="5"/>
      <w:r>
        <w:rPr>
          <w:rFonts w:ascii="Times New Roman" w:eastAsia="方正小标宋简体" w:cs="Times New Roman" w:hAnsi="Times New Roman" w:hint="eastAsia"/>
          <w:color w:val="auto"/>
          <w:kern w:val="2"/>
          <w:sz w:val="44"/>
          <w:szCs w:val="44"/>
          <w:lang w:val="en-US" w:eastAsia="zh-CN" w:bidi="ar-SA"/>
          <w:highlight w:val="auto"/>
        </w:rPr>
        <w:t>阿坝州</w:t>
      </w:r>
    </w:p>
    <w:p>
      <w:pPr>
        <w:pStyle w:val="16"/>
        <w:jc w:val="center"/>
        <w:rPr>
          <w:rFonts w:ascii="Times New Roman" w:eastAsia="方正小标宋简体" w:cs="Times New Roman" w:hAnsi="Times New Roman" w:hint="eastAsia"/>
          <w:color w:val="auto"/>
          <w:kern w:val="2"/>
          <w:sz w:val="44"/>
          <w:szCs w:val="44"/>
          <w:lang w:val="en-US" w:eastAsia="zh-CN" w:bidi="ar-SA"/>
          <w:highlight w:val="auto"/>
        </w:rPr>
      </w:pPr>
      <w:r>
        <w:rPr>
          <w:rFonts w:ascii="Times New Roman" w:eastAsia="方正小标宋简体" w:cs="Times New Roman" w:hAnsi="Times New Roman" w:hint="eastAsia"/>
          <w:color w:val="auto"/>
          <w:kern w:val="2"/>
          <w:sz w:val="44"/>
          <w:szCs w:val="44"/>
          <w:lang w:val="en-US" w:eastAsia="zh-CN" w:bidi="ar-SA"/>
          <w:highlight w:val="auto"/>
        </w:rPr>
        <w:t>茂县科学技术协会部门决算</w:t>
      </w:r>
      <w:bookmarkEnd w:id="7"/>
      <w:bookmarkEnd w:id="8"/>
      <w:bookmarkEnd w:id="9"/>
      <w:bookmarkEnd w:id="10"/>
      <w:bookmarkEnd w:id="11"/>
      <w:bookmarkEnd w:id="12"/>
    </w:p>
    <w:p>
      <w:pPr>
        <w:pStyle w:val="16"/>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6"/>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6"/>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6"/>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6"/>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6"/>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6"/>
        <w:jc w:val="both"/>
        <w:rPr>
          <w:rFonts w:ascii="Times New Roman" w:eastAsia="方正小标宋简体" w:cs="Times New Roman" w:hAnsi="Times New Roman" w:hint="eastAsia"/>
          <w:color w:val="auto"/>
          <w:kern w:val="2"/>
          <w:sz w:val="44"/>
          <w:szCs w:val="44"/>
          <w:lang w:val="en-US" w:eastAsia="zh-CN" w:bidi="ar-SA"/>
          <w:highlight w:val="auto"/>
        </w:rPr>
      </w:pPr>
    </w:p>
    <w:p>
      <w:pPr>
        <w:pStyle w:val="16"/>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16"/>
        <w:jc w:val="center"/>
        <w:rPr>
          <w:rFonts w:ascii="Times New Roman" w:eastAsia="方正小标宋简体" w:cs="Times New Roman" w:hAnsi="Times New Roman" w:hint="eastAsia"/>
          <w:color w:val="auto"/>
          <w:kern w:val="2"/>
          <w:sz w:val="44"/>
          <w:szCs w:val="44"/>
          <w:lang w:val="en-US" w:eastAsia="zh-CN" w:bidi="ar-SA"/>
          <w:highlight w:val="auto"/>
        </w:rPr>
      </w:pP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val="en-US" w:eastAsia="zh-CN"/>
          <w:highlight w:val="auto"/>
        </w:rPr>
      </w:pPr>
    </w:p>
    <w:p>
      <w:pPr>
        <w:widowControl/>
        <w:jc w:val="center"/>
        <w:rPr>
          <w:rFonts w:eastAsia="仿宋_GB2312" w:hint="eastAsia"/>
          <w:sz w:val="32"/>
          <w:szCs w:val="32"/>
          <w:lang w:val="en-US" w:eastAsia="zh-CN"/>
        </w:rPr>
      </w:pPr>
      <w:r>
        <w:rPr>
          <w:rFonts w:eastAsia="仿宋_GB2312" w:hint="eastAsia"/>
          <w:sz w:val="32"/>
          <w:szCs w:val="32"/>
          <w:lang w:val="en-US" w:eastAsia="zh-CN"/>
        </w:rPr>
        <w:t>已经保密审查、内容审定，同意对外公开</w:t>
      </w:r>
    </w:p>
    <w:p>
      <w:pPr>
        <w:pStyle w:val="24"/>
        <w:ind w:leftChars="0" w:left="0" w:firstLineChars="0" w:firstLine="0"/>
        <w:rPr>
          <w:rFonts w:hint="eastAsia"/>
        </w:rPr>
        <w:sectPr>
          <w:headerReference w:type="default" r:id="rId2"/>
          <w:footerReference w:type="default" r:id="rId3"/>
          <w:pgSz w:w="11906" w:h="16838"/>
          <w:pgMar w:top="1440" w:right="1800" w:bottom="1440" w:left="1800" w:header="851" w:footer="992" w:gutter="0"/>
          <w:pgNumType w:start="1"/>
          <w:titlePg/>
          <w:docGrid w:type="lines" w:linePitch="312" w:charSpace="0"/>
        </w:sectPr>
      </w:pPr>
    </w:p>
    <w:p>
      <w:pPr>
        <w:widowControl/>
        <w:jc w:val="center"/>
        <w:rPr>
          <w:rFonts w:ascii="Times New Roman" w:eastAsia="黑体" w:hAnsi="Times New Roman" w:hint="eastAsia"/>
          <w:color w:val="auto"/>
          <w:sz w:val="48"/>
          <w:szCs w:val="48"/>
          <w:highlight w:val="auto"/>
        </w:rPr>
      </w:pPr>
    </w:p>
    <w:p>
      <w:pPr>
        <w:widowControl/>
        <w:jc w:val="center"/>
        <w:rPr>
          <w:rFonts w:ascii="Times New Roman" w:eastAsia="黑体" w:hAnsi="Times New Roman"/>
          <w:color w:val="auto"/>
          <w:sz w:val="48"/>
          <w:szCs w:val="48"/>
          <w:highlight w:val="auto"/>
        </w:rPr>
      </w:pPr>
      <w:r>
        <w:rPr>
          <w:rFonts w:ascii="Times New Roman" w:eastAsia="黑体" w:hAnsi="Times New Roman" w:hint="eastAsia"/>
          <w:color w:val="auto"/>
          <w:sz w:val="48"/>
          <w:szCs w:val="48"/>
          <w:highlight w:val="auto"/>
        </w:rPr>
        <w:t>目录</w:t>
      </w:r>
    </w:p>
    <w:p>
      <w:pPr>
        <w:widowControl/>
        <w:jc w:val="center"/>
        <w:rPr>
          <w:rFonts w:ascii="Times New Roman" w:eastAsia="黑体" w:cs="Arial" w:hAnsi="Times New Roman"/>
          <w:color w:val="auto"/>
          <w:sz w:val="28"/>
          <w:szCs w:val="28"/>
          <w:highlight w:val="auto"/>
        </w:rPr>
      </w:pPr>
    </w:p>
    <w:p>
      <w:pPr>
        <w:pStyle w:val="22"/>
        <w:tabs>
          <w:tab w:val="right" w:leader="dot" w:pos="8296"/>
        </w:tabs>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公开时间：</w:t>
      </w:r>
      <w:r>
        <w:rPr>
          <w:rFonts w:ascii="仿宋_GB2312" w:eastAsia="仿宋_GB2312" w:cs="仿宋_GB2312" w:hint="eastAsia"/>
          <w:color w:val="auto"/>
          <w:sz w:val="32"/>
          <w:szCs w:val="32"/>
          <w:highlight w:val="auto"/>
        </w:rPr>
        <w:t>20</w:t>
      </w:r>
      <w:r>
        <w:rPr>
          <w:rFonts w:ascii="仿宋_GB2312" w:eastAsia="仿宋_GB2312" w:cs="仿宋_GB2312" w:hint="eastAsia"/>
          <w:color w:val="auto"/>
          <w:sz w:val="32"/>
          <w:szCs w:val="32"/>
          <w:lang w:val="en-US" w:eastAsia="zh-CN"/>
          <w:highlight w:val="auto"/>
        </w:rPr>
        <w:t>26</w:t>
      </w:r>
      <w:r>
        <w:rPr>
          <w:rFonts w:ascii="仿宋_GB2312" w:eastAsia="仿宋_GB2312" w:cs="仿宋_GB2312" w:hint="eastAsia"/>
          <w:color w:val="auto"/>
          <w:sz w:val="32"/>
          <w:szCs w:val="32"/>
          <w:highlight w:val="auto"/>
        </w:rPr>
        <w:t>年</w:t>
      </w:r>
      <w:r>
        <w:rPr>
          <w:rFonts w:ascii="仿宋_GB2312" w:eastAsia="仿宋_GB2312" w:cs="仿宋_GB2312" w:hint="eastAsia"/>
          <w:color w:val="auto"/>
          <w:sz w:val="32"/>
          <w:szCs w:val="32"/>
          <w:lang w:val="en-US" w:eastAsia="zh-CN"/>
          <w:highlight w:val="auto"/>
        </w:rPr>
        <w:t>9</w:t>
      </w:r>
      <w:r>
        <w:rPr>
          <w:rFonts w:ascii="仿宋_GB2312" w:eastAsia="仿宋_GB2312" w:cs="仿宋_GB2312" w:hint="eastAsia"/>
          <w:color w:val="auto"/>
          <w:sz w:val="32"/>
          <w:szCs w:val="32"/>
          <w:highlight w:val="auto"/>
        </w:rPr>
        <w:t>月</w:t>
      </w:r>
      <w:r>
        <w:rPr>
          <w:rFonts w:ascii="仿宋_GB2312" w:eastAsia="仿宋_GB2312" w:cs="仿宋_GB2312" w:hint="eastAsia"/>
          <w:color w:val="auto"/>
          <w:sz w:val="32"/>
          <w:szCs w:val="32"/>
          <w:lang w:val="en-US" w:eastAsia="zh-CN"/>
          <w:highlight w:val="auto"/>
        </w:rPr>
        <w:t>4</w:t>
      </w:r>
      <w:r>
        <w:rPr>
          <w:rFonts w:ascii="Times New Roman" w:eastAsia="仿宋_GB2312" w:cs="仿宋_GB2312" w:hAnsi="Times New Roman" w:hint="eastAsia"/>
          <w:color w:val="auto"/>
          <w:sz w:val="32"/>
          <w:szCs w:val="32"/>
          <w:highlight w:val="auto"/>
        </w:rPr>
        <w:t>日</w:t>
      </w:r>
    </w:p>
    <w:p>
      <w:pPr>
        <w:rPr>
          <w:rFonts w:ascii="Times New Roman" w:hAnsi="Times New Roman"/>
          <w:color w:val="auto"/>
          <w:highlight w:val="auto"/>
        </w:rPr>
      </w:pPr>
    </w:p>
    <w:p>
      <w:pPr>
        <w:pStyle w:val="22"/>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outlineLvl w:val="9"/>
        <w:rPr>
          <w:rFonts w:ascii="仿宋_GB2312" w:eastAsia="仿宋_GB2312" w:cs="仿宋_GB2312" w:hint="eastAsia"/>
          <w:color w:val="auto"/>
          <w:sz w:val="32"/>
          <w:szCs w:val="32"/>
          <w:lang w:val="en-US" w:eastAsia="zh-CN"/>
          <w:highlight w:val="auto"/>
        </w:rPr>
      </w:pPr>
      <w:r>
        <w:rPr>
          <w:rFonts w:ascii="Times New Roman" w:eastAsia="黑体" w:cs="黑体" w:hAnsi="Times New Roman" w:hint="eastAsia"/>
          <w:color w:val="auto"/>
          <w:sz w:val="32"/>
          <w:szCs w:val="32"/>
          <w:highlight w:val="auto"/>
        </w:rPr>
        <w:t>第一部分 部门概况</w:t>
      </w:r>
      <w:r>
        <w:rPr>
          <w:rFonts w:ascii="Times New Roman" w:eastAsia="黑体" w:cs="黑体" w:hAnsi="Times New Roman" w:hint="eastAsia"/>
          <w:color w:val="auto"/>
          <w:sz w:val="32"/>
          <w:szCs w:val="32"/>
          <w:lang w:val="en-US" w:eastAsia="zh-CN"/>
          <w:highlight w:val="auto"/>
        </w:rPr>
        <w:tab/>
      </w:r>
      <w:r>
        <w:rPr>
          <w:rFonts w:ascii="Times New Roman" w:eastAsia="仿宋_GB2312" w:cs="仿宋_GB2312" w:hAnsi="Times New Roman" w:hint="eastAsia"/>
          <w:color w:val="auto"/>
          <w:kern w:val="2"/>
          <w:sz w:val="32"/>
          <w:szCs w:val="32"/>
          <w:lang w:val="en-US" w:eastAsia="zh-CN" w:bidi="ar-SA"/>
          <w:highlight w:val="auto"/>
        </w:rPr>
        <w:t>1</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highlight w:val="auto"/>
        </w:rPr>
      </w:pPr>
      <w:r>
        <w:rPr>
          <w:rFonts w:ascii="Times New Roman" w:eastAsia="仿宋_GB2312" w:cs="仿宋_GB2312" w:hAnsi="Times New Roman" w:hint="eastAsia"/>
          <w:color w:val="auto"/>
          <w:sz w:val="32"/>
          <w:szCs w:val="32"/>
          <w:highlight w:val="auto"/>
        </w:rPr>
        <w:t>一、</w:t>
      </w:r>
      <w:r>
        <w:rPr>
          <w:rFonts w:ascii="Times New Roman" w:eastAsia="仿宋_GB2312" w:cs="仿宋_GB2312" w:hAnsi="Times New Roman" w:hint="eastAsia"/>
          <w:color w:val="auto"/>
          <w:sz w:val="32"/>
          <w:szCs w:val="32"/>
          <w:lang w:eastAsia="zh-CN"/>
          <w:highlight w:val="auto"/>
        </w:rPr>
        <w:t>部门职责</w:t>
      </w:r>
      <w:r>
        <w:rPr>
          <w:rFonts w:eastAsia="仿宋_GB2312" w:cs="仿宋_GB2312" w:hint="eastAsia"/>
          <w:color w:val="auto"/>
          <w:sz w:val="32"/>
          <w:szCs w:val="32"/>
          <w:lang w:val="en-US" w:eastAsia="zh-CN"/>
          <w:highlight w:val="auto"/>
        </w:rPr>
        <w:tab/>
        <w:t>1</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eastAsia="仿宋_GB2312" w:cs="仿宋_GB2312" w:hint="eastAsia"/>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二、机构设置</w:t>
      </w:r>
      <w:r>
        <w:rPr>
          <w:rFonts w:eastAsia="仿宋_GB2312" w:cs="仿宋_GB2312" w:hint="eastAsia"/>
          <w:color w:val="auto"/>
          <w:sz w:val="32"/>
          <w:szCs w:val="32"/>
          <w:lang w:val="en-US" w:eastAsia="zh-CN"/>
          <w:highlight w:val="auto"/>
        </w:rPr>
        <w:tab/>
        <w:t>2</w:t>
      </w:r>
    </w:p>
    <w:p>
      <w:pPr>
        <w:pStyle w:val="22"/>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第二部分</w:t>
      </w:r>
      <w:r>
        <w:rPr>
          <w:rFonts w:ascii="Times New Roman" w:eastAsia="黑体" w:cs="黑体" w:hAnsi="Times New Roman" w:hint="eastAsia"/>
          <w:color w:val="auto"/>
          <w:sz w:val="32"/>
          <w:szCs w:val="32"/>
          <w:lang w:val="en-US" w:eastAsia="zh-CN"/>
          <w:highlight w:val="auto"/>
        </w:rPr>
        <w:t xml:space="preserve"> </w:t>
      </w:r>
      <w:r>
        <w:rPr>
          <w:rFonts w:ascii="方正黑体_GBK" w:eastAsia="方正黑体_GBK" w:cs="方正黑体_GBK" w:hint="eastAsia"/>
          <w:color w:val="auto"/>
          <w:sz w:val="32"/>
          <w:szCs w:val="32"/>
          <w:lang w:val="en-US" w:eastAsia="zh-CN"/>
          <w:highlight w:val="auto"/>
        </w:rPr>
        <w:t>2025</w:t>
      </w:r>
      <w:r>
        <w:rPr>
          <w:rFonts w:ascii="Times New Roman" w:eastAsia="黑体" w:cs="黑体" w:hAnsi="Times New Roman" w:hint="eastAsia"/>
          <w:color w:val="auto"/>
          <w:sz w:val="32"/>
          <w:szCs w:val="32"/>
          <w:lang w:val="en-US" w:eastAsia="zh-CN"/>
          <w:highlight w:val="auto"/>
        </w:rPr>
        <w:t>年度</w:t>
      </w:r>
      <w:r>
        <w:rPr>
          <w:rFonts w:ascii="Times New Roman" w:eastAsia="黑体" w:cs="黑体" w:hAnsi="Times New Roman" w:hint="eastAsia"/>
          <w:color w:val="auto"/>
          <w:sz w:val="32"/>
          <w:szCs w:val="32"/>
          <w:highlight w:val="auto"/>
        </w:rPr>
        <w:t>部门决算情况说明</w:t>
      </w:r>
      <w:r>
        <w:rPr>
          <w:rFonts w:ascii="Times New Roman" w:eastAsia="黑体" w:cs="黑体" w:hAnsi="Times New Roman" w:hint="eastAsia"/>
          <w:color w:val="auto"/>
          <w:sz w:val="32"/>
          <w:szCs w:val="32"/>
          <w:lang w:val="en-US" w:eastAsia="zh-CN"/>
          <w:highlight w:val="auto"/>
        </w:rPr>
        <w:tab/>
      </w:r>
      <w:r>
        <w:rPr>
          <w:rFonts w:ascii="Times New Roman" w:eastAsia="仿宋_GB2312" w:cs="仿宋_GB2312" w:hAnsi="Times New Roman" w:hint="eastAsia"/>
          <w:color w:val="auto"/>
          <w:kern w:val="2"/>
          <w:sz w:val="32"/>
          <w:szCs w:val="32"/>
          <w:lang w:val="en-US" w:eastAsia="zh-CN" w:bidi="ar-SA"/>
          <w:highlight w:val="auto"/>
        </w:rPr>
        <w:t>3</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一、收入支出决算总体情况说明</w:t>
      </w:r>
      <w:r>
        <w:rPr>
          <w:rFonts w:eastAsia="仿宋_GB2312" w:cs="仿宋_GB2312" w:hint="eastAsia"/>
          <w:color w:val="auto"/>
          <w:sz w:val="32"/>
          <w:szCs w:val="32"/>
          <w:lang w:val="en-US" w:eastAsia="zh-CN"/>
          <w:highlight w:val="auto"/>
        </w:rPr>
        <w:tab/>
        <w:t>3</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二、收入决算情况说明</w:t>
      </w:r>
      <w:r>
        <w:rPr>
          <w:rFonts w:eastAsia="仿宋_GB2312" w:cs="仿宋_GB2312" w:hint="eastAsia"/>
          <w:color w:val="auto"/>
          <w:sz w:val="32"/>
          <w:szCs w:val="32"/>
          <w:lang w:val="en-US" w:eastAsia="zh-CN"/>
          <w:highlight w:val="auto"/>
        </w:rPr>
        <w:tab/>
        <w:t>3</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三、支出决算情况说明</w:t>
      </w:r>
      <w:r>
        <w:rPr>
          <w:rFonts w:eastAsia="仿宋_GB2312" w:cs="仿宋_GB2312" w:hint="eastAsia"/>
          <w:color w:val="auto"/>
          <w:sz w:val="32"/>
          <w:szCs w:val="32"/>
          <w:lang w:val="en-US" w:eastAsia="zh-CN"/>
          <w:highlight w:val="auto"/>
        </w:rPr>
        <w:tab/>
        <w:t>4</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四、财政拨款收入支出决算总体情况说明</w:t>
      </w:r>
      <w:r>
        <w:rPr>
          <w:rFonts w:eastAsia="仿宋_GB2312" w:cs="仿宋_GB2312" w:hint="eastAsia"/>
          <w:color w:val="auto"/>
          <w:sz w:val="32"/>
          <w:szCs w:val="32"/>
          <w:lang w:val="en-US" w:eastAsia="zh-CN"/>
          <w:highlight w:val="auto"/>
        </w:rPr>
        <w:tab/>
        <w:t>4</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五、一般公共预算财政拨款支出决算情况说明</w:t>
      </w:r>
      <w:r>
        <w:rPr>
          <w:rFonts w:eastAsia="仿宋_GB2312" w:cs="仿宋_GB2312" w:hint="eastAsia"/>
          <w:color w:val="auto"/>
          <w:sz w:val="32"/>
          <w:szCs w:val="32"/>
          <w:lang w:val="en-US" w:eastAsia="zh-CN"/>
          <w:highlight w:val="auto"/>
        </w:rPr>
        <w:tab/>
        <w:t>5</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六、一般公共预算财政拨款基本支出决算情况说明</w:t>
      </w:r>
      <w:r>
        <w:rPr>
          <w:rFonts w:eastAsia="仿宋_GB2312" w:cs="仿宋_GB2312" w:hint="eastAsia"/>
          <w:color w:val="auto"/>
          <w:sz w:val="32"/>
          <w:szCs w:val="32"/>
          <w:lang w:val="en-US" w:eastAsia="zh-CN"/>
          <w:highlight w:val="auto"/>
        </w:rPr>
        <w:tab/>
        <w:t>7</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七、财政拨款</w:t>
      </w:r>
      <w:r>
        <w:rPr>
          <w:rFonts w:ascii="Times New Roman" w:eastAsia="仿宋_GB2312" w:cs="仿宋_GB2312" w:hAnsi="Times New Roman" w:hint="eastAsia"/>
          <w:color w:val="auto"/>
          <w:sz w:val="32"/>
          <w:szCs w:val="32"/>
          <w:lang w:eastAsia="zh-CN"/>
          <w:highlight w:val="auto"/>
        </w:rPr>
        <w:t>“</w:t>
      </w:r>
      <w:r>
        <w:rPr>
          <w:rFonts w:ascii="Times New Roman" w:eastAsia="仿宋_GB2312" w:cs="仿宋_GB2312" w:hAnsi="Times New Roman" w:hint="eastAsia"/>
          <w:color w:val="auto"/>
          <w:sz w:val="32"/>
          <w:szCs w:val="32"/>
          <w:highlight w:val="auto"/>
        </w:rPr>
        <w:t>三公”经费支出决算情况说明</w:t>
      </w:r>
      <w:r>
        <w:rPr>
          <w:rFonts w:eastAsia="仿宋_GB2312" w:cs="仿宋_GB2312" w:hint="eastAsia"/>
          <w:color w:val="auto"/>
          <w:sz w:val="32"/>
          <w:szCs w:val="32"/>
          <w:lang w:val="en-US" w:eastAsia="zh-CN"/>
          <w:highlight w:val="auto"/>
        </w:rPr>
        <w:tab/>
        <w:t>8</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八、政府性基金预算支出决算情况说明</w:t>
      </w:r>
      <w:r>
        <w:rPr>
          <w:rFonts w:eastAsia="仿宋_GB2312" w:cs="仿宋_GB2312" w:hint="eastAsia"/>
          <w:color w:val="auto"/>
          <w:sz w:val="32"/>
          <w:szCs w:val="32"/>
          <w:lang w:val="en-US" w:eastAsia="zh-CN"/>
          <w:highlight w:val="auto"/>
        </w:rPr>
        <w:tab/>
        <w:t>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九、</w:t>
      </w:r>
      <w:r>
        <w:rPr>
          <w:rFonts w:ascii="Times New Roman" w:eastAsia="仿宋_GB2312" w:cs="仿宋_GB2312" w:hAnsi="Times New Roman" w:hint="eastAsia"/>
          <w:color w:val="auto"/>
          <w:sz w:val="32"/>
          <w:szCs w:val="32"/>
          <w:lang w:eastAsia="zh-CN"/>
          <w:highlight w:val="auto"/>
        </w:rPr>
        <w:t>国</w:t>
      </w:r>
      <w:r>
        <w:rPr>
          <w:rFonts w:ascii="Times New Roman" w:eastAsia="仿宋_GB2312" w:cs="仿宋_GB2312" w:hAnsi="Times New Roman" w:hint="eastAsia"/>
          <w:color w:val="auto"/>
          <w:sz w:val="32"/>
          <w:szCs w:val="32"/>
          <w:highlight w:val="auto"/>
        </w:rPr>
        <w:t>有资本经营预算支出决算情况说明</w:t>
      </w:r>
      <w:r>
        <w:rPr>
          <w:rFonts w:eastAsia="仿宋_GB2312" w:cs="仿宋_GB2312" w:hint="eastAsia"/>
          <w:color w:val="auto"/>
          <w:sz w:val="32"/>
          <w:szCs w:val="32"/>
          <w:lang w:val="en-US" w:eastAsia="zh-CN"/>
          <w:highlight w:val="auto"/>
        </w:rPr>
        <w:tab/>
        <w:t>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lang w:eastAsia="zh-CN"/>
          <w:highlight w:val="auto"/>
        </w:rPr>
        <w:t>十</w:t>
      </w:r>
      <w:r>
        <w:rPr>
          <w:rFonts w:ascii="Times New Roman" w:eastAsia="仿宋_GB2312" w:cs="仿宋_GB2312" w:hAnsi="Times New Roman" w:hint="eastAsia"/>
          <w:color w:val="auto"/>
          <w:sz w:val="32"/>
          <w:szCs w:val="32"/>
          <w:highlight w:val="auto"/>
        </w:rPr>
        <w:t>、其他重要事项的情况说明</w:t>
      </w:r>
      <w:r>
        <w:rPr>
          <w:rFonts w:eastAsia="仿宋_GB2312" w:cs="仿宋_GB2312" w:hint="eastAsia"/>
          <w:color w:val="auto"/>
          <w:sz w:val="32"/>
          <w:szCs w:val="32"/>
          <w:lang w:val="en-US" w:eastAsia="zh-CN"/>
          <w:highlight w:val="auto"/>
        </w:rPr>
        <w:tab/>
        <w:t>9</w:t>
      </w:r>
    </w:p>
    <w:p>
      <w:pPr>
        <w:pStyle w:val="22"/>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第三部分 名词解释</w:t>
      </w:r>
      <w:r>
        <w:rPr>
          <w:rFonts w:ascii="Times New Roman" w:eastAsia="黑体" w:cs="黑体" w:hAnsi="Times New Roman" w:hint="eastAsia"/>
          <w:color w:val="auto"/>
          <w:sz w:val="32"/>
          <w:szCs w:val="32"/>
          <w:lang w:val="en-US" w:eastAsia="zh-CN"/>
          <w:highlight w:val="auto"/>
        </w:rPr>
        <w:tab/>
        <w:t>11</w:t>
      </w:r>
    </w:p>
    <w:p>
      <w:pPr>
        <w:pStyle w:val="22"/>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第四部分 附件</w:t>
      </w:r>
      <w:r>
        <w:rPr>
          <w:rFonts w:ascii="Times New Roman" w:eastAsia="黑体" w:cs="黑体" w:hAnsi="Times New Roman" w:hint="eastAsia"/>
          <w:color w:val="auto"/>
          <w:sz w:val="32"/>
          <w:szCs w:val="32"/>
          <w:lang w:val="en-US" w:eastAsia="zh-CN"/>
          <w:highlight w:val="auto"/>
        </w:rPr>
        <w:tab/>
        <w:t>14</w:t>
      </w:r>
    </w:p>
    <w:p>
      <w:pPr>
        <w:pStyle w:val="22"/>
        <w:keepNext w:val="0"/>
        <w:keepLines w:val="0"/>
        <w:pageBreakBefore w:val="0"/>
        <w:widowControl w:val="0"/>
        <w:tabs>
          <w:tab w:val="right" w:leader="dot" w:pos="8296"/>
        </w:tabs>
        <w:kinsoku/>
        <w:wordWrap/>
        <w:overflowPunct/>
        <w:topLinePunct w:val="0"/>
        <w:autoSpaceDE/>
        <w:autoSpaceDN/>
        <w:bidi w:val="0"/>
        <w:adjustRightInd w:val="0"/>
        <w:snapToGrid w:val="0"/>
        <w:spacing w:before="0" w:line="560" w:lineRule="exact"/>
        <w:jc w:val="left"/>
        <w:textAlignment w:val="auto"/>
        <w:rPr>
          <w:rFonts w:ascii="Times New Roman" w:eastAsia="黑体" w:cs="黑体" w:hAnsi="Times New Roman"/>
          <w:color w:val="auto"/>
          <w:sz w:val="32"/>
          <w:szCs w:val="32"/>
          <w:lang w:val="en-US" w:eastAsia="zh-CN"/>
          <w:highlight w:val="auto"/>
        </w:rPr>
      </w:pPr>
      <w:r>
        <w:rPr>
          <w:rFonts w:ascii="Times New Roman" w:eastAsia="黑体" w:cs="黑体" w:hAnsi="Times New Roman" w:hint="eastAsia"/>
          <w:color w:val="auto"/>
          <w:sz w:val="32"/>
          <w:szCs w:val="32"/>
          <w:highlight w:val="auto"/>
        </w:rPr>
        <w:t>第五部分 附表</w:t>
      </w:r>
      <w:r>
        <w:rPr>
          <w:rFonts w:ascii="Times New Roman" w:eastAsia="黑体" w:cs="黑体" w:hAnsi="Times New Roman" w:hint="eastAsia"/>
          <w:color w:val="auto"/>
          <w:sz w:val="32"/>
          <w:szCs w:val="32"/>
          <w:lang w:val="en-US" w:eastAsia="zh-CN"/>
          <w:highlight w:val="auto"/>
        </w:rPr>
        <w:tab/>
        <w:t>29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一、收入支出决算总表</w:t>
      </w:r>
      <w:r>
        <w:rPr>
          <w:rFonts w:eastAsia="仿宋_GB2312" w:cs="仿宋_GB2312" w:hint="eastAsia"/>
          <w:color w:val="auto"/>
          <w:sz w:val="32"/>
          <w:szCs w:val="32"/>
          <w:lang w:val="en-US" w:eastAsia="zh-CN"/>
          <w:highlight w:val="auto"/>
        </w:rPr>
        <w:tab/>
      </w:r>
      <w:r>
        <w:rPr>
          <w:rFonts w:ascii="Times New Roman" w:eastAsia="黑体" w:cs="黑体" w:hAnsi="Times New Roman" w:hint="eastAsia"/>
          <w:color w:val="auto"/>
          <w:sz w:val="32"/>
          <w:szCs w:val="32"/>
          <w:lang w:val="en-US" w:eastAsia="zh-CN"/>
          <w:highlight w:val="auto"/>
        </w:rPr>
        <w:t>29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二、收入决算表</w:t>
      </w:r>
      <w:r>
        <w:rPr>
          <w:rFonts w:eastAsia="仿宋_GB2312" w:cs="仿宋_GB2312" w:hint="eastAsia"/>
          <w:color w:val="auto"/>
          <w:sz w:val="32"/>
          <w:szCs w:val="32"/>
          <w:lang w:val="en-US" w:eastAsia="zh-CN"/>
          <w:highlight w:val="auto"/>
        </w:rPr>
        <w:tab/>
      </w:r>
      <w:r>
        <w:rPr>
          <w:rFonts w:ascii="Times New Roman" w:eastAsia="黑体" w:cs="黑体" w:hAnsi="Times New Roman" w:hint="eastAsia"/>
          <w:color w:val="auto"/>
          <w:sz w:val="32"/>
          <w:szCs w:val="32"/>
          <w:lang w:val="en-US" w:eastAsia="zh-CN"/>
          <w:highlight w:val="auto"/>
        </w:rPr>
        <w:t>29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三、支出决算表</w:t>
      </w:r>
      <w:r>
        <w:rPr>
          <w:rFonts w:eastAsia="仿宋_GB2312" w:cs="仿宋_GB2312" w:hint="eastAsia"/>
          <w:color w:val="auto"/>
          <w:sz w:val="32"/>
          <w:szCs w:val="32"/>
          <w:lang w:val="en-US" w:eastAsia="zh-CN"/>
          <w:highlight w:val="auto"/>
        </w:rPr>
        <w:tab/>
      </w:r>
      <w:r>
        <w:rPr>
          <w:rFonts w:ascii="Times New Roman" w:eastAsia="黑体" w:cs="黑体" w:hAnsi="Times New Roman" w:hint="eastAsia"/>
          <w:color w:val="auto"/>
          <w:sz w:val="32"/>
          <w:szCs w:val="32"/>
          <w:lang w:val="en-US" w:eastAsia="zh-CN"/>
          <w:highlight w:val="auto"/>
        </w:rPr>
        <w:t>29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四、财政拨款收入支出决算总表</w:t>
      </w:r>
      <w:r>
        <w:rPr>
          <w:rFonts w:eastAsia="仿宋_GB2312" w:cs="仿宋_GB2312" w:hint="eastAsia"/>
          <w:color w:val="auto"/>
          <w:sz w:val="32"/>
          <w:szCs w:val="32"/>
          <w:lang w:val="en-US" w:eastAsia="zh-CN"/>
          <w:highlight w:val="auto"/>
        </w:rPr>
        <w:tab/>
      </w:r>
      <w:r>
        <w:rPr>
          <w:rFonts w:ascii="Times New Roman" w:eastAsia="黑体" w:cs="黑体" w:hAnsi="Times New Roman" w:hint="eastAsia"/>
          <w:color w:val="auto"/>
          <w:sz w:val="32"/>
          <w:szCs w:val="32"/>
          <w:lang w:val="en-US" w:eastAsia="zh-CN"/>
          <w:highlight w:val="auto"/>
        </w:rPr>
        <w:t>29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五、财政拨款支出决算明细表</w:t>
      </w:r>
      <w:r>
        <w:rPr>
          <w:rFonts w:eastAsia="仿宋_GB2312" w:cs="仿宋_GB2312" w:hint="eastAsia"/>
          <w:color w:val="auto"/>
          <w:sz w:val="32"/>
          <w:szCs w:val="32"/>
          <w:lang w:val="en-US" w:eastAsia="zh-CN"/>
          <w:highlight w:val="auto"/>
        </w:rPr>
        <w:tab/>
      </w:r>
      <w:r>
        <w:rPr>
          <w:rFonts w:ascii="Times New Roman" w:eastAsia="黑体" w:cs="黑体" w:hAnsi="Times New Roman" w:hint="eastAsia"/>
          <w:color w:val="auto"/>
          <w:sz w:val="32"/>
          <w:szCs w:val="32"/>
          <w:lang w:val="en-US" w:eastAsia="zh-CN"/>
          <w:highlight w:val="auto"/>
        </w:rPr>
        <w:t>29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六、一般公共预算财政拨款支出决算表</w:t>
      </w:r>
      <w:r>
        <w:rPr>
          <w:rFonts w:eastAsia="仿宋_GB2312" w:cs="仿宋_GB2312" w:hint="eastAsia"/>
          <w:color w:val="auto"/>
          <w:sz w:val="32"/>
          <w:szCs w:val="32"/>
          <w:lang w:val="en-US" w:eastAsia="zh-CN"/>
          <w:highlight w:val="auto"/>
        </w:rPr>
        <w:tab/>
      </w:r>
      <w:r>
        <w:rPr>
          <w:rFonts w:ascii="Times New Roman" w:eastAsia="黑体" w:cs="黑体" w:hAnsi="Times New Roman" w:hint="eastAsia"/>
          <w:color w:val="auto"/>
          <w:sz w:val="32"/>
          <w:szCs w:val="32"/>
          <w:lang w:val="en-US" w:eastAsia="zh-CN"/>
          <w:highlight w:val="auto"/>
        </w:rPr>
        <w:t>29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七、一般公共预算财政拨款支出决算明细表</w:t>
      </w:r>
      <w:r>
        <w:rPr>
          <w:rFonts w:eastAsia="仿宋_GB2312" w:cs="仿宋_GB2312" w:hint="eastAsia"/>
          <w:color w:val="auto"/>
          <w:sz w:val="32"/>
          <w:szCs w:val="32"/>
          <w:lang w:val="en-US" w:eastAsia="zh-CN"/>
          <w:highlight w:val="auto"/>
        </w:rPr>
        <w:tab/>
      </w:r>
      <w:r>
        <w:rPr>
          <w:rFonts w:ascii="Times New Roman" w:eastAsia="黑体" w:cs="黑体" w:hAnsi="Times New Roman" w:hint="eastAsia"/>
          <w:color w:val="auto"/>
          <w:sz w:val="32"/>
          <w:szCs w:val="32"/>
          <w:lang w:val="en-US" w:eastAsia="zh-CN"/>
          <w:highlight w:val="auto"/>
        </w:rPr>
        <w:t>29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八、一般公共预算财政拨款基本支出决算</w:t>
      </w:r>
      <w:r>
        <w:rPr>
          <w:rFonts w:ascii="Times New Roman" w:eastAsia="仿宋_GB2312" w:cs="仿宋_GB2312" w:hAnsi="Times New Roman" w:hint="eastAsia"/>
          <w:color w:val="auto"/>
          <w:sz w:val="32"/>
          <w:szCs w:val="32"/>
          <w:lang w:eastAsia="zh-CN"/>
          <w:highlight w:val="auto"/>
        </w:rPr>
        <w:t>明细</w:t>
      </w:r>
      <w:r>
        <w:rPr>
          <w:rFonts w:ascii="Times New Roman" w:eastAsia="仿宋_GB2312" w:cs="仿宋_GB2312" w:hAnsi="Times New Roman" w:hint="eastAsia"/>
          <w:color w:val="auto"/>
          <w:sz w:val="32"/>
          <w:szCs w:val="32"/>
          <w:highlight w:val="auto"/>
        </w:rPr>
        <w:t>表</w:t>
      </w:r>
      <w:r>
        <w:rPr>
          <w:rFonts w:eastAsia="仿宋_GB2312" w:cs="仿宋_GB2312" w:hint="eastAsia"/>
          <w:color w:val="auto"/>
          <w:sz w:val="32"/>
          <w:szCs w:val="32"/>
          <w:lang w:val="en-US" w:eastAsia="zh-CN"/>
          <w:highlight w:val="auto"/>
        </w:rPr>
        <w:tab/>
      </w:r>
      <w:r>
        <w:rPr>
          <w:rFonts w:ascii="Times New Roman" w:eastAsia="黑体" w:cs="黑体" w:hAnsi="Times New Roman" w:hint="eastAsia"/>
          <w:color w:val="auto"/>
          <w:sz w:val="32"/>
          <w:szCs w:val="32"/>
          <w:lang w:val="en-US" w:eastAsia="zh-CN"/>
          <w:highlight w:val="auto"/>
        </w:rPr>
        <w:t>29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九、一般公共预算财政拨款项目支出决算表</w:t>
      </w:r>
      <w:r>
        <w:rPr>
          <w:rFonts w:eastAsia="仿宋_GB2312" w:cs="仿宋_GB2312" w:hint="eastAsia"/>
          <w:color w:val="auto"/>
          <w:sz w:val="32"/>
          <w:szCs w:val="32"/>
          <w:lang w:val="en-US" w:eastAsia="zh-CN"/>
          <w:highlight w:val="auto"/>
        </w:rPr>
        <w:tab/>
      </w:r>
      <w:r>
        <w:rPr>
          <w:rFonts w:ascii="Times New Roman" w:eastAsia="黑体" w:cs="黑体" w:hAnsi="Times New Roman" w:hint="eastAsia"/>
          <w:color w:val="auto"/>
          <w:sz w:val="32"/>
          <w:szCs w:val="32"/>
          <w:lang w:val="en-US" w:eastAsia="zh-CN"/>
          <w:highlight w:val="auto"/>
        </w:rPr>
        <w:t>29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十、政府性基金预算财政拨款收入支出决算表</w:t>
      </w:r>
      <w:r>
        <w:rPr>
          <w:rFonts w:eastAsia="仿宋_GB2312" w:cs="仿宋_GB2312" w:hint="eastAsia"/>
          <w:color w:val="auto"/>
          <w:sz w:val="32"/>
          <w:szCs w:val="32"/>
          <w:lang w:val="en-US" w:eastAsia="zh-CN"/>
          <w:highlight w:val="auto"/>
        </w:rPr>
        <w:tab/>
      </w:r>
      <w:r>
        <w:rPr>
          <w:rFonts w:ascii="Times New Roman" w:eastAsia="黑体" w:cs="黑体" w:hAnsi="Times New Roman" w:hint="eastAsia"/>
          <w:color w:val="auto"/>
          <w:sz w:val="32"/>
          <w:szCs w:val="32"/>
          <w:lang w:val="en-US" w:eastAsia="zh-CN"/>
          <w:highlight w:val="auto"/>
        </w:rPr>
        <w:t>29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十一、国有资本经营预算财政拨款收入支出决算表</w:t>
      </w:r>
      <w:r>
        <w:rPr>
          <w:rFonts w:eastAsia="仿宋_GB2312" w:cs="仿宋_GB2312" w:hint="eastAsia"/>
          <w:color w:val="auto"/>
          <w:sz w:val="32"/>
          <w:szCs w:val="32"/>
          <w:lang w:val="en-US" w:eastAsia="zh-CN"/>
          <w:highlight w:val="auto"/>
        </w:rPr>
        <w:tab/>
      </w:r>
      <w:r>
        <w:rPr>
          <w:rFonts w:ascii="Times New Roman" w:eastAsia="黑体" w:cs="黑体" w:hAnsi="Times New Roman" w:hint="eastAsia"/>
          <w:color w:val="auto"/>
          <w:sz w:val="32"/>
          <w:szCs w:val="32"/>
          <w:lang w:val="en-US" w:eastAsia="zh-CN"/>
          <w:highlight w:val="auto"/>
        </w:rPr>
        <w:t>29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highlight w:val="auto"/>
        </w:rPr>
      </w:pPr>
      <w:r>
        <w:rPr>
          <w:rFonts w:ascii="Times New Roman" w:eastAsia="仿宋_GB2312" w:cs="仿宋_GB2312" w:hAnsi="Times New Roman" w:hint="eastAsia"/>
          <w:color w:val="auto"/>
          <w:sz w:val="32"/>
          <w:szCs w:val="32"/>
          <w:highlight w:val="auto"/>
        </w:rPr>
        <w:t>十二、</w:t>
      </w:r>
      <w:r>
        <w:rPr>
          <w:rFonts w:ascii="Times New Roman" w:eastAsia="仿宋_GB2312" w:cs="仿宋_GB2312" w:hAnsi="Times New Roman" w:hint="eastAsia"/>
          <w:color w:val="auto"/>
          <w:sz w:val="32"/>
          <w:szCs w:val="32"/>
          <w:lang w:val="en-US" w:eastAsia="zh-CN"/>
          <w:highlight w:val="auto"/>
        </w:rPr>
        <w:t>国有资本经营预算财政拨款支出决算表</w:t>
      </w:r>
      <w:r>
        <w:rPr>
          <w:rFonts w:eastAsia="仿宋_GB2312" w:cs="仿宋_GB2312" w:hint="eastAsia"/>
          <w:color w:val="auto"/>
          <w:sz w:val="32"/>
          <w:szCs w:val="32"/>
          <w:lang w:val="en-US" w:eastAsia="zh-CN"/>
          <w:highlight w:val="auto"/>
        </w:rPr>
        <w:tab/>
      </w:r>
      <w:r>
        <w:rPr>
          <w:rFonts w:ascii="Times New Roman" w:eastAsia="黑体" w:cs="黑体" w:hAnsi="Times New Roman" w:hint="eastAsia"/>
          <w:color w:val="auto"/>
          <w:sz w:val="32"/>
          <w:szCs w:val="32"/>
          <w:lang w:val="en-US" w:eastAsia="zh-CN"/>
          <w:highlight w:val="auto"/>
        </w:rPr>
        <w:t>29</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ind w:leftChars="0" w:left="0" w:firstLineChars="200" w:firstLine="640"/>
        <w:jc w:val="left"/>
        <w:textAlignment w:val="auto"/>
        <w:rPr>
          <w:rFonts w:ascii="Times New Roman" w:eastAsia="仿宋_GB2312" w:cs="仿宋_GB2312" w:hAnsi="Times New Roman"/>
          <w:color w:val="auto"/>
          <w:sz w:val="32"/>
          <w:szCs w:val="32"/>
          <w:lang w:val="en-US" w:eastAsia="zh-CN"/>
          <w:highlight w:val="auto"/>
        </w:rPr>
      </w:pPr>
      <w:r>
        <w:rPr>
          <w:rFonts w:ascii="Times New Roman" w:eastAsia="仿宋_GB2312" w:cs="仿宋_GB2312" w:hAnsi="Times New Roman" w:hint="eastAsia"/>
          <w:color w:val="auto"/>
          <w:sz w:val="32"/>
          <w:szCs w:val="32"/>
          <w:highlight w:val="auto"/>
        </w:rPr>
        <w:t>十三、财政拨款“三公”经费支出决算表</w:t>
      </w:r>
      <w:r>
        <w:rPr>
          <w:rFonts w:eastAsia="仿宋_GB2312" w:cs="仿宋_GB2312" w:hint="eastAsia"/>
          <w:color w:val="auto"/>
          <w:sz w:val="32"/>
          <w:szCs w:val="32"/>
          <w:lang w:val="en-US" w:eastAsia="zh-CN"/>
          <w:highlight w:val="auto"/>
        </w:rPr>
        <w:tab/>
      </w:r>
      <w:r>
        <w:rPr>
          <w:rFonts w:ascii="Times New Roman" w:eastAsia="黑体" w:cs="黑体" w:hAnsi="Times New Roman" w:hint="eastAsia"/>
          <w:color w:val="auto"/>
          <w:sz w:val="32"/>
          <w:szCs w:val="32"/>
          <w:lang w:val="en-US" w:eastAsia="zh-CN"/>
          <w:highlight w:val="auto"/>
        </w:rPr>
        <w:t>29</w:t>
      </w:r>
    </w:p>
    <w:p>
      <w:pPr>
        <w:pStyle w:val="1"/>
        <w:keepNext/>
        <w:keepLines/>
        <w:pageBreakBefore w:val="0"/>
        <w:widowControl w:val="0"/>
        <w:tabs>
          <w:tab w:val="right" w:leader="dot" w:pos="8296"/>
        </w:tabs>
        <w:kinsoku/>
        <w:wordWrap/>
        <w:overflowPunct/>
        <w:topLinePunct w:val="0"/>
        <w:autoSpaceDE/>
        <w:autoSpaceDN/>
        <w:bidi w:val="0"/>
        <w:adjustRightInd/>
        <w:snapToGrid/>
        <w:spacing w:before="0" w:after="0" w:line="578" w:lineRule="auto"/>
        <w:jc w:val="center"/>
        <w:textAlignment w:val="auto"/>
        <w:rPr>
          <w:rFonts w:ascii="Times New Roman" w:eastAsia="方正小标宋简体" w:cs="方正小标宋简体" w:hAnsi="Times New Roman" w:hint="eastAsia"/>
          <w:b w:val="0"/>
          <w:color w:val="auto"/>
          <w:highlight w:val="auto"/>
        </w:rPr>
        <w:sectPr>
          <w:footerReference w:type="default" r:id="rId4"/>
          <w:footerReference w:type="first" r:id="rId5"/>
          <w:pgSz w:w="11906" w:h="16838"/>
          <w:pgMar w:top="1440" w:right="1800" w:bottom="1440" w:left="1800" w:header="851" w:footer="992" w:gutter="0"/>
          <w:pgNumType w:start="1"/>
          <w:titlePg/>
          <w:rtlGutter/>
          <w:docGrid w:type="lines" w:linePitch="312" w:charSpace="0"/>
        </w:sectPr>
      </w:pPr>
      <w:bookmarkStart w:id="13" w:name="_Toc15396599"/>
      <w:bookmarkStart w:id="14" w:name="_Toc15377196"/>
    </w:p>
    <w:p>
      <w:pPr>
        <w:pStyle w:val="1"/>
        <w:keepNext/>
        <w:keepLines/>
        <w:pageBreakBefore w:val="0"/>
        <w:widowControl w:val="0"/>
        <w:kinsoku/>
        <w:wordWrap/>
        <w:overflowPunct/>
        <w:topLinePunct w:val="0"/>
        <w:autoSpaceDE/>
        <w:autoSpaceDN/>
        <w:bidi w:val="0"/>
        <w:adjustRightInd/>
        <w:snapToGrid/>
        <w:spacing w:before="0" w:after="0" w:line="578" w:lineRule="auto"/>
        <w:jc w:val="center"/>
        <w:textAlignment w:val="auto"/>
        <w:rPr>
          <w:rStyle w:val="1Char"/>
          <w:rFonts w:ascii="Times New Roman" w:eastAsia="方正小标宋简体" w:cs="方正小标宋简体" w:hAnsi="Times New Roman" w:hint="eastAsia"/>
          <w:b w:val="0"/>
          <w:bCs w:val="0"/>
          <w:color w:val="auto"/>
          <w:highlight w:val="auto"/>
        </w:rPr>
      </w:pPr>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hint="eastAsia"/>
          <w:b w:val="0"/>
          <w:bCs w:val="0"/>
          <w:color w:val="auto"/>
          <w:highlight w:val="auto"/>
        </w:rPr>
        <w:t>部门概况</w:t>
      </w:r>
      <w:bookmarkEnd w:id="13"/>
      <w:bookmarkEnd w:id="14"/>
    </w:p>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hint="eastAsia"/>
          <w:color w:val="000000"/>
          <w:kern w:val="0"/>
          <w:sz w:val="32"/>
          <w:szCs w:val="32"/>
          <w:shd w:val="clear" w:color="auto" w:fill="FFFFFF"/>
          <w:lang w:val="zh-CN" w:eastAsia="zh-CN"/>
          <w:highlight w:val="auto"/>
        </w:rPr>
      </w:pPr>
      <w:bookmarkStart w:id="15" w:name="_Toc15396600"/>
      <w:bookmarkStart w:id="16" w:name="_Toc15377197"/>
      <w:r>
        <w:rPr>
          <w:rFonts w:ascii="Times New Roman" w:eastAsia="黑体" w:cs="Times New Roman" w:hAnsi="Times New Roman" w:hint="eastAsia"/>
          <w:color w:val="000000"/>
          <w:kern w:val="0"/>
          <w:sz w:val="32"/>
          <w:szCs w:val="32"/>
          <w:shd w:val="clear" w:color="auto" w:fill="FFFFFF"/>
          <w:lang w:val="zh-CN" w:eastAsia="zh-CN"/>
          <w:highlight w:val="auto"/>
        </w:rPr>
        <w:t>一、</w:t>
      </w:r>
      <w:bookmarkEnd w:id="15"/>
      <w:bookmarkEnd w:id="16"/>
      <w:r>
        <w:rPr>
          <w:rFonts w:ascii="Times New Roman" w:eastAsia="黑体" w:cs="Times New Roman" w:hAnsi="Times New Roman" w:hint="eastAsia"/>
          <w:color w:val="000000"/>
          <w:kern w:val="0"/>
          <w:sz w:val="32"/>
          <w:szCs w:val="32"/>
          <w:shd w:val="clear" w:color="auto" w:fill="FFFFFF"/>
          <w:lang w:val="zh-CN" w:eastAsia="zh-CN"/>
          <w:highlight w:val="auto"/>
        </w:rPr>
        <w:t>部门职责</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1.开展学术交流，活跃学术思想，促进学科和经济发展。</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zh-CN" w:eastAsia="zh-CN" w:bidi="ar-SA"/>
        </w:rPr>
      </w:pPr>
      <w:r>
        <w:rPr>
          <w:rFonts w:ascii="仿宋_GB2312" w:eastAsia="仿宋_GB2312" w:cs="仿宋_GB2312" w:hint="eastAsia"/>
          <w:bCs/>
          <w:color w:val="000000"/>
          <w:kern w:val="0"/>
          <w:sz w:val="32"/>
          <w:szCs w:val="32"/>
          <w:lang w:val="en-US" w:eastAsia="zh-CN" w:bidi="ar-SA"/>
        </w:rPr>
        <w:t>2.为科技、经济、社会协调发展献计献策，开展科学论证、技术咨询</w:t>
      </w:r>
      <w:r>
        <w:rPr>
          <w:rFonts w:ascii="仿宋_GB2312" w:eastAsia="仿宋_GB2312" w:cs="仿宋_GB2312" w:hint="eastAsia"/>
          <w:bCs/>
          <w:color w:val="000000"/>
          <w:kern w:val="0"/>
          <w:sz w:val="32"/>
          <w:szCs w:val="32"/>
          <w:lang w:val="zh-CN" w:eastAsia="zh-CN" w:bidi="ar-SA"/>
        </w:rPr>
        <w:t>服务，促进科学技术成果的转化，兴办科技经济实体。</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zh-CN" w:eastAsia="zh-CN" w:bidi="ar-SA"/>
        </w:rPr>
      </w:pPr>
      <w:r>
        <w:rPr>
          <w:rFonts w:ascii="仿宋_GB2312" w:eastAsia="仿宋_GB2312" w:cs="仿宋_GB2312" w:hint="eastAsia"/>
          <w:bCs/>
          <w:color w:val="000000"/>
          <w:kern w:val="0"/>
          <w:sz w:val="32"/>
          <w:szCs w:val="32"/>
          <w:lang w:val="en-US" w:eastAsia="zh-CN" w:bidi="ar-SA"/>
        </w:rPr>
        <w:t>3.</w:t>
      </w:r>
      <w:r>
        <w:rPr>
          <w:rFonts w:ascii="仿宋_GB2312" w:eastAsia="仿宋_GB2312" w:cs="仿宋_GB2312" w:hint="eastAsia"/>
          <w:bCs/>
          <w:color w:val="000000"/>
          <w:kern w:val="0"/>
          <w:sz w:val="32"/>
          <w:szCs w:val="32"/>
          <w:lang w:val="zh-CN" w:eastAsia="zh-CN" w:bidi="ar-SA"/>
        </w:rPr>
        <w:t>开展对民间科技交流与合作，发展同国内外的科技团体和科技工作者的友好往来。</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zh-CN" w:eastAsia="zh-CN" w:bidi="ar-SA"/>
        </w:rPr>
      </w:pPr>
      <w:r>
        <w:rPr>
          <w:rFonts w:ascii="仿宋_GB2312" w:eastAsia="仿宋_GB2312" w:cs="仿宋_GB2312" w:hint="eastAsia"/>
          <w:bCs/>
          <w:color w:val="000000"/>
          <w:kern w:val="0"/>
          <w:sz w:val="32"/>
          <w:szCs w:val="32"/>
          <w:lang w:val="en-US" w:eastAsia="zh-CN" w:bidi="ar-SA"/>
        </w:rPr>
        <w:t>4.</w:t>
      </w:r>
      <w:r>
        <w:rPr>
          <w:rFonts w:ascii="仿宋_GB2312" w:eastAsia="仿宋_GB2312" w:cs="仿宋_GB2312" w:hint="eastAsia"/>
          <w:bCs/>
          <w:color w:val="000000"/>
          <w:kern w:val="0"/>
          <w:sz w:val="32"/>
          <w:szCs w:val="32"/>
          <w:lang w:val="zh-CN" w:eastAsia="zh-CN" w:bidi="ar-SA"/>
        </w:rPr>
        <w:t>普及科学知识，推广先进技术，开展青少年科技教育活动，提高全民科学文化素质。</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zh-CN" w:eastAsia="zh-CN" w:bidi="ar-SA"/>
        </w:rPr>
      </w:pPr>
      <w:r>
        <w:rPr>
          <w:rFonts w:ascii="仿宋_GB2312" w:eastAsia="仿宋_GB2312" w:cs="仿宋_GB2312" w:hint="eastAsia"/>
          <w:bCs/>
          <w:color w:val="000000"/>
          <w:kern w:val="0"/>
          <w:sz w:val="32"/>
          <w:szCs w:val="32"/>
          <w:lang w:val="en-US" w:eastAsia="zh-CN" w:bidi="ar-SA"/>
        </w:rPr>
        <w:t>5.</w:t>
      </w:r>
      <w:r>
        <w:rPr>
          <w:rFonts w:ascii="仿宋_GB2312" w:eastAsia="仿宋_GB2312" w:cs="仿宋_GB2312" w:hint="eastAsia"/>
          <w:bCs/>
          <w:color w:val="000000"/>
          <w:kern w:val="0"/>
          <w:sz w:val="32"/>
          <w:szCs w:val="32"/>
          <w:lang w:val="zh-CN" w:eastAsia="zh-CN" w:bidi="ar-SA"/>
        </w:rPr>
        <w:t>开展继续教育和技术培训工作。</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zh-CN" w:eastAsia="zh-CN" w:bidi="ar-SA"/>
        </w:rPr>
      </w:pPr>
      <w:r>
        <w:rPr>
          <w:rFonts w:ascii="仿宋_GB2312" w:eastAsia="仿宋_GB2312" w:cs="仿宋_GB2312" w:hint="eastAsia"/>
          <w:bCs/>
          <w:color w:val="000000"/>
          <w:kern w:val="0"/>
          <w:sz w:val="32"/>
          <w:szCs w:val="32"/>
          <w:lang w:val="en-US" w:eastAsia="zh-CN" w:bidi="ar-SA"/>
        </w:rPr>
        <w:t>6.</w:t>
      </w:r>
      <w:r>
        <w:rPr>
          <w:rFonts w:ascii="仿宋_GB2312" w:eastAsia="仿宋_GB2312" w:cs="仿宋_GB2312" w:hint="eastAsia"/>
          <w:bCs/>
          <w:color w:val="000000"/>
          <w:kern w:val="0"/>
          <w:sz w:val="32"/>
          <w:szCs w:val="32"/>
          <w:lang w:val="zh-CN" w:eastAsia="zh-CN" w:bidi="ar-SA"/>
        </w:rPr>
        <w:t>编辑科普刊物、资料、举办为科技工作者服务的事业。</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zh-CN" w:eastAsia="zh-CN" w:bidi="ar-SA"/>
        </w:rPr>
      </w:pPr>
      <w:r>
        <w:rPr>
          <w:rFonts w:ascii="仿宋_GB2312" w:eastAsia="仿宋_GB2312" w:cs="仿宋_GB2312" w:hint="eastAsia"/>
          <w:bCs/>
          <w:color w:val="000000"/>
          <w:kern w:val="0"/>
          <w:sz w:val="32"/>
          <w:szCs w:val="32"/>
          <w:lang w:val="en-US" w:eastAsia="zh-CN" w:bidi="ar-SA"/>
        </w:rPr>
        <w:t>7.</w:t>
      </w:r>
      <w:r>
        <w:rPr>
          <w:rFonts w:ascii="仿宋_GB2312" w:eastAsia="仿宋_GB2312" w:cs="仿宋_GB2312" w:hint="eastAsia"/>
          <w:bCs/>
          <w:color w:val="000000"/>
          <w:kern w:val="0"/>
          <w:sz w:val="32"/>
          <w:szCs w:val="32"/>
          <w:lang w:val="zh-CN" w:eastAsia="zh-CN" w:bidi="ar-SA"/>
        </w:rPr>
        <w:t>对所属全县协会、学会，镇科协进行业务指导。</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zh-CN" w:eastAsia="zh-CN" w:bidi="ar-SA"/>
        </w:rPr>
      </w:pPr>
      <w:r>
        <w:rPr>
          <w:rFonts w:ascii="仿宋_GB2312" w:eastAsia="仿宋_GB2312" w:cs="仿宋_GB2312" w:hint="eastAsia"/>
          <w:bCs/>
          <w:color w:val="000000"/>
          <w:kern w:val="0"/>
          <w:sz w:val="32"/>
          <w:szCs w:val="32"/>
          <w:lang w:val="en-US" w:eastAsia="zh-CN" w:bidi="ar-SA"/>
        </w:rPr>
        <w:t>8.反映</w:t>
      </w:r>
      <w:r>
        <w:rPr>
          <w:rFonts w:ascii="仿宋_GB2312" w:eastAsia="仿宋_GB2312" w:cs="仿宋_GB2312" w:hint="eastAsia"/>
          <w:bCs/>
          <w:color w:val="000000"/>
          <w:kern w:val="0"/>
          <w:sz w:val="32"/>
          <w:szCs w:val="32"/>
          <w:lang w:val="zh-CN" w:eastAsia="zh-CN" w:bidi="ar-SA"/>
        </w:rPr>
        <w:t>科技工作者的意见和要求，维护科技工作者的合法权益，组织科技工作者参加科技政策、法规的制定和重大事务的政治协商、科学决策、民主监督工作。</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zh-CN" w:eastAsia="zh-CN" w:bidi="ar-SA"/>
        </w:rPr>
      </w:pPr>
      <w:r>
        <w:rPr>
          <w:rFonts w:ascii="仿宋_GB2312" w:eastAsia="仿宋_GB2312" w:cs="仿宋_GB2312" w:hint="eastAsia"/>
          <w:bCs/>
          <w:color w:val="000000"/>
          <w:kern w:val="0"/>
          <w:sz w:val="32"/>
          <w:szCs w:val="32"/>
          <w:lang w:val="en-US" w:eastAsia="zh-CN" w:bidi="ar-SA"/>
        </w:rPr>
        <w:t>9.</w:t>
      </w:r>
      <w:r>
        <w:rPr>
          <w:rFonts w:ascii="仿宋_GB2312" w:eastAsia="仿宋_GB2312" w:cs="仿宋_GB2312" w:hint="eastAsia"/>
          <w:bCs/>
          <w:color w:val="000000"/>
          <w:kern w:val="0"/>
          <w:sz w:val="32"/>
          <w:szCs w:val="32"/>
          <w:lang w:val="zh-CN" w:eastAsia="zh-CN" w:bidi="ar-SA"/>
        </w:rPr>
        <w:t>表彰优秀学术论文、优秀科学技术工作者、举荐人才。</w:t>
      </w:r>
    </w:p>
    <w:p>
      <w:pPr>
        <w:pStyle w:val="16"/>
        <w:keepNext w:val="0"/>
        <w:keepLines w:val="0"/>
        <w:pageBreakBefore w:val="0"/>
        <w:widowControl w:val="0"/>
        <w:kinsoku/>
        <w:wordWrap/>
        <w:overflowPunct/>
        <w:topLinePunct w:val="0"/>
        <w:autoSpaceDE/>
        <w:autoSpaceDN/>
        <w:bidi w:val="0"/>
        <w:adjustRightInd w:val="0"/>
        <w:snapToGrid w:val="0"/>
        <w:spacing w:beforeLines="0" w:before="30" w:line="600" w:lineRule="exact"/>
        <w:ind w:firstLineChars="200" w:firstLine="640"/>
        <w:jc w:val="both"/>
        <w:textAlignment w:val="auto"/>
        <w:outlineLvl w:val="9"/>
        <w:rPr>
          <w:rFonts w:ascii="Times New Roman" w:eastAsia="黑体" w:hAnsi="Times New Roman" w:hint="eastAsia"/>
          <w:b w:val="0"/>
          <w:color w:val="auto"/>
          <w:sz w:val="32"/>
          <w:szCs w:val="32"/>
          <w:highlight w:val="auto"/>
        </w:rPr>
        <w:sectPr>
          <w:footerReference w:type="default" r:id="rId6"/>
          <w:footerReference w:type="first" r:id="rId7"/>
          <w:pgSz w:w="11906" w:h="16838"/>
          <w:pgMar w:top="1440" w:right="1800" w:bottom="1440" w:left="1800" w:header="851" w:footer="1304" w:gutter="0"/>
          <w:pgNumType w:start="1"/>
          <w:rtlGutter/>
          <w:docGrid w:type="lines" w:linePitch="312" w:charSpace="0"/>
        </w:sectPr>
      </w:pPr>
      <w:r>
        <w:rPr>
          <w:rFonts w:ascii="仿宋_GB2312" w:eastAsia="仿宋_GB2312" w:cs="仿宋_GB2312" w:hint="eastAsia"/>
          <w:bCs/>
          <w:color w:val="000000"/>
          <w:kern w:val="0"/>
          <w:sz w:val="32"/>
          <w:szCs w:val="32"/>
          <w:lang w:val="en-US" w:eastAsia="zh-CN" w:bidi="ar-SA"/>
        </w:rPr>
        <w:t>10.</w:t>
      </w:r>
      <w:r>
        <w:rPr>
          <w:rFonts w:ascii="仿宋_GB2312" w:eastAsia="仿宋_GB2312" w:cs="仿宋_GB2312" w:hint="eastAsia"/>
          <w:bCs/>
          <w:color w:val="000000"/>
          <w:kern w:val="0"/>
          <w:sz w:val="32"/>
          <w:szCs w:val="32"/>
          <w:lang w:val="zh-CN" w:eastAsia="zh-CN" w:bidi="ar-SA"/>
        </w:rPr>
        <w:t>县委、县政府交办的其他工作。</w:t>
      </w:r>
    </w:p>
    <w:p>
      <w:pPr>
        <w:rPr>
          <w:rFonts w:hint="eastAsia"/>
          <w:lang w:eastAsia="zh-CN"/>
        </w:rPr>
      </w:pPr>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hint="eastAsia"/>
          <w:color w:val="000000"/>
          <w:kern w:val="0"/>
          <w:sz w:val="32"/>
          <w:szCs w:val="32"/>
          <w:shd w:val="clear" w:color="auto" w:fill="FFFFFF"/>
          <w:lang w:val="zh-CN" w:eastAsia="zh-CN"/>
          <w:highlight w:val="auto"/>
        </w:rPr>
      </w:pPr>
      <w:bookmarkStart w:id="17" w:name="_Toc15396601"/>
      <w:bookmarkStart w:id="18" w:name="_Toc15377200"/>
      <w:r>
        <w:rPr>
          <w:rFonts w:ascii="Times New Roman" w:eastAsia="黑体" w:cs="Times New Roman" w:hAnsi="Times New Roman" w:hint="eastAsia"/>
          <w:color w:val="000000"/>
          <w:kern w:val="0"/>
          <w:sz w:val="32"/>
          <w:szCs w:val="32"/>
          <w:shd w:val="clear" w:color="auto" w:fill="FFFFFF"/>
          <w:lang w:val="zh-CN" w:eastAsia="zh-CN"/>
          <w:highlight w:val="auto"/>
        </w:rPr>
        <w:t>二、机构设置</w:t>
      </w:r>
      <w:bookmarkEnd w:id="17"/>
      <w:bookmarkEnd w:id="18"/>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zh-CN" w:eastAsia="zh-CN" w:bidi="ar-SA"/>
        </w:rPr>
      </w:pPr>
      <w:r>
        <w:rPr>
          <w:rFonts w:ascii="仿宋_GB2312" w:eastAsia="仿宋_GB2312" w:cs="仿宋_GB2312" w:hint="eastAsia"/>
          <w:bCs/>
          <w:color w:val="000000"/>
          <w:kern w:val="0"/>
          <w:sz w:val="32"/>
          <w:szCs w:val="32"/>
          <w:lang w:val="zh-CN" w:eastAsia="zh-CN" w:bidi="ar-SA"/>
        </w:rPr>
        <w:t>茂县科学技术协会下属二级单位1个，其中行政单位0个，参照公务员法管理的事业单位0个，其他事业单位1个。</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Times New Roman" w:eastAsia="仿宋" w:hAnsi="Times New Roman"/>
          <w:color w:val="auto"/>
          <w:kern w:val="0"/>
          <w:sz w:val="32"/>
          <w:szCs w:val="32"/>
          <w:highlight w:val="auto"/>
        </w:rPr>
      </w:pPr>
      <w:r>
        <w:rPr>
          <w:rFonts w:ascii="仿宋_GB2312" w:eastAsia="仿宋_GB2312" w:cs="仿宋_GB2312" w:hint="eastAsia"/>
          <w:bCs/>
          <w:color w:val="000000"/>
          <w:kern w:val="0"/>
          <w:sz w:val="32"/>
          <w:szCs w:val="32"/>
          <w:lang w:val="zh-CN" w:eastAsia="zh-CN" w:bidi="ar-SA"/>
        </w:rPr>
        <w:t>纳入茂县科学技术协会202</w:t>
      </w:r>
      <w:r>
        <w:rPr>
          <w:rFonts w:ascii="仿宋_GB2312" w:eastAsia="仿宋_GB2312" w:cs="仿宋_GB2312" w:hint="eastAsia"/>
          <w:bCs/>
          <w:color w:val="000000"/>
          <w:kern w:val="0"/>
          <w:sz w:val="32"/>
          <w:szCs w:val="32"/>
          <w:lang w:val="en-US" w:eastAsia="zh-CN" w:bidi="ar-SA"/>
        </w:rPr>
        <w:t>5</w:t>
      </w:r>
      <w:r>
        <w:rPr>
          <w:rFonts w:ascii="仿宋_GB2312" w:eastAsia="仿宋_GB2312" w:cs="仿宋_GB2312" w:hint="eastAsia"/>
          <w:bCs/>
          <w:color w:val="000000"/>
          <w:kern w:val="0"/>
          <w:sz w:val="32"/>
          <w:szCs w:val="32"/>
          <w:lang w:val="zh-CN" w:eastAsia="zh-CN" w:bidi="ar-SA"/>
        </w:rPr>
        <w:t>年度部门决算编制范围的二级预算单位包括：四川省茂县科普服务中心。</w:t>
      </w:r>
      <w:r>
        <w:rPr>
          <w:rFonts w:ascii="Times New Roman" w:eastAsia="仿宋" w:hAnsi="Times New Roman"/>
          <w:color w:val="auto"/>
          <w:sz w:val="32"/>
          <w:szCs w:val="32"/>
          <w:highlight w:val="auto"/>
        </w:rPr>
        <w:br w:type="page"/>
      </w:r>
    </w:p>
    <w:p>
      <w:pPr>
        <w:pStyle w:val="1"/>
        <w:keepNext/>
        <w:keepLines/>
        <w:pageBreakBefore w:val="0"/>
        <w:widowControl w:val="0"/>
        <w:kinsoku/>
        <w:wordWrap/>
        <w:overflowPunct/>
        <w:topLinePunct w:val="0"/>
        <w:autoSpaceDE/>
        <w:autoSpaceDN/>
        <w:bidi w:val="0"/>
        <w:adjustRightInd/>
        <w:snapToGrid/>
        <w:spacing w:before="0" w:after="0" w:line="578" w:lineRule="auto"/>
        <w:jc w:val="center"/>
        <w:textAlignment w:val="auto"/>
        <w:rPr>
          <w:rFonts w:ascii="Times New Roman" w:eastAsia="方正小标宋简体" w:cs="方正小标宋简体" w:hAnsi="Times New Roman" w:hint="eastAsia"/>
          <w:b w:val="0"/>
          <w:color w:val="auto"/>
          <w:highlight w:val="auto"/>
        </w:rPr>
      </w:pPr>
      <w:bookmarkStart w:id="19" w:name="_Toc15396602"/>
      <w:bookmarkStart w:id="20" w:name="_Toc15377204"/>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ascii="Times New Roman" w:eastAsia="方正小标宋简体" w:cs="方正小标宋简体" w:hAnsi="Times New Roman" w:hint="eastAsia"/>
          <w:b w:val="0"/>
          <w:color w:val="auto"/>
          <w:lang w:val="en-US" w:eastAsia="zh-CN"/>
          <w:highlight w:val="auto"/>
        </w:rPr>
        <w:t>2025年度</w:t>
      </w:r>
      <w:r>
        <w:rPr>
          <w:rFonts w:ascii="Times New Roman" w:eastAsia="方正小标宋简体" w:cs="方正小标宋简体" w:hAnsi="Times New Roman" w:hint="eastAsia"/>
          <w:b w:val="0"/>
          <w:color w:val="auto"/>
          <w:highlight w:val="auto"/>
        </w:rPr>
        <w:t>部门决算情况说明</w:t>
      </w:r>
      <w:bookmarkEnd w:id="19"/>
      <w:bookmarkEnd w:id="20"/>
    </w:p>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hint="eastAsia"/>
          <w:color w:val="000000"/>
          <w:kern w:val="0"/>
          <w:sz w:val="32"/>
          <w:szCs w:val="32"/>
          <w:shd w:val="clear" w:color="auto" w:fill="FFFFFF"/>
          <w:lang w:val="zh-CN" w:eastAsia="zh-CN"/>
          <w:highlight w:val="auto"/>
        </w:rPr>
      </w:pPr>
      <w:bookmarkStart w:id="21" w:name="_Toc15377205"/>
      <w:bookmarkStart w:id="22" w:name="_Toc15396603"/>
      <w:r>
        <w:rPr>
          <w:rFonts w:ascii="Times New Roman" w:eastAsia="黑体" w:cs="Times New Roman" w:hAnsi="Times New Roman" w:hint="eastAsia"/>
          <w:color w:val="000000"/>
          <w:kern w:val="0"/>
          <w:sz w:val="32"/>
          <w:szCs w:val="32"/>
          <w:shd w:val="clear" w:color="auto" w:fill="FFFFFF"/>
          <w:lang w:val="zh-CN" w:eastAsia="zh-CN"/>
          <w:highlight w:val="auto"/>
        </w:rPr>
        <w:t>一、收入支出决算总体情况说明</w:t>
      </w:r>
      <w:bookmarkEnd w:id="21"/>
      <w:bookmarkEnd w:id="22"/>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drawing>
          <wp:anchor distT="0" distB="0" distL="114300" distR="114300" simplePos="0" relativeHeight="26" behindDoc="0" locked="0" layoutInCell="1" hidden="0" allowOverlap="1">
            <wp:simplePos x="0" y="0"/>
            <wp:positionH relativeFrom="column">
              <wp:posOffset>572135</wp:posOffset>
            </wp:positionH>
            <wp:positionV relativeFrom="paragraph">
              <wp:posOffset>1191260</wp:posOffset>
            </wp:positionV>
            <wp:extent cx="4439285" cy="2302510"/>
            <wp:effectExtent l="0" t="0" r="0" b="0"/>
            <wp:wrapTopAndBottom/>
            <wp:docPr id="10" name="图表 1"/>
            <wp:cNvGraphicFramePr>
              <a:graphicFrameLocks noChangeAspect="0"/>
            </wp:cNvGraphicFramePr>
            <a:graphic>
              <a:graphicData uri="http://schemas.openxmlformats.org/drawingml/2006/chart">
                <c:chart xmlns:c="http://schemas.openxmlformats.org/drawingml/2006/chart" r:id="rId10"/>
              </a:graphicData>
            </a:graphic>
          </wp:anchor>
        </w:drawing>
      </w:r>
      <w:r>
        <w:rPr>
          <w:rFonts w:ascii="仿宋_GB2312" w:eastAsia="仿宋_GB2312" w:cs="仿宋_GB2312" w:hint="eastAsia"/>
          <w:bCs/>
          <w:color w:val="000000"/>
          <w:kern w:val="0"/>
          <w:sz w:val="32"/>
          <w:szCs w:val="32"/>
          <w:lang w:val="en-US" w:eastAsia="zh-CN" w:bidi="ar-SA"/>
        </w:rPr>
        <w:t>2025年度收、支总计均为246.91万元。与2024年度相比，收、支总计各增加30.83万元，增长14.3%。主要变动原因是：人员增加。</w:t>
      </w:r>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hint="eastAsia"/>
          <w:color w:val="000000"/>
          <w:kern w:val="0"/>
          <w:sz w:val="32"/>
          <w:szCs w:val="32"/>
          <w:shd w:val="clear" w:color="auto" w:fill="FFFFFF"/>
          <w:lang w:val="zh-CN" w:eastAsia="zh-CN"/>
          <w:highlight w:val="auto"/>
        </w:rPr>
      </w:pPr>
      <w:bookmarkStart w:id="23" w:name="_Toc15396604"/>
      <w:bookmarkStart w:id="24" w:name="_Toc15377206"/>
      <w:r>
        <w:rPr>
          <w:rFonts w:ascii="Times New Roman" w:eastAsia="黑体" w:cs="Times New Roman" w:hAnsi="Times New Roman" w:hint="eastAsia"/>
          <w:color w:val="000000"/>
          <w:kern w:val="0"/>
          <w:sz w:val="32"/>
          <w:szCs w:val="32"/>
          <w:shd w:val="clear" w:color="auto" w:fill="FFFFFF"/>
          <w:lang w:val="zh-CN" w:eastAsia="zh-CN"/>
          <w:highlight w:val="auto"/>
        </w:rPr>
        <w:t>二、收入决算情况说明</w:t>
      </w:r>
      <w:bookmarkEnd w:id="23"/>
      <w:bookmarkEnd w:id="24"/>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420"/>
        <w:jc w:val="both"/>
        <w:textAlignment w:val="auto"/>
        <w:outlineLvl w:val="9"/>
        <w:rPr>
          <w:rFonts w:ascii="仿宋_GB2312" w:eastAsia="仿宋_GB2312" w:cs="仿宋_GB2312" w:hint="eastAsia"/>
          <w:color w:val="auto"/>
          <w:sz w:val="32"/>
          <w:szCs w:val="32"/>
          <w:lang w:eastAsia="zh-CN"/>
          <w:highlight w:val="auto"/>
        </w:rPr>
      </w:pPr>
      <w:bookmarkStart w:id="25" w:name="_Toc15377207"/>
      <w:bookmarkStart w:id="26" w:name="_Toc15396605"/>
      <w:r>
        <w:drawing>
          <wp:anchor distT="0" distB="0" distL="114300" distR="114300" simplePos="0" relativeHeight="34" behindDoc="0" locked="0" layoutInCell="1" hidden="0" allowOverlap="1">
            <wp:simplePos x="0" y="0"/>
            <wp:positionH relativeFrom="column">
              <wp:posOffset>394970</wp:posOffset>
            </wp:positionH>
            <wp:positionV relativeFrom="paragraph">
              <wp:posOffset>962025</wp:posOffset>
            </wp:positionV>
            <wp:extent cx="4572000" cy="2514600"/>
            <wp:effectExtent l="0" t="0" r="0" b="0"/>
            <wp:wrapTopAndBottom/>
            <wp:docPr id="11" name="图表 1"/>
            <wp:cNvGraphicFramePr>
              <a:graphicFrameLocks noChangeAspect="0"/>
            </wp:cNvGraphicFramePr>
            <a:graphic>
              <a:graphicData uri="http://schemas.openxmlformats.org/drawingml/2006/chart">
                <c:chart xmlns:c="http://schemas.openxmlformats.org/drawingml/2006/chart" r:id="rId11"/>
              </a:graphicData>
            </a:graphic>
          </wp:anchor>
        </w:drawing>
      </w:r>
      <w:r>
        <w:rPr>
          <w:rFonts w:ascii="仿宋_GB2312" w:eastAsia="仿宋_GB2312" w:cs="仿宋_GB2312" w:hint="eastAsia"/>
          <w:bCs/>
          <w:color w:val="000000"/>
          <w:kern w:val="0"/>
          <w:sz w:val="32"/>
          <w:szCs w:val="32"/>
          <w:lang w:val="en-US" w:eastAsia="zh-CN" w:bidi="ar-SA"/>
        </w:rPr>
        <w:t>2025年度本年收入合计246.91万元，其中：一般公共预算财政拨款收入246.91万元，占100%。</w:t>
      </w:r>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hint="eastAsia"/>
          <w:color w:val="000000"/>
          <w:kern w:val="0"/>
          <w:sz w:val="32"/>
          <w:szCs w:val="32"/>
          <w:shd w:val="clear" w:color="auto" w:fill="FFFFFF"/>
          <w:lang w:val="zh-CN" w:eastAsia="zh-CN"/>
          <w:highlight w:val="auto"/>
        </w:rPr>
      </w:pPr>
      <w:r>
        <w:rPr>
          <w:rFonts w:ascii="Times New Roman" w:eastAsia="黑体" w:cs="Times New Roman" w:hAnsi="Times New Roman" w:hint="eastAsia"/>
          <w:color w:val="000000"/>
          <w:kern w:val="0"/>
          <w:sz w:val="32"/>
          <w:szCs w:val="32"/>
          <w:shd w:val="clear" w:color="auto" w:fill="FFFFFF"/>
          <w:lang w:val="zh-CN" w:eastAsia="zh-CN"/>
          <w:highlight w:val="auto"/>
        </w:rPr>
        <w:t>三、支出决算情况说明</w:t>
      </w:r>
      <w:bookmarkEnd w:id="25"/>
      <w:bookmarkEnd w:id="26"/>
    </w:p>
    <w:p>
      <w:pPr>
        <w:pStyle w:val="33"/>
        <w:keepNext w:val="0"/>
        <w:keepLines w:val="0"/>
        <w:pageBreakBefore w:val="0"/>
        <w:widowControl w:val="0"/>
        <w:kinsoku/>
        <w:wordWrap/>
        <w:overflowPunct/>
        <w:topLinePunct w:val="0"/>
        <w:autoSpaceDE/>
        <w:autoSpaceDN/>
        <w:bidi w:val="0"/>
        <w:adjustRightInd/>
        <w:snapToGrid/>
        <w:spacing w:line="600" w:lineRule="exact"/>
        <w:ind w:left="0" w:firstLineChars="200" w:firstLine="640"/>
        <w:jc w:val="center"/>
        <w:textAlignment w:val="auto"/>
        <w:outlineLvl w:val="1"/>
        <w:rPr>
          <w:rFonts w:ascii="Times New Roman" w:eastAsia="仿宋_GB2312" w:cs="仿宋_GB2312" w:hAnsi="Times New Roman" w:hint="eastAsia"/>
          <w:color w:val="auto"/>
          <w:sz w:val="32"/>
          <w:szCs w:val="32"/>
          <w:lang w:eastAsia="zh-CN"/>
          <w:highlight w:val="auto"/>
        </w:rPr>
      </w:pPr>
      <w:r>
        <w:rPr>
          <w:rFonts w:ascii="仿宋_GB2312" w:eastAsia="仿宋_GB2312" w:cs="仿宋_GB2312" w:hint="eastAsia"/>
          <w:bCs/>
          <w:color w:val="000000"/>
          <w:kern w:val="0"/>
          <w:sz w:val="32"/>
          <w:szCs w:val="32"/>
          <w:lang w:val="en-US" w:eastAsia="zh-CN" w:bidi="ar-SA"/>
        </w:rPr>
        <w:drawing>
          <wp:anchor distT="0" distB="0" distL="114300" distR="114300" simplePos="0" relativeHeight="28" behindDoc="0" locked="0" layoutInCell="1" hidden="0" allowOverlap="1">
            <wp:simplePos x="0" y="0"/>
            <wp:positionH relativeFrom="column">
              <wp:posOffset>452119</wp:posOffset>
            </wp:positionH>
            <wp:positionV relativeFrom="paragraph">
              <wp:posOffset>871219</wp:posOffset>
            </wp:positionV>
            <wp:extent cx="4432935" cy="3058160"/>
            <wp:effectExtent l="0" t="0" r="0" b="0"/>
            <wp:wrapTopAndBottom/>
            <wp:docPr id="12" name="图表 2"/>
            <wp:cNvGraphicFramePr>
              <a:graphicFrameLocks noChangeAspect="0"/>
            </wp:cNvGraphicFramePr>
            <a:graphic>
              <a:graphicData uri="http://schemas.openxmlformats.org/drawingml/2006/chart">
                <c:chart xmlns:c="http://schemas.openxmlformats.org/drawingml/2006/chart" r:id="rId12"/>
              </a:graphicData>
            </a:graphic>
          </wp:anchor>
        </w:drawing>
      </w:r>
      <w:r>
        <w:rPr>
          <w:rFonts w:ascii="仿宋_GB2312" w:eastAsia="仿宋_GB2312" w:cs="仿宋_GB2312" w:hint="eastAsia"/>
          <w:bCs/>
          <w:color w:val="000000"/>
          <w:kern w:val="0"/>
          <w:sz w:val="32"/>
          <w:szCs w:val="32"/>
          <w:lang w:val="en-US" w:eastAsia="zh-CN" w:bidi="ar-SA"/>
        </w:rPr>
        <w:t>2025年度本年支出合计246.91万元，其中：基本支出211.66万元，占85.7%；项目支出35.25万元，占14.3%。</w:t>
      </w:r>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hint="eastAsia"/>
          <w:color w:val="000000"/>
          <w:kern w:val="0"/>
          <w:sz w:val="32"/>
          <w:szCs w:val="32"/>
          <w:shd w:val="clear" w:color="auto" w:fill="FFFFFF"/>
          <w:lang w:val="zh-CN" w:eastAsia="zh-CN"/>
          <w:highlight w:val="auto"/>
        </w:rPr>
      </w:pPr>
      <w:bookmarkStart w:id="27" w:name="_Toc15377208"/>
      <w:bookmarkStart w:id="28" w:name="_Toc15396606"/>
      <w:r>
        <w:rPr>
          <w:rFonts w:ascii="Times New Roman" w:eastAsia="黑体" w:cs="Times New Roman" w:hAnsi="Times New Roman" w:hint="eastAsia"/>
          <w:color w:val="000000"/>
          <w:kern w:val="0"/>
          <w:sz w:val="32"/>
          <w:szCs w:val="32"/>
          <w:shd w:val="clear" w:color="auto" w:fill="FFFFFF"/>
          <w:lang w:val="zh-CN" w:eastAsia="zh-CN"/>
          <w:highlight w:val="auto"/>
        </w:rPr>
        <w:t>四、财政拨款收入支出决算总体情况说明</w:t>
      </w:r>
      <w:bookmarkEnd w:id="27"/>
      <w:bookmarkEnd w:id="28"/>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420"/>
        <w:jc w:val="both"/>
        <w:textAlignment w:val="auto"/>
        <w:outlineLvl w:val="9"/>
        <w:rPr>
          <w:rFonts w:ascii="Times New Roman" w:eastAsia="黑体" w:cs="Times New Roman" w:hAnsi="Times New Roman" w:hint="eastAsia"/>
          <w:color w:val="000000"/>
          <w:kern w:val="0"/>
          <w:sz w:val="32"/>
          <w:szCs w:val="32"/>
          <w:shd w:val="clear" w:color="auto" w:fill="FFFFFF"/>
          <w:lang w:val="zh-CN" w:eastAsia="zh-CN"/>
          <w:highlight w:val="auto"/>
        </w:rPr>
      </w:pPr>
      <w:r>
        <w:rPr>
          <w:rFonts w:hint="eastAsia"/>
          <w:lang w:val="en-US" w:eastAsia="zh-CN"/>
        </w:rPr>
        <w:drawing>
          <wp:anchor distT="0" distB="0" distL="114300" distR="114300" simplePos="0" relativeHeight="30" behindDoc="0" locked="0" layoutInCell="1" hidden="0" allowOverlap="1">
            <wp:simplePos x="0" y="0"/>
            <wp:positionH relativeFrom="column">
              <wp:posOffset>385445</wp:posOffset>
            </wp:positionH>
            <wp:positionV relativeFrom="paragraph">
              <wp:posOffset>1305560</wp:posOffset>
            </wp:positionV>
            <wp:extent cx="4509770" cy="2687955"/>
            <wp:effectExtent l="0" t="0" r="0" b="0"/>
            <wp:wrapTopAndBottom/>
            <wp:docPr id="13" name="图表 3"/>
            <wp:cNvGraphicFramePr>
              <a:graphicFrameLocks noChangeAspect="0"/>
            </wp:cNvGraphicFramePr>
            <a:graphic>
              <a:graphicData uri="http://schemas.openxmlformats.org/drawingml/2006/chart">
                <c:chart xmlns:c="http://schemas.openxmlformats.org/drawingml/2006/chart" r:id="rId13"/>
              </a:graphicData>
            </a:graphic>
          </wp:anchor>
        </w:drawing>
      </w:r>
      <w:r>
        <w:rPr>
          <w:rFonts w:ascii="仿宋_GB2312" w:eastAsia="仿宋_GB2312" w:cs="仿宋_GB2312" w:hint="eastAsia"/>
          <w:bCs/>
          <w:color w:val="000000"/>
          <w:kern w:val="0"/>
          <w:sz w:val="32"/>
          <w:szCs w:val="32"/>
          <w:lang w:val="en-US" w:eastAsia="zh-CN" w:bidi="ar-SA"/>
        </w:rPr>
        <w:t>2025年度财政拨款收入、支出总计均为246.91万元。与上年度相比，财政拨款收入、支出总计各增加30.83万元，增长14.3%。主要变动原因是：人员增加。</w:t>
      </w:r>
      <w:bookmarkStart w:id="29" w:name="_Toc15396607"/>
      <w:bookmarkStart w:id="30" w:name="_Toc15377209"/>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hint="eastAsia"/>
          <w:color w:val="000000"/>
          <w:kern w:val="0"/>
          <w:sz w:val="32"/>
          <w:szCs w:val="32"/>
          <w:shd w:val="clear" w:color="auto" w:fill="FFFFFF"/>
          <w:lang w:val="zh-CN" w:eastAsia="zh-CN"/>
          <w:highlight w:val="auto"/>
        </w:rPr>
      </w:pPr>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hint="eastAsia"/>
          <w:color w:val="000000"/>
          <w:kern w:val="0"/>
          <w:sz w:val="32"/>
          <w:szCs w:val="32"/>
          <w:shd w:val="clear" w:color="auto" w:fill="FFFFFF"/>
          <w:lang w:val="zh-CN" w:eastAsia="zh-CN"/>
          <w:highlight w:val="auto"/>
        </w:rPr>
      </w:pPr>
      <w:r>
        <w:rPr>
          <w:rFonts w:ascii="Times New Roman" w:eastAsia="黑体" w:cs="Times New Roman" w:hAnsi="Times New Roman" w:hint="eastAsia"/>
          <w:color w:val="000000"/>
          <w:kern w:val="0"/>
          <w:sz w:val="32"/>
          <w:szCs w:val="32"/>
          <w:shd w:val="clear" w:color="auto" w:fill="FFFFFF"/>
          <w:lang w:val="zh-CN" w:eastAsia="zh-CN"/>
          <w:highlight w:val="auto"/>
        </w:rPr>
        <w:t>五、一般公共预算财政拨款支出决算情况说明</w:t>
      </w:r>
      <w:bookmarkEnd w:id="29"/>
      <w:bookmarkEnd w:id="30"/>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outlineLvl w:val="2"/>
        <w:rPr>
          <w:rFonts w:ascii="Times New Roman" w:eastAsia="楷体_GB2312" w:cs="楷体_GB2312" w:hAnsi="Times New Roman" w:hint="eastAsia"/>
          <w:b/>
          <w:color w:val="auto"/>
          <w:sz w:val="32"/>
          <w:szCs w:val="32"/>
          <w:highlight w:val="auto"/>
        </w:rPr>
      </w:pPr>
      <w:bookmarkStart w:id="31"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31"/>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2025年度一般公共预算财政拨款支出246.91万元，占本年支出合计的100%。与上年度相比，一般公共预算财政拨款支出增加30.83万元，增长14.3%。主要变动原因是：人员增加。</w:t>
      </w:r>
    </w:p>
    <w:p>
      <w:pPr>
        <w:pStyle w:val="25"/>
        <w:rPr>
          <w:rFonts w:ascii="Times New Roman" w:eastAsia="仿宋_GB2312" w:cs="仿宋_GB2312" w:hAnsi="Times New Roman" w:hint="eastAsia"/>
          <w:color w:val="auto"/>
          <w:kern w:val="2"/>
          <w:sz w:val="32"/>
          <w:szCs w:val="32"/>
          <w:lang w:val="en-US" w:eastAsia="zh-CN" w:bidi="ar-SA"/>
          <w:highlight w:val="auto"/>
        </w:rPr>
      </w:pPr>
      <w:r>
        <w:rPr>
          <w:rFonts w:hint="eastAsia"/>
          <w:lang w:val="en-US" w:eastAsia="zh-CN"/>
        </w:rPr>
        <w:drawing>
          <wp:inline distT="0" distB="0" distL="114300" distR="114300">
            <wp:extent cx="4785995" cy="2867025"/>
            <wp:effectExtent l="0" t="0" r="0" b="0"/>
            <wp:docPr id="14" name="图表 16"/>
            <wp:cNvGraphicFramePr>
              <a:graphicFrameLocks noChangeAspect="0"/>
            </wp:cNvGraphicFramePr>
            <a:graphic>
              <a:graphicData uri="http://schemas.openxmlformats.org/drawingml/2006/chart">
                <c:chart xmlns:c="http://schemas.openxmlformats.org/drawingml/2006/chart" r:id="rId14"/>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outlineLvl w:val="2"/>
        <w:rPr>
          <w:rFonts w:ascii="Times New Roman" w:eastAsia="楷体_GB2312" w:cs="楷体_GB2312" w:hAnsi="Times New Roman" w:hint="eastAsia"/>
          <w:b/>
          <w:color w:val="auto"/>
          <w:sz w:val="32"/>
          <w:szCs w:val="32"/>
          <w:highlight w:val="auto"/>
        </w:rPr>
      </w:pPr>
      <w:bookmarkStart w:id="32"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32"/>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2025年度一般公共预算财政拨款支出246.91万元，主要用于以下方面：科学技术支出189.1万元，占76.6%；社会保障和就业支出29.3万元，占11.9%；卫生健康支出11.63万元，占4.7%；住房保障支出16.88万元，占6.8%。</w:t>
      </w:r>
    </w:p>
    <w:p>
      <w:pPr>
        <w:pStyle w:val="25"/>
        <w:rPr>
          <w:rFonts w:ascii="仿宋_GB2312" w:eastAsia="仿宋_GB2312" w:cs="仿宋_GB2312" w:hint="eastAsia"/>
          <w:color w:val="auto"/>
          <w:kern w:val="2"/>
          <w:sz w:val="32"/>
          <w:szCs w:val="32"/>
          <w:lang w:val="en-US" w:eastAsia="zh-CN" w:bidi="ar-SA"/>
          <w:highlight w:val="auto"/>
        </w:rPr>
      </w:pPr>
      <w:r>
        <w:rPr>
          <w:rFonts w:hint="eastAsia"/>
          <w:lang w:val="en-US" w:eastAsia="zh-CN"/>
        </w:rPr>
        <w:drawing>
          <wp:inline distT="0" distB="0" distL="114300" distR="114300">
            <wp:extent cx="4862830" cy="2868930"/>
            <wp:effectExtent l="0" t="0" r="0" b="0"/>
            <wp:docPr id="15" name="图表 17"/>
            <wp:cNvGraphicFramePr>
              <a:graphicFrameLocks noChangeAspect="0"/>
            </wp:cNvGraphicFramePr>
            <a:graphic>
              <a:graphicData uri="http://schemas.openxmlformats.org/drawingml/2006/chart">
                <c:chart xmlns:c="http://schemas.openxmlformats.org/drawingml/2006/chart" r:id="rId15"/>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outlineLvl w:val="2"/>
        <w:rPr>
          <w:rFonts w:ascii="Times New Roman" w:eastAsia="楷体_GB2312" w:cs="楷体_GB2312" w:hAnsi="Times New Roman" w:hint="eastAsia"/>
          <w:b/>
          <w:color w:val="auto"/>
          <w:sz w:val="32"/>
          <w:szCs w:val="32"/>
          <w:highlight w:val="auto"/>
        </w:rPr>
      </w:pPr>
      <w:bookmarkStart w:id="33"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33"/>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bookmarkStart w:id="34" w:name="_Toc15377444"/>
      <w:bookmarkStart w:id="35" w:name="_Toc15378460"/>
      <w:bookmarkStart w:id="36" w:name="_Toc15377213"/>
      <w:r>
        <w:rPr>
          <w:rFonts w:ascii="仿宋_GB2312" w:eastAsia="仿宋_GB2312" w:cs="仿宋_GB2312" w:hint="eastAsia"/>
          <w:bCs/>
          <w:color w:val="000000"/>
          <w:kern w:val="0"/>
          <w:sz w:val="32"/>
          <w:szCs w:val="32"/>
          <w:lang w:val="en-US" w:eastAsia="zh-CN" w:bidi="ar-SA"/>
        </w:rPr>
        <w:t>2025年度一般公共预算支出决算数为246.91万元，完成预算100%。其中：</w:t>
      </w:r>
      <w:bookmarkEnd w:id="34"/>
      <w:bookmarkEnd w:id="35"/>
      <w:bookmarkEnd w:id="36"/>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
          <w:bCs w:val="0"/>
          <w:color w:val="000000"/>
          <w:kern w:val="0"/>
          <w:sz w:val="32"/>
          <w:szCs w:val="32"/>
          <w:lang w:val="en-US" w:eastAsia="zh-CN" w:bidi="ar-SA"/>
        </w:rPr>
        <w:t>1.科学技术（类）科学技术管理事务（款）行政运行（项）：</w:t>
      </w:r>
      <w:r>
        <w:rPr>
          <w:rFonts w:ascii="仿宋_GB2312" w:eastAsia="仿宋_GB2312" w:cs="仿宋_GB2312" w:hint="eastAsia"/>
          <w:bCs/>
          <w:color w:val="000000"/>
          <w:kern w:val="0"/>
          <w:sz w:val="32"/>
          <w:szCs w:val="32"/>
          <w:lang w:val="en-US" w:eastAsia="zh-CN" w:bidi="ar-SA"/>
        </w:rPr>
        <w:t>支出决算为126.7万元，完成预算100%，决算数与预算数持平。</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
          <w:bCs w:val="0"/>
          <w:color w:val="000000"/>
          <w:kern w:val="0"/>
          <w:sz w:val="32"/>
          <w:szCs w:val="32"/>
          <w:lang w:val="en-US" w:eastAsia="zh-CN" w:bidi="ar-SA"/>
        </w:rPr>
        <w:t>2.科学技术（类）科学技术管理事务（款）其他科学技术管理事务（项）：</w:t>
      </w:r>
      <w:r>
        <w:rPr>
          <w:rFonts w:ascii="仿宋_GB2312" w:eastAsia="仿宋_GB2312" w:cs="仿宋_GB2312" w:hint="eastAsia"/>
          <w:bCs/>
          <w:color w:val="000000"/>
          <w:kern w:val="0"/>
          <w:sz w:val="32"/>
          <w:szCs w:val="32"/>
          <w:lang w:val="en-US" w:eastAsia="zh-CN" w:bidi="ar-SA"/>
        </w:rPr>
        <w:t>支出决算为27.15万元，完成预算100%，决算数与预算数持平。</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
          <w:bCs w:val="0"/>
          <w:color w:val="000000"/>
          <w:kern w:val="0"/>
          <w:sz w:val="32"/>
          <w:szCs w:val="32"/>
          <w:lang w:val="en-US" w:eastAsia="zh-CN" w:bidi="ar-SA"/>
        </w:rPr>
        <w:t>3.科学技术（类）科学技术普及（款）其他科学技术普及支出（项）：</w:t>
      </w:r>
      <w:r>
        <w:rPr>
          <w:rFonts w:ascii="仿宋_GB2312" w:eastAsia="仿宋_GB2312" w:cs="仿宋_GB2312" w:hint="eastAsia"/>
          <w:bCs/>
          <w:color w:val="000000"/>
          <w:kern w:val="0"/>
          <w:sz w:val="32"/>
          <w:szCs w:val="32"/>
          <w:lang w:val="en-US" w:eastAsia="zh-CN" w:bidi="ar-SA"/>
        </w:rPr>
        <w:t>支出决算为35.25万元，完成预算100%，决算数与预算数持平。</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
          <w:bCs w:val="0"/>
          <w:color w:val="000000"/>
          <w:kern w:val="0"/>
          <w:sz w:val="32"/>
          <w:szCs w:val="32"/>
          <w:lang w:val="en-US" w:eastAsia="zh-CN" w:bidi="ar-SA"/>
        </w:rPr>
        <w:t>4.社会保障和就业（类）行政事业单位养老支出（款）机关事业单位基本养老保险缴费支出（项）:</w:t>
      </w:r>
      <w:r>
        <w:rPr>
          <w:rFonts w:ascii="仿宋_GB2312" w:eastAsia="仿宋_GB2312" w:cs="仿宋_GB2312" w:hint="eastAsia"/>
          <w:bCs/>
          <w:color w:val="000000"/>
          <w:kern w:val="0"/>
          <w:sz w:val="32"/>
          <w:szCs w:val="32"/>
          <w:lang w:val="en-US" w:eastAsia="zh-CN" w:bidi="ar-SA"/>
        </w:rPr>
        <w:t>支出决算为19.53万元，完成预算100%，决算数与预算数持平。</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
          <w:bCs w:val="0"/>
          <w:color w:val="000000"/>
          <w:kern w:val="0"/>
          <w:sz w:val="32"/>
          <w:szCs w:val="32"/>
          <w:lang w:val="en-US" w:eastAsia="zh-CN" w:bidi="ar-SA"/>
        </w:rPr>
        <w:t>5.社会保障和就业（类）行政事业单位养老支出（款）机关事业单位职业年金缴费支出（项）:</w:t>
      </w:r>
      <w:r>
        <w:rPr>
          <w:rFonts w:ascii="仿宋_GB2312" w:eastAsia="仿宋_GB2312" w:cs="仿宋_GB2312" w:hint="eastAsia"/>
          <w:bCs/>
          <w:color w:val="000000"/>
          <w:kern w:val="0"/>
          <w:sz w:val="32"/>
          <w:szCs w:val="32"/>
          <w:lang w:val="en-US" w:eastAsia="zh-CN" w:bidi="ar-SA"/>
        </w:rPr>
        <w:t>支出决算为9.77万元，完成预算100%，决算数与预算数持平。</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
          <w:bCs w:val="0"/>
          <w:color w:val="000000"/>
          <w:kern w:val="0"/>
          <w:sz w:val="32"/>
          <w:szCs w:val="32"/>
          <w:lang w:val="en-US" w:eastAsia="zh-CN" w:bidi="ar-SA"/>
        </w:rPr>
        <w:t>6.卫生健康（类）行政事业单位医疗（款）行政单位医疗（项）:</w:t>
      </w:r>
      <w:r>
        <w:rPr>
          <w:rFonts w:ascii="仿宋_GB2312" w:eastAsia="仿宋_GB2312" w:cs="仿宋_GB2312" w:hint="eastAsia"/>
          <w:bCs/>
          <w:color w:val="000000"/>
          <w:kern w:val="0"/>
          <w:sz w:val="32"/>
          <w:szCs w:val="32"/>
          <w:lang w:val="en-US" w:eastAsia="zh-CN" w:bidi="ar-SA"/>
        </w:rPr>
        <w:t>支出决算为9.21万元，完成预算100%，决算数与预算数持平。</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
          <w:bCs w:val="0"/>
          <w:color w:val="000000"/>
          <w:kern w:val="0"/>
          <w:sz w:val="32"/>
          <w:szCs w:val="32"/>
          <w:lang w:val="en-US" w:eastAsia="zh-CN" w:bidi="ar-SA"/>
        </w:rPr>
        <w:t>7.卫生健康（类）行政事业单位医疗（款）事业单位医疗（项）:</w:t>
      </w:r>
      <w:r>
        <w:rPr>
          <w:rFonts w:ascii="仿宋_GB2312" w:eastAsia="仿宋_GB2312" w:cs="仿宋_GB2312" w:hint="eastAsia"/>
          <w:bCs/>
          <w:color w:val="000000"/>
          <w:kern w:val="0"/>
          <w:sz w:val="32"/>
          <w:szCs w:val="32"/>
          <w:lang w:val="en-US" w:eastAsia="zh-CN" w:bidi="ar-SA"/>
        </w:rPr>
        <w:t>支出决算为2.42万元，完成预算100%，决算数与预算数持平。</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
          <w:bCs w:val="0"/>
          <w:color w:val="000000"/>
          <w:kern w:val="0"/>
          <w:sz w:val="32"/>
          <w:szCs w:val="32"/>
          <w:lang w:val="en-US" w:eastAsia="zh-CN" w:bidi="ar-SA"/>
        </w:rPr>
        <w:t>8.住房保障（类）住房改革支出（款）住房公积金（项）:</w:t>
      </w:r>
      <w:r>
        <w:rPr>
          <w:rFonts w:ascii="仿宋_GB2312" w:eastAsia="仿宋_GB2312" w:cs="仿宋_GB2312" w:hint="eastAsia"/>
          <w:bCs/>
          <w:color w:val="000000"/>
          <w:kern w:val="0"/>
          <w:sz w:val="32"/>
          <w:szCs w:val="32"/>
          <w:lang w:val="en-US" w:eastAsia="zh-CN" w:bidi="ar-SA"/>
        </w:rPr>
        <w:t>支出决算为15.88万元，完成预算100%，决算数与预算数持平。</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
          <w:bCs w:val="0"/>
          <w:color w:val="000000"/>
          <w:kern w:val="0"/>
          <w:sz w:val="32"/>
          <w:szCs w:val="32"/>
          <w:lang w:val="en-US" w:eastAsia="zh-CN" w:bidi="ar-SA"/>
        </w:rPr>
        <w:t>9.住房保障（类）住房改革支出（款）购房补贴（项）:</w:t>
      </w:r>
      <w:r>
        <w:rPr>
          <w:rFonts w:ascii="仿宋_GB2312" w:eastAsia="仿宋_GB2312" w:cs="仿宋_GB2312" w:hint="eastAsia"/>
          <w:bCs/>
          <w:color w:val="000000"/>
          <w:kern w:val="0"/>
          <w:sz w:val="32"/>
          <w:szCs w:val="32"/>
          <w:lang w:val="en-US" w:eastAsia="zh-CN" w:bidi="ar-SA"/>
        </w:rPr>
        <w:t>支出决算为1万元，完成预算100%，决算数与预算数持平。</w:t>
      </w:r>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hint="eastAsia"/>
          <w:color w:val="000000"/>
          <w:kern w:val="0"/>
          <w:sz w:val="32"/>
          <w:szCs w:val="32"/>
          <w:shd w:val="clear" w:color="auto" w:fill="FFFFFF"/>
          <w:lang w:val="zh-CN" w:eastAsia="zh-CN"/>
          <w:highlight w:val="auto"/>
        </w:rPr>
      </w:pPr>
      <w:bookmarkStart w:id="37" w:name="_Toc15377214"/>
      <w:bookmarkStart w:id="38" w:name="_Toc15396608"/>
      <w:r>
        <w:rPr>
          <w:rFonts w:ascii="Times New Roman" w:eastAsia="黑体" w:cs="Times New Roman" w:hAnsi="Times New Roman" w:hint="eastAsia"/>
          <w:color w:val="000000"/>
          <w:kern w:val="0"/>
          <w:sz w:val="32"/>
          <w:szCs w:val="32"/>
          <w:shd w:val="clear" w:color="auto" w:fill="FFFFFF"/>
          <w:lang w:val="en-US" w:eastAsia="zh-CN"/>
          <w:highlight w:val="auto"/>
        </w:rPr>
        <w:t>六、一般公共预算财政拨款基本支出决算情况说明</w:t>
      </w:r>
      <w:bookmarkEnd w:id="37"/>
      <w:bookmarkEnd w:id="38"/>
      <w:r>
        <w:rPr>
          <w:rFonts w:ascii="Times New Roman" w:eastAsia="黑体" w:cs="Times New Roman" w:hAnsi="Times New Roman" w:hint="eastAsia"/>
          <w:color w:val="000000"/>
          <w:kern w:val="0"/>
          <w:sz w:val="32"/>
          <w:szCs w:val="32"/>
          <w:shd w:val="clear" w:color="auto" w:fill="FFFFFF"/>
          <w:lang w:val="zh-CN" w:eastAsia="zh-CN"/>
          <w:highlight w:val="auto"/>
        </w:rPr>
        <w:tab/>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2025年度一般公共预算财政拨款基本支出211.66万元，其中：</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人员经费203.24万元，主要包括：基本工资、津贴补贴、奖金、绩效工资、机关事业单位基本养老保险缴费、职业年金缴费、职工基本医疗保险缴费、其他社会保障缴费、住房公积金、医疗费、生活补助。</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公用经费8.42万元，主要包括：办公费、邮电费、差旅费、公务用车运行维护费、其他商品和服务支出。</w:t>
      </w:r>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hint="eastAsia"/>
          <w:color w:val="000000"/>
          <w:kern w:val="0"/>
          <w:sz w:val="32"/>
          <w:szCs w:val="32"/>
          <w:shd w:val="clear" w:color="auto" w:fill="FFFFFF"/>
          <w:lang w:val="zh-CN" w:eastAsia="zh-CN"/>
          <w:highlight w:val="auto"/>
        </w:rPr>
      </w:pPr>
      <w:bookmarkStart w:id="39" w:name="_Toc15377215"/>
      <w:bookmarkStart w:id="40" w:name="_Toc15396609"/>
      <w:r>
        <w:rPr>
          <w:rFonts w:ascii="Times New Roman" w:eastAsia="黑体" w:cs="Times New Roman" w:hAnsi="Times New Roman" w:hint="eastAsia"/>
          <w:color w:val="000000"/>
          <w:kern w:val="0"/>
          <w:sz w:val="32"/>
          <w:szCs w:val="32"/>
          <w:shd w:val="clear" w:color="auto" w:fill="FFFFFF"/>
          <w:lang w:val="zh-CN" w:eastAsia="zh-CN"/>
          <w:highlight w:val="auto"/>
        </w:rPr>
        <w:t>七、财政拨款“三公”经费支出决算情况说明</w:t>
      </w:r>
      <w:bookmarkEnd w:id="39"/>
      <w:bookmarkEnd w:id="40"/>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outlineLvl w:val="2"/>
        <w:rPr>
          <w:rFonts w:ascii="Times New Roman" w:eastAsia="楷体_GB2312" w:cs="楷体_GB2312" w:hAnsi="Times New Roman" w:hint="eastAsia"/>
          <w:b/>
          <w:color w:val="auto"/>
          <w:sz w:val="32"/>
          <w:szCs w:val="32"/>
          <w:highlight w:val="auto"/>
        </w:rPr>
      </w:pPr>
      <w:bookmarkStart w:id="41" w:name="_Toc15377216"/>
      <w:r>
        <w:rPr>
          <w:rFonts w:ascii="Times New Roman" w:eastAsia="楷体_GB2312" w:cs="楷体_GB2312" w:hAnsi="Times New Roman" w:hint="eastAsia"/>
          <w:b/>
          <w:color w:val="auto"/>
          <w:sz w:val="32"/>
          <w:szCs w:val="32"/>
          <w:highlight w:val="auto"/>
        </w:rPr>
        <w:t>（一）财政拨款“三公”经费支出决算总体情况说明</w:t>
      </w:r>
      <w:bookmarkEnd w:id="41"/>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2025年度财政拨款“三公”经费支出决算为1.62万元，完成预算100%，与上年度相比增加0.02万元，增长1.3%。主要原因是：公务用车维修费增加。</w:t>
      </w:r>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outlineLvl w:val="2"/>
        <w:rPr>
          <w:rFonts w:ascii="Times New Roman" w:eastAsia="楷体_GB2312" w:cs="楷体_GB2312" w:hAnsi="Times New Roman" w:hint="eastAsia"/>
          <w:b/>
          <w:color w:val="auto"/>
          <w:sz w:val="32"/>
          <w:szCs w:val="32"/>
          <w:highlight w:val="auto"/>
        </w:rPr>
      </w:pPr>
      <w:bookmarkStart w:id="42" w:name="_Toc15377217"/>
      <w:r>
        <w:rPr>
          <w:rFonts w:ascii="Times New Roman" w:eastAsia="楷体_GB2312" w:cs="楷体_GB2312" w:hAnsi="Times New Roman" w:hint="eastAsia"/>
          <w:b/>
          <w:color w:val="auto"/>
          <w:sz w:val="32"/>
          <w:szCs w:val="32"/>
          <w:highlight w:val="auto"/>
        </w:rPr>
        <w:t>（二）财政拨款“三公”经费支出决算具体情况说明</w:t>
      </w:r>
      <w:bookmarkEnd w:id="42"/>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color w:val="auto"/>
          <w:kern w:val="2"/>
          <w:sz w:val="32"/>
          <w:szCs w:val="32"/>
          <w:lang w:val="en-US" w:eastAsia="zh-CN" w:bidi="ar-SA"/>
          <w:highlight w:val="auto"/>
        </w:rPr>
      </w:pPr>
      <w:r>
        <w:rPr>
          <w:rFonts w:ascii="仿宋_GB2312" w:eastAsia="仿宋_GB2312" w:cs="仿宋_GB2312" w:hint="eastAsia"/>
          <w:bCs/>
          <w:color w:val="000000"/>
          <w:kern w:val="0"/>
          <w:sz w:val="32"/>
          <w:szCs w:val="32"/>
          <w:lang w:val="en-US" w:eastAsia="zh-CN" w:bidi="ar-SA"/>
        </w:rPr>
        <w:t>2025年度财政拨款“三公”经费支出决算中，因公出国（境）费支出决算0万元，占0%；公务用车购置及运行维护费支出决算1.62万元，占100%；公务接待费支出决算0万元，占0%。具体情况如下：</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color w:val="auto"/>
          <w:kern w:val="2"/>
          <w:sz w:val="32"/>
          <w:szCs w:val="32"/>
          <w:lang w:val="en-US" w:eastAsia="zh-CN" w:bidi="ar-SA"/>
          <w:highlight w:val="auto"/>
        </w:rPr>
        <w:drawing>
          <wp:anchor distT="0" distB="0" distL="114300" distR="114300" simplePos="0" relativeHeight="32" behindDoc="0" locked="0" layoutInCell="1" hidden="0" allowOverlap="1">
            <wp:simplePos x="0" y="0"/>
            <wp:positionH relativeFrom="column">
              <wp:posOffset>382270</wp:posOffset>
            </wp:positionH>
            <wp:positionV relativeFrom="paragraph">
              <wp:posOffset>90170</wp:posOffset>
            </wp:positionV>
            <wp:extent cx="4690110" cy="2896870"/>
            <wp:effectExtent l="0" t="0" r="0" b="0"/>
            <wp:wrapTopAndBottom/>
            <wp:docPr id="16" name="图表 18"/>
            <wp:cNvGraphicFramePr>
              <a:graphicFrameLocks noChangeAspect="0"/>
            </wp:cNvGraphicFramePr>
            <a:graphic>
              <a:graphicData uri="http://schemas.openxmlformats.org/drawingml/2006/chart">
                <c:chart xmlns:c="http://schemas.openxmlformats.org/drawingml/2006/chart" r:id="rId16"/>
              </a:graphicData>
            </a:graphic>
          </wp:anchor>
        </w:drawing>
      </w:r>
      <w:r>
        <w:rPr>
          <w:rFonts w:ascii="仿宋_GB2312" w:eastAsia="仿宋_GB2312" w:cs="仿宋_GB2312" w:hint="eastAsia"/>
          <w:b/>
          <w:bCs w:val="0"/>
          <w:color w:val="000000"/>
          <w:kern w:val="0"/>
          <w:sz w:val="32"/>
          <w:szCs w:val="32"/>
          <w:lang w:val="en-US" w:eastAsia="zh-CN" w:bidi="ar-SA"/>
        </w:rPr>
        <w:t>1.因公出国（境）经费支出0万元</w:t>
      </w:r>
      <w:r>
        <w:rPr>
          <w:rFonts w:ascii="仿宋_GB2312" w:eastAsia="仿宋_GB2312" w:cs="仿宋_GB2312" w:hint="eastAsia"/>
          <w:bCs/>
          <w:color w:val="000000"/>
          <w:kern w:val="0"/>
          <w:sz w:val="32"/>
          <w:szCs w:val="32"/>
          <w:lang w:val="en-US" w:eastAsia="zh-CN" w:bidi="ar-SA"/>
        </w:rPr>
        <w:t>，完成预算100%。全年安排因公出国（境）团组0次，出国（境）0人。因公出国（境）支出决算与2024年度持平。</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
          <w:bCs w:val="0"/>
          <w:color w:val="000000"/>
          <w:kern w:val="0"/>
          <w:sz w:val="32"/>
          <w:szCs w:val="32"/>
          <w:lang w:val="en-US" w:eastAsia="zh-CN" w:bidi="ar-SA"/>
        </w:rPr>
        <w:t>2.公务用车购置及运行维护费支出1.62万元</w:t>
      </w:r>
      <w:r>
        <w:rPr>
          <w:rFonts w:ascii="仿宋_GB2312" w:eastAsia="仿宋_GB2312" w:cs="仿宋_GB2312" w:hint="eastAsia"/>
          <w:bCs/>
          <w:color w:val="000000"/>
          <w:kern w:val="0"/>
          <w:sz w:val="32"/>
          <w:szCs w:val="32"/>
          <w:lang w:val="en-US" w:eastAsia="zh-CN" w:bidi="ar-SA"/>
        </w:rPr>
        <w:t>，完成预算100%。公务用车购置及运行维护费支出决算与2024年度相比增加0.02万元，增长1.3%。主要原因是：公务用车维修费增加。</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截至2025年12月31日，单位共有公务用车1辆，其中：越野车1辆。</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公务用车运行维护费支出1.62万元。主要用于参加培训、开展科普工作等所需的公务用车燃料费、维修费、过路过桥费、保险费等支出。</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
          <w:bCs w:val="0"/>
          <w:color w:val="000000"/>
          <w:kern w:val="0"/>
          <w:sz w:val="32"/>
          <w:szCs w:val="32"/>
          <w:lang w:val="en-US" w:eastAsia="zh-CN" w:bidi="ar-SA"/>
        </w:rPr>
        <w:t>3.公务接待费支出0万元</w:t>
      </w:r>
      <w:r>
        <w:rPr>
          <w:rFonts w:ascii="仿宋_GB2312" w:eastAsia="仿宋_GB2312" w:cs="仿宋_GB2312" w:hint="eastAsia"/>
          <w:bCs/>
          <w:color w:val="000000"/>
          <w:kern w:val="0"/>
          <w:sz w:val="32"/>
          <w:szCs w:val="32"/>
          <w:lang w:val="en-US" w:eastAsia="zh-CN" w:bidi="ar-SA"/>
        </w:rPr>
        <w:t>，完成预算100%。</w:t>
      </w:r>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hint="eastAsia"/>
          <w:color w:val="000000"/>
          <w:kern w:val="0"/>
          <w:sz w:val="32"/>
          <w:szCs w:val="32"/>
          <w:shd w:val="clear" w:color="auto" w:fill="FFFFFF"/>
          <w:lang w:val="zh-CN" w:eastAsia="zh-CN"/>
          <w:highlight w:val="auto"/>
        </w:rPr>
      </w:pPr>
      <w:bookmarkStart w:id="43" w:name="_Toc15396610"/>
      <w:bookmarkStart w:id="44" w:name="_Toc15377218"/>
      <w:r>
        <w:rPr>
          <w:rFonts w:ascii="Times New Roman" w:eastAsia="黑体" w:cs="Times New Roman" w:hAnsi="Times New Roman" w:hint="eastAsia"/>
          <w:color w:val="000000"/>
          <w:kern w:val="0"/>
          <w:sz w:val="32"/>
          <w:szCs w:val="32"/>
          <w:shd w:val="clear" w:color="auto" w:fill="FFFFFF"/>
          <w:lang w:val="zh-CN" w:eastAsia="zh-CN"/>
          <w:highlight w:val="auto"/>
        </w:rPr>
        <w:t>八、政府性基金预算支出决算情况说明</w:t>
      </w:r>
      <w:bookmarkEnd w:id="43"/>
      <w:bookmarkEnd w:id="44"/>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2025年度政府性基金预算财政拨款支出0万元。</w:t>
      </w:r>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color w:val="000000"/>
          <w:kern w:val="0"/>
          <w:sz w:val="32"/>
          <w:szCs w:val="32"/>
          <w:shd w:val="clear" w:color="auto" w:fill="FFFFFF"/>
          <w:lang w:val="zh-CN" w:eastAsia="zh-CN"/>
          <w:highlight w:val="auto"/>
        </w:rPr>
      </w:pPr>
      <w:bookmarkStart w:id="45" w:name="_Toc15396611"/>
      <w:bookmarkStart w:id="46" w:name="_Toc15377219"/>
      <w:r>
        <w:rPr>
          <w:rFonts w:ascii="Times New Roman" w:eastAsia="黑体" w:cs="Times New Roman" w:hAnsi="Times New Roman" w:hint="eastAsia"/>
          <w:color w:val="000000"/>
          <w:kern w:val="0"/>
          <w:sz w:val="32"/>
          <w:szCs w:val="32"/>
          <w:shd w:val="clear" w:color="auto" w:fill="FFFFFF"/>
          <w:lang w:val="zh-CN" w:eastAsia="zh-CN"/>
          <w:highlight w:val="auto"/>
        </w:rPr>
        <w:t>九、国有资本经营预算支出决算情况说明</w:t>
      </w:r>
      <w:bookmarkEnd w:id="45"/>
      <w:bookmarkEnd w:id="46"/>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2025年度国有资本经营预算财政拨款支出0万元。</w:t>
      </w:r>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hint="eastAsia"/>
          <w:color w:val="000000"/>
          <w:kern w:val="0"/>
          <w:sz w:val="32"/>
          <w:szCs w:val="32"/>
          <w:shd w:val="clear" w:color="auto" w:fill="FFFFFF"/>
          <w:lang w:val="zh-CN" w:eastAsia="zh-CN"/>
          <w:highlight w:val="auto"/>
        </w:rPr>
      </w:pPr>
      <w:bookmarkStart w:id="47" w:name="_Toc15396612"/>
      <w:bookmarkStart w:id="48" w:name="_Toc15377221"/>
      <w:r>
        <w:rPr>
          <w:rFonts w:ascii="Times New Roman" w:eastAsia="黑体" w:cs="Times New Roman" w:hAnsi="Times New Roman" w:hint="eastAsia"/>
          <w:color w:val="000000"/>
          <w:kern w:val="0"/>
          <w:sz w:val="32"/>
          <w:szCs w:val="32"/>
          <w:shd w:val="clear" w:color="auto" w:fill="FFFFFF"/>
          <w:lang w:val="zh-CN" w:eastAsia="zh-CN"/>
          <w:highlight w:val="auto"/>
        </w:rPr>
        <w:t>十、其他重要事项的情况说明</w:t>
      </w:r>
      <w:bookmarkEnd w:id="47"/>
      <w:bookmarkEnd w:id="48"/>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outlineLvl w:val="2"/>
        <w:rPr>
          <w:rFonts w:ascii="Times New Roman" w:eastAsia="楷体_GB2312" w:cs="楷体_GB2312" w:hAnsi="Times New Roman" w:hint="eastAsia"/>
          <w:b/>
          <w:color w:val="auto"/>
          <w:sz w:val="32"/>
          <w:szCs w:val="32"/>
          <w:highlight w:val="auto"/>
        </w:rPr>
      </w:pPr>
      <w:bookmarkStart w:id="49" w:name="_Toc15377222"/>
      <w:r>
        <w:rPr>
          <w:rFonts w:ascii="Times New Roman" w:eastAsia="楷体_GB2312" w:cs="楷体_GB2312" w:hAnsi="Times New Roman" w:hint="eastAsia"/>
          <w:b/>
          <w:color w:val="auto"/>
          <w:sz w:val="32"/>
          <w:szCs w:val="32"/>
          <w:highlight w:val="auto"/>
        </w:rPr>
        <w:t>（一）机关运行经费支出情况</w:t>
      </w:r>
      <w:bookmarkEnd w:id="49"/>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2025年度，四川省阿坝州茂县科学技术协会机关运行经费支出6.29万元，与2024年度相比增加0.04万元，增长0.6%。主要原因是：人员增加。</w:t>
      </w:r>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outlineLvl w:val="2"/>
        <w:rPr>
          <w:rFonts w:ascii="Times New Roman" w:eastAsia="楷体_GB2312" w:cs="楷体_GB2312" w:hAnsi="Times New Roman" w:hint="eastAsia"/>
          <w:b/>
          <w:color w:val="auto"/>
          <w:sz w:val="32"/>
          <w:szCs w:val="32"/>
          <w:highlight w:val="auto"/>
        </w:rPr>
      </w:pPr>
      <w:bookmarkStart w:id="50" w:name="_Toc15377223"/>
      <w:r>
        <w:rPr>
          <w:rFonts w:ascii="Times New Roman" w:eastAsia="楷体_GB2312" w:cs="楷体_GB2312" w:hAnsi="Times New Roman" w:hint="eastAsia"/>
          <w:b/>
          <w:color w:val="auto"/>
          <w:sz w:val="32"/>
          <w:szCs w:val="32"/>
          <w:highlight w:val="auto"/>
        </w:rPr>
        <w:t>（二）政府采购支出情况</w:t>
      </w:r>
      <w:bookmarkEnd w:id="50"/>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2025年度，四川省阿坝州茂县科学技术协会政府采购支出总额0万元。</w:t>
      </w:r>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outlineLvl w:val="2"/>
        <w:rPr>
          <w:rFonts w:ascii="Times New Roman" w:eastAsia="楷体_GB2312" w:cs="楷体_GB2312" w:hAnsi="Times New Roman" w:hint="eastAsia"/>
          <w:b/>
          <w:color w:val="auto"/>
          <w:sz w:val="32"/>
          <w:szCs w:val="32"/>
          <w:highlight w:val="auto"/>
        </w:rPr>
      </w:pPr>
      <w:bookmarkStart w:id="51" w:name="_Toc15377224"/>
      <w:r>
        <w:rPr>
          <w:rFonts w:ascii="Times New Roman" w:eastAsia="楷体_GB2312" w:cs="楷体_GB2312" w:hAnsi="Times New Roman" w:hint="eastAsia"/>
          <w:b/>
          <w:color w:val="auto"/>
          <w:sz w:val="32"/>
          <w:szCs w:val="32"/>
          <w:highlight w:val="auto"/>
        </w:rPr>
        <w:t>（三）国有资产占有使用情况</w:t>
      </w:r>
      <w:bookmarkEnd w:id="51"/>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color w:val="auto"/>
          <w:kern w:val="2"/>
          <w:sz w:val="32"/>
          <w:szCs w:val="32"/>
          <w:lang w:val="en-US" w:eastAsia="zh-CN" w:bidi="ar-SA"/>
          <w:highlight w:val="auto"/>
        </w:rPr>
      </w:pPr>
      <w:r>
        <w:rPr>
          <w:rFonts w:ascii="仿宋_GB2312" w:eastAsia="仿宋_GB2312" w:cs="仿宋_GB2312" w:hint="eastAsia"/>
          <w:bCs/>
          <w:color w:val="000000"/>
          <w:kern w:val="0"/>
          <w:sz w:val="32"/>
          <w:szCs w:val="32"/>
          <w:lang w:val="en-US" w:eastAsia="zh-CN" w:bidi="ar-SA"/>
        </w:rPr>
        <w:t>截至2025年12月31日，四川省阿坝州茂县科学技术协会共有车辆1辆，其中：应急保障用车1辆。单价100万元（含）以上设备（不含车辆）0台（套）。</w:t>
      </w:r>
    </w:p>
    <w:p>
      <w:pPr>
        <w:keepNext w:val="0"/>
        <w:keepLines w:val="0"/>
        <w:pageBreakBefore w:val="0"/>
        <w:widowControl w:val="0"/>
        <w:kinsoku/>
        <w:wordWrap/>
        <w:overflowPunct/>
        <w:topLinePunct w:val="0"/>
        <w:autoSpaceDE/>
        <w:autoSpaceDN/>
        <w:bidi w:val="0"/>
        <w:adjustRightInd/>
        <w:snapToGrid/>
        <w:spacing w:line="600" w:lineRule="exact"/>
        <w:ind w:firstLineChars="200" w:firstLine="640"/>
        <w:textAlignment w:val="auto"/>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根据预算绩效管理要求，四川省阿坝州茂县科学技术协会在2025年度</w:t>
      </w:r>
      <w:r>
        <w:rPr>
          <w:rFonts w:ascii="仿宋_GB2312" w:eastAsia="仿宋_GB2312" w:cs="Times New Roman" w:hint="eastAsia"/>
          <w:color w:val="auto"/>
          <w:sz w:val="32"/>
          <w:szCs w:val="32"/>
          <w:lang w:eastAsia="zh-CN"/>
          <w:highlight w:val="auto"/>
        </w:rPr>
        <w:t>预算编制阶段，组织对</w:t>
      </w:r>
      <w:r>
        <w:rPr>
          <w:rFonts w:ascii="仿宋_GB2312" w:eastAsia="仿宋_GB2312" w:cs="仿宋_GB2312" w:hint="eastAsia"/>
          <w:bCs/>
          <w:color w:val="000000"/>
          <w:kern w:val="0"/>
          <w:sz w:val="32"/>
          <w:szCs w:val="32"/>
          <w:lang w:val="en-US" w:eastAsia="zh-CN" w:bidi="ar-SA"/>
        </w:rPr>
        <w:t>2024年度阿坝州“科普惠农兴村计划”专项资金项目、2024年中央和省级财政科普科服专项资金项目、2025年中央和省级财政科普科服专项资金项目等3个</w:t>
      </w:r>
      <w:r>
        <w:rPr>
          <w:rFonts w:ascii="仿宋_GB2312" w:eastAsia="仿宋_GB2312" w:cs="Times New Roman" w:hint="eastAsia"/>
          <w:color w:val="auto"/>
          <w:sz w:val="32"/>
          <w:szCs w:val="32"/>
          <w:lang w:eastAsia="zh-CN"/>
          <w:highlight w:val="auto"/>
        </w:rPr>
        <w:t>开展了预算事前绩效评估，对</w:t>
      </w:r>
      <w:r>
        <w:rPr>
          <w:rFonts w:ascii="仿宋_GB2312" w:eastAsia="仿宋_GB2312" w:cs="Times New Roman" w:hint="eastAsia"/>
          <w:color w:val="auto"/>
          <w:sz w:val="32"/>
          <w:szCs w:val="32"/>
          <w:lang w:val="en-US" w:eastAsia="zh-CN"/>
          <w:highlight w:val="auto"/>
        </w:rPr>
        <w:t>3</w:t>
      </w:r>
      <w:r>
        <w:rPr>
          <w:rFonts w:ascii="仿宋_GB2312" w:eastAsia="仿宋_GB2312" w:cs="Times New Roman" w:hint="eastAsia"/>
          <w:color w:val="auto"/>
          <w:sz w:val="32"/>
          <w:szCs w:val="32"/>
          <w:lang w:eastAsia="zh-CN"/>
          <w:highlight w:val="auto"/>
        </w:rPr>
        <w:t>个项目编制了绩效目标，预算执行过程中，选取</w:t>
      </w:r>
      <w:r>
        <w:rPr>
          <w:rFonts w:ascii="仿宋_GB2312" w:eastAsia="仿宋_GB2312" w:cs="Times New Roman" w:hint="eastAsia"/>
          <w:color w:val="auto"/>
          <w:sz w:val="32"/>
          <w:szCs w:val="32"/>
          <w:lang w:val="en-US" w:eastAsia="zh-CN"/>
          <w:highlight w:val="auto"/>
        </w:rPr>
        <w:t>3</w:t>
      </w:r>
      <w:r>
        <w:rPr>
          <w:rFonts w:ascii="仿宋_GB2312" w:eastAsia="仿宋_GB2312" w:cs="Times New Roman" w:hint="eastAsia"/>
          <w:color w:val="auto"/>
          <w:sz w:val="32"/>
          <w:szCs w:val="32"/>
          <w:lang w:eastAsia="zh-CN"/>
          <w:highlight w:val="auto"/>
        </w:rPr>
        <w:t>个项目开展绩效监控，组织对</w:t>
      </w:r>
      <w:r>
        <w:rPr>
          <w:rFonts w:ascii="仿宋_GB2312" w:eastAsia="仿宋_GB2312" w:cs="Times New Roman" w:hint="eastAsia"/>
          <w:color w:val="auto"/>
          <w:sz w:val="32"/>
          <w:szCs w:val="32"/>
          <w:lang w:val="en-US" w:eastAsia="zh-CN"/>
          <w:highlight w:val="auto"/>
        </w:rPr>
        <w:t>3个项目开展绩效自评，绩效自评表详见第四部分附件。</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br w:type="page"/>
      </w:r>
    </w:p>
    <w:p>
      <w:pPr>
        <w:pStyle w:val="1"/>
        <w:keepNext/>
        <w:keepLines/>
        <w:pageBreakBefore w:val="0"/>
        <w:widowControl w:val="0"/>
        <w:kinsoku/>
        <w:wordWrap/>
        <w:overflowPunct/>
        <w:topLinePunct w:val="0"/>
        <w:autoSpaceDE/>
        <w:autoSpaceDN/>
        <w:bidi w:val="0"/>
        <w:adjustRightInd/>
        <w:snapToGrid/>
        <w:spacing w:before="0" w:after="0" w:line="578" w:lineRule="auto"/>
        <w:jc w:val="center"/>
        <w:textAlignment w:val="auto"/>
        <w:rPr>
          <w:rFonts w:ascii="Times New Roman" w:hAnsi="Times New Roman"/>
          <w:b/>
          <w:color w:val="auto"/>
          <w:sz w:val="44"/>
          <w:szCs w:val="44"/>
          <w:highlight w:val="auto"/>
        </w:rPr>
      </w:pPr>
      <w:bookmarkStart w:id="52" w:name="_Toc15377225"/>
      <w:bookmarkStart w:id="53" w:name="_Toc15396613"/>
      <w:r>
        <w:rPr>
          <w:rFonts w:ascii="Times New Roman" w:eastAsia="方正小标宋简体" w:cs="方正小标宋简体" w:hAnsi="Times New Roman" w:hint="eastAsia"/>
          <w:b w:val="0"/>
          <w:color w:val="auto"/>
          <w:highlight w:val="auto"/>
        </w:rPr>
        <w:t>第</w:t>
      </w:r>
      <w:r>
        <w:rPr>
          <w:rFonts w:ascii="Times New Roman" w:eastAsia="方正小标宋简体" w:cs="方正小标宋简体" w:hAnsi="Times New Roman" w:hint="eastAsia"/>
          <w:b w:val="0"/>
          <w:color w:val="auto"/>
          <w:lang w:eastAsia="zh-CN"/>
          <w:highlight w:val="auto"/>
        </w:rPr>
        <w:t>三</w:t>
      </w:r>
      <w:r>
        <w:rPr>
          <w:rFonts w:ascii="Times New Roman" w:eastAsia="方正小标宋简体" w:cs="方正小标宋简体" w:hAnsi="Times New Roman" w:hint="eastAsia"/>
          <w:b w:val="0"/>
          <w:color w:val="auto"/>
          <w:highlight w:val="auto"/>
        </w:rPr>
        <w:t>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名词解释</w:t>
      </w:r>
      <w:bookmarkEnd w:id="52"/>
      <w:bookmarkEnd w:id="53"/>
    </w:p>
    <w:p>
      <w:pPr>
        <w:pStyle w:val="32"/>
        <w:keepNext w:val="0"/>
        <w:keepLines w:val="0"/>
        <w:pageBreakBefore w:val="0"/>
        <w:widowControl w:val="0"/>
        <w:kinsoku/>
        <w:wordWrap/>
        <w:overflowPunct/>
        <w:topLinePunct w:val="0"/>
        <w:autoSpaceDE w:val="0"/>
        <w:autoSpaceDN w:val="0"/>
        <w:bidi w:val="0"/>
        <w:adjustRightInd w:val="0"/>
        <w:snapToGrid/>
        <w:spacing w:line="560" w:lineRule="exact"/>
        <w:ind w:firstLineChars="200" w:firstLine="640"/>
        <w:jc w:val="both"/>
        <w:textAlignment w:val="auto"/>
        <w:outlineLvl w:val="9"/>
        <w:rPr>
          <w:rFonts w:ascii="仿宋_GB2312" w:eastAsia="仿宋_GB2312" w:hint="eastAsia"/>
          <w:sz w:val="32"/>
          <w:szCs w:val="32"/>
        </w:rPr>
      </w:pPr>
      <w:bookmarkStart w:id="54" w:name="_Toc15377226"/>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1.财政拨款收入：指单位从同级财政部门取得的财政预算资金。</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2.事业收入：指事业单位开展专业业务活动及辅助活动取得的收入。</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3.经营收入：指事业单位在专业业务活动及其辅助活动之外开展非独立核算经营活动取得的收入。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 xml:space="preserve">4.其他收入：指单位取得的除上述收入以外的各项收入。 </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 xml:space="preserve">5.使用非财政拨款结余：指事业单位使用以前年度积累的非财政拨款结余弥补当年收支差额的金额。 </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6.年初结转和结余：指以前年度尚未完成、结转到本年按有关规定继续使用的资金。</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7.结余分配：指事业单位按照会计制度规定缴纳的所得税、提取的专用结余以及转入非财政拨款结余的金额等。</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8.年末结转和结余：指单位按有关规定结转到下年或以后年度继续使用的资金。</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9.卫生健康（类）行政事业单位医疗（款）行政单位医疗（项）：反映财政部门安排的行政单位的基本医疗保险缴费经费，未参加医疗保险的行政单位的公费医疗经费，按国家规定享受离休人员、红军老战士待遇人员的医疗经费。</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10.卫生健康（类）行政事业单位医疗（款）事业单位医疗（项）：反映财政部门安排的事业单位的基本医疗保险缴费经费，未参加医疗保险的事业单位的公费医疗经费，按国家规定享受离休人员待遇人员的医疗经费。</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11.住房保障支出（类）住房改革支出（款）住房公积金（项）：反映行政事业单位按人力资源和社会保障部、财政部规定的基本工资和津贴补贴以及规定比例为职工缴纳的住房公积金。</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12.社会保障和就业（类）行政事业单位离退休（款）养老保险（项）：机关事业单位基本养老保险缴费支出，反映机关事业单位实施养老保险制度由单位缴纳的基本养老保险费支出。</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13.社会保障和就业（类）行政事业单位离退休（款）职业年金（项）：机关事业单位职业年金缴费支出，反映机关事业单位实施养老保险制度由单位实际缴纳的职业年金支出。</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14.科学技术（类）科学技术管理事务（款）行政运行（项）: 反映行政单位（包括实行公务员管理的事业单位）的基本支出。</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15.科学技术（类）科学技术管理事务（款）其他科学技术管理事务（项）:反映其他用于科学技术管理事务方面的支出。</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16.科学技术（类）科学技术普及（款）科普活动（项）: 反映用于控制科普活动的支出。</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17.科学技术（类）科学技术普及（款）其他科学技术普及支出（项）:反映其他用于科学技术普及方面的支出。</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18.基本支出：指为保障机构正常运转、完成日常工作任务而发生的人员支出和公用支出。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19.项目支出：指在基本支出之外为完成特定行政任务和事业发展目标所发生的支出。</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20.经营支出：指事业单位在专业业务活动及其辅助活动之外开展非独立核算经营活动发生的支出。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仿宋_GB2312" w:eastAsia="仿宋_GB2312" w:cs="仿宋_GB2312" w:hint="eastAsia"/>
          <w:bCs/>
          <w:color w:val="000000"/>
          <w:kern w:val="0"/>
          <w:sz w:val="32"/>
          <w:szCs w:val="32"/>
          <w:lang w:val="en-US" w:eastAsia="zh-CN" w:bidi="ar-SA"/>
        </w:rPr>
      </w:pPr>
      <w:r>
        <w:rPr>
          <w:rFonts w:ascii="仿宋_GB2312" w:eastAsia="仿宋_GB2312" w:cs="仿宋_GB2312" w:hint="eastAsia"/>
          <w:bCs/>
          <w:color w:val="000000"/>
          <w:kern w:val="0"/>
          <w:sz w:val="32"/>
          <w:szCs w:val="32"/>
          <w:lang w:val="en-US" w:eastAsia="zh-CN" w:bidi="ar-SA"/>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jc w:val="both"/>
        <w:textAlignment w:val="auto"/>
        <w:outlineLvl w:val="9"/>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仿宋_GB2312" w:hint="eastAsia"/>
          <w:bCs/>
          <w:color w:val="000000"/>
          <w:kern w:val="0"/>
          <w:sz w:val="32"/>
          <w:szCs w:val="32"/>
          <w:lang w:val="en-US" w:eastAsia="zh-CN" w:bidi="ar-SA"/>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br w:type="page"/>
      </w:r>
      <w:bookmarkStart w:id="55" w:name="_Toc15396614"/>
    </w:p>
    <w:p>
      <w:pPr>
        <w:pStyle w:val="1"/>
        <w:keepNext/>
        <w:keepLines/>
        <w:pageBreakBefore w:val="0"/>
        <w:widowControl w:val="0"/>
        <w:kinsoku/>
        <w:wordWrap/>
        <w:overflowPunct/>
        <w:topLinePunct w:val="0"/>
        <w:autoSpaceDE/>
        <w:autoSpaceDN/>
        <w:bidi w:val="0"/>
        <w:adjustRightInd/>
        <w:snapToGrid/>
        <w:spacing w:before="0" w:after="0" w:line="578" w:lineRule="auto"/>
        <w:jc w:val="center"/>
        <w:textAlignment w:val="auto"/>
        <w:rPr>
          <w:rFonts w:ascii="Times New Roman" w:eastAsia="方正小标宋简体" w:cs="方正小标宋简体" w:hAnsi="Times New Roman" w:hint="eastAsia"/>
          <w:b w:val="0"/>
          <w:color w:val="auto"/>
          <w:lang w:eastAsia="zh-CN"/>
          <w:highlight w:val="auto"/>
        </w:rPr>
      </w:pPr>
      <w:r>
        <w:rPr>
          <w:rFonts w:ascii="Times New Roman" w:eastAsia="方正小标宋简体" w:cs="方正小标宋简体" w:hAnsi="Times New Roman" w:hint="eastAsia"/>
          <w:b w:val="0"/>
          <w:color w:val="auto"/>
          <w:highlight w:val="auto"/>
        </w:rPr>
        <w:t>第四部分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附件</w:t>
      </w:r>
      <w:bookmarkEnd w:id="55"/>
    </w:p>
    <w:p>
      <w:pPr>
        <w:keepNext w:val="0"/>
        <w:keepLines w:val="0"/>
        <w:pageBreakBefore w:val="0"/>
        <w:widowControl w:val="0"/>
        <w:kinsoku/>
        <w:wordWrap/>
        <w:overflowPunct/>
        <w:topLinePunct w:val="0"/>
        <w:autoSpaceDE/>
        <w:autoSpaceDN/>
        <w:bidi w:val="0"/>
        <w:spacing w:line="572" w:lineRule="exact"/>
        <w:jc w:val="left"/>
        <w:textAlignment w:val="auto"/>
        <w:outlineLvl w:val="0"/>
        <w:rPr>
          <w:rFonts w:ascii="Times New Roman" w:eastAsia="黑体" w:cs="黑体" w:hAnsi="Times New Roman" w:hint="eastAsia"/>
          <w:color w:val="FF0000"/>
          <w:sz w:val="32"/>
          <w:szCs w:val="32"/>
          <w:highlight w:val="auto"/>
        </w:rPr>
      </w:pPr>
    </w:p>
    <w:p>
      <w:pPr>
        <w:keepNext w:val="0"/>
        <w:keepLines w:val="0"/>
        <w:pageBreakBefore w:val="0"/>
        <w:widowControl w:val="0"/>
        <w:kinsoku/>
        <w:wordWrap/>
        <w:overflowPunct/>
        <w:topLinePunct w:val="0"/>
        <w:autoSpaceDE/>
        <w:autoSpaceDN/>
        <w:bidi w:val="0"/>
        <w:spacing w:line="572" w:lineRule="exact"/>
        <w:jc w:val="left"/>
        <w:textAlignment w:val="auto"/>
        <w:outlineLvl w:val="0"/>
        <w:rPr>
          <w:rFonts w:ascii="Times New Roman" w:eastAsia="黑体" w:cs="黑体" w:hAnsi="Times New Roman" w:hint="eastAsia"/>
          <w:color w:val="auto"/>
          <w:sz w:val="32"/>
          <w:szCs w:val="32"/>
          <w:lang w:val="en-US" w:eastAsia="zh-CN"/>
          <w:highlight w:val="auto"/>
        </w:rPr>
      </w:pPr>
      <w:r>
        <w:rPr>
          <w:rFonts w:ascii="Times New Roman" w:eastAsia="黑体" w:cs="黑体" w:hAnsi="Times New Roman" w:hint="eastAsia"/>
          <w:color w:val="auto"/>
          <w:sz w:val="32"/>
          <w:szCs w:val="32"/>
          <w:highlight w:val="auto"/>
        </w:rPr>
        <w:t>附件</w:t>
      </w:r>
      <w:r>
        <w:rPr>
          <w:rFonts w:ascii="Times New Roman" w:eastAsia="黑体" w:cs="黑体" w:hAnsi="Times New Roman" w:hint="eastAsia"/>
          <w:color w:val="auto"/>
          <w:sz w:val="32"/>
          <w:szCs w:val="32"/>
          <w:lang w:val="en-US" w:eastAsia="zh-CN"/>
          <w:highlight w:val="auto"/>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eastAsia="方正小标宋简体" w:cs="Times New Roman" w:hAnsi="Times New Roman"/>
          <w:b w:val="0"/>
          <w:bCs/>
          <w:sz w:val="44"/>
          <w:szCs w:val="44"/>
          <w:shd w:val="clear" w:color="auto" w:fill="FFFFFF"/>
          <w:highlight w:val="auto"/>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eastAsia="仿宋_GB2312" w:cs="Times New Roman" w:hAnsi="Times New Roman"/>
          <w:sz w:val="32"/>
          <w:szCs w:val="32"/>
          <w:shd w:val="clear" w:color="auto" w:fill="FFFFFF"/>
          <w:highlight w:val="auto"/>
        </w:rPr>
      </w:pPr>
      <w:r>
        <w:rPr>
          <w:rFonts w:ascii="Times New Roman" w:eastAsia="方正小标宋简体" w:cs="Times New Roman" w:hAnsi="Times New Roman"/>
          <w:b w:val="0"/>
          <w:bCs/>
          <w:sz w:val="44"/>
          <w:szCs w:val="44"/>
          <w:shd w:val="clear" w:color="auto" w:fill="FFFFFF"/>
          <w:highlight w:val="auto"/>
        </w:rPr>
        <w:t>部门</w:t>
      </w:r>
      <w:r>
        <w:rPr>
          <w:rFonts w:ascii="Times New Roman" w:eastAsia="方正小标宋简体" w:cs="Times New Roman" w:hAnsi="Times New Roman"/>
          <w:b w:val="0"/>
          <w:bCs/>
          <w:sz w:val="44"/>
          <w:szCs w:val="44"/>
          <w:shd w:val="clear" w:color="auto" w:fill="FFFFFF"/>
          <w:lang w:eastAsia="zh-CN"/>
          <w:highlight w:val="auto"/>
        </w:rPr>
        <w:t>预算</w:t>
      </w:r>
      <w:r>
        <w:rPr>
          <w:rFonts w:ascii="Times New Roman" w:eastAsia="方正小标宋简体" w:cs="Times New Roman" w:hAnsi="Times New Roman"/>
          <w:b w:val="0"/>
          <w:bCs/>
          <w:sz w:val="44"/>
          <w:szCs w:val="44"/>
          <w:shd w:val="clear" w:color="auto" w:fill="FFFFFF"/>
          <w:highlight w:val="auto"/>
        </w:rPr>
        <w:t>绩效</w:t>
      </w:r>
      <w:r>
        <w:rPr>
          <w:rFonts w:ascii="Times New Roman" w:eastAsia="方正小标宋简体" w:cs="Times New Roman" w:hAnsi="Times New Roman" w:hint="eastAsia"/>
          <w:b w:val="0"/>
          <w:bCs/>
          <w:sz w:val="44"/>
          <w:szCs w:val="44"/>
          <w:shd w:val="clear" w:color="auto" w:fill="FFFFFF"/>
          <w:lang w:eastAsia="zh-CN"/>
          <w:highlight w:val="auto"/>
        </w:rPr>
        <w:t>评价</w:t>
      </w:r>
      <w:r>
        <w:rPr>
          <w:rFonts w:ascii="Times New Roman" w:eastAsia="方正小标宋简体" w:cs="Times New Roman" w:hAnsi="Times New Roman"/>
          <w:b w:val="0"/>
          <w:bCs/>
          <w:sz w:val="44"/>
          <w:szCs w:val="44"/>
          <w:shd w:val="clear" w:color="auto" w:fill="FFFFFF"/>
          <w:highlight w:val="auto"/>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480"/>
        <w:contextualSpacing/>
        <w:jc w:val="left"/>
        <w:textAlignment w:val="auto"/>
        <w:outlineLvl w:val="9"/>
        <w:rPr>
          <w:rFonts w:ascii="Times New Roman" w:eastAsia="黑体" w:cs="Times New Roman" w:hAnsi="Times New Roman"/>
          <w:color w:val="000000"/>
          <w:kern w:val="0"/>
          <w:sz w:val="24"/>
          <w:szCs w:val="32"/>
          <w:shd w:val="clear" w:color="auto" w:fill="FFFFFF"/>
          <w:highlight w:val="auto"/>
        </w:rPr>
      </w:pPr>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color w:val="000000"/>
          <w:kern w:val="0"/>
          <w:sz w:val="32"/>
          <w:szCs w:val="32"/>
          <w:shd w:val="clear" w:color="auto" w:fill="FFFFFF"/>
          <w:lang w:val="zh-CN" w:eastAsia="zh-CN"/>
          <w:highlight w:val="auto"/>
        </w:rPr>
      </w:pPr>
      <w:r>
        <w:rPr>
          <w:rFonts w:ascii="Times New Roman" w:eastAsia="黑体" w:cs="Times New Roman" w:hAnsi="Times New Roman" w:hint="eastAsia"/>
          <w:color w:val="000000"/>
          <w:kern w:val="0"/>
          <w:sz w:val="32"/>
          <w:szCs w:val="32"/>
          <w:shd w:val="clear" w:color="auto" w:fill="FFFFFF"/>
          <w:lang w:val="zh-CN" w:eastAsia="zh-CN"/>
          <w:highlight w:val="auto"/>
        </w:rPr>
        <w:t>一、</w:t>
      </w:r>
      <w:r>
        <w:rPr>
          <w:rFonts w:ascii="Times New Roman" w:eastAsia="黑体" w:cs="Times New Roman" w:hAnsi="Times New Roman"/>
          <w:color w:val="000000"/>
          <w:kern w:val="0"/>
          <w:sz w:val="32"/>
          <w:szCs w:val="32"/>
          <w:shd w:val="clear" w:color="auto" w:fill="FFFFFF"/>
          <w:lang w:val="zh-CN" w:eastAsia="zh-CN"/>
          <w:highlight w:val="auto"/>
        </w:rPr>
        <w:t>部门（单位）基本情况</w:t>
      </w:r>
    </w:p>
    <w:p>
      <w:pPr>
        <w:keepNext w:val="0"/>
        <w:keepLines w:val="0"/>
        <w:pageBreakBefore w:val="0"/>
        <w:widowControl/>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仿宋_GB2312" w:eastAsia="仿宋_GB2312" w:cs="仿宋_GB2312" w:hint="eastAsia"/>
          <w:color w:val="auto"/>
          <w:kern w:val="2"/>
          <w:sz w:val="32"/>
          <w:szCs w:val="32"/>
          <w:lang w:val="en-US" w:eastAsia="zh-CN" w:bidi="ar-SA"/>
          <w:highlight w:val="auto"/>
        </w:rPr>
      </w:pPr>
      <w:r>
        <w:rPr>
          <w:rFonts w:ascii="Times New Roman" w:eastAsia="楷体_GB2312" w:cs="楷体_GB2312" w:hAnsi="Times New Roman" w:hint="eastAsia"/>
          <w:b/>
          <w:color w:val="auto"/>
          <w:sz w:val="32"/>
          <w:szCs w:val="32"/>
          <w:lang w:val="zh-CN"/>
          <w:highlight w:val="auto"/>
        </w:rPr>
        <w:t>（一）</w:t>
      </w:r>
      <w:r>
        <w:rPr>
          <w:rFonts w:ascii="Times New Roman" w:eastAsia="楷体_GB2312" w:cs="楷体_GB2312" w:hAnsi="Times New Roman"/>
          <w:b/>
          <w:color w:val="auto"/>
          <w:sz w:val="32"/>
          <w:szCs w:val="32"/>
          <w:lang w:val="zh-CN"/>
          <w:highlight w:val="auto"/>
        </w:rPr>
        <w:t>机构组成</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Times New Roman" w:eastAsia="仿宋_GB2312" w:cs="Times New Roman" w:hAnsi="Times New Roman"/>
          <w:b w:val="0"/>
          <w:kern w:val="2"/>
          <w:sz w:val="32"/>
          <w:szCs w:val="32"/>
          <w:lang w:val="zh-CN" w:eastAsia="zh-CN" w:bidi="ar-SA"/>
        </w:rPr>
      </w:pPr>
      <w:r>
        <w:rPr>
          <w:rFonts w:ascii="Times New Roman" w:eastAsia="仿宋_GB2312" w:cs="Times New Roman" w:hAnsi="Times New Roman" w:hint="eastAsia"/>
          <w:b w:val="0"/>
          <w:kern w:val="2"/>
          <w:sz w:val="32"/>
          <w:szCs w:val="32"/>
          <w:lang w:val="zh-CN" w:eastAsia="zh-CN" w:bidi="ar-SA"/>
        </w:rPr>
        <w:t>本</w:t>
      </w:r>
      <w:r>
        <w:rPr>
          <w:rFonts w:eastAsia="仿宋_GB2312" w:cs="Times New Roman" w:hint="eastAsia"/>
          <w:b w:val="0"/>
          <w:kern w:val="2"/>
          <w:sz w:val="32"/>
          <w:szCs w:val="32"/>
          <w:lang w:val="zh-CN" w:eastAsia="zh-CN" w:bidi="ar-SA"/>
        </w:rPr>
        <w:t>部门</w:t>
      </w:r>
      <w:r>
        <w:rPr>
          <w:rFonts w:ascii="Times New Roman" w:eastAsia="仿宋_GB2312" w:cs="Times New Roman" w:hAnsi="Times New Roman" w:hint="eastAsia"/>
          <w:b w:val="0"/>
          <w:kern w:val="2"/>
          <w:sz w:val="32"/>
          <w:szCs w:val="32"/>
          <w:lang w:val="zh-CN" w:eastAsia="zh-CN" w:bidi="ar-SA"/>
        </w:rPr>
        <w:t>属一级预算单位，参照公务员法管理的行政单位</w:t>
      </w:r>
      <w:r>
        <w:rPr>
          <w:rFonts w:ascii="仿宋_GB2312" w:eastAsia="仿宋_GB2312" w:cs="仿宋_GB2312" w:hint="eastAsia"/>
          <w:b w:val="0"/>
          <w:kern w:val="2"/>
          <w:sz w:val="32"/>
          <w:szCs w:val="32"/>
          <w:lang w:val="en-US" w:eastAsia="zh-CN" w:bidi="ar-SA"/>
        </w:rPr>
        <w:t>1</w:t>
      </w:r>
      <w:r>
        <w:rPr>
          <w:rFonts w:ascii="Times New Roman" w:eastAsia="仿宋_GB2312" w:cs="Times New Roman" w:hAnsi="Times New Roman" w:hint="eastAsia"/>
          <w:b w:val="0"/>
          <w:kern w:val="2"/>
          <w:sz w:val="32"/>
          <w:szCs w:val="32"/>
          <w:lang w:val="en-US" w:eastAsia="zh-CN" w:bidi="ar-SA"/>
        </w:rPr>
        <w:t>个，内设机构：</w:t>
      </w:r>
      <w:r>
        <w:rPr>
          <w:rFonts w:ascii="Times New Roman" w:eastAsia="仿宋_GB2312" w:cs="Times New Roman" w:hAnsi="Times New Roman" w:hint="eastAsia"/>
          <w:b w:val="0"/>
          <w:kern w:val="2"/>
          <w:sz w:val="32"/>
          <w:szCs w:val="32"/>
          <w:lang w:val="zh-CN" w:eastAsia="zh-CN" w:bidi="ar-SA"/>
        </w:rPr>
        <w:t>办公室</w:t>
      </w:r>
      <w:r>
        <w:rPr>
          <w:rFonts w:eastAsia="仿宋_GB2312" w:cs="Times New Roman" w:hint="eastAsia"/>
          <w:b w:val="0"/>
          <w:kern w:val="2"/>
          <w:sz w:val="32"/>
          <w:szCs w:val="32"/>
          <w:lang w:val="zh-CN" w:eastAsia="zh-CN" w:bidi="ar-SA"/>
        </w:rPr>
        <w:t>、</w:t>
      </w:r>
      <w:r>
        <w:rPr>
          <w:rFonts w:ascii="Times New Roman" w:eastAsia="仿宋_GB2312" w:cs="Times New Roman" w:hAnsi="Times New Roman" w:hint="eastAsia"/>
          <w:b w:val="0"/>
          <w:kern w:val="2"/>
          <w:sz w:val="32"/>
          <w:szCs w:val="32"/>
          <w:lang w:val="zh-CN" w:eastAsia="zh-CN" w:bidi="ar-SA"/>
        </w:rPr>
        <w:t>综合业务股</w:t>
      </w:r>
      <w:r>
        <w:rPr>
          <w:rFonts w:eastAsia="仿宋_GB2312" w:cs="Times New Roman" w:hint="eastAsia"/>
          <w:b w:val="0"/>
          <w:kern w:val="2"/>
          <w:sz w:val="32"/>
          <w:szCs w:val="32"/>
          <w:lang w:val="zh-CN" w:eastAsia="zh-CN" w:bidi="ar-SA"/>
        </w:rPr>
        <w:t>。下属二级预算单位</w:t>
      </w:r>
      <w:r>
        <w:rPr>
          <w:rFonts w:ascii="仿宋_GB2312" w:eastAsia="仿宋_GB2312" w:cs="仿宋_GB2312" w:hint="eastAsia"/>
          <w:b w:val="0"/>
          <w:kern w:val="2"/>
          <w:sz w:val="32"/>
          <w:szCs w:val="32"/>
          <w:lang w:val="en-US" w:eastAsia="zh-CN" w:bidi="ar-SA"/>
        </w:rPr>
        <w:t>1</w:t>
      </w:r>
      <w:r>
        <w:rPr>
          <w:rFonts w:eastAsia="仿宋_GB2312" w:cs="Times New Roman" w:hint="eastAsia"/>
          <w:b w:val="0"/>
          <w:kern w:val="2"/>
          <w:sz w:val="32"/>
          <w:szCs w:val="32"/>
          <w:lang w:val="en-US" w:eastAsia="zh-CN" w:bidi="ar-SA"/>
        </w:rPr>
        <w:t>个，包括：茂县</w:t>
      </w:r>
      <w:r>
        <w:rPr>
          <w:rFonts w:ascii="Times New Roman" w:eastAsia="仿宋_GB2312" w:cs="Times New Roman" w:hAnsi="Times New Roman" w:hint="eastAsia"/>
          <w:b w:val="0"/>
          <w:kern w:val="2"/>
          <w:sz w:val="32"/>
          <w:szCs w:val="32"/>
          <w:lang w:val="zh-CN" w:eastAsia="zh-CN" w:bidi="ar-SA"/>
        </w:rPr>
        <w:t>科普服务中心。</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仿宋_GB2312" w:eastAsia="仿宋_GB2312" w:cs="仿宋_GB2312" w:hint="eastAsia"/>
          <w:color w:val="auto"/>
          <w:kern w:val="2"/>
          <w:sz w:val="32"/>
          <w:szCs w:val="32"/>
          <w:lang w:val="en-US" w:eastAsia="zh-CN" w:bidi="ar-SA"/>
          <w:highlight w:val="auto"/>
        </w:rPr>
      </w:pPr>
      <w:r>
        <w:rPr>
          <w:rFonts w:ascii="Times New Roman" w:eastAsia="楷体_GB2312" w:cs="楷体_GB2312" w:hAnsi="Times New Roman"/>
          <w:b/>
          <w:color w:val="auto"/>
          <w:sz w:val="32"/>
          <w:szCs w:val="32"/>
          <w:lang w:val="zh-CN"/>
          <w:highlight w:val="auto"/>
        </w:rPr>
        <w:t>（二）机构职能</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bCs/>
          <w:color w:val="auto"/>
          <w:kern w:val="0"/>
          <w:sz w:val="32"/>
          <w:szCs w:val="32"/>
          <w:shd w:val="clear" w:color="auto" w:fill="FFFFFF"/>
          <w:lang w:val="zh-CN"/>
        </w:rPr>
      </w:pPr>
      <w:r>
        <w:rPr>
          <w:rFonts w:ascii="仿宋_GB2312" w:eastAsia="仿宋_GB2312" w:cs="仿宋_GB2312" w:hint="eastAsia"/>
          <w:b/>
          <w:bCs/>
          <w:color w:val="auto"/>
          <w:kern w:val="0"/>
          <w:sz w:val="32"/>
          <w:szCs w:val="32"/>
          <w:shd w:val="clear" w:color="auto" w:fill="FFFFFF"/>
          <w:lang w:val="zh-CN"/>
        </w:rPr>
        <w:t>1.办公室</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Times New Roman" w:eastAsia="仿宋_GB2312" w:cs="Times New Roman" w:hAnsi="Times New Roman" w:hint="eastAsia"/>
          <w:b w:val="0"/>
          <w:kern w:val="2"/>
          <w:sz w:val="32"/>
          <w:szCs w:val="32"/>
          <w:lang w:val="zh-CN" w:eastAsia="zh-CN" w:bidi="ar-SA"/>
        </w:rPr>
      </w:pPr>
      <w:r>
        <w:rPr>
          <w:rFonts w:eastAsia="仿宋_GB2312" w:cs="Times New Roman" w:hint="eastAsia"/>
          <w:b w:val="0"/>
          <w:kern w:val="2"/>
          <w:sz w:val="32"/>
          <w:szCs w:val="32"/>
          <w:lang w:val="zh-CN" w:eastAsia="zh-CN" w:bidi="ar-SA"/>
        </w:rPr>
        <w:t>（</w:t>
      </w:r>
      <w:r>
        <w:rPr>
          <w:rFonts w:ascii="仿宋_GB2312" w:eastAsia="仿宋_GB2312" w:cs="仿宋_GB2312" w:hint="eastAsia"/>
          <w:b w:val="0"/>
          <w:kern w:val="2"/>
          <w:sz w:val="32"/>
          <w:szCs w:val="32"/>
          <w:lang w:val="en-US" w:eastAsia="zh-CN" w:bidi="ar-SA"/>
        </w:rPr>
        <w:t>1</w:t>
      </w:r>
      <w:r>
        <w:rPr>
          <w:rFonts w:eastAsia="仿宋_GB2312" w:cs="Times New Roman" w:hint="eastAsia"/>
          <w:b w:val="0"/>
          <w:kern w:val="2"/>
          <w:sz w:val="32"/>
          <w:szCs w:val="32"/>
          <w:lang w:val="zh-CN" w:eastAsia="zh-CN" w:bidi="ar-SA"/>
        </w:rPr>
        <w:t>）</w:t>
      </w:r>
      <w:r>
        <w:rPr>
          <w:rFonts w:ascii="Times New Roman" w:eastAsia="仿宋_GB2312" w:cs="Times New Roman" w:hAnsi="Times New Roman" w:hint="eastAsia"/>
          <w:b w:val="0"/>
          <w:kern w:val="2"/>
          <w:sz w:val="32"/>
          <w:szCs w:val="32"/>
          <w:lang w:val="zh-CN" w:eastAsia="zh-CN" w:bidi="ar-SA"/>
        </w:rPr>
        <w:t>编制科协工作规划、年度计划和工作总结，组织调查研究，提出科协工作中重大政策性问题的建议;协助领导对有关工作进行综合、协调、督促、检查;负责文书处理，重要会议的组织、来信来访、机关财务、房产物资及档案管理，科协退休干部职工的管理。</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Times New Roman" w:eastAsia="仿宋_GB2312" w:cs="Times New Roman" w:hAnsi="Times New Roman" w:hint="eastAsia"/>
          <w:b w:val="0"/>
          <w:kern w:val="2"/>
          <w:sz w:val="32"/>
          <w:szCs w:val="32"/>
          <w:lang w:val="zh-CN" w:eastAsia="zh-CN" w:bidi="ar-SA"/>
        </w:rPr>
      </w:pPr>
      <w:r>
        <w:rPr>
          <w:rFonts w:ascii="仿宋_GB2312" w:eastAsia="仿宋_GB2312" w:cs="仿宋_GB2312" w:hint="eastAsia"/>
          <w:b/>
          <w:bCs/>
          <w:color w:val="auto"/>
          <w:kern w:val="0"/>
          <w:sz w:val="32"/>
          <w:szCs w:val="32"/>
          <w:shd w:val="clear" w:color="auto" w:fill="FFFFFF"/>
          <w:lang w:val="en-US" w:eastAsia="zh-CN"/>
        </w:rPr>
        <w:t>2</w:t>
      </w:r>
      <w:r>
        <w:rPr>
          <w:rFonts w:ascii="仿宋_GB2312" w:eastAsia="仿宋_GB2312" w:cs="仿宋_GB2312" w:hint="eastAsia"/>
          <w:b/>
          <w:bCs/>
          <w:color w:val="auto"/>
          <w:kern w:val="0"/>
          <w:sz w:val="32"/>
          <w:szCs w:val="32"/>
          <w:shd w:val="clear" w:color="auto" w:fill="FFFFFF"/>
          <w:lang w:val="zh-CN"/>
        </w:rPr>
        <w:t>.</w:t>
      </w:r>
      <w:r>
        <w:rPr>
          <w:rFonts w:ascii="仿宋_GB2312" w:eastAsia="仿宋_GB2312" w:cs="仿宋_GB2312" w:hint="eastAsia"/>
          <w:b/>
          <w:bCs/>
          <w:color w:val="auto"/>
          <w:kern w:val="0"/>
          <w:sz w:val="32"/>
          <w:szCs w:val="32"/>
          <w:shd w:val="clear" w:color="auto" w:fill="FFFFFF"/>
          <w:lang w:val="zh-CN" w:eastAsia="zh-CN"/>
        </w:rPr>
        <w:t>综合业务股</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zh-CN" w:eastAsia="zh-CN" w:bidi="ar-SA"/>
        </w:rPr>
        <w:t>（</w:t>
      </w:r>
      <w:r>
        <w:rPr>
          <w:rFonts w:ascii="仿宋_GB2312" w:eastAsia="仿宋_GB2312" w:cs="仿宋_GB2312" w:hint="eastAsia"/>
          <w:b w:val="0"/>
          <w:kern w:val="2"/>
          <w:sz w:val="32"/>
          <w:szCs w:val="32"/>
          <w:lang w:val="en-US" w:eastAsia="zh-CN" w:bidi="ar-SA"/>
        </w:rPr>
        <w:t>1</w:t>
      </w:r>
      <w:r>
        <w:rPr>
          <w:rFonts w:ascii="仿宋_GB2312" w:eastAsia="仿宋_GB2312" w:cs="仿宋_GB2312" w:hint="eastAsia"/>
          <w:b w:val="0"/>
          <w:kern w:val="2"/>
          <w:sz w:val="32"/>
          <w:szCs w:val="32"/>
          <w:lang w:val="zh-CN" w:eastAsia="zh-CN" w:bidi="ar-SA"/>
        </w:rPr>
        <w:t>）组织协调多学科的重要课题、学术研讨活动;负责县级协学会的组织管理，指导和日常联络工作;参与人民团体、科教社团制定法规、政策工作;负责对外交流与合作的组织联络工作;宣传党和政府关于知识分子工作的方针、政策，反映科技工作者的呼声和要求，维护科技人员的合法权益;负责科技人员的教育组织协调工作。</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zh-CN" w:eastAsia="zh-CN" w:bidi="ar-SA"/>
        </w:rPr>
        <w:t>（</w:t>
      </w:r>
      <w:r>
        <w:rPr>
          <w:rFonts w:ascii="仿宋_GB2312" w:eastAsia="仿宋_GB2312" w:cs="仿宋_GB2312" w:hint="eastAsia"/>
          <w:b w:val="0"/>
          <w:kern w:val="2"/>
          <w:sz w:val="32"/>
          <w:szCs w:val="32"/>
          <w:lang w:val="en-US" w:eastAsia="zh-CN" w:bidi="ar-SA"/>
        </w:rPr>
        <w:t>2</w:t>
      </w:r>
      <w:r>
        <w:rPr>
          <w:rFonts w:ascii="仿宋_GB2312" w:eastAsia="仿宋_GB2312" w:cs="仿宋_GB2312" w:hint="eastAsia"/>
          <w:b w:val="0"/>
          <w:kern w:val="2"/>
          <w:sz w:val="32"/>
          <w:szCs w:val="32"/>
          <w:lang w:val="zh-CN" w:eastAsia="zh-CN" w:bidi="ar-SA"/>
        </w:rPr>
        <w:t>）负责联络、协调和指导科协系统的科普工作，大力宣传科学技术是第一生产力的思想，宣传党和政府的科技方针、政策，普及科学知识，努力提高全县各民族和科学文化素质，负责农村科技人才的培训和技术职称评定;负责指导乡镇科协和农村专业技术协会的工作;负责科普刊物和技术资料的编辑和青少年科技教育工作。</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bCs/>
          <w:color w:val="auto"/>
          <w:kern w:val="0"/>
          <w:sz w:val="32"/>
          <w:szCs w:val="32"/>
          <w:shd w:val="clear" w:color="auto" w:fill="FFFFFF"/>
          <w:lang w:val="zh-CN"/>
        </w:rPr>
      </w:pPr>
      <w:r>
        <w:rPr>
          <w:rFonts w:ascii="仿宋_GB2312" w:eastAsia="仿宋_GB2312" w:cs="仿宋_GB2312" w:hint="eastAsia"/>
          <w:b/>
          <w:bCs/>
          <w:color w:val="auto"/>
          <w:kern w:val="0"/>
          <w:sz w:val="32"/>
          <w:szCs w:val="32"/>
          <w:shd w:val="clear" w:color="auto" w:fill="FFFFFF"/>
          <w:lang w:val="en-US" w:eastAsia="zh-CN"/>
        </w:rPr>
        <w:t>3</w:t>
      </w:r>
      <w:r>
        <w:rPr>
          <w:rFonts w:ascii="仿宋_GB2312" w:eastAsia="仿宋_GB2312" w:cs="仿宋_GB2312" w:hint="eastAsia"/>
          <w:b/>
          <w:bCs/>
          <w:color w:val="auto"/>
          <w:kern w:val="0"/>
          <w:sz w:val="32"/>
          <w:szCs w:val="32"/>
          <w:shd w:val="clear" w:color="auto" w:fill="FFFFFF"/>
          <w:lang w:val="zh-CN"/>
        </w:rPr>
        <w:t>.茂县科普服务中心</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zh-CN" w:eastAsia="zh-CN" w:bidi="ar-SA"/>
        </w:rPr>
        <w:t>(1)负责贯彻《中华人民共和国科学技术普及法》，宣传科普法，落实科普法，宣传各级科普活动的决策。</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zh-CN" w:eastAsia="zh-CN" w:bidi="ar-SA"/>
        </w:rPr>
        <w:t>(2)拟订年度科普宣传计划，负责抓好落实。</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zh-CN" w:eastAsia="zh-CN" w:bidi="ar-SA"/>
        </w:rPr>
        <w:t>(3)在上级科协和科普协会的指导下，积极组织开展科普活动，认真做好科普活动记录及科普档案管理，并及时向上级汇报工作开展情况，做好信息反馈工作。</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Times New Roman" w:eastAsia="楷体_GB2312" w:cs="Times New Roman" w:hAnsi="Times New Roman" w:hint="eastAsia"/>
          <w:b/>
          <w:bCs/>
          <w:color w:val="000000"/>
          <w:kern w:val="0"/>
          <w:sz w:val="32"/>
          <w:szCs w:val="32"/>
          <w:shd w:val="clear" w:color="auto" w:fill="FFFFFF"/>
          <w:lang w:val="zh-CN"/>
        </w:rPr>
      </w:pPr>
      <w:r>
        <w:rPr>
          <w:rFonts w:ascii="Times New Roman" w:eastAsia="楷体_GB2312" w:cs="Times New Roman" w:hAnsi="Times New Roman" w:hint="eastAsia"/>
          <w:b/>
          <w:bCs/>
          <w:color w:val="000000"/>
          <w:kern w:val="0"/>
          <w:sz w:val="32"/>
          <w:szCs w:val="32"/>
          <w:shd w:val="clear" w:color="auto" w:fill="FFFFFF"/>
          <w:lang w:val="zh-CN"/>
        </w:rPr>
        <w:t>（三）人员概况</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zh-CN" w:eastAsia="zh-CN" w:bidi="ar-SA"/>
        </w:rPr>
        <w:t>截至202</w:t>
      </w:r>
      <w:r>
        <w:rPr>
          <w:rFonts w:ascii="仿宋_GB2312" w:eastAsia="仿宋_GB2312" w:cs="仿宋_GB2312" w:hint="eastAsia"/>
          <w:b w:val="0"/>
          <w:kern w:val="2"/>
          <w:sz w:val="32"/>
          <w:szCs w:val="32"/>
          <w:lang w:val="en-US" w:eastAsia="zh-CN" w:bidi="ar-SA"/>
        </w:rPr>
        <w:t>5</w:t>
      </w:r>
      <w:r>
        <w:rPr>
          <w:rFonts w:ascii="仿宋_GB2312" w:eastAsia="仿宋_GB2312" w:cs="仿宋_GB2312" w:hint="eastAsia"/>
          <w:b w:val="0"/>
          <w:kern w:val="2"/>
          <w:sz w:val="32"/>
          <w:szCs w:val="32"/>
          <w:lang w:val="zh-CN" w:eastAsia="zh-CN" w:bidi="ar-SA"/>
        </w:rPr>
        <w:t>年末，在职职工</w:t>
      </w:r>
      <w:r>
        <w:rPr>
          <w:rFonts w:ascii="仿宋_GB2312" w:eastAsia="仿宋_GB2312" w:cs="仿宋_GB2312" w:hint="eastAsia"/>
          <w:b w:val="0"/>
          <w:kern w:val="2"/>
          <w:sz w:val="32"/>
          <w:szCs w:val="32"/>
          <w:lang w:val="en-US" w:eastAsia="zh-CN" w:bidi="ar-SA"/>
        </w:rPr>
        <w:t>共9</w:t>
      </w:r>
      <w:r>
        <w:rPr>
          <w:rFonts w:ascii="仿宋_GB2312" w:eastAsia="仿宋_GB2312" w:cs="仿宋_GB2312" w:hint="eastAsia"/>
          <w:b w:val="0"/>
          <w:kern w:val="2"/>
          <w:sz w:val="32"/>
          <w:szCs w:val="32"/>
          <w:lang w:val="zh-CN" w:eastAsia="zh-CN" w:bidi="ar-SA"/>
        </w:rPr>
        <w:t>人，其中:参公人员</w:t>
      </w:r>
      <w:r>
        <w:rPr>
          <w:rFonts w:ascii="仿宋_GB2312" w:eastAsia="仿宋_GB2312" w:cs="仿宋_GB2312" w:hint="eastAsia"/>
          <w:b w:val="0"/>
          <w:kern w:val="2"/>
          <w:sz w:val="32"/>
          <w:szCs w:val="32"/>
          <w:lang w:val="en-US" w:eastAsia="zh-CN" w:bidi="ar-SA"/>
        </w:rPr>
        <w:t>6</w:t>
      </w:r>
      <w:r>
        <w:rPr>
          <w:rFonts w:ascii="仿宋_GB2312" w:eastAsia="仿宋_GB2312" w:cs="仿宋_GB2312" w:hint="eastAsia"/>
          <w:b w:val="0"/>
          <w:kern w:val="2"/>
          <w:sz w:val="32"/>
          <w:szCs w:val="32"/>
          <w:lang w:val="zh-CN" w:eastAsia="zh-CN" w:bidi="ar-SA"/>
        </w:rPr>
        <w:t>人，事业人员</w:t>
      </w:r>
      <w:r>
        <w:rPr>
          <w:rFonts w:ascii="仿宋_GB2312" w:eastAsia="仿宋_GB2312" w:cs="仿宋_GB2312" w:hint="eastAsia"/>
          <w:b w:val="0"/>
          <w:kern w:val="2"/>
          <w:sz w:val="32"/>
          <w:szCs w:val="32"/>
          <w:lang w:val="en-US" w:eastAsia="zh-CN" w:bidi="ar-SA"/>
        </w:rPr>
        <w:t>2</w:t>
      </w:r>
      <w:r>
        <w:rPr>
          <w:rFonts w:ascii="仿宋_GB2312" w:eastAsia="仿宋_GB2312" w:cs="仿宋_GB2312" w:hint="eastAsia"/>
          <w:b w:val="0"/>
          <w:kern w:val="2"/>
          <w:sz w:val="32"/>
          <w:szCs w:val="32"/>
          <w:lang w:val="zh-CN" w:eastAsia="zh-CN" w:bidi="ar-SA"/>
        </w:rPr>
        <w:t>人，行政工勤</w:t>
      </w:r>
      <w:r>
        <w:rPr>
          <w:rFonts w:ascii="仿宋_GB2312" w:eastAsia="仿宋_GB2312" w:cs="仿宋_GB2312" w:hint="eastAsia"/>
          <w:b w:val="0"/>
          <w:kern w:val="2"/>
          <w:sz w:val="32"/>
          <w:szCs w:val="32"/>
          <w:lang w:val="en-US" w:eastAsia="zh-CN" w:bidi="ar-SA"/>
        </w:rPr>
        <w:t>1人。</w:t>
      </w:r>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color w:val="000000"/>
          <w:kern w:val="0"/>
          <w:sz w:val="32"/>
          <w:szCs w:val="32"/>
          <w:shd w:val="clear" w:color="auto" w:fill="FFFFFF"/>
          <w:lang w:val="zh-CN" w:eastAsia="zh-CN"/>
          <w:highlight w:val="auto"/>
        </w:rPr>
      </w:pPr>
      <w:r>
        <w:rPr>
          <w:rFonts w:ascii="Times New Roman" w:eastAsia="黑体" w:cs="Times New Roman" w:hAnsi="Times New Roman"/>
          <w:color w:val="000000"/>
          <w:kern w:val="0"/>
          <w:sz w:val="32"/>
          <w:szCs w:val="32"/>
          <w:shd w:val="clear" w:color="auto" w:fill="FFFFFF"/>
          <w:lang w:val="zh-CN" w:eastAsia="zh-CN"/>
          <w:highlight w:val="auto"/>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仿宋_GB2312" w:eastAsia="仿宋_GB2312" w:cs="仿宋_GB2312" w:hint="eastAsia"/>
          <w:color w:val="auto"/>
          <w:kern w:val="2"/>
          <w:sz w:val="32"/>
          <w:szCs w:val="32"/>
          <w:lang w:val="en-US" w:eastAsia="zh-CN" w:bidi="ar-SA"/>
          <w:highlight w:val="auto"/>
        </w:rPr>
      </w:pPr>
      <w:r>
        <w:rPr>
          <w:rFonts w:ascii="Times New Roman" w:eastAsia="楷体_GB2312" w:cs="Times New Roman" w:hAnsi="Times New Roman"/>
          <w:b/>
          <w:bCs/>
          <w:color w:val="000000"/>
          <w:kern w:val="0"/>
          <w:sz w:val="32"/>
          <w:szCs w:val="32"/>
          <w:shd w:val="clear" w:color="auto" w:fill="FFFFFF"/>
          <w:lang w:val="zh-CN"/>
          <w:highlight w:val="auto"/>
        </w:rPr>
        <w:t>（一）</w:t>
      </w:r>
      <w:r>
        <w:rPr>
          <w:rFonts w:ascii="Times New Roman" w:eastAsia="楷体_GB2312" w:cs="Times New Roman" w:hAnsi="Times New Roman" w:hint="eastAsia"/>
          <w:b/>
          <w:bCs/>
          <w:color w:val="000000"/>
          <w:kern w:val="0"/>
          <w:sz w:val="32"/>
          <w:szCs w:val="32"/>
          <w:shd w:val="clear" w:color="auto" w:fill="FFFFFF"/>
          <w:lang w:val="zh-CN"/>
          <w:highlight w:val="auto"/>
        </w:rPr>
        <w:t>收入情况</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仿宋_GB2312" w:eastAsia="仿宋_GB2312" w:cs="仿宋_GB2312"/>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2025年年初预算收入本年收入合计178.12万元，其中：一般公共预算财政拨款收入178.12万元，占100%；年初结转和结余0万元。决算报表收入合计246.91万元，其中：一般公共预算财政拨款收入246.91万元，占100%。</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仿宋_GB2312" w:eastAsia="仿宋_GB2312" w:cs="仿宋_GB2312" w:hint="eastAsia"/>
          <w:color w:val="auto"/>
          <w:kern w:val="2"/>
          <w:sz w:val="32"/>
          <w:szCs w:val="32"/>
          <w:lang w:val="en-US" w:eastAsia="zh-CN" w:bidi="ar-SA"/>
          <w:highlight w:val="auto"/>
        </w:rPr>
      </w:pPr>
      <w:r>
        <w:rPr>
          <w:rFonts w:ascii="Times New Roman" w:eastAsia="楷体_GB2312" w:cs="Times New Roman" w:hAnsi="Times New Roman"/>
          <w:b/>
          <w:bCs/>
          <w:color w:val="000000"/>
          <w:kern w:val="0"/>
          <w:sz w:val="32"/>
          <w:szCs w:val="32"/>
          <w:shd w:val="clear" w:color="auto" w:fill="FFFFFF"/>
          <w:lang w:val="zh-CN"/>
          <w:highlight w:val="auto"/>
        </w:rPr>
        <w:t>（</w:t>
      </w:r>
      <w:r>
        <w:rPr>
          <w:rFonts w:ascii="Times New Roman" w:eastAsia="楷体_GB2312" w:cs="Times New Roman" w:hAnsi="Times New Roman" w:hint="eastAsia"/>
          <w:b/>
          <w:bCs/>
          <w:color w:val="000000"/>
          <w:kern w:val="0"/>
          <w:sz w:val="32"/>
          <w:szCs w:val="32"/>
          <w:shd w:val="clear" w:color="auto" w:fill="FFFFFF"/>
          <w:lang w:val="zh-CN"/>
          <w:highlight w:val="auto"/>
        </w:rPr>
        <w:t>二</w:t>
      </w:r>
      <w:r>
        <w:rPr>
          <w:rFonts w:ascii="Times New Roman" w:eastAsia="楷体_GB2312" w:cs="Times New Roman" w:hAnsi="Times New Roman"/>
          <w:b/>
          <w:bCs/>
          <w:color w:val="000000"/>
          <w:kern w:val="0"/>
          <w:sz w:val="32"/>
          <w:szCs w:val="32"/>
          <w:shd w:val="clear" w:color="auto" w:fill="FFFFFF"/>
          <w:lang w:val="zh-CN"/>
          <w:highlight w:val="auto"/>
        </w:rPr>
        <w:t>）</w:t>
      </w:r>
      <w:r>
        <w:rPr>
          <w:rFonts w:ascii="Times New Roman" w:eastAsia="楷体_GB2312" w:cs="Times New Roman" w:hAnsi="Times New Roman" w:hint="eastAsia"/>
          <w:b/>
          <w:bCs/>
          <w:color w:val="000000"/>
          <w:kern w:val="0"/>
          <w:sz w:val="32"/>
          <w:szCs w:val="32"/>
          <w:shd w:val="clear" w:color="auto" w:fill="FFFFFF"/>
          <w:lang w:val="zh-CN"/>
          <w:highlight w:val="auto"/>
        </w:rPr>
        <w:t>支出情况</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仿宋_GB2312" w:eastAsia="仿宋_GB2312" w:cs="仿宋_GB2312"/>
          <w:color w:val="auto"/>
          <w:kern w:val="2"/>
          <w:sz w:val="32"/>
          <w:szCs w:val="32"/>
          <w:lang w:val="zh-CN" w:eastAsia="zh-CN" w:bidi="ar-SA"/>
          <w:highlight w:val="auto"/>
        </w:rPr>
      </w:pPr>
      <w:r>
        <w:rPr>
          <w:rFonts w:ascii="仿宋_GB2312" w:eastAsia="仿宋_GB2312" w:cs="仿宋_GB2312" w:hint="eastAsia"/>
          <w:color w:val="auto"/>
          <w:kern w:val="2"/>
          <w:sz w:val="32"/>
          <w:szCs w:val="32"/>
          <w:lang w:val="en-US" w:eastAsia="zh-CN" w:bidi="ar-SA"/>
          <w:highlight w:val="auto"/>
        </w:rPr>
        <w:t>2025年年初预算支出</w:t>
      </w:r>
      <w:r>
        <w:rPr>
          <w:rFonts w:ascii="仿宋_GB2312" w:eastAsia="仿宋_GB2312" w:cs="仿宋_GB2312" w:hint="eastAsia"/>
          <w:b w:val="0"/>
          <w:kern w:val="2"/>
          <w:sz w:val="32"/>
          <w:szCs w:val="32"/>
          <w:lang w:val="en-US" w:eastAsia="zh-CN" w:bidi="ar-SA"/>
        </w:rPr>
        <w:t>178.12</w:t>
      </w:r>
      <w:r>
        <w:rPr>
          <w:rFonts w:ascii="仿宋_GB2312" w:eastAsia="仿宋_GB2312" w:cs="仿宋_GB2312" w:hint="eastAsia"/>
          <w:b w:val="0"/>
          <w:kern w:val="2"/>
          <w:sz w:val="32"/>
          <w:szCs w:val="32"/>
          <w:lang w:val="zh-CN" w:eastAsia="zh-CN" w:bidi="ar-SA"/>
        </w:rPr>
        <w:t>万元，决算支出</w:t>
      </w:r>
      <w:r>
        <w:rPr>
          <w:rFonts w:ascii="仿宋_GB2312" w:eastAsia="仿宋_GB2312" w:cs="仿宋_GB2312" w:hint="eastAsia"/>
          <w:b w:val="0"/>
          <w:kern w:val="2"/>
          <w:sz w:val="32"/>
          <w:szCs w:val="32"/>
          <w:lang w:val="en-US" w:eastAsia="zh-CN" w:bidi="ar-SA"/>
        </w:rPr>
        <w:t>246.91</w:t>
      </w:r>
      <w:r>
        <w:rPr>
          <w:rFonts w:ascii="仿宋_GB2312" w:eastAsia="仿宋_GB2312" w:cs="仿宋_GB2312" w:hint="eastAsia"/>
          <w:b w:val="0"/>
          <w:kern w:val="2"/>
          <w:sz w:val="32"/>
          <w:szCs w:val="32"/>
          <w:lang w:val="zh-CN" w:eastAsia="zh-CN" w:bidi="ar-SA"/>
        </w:rPr>
        <w:t>万元</w:t>
      </w:r>
      <w:r>
        <w:rPr>
          <w:rFonts w:ascii="仿宋_GB2312" w:eastAsia="仿宋_GB2312" w:cs="仿宋_GB2312" w:hint="eastAsia"/>
          <w:b w:val="0"/>
          <w:kern w:val="2"/>
          <w:sz w:val="32"/>
          <w:szCs w:val="32"/>
          <w:lang w:val="en-US" w:eastAsia="zh-CN" w:bidi="ar-SA"/>
        </w:rPr>
        <w:t>，</w:t>
      </w:r>
      <w:r>
        <w:rPr>
          <w:rFonts w:ascii="仿宋_GB2312" w:eastAsia="仿宋_GB2312" w:cs="仿宋_GB2312" w:hint="eastAsia"/>
          <w:b w:val="0"/>
          <w:kern w:val="2"/>
          <w:sz w:val="32"/>
          <w:szCs w:val="32"/>
          <w:lang w:val="zh-CN" w:eastAsia="zh-CN" w:bidi="ar-SA"/>
        </w:rPr>
        <w:t>其中按功能分类，科学技术支出</w:t>
      </w:r>
      <w:r>
        <w:rPr>
          <w:rFonts w:ascii="仿宋_GB2312" w:eastAsia="仿宋_GB2312" w:cs="仿宋_GB2312" w:hint="eastAsia"/>
          <w:b w:val="0"/>
          <w:kern w:val="2"/>
          <w:sz w:val="32"/>
          <w:szCs w:val="32"/>
          <w:lang w:val="en-US" w:eastAsia="zh-CN" w:bidi="ar-SA"/>
        </w:rPr>
        <w:t>189.1</w:t>
      </w:r>
      <w:r>
        <w:rPr>
          <w:rFonts w:ascii="仿宋_GB2312" w:eastAsia="仿宋_GB2312" w:cs="仿宋_GB2312" w:hint="eastAsia"/>
          <w:b w:val="0"/>
          <w:kern w:val="2"/>
          <w:sz w:val="32"/>
          <w:szCs w:val="32"/>
          <w:lang w:val="zh-CN" w:eastAsia="zh-CN" w:bidi="ar-SA"/>
        </w:rPr>
        <w:t>万元、社会保障和就业支出</w:t>
      </w:r>
      <w:r>
        <w:rPr>
          <w:rFonts w:ascii="仿宋_GB2312" w:eastAsia="仿宋_GB2312" w:cs="仿宋_GB2312" w:hint="eastAsia"/>
          <w:b w:val="0"/>
          <w:kern w:val="2"/>
          <w:sz w:val="32"/>
          <w:szCs w:val="32"/>
          <w:lang w:val="en-US" w:eastAsia="zh-CN" w:bidi="ar-SA"/>
        </w:rPr>
        <w:t>29.3</w:t>
      </w:r>
      <w:r>
        <w:rPr>
          <w:rFonts w:ascii="仿宋_GB2312" w:eastAsia="仿宋_GB2312" w:cs="仿宋_GB2312" w:hint="eastAsia"/>
          <w:b w:val="0"/>
          <w:kern w:val="2"/>
          <w:sz w:val="32"/>
          <w:szCs w:val="32"/>
          <w:lang w:val="zh-CN" w:eastAsia="zh-CN" w:bidi="ar-SA"/>
        </w:rPr>
        <w:t>万元、卫生健康支出</w:t>
      </w:r>
      <w:r>
        <w:rPr>
          <w:rFonts w:ascii="仿宋_GB2312" w:eastAsia="仿宋_GB2312" w:cs="仿宋_GB2312" w:hint="eastAsia"/>
          <w:b w:val="0"/>
          <w:kern w:val="2"/>
          <w:sz w:val="32"/>
          <w:szCs w:val="32"/>
          <w:lang w:val="en-US" w:eastAsia="zh-CN" w:bidi="ar-SA"/>
        </w:rPr>
        <w:t>11.63</w:t>
      </w:r>
      <w:r>
        <w:rPr>
          <w:rFonts w:ascii="仿宋_GB2312" w:eastAsia="仿宋_GB2312" w:cs="仿宋_GB2312" w:hint="eastAsia"/>
          <w:b w:val="0"/>
          <w:kern w:val="2"/>
          <w:sz w:val="32"/>
          <w:szCs w:val="32"/>
          <w:lang w:val="zh-CN" w:eastAsia="zh-CN" w:bidi="ar-SA"/>
        </w:rPr>
        <w:t>万元、住房保障支出</w:t>
      </w:r>
      <w:r>
        <w:rPr>
          <w:rFonts w:ascii="仿宋_GB2312" w:eastAsia="仿宋_GB2312" w:cs="仿宋_GB2312" w:hint="eastAsia"/>
          <w:b w:val="0"/>
          <w:kern w:val="2"/>
          <w:sz w:val="32"/>
          <w:szCs w:val="32"/>
          <w:lang w:val="en-US" w:eastAsia="zh-CN" w:bidi="ar-SA"/>
        </w:rPr>
        <w:t>16.88</w:t>
      </w:r>
      <w:r>
        <w:rPr>
          <w:rFonts w:ascii="仿宋_GB2312" w:eastAsia="仿宋_GB2312" w:cs="仿宋_GB2312" w:hint="eastAsia"/>
          <w:b w:val="0"/>
          <w:kern w:val="2"/>
          <w:sz w:val="32"/>
          <w:szCs w:val="32"/>
          <w:lang w:val="zh-CN" w:eastAsia="zh-CN" w:bidi="ar-SA"/>
        </w:rPr>
        <w:t>万元;按支出性质分类，基本支出</w:t>
      </w:r>
      <w:r>
        <w:rPr>
          <w:rFonts w:ascii="仿宋_GB2312" w:eastAsia="仿宋_GB2312" w:cs="仿宋_GB2312" w:hint="eastAsia"/>
          <w:b w:val="0"/>
          <w:kern w:val="2"/>
          <w:sz w:val="32"/>
          <w:szCs w:val="32"/>
          <w:lang w:val="en-US" w:eastAsia="zh-CN" w:bidi="ar-SA"/>
        </w:rPr>
        <w:t>211.66</w:t>
      </w:r>
      <w:r>
        <w:rPr>
          <w:rFonts w:ascii="仿宋_GB2312" w:eastAsia="仿宋_GB2312" w:cs="仿宋_GB2312" w:hint="eastAsia"/>
          <w:b w:val="0"/>
          <w:kern w:val="2"/>
          <w:sz w:val="32"/>
          <w:szCs w:val="32"/>
          <w:lang w:val="zh-CN" w:eastAsia="zh-CN" w:bidi="ar-SA"/>
        </w:rPr>
        <w:t>万元，项目支出</w:t>
      </w:r>
      <w:r>
        <w:rPr>
          <w:rFonts w:ascii="仿宋_GB2312" w:eastAsia="仿宋_GB2312" w:cs="仿宋_GB2312" w:hint="eastAsia"/>
          <w:b w:val="0"/>
          <w:kern w:val="2"/>
          <w:sz w:val="32"/>
          <w:szCs w:val="32"/>
          <w:lang w:val="en-US" w:eastAsia="zh-CN" w:bidi="ar-SA"/>
        </w:rPr>
        <w:t>35.25</w:t>
      </w:r>
      <w:r>
        <w:rPr>
          <w:rFonts w:ascii="仿宋_GB2312" w:eastAsia="仿宋_GB2312" w:cs="仿宋_GB2312" w:hint="eastAsia"/>
          <w:b w:val="0"/>
          <w:kern w:val="2"/>
          <w:sz w:val="32"/>
          <w:szCs w:val="32"/>
          <w:lang w:val="zh-CN" w:eastAsia="zh-CN" w:bidi="ar-SA"/>
        </w:rPr>
        <w:t>万元。</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仿宋_GB2312" w:eastAsia="仿宋_GB2312" w:cs="仿宋_GB2312" w:hint="eastAsia"/>
          <w:color w:val="auto"/>
          <w:kern w:val="2"/>
          <w:sz w:val="32"/>
          <w:szCs w:val="32"/>
          <w:lang w:val="en-US" w:eastAsia="zh-CN" w:bidi="ar-SA"/>
          <w:highlight w:val="auto"/>
        </w:rPr>
      </w:pPr>
      <w:r>
        <w:rPr>
          <w:rFonts w:ascii="Times New Roman" w:eastAsia="楷体_GB2312" w:cs="Times New Roman" w:hAnsi="Times New Roman"/>
          <w:b/>
          <w:bCs/>
          <w:color w:val="000000"/>
          <w:kern w:val="0"/>
          <w:sz w:val="32"/>
          <w:szCs w:val="32"/>
          <w:shd w:val="clear" w:color="auto" w:fill="FFFFFF"/>
          <w:lang w:val="zh-CN"/>
          <w:highlight w:val="auto"/>
        </w:rPr>
        <w:t>（</w:t>
      </w:r>
      <w:r>
        <w:rPr>
          <w:rFonts w:ascii="Times New Roman" w:eastAsia="楷体_GB2312" w:cs="Times New Roman" w:hAnsi="Times New Roman" w:hint="eastAsia"/>
          <w:b/>
          <w:bCs/>
          <w:color w:val="000000"/>
          <w:kern w:val="0"/>
          <w:sz w:val="32"/>
          <w:szCs w:val="32"/>
          <w:shd w:val="clear" w:color="auto" w:fill="FFFFFF"/>
          <w:lang w:val="zh-CN"/>
          <w:highlight w:val="auto"/>
        </w:rPr>
        <w:t>三</w:t>
      </w:r>
      <w:r>
        <w:rPr>
          <w:rFonts w:ascii="Times New Roman" w:eastAsia="楷体_GB2312" w:cs="Times New Roman" w:hAnsi="Times New Roman"/>
          <w:b/>
          <w:bCs/>
          <w:color w:val="000000"/>
          <w:kern w:val="0"/>
          <w:sz w:val="32"/>
          <w:szCs w:val="32"/>
          <w:shd w:val="clear" w:color="auto" w:fill="FFFFFF"/>
          <w:lang w:val="zh-CN"/>
          <w:highlight w:val="auto"/>
        </w:rPr>
        <w:t>）结余分配和结转结余情况</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zh-CN" w:eastAsia="zh-CN" w:bidi="ar-SA"/>
        </w:rPr>
        <w:t>茂县科学技术协202</w:t>
      </w:r>
      <w:r>
        <w:rPr>
          <w:rFonts w:ascii="仿宋_GB2312" w:eastAsia="仿宋_GB2312" w:cs="仿宋_GB2312" w:hint="eastAsia"/>
          <w:b w:val="0"/>
          <w:kern w:val="2"/>
          <w:sz w:val="32"/>
          <w:szCs w:val="32"/>
          <w:lang w:val="en-US" w:eastAsia="zh-CN" w:bidi="ar-SA"/>
        </w:rPr>
        <w:t>5</w:t>
      </w:r>
      <w:r>
        <w:rPr>
          <w:rFonts w:ascii="仿宋_GB2312" w:eastAsia="仿宋_GB2312" w:cs="仿宋_GB2312" w:hint="eastAsia"/>
          <w:b w:val="0"/>
          <w:kern w:val="2"/>
          <w:sz w:val="32"/>
          <w:szCs w:val="32"/>
          <w:lang w:val="zh-CN" w:eastAsia="zh-CN" w:bidi="ar-SA"/>
        </w:rPr>
        <w:t>年决算报表结转结余</w:t>
      </w:r>
      <w:r>
        <w:rPr>
          <w:rFonts w:ascii="仿宋_GB2312" w:eastAsia="仿宋_GB2312" w:cs="仿宋_GB2312" w:hint="eastAsia"/>
          <w:b w:val="0"/>
          <w:kern w:val="2"/>
          <w:sz w:val="32"/>
          <w:szCs w:val="32"/>
          <w:lang w:val="en-US" w:eastAsia="zh-CN" w:bidi="ar-SA"/>
        </w:rPr>
        <w:t>0万元</w:t>
      </w:r>
      <w:r>
        <w:rPr>
          <w:rFonts w:ascii="仿宋_GB2312" w:eastAsia="仿宋_GB2312" w:cs="仿宋_GB2312" w:hint="eastAsia"/>
          <w:b w:val="0"/>
          <w:kern w:val="2"/>
          <w:sz w:val="32"/>
          <w:szCs w:val="32"/>
          <w:lang w:val="zh-CN" w:eastAsia="zh-CN" w:bidi="ar-SA"/>
        </w:rPr>
        <w:t>。</w:t>
      </w:r>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color w:val="000000"/>
          <w:kern w:val="0"/>
          <w:sz w:val="32"/>
          <w:szCs w:val="32"/>
          <w:shd w:val="clear" w:color="auto" w:fill="FFFFFF"/>
          <w:lang w:val="zh-CN" w:eastAsia="zh-CN"/>
          <w:highlight w:val="auto"/>
        </w:rPr>
      </w:pPr>
      <w:r>
        <w:rPr>
          <w:rFonts w:ascii="Times New Roman" w:eastAsia="黑体" w:cs="Times New Roman" w:hAnsi="Times New Roman"/>
          <w:color w:val="000000"/>
          <w:kern w:val="0"/>
          <w:sz w:val="32"/>
          <w:szCs w:val="32"/>
          <w:shd w:val="clear" w:color="auto" w:fill="FFFFFF"/>
          <w:lang w:val="zh-CN" w:eastAsia="zh-CN"/>
          <w:highlight w:val="auto"/>
        </w:rPr>
        <w:t>三、部门预算绩效分析</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left"/>
        <w:textAlignment w:val="auto"/>
        <w:outlineLvl w:val="9"/>
        <w:rPr>
          <w:rFonts w:ascii="Times New Roman" w:eastAsia="仿宋_GB2312" w:cs="仿宋_GB2312" w:hAnsi="Times New Roman"/>
          <w:color w:val="auto"/>
          <w:kern w:val="2"/>
          <w:sz w:val="32"/>
          <w:szCs w:val="32"/>
          <w:lang w:val="zh-CN" w:eastAsia="zh-CN" w:bidi="ar-SA"/>
          <w:highlight w:val="auto"/>
        </w:rPr>
      </w:pPr>
      <w:r>
        <w:rPr>
          <w:rFonts w:ascii="Times New Roman" w:eastAsia="楷体_GB2312" w:cs="Times New Roman" w:hAnsi="Times New Roman"/>
          <w:b/>
          <w:bCs/>
          <w:color w:val="000000"/>
          <w:kern w:val="0"/>
          <w:sz w:val="32"/>
          <w:szCs w:val="32"/>
          <w:shd w:val="clear" w:color="auto" w:fill="FFFFFF"/>
          <w:lang w:val="zh-CN"/>
          <w:highlight w:val="auto"/>
        </w:rPr>
        <w:t>（一）</w:t>
      </w:r>
      <w:r>
        <w:rPr>
          <w:rFonts w:ascii="Times New Roman" w:eastAsia="楷体_GB2312" w:cs="Times New Roman" w:hAnsi="Times New Roman" w:hint="eastAsia"/>
          <w:b/>
          <w:bCs/>
          <w:color w:val="000000"/>
          <w:kern w:val="0"/>
          <w:sz w:val="32"/>
          <w:szCs w:val="32"/>
          <w:shd w:val="clear" w:color="auto" w:fill="FFFFFF"/>
          <w:lang w:val="zh-CN"/>
          <w:highlight w:val="auto"/>
        </w:rPr>
        <w:t>部门预算</w:t>
      </w:r>
      <w:r>
        <w:rPr>
          <w:rFonts w:ascii="Times New Roman" w:eastAsia="楷体_GB2312" w:cs="Times New Roman" w:hAnsi="Times New Roman"/>
          <w:b/>
          <w:bCs/>
          <w:color w:val="000000"/>
          <w:kern w:val="0"/>
          <w:sz w:val="32"/>
          <w:szCs w:val="32"/>
          <w:shd w:val="clear" w:color="auto" w:fill="FFFFFF"/>
          <w:lang w:val="zh-CN"/>
          <w:highlight w:val="auto"/>
        </w:rPr>
        <w:t>总体绩效分析</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bCs/>
          <w:color w:val="auto"/>
          <w:kern w:val="0"/>
          <w:sz w:val="32"/>
          <w:szCs w:val="32"/>
          <w:shd w:val="clear" w:color="auto" w:fill="FFFFFF"/>
          <w:lang w:val="zh-CN" w:eastAsia="zh-CN"/>
        </w:rPr>
      </w:pPr>
      <w:r>
        <w:rPr>
          <w:rFonts w:ascii="仿宋_GB2312" w:eastAsia="仿宋_GB2312" w:cs="仿宋_GB2312" w:hint="eastAsia"/>
          <w:b/>
          <w:bCs/>
          <w:color w:val="auto"/>
          <w:kern w:val="0"/>
          <w:sz w:val="32"/>
          <w:szCs w:val="32"/>
          <w:shd w:val="clear" w:color="auto" w:fill="FFFFFF"/>
          <w:lang w:val="zh-CN" w:eastAsia="zh-CN"/>
        </w:rPr>
        <w:t>1.履职效能</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zh-CN" w:eastAsia="zh-CN" w:bidi="ar-SA"/>
        </w:rPr>
        <w:t>茂县科学技术协会围绕中心、服务大局，不断提升“四服务”效能，团结引领科技工作者坚持“四个面向”，扎实推动全民科学素质稳步提升，科学素质提升行动扎实推进、全域科普服务成效显著、青少年科技教育亮点纷呈、科普基础建设逐步完善。通过对比实际完成情况与预设目标，整体目标完成率达到100%。</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bCs/>
          <w:color w:val="auto"/>
          <w:kern w:val="0"/>
          <w:sz w:val="32"/>
          <w:szCs w:val="32"/>
          <w:shd w:val="clear" w:color="auto" w:fill="FFFFFF"/>
          <w:lang w:val="zh-CN" w:eastAsia="zh-CN"/>
        </w:rPr>
      </w:pPr>
      <w:r>
        <w:rPr>
          <w:rFonts w:ascii="仿宋_GB2312" w:eastAsia="仿宋_GB2312" w:cs="仿宋_GB2312" w:hint="eastAsia"/>
          <w:b/>
          <w:bCs/>
          <w:color w:val="auto"/>
          <w:kern w:val="0"/>
          <w:sz w:val="32"/>
          <w:szCs w:val="32"/>
          <w:shd w:val="clear" w:color="auto" w:fill="FFFFFF"/>
          <w:lang w:val="en-US" w:eastAsia="zh-CN"/>
        </w:rPr>
        <w:t>2.</w:t>
      </w:r>
      <w:r>
        <w:rPr>
          <w:rFonts w:ascii="仿宋_GB2312" w:eastAsia="仿宋_GB2312" w:cs="仿宋_GB2312" w:hint="eastAsia"/>
          <w:b/>
          <w:bCs/>
          <w:color w:val="auto"/>
          <w:kern w:val="0"/>
          <w:sz w:val="32"/>
          <w:szCs w:val="32"/>
          <w:shd w:val="clear" w:color="auto" w:fill="FFFFFF"/>
          <w:lang w:val="zh-CN" w:eastAsia="zh-CN"/>
        </w:rPr>
        <w:t>预算管理</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Times New Roman" w:eastAsia="仿宋_GB2312" w:cs="Times New Roman" w:hAnsi="Times New Roman" w:hint="eastAsia"/>
          <w:b w:val="0"/>
          <w:kern w:val="2"/>
          <w:sz w:val="32"/>
          <w:szCs w:val="32"/>
          <w:lang w:val="en-US" w:eastAsia="zh-CN" w:bidi="ar-SA"/>
        </w:rPr>
      </w:pPr>
      <w:r>
        <w:rPr>
          <w:rFonts w:ascii="Times New Roman" w:eastAsia="仿宋_GB2312" w:cs="Times New Roman" w:hAnsi="Times New Roman" w:hint="eastAsia"/>
          <w:b w:val="0"/>
          <w:kern w:val="2"/>
          <w:sz w:val="32"/>
          <w:szCs w:val="32"/>
          <w:lang w:val="en-US" w:eastAsia="zh-CN" w:bidi="ar-SA"/>
        </w:rPr>
        <w:t>在预算管理方面，我们重点分析了预算编制质量，预算编制质量得到了显著提升、支出执行进度符合预期，预算年终结余控制在合理范围内，未出现大额结余或超支情况。同时，我们严格执行一般性支出控制政策，有效降低了非必要支出。</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bCs/>
          <w:color w:val="auto"/>
          <w:kern w:val="0"/>
          <w:sz w:val="32"/>
          <w:szCs w:val="32"/>
          <w:shd w:val="clear" w:color="auto" w:fill="FFFFFF"/>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bCs/>
          <w:color w:val="auto"/>
          <w:kern w:val="0"/>
          <w:sz w:val="32"/>
          <w:szCs w:val="32"/>
          <w:shd w:val="clear" w:color="auto" w:fill="FFFFFF"/>
          <w:lang w:val="zh-CN" w:eastAsia="zh-CN"/>
        </w:rPr>
      </w:pPr>
      <w:r>
        <w:rPr>
          <w:rFonts w:ascii="仿宋_GB2312" w:eastAsia="仿宋_GB2312" w:cs="仿宋_GB2312" w:hint="eastAsia"/>
          <w:b/>
          <w:bCs/>
          <w:color w:val="auto"/>
          <w:kern w:val="0"/>
          <w:sz w:val="32"/>
          <w:szCs w:val="32"/>
          <w:shd w:val="clear" w:color="auto" w:fill="FFFFFF"/>
          <w:lang w:val="en-US" w:eastAsia="zh-CN"/>
        </w:rPr>
        <w:t>3.</w:t>
      </w:r>
      <w:r>
        <w:rPr>
          <w:rFonts w:ascii="仿宋_GB2312" w:eastAsia="仿宋_GB2312" w:cs="仿宋_GB2312" w:hint="eastAsia"/>
          <w:b/>
          <w:bCs/>
          <w:color w:val="auto"/>
          <w:kern w:val="0"/>
          <w:sz w:val="32"/>
          <w:szCs w:val="32"/>
          <w:shd w:val="clear" w:color="auto" w:fill="FFFFFF"/>
          <w:lang w:val="zh-CN" w:eastAsia="zh-CN"/>
        </w:rPr>
        <w:t>财务管理</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Times New Roman" w:eastAsia="仿宋_GB2312" w:cs="Times New Roman" w:hAnsi="Times New Roman" w:hint="eastAsia"/>
          <w:b w:val="0"/>
          <w:kern w:val="2"/>
          <w:sz w:val="32"/>
          <w:szCs w:val="32"/>
          <w:lang w:val="en-US" w:eastAsia="zh-CN" w:bidi="ar-SA"/>
        </w:rPr>
      </w:pPr>
      <w:r>
        <w:rPr>
          <w:rFonts w:ascii="Times New Roman" w:eastAsia="仿宋_GB2312" w:cs="Times New Roman" w:hAnsi="Times New Roman" w:hint="eastAsia"/>
          <w:b w:val="0"/>
          <w:kern w:val="2"/>
          <w:sz w:val="32"/>
          <w:szCs w:val="32"/>
          <w:lang w:val="en-US" w:eastAsia="zh-CN" w:bidi="ar-SA"/>
        </w:rPr>
        <w:t>围绕财务管理制度、财务岗位设置以及资金使用等方面进行了规范，并严格执行了绩效分析。通过这一系列措施，确保了财务管理的科学性和规范性。财务管理制度的完善和绩效分析的实施，有助于提升资金使用的效率和透明度，减少不必要的支出，确保财务健康。</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bCs/>
          <w:color w:val="auto"/>
          <w:kern w:val="0"/>
          <w:sz w:val="32"/>
          <w:szCs w:val="32"/>
          <w:shd w:val="clear" w:color="auto" w:fill="FFFFFF"/>
          <w:lang w:val="zh-CN" w:eastAsia="zh-CN"/>
        </w:rPr>
      </w:pPr>
      <w:r>
        <w:rPr>
          <w:rFonts w:ascii="仿宋_GB2312" w:eastAsia="仿宋_GB2312" w:cs="仿宋_GB2312" w:hint="eastAsia"/>
          <w:b/>
          <w:bCs/>
          <w:color w:val="auto"/>
          <w:kern w:val="0"/>
          <w:sz w:val="32"/>
          <w:szCs w:val="32"/>
          <w:shd w:val="clear" w:color="auto" w:fill="FFFFFF"/>
          <w:lang w:val="en-US" w:eastAsia="zh-CN"/>
        </w:rPr>
        <w:t>4.</w:t>
      </w:r>
      <w:r>
        <w:rPr>
          <w:rFonts w:ascii="仿宋_GB2312" w:eastAsia="仿宋_GB2312" w:cs="仿宋_GB2312" w:hint="eastAsia"/>
          <w:b/>
          <w:bCs/>
          <w:color w:val="auto"/>
          <w:kern w:val="0"/>
          <w:sz w:val="32"/>
          <w:szCs w:val="32"/>
          <w:shd w:val="clear" w:color="auto" w:fill="FFFFFF"/>
          <w:lang w:val="zh-CN" w:eastAsia="zh-CN"/>
        </w:rPr>
        <w:t>资产管理</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Times New Roman" w:eastAsia="仿宋_GB2312" w:cs="Times New Roman" w:hAnsi="Times New Roman" w:hint="eastAsia"/>
          <w:b w:val="0"/>
          <w:kern w:val="2"/>
          <w:sz w:val="32"/>
          <w:szCs w:val="32"/>
          <w:lang w:val="zh-CN" w:eastAsia="zh-CN" w:bidi="ar-SA"/>
        </w:rPr>
      </w:pPr>
      <w:r>
        <w:rPr>
          <w:rFonts w:ascii="Times New Roman" w:eastAsia="仿宋_GB2312" w:cs="Times New Roman" w:hAnsi="Times New Roman" w:hint="eastAsia"/>
          <w:b w:val="0"/>
          <w:kern w:val="2"/>
          <w:sz w:val="32"/>
          <w:szCs w:val="32"/>
          <w:lang w:val="zh-CN" w:eastAsia="zh-CN" w:bidi="ar-SA"/>
        </w:rPr>
        <w:t>围绕资产变化率、资产利用率和资产盘活率进行了绩效分析。这些指标直接关联到资产的运营效率和价值实现。通过绩效分析，及时了解资产的使用情况和价值变化，从而采取相应措施提高资产利用率和盘活率。</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bCs/>
          <w:color w:val="auto"/>
          <w:kern w:val="0"/>
          <w:sz w:val="32"/>
          <w:szCs w:val="32"/>
          <w:shd w:val="clear" w:color="auto" w:fill="FFFFFF"/>
          <w:lang w:val="zh-CN" w:eastAsia="zh-CN"/>
        </w:rPr>
      </w:pPr>
      <w:r>
        <w:rPr>
          <w:rFonts w:ascii="仿宋_GB2312" w:eastAsia="仿宋_GB2312" w:cs="仿宋_GB2312" w:hint="eastAsia"/>
          <w:b/>
          <w:bCs/>
          <w:color w:val="auto"/>
          <w:kern w:val="0"/>
          <w:sz w:val="32"/>
          <w:szCs w:val="32"/>
          <w:shd w:val="clear" w:color="auto" w:fill="FFFFFF"/>
          <w:lang w:val="en-US" w:eastAsia="zh-CN"/>
        </w:rPr>
        <w:t>5.</w:t>
      </w:r>
      <w:r>
        <w:rPr>
          <w:rFonts w:ascii="仿宋_GB2312" w:eastAsia="仿宋_GB2312" w:cs="仿宋_GB2312" w:hint="eastAsia"/>
          <w:b/>
          <w:bCs/>
          <w:color w:val="auto"/>
          <w:kern w:val="0"/>
          <w:sz w:val="32"/>
          <w:szCs w:val="32"/>
          <w:shd w:val="clear" w:color="auto" w:fill="FFFFFF"/>
          <w:lang w:val="zh-CN" w:eastAsia="zh-CN"/>
        </w:rPr>
        <w:t>采购管理</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Times New Roman" w:eastAsia="仿宋_GB2312" w:cs="Times New Roman" w:hAnsi="Times New Roman" w:hint="eastAsia"/>
          <w:b w:val="0"/>
          <w:kern w:val="2"/>
          <w:sz w:val="32"/>
          <w:szCs w:val="32"/>
          <w:lang w:val="zh-CN" w:eastAsia="zh-CN" w:bidi="ar-SA"/>
        </w:rPr>
      </w:pPr>
      <w:r>
        <w:rPr>
          <w:rFonts w:ascii="Times New Roman" w:eastAsia="仿宋_GB2312" w:cs="Times New Roman" w:hAnsi="Times New Roman" w:hint="eastAsia"/>
          <w:b w:val="0"/>
          <w:kern w:val="2"/>
          <w:sz w:val="32"/>
          <w:szCs w:val="32"/>
          <w:lang w:val="en-US" w:eastAsia="zh-CN" w:bidi="ar-SA"/>
        </w:rPr>
        <w:t>单位内部控制严格按照《政府采购内控管理制度》遵守执行。并</w:t>
      </w:r>
      <w:r>
        <w:rPr>
          <w:rFonts w:ascii="Times New Roman" w:eastAsia="仿宋_GB2312" w:cs="Times New Roman" w:hAnsi="Times New Roman" w:hint="eastAsia"/>
          <w:b w:val="0"/>
          <w:kern w:val="2"/>
          <w:sz w:val="32"/>
          <w:szCs w:val="32"/>
          <w:lang w:val="zh-CN" w:eastAsia="zh-CN" w:bidi="ar-SA"/>
        </w:rPr>
        <w:t>加强采购预算编制、采购活动组织、政策功能落实等内容的审核，强化采购监督管理水平，确保采购活动的透明度和效率。</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both"/>
        <w:textAlignment w:val="auto"/>
        <w:outlineLvl w:val="9"/>
        <w:rPr>
          <w:rFonts w:ascii="Times New Roman" w:eastAsia="仿宋_GB2312" w:cs="仿宋_GB2312" w:hAnsi="Times New Roman"/>
          <w:color w:val="auto"/>
          <w:kern w:val="2"/>
          <w:sz w:val="32"/>
          <w:szCs w:val="32"/>
          <w:lang w:val="en-US" w:eastAsia="zh-CN" w:bidi="ar-SA"/>
          <w:highlight w:val="auto"/>
        </w:rPr>
      </w:pPr>
      <w:r>
        <w:rPr>
          <w:rFonts w:ascii="Times New Roman" w:eastAsia="楷体_GB2312" w:cs="Times New Roman" w:hAnsi="Times New Roman"/>
          <w:b/>
          <w:bCs/>
          <w:color w:val="000000"/>
          <w:kern w:val="0"/>
          <w:sz w:val="32"/>
          <w:szCs w:val="32"/>
          <w:shd w:val="clear" w:color="auto" w:fill="FFFFFF"/>
          <w:lang w:val="zh-CN"/>
          <w:highlight w:val="auto"/>
        </w:rPr>
        <w:t>（二）部门预算项目绩效分析</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en-US" w:eastAsia="zh-CN" w:bidi="ar-SA"/>
        </w:rPr>
        <w:t>常年项目绩效分析。</w:t>
      </w:r>
      <w:r>
        <w:rPr>
          <w:rFonts w:ascii="仿宋_GB2312" w:eastAsia="仿宋_GB2312" w:cs="仿宋_GB2312" w:hint="eastAsia"/>
          <w:b w:val="0"/>
          <w:kern w:val="2"/>
          <w:sz w:val="32"/>
          <w:szCs w:val="32"/>
          <w:lang w:val="zh-CN" w:eastAsia="zh-CN" w:bidi="ar-SA"/>
        </w:rPr>
        <w:t>该类项目总数</w:t>
      </w:r>
      <w:r>
        <w:rPr>
          <w:rFonts w:ascii="仿宋_GB2312" w:eastAsia="仿宋_GB2312" w:cs="仿宋_GB2312" w:hint="eastAsia"/>
          <w:b w:val="0"/>
          <w:kern w:val="2"/>
          <w:sz w:val="32"/>
          <w:szCs w:val="32"/>
          <w:lang w:val="en-US" w:eastAsia="zh-CN" w:bidi="ar-SA"/>
        </w:rPr>
        <w:t>0</w:t>
      </w:r>
      <w:r>
        <w:rPr>
          <w:rFonts w:ascii="仿宋_GB2312" w:eastAsia="仿宋_GB2312" w:cs="仿宋_GB2312" w:hint="eastAsia"/>
          <w:b w:val="0"/>
          <w:kern w:val="2"/>
          <w:sz w:val="32"/>
          <w:szCs w:val="32"/>
          <w:lang w:val="zh-CN" w:eastAsia="zh-CN" w:bidi="ar-SA"/>
        </w:rPr>
        <w:t>个，涉及预算总金额</w:t>
      </w:r>
      <w:r>
        <w:rPr>
          <w:rFonts w:ascii="仿宋_GB2312" w:eastAsia="仿宋_GB2312" w:cs="仿宋_GB2312" w:hint="eastAsia"/>
          <w:b w:val="0"/>
          <w:kern w:val="2"/>
          <w:sz w:val="32"/>
          <w:szCs w:val="32"/>
          <w:lang w:val="en-US" w:eastAsia="zh-CN" w:bidi="ar-SA"/>
        </w:rPr>
        <w:t>0</w:t>
      </w:r>
      <w:r>
        <w:rPr>
          <w:rFonts w:ascii="仿宋_GB2312" w:eastAsia="仿宋_GB2312" w:cs="仿宋_GB2312" w:hint="eastAsia"/>
          <w:b w:val="0"/>
          <w:kern w:val="2"/>
          <w:sz w:val="32"/>
          <w:szCs w:val="32"/>
          <w:lang w:val="zh-CN" w:eastAsia="zh-CN" w:bidi="ar-SA"/>
        </w:rPr>
        <w:t>万元，其中：预算结余率大于</w:t>
      </w:r>
      <w:r>
        <w:rPr>
          <w:rFonts w:ascii="仿宋_GB2312" w:eastAsia="仿宋_GB2312" w:cs="仿宋_GB2312" w:hint="eastAsia"/>
          <w:b w:val="0"/>
          <w:kern w:val="2"/>
          <w:sz w:val="32"/>
          <w:szCs w:val="32"/>
          <w:lang w:val="en-US" w:eastAsia="zh-CN" w:bidi="ar-SA"/>
        </w:rPr>
        <w:t>10%</w:t>
      </w:r>
      <w:r>
        <w:rPr>
          <w:rFonts w:ascii="仿宋_GB2312" w:eastAsia="仿宋_GB2312" w:cs="仿宋_GB2312" w:hint="eastAsia"/>
          <w:b w:val="0"/>
          <w:kern w:val="2"/>
          <w:sz w:val="32"/>
          <w:szCs w:val="32"/>
          <w:lang w:val="zh-CN" w:eastAsia="zh-CN" w:bidi="ar-SA"/>
        </w:rPr>
        <w:t>的项目共计</w:t>
      </w:r>
      <w:r>
        <w:rPr>
          <w:rFonts w:ascii="仿宋_GB2312" w:eastAsia="仿宋_GB2312" w:cs="仿宋_GB2312" w:hint="eastAsia"/>
          <w:b w:val="0"/>
          <w:kern w:val="2"/>
          <w:sz w:val="32"/>
          <w:szCs w:val="32"/>
          <w:lang w:val="en-US" w:eastAsia="zh-CN" w:bidi="ar-SA"/>
        </w:rPr>
        <w:t>0</w:t>
      </w:r>
      <w:r>
        <w:rPr>
          <w:rFonts w:ascii="仿宋_GB2312" w:eastAsia="仿宋_GB2312" w:cs="仿宋_GB2312" w:hint="eastAsia"/>
          <w:b w:val="0"/>
          <w:kern w:val="2"/>
          <w:sz w:val="32"/>
          <w:szCs w:val="32"/>
          <w:lang w:val="zh-CN" w:eastAsia="zh-CN" w:bidi="ar-SA"/>
        </w:rPr>
        <w:t>个。</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both"/>
        <w:textAlignment w:val="auto"/>
        <w:outlineLvl w:val="9"/>
        <w:rPr>
          <w:rFonts w:ascii="Times New Roman" w:eastAsia="仿宋_GB2312" w:cs="仿宋_GB2312" w:hAnsi="Times New Roman"/>
          <w:color w:val="auto"/>
          <w:kern w:val="2"/>
          <w:sz w:val="32"/>
          <w:szCs w:val="32"/>
          <w:lang w:val="zh-CN" w:eastAsia="zh-CN" w:bidi="ar-SA"/>
          <w:highlight w:val="auto"/>
        </w:rPr>
      </w:pPr>
      <w:r>
        <w:rPr>
          <w:rFonts w:ascii="仿宋_GB2312" w:eastAsia="仿宋_GB2312" w:cs="仿宋_GB2312" w:hint="eastAsia"/>
          <w:b w:val="0"/>
          <w:kern w:val="2"/>
          <w:sz w:val="32"/>
          <w:szCs w:val="32"/>
          <w:lang w:val="en-US" w:eastAsia="zh-CN" w:bidi="ar-SA"/>
        </w:rPr>
        <w:t>阶段（一次性）项目绩效分析。</w:t>
      </w:r>
      <w:r>
        <w:rPr>
          <w:rFonts w:ascii="仿宋_GB2312" w:eastAsia="仿宋_GB2312" w:cs="仿宋_GB2312" w:hint="eastAsia"/>
          <w:b w:val="0"/>
          <w:kern w:val="2"/>
          <w:sz w:val="32"/>
          <w:szCs w:val="32"/>
          <w:lang w:val="zh-CN" w:eastAsia="zh-CN" w:bidi="ar-SA"/>
        </w:rPr>
        <w:t>该类项目总数</w:t>
      </w:r>
      <w:r>
        <w:rPr>
          <w:rFonts w:ascii="仿宋_GB2312" w:eastAsia="仿宋_GB2312" w:cs="仿宋_GB2312" w:hint="eastAsia"/>
          <w:b w:val="0"/>
          <w:kern w:val="2"/>
          <w:sz w:val="32"/>
          <w:szCs w:val="32"/>
          <w:lang w:val="en-US" w:eastAsia="zh-CN" w:bidi="ar-SA"/>
        </w:rPr>
        <w:t>3</w:t>
      </w:r>
      <w:r>
        <w:rPr>
          <w:rFonts w:ascii="仿宋_GB2312" w:eastAsia="仿宋_GB2312" w:cs="仿宋_GB2312" w:hint="eastAsia"/>
          <w:b w:val="0"/>
          <w:kern w:val="2"/>
          <w:sz w:val="32"/>
          <w:szCs w:val="32"/>
          <w:lang w:val="zh-CN" w:eastAsia="zh-CN" w:bidi="ar-SA"/>
        </w:rPr>
        <w:t>个，涉及预算总金额</w:t>
      </w:r>
      <w:r>
        <w:rPr>
          <w:rFonts w:ascii="仿宋_GB2312" w:eastAsia="仿宋_GB2312" w:cs="仿宋_GB2312" w:hint="eastAsia"/>
          <w:b w:val="0"/>
          <w:kern w:val="2"/>
          <w:sz w:val="32"/>
          <w:szCs w:val="32"/>
          <w:lang w:val="en-US" w:eastAsia="zh-CN" w:bidi="ar-SA"/>
        </w:rPr>
        <w:t>35.25</w:t>
      </w:r>
      <w:r>
        <w:rPr>
          <w:rFonts w:ascii="仿宋_GB2312" w:eastAsia="仿宋_GB2312" w:cs="仿宋_GB2312" w:hint="eastAsia"/>
          <w:b w:val="0"/>
          <w:kern w:val="2"/>
          <w:sz w:val="32"/>
          <w:szCs w:val="32"/>
          <w:lang w:val="zh-CN" w:eastAsia="zh-CN" w:bidi="ar-SA"/>
        </w:rPr>
        <w:t>万元，1</w:t>
      </w:r>
      <w:r>
        <w:rPr>
          <w:rFonts w:ascii="仿宋_GB2312" w:eastAsia="仿宋_GB2312" w:cs="仿宋_GB2312" w:hint="eastAsia"/>
          <w:b w:val="0"/>
          <w:kern w:val="2"/>
          <w:sz w:val="32"/>
          <w:szCs w:val="32"/>
          <w:lang w:val="en-US" w:eastAsia="zh-CN" w:bidi="ar-SA"/>
        </w:rPr>
        <w:t>-</w:t>
      </w:r>
      <w:r>
        <w:rPr>
          <w:rFonts w:ascii="仿宋_GB2312" w:eastAsia="仿宋_GB2312" w:cs="仿宋_GB2312" w:hint="eastAsia"/>
          <w:b w:val="0"/>
          <w:kern w:val="2"/>
          <w:sz w:val="32"/>
          <w:szCs w:val="32"/>
          <w:lang w:val="zh-CN" w:eastAsia="zh-CN" w:bidi="ar-SA"/>
        </w:rPr>
        <w:t>1</w:t>
      </w:r>
      <w:r>
        <w:rPr>
          <w:rFonts w:ascii="仿宋_GB2312" w:eastAsia="仿宋_GB2312" w:cs="仿宋_GB2312" w:hint="eastAsia"/>
          <w:b w:val="0"/>
          <w:kern w:val="2"/>
          <w:sz w:val="32"/>
          <w:szCs w:val="32"/>
          <w:lang w:val="en-US" w:eastAsia="zh-CN" w:bidi="ar-SA"/>
        </w:rPr>
        <w:t>2</w:t>
      </w:r>
      <w:r>
        <w:rPr>
          <w:rFonts w:ascii="仿宋_GB2312" w:eastAsia="仿宋_GB2312" w:cs="仿宋_GB2312" w:hint="eastAsia"/>
          <w:b w:val="0"/>
          <w:kern w:val="2"/>
          <w:sz w:val="32"/>
          <w:szCs w:val="32"/>
          <w:lang w:val="zh-CN" w:eastAsia="zh-CN" w:bidi="ar-SA"/>
        </w:rPr>
        <w:t>月预算执行总体进度为</w:t>
      </w:r>
      <w:r>
        <w:rPr>
          <w:rFonts w:ascii="仿宋_GB2312" w:eastAsia="仿宋_GB2312" w:cs="仿宋_GB2312" w:hint="eastAsia"/>
          <w:b w:val="0"/>
          <w:kern w:val="2"/>
          <w:sz w:val="32"/>
          <w:szCs w:val="32"/>
          <w:lang w:val="en-US" w:eastAsia="zh-CN" w:bidi="ar-SA"/>
        </w:rPr>
        <w:t>100</w:t>
      </w:r>
      <w:r>
        <w:rPr>
          <w:rFonts w:ascii="仿宋_GB2312" w:eastAsia="仿宋_GB2312" w:cs="仿宋_GB2312" w:hint="eastAsia"/>
          <w:b w:val="0"/>
          <w:kern w:val="2"/>
          <w:sz w:val="32"/>
          <w:szCs w:val="32"/>
          <w:lang w:val="zh-CN" w:eastAsia="zh-CN" w:bidi="ar-SA"/>
        </w:rPr>
        <w:t>%，其中：预算结余率大于</w:t>
      </w:r>
      <w:r>
        <w:rPr>
          <w:rFonts w:ascii="仿宋_GB2312" w:eastAsia="仿宋_GB2312" w:cs="仿宋_GB2312" w:hint="eastAsia"/>
          <w:b w:val="0"/>
          <w:kern w:val="2"/>
          <w:sz w:val="32"/>
          <w:szCs w:val="32"/>
          <w:lang w:val="en-US" w:eastAsia="zh-CN" w:bidi="ar-SA"/>
        </w:rPr>
        <w:t>10%</w:t>
      </w:r>
      <w:r>
        <w:rPr>
          <w:rFonts w:ascii="仿宋_GB2312" w:eastAsia="仿宋_GB2312" w:cs="仿宋_GB2312" w:hint="eastAsia"/>
          <w:b w:val="0"/>
          <w:kern w:val="2"/>
          <w:sz w:val="32"/>
          <w:szCs w:val="32"/>
          <w:lang w:val="zh-CN" w:eastAsia="zh-CN" w:bidi="ar-SA"/>
        </w:rPr>
        <w:t>的项目共计</w:t>
      </w:r>
      <w:r>
        <w:rPr>
          <w:rFonts w:ascii="仿宋_GB2312" w:eastAsia="仿宋_GB2312" w:cs="仿宋_GB2312" w:hint="eastAsia"/>
          <w:b w:val="0"/>
          <w:kern w:val="2"/>
          <w:sz w:val="32"/>
          <w:szCs w:val="32"/>
          <w:lang w:val="en-US" w:eastAsia="zh-CN" w:bidi="ar-SA"/>
        </w:rPr>
        <w:t>0</w:t>
      </w:r>
      <w:r>
        <w:rPr>
          <w:rFonts w:ascii="仿宋_GB2312" w:eastAsia="仿宋_GB2312" w:cs="仿宋_GB2312" w:hint="eastAsia"/>
          <w:b w:val="0"/>
          <w:kern w:val="2"/>
          <w:sz w:val="32"/>
          <w:szCs w:val="32"/>
          <w:lang w:val="zh-CN" w:eastAsia="zh-CN" w:bidi="ar-SA"/>
        </w:rPr>
        <w:t>个。</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both"/>
        <w:textAlignment w:val="auto"/>
        <w:outlineLvl w:val="9"/>
        <w:rPr>
          <w:rFonts w:ascii="Times New Roman" w:eastAsia="仿宋_GB2312" w:cs="仿宋_GB2312" w:hAnsi="Times New Roman" w:hint="eastAsia"/>
          <w:color w:val="auto"/>
          <w:kern w:val="2"/>
          <w:sz w:val="32"/>
          <w:szCs w:val="32"/>
          <w:lang w:val="zh-CN" w:eastAsia="zh-CN" w:bidi="ar-SA"/>
          <w:highlight w:val="auto"/>
        </w:rPr>
      </w:pPr>
      <w:r>
        <w:rPr>
          <w:rFonts w:ascii="仿宋_GB2312" w:eastAsia="仿宋_GB2312" w:cs="仿宋_GB2312" w:hint="eastAsia"/>
          <w:color w:val="auto"/>
          <w:kern w:val="2"/>
          <w:sz w:val="32"/>
          <w:szCs w:val="32"/>
          <w:lang w:val="en-US" w:eastAsia="zh-CN" w:bidi="ar-SA"/>
          <w:highlight w:val="auto"/>
        </w:rPr>
        <w:t>1.</w:t>
      </w:r>
      <w:r>
        <w:rPr>
          <w:rFonts w:ascii="Times New Roman" w:eastAsia="仿宋_GB2312" w:cs="仿宋_GB2312" w:hAnsi="Times New Roman" w:hint="eastAsia"/>
          <w:color w:val="auto"/>
          <w:kern w:val="2"/>
          <w:sz w:val="32"/>
          <w:szCs w:val="32"/>
          <w:lang w:val="zh-CN" w:eastAsia="zh-CN" w:bidi="ar-SA"/>
          <w:highlight w:val="auto"/>
        </w:rPr>
        <w:t>项目决策</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both"/>
        <w:textAlignment w:val="auto"/>
        <w:outlineLvl w:val="9"/>
        <w:rPr>
          <w:rFonts w:ascii="Times New Roman" w:eastAsia="仿宋_GB2312" w:cs="仿宋_GB2312" w:hAnsi="Times New Roman" w:hint="eastAsia"/>
          <w:color w:val="auto"/>
          <w:kern w:val="2"/>
          <w:sz w:val="32"/>
          <w:szCs w:val="32"/>
          <w:lang w:val="zh-CN"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按照省科协和财政厅发布的项目指南，经项目申报、组织评审、提出方案、审批备案等程序确定。制定项目验收实施细则，组织开展验收工作，专项资金按照“谁使用、谁负责”的原则。</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both"/>
        <w:textAlignment w:val="auto"/>
        <w:outlineLvl w:val="9"/>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cs="仿宋_GB2312" w:hint="eastAsia"/>
          <w:color w:val="auto"/>
          <w:kern w:val="2"/>
          <w:sz w:val="32"/>
          <w:szCs w:val="32"/>
          <w:lang w:val="en-US" w:eastAsia="zh-CN" w:bidi="ar-SA"/>
          <w:highlight w:val="auto"/>
        </w:rPr>
        <w:t>2.项</w:t>
      </w:r>
      <w:r>
        <w:rPr>
          <w:rFonts w:ascii="Times New Roman" w:eastAsia="仿宋_GB2312" w:cs="仿宋_GB2312" w:hAnsi="Times New Roman" w:hint="eastAsia"/>
          <w:color w:val="auto"/>
          <w:kern w:val="2"/>
          <w:sz w:val="32"/>
          <w:szCs w:val="32"/>
          <w:lang w:val="en-US" w:eastAsia="zh-CN" w:bidi="ar-SA"/>
          <w:highlight w:val="auto"/>
        </w:rPr>
        <w:t>目执行</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en-US" w:eastAsia="zh-CN" w:bidi="ar-SA"/>
        </w:rPr>
        <w:t>（1）</w:t>
      </w:r>
      <w:r>
        <w:rPr>
          <w:rFonts w:ascii="仿宋_GB2312" w:eastAsia="仿宋_GB2312" w:cs="仿宋_GB2312" w:hint="eastAsia"/>
          <w:b w:val="0"/>
          <w:kern w:val="2"/>
          <w:sz w:val="32"/>
          <w:szCs w:val="32"/>
          <w:lang w:val="zh-CN" w:eastAsia="zh-CN" w:bidi="ar-SA"/>
        </w:rPr>
        <w:t>根据下达我县一般公共预算项目支出经费</w:t>
      </w:r>
      <w:r>
        <w:rPr>
          <w:rFonts w:ascii="仿宋_GB2312" w:eastAsia="仿宋_GB2312" w:cs="仿宋_GB2312" w:hint="eastAsia"/>
          <w:b w:val="0"/>
          <w:kern w:val="2"/>
          <w:sz w:val="32"/>
          <w:szCs w:val="32"/>
          <w:lang w:val="en-US" w:eastAsia="zh-CN" w:bidi="ar-SA"/>
        </w:rPr>
        <w:t>35.25</w:t>
      </w:r>
      <w:r>
        <w:rPr>
          <w:rFonts w:ascii="仿宋_GB2312" w:eastAsia="仿宋_GB2312" w:cs="仿宋_GB2312" w:hint="eastAsia"/>
          <w:b w:val="0"/>
          <w:kern w:val="2"/>
          <w:sz w:val="32"/>
          <w:szCs w:val="32"/>
          <w:lang w:val="zh-CN" w:eastAsia="zh-CN" w:bidi="ar-SA"/>
        </w:rPr>
        <w:t>万元，</w:t>
      </w:r>
      <w:r>
        <w:rPr>
          <w:rFonts w:ascii="仿宋_GB2312" w:eastAsia="仿宋_GB2312" w:cs="仿宋_GB2312" w:hint="eastAsia"/>
          <w:b w:val="0"/>
          <w:kern w:val="2"/>
          <w:sz w:val="32"/>
          <w:szCs w:val="32"/>
          <w:lang w:val="en-US" w:eastAsia="zh-CN" w:bidi="ar-SA"/>
        </w:rPr>
        <w:t>预算执行率100%</w:t>
      </w:r>
      <w:r>
        <w:rPr>
          <w:rFonts w:ascii="仿宋_GB2312" w:eastAsia="仿宋_GB2312" w:cs="仿宋_GB2312" w:hint="eastAsia"/>
          <w:b w:val="0"/>
          <w:kern w:val="2"/>
          <w:sz w:val="32"/>
          <w:szCs w:val="32"/>
          <w:lang w:val="zh-CN" w:eastAsia="zh-CN" w:bidi="ar-SA"/>
        </w:rPr>
        <w:t>。主要用于</w:t>
      </w:r>
      <w:r>
        <w:rPr>
          <w:rFonts w:ascii="仿宋_GB2312" w:eastAsia="仿宋_GB2312" w:cs="仿宋_GB2312" w:hint="eastAsia"/>
          <w:b w:val="0"/>
          <w:kern w:val="2"/>
          <w:sz w:val="32"/>
          <w:szCs w:val="32"/>
          <w:lang w:val="en-US" w:eastAsia="zh-CN" w:bidi="ar-SA"/>
        </w:rPr>
        <w:t>科普资料购置、</w:t>
      </w:r>
      <w:r>
        <w:rPr>
          <w:rFonts w:ascii="仿宋_GB2312" w:eastAsia="仿宋_GB2312" w:cs="仿宋_GB2312" w:hint="eastAsia"/>
          <w:color w:val="000000"/>
          <w:sz w:val="32"/>
          <w:szCs w:val="32"/>
          <w:lang w:bidi="ar-SA"/>
        </w:rPr>
        <w:t>举办各类科普活动、培训和展览</w:t>
      </w:r>
      <w:r>
        <w:rPr>
          <w:rFonts w:ascii="仿宋_GB2312" w:eastAsia="仿宋_GB2312" w:cs="仿宋_GB2312" w:hint="eastAsia"/>
          <w:color w:val="000000"/>
          <w:sz w:val="32"/>
          <w:szCs w:val="32"/>
          <w:lang w:eastAsia="zh-CN" w:bidi="ar-SA"/>
        </w:rPr>
        <w:t>、科普阵地建设、</w:t>
      </w:r>
      <w:r>
        <w:rPr>
          <w:rFonts w:ascii="仿宋_GB2312" w:eastAsia="仿宋_GB2312" w:cs="仿宋_GB2312" w:hint="eastAsia"/>
          <w:b w:val="0"/>
          <w:kern w:val="2"/>
          <w:sz w:val="32"/>
          <w:szCs w:val="32"/>
          <w:lang w:val="zh-CN" w:eastAsia="zh-CN" w:bidi="ar-SA"/>
        </w:rPr>
        <w:t>市“天府科技云”服务中心运行维护、购买服务、执行预算、信息系统完善升级、推广使用、交易及工作室建设、案例建设等方面。经费支出均通过“三重一大”会议集体研究决定，并严格按照项目管理要求全程监督、指导、验收。项目资金拨付严格执行相关财务管理规定，账务处理及时，会计核算规范。</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both"/>
        <w:textAlignment w:val="auto"/>
        <w:outlineLvl w:val="9"/>
        <w:rPr>
          <w:rFonts w:ascii="Times New Roman" w:eastAsia="仿宋_GB2312" w:cs="仿宋_GB2312" w:hAnsi="Times New Roman" w:hint="eastAsia"/>
          <w:color w:val="auto"/>
          <w:kern w:val="2"/>
          <w:sz w:val="32"/>
          <w:szCs w:val="32"/>
          <w:lang w:val="zh-CN" w:eastAsia="zh-CN" w:bidi="ar-SA"/>
          <w:highlight w:val="auto"/>
        </w:rPr>
      </w:pPr>
      <w:r>
        <w:rPr>
          <w:rFonts w:ascii="仿宋_GB2312" w:eastAsia="仿宋_GB2312" w:cs="仿宋_GB2312" w:hint="eastAsia"/>
          <w:color w:val="auto"/>
          <w:kern w:val="2"/>
          <w:sz w:val="32"/>
          <w:szCs w:val="32"/>
          <w:lang w:val="en-US" w:eastAsia="zh-CN" w:bidi="ar-SA"/>
          <w:highlight w:val="auto"/>
        </w:rPr>
        <w:t>3.</w:t>
      </w:r>
      <w:r>
        <w:rPr>
          <w:rFonts w:ascii="仿宋_GB2312" w:eastAsia="仿宋_GB2312" w:cs="仿宋_GB2312" w:hint="eastAsia"/>
          <w:color w:val="auto"/>
          <w:kern w:val="2"/>
          <w:sz w:val="32"/>
          <w:szCs w:val="32"/>
          <w:lang w:val="zh-CN" w:eastAsia="zh-CN" w:bidi="ar-SA"/>
          <w:highlight w:val="auto"/>
        </w:rPr>
        <w:t>目</w:t>
      </w:r>
      <w:r>
        <w:rPr>
          <w:rFonts w:ascii="Times New Roman" w:eastAsia="仿宋_GB2312" w:cs="仿宋_GB2312" w:hAnsi="Times New Roman" w:hint="eastAsia"/>
          <w:color w:val="auto"/>
          <w:kern w:val="2"/>
          <w:sz w:val="32"/>
          <w:szCs w:val="32"/>
          <w:lang w:val="zh-CN" w:eastAsia="zh-CN" w:bidi="ar-SA"/>
          <w:highlight w:val="auto"/>
        </w:rPr>
        <w:t>标实现</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both"/>
        <w:textAlignment w:val="auto"/>
        <w:outlineLvl w:val="9"/>
        <w:rPr>
          <w:rFonts w:ascii="Times New Roman" w:eastAsia="仿宋_GB2312" w:cs="Times New Roman" w:hAnsi="Times New Roman"/>
          <w:color w:val="000000"/>
          <w:kern w:val="0"/>
          <w:sz w:val="32"/>
          <w:szCs w:val="32"/>
          <w:shd w:val="clear" w:color="auto" w:fill="FFFFFF"/>
          <w:lang w:val="zh-CN" w:eastAsia="zh-CN" w:bidi="ar-SA"/>
        </w:rPr>
      </w:pPr>
      <w:r>
        <w:rPr>
          <w:rFonts w:ascii="Times New Roman" w:eastAsia="仿宋_GB2312" w:cs="Times New Roman" w:hAnsi="Times New Roman"/>
          <w:color w:val="000000"/>
          <w:kern w:val="0"/>
          <w:sz w:val="32"/>
          <w:szCs w:val="32"/>
          <w:shd w:val="clear" w:color="auto" w:fill="FFFFFF"/>
          <w:lang w:val="zh-CN" w:eastAsia="zh-CN" w:bidi="ar-SA"/>
        </w:rPr>
        <w:t>各项既定绩效目标全部圆满达成，履职、预算、财务等核心指标均达到评价标准，有效保障了各项核心工作有序推进。</w:t>
      </w:r>
    </w:p>
    <w:p>
      <w:pPr>
        <w:keepNext w:val="0"/>
        <w:keepLines w:val="0"/>
        <w:pageBreakBefore w:val="0"/>
        <w:widowControl w:val="0"/>
        <w:kinsoku/>
        <w:wordWrap/>
        <w:overflowPunct/>
        <w:topLinePunct w:val="0"/>
        <w:autoSpaceDE/>
        <w:autoSpaceDN/>
        <w:bidi w:val="0"/>
        <w:adjustRightInd w:val="0"/>
        <w:snapToGrid w:val="0"/>
        <w:spacing w:line="578" w:lineRule="exact"/>
        <w:ind w:left="0" w:firstLineChars="200" w:firstLine="640"/>
        <w:contextualSpacing/>
        <w:jc w:val="both"/>
        <w:textAlignment w:val="auto"/>
        <w:outlineLvl w:val="9"/>
        <w:rPr>
          <w:rFonts w:ascii="Times New Roman" w:eastAsia="仿宋_GB2312" w:cs="仿宋_GB2312" w:hAnsi="Times New Roman" w:hint="eastAsia"/>
          <w:color w:val="auto"/>
          <w:kern w:val="2"/>
          <w:sz w:val="32"/>
          <w:szCs w:val="32"/>
          <w:lang w:val="zh-CN" w:eastAsia="zh-CN" w:bidi="ar-SA"/>
          <w:highlight w:val="auto"/>
        </w:rPr>
      </w:pPr>
      <w:r>
        <w:rPr>
          <w:rFonts w:ascii="Times New Roman" w:eastAsia="楷体_GB2312" w:cs="Times New Roman" w:hAnsi="Times New Roman"/>
          <w:b/>
          <w:bCs/>
          <w:color w:val="000000"/>
          <w:kern w:val="0"/>
          <w:sz w:val="32"/>
          <w:szCs w:val="32"/>
          <w:shd w:val="clear" w:color="auto" w:fill="FFFFFF"/>
          <w:lang w:val="zh-CN" w:eastAsia="zh-CN"/>
          <w:highlight w:val="auto"/>
        </w:rPr>
        <w:t>（</w:t>
      </w:r>
      <w:r>
        <w:rPr>
          <w:rFonts w:ascii="Times New Roman" w:eastAsia="楷体_GB2312" w:cs="Times New Roman" w:hAnsi="Times New Roman" w:hint="eastAsia"/>
          <w:b/>
          <w:bCs/>
          <w:color w:val="000000"/>
          <w:kern w:val="0"/>
          <w:sz w:val="32"/>
          <w:szCs w:val="32"/>
          <w:shd w:val="clear" w:color="auto" w:fill="FFFFFF"/>
          <w:lang w:val="en-US" w:eastAsia="zh-CN"/>
          <w:highlight w:val="auto"/>
        </w:rPr>
        <w:t>三</w:t>
      </w:r>
      <w:r>
        <w:rPr>
          <w:rFonts w:ascii="Times New Roman" w:eastAsia="楷体_GB2312" w:cs="Times New Roman" w:hAnsi="Times New Roman"/>
          <w:b/>
          <w:bCs/>
          <w:color w:val="000000"/>
          <w:kern w:val="0"/>
          <w:sz w:val="32"/>
          <w:szCs w:val="32"/>
          <w:shd w:val="clear" w:color="auto" w:fill="FFFFFF"/>
          <w:lang w:val="zh-CN" w:eastAsia="zh-CN"/>
          <w:highlight w:val="auto"/>
        </w:rPr>
        <w:t>）绩效结果应用情况</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zh-CN" w:eastAsia="zh-CN" w:bidi="ar-SA"/>
        </w:rPr>
        <w:t>1、将绩效自评结果作为改进预算管理和安排以后年度预算的重要依据。在今后编制预算时，不断完善绩效评价指标，及时调整和优化预算支出的方向和结构，合理配置资源。加强资金使用的监管和跟踪，完善内部控制制度，明确责任，提高财政资金使用效益和部门工作效率。</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zh-CN" w:eastAsia="zh-CN" w:bidi="ar-SA"/>
        </w:rPr>
        <w:t>2、根据要求做到预算绩效公开，监督合理安排使用财政资金。将绩效结果与工作考核挂钩，优化资金配置；强化资金统筹优化、明确开支范围、细化资金用途，有效保障部门职责任务完成和单位正常运转，降低行政运行成本，促进社会和谐稳定，充分发挥财政资金经济效益与社会效益。全年基本支出保障日常工作开展，项目支出支撑重点工作推进，整体完成年初设定绩效目标，自查自评结果良好。</w:t>
      </w:r>
    </w:p>
    <w:p>
      <w:pPr>
        <w:keepNext w:val="0"/>
        <w:keepLines w:val="0"/>
        <w:pageBreakBefore w:val="0"/>
        <w:widowControl/>
        <w:kinsoku/>
        <w:wordWrap/>
        <w:overflowPunct/>
        <w:topLinePunct w:val="0"/>
        <w:autoSpaceDE/>
        <w:autoSpaceDN/>
        <w:bidi w:val="0"/>
        <w:adjustRightInd w:val="0"/>
        <w:snapToGrid w:val="0"/>
        <w:spacing w:line="600" w:lineRule="exact"/>
        <w:ind w:left="0" w:firstLineChars="200" w:firstLine="640"/>
        <w:contextualSpacing/>
        <w:jc w:val="both"/>
        <w:textAlignment w:val="auto"/>
        <w:outlineLvl w:val="9"/>
        <w:rPr>
          <w:rFonts w:ascii="Times New Roman" w:eastAsia="黑体" w:cs="Times New Roman" w:hAnsi="Times New Roman"/>
          <w:color w:val="000000"/>
          <w:kern w:val="0"/>
          <w:sz w:val="32"/>
          <w:szCs w:val="32"/>
          <w:shd w:val="clear" w:color="auto" w:fill="FFFFFF"/>
          <w:lang w:val="zh-CN" w:eastAsia="zh-CN"/>
          <w:highlight w:val="auto"/>
        </w:rPr>
      </w:pPr>
      <w:r>
        <w:rPr>
          <w:rFonts w:ascii="Times New Roman" w:eastAsia="黑体" w:cs="Times New Roman" w:hAnsi="Times New Roman"/>
          <w:color w:val="000000"/>
          <w:kern w:val="0"/>
          <w:sz w:val="32"/>
          <w:szCs w:val="32"/>
          <w:shd w:val="clear" w:color="auto" w:fill="FFFFFF"/>
          <w:lang w:val="zh-CN" w:eastAsia="zh-CN"/>
          <w:highlight w:val="auto"/>
        </w:rPr>
        <w:t>四、评价结论及建议</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Times New Roman" w:eastAsia="仿宋_GB2312" w:cs="Times New Roman" w:hAnsi="Times New Roman" w:hint="eastAsia"/>
          <w:sz w:val="32"/>
          <w:szCs w:val="32"/>
          <w:u w:val="none"/>
          <w:lang w:val="en-US" w:eastAsia="zh-CN"/>
        </w:rPr>
      </w:pPr>
      <w:r>
        <w:rPr>
          <w:rFonts w:ascii="Times New Roman" w:eastAsia="楷体_GB2312" w:cs="Times New Roman" w:hAnsi="Times New Roman"/>
          <w:b/>
          <w:bCs/>
          <w:color w:val="000000"/>
          <w:kern w:val="0"/>
          <w:sz w:val="32"/>
          <w:szCs w:val="32"/>
          <w:shd w:val="clear" w:color="auto" w:fill="FFFFFF"/>
          <w:lang w:val="zh-CN"/>
          <w:highlight w:val="auto"/>
        </w:rPr>
        <w:t>（一）评价结论</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zh-CN" w:eastAsia="zh-CN" w:bidi="ar-SA"/>
        </w:rPr>
        <w:t>202</w:t>
      </w:r>
      <w:r>
        <w:rPr>
          <w:rFonts w:ascii="仿宋_GB2312" w:eastAsia="仿宋_GB2312" w:cs="仿宋_GB2312" w:hint="eastAsia"/>
          <w:b w:val="0"/>
          <w:kern w:val="2"/>
          <w:sz w:val="32"/>
          <w:szCs w:val="32"/>
          <w:lang w:val="en-US" w:eastAsia="zh-CN" w:bidi="ar-SA"/>
        </w:rPr>
        <w:t>5</w:t>
      </w:r>
      <w:r>
        <w:rPr>
          <w:rFonts w:ascii="仿宋_GB2312" w:eastAsia="仿宋_GB2312" w:cs="仿宋_GB2312" w:hint="eastAsia"/>
          <w:b w:val="0"/>
          <w:kern w:val="2"/>
          <w:sz w:val="32"/>
          <w:szCs w:val="32"/>
          <w:lang w:val="zh-CN" w:eastAsia="zh-CN" w:bidi="ar-SA"/>
        </w:rPr>
        <w:t>年度我部门积极履职，强化管理，较好地完成了年度工作目标。通过加强预算收支管理，不断建立健全内部管理制度，梳理内部管理流程，部门整体支出管理水平得到提升，根据部门整体支出绩效评价指标体系，我部门年度得分</w:t>
      </w:r>
      <w:r>
        <w:rPr>
          <w:rFonts w:ascii="仿宋_GB2312" w:eastAsia="仿宋_GB2312" w:cs="仿宋_GB2312" w:hint="eastAsia"/>
          <w:b w:val="0"/>
          <w:kern w:val="2"/>
          <w:sz w:val="32"/>
          <w:szCs w:val="32"/>
          <w:lang w:val="en-US" w:eastAsia="zh-CN" w:bidi="ar-SA"/>
        </w:rPr>
        <w:t>88</w:t>
      </w:r>
      <w:r>
        <w:rPr>
          <w:rFonts w:ascii="仿宋_GB2312" w:eastAsia="仿宋_GB2312" w:cs="仿宋_GB2312" w:hint="eastAsia"/>
          <w:b w:val="0"/>
          <w:kern w:val="2"/>
          <w:sz w:val="32"/>
          <w:szCs w:val="32"/>
          <w:lang w:val="zh-CN" w:eastAsia="zh-CN" w:bidi="ar-SA"/>
        </w:rPr>
        <w:t>分。整体绩效自评良好，绩效管理水平在不断提高。</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Times New Roman" w:eastAsia="仿宋_GB2312" w:cs="Times New Roman" w:hAnsi="Times New Roman" w:hint="eastAsia"/>
          <w:sz w:val="32"/>
          <w:szCs w:val="32"/>
          <w:u w:val="none"/>
          <w:lang w:val="en-US" w:eastAsia="zh-CN"/>
        </w:rPr>
      </w:pPr>
      <w:r>
        <w:rPr>
          <w:rFonts w:ascii="Times New Roman" w:eastAsia="楷体_GB2312" w:cs="Times New Roman" w:hAnsi="Times New Roman"/>
          <w:b/>
          <w:bCs/>
          <w:color w:val="000000"/>
          <w:kern w:val="0"/>
          <w:sz w:val="32"/>
          <w:szCs w:val="32"/>
          <w:shd w:val="clear" w:color="auto" w:fill="FFFFFF"/>
          <w:lang w:val="zh-CN"/>
          <w:highlight w:val="auto"/>
        </w:rPr>
        <w:t>（二）存在问题</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en-US" w:eastAsia="zh-CN" w:bidi="ar-SA"/>
        </w:rPr>
        <w:t>1.部分</w:t>
      </w:r>
      <w:r>
        <w:rPr>
          <w:rFonts w:ascii="仿宋_GB2312" w:eastAsia="仿宋_GB2312" w:cs="仿宋_GB2312" w:hint="eastAsia"/>
          <w:b w:val="0"/>
          <w:kern w:val="2"/>
          <w:sz w:val="32"/>
          <w:szCs w:val="32"/>
          <w:lang w:val="zh-CN" w:eastAsia="zh-CN" w:bidi="ar-SA"/>
        </w:rPr>
        <w:t>预算绩效目标设置不够合理。</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en-US" w:eastAsia="zh-CN" w:bidi="ar-SA"/>
        </w:rPr>
        <w:t>2.</w:t>
      </w:r>
      <w:r>
        <w:rPr>
          <w:rFonts w:ascii="仿宋_GB2312" w:eastAsia="仿宋_GB2312" w:cs="仿宋_GB2312" w:hint="eastAsia"/>
          <w:b w:val="0"/>
          <w:kern w:val="2"/>
          <w:sz w:val="32"/>
          <w:szCs w:val="32"/>
          <w:lang w:val="zh-CN" w:eastAsia="zh-CN" w:bidi="ar-SA"/>
        </w:rPr>
        <w:t>预算编制规范性不足，资金细化率不高。</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zh-CN" w:eastAsia="zh-CN" w:bidi="ar-SA"/>
        </w:rPr>
      </w:pPr>
      <w:r>
        <w:rPr>
          <w:rFonts w:ascii="仿宋_GB2312" w:eastAsia="仿宋_GB2312" w:cs="仿宋_GB2312" w:hint="eastAsia"/>
          <w:b w:val="0"/>
          <w:kern w:val="2"/>
          <w:sz w:val="32"/>
          <w:szCs w:val="32"/>
          <w:lang w:val="en-US" w:eastAsia="zh-CN" w:bidi="ar-SA"/>
        </w:rPr>
        <w:t>3.</w:t>
      </w:r>
      <w:r>
        <w:rPr>
          <w:rFonts w:ascii="仿宋_GB2312" w:eastAsia="仿宋_GB2312" w:cs="仿宋_GB2312" w:hint="eastAsia"/>
          <w:b w:val="0"/>
          <w:kern w:val="2"/>
          <w:sz w:val="32"/>
          <w:szCs w:val="32"/>
          <w:lang w:val="zh-CN" w:eastAsia="zh-CN" w:bidi="ar-SA"/>
        </w:rPr>
        <w:t>资产管理制度落实不到位。</w:t>
      </w:r>
    </w:p>
    <w:p>
      <w:pPr>
        <w:keepNext w:val="0"/>
        <w:keepLines w:val="0"/>
        <w:pageBreakBefore w:val="0"/>
        <w:widowControl/>
        <w:kinsoku/>
        <w:wordWrap/>
        <w:overflowPunct/>
        <w:topLinePunct w:val="0"/>
        <w:autoSpaceDE/>
        <w:autoSpaceDN/>
        <w:bidi w:val="0"/>
        <w:adjustRightInd w:val="0"/>
        <w:snapToGrid w:val="0"/>
        <w:spacing w:line="578" w:lineRule="exact"/>
        <w:ind w:firstLineChars="200" w:firstLine="640"/>
        <w:contextualSpacing/>
        <w:jc w:val="left"/>
        <w:textAlignment w:val="auto"/>
        <w:outlineLvl w:val="9"/>
        <w:rPr>
          <w:rFonts w:ascii="Times New Roman" w:eastAsia="仿宋_GB2312" w:cs="Times New Roman" w:hAnsi="Times New Roman" w:hint="eastAsia"/>
          <w:sz w:val="32"/>
          <w:szCs w:val="32"/>
          <w:u w:val="none"/>
          <w:lang w:val="en-US" w:eastAsia="zh-CN"/>
        </w:rPr>
      </w:pPr>
      <w:r>
        <w:rPr>
          <w:rFonts w:ascii="Times New Roman" w:eastAsia="楷体_GB2312" w:cs="Times New Roman" w:hAnsi="Times New Roman"/>
          <w:b/>
          <w:bCs/>
          <w:color w:val="000000"/>
          <w:kern w:val="0"/>
          <w:sz w:val="32"/>
          <w:szCs w:val="32"/>
          <w:shd w:val="clear" w:color="auto" w:fill="FFFFFF"/>
          <w:lang w:val="zh-CN" w:eastAsia="zh-CN"/>
          <w:highlight w:val="auto"/>
        </w:rPr>
        <w:t>（三）改进建议</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en-US" w:eastAsia="zh-CN" w:bidi="ar-SA"/>
        </w:rPr>
      </w:pPr>
      <w:r>
        <w:rPr>
          <w:rFonts w:ascii="仿宋_GB2312" w:eastAsia="仿宋_GB2312" w:cs="仿宋_GB2312" w:hint="eastAsia"/>
          <w:b w:val="0"/>
          <w:kern w:val="2"/>
          <w:sz w:val="32"/>
          <w:szCs w:val="32"/>
          <w:lang w:val="en-US" w:eastAsia="zh-CN" w:bidi="ar-SA"/>
        </w:rPr>
        <w:t>1.强化绩效评价意识，改进绩效目标管理。</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en-US" w:eastAsia="zh-CN" w:bidi="ar-SA"/>
        </w:rPr>
      </w:pPr>
      <w:r>
        <w:rPr>
          <w:rFonts w:ascii="仿宋_GB2312" w:eastAsia="仿宋_GB2312" w:cs="仿宋_GB2312" w:hint="eastAsia"/>
          <w:b w:val="0"/>
          <w:kern w:val="2"/>
          <w:sz w:val="32"/>
          <w:szCs w:val="32"/>
          <w:lang w:val="en-US" w:eastAsia="zh-CN" w:bidi="ar-SA"/>
        </w:rPr>
        <w:t>2.积极推进预算编制和预算执行的统筹协调。</w:t>
      </w:r>
    </w:p>
    <w:p>
      <w:pPr>
        <w:keepNext w:val="0"/>
        <w:keepLines w:val="0"/>
        <w:pageBreakBefore w:val="0"/>
        <w:widowControl/>
        <w:kinsoku/>
        <w:wordWrap/>
        <w:overflowPunct/>
        <w:topLinePunct w:val="0"/>
        <w:autoSpaceDE/>
        <w:autoSpaceDN/>
        <w:bidi w:val="0"/>
        <w:adjustRightInd w:val="0"/>
        <w:snapToGrid w:val="0"/>
        <w:spacing w:line="560" w:lineRule="exact"/>
        <w:ind w:firstLineChars="200" w:firstLine="640"/>
        <w:contextualSpacing/>
        <w:jc w:val="left"/>
        <w:textAlignment w:val="auto"/>
        <w:rPr>
          <w:rFonts w:ascii="仿宋_GB2312" w:eastAsia="仿宋_GB2312" w:cs="仿宋_GB2312" w:hint="eastAsia"/>
          <w:b w:val="0"/>
          <w:kern w:val="2"/>
          <w:sz w:val="32"/>
          <w:szCs w:val="32"/>
          <w:lang w:val="en-US" w:eastAsia="zh-CN" w:bidi="ar-SA"/>
        </w:rPr>
      </w:pPr>
      <w:r>
        <w:rPr>
          <w:rFonts w:ascii="仿宋_GB2312" w:eastAsia="仿宋_GB2312" w:cs="仿宋_GB2312" w:hint="eastAsia"/>
          <w:b w:val="0"/>
          <w:kern w:val="2"/>
          <w:sz w:val="32"/>
          <w:szCs w:val="32"/>
          <w:lang w:val="en-US" w:eastAsia="zh-CN" w:bidi="ar-SA"/>
        </w:rPr>
        <w:t>3.健全资产管理体系和制度，明确管理主体与职责。</w:t>
      </w:r>
    </w:p>
    <w:p>
      <w:pPr>
        <w:pStyle w:val="24"/>
        <w:keepNext w:val="0"/>
        <w:keepLines w:val="0"/>
        <w:pageBreakBefore w:val="0"/>
        <w:widowControl w:val="0"/>
        <w:kinsoku/>
        <w:wordWrap/>
        <w:overflowPunct/>
        <w:topLinePunct w:val="0"/>
        <w:autoSpaceDE/>
        <w:autoSpaceDN/>
        <w:bidi w:val="0"/>
        <w:spacing w:line="560" w:lineRule="exact"/>
        <w:ind w:leftChars="0" w:left="0" w:firstLineChars="200" w:firstLine="640"/>
        <w:textAlignment w:val="auto"/>
        <w:rPr>
          <w:rFonts w:ascii="Times New Roman" w:eastAsia="仿宋_GB2312" w:cs="Times New Roman" w:hAnsi="Times New Roman" w:hint="eastAsia"/>
          <w:kern w:val="2"/>
          <w:sz w:val="32"/>
          <w:szCs w:val="32"/>
          <w:u w:val="none"/>
          <w:lang w:val="zh-CN" w:eastAsia="zh-CN"/>
        </w:rPr>
      </w:pPr>
    </w:p>
    <w:p>
      <w:pPr>
        <w:pStyle w:val="24"/>
        <w:keepNext w:val="0"/>
        <w:keepLines w:val="0"/>
        <w:pageBreakBefore w:val="0"/>
        <w:widowControl w:val="0"/>
        <w:kinsoku/>
        <w:wordWrap/>
        <w:overflowPunct/>
        <w:topLinePunct w:val="0"/>
        <w:autoSpaceDE/>
        <w:autoSpaceDN/>
        <w:bidi w:val="0"/>
        <w:spacing w:line="560" w:lineRule="exact"/>
        <w:ind w:leftChars="0" w:left="0" w:firstLineChars="200" w:firstLine="640"/>
        <w:textAlignment w:val="auto"/>
        <w:rPr>
          <w:rFonts w:eastAsia="仿宋_GB2312" w:cs="仿宋_GB2312"/>
          <w:b w:val="0"/>
          <w:kern w:val="2"/>
          <w:sz w:val="32"/>
          <w:szCs w:val="32"/>
          <w:lang w:val="en-US" w:eastAsia="zh-CN" w:bidi="ar-SA"/>
        </w:rPr>
        <w:sectPr>
          <w:footerReference w:type="default" r:id="rId8"/>
          <w:footerReference w:type="even" r:id="rId9"/>
          <w:pgSz w:w="11906" w:h="16838"/>
          <w:pgMar w:top="1440" w:right="1797" w:bottom="1440" w:left="1797" w:header="851" w:footer="992" w:gutter="0"/>
          <w:pgNumType/>
          <w:docGrid w:type="lines" w:linePitch="312" w:charSpace="0"/>
        </w:sectPr>
      </w:pPr>
    </w:p>
    <w:p>
      <w:pPr>
        <w:pStyle w:val="24"/>
        <w:keepNext w:val="0"/>
        <w:keepLines w:val="0"/>
        <w:pageBreakBefore w:val="0"/>
        <w:widowControl w:val="0"/>
        <w:kinsoku/>
        <w:wordWrap/>
        <w:overflowPunct/>
        <w:topLinePunct w:val="0"/>
        <w:autoSpaceDE/>
        <w:autoSpaceDN/>
        <w:bidi w:val="0"/>
        <w:spacing w:line="560" w:lineRule="exact"/>
        <w:ind w:leftChars="0" w:left="0" w:firstLineChars="200" w:firstLine="640"/>
        <w:textAlignment w:val="auto"/>
        <w:rPr>
          <w:rFonts w:ascii="Times New Roman" w:eastAsia="仿宋_GB2312" w:cs="Times New Roman" w:hAnsi="Times New Roman" w:hint="eastAsia"/>
          <w:kern w:val="2"/>
          <w:sz w:val="32"/>
          <w:szCs w:val="32"/>
          <w:u w:val="none"/>
          <w:lang w:val="zh-CN" w:eastAsia="zh-CN"/>
        </w:rPr>
      </w:pPr>
    </w:p>
    <w:tbl>
      <w:tblPr>
        <w:jc w:val="left"/>
        <w:tblInd w:w="93" w:type="dxa"/>
        <w:tblW w:w="14250" w:type="dxa"/>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1074"/>
        <w:gridCol w:w="1477"/>
        <w:gridCol w:w="1477"/>
        <w:gridCol w:w="2084"/>
        <w:gridCol w:w="2247"/>
        <w:gridCol w:w="1465"/>
        <w:gridCol w:w="1477"/>
        <w:gridCol w:w="1477"/>
        <w:gridCol w:w="1477"/>
      </w:tblGrid>
      <w:tr>
        <w:trPr>
          <w:trHeight w:val="1130"/>
        </w:trPr>
        <w:tc>
          <w:tcPr>
            <w:tcW w:w="14255" w:type="dxa"/>
            <w:gridSpan w:val="9"/>
            <w:tcBorders>
              <w:top w:val="nil"/>
              <w:left w:val="nil"/>
              <w:bottom w:val="nil"/>
              <w:right w:val="nil"/>
            </w:tcBorders>
            <w:shd w:val="clear" w:color="auto" w:fill="auto"/>
            <w:vAlign w:val="bottom"/>
          </w:tcPr>
          <w:p>
            <w:pPr>
              <w:keepNext w:val="0"/>
              <w:keepLines w:val="0"/>
              <w:widowControl/>
              <w:suppressLineNumbers w:val="0"/>
              <w:jc w:val="center"/>
              <w:textAlignment w:val="bottom"/>
              <w:rPr>
                <w:rFonts w:ascii="宋体" w:eastAsia="宋体" w:cs="宋体" w:hint="eastAsia"/>
                <w:b/>
                <w:bCs/>
                <w:i w:val="0"/>
                <w:iCs w:val="0"/>
                <w:color w:val="000000"/>
                <w:sz w:val="30"/>
                <w:szCs w:val="30"/>
                <w:u w:val="none"/>
              </w:rPr>
            </w:pPr>
            <w:r>
              <w:rPr>
                <w:rFonts w:ascii="宋体" w:eastAsia="宋体" w:cs="宋体" w:hint="eastAsia"/>
                <w:b/>
                <w:bCs/>
                <w:i w:val="0"/>
                <w:iCs w:val="0"/>
                <w:color w:val="000000"/>
                <w:kern w:val="0"/>
                <w:sz w:val="30"/>
                <w:szCs w:val="30"/>
                <w:u w:val="none"/>
                <w:lang w:val="en-US" w:eastAsia="zh-CN"/>
              </w:rPr>
              <w:t>2025年度部门整体绩效目标</w:t>
            </w:r>
          </w:p>
        </w:tc>
      </w:tr>
      <w:tr>
        <w:trPr>
          <w:trHeight w:val="542"/>
        </w:trPr>
        <w:tc>
          <w:tcPr>
            <w:tcW w:w="1074" w:type="dxa"/>
            <w:tcBorders>
              <w:top w:val="nil"/>
              <w:left w:val="nil"/>
              <w:bottom w:val="nil"/>
              <w:right w:val="nil"/>
            </w:tcBorders>
            <w:shd w:val="clear" w:color="auto" w:fill="auto"/>
            <w:vAlign w:val="bottom"/>
          </w:tcPr>
          <w:p>
            <w:pPr>
              <w:keepNext w:val="0"/>
              <w:keepLines w:val="0"/>
              <w:widowControl/>
              <w:suppressLineNumbers w:val="0"/>
              <w:jc w:val="left"/>
              <w:textAlignment w:val="bottom"/>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部门名称：</w:t>
            </w:r>
          </w:p>
        </w:tc>
        <w:tc>
          <w:tcPr>
            <w:tcW w:w="8750" w:type="dxa"/>
            <w:gridSpan w:val="5"/>
            <w:tcBorders>
              <w:top w:val="nil"/>
              <w:left w:val="nil"/>
              <w:bottom w:val="nil"/>
              <w:right w:val="nil"/>
            </w:tcBorders>
            <w:shd w:val="clear" w:color="auto" w:fill="auto"/>
            <w:vAlign w:val="bottom"/>
          </w:tcPr>
          <w:p>
            <w:pPr>
              <w:keepNext w:val="0"/>
              <w:keepLines w:val="0"/>
              <w:widowControl/>
              <w:suppressLineNumbers w:val="0"/>
              <w:jc w:val="left"/>
              <w:textAlignment w:val="bottom"/>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茂县科学技术协会</w:t>
            </w:r>
          </w:p>
        </w:tc>
        <w:tc>
          <w:tcPr>
            <w:tcW w:w="1477" w:type="dxa"/>
            <w:tcBorders>
              <w:top w:val="nil"/>
              <w:left w:val="nil"/>
              <w:bottom w:val="nil"/>
              <w:right w:val="nil"/>
            </w:tcBorders>
            <w:shd w:val="clear" w:color="auto" w:fill="auto"/>
            <w:vAlign w:val="center"/>
          </w:tcPr>
          <w:p>
            <w:pPr>
              <w:rPr>
                <w:rFonts w:ascii="黑体" w:eastAsia="黑体" w:cs="黑体" w:hint="eastAsia"/>
                <w:i w:val="0"/>
                <w:iCs w:val="0"/>
                <w:color w:val="000000"/>
                <w:sz w:val="18"/>
                <w:szCs w:val="18"/>
                <w:u w:val="none"/>
              </w:rPr>
            </w:pPr>
          </w:p>
        </w:tc>
        <w:tc>
          <w:tcPr>
            <w:tcW w:w="1477" w:type="dxa"/>
            <w:tcBorders>
              <w:top w:val="nil"/>
              <w:left w:val="nil"/>
              <w:bottom w:val="nil"/>
              <w:right w:val="nil"/>
            </w:tcBorders>
            <w:shd w:val="clear" w:color="auto" w:fill="auto"/>
            <w:vAlign w:val="center"/>
          </w:tcPr>
          <w:p>
            <w:pPr>
              <w:rPr>
                <w:rFonts w:ascii="黑体" w:eastAsia="黑体" w:cs="黑体"/>
                <w:i w:val="0"/>
                <w:iCs w:val="0"/>
                <w:color w:val="000000"/>
                <w:sz w:val="18"/>
                <w:szCs w:val="18"/>
                <w:u w:val="none"/>
              </w:rPr>
            </w:pPr>
          </w:p>
        </w:tc>
        <w:tc>
          <w:tcPr>
            <w:tcW w:w="1477" w:type="dxa"/>
            <w:tcBorders>
              <w:top w:val="nil"/>
              <w:left w:val="nil"/>
              <w:bottom w:val="nil"/>
              <w:right w:val="nil"/>
            </w:tcBorders>
            <w:shd w:val="clear" w:color="auto" w:fill="auto"/>
            <w:vAlign w:val="bottom"/>
          </w:tcPr>
          <w:p>
            <w:pPr>
              <w:keepNext w:val="0"/>
              <w:keepLines w:val="0"/>
              <w:widowControl/>
              <w:suppressLineNumbers w:val="0"/>
              <w:jc w:val="right"/>
              <w:textAlignment w:val="bottom"/>
              <w:rPr>
                <w:rFonts w:ascii="宋体" w:eastAsia="宋体" w:cs="宋体"/>
                <w:i w:val="0"/>
                <w:iCs w:val="0"/>
                <w:color w:val="000000"/>
                <w:sz w:val="16"/>
                <w:szCs w:val="16"/>
                <w:u w:val="none"/>
              </w:rPr>
            </w:pPr>
            <w:r>
              <w:rPr>
                <w:rFonts w:ascii="宋体" w:eastAsia="宋体" w:cs="宋体"/>
                <w:i w:val="0"/>
                <w:iCs w:val="0"/>
                <w:color w:val="000000"/>
                <w:kern w:val="0"/>
                <w:sz w:val="16"/>
                <w:szCs w:val="16"/>
                <w:u w:val="none"/>
                <w:lang w:val="en-US" w:eastAsia="zh-CN"/>
              </w:rPr>
              <w:t>单位：万元</w:t>
            </w:r>
          </w:p>
        </w:tc>
      </w:tr>
      <w:tr>
        <w:trPr>
          <w:trHeight w:val="569"/>
        </w:trPr>
        <w:tc>
          <w:tcPr>
            <w:tcW w:w="40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年度部门整体预算</w:t>
            </w:r>
          </w:p>
        </w:tc>
        <w:tc>
          <w:tcPr>
            <w:tcW w:w="43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资金总额</w:t>
            </w:r>
          </w:p>
        </w:tc>
        <w:tc>
          <w:tcPr>
            <w:tcW w:w="294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财政拨款</w:t>
            </w:r>
          </w:p>
        </w:tc>
        <w:tc>
          <w:tcPr>
            <w:tcW w:w="29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其他资金</w:t>
            </w:r>
          </w:p>
        </w:tc>
      </w:tr>
      <w:tr>
        <w:trPr>
          <w:trHeight w:val="569"/>
        </w:trPr>
        <w:tc>
          <w:tcPr>
            <w:tcW w:w="40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收入预算</w:t>
            </w:r>
          </w:p>
        </w:tc>
        <w:tc>
          <w:tcPr>
            <w:tcW w:w="43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178.12</w:t>
            </w:r>
          </w:p>
        </w:tc>
        <w:tc>
          <w:tcPr>
            <w:tcW w:w="294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178.12</w:t>
            </w:r>
          </w:p>
        </w:tc>
        <w:tc>
          <w:tcPr>
            <w:tcW w:w="29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0.00</w:t>
            </w:r>
          </w:p>
        </w:tc>
      </w:tr>
      <w:tr>
        <w:trPr>
          <w:trHeight w:val="569"/>
        </w:trPr>
        <w:tc>
          <w:tcPr>
            <w:tcW w:w="40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支出预算</w:t>
            </w:r>
          </w:p>
        </w:tc>
        <w:tc>
          <w:tcPr>
            <w:tcW w:w="43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178.12</w:t>
            </w:r>
          </w:p>
        </w:tc>
        <w:tc>
          <w:tcPr>
            <w:tcW w:w="294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178.12</w:t>
            </w:r>
          </w:p>
        </w:tc>
        <w:tc>
          <w:tcPr>
            <w:tcW w:w="29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0.00</w:t>
            </w:r>
          </w:p>
        </w:tc>
      </w:tr>
      <w:tr>
        <w:trPr>
          <w:trHeight w:val="1145"/>
        </w:trPr>
        <w:tc>
          <w:tcPr>
            <w:tcW w:w="40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b/>
                <w:bCs/>
                <w:i w:val="0"/>
                <w:iCs w:val="0"/>
                <w:color w:val="000000"/>
                <w:sz w:val="18"/>
                <w:szCs w:val="18"/>
                <w:u w:val="none"/>
              </w:rPr>
            </w:pPr>
            <w:r>
              <w:rPr>
                <w:rFonts w:ascii="宋体" w:eastAsia="宋体" w:cs="宋体"/>
                <w:b/>
                <w:bCs/>
                <w:i w:val="0"/>
                <w:iCs w:val="0"/>
                <w:color w:val="000000"/>
                <w:kern w:val="0"/>
                <w:sz w:val="18"/>
                <w:szCs w:val="18"/>
                <w:u w:val="none"/>
                <w:lang w:val="en-US" w:eastAsia="zh-CN"/>
              </w:rPr>
              <w:t>年度总体目标</w:t>
            </w:r>
          </w:p>
        </w:tc>
        <w:tc>
          <w:tcPr>
            <w:tcW w:w="1022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提高预算编制质量，严格执行预算，保障单位日常运转。</w:t>
            </w:r>
          </w:p>
        </w:tc>
      </w:tr>
      <w:tr>
        <w:trPr>
          <w:trHeight w:val="527"/>
        </w:trPr>
        <w:tc>
          <w:tcPr>
            <w:tcW w:w="14255"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22"/>
                <w:szCs w:val="22"/>
                <w:u w:val="none"/>
              </w:rPr>
            </w:pPr>
            <w:r>
              <w:rPr>
                <w:rFonts w:ascii="宋体" w:eastAsia="宋体" w:cs="宋体" w:hint="eastAsia"/>
                <w:b/>
                <w:bCs/>
                <w:i w:val="0"/>
                <w:iCs w:val="0"/>
                <w:color w:val="000000"/>
                <w:kern w:val="0"/>
                <w:sz w:val="22"/>
                <w:szCs w:val="22"/>
                <w:u w:val="none"/>
                <w:lang w:val="en-US" w:eastAsia="zh-CN"/>
              </w:rPr>
              <w:t>管理效率</w:t>
            </w:r>
          </w:p>
        </w:tc>
      </w:tr>
      <w:tr>
        <w:trPr>
          <w:trHeight w:val="286"/>
        </w:trPr>
        <w:tc>
          <w:tcPr>
            <w:tcW w:w="10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序号</w:t>
            </w:r>
          </w:p>
        </w:tc>
        <w:tc>
          <w:tcPr>
            <w:tcW w:w="14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一级指标</w:t>
            </w:r>
          </w:p>
        </w:tc>
        <w:tc>
          <w:tcPr>
            <w:tcW w:w="14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二级指标</w:t>
            </w:r>
          </w:p>
        </w:tc>
        <w:tc>
          <w:tcPr>
            <w:tcW w:w="208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三级指标</w:t>
            </w:r>
          </w:p>
        </w:tc>
        <w:tc>
          <w:tcPr>
            <w:tcW w:w="22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指标值</w:t>
            </w:r>
          </w:p>
        </w:tc>
        <w:tc>
          <w:tcPr>
            <w:tcW w:w="589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指标参考值</w:t>
            </w:r>
          </w:p>
        </w:tc>
      </w:tr>
      <w:tr>
        <w:trPr>
          <w:trHeight w:val="286"/>
        </w:trPr>
        <w:tc>
          <w:tcPr>
            <w:tcW w:w="107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8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2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4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三年均值</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2022</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2023</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2024</w:t>
            </w:r>
          </w:p>
        </w:tc>
      </w:tr>
      <w:tr>
        <w:trPr>
          <w:trHeight w:val="286"/>
        </w:trPr>
        <w:tc>
          <w:tcPr>
            <w:tcW w:w="107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1</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成本指标</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预算管理</w:t>
            </w:r>
          </w:p>
        </w:tc>
        <w:tc>
          <w:tcPr>
            <w:tcW w:w="208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财政拨款预算偏离度</w:t>
            </w:r>
          </w:p>
        </w:tc>
        <w:tc>
          <w:tcPr>
            <w:tcW w:w="224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38.63%</w:t>
            </w:r>
          </w:p>
        </w:tc>
        <w:tc>
          <w:tcPr>
            <w:tcW w:w="14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38.63%</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67.01%</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36.1%</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12.78%</w:t>
            </w:r>
          </w:p>
        </w:tc>
      </w:tr>
      <w:tr>
        <w:trPr>
          <w:trHeight w:val="286"/>
        </w:trPr>
        <w:tc>
          <w:tcPr>
            <w:tcW w:w="107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2</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成本指标</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预算管理</w:t>
            </w:r>
          </w:p>
        </w:tc>
        <w:tc>
          <w:tcPr>
            <w:tcW w:w="208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预算年终结余率</w:t>
            </w:r>
          </w:p>
        </w:tc>
        <w:tc>
          <w:tcPr>
            <w:tcW w:w="224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12.28%</w:t>
            </w:r>
          </w:p>
        </w:tc>
        <w:tc>
          <w:tcPr>
            <w:tcW w:w="14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12.28%</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14.88%</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0.07%</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21.9%</w:t>
            </w:r>
          </w:p>
        </w:tc>
      </w:tr>
      <w:tr>
        <w:trPr>
          <w:trHeight w:val="286"/>
        </w:trPr>
        <w:tc>
          <w:tcPr>
            <w:tcW w:w="107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3</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成本指标</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预算管理</w:t>
            </w:r>
          </w:p>
        </w:tc>
        <w:tc>
          <w:tcPr>
            <w:tcW w:w="208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一般性支出金额</w:t>
            </w:r>
          </w:p>
        </w:tc>
        <w:tc>
          <w:tcPr>
            <w:tcW w:w="224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23.45万元</w:t>
            </w:r>
          </w:p>
        </w:tc>
        <w:tc>
          <w:tcPr>
            <w:tcW w:w="14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27.48万元</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right"/>
              <w:rPr>
                <w:rFonts w:ascii="宋体" w:eastAsia="宋体" w:cs="宋体" w:hint="eastAsia"/>
                <w:i w:val="0"/>
                <w:iCs w:val="0"/>
                <w:color w:val="000000"/>
                <w:sz w:val="18"/>
                <w:szCs w:val="18"/>
                <w:u w:val="none"/>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right"/>
              <w:rPr>
                <w:rFonts w:ascii="宋体" w:eastAsia="宋体" w:cs="宋体" w:hint="eastAsia"/>
                <w:i w:val="0"/>
                <w:iCs w:val="0"/>
                <w:color w:val="000000"/>
                <w:sz w:val="18"/>
                <w:szCs w:val="18"/>
                <w:u w:val="none"/>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27.48万元</w:t>
            </w:r>
          </w:p>
        </w:tc>
      </w:tr>
      <w:tr>
        <w:trPr>
          <w:trHeight w:val="286"/>
        </w:trPr>
        <w:tc>
          <w:tcPr>
            <w:tcW w:w="107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4</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成本指标</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财务管理</w:t>
            </w:r>
          </w:p>
        </w:tc>
        <w:tc>
          <w:tcPr>
            <w:tcW w:w="208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财务管理规范</w:t>
            </w:r>
          </w:p>
        </w:tc>
        <w:tc>
          <w:tcPr>
            <w:tcW w:w="224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良</w:t>
            </w:r>
          </w:p>
        </w:tc>
        <w:tc>
          <w:tcPr>
            <w:tcW w:w="1465"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right"/>
              <w:rPr>
                <w:rFonts w:ascii="宋体" w:eastAsia="宋体" w:cs="宋体" w:hint="eastAsia"/>
                <w:i w:val="0"/>
                <w:iCs w:val="0"/>
                <w:color w:val="000000"/>
                <w:sz w:val="18"/>
                <w:szCs w:val="18"/>
                <w:u w:val="none"/>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right"/>
              <w:rPr>
                <w:rFonts w:ascii="宋体" w:eastAsia="宋体" w:cs="宋体" w:hint="eastAsia"/>
                <w:i w:val="0"/>
                <w:iCs w:val="0"/>
                <w:color w:val="000000"/>
                <w:sz w:val="18"/>
                <w:szCs w:val="18"/>
                <w:u w:val="none"/>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right"/>
              <w:rPr>
                <w:rFonts w:ascii="宋体" w:eastAsia="宋体" w:cs="宋体" w:hint="eastAsia"/>
                <w:i w:val="0"/>
                <w:iCs w:val="0"/>
                <w:color w:val="000000"/>
                <w:sz w:val="18"/>
                <w:szCs w:val="18"/>
                <w:u w:val="none"/>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right"/>
              <w:rPr>
                <w:rFonts w:ascii="宋体" w:eastAsia="宋体" w:cs="宋体" w:hint="eastAsia"/>
                <w:i w:val="0"/>
                <w:iCs w:val="0"/>
                <w:color w:val="000000"/>
                <w:sz w:val="18"/>
                <w:szCs w:val="18"/>
                <w:u w:val="none"/>
              </w:rPr>
            </w:pPr>
          </w:p>
        </w:tc>
      </w:tr>
      <w:tr>
        <w:trPr>
          <w:trHeight w:val="512"/>
        </w:trPr>
        <w:tc>
          <w:tcPr>
            <w:tcW w:w="14255"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22"/>
                <w:szCs w:val="22"/>
                <w:u w:val="none"/>
              </w:rPr>
            </w:pPr>
            <w:r>
              <w:rPr>
                <w:rFonts w:ascii="宋体" w:eastAsia="宋体" w:cs="宋体" w:hint="eastAsia"/>
                <w:b/>
                <w:bCs/>
                <w:i w:val="0"/>
                <w:iCs w:val="0"/>
                <w:color w:val="000000"/>
                <w:kern w:val="0"/>
                <w:sz w:val="22"/>
                <w:szCs w:val="22"/>
                <w:u w:val="none"/>
                <w:lang w:val="en-US" w:eastAsia="zh-CN"/>
              </w:rPr>
              <w:t>履职效能</w:t>
            </w:r>
          </w:p>
        </w:tc>
      </w:tr>
      <w:tr>
        <w:trPr>
          <w:trHeight w:val="286"/>
        </w:trPr>
        <w:tc>
          <w:tcPr>
            <w:tcW w:w="107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序号</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一级指标</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二级指标</w:t>
            </w:r>
          </w:p>
        </w:tc>
        <w:tc>
          <w:tcPr>
            <w:tcW w:w="43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b/>
                <w:bCs/>
                <w:i w:val="0"/>
                <w:iCs w:val="0"/>
                <w:color w:val="000000"/>
                <w:sz w:val="18"/>
                <w:szCs w:val="18"/>
                <w:u w:val="none"/>
              </w:rPr>
            </w:pPr>
            <w:r>
              <w:rPr>
                <w:rFonts w:ascii="宋体" w:eastAsia="宋体" w:cs="宋体" w:hint="eastAsia"/>
                <w:b/>
                <w:bCs/>
                <w:i w:val="0"/>
                <w:iCs w:val="0"/>
                <w:color w:val="000000"/>
                <w:kern w:val="0"/>
                <w:sz w:val="18"/>
                <w:szCs w:val="18"/>
                <w:u w:val="none"/>
                <w:lang w:val="en-US" w:eastAsia="zh-CN"/>
              </w:rPr>
              <w:t>三级指标</w:t>
            </w:r>
          </w:p>
        </w:tc>
        <w:tc>
          <w:tcPr>
            <w:tcW w:w="589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b/>
                <w:bCs/>
                <w:i w:val="0"/>
                <w:iCs w:val="0"/>
                <w:color w:val="000000"/>
                <w:sz w:val="18"/>
                <w:szCs w:val="18"/>
                <w:u w:val="none"/>
              </w:rPr>
            </w:pPr>
            <w:r>
              <w:rPr>
                <w:rFonts w:ascii="宋体" w:eastAsia="宋体" w:cs="宋体"/>
                <w:b/>
                <w:bCs/>
                <w:i w:val="0"/>
                <w:iCs w:val="0"/>
                <w:color w:val="000000"/>
                <w:kern w:val="0"/>
                <w:sz w:val="18"/>
                <w:szCs w:val="18"/>
                <w:u w:val="none"/>
                <w:lang w:val="en-US" w:eastAsia="zh-CN"/>
              </w:rPr>
              <w:t>指标值（包括数字及文字描述）</w:t>
            </w:r>
          </w:p>
        </w:tc>
      </w:tr>
      <w:tr>
        <w:trPr>
          <w:trHeight w:val="286"/>
        </w:trPr>
        <w:tc>
          <w:tcPr>
            <w:tcW w:w="107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1</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产出指标</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43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各项工作及时完成率</w:t>
            </w:r>
          </w:p>
        </w:tc>
        <w:tc>
          <w:tcPr>
            <w:tcW w:w="589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大于等于95%</w:t>
            </w:r>
          </w:p>
        </w:tc>
      </w:tr>
      <w:tr>
        <w:trPr>
          <w:trHeight w:val="286"/>
        </w:trPr>
        <w:tc>
          <w:tcPr>
            <w:tcW w:w="107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2</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产出指标</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43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开展科学知识宣传活动</w:t>
            </w:r>
          </w:p>
        </w:tc>
        <w:tc>
          <w:tcPr>
            <w:tcW w:w="589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10场次</w:t>
            </w:r>
          </w:p>
        </w:tc>
      </w:tr>
      <w:tr>
        <w:trPr>
          <w:trHeight w:val="286"/>
        </w:trPr>
        <w:tc>
          <w:tcPr>
            <w:tcW w:w="107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3</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产出指标</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43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全年发放科普宣传手册</w:t>
            </w:r>
          </w:p>
        </w:tc>
        <w:tc>
          <w:tcPr>
            <w:tcW w:w="589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大于等于3万册</w:t>
            </w:r>
          </w:p>
        </w:tc>
      </w:tr>
      <w:tr>
        <w:trPr>
          <w:trHeight w:val="286"/>
        </w:trPr>
        <w:tc>
          <w:tcPr>
            <w:tcW w:w="107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4</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产出指标</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43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宣传活动覆盖区域</w:t>
            </w:r>
          </w:p>
        </w:tc>
        <w:tc>
          <w:tcPr>
            <w:tcW w:w="589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大于等于95%</w:t>
            </w:r>
          </w:p>
        </w:tc>
      </w:tr>
      <w:tr>
        <w:trPr>
          <w:trHeight w:val="286"/>
        </w:trPr>
        <w:tc>
          <w:tcPr>
            <w:tcW w:w="107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5</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产出指标</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43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科技工作者注册</w:t>
            </w:r>
          </w:p>
        </w:tc>
        <w:tc>
          <w:tcPr>
            <w:tcW w:w="589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大于等于200人次</w:t>
            </w:r>
          </w:p>
        </w:tc>
      </w:tr>
      <w:tr>
        <w:trPr>
          <w:trHeight w:val="286"/>
        </w:trPr>
        <w:tc>
          <w:tcPr>
            <w:tcW w:w="107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6</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效益指标</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43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服务群众，提升群众科学素质。</w:t>
            </w:r>
          </w:p>
        </w:tc>
        <w:tc>
          <w:tcPr>
            <w:tcW w:w="589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进一步提升</w:t>
            </w:r>
          </w:p>
        </w:tc>
      </w:tr>
      <w:tr>
        <w:trPr>
          <w:trHeight w:val="286"/>
        </w:trPr>
        <w:tc>
          <w:tcPr>
            <w:tcW w:w="107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int="eastAsia"/>
                <w:i w:val="0"/>
                <w:iCs w:val="0"/>
                <w:color w:val="000000"/>
                <w:sz w:val="18"/>
                <w:szCs w:val="18"/>
                <w:u w:val="none"/>
              </w:rPr>
            </w:pPr>
            <w:r>
              <w:rPr>
                <w:rFonts w:ascii="宋体" w:eastAsia="宋体" w:cs="宋体" w:hint="eastAsia"/>
                <w:i w:val="0"/>
                <w:iCs w:val="0"/>
                <w:color w:val="000000"/>
                <w:kern w:val="0"/>
                <w:sz w:val="18"/>
                <w:szCs w:val="18"/>
                <w:u w:val="none"/>
                <w:lang w:val="en-US" w:eastAsia="zh-CN"/>
              </w:rPr>
              <w:t>7</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效益指标</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43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服务对象满意度</w:t>
            </w:r>
          </w:p>
        </w:tc>
        <w:tc>
          <w:tcPr>
            <w:tcW w:w="589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大于等于90%</w:t>
            </w:r>
          </w:p>
        </w:tc>
      </w:tr>
    </w:tbl>
    <w:p>
      <w:pPr>
        <w:rPr>
          <w:rFonts w:ascii="Times New Roman" w:eastAsia="黑体" w:cs="黑体" w:hAnsi="Times New Roman" w:hint="eastAsia"/>
          <w:color w:val="auto"/>
          <w:kern w:val="0"/>
          <w:sz w:val="32"/>
          <w:szCs w:val="32"/>
          <w:shd w:val="clear" w:color="auto" w:fill="FFFFFF"/>
          <w:lang w:val="zh-CN"/>
          <w:highlight w:val="auto"/>
        </w:rPr>
        <w:sectPr>
          <w:pgSz w:w="16838" w:h="11906" w:orient="landscape"/>
          <w:pgMar w:top="1797" w:right="1440" w:bottom="1797" w:left="1440" w:header="851" w:footer="992" w:gutter="0"/>
          <w:pgNumType/>
          <w:docGrid w:type="lines" w:linePitch="312" w:charSpace="0"/>
        </w:sectPr>
      </w:pPr>
    </w:p>
    <w:tbl>
      <w:tblPr>
        <w:jc w:val="left"/>
        <w:tblInd w:w="93" w:type="dxa"/>
        <w:tblW w:w="14115" w:type="dxa"/>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690"/>
        <w:gridCol w:w="2055"/>
        <w:gridCol w:w="1770"/>
        <w:gridCol w:w="2265"/>
        <w:gridCol w:w="525"/>
        <w:gridCol w:w="1680"/>
        <w:gridCol w:w="525"/>
        <w:gridCol w:w="1095"/>
        <w:gridCol w:w="510"/>
        <w:gridCol w:w="450"/>
        <w:gridCol w:w="2550"/>
      </w:tblGrid>
      <w:tr>
        <w:trPr>
          <w:trHeight w:val="904"/>
        </w:trPr>
        <w:tc>
          <w:tcPr>
            <w:tcW w:w="14115"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黑体" w:eastAsia="黑体" w:cs="黑体"/>
                <w:b/>
                <w:bCs/>
                <w:i w:val="0"/>
                <w:iCs w:val="0"/>
                <w:color w:val="000000"/>
                <w:sz w:val="30"/>
                <w:szCs w:val="30"/>
                <w:u w:val="none"/>
              </w:rPr>
            </w:pPr>
            <w:bookmarkStart w:id="56" w:name="_Toc15396618"/>
            <w:r>
              <w:rPr>
                <w:rFonts w:ascii="黑体" w:eastAsia="黑体" w:cs="黑体"/>
                <w:b/>
                <w:bCs/>
                <w:i w:val="0"/>
                <w:iCs w:val="0"/>
                <w:color w:val="000000"/>
                <w:kern w:val="0"/>
                <w:sz w:val="30"/>
                <w:szCs w:val="30"/>
                <w:u w:val="none"/>
                <w:lang w:val="en-US" w:eastAsia="zh-CN"/>
              </w:rPr>
              <w:t>部门预算项目支出绩效自评表（2025年度）</w:t>
            </w:r>
          </w:p>
        </w:tc>
      </w:tr>
      <w:tr>
        <w:trPr>
          <w:trHeight w:val="285"/>
        </w:trPr>
        <w:tc>
          <w:tcPr>
            <w:tcW w:w="27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11370"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51322325T000013287609-2024年中央和省级财政科普科服专项资金项目</w:t>
            </w:r>
          </w:p>
        </w:tc>
      </w:tr>
      <w:tr>
        <w:trPr>
          <w:trHeight w:val="514"/>
        </w:trPr>
        <w:tc>
          <w:tcPr>
            <w:tcW w:w="27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676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茂县科学技术协会</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35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茂县科学技术协会（行政）</w:t>
            </w:r>
          </w:p>
        </w:tc>
      </w:tr>
      <w:tr>
        <w:trPr>
          <w:trHeight w:val="285"/>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676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46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trPr>
          <w:trHeight w:val="2487"/>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676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spacing w:after="180" w:afterAutospacing="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1.提升全民科学素质。开展科普教育、科普宣传、科技培训、科普讲座、科普阵地建设、科普资源开发创作等;实施青少年科学实践活动和青少年想象力培育工程等。</w:t>
              <w:br/>
              <w:t>2.支持加强学术交流。提升科技社团服务能力，开展学术交流品牌活动，举办学术交流活动、会议等。</w:t>
              <w:br/>
              <w:t>3. 提升科协影响力。通过项目的实施，提高茂县科学技术协会在当地的知名度和影响力，吸引更多社会资源参与科普和科技服务工作。</w:t>
              <w:br/>
              <w:t xml:space="preserve">提高科技服务水平。深化智慧服务平台能力提升，通过购买第三方服务，持续推进“天府科技云”服务平台业务工作。   </w:t>
            </w:r>
          </w:p>
        </w:tc>
        <w:tc>
          <w:tcPr>
            <w:tcW w:w="46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年度目标基本完成。</w:t>
            </w:r>
          </w:p>
        </w:tc>
      </w:tr>
      <w:tr>
        <w:trPr>
          <w:trHeight w:val="694"/>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11370"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 xml:space="preserve">开展科普教育、科普宣传、科技培训、科普讲座、科普阵地建设、科普资源开发创作等;实施青少年科学实践活动和青少年想象力培育工程等；开展学术交流品牌活动，举办学术交流活动、会议等；提高科技服务水平。深化智慧服务平台能力提升，通过购买第三方服务，持续推进“天府科技云”服务平台业务工作。   </w:t>
            </w:r>
          </w:p>
        </w:tc>
      </w:tr>
      <w:tr>
        <w:trPr>
          <w:trHeight w:val="360"/>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5"/>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25.00</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25.00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黑体" w:eastAsia="黑体" w:cs="黑体"/>
                <w:i/>
                <w:iCs/>
                <w:color w:val="000000"/>
                <w:sz w:val="18"/>
                <w:szCs w:val="18"/>
                <w:u w:val="none"/>
              </w:rPr>
            </w:pPr>
          </w:p>
        </w:tc>
      </w:tr>
      <w:tr>
        <w:trPr>
          <w:trHeight w:val="390"/>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25.00</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25.00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09"/>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60"/>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hint="eastAsia"/>
                <w:i/>
                <w:iCs/>
                <w:color w:val="000000"/>
                <w:sz w:val="16"/>
                <w:szCs w:val="16"/>
                <w:u w:val="none"/>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54"/>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17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云平台注册科技工作者数</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人</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211</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454"/>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院士（专家）工作站运行完成率</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个</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云平台科普资源汇聚量</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条</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52</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云平台注册组织机构数</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家</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21</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454"/>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2024年度专项资金项目备案完成时间</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2024</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2024</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454"/>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为全县人民群众提供精准科普传播服务总量</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2948</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17</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云平台推广度不够高，精准科普传播服务覆盖不完全</w:t>
            </w: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云平台用户满意度</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75</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云平台用户未完全参与满意度反馈</w:t>
            </w:r>
          </w:p>
        </w:tc>
      </w:tr>
      <w:tr>
        <w:trPr>
          <w:trHeight w:val="285"/>
        </w:trPr>
        <w:tc>
          <w:tcPr>
            <w:tcW w:w="1060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86</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int="eastAsia"/>
                <w:i w:val="0"/>
                <w:iCs w:val="0"/>
                <w:color w:val="000000"/>
                <w:sz w:val="18"/>
                <w:szCs w:val="18"/>
                <w:u w:val="none"/>
              </w:rPr>
            </w:pPr>
          </w:p>
        </w:tc>
      </w:tr>
      <w:tr>
        <w:trPr>
          <w:trHeight w:val="604"/>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134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自评得分86，项目实施取得较好成果，一定程度上提升了全民科学素质，吸引了更多社会资源参与科普和科技服务工作，提高了茂县科学技术协会在当地的知名度和影响力。</w:t>
            </w:r>
          </w:p>
        </w:tc>
      </w:tr>
      <w:tr>
        <w:trPr>
          <w:trHeight w:val="574"/>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134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为全县人民群众提供精准科普传播服务总量及云平台用户满意度不达标，是因为云平台推广度不够高，精准科普传播服务覆盖不完全，云平台用户未完全参与满意度反馈。</w:t>
            </w:r>
          </w:p>
        </w:tc>
      </w:tr>
      <w:tr>
        <w:trPr>
          <w:trHeight w:val="634"/>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134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下一步将继续大力推广天府科技云平台，提高其知名度与使用率，进一步提升精准科普传播服务质量。</w:t>
            </w:r>
          </w:p>
        </w:tc>
      </w:tr>
      <w:tr>
        <w:trPr>
          <w:trHeight w:val="285"/>
        </w:trPr>
        <w:tc>
          <w:tcPr>
            <w:tcW w:w="730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项目负责人：王云</w:t>
            </w:r>
          </w:p>
        </w:tc>
        <w:tc>
          <w:tcPr>
            <w:tcW w:w="681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财务负责人：魏洪娟</w:t>
            </w:r>
          </w:p>
        </w:tc>
      </w:tr>
      <w:tr>
        <w:trPr>
          <w:trHeight w:val="285"/>
        </w:trPr>
        <w:tc>
          <w:tcPr>
            <w:tcW w:w="69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205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77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226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2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68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2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09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1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45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255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r>
      <w:tr>
        <w:trPr>
          <w:trHeight w:val="904"/>
        </w:trPr>
        <w:tc>
          <w:tcPr>
            <w:tcW w:w="14115"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黑体" w:eastAsia="黑体" w:cs="黑体"/>
                <w:b/>
                <w:bCs/>
                <w:i w:val="0"/>
                <w:iCs w:val="0"/>
                <w:color w:val="000000"/>
                <w:sz w:val="30"/>
                <w:szCs w:val="30"/>
                <w:u w:val="none"/>
              </w:rPr>
            </w:pPr>
            <w:r>
              <w:rPr>
                <w:rFonts w:ascii="黑体" w:eastAsia="黑体" w:cs="黑体"/>
                <w:b/>
                <w:bCs/>
                <w:i w:val="0"/>
                <w:iCs w:val="0"/>
                <w:color w:val="000000"/>
                <w:kern w:val="0"/>
                <w:sz w:val="30"/>
                <w:szCs w:val="30"/>
                <w:u w:val="none"/>
                <w:lang w:val="en-US" w:eastAsia="zh-CN"/>
              </w:rPr>
              <w:t>部门预算项目支出绩效自评表（2025年度）</w:t>
            </w:r>
          </w:p>
        </w:tc>
      </w:tr>
      <w:tr>
        <w:trPr>
          <w:trHeight w:val="285"/>
        </w:trPr>
        <w:tc>
          <w:tcPr>
            <w:tcW w:w="27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11370"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51322325T000013798755-2024年阿坝州“科普惠农兴村计划”专项资金项目</w:t>
            </w:r>
          </w:p>
        </w:tc>
      </w:tr>
      <w:tr>
        <w:trPr>
          <w:trHeight w:val="514"/>
        </w:trPr>
        <w:tc>
          <w:tcPr>
            <w:tcW w:w="27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676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茂县科学技术协会</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35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茂县科学技术协会（行政）</w:t>
            </w:r>
          </w:p>
        </w:tc>
      </w:tr>
      <w:tr>
        <w:trPr>
          <w:trHeight w:val="285"/>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676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46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trPr>
          <w:trHeight w:val="1129"/>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676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实施“科普惠农兴村计划”专项资金项目，提升农村地区群众的科学素质，促进农业科技成果转化应用，推动农村产业发展，助力乡村振兴。具体包括开展各类科普活动，发挥科普示范基地作用，培育新型职业农民等，确保项目实施后农村居民科学素养显著提升，农业生产效率提高，农村经济得到可持续发展。</w:t>
            </w:r>
          </w:p>
        </w:tc>
        <w:tc>
          <w:tcPr>
            <w:tcW w:w="46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年度目标基本完成。</w:t>
            </w:r>
          </w:p>
        </w:tc>
      </w:tr>
      <w:tr>
        <w:trPr>
          <w:trHeight w:val="694"/>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11370"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通过实施“科普惠农兴村计划”专项资金项目，提升农村地区群众的科学素质，促进农业科技成果转化应用，推动农村产业发展，助力乡村振兴。具体包括开展各类科普活动，发挥科普示范基地作用，培育新型职业农民等，确保项目实施后农村居民科学素养显著提升，农业生产效率提高，农村经济得到可持续发展。</w:t>
            </w:r>
          </w:p>
        </w:tc>
      </w:tr>
      <w:tr>
        <w:trPr>
          <w:trHeight w:val="360"/>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5"/>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6.00</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黑体" w:eastAsia="黑体" w:cs="黑体"/>
                <w:i/>
                <w:iCs/>
                <w:color w:val="000000"/>
                <w:sz w:val="18"/>
                <w:szCs w:val="18"/>
                <w:u w:val="none"/>
              </w:rPr>
            </w:pPr>
          </w:p>
        </w:tc>
      </w:tr>
      <w:tr>
        <w:trPr>
          <w:trHeight w:val="390"/>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6.00</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6.00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09"/>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60"/>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54"/>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17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发放科普资料数量</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份</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500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举办科普培训次数</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4</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受益农户数量</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户</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设施利用率</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85</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设施利用频率不高</w:t>
            </w: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项目完成及时性</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经济效益指标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农产品增收率</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25</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16</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农产品有增收，但未达标</w:t>
            </w: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生态效益指标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生态环保技术应用率</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85</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80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生态环保技术普及度不高</w:t>
            </w: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农户满意度</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95</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90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农户对农产品相关科普知识还有部分不理解</w:t>
            </w:r>
          </w:p>
        </w:tc>
      </w:tr>
      <w:tr>
        <w:trPr>
          <w:trHeight w:val="285"/>
        </w:trPr>
        <w:tc>
          <w:tcPr>
            <w:tcW w:w="1060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93</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int="eastAsia"/>
                <w:i w:val="0"/>
                <w:iCs w:val="0"/>
                <w:color w:val="000000"/>
                <w:sz w:val="18"/>
                <w:szCs w:val="18"/>
                <w:u w:val="none"/>
              </w:rPr>
            </w:pPr>
          </w:p>
        </w:tc>
      </w:tr>
      <w:tr>
        <w:trPr>
          <w:trHeight w:val="604"/>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134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自评93分，项目实施一定程度上提升了农村地区群众的科学素质，提高了农业生产效率，促进了农业科技成果转化应用。</w:t>
            </w:r>
          </w:p>
        </w:tc>
      </w:tr>
      <w:tr>
        <w:trPr>
          <w:trHeight w:val="574"/>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134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科普示范基地作用未完全体现，设施利用频率不高，农产品有增收，但未达标，生态环保技术普及度不高，农户对农产品相关科普知识还有部分不理解。</w:t>
            </w:r>
          </w:p>
        </w:tc>
      </w:tr>
      <w:tr>
        <w:trPr>
          <w:trHeight w:val="634"/>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134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下一步将继续开展各类科普活动，发挥科普示范基地作用，提升设施设备利用率与生态环保技术普及度，培育新型职业农民，提高农业生产效率。</w:t>
            </w:r>
          </w:p>
        </w:tc>
      </w:tr>
      <w:tr>
        <w:trPr>
          <w:trHeight w:val="285"/>
        </w:trPr>
        <w:tc>
          <w:tcPr>
            <w:tcW w:w="730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项目负责人：王云</w:t>
            </w:r>
          </w:p>
        </w:tc>
        <w:tc>
          <w:tcPr>
            <w:tcW w:w="681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财务负责人：魏洪娟</w:t>
            </w:r>
          </w:p>
        </w:tc>
      </w:tr>
      <w:tr>
        <w:trPr>
          <w:trHeight w:val="285"/>
        </w:trPr>
        <w:tc>
          <w:tcPr>
            <w:tcW w:w="69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205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77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226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2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68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2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09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1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45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255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r>
      <w:tr>
        <w:trPr>
          <w:trHeight w:val="285"/>
        </w:trPr>
        <w:tc>
          <w:tcPr>
            <w:tcW w:w="69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p>
            <w:pPr>
              <w:rPr>
                <w:rFonts w:ascii="宋体" w:eastAsia="宋体" w:cs="宋体" w:hint="eastAsia"/>
                <w:i w:val="0"/>
                <w:iCs w:val="0"/>
                <w:color w:val="000000"/>
                <w:sz w:val="18"/>
                <w:szCs w:val="18"/>
                <w:u w:val="none"/>
              </w:rPr>
            </w:pPr>
          </w:p>
          <w:p>
            <w:pPr>
              <w:rPr>
                <w:rFonts w:ascii="宋体" w:eastAsia="宋体" w:cs="宋体" w:hint="eastAsia"/>
                <w:i w:val="0"/>
                <w:iCs w:val="0"/>
                <w:color w:val="000000"/>
                <w:sz w:val="18"/>
                <w:szCs w:val="18"/>
                <w:u w:val="none"/>
              </w:rPr>
            </w:pPr>
          </w:p>
          <w:p>
            <w:pPr>
              <w:rPr>
                <w:rFonts w:ascii="宋体" w:eastAsia="宋体" w:cs="宋体" w:hint="eastAsia"/>
                <w:i w:val="0"/>
                <w:iCs w:val="0"/>
                <w:color w:val="000000"/>
                <w:sz w:val="18"/>
                <w:szCs w:val="18"/>
                <w:u w:val="none"/>
              </w:rPr>
            </w:pPr>
          </w:p>
          <w:p>
            <w:pPr>
              <w:rPr>
                <w:rFonts w:ascii="宋体" w:eastAsia="宋体" w:cs="宋体" w:hint="eastAsia"/>
                <w:i w:val="0"/>
                <w:iCs w:val="0"/>
                <w:color w:val="000000"/>
                <w:sz w:val="18"/>
                <w:szCs w:val="18"/>
                <w:u w:val="none"/>
              </w:rPr>
            </w:pPr>
          </w:p>
          <w:p>
            <w:pPr>
              <w:rPr>
                <w:rFonts w:ascii="宋体" w:eastAsia="宋体" w:cs="宋体" w:hint="eastAsia"/>
                <w:i w:val="0"/>
                <w:iCs w:val="0"/>
                <w:color w:val="000000"/>
                <w:sz w:val="18"/>
                <w:szCs w:val="18"/>
                <w:u w:val="none"/>
              </w:rPr>
            </w:pPr>
          </w:p>
        </w:tc>
        <w:tc>
          <w:tcPr>
            <w:tcW w:w="205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77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226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2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68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2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09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1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45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255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r>
      <w:tr>
        <w:trPr>
          <w:trHeight w:val="904"/>
        </w:trPr>
        <w:tc>
          <w:tcPr>
            <w:tcW w:w="14115"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黑体" w:eastAsia="黑体" w:cs="黑体"/>
                <w:b/>
                <w:bCs/>
                <w:i w:val="0"/>
                <w:iCs w:val="0"/>
                <w:color w:val="000000"/>
                <w:sz w:val="30"/>
                <w:szCs w:val="30"/>
                <w:u w:val="none"/>
              </w:rPr>
            </w:pPr>
            <w:r>
              <w:rPr>
                <w:rFonts w:ascii="黑体" w:eastAsia="黑体" w:cs="黑体"/>
                <w:b/>
                <w:bCs/>
                <w:i w:val="0"/>
                <w:iCs w:val="0"/>
                <w:color w:val="000000"/>
                <w:kern w:val="0"/>
                <w:sz w:val="30"/>
                <w:szCs w:val="30"/>
                <w:u w:val="none"/>
                <w:lang w:val="en-US" w:eastAsia="zh-CN"/>
              </w:rPr>
              <w:t>部门预算项目支出绩效自评表（2025年度）</w:t>
            </w:r>
          </w:p>
        </w:tc>
      </w:tr>
      <w:tr>
        <w:trPr>
          <w:trHeight w:val="285"/>
        </w:trPr>
        <w:tc>
          <w:tcPr>
            <w:tcW w:w="27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项目名称</w:t>
            </w:r>
          </w:p>
        </w:tc>
        <w:tc>
          <w:tcPr>
            <w:tcW w:w="11370"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51322325T000013914478-2025年中央和省级财政科普科服专项资金项目</w:t>
            </w:r>
          </w:p>
        </w:tc>
      </w:tr>
      <w:tr>
        <w:trPr>
          <w:trHeight w:val="514"/>
        </w:trPr>
        <w:tc>
          <w:tcPr>
            <w:tcW w:w="27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主管部门</w:t>
            </w:r>
          </w:p>
        </w:tc>
        <w:tc>
          <w:tcPr>
            <w:tcW w:w="676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茂县科学技术协会</w:t>
            </w:r>
          </w:p>
        </w:tc>
        <w:tc>
          <w:tcPr>
            <w:tcW w:w="1095"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实施单位 （盖章）</w:t>
            </w:r>
          </w:p>
        </w:tc>
        <w:tc>
          <w:tcPr>
            <w:tcW w:w="35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茂县科学技术协会（行政）</w:t>
            </w:r>
          </w:p>
        </w:tc>
      </w:tr>
      <w:tr>
        <w:trPr>
          <w:trHeight w:val="285"/>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项目基本情况</w:t>
            </w:r>
          </w:p>
        </w:tc>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1.项目年度目标完成情况</w:t>
            </w:r>
          </w:p>
        </w:tc>
        <w:tc>
          <w:tcPr>
            <w:tcW w:w="676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项目年度目标</w:t>
            </w:r>
          </w:p>
        </w:tc>
        <w:tc>
          <w:tcPr>
            <w:tcW w:w="46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年度目标完成情况</w:t>
            </w:r>
          </w:p>
        </w:tc>
      </w:tr>
      <w:tr>
        <w:trPr>
          <w:trHeight w:val="135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676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1.提升全民科学素质。开展科普教育、科普宣传、科技培训、科普讲座、科普阵地建设、科普资源开发创作等;实施青少年科学实践活动和青少年想象力培育工程等。</w:t>
              <w:br/>
              <w:t>2.支持加强学术交流。提升科技社团服务能力，开展学术交流品牌活动，举办学术交流活动、会议等。</w:t>
            </w:r>
          </w:p>
        </w:tc>
        <w:tc>
          <w:tcPr>
            <w:tcW w:w="460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年度目标基本完成。</w:t>
            </w:r>
          </w:p>
        </w:tc>
      </w:tr>
      <w:tr>
        <w:trPr>
          <w:trHeight w:val="694"/>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2.项目实施内容及过程概述</w:t>
            </w:r>
          </w:p>
        </w:tc>
        <w:tc>
          <w:tcPr>
            <w:tcW w:w="11370"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开展科普教育、科普宣传、科技培训、科普讲座、科普阵地建设、科普资源开发创作等;实施青少年科学实践活动和青少年想象力培育工程等；开展学术交流品牌活动，举办学术交流活动、会议等；提高科技服务水平。</w:t>
            </w:r>
          </w:p>
        </w:tc>
      </w:tr>
      <w:tr>
        <w:trPr>
          <w:trHeight w:val="360"/>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预算执行情况（10分）</w:t>
            </w: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年度预算数（万元）</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年初预算</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调整后预算数</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预算执行数</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预算执行率</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原因</w:t>
            </w:r>
          </w:p>
        </w:tc>
      </w:tr>
      <w:tr>
        <w:trPr>
          <w:trHeight w:val="345"/>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总额</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4.25</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4.25</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黑体" w:eastAsia="黑体" w:cs="黑体"/>
                <w:i/>
                <w:iCs/>
                <w:color w:val="000000"/>
                <w:sz w:val="18"/>
                <w:szCs w:val="18"/>
                <w:u w:val="none"/>
              </w:rPr>
            </w:pPr>
          </w:p>
        </w:tc>
      </w:tr>
      <w:tr>
        <w:trPr>
          <w:trHeight w:val="390"/>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其中：财政资金</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4.25</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4.25</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09"/>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财政专户管理资金</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60"/>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单位资金</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0.00%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其他资金</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c>
          <w:tcPr>
            <w:tcW w:w="27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25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454"/>
        </w:trPr>
        <w:tc>
          <w:tcPr>
            <w:tcW w:w="6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绩效指标（90分）</w:t>
            </w: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一级指标</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二级指标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三级指标</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指标性质</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指标值</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度量单位</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完成值</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权重</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得分</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未完成原因分析</w:t>
            </w:r>
          </w:p>
        </w:tc>
      </w:tr>
      <w:tr>
        <w:trPr>
          <w:trHeight w:val="454"/>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产出指标</w:t>
            </w:r>
          </w:p>
        </w:tc>
        <w:tc>
          <w:tcPr>
            <w:tcW w:w="17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数量指标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云平台本地科普动态发布量</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条</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297</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举办各类科普宣传活动</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云平台促成交易项目数</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项</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572</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454"/>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质量指标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院士（专家）工作站运行率</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100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454"/>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时效指标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2025年度专项资金项目备案完成时间</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定性</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2025</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年</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2025</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454"/>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效益指标</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社会效益指标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为全县人民群众提供精准科普传播服务总量</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5000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次</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2948</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30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17</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云平台推广度不够高，精准科普传播服务覆盖不完全</w:t>
            </w:r>
          </w:p>
        </w:tc>
      </w:tr>
      <w:tr>
        <w:trPr>
          <w:trHeight w:val="338"/>
        </w:trPr>
        <w:tc>
          <w:tcPr>
            <w:tcW w:w="6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0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177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满意度指标</w:t>
            </w:r>
          </w:p>
        </w:tc>
        <w:tc>
          <w:tcPr>
            <w:tcW w:w="226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云平台用户满意度</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68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80</w:t>
            </w:r>
          </w:p>
        </w:tc>
        <w:tc>
          <w:tcPr>
            <w:tcW w:w="52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w:t>
            </w:r>
          </w:p>
        </w:tc>
        <w:tc>
          <w:tcPr>
            <w:tcW w:w="109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80</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微软雅黑" w:eastAsia="微软雅黑" w:cs="微软雅黑"/>
                <w:i/>
                <w:iCs/>
                <w:color w:val="000000"/>
                <w:sz w:val="16"/>
                <w:szCs w:val="16"/>
                <w:u w:val="none"/>
              </w:rPr>
            </w:pPr>
          </w:p>
        </w:tc>
      </w:tr>
      <w:tr>
        <w:trPr>
          <w:trHeight w:val="285"/>
        </w:trPr>
        <w:tc>
          <w:tcPr>
            <w:tcW w:w="10605"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合计</w:t>
            </w:r>
          </w:p>
        </w:tc>
        <w:tc>
          <w:tcPr>
            <w:tcW w:w="51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100</w:t>
            </w:r>
          </w:p>
        </w:tc>
        <w:tc>
          <w:tcPr>
            <w:tcW w:w="45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87</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int="eastAsia"/>
                <w:i w:val="0"/>
                <w:iCs w:val="0"/>
                <w:color w:val="000000"/>
                <w:sz w:val="18"/>
                <w:szCs w:val="18"/>
                <w:u w:val="none"/>
              </w:rPr>
            </w:pPr>
          </w:p>
        </w:tc>
      </w:tr>
      <w:tr>
        <w:trPr>
          <w:trHeight w:val="604"/>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评价结论</w:t>
            </w:r>
          </w:p>
        </w:tc>
        <w:tc>
          <w:tcPr>
            <w:tcW w:w="134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自评得分87，项目实施取得较好成果，一定程度上提升了全民科学素质，吸引了更多社会资源参与科普和科技服务工作，提高了茂县科学技术协会在当地的知名度和影响力。</w:t>
            </w:r>
          </w:p>
        </w:tc>
      </w:tr>
      <w:tr>
        <w:trPr>
          <w:trHeight w:val="574"/>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存在问题</w:t>
            </w:r>
          </w:p>
        </w:tc>
        <w:tc>
          <w:tcPr>
            <w:tcW w:w="134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为全县人民群众提供精准科普传播服务总量，是因为云平台推广度不够高，精准科普传播服务覆盖不完全。</w:t>
            </w:r>
          </w:p>
        </w:tc>
      </w:tr>
      <w:tr>
        <w:trPr>
          <w:trHeight w:val="634"/>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i w:val="0"/>
                <w:iCs w:val="0"/>
                <w:color w:val="000000"/>
                <w:sz w:val="18"/>
                <w:szCs w:val="18"/>
                <w:u w:val="none"/>
              </w:rPr>
            </w:pPr>
            <w:r>
              <w:rPr>
                <w:rFonts w:ascii="宋体" w:eastAsia="宋体" w:cs="宋体"/>
                <w:i w:val="0"/>
                <w:iCs w:val="0"/>
                <w:color w:val="000000"/>
                <w:kern w:val="0"/>
                <w:sz w:val="18"/>
                <w:szCs w:val="18"/>
                <w:u w:val="none"/>
                <w:lang w:val="en-US" w:eastAsia="zh-CN"/>
              </w:rPr>
              <w:t>改进措施</w:t>
            </w:r>
          </w:p>
        </w:tc>
        <w:tc>
          <w:tcPr>
            <w:tcW w:w="13425"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微软雅黑" w:eastAsia="微软雅黑" w:cs="微软雅黑"/>
                <w:i/>
                <w:iCs/>
                <w:color w:val="000000"/>
                <w:sz w:val="16"/>
                <w:szCs w:val="16"/>
                <w:u w:val="none"/>
              </w:rPr>
            </w:pPr>
            <w:r>
              <w:rPr>
                <w:rFonts w:ascii="微软雅黑" w:eastAsia="微软雅黑" w:cs="微软雅黑"/>
                <w:i/>
                <w:iCs/>
                <w:color w:val="000000"/>
                <w:kern w:val="0"/>
                <w:sz w:val="16"/>
                <w:szCs w:val="16"/>
                <w:u w:val="none"/>
                <w:lang w:val="en-US" w:eastAsia="zh-CN"/>
              </w:rPr>
              <w:t>下一步将继续大力推广天府科技云平台，提高其知名度与使用率，进一步提升精准科普传播服务质量。</w:t>
            </w:r>
          </w:p>
        </w:tc>
      </w:tr>
      <w:tr>
        <w:trPr>
          <w:trHeight w:val="285"/>
        </w:trPr>
        <w:tc>
          <w:tcPr>
            <w:tcW w:w="730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项目负责人：王云</w:t>
            </w:r>
          </w:p>
        </w:tc>
        <w:tc>
          <w:tcPr>
            <w:tcW w:w="681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黑体" w:eastAsia="黑体" w:cs="黑体"/>
                <w:i w:val="0"/>
                <w:iCs w:val="0"/>
                <w:color w:val="000000"/>
                <w:sz w:val="18"/>
                <w:szCs w:val="18"/>
                <w:u w:val="none"/>
              </w:rPr>
            </w:pPr>
            <w:r>
              <w:rPr>
                <w:rFonts w:ascii="黑体" w:eastAsia="黑体" w:cs="黑体"/>
                <w:i w:val="0"/>
                <w:iCs w:val="0"/>
                <w:color w:val="000000"/>
                <w:kern w:val="0"/>
                <w:sz w:val="18"/>
                <w:szCs w:val="18"/>
                <w:u w:val="none"/>
                <w:lang w:val="en-US" w:eastAsia="zh-CN"/>
              </w:rPr>
              <w:t>财务负责人：魏洪娟</w:t>
            </w:r>
          </w:p>
        </w:tc>
      </w:tr>
      <w:tr>
        <w:trPr>
          <w:trHeight w:val="285"/>
        </w:trPr>
        <w:tc>
          <w:tcPr>
            <w:tcW w:w="69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205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77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226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2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68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2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1095"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51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45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c>
          <w:tcPr>
            <w:tcW w:w="2550" w:type="dxa"/>
            <w:tcBorders>
              <w:top w:val="nil"/>
              <w:left w:val="nil"/>
              <w:bottom w:val="nil"/>
              <w:right w:val="nil"/>
            </w:tcBorders>
            <w:shd w:val="clear" w:color="auto" w:fill="auto"/>
            <w:vAlign w:val="center"/>
          </w:tcPr>
          <w:p>
            <w:pPr>
              <w:rPr>
                <w:rFonts w:ascii="宋体" w:eastAsia="宋体" w:cs="宋体" w:hint="eastAsia"/>
                <w:i w:val="0"/>
                <w:iCs w:val="0"/>
                <w:color w:val="000000"/>
                <w:sz w:val="18"/>
                <w:szCs w:val="18"/>
                <w:u w:val="none"/>
              </w:rPr>
            </w:pPr>
          </w:p>
        </w:tc>
      </w:tr>
    </w:tbl>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eastAsia="仿宋_GB2312" w:cs="仿宋_GB2312" w:hAnsi="Times New Roman" w:hint="eastAsia"/>
          <w:b w:val="0"/>
          <w:bCs w:val="0"/>
          <w:kern w:val="0"/>
          <w:position w:val="0"/>
          <w:sz w:val="32"/>
          <w:szCs w:val="32"/>
          <w:lang w:val="en-US" w:eastAsia="zh-CN" w:bidi="ar-SA"/>
          <w:highlight w:val="auto"/>
        </w:rPr>
        <w:sectPr>
          <w:footerReference w:type="default" r:id="rId17"/>
          <w:pgSz w:w="16838" w:h="11906" w:orient="landscape"/>
          <w:pgMar w:top="1800" w:right="1440" w:bottom="1800" w:left="1440" w:header="851" w:footer="992" w:gutter="0"/>
          <w:pgNumType/>
          <w:docGrid w:type="lines" w:linePitch="312" w:charSpace="0"/>
        </w:sectPr>
      </w:pPr>
    </w:p>
    <w:p>
      <w:pPr>
        <w:pStyle w:val="15"/>
        <w:rPr>
          <w:rFonts w:ascii="Times New Roman" w:eastAsia="黑体" w:cs="黑体" w:hAnsi="Times New Roman" w:hint="eastAsia"/>
          <w:b w:val="0"/>
          <w:color w:val="auto"/>
          <w:kern w:val="2"/>
          <w:sz w:val="32"/>
          <w:szCs w:val="32"/>
          <w:lang w:val="en-US" w:eastAsia="zh-CN" w:bidi="ar-SA"/>
          <w:highlight w:val="auto"/>
        </w:rPr>
      </w:pPr>
      <w:r>
        <w:rPr>
          <w:rFonts w:ascii="Times New Roman" w:eastAsia="黑体" w:cs="黑体" w:hAnsi="Times New Roman" w:hint="eastAsia"/>
          <w:b w:val="0"/>
          <w:color w:val="auto"/>
          <w:kern w:val="2"/>
          <w:sz w:val="32"/>
          <w:szCs w:val="32"/>
          <w:lang w:val="en-US" w:eastAsia="zh-CN" w:bidi="ar-SA"/>
          <w:highlight w:val="auto"/>
        </w:rPr>
        <w:t>附件2:</w:t>
      </w:r>
    </w:p>
    <w:p>
      <w:pPr>
        <w:rPr>
          <w:rFonts w:hint="eastAsia"/>
          <w:lang w:val="en-US" w:eastAsia="zh-CN"/>
        </w:rPr>
      </w:pPr>
    </w:p>
    <w:p>
      <w:pPr>
        <w:jc w:val="center"/>
        <w:rPr>
          <w:rFonts w:ascii="方正小标宋简体" w:eastAsia="方正小标宋简体" w:cs="方正小标宋简体" w:hint="eastAsia"/>
          <w:b w:val="0"/>
          <w:bCs w:val="0"/>
          <w:kern w:val="0"/>
          <w:position w:val="0"/>
          <w:sz w:val="44"/>
          <w:szCs w:val="44"/>
          <w:lang w:val="en-US" w:eastAsia="zh-CN" w:bidi="ar-SA"/>
          <w:highlight w:val="auto"/>
        </w:rPr>
      </w:pPr>
      <w:r>
        <w:rPr>
          <w:rFonts w:ascii="方正小标宋简体" w:eastAsia="方正小标宋简体" w:cs="方正小标宋简体" w:hint="eastAsia"/>
          <w:b/>
          <w:bCs/>
          <w:kern w:val="0"/>
          <w:position w:val="0"/>
          <w:sz w:val="44"/>
          <w:szCs w:val="44"/>
          <w:lang w:val="en-US" w:eastAsia="zh-CN" w:bidi="ar-SA"/>
          <w:highlight w:val="auto"/>
        </w:rPr>
        <w:t>专项预算项目绩效评价报告</w:t>
      </w:r>
    </w:p>
    <w:p>
      <w:pPr>
        <w:pStyle w:val="15"/>
        <w:jc w:val="center"/>
        <w:rPr>
          <w:lang w:val="en-US" w:eastAsia="zh-CN"/>
        </w:rPr>
      </w:pPr>
      <w:r>
        <w:rPr>
          <w:rFonts w:eastAsia="仿宋_GB2312" w:cs="Times New Roman" w:hint="eastAsia"/>
          <w:b w:val="0"/>
          <w:bCs w:val="0"/>
          <w:kern w:val="0"/>
          <w:position w:val="0"/>
          <w:sz w:val="32"/>
          <w:szCs w:val="32"/>
          <w:lang w:val="en-US" w:eastAsia="zh-CN" w:bidi="ar-SA"/>
          <w:highlight w:val="auto"/>
        </w:rPr>
        <w:t>（本部门不涉及此类项目）</w:t>
      </w:r>
    </w:p>
    <w:p>
      <w:pPr>
        <w:rPr>
          <w:rFonts w:ascii="Times New Roman" w:eastAsia="仿宋_GB2312" w:cs="仿宋_GB2312" w:hAnsi="Times New Roman" w:hint="eastAsia"/>
          <w:b w:val="0"/>
          <w:bCs w:val="0"/>
          <w:kern w:val="0"/>
          <w:position w:val="0"/>
          <w:sz w:val="32"/>
          <w:szCs w:val="32"/>
          <w:lang w:val="en-US" w:eastAsia="zh-CN" w:bidi="ar-SA"/>
          <w:highlight w:val="auto"/>
        </w:rPr>
      </w:pPr>
      <w:r>
        <w:rPr>
          <w:rFonts w:ascii="Times New Roman" w:eastAsia="仿宋_GB2312" w:cs="仿宋_GB2312" w:hAnsi="Times New Roman" w:hint="eastAsia"/>
          <w:b w:val="0"/>
          <w:bCs w:val="0"/>
          <w:kern w:val="0"/>
          <w:position w:val="0"/>
          <w:sz w:val="32"/>
          <w:szCs w:val="32"/>
          <w:lang w:val="en-US" w:eastAsia="zh-CN" w:bidi="ar-SA"/>
          <w:highlight w:val="auto"/>
        </w:rPr>
        <w:br w:type="page"/>
      </w:r>
    </w:p>
    <w:p>
      <w:pPr>
        <w:pStyle w:val="15"/>
        <w:rPr>
          <w:rFonts w:hint="eastAsia"/>
          <w:lang w:val="en-US" w:eastAsia="zh-CN"/>
        </w:rPr>
      </w:pPr>
    </w:p>
    <w:p>
      <w:pPr>
        <w:pStyle w:val="1"/>
        <w:keepNext/>
        <w:keepLines/>
        <w:pageBreakBefore w:val="0"/>
        <w:widowControl w:val="0"/>
        <w:kinsoku/>
        <w:wordWrap/>
        <w:overflowPunct/>
        <w:topLinePunct w:val="0"/>
        <w:autoSpaceDE/>
        <w:autoSpaceDN/>
        <w:bidi w:val="0"/>
        <w:adjustRightInd/>
        <w:snapToGrid/>
        <w:spacing w:before="0" w:after="0" w:line="578" w:lineRule="auto"/>
        <w:jc w:val="center"/>
        <w:textAlignment w:val="auto"/>
        <w:rPr>
          <w:rFonts w:ascii="Times New Roman" w:eastAsia="方正小标宋简体" w:cs="方正小标宋简体" w:hAnsi="Times New Roman" w:hint="eastAsia"/>
          <w:b w:val="0"/>
          <w:color w:val="auto"/>
          <w:highlight w:val="auto"/>
        </w:rPr>
      </w:pPr>
      <w:r>
        <w:rPr>
          <w:rFonts w:ascii="Times New Roman" w:eastAsia="方正小标宋简体" w:cs="方正小标宋简体" w:hAnsi="Times New Roman" w:hint="eastAsia"/>
          <w:b w:val="0"/>
          <w:color w:val="auto"/>
          <w:highlight w:val="auto"/>
        </w:rPr>
        <w:t>第五部分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附表</w:t>
      </w:r>
      <w:bookmarkStart w:id="57" w:name="_Toc15396619"/>
      <w:bookmarkEnd w:id="54"/>
      <w:bookmarkEnd w:id="56"/>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600" w:lineRule="exact"/>
        <w:ind w:leftChars="0" w:left="0" w:firstLine="0"/>
        <w:jc w:val="left"/>
        <w:textAlignment w:val="auto"/>
        <w:rPr>
          <w:rFonts w:ascii="Times New Roman" w:eastAsia="仿宋_GB2312" w:cs="仿宋_GB2312" w:hAnsi="Times New Roman" w:hint="eastAsia"/>
          <w:color w:val="auto"/>
          <w:sz w:val="32"/>
          <w:szCs w:val="32"/>
          <w:highlight w:val="auto"/>
        </w:rPr>
      </w:pP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60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bookmarkEnd w:id="57"/>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60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bookmarkStart w:id="58" w:name="_Toc15396620"/>
      <w:r>
        <w:rPr>
          <w:rFonts w:ascii="Times New Roman" w:eastAsia="仿宋_GB2312" w:cs="仿宋_GB2312" w:hAnsi="Times New Roman" w:hint="eastAsia"/>
          <w:color w:val="auto"/>
          <w:sz w:val="32"/>
          <w:szCs w:val="32"/>
          <w:highlight w:val="auto"/>
        </w:rPr>
        <w:t>二、收入决算表</w:t>
      </w:r>
      <w:bookmarkEnd w:id="58"/>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60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bookmarkStart w:id="59" w:name="_Toc15396621"/>
      <w:r>
        <w:rPr>
          <w:rFonts w:ascii="Times New Roman" w:eastAsia="仿宋_GB2312" w:cs="仿宋_GB2312" w:hAnsi="Times New Roman" w:hint="eastAsia"/>
          <w:color w:val="auto"/>
          <w:sz w:val="32"/>
          <w:szCs w:val="32"/>
          <w:highlight w:val="auto"/>
        </w:rPr>
        <w:t>三、支出决算表</w:t>
      </w:r>
      <w:bookmarkEnd w:id="59"/>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60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bookmarkStart w:id="60" w:name="_Toc15396622"/>
      <w:r>
        <w:rPr>
          <w:rFonts w:ascii="Times New Roman" w:eastAsia="仿宋_GB2312" w:cs="仿宋_GB2312" w:hAnsi="Times New Roman" w:hint="eastAsia"/>
          <w:color w:val="auto"/>
          <w:sz w:val="32"/>
          <w:szCs w:val="32"/>
          <w:highlight w:val="auto"/>
        </w:rPr>
        <w:t>四、财政拨款收入支出决算总表</w:t>
      </w:r>
      <w:bookmarkEnd w:id="60"/>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60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bookmarkStart w:id="61" w:name="_Toc15396623"/>
      <w:r>
        <w:rPr>
          <w:rFonts w:ascii="Times New Roman" w:eastAsia="仿宋_GB2312" w:cs="仿宋_GB2312" w:hAnsi="Times New Roman" w:hint="eastAsia"/>
          <w:color w:val="auto"/>
          <w:sz w:val="32"/>
          <w:szCs w:val="32"/>
          <w:highlight w:val="auto"/>
        </w:rPr>
        <w:t>五、财政拨款支出决算明细表</w:t>
      </w:r>
      <w:bookmarkStart w:id="62" w:name="_Toc15396624"/>
      <w:bookmarkEnd w:id="61"/>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60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bookmarkEnd w:id="62"/>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60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bookmarkStart w:id="63" w:name="_Toc15396625"/>
      <w:r>
        <w:rPr>
          <w:rFonts w:ascii="Times New Roman" w:eastAsia="仿宋_GB2312" w:cs="仿宋_GB2312" w:hAnsi="Times New Roman" w:hint="eastAsia"/>
          <w:color w:val="auto"/>
          <w:sz w:val="32"/>
          <w:szCs w:val="32"/>
          <w:highlight w:val="auto"/>
        </w:rPr>
        <w:t>七、一般公共预算财政拨款支出决算明细表</w:t>
      </w:r>
      <w:bookmarkEnd w:id="63"/>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60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bookmarkStart w:id="64" w:name="_Toc15396626"/>
      <w:r>
        <w:rPr>
          <w:rFonts w:ascii="Times New Roman" w:eastAsia="仿宋_GB2312" w:cs="仿宋_GB2312" w:hAnsi="Times New Roman" w:hint="eastAsia"/>
          <w:color w:val="auto"/>
          <w:sz w:val="32"/>
          <w:szCs w:val="32"/>
          <w:highlight w:val="auto"/>
        </w:rPr>
        <w:t>八、一般公共预算财政拨款基本支出决算表</w:t>
      </w:r>
      <w:bookmarkEnd w:id="64"/>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60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bookmarkStart w:id="65" w:name="_Toc15396627"/>
      <w:r>
        <w:rPr>
          <w:rFonts w:ascii="Times New Roman" w:eastAsia="仿宋_GB2312" w:cs="仿宋_GB2312" w:hAnsi="Times New Roman" w:hint="eastAsia"/>
          <w:color w:val="auto"/>
          <w:sz w:val="32"/>
          <w:szCs w:val="32"/>
          <w:highlight w:val="auto"/>
        </w:rPr>
        <w:t>九、一般公共预算财政拨款项目支出决算表</w:t>
      </w:r>
      <w:bookmarkEnd w:id="65"/>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60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bookmarkStart w:id="66" w:name="_Toc15396628"/>
      <w:r>
        <w:rPr>
          <w:rFonts w:ascii="Times New Roman" w:eastAsia="仿宋_GB2312" w:cs="仿宋_GB2312" w:hAnsi="Times New Roman" w:hint="eastAsia"/>
          <w:color w:val="auto"/>
          <w:sz w:val="32"/>
          <w:szCs w:val="32"/>
          <w:highlight w:val="auto"/>
        </w:rPr>
        <w:t>十、</w:t>
      </w:r>
      <w:bookmarkEnd w:id="66"/>
      <w:r>
        <w:rPr>
          <w:rFonts w:ascii="Times New Roman" w:eastAsia="仿宋_GB2312" w:cs="仿宋_GB2312" w:hAnsi="Times New Roman" w:hint="eastAsia"/>
          <w:color w:val="auto"/>
          <w:sz w:val="32"/>
          <w:szCs w:val="32"/>
          <w:highlight w:val="auto"/>
        </w:rPr>
        <w:t>政府性基金预算财政拨款收入支出决算表</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60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bookmarkStart w:id="67" w:name="_Toc15396629"/>
      <w:r>
        <w:rPr>
          <w:rFonts w:ascii="Times New Roman" w:eastAsia="仿宋_GB2312" w:cs="仿宋_GB2312" w:hAnsi="Times New Roman" w:hint="eastAsia"/>
          <w:color w:val="auto"/>
          <w:sz w:val="32"/>
          <w:szCs w:val="32"/>
          <w:highlight w:val="auto"/>
        </w:rPr>
        <w:t>十一、</w:t>
      </w:r>
      <w:bookmarkEnd w:id="67"/>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600" w:lineRule="exact"/>
        <w:ind w:leftChars="0" w:left="0" w:firstLineChars="200" w:firstLine="640"/>
        <w:jc w:val="left"/>
        <w:textAlignment w:val="auto"/>
        <w:rPr>
          <w:rFonts w:ascii="Times New Roman" w:eastAsia="仿宋_GB2312" w:cs="仿宋_GB2312" w:hAnsi="Times New Roman" w:hint="eastAsia"/>
          <w:color w:val="auto"/>
          <w:sz w:val="32"/>
          <w:szCs w:val="32"/>
          <w:highlight w:val="auto"/>
        </w:rPr>
      </w:pPr>
      <w:bookmarkStart w:id="68" w:name="_Toc15396630"/>
      <w:r>
        <w:rPr>
          <w:rFonts w:ascii="Times New Roman" w:eastAsia="仿宋_GB2312" w:cs="仿宋_GB2312" w:hAnsi="Times New Roman" w:hint="eastAsia"/>
          <w:color w:val="auto"/>
          <w:sz w:val="32"/>
          <w:szCs w:val="32"/>
          <w:highlight w:val="auto"/>
        </w:rPr>
        <w:t>十二、</w:t>
      </w:r>
      <w:bookmarkEnd w:id="68"/>
      <w:r>
        <w:rPr>
          <w:rFonts w:ascii="Times New Roman" w:eastAsia="仿宋_GB2312" w:cs="仿宋_GB2312" w:hAnsi="Times New Roman" w:hint="eastAsia"/>
          <w:color w:val="auto"/>
          <w:sz w:val="32"/>
          <w:szCs w:val="32"/>
          <w:lang w:eastAsia="zh-CN"/>
          <w:highlight w:val="auto"/>
        </w:rPr>
        <w:t>国有资本经营预算财政拨款支出决算表</w:t>
      </w:r>
    </w:p>
    <w:p>
      <w:pPr>
        <w:pStyle w:val="26"/>
        <w:keepNext w:val="0"/>
        <w:keepLines w:val="0"/>
        <w:pageBreakBefore w:val="0"/>
        <w:widowControl w:val="0"/>
        <w:tabs>
          <w:tab w:val="right" w:leader="dot" w:pos="8296"/>
        </w:tabs>
        <w:kinsoku/>
        <w:wordWrap/>
        <w:overflowPunct/>
        <w:topLinePunct w:val="0"/>
        <w:autoSpaceDE/>
        <w:autoSpaceDN/>
        <w:bidi w:val="0"/>
        <w:adjustRightInd w:val="0"/>
        <w:snapToGrid w:val="0"/>
        <w:spacing w:line="600" w:lineRule="exact"/>
        <w:ind w:leftChars="0" w:left="0" w:firstLineChars="200" w:firstLine="640"/>
        <w:jc w:val="left"/>
        <w:textAlignment w:val="auto"/>
        <w:rPr>
          <w:rFonts w:ascii="Times New Roman" w:eastAsia="仿宋_GB2312" w:cs="仿宋_GB2312" w:hAnsi="Times New Roman" w:hint="eastAsia"/>
          <w:color w:val="auto"/>
          <w:sz w:val="32"/>
          <w:szCs w:val="32"/>
          <w:lang w:eastAsia="zh-CN"/>
          <w:highlight w:val="auto"/>
        </w:rPr>
      </w:pPr>
      <w:bookmarkStart w:id="69" w:name="_Toc15396631"/>
      <w:r>
        <w:rPr>
          <w:rFonts w:ascii="Times New Roman" w:eastAsia="仿宋_GB2312" w:cs="仿宋_GB2312" w:hAnsi="Times New Roman" w:hint="eastAsia"/>
          <w:color w:val="auto"/>
          <w:sz w:val="32"/>
          <w:szCs w:val="32"/>
          <w:highlight w:val="auto"/>
        </w:rPr>
        <w:t>十三、</w:t>
      </w:r>
      <w:bookmarkEnd w:id="69"/>
      <w:r>
        <w:rPr>
          <w:rFonts w:ascii="Times New Roman" w:eastAsia="仿宋_GB2312" w:cs="仿宋_GB2312" w:hAnsi="Times New Roman" w:hint="eastAsia"/>
          <w:color w:val="auto"/>
          <w:sz w:val="32"/>
          <w:szCs w:val="32"/>
          <w:lang w:eastAsia="zh-CN"/>
          <w:highlight w:val="auto"/>
        </w:rPr>
        <w:t>财政拨款“三公”经费支出决算表</w:t>
      </w:r>
    </w:p>
    <w:p>
      <w:pPr>
        <w:keepNext w:val="0"/>
        <w:keepLines w:val="0"/>
        <w:pageBreakBefore w:val="0"/>
        <w:widowControl w:val="0"/>
        <w:kinsoku/>
        <w:wordWrap/>
        <w:overflowPunct/>
        <w:topLinePunct w:val="0"/>
        <w:autoSpaceDE/>
        <w:autoSpaceDN/>
        <w:bidi w:val="0"/>
        <w:spacing w:line="600" w:lineRule="exact"/>
        <w:ind w:firstLineChars="200" w:firstLine="420"/>
        <w:textAlignment w:val="auto"/>
        <w:rPr>
          <w:rFonts w:ascii="Times New Roman" w:hAnsi="Times New Roman" w:hint="eastAsia"/>
          <w:lang w:eastAsia="zh-CN"/>
        </w:rPr>
      </w:pPr>
    </w:p>
    <w:sectPr>
      <w:pgSz w:w="11906" w:h="16838"/>
      <w:pgMar w:top="1440" w:right="1800" w:bottom="1440" w:left="1800"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AFF" w:usb1="C0007841" w:usb2="00000009" w:usb3="00000000" w:csb0="400001FF" w:csb1="FFFF0000"/>
  </w:font>
  <w:font w:name="方正小标宋简体">
    <w:panose1 w:val="03000509000000000000"/>
    <w:charset w:val="86"/>
    <w:family w:val="script"/>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Arial">
    <w:altName w:val="DejaVu Sans"/>
    <w:panose1 w:val="020B0604020202020204"/>
    <w:charset w:val="01"/>
    <w:family w:val="swiss"/>
    <w:pitch w:val="variable"/>
    <w:sig w:usb0="E0002AFF" w:usb1="C0007843" w:usb2="00000009" w:usb3="00000000" w:csb0="400001FF" w:csb1="FFFF0000"/>
  </w:font>
  <w:font w:name="方正黑体_GBK">
    <w:panose1 w:val="03000509000000000000"/>
    <w:charset w:val="86"/>
    <w:family w:val="auto"/>
    <w:pitch w:val="variable"/>
    <w:sig w:usb0="00000001" w:usb1="080E0000" w:usb2="00000000" w:usb3="00000000" w:csb0="00040000" w:csb1="00000000"/>
  </w:font>
  <w:font w:name="宋体">
    <w:panose1 w:val="02010600030101010101"/>
    <w:charset w:val="86"/>
    <w:family w:val="auto"/>
    <w:pitch w:val="variable"/>
    <w:sig w:usb0="00000003" w:usb1="288F0000" w:usb2="00000006" w:usb3="00000000" w:csb0="00040001" w:csb1="00000000"/>
  </w:font>
  <w:font w:name="仿宋">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微软雅黑">
    <w:altName w:val="宋体"/>
    <w:panose1 w:val="020B0503020204020204"/>
    <w:charset w:val="86"/>
    <w:family w:val="auto"/>
    <w:pitch w:val="variable"/>
    <w:sig w:usb0="80000287" w:usb1="280F3C52" w:usb2="00000016" w:usb3="00000000" w:csb0="0004001F" w:csb1="00000000"/>
  </w:font>
  <w:font w:name="Cambria">
    <w:altName w:val="DejaVu Sans"/>
    <w:panose1 w:val="02040503050406030204"/>
    <w:charset w:val="00"/>
    <w:family w:val="roman"/>
    <w:pitch w:val="variable"/>
    <w:sig w:usb0="E00002FF" w:usb1="400004FF" w:usb2="00000000" w:usb3="00000000" w:csb0="2000019F" w:csb1="00000000"/>
  </w:font>
  <w:font w:name="Calibri">
    <w:altName w:val="Times New Roman"/>
    <w:panose1 w:val="020F0502020204030204"/>
    <w:charset w:val="00"/>
    <w:family w:val="swiss"/>
    <w:pitch w:val="variable"/>
    <w:sig w:usb0="E00002FF" w:usb1="4000ACFF" w:usb2="00000001" w:usb3="00000000" w:csb0="2000019F" w:csb1="00000000"/>
  </w:font>
  <w:font w:name="??">
    <w:altName w:val="DejaVu Sans"/>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tabs>
        <w:tab w:val="center" w:pos="4153"/>
        <w:tab w:val="right" w:pos="8306"/>
      </w:tabs>
      <w:jc w:val="center"/>
    </w:pPr>
  </w:p>
  <w:p>
    <w:pPr>
      <w:pStyle w:val="20"/>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tabs>
        <w:tab w:val="center" w:pos="4153"/>
        <w:tab w:val="right" w:pos="8306"/>
      </w:tabs>
      <w:jc w:val="center"/>
    </w:pPr>
  </w:p>
  <w:p>
    <w:pPr>
      <w:pStyle w:val="20"/>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tabs>
        <w:tab w:val="center" w:pos="4153"/>
        <w:tab w:val="right" w:pos="8306"/>
      </w:tabs>
      <w:jc w:val="center"/>
    </w:pPr>
    <w:r>
      <w:rPr>
        <w:sz w:val="18"/>
      </w:rPr>
      <mc:AlternateContent>
        <mc:Choice Requires="wps">
          <w:drawing>
            <wp:anchor distT="0" distB="0" distL="114298" distR="114298" simplePos="0" relativeHeight="40" behindDoc="0" locked="0" layoutInCell="1" hidden="0" allowOverlap="1">
              <wp:simplePos x="0" y="0"/>
              <wp:positionH relativeFrom="margin">
                <wp:align>center</wp:align>
              </wp:positionH>
              <wp:positionV relativeFrom="paragraph">
                <wp:posOffset>0</wp:posOffset>
              </wp:positionV>
              <wp:extent cx="57150" cy="131559"/>
              <wp:effectExtent l="0" t="0" r="0" b="0"/>
              <wp:wrapNone/>
              <wp:docPr id="1" name="文本框 13"/>
              <wp:cNvGraphicFramePr>
                <a:graphicFrameLocks noChangeAspect="0"/>
              </wp:cNvGraphicFramePr>
              <a:graphic>
                <a:graphicData uri="http://schemas.microsoft.com/office/word/2010/wordprocessingShape">
                  <wps:wsp>
                    <wps:cNvSpPr/>
                    <wps:spPr>
                      <a:xfrm rot="0">
                        <a:off x="0" y="0"/>
                        <a:ext cx="57150" cy="131559"/>
                      </a:xfrm>
                      <a:prstGeom prst="rect"/>
                      <a:noFill/>
                      <a:ln w="6350" cmpd="sng" cap="flat">
                        <a:noFill/>
                        <a:prstDash val="solid"/>
                        <a:round/>
                      </a:ln>
                    </wps:spPr>
                    <wps:txbx id="2">
                      <w:txbxContent>
                        <w:p>
                          <w:pPr>
                            <w:pStyle w:val="20"/>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13 3" o:spid="_x0000_s3" filled="f" stroked="f" strokeweight="0.5pt" style="position:absolute;margin-left:0.0pt;margin-top:0.0pt;width:4.5pt;height:10.359pt;z-index:40;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0"/>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p>
    <w:pPr>
      <w:pStyle w:val="20"/>
      <w:tabs>
        <w:tab w:val="center" w:pos="4153"/>
        <w:tab w:val="right" w:pos="8306"/>
      </w:tabs>
    </w:pP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tabs>
        <w:tab w:val="center" w:pos="4153"/>
        <w:tab w:val="right" w:pos="8306"/>
      </w:tabs>
    </w:pPr>
    <w:r>
      <w:rPr>
        <w:sz w:val="18"/>
      </w:rPr>
      <mc:AlternateContent>
        <mc:Choice Requires="wps">
          <w:drawing>
            <wp:anchor distT="0" distB="0" distL="114298" distR="114298" simplePos="0" relativeHeight="38" behindDoc="0" locked="0" layoutInCell="1" hidden="0" allowOverlap="1">
              <wp:simplePos x="0" y="0"/>
              <wp:positionH relativeFrom="margin">
                <wp:align>center</wp:align>
              </wp:positionH>
              <wp:positionV relativeFrom="paragraph">
                <wp:posOffset>0</wp:posOffset>
              </wp:positionV>
              <wp:extent cx="57150" cy="131559"/>
              <wp:effectExtent l="0" t="0" r="0" b="0"/>
              <wp:wrapNone/>
              <wp:docPr id="4" name="文本框 12"/>
              <wp:cNvGraphicFramePr>
                <a:graphicFrameLocks noChangeAspect="0"/>
              </wp:cNvGraphicFramePr>
              <a:graphic>
                <a:graphicData uri="http://schemas.microsoft.com/office/word/2010/wordprocessingShape">
                  <wps:wsp>
                    <wps:cNvSpPr/>
                    <wps:spPr>
                      <a:xfrm rot="0">
                        <a:off x="0" y="0"/>
                        <a:ext cx="57150" cy="131559"/>
                      </a:xfrm>
                      <a:prstGeom prst="rect"/>
                      <a:noFill/>
                      <a:ln w="6350" cmpd="sng" cap="flat">
                        <a:noFill/>
                        <a:prstDash val="solid"/>
                        <a:round/>
                      </a:ln>
                    </wps:spPr>
                    <wps:txbx id="5">
                      <w:txbxContent>
                        <w:p>
                          <w:pPr>
                            <w:pStyle w:val="20"/>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12 6" o:spid="_x0000_s6" filled="f" stroked="f" strokeweight="0.5pt" style="position:absolute;margin-left:0.0pt;margin-top:0.0pt;width:4.5pt;height:10.359pt;z-index:38;mso-position-horizontal:center;mso-position-horizontal-relative:margin;mso-position-vertical:absolute;mso-wrap-distance-left:8.999863pt;mso-wrap-distance-right:8.999863pt;mso-wrap-style:none;">
              <v:stroke color="#000000"/>
              <v:textbox id="856" inset="0mm,0mm,0mm,0mm" o:insetmode="custom" style="layout-flow:horizontal;v-text-anchor:top;mso-fit-shape-to-text:t;">
                <w:txbxContent>
                  <w:p>
                    <w:pPr>
                      <w:pStyle w:val="20"/>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widowControl w:val="0"/>
      <w:tabs>
        <w:tab w:val="center" w:pos="4153"/>
        <w:tab w:val="right" w:pos="8306"/>
      </w:tabs>
      <w:snapToGrid w:val="0"/>
      <w:jc w:val="right"/>
      <w:rPr>
        <w:rFonts w:ascii="Times New Roman" w:eastAsia="宋体" w:cs="Times New Roman" w:hAnsi="Times New Roman"/>
        <w:kern w:val="2"/>
        <w:sz w:val="28"/>
        <w:szCs w:val="28"/>
        <w:lang w:val="en-US" w:eastAsia="zh-CN" w:bidi="ar-SA"/>
      </w:rPr>
    </w:pPr>
    <w:r>
      <w:rPr>
        <w:sz w:val="28"/>
      </w:rPr>
      <mc:AlternateContent>
        <mc:Choice Requires="wps">
          <w:drawing>
            <wp:anchor distT="0" distB="0" distL="114298" distR="114298" simplePos="0" relativeHeight="42" behindDoc="0" locked="0" layoutInCell="1" hidden="0" allowOverlap="1">
              <wp:simplePos x="0" y="0"/>
              <wp:positionH relativeFrom="margin">
                <wp:align>center</wp:align>
              </wp:positionH>
              <wp:positionV relativeFrom="paragraph">
                <wp:posOffset>0</wp:posOffset>
              </wp:positionV>
              <wp:extent cx="114300" cy="131559"/>
              <wp:effectExtent l="0" t="0" r="0" b="0"/>
              <wp:wrapNone/>
              <wp:docPr id="7" name="文本框 14"/>
              <wp:cNvGraphicFramePr>
                <a:graphicFrameLocks noChangeAspect="0"/>
              </wp:cNvGraphicFramePr>
              <a:graphic>
                <a:graphicData uri="http://schemas.microsoft.com/office/word/2010/wordprocessingShape">
                  <wps:wsp>
                    <wps:cNvSpPr/>
                    <wps:spPr>
                      <a:xfrm rot="0">
                        <a:off x="0" y="0"/>
                        <a:ext cx="114300" cy="131559"/>
                      </a:xfrm>
                      <a:prstGeom prst="rect"/>
                      <a:noFill/>
                      <a:ln w="6350" cmpd="sng" cap="flat">
                        <a:noFill/>
                        <a:prstDash val="solid"/>
                        <a:round/>
                      </a:ln>
                    </wps:spPr>
                    <wps:txbx id="8">
                      <w:txbxContent>
                        <w:p>
                          <w:pPr>
                            <w:pStyle w:val="20"/>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14 9" o:spid="_x0000_s9" filled="f" stroked="f" strokeweight="0.5pt" style="position:absolute;margin-left:0.0pt;margin-top:0.0pt;width:9.0pt;height:10.359035pt;z-index:42;mso-position-horizontal:center;mso-position-horizontal-relative:margin;mso-position-vertical:absolute;mso-wrap-distance-left:8.999863pt;mso-wrap-distance-right:8.999863pt;mso-wrap-style:none;">
              <v:stroke color="#000000"/>
              <v:textbox id="857" inset="0mm,0mm,0mm,0mm" o:insetmode="custom" style="layout-flow:horizontal;v-text-anchor:top;mso-fit-shape-to-text:t;">
                <w:txbxContent>
                  <w:p>
                    <w:pPr>
                      <w:pStyle w:val="20"/>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widowControl w:val="0"/>
      <w:tabs>
        <w:tab w:val="center" w:pos="4153"/>
        <w:tab w:val="right" w:pos="8306"/>
      </w:tabs>
      <w:snapToGrid w:val="0"/>
      <w:jc w:val="left"/>
      <w:rPr>
        <w:rFonts w:ascii="Times New Roman" w:eastAsia="宋体" w:cs="Times New Roman" w:hAnsi="Times New Roman"/>
        <w:kern w:val="2"/>
        <w:sz w:val="28"/>
        <w:szCs w:val="44"/>
        <w:lang w:val="en-US" w:eastAsia="zh-CN" w:bidi="ar-SA"/>
      </w:rPr>
    </w:pPr>
    <w:r>
      <w:rPr>
        <w:rFonts w:ascii="Times New Roman" w:eastAsia="宋体" w:cs="Times New Roman" w:hAnsi="Times New Roman"/>
        <w:kern w:val="2"/>
        <w:sz w:val="28"/>
        <w:szCs w:val="44"/>
        <w:lang w:val="en-US" w:eastAsia="zh-CN" w:bidi="ar-SA"/>
      </w:rPr>
      <w:t xml:space="preserve">— </w:t>
    </w:r>
    <w:sdt>
      <w:sdtPr>
        <w:rPr>
          <w:rFonts w:ascii="Times New Roman" w:eastAsia="宋体" w:cs="Times New Roman" w:hAnsi="Times New Roman"/>
          <w:kern w:val="2"/>
          <w:sz w:val="28"/>
          <w:szCs w:val="44"/>
          <w:lang w:val="en-US" w:eastAsia="zh-CN" w:bidi="ar-SA"/>
        </w:rPr>
        <w:id w:val="602481849"/>
      </w:sdtPr>
      <w:sdtContent>
        <w:r>
          <w:rPr>
            <w:rFonts w:ascii="Times New Roman" w:eastAsia="宋体" w:cs="Times New Roman" w:hAnsi="Times New Roman"/>
            <w:kern w:val="2"/>
            <w:sz w:val="28"/>
            <w:szCs w:val="44"/>
            <w:lang w:val="en-US" w:eastAsia="zh-CN" w:bidi="ar-SA"/>
          </w:rPr>
          <w:fldChar w:fldCharType="begin"/>
        </w:r>
        <w:r>
          <w:rPr>
            <w:rFonts w:ascii="Times New Roman" w:eastAsia="宋体" w:cs="Times New Roman" w:hAnsi="Times New Roman"/>
            <w:kern w:val="2"/>
            <w:sz w:val="28"/>
            <w:szCs w:val="44"/>
            <w:lang w:val="en-US" w:eastAsia="zh-CN" w:bidi="ar-SA"/>
          </w:rPr>
          <w:instrText>PAGE   \* MERGEFORMAT</w:instrText>
        </w:r>
        <w:r>
          <w:rPr>
            <w:rFonts w:ascii="Times New Roman" w:eastAsia="宋体" w:cs="Times New Roman" w:hAnsi="Times New Roman"/>
            <w:kern w:val="2"/>
            <w:sz w:val="28"/>
            <w:szCs w:val="44"/>
            <w:lang w:val="en-US" w:eastAsia="zh-CN" w:bidi="ar-SA"/>
          </w:rPr>
          <w:fldChar w:fldCharType="separate"/>
        </w:r>
        <w:r>
          <w:rPr>
            <w:rFonts w:ascii="Times New Roman" w:eastAsia="宋体" w:cs="Times New Roman" w:hAnsi="Times New Roman"/>
            <w:kern w:val="2"/>
            <w:sz w:val="28"/>
            <w:szCs w:val="44"/>
            <w:lang w:val="zh-CN" w:eastAsia="zh-CN" w:bidi="ar-SA"/>
          </w:rPr>
          <w:t>50</w:t>
        </w:r>
        <w:r>
          <w:rPr>
            <w:rFonts w:ascii="Times New Roman" w:eastAsia="宋体" w:cs="Times New Roman" w:hAnsi="Times New Roman"/>
            <w:kern w:val="2"/>
            <w:sz w:val="28"/>
            <w:szCs w:val="44"/>
            <w:lang w:val="en-US" w:eastAsia="zh-CN" w:bidi="ar-SA"/>
          </w:rPr>
          <w:fldChar w:fldCharType="end"/>
        </w:r>
        <w:r>
          <w:rPr>
            <w:rFonts w:ascii="Times New Roman" w:eastAsia="宋体" w:cs="Times New Roman" w:hAnsi="Times New Roman"/>
            <w:kern w:val="2"/>
            <w:sz w:val="28"/>
            <w:szCs w:val="44"/>
            <w:lang w:val="en-US" w:eastAsia="zh-CN" w:bidi="ar-SA"/>
          </w:rPr>
          <w:t xml:space="preserve"> —</w:t>
        </w:r>
      </w:sdtContent>
    </w:sdt>
  </w:p>
</w:ftr>
</file>

<file path=word/footer8.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tabs>
        <w:tab w:val="center" w:pos="4153"/>
        <w:tab w:val="right" w:pos="8306"/>
      </w:tabs>
      <w:jc w:val="center"/>
    </w:pPr>
    <w:r>
      <w:rPr>
        <w:sz w:val="18"/>
      </w:rPr>
      <mc:AlternateContent>
        <mc:Choice Requires="wps">
          <w:drawing>
            <wp:anchor distT="0" distB="0" distL="114298" distR="114298" simplePos="0" relativeHeight="36" behindDoc="0" locked="0" layoutInCell="1" hidden="0" allowOverlap="1">
              <wp:simplePos x="0" y="0"/>
              <wp:positionH relativeFrom="margin">
                <wp:align>center</wp:align>
              </wp:positionH>
              <wp:positionV relativeFrom="paragraph">
                <wp:posOffset>0</wp:posOffset>
              </wp:positionV>
              <wp:extent cx="114300" cy="131559"/>
              <wp:effectExtent l="0" t="0" r="0" b="0"/>
              <wp:wrapNone/>
              <wp:docPr id="17" name="文本框 8"/>
              <wp:cNvGraphicFramePr>
                <a:graphicFrameLocks noChangeAspect="0"/>
              </wp:cNvGraphicFramePr>
              <a:graphic>
                <a:graphicData uri="http://schemas.microsoft.com/office/word/2010/wordprocessingShape">
                  <wps:wsp>
                    <wps:cNvSpPr/>
                    <wps:spPr>
                      <a:xfrm rot="0">
                        <a:off x="0" y="0"/>
                        <a:ext cx="114300" cy="131559"/>
                      </a:xfrm>
                      <a:prstGeom prst="rect"/>
                      <a:noFill/>
                      <a:ln w="6350" cmpd="sng" cap="flat">
                        <a:noFill/>
                        <a:prstDash val="solid"/>
                        <a:round/>
                      </a:ln>
                    </wps:spPr>
                    <wps:txbx id="18">
                      <w:txbxContent>
                        <w:p>
                          <w:pPr>
                            <w:pStyle w:val="20"/>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8 19" o:spid="_x0000_s19" filled="f" stroked="f" strokeweight="0.5pt" style="position:absolute;margin-left:0.0pt;margin-top:0.0pt;width:9.000046pt;height:10.358989pt;z-index:36;mso-position-horizontal:center;mso-position-horizontal-relative:margin;mso-position-vertical:absolute;mso-wrap-distance-left:8.999863pt;mso-wrap-distance-right:8.999863pt;mso-wrap-style:none;">
              <v:stroke color="#000000"/>
              <v:textbox id="858" inset="0mm,0mm,0mm,0mm" o:insetmode="custom" style="layout-flow:horizontal;v-text-anchor:top;mso-fit-shape-to-text:t;">
                <w:txbxContent>
                  <w:p>
                    <w:pPr>
                      <w:pStyle w:val="20"/>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p>
    <w:pPr>
      <w:pStyle w:val="20"/>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pBdr>
        <w:bottom w:val="none" w:sz="0" w:space="0" w:color="auto"/>
      </w:pBdr>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val="0"/>
  <w:bordersDoNotSurroundFooter w:val="0"/>
  <w:documentProtection w:edit="readOnly" w:enforcement="0"/>
  <w:defaultTabStop w:val="419"/>
  <w:drawingGridHorizontalSpacing w:val="105"/>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4"/>
  </w:compat>
  <w:docVars>
    <w:docVar w:name="commondata" w:val="eyJoZGlkIjoiZDY2MDJlYWFjMDUwOThmZTc2OGJmYWExYTI1NWQyZGY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pPr>
      <w:keepNext/>
      <w:keepLines/>
      <w:widowControl w:val="0"/>
      <w:spacing w:before="260" w:after="260" w:line="415" w:lineRule="auto"/>
      <w:outlineLvl w:val="1"/>
    </w:pPr>
    <w:rPr>
      <w:rFonts w:ascii="Cambria" w:eastAsia="宋体" w:cs="Times New Roman" w:hAnsi="Cambria"/>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customStyle="1" w:styleId="15">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paragraph" w:styleId="16">
    <w:name w:val="Body Text"/>
    <w:basedOn w:val="0"/>
    <w:next w:val="0"/>
    <w:pPr>
      <w:spacing w:beforeLines="30" w:before="30"/>
    </w:pPr>
    <w:rPr>
      <w:rFonts w:ascii="仿宋_GB2312" w:eastAsia="仿宋_GB2312"/>
      <w:kern w:val="0"/>
      <w:sz w:val="30"/>
    </w:rPr>
  </w:style>
  <w:style w:type="paragraph" w:styleId="17">
    <w:name w:val="Body Text Indent"/>
    <w:basedOn w:val="0"/>
    <w:pPr>
      <w:spacing w:after="120"/>
      <w:ind w:leftChars="200" w:left="200"/>
    </w:pPr>
    <w:rPr>
      <w:rFonts w:ascii="仿宋_GB2312" w:hAnsi="仿宋_GB2312"/>
      <w:szCs w:val="32"/>
    </w:rPr>
  </w:style>
  <w:style w:type="paragraph" w:styleId="18">
    <w:name w:val="toc 3"/>
    <w:basedOn w:val="0"/>
    <w:next w:val="0"/>
    <w:pPr>
      <w:tabs>
        <w:tab w:val="right" w:leader="dot" w:pos="8296"/>
      </w:tabs>
      <w:ind w:leftChars="400" w:left="400"/>
    </w:pPr>
  </w:style>
  <w:style w:type="paragraph" w:styleId="19">
    <w:name w:val="Balloon Text"/>
    <w:basedOn w:val="0"/>
    <w:rPr>
      <w:sz w:val="18"/>
      <w:szCs w:val="18"/>
    </w:rPr>
  </w:style>
  <w:style w:type="paragraph" w:styleId="20">
    <w:name w:val="footer"/>
    <w:basedOn w:val="0"/>
    <w:pPr>
      <w:tabs>
        <w:tab w:val="center" w:pos="4153"/>
        <w:tab w:val="right" w:pos="8306"/>
      </w:tabs>
      <w:snapToGrid w:val="0"/>
      <w:jc w:val="left"/>
    </w:pPr>
    <w:rPr>
      <w:rFonts w:ascii="Calibri" w:hAnsi="Calibri"/>
      <w:kern w:val="0"/>
      <w:sz w:val="18"/>
      <w:szCs w:val="18"/>
    </w:rPr>
  </w:style>
  <w:style w:type="paragraph" w:styleId="21">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2">
    <w:name w:val="toc 1"/>
    <w:basedOn w:val="0"/>
    <w:next w:val="0"/>
    <w:pPr>
      <w:tabs>
        <w:tab w:val="right" w:leader="dot" w:pos="8296"/>
      </w:tabs>
      <w:spacing w:before="93"/>
      <w:jc w:val="center"/>
    </w:pPr>
    <w:rPr>
      <w:rFonts w:ascii="仿宋" w:eastAsia="仿宋"/>
      <w:sz w:val="28"/>
      <w:szCs w:val="28"/>
    </w:rPr>
  </w:style>
  <w:style w:type="paragraph" w:styleId="23">
    <w:name w:val="footnote text"/>
    <w:basedOn w:val="0"/>
    <w:next w:val="24"/>
    <w:pPr>
      <w:snapToGrid w:val="0"/>
      <w:jc w:val="left"/>
    </w:pPr>
    <w:rPr>
      <w:sz w:val="18"/>
      <w:szCs w:val="18"/>
    </w:rPr>
  </w:style>
  <w:style w:type="paragraph" w:styleId="24">
    <w:name w:val="Body Text First Indent 2"/>
    <w:basedOn w:val="17"/>
    <w:pPr>
      <w:ind w:firstLineChars="200" w:firstLine="200"/>
    </w:pPr>
  </w:style>
  <w:style w:type="paragraph" w:styleId="25">
    <w:name w:val="table of figures"/>
    <w:basedOn w:val="0"/>
    <w:next w:val="0"/>
    <w:pPr>
      <w:ind w:leftChars="200" w:left="400" w:hangingChars="200" w:hanging="200"/>
    </w:pPr>
    <w:rPr>
      <w:sz w:val="32"/>
      <w:szCs w:val="21"/>
    </w:rPr>
  </w:style>
  <w:style w:type="paragraph" w:styleId="26">
    <w:name w:val="toc 2"/>
    <w:basedOn w:val="0"/>
    <w:next w:val="0"/>
    <w:pPr>
      <w:tabs>
        <w:tab w:val="right" w:leader="dot" w:pos="8296"/>
      </w:tabs>
      <w:ind w:leftChars="200" w:left="200"/>
    </w:pPr>
  </w:style>
  <w:style w:type="character" w:styleId="27">
    <w:name w:val="Strong"/>
    <w:basedOn w:val="10"/>
    <w:rPr>
      <w:b/>
    </w:rPr>
  </w:style>
  <w:style w:type="character" w:styleId="28">
    <w:name w:val="Hyperlink"/>
    <w:basedOn w:val="10"/>
    <w:rPr>
      <w:color w:val="0000FF"/>
      <w:u w:val="single"/>
    </w:rPr>
  </w:style>
  <w:style w:type="character" w:customStyle="1" w:styleId="29">
    <w:name w:val="Header Char"/>
    <w:basedOn w:val="10"/>
    <w:rPr>
      <w:rFonts w:ascii="Times New Roman" w:hAnsi="Times New Roman"/>
      <w:sz w:val="18"/>
      <w:szCs w:val="18"/>
    </w:rPr>
  </w:style>
  <w:style w:type="character" w:customStyle="1" w:styleId="30">
    <w:name w:val="Footer Char"/>
    <w:basedOn w:val="10"/>
    <w:rPr>
      <w:rFonts w:ascii="Times New Roman" w:hAnsi="Times New Roman"/>
      <w:sz w:val="18"/>
      <w:szCs w:val="18"/>
    </w:rPr>
  </w:style>
  <w:style w:type="character" w:customStyle="1" w:styleId="31">
    <w:name w:val="Body Text Char"/>
    <w:basedOn w:val="10"/>
    <w:rPr>
      <w:rFonts w:ascii="Times New Roman" w:hAnsi="Times New Roman"/>
      <w:szCs w:val="24"/>
    </w:rPr>
  </w:style>
  <w:style w:type="paragraph" w:customStyle="1" w:styleId="32">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3">
    <w:name w:val="List Paragraph"/>
    <w:basedOn w:val="0"/>
    <w:pPr>
      <w:ind w:firstLineChars="200" w:firstLine="200"/>
    </w:pPr>
  </w:style>
  <w:style w:type="paragraph" w:customStyle="1" w:styleId="34">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6">
    <w:name w:val="四号正文"/>
    <w:basedOn w:val="0"/>
    <w:pPr>
      <w:spacing w:line="360" w:lineRule="auto"/>
    </w:pPr>
    <w:rPr>
      <w:rFonts w:ascii="??" w:eastAsia="宋体" w:hAnsi="??"/>
      <w:color w:val="000000"/>
      <w:kern w:val="0"/>
      <w:sz w:val="28"/>
      <w:szCs w:val="21"/>
      <w:lang w:val="zh-CN" w:eastAsia="zh-CN"/>
    </w:rPr>
  </w:style>
  <w:style w:type="character" w:customStyle="1" w:styleId="37">
    <w:name w:val="font51"/>
    <w:basedOn w:val="10"/>
    <w:rPr>
      <w:rFonts w:ascii="Times New Roman" w:cs="Times New Roman" w:hAnsi="Times New Roman"/>
      <w:color w:val="000000"/>
      <w:sz w:val="24"/>
      <w:szCs w:val="24"/>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footer" Target="footer7.xml"/><Relationship Id="rId10" Type="http://schemas.openxmlformats.org/officeDocument/2006/relationships/chart" Target="charts/chart1.xml"/><Relationship Id="rId11" Type="http://schemas.openxmlformats.org/officeDocument/2006/relationships/chart" Target="charts/chart2.xml"/><Relationship Id="rId12" Type="http://schemas.openxmlformats.org/officeDocument/2006/relationships/chart" Target="charts/chart3.xml"/><Relationship Id="rId13" Type="http://schemas.openxmlformats.org/officeDocument/2006/relationships/chart" Target="charts/chart4.xml"/><Relationship Id="rId14" Type="http://schemas.openxmlformats.org/officeDocument/2006/relationships/chart" Target="charts/chart5.xml"/><Relationship Id="rId15" Type="http://schemas.openxmlformats.org/officeDocument/2006/relationships/chart" Target="charts/chart6.xml"/><Relationship Id="rId16" Type="http://schemas.openxmlformats.org/officeDocument/2006/relationships/chart" Target="charts/chart7.xml"/><Relationship Id="rId17" Type="http://schemas.openxmlformats.org/officeDocument/2006/relationships/footer" Target="footer8.xml"/><Relationship Id="rId18" Type="http://schemas.openxmlformats.org/officeDocument/2006/relationships/styles" Target="styles.xml"/><Relationship Id="rId1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char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char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Lucida Sans"/>
              </a:defRPr>
            </a:pPr>
            <a:r>
              <a:rPr lang="zh-CN" sz="1600" b="1" i="0" u="none" strike="noStrike" baseline="0">
                <a:solidFill>
                  <a:srgbClr val="333333"/>
                </a:solidFill>
                <a:latin typeface="黑体"/>
                <a:ea typeface="黑体"/>
                <a:cs typeface="Lucida Sans"/>
              </a:rPr>
              <a:t>     </a:t>
            </a:r>
            <a:r>
              <a:rPr lang="zh-CN" sz="1600" b="1" i="0" u="none" strike="noStrike" baseline="0">
                <a:solidFill>
                  <a:srgbClr val="333333"/>
                </a:solidFill>
                <a:latin typeface="黑体"/>
                <a:ea typeface="黑体"/>
                <a:cs typeface="Lucida Sans"/>
              </a:rPr>
              <a:t>收支决算总计变动情况</a:t>
            </a:r>
            <a:r>
              <a:rPr lang="zh-CN" sz="1600" b="1" i="0" u="none" strike="noStrike" baseline="0">
                <a:solidFill>
                  <a:srgbClr val="333333"/>
                </a:solidFill>
                <a:latin typeface="黑体"/>
                <a:ea typeface="黑体"/>
                <a:cs typeface="Lucida Sans"/>
              </a:rPr>
              <a:t>        </a:t>
            </a:r>
            <a:r>
              <a:rPr lang="zh-CN" sz="900" b="1" i="0" u="none" strike="noStrike" baseline="0">
                <a:solidFill>
                  <a:srgbClr val="333333"/>
                </a:solidFill>
                <a:latin typeface="黑体"/>
                <a:ea typeface="黑体"/>
                <a:cs typeface="Lucida Sans"/>
              </a:rPr>
              <a:t>单位：万元</a:t>
            </a:r>
          </a:p>
        </c:rich>
      </c:tx>
      <c:layout>
        <c:manualLayout>
          <c:xMode val="edge"/>
          <c:yMode val="edge"/>
          <c:x val="0.15465277"/>
          <c:y val="0.038194444"/>
        </c:manualLayout>
      </c:layout>
      <c:overlay val="0"/>
      <c:spPr>
        <a:ln>
          <a:noFill/>
        </a:ln>
      </c:spPr>
    </c:title>
    <c:autoTitleDeleted val="1"/>
    <c:plotArea>
      <c:layout>
        <c:manualLayout>
          <c:layoutTarget val="inner"/>
          <c:xMode val="edge"/>
          <c:yMode val="edge"/>
          <c:x val="0.06598987"/>
          <c:y val="0.16366942"/>
          <c:w val="0.9095181"/>
          <c:h val="0.672944"/>
        </c:manualLayout>
      </c:layout>
      <c:barChart>
        <c:barDir val="col"/>
        <c:grouping val="clustered"/>
        <c:varyColors val="0"/>
        <c:ser>
          <c:idx val="0"/>
          <c:order val="0"/>
          <c:tx>
            <c:v>总收入</c:v>
          </c:tx>
          <c:spPr>
            <a:solidFill>
              <a:srgbClr val="5B9BD5"/>
            </a:solidFill>
            <a:ln>
              <a:noFill/>
            </a:ln>
          </c:spPr>
          <c:invertIfNegative val="0"/>
          <c:dLbls>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numFmt formatCode="General" sourceLinked="0"/>
            <c:dLblPos val="outEnd"/>
            <c:showLegendKey val="0"/>
            <c:showVal val="1"/>
            <c:showCatName val="0"/>
            <c:showSerName val="0"/>
            <c:showPercent val="0"/>
            <c:showBubbleSize val="0"/>
            <c:showLeaderLines val="0"/>
          </c:dLbls>
          <c:cat>
            <c:strLit>
              <c:ptCount val="2"/>
              <c:pt idx="0">
                <c:v>2024年</c:v>
              </c:pt>
              <c:pt idx="1">
                <c:v>2025年</c:v>
              </c:pt>
            </c:strLit>
          </c:cat>
          <c:val>
            <c:numRef>
              <c:f/>
              <c:numCache>
                <c:formatCode>General</c:formatCode>
                <c:ptCount val="2"/>
                <c:pt idx="0">
                  <c:v>216.08</c:v>
                </c:pt>
                <c:pt idx="1">
                  <c:v>246.91</c:v>
                </c:pt>
              </c:numCache>
            </c:numRef>
          </c:val>
        </c:ser>
        <c:ser>
          <c:idx val="1"/>
          <c:order val="1"/>
          <c:tx>
            <c:v>总支出</c:v>
          </c:tx>
          <c:spPr>
            <a:solidFill>
              <a:srgbClr val="ED7D31"/>
            </a:solidFill>
            <a:ln>
              <a:noFill/>
            </a:ln>
          </c:spPr>
          <c:invertIfNegative val="0"/>
          <c:dLbls>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numFmt formatCode="General" sourceLinked="0"/>
            <c:dLblPos val="outEnd"/>
            <c:showLegendKey val="0"/>
            <c:showVal val="1"/>
            <c:showCatName val="0"/>
            <c:showSerName val="0"/>
            <c:showPercent val="0"/>
            <c:showBubbleSize val="0"/>
            <c:showLeaderLines val="0"/>
          </c:dLbls>
          <c:cat>
            <c:strLit>
              <c:ptCount val="2"/>
              <c:pt idx="0">
                <c:v>2024年</c:v>
              </c:pt>
              <c:pt idx="1">
                <c:v>2025年</c:v>
              </c:pt>
            </c:strLit>
          </c:cat>
          <c:val>
            <c:numRef>
              <c:f/>
              <c:numCache>
                <c:formatCode>General</c:formatCode>
                <c:ptCount val="2"/>
                <c:pt idx="0">
                  <c:v>216.08</c:v>
                </c:pt>
                <c:pt idx="1">
                  <c:v>246.91</c:v>
                </c:pt>
              </c:numCache>
            </c:numRef>
          </c:val>
        </c:ser>
        <c:overlap val="-27"/>
        <c:gapWidth val="219"/>
        <c:axId val="0"/>
        <c:axId val="1"/>
      </c:barChart>
      <c:catAx>
        <c:axId val="0"/>
        <c:scaling>
          <c:orientation val="minMax"/>
        </c:scaling>
        <c:delete val="0"/>
        <c:axPos val="b"/>
        <c:numFmt formatCode="General" sourceLinked="1"/>
        <c:majorTickMark val="none"/>
        <c:minorTickMark val="none"/>
        <c:tickLblPos val="nextTo"/>
        <c:spPr>
          <a:ln w="6350">
            <a:solidFill>
              <a:srgbClr val="F9F9F9"/>
            </a:solidFill>
            <a:prstDash val="solid"/>
          </a:ln>
        </c:spPr>
        <c:txPr>
          <a:bodyPr/>
          <a:lstStyle/>
          <a:p>
            <a:pPr>
              <a:defRPr sz="900" b="0" i="0" u="none" strike="noStrike" baseline="0">
                <a:solidFill>
                  <a:srgbClr val="939393"/>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min val="0.0"/>
        </c:scaling>
        <c:delete val="0"/>
        <c:axPos val="l"/>
        <c:majorGridlines>
          <c:spPr>
            <a:ln w="6350">
              <a:solidFill>
                <a:srgbClr val="F9F9F9"/>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939393"/>
                </a:solidFill>
                <a:latin typeface="Times New Roman"/>
                <a:ea typeface="宋体"/>
                <a:cs typeface="Lucida Sans"/>
              </a:defRPr>
            </a:pPr>
            <a:endParaRPr lang="zh-CN"/>
          </a:p>
        </c:txPr>
        <c:crossesAt val="1.0"/>
        <c:crossBetween val="between"/>
        <c:minorUnit val="10.0"/>
        <c:crossAx val="0"/>
      </c:valAx>
      <c:spPr>
        <a:noFill/>
        <a:ln>
          <a:noFill/>
        </a:ln>
      </c:spPr>
    </c:plotArea>
    <c:legend>
      <c:legendPos val="b"/>
      <c:layout>
        <c:manualLayout>
          <c:xMode val="edge"/>
          <c:yMode val="edge"/>
          <c:x val="0.40410304"/>
          <c:y val="0.90846634"/>
          <c:w val="0.27588263"/>
          <c:h val="0.06728632"/>
        </c:manualLayout>
      </c:layout>
      <c:overlay val="0"/>
      <c:spPr>
        <a:noFill/>
        <a:ln>
          <a:noFill/>
        </a:ln>
      </c:spPr>
      <c:txPr>
        <a:bodyPr/>
        <a:lstStyle/>
        <a:p>
          <a:pPr>
            <a:defRPr sz="1000" b="0" i="0" u="none" strike="noStrike" baseline="0">
              <a:solidFill>
                <a:srgbClr val="939393"/>
              </a:solidFill>
              <a:latin typeface="Times New Roman"/>
              <a:ea typeface="宋体"/>
              <a:cs typeface="Lucida Sans"/>
            </a:defRPr>
          </a:pPr>
          <a:endParaRPr lang="zh-CN"/>
        </a:p>
      </c:txPr>
      <c:legendEntry>
        <c:idx val="0"/>
        <c:txPr>
          <a:bodyPr/>
          <a:lstStyle/>
          <a:p>
            <a:pPr>
              <a:defRPr sz="1000" b="0" i="0" u="none" strike="noStrike" baseline="0">
                <a:solidFill>
                  <a:srgbClr val="939393"/>
                </a:solidFill>
                <a:latin typeface="Times New Roman"/>
                <a:ea typeface="宋体"/>
                <a:cs typeface="Lucida Sans"/>
              </a:defRPr>
            </a:pPr>
            <a:endParaRPr lang="zh-CN"/>
          </a:p>
        </c:txPr>
      </c:legendEntry>
      <c:legendEntry>
        <c:idx val="1"/>
        <c:txPr>
          <a:bodyPr/>
          <a:lstStyle/>
          <a:p>
            <a:pPr>
              <a:defRPr sz="1000" b="0" i="0" u="none" strike="noStrike" baseline="0">
                <a:solidFill>
                  <a:srgbClr val="939393"/>
                </a:solidFill>
                <a:latin typeface="Times New Roman"/>
                <a:ea typeface="宋体"/>
                <a:cs typeface="Lucida Sans"/>
              </a:defRPr>
            </a:pPr>
            <a:endParaRPr lang="zh-CN"/>
          </a:p>
        </c:txPr>
      </c:legendEntry>
    </c:legend>
    <c:plotVisOnly val="1"/>
    <c:dispBlanksAs val="gap"/>
    <c:showDLblsOverMax val="0"/>
  </c:chart>
  <c:spPr>
    <a:solidFill>
      <a:srgbClr val="FFFFFF"/>
    </a:solidFill>
    <a:ln w="6350">
      <a:solidFill>
        <a:srgbClr val="F9F9F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Lucida Sans"/>
              </a:defRPr>
            </a:pPr>
            <a:r>
              <a:rPr lang="zh-CN" sz="1400" b="0" i="0" u="none" strike="noStrike" baseline="0">
                <a:solidFill>
                  <a:srgbClr val="333333"/>
                </a:solidFill>
                <a:latin typeface="Arial"/>
                <a:ea typeface="Arial"/>
                <a:cs typeface="Lucida Sans"/>
              </a:rPr>
              <a:t>2025</a:t>
            </a:r>
            <a:r>
              <a:rPr lang="zh-CN" sz="1400" b="0" i="0" u="none" strike="noStrike" baseline="0">
                <a:solidFill>
                  <a:srgbClr val="333333"/>
                </a:solidFill>
                <a:latin typeface="宋体"/>
                <a:ea typeface="宋体"/>
                <a:cs typeface="Lucida Sans"/>
              </a:rPr>
              <a:t>年度</a:t>
            </a:r>
            <a:r>
              <a:rPr lang="zh-CN" sz="1400" b="0" i="0" u="none" strike="noStrike" baseline="0">
                <a:solidFill>
                  <a:srgbClr val="333333"/>
                </a:solidFill>
                <a:latin typeface="宋体"/>
                <a:ea typeface="宋体"/>
                <a:cs typeface="Lucida Sans"/>
              </a:rPr>
              <a:t>收入</a:t>
            </a:r>
          </a:p>
        </c:rich>
      </c:tx>
      <c:layout>
        <c:manualLayout>
          <c:xMode val="edge"/>
          <c:yMode val="edge"/>
          <c:x val="0.3775"/>
          <c:y val="0.031453136"/>
        </c:manualLayout>
      </c:layout>
      <c:overlay val="0"/>
      <c:spPr>
        <a:ln>
          <a:noFill/>
        </a:ln>
      </c:spPr>
    </c:title>
    <c:autoTitleDeleted val="1"/>
    <c:plotArea>
      <c:layout>
        <c:manualLayout>
          <c:layoutTarget val="inner"/>
          <c:xMode val="edge"/>
          <c:yMode val="edge"/>
          <c:x val="0.28125"/>
          <c:y val="0.14720067"/>
          <c:w val="0.47402778"/>
          <c:h val="0.7156637"/>
        </c:manualLayout>
      </c:layout>
      <c:pieChart>
        <c:varyColors val="1"/>
        <c:ser>
          <c:idx val="0"/>
          <c:order val="0"/>
          <c:tx>
            <c:v>亚洲区</c:v>
          </c:tx>
          <c:spPr>
            <a:solidFill>
              <a:srgbClr val="5B9BD5"/>
            </a:solidFill>
            <a:ln>
              <a:noFill/>
            </a:ln>
          </c:spPr>
          <c:dPt>
            <c:idx val="0"/>
            <c:bubble3D val="0"/>
            <c:explosion val="0"/>
            <c:spPr>
              <a:solidFill>
                <a:srgbClr val="5B9BD5"/>
              </a:solidFill>
              <a:ln>
                <a:noFill/>
              </a:ln>
            </c:spPr>
          </c:dPt>
          <c:dPt>
            <c:idx val="1"/>
            <c:bubble3D val="0"/>
            <c:explosion val="0"/>
            <c:spPr>
              <a:solidFill>
                <a:srgbClr val="5B9BD5"/>
              </a:solidFill>
              <a:ln>
                <a:noFill/>
              </a:ln>
            </c:spPr>
          </c:dPt>
          <c:dPt>
            <c:idx val="2"/>
            <c:bubble3D val="0"/>
            <c:explosion val="0"/>
            <c:spPr>
              <a:solidFill>
                <a:srgbClr val="5B9BD5"/>
              </a:solidFill>
              <a:ln>
                <a:noFill/>
              </a:ln>
            </c:spPr>
          </c:dPt>
          <c:dPt>
            <c:idx val="3"/>
            <c:bubble3D val="0"/>
            <c:explosion val="0"/>
            <c:spPr>
              <a:solidFill>
                <a:srgbClr val="5B9BD5"/>
              </a:solidFill>
              <a:ln>
                <a:noFill/>
              </a:ln>
            </c:spPr>
          </c:dPt>
          <c:dLbls>
            <c:dLbl>
              <c:idx val="0"/>
              <c:layout>
                <c:manualLayout>
                  <c:x val="0.0041662534"/>
                  <c:y val="-0.16274506"/>
                </c:manualLayout>
              </c:layout>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tx>
                <c:rich>
                  <a:bodyPr vert="horz"/>
                  <a:lstStyle/>
                  <a:p>
                    <a:pPr>
                      <a:defRPr sz="1000" b="0" i="0" u="none" strike="noStrike" baseline="0">
                        <a:solidFill>
                          <a:srgbClr val="000000"/>
                        </a:solidFill>
                        <a:latin typeface="Times New Roman"/>
                        <a:ea typeface="宋体"/>
                        <a:cs typeface="Lucida Sans"/>
                      </a:defRPr>
                    </a:pPr>
                    <a:r>
                      <a:rPr lang="zh-CN"/>
                      <a:t>100%</a:t>
                    </a:r>
                  </a:p>
                </c:rich>
              </c:tx>
              <c:showLegendKey val="0"/>
              <c:showVal val="1"/>
              <c:showCatName val="0"/>
              <c:showSerName val="0"/>
              <c:showPercent val="0"/>
              <c:showBubbleSize val="0"/>
            </c:dLbl>
            <c:dLbl>
              <c:idx val="1"/>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elete val="1"/>
            </c:dLbl>
            <c:dLbl>
              <c:idx val="2"/>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elete val="1"/>
            </c:dLbl>
            <c:dLbl>
              <c:idx val="3"/>
              <c:numFmt formatCode="General" sourceLinked="0"/>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delete val="1"/>
            </c:dLbl>
            <c:showLegendKey val="0"/>
            <c:showVal val="0"/>
            <c:showCatName val="0"/>
            <c:showSerName val="0"/>
            <c:showPercent val="0"/>
            <c:showBubbleSize val="0"/>
            <c:showLeaderLines val="1"/>
          </c:dLbls>
          <c:cat>
            <c:strLit>
              <c:ptCount val="4"/>
              <c:pt idx="0">
                <c:v>一般公共预算财政拨款收入</c:v>
              </c:pt>
            </c:strLit>
          </c:cat>
          <c:val>
            <c:numRef>
              <c:f/>
              <c:numCache>
                <c:formatCode>General</c:formatCode>
                <c:ptCount val="4"/>
                <c:pt idx="0">
                  <c:v>246.91</c:v>
                </c:pt>
              </c:numCache>
            </c:numRef>
          </c:val>
        </c:ser>
        <c:ser>
          <c:idx val="1"/>
          <c:order val="1"/>
          <c:tx>
            <c:v>欧洲区</c:v>
          </c:tx>
          <c:spPr>
            <a:solidFill>
              <a:srgbClr val="ED7D31"/>
            </a:solidFill>
            <a:ln>
              <a:noFill/>
            </a:ln>
          </c:spPr>
          <c:dPt>
            <c:idx val="0"/>
            <c:invertIfNegative val="0"/>
            <c:bubble3D val="0"/>
            <c:spPr>
              <a:ln>
                <a:noFill/>
              </a:ln>
            </c:spPr>
          </c:dPt>
          <c:dPt>
            <c:idx val="1"/>
            <c:invertIfNegative val="0"/>
            <c:bubble3D val="0"/>
            <c:spPr>
              <a:ln>
                <a:noFill/>
              </a:ln>
            </c:spPr>
          </c:dPt>
          <c:dPt>
            <c:idx val="2"/>
            <c:invertIfNegative val="0"/>
            <c:bubble3D val="0"/>
            <c:spPr>
              <a:ln>
                <a:noFill/>
              </a:ln>
            </c:spPr>
          </c:dPt>
          <c:dPt>
            <c:idx val="3"/>
            <c:invertIfNegative val="0"/>
            <c:bubble3D val="0"/>
            <c:spPr>
              <a:ln>
                <a:noFill/>
              </a:ln>
            </c:spPr>
          </c:dPt>
          <c:dLbls>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numFmt formatCode="General" sourceLinked="0"/>
            <c:dLblPos val="inEnd"/>
            <c:showLegendKey val="0"/>
            <c:showVal val="1"/>
            <c:showCatName val="0"/>
            <c:showSerName val="0"/>
            <c:showPercent val="0"/>
            <c:showBubbleSize val="0"/>
            <c:showLeaderLines val="1"/>
          </c:dLbls>
          <c:cat>
            <c:strLit>
              <c:ptCount val="4"/>
              <c:pt idx="0">
                <c:v>一般公共预算财政拨款收入</c:v>
              </c:pt>
            </c:strLit>
          </c:cat>
          <c:val>
            <c:numRef>
              <c:f/>
              <c:numCache>
                <c:formatCode>General</c:formatCode>
                <c:ptCount val="4"/>
                <c:pt idx="0">
                  <c:v>56.8</c:v>
                </c:pt>
              </c:numCache>
            </c:numRef>
          </c:val>
        </c:ser>
        <c:ser>
          <c:idx val="2"/>
          <c:order val="2"/>
          <c:tx>
            <c:v>北美区</c:v>
          </c:tx>
          <c:spPr>
            <a:solidFill>
              <a:srgbClr val="A5A5A5"/>
            </a:solidFill>
            <a:ln>
              <a:noFill/>
            </a:ln>
          </c:spPr>
          <c:dPt>
            <c:idx val="0"/>
            <c:invertIfNegative val="0"/>
            <c:bubble3D val="0"/>
            <c:spPr>
              <a:ln>
                <a:noFill/>
              </a:ln>
            </c:spPr>
          </c:dPt>
          <c:dPt>
            <c:idx val="1"/>
            <c:invertIfNegative val="0"/>
            <c:bubble3D val="0"/>
            <c:spPr>
              <a:ln>
                <a:noFill/>
              </a:ln>
            </c:spPr>
          </c:dPt>
          <c:dPt>
            <c:idx val="2"/>
            <c:invertIfNegative val="0"/>
            <c:bubble3D val="0"/>
            <c:spPr>
              <a:ln>
                <a:noFill/>
              </a:ln>
            </c:spPr>
          </c:dPt>
          <c:dPt>
            <c:idx val="3"/>
            <c:invertIfNegative val="0"/>
            <c:bubble3D val="0"/>
            <c:spPr>
              <a:ln>
                <a:noFill/>
              </a:ln>
            </c:spPr>
          </c:dPt>
          <c:dLbls>
            <c:spPr>
              <a:noFill/>
              <a:ln>
                <a:noFill/>
              </a:ln>
            </c:spPr>
            <c:txPr>
              <a:bodyPr vert="horz"/>
              <a:lstStyle/>
              <a:p>
                <a:pPr>
                  <a:defRPr sz="1000" b="0" i="0" u="none" strike="noStrike" baseline="0">
                    <a:solidFill>
                      <a:srgbClr val="000000"/>
                    </a:solidFill>
                    <a:latin typeface="Times New Roman"/>
                    <a:ea typeface="宋体"/>
                    <a:cs typeface="Lucida Sans"/>
                  </a:defRPr>
                </a:pPr>
                <a:endParaRPr lang="zh-CN"/>
              </a:p>
            </c:txPr>
            <c:numFmt formatCode="General" sourceLinked="0"/>
            <c:dLblPos val="inEnd"/>
            <c:showLegendKey val="0"/>
            <c:showVal val="1"/>
            <c:showCatName val="0"/>
            <c:showSerName val="0"/>
            <c:showPercent val="0"/>
            <c:showBubbleSize val="0"/>
            <c:showLeaderLines val="1"/>
          </c:dLbls>
          <c:cat>
            <c:strLit>
              <c:ptCount val="4"/>
              <c:pt idx="0">
                <c:v>一般公共预算财政拨款收入</c:v>
              </c:pt>
            </c:strLit>
          </c:cat>
          <c:val>
            <c:numRef>
              <c:f/>
              <c:numCache>
                <c:formatCode>General</c:formatCode>
                <c:ptCount val="4"/>
                <c:pt idx="0">
                  <c:v>91.2</c:v>
                </c:pt>
              </c:numCache>
            </c:numRef>
          </c:val>
        </c:ser>
        <c:firstSliceAng val="0"/>
      </c:pieChart>
      <c:spPr>
        <a:noFill/>
        <a:ln>
          <a:noFill/>
        </a:ln>
      </c:spPr>
    </c:plotArea>
    <c:legend>
      <c:legendPos val="b"/>
      <c:layout/>
      <c:overlay val="0"/>
      <c:spPr>
        <a:noFill/>
        <a:ln>
          <a:noFill/>
        </a:ln>
      </c:spPr>
      <c:txPr>
        <a:bodyPr/>
        <a:lstStyle/>
        <a:p>
          <a:pPr>
            <a:defRPr sz="1000" b="0" i="0" u="none" strike="noStrike" baseline="0">
              <a:solidFill>
                <a:srgbClr val="000000"/>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Lucida Sans"/>
              </a:defRPr>
            </a:pPr>
            <a:r>
              <a:rPr lang="zh-CN" sz="1400" b="0" i="0" u="none" strike="noStrike" baseline="0">
                <a:solidFill>
                  <a:srgbClr val="595959"/>
                </a:solidFill>
                <a:latin typeface="Times New Roman"/>
                <a:ea typeface="宋体"/>
                <a:cs typeface="Lucida Sans"/>
              </a:rPr>
              <a:t>2025</a:t>
            </a:r>
            <a:r>
              <a:rPr lang="zh-CN" sz="1400" b="0" i="0" u="none" strike="noStrike" baseline="0">
                <a:solidFill>
                  <a:srgbClr val="595959"/>
                </a:solidFill>
                <a:latin typeface="Times New Roman"/>
                <a:ea typeface="宋体"/>
                <a:cs typeface="Lucida Sans"/>
              </a:rPr>
              <a:t>年度</a:t>
            </a:r>
            <a:r>
              <a:rPr lang="zh-CN" sz="1400" b="0" i="0" u="none" strike="noStrike" baseline="0">
                <a:solidFill>
                  <a:srgbClr val="595959"/>
                </a:solidFill>
                <a:latin typeface="Times New Roman"/>
                <a:ea typeface="宋体"/>
                <a:cs typeface="Lucida Sans"/>
              </a:rPr>
              <a:t>支出</a:t>
            </a:r>
          </a:p>
        </c:rich>
      </c:tx>
      <c:layout/>
      <c:overlay val="0"/>
      <c:spPr>
        <a:noFill/>
        <a:ln>
          <a:noFill/>
        </a:ln>
      </c:spPr>
    </c:title>
    <c:autoTitleDeleted val="1"/>
    <c:plotArea>
      <c:layout/>
      <c:pieChart>
        <c:varyColors val="1"/>
        <c:ser>
          <c:idx val="0"/>
          <c:order val="0"/>
          <c:tx>
            <c:strRef>
              <c:f>'Sheet1'!$B$1</c:f>
              <c:strCache>
                <c:ptCount val="1"/>
                <c:pt idx="0">
                  <c:v>支出决算结构图</c:v>
                </c:pt>
              </c:strCache>
            </c:strRef>
          </c:tx>
          <c:spPr>
            <a:solidFill>
              <a:srgbClr val="4F81BD"/>
            </a:solidFill>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Lbls>
            <c:spPr>
              <a:noFill/>
              <a:ln>
                <a:noFill/>
              </a:ln>
            </c:spPr>
            <c:txPr>
              <a:bodyPr vert="horz"/>
              <a:lstStyle/>
              <a:p>
                <a:pPr>
                  <a:defRPr sz="900" b="0" i="0" u="none" strike="noStrike" baseline="0">
                    <a:solidFill>
                      <a:srgbClr val="404040"/>
                    </a:solidFill>
                    <a:latin typeface="Times New Roman"/>
                    <a:ea typeface="宋体"/>
                    <a:cs typeface="Lucida Sans"/>
                  </a:defRPr>
                </a:pPr>
                <a:endParaRPr lang="zh-CN"/>
              </a:p>
            </c:txPr>
            <c:numFmt formatCode="0.0%" sourceLinked="1"/>
            <c:dLblPos val="inEnd"/>
            <c:showLegendKey val="0"/>
            <c:showVal val="1"/>
            <c:showCatName val="1"/>
            <c:showSerName val="0"/>
            <c:showPercent val="0"/>
            <c:showBubbleSize val="0"/>
            <c:showLeaderLines val="1"/>
          </c:dLbls>
          <c:cat>
            <c:strRef>
              <c:f>'Sheet1'!$A$2:$A$5</c:f>
              <c:strCache>
                <c:ptCount val="4"/>
                <c:pt idx="0">
                  <c:v>基本支出</c:v>
                </c:pt>
                <c:pt idx="1">
                  <c:v>项目支出</c:v>
                </c:pt>
              </c:strCache>
            </c:strRef>
          </c:cat>
          <c:val>
            <c:numRef>
              <c:f>'Sheet1'!$B$2:$B$5</c:f>
              <c:numCache>
                <c:formatCode>0.0%</c:formatCode>
                <c:ptCount val="4"/>
                <c:pt idx="0">
                  <c:v>0.857</c:v>
                </c:pt>
                <c:pt idx="1">
                  <c:v>0.143</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Entry>
        <c:idx val="2"/>
        <c:delete val="1"/>
      </c:legendEntry>
      <c:legendEntry>
        <c:idx val="3"/>
        <c:delete val="1"/>
      </c:legendEntry>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Lucida Sans"/>
              </a:defRPr>
            </a:pPr>
            <a:r>
              <a:rPr lang="zh-CN" sz="1400" b="0" i="0" u="none" strike="noStrike" baseline="0">
                <a:solidFill>
                  <a:srgbClr val="595959"/>
                </a:solidFill>
                <a:latin typeface="Times New Roman"/>
                <a:ea typeface="宋体"/>
                <a:cs typeface="Lucida Sans"/>
              </a:rPr>
              <a:t>财政拨款收、支情况</a:t>
            </a:r>
            <a:r>
              <a:rPr lang="zh-CN" sz="1400" b="0" i="0" u="none" strike="noStrike" baseline="0">
                <a:solidFill>
                  <a:srgbClr val="595959"/>
                </a:solidFill>
                <a:latin typeface="Times New Roman"/>
                <a:ea typeface="宋体"/>
                <a:cs typeface="Lucida Sans"/>
              </a:rPr>
              <a:t>     </a:t>
            </a:r>
            <a:r>
              <a:rPr lang="zh-CN" sz="1400" b="0" i="0" u="none" strike="noStrike" baseline="0">
                <a:solidFill>
                  <a:srgbClr val="595959"/>
                </a:solidFill>
                <a:latin typeface="Times New Roman"/>
                <a:ea typeface="宋体"/>
                <a:cs typeface="Lucida Sans"/>
              </a:rPr>
              <a:t>
</a:t>
            </a:r>
            <a:r>
              <a:rPr lang="zh-CN" sz="1400" b="0" i="0" u="none" strike="noStrike" baseline="0">
                <a:solidFill>
                  <a:srgbClr val="595959"/>
                </a:solidFill>
                <a:latin typeface="Times New Roman"/>
                <a:ea typeface="宋体"/>
                <a:cs typeface="Lucida Sans"/>
              </a:rPr>
              <a:t>                                                     </a:t>
            </a:r>
            <a:r>
              <a:rPr lang="zh-CN" sz="800" b="0" i="0" u="none" strike="noStrike" baseline="0">
                <a:solidFill>
                  <a:srgbClr val="595959"/>
                </a:solidFill>
                <a:latin typeface="Times New Roman"/>
                <a:ea typeface="宋体"/>
                <a:cs typeface="Lucida Sans"/>
              </a:rPr>
              <a:t>单位：万元</a:t>
            </a:r>
          </a:p>
        </c:rich>
      </c:tx>
      <c:layout/>
      <c:overlay val="1"/>
      <c:spPr>
        <a:noFill/>
        <a:ln>
          <a:noFill/>
        </a:ln>
      </c:spPr>
    </c:title>
    <c:autoTitleDeleted val="1"/>
    <c:plotArea>
      <c:layout>
        <c:manualLayout>
          <c:layoutTarget val="inner"/>
          <c:xMode val="edge"/>
          <c:yMode val="edge"/>
          <c:x val="0.11560124"/>
          <c:y val="0.25017717"/>
          <c:w val="0.7787947"/>
          <c:h val="0.5876211"/>
        </c:manualLayout>
      </c:layout>
      <c:barChart>
        <c:barDir val="col"/>
        <c:grouping val="clustered"/>
        <c:varyColors val="0"/>
        <c:ser>
          <c:idx val="0"/>
          <c:order val="0"/>
          <c:tx>
            <c:strRef>
              <c:f>'Sheet1 (2)'!$B$1</c:f>
              <c:strCache>
                <c:ptCount val="1"/>
                <c:pt idx="0">
                  <c:v>2024年</c:v>
                </c:pt>
              </c:strCache>
            </c:strRef>
          </c:tx>
          <c:spPr>
            <a:solidFill>
              <a:srgbClr val="4F81BD"/>
            </a:solidFill>
            <a:ln>
              <a:noFill/>
            </a:ln>
          </c:spPr>
          <c:invertIfNegative val="0"/>
          <c:dLbls>
            <c:spPr>
              <a:noFill/>
              <a:ln>
                <a:noFill/>
              </a:ln>
            </c:spPr>
            <c:txPr>
              <a:bodyPr vert="horz"/>
              <a:lstStyle/>
              <a:p>
                <a:pPr>
                  <a:defRPr sz="900" b="0" i="0" u="none" strike="noStrike" baseline="0">
                    <a:solidFill>
                      <a:srgbClr val="404040"/>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(2)'!$A$2:$A$5</c:f>
              <c:strCache>
                <c:ptCount val="4"/>
                <c:pt idx="0">
                  <c:v>收入</c:v>
                </c:pt>
                <c:pt idx="1">
                  <c:v>支出</c:v>
                </c:pt>
              </c:strCache>
            </c:strRef>
          </c:cat>
          <c:val>
            <c:numRef>
              <c:f>'Sheet1 (2)'!$B$2:$B$3</c:f>
              <c:numCache>
                <c:formatCode>General</c:formatCode>
                <c:ptCount val="2"/>
                <c:pt idx="0">
                  <c:v>216.08</c:v>
                </c:pt>
                <c:pt idx="1">
                  <c:v>216.08</c:v>
                </c:pt>
              </c:numCache>
            </c:numRef>
          </c:val>
        </c:ser>
        <c:ser>
          <c:idx val="1"/>
          <c:order val="1"/>
          <c:tx>
            <c:strRef>
              <c:f>'Sheet1 (2)'!$C$1</c:f>
              <c:strCache>
                <c:ptCount val="1"/>
                <c:pt idx="0">
                  <c:v>2025年</c:v>
                </c:pt>
              </c:strCache>
            </c:strRef>
          </c:tx>
          <c:spPr>
            <a:solidFill>
              <a:srgbClr val="C0504D"/>
            </a:solidFill>
            <a:ln>
              <a:noFill/>
            </a:ln>
          </c:spPr>
          <c:invertIfNegative val="0"/>
          <c:dLbls>
            <c:spPr>
              <a:noFill/>
              <a:ln>
                <a:noFill/>
              </a:ln>
            </c:spPr>
            <c:txPr>
              <a:bodyPr vert="horz"/>
              <a:lstStyle/>
              <a:p>
                <a:pPr>
                  <a:defRPr sz="900" b="0" i="0" u="none" strike="noStrike" baseline="0">
                    <a:solidFill>
                      <a:srgbClr val="404040"/>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(2)'!$A$2:$A$5</c:f>
              <c:strCache>
                <c:ptCount val="4"/>
                <c:pt idx="0">
                  <c:v>收入</c:v>
                </c:pt>
                <c:pt idx="1">
                  <c:v>支出</c:v>
                </c:pt>
              </c:strCache>
            </c:strRef>
          </c:cat>
          <c:val>
            <c:numRef>
              <c:f>'Sheet1 (2)'!$C$2:$C$3</c:f>
              <c:numCache>
                <c:formatCode>General</c:formatCode>
                <c:ptCount val="2"/>
                <c:pt idx="0">
                  <c:v>246.91</c:v>
                </c:pt>
                <c:pt idx="1">
                  <c:v>246.91</c:v>
                </c:pt>
              </c:numCache>
            </c:numRef>
          </c:val>
        </c:ser>
        <c:overlap val="-21"/>
        <c:gapWidth val="213"/>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1"/>
        <c:axPos val="l"/>
        <c:numFmt formatCode="General" sourceLinked="1"/>
        <c:majorTickMark val="none"/>
        <c:minorTickMark val="none"/>
        <c:tickLblPos val="nextTo"/>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Lucida Sans"/>
              </a:defRPr>
            </a:pPr>
            <a:r>
              <a:rPr lang="zh-CN" sz="1400" b="0" i="0" u="none" strike="noStrike" baseline="0">
                <a:solidFill>
                  <a:srgbClr val="595959"/>
                </a:solidFill>
                <a:latin typeface="Times New Roman"/>
                <a:ea typeface="宋体"/>
                <a:cs typeface="Lucida Sans"/>
              </a:rPr>
              <a:t>一般公共预算财政拨款支出</a:t>
            </a:r>
            <a:r>
              <a:rPr lang="zh-CN" sz="1400" b="0" i="0" u="none" strike="noStrike" baseline="0">
                <a:solidFill>
                  <a:srgbClr val="595959"/>
                </a:solidFill>
                <a:latin typeface="Times New Roman"/>
                <a:ea typeface="宋体"/>
                <a:cs typeface="Lucida Sans"/>
              </a:rPr>
              <a:t>
</a:t>
            </a:r>
            <a:r>
              <a:rPr lang="zh-CN" sz="1200" b="0" i="0" u="none" strike="noStrike" baseline="0">
                <a:solidFill>
                  <a:srgbClr val="595959"/>
                </a:solidFill>
                <a:latin typeface="Times New Roman"/>
                <a:ea typeface="宋体"/>
                <a:cs typeface="Lucida Sans"/>
              </a:rPr>
              <a:t>                                                                </a:t>
            </a:r>
            <a:r>
              <a:rPr lang="zh-CN" sz="1000" b="0" i="0" u="none" strike="noStrike" baseline="0">
                <a:solidFill>
                  <a:srgbClr val="595959"/>
                </a:solidFill>
                <a:latin typeface="Times New Roman"/>
                <a:ea typeface="宋体"/>
                <a:cs typeface="Lucida Sans"/>
              </a:rPr>
              <a:t>单位：万元</a:t>
            </a:r>
          </a:p>
        </c:rich>
      </c:tx>
      <c:layout/>
      <c:overlay val="0"/>
      <c:spPr>
        <a:noFill/>
        <a:ln>
          <a:noFill/>
        </a:ln>
      </c:spPr>
    </c:title>
    <c:autoTitleDeleted val="1"/>
    <c:plotArea>
      <c:layout>
        <c:manualLayout>
          <c:layoutTarget val="inner"/>
          <c:xMode val="edge"/>
          <c:yMode val="edge"/>
          <c:x val="0.11880409"/>
          <c:y val="0.27767736"/>
          <c:w val="0.78533965"/>
          <c:h val="0.58933574"/>
        </c:manualLayout>
      </c:layout>
      <c:barChart>
        <c:barDir val="col"/>
        <c:grouping val="clustered"/>
        <c:varyColors val="0"/>
        <c:ser>
          <c:idx val="0"/>
          <c:order val="0"/>
          <c:tx>
            <c:strRef>
              <c:f>'Sheet1 (3)'!$B$1</c:f>
              <c:strCache>
                <c:ptCount val="1"/>
                <c:pt idx="0">
                  <c:v>系列 1</c:v>
                </c:pt>
              </c:strCache>
            </c:strRef>
          </c:tx>
          <c:spPr>
            <a:solidFill>
              <a:srgbClr val="4F81BD"/>
            </a:solidFill>
            <a:ln>
              <a:noFill/>
            </a:ln>
          </c:spPr>
          <c:invertIfNegative val="0"/>
          <c:dLbls>
            <c:spPr>
              <a:noFill/>
              <a:ln>
                <a:noFill/>
              </a:ln>
            </c:spPr>
            <c:txPr>
              <a:bodyPr vert="horz"/>
              <a:lstStyle/>
              <a:p>
                <a:pPr>
                  <a:defRPr sz="900" b="0" i="0" u="none" strike="noStrike" baseline="0">
                    <a:solidFill>
                      <a:srgbClr val="404040"/>
                    </a:solidFill>
                    <a:latin typeface="Times New Roman"/>
                    <a:ea typeface="宋体"/>
                    <a:cs typeface="Lucida Sans"/>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(3)'!$A$2:$A$3</c:f>
              <c:strCache>
                <c:ptCount val="2"/>
                <c:pt idx="0">
                  <c:v>2024年</c:v>
                </c:pt>
                <c:pt idx="1">
                  <c:v>2025年</c:v>
                </c:pt>
              </c:strCache>
            </c:strRef>
          </c:cat>
          <c:val>
            <c:numRef>
              <c:f>'Sheet1 (3)'!$B$2:$B$3</c:f>
              <c:numCache>
                <c:formatCode>General</c:formatCode>
                <c:ptCount val="2"/>
                <c:pt idx="0">
                  <c:v>216.08</c:v>
                </c:pt>
                <c:pt idx="1">
                  <c:v>246.91</c:v>
                </c:pt>
              </c:numCache>
            </c:numRef>
          </c:val>
        </c:ser>
        <c:overlap val="-25"/>
        <c:gapWidth val="150"/>
        <c:axId val="0"/>
        <c:axId val="1"/>
      </c:barChart>
      <c:catAx>
        <c:axId val="0"/>
        <c:scaling>
          <c:orientation val="minMax"/>
        </c:scaling>
        <c:delete val="0"/>
        <c:axPos val="b"/>
        <c:numFmt formatCode="General" sourceLinked="1"/>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Lucida Sans"/>
              </a:defRPr>
            </a:pPr>
            <a:endParaRPr lang="zh-CN"/>
          </a:p>
        </c:txPr>
        <c:crosses val="autoZero"/>
        <c:auto val="1"/>
        <c:lblOffset val="100"/>
        <c:lblAlgn val="ctr"/>
        <c:noMultiLvlLbl val="0"/>
        <c:crossAx val="1"/>
      </c:catAx>
      <c:valAx>
        <c:axId val="1"/>
        <c:scaling>
          <c:orientation val="minMax"/>
        </c:scaling>
        <c:delete val="1"/>
        <c:axPos val="l"/>
        <c:numFmt formatCode="General" sourceLinked="1"/>
        <c:majorTickMark val="none"/>
        <c:minorTickMark val="none"/>
        <c:tickLblPos val="nextTo"/>
        <c:txPr>
          <a:bodyPr/>
          <a:lstStyle/>
          <a:p>
            <a:pPr>
              <a:defRPr sz="900" b="0" i="0" u="none" strike="noStrike" baseline="0">
                <a:solidFill>
                  <a:srgbClr val="595959"/>
                </a:solidFill>
                <a:latin typeface="Times New Roman"/>
                <a:ea typeface="宋体"/>
                <a:cs typeface="Lucida Sans"/>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Lucida Sans"/>
              </a:defRPr>
            </a:pPr>
            <a:r>
              <a:rPr lang="zh-CN" sz="1400" b="0" i="0" u="none" strike="noStrike" baseline="0">
                <a:solidFill>
                  <a:srgbClr val="595959"/>
                </a:solidFill>
                <a:latin typeface="Times New Roman"/>
                <a:ea typeface="宋体"/>
                <a:cs typeface="Lucida Sans"/>
              </a:rPr>
              <a:t>一般公共预算财政拨款支出</a:t>
            </a:r>
            <a:r>
              <a:rPr lang="zh-CN" sz="1400" b="0" i="0" u="none" strike="noStrike" baseline="0">
                <a:solidFill>
                  <a:srgbClr val="595959"/>
                </a:solidFill>
                <a:latin typeface="Times New Roman"/>
                <a:ea typeface="宋体"/>
                <a:cs typeface="Lucida Sans"/>
              </a:rPr>
              <a:t>
</a:t>
            </a:r>
            <a:r>
              <a:rPr lang="zh-CN" sz="1400" b="0" i="0" u="none" strike="noStrike" baseline="0">
                <a:solidFill>
                  <a:srgbClr val="595959"/>
                </a:solidFill>
                <a:latin typeface="Times New Roman"/>
                <a:ea typeface="宋体"/>
                <a:cs typeface="Lucida Sans"/>
              </a:rPr>
              <a:t>                                                       </a:t>
            </a:r>
            <a:r>
              <a:rPr lang="zh-CN" sz="1000" b="0" i="0" u="none" strike="noStrike" baseline="0">
                <a:solidFill>
                  <a:srgbClr val="595959"/>
                </a:solidFill>
                <a:latin typeface="Times New Roman"/>
                <a:ea typeface="宋体"/>
                <a:cs typeface="Lucida Sans"/>
              </a:rPr>
              <a:t>单位：万元</a:t>
            </a:r>
          </a:p>
        </c:rich>
      </c:tx>
      <c:layout>
        <c:manualLayout>
          <c:xMode val="edge"/>
          <c:yMode val="edge"/>
          <c:x val="0.11659193"/>
          <c:y val="0.021969974"/>
        </c:manualLayout>
      </c:layout>
      <c:overlay val="0"/>
      <c:spPr>
        <a:noFill/>
        <a:ln>
          <a:noFill/>
        </a:ln>
      </c:spPr>
    </c:title>
    <c:autoTitleDeleted val="1"/>
    <c:plotArea>
      <c:layout/>
      <c:pieChart>
        <c:varyColors val="1"/>
        <c:ser>
          <c:idx val="0"/>
          <c:order val="0"/>
          <c:tx>
            <c:strRef>
              <c:f>'Sheet1 (4)'!$B$1</c:f>
              <c:strCache>
                <c:ptCount val="1"/>
                <c:pt idx="0">
                  <c:v>销售额</c:v>
                </c:pt>
              </c:strCache>
            </c:strRef>
          </c:tx>
          <c:spPr>
            <a:solidFill>
              <a:srgbClr val="4F81BD"/>
            </a:solidFill>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Pt>
            <c:idx val="3"/>
            <c:bubble3D val="0"/>
            <c:spPr>
              <a:solidFill>
                <a:srgbClr val="8064A2"/>
              </a:solidFill>
              <a:ln w="19050">
                <a:solidFill>
                  <a:srgbClr val="FFFFFF"/>
                </a:solidFill>
                <a:prstDash val="solid"/>
              </a:ln>
            </c:spPr>
          </c:dPt>
          <c:dLbls>
            <c:spPr>
              <a:noFill/>
              <a:ln>
                <a:noFill/>
              </a:ln>
            </c:spPr>
            <c:txPr>
              <a:bodyPr vert="horz"/>
              <a:lstStyle/>
              <a:p>
                <a:pPr>
                  <a:defRPr sz="900" b="0" i="0" u="none" strike="noStrike" baseline="0">
                    <a:solidFill>
                      <a:srgbClr val="404040"/>
                    </a:solidFill>
                    <a:latin typeface="Times New Roman"/>
                    <a:ea typeface="宋体"/>
                    <a:cs typeface="Lucida Sans"/>
                  </a:defRPr>
                </a:pPr>
                <a:endParaRPr lang="zh-CN"/>
              </a:p>
            </c:txPr>
            <c:numFmt formatCode="0.0%" sourceLinked="1"/>
            <c:dLblPos val="inEnd"/>
            <c:showLegendKey val="0"/>
            <c:showVal val="1"/>
            <c:showCatName val="0"/>
            <c:showSerName val="0"/>
            <c:showPercent val="0"/>
            <c:showBubbleSize val="0"/>
            <c:showLeaderLines val="1"/>
          </c:dLbls>
          <c:cat>
            <c:strRef>
              <c:f>'Sheet1 (4)'!$A$2:$A$5</c:f>
              <c:strCache>
                <c:ptCount val="4"/>
                <c:pt idx="0">
                  <c:v>科学技术支出</c:v>
                </c:pt>
                <c:pt idx="1">
                  <c:v>社会保障和就业支出</c:v>
                </c:pt>
                <c:pt idx="2">
                  <c:v>卫生健康支出</c:v>
                </c:pt>
                <c:pt idx="3">
                  <c:v>住房保障支出</c:v>
                </c:pt>
              </c:strCache>
            </c:strRef>
          </c:cat>
          <c:val>
            <c:numRef>
              <c:f>'Sheet1 (4)'!$B$2:$B$5</c:f>
              <c:numCache>
                <c:formatCode>0.0%</c:formatCode>
                <c:ptCount val="4"/>
                <c:pt idx="0">
                  <c:v>0.766</c:v>
                </c:pt>
                <c:pt idx="1">
                  <c:v>0.119</c:v>
                </c:pt>
                <c:pt idx="2">
                  <c:v>0.047</c:v>
                </c:pt>
                <c:pt idx="3">
                  <c:v>0.068</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tx>
            <c:strRef>
              <c:f>'Sheet1 (5)'!$B$1</c:f>
              <c:strCache>
                <c:ptCount val="1"/>
                <c:pt idx="0">
                  <c:v>财政拨款“三公”经费支出</c:v>
                </c:pt>
              </c:strCache>
            </c:strRef>
          </c:tx>
          <c:spPr>
            <a:solidFill>
              <a:srgbClr val="4F81BD"/>
            </a:solidFill>
          </c:spPr>
          <c:dPt>
            <c:idx val="0"/>
            <c:bubble3D val="0"/>
            <c:spPr>
              <a:solidFill>
                <a:srgbClr val="4F81BD"/>
              </a:solidFill>
              <a:ln w="19050">
                <a:solidFill>
                  <a:srgbClr val="FFFFFF"/>
                </a:solidFill>
                <a:prstDash val="solid"/>
              </a:ln>
            </c:spPr>
          </c:dPt>
          <c:dPt>
            <c:idx val="1"/>
            <c:bubble3D val="0"/>
            <c:spPr>
              <a:solidFill>
                <a:srgbClr val="C0504D"/>
              </a:solidFill>
              <a:ln w="19050">
                <a:solidFill>
                  <a:srgbClr val="FFFFFF"/>
                </a:solidFill>
                <a:prstDash val="solid"/>
              </a:ln>
            </c:spPr>
          </c:dPt>
          <c:dPt>
            <c:idx val="2"/>
            <c:bubble3D val="0"/>
            <c:spPr>
              <a:solidFill>
                <a:srgbClr val="9BBB59"/>
              </a:solidFill>
              <a:ln w="19050">
                <a:solidFill>
                  <a:srgbClr val="FFFFFF"/>
                </a:solidFill>
                <a:prstDash val="solid"/>
              </a:ln>
            </c:spPr>
          </c:dPt>
          <c:dLbls>
            <c:txPr>
              <a:bodyPr/>
              <a:lstStyle/>
              <a:p>
                <a:pPr>
                  <a:defRPr sz="1000" b="0" i="0" u="none" strike="noStrike" baseline="0">
                    <a:solidFill>
                      <a:srgbClr val="000000"/>
                    </a:solidFill>
                    <a:latin typeface="Times New Roman"/>
                    <a:ea typeface="宋体"/>
                    <a:cs typeface="Lucida Sans"/>
                  </a:defRPr>
                </a:pPr>
                <a:endParaRPr lang="zh-CN"/>
              </a:p>
            </c:txPr>
            <c:numFmt formatCode="General" sourceLinked="1"/>
            <c:showLegendKey val="0"/>
            <c:showVal val="0"/>
            <c:showCatName val="0"/>
            <c:showSerName val="0"/>
            <c:showPercent val="0"/>
            <c:showBubbleSize val="0"/>
            <c:showLeaderLines val="0"/>
          </c:dLbls>
          <c:cat>
            <c:strRef>
              <c:f>'Sheet1 (5)'!$A$2:$A$4</c:f>
              <c:strCache>
                <c:ptCount val="3"/>
                <c:pt idx="0">
                  <c:v>公务用车购置及运行维护费</c:v>
                </c:pt>
                <c:pt idx="1">
                  <c:v>因公出国（境）</c:v>
                </c:pt>
                <c:pt idx="2">
                  <c:v>公务接待费</c:v>
                </c:pt>
              </c:strCache>
            </c:strRef>
          </c:cat>
          <c:val>
            <c:numRef>
              <c:f>'Sheet1 (5)'!$B$2:$B$4</c:f>
              <c:numCache>
                <c:formatCode>General</c:formatCode>
                <c:ptCount val="3"/>
                <c:pt idx="0">
                  <c:v>1.62</c:v>
                </c:pt>
                <c:pt idx="1">
                  <c:v>0.0</c:v>
                </c:pt>
                <c:pt idx="2">
                  <c:v>0.0</c:v>
                </c:pt>
              </c:numCache>
            </c:numRef>
          </c:val>
        </c:ser>
        <c:firstSliceAng val="0"/>
      </c:pieChart>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Lucida Sans"/>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Lucida Sans"/>
        </a:defRPr>
      </a:pPr>
      <a:endParaRPr lang="zh-CN"/>
    </a:p>
  </c:txPr>
  <c:printSettings>
    <c:headerFooter/>
    <c:pageMargins b="0.75" l="0.7" r="0.7" t="0.75" header="0.3" footer="0.3"/>
    <c:pageSetup/>
  </c:printSettings>
  <c:externalData r:id="rId1">
    <c:autoUpdate val="0"/>
  </c:externalData>
</c:chartSpace>
</file>

<file path=docProps/app.xml><?xml version="1.0" encoding="utf-8"?>
<Properties xmlns="http://schemas.openxmlformats.org/officeDocument/2006/extended-properties">
  <Template>Normal.eit</Template>
  <TotalTime>8</TotalTime>
  <Application>Yozo_Office27021597764231179</Application>
  <Pages>32</Pages>
  <Words>10573</Words>
  <Characters>11613</Characters>
  <Lines>1133</Lines>
  <Paragraphs>718</Paragraphs>
  <CharactersWithSpaces>11671</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32</cp:revision>
  <cp:lastPrinted>2026-09-02T07:58:02Z</cp:lastPrinted>
  <dcterms:created xsi:type="dcterms:W3CDTF">2020-08-11T01:49:00Z</dcterms:created>
  <dcterms:modified xsi:type="dcterms:W3CDTF">2026-09-17T09:20:51Z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83AE06CDC3CC40B608508D6A7B6C555D</vt:lpwstr>
  </property>
  <property fmtid="{D5CDD505-2E9C-101B-9397-08002B2CF9AE}" pid="4" name="KSOTemplateDocerSaveRecord">
    <vt:lpwstr>eyJoZGlkIjoiZmQ2MjUxMGI2NjJjNTRhYzlkNDEzOGU1MmU5NzFjZjAiLCJ1c2VySWQiOiI1NjEzNjY5MjAifQ==</vt:lpwstr>
  </property>
</Properties>
</file>