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7193"/>
      <w:bookmarkStart w:id="2" w:name="_Toc15396597"/>
      <w:bookmarkStart w:id="3" w:name="_Toc15378441"/>
      <w:bookmarkStart w:id="4" w:name="_Toc15396475"/>
      <w:bookmarkStart w:id="5" w:name="_Toc15377425"/>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2年度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8442"/>
      <w:bookmarkStart w:id="7" w:name="_Toc15377194"/>
      <w:bookmarkStart w:id="8" w:name="_Toc15396598"/>
      <w:bookmarkStart w:id="9" w:name="_Toc15377426"/>
      <w:bookmarkStart w:id="10" w:name="_Toc15396476"/>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省茂县县委党校</w:t>
      </w:r>
      <w:r>
        <w:rPr>
          <w:rFonts w:hint="eastAsia" w:ascii="方正小标宋简体" w:eastAsia="方正小标宋简体" w:cs="方正小标宋简体"/>
          <w:b/>
          <w:bCs/>
          <w:color w:val="000000"/>
          <w:sz w:val="52"/>
          <w:szCs w:val="52"/>
          <w:lang w:eastAsia="zh-CN"/>
        </w:rPr>
        <w:t>教研室</w:t>
      </w:r>
      <w:r>
        <w:rPr>
          <w:rFonts w:hint="eastAsia" w:ascii="方正小标宋简体" w:eastAsia="方正小标宋简体" w:cs="方正小标宋简体"/>
          <w:b/>
          <w:bCs/>
          <w:color w:val="000000"/>
          <w:sz w:val="52"/>
          <w:szCs w:val="5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560" w:lineRule="exact"/>
        <w:ind w:left="480" w:hanging="360" w:hangingChars="150"/>
        <w:jc w:val="center"/>
        <w:outlineLvl w:val="0"/>
        <w:rPr>
          <w:rFonts w:ascii="黑体" w:eastAsia="黑体"/>
          <w:b/>
          <w:bCs/>
          <w:color w:val="000000"/>
          <w:sz w:val="28"/>
          <w:szCs w:val="28"/>
        </w:rPr>
      </w:pPr>
      <w:r>
        <w:rPr>
          <w:rFonts w:ascii="仿宋_GB2312" w:eastAsia="仿宋_GB2312" w:cs="仿宋_GB2312"/>
          <w:color w:val="000000"/>
          <w:sz w:val="24"/>
          <w:szCs w:val="24"/>
        </w:rPr>
        <w:br w:type="page"/>
      </w:r>
      <w:r>
        <w:rPr>
          <w:rFonts w:ascii="方正小标宋简体" w:eastAsia="方正小标宋简体" w:cs="方正小标宋简体"/>
          <w:b w:val="0"/>
          <w:bCs w:val="0"/>
          <w:color w:val="000000"/>
          <w:sz w:val="36"/>
          <w:szCs w:val="36"/>
        </w:rPr>
        <w:t xml:space="preserve"> </w:t>
      </w:r>
      <w:r>
        <w:rPr>
          <w:rFonts w:hint="eastAsia" w:ascii="方正小标宋简体" w:eastAsia="方正小标宋简体" w:cs="方正小标宋简体"/>
          <w:b w:val="0"/>
          <w:bCs w:val="0"/>
          <w:color w:val="000000"/>
          <w:sz w:val="36"/>
          <w:szCs w:val="36"/>
        </w:rPr>
        <w:t>目</w:t>
      </w:r>
      <w:r>
        <w:rPr>
          <w:rFonts w:hint="eastAsia" w:ascii="方正小标宋简体" w:eastAsia="方正小标宋简体" w:cs="方正小标宋简体"/>
          <w:b w:val="0"/>
          <w:bCs w:val="0"/>
          <w:color w:val="000000"/>
          <w:sz w:val="36"/>
          <w:szCs w:val="36"/>
          <w:lang w:val="en-US" w:eastAsia="zh-CN"/>
        </w:rPr>
        <w:t xml:space="preserve">  </w:t>
      </w:r>
      <w:r>
        <w:rPr>
          <w:rFonts w:hint="eastAsia" w:ascii="方正小标宋简体" w:eastAsia="方正小标宋简体" w:cs="方正小标宋简体"/>
          <w:b w:val="0"/>
          <w:bCs w:val="0"/>
          <w:color w:val="000000"/>
          <w:sz w:val="36"/>
          <w:szCs w:val="36"/>
        </w:rPr>
        <w:t>录</w:t>
      </w:r>
    </w:p>
    <w:p>
      <w:pPr>
        <w:widowControl/>
        <w:spacing w:line="560" w:lineRule="exact"/>
        <w:jc w:val="center"/>
        <w:rPr>
          <w:rFonts w:ascii="宋体" w:cs="黑体"/>
          <w:color w:val="000000"/>
          <w:sz w:val="28"/>
          <w:szCs w:val="28"/>
        </w:rPr>
      </w:pPr>
    </w:p>
    <w:p>
      <w:pPr>
        <w:widowControl/>
        <w:spacing w:line="560" w:lineRule="exact"/>
        <w:jc w:val="center"/>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3年</w:t>
      </w:r>
      <w:r>
        <w:rPr>
          <w:rFonts w:ascii="宋体"/>
          <w:sz w:val="28"/>
          <w:szCs w:val="28"/>
        </w:rPr>
        <w:t>9</w:t>
      </w:r>
      <w:r>
        <w:rPr>
          <w:rFonts w:hint="eastAsia" w:ascii="宋体"/>
          <w:sz w:val="28"/>
          <w:szCs w:val="28"/>
        </w:rPr>
        <w:t>月12日</w:t>
      </w:r>
    </w:p>
    <w:p>
      <w:pPr>
        <w:pStyle w:val="12"/>
        <w:spacing w:line="560" w:lineRule="exact"/>
        <w:jc w:val="both"/>
        <w:rPr>
          <w:rFonts w:ascii="宋体"/>
          <w:b/>
          <w:bCs/>
          <w:caps w:val="0"/>
          <w:smallCaps/>
          <w:sz w:val="28"/>
          <w:szCs w:val="28"/>
        </w:rPr>
      </w:pPr>
      <w:r>
        <w:rPr>
          <w:rFonts w:ascii="宋体"/>
          <w:caps w:val="0"/>
          <w:smallCaps/>
          <w:sz w:val="28"/>
          <w:szCs w:val="28"/>
        </w:rPr>
        <w:fldChar w:fldCharType="begin"/>
      </w:r>
      <w:r>
        <w:rPr>
          <w:rFonts w:ascii="宋体"/>
          <w:caps w:val="0"/>
          <w:smallCaps/>
          <w:sz w:val="28"/>
          <w:szCs w:val="28"/>
        </w:rPr>
        <w:instrText xml:space="preserve"> TOC \o \u </w:instrText>
      </w:r>
      <w:r>
        <w:rPr>
          <w:rFonts w:ascii="宋体"/>
          <w:caps w:val="0"/>
          <w:smallCaps/>
          <w:sz w:val="28"/>
          <w:szCs w:val="28"/>
        </w:rPr>
        <w:fldChar w:fldCharType="separate"/>
      </w:r>
      <w:r>
        <w:rPr>
          <w:rFonts w:hint="eastAsia" w:ascii="宋体"/>
          <w:caps w:val="0"/>
          <w:smallCaps/>
          <w:sz w:val="28"/>
          <w:szCs w:val="28"/>
        </w:rPr>
        <w:t>第一部分</w:t>
      </w:r>
      <w:r>
        <w:rPr>
          <w:rFonts w:ascii="宋体"/>
          <w:caps w:val="0"/>
          <w:smallCaps/>
          <w:sz w:val="28"/>
          <w:szCs w:val="28"/>
        </w:rPr>
        <w:t xml:space="preserve"> </w:t>
      </w:r>
      <w:r>
        <w:rPr>
          <w:rFonts w:hint="eastAsia" w:ascii="宋体"/>
          <w:caps w:val="0"/>
          <w:smallCaps/>
          <w:sz w:val="28"/>
          <w:szCs w:val="28"/>
        </w:rPr>
        <w:t>单位概况</w:t>
      </w:r>
      <w:r>
        <w:rPr>
          <w:rFonts w:ascii="宋体"/>
          <w:caps w:val="0"/>
          <w:smallCaps/>
          <w:sz w:val="28"/>
          <w:szCs w:val="28"/>
        </w:rPr>
        <w:tab/>
      </w:r>
      <w:r>
        <w:rPr>
          <w:rFonts w:ascii="宋体"/>
          <w:bCs/>
          <w:caps w:val="0"/>
          <w:smallCaps/>
          <w:sz w:val="28"/>
          <w:szCs w:val="28"/>
        </w:rPr>
        <w:t>5</w:t>
      </w:r>
    </w:p>
    <w:p>
      <w:pPr>
        <w:pStyle w:val="13"/>
        <w:spacing w:line="560" w:lineRule="exact"/>
        <w:ind w:left="0" w:leftChars="0" w:firstLine="560" w:firstLineChars="200"/>
        <w:rPr>
          <w:rFonts w:ascii="宋体"/>
          <w:sz w:val="28"/>
          <w:szCs w:val="28"/>
        </w:rPr>
      </w:pPr>
      <w:r>
        <w:rPr>
          <w:rFonts w:hint="eastAsia" w:ascii="宋体"/>
          <w:sz w:val="28"/>
          <w:szCs w:val="28"/>
        </w:rPr>
        <w:t>一、主要职责</w:t>
      </w:r>
      <w:r>
        <w:rPr>
          <w:rFonts w:ascii="宋体"/>
          <w:sz w:val="28"/>
          <w:szCs w:val="28"/>
        </w:rPr>
        <w:tab/>
      </w:r>
      <w:r>
        <w:rPr>
          <w:rFonts w:ascii="宋体"/>
          <w:sz w:val="28"/>
          <w:szCs w:val="28"/>
        </w:rPr>
        <w:t>5</w:t>
      </w:r>
    </w:p>
    <w:p>
      <w:pPr>
        <w:pStyle w:val="13"/>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（一）主要职能</w:t>
      </w:r>
      <w:r>
        <w:rPr>
          <w:rFonts w:ascii="宋体"/>
          <w:caps w:val="0"/>
          <w:smallCaps/>
          <w:sz w:val="28"/>
          <w:szCs w:val="28"/>
        </w:rPr>
        <w:tab/>
      </w:r>
      <w:r>
        <w:rPr>
          <w:rFonts w:ascii="宋体"/>
          <w:sz w:val="28"/>
          <w:szCs w:val="28"/>
        </w:rPr>
        <w:t>5</w:t>
      </w:r>
    </w:p>
    <w:p>
      <w:pPr>
        <w:pStyle w:val="9"/>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w:t>
      </w:r>
      <w:r>
        <w:rPr>
          <w:rFonts w:ascii="宋体"/>
          <w:caps w:val="0"/>
          <w:smallCaps/>
          <w:sz w:val="28"/>
          <w:szCs w:val="28"/>
        </w:rPr>
        <w:t>202</w:t>
      </w:r>
      <w:r>
        <w:rPr>
          <w:rFonts w:hint="eastAsia" w:ascii="宋体"/>
          <w:caps w:val="0"/>
          <w:smallCaps/>
          <w:sz w:val="28"/>
          <w:szCs w:val="28"/>
        </w:rPr>
        <w:t>2年重点工作完成情况</w:t>
      </w:r>
      <w:r>
        <w:rPr>
          <w:rFonts w:ascii="宋体"/>
          <w:caps w:val="0"/>
          <w:smallCaps/>
          <w:sz w:val="28"/>
          <w:szCs w:val="28"/>
        </w:rPr>
        <w:tab/>
      </w:r>
      <w:r>
        <w:rPr>
          <w:rFonts w:ascii="宋体"/>
          <w:sz w:val="28"/>
          <w:szCs w:val="28"/>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二、机构设置</w:t>
      </w:r>
      <w:r>
        <w:rPr>
          <w:rFonts w:ascii="宋体"/>
          <w:sz w:val="28"/>
          <w:szCs w:val="28"/>
        </w:rPr>
        <w:tab/>
      </w:r>
      <w:r>
        <w:rPr>
          <w:rFonts w:hint="eastAsia" w:ascii="宋体"/>
          <w:sz w:val="28"/>
          <w:szCs w:val="28"/>
          <w:lang w:val="en-US" w:eastAsia="zh-CN"/>
        </w:rPr>
        <w:t>9</w:t>
      </w:r>
    </w:p>
    <w:p>
      <w:pPr>
        <w:pStyle w:val="12"/>
        <w:spacing w:line="560" w:lineRule="exact"/>
        <w:jc w:val="both"/>
        <w:rPr>
          <w:rFonts w:ascii="宋体" w:eastAsia="宋体"/>
          <w:caps w:val="0"/>
          <w:smallCaps/>
          <w:sz w:val="28"/>
          <w:szCs w:val="28"/>
          <w:lang w:val="en-US" w:eastAsia="zh-CN"/>
        </w:rPr>
      </w:pPr>
      <w:r>
        <w:rPr>
          <w:rFonts w:hint="eastAsia" w:ascii="宋体"/>
          <w:caps w:val="0"/>
          <w:smallCaps/>
          <w:sz w:val="28"/>
          <w:szCs w:val="28"/>
        </w:rPr>
        <w:t>第二部分</w:t>
      </w:r>
      <w:r>
        <w:rPr>
          <w:rFonts w:ascii="宋体"/>
          <w:caps w:val="0"/>
          <w:smallCaps/>
          <w:sz w:val="28"/>
          <w:szCs w:val="28"/>
        </w:rPr>
        <w:t xml:space="preserve"> 202</w:t>
      </w:r>
      <w:r>
        <w:rPr>
          <w:rFonts w:hint="eastAsia" w:ascii="宋体"/>
          <w:caps w:val="0"/>
          <w:smallCaps/>
          <w:sz w:val="28"/>
          <w:szCs w:val="28"/>
        </w:rPr>
        <w:t>2年度单位决算情况说明</w:t>
      </w:r>
      <w:r>
        <w:rPr>
          <w:rFonts w:ascii="宋体"/>
          <w:caps w:val="0"/>
          <w:smallCaps/>
          <w:sz w:val="28"/>
          <w:szCs w:val="28"/>
        </w:rPr>
        <w:tab/>
      </w:r>
      <w:r>
        <w:rPr>
          <w:rFonts w:hint="eastAsia" w:ascii="宋体"/>
          <w:caps w:val="0"/>
          <w:smallCaps/>
          <w:sz w:val="28"/>
          <w:szCs w:val="28"/>
          <w:lang w:val="en-US" w:eastAsia="zh-CN"/>
        </w:rPr>
        <w:t>10</w:t>
      </w:r>
    </w:p>
    <w:p>
      <w:pPr>
        <w:pStyle w:val="13"/>
        <w:tabs>
          <w:tab w:val="left" w:pos="840"/>
        </w:tabs>
        <w:spacing w:line="560" w:lineRule="exact"/>
        <w:ind w:left="0" w:leftChars="0" w:firstLine="560" w:firstLineChars="200"/>
        <w:rPr>
          <w:rFonts w:ascii="宋体" w:eastAsia="宋体"/>
          <w:sz w:val="28"/>
          <w:szCs w:val="28"/>
          <w:lang w:val="en-US" w:eastAsia="zh-CN"/>
        </w:rPr>
      </w:pPr>
      <w:r>
        <w:rPr>
          <w:rFonts w:hint="eastAsia" w:ascii="宋体"/>
          <w:sz w:val="28"/>
          <w:szCs w:val="28"/>
        </w:rPr>
        <w:t>一、收入支出决算总体情况说明</w:t>
      </w:r>
      <w:r>
        <w:rPr>
          <w:rFonts w:ascii="宋体"/>
          <w:sz w:val="28"/>
          <w:szCs w:val="28"/>
        </w:rPr>
        <w:tab/>
      </w:r>
      <w:r>
        <w:rPr>
          <w:rFonts w:hint="eastAsia" w:ascii="宋体"/>
          <w:sz w:val="28"/>
          <w:szCs w:val="28"/>
          <w:lang w:val="en-US" w:eastAsia="zh-CN"/>
        </w:rPr>
        <w:t>10</w:t>
      </w:r>
    </w:p>
    <w:p>
      <w:pPr>
        <w:pStyle w:val="13"/>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hint="eastAsia" w:ascii="宋体"/>
          <w:sz w:val="28"/>
          <w:szCs w:val="28"/>
          <w:lang w:val="en-US" w:eastAsia="zh-CN"/>
        </w:rPr>
        <w:t>10</w:t>
      </w:r>
      <w:r>
        <w:rPr>
          <w:rFonts w:ascii="宋体"/>
          <w:sz w:val="28"/>
          <w:szCs w:val="28"/>
        </w:rPr>
        <w:t xml:space="preserve">    </w:t>
      </w:r>
    </w:p>
    <w:p>
      <w:pPr>
        <w:pStyle w:val="13"/>
        <w:tabs>
          <w:tab w:val="left" w:pos="840"/>
        </w:tabs>
        <w:spacing w:line="560" w:lineRule="exact"/>
        <w:ind w:left="0" w:leftChars="0" w:firstLine="560" w:firstLineChars="200"/>
        <w:rPr>
          <w:rFonts w:ascii="宋体" w:eastAsia="宋体"/>
          <w:sz w:val="28"/>
          <w:szCs w:val="28"/>
          <w:lang w:val="en-US" w:eastAsia="zh-CN"/>
        </w:rPr>
      </w:pPr>
      <w:r>
        <w:rPr>
          <w:rFonts w:hint="eastAsia" w:ascii="宋体"/>
          <w:sz w:val="28"/>
          <w:szCs w:val="28"/>
        </w:rPr>
        <w:t>三、支出决算情况说明</w:t>
      </w:r>
      <w:r>
        <w:rPr>
          <w:rFonts w:ascii="宋体"/>
          <w:sz w:val="28"/>
          <w:szCs w:val="28"/>
        </w:rPr>
        <w:tab/>
      </w:r>
      <w:r>
        <w:rPr>
          <w:rFonts w:hint="eastAsia" w:ascii="宋体"/>
          <w:sz w:val="28"/>
          <w:szCs w:val="28"/>
          <w:lang w:val="en-US" w:eastAsia="zh-CN"/>
        </w:rPr>
        <w:t>11</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四、财政拨款收入支出决算总体情况说明</w:t>
      </w:r>
      <w:r>
        <w:rPr>
          <w:rFonts w:ascii="宋体"/>
          <w:sz w:val="28"/>
          <w:szCs w:val="28"/>
        </w:rPr>
        <w:tab/>
      </w:r>
      <w:r>
        <w:rPr>
          <w:rFonts w:hint="eastAsia" w:ascii="宋体"/>
          <w:sz w:val="28"/>
          <w:szCs w:val="28"/>
          <w:lang w:val="en-US" w:eastAsia="zh-CN"/>
        </w:rPr>
        <w:t>12</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lang w:val="en-US" w:eastAsia="zh-CN"/>
        </w:rPr>
        <w:t>12</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（一）一般公共预算财政拨款支出决算总体情况</w:t>
      </w:r>
      <w:r>
        <w:rPr>
          <w:rFonts w:ascii="宋体"/>
          <w:caps w:val="0"/>
          <w:smallCaps/>
          <w:sz w:val="28"/>
          <w:szCs w:val="28"/>
        </w:rPr>
        <w:tab/>
      </w:r>
      <w:r>
        <w:rPr>
          <w:rFonts w:hint="eastAsia" w:ascii="宋体"/>
          <w:sz w:val="28"/>
          <w:szCs w:val="28"/>
          <w:lang w:val="en-US" w:eastAsia="zh-CN"/>
        </w:rPr>
        <w:t>12</w:t>
      </w:r>
    </w:p>
    <w:p>
      <w:pPr>
        <w:pStyle w:val="9"/>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（二）一般公共预算财政拨款支出决算结构情况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3</w:t>
      </w:r>
    </w:p>
    <w:p>
      <w:pPr>
        <w:pStyle w:val="9"/>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（三）一般公共预算财政拨款支出决算具体情况</w:t>
      </w:r>
      <w:r>
        <w:rPr>
          <w:rFonts w:ascii="宋体"/>
          <w:caps w:val="0"/>
          <w:smallCaps/>
          <w:sz w:val="28"/>
          <w:szCs w:val="28"/>
        </w:rPr>
        <w:tab/>
      </w:r>
      <w:r>
        <w:rPr>
          <w:rFonts w:ascii="宋体"/>
          <w:sz w:val="28"/>
          <w:szCs w:val="28"/>
        </w:rPr>
        <w:t>1</w:t>
      </w:r>
      <w:r>
        <w:rPr>
          <w:rFonts w:hint="eastAsia" w:ascii="宋体"/>
          <w:sz w:val="28"/>
          <w:szCs w:val="28"/>
          <w:lang w:val="en-US" w:eastAsia="zh-CN"/>
        </w:rPr>
        <w:t>4</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六、一般公共预算财政拨款基本支出决算情况说明</w:t>
      </w:r>
      <w:r>
        <w:rPr>
          <w:rFonts w:ascii="宋体"/>
          <w:sz w:val="28"/>
          <w:szCs w:val="28"/>
        </w:rPr>
        <w:tab/>
      </w:r>
      <w:r>
        <w:rPr>
          <w:rFonts w:ascii="宋体"/>
          <w:sz w:val="28"/>
          <w:szCs w:val="28"/>
        </w:rPr>
        <w:t>1</w:t>
      </w:r>
      <w:r>
        <w:rPr>
          <w:rFonts w:hint="eastAsia" w:ascii="宋体"/>
          <w:sz w:val="28"/>
          <w:szCs w:val="28"/>
          <w:lang w:val="en-US" w:eastAsia="zh-CN"/>
        </w:rPr>
        <w:t>4</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七、“三公”经费财政拨款支出决算情况说明</w:t>
      </w:r>
      <w:r>
        <w:rPr>
          <w:rFonts w:ascii="宋体"/>
          <w:sz w:val="28"/>
          <w:szCs w:val="28"/>
        </w:rPr>
        <w:tab/>
      </w:r>
      <w:r>
        <w:rPr>
          <w:rFonts w:ascii="宋体"/>
          <w:sz w:val="28"/>
          <w:szCs w:val="28"/>
        </w:rPr>
        <w:t>1</w:t>
      </w:r>
      <w:r>
        <w:rPr>
          <w:rFonts w:hint="eastAsia" w:ascii="宋体"/>
          <w:sz w:val="28"/>
          <w:szCs w:val="28"/>
          <w:lang w:val="en-US" w:eastAsia="zh-CN"/>
        </w:rPr>
        <w:t>5</w:t>
      </w:r>
    </w:p>
    <w:p>
      <w:pPr>
        <w:pStyle w:val="9"/>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（一）“三公”经费财政拨款支出决算总体情况说明</w:t>
      </w:r>
      <w:r>
        <w:rPr>
          <w:rFonts w:ascii="宋体"/>
          <w:sz w:val="28"/>
          <w:szCs w:val="28"/>
        </w:rPr>
        <w:tab/>
      </w:r>
      <w:r>
        <w:rPr>
          <w:rFonts w:hint="eastAsia" w:ascii="宋体"/>
          <w:sz w:val="28"/>
          <w:szCs w:val="28"/>
        </w:rPr>
        <w:t>1</w:t>
      </w:r>
      <w:r>
        <w:rPr>
          <w:rFonts w:hint="eastAsia" w:ascii="宋体"/>
          <w:sz w:val="28"/>
          <w:szCs w:val="28"/>
          <w:lang w:val="en-US" w:eastAsia="zh-CN"/>
        </w:rPr>
        <w:t>5</w:t>
      </w:r>
    </w:p>
    <w:p>
      <w:pPr>
        <w:pStyle w:val="9"/>
        <w:spacing w:line="560" w:lineRule="exact"/>
        <w:ind w:left="0" w:leftChars="0" w:firstLine="560" w:firstLineChars="200"/>
        <w:rPr>
          <w:rFonts w:hint="eastAsia" w:ascii="宋体" w:eastAsia="宋体"/>
          <w:i/>
          <w:iCs/>
          <w:caps w:val="0"/>
          <w:smallCaps/>
          <w:sz w:val="28"/>
          <w:szCs w:val="28"/>
          <w:lang w:val="en-US" w:eastAsia="zh-CN"/>
        </w:rPr>
      </w:pPr>
      <w:r>
        <w:rPr>
          <w:rFonts w:hint="eastAsia" w:ascii="宋体"/>
          <w:caps w:val="0"/>
          <w:smallCaps/>
          <w:sz w:val="28"/>
          <w:szCs w:val="28"/>
        </w:rPr>
        <w:t>（二）“三公”经费财政拨款支出决算具体情况说明</w:t>
      </w:r>
      <w:r>
        <w:rPr>
          <w:rFonts w:ascii="宋体"/>
          <w:caps w:val="0"/>
          <w:smallCaps/>
          <w:sz w:val="28"/>
          <w:szCs w:val="28"/>
        </w:rPr>
        <w:tab/>
      </w:r>
      <w:r>
        <w:rPr>
          <w:rFonts w:hint="eastAsia" w:ascii="宋体"/>
          <w:sz w:val="28"/>
          <w:szCs w:val="28"/>
        </w:rPr>
        <w:t>1</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八、政府性基金预算支出决算情况说明</w:t>
      </w:r>
      <w:r>
        <w:rPr>
          <w:rFonts w:ascii="宋体"/>
          <w:sz w:val="28"/>
          <w:szCs w:val="28"/>
        </w:rPr>
        <w:tab/>
      </w:r>
      <w:r>
        <w:rPr>
          <w:rFonts w:hint="eastAsia" w:ascii="宋体"/>
          <w:sz w:val="28"/>
          <w:szCs w:val="28"/>
        </w:rPr>
        <w:t>1</w:t>
      </w:r>
      <w:r>
        <w:rPr>
          <w:rFonts w:hint="eastAsia" w:ascii="宋体"/>
          <w:sz w:val="28"/>
          <w:szCs w:val="28"/>
          <w:lang w:val="en-US" w:eastAsia="zh-CN"/>
        </w:rPr>
        <w:t>5</w:t>
      </w:r>
    </w:p>
    <w:p>
      <w:pPr>
        <w:pStyle w:val="13"/>
        <w:spacing w:line="560" w:lineRule="exact"/>
        <w:ind w:left="0" w:leftChars="0" w:firstLine="560" w:firstLineChars="200"/>
        <w:rPr>
          <w:rFonts w:ascii="宋体"/>
          <w:sz w:val="28"/>
          <w:szCs w:val="28"/>
        </w:rPr>
      </w:pPr>
      <w:r>
        <w:rPr>
          <w:rFonts w:hint="eastAsia" w:ascii="宋体"/>
          <w:sz w:val="28"/>
          <w:szCs w:val="28"/>
        </w:rPr>
        <w:t>九、</w:t>
      </w:r>
      <w:r>
        <w:rPr>
          <w:rFonts w:ascii="宋体"/>
          <w:sz w:val="28"/>
          <w:szCs w:val="28"/>
        </w:rPr>
        <w:t xml:space="preserve"> </w:t>
      </w:r>
      <w:r>
        <w:rPr>
          <w:rFonts w:hint="eastAsia" w:ascii="宋体"/>
          <w:sz w:val="28"/>
          <w:szCs w:val="28"/>
        </w:rPr>
        <w:t>国有资本经营预算支出决算情况说明</w:t>
      </w:r>
      <w:r>
        <w:rPr>
          <w:rFonts w:ascii="宋体"/>
          <w:sz w:val="28"/>
          <w:szCs w:val="28"/>
        </w:rPr>
        <w:tab/>
      </w:r>
      <w:r>
        <w:rPr>
          <w:rFonts w:hint="eastAsia" w:ascii="宋体"/>
          <w:sz w:val="28"/>
          <w:szCs w:val="28"/>
        </w:rPr>
        <w:t>1</w:t>
      </w:r>
      <w:r>
        <w:rPr>
          <w:rFonts w:hint="eastAsia" w:ascii="宋体"/>
          <w:sz w:val="28"/>
          <w:szCs w:val="28"/>
          <w:lang w:val="en-US" w:eastAsia="zh-CN"/>
        </w:rPr>
        <w:t>5</w:t>
      </w:r>
    </w:p>
    <w:p>
      <w:pPr>
        <w:pStyle w:val="13"/>
        <w:spacing w:line="560" w:lineRule="exact"/>
        <w:ind w:left="0" w:leftChars="0"/>
        <w:rPr>
          <w:rFonts w:hint="eastAsia" w:ascii="宋体" w:eastAsia="宋体"/>
          <w:sz w:val="28"/>
          <w:szCs w:val="28"/>
          <w:lang w:eastAsia="zh-CN"/>
        </w:rPr>
      </w:pPr>
      <w:r>
        <w:rPr>
          <w:rFonts w:hint="eastAsia" w:ascii="宋体"/>
          <w:sz w:val="28"/>
          <w:szCs w:val="28"/>
        </w:rPr>
        <w:t>十、其他重要事项的情况说明</w:t>
      </w:r>
      <w:r>
        <w:rPr>
          <w:rFonts w:ascii="宋体"/>
          <w:sz w:val="28"/>
          <w:szCs w:val="28"/>
        </w:rPr>
        <w:tab/>
      </w:r>
      <w:r>
        <w:rPr>
          <w:rFonts w:hint="eastAsia" w:ascii="宋体"/>
          <w:sz w:val="28"/>
          <w:szCs w:val="28"/>
        </w:rPr>
        <w:t>1</w:t>
      </w:r>
      <w:r>
        <w:rPr>
          <w:rFonts w:hint="eastAsia" w:ascii="宋体"/>
          <w:sz w:val="28"/>
          <w:szCs w:val="28"/>
          <w:lang w:val="en-US" w:eastAsia="zh-CN"/>
        </w:rPr>
        <w:t>5</w:t>
      </w:r>
    </w:p>
    <w:p>
      <w:pPr>
        <w:pStyle w:val="9"/>
        <w:spacing w:line="560" w:lineRule="exact"/>
        <w:ind w:left="0" w:leftChars="0" w:firstLine="840" w:firstLineChars="300"/>
        <w:rPr>
          <w:rFonts w:hint="eastAsia" w:ascii="宋体" w:eastAsia="宋体"/>
          <w:i/>
          <w:iCs/>
          <w:caps w:val="0"/>
          <w:smallCaps/>
          <w:sz w:val="28"/>
          <w:szCs w:val="28"/>
          <w:lang w:eastAsia="zh-CN"/>
        </w:rPr>
      </w:pPr>
      <w:r>
        <w:rPr>
          <w:rFonts w:hint="eastAsia" w:ascii="宋体"/>
          <w:caps w:val="0"/>
          <w:smallCaps/>
          <w:sz w:val="28"/>
          <w:szCs w:val="28"/>
        </w:rPr>
        <w:t>（一）机关运行经费支出情况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5</w:t>
      </w:r>
    </w:p>
    <w:p>
      <w:pPr>
        <w:pStyle w:val="9"/>
        <w:spacing w:line="560" w:lineRule="exact"/>
        <w:rPr>
          <w:rFonts w:hint="eastAsia" w:ascii="宋体" w:eastAsia="宋体"/>
          <w:i/>
          <w:iCs/>
          <w:caps w:val="0"/>
          <w:smallCaps/>
          <w:sz w:val="28"/>
          <w:szCs w:val="28"/>
          <w:lang w:eastAsia="zh-CN"/>
        </w:rPr>
      </w:pPr>
      <w:r>
        <w:rPr>
          <w:rFonts w:hint="eastAsia" w:ascii="宋体"/>
          <w:caps w:val="0"/>
          <w:smallCaps/>
          <w:sz w:val="28"/>
          <w:szCs w:val="28"/>
        </w:rPr>
        <w:t>（二）政府采购支出情况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5</w:t>
      </w:r>
    </w:p>
    <w:p>
      <w:pPr>
        <w:pStyle w:val="9"/>
        <w:spacing w:line="560" w:lineRule="exact"/>
        <w:rPr>
          <w:rFonts w:hint="eastAsia" w:ascii="宋体" w:eastAsia="宋体"/>
          <w:sz w:val="28"/>
          <w:szCs w:val="28"/>
          <w:lang w:eastAsia="zh-CN"/>
        </w:rPr>
      </w:pPr>
      <w:r>
        <w:rPr>
          <w:rFonts w:hint="eastAsia" w:ascii="宋体"/>
          <w:caps w:val="0"/>
          <w:smallCaps/>
          <w:sz w:val="28"/>
          <w:szCs w:val="28"/>
        </w:rPr>
        <w:t>（三）国有资产占有使用情况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6</w:t>
      </w:r>
    </w:p>
    <w:p>
      <w:pPr>
        <w:pStyle w:val="9"/>
        <w:spacing w:line="560" w:lineRule="exact"/>
        <w:rPr>
          <w:rFonts w:ascii="宋体"/>
          <w:i/>
          <w:iCs/>
          <w:caps w:val="0"/>
          <w:smallCaps/>
          <w:sz w:val="28"/>
          <w:szCs w:val="28"/>
        </w:rPr>
      </w:pPr>
      <w:r>
        <w:rPr>
          <w:rFonts w:hint="eastAsia" w:ascii="宋体"/>
          <w:caps w:val="0"/>
          <w:smallCaps/>
          <w:sz w:val="28"/>
          <w:szCs w:val="28"/>
        </w:rPr>
        <w:t>（四）预算绩效管理情况</w:t>
      </w:r>
      <w:r>
        <w:rPr>
          <w:rFonts w:ascii="宋体"/>
          <w:caps w:val="0"/>
          <w:smallCaps/>
          <w:sz w:val="28"/>
          <w:szCs w:val="28"/>
        </w:rPr>
        <w:tab/>
      </w:r>
      <w:r>
        <w:rPr>
          <w:rFonts w:hint="eastAsia" w:ascii="宋体"/>
          <w:sz w:val="28"/>
          <w:szCs w:val="28"/>
        </w:rPr>
        <w:t>16</w:t>
      </w:r>
    </w:p>
    <w:p>
      <w:pPr>
        <w:pStyle w:val="12"/>
        <w:spacing w:line="560" w:lineRule="exact"/>
        <w:jc w:val="both"/>
        <w:rPr>
          <w:rFonts w:ascii="宋体"/>
          <w:caps w:val="0"/>
          <w:smallCaps/>
          <w:sz w:val="28"/>
          <w:szCs w:val="28"/>
        </w:rPr>
      </w:pPr>
      <w:r>
        <w:rPr>
          <w:rFonts w:hint="eastAsia" w:ascii="宋体"/>
          <w:caps w:val="0"/>
          <w:smallCaps/>
          <w:sz w:val="28"/>
          <w:szCs w:val="28"/>
        </w:rPr>
        <w:t>第三部分</w:t>
      </w:r>
      <w:r>
        <w:rPr>
          <w:rFonts w:ascii="宋体"/>
          <w:caps w:val="0"/>
          <w:smallCaps/>
          <w:sz w:val="28"/>
          <w:szCs w:val="28"/>
        </w:rPr>
        <w:t xml:space="preserve"> </w:t>
      </w:r>
      <w:r>
        <w:rPr>
          <w:rFonts w:hint="eastAsia" w:ascii="宋体"/>
          <w:caps w:val="0"/>
          <w:smallCaps/>
          <w:sz w:val="28"/>
          <w:szCs w:val="28"/>
        </w:rPr>
        <w:t>名词解释</w:t>
      </w:r>
      <w:r>
        <w:rPr>
          <w:rFonts w:ascii="宋体"/>
          <w:caps w:val="0"/>
          <w:smallCaps/>
          <w:sz w:val="28"/>
          <w:szCs w:val="28"/>
        </w:rPr>
        <w:tab/>
      </w:r>
      <w:r>
        <w:rPr>
          <w:rFonts w:hint="eastAsia" w:ascii="宋体"/>
          <w:caps w:val="0"/>
          <w:smallCaps/>
          <w:sz w:val="28"/>
          <w:szCs w:val="28"/>
        </w:rPr>
        <w:t>17</w:t>
      </w:r>
    </w:p>
    <w:p>
      <w:pPr>
        <w:pStyle w:val="12"/>
        <w:spacing w:line="560" w:lineRule="exact"/>
        <w:jc w:val="both"/>
        <w:rPr>
          <w:rFonts w:ascii="宋体"/>
          <w:caps w:val="0"/>
          <w:smallCaps/>
          <w:sz w:val="28"/>
          <w:szCs w:val="28"/>
        </w:rPr>
      </w:pPr>
      <w:r>
        <w:rPr>
          <w:rFonts w:hint="eastAsia" w:ascii="宋体"/>
          <w:caps w:val="0"/>
          <w:smallCaps/>
          <w:sz w:val="28"/>
          <w:szCs w:val="28"/>
        </w:rPr>
        <w:t>第四部分</w:t>
      </w:r>
      <w:r>
        <w:rPr>
          <w:rFonts w:ascii="宋体"/>
          <w:caps w:val="0"/>
          <w:smallCaps/>
          <w:sz w:val="28"/>
          <w:szCs w:val="28"/>
        </w:rPr>
        <w:t xml:space="preserve"> </w:t>
      </w:r>
      <w:r>
        <w:rPr>
          <w:rFonts w:hint="eastAsia" w:ascii="宋体"/>
          <w:caps w:val="0"/>
          <w:smallCaps/>
          <w:sz w:val="28"/>
          <w:szCs w:val="28"/>
        </w:rPr>
        <w:t>附件</w:t>
      </w:r>
      <w:r>
        <w:rPr>
          <w:rFonts w:ascii="宋体"/>
          <w:caps w:val="0"/>
          <w:smallCaps/>
          <w:sz w:val="28"/>
          <w:szCs w:val="28"/>
        </w:rPr>
        <w:tab/>
      </w:r>
      <w:r>
        <w:rPr>
          <w:rFonts w:hint="eastAsia" w:ascii="宋体"/>
          <w:caps w:val="0"/>
          <w:smallCaps/>
          <w:sz w:val="28"/>
          <w:szCs w:val="28"/>
        </w:rPr>
        <w:t>20</w:t>
      </w:r>
    </w:p>
    <w:p>
      <w:pPr>
        <w:pStyle w:val="12"/>
        <w:spacing w:line="560" w:lineRule="exact"/>
        <w:ind w:firstLine="560" w:firstLineChars="200"/>
        <w:jc w:val="both"/>
        <w:rPr>
          <w:sz w:val="28"/>
          <w:szCs w:val="28"/>
        </w:rPr>
      </w:pPr>
      <w:r>
        <w:rPr>
          <w:rFonts w:hint="eastAsia" w:ascii="宋体"/>
          <w:caps w:val="0"/>
          <w:smallCaps/>
          <w:sz w:val="28"/>
          <w:szCs w:val="28"/>
          <w:lang w:val="en-US" w:eastAsia="zh-CN"/>
        </w:rPr>
        <w:t>2022年茂县县委党校（事业）整体支出绩效评价报告</w:t>
      </w:r>
      <w:r>
        <w:rPr>
          <w:rFonts w:ascii="宋体"/>
          <w:caps w:val="0"/>
          <w:smallCaps/>
          <w:sz w:val="28"/>
          <w:szCs w:val="28"/>
        </w:rPr>
        <w:tab/>
      </w:r>
      <w:r>
        <w:rPr>
          <w:rFonts w:hint="eastAsia" w:ascii="宋体"/>
          <w:caps w:val="0"/>
          <w:smallCaps/>
          <w:sz w:val="28"/>
          <w:szCs w:val="28"/>
        </w:rPr>
        <w:t>20</w:t>
      </w:r>
    </w:p>
    <w:p>
      <w:pPr>
        <w:pStyle w:val="12"/>
        <w:spacing w:line="560" w:lineRule="exact"/>
        <w:jc w:val="both"/>
        <w:rPr>
          <w:rFonts w:hint="eastAsia" w:ascii="宋体" w:eastAsia="宋体"/>
          <w:caps w:val="0"/>
          <w:smallCaps/>
          <w:sz w:val="28"/>
          <w:szCs w:val="28"/>
          <w:lang w:eastAsia="zh-CN"/>
        </w:rPr>
      </w:pPr>
      <w:r>
        <w:rPr>
          <w:rFonts w:hint="eastAsia" w:ascii="宋体"/>
          <w:caps w:val="0"/>
          <w:smallCaps/>
          <w:sz w:val="28"/>
          <w:szCs w:val="28"/>
        </w:rPr>
        <w:t>第五部分</w:t>
      </w:r>
      <w:r>
        <w:rPr>
          <w:rFonts w:ascii="宋体"/>
          <w:caps w:val="0"/>
          <w:smallCaps/>
          <w:sz w:val="28"/>
          <w:szCs w:val="28"/>
        </w:rPr>
        <w:t xml:space="preserve"> </w:t>
      </w:r>
      <w:r>
        <w:rPr>
          <w:rFonts w:hint="eastAsia" w:ascii="宋体"/>
          <w:caps w:val="0"/>
          <w:smallCaps/>
          <w:sz w:val="28"/>
          <w:szCs w:val="28"/>
        </w:rPr>
        <w:t>附表</w:t>
      </w:r>
      <w:r>
        <w:rPr>
          <w:rFonts w:ascii="宋体"/>
          <w:caps w:val="0"/>
          <w:smallCaps/>
          <w:sz w:val="28"/>
          <w:szCs w:val="28"/>
        </w:rPr>
        <w:tab/>
      </w:r>
      <w:r>
        <w:rPr>
          <w:rFonts w:ascii="宋体"/>
          <w:caps w:val="0"/>
          <w:smallCaps/>
          <w:sz w:val="28"/>
          <w:szCs w:val="28"/>
        </w:rPr>
        <w:t>2</w:t>
      </w:r>
      <w:r>
        <w:rPr>
          <w:rFonts w:hint="eastAsia" w:ascii="宋体"/>
          <w:caps w:val="0"/>
          <w:smallCaps/>
          <w:sz w:val="28"/>
          <w:szCs w:val="28"/>
          <w:lang w:val="en-US" w:eastAsia="zh-CN"/>
        </w:rPr>
        <w:t>5</w:t>
      </w:r>
    </w:p>
    <w:p>
      <w:pPr>
        <w:pStyle w:val="12"/>
        <w:spacing w:line="560" w:lineRule="exact"/>
        <w:ind w:firstLine="560" w:firstLineChars="200"/>
        <w:jc w:val="both"/>
        <w:rPr>
          <w:rFonts w:hint="eastAsia" w:ascii="宋体" w:eastAsia="宋体"/>
          <w:caps w:val="0"/>
          <w:smallCaps/>
          <w:sz w:val="28"/>
          <w:szCs w:val="28"/>
          <w:lang w:eastAsia="zh-CN"/>
        </w:rPr>
      </w:pPr>
      <w:r>
        <w:rPr>
          <w:rFonts w:hint="eastAsia" w:ascii="宋体"/>
          <w:sz w:val="28"/>
          <w:szCs w:val="28"/>
        </w:rPr>
        <w:t>一、收入支出决算总表</w:t>
      </w:r>
      <w:r>
        <w:rPr>
          <w:rFonts w:ascii="宋体"/>
          <w:sz w:val="28"/>
          <w:szCs w:val="28"/>
        </w:rPr>
        <w:tab/>
      </w:r>
      <w:r>
        <w:rPr>
          <w:rFonts w:ascii="宋体"/>
          <w:caps w:val="0"/>
          <w:smallCaps/>
          <w:sz w:val="28"/>
          <w:szCs w:val="28"/>
        </w:rPr>
        <w:t>2</w:t>
      </w:r>
      <w:r>
        <w:rPr>
          <w:rFonts w:hint="eastAsia" w:ascii="宋体"/>
          <w:caps w:val="0"/>
          <w:smallCaps/>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二、收入决算表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三、支出决算表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四、财政拨款收入支出决算总表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五、财政拨款支出决算明细表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七、一般公共预算财政拨款支出决算明细表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八、一般公共预算财政拨款基本支出决算表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九、一般公共预算财政拨款项目支出决算表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十、政府性基金预算财政拨款收入支出决算表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十一、国有资本经营预算财政拨款收入支出决算表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rPr>
          <w:rFonts w:hint="eastAsia" w:eastAsia="宋体"/>
          <w:sz w:val="28"/>
          <w:szCs w:val="28"/>
          <w:lang w:eastAsia="zh-CN"/>
        </w:rPr>
      </w:pPr>
      <w:r>
        <w:rPr>
          <w:rFonts w:hint="eastAsia" w:ascii="宋体"/>
          <w:sz w:val="28"/>
          <w:szCs w:val="28"/>
        </w:rPr>
        <w:t>十二、国有资本经营预算财政拨款支出决算表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rPr>
          <w:rFonts w:hint="eastAsia" w:ascii="宋体" w:eastAsia="宋体"/>
          <w:sz w:val="28"/>
          <w:szCs w:val="28"/>
          <w:lang w:eastAsia="zh-CN"/>
        </w:rPr>
      </w:pPr>
      <w:r>
        <w:rPr>
          <w:rFonts w:hint="eastAsia" w:ascii="宋体"/>
          <w:sz w:val="28"/>
          <w:szCs w:val="28"/>
        </w:rPr>
        <w:t>十三、财政拨款“三公”经费支出决算表</w:t>
      </w:r>
      <w:r>
        <w:rPr>
          <w:rFonts w:ascii="宋体"/>
          <w:sz w:val="28"/>
          <w:szCs w:val="28"/>
        </w:rPr>
        <w:tab/>
      </w:r>
      <w:r>
        <w:rPr>
          <w:rFonts w:ascii="宋体"/>
          <w:sz w:val="28"/>
          <w:szCs w:val="28"/>
        </w:rPr>
        <w:t>2</w:t>
      </w:r>
      <w:r>
        <w:rPr>
          <w:rFonts w:hint="eastAsia" w:ascii="宋体"/>
          <w:sz w:val="28"/>
          <w:szCs w:val="28"/>
          <w:lang w:val="en-US" w:eastAsia="zh-CN"/>
        </w:rPr>
        <w:t>5</w:t>
      </w:r>
    </w:p>
    <w:p>
      <w:pPr>
        <w:pStyle w:val="13"/>
        <w:spacing w:line="560" w:lineRule="exact"/>
        <w:rPr>
          <w:rFonts w:ascii="宋体"/>
          <w:sz w:val="28"/>
          <w:szCs w:val="28"/>
        </w:rPr>
      </w:pPr>
    </w:p>
    <w:p>
      <w:pPr>
        <w:pStyle w:val="12"/>
        <w:spacing w:line="560" w:lineRule="exact"/>
        <w:rPr>
          <w:rFonts w:ascii="宋体" w:cs="Times New Roman"/>
          <w:sz w:val="28"/>
          <w:szCs w:val="28"/>
        </w:rPr>
      </w:pPr>
      <w:r>
        <w:rPr>
          <w:rFonts w:ascii="宋体"/>
          <w:caps w:val="0"/>
          <w:smallCaps/>
          <w:sz w:val="28"/>
          <w:szCs w:val="28"/>
        </w:rPr>
        <w:fldChar w:fldCharType="end"/>
      </w:r>
    </w:p>
    <w:p>
      <w:pPr>
        <w:widowControl/>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96599"/>
      <w:bookmarkStart w:id="13" w:name="_Toc15377196"/>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黑体" w:eastAsia="黑体"/>
        </w:rPr>
      </w:pPr>
    </w:p>
    <w:p>
      <w:pPr>
        <w:adjustRightInd w:val="0"/>
        <w:snapToGrid w:val="0"/>
        <w:spacing w:line="560" w:lineRule="exact"/>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r>
        <w:rPr>
          <w:rStyle w:val="19"/>
          <w:rFonts w:hint="eastAsia" w:ascii="方正小标宋简体" w:eastAsia="方正小标宋简体" w:cs="方正小标宋简体"/>
          <w:b w:val="0"/>
          <w:bCs w:val="0"/>
        </w:rPr>
        <w:t>第一部分  单位概况</w:t>
      </w:r>
      <w:bookmarkEnd w:id="12"/>
      <w:bookmarkEnd w:id="13"/>
      <w:bookmarkStart w:id="14" w:name="_Toc15396600"/>
      <w:bookmarkStart w:id="15" w:name="_Toc15377197"/>
    </w:p>
    <w:p>
      <w:pPr>
        <w:adjustRightInd w:val="0"/>
        <w:snapToGrid w:val="0"/>
        <w:spacing w:line="560" w:lineRule="exact"/>
        <w:jc w:val="center"/>
        <w:outlineLvl w:val="0"/>
        <w:rPr>
          <w:rFonts w:ascii="仿宋_GB2312" w:eastAsia="仿宋_GB2312"/>
          <w:color w:val="000000"/>
          <w:sz w:val="44"/>
          <w:szCs w:val="44"/>
        </w:rPr>
      </w:pPr>
    </w:p>
    <w:bookmarkEnd w:id="14"/>
    <w:bookmarkEnd w:id="15"/>
    <w:p>
      <w:pPr>
        <w:numPr>
          <w:ilvl w:val="0"/>
          <w:numId w:val="1"/>
        </w:numPr>
        <w:adjustRightInd w:val="0"/>
        <w:snapToGrid w:val="0"/>
        <w:spacing w:line="560" w:lineRule="exact"/>
        <w:ind w:left="0" w:firstLine="640" w:firstLineChars="200"/>
        <w:jc w:val="left"/>
        <w:outlineLvl w:val="0"/>
        <w:rPr>
          <w:rStyle w:val="20"/>
          <w:rFonts w:ascii="黑体" w:eastAsia="黑体" w:cs="Times New Roman"/>
          <w:b w:val="0"/>
          <w:bCs w:val="0"/>
        </w:rPr>
      </w:pPr>
      <w:bookmarkStart w:id="16" w:name="_Toc15378445"/>
      <w:bookmarkStart w:id="17" w:name="_Toc15377198"/>
      <w:r>
        <w:rPr>
          <w:rStyle w:val="20"/>
          <w:rFonts w:hint="eastAsia" w:ascii="黑体" w:eastAsia="黑体" w:cs="黑体"/>
          <w:b w:val="0"/>
          <w:bCs w:val="0"/>
        </w:rPr>
        <w:t>主要职责</w:t>
      </w:r>
    </w:p>
    <w:p>
      <w:pPr>
        <w:numPr>
          <w:ilvl w:val="0"/>
          <w:numId w:val="2"/>
        </w:numPr>
        <w:adjustRightInd w:val="0"/>
        <w:snapToGrid w:val="0"/>
        <w:spacing w:line="560" w:lineRule="exact"/>
        <w:ind w:left="0" w:firstLine="643" w:firstLineChars="200"/>
        <w:jc w:val="left"/>
        <w:outlineLvl w:val="0"/>
        <w:rPr>
          <w:rFonts w:ascii="仿宋_GB2312" w:eastAsia="仿宋_GB2312"/>
          <w:sz w:val="32"/>
          <w:szCs w:val="32"/>
        </w:rPr>
      </w:pPr>
      <w:r>
        <w:rPr>
          <w:rFonts w:hint="eastAsia" w:ascii="楷体" w:eastAsia="楷体" w:cs="楷体"/>
          <w:b/>
          <w:bCs/>
          <w:color w:val="000000"/>
          <w:sz w:val="32"/>
          <w:szCs w:val="32"/>
        </w:rPr>
        <w:t>主要职能</w:t>
      </w:r>
      <w:bookmarkEnd w:id="16"/>
      <w:bookmarkEnd w:id="17"/>
    </w:p>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3" w:firstLineChars="200"/>
        <w:outlineLvl w:val="1"/>
        <w:rPr>
          <w:rStyle w:val="20"/>
          <w:rFonts w:ascii="仿宋_GB2312" w:hAnsi="仿宋_GB2312" w:eastAsia="方正楷体简体" w:cs="Times New Roman"/>
          <w:b w:val="0"/>
          <w:bCs w:val="0"/>
        </w:rPr>
      </w:pPr>
      <w:bookmarkStart w:id="18" w:name="_Toc15377199"/>
      <w:bookmarkStart w:id="19" w:name="_Toc15378446"/>
      <w:r>
        <w:rPr>
          <w:rFonts w:hint="eastAsia" w:ascii="楷体" w:eastAsia="楷体" w:cs="楷体"/>
          <w:b/>
          <w:bCs/>
          <w:color w:val="000000"/>
          <w:sz w:val="32"/>
          <w:szCs w:val="32"/>
        </w:rPr>
        <w:t>（二）</w:t>
      </w:r>
      <w:r>
        <w:rPr>
          <w:rFonts w:ascii="楷体" w:eastAsia="楷体" w:cs="楷体"/>
          <w:b/>
          <w:bCs/>
          <w:color w:val="000000"/>
          <w:sz w:val="32"/>
          <w:szCs w:val="32"/>
        </w:rPr>
        <w:t>202</w:t>
      </w:r>
      <w:r>
        <w:rPr>
          <w:rFonts w:hint="eastAsia" w:ascii="楷体" w:eastAsia="楷体" w:cs="楷体"/>
          <w:b/>
          <w:bCs/>
          <w:color w:val="000000"/>
          <w:sz w:val="32"/>
          <w:szCs w:val="32"/>
        </w:rPr>
        <w:t>2年重点工作完成情况</w:t>
      </w:r>
      <w:bookmarkEnd w:id="18"/>
      <w:bookmarkEnd w:id="19"/>
    </w:p>
    <w:p>
      <w:pPr>
        <w:spacing w:line="576" w:lineRule="exact"/>
        <w:ind w:firstLine="643" w:firstLineChars="200"/>
        <w:jc w:val="left"/>
        <w:rPr>
          <w:rFonts w:eastAsia="仿宋_GB2312"/>
          <w:sz w:val="32"/>
          <w:szCs w:val="32"/>
        </w:rPr>
      </w:pPr>
      <w:bookmarkStart w:id="20" w:name="_Toc15377200"/>
      <w:bookmarkStart w:id="21" w:name="_Toc15396601"/>
      <w:r>
        <w:rPr>
          <w:rFonts w:hint="eastAsia" w:eastAsia="楷体_GB2312"/>
          <w:b/>
          <w:bCs/>
          <w:sz w:val="32"/>
          <w:szCs w:val="32"/>
          <w:lang w:val="en-US" w:eastAsia="zh-CN"/>
        </w:rPr>
        <w:t>1.</w:t>
      </w:r>
      <w:r>
        <w:rPr>
          <w:rFonts w:eastAsia="楷体_GB2312"/>
          <w:b/>
          <w:bCs/>
          <w:sz w:val="32"/>
          <w:szCs w:val="32"/>
        </w:rPr>
        <w:t>坚持党校姓党，提高政治站位。</w:t>
      </w:r>
      <w:r>
        <w:rPr>
          <w:rFonts w:eastAsia="仿宋_GB2312"/>
          <w:b/>
          <w:bCs/>
          <w:sz w:val="32"/>
          <w:szCs w:val="32"/>
        </w:rPr>
        <w:t>一是认真抓好理论学习。</w:t>
      </w:r>
      <w:r>
        <w:rPr>
          <w:rFonts w:eastAsia="仿宋_GB2312"/>
          <w:sz w:val="32"/>
          <w:szCs w:val="32"/>
        </w:rPr>
        <w:t>第一时间专题学习党的十九届六中全会精神、习近平总书记来川视察重要讲话精神、省</w:t>
      </w:r>
      <w:r>
        <w:rPr>
          <w:rFonts w:hint="eastAsia" w:eastAsia="仿宋_GB2312"/>
          <w:sz w:val="32"/>
          <w:szCs w:val="32"/>
          <w:lang w:eastAsia="zh-CN"/>
        </w:rPr>
        <w:t>第</w:t>
      </w:r>
      <w:r>
        <w:rPr>
          <w:rFonts w:eastAsia="仿宋_GB2312"/>
          <w:sz w:val="32"/>
          <w:szCs w:val="32"/>
        </w:rPr>
        <w:t>十二次党代会精神以及党的二十大精神。学原著、读原文、悟原理，准确理解和把握习近平新时代中国特色社会主义思想</w:t>
      </w:r>
      <w:r>
        <w:rPr>
          <w:rFonts w:hint="eastAsia" w:eastAsia="仿宋_GB2312"/>
          <w:sz w:val="32"/>
          <w:szCs w:val="32"/>
        </w:rPr>
        <w:t>的</w:t>
      </w:r>
      <w:r>
        <w:rPr>
          <w:rFonts w:eastAsia="仿宋_GB2312"/>
          <w:sz w:val="32"/>
          <w:szCs w:val="32"/>
        </w:rPr>
        <w:t>基本内容、精神实质。引导全体教职工牢固树立“四个意识”，坚定“四个自信”，做到“两个维护”，不断提高政治站位，自觉在思想上政治上行动上同以习近平同志为核心的党中央保持高度一致。</w:t>
      </w:r>
      <w:r>
        <w:rPr>
          <w:rFonts w:eastAsia="仿宋_GB2312"/>
          <w:b/>
          <w:bCs/>
          <w:sz w:val="32"/>
          <w:szCs w:val="32"/>
        </w:rPr>
        <w:t>二是落实意识形态责任制。</w:t>
      </w:r>
      <w:r>
        <w:rPr>
          <w:rFonts w:eastAsia="仿宋_GB2312"/>
          <w:sz w:val="32"/>
          <w:szCs w:val="32"/>
        </w:rPr>
        <w:t>严格按照实施细则部署贯彻落实党校意识形态工作责任制。落实常务副校长是第一责任人，全面负责我校的意识形态工作。班子其他成员根据工作分工，按照“一岗双责”要求，主抓分管股室的意识形态工作，对职责范围内的意识形态工作负领导责任。班子成员分工明确，定期召开会议分析研判意识形态领域情况，辨析思想文化领域突出问题，分清主流支流，对重大事件、重要情况、重要社情民意中的苗头倾向性的问题，有针对性地进行引导。</w:t>
      </w:r>
      <w:r>
        <w:rPr>
          <w:rFonts w:eastAsia="仿宋_GB2312"/>
          <w:b/>
          <w:sz w:val="32"/>
          <w:szCs w:val="32"/>
        </w:rPr>
        <w:t>三是加强阵地管理。</w:t>
      </w:r>
      <w:r>
        <w:rPr>
          <w:rFonts w:eastAsia="仿宋_GB2312"/>
          <w:sz w:val="32"/>
          <w:szCs w:val="32"/>
        </w:rPr>
        <w:t>通过建章立制，党校加强对党校课堂、科研、宣传三个阵地的管理。经常性开展教研专题备课会活动。对老师的课件、课堂讲授内容、舆情处置等严格把关，确保党校课堂讲纪律，无“杂音”。引导党员干部学而思、学而信、学而行，进一步统一思想、明确方向、凝聚力量。</w:t>
      </w:r>
    </w:p>
    <w:p>
      <w:pPr>
        <w:spacing w:line="576" w:lineRule="exact"/>
        <w:ind w:firstLine="643" w:firstLineChars="200"/>
        <w:jc w:val="left"/>
        <w:rPr>
          <w:rFonts w:eastAsia="仿宋_GB2312"/>
          <w:sz w:val="32"/>
          <w:szCs w:val="32"/>
        </w:rPr>
      </w:pPr>
      <w:r>
        <w:rPr>
          <w:rFonts w:hint="eastAsia" w:eastAsia="楷体_GB2312"/>
          <w:b/>
          <w:bCs/>
          <w:sz w:val="32"/>
          <w:szCs w:val="32"/>
          <w:lang w:val="en-US" w:eastAsia="zh-CN"/>
        </w:rPr>
        <w:t>2.</w:t>
      </w:r>
      <w:r>
        <w:rPr>
          <w:rFonts w:eastAsia="楷体_GB2312"/>
          <w:b/>
          <w:bCs/>
          <w:sz w:val="32"/>
          <w:szCs w:val="32"/>
        </w:rPr>
        <w:t>突出主业主课，提高办学水平。</w:t>
      </w:r>
      <w:r>
        <w:rPr>
          <w:rFonts w:eastAsia="仿宋_GB2312"/>
          <w:b/>
          <w:bCs/>
          <w:sz w:val="32"/>
          <w:szCs w:val="32"/>
        </w:rPr>
        <w:t>一是扎实完成干部培训工作。</w:t>
      </w:r>
      <w:r>
        <w:rPr>
          <w:rFonts w:eastAsia="仿宋_GB2312"/>
          <w:sz w:val="32"/>
          <w:szCs w:val="32"/>
        </w:rPr>
        <w:t>按照《办学规范》，根据培训计划举办各类培训班。在课程设置上，把习近平新时代中国特色社会主义思想作为中心内容和首要任务，突出理论教育和党性教育。为提升教学效果，创新培训方式方法，采取“1+N”运行模式，在全县打造1个教学基地（茂县坪头乡村振兴培训中心），4个现场教学点（中国羌城、中国羌族博物馆、叠溪新磨新村、南新镇“两山”理论），形成了以县委党校为主体、教学基地为补充、现场教学点为延伸的多层次、多渠道、立体式、宽领域、全方位的干部教育培训工作格局。在此基础上，今年加强与邻县党校之间的交流，与黑水党校、松潘党校密切合作，有效地整合利用红色教育资源和党性教育资源，实现资源共享，优势互补，共同发展。今年以来，共举办主体班12期，培训党员干部988人次；其它培训班6期，培训学员616人次；州委组织部委托培训2期，培训学员200人次；承接长征干部学院培训班的现场教学11期，培训学员448人次。</w:t>
      </w:r>
      <w:r>
        <w:rPr>
          <w:rFonts w:eastAsia="仿宋_GB2312"/>
          <w:b/>
          <w:bCs/>
          <w:sz w:val="32"/>
          <w:szCs w:val="32"/>
        </w:rPr>
        <w:t>二是出色完成宣讲任务。</w:t>
      </w:r>
      <w:r>
        <w:rPr>
          <w:rFonts w:eastAsia="仿宋_GB2312"/>
          <w:sz w:val="32"/>
          <w:szCs w:val="32"/>
        </w:rPr>
        <w:t>以基层理论宣讲志愿服务活动为载体，积极开展党课进机关、进学校、进企业、进社区、进农村的“五进”活动，截至目前，党课“五进”30场次，受众1560余人。</w:t>
      </w:r>
      <w:r>
        <w:rPr>
          <w:rFonts w:eastAsia="仿宋_GB2312"/>
          <w:b/>
          <w:bCs/>
          <w:sz w:val="32"/>
          <w:szCs w:val="32"/>
        </w:rPr>
        <w:t>三是与部门合作完成课题调研任务。</w:t>
      </w:r>
      <w:r>
        <w:rPr>
          <w:rFonts w:eastAsia="仿宋_GB2312"/>
          <w:sz w:val="32"/>
          <w:szCs w:val="32"/>
        </w:rPr>
        <w:t>为了落实县委第十三次党代会目标任务，推进“六个茂县”建设，县委党校紧密围绕县委中心工作，聚焦当前发展中的热点难点问题，以求真务实的态度，主动与部门合作开展课题调研。省级课题《红军长征在茂县》长征精神数据库建设工作项目已结项；《关于茂县基层治理的实证研究》《做好两项改革后半篇文章，健全完善应急体系》《茂县使用红色资源开展思政教育探析》课题完成结项申报工作；与县政协合作的《关于农村生活垃圾和污水处理的考察报告》《关于茂县餐炊具集中消毒企业管理的调研报告》，与县卫生健康局、县疾控中心合作的《关于茂县疾病预防控制体系建设情况的调研报告》形成咨政稿，为县委、县政府提供决策参考。</w:t>
      </w:r>
      <w:r>
        <w:rPr>
          <w:rFonts w:hint="eastAsia" w:eastAsia="仿宋_GB2312"/>
          <w:sz w:val="32"/>
          <w:szCs w:val="32"/>
        </w:rPr>
        <w:t xml:space="preserve"> </w:t>
      </w:r>
      <w:r>
        <w:rPr>
          <w:rFonts w:eastAsia="仿宋_GB2312"/>
          <w:b/>
          <w:bCs/>
          <w:sz w:val="32"/>
          <w:szCs w:val="32"/>
        </w:rPr>
        <w:t>四是持续做好学历教育任务。</w:t>
      </w:r>
      <w:r>
        <w:rPr>
          <w:rFonts w:eastAsia="仿宋_GB2312"/>
          <w:sz w:val="32"/>
          <w:szCs w:val="32"/>
        </w:rPr>
        <w:t>借助阿坝开放大学平台，持续推动干部能力素质和学历“双提升”工作。今年对茂县55名村（社区）干部进行能力素质和学历“双提升”培训，全面提升村社区干部的政治素养和工作能力。</w:t>
      </w:r>
    </w:p>
    <w:p>
      <w:pPr>
        <w:pStyle w:val="2"/>
        <w:spacing w:before="0" w:beforeAutospacing="0" w:after="0" w:afterAutospacing="0" w:line="576" w:lineRule="exact"/>
        <w:ind w:firstLine="643" w:firstLineChars="200"/>
        <w:rPr>
          <w:rFonts w:ascii="Times New Roman" w:hAnsi="Times New Roman" w:eastAsia="仿宋_GB2312"/>
          <w:sz w:val="32"/>
          <w:szCs w:val="32"/>
        </w:rPr>
      </w:pPr>
      <w:r>
        <w:rPr>
          <w:rFonts w:hint="eastAsia" w:ascii="Times New Roman" w:hAnsi="Times New Roman" w:eastAsia="楷体_GB2312"/>
          <w:b/>
          <w:bCs/>
          <w:sz w:val="32"/>
          <w:szCs w:val="32"/>
          <w:lang w:val="en-US" w:eastAsia="zh-CN"/>
        </w:rPr>
        <w:t>3.</w:t>
      </w:r>
      <w:r>
        <w:rPr>
          <w:rFonts w:ascii="Times New Roman" w:hAnsi="Times New Roman" w:eastAsia="楷体_GB2312"/>
          <w:b/>
          <w:bCs/>
          <w:sz w:val="32"/>
          <w:szCs w:val="32"/>
        </w:rPr>
        <w:t>聚焦分类建设，提高办学质量。</w:t>
      </w:r>
      <w:r>
        <w:rPr>
          <w:rFonts w:ascii="Times New Roman" w:hAnsi="Times New Roman" w:eastAsia="仿宋_GB2312"/>
          <w:b/>
          <w:bCs/>
          <w:sz w:val="32"/>
          <w:szCs w:val="32"/>
        </w:rPr>
        <w:t>一是争取相关部门支持，落实共建任务。</w:t>
      </w:r>
      <w:r>
        <w:rPr>
          <w:rFonts w:ascii="Times New Roman" w:hAnsi="Times New Roman" w:eastAsia="仿宋_GB2312"/>
          <w:sz w:val="32"/>
          <w:szCs w:val="32"/>
        </w:rPr>
        <w:t>对照《县级党校办学质量评估指标体系评分细则》和《茂县县级党校分类建设工作责任清单》，会同县委办、政府办、县委组织部等相关部门齐心协力、各司其职、各负其责，落实共建责任。</w:t>
      </w:r>
      <w:r>
        <w:rPr>
          <w:rFonts w:ascii="Times New Roman" w:hAnsi="Times New Roman" w:eastAsia="仿宋_GB2312"/>
          <w:b/>
          <w:bCs/>
          <w:sz w:val="32"/>
          <w:szCs w:val="32"/>
        </w:rPr>
        <w:t>二是实施人才兴校，注重队伍建设。</w:t>
      </w:r>
      <w:r>
        <w:rPr>
          <w:rFonts w:ascii="Times New Roman" w:hAnsi="Times New Roman" w:eastAsia="仿宋_GB2312"/>
          <w:sz w:val="32"/>
          <w:szCs w:val="32"/>
        </w:rPr>
        <w:t>优化配置现有机构编制资源，解决了县委党校参公人员多、专职教师少的问题。调整编制后，党校事业编制8人，专职教师编制占本单位核定编制数的50%，高于县级党校在岗专职教师占本单位核定编制数的规定比例。今年公开考试招聘1名，“硕博进阿坝”项目引进2名。我校人才队伍的年龄和学历结构均得到极大优化，已基本建成一支政治强、业务精、作风好的教研人才队伍。</w:t>
      </w:r>
      <w:r>
        <w:rPr>
          <w:rFonts w:ascii="Times New Roman" w:hAnsi="Times New Roman" w:eastAsia="仿宋_GB2312"/>
          <w:b/>
          <w:bCs/>
          <w:sz w:val="32"/>
          <w:szCs w:val="32"/>
        </w:rPr>
        <w:t>三是坚持从严治校，抓好校风学风。</w:t>
      </w:r>
      <w:r>
        <w:rPr>
          <w:rFonts w:ascii="Times New Roman" w:hAnsi="Times New Roman" w:eastAsia="仿宋_GB2312"/>
          <w:sz w:val="32"/>
          <w:szCs w:val="32"/>
        </w:rPr>
        <w:t>严肃党内政治生活，严格执行《关于新形势下党内政治生活的若干准则》，认真落实“三会一课”、主题党日、党员领导干部过双重组织生活、谈心谈话等制度。围绕习近平总书记关于党的作风建设重要讲话以及省州重要会议精神，引导职工及学员廉洁从政、廉洁从教、廉洁齐家、廉洁修身。同时，以案肃纪，扎实开展警示教育。根据《茂县2022年干部作风教育整顿专项行动实施方案》《茂县常态化整治“慵懒散浮拖”实施方案》，对职工开展作风教育整顿活动。积极配合县委第一巡察组对我校开展巡察，切实抓好反馈意见的整改工作。严格学员管理，加强党校与组织部、学员派出单位的协调配合，形成严格调训、严格管理、严格监督的制度和机制。</w:t>
      </w:r>
    </w:p>
    <w:p>
      <w:pPr>
        <w:spacing w:line="560" w:lineRule="exact"/>
        <w:ind w:firstLine="643" w:firstLineChars="200"/>
        <w:rPr>
          <w:rStyle w:val="20"/>
          <w:b w:val="0"/>
          <w:bCs w:val="0"/>
        </w:rPr>
      </w:pPr>
      <w:r>
        <w:rPr>
          <w:rFonts w:hint="eastAsia" w:eastAsia="楷体_GB2312"/>
          <w:b/>
          <w:bCs/>
          <w:sz w:val="32"/>
          <w:szCs w:val="32"/>
        </w:rPr>
        <w:t xml:space="preserve"> </w:t>
      </w:r>
      <w:r>
        <w:rPr>
          <w:rFonts w:hint="eastAsia" w:ascii="黑体" w:eastAsia="黑体" w:cs="黑体"/>
          <w:color w:val="000000"/>
          <w:sz w:val="32"/>
          <w:szCs w:val="32"/>
        </w:rPr>
        <w:t>二、机</w:t>
      </w:r>
      <w:r>
        <w:rPr>
          <w:rStyle w:val="20"/>
          <w:rFonts w:hint="eastAsia" w:ascii="黑体" w:eastAsia="黑体" w:cs="黑体"/>
          <w:b w:val="0"/>
          <w:bCs w:val="0"/>
        </w:rPr>
        <w:t>构设置</w:t>
      </w:r>
      <w:bookmarkEnd w:id="20"/>
      <w:bookmarkEnd w:id="21"/>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1</w:t>
      </w:r>
      <w:r>
        <w:rPr>
          <w:rFonts w:hint="eastAsia" w:ascii="仿宋_GB2312" w:eastAsia="仿宋_GB2312" w:cs="仿宋_GB2312"/>
          <w:sz w:val="32"/>
          <w:szCs w:val="32"/>
        </w:rPr>
        <w:t>个。</w:t>
      </w:r>
    </w:p>
    <w:p>
      <w:pPr>
        <w:widowControl/>
        <w:spacing w:line="560" w:lineRule="exact"/>
        <w:jc w:val="center"/>
        <w:rPr>
          <w:rStyle w:val="19"/>
          <w:rFonts w:ascii="方正小标宋简体" w:eastAsia="方正小标宋简体" w:cs="方正小标宋简体"/>
          <w:b w:val="0"/>
          <w:bCs w:val="0"/>
        </w:rPr>
      </w:pPr>
      <w:r>
        <w:rPr>
          <w:rFonts w:ascii="??" w:hAnsi="??"/>
          <w:color w:val="000000"/>
          <w:sz w:val="32"/>
          <w:szCs w:val="32"/>
        </w:rPr>
        <w:br w:type="page"/>
      </w:r>
      <w:bookmarkStart w:id="22" w:name="_Toc15377204"/>
      <w:bookmarkStart w:id="23" w:name="_Toc15396602"/>
      <w:r>
        <w:rPr>
          <w:rStyle w:val="19"/>
          <w:rFonts w:hint="eastAsia" w:ascii="方正小标宋简体" w:eastAsia="方正小标宋简体" w:cs="方正小标宋简体"/>
          <w:b w:val="0"/>
          <w:bCs w:val="0"/>
        </w:rPr>
        <w:t>第二部分</w:t>
      </w:r>
      <w:r>
        <w:rPr>
          <w:rStyle w:val="19"/>
          <w:rFonts w:ascii="方正小标宋简体" w:eastAsia="方正小标宋简体" w:cs="方正小标宋简体"/>
          <w:b w:val="0"/>
          <w:bCs w:val="0"/>
        </w:rPr>
        <w:t>202</w:t>
      </w:r>
      <w:r>
        <w:rPr>
          <w:rStyle w:val="19"/>
          <w:rFonts w:hint="eastAsia" w:ascii="方正小标宋简体" w:eastAsia="方正小标宋简体" w:cs="方正小标宋简体"/>
          <w:b w:val="0"/>
          <w:bCs w:val="0"/>
        </w:rPr>
        <w:t>2年度单位决算情况说明</w:t>
      </w:r>
      <w:bookmarkEnd w:id="22"/>
      <w:bookmarkEnd w:id="23"/>
      <w:bookmarkStart w:id="24" w:name="_Toc15377205"/>
      <w:bookmarkStart w:id="25" w:name="_Toc15396603"/>
    </w:p>
    <w:p>
      <w:pPr>
        <w:widowControl/>
        <w:spacing w:line="560" w:lineRule="exact"/>
        <w:jc w:val="center"/>
        <w:rPr>
          <w:rStyle w:val="19"/>
          <w:rFonts w:ascii="??" w:hAnsi="??"/>
          <w:b w:val="0"/>
          <w:bCs w:val="0"/>
          <w:color w:val="000000"/>
          <w:kern w:val="2"/>
          <w:sz w:val="32"/>
          <w:szCs w:val="32"/>
        </w:rPr>
      </w:pPr>
    </w:p>
    <w:p>
      <w:pPr>
        <w:numPr>
          <w:ilvl w:val="0"/>
          <w:numId w:val="3"/>
        </w:numPr>
        <w:adjustRightInd w:val="0"/>
        <w:snapToGrid w:val="0"/>
        <w:spacing w:line="560" w:lineRule="exact"/>
        <w:ind w:left="0" w:firstLine="640" w:firstLineChars="200"/>
        <w:outlineLvl w:val="0"/>
        <w:rPr>
          <w:rStyle w:val="20"/>
          <w:rFonts w:ascii="黑体" w:eastAsia="黑体" w:cs="Times New Roman"/>
          <w:b w:val="0"/>
          <w:bCs w:val="0"/>
        </w:rPr>
      </w:pPr>
      <w:r>
        <w:rPr>
          <w:rFonts w:hint="eastAsia" w:ascii="黑体" w:eastAsia="黑体" w:cs="黑体"/>
          <w:color w:val="000000"/>
          <w:sz w:val="32"/>
          <w:szCs w:val="32"/>
        </w:rPr>
        <w:t>收</w:t>
      </w:r>
      <w:r>
        <w:rPr>
          <w:rStyle w:val="20"/>
          <w:rFonts w:hint="eastAsia" w:ascii="黑体" w:eastAsia="黑体" w:cs="黑体"/>
          <w:b w:val="0"/>
          <w:bCs w:val="0"/>
        </w:rPr>
        <w:t>入支出决算总体情况说明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2年度收、支总计</w:t>
      </w:r>
      <w:r>
        <w:rPr>
          <w:rFonts w:hint="eastAsia" w:ascii="仿宋_GB2312" w:eastAsia="仿宋_GB2312" w:cs="仿宋_GB2312"/>
          <w:sz w:val="32"/>
          <w:szCs w:val="32"/>
          <w:lang w:val="en-US" w:eastAsia="zh-CN"/>
        </w:rPr>
        <w:t>112.85</w:t>
      </w:r>
      <w:r>
        <w:rPr>
          <w:rFonts w:hint="eastAsia" w:ascii="仿宋_GB2312" w:eastAsia="仿宋_GB2312" w:cs="仿宋_GB2312"/>
          <w:sz w:val="32"/>
          <w:szCs w:val="32"/>
        </w:rPr>
        <w:t>万元。与</w:t>
      </w:r>
      <w:r>
        <w:rPr>
          <w:rFonts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年相比，收、支总计各增加</w:t>
      </w:r>
      <w:r>
        <w:rPr>
          <w:rFonts w:hint="eastAsia" w:ascii="仿宋_GB2312" w:eastAsia="仿宋_GB2312" w:cs="仿宋_GB2312"/>
          <w:sz w:val="32"/>
          <w:szCs w:val="32"/>
          <w:lang w:val="en-US" w:eastAsia="zh-CN"/>
        </w:rPr>
        <w:t>2.92</w:t>
      </w:r>
      <w:r>
        <w:rPr>
          <w:rFonts w:hint="eastAsia" w:ascii="仿宋_GB2312" w:eastAsia="仿宋_GB2312" w:cs="仿宋_GB2312"/>
          <w:sz w:val="32"/>
          <w:szCs w:val="32"/>
        </w:rPr>
        <w:t>万元，增长</w:t>
      </w:r>
      <w:r>
        <w:rPr>
          <w:rFonts w:hint="eastAsia" w:ascii="仿宋_GB2312" w:eastAsia="仿宋_GB2312" w:cs="仿宋_GB2312"/>
          <w:sz w:val="32"/>
          <w:szCs w:val="32"/>
          <w:lang w:val="en-US" w:eastAsia="zh-CN"/>
        </w:rPr>
        <w:t>2.7</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eastAsia="zh-CN"/>
        </w:rPr>
        <w:t>新增专职教师</w:t>
      </w:r>
      <w:r>
        <w:rPr>
          <w:rFonts w:hint="eastAsia" w:ascii="仿宋_GB2312" w:eastAsia="仿宋_GB2312" w:cs="仿宋_GB2312"/>
          <w:sz w:val="32"/>
          <w:szCs w:val="32"/>
          <w:lang w:val="en-US" w:eastAsia="zh-CN"/>
        </w:rPr>
        <w:t>2人，故</w:t>
      </w:r>
      <w:r>
        <w:rPr>
          <w:rFonts w:hint="eastAsia" w:ascii="仿宋_GB2312" w:eastAsia="仿宋_GB2312"/>
          <w:sz w:val="32"/>
          <w:szCs w:val="32"/>
        </w:rPr>
        <w:t>人员经费增加。</w:t>
      </w:r>
    </w:p>
    <w:p>
      <w:pPr>
        <w:widowControl/>
        <w:spacing w:line="560" w:lineRule="exact"/>
        <w:ind w:firstLine="843" w:firstLineChars="3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724535</wp:posOffset>
            </wp:positionH>
            <wp:positionV relativeFrom="paragraph">
              <wp:posOffset>332740</wp:posOffset>
            </wp:positionV>
            <wp:extent cx="4238625" cy="2808605"/>
            <wp:effectExtent l="0" t="0" r="30" b="12"/>
            <wp:wrapSquare wrapText="bothSides"/>
            <wp:docPr id="4" name="_x0000_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s1045"/>
                    <pic:cNvPicPr>
                      <a:picLocks noChangeAspect="1"/>
                    </pic:cNvPicPr>
                  </pic:nvPicPr>
                  <pic:blipFill>
                    <a:blip r:embed="rId7"/>
                    <a:stretch>
                      <a:fillRect/>
                    </a:stretch>
                  </pic:blipFill>
                  <pic:spPr>
                    <a:xfrm>
                      <a:off x="0" y="0"/>
                      <a:ext cx="4238625" cy="2808605"/>
                    </a:xfrm>
                    <a:prstGeom prst="rect">
                      <a:avLst/>
                    </a:prstGeom>
                    <a:noFill/>
                    <a:ln w="9525" cap="flat" cmpd="sng">
                      <a:noFill/>
                      <a:prstDash val="solid"/>
                      <a:miter/>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2"/>
        <w:rPr>
          <w:b/>
          <w:color w:val="000000"/>
          <w:sz w:val="28"/>
          <w:szCs w:val="28"/>
        </w:rPr>
      </w:pPr>
    </w:p>
    <w:p>
      <w:pPr>
        <w:pStyle w:val="3"/>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640" w:firstLineChars="200"/>
        <w:jc w:val="left"/>
        <w:rPr>
          <w:rStyle w:val="20"/>
          <w:rFonts w:ascii="Times New Roman" w:hAnsi="Times New Roman" w:cs="Times New Roman"/>
          <w:b w:val="0"/>
          <w:bCs w:val="0"/>
          <w:sz w:val="21"/>
          <w:szCs w:val="24"/>
        </w:rPr>
      </w:pPr>
      <w:bookmarkStart w:id="26" w:name="_Toc15396604"/>
      <w:bookmarkStart w:id="27" w:name="_Toc15377206"/>
      <w:r>
        <w:rPr>
          <w:rFonts w:hint="eastAsia" w:ascii="黑体" w:eastAsia="黑体" w:cs="黑体"/>
          <w:color w:val="000000"/>
          <w:sz w:val="32"/>
          <w:szCs w:val="32"/>
        </w:rPr>
        <w:t>二、收</w:t>
      </w:r>
      <w:r>
        <w:rPr>
          <w:rStyle w:val="20"/>
          <w:rFonts w:hint="eastAsia" w:ascii="黑体" w:eastAsia="黑体" w:cs="黑体"/>
          <w:b w:val="0"/>
          <w:bCs w:val="0"/>
        </w:rPr>
        <w:t>入决算情况说明</w:t>
      </w:r>
      <w:bookmarkEnd w:id="26"/>
      <w:bookmarkEnd w:id="27"/>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2年本年收入</w:t>
      </w:r>
      <w:r>
        <w:rPr>
          <w:rFonts w:hint="eastAsia" w:ascii="仿宋_GB2312" w:eastAsia="仿宋_GB2312" w:cs="仿宋_GB2312"/>
          <w:sz w:val="32"/>
          <w:szCs w:val="32"/>
          <w:lang w:val="en-US" w:eastAsia="zh-CN"/>
        </w:rPr>
        <w:t>112.85</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112.85</w:t>
      </w:r>
      <w:r>
        <w:rPr>
          <w:rFonts w:hint="eastAsia" w:ascii="仿宋_GB2312" w:eastAsia="仿宋_GB2312" w:cs="仿宋_GB2312"/>
          <w:sz w:val="32"/>
          <w:szCs w:val="32"/>
        </w:rPr>
        <w:t>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260" w:firstLineChars="600"/>
        <w:jc w:val="left"/>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731520</wp:posOffset>
            </wp:positionH>
            <wp:positionV relativeFrom="paragraph">
              <wp:posOffset>74930</wp:posOffset>
            </wp:positionV>
            <wp:extent cx="4212590" cy="2675890"/>
            <wp:effectExtent l="0" t="0" r="33" b="22"/>
            <wp:wrapSquare wrapText="bothSides"/>
            <wp:docPr id="7" name="_x0000_s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s1047"/>
                    <pic:cNvPicPr>
                      <a:picLocks noChangeAspect="1"/>
                    </pic:cNvPicPr>
                  </pic:nvPicPr>
                  <pic:blipFill>
                    <a:blip r:embed="rId8"/>
                    <a:stretch>
                      <a:fillRect/>
                    </a:stretch>
                  </pic:blipFill>
                  <pic:spPr>
                    <a:xfrm>
                      <a:off x="0" y="0"/>
                      <a:ext cx="4212590" cy="2675890"/>
                    </a:xfrm>
                    <a:prstGeom prst="rect">
                      <a:avLst/>
                    </a:prstGeom>
                    <a:noFill/>
                    <a:ln w="9525" cap="flat" cmpd="sng">
                      <a:noFill/>
                      <a:prstDash val="solid"/>
                      <a:miter/>
                    </a:ln>
                  </pic:spPr>
                </pic:pic>
              </a:graphicData>
            </a:graphic>
          </wp:anchor>
        </w:drawing>
      </w:r>
    </w:p>
    <w:p>
      <w:pPr>
        <w:widowControl/>
        <w:tabs>
          <w:tab w:val="left" w:pos="1745"/>
        </w:tabs>
        <w:spacing w:line="560" w:lineRule="exact"/>
        <w:jc w:val="left"/>
        <w:rPr>
          <w:rFonts w:ascii="黑体" w:eastAsia="黑体" w:cs="黑体"/>
          <w:sz w:val="32"/>
          <w:szCs w:val="32"/>
        </w:rPr>
      </w:pPr>
      <w:bookmarkStart w:id="28" w:name="_Toc15377207"/>
      <w:bookmarkStart w:id="29" w:name="_Toc15396605"/>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Style w:val="20"/>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0"/>
          <w:rFonts w:hint="eastAsia" w:ascii="黑体" w:eastAsia="黑体" w:cs="黑体"/>
          <w:b w:val="0"/>
          <w:bCs w:val="0"/>
        </w:rPr>
        <w:t>出决算情况说明</w:t>
      </w:r>
      <w:bookmarkEnd w:id="28"/>
      <w:bookmarkEnd w:id="29"/>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2年本年支出合计</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;项目支出0万元；上缴上级支出0万元；经营支出0万元；对附属单位补助支出0万元</w:t>
      </w:r>
      <w:r>
        <w:rPr>
          <w:rFonts w:hint="eastAsia" w:ascii="仿宋_GB2312" w:eastAsia="仿宋_GB2312" w:cs="仿宋_GB2312"/>
          <w:color w:val="000000"/>
          <w:sz w:val="32"/>
          <w:szCs w:val="32"/>
        </w:rPr>
        <w:t>。</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30" w:name="_Toc15396606"/>
      <w:bookmarkStart w:id="31" w:name="_Toc15377208"/>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609600</wp:posOffset>
            </wp:positionH>
            <wp:positionV relativeFrom="paragraph">
              <wp:posOffset>276860</wp:posOffset>
            </wp:positionV>
            <wp:extent cx="4230370" cy="2712720"/>
            <wp:effectExtent l="0" t="1" r="1" b="41"/>
            <wp:wrapSquare wrapText="bothSides"/>
            <wp:docPr id="10" name="_x0000_s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s1046"/>
                    <pic:cNvPicPr>
                      <a:picLocks noChangeAspect="1"/>
                    </pic:cNvPicPr>
                  </pic:nvPicPr>
                  <pic:blipFill>
                    <a:blip r:embed="rId9"/>
                    <a:stretch>
                      <a:fillRect/>
                    </a:stretch>
                  </pic:blipFill>
                  <pic:spPr>
                    <a:xfrm>
                      <a:off x="0" y="0"/>
                      <a:ext cx="4230370" cy="2712720"/>
                    </a:xfrm>
                    <a:prstGeom prst="rect">
                      <a:avLst/>
                    </a:prstGeom>
                    <a:noFill/>
                    <a:ln w="9525" cap="flat" cmpd="sng">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rPr>
          <w:rStyle w:val="20"/>
          <w:rFonts w:ascii="黑体" w:eastAsia="黑体" w:cs="Times New Roman"/>
          <w:b w:val="0"/>
          <w:bCs w:val="0"/>
        </w:rPr>
      </w:pPr>
      <w:r>
        <w:rPr>
          <w:rFonts w:hint="eastAsia" w:ascii="黑体" w:eastAsia="黑体" w:cs="黑体"/>
          <w:color w:val="000000"/>
          <w:sz w:val="32"/>
          <w:szCs w:val="32"/>
        </w:rPr>
        <w:t>四、财</w:t>
      </w:r>
      <w:r>
        <w:rPr>
          <w:rStyle w:val="20"/>
          <w:rFonts w:hint="eastAsia" w:ascii="黑体" w:eastAsia="黑体" w:cs="黑体"/>
          <w:b w:val="0"/>
          <w:bCs w:val="0"/>
        </w:rPr>
        <w:t>政拨款收入支出决算总体情况说明</w:t>
      </w:r>
      <w:bookmarkEnd w:id="30"/>
      <w:bookmarkEnd w:id="31"/>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2年财政拨款收、支总计</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年相比，财政拨款收、支总计增加</w:t>
      </w:r>
      <w:r>
        <w:rPr>
          <w:rFonts w:hint="eastAsia" w:ascii="仿宋_GB2312" w:eastAsia="仿宋_GB2312" w:cs="仿宋_GB2312"/>
          <w:color w:val="000000"/>
          <w:sz w:val="32"/>
          <w:szCs w:val="32"/>
          <w:lang w:val="en-US" w:eastAsia="zh-CN"/>
        </w:rPr>
        <w:t>2.92</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2.7</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w:t>
      </w:r>
      <w:r>
        <w:rPr>
          <w:rFonts w:hint="eastAsia" w:ascii="仿宋_GB2312" w:eastAsia="仿宋_GB2312" w:cs="仿宋_GB2312"/>
          <w:color w:val="000000"/>
          <w:sz w:val="32"/>
          <w:szCs w:val="32"/>
          <w:lang w:eastAsia="zh-CN"/>
        </w:rPr>
        <w:t>新增专职教师</w:t>
      </w:r>
      <w:r>
        <w:rPr>
          <w:rFonts w:hint="eastAsia" w:ascii="仿宋_GB2312" w:eastAsia="仿宋_GB2312" w:cs="仿宋_GB2312"/>
          <w:color w:val="000000"/>
          <w:sz w:val="32"/>
          <w:szCs w:val="32"/>
          <w:lang w:val="en-US" w:eastAsia="zh-CN"/>
        </w:rPr>
        <w:t>2人，故</w:t>
      </w:r>
      <w:r>
        <w:rPr>
          <w:rFonts w:hint="eastAsia" w:ascii="仿宋_GB2312" w:eastAsia="仿宋_GB2312" w:cs="仿宋_GB2312"/>
          <w:color w:val="000000"/>
          <w:sz w:val="32"/>
          <w:szCs w:val="32"/>
          <w:lang w:eastAsia="zh-CN"/>
        </w:rPr>
        <w:t>人员经费增加</w:t>
      </w:r>
      <w:r>
        <w:rPr>
          <w:rFonts w:hint="eastAsia" w:ascii="仿宋_GB2312" w:eastAsia="仿宋_GB2312"/>
          <w:sz w:val="32"/>
          <w:szCs w:val="32"/>
        </w:rPr>
        <w:t>。</w:t>
      </w:r>
    </w:p>
    <w:p>
      <w:pPr>
        <w:spacing w:line="560" w:lineRule="exact"/>
        <w:ind w:firstLine="562" w:firstLineChars="200"/>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420" w:firstLineChars="200"/>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549910</wp:posOffset>
            </wp:positionH>
            <wp:positionV relativeFrom="paragraph">
              <wp:posOffset>267970</wp:posOffset>
            </wp:positionV>
            <wp:extent cx="4285615" cy="2736850"/>
            <wp:effectExtent l="0" t="0" r="2" b="21"/>
            <wp:wrapSquare wrapText="bothSides"/>
            <wp:docPr id="13" name="_x0000_s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s1048"/>
                    <pic:cNvPicPr>
                      <a:picLocks noChangeAspect="1"/>
                    </pic:cNvPicPr>
                  </pic:nvPicPr>
                  <pic:blipFill>
                    <a:blip r:embed="rId10"/>
                    <a:stretch>
                      <a:fillRect/>
                    </a:stretch>
                  </pic:blipFill>
                  <pic:spPr>
                    <a:xfrm>
                      <a:off x="0" y="0"/>
                      <a:ext cx="4285615" cy="2736850"/>
                    </a:xfrm>
                    <a:prstGeom prst="rect">
                      <a:avLst/>
                    </a:prstGeom>
                    <a:noFill/>
                    <a:ln w="9525" cap="flat" cmpd="sng">
                      <a:noFill/>
                      <a:prstDash val="solid"/>
                      <a:miter/>
                    </a:ln>
                  </pic:spPr>
                </pic:pic>
              </a:graphicData>
            </a:graphic>
          </wp:anchor>
        </w:drawing>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20" w:firstLineChars="200"/>
      </w:pPr>
    </w:p>
    <w:p>
      <w:pPr>
        <w:spacing w:line="560" w:lineRule="exact"/>
        <w:ind w:firstLine="1120" w:firstLineChars="350"/>
        <w:rPr>
          <w:rFonts w:ascii="黑体" w:eastAsia="黑体" w:cs="黑体"/>
          <w:color w:val="000000"/>
          <w:sz w:val="32"/>
          <w:szCs w:val="32"/>
        </w:rPr>
      </w:pPr>
      <w:bookmarkStart w:id="32" w:name="_Toc15377209"/>
      <w:bookmarkStart w:id="33" w:name="_Toc15396607"/>
    </w:p>
    <w:p>
      <w:pPr>
        <w:spacing w:line="560" w:lineRule="exact"/>
        <w:ind w:firstLine="1120" w:firstLineChars="350"/>
        <w:rPr>
          <w:rFonts w:ascii="黑体" w:eastAsia="黑体" w:cs="黑体"/>
          <w:color w:val="000000"/>
          <w:sz w:val="32"/>
          <w:szCs w:val="32"/>
        </w:rPr>
      </w:pPr>
    </w:p>
    <w:p>
      <w:pPr>
        <w:spacing w:line="560" w:lineRule="exact"/>
        <w:ind w:firstLine="640" w:firstLineChars="200"/>
        <w:rPr>
          <w:rStyle w:val="20"/>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0"/>
          <w:rFonts w:hint="eastAsia" w:ascii="黑体" w:eastAsia="黑体" w:cs="黑体"/>
          <w:b w:val="0"/>
          <w:bCs w:val="0"/>
        </w:rPr>
        <w:t>般公共预算财政拨款支出决算情况说明</w:t>
      </w:r>
      <w:bookmarkEnd w:id="32"/>
      <w:bookmarkEnd w:id="33"/>
      <w:bookmarkStart w:id="34" w:name="_Toc15377210"/>
    </w:p>
    <w:p>
      <w:pPr>
        <w:spacing w:line="560" w:lineRule="exact"/>
        <w:ind w:firstLine="630"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4"/>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2年一般公共预算财政拨款支出</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万元，占本年支出合计的</w:t>
      </w:r>
      <w:r>
        <w:rPr>
          <w:rFonts w:ascii="仿宋_GB2312" w:eastAsia="仿宋_GB2312" w:cs="仿宋_GB2312"/>
          <w:color w:val="000000"/>
          <w:sz w:val="32"/>
          <w:szCs w:val="32"/>
        </w:rPr>
        <w:t>100 %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年相比，一般公共预算财政拨款增加</w:t>
      </w:r>
      <w:r>
        <w:rPr>
          <w:rFonts w:hint="eastAsia" w:ascii="仿宋_GB2312" w:eastAsia="仿宋_GB2312" w:cs="仿宋_GB2312"/>
          <w:color w:val="000000"/>
          <w:sz w:val="32"/>
          <w:szCs w:val="32"/>
          <w:lang w:val="en-US" w:eastAsia="zh-CN"/>
        </w:rPr>
        <w:t>2.92</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2.7</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sz w:val="32"/>
          <w:szCs w:val="32"/>
        </w:rPr>
        <w:t>人员经费增加。</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420" w:firstLineChars="200"/>
        <w:jc w:val="left"/>
        <w:rPr>
          <w:rFonts w:ascii="楷体" w:eastAsia="楷体" w:cs="楷体"/>
          <w:b/>
          <w:bCs/>
          <w:color w:val="000000"/>
          <w:sz w:val="32"/>
          <w:szCs w:val="32"/>
        </w:rPr>
      </w:pPr>
      <w:bookmarkStart w:id="35" w:name="_Toc15377211"/>
      <w:r>
        <w:drawing>
          <wp:anchor distT="0" distB="0" distL="114300" distR="114300" simplePos="0" relativeHeight="251659264" behindDoc="0" locked="0" layoutInCell="1" allowOverlap="1">
            <wp:simplePos x="0" y="0"/>
            <wp:positionH relativeFrom="column">
              <wp:posOffset>883920</wp:posOffset>
            </wp:positionH>
            <wp:positionV relativeFrom="paragraph">
              <wp:posOffset>34925</wp:posOffset>
            </wp:positionV>
            <wp:extent cx="4251325" cy="2823210"/>
            <wp:effectExtent l="0" t="0" r="1" b="44"/>
            <wp:wrapSquare wrapText="bothSides"/>
            <wp:docPr id="16" name="_x0000_s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s1049"/>
                    <pic:cNvPicPr>
                      <a:picLocks noChangeAspect="1"/>
                    </pic:cNvPicPr>
                  </pic:nvPicPr>
                  <pic:blipFill>
                    <a:blip r:embed="rId11"/>
                    <a:stretch>
                      <a:fillRect/>
                    </a:stretch>
                  </pic:blipFill>
                  <pic:spPr>
                    <a:xfrm>
                      <a:off x="0" y="0"/>
                      <a:ext cx="4251325" cy="2823210"/>
                    </a:xfrm>
                    <a:prstGeom prst="rect">
                      <a:avLst/>
                    </a:prstGeom>
                    <a:noFill/>
                    <a:ln w="9525" cap="flat" cmpd="sng">
                      <a:noFill/>
                      <a:prstDash val="solid"/>
                      <a:miter/>
                    </a:ln>
                  </pic:spPr>
                </pic:pic>
              </a:graphicData>
            </a:graphic>
          </wp:anchor>
        </w:drawing>
      </w:r>
    </w:p>
    <w:p>
      <w:pPr>
        <w:widowControl/>
        <w:tabs>
          <w:tab w:val="left" w:pos="3533"/>
        </w:tabs>
        <w:spacing w:line="560" w:lineRule="exact"/>
        <w:ind w:firstLine="643" w:firstLineChars="200"/>
        <w:jc w:val="left"/>
        <w:rPr>
          <w:rFonts w:ascii="楷体" w:eastAsia="楷体" w:cs="楷体"/>
          <w:b/>
          <w:bCs/>
          <w:color w:val="000000"/>
          <w:sz w:val="32"/>
          <w:szCs w:val="32"/>
        </w:rPr>
      </w:pPr>
    </w:p>
    <w:p>
      <w:pPr>
        <w:widowControl/>
        <w:tabs>
          <w:tab w:val="left" w:pos="3533"/>
        </w:tabs>
        <w:spacing w:line="560" w:lineRule="exact"/>
        <w:ind w:firstLine="643" w:firstLineChars="200"/>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5"/>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2年一般公共预算财政拨款支出</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w:t>
      </w:r>
      <w:r>
        <w:rPr>
          <w:rFonts w:hint="eastAsia" w:ascii="仿宋_GB2312" w:eastAsia="仿宋_GB2312" w:cs="仿宋_GB2312"/>
          <w:color w:val="000000"/>
          <w:sz w:val="32"/>
          <w:szCs w:val="32"/>
          <w:lang w:val="en-US" w:eastAsia="zh-CN"/>
        </w:rPr>
        <w:t>85.3</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w:t>
      </w:r>
      <w:r>
        <w:rPr>
          <w:rFonts w:hint="eastAsia" w:ascii="仿宋_GB2312" w:eastAsia="仿宋_GB2312" w:cs="仿宋_GB2312"/>
          <w:color w:val="000000"/>
          <w:sz w:val="32"/>
          <w:szCs w:val="32"/>
          <w:lang w:val="en-US" w:eastAsia="zh-CN"/>
        </w:rPr>
        <w:t>14.4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w:t>
      </w:r>
      <w:r>
        <w:rPr>
          <w:rFonts w:hint="eastAsia" w:ascii="仿宋_GB2312" w:eastAsia="仿宋_GB2312" w:cs="仿宋_GB2312"/>
          <w:color w:val="000000"/>
          <w:sz w:val="32"/>
          <w:szCs w:val="32"/>
          <w:lang w:val="en-US" w:eastAsia="zh-CN"/>
        </w:rPr>
        <w:t>5.34</w:t>
      </w:r>
      <w:r>
        <w:rPr>
          <w:rFonts w:hint="eastAsia" w:ascii="仿宋_GB2312" w:eastAsia="仿宋_GB2312" w:cs="仿宋_GB2312"/>
          <w:color w:val="000000"/>
          <w:sz w:val="32"/>
          <w:szCs w:val="32"/>
        </w:rPr>
        <w:t>万元，占5</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7.81</w:t>
      </w:r>
      <w:r>
        <w:rPr>
          <w:rFonts w:hint="eastAsia" w:ascii="仿宋_GB2312" w:eastAsia="仿宋_GB2312" w:cs="仿宋_GB2312"/>
          <w:color w:val="000000"/>
          <w:sz w:val="32"/>
          <w:szCs w:val="32"/>
        </w:rPr>
        <w:t>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rFonts w:ascii="宋体" w:cs="宋体"/>
          <w:b/>
          <w:bCs/>
          <w:color w:val="000000"/>
          <w:kern w:val="0"/>
          <w:sz w:val="31"/>
          <w:szCs w:val="31"/>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：一般公共预算财政拨款支出决算结构（单位：万元）</w:t>
      </w:r>
    </w:p>
    <w:p>
      <w:pPr>
        <w:widowControl/>
        <w:spacing w:line="560" w:lineRule="exact"/>
        <w:jc w:val="center"/>
        <w:rPr>
          <w:b/>
          <w:bCs/>
        </w:rPr>
      </w:pPr>
      <w:r>
        <w:drawing>
          <wp:anchor distT="0" distB="0" distL="114300" distR="114300" simplePos="0" relativeHeight="251659264" behindDoc="0" locked="0" layoutInCell="1" allowOverlap="1">
            <wp:simplePos x="0" y="0"/>
            <wp:positionH relativeFrom="column">
              <wp:posOffset>563880</wp:posOffset>
            </wp:positionH>
            <wp:positionV relativeFrom="paragraph">
              <wp:posOffset>233045</wp:posOffset>
            </wp:positionV>
            <wp:extent cx="4596130" cy="2767330"/>
            <wp:effectExtent l="0" t="0" r="7" b="21"/>
            <wp:wrapSquare wrapText="bothSides"/>
            <wp:docPr id="19" name="_x0000_s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s1051"/>
                    <pic:cNvPicPr>
                      <a:picLocks noChangeAspect="1"/>
                    </pic:cNvPicPr>
                  </pic:nvPicPr>
                  <pic:blipFill>
                    <a:blip r:embed="rId12"/>
                    <a:stretch>
                      <a:fillRect/>
                    </a:stretch>
                  </pic:blipFill>
                  <pic:spPr>
                    <a:xfrm>
                      <a:off x="0" y="0"/>
                      <a:ext cx="4596130" cy="2767330"/>
                    </a:xfrm>
                    <a:prstGeom prst="rect">
                      <a:avLst/>
                    </a:prstGeom>
                    <a:noFill/>
                    <a:ln w="9525" cap="flat" cmpd="sng">
                      <a:noFill/>
                      <a:prstDash val="solid"/>
                      <a:miter/>
                    </a:ln>
                  </pic:spPr>
                </pic:pic>
              </a:graphicData>
            </a:graphic>
          </wp:anchor>
        </w:drawing>
      </w:r>
    </w:p>
    <w:p>
      <w:pPr>
        <w:pStyle w:val="2"/>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spacing w:line="560" w:lineRule="exact"/>
        <w:ind w:firstLine="643" w:firstLineChars="200"/>
        <w:rPr>
          <w:rFonts w:ascii="仿宋_GB2312" w:eastAsia="仿宋_GB2312"/>
          <w:color w:val="000000"/>
          <w:sz w:val="32"/>
          <w:szCs w:val="32"/>
        </w:rPr>
      </w:pPr>
      <w:bookmarkStart w:id="36" w:name="_Toc15377212"/>
      <w:r>
        <w:rPr>
          <w:rFonts w:hint="eastAsia" w:ascii="楷体" w:eastAsia="楷体" w:cs="楷体"/>
          <w:b/>
          <w:bCs/>
          <w:color w:val="000000"/>
          <w:sz w:val="32"/>
          <w:szCs w:val="32"/>
        </w:rPr>
        <w:t>（三）一般公共预算财政拨款支出决算具体情况</w:t>
      </w:r>
      <w:bookmarkEnd w:id="36"/>
      <w:bookmarkStart w:id="37" w:name="_Toc15378460"/>
      <w:bookmarkStart w:id="38" w:name="_Toc15377444"/>
      <w:bookmarkStart w:id="39" w:name="_Toc15377213"/>
    </w:p>
    <w:p>
      <w:pPr>
        <w:spacing w:line="560" w:lineRule="exact"/>
        <w:ind w:firstLine="640" w:firstLineChars="200"/>
        <w:rPr>
          <w:rStyle w:val="16"/>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2年一般公共预算支出决算数为</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6"/>
          <w:rFonts w:hint="eastAsia" w:ascii="仿宋_GB2312" w:eastAsia="仿宋_GB2312" w:cs="仿宋_GB2312"/>
          <w:b w:val="0"/>
          <w:bCs w:val="0"/>
          <w:color w:val="000000"/>
          <w:sz w:val="32"/>
          <w:szCs w:val="32"/>
        </w:rPr>
        <w:t>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。其中：</w:t>
      </w:r>
      <w:bookmarkEnd w:id="37"/>
      <w:bookmarkEnd w:id="38"/>
      <w:bookmarkEnd w:id="39"/>
    </w:p>
    <w:p>
      <w:pPr>
        <w:spacing w:line="560" w:lineRule="exact"/>
        <w:ind w:firstLine="640" w:firstLineChars="200"/>
        <w:rPr>
          <w:rFonts w:ascii="仿宋_GB2312" w:eastAsia="仿宋_GB2312"/>
          <w:color w:val="000000"/>
          <w:sz w:val="32"/>
          <w:szCs w:val="32"/>
        </w:rPr>
      </w:pPr>
      <w:r>
        <w:rPr>
          <w:rStyle w:val="16"/>
          <w:rFonts w:ascii="仿宋_GB2312" w:eastAsia="仿宋_GB2312" w:cs="仿宋_GB2312"/>
          <w:b w:val="0"/>
          <w:bCs w:val="0"/>
          <w:color w:val="000000"/>
          <w:sz w:val="32"/>
          <w:szCs w:val="32"/>
        </w:rPr>
        <w:t>1.</w:t>
      </w:r>
      <w:r>
        <w:rPr>
          <w:rStyle w:val="16"/>
          <w:rFonts w:hint="eastAsia" w:ascii="仿宋_GB2312" w:eastAsia="仿宋_GB2312" w:cs="仿宋_GB2312"/>
          <w:b w:val="0"/>
          <w:bCs w:val="0"/>
          <w:color w:val="000000"/>
          <w:sz w:val="32"/>
          <w:szCs w:val="32"/>
        </w:rPr>
        <w:t>教育支出（类）教育管理事务（款）行政运行（项）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85.3</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2.</w:t>
      </w:r>
      <w:r>
        <w:rPr>
          <w:rStyle w:val="16"/>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9.6</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3.</w:t>
      </w:r>
      <w:r>
        <w:rPr>
          <w:rStyle w:val="16"/>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4.8</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4.</w:t>
      </w:r>
      <w:r>
        <w:rPr>
          <w:rStyle w:val="16"/>
          <w:rFonts w:hint="eastAsia" w:ascii="仿宋_GB2312" w:eastAsia="仿宋_GB2312" w:cs="仿宋_GB2312"/>
          <w:b w:val="0"/>
          <w:bCs w:val="0"/>
          <w:color w:val="000000"/>
          <w:sz w:val="32"/>
          <w:szCs w:val="32"/>
        </w:rPr>
        <w:t>卫生健康支出（类）行政事业单位医疗（款）</w:t>
      </w:r>
      <w:r>
        <w:rPr>
          <w:rStyle w:val="16"/>
          <w:rFonts w:hint="eastAsia" w:ascii="仿宋_GB2312" w:eastAsia="仿宋_GB2312" w:cs="仿宋_GB2312"/>
          <w:b w:val="0"/>
          <w:bCs w:val="0"/>
          <w:color w:val="000000"/>
          <w:sz w:val="32"/>
          <w:szCs w:val="32"/>
          <w:lang w:eastAsia="zh-CN"/>
        </w:rPr>
        <w:t>事业</w:t>
      </w:r>
      <w:r>
        <w:rPr>
          <w:rStyle w:val="16"/>
          <w:rFonts w:hint="eastAsia" w:ascii="仿宋_GB2312" w:eastAsia="仿宋_GB2312" w:cs="仿宋_GB2312"/>
          <w:b w:val="0"/>
          <w:bCs w:val="0"/>
          <w:color w:val="000000"/>
          <w:sz w:val="32"/>
          <w:szCs w:val="32"/>
        </w:rPr>
        <w:t>单位医疗（项）</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5.34</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lang w:val="en-US" w:eastAsia="zh-CN"/>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住房保障支出（类）住房改革支出（款）住房公积金（项）：</w:t>
      </w:r>
      <w:r>
        <w:rPr>
          <w:rStyle w:val="16"/>
          <w:rFonts w:hint="eastAsia" w:ascii="仿宋_GB2312" w:eastAsia="仿宋_GB2312" w:cs="仿宋_GB2312"/>
          <w:b w:val="0"/>
          <w:bCs w:val="0"/>
          <w:color w:val="000000"/>
          <w:sz w:val="32"/>
          <w:szCs w:val="32"/>
        </w:rPr>
        <w:t>支出决算为</w:t>
      </w:r>
      <w:r>
        <w:rPr>
          <w:rFonts w:hint="eastAsia" w:ascii="仿宋_GB2312" w:eastAsia="仿宋_GB2312" w:cs="仿宋_GB2312"/>
          <w:color w:val="000000"/>
          <w:sz w:val="32"/>
          <w:szCs w:val="32"/>
          <w:lang w:val="en-US" w:eastAsia="zh-CN"/>
        </w:rPr>
        <w:t>7.81</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20"/>
        </w:rPr>
      </w:pPr>
      <w:bookmarkStart w:id="40" w:name="_Toc15377214"/>
      <w:bookmarkStart w:id="41" w:name="_Toc15396608"/>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0"/>
          <w:rFonts w:hint="eastAsia" w:ascii="黑体" w:eastAsia="黑体" w:cs="黑体"/>
          <w:b w:val="0"/>
          <w:bCs w:val="0"/>
        </w:rPr>
        <w:t>般公共预算财政拨款基本支出决算情况说明</w:t>
      </w:r>
      <w:bookmarkEnd w:id="40"/>
      <w:bookmarkEnd w:id="41"/>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2年一般公共预算财政拨款基本支出</w:t>
      </w:r>
      <w:r>
        <w:rPr>
          <w:rFonts w:hint="eastAsia" w:ascii="仿宋_GB2312" w:eastAsia="仿宋_GB2312" w:cs="仿宋_GB2312"/>
          <w:color w:val="000000"/>
          <w:sz w:val="32"/>
          <w:szCs w:val="32"/>
          <w:lang w:val="en-US" w:eastAsia="zh-CN"/>
        </w:rPr>
        <w:t>112.85</w:t>
      </w:r>
      <w:r>
        <w:rPr>
          <w:rFonts w:hint="eastAsia" w:ascii="仿宋_GB2312" w:eastAsia="仿宋_GB2312" w:cs="仿宋_GB2312"/>
          <w:color w:val="000000"/>
          <w:sz w:val="32"/>
          <w:szCs w:val="32"/>
        </w:rPr>
        <w:t>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lang w:val="en-US" w:eastAsia="zh-CN"/>
        </w:rPr>
        <w:t>109.09</w:t>
      </w:r>
      <w:r>
        <w:rPr>
          <w:rFonts w:hint="eastAsia" w:ascii="仿宋_GB2312" w:eastAsia="仿宋_GB2312" w:cs="仿宋_GB2312"/>
          <w:color w:val="000000"/>
          <w:sz w:val="32"/>
          <w:szCs w:val="32"/>
        </w:rPr>
        <w:t>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w:t>
      </w:r>
      <w:r>
        <w:rPr>
          <w:rFonts w:hint="eastAsia" w:ascii="仿宋_GB2312" w:eastAsia="仿宋_GB2312" w:cs="仿宋_GB2312"/>
          <w:color w:val="000000"/>
          <w:sz w:val="32"/>
          <w:szCs w:val="32"/>
          <w:lang w:val="en-US" w:eastAsia="zh-CN"/>
        </w:rPr>
        <w:t>3.76</w:t>
      </w:r>
      <w:r>
        <w:rPr>
          <w:rFonts w:hint="eastAsia" w:ascii="仿宋_GB2312" w:eastAsia="仿宋_GB2312" w:cs="仿宋_GB2312"/>
          <w:color w:val="000000"/>
          <w:sz w:val="32"/>
          <w:szCs w:val="32"/>
        </w:rPr>
        <w:t>万元，主要包括：办公费、水费、电费、邮电费、差旅费、培训费、公务接待费支出等。</w:t>
      </w:r>
    </w:p>
    <w:p>
      <w:pPr>
        <w:spacing w:line="560" w:lineRule="exact"/>
        <w:ind w:firstLine="640" w:firstLineChars="200"/>
        <w:rPr>
          <w:rStyle w:val="20"/>
          <w:rFonts w:ascii="黑体" w:eastAsia="黑体" w:cs="Times New Roman"/>
          <w:b w:val="0"/>
          <w:bCs w:val="0"/>
        </w:rPr>
      </w:pPr>
      <w:bookmarkStart w:id="42" w:name="_Toc15377215"/>
      <w:bookmarkStart w:id="43" w:name="_Toc15396609"/>
      <w:r>
        <w:rPr>
          <w:rFonts w:hint="eastAsia" w:ascii="黑体" w:eastAsia="黑体" w:cs="黑体"/>
          <w:color w:val="000000"/>
          <w:sz w:val="32"/>
          <w:szCs w:val="32"/>
        </w:rPr>
        <w:t>七、</w:t>
      </w:r>
      <w:r>
        <w:rPr>
          <w:rStyle w:val="20"/>
          <w:rFonts w:hint="eastAsia" w:ascii="黑体" w:eastAsia="黑体" w:cs="黑体"/>
        </w:rPr>
        <w:t>“</w:t>
      </w:r>
      <w:r>
        <w:rPr>
          <w:rStyle w:val="20"/>
          <w:rFonts w:hint="eastAsia" w:ascii="黑体" w:eastAsia="黑体" w:cs="黑体"/>
          <w:b w:val="0"/>
          <w:bCs w:val="0"/>
        </w:rPr>
        <w:t>三公”经费财政拨款支出决算情况说明</w:t>
      </w:r>
      <w:bookmarkEnd w:id="42"/>
      <w:bookmarkEnd w:id="43"/>
    </w:p>
    <w:p>
      <w:pPr>
        <w:spacing w:line="560" w:lineRule="exact"/>
        <w:ind w:firstLine="630" w:firstLineChars="196"/>
        <w:outlineLvl w:val="1"/>
        <w:rPr>
          <w:rFonts w:ascii="楷体" w:eastAsia="楷体" w:cs="楷体"/>
          <w:b/>
          <w:bCs/>
          <w:color w:val="000000"/>
          <w:sz w:val="32"/>
          <w:szCs w:val="32"/>
        </w:rPr>
      </w:pPr>
      <w:bookmarkStart w:id="44" w:name="_Toc15377216"/>
      <w:r>
        <w:rPr>
          <w:rFonts w:hint="eastAsia" w:ascii="楷体" w:eastAsia="楷体" w:cs="楷体"/>
          <w:b/>
          <w:bCs/>
          <w:color w:val="000000"/>
          <w:sz w:val="32"/>
          <w:szCs w:val="32"/>
        </w:rPr>
        <w:t>（一）“三公”经费财政拨款支出决算总体情况说明</w:t>
      </w:r>
      <w:bookmarkEnd w:id="44"/>
    </w:p>
    <w:p>
      <w:pPr>
        <w:widowControl/>
        <w:spacing w:line="560" w:lineRule="exact"/>
        <w:ind w:firstLine="640" w:firstLineChars="200"/>
        <w:jc w:val="left"/>
        <w:rPr>
          <w:rFonts w:hint="eastAsia" w:ascii="仿宋_GB2312" w:eastAsia="仿宋_GB2312" w:cs="仿宋_GB2312"/>
          <w:color w:val="000000"/>
          <w:kern w:val="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2年“三公”经费财政拨款支出决算为</w:t>
      </w:r>
      <w:r>
        <w:rPr>
          <w:rFonts w:hint="eastAsia" w:ascii="仿宋_GB2312" w:eastAsia="仿宋_GB2312" w:cs="仿宋_GB2312"/>
          <w:color w:val="000000"/>
          <w:sz w:val="32"/>
          <w:szCs w:val="32"/>
          <w:lang w:val="en-US" w:eastAsia="zh-CN"/>
        </w:rPr>
        <w:t>0万</w:t>
      </w:r>
      <w:r>
        <w:rPr>
          <w:rFonts w:hint="eastAsia" w:ascii="仿宋_GB2312" w:eastAsia="仿宋_GB2312" w:cs="仿宋_GB2312"/>
          <w:color w:val="000000"/>
          <w:sz w:val="32"/>
          <w:szCs w:val="32"/>
        </w:rPr>
        <w:t>元，</w:t>
      </w:r>
      <w:bookmarkStart w:id="45" w:name="_Toc15377217"/>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p>
    <w:p>
      <w:pPr>
        <w:widowControl/>
        <w:spacing w:line="560" w:lineRule="exact"/>
        <w:ind w:firstLine="643"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5"/>
    </w:p>
    <w:p>
      <w:pPr>
        <w:widowControl/>
        <w:spacing w:line="560" w:lineRule="exact"/>
        <w:ind w:firstLine="640" w:firstLineChars="200"/>
        <w:jc w:val="left"/>
        <w:rPr>
          <w:b/>
          <w:bCs/>
          <w:color w:val="000000"/>
          <w:sz w:val="28"/>
          <w:szCs w:val="28"/>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,与上年数相比无变化</w:t>
      </w:r>
      <w:r>
        <w:rPr>
          <w:rFonts w:hint="eastAsia" w:ascii="仿宋_GB2312" w:eastAsia="仿宋_GB2312" w:cs="仿宋_GB2312"/>
          <w:color w:val="000000"/>
          <w:sz w:val="32"/>
          <w:szCs w:val="32"/>
        </w:rPr>
        <w:t>；公务用车购置及运行维护费支出决算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与上年数相比无变化</w:t>
      </w:r>
      <w:r>
        <w:rPr>
          <w:rFonts w:hint="eastAsia" w:ascii="仿宋_GB2312" w:eastAsia="仿宋_GB2312" w:cs="仿宋_GB2312"/>
          <w:color w:val="000000"/>
          <w:sz w:val="32"/>
          <w:szCs w:val="32"/>
        </w:rPr>
        <w:t>；公务接待费支出决算0万元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与上年数相比无变化</w:t>
      </w:r>
      <w:bookmarkStart w:id="97" w:name="_GoBack"/>
      <w:bookmarkEnd w:id="97"/>
      <w:r>
        <w:rPr>
          <w:rFonts w:hint="eastAsia" w:ascii="仿宋_GB2312" w:eastAsia="仿宋_GB2312" w:cs="仿宋_GB2312"/>
          <w:color w:val="000000"/>
          <w:sz w:val="32"/>
          <w:szCs w:val="32"/>
        </w:rPr>
        <w:t>。</w:t>
      </w:r>
    </w:p>
    <w:p>
      <w:pPr>
        <w:pStyle w:val="3"/>
      </w:pPr>
    </w:p>
    <w:p>
      <w:pPr>
        <w:numPr>
          <w:ilvl w:val="0"/>
          <w:numId w:val="4"/>
        </w:numPr>
        <w:spacing w:line="560" w:lineRule="exact"/>
        <w:ind w:left="0" w:firstLine="640" w:firstLineChars="200"/>
        <w:rPr>
          <w:rStyle w:val="20"/>
          <w:rFonts w:ascii="黑体" w:eastAsia="黑体" w:cs="黑体"/>
          <w:b w:val="0"/>
          <w:bCs w:val="0"/>
        </w:rPr>
      </w:pPr>
      <w:bookmarkStart w:id="46" w:name="_Toc15396610"/>
      <w:bookmarkStart w:id="47" w:name="_Toc15377218"/>
      <w:r>
        <w:rPr>
          <w:rFonts w:hint="eastAsia" w:ascii="仿宋_GB2312" w:eastAsia="仿宋_GB2312" w:cs="仿宋_GB2312"/>
          <w:color w:val="000000"/>
          <w:sz w:val="32"/>
          <w:szCs w:val="32"/>
          <w:lang w:val="en-US" w:eastAsia="zh-CN"/>
        </w:rPr>
        <w:t xml:space="preserve"> </w:t>
      </w:r>
      <w:r>
        <w:rPr>
          <w:rStyle w:val="20"/>
          <w:rFonts w:hint="eastAsia" w:ascii="黑体" w:eastAsia="黑体" w:cs="黑体"/>
          <w:b w:val="0"/>
          <w:bCs w:val="0"/>
        </w:rPr>
        <w:t>政府性基金预算支出决算情况说明</w:t>
      </w:r>
      <w:bookmarkEnd w:id="46"/>
      <w:bookmarkEnd w:id="47"/>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2年无政府性基金预算拨款支出。</w:t>
      </w:r>
      <w:bookmarkStart w:id="48" w:name="_Toc15396611"/>
      <w:bookmarkStart w:id="49" w:name="_Toc15377219"/>
    </w:p>
    <w:p>
      <w:pPr>
        <w:pStyle w:val="5"/>
        <w:spacing w:before="0" w:after="0" w:line="560" w:lineRule="exact"/>
        <w:ind w:firstLine="640" w:firstLineChars="200"/>
        <w:rPr>
          <w:rStyle w:val="20"/>
          <w:rFonts w:ascii="黑体" w:eastAsia="黑体" w:cs="Times New Roman"/>
          <w:b w:val="0"/>
          <w:bCs w:val="0"/>
        </w:rPr>
      </w:pPr>
      <w:r>
        <w:rPr>
          <w:rStyle w:val="20"/>
          <w:rFonts w:hint="eastAsia" w:ascii="黑体" w:eastAsia="黑体" w:cs="黑体"/>
          <w:b w:val="0"/>
          <w:bCs w:val="0"/>
        </w:rPr>
        <w:t>九、国有资本经营预算支出决算情况说明</w:t>
      </w:r>
      <w:bookmarkEnd w:id="48"/>
      <w:bookmarkEnd w:id="49"/>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2年无国有资本经营预算拨款支出。</w:t>
      </w:r>
    </w:p>
    <w:p>
      <w:pPr>
        <w:pStyle w:val="5"/>
        <w:spacing w:before="0" w:after="0" w:line="560" w:lineRule="exact"/>
        <w:ind w:firstLine="643" w:firstLineChars="200"/>
        <w:rPr>
          <w:rStyle w:val="20"/>
          <w:rFonts w:ascii="黑体" w:eastAsia="黑体" w:cs="黑体"/>
          <w:b/>
          <w:bCs/>
        </w:rPr>
      </w:pPr>
      <w:r>
        <w:rPr>
          <w:rStyle w:val="20"/>
          <w:rFonts w:hint="eastAsia" w:ascii="黑体" w:eastAsia="黑体" w:cs="黑体"/>
          <w:b/>
          <w:bCs/>
        </w:rPr>
        <w:t>十、其他重要事项的情况说明</w:t>
      </w:r>
    </w:p>
    <w:p>
      <w:pPr>
        <w:spacing w:line="560" w:lineRule="exact"/>
        <w:ind w:firstLine="643"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rPr>
        <w:t>2年，我校机关运行经费支出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560" w:lineRule="exact"/>
        <w:ind w:firstLine="643"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3"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autoSpaceDE w:val="0"/>
        <w:autoSpaceDN w:val="0"/>
        <w:adjustRightInd w:val="0"/>
        <w:spacing w:line="560" w:lineRule="exact"/>
        <w:ind w:left="0" w:firstLine="643" w:firstLineChars="200"/>
        <w:jc w:val="left"/>
        <w:outlineLvl w:val="2"/>
        <w:rPr>
          <w:rFonts w:eastAsia="仿宋"/>
          <w:lang w:val="en-US" w:eastAsia="zh-CN"/>
        </w:rPr>
      </w:pPr>
      <w:r>
        <w:rPr>
          <w:rFonts w:hint="eastAsia" w:ascii="仿宋" w:eastAsia="仿宋"/>
          <w:b/>
          <w:color w:val="000000"/>
          <w:sz w:val="32"/>
          <w:szCs w:val="32"/>
          <w:lang w:eastAsia="zh-CN"/>
        </w:rPr>
        <w:t>（四）</w:t>
      </w:r>
      <w:r>
        <w:rPr>
          <w:rFonts w:hint="eastAsia" w:ascii="仿宋" w:eastAsia="仿宋"/>
          <w:b/>
          <w:color w:val="000000"/>
          <w:sz w:val="32"/>
          <w:szCs w:val="32"/>
        </w:rPr>
        <w:t>预算绩效管理情况</w:t>
      </w:r>
    </w:p>
    <w:p>
      <w:pPr>
        <w:widowControl/>
        <w:spacing w:line="560" w:lineRule="exact"/>
        <w:ind w:firstLine="643" w:firstLineChars="200"/>
        <w:jc w:val="left"/>
      </w:pPr>
      <w:r>
        <w:rPr>
          <w:rFonts w:hint="eastAsia" w:ascii="仿宋" w:eastAsia="仿宋"/>
          <w:b/>
          <w:color w:val="000000"/>
          <w:sz w:val="32"/>
          <w:szCs w:val="32"/>
          <w:lang w:val="en-US" w:eastAsia="zh-CN"/>
        </w:rPr>
        <w:t xml:space="preserve"> </w:t>
      </w: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年部门整体支出绩效评价情况开展自评，</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val="en-US" w:eastAsia="zh-CN"/>
        </w:rPr>
        <w:t>2</w:t>
      </w:r>
      <w:r>
        <w:rPr>
          <w:rFonts w:hint="eastAsia" w:ascii="仿宋_GB2312" w:eastAsia="仿宋_GB2312" w:cs="仿宋_GB2312"/>
          <w:color w:val="000000"/>
          <w:kern w:val="0"/>
          <w:sz w:val="32"/>
          <w:szCs w:val="32"/>
        </w:rPr>
        <w:t>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firstLine="643" w:firstLineChars="200"/>
        <w:outlineLvl w:val="1"/>
        <w:rPr>
          <w:rFonts w:hint="eastAsia" w:ascii="仿宋_GB2312" w:hAnsi="仿宋_GB2312" w:eastAsia="楷体" w:cs="仿宋_GB2312"/>
          <w:sz w:val="32"/>
          <w:szCs w:val="32"/>
          <w:lang w:eastAsia="zh-CN"/>
        </w:rPr>
      </w:pPr>
      <w:bookmarkStart w:id="50" w:name="_Toc15377221"/>
      <w:bookmarkStart w:id="51" w:name="_Toc15396612"/>
      <w:r>
        <w:rPr>
          <w:rFonts w:hint="eastAsia" w:ascii="楷体" w:eastAsia="楷体" w:cs="楷体"/>
          <w:b/>
          <w:bCs/>
          <w:sz w:val="32"/>
          <w:szCs w:val="32"/>
          <w:lang w:val="en-US" w:eastAsia="zh-CN"/>
        </w:rPr>
        <w:t xml:space="preserve"> </w:t>
      </w:r>
      <w:r>
        <w:rPr>
          <w:rFonts w:hint="eastAsia" w:ascii="仿宋_GB2312" w:eastAsia="仿宋_GB2312" w:cs="仿宋_GB2312"/>
          <w:color w:val="000000"/>
          <w:kern w:val="0"/>
          <w:sz w:val="32"/>
          <w:szCs w:val="32"/>
          <w:lang w:val="en-US" w:eastAsia="zh-CN"/>
        </w:rPr>
        <w:t xml:space="preserve"> </w:t>
      </w:r>
    </w:p>
    <w:bookmarkEnd w:id="50"/>
    <w:bookmarkEnd w:id="51"/>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autoSpaceDE w:val="0"/>
        <w:autoSpaceDN w:val="0"/>
        <w:adjustRightInd w:val="0"/>
        <w:spacing w:line="560" w:lineRule="exact"/>
        <w:jc w:val="left"/>
        <w:outlineLvl w:val="2"/>
        <w:rPr>
          <w:rFonts w:eastAsia="仿宋"/>
          <w:lang w:val="en-US" w:eastAsia="zh-CN"/>
        </w:rPr>
      </w:pPr>
    </w:p>
    <w:p>
      <w:pPr>
        <w:widowControl/>
        <w:spacing w:line="560" w:lineRule="exact"/>
        <w:jc w:val="center"/>
        <w:rPr>
          <w:rFonts w:hint="eastAsia" w:ascii="方正小标宋简体" w:eastAsia="方正小标宋简体" w:cs="方正小标宋简体"/>
          <w:color w:val="000000"/>
          <w:sz w:val="44"/>
          <w:szCs w:val="44"/>
        </w:rPr>
      </w:pPr>
      <w:bookmarkStart w:id="52" w:name="_Toc15396613"/>
      <w:bookmarkStart w:id="53" w:name="_Toc15377225"/>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autoSpaceDE w:val="0"/>
        <w:autoSpaceDN w:val="0"/>
        <w:adjustRightInd w:val="0"/>
        <w:spacing w:line="560" w:lineRule="exact"/>
        <w:jc w:val="left"/>
        <w:outlineLvl w:val="2"/>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Style w:val="19"/>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19"/>
          <w:rFonts w:hint="eastAsia" w:ascii="方正小标宋简体" w:eastAsia="方正小标宋简体" w:cs="方正小标宋简体"/>
          <w:b w:val="0"/>
          <w:bCs w:val="0"/>
        </w:rPr>
        <w:t>词解释</w:t>
      </w:r>
      <w:bookmarkEnd w:id="52"/>
      <w:bookmarkEnd w:id="53"/>
    </w:p>
    <w:p>
      <w:pPr>
        <w:widowControl/>
        <w:spacing w:line="560" w:lineRule="exact"/>
        <w:jc w:val="center"/>
        <w:rPr>
          <w:rStyle w:val="19"/>
          <w:rFonts w:ascii="方正小标宋简体" w:eastAsia="方正小标宋简体"/>
          <w:b w:val="0"/>
          <w:bCs w:val="0"/>
        </w:rPr>
      </w:pPr>
    </w:p>
    <w:p>
      <w:pPr>
        <w:pStyle w:val="21"/>
        <w:spacing w:line="560" w:lineRule="exact"/>
        <w:ind w:firstLine="640" w:firstLineChars="200"/>
        <w:rPr>
          <w:rFonts w:ascii="仿宋_GB2312" w:eastAsia="仿宋_GB2312" w:cs="仿宋_GB2312"/>
          <w:sz w:val="32"/>
          <w:szCs w:val="32"/>
        </w:rPr>
      </w:pPr>
      <w:bookmarkStart w:id="54"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bookmarkEnd w:id="54"/>
    <w:p>
      <w:pPr>
        <w:spacing w:line="560" w:lineRule="exact"/>
        <w:jc w:val="center"/>
        <w:outlineLvl w:val="0"/>
        <w:rPr>
          <w:rFonts w:hint="eastAsia" w:ascii="方正小标宋简体" w:eastAsia="方正小标宋简体" w:cs="方正小标宋简体"/>
          <w:sz w:val="44"/>
          <w:szCs w:val="44"/>
        </w:rPr>
      </w:pPr>
      <w:bookmarkStart w:id="55" w:name="_Toc79163885"/>
      <w:bookmarkStart w:id="56" w:name="_Toc79163635"/>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Style w:val="19"/>
          <w:rFonts w:hint="eastAsia" w:ascii="方正小标宋简体" w:eastAsia="方正小标宋简体" w:cs="方正小标宋简体"/>
          <w:b w:val="0"/>
          <w:bCs w:val="0"/>
        </w:rPr>
      </w:pPr>
      <w:r>
        <w:rPr>
          <w:rFonts w:hint="eastAsia" w:ascii="方正小标宋简体" w:eastAsia="方正小标宋简体" w:cs="方正小标宋简体"/>
          <w:sz w:val="44"/>
          <w:szCs w:val="44"/>
        </w:rPr>
        <w:t>第四部分</w:t>
      </w:r>
      <w:r>
        <w:rPr>
          <w:rFonts w:hint="eastAsia" w:ascii="方正小标宋简体" w:eastAsia="方正小标宋简体" w:cs="方正小标宋简体"/>
          <w:sz w:val="44"/>
          <w:szCs w:val="44"/>
          <w:lang w:val="en-US" w:eastAsia="zh-CN"/>
        </w:rPr>
        <w:t xml:space="preserve">  </w:t>
      </w:r>
      <w:r>
        <w:rPr>
          <w:rStyle w:val="19"/>
          <w:rFonts w:hint="eastAsia" w:ascii="方正小标宋简体" w:eastAsia="方正小标宋简体" w:cs="方正小标宋简体"/>
          <w:b w:val="0"/>
          <w:bCs w:val="0"/>
        </w:rPr>
        <w:t>附件</w:t>
      </w:r>
      <w:bookmarkStart w:id="57" w:name="_Toc15396615"/>
    </w:p>
    <w:p>
      <w:pPr>
        <w:spacing w:line="560" w:lineRule="exact"/>
        <w:jc w:val="center"/>
        <w:outlineLvl w:val="0"/>
        <w:rPr>
          <w:rStyle w:val="19"/>
          <w:rFonts w:ascii="方正小标宋简体" w:eastAsia="方正小标宋简体" w:cs="方正小标宋简体"/>
          <w:b w:val="0"/>
          <w:bCs w:val="0"/>
        </w:rPr>
      </w:pPr>
    </w:p>
    <w:bookmarkEnd w:id="57"/>
    <w:p>
      <w:pPr>
        <w:spacing w:line="560" w:lineRule="exact"/>
        <w:outlineLvl w:val="0"/>
        <w:rPr>
          <w:rStyle w:val="19"/>
          <w:rFonts w:ascii="黑体" w:eastAsia="黑体" w:cs="黑体"/>
          <w:b w:val="0"/>
          <w:bCs w:val="0"/>
          <w:sz w:val="32"/>
          <w:szCs w:val="32"/>
        </w:rPr>
      </w:pPr>
      <w:r>
        <w:rPr>
          <w:rStyle w:val="19"/>
          <w:rFonts w:hint="eastAsia" w:ascii="黑体" w:eastAsia="黑体" w:cs="黑体"/>
          <w:b w:val="0"/>
          <w:bCs w:val="0"/>
          <w:sz w:val="32"/>
          <w:szCs w:val="32"/>
        </w:rPr>
        <w:t>附件1</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2</w:t>
      </w:r>
      <w:r>
        <w:rPr>
          <w:rFonts w:ascii="方正小标宋简体" w:eastAsia="方正小标宋简体" w:cs="方正小标宋简体"/>
          <w:sz w:val="44"/>
          <w:szCs w:val="44"/>
        </w:rPr>
        <w:t>02</w:t>
      </w:r>
      <w:r>
        <w:rPr>
          <w:rFonts w:hint="eastAsia" w:ascii="方正小标宋简体" w:eastAsia="方正小标宋简体" w:cs="方正小标宋简体"/>
          <w:sz w:val="44"/>
          <w:szCs w:val="44"/>
          <w:lang w:val="en-US" w:eastAsia="zh-CN"/>
        </w:rPr>
        <w:t>2</w:t>
      </w:r>
      <w:r>
        <w:rPr>
          <w:rFonts w:hint="eastAsia" w:ascii="方正小标宋简体" w:eastAsia="方正小标宋简体" w:cs="方正小标宋简体"/>
          <w:sz w:val="44"/>
          <w:szCs w:val="44"/>
        </w:rPr>
        <w:t>年茂县县委党校（事业）整体支出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630" w:firstLineChars="196"/>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widowControl/>
        <w:spacing w:line="560" w:lineRule="exact"/>
        <w:ind w:firstLine="480" w:firstLineChars="150"/>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636" w:firstLineChars="199"/>
        <w:contextualSpacing/>
        <w:outlineLvl w:val="0"/>
        <w:rPr>
          <w:rFonts w:hint="eastAsia" w:ascii="楷体_GB2312" w:eastAsia="楷体_GB2312"/>
          <w:b/>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仿宋_GB2312" w:eastAsia="仿宋_GB2312"/>
          <w:sz w:val="32"/>
          <w:szCs w:val="32"/>
          <w:shd w:val="clear" w:color="auto" w:fill="FFFFFF"/>
        </w:rPr>
        <w:t>茂县党校核定事业编制5名。实有在职职工5名。</w:t>
      </w:r>
    </w:p>
    <w:p>
      <w:pPr>
        <w:widowControl/>
        <w:spacing w:line="560" w:lineRule="exact"/>
        <w:ind w:firstLine="472" w:firstLineChars="147"/>
        <w:contextualSpacing/>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二、部门财政资金收支情况</w:t>
      </w:r>
    </w:p>
    <w:p>
      <w:pPr>
        <w:widowControl/>
        <w:spacing w:line="560" w:lineRule="exact"/>
        <w:ind w:firstLine="313" w:firstLineChars="98"/>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480" w:firstLineChars="150"/>
        <w:contextualSpacing/>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年部门（单位）决算总收入</w:t>
      </w:r>
      <w:r>
        <w:rPr>
          <w:rFonts w:hint="eastAsia" w:ascii="仿宋_GB2312" w:eastAsia="仿宋_GB2312"/>
          <w:sz w:val="32"/>
          <w:szCs w:val="32"/>
          <w:shd w:val="clear" w:color="auto" w:fill="FFFFFF"/>
          <w:lang w:val="en-US" w:eastAsia="zh-CN"/>
        </w:rPr>
        <w:t>112.85</w:t>
      </w:r>
      <w:r>
        <w:rPr>
          <w:rFonts w:hint="eastAsia" w:ascii="仿宋_GB2312" w:eastAsia="仿宋_GB2312"/>
          <w:sz w:val="32"/>
          <w:szCs w:val="32"/>
          <w:shd w:val="clear" w:color="auto" w:fill="FFFFFF"/>
        </w:rPr>
        <w:t>万元。收入决算总额较202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年增加</w:t>
      </w:r>
      <w:r>
        <w:rPr>
          <w:rFonts w:hint="eastAsia" w:ascii="仿宋_GB2312" w:eastAsia="仿宋_GB2312"/>
          <w:sz w:val="32"/>
          <w:szCs w:val="32"/>
          <w:shd w:val="clear" w:color="auto" w:fill="FFFFFF"/>
          <w:lang w:val="en-US" w:eastAsia="zh-CN"/>
        </w:rPr>
        <w:t>2.92</w:t>
      </w:r>
      <w:r>
        <w:rPr>
          <w:rFonts w:hint="eastAsia" w:ascii="仿宋_GB2312" w:eastAsia="仿宋_GB2312"/>
          <w:sz w:val="32"/>
          <w:szCs w:val="32"/>
          <w:shd w:val="clear" w:color="auto" w:fill="FFFFFF"/>
        </w:rPr>
        <w:t>万元，</w:t>
      </w:r>
      <w:r>
        <w:rPr>
          <w:rFonts w:hint="eastAsia" w:ascii="仿宋_GB2312" w:eastAsia="仿宋_GB2312" w:cs="仿宋_GB2312"/>
          <w:sz w:val="32"/>
          <w:szCs w:val="32"/>
        </w:rPr>
        <w:t>主要原因是</w:t>
      </w:r>
      <w:r>
        <w:rPr>
          <w:rFonts w:hint="eastAsia" w:ascii="仿宋_GB2312" w:eastAsia="仿宋_GB2312"/>
          <w:sz w:val="32"/>
          <w:szCs w:val="32"/>
        </w:rPr>
        <w:t>单位职工工资标准上调，相应的单位缴纳的机关事业单位养老保险、职业年金、住房公积金等缴费基数增长</w:t>
      </w:r>
      <w:r>
        <w:rPr>
          <w:rFonts w:hint="eastAsia" w:ascii="仿宋_GB2312" w:eastAsia="仿宋_GB2312"/>
          <w:sz w:val="32"/>
          <w:szCs w:val="32"/>
          <w:shd w:val="clear" w:color="auto" w:fill="FFFFFF"/>
        </w:rPr>
        <w:t>。</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(二）部门财政资金支出情况</w:t>
      </w:r>
    </w:p>
    <w:p>
      <w:pPr>
        <w:widowControl/>
        <w:spacing w:line="560" w:lineRule="exact"/>
        <w:ind w:firstLine="480" w:firstLineChars="15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年本年支出合计</w:t>
      </w:r>
      <w:r>
        <w:rPr>
          <w:rFonts w:hint="eastAsia" w:ascii="仿宋_GB2312" w:eastAsia="仿宋_GB2312"/>
          <w:sz w:val="32"/>
          <w:szCs w:val="32"/>
          <w:shd w:val="clear" w:color="auto" w:fill="FFFFFF"/>
          <w:lang w:val="en-US" w:eastAsia="zh-CN"/>
        </w:rPr>
        <w:t>112.85</w:t>
      </w:r>
      <w:r>
        <w:rPr>
          <w:rFonts w:hint="eastAsia" w:ascii="仿宋_GB2312" w:eastAsia="仿宋_GB2312"/>
          <w:sz w:val="32"/>
          <w:szCs w:val="32"/>
          <w:shd w:val="clear" w:color="auto" w:fill="FFFFFF"/>
        </w:rPr>
        <w:t>万元，其中：教育支出85.</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万元，社会保障和就业支出</w:t>
      </w:r>
      <w:r>
        <w:rPr>
          <w:rFonts w:hint="eastAsia" w:ascii="仿宋_GB2312" w:eastAsia="仿宋_GB2312"/>
          <w:sz w:val="32"/>
          <w:szCs w:val="32"/>
          <w:shd w:val="clear" w:color="auto" w:fill="FFFFFF"/>
          <w:lang w:val="en-US" w:eastAsia="zh-CN"/>
        </w:rPr>
        <w:t>14.4</w:t>
      </w:r>
      <w:r>
        <w:rPr>
          <w:rFonts w:hint="eastAsia" w:ascii="仿宋_GB2312" w:eastAsia="仿宋_GB2312"/>
          <w:sz w:val="32"/>
          <w:szCs w:val="32"/>
          <w:shd w:val="clear" w:color="auto" w:fill="FFFFFF"/>
        </w:rPr>
        <w:t>万元，卫生健康支出5.</w:t>
      </w:r>
      <w:r>
        <w:rPr>
          <w:rFonts w:hint="eastAsia" w:ascii="仿宋_GB2312" w:eastAsia="仿宋_GB2312"/>
          <w:sz w:val="32"/>
          <w:szCs w:val="32"/>
          <w:shd w:val="clear" w:color="auto" w:fill="FFFFFF"/>
          <w:lang w:val="en-US" w:eastAsia="zh-CN"/>
        </w:rPr>
        <w:t>34</w:t>
      </w:r>
      <w:r>
        <w:rPr>
          <w:rFonts w:hint="eastAsia" w:ascii="仿宋_GB2312" w:eastAsia="仿宋_GB2312"/>
          <w:sz w:val="32"/>
          <w:szCs w:val="32"/>
          <w:shd w:val="clear" w:color="auto" w:fill="FFFFFF"/>
        </w:rPr>
        <w:t>万元，住房保障支出7.</w:t>
      </w:r>
      <w:r>
        <w:rPr>
          <w:rFonts w:hint="eastAsia" w:ascii="仿宋_GB2312" w:eastAsia="仿宋_GB2312"/>
          <w:sz w:val="32"/>
          <w:szCs w:val="32"/>
          <w:shd w:val="clear" w:color="auto" w:fill="FFFFFF"/>
          <w:lang w:val="en-US" w:eastAsia="zh-CN"/>
        </w:rPr>
        <w:t>81</w:t>
      </w:r>
      <w:r>
        <w:rPr>
          <w:rFonts w:hint="eastAsia" w:ascii="仿宋_GB2312" w:eastAsia="仿宋_GB2312"/>
          <w:sz w:val="32"/>
          <w:szCs w:val="32"/>
          <w:shd w:val="clear" w:color="auto" w:fill="FFFFFF"/>
        </w:rPr>
        <w:t>万元。</w:t>
      </w:r>
    </w:p>
    <w:p>
      <w:pPr>
        <w:widowControl/>
        <w:spacing w:line="560" w:lineRule="exact"/>
        <w:ind w:firstLine="630"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ab/>
      </w:r>
      <w:r>
        <w:rPr>
          <w:rFonts w:hint="eastAsia" w:ascii="仿宋_GB2312" w:eastAsia="仿宋_GB2312"/>
          <w:sz w:val="32"/>
          <w:szCs w:val="32"/>
          <w:shd w:val="clear" w:color="auto" w:fill="FFFFFF"/>
        </w:rPr>
        <w:t xml:space="preserve"> 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ascii="仿宋_GB2312" w:hAnsi="仿宋_GB2312"/>
          <w:szCs w:val="32"/>
        </w:rPr>
      </w:pPr>
      <w:r>
        <w:rPr>
          <w:rFonts w:ascii="Times New Roman" w:hAnsi="Times New Roman" w:eastAsia="仿宋_GB2312"/>
          <w:b/>
          <w:bCs/>
          <w:sz w:val="32"/>
          <w:szCs w:val="32"/>
        </w:rPr>
        <w:t>一是扎实完成干部培训工作。</w:t>
      </w:r>
      <w:r>
        <w:rPr>
          <w:rFonts w:ascii="Times New Roman" w:hAnsi="Times New Roman" w:eastAsia="仿宋_GB2312"/>
          <w:sz w:val="32"/>
          <w:szCs w:val="32"/>
        </w:rPr>
        <w:t>按照《办学规范》，根据培训计划举办各类培训班。在课程设置上，把习近平新时代中国特色社会主义思想作为中心内容和首要任务，突出理论教育和党性教育。为提升教学效果，创新培训方式方法，采取“1+N”运行模式，在全县打造1个教学基地（茂县坪头乡村振兴培训中心），4个现场教学点（中国羌城、中国羌族博物馆、叠溪新磨新村、南新镇“两山”理论），形成了以县委党校为主体、教学基地为补充、现场教学点为延伸的多层次、多渠道、立体式、宽领域、全方位的干部教育培训工作格局。在此基础上，今年加强与邻县党校之间的交流，与黑水党校、松潘党校密切合作，有效地整合利用红色教育资源和党性教育资源，实现资源共享，优势互补，共同发展。今年以来，共举办主体班12期，培训党员干部988人次；其它培训班6期，培训学员616人次；州委组织部委托培训2期，培训学员200人次；承接长征干部学院培训班的现场教学11期，培训学员448人次。</w:t>
      </w:r>
      <w:r>
        <w:rPr>
          <w:rFonts w:ascii="Times New Roman" w:hAnsi="Times New Roman" w:eastAsia="仿宋_GB2312"/>
          <w:b/>
          <w:bCs/>
          <w:sz w:val="32"/>
          <w:szCs w:val="32"/>
        </w:rPr>
        <w:t>二是出色完成宣讲任务。</w:t>
      </w:r>
      <w:r>
        <w:rPr>
          <w:rFonts w:ascii="Times New Roman" w:hAnsi="Times New Roman" w:eastAsia="仿宋_GB2312"/>
          <w:sz w:val="32"/>
          <w:szCs w:val="32"/>
        </w:rPr>
        <w:t>以基层理论宣讲志愿服务活动为载体，积极开展党课进机关、进学校、进企业、进社区、进农村的“五进”活动，截至目前，党课“五进”30场次，受众1560余人，助推党的理论在基层的普及。选派骨干力量积极参加州委、县委理论宣讲团，到汶川、茂县各乡镇对党的二十大精神、习近平总书记来川视察重要讲话精神以及省</w:t>
      </w:r>
      <w:r>
        <w:rPr>
          <w:rFonts w:hint="eastAsia" w:eastAsia="仿宋_GB2312"/>
          <w:sz w:val="32"/>
          <w:szCs w:val="32"/>
          <w:lang w:eastAsia="zh-CN"/>
        </w:rPr>
        <w:t>第</w:t>
      </w:r>
      <w:r>
        <w:rPr>
          <w:rFonts w:ascii="Times New Roman" w:hAnsi="Times New Roman" w:eastAsia="仿宋_GB2312"/>
          <w:sz w:val="32"/>
          <w:szCs w:val="32"/>
        </w:rPr>
        <w:t>十二次党代会精神进行宣讲。推动党的二十大精神、习近平新时代中国特色社会主义思想、习近平总书记来川视察重要讲话精神以及省</w:t>
      </w:r>
      <w:r>
        <w:rPr>
          <w:rFonts w:hint="eastAsia" w:eastAsia="仿宋_GB2312"/>
          <w:sz w:val="32"/>
          <w:szCs w:val="32"/>
          <w:lang w:eastAsia="zh-CN"/>
        </w:rPr>
        <w:t>第</w:t>
      </w:r>
      <w:r>
        <w:rPr>
          <w:rFonts w:ascii="Times New Roman" w:hAnsi="Times New Roman" w:eastAsia="仿宋_GB2312"/>
          <w:sz w:val="32"/>
          <w:szCs w:val="32"/>
        </w:rPr>
        <w:t>十二次党代会精神深入人心，落地生根。</w:t>
      </w:r>
      <w:r>
        <w:rPr>
          <w:rFonts w:ascii="Times New Roman" w:hAnsi="Times New Roman" w:eastAsia="仿宋_GB2312"/>
          <w:b/>
          <w:bCs/>
          <w:sz w:val="32"/>
          <w:szCs w:val="32"/>
        </w:rPr>
        <w:t>三是与部门合作完成课题调研任务。</w:t>
      </w:r>
      <w:r>
        <w:rPr>
          <w:rFonts w:ascii="Times New Roman" w:hAnsi="Times New Roman" w:eastAsia="仿宋_GB2312"/>
          <w:sz w:val="32"/>
          <w:szCs w:val="32"/>
        </w:rPr>
        <w:t>为了落实县委第十三次党代会目标任务，推进“六个茂县”建设，县委党校紧密围绕县委中心工作，聚焦当前发展中的热点难点问题，以求真务实的态度，主动与部门合作开展课题调研。省级课题《红军长征在茂县》长征精神数据库建设工作项目已结项；《关于茂县基层治理的实证研究》《做好两项改革后半篇文章，健全完善应急体系》《茂县使用红色资源开展思政教育探析》课题完成结项申报工作；与县政协合作的《关于农村生活垃圾和污水处理的考察报告》《关于茂县餐炊具集中消毒企业管理的调研报告》，与县卫生健康局、县疾控中心合作的《关于茂县疾病预防控制体系建设情况的调研报告》形成咨政稿，为县委、县政府提供决策参考。除此外，大力鼓励教师积极写作，争取内部刊物和公开刊物发表文章，提升教师教研水平。</w:t>
      </w:r>
      <w:r>
        <w:rPr>
          <w:rFonts w:ascii="Times New Roman" w:hAnsi="Times New Roman" w:eastAsia="仿宋_GB2312"/>
          <w:b/>
          <w:bCs/>
          <w:sz w:val="32"/>
          <w:szCs w:val="32"/>
        </w:rPr>
        <w:t>四是持续做好学历教育任务。</w:t>
      </w:r>
      <w:r>
        <w:rPr>
          <w:rFonts w:ascii="Times New Roman" w:hAnsi="Times New Roman" w:eastAsia="仿宋_GB2312"/>
          <w:sz w:val="32"/>
          <w:szCs w:val="32"/>
        </w:rPr>
        <w:t>借助阿坝开放大学平台，持续推动干部能力素质和学历“双提升”工作。对茂县55名村（社区）干部进行能力素质和学历“双提升”培训，全面提升村社区干部的政治素养和工作能力。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从整体情况来看，我校根据年初工作规划和重点性工作，围绕我县中心工作，积极履职，强化管理，</w:t>
      </w:r>
      <w:r>
        <w:rPr>
          <w:rFonts w:hint="eastAsia" w:ascii="Times New Roman" w:hAnsi="Times New Roman" w:eastAsia="仿宋_GB2312" w:cs="Times New Roman"/>
          <w:sz w:val="32"/>
          <w:szCs w:val="32"/>
          <w:lang w:eastAsia="zh-CN"/>
        </w:rPr>
        <w:t>充分</w:t>
      </w:r>
      <w:r>
        <w:rPr>
          <w:rFonts w:hint="eastAsia" w:ascii="Times New Roman" w:hAnsi="Times New Roman" w:eastAsia="仿宋_GB2312" w:cs="Times New Roman"/>
          <w:sz w:val="32"/>
          <w:szCs w:val="32"/>
        </w:rPr>
        <w:t>发挥了干部教育培训的主渠道作用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较好的完成了年度工作目标。履职效益高，社会公众满意度评价高。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通过加强预算收支管理，不断建立健全内部管理制度，梳理内部管理流程，部门整体支出管理情况得到提升</w:t>
      </w:r>
    </w:p>
    <w:p>
      <w:pPr>
        <w:widowControl/>
        <w:spacing w:line="560" w:lineRule="exact"/>
        <w:ind w:firstLine="630"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年我校部门整体支出绩效自评</w:t>
      </w:r>
      <w:r>
        <w:rPr>
          <w:rFonts w:hint="eastAsia" w:ascii="Times New Roman" w:hAnsi="Times New Roman" w:eastAsia="仿宋_GB2312" w:cs="Times New Roman"/>
          <w:sz w:val="32"/>
          <w:szCs w:val="32"/>
          <w:lang w:eastAsia="zh-CN"/>
        </w:rPr>
        <w:t>得分</w:t>
      </w:r>
      <w:r>
        <w:rPr>
          <w:rFonts w:hint="eastAsia" w:ascii="Times New Roman" w:hAnsi="Times New Roman" w:eastAsia="仿宋_GB2312" w:cs="Times New Roman"/>
          <w:sz w:val="32"/>
          <w:szCs w:val="32"/>
          <w:lang w:val="en-US" w:eastAsia="zh-CN"/>
        </w:rPr>
        <w:t>97分</w:t>
      </w:r>
      <w:r>
        <w:rPr>
          <w:rFonts w:hint="eastAsia" w:ascii="Times New Roman" w:hAnsi="Times New Roman" w:eastAsia="仿宋_GB2312" w:cs="Times New Roman"/>
          <w:sz w:val="32"/>
          <w:szCs w:val="32"/>
        </w:rPr>
        <w:t>，绩效管理情况较为理想，达到了年初设定的各项绩效目标。所有资金使用严格按审批程序办理，会计核算结果真实、准确，各项支出严格按照各项制度执行。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一是预算编制工作有待细化；二是制度建设和规范化管理有待加强；三是信息化管理水平有待提高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进一步健全和完善财务管理制度，严格执行预算法，及财务管理各项规定，加强部门整体支出绩效管理，树立正确的绩效观，提升部门履职能力，为实现党校培训任务又好又快发展做出应有的贡献。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p>
    <w:bookmarkEnd w:id="55"/>
    <w:bookmarkEnd w:id="56"/>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p>
    <w:p>
      <w:pPr>
        <w:spacing w:line="560" w:lineRule="exact"/>
        <w:jc w:val="center"/>
        <w:outlineLvl w:val="0"/>
        <w:rPr>
          <w:rFonts w:ascii="方正小标宋简体" w:eastAsia="方正小标宋简体" w:cs="方正小标宋简体"/>
          <w:bCs/>
          <w:sz w:val="44"/>
          <w:szCs w:val="44"/>
        </w:rPr>
      </w:pPr>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分附表</w:t>
      </w:r>
      <w:bookmarkStart w:id="58" w:name="_Toc15396619"/>
      <w:bookmarkStart w:id="59" w:name="_Toc79163886"/>
      <w:bookmarkStart w:id="60" w:name="_Toc79163636"/>
    </w:p>
    <w:p>
      <w:pPr>
        <w:spacing w:line="560" w:lineRule="exact"/>
        <w:jc w:val="center"/>
        <w:outlineLvl w:val="0"/>
        <w:rPr>
          <w:rFonts w:ascii="方正小标宋简体" w:eastAsia="方正小标宋简体" w:cs="方正小标宋简体"/>
          <w:bCs/>
          <w:sz w:val="44"/>
          <w:szCs w:val="44"/>
        </w:rPr>
      </w:pPr>
    </w:p>
    <w:p>
      <w:pPr>
        <w:numPr>
          <w:ilvl w:val="0"/>
          <w:numId w:val="5"/>
        </w:numPr>
        <w:spacing w:line="560" w:lineRule="exact"/>
        <w:outlineLvl w:val="0"/>
        <w:rPr>
          <w:rStyle w:val="20"/>
          <w:rFonts w:ascii="仿宋" w:eastAsia="仿宋"/>
          <w:b w:val="0"/>
          <w:bCs w:val="0"/>
        </w:rPr>
      </w:pPr>
      <w:r>
        <w:rPr>
          <w:rFonts w:hint="eastAsia" w:ascii="仿宋" w:eastAsia="仿宋"/>
          <w:color w:val="000000"/>
          <w:sz w:val="32"/>
          <w:szCs w:val="32"/>
        </w:rPr>
        <w:t>收</w:t>
      </w:r>
      <w:r>
        <w:rPr>
          <w:rStyle w:val="20"/>
          <w:rFonts w:hint="eastAsia" w:ascii="仿宋" w:eastAsia="仿宋"/>
          <w:b w:val="0"/>
          <w:bCs w:val="0"/>
        </w:rPr>
        <w:t>入支出决算总表</w:t>
      </w:r>
      <w:bookmarkEnd w:id="58"/>
      <w:bookmarkEnd w:id="59"/>
      <w:bookmarkEnd w:id="60"/>
      <w:bookmarkStart w:id="61" w:name="_Toc79163887"/>
      <w:bookmarkStart w:id="62" w:name="_Toc15396620"/>
      <w:bookmarkStart w:id="63" w:name="_Toc79163637"/>
    </w:p>
    <w:p>
      <w:pPr>
        <w:spacing w:line="560" w:lineRule="exact"/>
        <w:outlineLvl w:val="0"/>
        <w:rPr>
          <w:rFonts w:ascii="仿宋" w:eastAsia="仿宋" w:cs="Cambria"/>
          <w:bCs/>
          <w:color w:val="000000"/>
          <w:sz w:val="32"/>
          <w:szCs w:val="32"/>
        </w:rPr>
      </w:pPr>
      <w:r>
        <w:rPr>
          <w:rFonts w:hint="eastAsia" w:ascii="仿宋" w:eastAsia="仿宋"/>
          <w:color w:val="000000"/>
          <w:sz w:val="32"/>
          <w:szCs w:val="32"/>
        </w:rPr>
        <w:t>二、收</w:t>
      </w:r>
      <w:r>
        <w:rPr>
          <w:rFonts w:hint="eastAsia" w:ascii="仿宋" w:eastAsia="仿宋" w:cs="Cambria"/>
          <w:bCs/>
          <w:color w:val="000000"/>
          <w:sz w:val="32"/>
          <w:szCs w:val="32"/>
        </w:rPr>
        <w:t>入决算表</w:t>
      </w:r>
      <w:bookmarkEnd w:id="61"/>
      <w:bookmarkEnd w:id="62"/>
      <w:bookmarkEnd w:id="63"/>
    </w:p>
    <w:p>
      <w:pPr>
        <w:pStyle w:val="5"/>
        <w:spacing w:line="560" w:lineRule="exact"/>
        <w:rPr>
          <w:rFonts w:ascii="仿宋" w:eastAsia="仿宋"/>
          <w:color w:val="000000"/>
        </w:rPr>
      </w:pPr>
      <w:bookmarkStart w:id="64" w:name="_Toc79163638"/>
      <w:bookmarkStart w:id="65" w:name="_Toc15396621"/>
      <w:bookmarkStart w:id="66" w:name="_Toc79163888"/>
      <w:r>
        <w:rPr>
          <w:rStyle w:val="20"/>
          <w:rFonts w:hint="eastAsia" w:ascii="仿宋" w:eastAsia="仿宋"/>
          <w:b w:val="0"/>
          <w:bCs w:val="0"/>
        </w:rPr>
        <w:t>三、</w:t>
      </w:r>
      <w:r>
        <w:rPr>
          <w:rFonts w:hint="eastAsia" w:ascii="仿宋" w:eastAsia="仿宋"/>
          <w:b w:val="0"/>
          <w:color w:val="000000"/>
        </w:rPr>
        <w:t>支</w:t>
      </w:r>
      <w:r>
        <w:rPr>
          <w:rStyle w:val="20"/>
          <w:rFonts w:hint="eastAsia" w:ascii="仿宋" w:eastAsia="仿宋"/>
          <w:b w:val="0"/>
          <w:bCs w:val="0"/>
        </w:rPr>
        <w:t>出决算表</w:t>
      </w:r>
      <w:bookmarkEnd w:id="64"/>
      <w:bookmarkEnd w:id="65"/>
      <w:bookmarkEnd w:id="66"/>
    </w:p>
    <w:p>
      <w:pPr>
        <w:pStyle w:val="5"/>
        <w:spacing w:line="560" w:lineRule="exact"/>
        <w:rPr>
          <w:rFonts w:ascii="仿宋" w:eastAsia="仿宋"/>
          <w:b w:val="0"/>
          <w:color w:val="000000"/>
        </w:rPr>
      </w:pPr>
      <w:bookmarkStart w:id="67" w:name="_Toc79163639"/>
      <w:bookmarkStart w:id="68" w:name="_Toc15396622"/>
      <w:bookmarkStart w:id="69" w:name="_Toc79163889"/>
      <w:r>
        <w:rPr>
          <w:rStyle w:val="20"/>
          <w:rFonts w:hint="eastAsia" w:ascii="仿宋" w:eastAsia="仿宋"/>
          <w:b w:val="0"/>
          <w:bCs w:val="0"/>
        </w:rPr>
        <w:t>四、</w:t>
      </w:r>
      <w:r>
        <w:rPr>
          <w:rFonts w:hint="eastAsia" w:ascii="仿宋" w:eastAsia="仿宋"/>
          <w:b w:val="0"/>
          <w:color w:val="000000"/>
        </w:rPr>
        <w:t>财</w:t>
      </w:r>
      <w:r>
        <w:rPr>
          <w:rStyle w:val="20"/>
          <w:rFonts w:hint="eastAsia" w:ascii="仿宋" w:eastAsia="仿宋"/>
          <w:b w:val="0"/>
          <w:bCs w:val="0"/>
        </w:rPr>
        <w:t>政拨款收入支出决算总表</w:t>
      </w:r>
      <w:bookmarkEnd w:id="67"/>
      <w:bookmarkEnd w:id="68"/>
      <w:bookmarkEnd w:id="69"/>
    </w:p>
    <w:p>
      <w:pPr>
        <w:pStyle w:val="5"/>
        <w:spacing w:line="560" w:lineRule="exact"/>
        <w:rPr>
          <w:rStyle w:val="20"/>
          <w:rFonts w:ascii="仿宋" w:eastAsia="仿宋"/>
          <w:b w:val="0"/>
          <w:bCs w:val="0"/>
        </w:rPr>
      </w:pPr>
      <w:bookmarkStart w:id="70" w:name="_Toc79163890"/>
      <w:bookmarkStart w:id="71" w:name="_Toc79163640"/>
      <w:bookmarkStart w:id="72" w:name="_Toc15396623"/>
      <w:r>
        <w:rPr>
          <w:rStyle w:val="20"/>
          <w:rFonts w:hint="eastAsia" w:ascii="仿宋" w:eastAsia="仿宋"/>
          <w:b w:val="0"/>
          <w:bCs w:val="0"/>
        </w:rPr>
        <w:t>五、</w:t>
      </w:r>
      <w:r>
        <w:rPr>
          <w:rFonts w:hint="eastAsia" w:ascii="仿宋" w:eastAsia="仿宋"/>
          <w:b w:val="0"/>
          <w:color w:val="000000"/>
        </w:rPr>
        <w:t>财</w:t>
      </w:r>
      <w:r>
        <w:rPr>
          <w:rStyle w:val="20"/>
          <w:rFonts w:hint="eastAsia" w:ascii="仿宋" w:eastAsia="仿宋"/>
          <w:b w:val="0"/>
          <w:bCs w:val="0"/>
        </w:rPr>
        <w:t>政拨款支出决算明细表</w:t>
      </w:r>
      <w:bookmarkEnd w:id="70"/>
      <w:bookmarkEnd w:id="71"/>
      <w:bookmarkEnd w:id="72"/>
      <w:bookmarkStart w:id="73" w:name="_Toc15396624"/>
    </w:p>
    <w:p>
      <w:pPr>
        <w:pStyle w:val="5"/>
        <w:spacing w:line="560" w:lineRule="exact"/>
        <w:rPr>
          <w:rFonts w:ascii="仿宋" w:eastAsia="仿宋"/>
          <w:color w:val="000000"/>
        </w:rPr>
      </w:pPr>
      <w:bookmarkStart w:id="74" w:name="_Toc79163641"/>
      <w:bookmarkStart w:id="75" w:name="_Toc79163891"/>
      <w:r>
        <w:rPr>
          <w:rStyle w:val="20"/>
          <w:rFonts w:hint="eastAsia" w:ascii="仿宋" w:eastAsia="仿宋"/>
          <w:b w:val="0"/>
          <w:bCs w:val="0"/>
        </w:rPr>
        <w:t>六、</w:t>
      </w:r>
      <w:r>
        <w:rPr>
          <w:rFonts w:hint="eastAsia" w:ascii="仿宋" w:eastAsia="仿宋"/>
          <w:b w:val="0"/>
          <w:color w:val="000000"/>
        </w:rPr>
        <w:t>一</w:t>
      </w:r>
      <w:r>
        <w:rPr>
          <w:rStyle w:val="20"/>
          <w:rFonts w:hint="eastAsia" w:ascii="仿宋" w:eastAsia="仿宋"/>
          <w:b w:val="0"/>
          <w:bCs w:val="0"/>
        </w:rPr>
        <w:t>般公共预算财政拨款支出决算表</w:t>
      </w:r>
      <w:bookmarkEnd w:id="73"/>
      <w:bookmarkEnd w:id="74"/>
      <w:bookmarkEnd w:id="75"/>
    </w:p>
    <w:p>
      <w:pPr>
        <w:pStyle w:val="5"/>
        <w:spacing w:line="560" w:lineRule="exact"/>
        <w:rPr>
          <w:rFonts w:ascii="仿宋" w:eastAsia="仿宋"/>
          <w:color w:val="000000"/>
        </w:rPr>
      </w:pPr>
      <w:bookmarkStart w:id="76" w:name="_Toc15396625"/>
      <w:bookmarkStart w:id="77" w:name="_Toc79163892"/>
      <w:bookmarkStart w:id="78" w:name="_Toc79163642"/>
      <w:r>
        <w:rPr>
          <w:rStyle w:val="20"/>
          <w:rFonts w:hint="eastAsia" w:ascii="仿宋" w:eastAsia="仿宋"/>
          <w:b w:val="0"/>
          <w:bCs w:val="0"/>
        </w:rPr>
        <w:t>七、</w:t>
      </w:r>
      <w:r>
        <w:rPr>
          <w:rFonts w:hint="eastAsia" w:ascii="仿宋" w:eastAsia="仿宋"/>
          <w:b w:val="0"/>
          <w:color w:val="000000"/>
        </w:rPr>
        <w:t>一</w:t>
      </w:r>
      <w:r>
        <w:rPr>
          <w:rStyle w:val="20"/>
          <w:rFonts w:hint="eastAsia" w:ascii="仿宋" w:eastAsia="仿宋"/>
          <w:b w:val="0"/>
          <w:bCs w:val="0"/>
        </w:rPr>
        <w:t>般公共预算财政拨款支出决算明细表</w:t>
      </w:r>
      <w:bookmarkEnd w:id="76"/>
      <w:bookmarkEnd w:id="77"/>
      <w:bookmarkEnd w:id="78"/>
    </w:p>
    <w:p>
      <w:pPr>
        <w:pStyle w:val="5"/>
        <w:spacing w:line="560" w:lineRule="exact"/>
        <w:rPr>
          <w:rFonts w:ascii="仿宋" w:eastAsia="仿宋"/>
          <w:color w:val="000000"/>
        </w:rPr>
      </w:pPr>
      <w:bookmarkStart w:id="79" w:name="_Toc15396626"/>
      <w:bookmarkStart w:id="80" w:name="_Toc79163643"/>
      <w:bookmarkStart w:id="81" w:name="_Toc79163893"/>
      <w:r>
        <w:rPr>
          <w:rStyle w:val="20"/>
          <w:rFonts w:hint="eastAsia" w:ascii="仿宋" w:eastAsia="仿宋"/>
          <w:b w:val="0"/>
          <w:bCs w:val="0"/>
        </w:rPr>
        <w:t>八、</w:t>
      </w:r>
      <w:r>
        <w:rPr>
          <w:rFonts w:hint="eastAsia" w:ascii="仿宋" w:eastAsia="仿宋"/>
          <w:b w:val="0"/>
          <w:color w:val="000000"/>
        </w:rPr>
        <w:t>一</w:t>
      </w:r>
      <w:r>
        <w:rPr>
          <w:rStyle w:val="20"/>
          <w:rFonts w:hint="eastAsia" w:ascii="仿宋" w:eastAsia="仿宋"/>
          <w:b w:val="0"/>
          <w:bCs w:val="0"/>
        </w:rPr>
        <w:t>般公共预算财政拨款基本支出决算表</w:t>
      </w:r>
      <w:bookmarkEnd w:id="79"/>
      <w:bookmarkEnd w:id="80"/>
      <w:bookmarkEnd w:id="81"/>
    </w:p>
    <w:p>
      <w:pPr>
        <w:pStyle w:val="5"/>
        <w:spacing w:line="560" w:lineRule="exact"/>
        <w:rPr>
          <w:rFonts w:ascii="仿宋" w:eastAsia="仿宋"/>
          <w:color w:val="000000"/>
        </w:rPr>
      </w:pPr>
      <w:bookmarkStart w:id="82" w:name="_Toc79163644"/>
      <w:bookmarkStart w:id="83" w:name="_Toc15396627"/>
      <w:bookmarkStart w:id="84" w:name="_Toc79163894"/>
      <w:r>
        <w:rPr>
          <w:rStyle w:val="20"/>
          <w:rFonts w:hint="eastAsia" w:ascii="仿宋" w:eastAsia="仿宋"/>
          <w:b w:val="0"/>
          <w:bCs w:val="0"/>
        </w:rPr>
        <w:t>九、</w:t>
      </w:r>
      <w:r>
        <w:rPr>
          <w:rFonts w:hint="eastAsia" w:ascii="仿宋" w:eastAsia="仿宋"/>
          <w:b w:val="0"/>
          <w:color w:val="000000"/>
        </w:rPr>
        <w:t>一</w:t>
      </w:r>
      <w:r>
        <w:rPr>
          <w:rStyle w:val="20"/>
          <w:rFonts w:hint="eastAsia" w:ascii="仿宋" w:eastAsia="仿宋"/>
          <w:b w:val="0"/>
          <w:bCs w:val="0"/>
        </w:rPr>
        <w:t>般公共预算财政拨款项目支出决算表</w:t>
      </w:r>
      <w:bookmarkEnd w:id="82"/>
      <w:bookmarkEnd w:id="83"/>
      <w:bookmarkEnd w:id="84"/>
    </w:p>
    <w:p>
      <w:pPr>
        <w:pStyle w:val="5"/>
        <w:spacing w:line="560" w:lineRule="exact"/>
        <w:rPr>
          <w:rFonts w:ascii="仿宋" w:eastAsia="仿宋"/>
          <w:color w:val="000000"/>
        </w:rPr>
      </w:pPr>
      <w:bookmarkStart w:id="85" w:name="_Toc79163895"/>
      <w:bookmarkStart w:id="86" w:name="_Toc15396628"/>
      <w:bookmarkStart w:id="87" w:name="_Toc79163645"/>
      <w:r>
        <w:rPr>
          <w:rStyle w:val="20"/>
          <w:rFonts w:hint="eastAsia" w:ascii="仿宋" w:eastAsia="仿宋"/>
          <w:b w:val="0"/>
          <w:bCs w:val="0"/>
        </w:rPr>
        <w:t>十、</w:t>
      </w:r>
      <w:bookmarkEnd w:id="85"/>
      <w:bookmarkEnd w:id="86"/>
      <w:bookmarkEnd w:id="87"/>
      <w:bookmarkStart w:id="88" w:name="_Toc79163896"/>
      <w:bookmarkStart w:id="89" w:name="_Toc79163646"/>
      <w:bookmarkStart w:id="90" w:name="_Toc15396629"/>
      <w:r>
        <w:rPr>
          <w:rFonts w:hint="eastAsia" w:ascii="仿宋" w:eastAsia="仿宋"/>
          <w:b w:val="0"/>
          <w:color w:val="000000"/>
        </w:rPr>
        <w:t>政</w:t>
      </w:r>
      <w:r>
        <w:rPr>
          <w:rStyle w:val="20"/>
          <w:rFonts w:hint="eastAsia" w:ascii="仿宋" w:eastAsia="仿宋"/>
          <w:b w:val="0"/>
          <w:bCs w:val="0"/>
        </w:rPr>
        <w:t>府性基金预算财政拨款收入支出决算表</w:t>
      </w:r>
    </w:p>
    <w:p>
      <w:pPr>
        <w:pStyle w:val="5"/>
        <w:spacing w:line="560" w:lineRule="exact"/>
        <w:rPr>
          <w:rStyle w:val="20"/>
          <w:rFonts w:ascii="仿宋" w:eastAsia="仿宋"/>
          <w:b w:val="0"/>
          <w:bCs w:val="0"/>
        </w:rPr>
      </w:pPr>
      <w:r>
        <w:rPr>
          <w:rStyle w:val="20"/>
          <w:rFonts w:hint="eastAsia" w:ascii="仿宋" w:eastAsia="仿宋"/>
          <w:b w:val="0"/>
          <w:bCs w:val="0"/>
        </w:rPr>
        <w:t>十一、</w:t>
      </w:r>
      <w:bookmarkEnd w:id="88"/>
      <w:bookmarkEnd w:id="89"/>
      <w:bookmarkEnd w:id="90"/>
      <w:bookmarkStart w:id="91" w:name="_Toc79163897"/>
      <w:bookmarkStart w:id="92" w:name="_Toc79163647"/>
      <w:bookmarkStart w:id="93" w:name="_Toc15396630"/>
      <w:r>
        <w:rPr>
          <w:rFonts w:hint="eastAsia" w:ascii="仿宋" w:eastAsia="仿宋"/>
          <w:b w:val="0"/>
          <w:color w:val="000000"/>
        </w:rPr>
        <w:t>国</w:t>
      </w:r>
      <w:r>
        <w:rPr>
          <w:rStyle w:val="20"/>
          <w:rFonts w:hint="eastAsia" w:ascii="仿宋" w:eastAsia="仿宋"/>
          <w:b w:val="0"/>
          <w:bCs w:val="0"/>
        </w:rPr>
        <w:t>有资本经营预算财政拨款收入支出决算表</w:t>
      </w:r>
    </w:p>
    <w:p>
      <w:pPr>
        <w:pStyle w:val="5"/>
        <w:spacing w:line="560" w:lineRule="exact"/>
        <w:rPr>
          <w:rFonts w:ascii="仿宋" w:eastAsia="仿宋"/>
          <w:color w:val="000000"/>
        </w:rPr>
      </w:pPr>
      <w:r>
        <w:rPr>
          <w:rStyle w:val="20"/>
          <w:rFonts w:hint="eastAsia" w:ascii="仿宋" w:eastAsia="仿宋"/>
          <w:b w:val="0"/>
          <w:bCs w:val="0"/>
        </w:rPr>
        <w:t>十二、</w:t>
      </w:r>
      <w:bookmarkEnd w:id="91"/>
      <w:bookmarkEnd w:id="92"/>
      <w:bookmarkEnd w:id="93"/>
      <w:r>
        <w:rPr>
          <w:rFonts w:hint="eastAsia" w:ascii="仿宋" w:eastAsia="仿宋"/>
          <w:b w:val="0"/>
          <w:color w:val="000000"/>
        </w:rPr>
        <w:t>国</w:t>
      </w:r>
      <w:r>
        <w:rPr>
          <w:rStyle w:val="20"/>
          <w:rFonts w:hint="eastAsia" w:ascii="仿宋" w:eastAsia="仿宋"/>
          <w:b w:val="0"/>
          <w:bCs w:val="0"/>
        </w:rPr>
        <w:t>有资本经营预算财政拨款支出决算表</w:t>
      </w:r>
    </w:p>
    <w:p>
      <w:pPr>
        <w:pStyle w:val="5"/>
        <w:spacing w:line="560" w:lineRule="exact"/>
        <w:rPr>
          <w:rStyle w:val="20"/>
          <w:rFonts w:ascii="仿宋" w:eastAsia="仿宋"/>
          <w:b w:val="0"/>
          <w:bCs w:val="0"/>
        </w:rPr>
      </w:pPr>
      <w:bookmarkStart w:id="94" w:name="_Toc79163648"/>
      <w:bookmarkStart w:id="95" w:name="_Toc15396631"/>
      <w:bookmarkStart w:id="96" w:name="_Toc79163898"/>
      <w:r>
        <w:rPr>
          <w:rStyle w:val="20"/>
          <w:rFonts w:hint="eastAsia" w:ascii="仿宋" w:eastAsia="仿宋"/>
          <w:b w:val="0"/>
          <w:bCs w:val="0"/>
        </w:rPr>
        <w:t>十三、财政拨款“三公”经费支出决算表</w:t>
      </w:r>
      <w:bookmarkEnd w:id="94"/>
      <w:bookmarkEnd w:id="95"/>
      <w:bookmarkEnd w:id="96"/>
    </w:p>
    <w:p>
      <w:pPr>
        <w:widowControl/>
        <w:spacing w:line="560" w:lineRule="exact"/>
        <w:rPr>
          <w:rFonts w:ascii="方正小标宋简体" w:eastAsia="方正小标宋简体" w:cs="方正小标宋简体"/>
          <w:b/>
          <w:color w:val="000000"/>
          <w:sz w:val="44"/>
          <w:szCs w:val="44"/>
        </w:rPr>
      </w:pPr>
      <w:r>
        <w:rPr>
          <w:rStyle w:val="20"/>
          <w:rFonts w:hint="eastAsia" w:ascii="仿宋" w:eastAsia="仿宋"/>
          <w:b w:val="0"/>
        </w:rPr>
        <w:t xml:space="preserve"> </w:t>
      </w:r>
    </w:p>
    <w:sectPr>
      <w:headerReference r:id="rId3" w:type="default"/>
      <w:footerReference r:id="rId5" w:type="default"/>
      <w:head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楷体_GB2312"/>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-19594830</wp:posOffset>
              </wp:positionV>
              <wp:extent cx="72390" cy="286385"/>
              <wp:effectExtent l="0" t="0" r="0" b="0"/>
              <wp:wrapNone/>
              <wp:docPr id="1" name="_x0000_s2049"/>
              <wp:cNvGraphicFramePr/>
              <a:graphic xmlns:a="http://schemas.openxmlformats.org/drawingml/2006/main">
                <a:graphicData uri="http://schemas.microsoft.com/office/word/2010/wordprocessingShape">
                  <wps:wsp>
                    <wps:cNvSpPr/>
                    <wps:spPr>
                      <a:xfrm>
                        <a:off x="0" y="0"/>
                        <a:ext cx="72694" cy="286645"/>
                      </a:xfrm>
                      <a:prstGeom prst="rect">
                        <a:avLst/>
                      </a:prstGeom>
                      <a:noFill/>
                      <a:ln w="9525" cap="flat" cmpd="sng">
                        <a:noFill/>
                        <a:prstDash val="solid"/>
                        <a:miter/>
                      </a:ln>
                    </wps:spPr>
                    <wps:txbx>
                      <w:txbxContent>
                        <w:p>
                          <w:pPr>
                            <w:pStyle w:val="3"/>
                            <w:jc w:val="center"/>
                          </w:pPr>
                          <w:r>
                            <w:fldChar w:fldCharType="begin"/>
                          </w:r>
                          <w:r>
                            <w:instrText xml:space="preserve">PAGE   \* MERGEFORMAT</w:instrText>
                          </w:r>
                          <w:r>
                            <w:fldChar w:fldCharType="separate"/>
                          </w:r>
                          <w:r>
                            <w:rPr>
                              <w:lang w:val="zh-CN"/>
                            </w:rPr>
                            <w:t>23</w:t>
                          </w:r>
                          <w:r>
                            <w:rPr>
                              <w:lang w:val="zh-CN"/>
                            </w:rP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1542.9pt;height:22.55pt;width:5.7pt;mso-position-horizontal:center;mso-position-horizontal-relative:margin;mso-wrap-style:none;z-index:251659264;mso-width-relative:page;mso-height-relative:page;" filled="f" stroked="f" coordsize="21600,21600" o:gfxdata="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N6gynXAAAACwEAAA8AAAAAAAAAAQAgAAAAIgAAAGRycy9kb3ducmV2LnhtbFBL&#10;AQIUABQAAAAIAIdO4kBRHv579wEAAPQDAAAOAAAAAAAAAAEAIAAAACYBAABkcnMvZTJvRG9jLnht&#10;bFBLBQYAAAAABgAGAFkBAACPBQAAAAA=&#10;">
              <v:fill on="f" focussize="0,0"/>
              <v:stroke on="f" joinstyle="miter"/>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23</w:t>
                    </w:r>
                    <w:r>
                      <w:rPr>
                        <w:lang w:val="zh-CN"/>
                      </w:rPr>
                      <w:fldChar w:fldCharType="end"/>
                    </w:r>
                  </w:p>
                  <w:p/>
                </w:txbxContent>
              </v:textbox>
            </v:rect>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1">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2">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3">
    <w:nsid w:val="3717F156"/>
    <w:multiLevelType w:val="singleLevel"/>
    <w:tmpl w:val="3717F156"/>
    <w:lvl w:ilvl="0" w:tentative="0">
      <w:start w:val="1"/>
      <w:numFmt w:val="chineseCounting"/>
      <w:suff w:val="nothing"/>
      <w:lvlText w:val="%1、"/>
      <w:lvlJc w:val="left"/>
      <w:pPr>
        <w:ind w:left="0" w:firstLine="0"/>
      </w:pPr>
      <w:rPr>
        <w:rFonts w:hint="eastAsia"/>
      </w:rPr>
    </w:lvl>
  </w:abstractNum>
  <w:abstractNum w:abstractNumId="4">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jdmMGUwNmQwNTJmZGE2OTQ5NTdlZDA1Y2U3YWQ1ZGQifQ=="/>
  </w:docVars>
  <w:rsids>
    <w:rsidRoot w:val="00000000"/>
    <w:rsid w:val="27EE3C0E"/>
    <w:rsid w:val="3606345C"/>
    <w:rsid w:val="3767417F"/>
    <w:rsid w:val="58F92290"/>
    <w:rsid w:val="66B912B0"/>
    <w:rsid w:val="73707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9"/>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widowControl w:val="0"/>
      <w:spacing w:before="260" w:after="260" w:line="415" w:lineRule="auto"/>
      <w:outlineLvl w:val="1"/>
    </w:pPr>
    <w:rPr>
      <w:rFonts w:ascii="Cambria" w:hAnsi="Cambria" w:cs="Cambria"/>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Normal (Web)"/>
    <w:basedOn w:val="1"/>
    <w:next w:val="3"/>
    <w:qFormat/>
    <w:uiPriority w:val="0"/>
    <w:pPr>
      <w:widowControl/>
      <w:spacing w:before="100" w:beforeAutospacing="1" w:after="100" w:afterAutospacing="1"/>
      <w:jc w:val="left"/>
    </w:pPr>
    <w:rPr>
      <w:rFonts w:ascii="宋体"/>
      <w:kern w:val="0"/>
      <w:sz w:val="24"/>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7">
    <w:name w:val="Document Map"/>
    <w:basedOn w:val="1"/>
    <w:qFormat/>
    <w:uiPriority w:val="0"/>
    <w:pPr>
      <w:shd w:val="clear" w:color="auto" w:fill="000080"/>
    </w:p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0"/>
    <w:pPr>
      <w:tabs>
        <w:tab w:val="right" w:leader="dot" w:pos="8296"/>
      </w:tabs>
      <w:spacing w:before="93"/>
      <w:jc w:val="center"/>
    </w:pPr>
    <w:rPr>
      <w:rFonts w:ascii="??" w:hAnsi="??" w:cs="??"/>
      <w:sz w:val="28"/>
      <w:szCs w:val="28"/>
    </w:rPr>
  </w:style>
  <w:style w:type="paragraph" w:styleId="13">
    <w:name w:val="toc 2"/>
    <w:basedOn w:val="1"/>
    <w:next w:val="1"/>
    <w:qFormat/>
    <w:uiPriority w:val="0"/>
    <w:pPr>
      <w:tabs>
        <w:tab w:val="right" w:leader="dot" w:pos="8296"/>
      </w:tabs>
      <w:ind w:left="200" w:leftChars="200"/>
    </w:pPr>
  </w:style>
  <w:style w:type="character" w:styleId="16">
    <w:name w:val="Strong"/>
    <w:basedOn w:val="15"/>
    <w:qFormat/>
    <w:uiPriority w:val="0"/>
    <w:rPr>
      <w:rFonts w:cs="Times New Roman"/>
      <w:b/>
      <w:bCs/>
    </w:rPr>
  </w:style>
  <w:style w:type="character" w:styleId="17">
    <w:name w:val="FollowedHyperlink"/>
    <w:basedOn w:val="15"/>
    <w:qFormat/>
    <w:uiPriority w:val="0"/>
    <w:rPr>
      <w:color w:val="800080"/>
      <w:u w:val="single"/>
    </w:rPr>
  </w:style>
  <w:style w:type="character" w:styleId="18">
    <w:name w:val="Hyperlink"/>
    <w:basedOn w:val="15"/>
    <w:qFormat/>
    <w:uiPriority w:val="0"/>
    <w:rPr>
      <w:rFonts w:cs="Times New Roman"/>
      <w:color w:val="0000FF"/>
      <w:u w:val="single"/>
    </w:rPr>
  </w:style>
  <w:style w:type="character" w:customStyle="1" w:styleId="19">
    <w:name w:val="heading 1 Char"/>
    <w:basedOn w:val="15"/>
    <w:link w:val="4"/>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5"/>
    <w:link w:val="5"/>
    <w:qFormat/>
    <w:uiPriority w:val="0"/>
    <w:rPr>
      <w:rFonts w:ascii="Cambria" w:hAnsi="Cambria" w:eastAsia="宋体" w:cs="Cambria"/>
      <w:b/>
      <w:bCs/>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Heading1"/>
    <w:basedOn w:val="4"/>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 w:type="paragraph" w:customStyle="1" w:styleId="24">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5">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7">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2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2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2">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3">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4">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5">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25</Pages>
  <Words>8527</Words>
  <Characters>8908</Characters>
  <Lines>509</Lines>
  <Paragraphs>175</Paragraphs>
  <TotalTime>0</TotalTime>
  <ScaleCrop>false</ScaleCrop>
  <LinksUpToDate>false</LinksUpToDate>
  <CharactersWithSpaces>8990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绿云依旧</cp:lastModifiedBy>
  <cp:lastPrinted>2023-09-07T14:23:00Z</cp:lastPrinted>
  <dcterms:modified xsi:type="dcterms:W3CDTF">2024-08-13T08:22:41Z</dcterms:modified>
  <dc:title>四川省***</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B6E2F34B5C324041A5C9386612D2B941</vt:lpwstr>
  </property>
</Properties>
</file>