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rPr>
          <w:rFonts w:ascii="方正小标宋简体" w:eastAsia="方正小标宋简体"/>
          <w:color w:val="000000"/>
          <w:sz w:val="72"/>
          <w:szCs w:val="72"/>
        </w:rPr>
      </w:pPr>
      <w:bookmarkStart w:id="0" w:name="_Toc15306267"/>
    </w:p>
    <w:p>
      <w:pPr>
        <w:spacing w:line="600" w:lineRule="exact"/>
        <w:jc w:val="center"/>
        <w:rPr>
          <w:rFonts w:ascii="方正小标宋简体" w:eastAsia="方正小标宋简体"/>
          <w:color w:val="000000"/>
          <w:sz w:val="72"/>
          <w:szCs w:val="72"/>
        </w:rPr>
      </w:pPr>
    </w:p>
    <w:p>
      <w:pPr>
        <w:spacing w:line="600" w:lineRule="exact"/>
        <w:jc w:val="center"/>
        <w:rPr>
          <w:rFonts w:ascii="方正小标宋简体" w:eastAsia="方正小标宋简体"/>
          <w:color w:val="000000"/>
          <w:sz w:val="44"/>
          <w:szCs w:val="44"/>
        </w:rPr>
      </w:pPr>
    </w:p>
    <w:p>
      <w:pPr>
        <w:spacing w:line="600" w:lineRule="exact"/>
        <w:jc w:val="center"/>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b/>
          <w:bCs/>
          <w:color w:val="000000"/>
          <w:sz w:val="52"/>
          <w:szCs w:val="52"/>
        </w:rPr>
      </w:pPr>
      <w:bookmarkStart w:id="1" w:name="_Toc15396475"/>
      <w:bookmarkStart w:id="2" w:name="_Toc15377193"/>
      <w:bookmarkStart w:id="3" w:name="_Toc15378441"/>
      <w:bookmarkStart w:id="4" w:name="_Toc15396597"/>
      <w:bookmarkStart w:id="5" w:name="_Toc15377425"/>
      <w:r>
        <w:rPr>
          <w:rFonts w:ascii="方正小标宋简体" w:eastAsia="方正小标宋简体" w:cs="方正小标宋简体"/>
          <w:b/>
          <w:bCs/>
          <w:color w:val="000000"/>
          <w:sz w:val="52"/>
          <w:szCs w:val="52"/>
        </w:rPr>
        <w:t>202</w:t>
      </w:r>
      <w:r>
        <w:rPr>
          <w:rFonts w:ascii="方正小标宋简体" w:eastAsia="方正小标宋简体" w:cs="方正小标宋简体" w:hint="eastAsia"/>
          <w:b/>
          <w:bCs/>
          <w:color w:val="000000"/>
          <w:sz w:val="52"/>
          <w:szCs w:val="52"/>
        </w:rPr>
        <w:t>3年度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cs="方正小标宋简体"/>
          <w:b/>
          <w:bCs/>
          <w:color w:val="000000"/>
          <w:sz w:val="52"/>
          <w:szCs w:val="52"/>
        </w:rPr>
      </w:pPr>
      <w:bookmarkStart w:id="6" w:name="_Toc15377194"/>
      <w:bookmarkStart w:id="7" w:name="_Toc15396598"/>
      <w:bookmarkStart w:id="8" w:name="_Toc15396476"/>
      <w:bookmarkStart w:id="9" w:name="_Toc15377426"/>
      <w:bookmarkStart w:id="10" w:name="_Toc15378442"/>
      <w:r>
        <w:rPr>
          <w:rFonts w:ascii="方正小标宋简体" w:eastAsia="方正小标宋简体" w:cs="方正小标宋简体" w:hint="eastAsia"/>
          <w:b/>
          <w:bCs/>
          <w:color w:val="000000"/>
          <w:sz w:val="52"/>
          <w:szCs w:val="52"/>
        </w:rPr>
        <w:t>四川</w:t>
      </w:r>
      <w:bookmarkStart w:id="11" w:name="_Toc15306268"/>
      <w:bookmarkEnd w:id="0"/>
      <w:r>
        <w:rPr>
          <w:rFonts w:ascii="方正小标宋简体" w:eastAsia="方正小标宋简体" w:cs="方正小标宋简体" w:hint="eastAsia"/>
          <w:b/>
          <w:bCs/>
          <w:color w:val="000000"/>
          <w:sz w:val="52"/>
          <w:szCs w:val="52"/>
        </w:rPr>
        <w:t>省阿坝州茂县县委党校</w:t>
      </w:r>
      <w:r>
        <w:rPr>
          <w:rFonts w:ascii="方正小标宋简体" w:eastAsia="方正小标宋简体" w:cs="方正小标宋简体"/>
          <w:b/>
          <w:bCs/>
          <w:color w:val="000000"/>
          <w:sz w:val="52"/>
          <w:szCs w:val="52"/>
        </w:rPr>
        <w:t>(</w:t>
      </w:r>
      <w:r>
        <w:rPr>
          <w:rFonts w:ascii="方正小标宋简体" w:eastAsia="方正小标宋简体" w:cs="方正小标宋简体" w:hint="eastAsia"/>
          <w:b/>
          <w:bCs/>
          <w:color w:val="000000"/>
          <w:sz w:val="52"/>
          <w:szCs w:val="52"/>
        </w:rPr>
        <w:t>本级）单位决</w:t>
      </w:r>
      <w:r>
        <w:rPr>
          <w:rFonts w:ascii="方正小标宋简体" w:eastAsia="方正小标宋简体" w:cs="方正小标宋简体" w:hint="eastAsia"/>
          <w:b/>
          <w:bCs/>
          <w:color w:val="000000"/>
          <w:sz w:val="52"/>
          <w:szCs w:val="52"/>
          <w:lang w:val="en-US" w:eastAsia="zh-CN"/>
        </w:rPr>
        <w:t xml:space="preserve">  </w:t>
      </w:r>
      <w:r>
        <w:rPr>
          <w:rFonts w:ascii="方正小标宋简体" w:eastAsia="方正小标宋简体" w:cs="方正小标宋简体" w:hint="eastAsia"/>
          <w:b/>
          <w:bCs/>
          <w:color w:val="000000"/>
          <w:sz w:val="52"/>
          <w:szCs w:val="52"/>
        </w:rPr>
        <w:t>算</w:t>
      </w:r>
      <w:bookmarkEnd w:id="6"/>
      <w:bookmarkEnd w:id="7"/>
      <w:bookmarkEnd w:id="8"/>
      <w:bookmarkEnd w:id="9"/>
      <w:bookmarkEnd w:id="10"/>
      <w:bookmarkEnd w:id="11"/>
    </w:p>
    <w:p>
      <w:pPr>
        <w:adjustRightInd w:val="0"/>
        <w:snapToGrid w:val="0"/>
        <w:spacing w:line="360" w:lineRule="auto"/>
        <w:jc w:val="center"/>
        <w:rPr>
          <w:rFonts w:ascii="方正小标宋简体" w:eastAsia="方正小标宋简体" w:cs="方正小标宋简体"/>
          <w:b/>
          <w:bCs/>
          <w:color w:val="000000"/>
          <w:sz w:val="44"/>
          <w:szCs w:val="44"/>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keepNext w:val="0"/>
        <w:keepLines w:val="0"/>
        <w:pageBreakBefore w:val="0"/>
        <w:widowControl w:val="0"/>
        <w:tabs>
          <w:tab w:val="right" w:pos="5250"/>
        </w:tabs>
        <w:kinsoku/>
        <w:wordWrap/>
        <w:overflowPunct/>
        <w:topLinePunct w:val="0"/>
        <w:autoSpaceDE/>
        <w:autoSpaceDN/>
        <w:bidi w:val="0"/>
        <w:adjustRightInd w:val="0"/>
        <w:snapToGrid w:val="0"/>
        <w:spacing w:line="560" w:lineRule="exact"/>
        <w:ind w:left="480" w:hangingChars="150" w:hanging="480"/>
        <w:jc w:val="center"/>
        <w:textAlignment w:val="auto"/>
        <w:outlineLvl w:val="0"/>
        <w:rPr>
          <w:rFonts w:ascii="黑体" w:eastAsia="黑体"/>
          <w:b/>
          <w:bCs/>
          <w:color w:val="000000"/>
          <w:sz w:val="44"/>
          <w:szCs w:val="44"/>
        </w:rPr>
      </w:pPr>
      <w:r>
        <w:rPr>
          <w:rFonts w:ascii="仿宋_GB2312" w:eastAsia="仿宋_GB2312" w:cs="仿宋_GB2312"/>
          <w:color w:val="000000"/>
          <w:sz w:val="32"/>
          <w:szCs w:val="32"/>
        </w:rPr>
        <w:br w:type="page"/>
      </w:r>
      <w:r>
        <w:rPr>
          <w:rFonts w:ascii="方正小标宋简体" w:eastAsia="方正小标宋简体" w:cs="方正小标宋简体" w:hint="eastAsia"/>
          <w:b/>
          <w:bCs/>
          <w:color w:val="000000"/>
          <w:sz w:val="44"/>
          <w:szCs w:val="44"/>
        </w:rPr>
        <w:t>目录</w:t>
      </w:r>
    </w:p>
    <w:p>
      <w:pPr>
        <w:keepNext w:val="0"/>
        <w:keepLines w:val="0"/>
        <w:pageBreakBefore w:val="0"/>
        <w:widowControl/>
        <w:tabs>
          <w:tab w:val="right" w:pos="5250"/>
        </w:tabs>
        <w:kinsoku/>
        <w:wordWrap/>
        <w:overflowPunct/>
        <w:topLinePunct w:val="0"/>
        <w:autoSpaceDE/>
        <w:autoSpaceDN/>
        <w:bidi w:val="0"/>
        <w:adjustRightInd/>
        <w:snapToGrid/>
        <w:spacing w:line="560" w:lineRule="exact"/>
        <w:ind w:firstLineChars="1000" w:firstLine="2800"/>
        <w:jc w:val="both"/>
        <w:textAlignment w:val="auto"/>
        <w:rPr>
          <w:rFonts w:ascii="宋体"/>
          <w:color w:val="000000"/>
          <w:sz w:val="28"/>
          <w:szCs w:val="28"/>
        </w:rPr>
      </w:pPr>
      <w:r>
        <w:rPr>
          <w:rFonts w:ascii="宋体" w:cs="黑体"/>
          <w:color w:val="000000"/>
          <w:sz w:val="28"/>
          <w:szCs w:val="28"/>
        </w:rPr>
        <w:fldChar w:fldCharType="begin"/>
      </w:r>
      <w:r>
        <w:rPr>
          <w:rFonts w:ascii="宋体" w:cs="黑体"/>
          <w:color w:val="000000"/>
          <w:sz w:val="28"/>
          <w:szCs w:val="28"/>
        </w:rPr>
        <w:instrText xml:space="preserve"> TOC \o "1-2" \h \z \u </w:instrText>
      </w:r>
      <w:r>
        <w:rPr>
          <w:rFonts w:ascii="宋体" w:cs="黑体"/>
          <w:color w:val="000000"/>
          <w:sz w:val="28"/>
          <w:szCs w:val="28"/>
        </w:rPr>
        <w:fldChar w:fldCharType="separate"/>
      </w:r>
      <w:r>
        <w:rPr>
          <w:rFonts w:ascii="宋体" w:hint="eastAsia"/>
          <w:sz w:val="28"/>
          <w:szCs w:val="28"/>
        </w:rPr>
        <w:t>公开时间：</w:t>
      </w:r>
      <w:r>
        <w:rPr>
          <w:rFonts w:ascii="宋体"/>
          <w:sz w:val="28"/>
          <w:szCs w:val="28"/>
        </w:rPr>
        <w:t>202</w:t>
      </w:r>
      <w:r>
        <w:rPr>
          <w:rFonts w:ascii="宋体" w:hint="eastAsia"/>
          <w:sz w:val="28"/>
          <w:szCs w:val="28"/>
        </w:rPr>
        <w:t>4年</w:t>
      </w:r>
      <w:r>
        <w:rPr>
          <w:rFonts w:ascii="宋体"/>
          <w:sz w:val="28"/>
          <w:szCs w:val="28"/>
        </w:rPr>
        <w:t>9</w:t>
      </w:r>
      <w:r>
        <w:rPr>
          <w:rFonts w:ascii="宋体" w:hint="eastAsia"/>
          <w:sz w:val="28"/>
          <w:szCs w:val="28"/>
        </w:rPr>
        <w:t>月25日</w:t>
      </w:r>
    </w:p>
    <w:p>
      <w:pPr>
        <w:pStyle w:val="22"/>
        <w:keepNext w:val="0"/>
        <w:keepLines w:val="0"/>
        <w:pageBreakBefore w:val="0"/>
        <w:widowControl w:val="0"/>
        <w:tabs>
          <w:tab w:val="right" w:pos="5250"/>
          <w:tab w:val="right" w:leader="dot" w:pos="8296"/>
        </w:tabs>
        <w:kinsoku/>
        <w:wordWrap/>
        <w:overflowPunct/>
        <w:topLinePunct w:val="0"/>
        <w:autoSpaceDE/>
        <w:autoSpaceDN/>
        <w:bidi w:val="0"/>
        <w:adjustRightInd/>
        <w:snapToGrid/>
        <w:spacing w:line="560" w:lineRule="exact"/>
        <w:jc w:val="both"/>
        <w:textAlignment w:val="auto"/>
        <w:rPr>
          <w:lang w:val="en-US" w:eastAsia="zh-CN"/>
        </w:rPr>
      </w:pPr>
      <w:r>
        <w:rPr>
          <w:rFonts w:ascii="宋体"/>
          <w:caps w:val="0"/>
          <w:smallCaps/>
        </w:rPr>
        <w:fldChar w:fldCharType="begin"/>
      </w:r>
      <w:r>
        <w:rPr>
          <w:rFonts w:ascii="宋体"/>
          <w:caps w:val="0"/>
          <w:smallCaps/>
        </w:rPr>
        <w:instrText xml:space="preserve"> TOC \o \u </w:instrText>
      </w:r>
      <w:r>
        <w:rPr>
          <w:rFonts w:ascii="宋体"/>
          <w:caps w:val="0"/>
          <w:smallCaps/>
        </w:rPr>
        <w:fldChar w:fldCharType="separate"/>
      </w:r>
      <w:r>
        <w:rPr>
          <w:rFonts w:ascii="宋体" w:hint="eastAsia"/>
          <w:caps w:val="0"/>
          <w:smallCaps/>
        </w:rPr>
        <w:t>第一部分单位概况</w:t>
      </w:r>
      <w:r>
        <w:rPr>
          <w:rFonts w:ascii="宋体" w:hint="eastAsia"/>
          <w:caps w:val="0"/>
          <w:smallCaps/>
          <w:lang w:val="en-US" w:eastAsia="zh-CN"/>
        </w:rPr>
        <w:t>......................</w:t>
        <w:tab/>
        <w:t>4</w:t>
        <w:tab/>
      </w:r>
    </w:p>
    <w:p>
      <w:pPr>
        <w:pStyle w:val="23"/>
        <w:keepNext w:val="0"/>
        <w:keepLines w:val="0"/>
        <w:pageBreakBefore w:val="0"/>
        <w:widowControl w:val="0"/>
        <w:tabs>
          <w:tab w:val="right" w:pos="5250"/>
          <w:tab w:val="right" w:leader="dot" w:pos="8296"/>
        </w:tabs>
        <w:kinsoku/>
        <w:wordWrap/>
        <w:overflowPunct/>
        <w:topLinePunct w:val="0"/>
        <w:autoSpaceDE/>
        <w:autoSpaceDN/>
        <w:bidi w:val="0"/>
        <w:adjustRightInd/>
        <w:snapToGrid/>
        <w:spacing w:line="560" w:lineRule="exact"/>
        <w:ind w:leftChars="0" w:left="0" w:firstLineChars="200" w:firstLine="560"/>
        <w:textAlignment w:val="auto"/>
        <w:rPr>
          <w:rFonts w:ascii="宋体" w:eastAsia="宋体"/>
          <w:i/>
          <w:iCs/>
          <w:caps w:val="0"/>
          <w:smallCaps/>
          <w:sz w:val="28"/>
          <w:szCs w:val="28"/>
          <w:lang w:val="en-US" w:eastAsia="zh-CN"/>
        </w:rPr>
      </w:pPr>
      <w:r>
        <w:rPr>
          <w:rFonts w:ascii="宋体" w:hint="eastAsia"/>
          <w:sz w:val="28"/>
          <w:szCs w:val="28"/>
        </w:rPr>
        <w:t>一、主要职责</w:t>
      </w:r>
      <w:r>
        <w:rPr>
          <w:rFonts w:ascii="宋体" w:hint="eastAsia"/>
          <w:sz w:val="28"/>
          <w:szCs w:val="28"/>
          <w:lang w:val="en-US" w:eastAsia="zh-CN"/>
        </w:rPr>
        <w:t>..........</w:t>
        <w:tab/>
        <w:t>................................</w:t>
        <w:tab/>
        <w:t>4</w:t>
        <w:tab/>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二、机构设置</w:t>
      </w:r>
      <w:r>
        <w:rPr>
          <w:rFonts w:ascii="宋体" w:hint="eastAsia"/>
          <w:sz w:val="28"/>
          <w:szCs w:val="28"/>
          <w:lang w:val="en-US" w:eastAsia="zh-CN"/>
        </w:rPr>
        <w:t>.............................</w:t>
        <w:tab/>
        <w:t>.............4</w:t>
      </w:r>
    </w:p>
    <w:p>
      <w:pPr>
        <w:pStyle w:val="22"/>
        <w:keepNext w:val="0"/>
        <w:keepLines w:val="0"/>
        <w:pageBreakBefore w:val="0"/>
        <w:widowControl w:val="0"/>
        <w:tabs>
          <w:tab w:val="right" w:pos="5250"/>
          <w:tab w:val="right" w:leader="dot" w:pos="8296"/>
        </w:tabs>
        <w:kinsoku/>
        <w:wordWrap/>
        <w:overflowPunct/>
        <w:topLinePunct w:val="0"/>
        <w:autoSpaceDE/>
        <w:autoSpaceDN/>
        <w:bidi w:val="0"/>
        <w:spacing w:line="560" w:lineRule="exact"/>
        <w:jc w:val="left"/>
        <w:textAlignment w:val="auto"/>
        <w:rPr>
          <w:rFonts w:ascii="宋体" w:eastAsia="宋体"/>
          <w:caps w:val="0"/>
          <w:smallCaps/>
          <w:lang w:val="en-US" w:eastAsia="zh-CN"/>
        </w:rPr>
      </w:pPr>
      <w:r>
        <w:rPr>
          <w:rFonts w:ascii="宋体" w:hint="eastAsia"/>
          <w:caps w:val="0"/>
          <w:smallCaps/>
        </w:rPr>
        <w:t>第二部分</w:t>
      </w:r>
      <w:r>
        <w:rPr>
          <w:rFonts w:ascii="宋体"/>
          <w:caps w:val="0"/>
          <w:smallCaps/>
        </w:rPr>
        <w:t xml:space="preserve"> 202</w:t>
      </w:r>
      <w:r>
        <w:rPr>
          <w:rFonts w:ascii="宋体" w:hint="eastAsia"/>
          <w:caps w:val="0"/>
          <w:smallCaps/>
        </w:rPr>
        <w:t>3年度单位决算情况说明</w:t>
      </w:r>
      <w:r>
        <w:rPr>
          <w:rFonts w:ascii="宋体" w:hint="eastAsia"/>
          <w:caps w:val="0"/>
          <w:smallCaps/>
          <w:lang w:val="en-US" w:eastAsia="zh-CN"/>
        </w:rPr>
        <w:tab/>
        <w:tab/>
        <w:t>5</w:t>
        <w:tab/>
      </w:r>
    </w:p>
    <w:p>
      <w:pPr>
        <w:pStyle w:val="23"/>
        <w:keepNext w:val="0"/>
        <w:keepLines w:val="0"/>
        <w:pageBreakBefore w:val="0"/>
        <w:widowControl w:val="0"/>
        <w:tabs>
          <w:tab w:val="left" w:pos="840"/>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一、收入支出决算总体情况说明</w:t>
      </w:r>
      <w:r>
        <w:rPr>
          <w:rFonts w:ascii="宋体" w:hint="eastAsia"/>
          <w:sz w:val="28"/>
          <w:szCs w:val="28"/>
          <w:lang w:val="en-US" w:eastAsia="zh-CN"/>
        </w:rPr>
        <w:t>..........................5</w:t>
      </w:r>
    </w:p>
    <w:p>
      <w:pPr>
        <w:pStyle w:val="23"/>
        <w:keepNext w:val="0"/>
        <w:keepLines w:val="0"/>
        <w:pageBreakBefore w:val="0"/>
        <w:widowControl w:val="0"/>
        <w:tabs>
          <w:tab w:val="left" w:pos="840"/>
          <w:tab w:val="right" w:pos="5250"/>
          <w:tab w:val="right" w:leader="middleDot" w:pos="8296"/>
        </w:tabs>
        <w:kinsoku/>
        <w:wordWrap/>
        <w:overflowPunct/>
        <w:topLinePunct w:val="0"/>
        <w:autoSpaceDE/>
        <w:autoSpaceDN/>
        <w:bidi w:val="0"/>
        <w:adjustRightInd/>
        <w:snapToGrid/>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二、收入决算情况说明</w:t>
      </w:r>
      <w:r>
        <w:rPr>
          <w:rFonts w:ascii="宋体" w:hint="eastAsia"/>
          <w:sz w:val="28"/>
          <w:szCs w:val="28"/>
          <w:lang w:val="en-US" w:eastAsia="zh-CN"/>
        </w:rPr>
        <w:t>..................................5</w:t>
      </w:r>
    </w:p>
    <w:p>
      <w:pPr>
        <w:pStyle w:val="23"/>
        <w:keepNext w:val="0"/>
        <w:keepLines w:val="0"/>
        <w:pageBreakBefore w:val="0"/>
        <w:widowControl w:val="0"/>
        <w:tabs>
          <w:tab w:val="left" w:pos="840"/>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三、支出决算情况说明</w:t>
      </w:r>
      <w:r>
        <w:rPr>
          <w:rFonts w:ascii="宋体" w:hint="eastAsia"/>
          <w:sz w:val="28"/>
          <w:szCs w:val="28"/>
          <w:lang w:val="en-US" w:eastAsia="zh-CN"/>
        </w:rPr>
        <w:t>..................................6</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四、财政拨款收入支出决算总体情况说明</w:t>
      </w:r>
      <w:r>
        <w:rPr>
          <w:rFonts w:ascii="宋体" w:hint="eastAsia"/>
          <w:sz w:val="28"/>
          <w:szCs w:val="28"/>
          <w:lang w:val="en-US" w:eastAsia="zh-CN"/>
        </w:rPr>
        <w:t>..................6</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i/>
          <w:iCs/>
          <w:caps w:val="0"/>
          <w:smallCaps/>
          <w:sz w:val="28"/>
          <w:szCs w:val="28"/>
          <w:lang w:val="en-US" w:eastAsia="zh-CN"/>
        </w:rPr>
      </w:pPr>
      <w:r>
        <w:rPr>
          <w:rFonts w:ascii="宋体" w:hint="eastAsia"/>
          <w:sz w:val="28"/>
          <w:szCs w:val="28"/>
        </w:rPr>
        <w:t>五、一般公共预算财政拨款支出决算情况说明</w:t>
      </w:r>
      <w:r>
        <w:rPr>
          <w:rFonts w:ascii="宋体" w:hint="eastAsia"/>
          <w:sz w:val="28"/>
          <w:szCs w:val="28"/>
          <w:lang w:val="en-US" w:eastAsia="zh-CN"/>
        </w:rPr>
        <w:t>..............7</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六、一般公共预算财政拨款基本支出决算情况说明</w:t>
      </w:r>
      <w:r>
        <w:rPr>
          <w:rFonts w:ascii="宋体" w:hint="eastAsia"/>
          <w:sz w:val="28"/>
          <w:szCs w:val="28"/>
          <w:lang w:val="en-US" w:eastAsia="zh-CN"/>
        </w:rPr>
        <w:t>..........9</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i/>
          <w:iCs/>
          <w:caps w:val="0"/>
          <w:smallCaps/>
          <w:sz w:val="28"/>
          <w:szCs w:val="28"/>
          <w:lang w:val="en-US" w:eastAsia="zh-CN"/>
        </w:rPr>
      </w:pPr>
      <w:r>
        <w:rPr>
          <w:rFonts w:ascii="宋体" w:hint="eastAsia"/>
          <w:sz w:val="28"/>
          <w:szCs w:val="28"/>
        </w:rPr>
        <w:t>七、财政拨款“三公”经费支出决算情况说明</w:t>
      </w:r>
      <w:r>
        <w:rPr>
          <w:rFonts w:ascii="宋体" w:hint="eastAsia"/>
          <w:sz w:val="28"/>
          <w:szCs w:val="28"/>
          <w:lang w:val="en-US" w:eastAsia="zh-CN"/>
        </w:rPr>
        <w:t>..............10</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八、政府性基金预算支出决算情况说明</w:t>
      </w:r>
      <w:r>
        <w:rPr>
          <w:rFonts w:ascii="宋体" w:hint="eastAsia"/>
          <w:sz w:val="28"/>
          <w:szCs w:val="28"/>
          <w:lang w:val="en-US" w:eastAsia="zh-CN"/>
        </w:rPr>
        <w:t>....................11</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九、国有资本经营预算支出决算情况说明</w:t>
      </w:r>
      <w:r>
        <w:rPr>
          <w:rFonts w:ascii="宋体" w:hint="eastAsia"/>
          <w:sz w:val="28"/>
          <w:szCs w:val="28"/>
          <w:lang w:val="en-US" w:eastAsia="zh-CN"/>
        </w:rPr>
        <w:t>...................11</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i/>
          <w:iCs/>
          <w:caps w:val="0"/>
          <w:smallCaps/>
          <w:sz w:val="28"/>
          <w:szCs w:val="28"/>
          <w:lang w:val="en-US" w:eastAsia="zh-CN"/>
        </w:rPr>
      </w:pPr>
      <w:r>
        <w:rPr>
          <w:rFonts w:ascii="宋体" w:hint="eastAsia"/>
          <w:sz w:val="28"/>
          <w:szCs w:val="28"/>
        </w:rPr>
        <w:t>十、其他重要事项的情况说明</w:t>
      </w:r>
      <w:r>
        <w:rPr>
          <w:rFonts w:ascii="宋体" w:hint="eastAsia"/>
          <w:sz w:val="28"/>
          <w:szCs w:val="28"/>
          <w:lang w:val="en-US" w:eastAsia="zh-CN"/>
        </w:rPr>
        <w:t>.............................12</w:t>
      </w:r>
    </w:p>
    <w:p>
      <w:pPr>
        <w:pStyle w:val="22"/>
        <w:keepNext w:val="0"/>
        <w:keepLines w:val="0"/>
        <w:pageBreakBefore w:val="0"/>
        <w:widowControl w:val="0"/>
        <w:tabs>
          <w:tab w:val="right" w:pos="5250"/>
          <w:tab w:val="right" w:leader="dot" w:pos="8296"/>
        </w:tabs>
        <w:kinsoku/>
        <w:wordWrap/>
        <w:overflowPunct/>
        <w:topLinePunct w:val="0"/>
        <w:autoSpaceDE/>
        <w:autoSpaceDN/>
        <w:bidi w:val="0"/>
        <w:spacing w:line="560" w:lineRule="exact"/>
        <w:jc w:val="both"/>
        <w:textAlignment w:val="auto"/>
        <w:rPr>
          <w:rFonts w:ascii="宋体" w:eastAsia="宋体"/>
          <w:caps w:val="0"/>
          <w:smallCaps/>
          <w:lang w:val="en-US" w:eastAsia="zh-CN"/>
        </w:rPr>
      </w:pPr>
      <w:r>
        <w:rPr>
          <w:rFonts w:ascii="宋体" w:hint="eastAsia"/>
          <w:caps w:val="0"/>
          <w:smallCaps/>
        </w:rPr>
        <w:t>第三部分名词解释</w:t>
      </w:r>
      <w:r>
        <w:rPr>
          <w:rFonts w:ascii="宋体" w:hint="eastAsia"/>
          <w:caps w:val="0"/>
          <w:smallCaps/>
          <w:lang w:val="en-US" w:eastAsia="zh-CN"/>
        </w:rPr>
        <w:t>...........................................13</w:t>
      </w:r>
    </w:p>
    <w:p>
      <w:pPr>
        <w:pStyle w:val="22"/>
        <w:keepNext w:val="0"/>
        <w:keepLines w:val="0"/>
        <w:pageBreakBefore w:val="0"/>
        <w:widowControl w:val="0"/>
        <w:tabs>
          <w:tab w:val="right" w:pos="5250"/>
          <w:tab w:val="right" w:leader="dot" w:pos="8296"/>
        </w:tabs>
        <w:kinsoku/>
        <w:wordWrap/>
        <w:overflowPunct/>
        <w:topLinePunct w:val="0"/>
        <w:autoSpaceDE/>
        <w:autoSpaceDN/>
        <w:bidi w:val="0"/>
        <w:spacing w:line="560" w:lineRule="exact"/>
        <w:jc w:val="both"/>
        <w:textAlignment w:val="auto"/>
        <w:rPr>
          <w:rFonts w:eastAsia="宋体"/>
          <w:lang w:val="en-US" w:eastAsia="zh-CN"/>
        </w:rPr>
      </w:pPr>
      <w:r>
        <w:rPr>
          <w:rFonts w:ascii="宋体" w:hint="eastAsia"/>
          <w:caps w:val="0"/>
          <w:smallCaps/>
        </w:rPr>
        <w:t>第四部分附件</w:t>
      </w:r>
      <w:r>
        <w:rPr>
          <w:rFonts w:ascii="宋体" w:hint="eastAsia"/>
          <w:caps w:val="0"/>
          <w:smallCaps/>
          <w:lang w:val="en-US" w:eastAsia="zh-CN"/>
        </w:rPr>
        <w:t>...............................................16</w:t>
      </w:r>
    </w:p>
    <w:p>
      <w:pPr>
        <w:pStyle w:val="22"/>
        <w:keepNext w:val="0"/>
        <w:keepLines w:val="0"/>
        <w:pageBreakBefore w:val="0"/>
        <w:widowControl w:val="0"/>
        <w:tabs>
          <w:tab w:val="right" w:pos="5250"/>
          <w:tab w:val="right" w:leader="dot" w:pos="8296"/>
        </w:tabs>
        <w:kinsoku/>
        <w:wordWrap/>
        <w:overflowPunct/>
        <w:topLinePunct w:val="0"/>
        <w:autoSpaceDE/>
        <w:autoSpaceDN/>
        <w:bidi w:val="0"/>
        <w:spacing w:line="560" w:lineRule="exact"/>
        <w:jc w:val="both"/>
        <w:textAlignment w:val="auto"/>
        <w:rPr>
          <w:rFonts w:ascii="宋体" w:eastAsia="宋体"/>
          <w:caps w:val="0"/>
          <w:smallCaps/>
          <w:lang w:val="en-US" w:eastAsia="zh-CN"/>
        </w:rPr>
      </w:pPr>
      <w:r>
        <w:rPr>
          <w:rFonts w:ascii="宋体" w:hint="eastAsia"/>
          <w:caps w:val="0"/>
          <w:smallCaps/>
        </w:rPr>
        <w:t>第五部分附表</w:t>
      </w:r>
      <w:r>
        <w:rPr>
          <w:rFonts w:ascii="宋体" w:hint="eastAsia"/>
          <w:caps w:val="0"/>
          <w:smallCaps/>
          <w:lang w:val="en-US" w:eastAsia="zh-CN"/>
        </w:rPr>
        <w:t>...............................................23</w:t>
      </w:r>
    </w:p>
    <w:p>
      <w:pPr>
        <w:pStyle w:val="22"/>
        <w:keepNext w:val="0"/>
        <w:keepLines w:val="0"/>
        <w:pageBreakBefore w:val="0"/>
        <w:widowControl w:val="0"/>
        <w:tabs>
          <w:tab w:val="right" w:pos="5250"/>
          <w:tab w:val="right" w:leader="dot" w:pos="8296"/>
        </w:tabs>
        <w:kinsoku/>
        <w:wordWrap/>
        <w:overflowPunct/>
        <w:topLinePunct w:val="0"/>
        <w:autoSpaceDE/>
        <w:autoSpaceDN/>
        <w:bidi w:val="0"/>
        <w:spacing w:line="560" w:lineRule="exact"/>
        <w:ind w:firstLineChars="200" w:firstLine="560"/>
        <w:jc w:val="both"/>
        <w:textAlignment w:val="auto"/>
        <w:rPr>
          <w:rFonts w:ascii="宋体" w:eastAsia="宋体"/>
          <w:caps w:val="0"/>
          <w:smallCaps/>
          <w:lang w:val="en-US" w:eastAsia="zh-CN"/>
        </w:rPr>
      </w:pPr>
      <w:r>
        <w:rPr>
          <w:rFonts w:ascii="宋体" w:hint="eastAsia"/>
        </w:rPr>
        <w:t>一、收入支出决算总表</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二、收入决算表</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三、支出决算表</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四、财政拨款收入支出决算总表</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五、财政拨款支出决算明细表</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六、一般公共预算财政拨款支出决算表</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七、一般公共预算财政拨款支出决算明细表</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八、一般公共预算财政拨款基本支出决算明细表</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九、一般公共预算财政拨款项目支出决算表</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ind w:leftChars="0" w:left="0" w:firstLineChars="200" w:firstLine="560"/>
        <w:textAlignment w:val="auto"/>
        <w:rPr>
          <w:rFonts w:ascii="宋体" w:eastAsia="宋体"/>
          <w:sz w:val="28"/>
          <w:szCs w:val="28"/>
          <w:lang w:val="en-US" w:eastAsia="zh-CN"/>
        </w:rPr>
      </w:pPr>
      <w:r>
        <w:rPr>
          <w:rFonts w:ascii="宋体" w:hint="eastAsia"/>
          <w:sz w:val="28"/>
          <w:szCs w:val="28"/>
        </w:rPr>
        <w:t>十、政府性基金预算财政拨款收入支出决算表</w:t>
      </w:r>
    </w:p>
    <w:p>
      <w:pPr>
        <w:pStyle w:val="23"/>
        <w:keepNext w:val="0"/>
        <w:keepLines w:val="0"/>
        <w:pageBreakBefore w:val="0"/>
        <w:widowControl w:val="0"/>
        <w:tabs>
          <w:tab w:val="right" w:pos="5250"/>
          <w:tab w:val="right" w:leader="dot" w:pos="8296"/>
        </w:tabs>
        <w:kinsoku/>
        <w:wordWrap/>
        <w:overflowPunct/>
        <w:topLinePunct w:val="0"/>
        <w:autoSpaceDE/>
        <w:autoSpaceDN/>
        <w:bidi w:val="0"/>
        <w:spacing w:line="560" w:lineRule="exact"/>
        <w:textAlignment w:val="auto"/>
        <w:rPr>
          <w:rFonts w:ascii="宋体" w:eastAsia="宋体"/>
          <w:sz w:val="28"/>
          <w:szCs w:val="28"/>
          <w:lang w:val="en-US" w:eastAsia="zh-CN"/>
        </w:rPr>
      </w:pPr>
      <w:r>
        <w:rPr>
          <w:rFonts w:ascii="宋体" w:hint="eastAsia"/>
          <w:sz w:val="28"/>
          <w:szCs w:val="28"/>
        </w:rPr>
        <w:t>十一、国有资本经营预算财政拨款收入支出决算表</w:t>
      </w:r>
    </w:p>
    <w:p>
      <w:pPr>
        <w:keepNext w:val="0"/>
        <w:keepLines w:val="0"/>
        <w:pageBreakBefore w:val="0"/>
        <w:widowControl w:val="0"/>
        <w:tabs>
          <w:tab w:val="right" w:pos="5250"/>
        </w:tabs>
        <w:kinsoku/>
        <w:wordWrap/>
        <w:overflowPunct/>
        <w:topLinePunct w:val="0"/>
        <w:autoSpaceDE/>
        <w:autoSpaceDN/>
        <w:bidi w:val="0"/>
        <w:ind w:firstLineChars="100" w:firstLine="280"/>
        <w:textAlignment w:val="auto"/>
        <w:rPr>
          <w:rFonts w:ascii="宋体" w:eastAsia="宋体"/>
          <w:sz w:val="28"/>
          <w:szCs w:val="28"/>
          <w:lang w:val="en-US" w:eastAsia="zh-CN"/>
        </w:rPr>
      </w:pPr>
      <w:r>
        <w:rPr>
          <w:rFonts w:ascii="宋体" w:hint="eastAsia"/>
          <w:sz w:val="28"/>
          <w:szCs w:val="28"/>
        </w:rPr>
        <w:t>十二、国有资本经营预算财政拨款支出决算表</w:t>
      </w:r>
    </w:p>
    <w:p>
      <w:pPr>
        <w:keepNext w:val="0"/>
        <w:keepLines w:val="0"/>
        <w:pageBreakBefore w:val="0"/>
        <w:widowControl w:val="0"/>
        <w:tabs>
          <w:tab w:val="right" w:pos="5250"/>
        </w:tabs>
        <w:kinsoku/>
        <w:wordWrap/>
        <w:overflowPunct/>
        <w:topLinePunct w:val="0"/>
        <w:autoSpaceDE/>
        <w:autoSpaceDN/>
        <w:bidi w:val="0"/>
        <w:ind w:firstLineChars="100" w:firstLine="280"/>
        <w:textAlignment w:val="auto"/>
        <w:rPr>
          <w:rFonts w:eastAsia="宋体"/>
          <w:lang w:val="en-US" w:eastAsia="zh-CN"/>
        </w:rPr>
      </w:pPr>
      <w:r>
        <w:rPr>
          <w:rFonts w:hint="eastAsia"/>
          <w:sz w:val="28"/>
          <w:szCs w:val="28"/>
        </w:rPr>
        <w:t>十三、财政拨款“三公”经费支出决算表</w:t>
      </w:r>
    </w:p>
    <w:p>
      <w:pPr>
        <w:pStyle w:val="22"/>
        <w:keepNext w:val="0"/>
        <w:keepLines w:val="0"/>
        <w:pageBreakBefore w:val="0"/>
        <w:widowControl w:val="0"/>
        <w:tabs>
          <w:tab w:val="right" w:pos="5250"/>
          <w:tab w:val="right" w:leader="dot" w:pos="8296"/>
        </w:tabs>
        <w:kinsoku/>
        <w:wordWrap/>
        <w:overflowPunct/>
        <w:topLinePunct w:val="0"/>
        <w:autoSpaceDE/>
        <w:autoSpaceDN/>
        <w:bidi w:val="0"/>
        <w:spacing w:line="560" w:lineRule="exact"/>
        <w:textAlignment w:val="auto"/>
        <w:rPr>
          <w:rFonts w:ascii="宋体" w:cs="Times New Roman"/>
        </w:rPr>
      </w:pPr>
      <w:r>
        <w:rPr>
          <w:rFonts w:ascii="宋体"/>
          <w:caps w:val="0"/>
          <w:smallCaps/>
        </w:rPr>
        <w:fldChar w:fldCharType="end"/>
      </w:r>
    </w:p>
    <w:p>
      <w:pPr>
        <w:keepNext w:val="0"/>
        <w:keepLines w:val="0"/>
        <w:pageBreakBefore w:val="0"/>
        <w:widowControl/>
        <w:tabs>
          <w:tab w:val="right" w:pos="5250"/>
        </w:tabs>
        <w:kinsoku/>
        <w:wordWrap/>
        <w:overflowPunct/>
        <w:topLinePunct w:val="0"/>
        <w:autoSpaceDE/>
        <w:autoSpaceDN/>
        <w:bidi w:val="0"/>
        <w:spacing w:line="560" w:lineRule="exact"/>
        <w:jc w:val="left"/>
        <w:textAlignment w:val="auto"/>
        <w:rPr>
          <w:rFonts w:ascii="宋体"/>
          <w:color w:val="000000"/>
          <w:sz w:val="28"/>
          <w:szCs w:val="28"/>
        </w:rPr>
      </w:pPr>
      <w:r>
        <w:rPr>
          <w:rFonts w:ascii="宋体" w:cs="黑体"/>
          <w:color w:val="000000"/>
          <w:sz w:val="28"/>
          <w:szCs w:val="28"/>
        </w:rPr>
        <w:fldChar w:fldCharType="end"/>
      </w:r>
    </w:p>
    <w:p>
      <w:pPr>
        <w:widowControl/>
        <w:spacing w:line="560" w:lineRule="exact"/>
        <w:jc w:val="left"/>
        <w:rPr>
          <w:rFonts w:ascii="宋体"/>
          <w:kern w:val="44"/>
          <w:sz w:val="28"/>
          <w:szCs w:val="28"/>
        </w:rPr>
      </w:pPr>
      <w:bookmarkStart w:id="12" w:name="_Toc15377196"/>
      <w:bookmarkStart w:id="13" w:name="_Toc15396599"/>
    </w:p>
    <w:p>
      <w:pPr>
        <w:widowControl/>
        <w:spacing w:line="560" w:lineRule="exact"/>
        <w:jc w:val="left"/>
        <w:rPr>
          <w:rFonts w:ascii="宋体"/>
          <w:kern w:val="44"/>
          <w:sz w:val="28"/>
          <w:szCs w:val="28"/>
        </w:rPr>
      </w:pPr>
    </w:p>
    <w:p>
      <w:pPr>
        <w:widowControl/>
        <w:spacing w:line="560" w:lineRule="exact"/>
        <w:jc w:val="left"/>
        <w:rPr>
          <w:rFonts w:ascii="宋体"/>
          <w:kern w:val="44"/>
          <w:sz w:val="28"/>
          <w:szCs w:val="28"/>
        </w:rPr>
      </w:pPr>
    </w:p>
    <w:p>
      <w:pPr>
        <w:widowControl/>
        <w:spacing w:line="560" w:lineRule="exact"/>
        <w:jc w:val="left"/>
        <w:rPr>
          <w:rFonts w:ascii="宋体"/>
          <w:kern w:val="44"/>
          <w:sz w:val="28"/>
          <w:szCs w:val="28"/>
        </w:rPr>
      </w:pPr>
    </w:p>
    <w:p>
      <w:pPr>
        <w:widowControl/>
        <w:spacing w:line="560" w:lineRule="exact"/>
        <w:jc w:val="center"/>
        <w:rPr>
          <w:rFonts w:ascii="宋体"/>
          <w:sz w:val="28"/>
          <w:szCs w:val="28"/>
        </w:rPr>
      </w:pPr>
    </w:p>
    <w:p>
      <w:pPr>
        <w:widowControl/>
        <w:spacing w:line="560" w:lineRule="exact"/>
        <w:jc w:val="center"/>
        <w:rPr>
          <w:rFonts w:ascii="宋体"/>
          <w:sz w:val="28"/>
          <w:szCs w:val="28"/>
        </w:rPr>
      </w:pPr>
    </w:p>
    <w:p>
      <w:pPr>
        <w:widowControl/>
        <w:spacing w:line="560" w:lineRule="exact"/>
        <w:jc w:val="center"/>
        <w:rPr>
          <w:rFonts w:ascii="宋体"/>
          <w:sz w:val="28"/>
          <w:szCs w:val="28"/>
        </w:rPr>
      </w:pPr>
    </w:p>
    <w:p>
      <w:pPr>
        <w:widowControl/>
        <w:spacing w:line="560" w:lineRule="exact"/>
        <w:jc w:val="center"/>
        <w:rPr>
          <w:rFonts w:ascii="黑体" w:eastAsia="黑体"/>
        </w:rPr>
      </w:pPr>
    </w:p>
    <w:p>
      <w:pPr>
        <w:adjustRightInd w:val="0"/>
        <w:snapToGrid w:val="0"/>
        <w:spacing w:line="560" w:lineRule="exact"/>
        <w:jc w:val="center"/>
        <w:outlineLvl w:val="0"/>
        <w:rPr>
          <w:rStyle w:val="1Char"/>
          <w:rFonts w:ascii="方正小标宋简体" w:eastAsia="方正小标宋简体" w:cs="方正小标宋简体" w:hint="eastAsia"/>
          <w:b w:val="0"/>
          <w:bCs w:val="0"/>
        </w:rPr>
      </w:pPr>
    </w:p>
    <w:p>
      <w:pPr>
        <w:adjustRightInd w:val="0"/>
        <w:snapToGrid w:val="0"/>
        <w:spacing w:line="560" w:lineRule="exact"/>
        <w:jc w:val="center"/>
        <w:outlineLvl w:val="0"/>
        <w:rPr>
          <w:rStyle w:val="1Char"/>
          <w:rFonts w:ascii="方正小标宋简体" w:eastAsia="方正小标宋简体" w:cs="方正小标宋简体"/>
          <w:b w:val="0"/>
          <w:bCs w:val="0"/>
        </w:rPr>
      </w:pPr>
      <w:r>
        <w:rPr>
          <w:rStyle w:val="1Char"/>
          <w:rFonts w:ascii="方正小标宋简体" w:eastAsia="方正小标宋简体" w:cs="方正小标宋简体" w:hint="eastAsia"/>
          <w:b w:val="0"/>
          <w:bCs w:val="0"/>
        </w:rPr>
        <w:t>第一部分  单位概况</w:t>
      </w:r>
      <w:bookmarkStart w:id="14" w:name="_Toc15377197"/>
      <w:bookmarkStart w:id="15" w:name="_Toc15396600"/>
      <w:bookmarkEnd w:id="12"/>
      <w:bookmarkEnd w:id="13"/>
    </w:p>
    <w:p>
      <w:pPr>
        <w:adjustRightInd w:val="0"/>
        <w:snapToGrid w:val="0"/>
        <w:spacing w:line="560" w:lineRule="exact"/>
        <w:jc w:val="center"/>
        <w:rPr>
          <w:rFonts w:ascii="仿宋_GB2312" w:eastAsia="仿宋_GB2312"/>
          <w:color w:val="000000"/>
          <w:sz w:val="44"/>
          <w:szCs w:val="44"/>
        </w:rPr>
      </w:pPr>
    </w:p>
    <w:p>
      <w:pPr>
        <w:numPr>
          <w:ilvl w:val="0"/>
          <w:numId w:val="1"/>
        </w:numPr>
        <w:adjustRightInd w:val="0"/>
        <w:snapToGrid w:val="0"/>
        <w:spacing w:line="560" w:lineRule="exact"/>
        <w:ind w:left="0" w:firstLineChars="200" w:firstLine="640"/>
        <w:jc w:val="left"/>
        <w:outlineLvl w:val="1"/>
        <w:rPr>
          <w:rStyle w:val="2Char"/>
          <w:rFonts w:ascii="黑体" w:eastAsia="黑体" w:cs="Times New Roman"/>
          <w:b w:val="0"/>
          <w:bCs w:val="0"/>
        </w:rPr>
      </w:pPr>
      <w:bookmarkStart w:id="16" w:name="_Toc15377198"/>
      <w:bookmarkStart w:id="17" w:name="_Toc15378445"/>
      <w:bookmarkEnd w:id="14"/>
      <w:bookmarkEnd w:id="15"/>
      <w:r>
        <w:rPr>
          <w:rStyle w:val="2Char"/>
          <w:rFonts w:ascii="黑体" w:eastAsia="黑体" w:cs="黑体" w:hint="eastAsia"/>
          <w:b w:val="0"/>
          <w:bCs w:val="0"/>
        </w:rPr>
        <w:t>主要职责</w:t>
      </w:r>
    </w:p>
    <w:p>
      <w:pPr>
        <w:adjustRightInd w:val="0"/>
        <w:snapToGrid w:val="0"/>
        <w:spacing w:line="560" w:lineRule="exact"/>
        <w:ind w:firstLineChars="200" w:firstLine="640"/>
        <w:jc w:val="left"/>
        <w:outlineLvl w:val="0"/>
        <w:rPr>
          <w:rFonts w:ascii="仿宋_GB2312" w:eastAsia="仿宋_GB2312"/>
          <w:sz w:val="32"/>
          <w:szCs w:val="32"/>
        </w:rPr>
      </w:pPr>
      <w:bookmarkEnd w:id="16"/>
      <w:bookmarkEnd w:id="17"/>
      <w:r>
        <w:rPr>
          <w:rFonts w:ascii="仿宋_GB2312" w:eastAsia="仿宋_GB2312" w:cs="仿宋_GB2312"/>
          <w:sz w:val="32"/>
          <w:szCs w:val="32"/>
        </w:rPr>
        <w:t>1.</w:t>
      </w:r>
      <w:r>
        <w:rPr>
          <w:rFonts w:ascii="仿宋_GB2312" w:eastAsia="仿宋_GB2312" w:cs="仿宋_GB2312" w:hint="eastAsia"/>
          <w:sz w:val="32"/>
          <w:szCs w:val="32"/>
        </w:rPr>
        <w:t>根据县委、县政府对全县干部队伍的要求，有计划地轮训、培训全县各级党员领导干部和公务员及理论宣传骨干，协同组织人事部门对学员在校期间的表现进行考核，提出使用建议。</w:t>
      </w:r>
    </w:p>
    <w:p>
      <w:pPr>
        <w:spacing w:line="56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围绕党的中心任务和县委、县政府的重大部署，对全县重大现实问题开展理论研究，为教学和社会实践服务，将重要成果提供县委、县政府决策参考。</w:t>
      </w:r>
    </w:p>
    <w:p>
      <w:pPr>
        <w:spacing w:line="560" w:lineRule="exact"/>
        <w:rPr>
          <w:rFonts w:ascii="仿宋_GB2312" w:eastAsia="仿宋_GB2312"/>
          <w:sz w:val="32"/>
          <w:szCs w:val="32"/>
        </w:rPr>
      </w:pPr>
      <w:r>
        <w:rPr>
          <w:rFonts w:ascii="仿宋_GB2312" w:eastAsia="仿宋_GB2312" w:cs="仿宋_GB2312"/>
          <w:sz w:val="32"/>
          <w:szCs w:val="32"/>
        </w:rPr>
        <w:t xml:space="preserve">    3.</w:t>
      </w:r>
      <w:r>
        <w:rPr>
          <w:rFonts w:ascii="仿宋_GB2312" w:eastAsia="仿宋_GB2312" w:cs="仿宋_GB2312" w:hint="eastAsia"/>
          <w:sz w:val="32"/>
          <w:szCs w:val="32"/>
        </w:rPr>
        <w:t>接受上级党校的业务指导，完成县委、县政府交办的其它事项。</w:t>
      </w:r>
    </w:p>
    <w:p>
      <w:pPr>
        <w:spacing w:line="560" w:lineRule="exact"/>
        <w:ind w:firstLineChars="200" w:firstLine="640"/>
        <w:outlineLvl w:val="1"/>
        <w:rPr>
          <w:rStyle w:val="2Char"/>
          <w:b w:val="0"/>
          <w:bCs w:val="0"/>
        </w:rPr>
      </w:pPr>
      <w:bookmarkStart w:id="18" w:name="_Toc15396601"/>
      <w:bookmarkStart w:id="19" w:name="_Toc15377200"/>
      <w:r>
        <w:rPr>
          <w:rFonts w:ascii="黑体" w:eastAsia="黑体" w:cs="黑体" w:hint="eastAsia"/>
          <w:color w:val="000000"/>
          <w:sz w:val="32"/>
          <w:szCs w:val="32"/>
        </w:rPr>
        <w:t>二、机</w:t>
      </w:r>
      <w:r>
        <w:rPr>
          <w:rStyle w:val="2Char"/>
          <w:rFonts w:ascii="黑体" w:eastAsia="黑体" w:cs="黑体" w:hint="eastAsia"/>
          <w:b w:val="0"/>
          <w:bCs w:val="0"/>
        </w:rPr>
        <w:t>构设置</w:t>
      </w:r>
      <w:bookmarkEnd w:id="18"/>
      <w:bookmarkEnd w:id="19"/>
    </w:p>
    <w:p>
      <w:pPr>
        <w:spacing w:line="560" w:lineRule="exact"/>
        <w:ind w:firstLine="567"/>
        <w:rPr>
          <w:rFonts w:ascii="仿宋_GB2312" w:eastAsia="仿宋_GB2312"/>
          <w:sz w:val="32"/>
          <w:szCs w:val="32"/>
        </w:rPr>
      </w:pPr>
      <w:r>
        <w:rPr>
          <w:rFonts w:ascii="仿宋_GB2312" w:eastAsia="仿宋_GB2312" w:cs="仿宋_GB2312" w:hint="eastAsia"/>
          <w:sz w:val="32"/>
          <w:szCs w:val="32"/>
        </w:rPr>
        <w:t>本单位为一级预算单位，所属</w:t>
      </w:r>
      <w:r>
        <w:rPr>
          <w:rFonts w:ascii="仿宋_GB2312" w:eastAsia="仿宋_GB2312" w:cs="仿宋_GB2312"/>
          <w:sz w:val="32"/>
          <w:szCs w:val="32"/>
        </w:rPr>
        <w:t>1</w:t>
      </w:r>
      <w:r>
        <w:rPr>
          <w:rFonts w:ascii="仿宋_GB2312" w:eastAsia="仿宋_GB2312" w:cs="仿宋_GB2312" w:hint="eastAsia"/>
          <w:sz w:val="32"/>
          <w:szCs w:val="32"/>
        </w:rPr>
        <w:t>级预算单位，单位性质为参照公务员管理的事业单位，决算编报类型为单户表，按照行政单位会计制度填报决算数据。</w:t>
      </w:r>
    </w:p>
    <w:p>
      <w:pPr>
        <w:snapToGrid w:val="0"/>
        <w:spacing w:line="560" w:lineRule="exact"/>
        <w:ind w:firstLineChars="200" w:firstLine="640"/>
        <w:rPr>
          <w:rFonts w:ascii="楷体_GB2312" w:eastAsia="楷体_GB2312"/>
          <w:sz w:val="32"/>
          <w:szCs w:val="32"/>
        </w:rPr>
      </w:pPr>
      <w:r>
        <w:rPr>
          <w:rFonts w:ascii="仿宋_GB2312" w:eastAsia="仿宋_GB2312" w:cs="仿宋_GB2312" w:hint="eastAsia"/>
          <w:sz w:val="32"/>
          <w:szCs w:val="32"/>
        </w:rPr>
        <w:t>纳入本套决算编制范围的独立核算单位共</w:t>
      </w:r>
      <w:r>
        <w:rPr>
          <w:rFonts w:ascii="仿宋_GB2312" w:eastAsia="仿宋_GB2312" w:cs="仿宋_GB2312"/>
          <w:sz w:val="32"/>
          <w:szCs w:val="32"/>
        </w:rPr>
        <w:t>1</w:t>
      </w:r>
      <w:r>
        <w:rPr>
          <w:rFonts w:ascii="仿宋_GB2312" w:eastAsia="仿宋_GB2312" w:cs="仿宋_GB2312" w:hint="eastAsia"/>
          <w:sz w:val="32"/>
          <w:szCs w:val="32"/>
        </w:rPr>
        <w:t>个。</w:t>
      </w:r>
    </w:p>
    <w:p>
      <w:pPr>
        <w:widowControl/>
        <w:spacing w:line="560" w:lineRule="exact"/>
        <w:jc w:val="center"/>
        <w:outlineLvl w:val="0"/>
        <w:rPr>
          <w:rStyle w:val="1Char"/>
          <w:rFonts w:ascii="方正小标宋简体" w:eastAsia="方正小标宋简体" w:cs="方正小标宋简体"/>
          <w:b w:val="0"/>
          <w:bCs w:val="0"/>
        </w:rPr>
      </w:pPr>
      <w:r>
        <w:rPr>
          <w:rFonts w:ascii="??" w:hAnsi="??"/>
          <w:color w:val="000000"/>
          <w:sz w:val="32"/>
          <w:szCs w:val="32"/>
        </w:rPr>
        <w:br w:type="page"/>
      </w:r>
      <w:bookmarkStart w:id="20" w:name="_Toc15396602"/>
      <w:bookmarkStart w:id="21" w:name="_Toc15377204"/>
      <w:r>
        <w:rPr>
          <w:rStyle w:val="1Char"/>
          <w:rFonts w:ascii="方正小标宋简体" w:eastAsia="方正小标宋简体" w:cs="方正小标宋简体" w:hint="eastAsia"/>
          <w:b w:val="0"/>
          <w:bCs w:val="0"/>
        </w:rPr>
        <w:t>第二部分</w:t>
      </w:r>
      <w:r>
        <w:rPr>
          <w:rStyle w:val="1Char"/>
          <w:rFonts w:ascii="方正小标宋简体" w:eastAsia="方正小标宋简体" w:cs="方正小标宋简体"/>
          <w:b w:val="0"/>
          <w:bCs w:val="0"/>
        </w:rPr>
        <w:t>202</w:t>
      </w:r>
      <w:r>
        <w:rPr>
          <w:rStyle w:val="1Char"/>
          <w:rFonts w:ascii="方正小标宋简体" w:eastAsia="方正小标宋简体" w:cs="方正小标宋简体" w:hint="eastAsia"/>
          <w:b w:val="0"/>
          <w:bCs w:val="0"/>
        </w:rPr>
        <w:t>3年度单位决算情况说明</w:t>
      </w:r>
      <w:bookmarkStart w:id="22" w:name="_Toc15377205"/>
      <w:bookmarkStart w:id="23" w:name="_Toc15396603"/>
      <w:bookmarkEnd w:id="20"/>
      <w:bookmarkEnd w:id="21"/>
    </w:p>
    <w:p>
      <w:pPr>
        <w:widowControl/>
        <w:spacing w:line="560" w:lineRule="exact"/>
        <w:jc w:val="center"/>
        <w:rPr>
          <w:rStyle w:val="1Char"/>
          <w:rFonts w:ascii="??" w:hAnsi="??"/>
          <w:b w:val="0"/>
          <w:bCs w:val="0"/>
          <w:color w:val="000000"/>
          <w:kern w:val="2"/>
          <w:sz w:val="32"/>
          <w:szCs w:val="32"/>
        </w:rPr>
      </w:pPr>
    </w:p>
    <w:p>
      <w:pPr>
        <w:numPr>
          <w:ilvl w:val="0"/>
          <w:numId w:val="2"/>
        </w:numPr>
        <w:adjustRightInd w:val="0"/>
        <w:snapToGrid w:val="0"/>
        <w:spacing w:line="560" w:lineRule="exact"/>
        <w:ind w:left="0" w:firstLineChars="200" w:firstLine="640"/>
        <w:outlineLvl w:val="1"/>
        <w:rPr>
          <w:rStyle w:val="2Char"/>
          <w:rFonts w:ascii="黑体" w:eastAsia="黑体" w:cs="Times New Roman"/>
          <w:b w:val="0"/>
          <w:bCs w:val="0"/>
        </w:rPr>
      </w:pPr>
      <w:r>
        <w:rPr>
          <w:rFonts w:ascii="黑体" w:eastAsia="黑体" w:cs="黑体" w:hint="eastAsia"/>
          <w:color w:val="000000"/>
          <w:sz w:val="32"/>
          <w:szCs w:val="32"/>
        </w:rPr>
        <w:t>收</w:t>
      </w:r>
      <w:r>
        <w:rPr>
          <w:rStyle w:val="2Char"/>
          <w:rFonts w:ascii="黑体" w:eastAsia="黑体" w:cs="黑体" w:hint="eastAsia"/>
          <w:b w:val="0"/>
          <w:bCs w:val="0"/>
        </w:rPr>
        <w:t>入支出决算总体情况说明</w:t>
      </w:r>
      <w:bookmarkEnd w:id="22"/>
      <w:bookmarkEnd w:id="23"/>
    </w:p>
    <w:p>
      <w:pPr>
        <w:widowControl/>
        <w:spacing w:line="560" w:lineRule="exact"/>
        <w:ind w:firstLineChars="200" w:firstLine="640"/>
        <w:jc w:val="left"/>
        <w:rPr>
          <w:rFonts w:ascii="仿宋_GB2312" w:eastAsia="仿宋_GB2312"/>
          <w:sz w:val="32"/>
          <w:szCs w:val="32"/>
        </w:rPr>
      </w:pPr>
      <w:r>
        <w:rPr>
          <w:rFonts w:ascii="仿宋_GB2312" w:eastAsia="仿宋_GB2312" w:cs="仿宋_GB2312"/>
          <w:sz w:val="32"/>
          <w:szCs w:val="32"/>
        </w:rPr>
        <w:t>202</w:t>
      </w:r>
      <w:r>
        <w:rPr>
          <w:rFonts w:ascii="仿宋_GB2312" w:eastAsia="仿宋_GB2312" w:cs="仿宋_GB2312" w:hint="eastAsia"/>
          <w:sz w:val="32"/>
          <w:szCs w:val="32"/>
        </w:rPr>
        <w:t>3年度收、支总计398.5万元。与</w:t>
      </w:r>
      <w:r>
        <w:rPr>
          <w:rFonts w:ascii="仿宋_GB2312" w:eastAsia="仿宋_GB2312" w:cs="仿宋_GB2312"/>
          <w:sz w:val="32"/>
          <w:szCs w:val="32"/>
        </w:rPr>
        <w:t>202</w:t>
      </w:r>
      <w:r>
        <w:rPr>
          <w:rFonts w:ascii="仿宋_GB2312" w:eastAsia="仿宋_GB2312" w:cs="仿宋_GB2312" w:hint="eastAsia"/>
          <w:sz w:val="32"/>
          <w:szCs w:val="32"/>
        </w:rPr>
        <w:t>2年相比，收、支总计各增加187.23万元，增长88.6</w:t>
      </w:r>
      <w:r>
        <w:rPr>
          <w:rFonts w:ascii="仿宋_GB2312" w:eastAsia="仿宋_GB2312" w:cs="仿宋_GB2312"/>
          <w:sz w:val="32"/>
          <w:szCs w:val="32"/>
        </w:rPr>
        <w:t>%</w:t>
      </w:r>
      <w:r>
        <w:rPr>
          <w:rFonts w:ascii="仿宋_GB2312" w:eastAsia="仿宋_GB2312" w:cs="仿宋_GB2312" w:hint="eastAsia"/>
          <w:sz w:val="32"/>
          <w:szCs w:val="32"/>
        </w:rPr>
        <w:t>。主要原因是2023年增加了项目经费。</w:t>
      </w:r>
    </w:p>
    <w:p>
      <w:pPr>
        <w:widowControl/>
        <w:spacing w:line="560" w:lineRule="exact"/>
        <w:ind w:firstLineChars="300" w:firstLine="840"/>
        <w:jc w:val="left"/>
        <w:rPr>
          <w:rFonts w:ascii="宋体" w:cs="宋体"/>
          <w:b/>
          <w:bCs/>
          <w:color w:val="000000"/>
          <w:kern w:val="0"/>
          <w:sz w:val="28"/>
          <w:szCs w:val="28"/>
        </w:rPr>
      </w:pPr>
      <w:r>
        <w:rPr>
          <w:rFonts w:ascii="宋体" w:cs="宋体" w:hint="eastAsia"/>
          <w:b/>
          <w:bCs/>
          <w:color w:val="000000"/>
          <w:kern w:val="0"/>
          <w:sz w:val="28"/>
          <w:szCs w:val="28"/>
        </w:rPr>
        <w:t>图</w:t>
      </w:r>
      <w:r>
        <w:rPr>
          <w:rFonts w:ascii="宋体" w:cs="宋体"/>
          <w:b/>
          <w:bCs/>
          <w:color w:val="000000"/>
          <w:kern w:val="0"/>
          <w:sz w:val="28"/>
          <w:szCs w:val="28"/>
        </w:rPr>
        <w:t>1</w:t>
      </w:r>
      <w:r>
        <w:rPr>
          <w:rFonts w:ascii="宋体" w:cs="宋体" w:hint="eastAsia"/>
          <w:b/>
          <w:bCs/>
          <w:color w:val="000000"/>
          <w:kern w:val="0"/>
          <w:sz w:val="28"/>
          <w:szCs w:val="28"/>
        </w:rPr>
        <w:t>：收、支决算总计变动情况图（单位：万元）</w:t>
      </w:r>
    </w:p>
    <w:p>
      <w:pPr>
        <w:widowControl/>
        <w:spacing w:line="560" w:lineRule="exact"/>
        <w:jc w:val="center"/>
        <w:rPr>
          <w:rFonts w:ascii="宋体"/>
          <w:b/>
          <w:color w:val="000000"/>
          <w:kern w:val="0"/>
          <w:sz w:val="28"/>
          <w:szCs w:val="28"/>
        </w:rPr>
      </w:pPr>
      <w:r>
        <w:drawing>
          <wp:anchor distT="0" distB="0" distL="114300" distR="114300" simplePos="0" relativeHeight="19" behindDoc="0" locked="0" layoutInCell="1" hidden="0" allowOverlap="1">
            <wp:simplePos x="0" y="0"/>
            <wp:positionH relativeFrom="column">
              <wp:posOffset>523240</wp:posOffset>
            </wp:positionH>
            <wp:positionV relativeFrom="paragraph">
              <wp:posOffset>101600</wp:posOffset>
            </wp:positionV>
            <wp:extent cx="4035425" cy="2651760"/>
            <wp:effectExtent l="0" t="0" r="30" b="41"/>
            <wp:wrapSquare wrapText="bothSides"/>
            <wp:docPr id="4" name="_x0000_s1026"/>
            <wp:cNvGraphicFramePr>
              <a:graphicFrameLocks noChangeAspect="1"/>
            </wp:cNvGraphicFramePr>
            <a:graphic>
              <a:graphicData uri="http://schemas.openxmlformats.org/drawingml/2006/picture">
                <pic:pic>
                  <pic:nvPicPr>
                    <pic:cNvPr id="6" name="_x0000_s1026 6"/>
                    <pic:cNvPicPr/>
                  </pic:nvPicPr>
                  <pic:blipFill>
                    <a:blip r:embed="rId5"/>
                    <a:stretch>
                      <a:fillRect/>
                    </a:stretch>
                  </pic:blipFill>
                  <pic:spPr>
                    <a:xfrm rot="0">
                      <a:off x="0" y="0"/>
                      <a:ext cx="4035425" cy="2651760"/>
                    </a:xfrm>
                    <a:prstGeom prst="rect"/>
                    <a:noFill/>
                    <a:ln w="9525" cmpd="sng" cap="flat">
                      <a:noFill/>
                      <a:prstDash val="solid"/>
                      <a:miter/>
                    </a:ln>
                  </pic:spPr>
                </pic:pic>
              </a:graphicData>
            </a:graphic>
          </wp:anchor>
        </w:drawing>
      </w:r>
    </w:p>
    <w:p>
      <w:pPr>
        <w:widowControl/>
        <w:spacing w:line="560" w:lineRule="exact"/>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pStyle w:val="15"/>
        <w:rPr>
          <w:b/>
          <w:color w:val="000000"/>
          <w:sz w:val="28"/>
          <w:szCs w:val="28"/>
        </w:rPr>
      </w:pPr>
    </w:p>
    <w:p>
      <w:pPr>
        <w:pStyle w:val="16"/>
        <w:tabs>
          <w:tab w:val="center" w:pos="4153"/>
          <w:tab w:val="right" w:pos="8306"/>
        </w:tabs>
      </w:pPr>
    </w:p>
    <w:p>
      <w:pPr>
        <w:widowControl/>
        <w:spacing w:line="560" w:lineRule="exact"/>
        <w:jc w:val="center"/>
        <w:rPr>
          <w:rFonts w:ascii="宋体"/>
          <w:b/>
          <w:color w:val="000000"/>
          <w:kern w:val="0"/>
          <w:sz w:val="28"/>
          <w:szCs w:val="28"/>
        </w:rPr>
      </w:pPr>
    </w:p>
    <w:p>
      <w:pPr>
        <w:widowControl/>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widowControl/>
        <w:spacing w:line="560" w:lineRule="exact"/>
        <w:ind w:firstLineChars="200" w:firstLine="640"/>
        <w:jc w:val="left"/>
        <w:outlineLvl w:val="1"/>
        <w:rPr>
          <w:rStyle w:val="2Char"/>
          <w:rFonts w:ascii="Times New Roman" w:cs="Times New Roman" w:hAnsi="Times New Roman"/>
          <w:b w:val="0"/>
          <w:bCs w:val="0"/>
          <w:sz w:val="21"/>
          <w:szCs w:val="24"/>
        </w:rPr>
      </w:pPr>
      <w:bookmarkStart w:id="24" w:name="_Toc15377206"/>
      <w:bookmarkStart w:id="25" w:name="_Toc15396604"/>
      <w:r>
        <w:rPr>
          <w:rFonts w:ascii="黑体" w:eastAsia="黑体" w:cs="黑体" w:hint="eastAsia"/>
          <w:color w:val="000000"/>
          <w:sz w:val="32"/>
          <w:szCs w:val="32"/>
        </w:rPr>
        <w:t>二、收</w:t>
      </w:r>
      <w:r>
        <w:rPr>
          <w:rStyle w:val="2Char"/>
          <w:rFonts w:ascii="黑体" w:eastAsia="黑体" w:cs="黑体" w:hint="eastAsia"/>
          <w:b w:val="0"/>
          <w:bCs w:val="0"/>
        </w:rPr>
        <w:t>入决算情况说明</w:t>
      </w:r>
      <w:bookmarkEnd w:id="24"/>
      <w:bookmarkEnd w:id="25"/>
    </w:p>
    <w:p>
      <w:pPr>
        <w:widowControl/>
        <w:spacing w:line="560" w:lineRule="exact"/>
        <w:ind w:firstLineChars="200" w:firstLine="640"/>
        <w:jc w:val="left"/>
        <w:rPr>
          <w:rFonts w:ascii="仿宋_GB2312" w:eastAsia="仿宋_GB2312"/>
          <w:sz w:val="32"/>
          <w:szCs w:val="32"/>
        </w:rPr>
      </w:pPr>
      <w:r>
        <w:rPr>
          <w:rFonts w:ascii="仿宋_GB2312" w:eastAsia="仿宋_GB2312" w:cs="仿宋_GB2312"/>
          <w:sz w:val="32"/>
          <w:szCs w:val="32"/>
        </w:rPr>
        <w:t>202</w:t>
      </w:r>
      <w:r>
        <w:rPr>
          <w:rFonts w:ascii="仿宋_GB2312" w:eastAsia="仿宋_GB2312" w:cs="仿宋_GB2312" w:hint="eastAsia"/>
          <w:sz w:val="32"/>
          <w:szCs w:val="32"/>
        </w:rPr>
        <w:t>3年本年收入398.5万元，其中：一般公共预算财政拨款收入398.5万元，占总收入的</w:t>
      </w:r>
      <w:r>
        <w:rPr>
          <w:rFonts w:ascii="仿宋_GB2312" w:eastAsia="仿宋_GB2312" w:cs="仿宋_GB2312"/>
          <w:sz w:val="32"/>
          <w:szCs w:val="32"/>
        </w:rPr>
        <w:t>100%</w:t>
      </w:r>
      <w:r>
        <w:rPr>
          <w:rFonts w:ascii="仿宋_GB2312" w:eastAsia="仿宋_GB2312" w:cs="仿宋_GB2312" w:hint="eastAsia"/>
          <w:sz w:val="32"/>
          <w:szCs w:val="32"/>
        </w:rPr>
        <w:t>；</w:t>
      </w:r>
      <w:r>
        <w:rPr>
          <w:rFonts w:ascii="仿宋_GB2312" w:eastAsia="仿宋_GB2312" w:cs="仿宋_GB2312" w:hint="eastAsia"/>
          <w:color w:val="000000"/>
          <w:kern w:val="0"/>
          <w:sz w:val="32"/>
          <w:szCs w:val="32"/>
        </w:rPr>
        <w:t>政府性基金预算财政拨款收入</w:t>
      </w:r>
      <w:r>
        <w:rPr>
          <w:rFonts w:ascii="仿宋_GB2312" w:eastAsia="仿宋_GB2312" w:cs="仿宋_GB2312"/>
          <w:color w:val="000000"/>
          <w:kern w:val="0"/>
          <w:sz w:val="32"/>
          <w:szCs w:val="32"/>
        </w:rPr>
        <w:t>0</w:t>
      </w:r>
      <w:r>
        <w:rPr>
          <w:rFonts w:ascii="仿宋_GB2312" w:eastAsia="仿宋_GB2312" w:cs="仿宋_GB2312" w:hint="eastAsia"/>
          <w:color w:val="000000"/>
          <w:kern w:val="0"/>
          <w:sz w:val="32"/>
          <w:szCs w:val="32"/>
        </w:rPr>
        <w:t>万元；国有资本经营预算财政拨款收入0万元，上级补助收入</w:t>
      </w:r>
      <w:r>
        <w:rPr>
          <w:rFonts w:ascii="仿宋_GB2312" w:eastAsia="仿宋_GB2312" w:cs="仿宋_GB2312"/>
          <w:color w:val="000000"/>
          <w:kern w:val="0"/>
          <w:sz w:val="32"/>
          <w:szCs w:val="32"/>
        </w:rPr>
        <w:t>0</w:t>
      </w:r>
      <w:r>
        <w:rPr>
          <w:rFonts w:ascii="仿宋_GB2312" w:eastAsia="仿宋_GB2312" w:cs="仿宋_GB2312" w:hint="eastAsia"/>
          <w:color w:val="000000"/>
          <w:kern w:val="0"/>
          <w:sz w:val="32"/>
          <w:szCs w:val="32"/>
        </w:rPr>
        <w:t>万元</w:t>
      </w:r>
      <w:r>
        <w:rPr>
          <w:rFonts w:ascii="仿宋_GB2312" w:eastAsia="仿宋_GB2312" w:cs="仿宋_GB2312"/>
          <w:color w:val="000000"/>
          <w:kern w:val="0"/>
          <w:sz w:val="32"/>
          <w:szCs w:val="32"/>
        </w:rPr>
        <w:t>;</w:t>
      </w:r>
      <w:r>
        <w:rPr>
          <w:rFonts w:ascii="仿宋_GB2312" w:eastAsia="仿宋_GB2312" w:cs="仿宋_GB2312" w:hint="eastAsia"/>
          <w:color w:val="000000"/>
          <w:kern w:val="0"/>
          <w:sz w:val="32"/>
          <w:szCs w:val="32"/>
        </w:rPr>
        <w:t>事业收入</w:t>
      </w:r>
      <w:r>
        <w:rPr>
          <w:rFonts w:ascii="仿宋_GB2312" w:eastAsia="仿宋_GB2312" w:cs="仿宋_GB2312"/>
          <w:color w:val="000000"/>
          <w:kern w:val="0"/>
          <w:sz w:val="32"/>
          <w:szCs w:val="32"/>
        </w:rPr>
        <w:t>0</w:t>
      </w:r>
      <w:r>
        <w:rPr>
          <w:rFonts w:ascii="仿宋_GB2312" w:eastAsia="仿宋_GB2312" w:cs="仿宋_GB2312" w:hint="eastAsia"/>
          <w:color w:val="000000"/>
          <w:kern w:val="0"/>
          <w:sz w:val="32"/>
          <w:szCs w:val="32"/>
        </w:rPr>
        <w:t>万元；经营收入</w:t>
      </w:r>
      <w:r>
        <w:rPr>
          <w:rFonts w:ascii="仿宋_GB2312" w:eastAsia="仿宋_GB2312" w:cs="仿宋_GB2312"/>
          <w:color w:val="000000"/>
          <w:kern w:val="0"/>
          <w:sz w:val="32"/>
          <w:szCs w:val="32"/>
        </w:rPr>
        <w:t>0</w:t>
      </w:r>
      <w:r>
        <w:rPr>
          <w:rFonts w:ascii="仿宋_GB2312" w:eastAsia="仿宋_GB2312" w:cs="仿宋_GB2312" w:hint="eastAsia"/>
          <w:color w:val="000000"/>
          <w:kern w:val="0"/>
          <w:sz w:val="32"/>
          <w:szCs w:val="32"/>
        </w:rPr>
        <w:t>万元；附属单位上缴收入</w:t>
      </w:r>
      <w:r>
        <w:rPr>
          <w:rFonts w:ascii="仿宋_GB2312" w:eastAsia="仿宋_GB2312" w:cs="仿宋_GB2312"/>
          <w:color w:val="000000"/>
          <w:kern w:val="0"/>
          <w:sz w:val="32"/>
          <w:szCs w:val="32"/>
        </w:rPr>
        <w:t>0</w:t>
      </w:r>
      <w:r>
        <w:rPr>
          <w:rFonts w:ascii="仿宋_GB2312" w:eastAsia="仿宋_GB2312" w:cs="仿宋_GB2312" w:hint="eastAsia"/>
          <w:color w:val="000000"/>
          <w:kern w:val="0"/>
          <w:sz w:val="32"/>
          <w:szCs w:val="32"/>
        </w:rPr>
        <w:t>万元；</w:t>
      </w:r>
      <w:r>
        <w:rPr>
          <w:rFonts w:ascii="仿宋_GB2312" w:eastAsia="仿宋_GB2312" w:cs="仿宋_GB2312" w:hint="eastAsia"/>
          <w:sz w:val="32"/>
          <w:szCs w:val="32"/>
        </w:rPr>
        <w:t>其他收入</w:t>
      </w:r>
      <w:r>
        <w:rPr>
          <w:rFonts w:ascii="仿宋_GB2312" w:eastAsia="仿宋_GB2312" w:cs="仿宋_GB2312"/>
          <w:sz w:val="32"/>
          <w:szCs w:val="32"/>
        </w:rPr>
        <w:t>0</w:t>
      </w:r>
      <w:r>
        <w:rPr>
          <w:rFonts w:ascii="仿宋_GB2312" w:eastAsia="仿宋_GB2312" w:cs="仿宋_GB2312" w:hint="eastAsia"/>
          <w:sz w:val="32"/>
          <w:szCs w:val="32"/>
        </w:rPr>
        <w:t>万元。</w:t>
      </w:r>
    </w:p>
    <w:p>
      <w:pPr>
        <w:widowControl/>
        <w:spacing w:line="560" w:lineRule="exact"/>
        <w:jc w:val="center"/>
        <w:rPr>
          <w:rFonts w:ascii="宋体" w:cs="宋体"/>
          <w:b/>
          <w:bCs/>
          <w:color w:val="000000"/>
          <w:kern w:val="0"/>
          <w:sz w:val="28"/>
          <w:szCs w:val="28"/>
        </w:rPr>
      </w:pPr>
      <w:r>
        <w:rPr>
          <w:rFonts w:ascii="宋体" w:cs="宋体" w:hint="eastAsia"/>
          <w:b/>
          <w:bCs/>
          <w:color w:val="000000"/>
          <w:kern w:val="0"/>
          <w:sz w:val="28"/>
          <w:szCs w:val="28"/>
        </w:rPr>
        <w:t>图</w:t>
      </w:r>
      <w:r>
        <w:rPr>
          <w:rFonts w:ascii="宋体" w:cs="宋体"/>
          <w:b/>
          <w:bCs/>
          <w:color w:val="000000"/>
          <w:kern w:val="0"/>
          <w:sz w:val="28"/>
          <w:szCs w:val="28"/>
        </w:rPr>
        <w:t xml:space="preserve"> 2</w:t>
      </w:r>
      <w:r>
        <w:rPr>
          <w:rFonts w:ascii="宋体" w:cs="宋体" w:hint="eastAsia"/>
          <w:b/>
          <w:bCs/>
          <w:color w:val="000000"/>
          <w:kern w:val="0"/>
          <w:sz w:val="28"/>
          <w:szCs w:val="28"/>
        </w:rPr>
        <w:t>：收入决算结构图（单位：万元）</w:t>
      </w:r>
    </w:p>
    <w:p>
      <w:pPr>
        <w:widowControl/>
        <w:spacing w:line="560" w:lineRule="exact"/>
        <w:ind w:firstLineChars="600" w:firstLine="1260"/>
        <w:jc w:val="left"/>
        <w:rPr>
          <w:rFonts w:ascii="宋体" w:cs="宋体"/>
          <w:b/>
          <w:bCs/>
          <w:color w:val="000000"/>
          <w:kern w:val="0"/>
          <w:sz w:val="28"/>
          <w:szCs w:val="28"/>
        </w:rPr>
      </w:pPr>
      <w:r>
        <w:drawing>
          <wp:anchor distT="0" distB="0" distL="114300" distR="114300" simplePos="0" relativeHeight="21" behindDoc="0" locked="0" layoutInCell="1" hidden="0" allowOverlap="1">
            <wp:simplePos x="0" y="0"/>
            <wp:positionH relativeFrom="column">
              <wp:posOffset>838200</wp:posOffset>
            </wp:positionH>
            <wp:positionV relativeFrom="paragraph">
              <wp:posOffset>-350520</wp:posOffset>
            </wp:positionV>
            <wp:extent cx="4105275" cy="2472055"/>
            <wp:effectExtent l="0" t="1" r="32" b="26"/>
            <wp:wrapSquare wrapText="bothSides"/>
            <wp:docPr id="7" name="_x0000_s1027"/>
            <wp:cNvGraphicFramePr>
              <a:graphicFrameLocks noChangeAspect="1"/>
            </wp:cNvGraphicFramePr>
            <a:graphic>
              <a:graphicData uri="http://schemas.openxmlformats.org/drawingml/2006/picture">
                <pic:pic>
                  <pic:nvPicPr>
                    <pic:cNvPr id="9" name="_x0000_s1027 9"/>
                    <pic:cNvPicPr/>
                  </pic:nvPicPr>
                  <pic:blipFill>
                    <a:blip r:embed="rId6"/>
                    <a:stretch>
                      <a:fillRect/>
                    </a:stretch>
                  </pic:blipFill>
                  <pic:spPr>
                    <a:xfrm rot="0">
                      <a:off x="0" y="0"/>
                      <a:ext cx="4105275" cy="2472055"/>
                    </a:xfrm>
                    <a:prstGeom prst="rect"/>
                    <a:noFill/>
                    <a:ln w="9525" cmpd="sng" cap="flat">
                      <a:noFill/>
                      <a:prstDash val="solid"/>
                      <a:miter/>
                    </a:ln>
                  </pic:spPr>
                </pic:pic>
              </a:graphicData>
            </a:graphic>
          </wp:anchor>
        </w:drawing>
      </w:r>
    </w:p>
    <w:p>
      <w:pPr>
        <w:widowControl/>
        <w:tabs>
          <w:tab w:val="left" w:pos="1745"/>
        </w:tabs>
        <w:spacing w:line="560" w:lineRule="exact"/>
        <w:jc w:val="left"/>
        <w:rPr>
          <w:rFonts w:ascii="黑体" w:eastAsia="黑体" w:cs="黑体"/>
          <w:sz w:val="32"/>
          <w:szCs w:val="32"/>
        </w:rPr>
      </w:pPr>
      <w:bookmarkStart w:id="26" w:name="_Toc15377207"/>
      <w:bookmarkStart w:id="27" w:name="_Toc15396605"/>
    </w:p>
    <w:p>
      <w:pPr>
        <w:widowControl/>
        <w:tabs>
          <w:tab w:val="left" w:pos="1745"/>
        </w:tabs>
        <w:spacing w:line="560" w:lineRule="exact"/>
        <w:jc w:val="left"/>
        <w:rPr>
          <w:rFonts w:ascii="黑体" w:eastAsia="黑体" w:cs="黑体"/>
          <w:sz w:val="32"/>
          <w:szCs w:val="32"/>
        </w:rPr>
      </w:pPr>
    </w:p>
    <w:p>
      <w:pPr>
        <w:widowControl/>
        <w:tabs>
          <w:tab w:val="left" w:pos="1745"/>
        </w:tabs>
        <w:spacing w:line="560" w:lineRule="exact"/>
        <w:jc w:val="left"/>
        <w:rPr>
          <w:rFonts w:ascii="黑体" w:eastAsia="黑体" w:cs="黑体"/>
          <w:sz w:val="32"/>
          <w:szCs w:val="32"/>
        </w:rPr>
      </w:pPr>
    </w:p>
    <w:p>
      <w:pPr>
        <w:widowControl/>
        <w:spacing w:line="560" w:lineRule="exact"/>
        <w:jc w:val="left"/>
        <w:rPr>
          <w:rFonts w:ascii="黑体" w:eastAsia="黑体" w:cs="黑体"/>
          <w:sz w:val="32"/>
          <w:szCs w:val="32"/>
        </w:rPr>
      </w:pPr>
    </w:p>
    <w:p>
      <w:pPr>
        <w:widowControl/>
        <w:spacing w:line="560" w:lineRule="exact"/>
        <w:ind w:firstLineChars="200" w:firstLine="640"/>
        <w:jc w:val="left"/>
        <w:rPr>
          <w:rFonts w:ascii="黑体" w:eastAsia="黑体" w:cs="黑体"/>
          <w:sz w:val="32"/>
          <w:szCs w:val="32"/>
        </w:rPr>
      </w:pPr>
    </w:p>
    <w:p>
      <w:pPr>
        <w:widowControl/>
        <w:spacing w:line="560" w:lineRule="exact"/>
        <w:ind w:firstLineChars="200" w:firstLine="640"/>
        <w:jc w:val="left"/>
        <w:rPr>
          <w:rFonts w:ascii="黑体" w:eastAsia="黑体" w:cs="黑体"/>
          <w:sz w:val="32"/>
          <w:szCs w:val="32"/>
        </w:rPr>
      </w:pPr>
    </w:p>
    <w:p>
      <w:pPr>
        <w:widowControl/>
        <w:spacing w:line="560" w:lineRule="exact"/>
        <w:ind w:firstLineChars="200" w:firstLine="640"/>
        <w:jc w:val="left"/>
        <w:outlineLvl w:val="1"/>
        <w:rPr>
          <w:rStyle w:val="2Char"/>
          <w:rFonts w:ascii="黑体" w:eastAsia="黑体" w:cs="Times New Roman"/>
          <w:b w:val="0"/>
          <w:bCs w:val="0"/>
        </w:rPr>
      </w:pPr>
      <w:r>
        <w:rPr>
          <w:rFonts w:ascii="黑体" w:eastAsia="黑体" w:cs="黑体" w:hint="eastAsia"/>
          <w:sz w:val="32"/>
          <w:szCs w:val="32"/>
        </w:rPr>
        <w:t>三、</w:t>
      </w:r>
      <w:r>
        <w:rPr>
          <w:rFonts w:ascii="黑体" w:eastAsia="黑体" w:cs="黑体" w:hint="eastAsia"/>
          <w:color w:val="000000"/>
          <w:sz w:val="32"/>
          <w:szCs w:val="32"/>
        </w:rPr>
        <w:t>支</w:t>
      </w:r>
      <w:r>
        <w:rPr>
          <w:rStyle w:val="2Char"/>
          <w:rFonts w:ascii="黑体" w:eastAsia="黑体" w:cs="黑体" w:hint="eastAsia"/>
          <w:b w:val="0"/>
          <w:bCs w:val="0"/>
        </w:rPr>
        <w:t>出决算情况说明</w:t>
      </w:r>
      <w:bookmarkEnd w:id="26"/>
      <w:bookmarkEnd w:id="27"/>
    </w:p>
    <w:p>
      <w:pPr>
        <w:widowControl/>
        <w:spacing w:line="560" w:lineRule="exact"/>
        <w:ind w:firstLineChars="200" w:firstLine="640"/>
        <w:jc w:val="left"/>
        <w:rPr>
          <w:rFonts w:ascii="仿宋_GB2312" w:eastAsia="仿宋_GB2312"/>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3年本年支出合计398.5万元，其中：基本支出220.03万元，占55</w:t>
      </w:r>
      <w:r>
        <w:rPr>
          <w:rFonts w:ascii="仿宋_GB2312" w:eastAsia="仿宋_GB2312" w:cs="仿宋_GB2312"/>
          <w:color w:val="000000"/>
          <w:sz w:val="32"/>
          <w:szCs w:val="32"/>
        </w:rPr>
        <w:t>%;</w:t>
      </w:r>
      <w:r>
        <w:rPr>
          <w:rFonts w:ascii="仿宋_GB2312" w:eastAsia="仿宋_GB2312" w:cs="仿宋_GB2312" w:hint="eastAsia"/>
          <w:color w:val="000000"/>
          <w:sz w:val="32"/>
          <w:szCs w:val="32"/>
        </w:rPr>
        <w:t>项目支出178.47万元，占45</w:t>
      </w:r>
      <w:r>
        <w:rPr>
          <w:rFonts w:ascii="仿宋_GB2312" w:eastAsia="仿宋_GB2312" w:cs="仿宋_GB2312"/>
          <w:color w:val="000000"/>
          <w:sz w:val="32"/>
          <w:szCs w:val="32"/>
        </w:rPr>
        <w:t>%</w:t>
      </w:r>
      <w:r>
        <w:rPr>
          <w:rFonts w:ascii="仿宋_GB2312" w:eastAsia="仿宋_GB2312" w:cs="仿宋_GB2312" w:hint="eastAsia"/>
          <w:color w:val="000000"/>
          <w:sz w:val="32"/>
          <w:szCs w:val="32"/>
        </w:rPr>
        <w:t>；上缴上级支出0万元；经营支出0万元；对附属单位补助支出0万元。</w:t>
      </w:r>
    </w:p>
    <w:p>
      <w:pPr>
        <w:widowControl/>
        <w:spacing w:line="560" w:lineRule="exact"/>
        <w:jc w:val="center"/>
      </w:pPr>
      <w:r>
        <w:rPr>
          <w:rFonts w:ascii="宋体" w:cs="宋体" w:hint="eastAsia"/>
          <w:b/>
          <w:bCs/>
          <w:color w:val="000000"/>
          <w:kern w:val="0"/>
          <w:sz w:val="28"/>
          <w:szCs w:val="28"/>
        </w:rPr>
        <w:t>图</w:t>
      </w:r>
      <w:r>
        <w:rPr>
          <w:rFonts w:ascii="宋体" w:cs="宋体"/>
          <w:b/>
          <w:bCs/>
          <w:color w:val="000000"/>
          <w:kern w:val="0"/>
          <w:sz w:val="28"/>
          <w:szCs w:val="28"/>
        </w:rPr>
        <w:t xml:space="preserve"> 3</w:t>
      </w:r>
      <w:r>
        <w:rPr>
          <w:rFonts w:ascii="宋体" w:cs="宋体" w:hint="eastAsia"/>
          <w:b/>
          <w:bCs/>
          <w:color w:val="000000"/>
          <w:kern w:val="0"/>
          <w:sz w:val="28"/>
          <w:szCs w:val="28"/>
        </w:rPr>
        <w:t>：支出决算结构图（单位：万元</w:t>
      </w:r>
      <w:bookmarkStart w:id="28" w:name="_Toc15377208"/>
      <w:bookmarkStart w:id="29" w:name="_Toc15396606"/>
      <w:r>
        <w:rPr>
          <w:rFonts w:ascii="宋体" w:cs="宋体" w:hint="eastAsia"/>
          <w:b/>
          <w:bCs/>
          <w:color w:val="000000"/>
          <w:kern w:val="0"/>
          <w:sz w:val="28"/>
          <w:szCs w:val="28"/>
        </w:rPr>
        <w:t>）</w:t>
      </w:r>
    </w:p>
    <w:p>
      <w:pPr>
        <w:tabs>
          <w:tab w:val="left" w:pos="6765"/>
        </w:tabs>
        <w:spacing w:line="560" w:lineRule="exact"/>
        <w:rPr>
          <w:rFonts w:ascii="仿宋_GB2312" w:eastAsia="仿宋_GB2312"/>
          <w:color w:val="000000"/>
          <w:sz w:val="32"/>
          <w:szCs w:val="32"/>
        </w:rPr>
      </w:pPr>
      <w:r>
        <w:drawing>
          <wp:anchor distT="0" distB="0" distL="114300" distR="114300" simplePos="0" relativeHeight="31" behindDoc="0" locked="0" layoutInCell="1" hidden="0" allowOverlap="1">
            <wp:simplePos x="0" y="0"/>
            <wp:positionH relativeFrom="column">
              <wp:posOffset>479425</wp:posOffset>
            </wp:positionH>
            <wp:positionV relativeFrom="paragraph">
              <wp:posOffset>197485</wp:posOffset>
            </wp:positionV>
            <wp:extent cx="4331335" cy="2774950"/>
            <wp:effectExtent l="0" t="0" r="3" b="20"/>
            <wp:wrapSquare wrapText="bothSides"/>
            <wp:docPr id="10" name="图片 1"/>
            <wp:cNvGraphicFramePr>
              <a:graphicFrameLocks noChangeAspect="1"/>
            </wp:cNvGraphicFramePr>
            <a:graphic>
              <a:graphicData uri="http://schemas.openxmlformats.org/drawingml/2006/picture">
                <pic:pic>
                  <pic:nvPicPr>
                    <pic:cNvPr id="12" name="图片 1 12"/>
                    <pic:cNvPicPr/>
                  </pic:nvPicPr>
                  <pic:blipFill>
                    <a:blip r:embed="rId7"/>
                    <a:stretch>
                      <a:fillRect/>
                    </a:stretch>
                  </pic:blipFill>
                  <pic:spPr>
                    <a:xfrm rot="0">
                      <a:off x="0" y="0"/>
                      <a:ext cx="4331335" cy="2774950"/>
                    </a:xfrm>
                    <a:prstGeom prst="rect"/>
                    <a:noFill/>
                    <a:ln w="9525" cmpd="sng" cap="flat">
                      <a:noFill/>
                      <a:prstDash val="solid"/>
                      <a:round/>
                    </a:ln>
                  </pic:spPr>
                </pic:pic>
              </a:graphicData>
            </a:graphic>
          </wp:anchor>
        </w:drawing>
      </w:r>
    </w:p>
    <w:p>
      <w:pPr>
        <w:tabs>
          <w:tab w:val="left" w:pos="6765"/>
        </w:tabs>
        <w:spacing w:line="560" w:lineRule="exact"/>
        <w:rPr>
          <w:rFonts w:ascii="仿宋_GB2312" w:eastAsia="仿宋_GB2312"/>
          <w:color w:val="000000"/>
          <w:sz w:val="32"/>
          <w:szCs w:val="32"/>
        </w:rPr>
      </w:pPr>
    </w:p>
    <w:p>
      <w:pPr>
        <w:tabs>
          <w:tab w:val="left" w:pos="2662"/>
        </w:tabs>
        <w:spacing w:line="560" w:lineRule="exact"/>
        <w:rPr>
          <w:rFonts w:ascii="仿宋_GB2312" w:eastAsia="仿宋_GB2312"/>
          <w:color w:val="000000"/>
          <w:sz w:val="32"/>
          <w:szCs w:val="32"/>
        </w:rPr>
      </w:pPr>
      <w:r>
        <w:rPr>
          <w:rFonts w:ascii="仿宋_GB2312" w:eastAsia="仿宋_GB2312"/>
          <w:color w:val="000000"/>
          <w:sz w:val="32"/>
          <w:szCs w:val="32"/>
        </w:rPr>
        <w:tab/>
      </w: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ind w:firstLineChars="200" w:firstLine="640"/>
        <w:outlineLvl w:val="1"/>
        <w:rPr>
          <w:rStyle w:val="2Char"/>
          <w:rFonts w:ascii="黑体" w:eastAsia="黑体" w:cs="Times New Roman"/>
          <w:b w:val="0"/>
          <w:bCs w:val="0"/>
        </w:rPr>
      </w:pPr>
      <w:r>
        <w:rPr>
          <w:rFonts w:ascii="黑体" w:eastAsia="黑体" w:cs="黑体" w:hint="eastAsia"/>
          <w:color w:val="000000"/>
          <w:sz w:val="32"/>
          <w:szCs w:val="32"/>
        </w:rPr>
        <w:t>四、财</w:t>
      </w:r>
      <w:r>
        <w:rPr>
          <w:rStyle w:val="2Char"/>
          <w:rFonts w:ascii="黑体" w:eastAsia="黑体" w:cs="黑体" w:hint="eastAsia"/>
          <w:b w:val="0"/>
          <w:bCs w:val="0"/>
        </w:rPr>
        <w:t>政拨款收入支出决算总体情况说明</w:t>
      </w:r>
      <w:bookmarkEnd w:id="28"/>
      <w:bookmarkEnd w:id="29"/>
    </w:p>
    <w:p>
      <w:pPr>
        <w:widowControl/>
        <w:spacing w:line="560" w:lineRule="exact"/>
        <w:ind w:firstLineChars="200" w:firstLine="640"/>
        <w:jc w:val="left"/>
        <w:rPr>
          <w:rFonts w:ascii="仿宋_GB2312" w:eastAsia="仿宋_GB2312"/>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3年财政拨款收、支总计398.5万元。与</w:t>
      </w:r>
      <w:r>
        <w:rPr>
          <w:rFonts w:ascii="仿宋_GB2312" w:eastAsia="仿宋_GB2312" w:cs="仿宋_GB2312"/>
          <w:color w:val="000000"/>
          <w:sz w:val="32"/>
          <w:szCs w:val="32"/>
        </w:rPr>
        <w:t>202</w:t>
      </w:r>
      <w:r>
        <w:rPr>
          <w:rFonts w:ascii="仿宋_GB2312" w:eastAsia="仿宋_GB2312" w:cs="仿宋_GB2312" w:hint="eastAsia"/>
          <w:color w:val="000000"/>
          <w:sz w:val="32"/>
          <w:szCs w:val="32"/>
        </w:rPr>
        <w:t>2年相比，财政拨款收、支总计增加187.23万元，增长88.6</w:t>
      </w:r>
      <w:r>
        <w:rPr>
          <w:rFonts w:ascii="仿宋_GB2312" w:eastAsia="仿宋_GB2312" w:cs="仿宋_GB2312"/>
          <w:color w:val="000000"/>
          <w:sz w:val="32"/>
          <w:szCs w:val="32"/>
        </w:rPr>
        <w:t>%</w:t>
      </w:r>
      <w:r>
        <w:rPr>
          <w:rFonts w:ascii="仿宋_GB2312" w:eastAsia="仿宋_GB2312" w:cs="仿宋_GB2312" w:hint="eastAsia"/>
          <w:color w:val="000000"/>
          <w:sz w:val="32"/>
          <w:szCs w:val="32"/>
        </w:rPr>
        <w:t>。主要变动的原因是增加项目经费</w:t>
      </w:r>
      <w:r>
        <w:rPr>
          <w:rFonts w:ascii="仿宋_GB2312" w:eastAsia="仿宋_GB2312" w:hint="eastAsia"/>
          <w:sz w:val="32"/>
          <w:szCs w:val="32"/>
        </w:rPr>
        <w:t>。</w:t>
      </w:r>
    </w:p>
    <w:p>
      <w:pPr>
        <w:spacing w:line="560" w:lineRule="exact"/>
        <w:ind w:firstLineChars="200" w:firstLine="560"/>
        <w:rPr>
          <w:rFonts w:ascii="宋体" w:cs="宋体"/>
          <w:b/>
          <w:bCs/>
          <w:color w:val="000000"/>
          <w:kern w:val="0"/>
          <w:sz w:val="28"/>
          <w:szCs w:val="28"/>
        </w:rPr>
      </w:pPr>
      <w:r>
        <w:rPr>
          <w:rFonts w:ascii="宋体" w:cs="宋体" w:hint="eastAsia"/>
          <w:b/>
          <w:bCs/>
          <w:color w:val="000000"/>
          <w:kern w:val="0"/>
          <w:sz w:val="28"/>
          <w:szCs w:val="28"/>
        </w:rPr>
        <w:t>图</w:t>
      </w:r>
      <w:r>
        <w:rPr>
          <w:rFonts w:ascii="宋体" w:cs="宋体"/>
          <w:b/>
          <w:bCs/>
          <w:color w:val="000000"/>
          <w:kern w:val="0"/>
          <w:sz w:val="28"/>
          <w:szCs w:val="28"/>
        </w:rPr>
        <w:t>4</w:t>
      </w:r>
      <w:r>
        <w:rPr>
          <w:rFonts w:ascii="宋体" w:cs="宋体" w:hint="eastAsia"/>
          <w:b/>
          <w:bCs/>
          <w:color w:val="000000"/>
          <w:kern w:val="0"/>
          <w:sz w:val="28"/>
          <w:szCs w:val="28"/>
        </w:rPr>
        <w:t>：财政拨款收、支决算变动情况（单位：万元）</w:t>
      </w:r>
    </w:p>
    <w:p>
      <w:pPr>
        <w:spacing w:line="560" w:lineRule="exact"/>
        <w:ind w:firstLineChars="200" w:firstLine="420"/>
        <w:rPr>
          <w:rFonts w:ascii="宋体" w:cs="宋体"/>
          <w:b/>
          <w:bCs/>
          <w:color w:val="000000"/>
          <w:kern w:val="0"/>
          <w:sz w:val="28"/>
          <w:szCs w:val="28"/>
        </w:rPr>
      </w:pPr>
      <w:r>
        <w:drawing>
          <wp:anchor distT="0" distB="0" distL="114300" distR="114300" simplePos="0" relativeHeight="23" behindDoc="0" locked="0" layoutInCell="1" hidden="0" allowOverlap="1">
            <wp:simplePos x="0" y="0"/>
            <wp:positionH relativeFrom="column">
              <wp:posOffset>542925</wp:posOffset>
            </wp:positionH>
            <wp:positionV relativeFrom="paragraph">
              <wp:posOffset>263525</wp:posOffset>
            </wp:positionV>
            <wp:extent cx="4503420" cy="2609215"/>
            <wp:effectExtent l="0" t="0" r="26" b="24"/>
            <wp:wrapSquare wrapText="bothSides"/>
            <wp:docPr id="13" name="_x0000_s1029"/>
            <wp:cNvGraphicFramePr>
              <a:graphicFrameLocks noChangeAspect="1"/>
            </wp:cNvGraphicFramePr>
            <a:graphic>
              <a:graphicData uri="http://schemas.openxmlformats.org/drawingml/2006/picture">
                <pic:pic>
                  <pic:nvPicPr>
                    <pic:cNvPr id="15" name="_x0000_s1029 15"/>
                    <pic:cNvPicPr/>
                  </pic:nvPicPr>
                  <pic:blipFill>
                    <a:blip r:embed="rId8"/>
                    <a:stretch>
                      <a:fillRect/>
                    </a:stretch>
                  </pic:blipFill>
                  <pic:spPr>
                    <a:xfrm rot="0">
                      <a:off x="0" y="0"/>
                      <a:ext cx="4503420" cy="2609215"/>
                    </a:xfrm>
                    <a:prstGeom prst="rect"/>
                    <a:noFill/>
                    <a:ln w="9525" cmpd="sng" cap="flat">
                      <a:noFill/>
                      <a:prstDash val="solid"/>
                      <a:miter/>
                    </a:ln>
                  </pic:spPr>
                </pic:pic>
              </a:graphicData>
            </a:graphic>
          </wp:anchor>
        </w:drawing>
      </w:r>
    </w:p>
    <w:p>
      <w:pPr>
        <w:spacing w:line="560" w:lineRule="exact"/>
        <w:ind w:firstLineChars="200" w:firstLine="560"/>
        <w:rPr>
          <w:rFonts w:ascii="宋体" w:cs="宋体"/>
          <w:b/>
          <w:bCs/>
          <w:color w:val="000000"/>
          <w:kern w:val="0"/>
          <w:sz w:val="28"/>
          <w:szCs w:val="28"/>
        </w:rPr>
      </w:pPr>
    </w:p>
    <w:p>
      <w:pPr>
        <w:spacing w:line="560" w:lineRule="exact"/>
        <w:ind w:firstLineChars="200" w:firstLine="560"/>
        <w:rPr>
          <w:rFonts w:ascii="宋体" w:cs="宋体"/>
          <w:b/>
          <w:bCs/>
          <w:color w:val="000000"/>
          <w:kern w:val="0"/>
          <w:sz w:val="28"/>
          <w:szCs w:val="28"/>
        </w:rPr>
      </w:pPr>
    </w:p>
    <w:p>
      <w:pPr>
        <w:spacing w:line="560" w:lineRule="exact"/>
        <w:ind w:firstLineChars="200" w:firstLine="560"/>
        <w:rPr>
          <w:rFonts w:ascii="宋体" w:cs="宋体"/>
          <w:b/>
          <w:bCs/>
          <w:color w:val="000000"/>
          <w:kern w:val="0"/>
          <w:sz w:val="28"/>
          <w:szCs w:val="28"/>
        </w:rPr>
      </w:pPr>
    </w:p>
    <w:p>
      <w:pPr>
        <w:spacing w:line="560" w:lineRule="exact"/>
        <w:ind w:firstLineChars="200" w:firstLine="420"/>
      </w:pPr>
    </w:p>
    <w:p>
      <w:pPr>
        <w:spacing w:line="560" w:lineRule="exact"/>
        <w:ind w:firstLineChars="350" w:firstLine="1120"/>
        <w:rPr>
          <w:rFonts w:ascii="黑体" w:eastAsia="黑体" w:cs="黑体"/>
          <w:color w:val="000000"/>
          <w:sz w:val="32"/>
          <w:szCs w:val="32"/>
        </w:rPr>
      </w:pPr>
      <w:bookmarkStart w:id="30" w:name="_Toc15396607"/>
      <w:bookmarkStart w:id="31" w:name="_Toc15377209"/>
    </w:p>
    <w:p>
      <w:pPr>
        <w:spacing w:line="560" w:lineRule="exact"/>
        <w:ind w:firstLineChars="350" w:firstLine="1120"/>
        <w:rPr>
          <w:rFonts w:ascii="黑体" w:eastAsia="黑体" w:cs="黑体"/>
          <w:color w:val="000000"/>
          <w:sz w:val="32"/>
          <w:szCs w:val="32"/>
        </w:rPr>
      </w:pPr>
    </w:p>
    <w:p>
      <w:pPr>
        <w:spacing w:line="560" w:lineRule="exact"/>
        <w:ind w:firstLineChars="200" w:firstLine="640"/>
        <w:outlineLvl w:val="1"/>
        <w:rPr>
          <w:rStyle w:val="2Char"/>
          <w:rFonts w:ascii="黑体" w:eastAsia="黑体" w:cs="黑体"/>
          <w:b w:val="0"/>
          <w:bCs w:val="0"/>
          <w:color w:val="000000"/>
        </w:rPr>
      </w:pPr>
      <w:r>
        <w:rPr>
          <w:rFonts w:ascii="黑体" w:eastAsia="黑体" w:cs="黑体" w:hint="eastAsia"/>
          <w:color w:val="000000"/>
          <w:sz w:val="32"/>
          <w:szCs w:val="32"/>
        </w:rPr>
        <w:t>五、</w:t>
      </w:r>
      <w:r>
        <w:rPr>
          <w:rFonts w:ascii="黑体" w:eastAsia="黑体" w:cs="黑体" w:hint="eastAsia"/>
          <w:b/>
          <w:bCs/>
          <w:color w:val="000000"/>
          <w:sz w:val="32"/>
          <w:szCs w:val="32"/>
        </w:rPr>
        <w:t>一</w:t>
      </w:r>
      <w:r>
        <w:rPr>
          <w:rStyle w:val="2Char"/>
          <w:rFonts w:ascii="黑体" w:eastAsia="黑体" w:cs="黑体" w:hint="eastAsia"/>
          <w:b w:val="0"/>
          <w:bCs w:val="0"/>
        </w:rPr>
        <w:t>般公共预算财政拨款支出决算情况说明</w:t>
      </w:r>
      <w:bookmarkStart w:id="32" w:name="_Toc15377210"/>
      <w:bookmarkEnd w:id="30"/>
      <w:bookmarkEnd w:id="31"/>
    </w:p>
    <w:p>
      <w:pPr>
        <w:spacing w:line="560" w:lineRule="exact"/>
        <w:ind w:firstLineChars="196" w:firstLine="627"/>
        <w:outlineLvl w:val="2"/>
        <w:rPr>
          <w:rFonts w:ascii="黑体" w:eastAsia="黑体" w:cs="黑体"/>
          <w:sz w:val="32"/>
          <w:szCs w:val="32"/>
        </w:rPr>
      </w:pPr>
      <w:r>
        <w:rPr>
          <w:rFonts w:ascii="楷体" w:eastAsia="楷体" w:cs="楷体" w:hint="eastAsia"/>
          <w:b/>
          <w:bCs/>
          <w:color w:val="000000"/>
          <w:sz w:val="32"/>
          <w:szCs w:val="32"/>
        </w:rPr>
        <w:t>（一）一般公共预算财政拨款支出决算总体情况</w:t>
      </w:r>
      <w:bookmarkEnd w:id="32"/>
    </w:p>
    <w:p>
      <w:pPr>
        <w:widowControl/>
        <w:spacing w:line="560" w:lineRule="exact"/>
        <w:ind w:firstLineChars="200" w:firstLine="640"/>
        <w:jc w:val="left"/>
        <w:rPr>
          <w:rFonts w:ascii="仿宋_GB2312" w:eastAsia="仿宋_GB2312"/>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3年一般公共预算财政拨款支出398.5万元，占本年支出合计的</w:t>
      </w:r>
      <w:r>
        <w:rPr>
          <w:rFonts w:ascii="仿宋_GB2312" w:eastAsia="仿宋_GB2312" w:cs="仿宋_GB2312"/>
          <w:color w:val="000000"/>
          <w:sz w:val="32"/>
          <w:szCs w:val="32"/>
        </w:rPr>
        <w:t>100 %</w:t>
      </w:r>
      <w:r>
        <w:rPr>
          <w:rFonts w:ascii="仿宋_GB2312" w:eastAsia="仿宋_GB2312" w:cs="仿宋_GB2312" w:hint="eastAsia"/>
          <w:color w:val="000000"/>
          <w:sz w:val="32"/>
          <w:szCs w:val="32"/>
        </w:rPr>
        <w:t>。与</w:t>
      </w:r>
      <w:r>
        <w:rPr>
          <w:rFonts w:ascii="仿宋_GB2312" w:eastAsia="仿宋_GB2312" w:cs="仿宋_GB2312"/>
          <w:color w:val="000000"/>
          <w:sz w:val="32"/>
          <w:szCs w:val="32"/>
        </w:rPr>
        <w:t>202</w:t>
      </w:r>
      <w:r>
        <w:rPr>
          <w:rFonts w:ascii="仿宋_GB2312" w:eastAsia="仿宋_GB2312" w:cs="仿宋_GB2312" w:hint="eastAsia"/>
          <w:color w:val="000000"/>
          <w:sz w:val="32"/>
          <w:szCs w:val="32"/>
        </w:rPr>
        <w:t>2年相比，一般公共预算财政拨款增加187.23万元，增长88.6</w:t>
      </w:r>
      <w:r>
        <w:rPr>
          <w:rFonts w:ascii="仿宋_GB2312" w:eastAsia="仿宋_GB2312" w:cs="仿宋_GB2312"/>
          <w:color w:val="000000"/>
          <w:sz w:val="32"/>
          <w:szCs w:val="32"/>
        </w:rPr>
        <w:t>%</w:t>
      </w:r>
      <w:r>
        <w:rPr>
          <w:rFonts w:ascii="仿宋_GB2312" w:eastAsia="仿宋_GB2312" w:cs="仿宋_GB2312" w:hint="eastAsia"/>
          <w:color w:val="000000"/>
          <w:sz w:val="32"/>
          <w:szCs w:val="32"/>
        </w:rPr>
        <w:t>。主要变动原因是</w:t>
      </w:r>
      <w:r>
        <w:rPr>
          <w:rFonts w:ascii="仿宋_GB2312" w:eastAsia="仿宋_GB2312" w:hint="eastAsia"/>
          <w:sz w:val="32"/>
          <w:szCs w:val="32"/>
        </w:rPr>
        <w:t>增加项目经费。</w:t>
      </w:r>
    </w:p>
    <w:p>
      <w:pPr>
        <w:widowControl/>
        <w:spacing w:line="560" w:lineRule="exact"/>
        <w:jc w:val="left"/>
        <w:rPr>
          <w:rFonts w:ascii="宋体" w:cs="宋体"/>
          <w:b/>
          <w:bCs/>
          <w:color w:val="000000"/>
          <w:kern w:val="0"/>
          <w:sz w:val="28"/>
          <w:szCs w:val="28"/>
        </w:rPr>
      </w:pPr>
    </w:p>
    <w:p>
      <w:pPr>
        <w:widowControl/>
        <w:spacing w:line="560" w:lineRule="exact"/>
        <w:ind w:leftChars="266" w:left="559"/>
        <w:jc w:val="left"/>
        <w:rPr>
          <w:rFonts w:ascii="宋体"/>
          <w:b/>
          <w:bCs/>
          <w:color w:val="000000"/>
          <w:kern w:val="0"/>
          <w:sz w:val="28"/>
          <w:szCs w:val="28"/>
        </w:rPr>
      </w:pPr>
      <w:r>
        <w:rPr>
          <w:rFonts w:ascii="宋体" w:cs="宋体" w:hint="eastAsia"/>
          <w:b/>
          <w:bCs/>
          <w:color w:val="000000"/>
          <w:kern w:val="0"/>
          <w:sz w:val="28"/>
          <w:szCs w:val="28"/>
        </w:rPr>
        <w:t>图</w:t>
      </w:r>
      <w:r>
        <w:rPr>
          <w:rFonts w:ascii="宋体" w:cs="宋体"/>
          <w:b/>
          <w:bCs/>
          <w:color w:val="000000"/>
          <w:kern w:val="0"/>
          <w:sz w:val="28"/>
          <w:szCs w:val="28"/>
        </w:rPr>
        <w:t xml:space="preserve"> 5</w:t>
      </w:r>
      <w:r>
        <w:rPr>
          <w:rFonts w:ascii="宋体" w:cs="宋体" w:hint="eastAsia"/>
          <w:b/>
          <w:bCs/>
          <w:color w:val="000000"/>
          <w:kern w:val="0"/>
          <w:sz w:val="28"/>
          <w:szCs w:val="28"/>
        </w:rPr>
        <w:t>：一般公共预算财政拨款支出决算变动情况（单位：万元）</w:t>
      </w:r>
    </w:p>
    <w:p>
      <w:pPr>
        <w:widowControl/>
        <w:spacing w:line="560" w:lineRule="exact"/>
        <w:ind w:firstLineChars="200" w:firstLine="640"/>
        <w:jc w:val="left"/>
        <w:rPr>
          <w:rFonts w:ascii="楷体" w:eastAsia="楷体" w:cs="楷体"/>
          <w:b/>
          <w:bCs/>
          <w:color w:val="000000"/>
          <w:sz w:val="32"/>
          <w:szCs w:val="32"/>
        </w:rPr>
      </w:pPr>
      <w:bookmarkStart w:id="33" w:name="_Toc15377211"/>
    </w:p>
    <w:p>
      <w:pPr>
        <w:widowControl/>
        <w:tabs>
          <w:tab w:val="left" w:pos="3533"/>
        </w:tabs>
        <w:spacing w:line="560" w:lineRule="exact"/>
        <w:ind w:firstLineChars="200" w:firstLine="640"/>
        <w:jc w:val="left"/>
        <w:rPr>
          <w:rFonts w:ascii="楷体" w:eastAsia="楷体" w:cs="楷体"/>
          <w:b/>
          <w:bCs/>
          <w:color w:val="000000"/>
          <w:sz w:val="32"/>
          <w:szCs w:val="32"/>
        </w:rPr>
      </w:pPr>
    </w:p>
    <w:p>
      <w:pPr>
        <w:widowControl/>
        <w:tabs>
          <w:tab w:val="left" w:pos="3533"/>
        </w:tabs>
        <w:spacing w:line="560" w:lineRule="exact"/>
        <w:ind w:firstLineChars="200" w:firstLine="420"/>
        <w:jc w:val="left"/>
        <w:outlineLvl w:val="9"/>
        <w:rPr>
          <w:rFonts w:ascii="楷体" w:eastAsia="楷体" w:cs="楷体"/>
          <w:b/>
          <w:bCs/>
          <w:color w:val="000000"/>
          <w:sz w:val="32"/>
          <w:szCs w:val="32"/>
        </w:rPr>
      </w:pPr>
      <w:r>
        <w:drawing>
          <wp:anchor distT="0" distB="0" distL="114300" distR="114300" simplePos="0" relativeHeight="25" behindDoc="0" locked="0" layoutInCell="1" hidden="0" allowOverlap="1">
            <wp:simplePos x="0" y="0"/>
            <wp:positionH relativeFrom="column">
              <wp:posOffset>861060</wp:posOffset>
            </wp:positionH>
            <wp:positionV relativeFrom="paragraph">
              <wp:posOffset>-501650</wp:posOffset>
            </wp:positionV>
            <wp:extent cx="4136390" cy="2708275"/>
            <wp:effectExtent l="0" t="0" r="32" b="22"/>
            <wp:wrapSquare wrapText="bothSides"/>
            <wp:docPr id="16" name="_x0000_s1030"/>
            <wp:cNvGraphicFramePr>
              <a:graphicFrameLocks noChangeAspect="1"/>
            </wp:cNvGraphicFramePr>
            <a:graphic>
              <a:graphicData uri="http://schemas.openxmlformats.org/drawingml/2006/picture">
                <pic:pic>
                  <pic:nvPicPr>
                    <pic:cNvPr id="17" name="_x0000_s1030 17"/>
                    <pic:cNvPicPr/>
                  </pic:nvPicPr>
                  <pic:blipFill>
                    <a:blip r:embed="rId9"/>
                    <a:stretch>
                      <a:fillRect/>
                    </a:stretch>
                  </pic:blipFill>
                  <pic:spPr>
                    <a:xfrm rot="0">
                      <a:off x="0" y="0"/>
                      <a:ext cx="4136390" cy="2708275"/>
                    </a:xfrm>
                    <a:prstGeom prst="rect"/>
                    <a:noFill/>
                    <a:ln w="9525" cmpd="sng" cap="flat">
                      <a:noFill/>
                      <a:prstDash val="solid"/>
                      <a:miter/>
                    </a:ln>
                  </pic:spPr>
                </pic:pic>
              </a:graphicData>
            </a:graphic>
          </wp:anchor>
        </w:drawing>
      </w:r>
    </w:p>
    <w:p>
      <w:pPr>
        <w:widowControl/>
        <w:tabs>
          <w:tab w:val="left" w:pos="3533"/>
        </w:tabs>
        <w:spacing w:line="560" w:lineRule="exact"/>
        <w:ind w:firstLineChars="200" w:firstLine="640"/>
        <w:jc w:val="left"/>
        <w:outlineLvl w:val="9"/>
        <w:rPr>
          <w:rFonts w:ascii="楷体" w:eastAsia="楷体" w:cs="楷体"/>
          <w:b/>
          <w:bCs/>
          <w:color w:val="000000"/>
          <w:sz w:val="32"/>
          <w:szCs w:val="32"/>
        </w:rPr>
      </w:pPr>
    </w:p>
    <w:p>
      <w:pPr>
        <w:widowControl/>
        <w:tabs>
          <w:tab w:val="left" w:pos="3533"/>
        </w:tabs>
        <w:spacing w:line="560" w:lineRule="exact"/>
        <w:ind w:firstLineChars="200" w:firstLine="640"/>
        <w:jc w:val="left"/>
        <w:outlineLvl w:val="9"/>
        <w:rPr>
          <w:rFonts w:ascii="楷体" w:eastAsia="楷体" w:cs="楷体"/>
          <w:b/>
          <w:bCs/>
          <w:color w:val="000000"/>
          <w:sz w:val="32"/>
          <w:szCs w:val="32"/>
        </w:rPr>
      </w:pPr>
    </w:p>
    <w:p>
      <w:pPr>
        <w:widowControl/>
        <w:tabs>
          <w:tab w:val="left" w:pos="3533"/>
        </w:tabs>
        <w:spacing w:line="560" w:lineRule="exact"/>
        <w:ind w:firstLineChars="200" w:firstLine="640"/>
        <w:jc w:val="left"/>
        <w:outlineLvl w:val="9"/>
        <w:rPr>
          <w:rFonts w:ascii="楷体" w:eastAsia="楷体" w:cs="楷体"/>
          <w:b/>
          <w:bCs/>
          <w:color w:val="000000"/>
          <w:sz w:val="32"/>
          <w:szCs w:val="32"/>
        </w:rPr>
      </w:pPr>
    </w:p>
    <w:p>
      <w:pPr>
        <w:widowControl/>
        <w:tabs>
          <w:tab w:val="left" w:pos="3533"/>
        </w:tabs>
        <w:spacing w:line="560" w:lineRule="exact"/>
        <w:ind w:firstLineChars="200" w:firstLine="640"/>
        <w:jc w:val="left"/>
        <w:outlineLvl w:val="9"/>
        <w:rPr>
          <w:rFonts w:ascii="楷体" w:eastAsia="楷体" w:cs="楷体"/>
          <w:b/>
          <w:bCs/>
          <w:color w:val="000000"/>
          <w:sz w:val="32"/>
          <w:szCs w:val="32"/>
        </w:rPr>
      </w:pPr>
    </w:p>
    <w:p>
      <w:pPr>
        <w:widowControl/>
        <w:tabs>
          <w:tab w:val="left" w:pos="3533"/>
        </w:tabs>
        <w:spacing w:line="560" w:lineRule="exact"/>
        <w:ind w:firstLineChars="200" w:firstLine="640"/>
        <w:jc w:val="left"/>
        <w:outlineLvl w:val="2"/>
        <w:rPr>
          <w:rFonts w:ascii="楷体" w:eastAsia="楷体" w:cs="楷体"/>
          <w:b/>
          <w:bCs/>
          <w:color w:val="000000"/>
          <w:sz w:val="32"/>
          <w:szCs w:val="32"/>
        </w:rPr>
      </w:pPr>
      <w:r>
        <w:rPr>
          <w:rFonts w:ascii="楷体" w:eastAsia="楷体" w:cs="楷体"/>
          <w:b/>
          <w:bCs/>
          <w:color w:val="000000"/>
          <w:sz w:val="32"/>
          <w:szCs w:val="32"/>
        </w:rPr>
        <w:t>(</w:t>
      </w:r>
      <w:r>
        <w:rPr>
          <w:rFonts w:ascii="楷体" w:eastAsia="楷体" w:cs="楷体" w:hint="eastAsia"/>
          <w:b/>
          <w:bCs/>
          <w:color w:val="000000"/>
          <w:sz w:val="32"/>
          <w:szCs w:val="32"/>
        </w:rPr>
        <w:t>二）一般公共预算财政拨款支出决算结构情况</w:t>
      </w:r>
      <w:bookmarkEnd w:id="33"/>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3年度一般公共预算财政拨款支出398.5万元，主要用于以下方面</w:t>
      </w:r>
      <w:r>
        <w:rPr>
          <w:rFonts w:ascii="仿宋_GB2312" w:eastAsia="仿宋_GB2312" w:cs="仿宋_GB2312"/>
          <w:color w:val="000000"/>
          <w:sz w:val="32"/>
          <w:szCs w:val="32"/>
        </w:rPr>
        <w:t>:</w:t>
      </w:r>
      <w:r>
        <w:rPr>
          <w:rFonts w:ascii="仿宋_GB2312" w:eastAsia="仿宋_GB2312" w:cs="仿宋_GB2312" w:hint="eastAsia"/>
          <w:color w:val="000000"/>
          <w:sz w:val="32"/>
          <w:szCs w:val="32"/>
        </w:rPr>
        <w:t>一般公共服务支出39.56万元，占10%；教育支出159.44万元，占40</w:t>
      </w:r>
      <w:r>
        <w:rPr>
          <w:rFonts w:ascii="仿宋_GB2312" w:eastAsia="仿宋_GB2312" w:cs="仿宋_GB2312"/>
          <w:color w:val="000000"/>
          <w:sz w:val="32"/>
          <w:szCs w:val="32"/>
        </w:rPr>
        <w:t>%</w:t>
      </w:r>
      <w:r>
        <w:rPr>
          <w:rFonts w:ascii="仿宋_GB2312" w:eastAsia="仿宋_GB2312" w:cs="仿宋_GB2312" w:hint="eastAsia"/>
          <w:color w:val="000000"/>
          <w:sz w:val="32"/>
          <w:szCs w:val="32"/>
        </w:rPr>
        <w:t>；社会保障和就业支出30.49万元，占8</w:t>
      </w:r>
      <w:r>
        <w:rPr>
          <w:rFonts w:ascii="仿宋_GB2312" w:eastAsia="仿宋_GB2312" w:cs="仿宋_GB2312"/>
          <w:color w:val="000000"/>
          <w:sz w:val="32"/>
          <w:szCs w:val="32"/>
        </w:rPr>
        <w:t>%</w:t>
      </w:r>
      <w:r>
        <w:rPr>
          <w:rFonts w:ascii="仿宋_GB2312" w:eastAsia="仿宋_GB2312" w:cs="仿宋_GB2312" w:hint="eastAsia"/>
          <w:color w:val="000000"/>
          <w:sz w:val="32"/>
          <w:szCs w:val="32"/>
        </w:rPr>
        <w:t>；卫生健康支出13.24万元，占3</w:t>
      </w:r>
      <w:r>
        <w:rPr>
          <w:rFonts w:ascii="仿宋_GB2312" w:eastAsia="仿宋_GB2312" w:cs="仿宋_GB2312"/>
          <w:color w:val="000000"/>
          <w:sz w:val="32"/>
          <w:szCs w:val="32"/>
        </w:rPr>
        <w:t>%</w:t>
      </w:r>
      <w:r>
        <w:rPr>
          <w:rFonts w:ascii="仿宋_GB2312" w:eastAsia="仿宋_GB2312" w:cs="仿宋_GB2312" w:hint="eastAsia"/>
          <w:color w:val="000000"/>
          <w:sz w:val="32"/>
          <w:szCs w:val="32"/>
        </w:rPr>
        <w:t>；农林水支出138.91万元，占35</w:t>
      </w:r>
      <w:r>
        <w:rPr>
          <w:rFonts w:ascii="仿宋_GB2312" w:eastAsia="仿宋_GB2312" w:cs="仿宋_GB2312"/>
          <w:color w:val="000000"/>
          <w:sz w:val="32"/>
          <w:szCs w:val="32"/>
        </w:rPr>
        <w:t>%</w:t>
      </w:r>
      <w:r>
        <w:rPr>
          <w:rFonts w:ascii="仿宋_GB2312" w:eastAsia="仿宋_GB2312" w:cs="仿宋_GB2312" w:hint="eastAsia"/>
          <w:color w:val="000000"/>
          <w:sz w:val="32"/>
          <w:szCs w:val="32"/>
        </w:rPr>
        <w:t>；住房保障支出16.86万元，占4</w:t>
      </w:r>
      <w:r>
        <w:rPr>
          <w:rFonts w:ascii="仿宋_GB2312" w:eastAsia="仿宋_GB2312" w:cs="仿宋_GB2312"/>
          <w:color w:val="000000"/>
          <w:sz w:val="32"/>
          <w:szCs w:val="32"/>
        </w:rPr>
        <w:t>%</w:t>
      </w:r>
      <w:r>
        <w:rPr>
          <w:rFonts w:ascii="仿宋_GB2312" w:eastAsia="仿宋_GB2312" w:cs="仿宋_GB2312" w:hint="eastAsia"/>
          <w:color w:val="000000"/>
          <w:sz w:val="32"/>
          <w:szCs w:val="32"/>
        </w:rPr>
        <w:t>。</w:t>
      </w:r>
    </w:p>
    <w:p>
      <w:pPr>
        <w:widowControl/>
        <w:spacing w:line="560" w:lineRule="exact"/>
        <w:jc w:val="center"/>
        <w:rPr>
          <w:rFonts w:ascii="宋体" w:cs="宋体"/>
          <w:b/>
          <w:bCs/>
          <w:color w:val="000000"/>
          <w:kern w:val="0"/>
          <w:sz w:val="31"/>
          <w:szCs w:val="31"/>
        </w:rPr>
      </w:pPr>
      <w:r>
        <w:rPr>
          <w:rFonts w:ascii="宋体" w:cs="宋体" w:hint="eastAsia"/>
          <w:b/>
          <w:bCs/>
          <w:color w:val="000000"/>
          <w:kern w:val="0"/>
          <w:sz w:val="31"/>
          <w:szCs w:val="31"/>
        </w:rPr>
        <w:t>图</w:t>
      </w:r>
      <w:r>
        <w:rPr>
          <w:rFonts w:ascii="仿宋" w:eastAsia="仿宋"/>
          <w:b/>
          <w:bCs/>
          <w:color w:val="000000"/>
          <w:kern w:val="0"/>
          <w:sz w:val="31"/>
          <w:szCs w:val="31"/>
        </w:rPr>
        <w:t xml:space="preserve"> 6</w:t>
      </w:r>
      <w:r>
        <w:rPr>
          <w:rFonts w:ascii="宋体" w:cs="宋体" w:hint="eastAsia"/>
          <w:b/>
          <w:bCs/>
          <w:color w:val="000000"/>
          <w:kern w:val="0"/>
          <w:sz w:val="31"/>
          <w:szCs w:val="31"/>
        </w:rPr>
        <w:t>：一般公共预算财政拨款支出决算结构（单位：万元）</w:t>
      </w:r>
    </w:p>
    <w:p>
      <w:pPr>
        <w:widowControl/>
        <w:spacing w:line="560" w:lineRule="exact"/>
        <w:jc w:val="center"/>
        <w:rPr>
          <w:b/>
          <w:bCs/>
        </w:rPr>
      </w:pPr>
      <w:r>
        <w:drawing>
          <wp:anchor distT="0" distB="0" distL="114300" distR="114300" simplePos="0" relativeHeight="33" behindDoc="0" locked="0" layoutInCell="1" hidden="0" allowOverlap="1">
            <wp:simplePos x="0" y="0"/>
            <wp:positionH relativeFrom="column">
              <wp:posOffset>556259</wp:posOffset>
            </wp:positionH>
            <wp:positionV relativeFrom="paragraph">
              <wp:posOffset>220980</wp:posOffset>
            </wp:positionV>
            <wp:extent cx="4596130" cy="2767330"/>
            <wp:effectExtent l="0" t="0" r="6" b="21"/>
            <wp:wrapSquare wrapText="bothSides"/>
            <wp:docPr id="18" name="图片 2"/>
            <wp:cNvGraphicFramePr>
              <a:graphicFrameLocks noChangeAspect="1"/>
            </wp:cNvGraphicFramePr>
            <a:graphic>
              <a:graphicData uri="http://schemas.openxmlformats.org/drawingml/2006/picture">
                <pic:pic>
                  <pic:nvPicPr>
                    <pic:cNvPr id="20" name="图片 2 20"/>
                    <pic:cNvPicPr/>
                  </pic:nvPicPr>
                  <pic:blipFill>
                    <a:blip r:embed="rId10"/>
                    <a:stretch>
                      <a:fillRect/>
                    </a:stretch>
                  </pic:blipFill>
                  <pic:spPr>
                    <a:xfrm rot="0">
                      <a:off x="0" y="0"/>
                      <a:ext cx="4596130" cy="2767330"/>
                    </a:xfrm>
                    <a:prstGeom prst="rect"/>
                    <a:noFill/>
                    <a:ln w="9525" cmpd="sng" cap="flat">
                      <a:noFill/>
                      <a:prstDash val="solid"/>
                      <a:round/>
                    </a:ln>
                  </pic:spPr>
                </pic:pic>
              </a:graphicData>
            </a:graphic>
          </wp:anchor>
        </w:drawing>
      </w:r>
    </w:p>
    <w:p>
      <w:pPr>
        <w:pStyle w:val="15"/>
        <w:rPr>
          <w:b/>
          <w:bCs/>
        </w:rPr>
      </w:pPr>
    </w:p>
    <w:p>
      <w:pPr>
        <w:pStyle w:val="16"/>
        <w:tabs>
          <w:tab w:val="center" w:pos="4153"/>
          <w:tab w:val="right" w:pos="8306"/>
        </w:tabs>
        <w:rPr>
          <w:b/>
          <w:bCs/>
        </w:rPr>
      </w:pPr>
    </w:p>
    <w:p>
      <w:pPr>
        <w:pStyle w:val="16"/>
        <w:tabs>
          <w:tab w:val="center" w:pos="4153"/>
          <w:tab w:val="right" w:pos="8306"/>
        </w:tabs>
        <w:rPr>
          <w:b/>
          <w:bCs/>
        </w:rPr>
      </w:pPr>
    </w:p>
    <w:p>
      <w:pPr>
        <w:pStyle w:val="16"/>
        <w:tabs>
          <w:tab w:val="center" w:pos="4153"/>
          <w:tab w:val="right" w:pos="8306"/>
        </w:tabs>
        <w:rPr>
          <w:b/>
          <w:bCs/>
        </w:rPr>
      </w:pPr>
    </w:p>
    <w:p>
      <w:pPr>
        <w:pStyle w:val="16"/>
        <w:tabs>
          <w:tab w:val="center" w:pos="4153"/>
          <w:tab w:val="right" w:pos="8306"/>
        </w:tabs>
        <w:rPr>
          <w:b/>
          <w:bCs/>
        </w:rPr>
      </w:pPr>
    </w:p>
    <w:p>
      <w:pPr>
        <w:pStyle w:val="16"/>
        <w:tabs>
          <w:tab w:val="center" w:pos="4153"/>
          <w:tab w:val="right" w:pos="8306"/>
        </w:tabs>
        <w:rPr>
          <w:b/>
          <w:bCs/>
        </w:rPr>
      </w:pPr>
    </w:p>
    <w:p>
      <w:pPr>
        <w:pStyle w:val="16"/>
        <w:tabs>
          <w:tab w:val="center" w:pos="4153"/>
          <w:tab w:val="right" w:pos="8306"/>
        </w:tabs>
        <w:rPr>
          <w:b/>
          <w:bCs/>
        </w:rPr>
      </w:pPr>
    </w:p>
    <w:p>
      <w:pPr>
        <w:pStyle w:val="16"/>
        <w:tabs>
          <w:tab w:val="center" w:pos="4153"/>
          <w:tab w:val="right" w:pos="8306"/>
        </w:tabs>
        <w:rPr>
          <w:b/>
          <w:bCs/>
        </w:rPr>
      </w:pPr>
    </w:p>
    <w:p>
      <w:pPr>
        <w:pStyle w:val="16"/>
        <w:tabs>
          <w:tab w:val="center" w:pos="4153"/>
          <w:tab w:val="right" w:pos="8306"/>
        </w:tabs>
        <w:rPr>
          <w:b/>
          <w:bCs/>
        </w:rPr>
      </w:pPr>
    </w:p>
    <w:p>
      <w:pPr>
        <w:pStyle w:val="16"/>
        <w:tabs>
          <w:tab w:val="center" w:pos="4153"/>
          <w:tab w:val="right" w:pos="8306"/>
        </w:tabs>
        <w:rPr>
          <w:b/>
          <w:bCs/>
        </w:rPr>
      </w:pPr>
    </w:p>
    <w:p>
      <w:pPr>
        <w:pStyle w:val="16"/>
        <w:tabs>
          <w:tab w:val="center" w:pos="4153"/>
          <w:tab w:val="right" w:pos="8306"/>
        </w:tabs>
        <w:rPr>
          <w:b/>
          <w:bCs/>
        </w:rPr>
      </w:pPr>
    </w:p>
    <w:p>
      <w:pPr>
        <w:pStyle w:val="16"/>
        <w:tabs>
          <w:tab w:val="center" w:pos="4153"/>
          <w:tab w:val="right" w:pos="8306"/>
        </w:tabs>
        <w:rPr>
          <w:b/>
          <w:bCs/>
        </w:rPr>
      </w:pPr>
    </w:p>
    <w:p>
      <w:pPr>
        <w:pStyle w:val="16"/>
        <w:tabs>
          <w:tab w:val="center" w:pos="4153"/>
          <w:tab w:val="right" w:pos="8306"/>
        </w:tabs>
        <w:rPr>
          <w:b/>
          <w:bCs/>
        </w:rPr>
      </w:pPr>
    </w:p>
    <w:p>
      <w:pPr>
        <w:spacing w:line="560" w:lineRule="exact"/>
        <w:ind w:firstLineChars="200" w:firstLine="640"/>
        <w:outlineLvl w:val="2"/>
        <w:rPr>
          <w:rFonts w:ascii="仿宋_GB2312" w:eastAsia="仿宋_GB2312"/>
          <w:color w:val="000000"/>
          <w:sz w:val="32"/>
          <w:szCs w:val="32"/>
        </w:rPr>
      </w:pPr>
      <w:bookmarkStart w:id="34" w:name="_Toc15377212"/>
      <w:r>
        <w:rPr>
          <w:rFonts w:ascii="楷体" w:eastAsia="楷体" w:cs="楷体" w:hint="eastAsia"/>
          <w:b/>
          <w:bCs/>
          <w:color w:val="000000"/>
          <w:sz w:val="32"/>
          <w:szCs w:val="32"/>
        </w:rPr>
        <w:t>（三）一般公共预算财政拨款支出决算具体情况</w:t>
      </w:r>
      <w:bookmarkStart w:id="35" w:name="_Toc15377213"/>
      <w:bookmarkStart w:id="36" w:name="_Toc15377444"/>
      <w:bookmarkStart w:id="37" w:name="_Toc15378460"/>
      <w:bookmarkEnd w:id="34"/>
    </w:p>
    <w:p>
      <w:pPr>
        <w:spacing w:line="560" w:lineRule="exact"/>
        <w:ind w:firstLineChars="200" w:firstLine="640"/>
        <w:rPr>
          <w:rStyle w:val="24"/>
          <w:rFonts w:ascii="仿宋_GB2312" w:eastAsia="仿宋_GB2312" w:cs="仿宋_GB2312"/>
          <w:b w:val="0"/>
          <w:bCs w:val="0"/>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3年一般公共预算支出决算数为398.5万元，</w:t>
      </w:r>
      <w:r>
        <w:rPr>
          <w:rStyle w:val="24"/>
          <w:rFonts w:ascii="仿宋_GB2312" w:eastAsia="仿宋_GB2312" w:cs="仿宋_GB2312" w:hint="eastAsia"/>
          <w:b w:val="0"/>
          <w:bCs w:val="0"/>
          <w:color w:val="000000"/>
          <w:sz w:val="32"/>
          <w:szCs w:val="32"/>
        </w:rPr>
        <w:t>完成</w:t>
      </w:r>
    </w:p>
    <w:p>
      <w:pPr>
        <w:spacing w:line="560" w:lineRule="exact"/>
        <w:rPr>
          <w:rStyle w:val="24"/>
          <w:rFonts w:ascii="仿宋_GB2312" w:eastAsia="仿宋_GB2312" w:cs="仿宋_GB2312"/>
          <w:b w:val="0"/>
          <w:bCs w:val="0"/>
          <w:color w:val="000000"/>
          <w:sz w:val="32"/>
          <w:szCs w:val="32"/>
        </w:rPr>
      </w:pPr>
      <w:r>
        <w:rPr>
          <w:rStyle w:val="24"/>
          <w:rFonts w:ascii="仿宋_GB2312" w:eastAsia="仿宋_GB2312" w:cs="仿宋_GB2312" w:hint="eastAsia"/>
          <w:b w:val="0"/>
          <w:bCs w:val="0"/>
          <w:color w:val="000000"/>
          <w:sz w:val="32"/>
          <w:szCs w:val="32"/>
        </w:rPr>
        <w:t>预算</w:t>
      </w:r>
      <w:r>
        <w:rPr>
          <w:rStyle w:val="24"/>
          <w:rFonts w:ascii="仿宋_GB2312" w:eastAsia="仿宋_GB2312" w:cs="仿宋_GB2312"/>
          <w:b w:val="0"/>
          <w:bCs w:val="0"/>
          <w:color w:val="000000"/>
          <w:sz w:val="32"/>
          <w:szCs w:val="32"/>
        </w:rPr>
        <w:t>100%</w:t>
      </w:r>
      <w:r>
        <w:rPr>
          <w:rStyle w:val="24"/>
          <w:rFonts w:ascii="仿宋_GB2312" w:eastAsia="仿宋_GB2312" w:cs="仿宋_GB2312" w:hint="eastAsia"/>
          <w:b w:val="0"/>
          <w:bCs w:val="0"/>
          <w:color w:val="000000"/>
          <w:sz w:val="32"/>
          <w:szCs w:val="32"/>
        </w:rPr>
        <w:t>。其中：</w:t>
      </w:r>
      <w:bookmarkEnd w:id="35"/>
      <w:bookmarkEnd w:id="36"/>
      <w:bookmarkEnd w:id="37"/>
    </w:p>
    <w:p>
      <w:pPr>
        <w:numPr>
          <w:ilvl w:val="0"/>
          <w:numId w:val="3"/>
        </w:numPr>
        <w:spacing w:line="560" w:lineRule="exact"/>
        <w:ind w:left="0" w:firstLineChars="200" w:firstLine="640"/>
        <w:rPr>
          <w:rStyle w:val="24"/>
          <w:rFonts w:ascii="仿宋_GB2312" w:eastAsia="仿宋_GB2312" w:cs="仿宋_GB2312"/>
          <w:b w:val="0"/>
          <w:bCs w:val="0"/>
          <w:color w:val="000000"/>
          <w:sz w:val="32"/>
          <w:szCs w:val="32"/>
        </w:rPr>
      </w:pPr>
      <w:r>
        <w:rPr>
          <w:rStyle w:val="24"/>
          <w:rFonts w:ascii="仿宋_GB2312" w:eastAsia="仿宋_GB2312" w:cs="仿宋_GB2312" w:hint="eastAsia"/>
          <w:b w:val="0"/>
          <w:bCs w:val="0"/>
          <w:color w:val="000000"/>
          <w:sz w:val="32"/>
          <w:szCs w:val="32"/>
        </w:rPr>
        <w:t>一般公共服务（类）组织事务（款）其他组织事务支出（项）：支出决算</w:t>
      </w:r>
      <w:r>
        <w:rPr>
          <w:rStyle w:val="24"/>
          <w:rFonts w:ascii="仿宋_GB2312" w:eastAsia="仿宋_GB2312" w:cs="仿宋_GB2312"/>
          <w:b w:val="0"/>
          <w:bCs w:val="0"/>
          <w:color w:val="000000"/>
          <w:sz w:val="32"/>
          <w:szCs w:val="32"/>
        </w:rPr>
        <w:t>为</w:t>
      </w:r>
      <w:r>
        <w:rPr>
          <w:rStyle w:val="24"/>
          <w:rFonts w:ascii="仿宋_GB2312" w:eastAsia="仿宋_GB2312" w:cs="仿宋_GB2312" w:hint="eastAsia"/>
          <w:b w:val="0"/>
          <w:bCs w:val="0"/>
          <w:color w:val="000000"/>
          <w:sz w:val="32"/>
          <w:szCs w:val="32"/>
        </w:rPr>
        <w:t>39.56万元，完成预算100%。</w:t>
      </w:r>
    </w:p>
    <w:p>
      <w:pPr>
        <w:numPr>
          <w:ilvl w:val="0"/>
          <w:numId w:val="3"/>
        </w:numPr>
        <w:spacing w:line="560" w:lineRule="exact"/>
        <w:ind w:left="0" w:firstLineChars="200" w:firstLine="640"/>
        <w:rPr>
          <w:rStyle w:val="24"/>
          <w:rFonts w:ascii="仿宋_GB2312" w:eastAsia="仿宋_GB2312" w:cs="仿宋_GB2312"/>
          <w:b w:val="0"/>
          <w:bCs w:val="0"/>
          <w:color w:val="000000"/>
          <w:sz w:val="32"/>
          <w:szCs w:val="32"/>
        </w:rPr>
      </w:pPr>
      <w:r>
        <w:rPr>
          <w:rStyle w:val="24"/>
          <w:rFonts w:ascii="仿宋_GB2312" w:eastAsia="仿宋_GB2312" w:cs="仿宋_GB2312" w:hint="eastAsia"/>
          <w:b w:val="0"/>
          <w:bCs w:val="0"/>
          <w:color w:val="000000"/>
          <w:sz w:val="32"/>
          <w:szCs w:val="32"/>
        </w:rPr>
        <w:t>教育支出（类）教育管理事务（款）行政运行（项）</w:t>
      </w:r>
      <w:r>
        <w:rPr>
          <w:rStyle w:val="24"/>
          <w:rFonts w:ascii="仿宋_GB2312" w:eastAsia="仿宋_GB2312" w:cs="仿宋_GB2312"/>
          <w:b w:val="0"/>
          <w:bCs w:val="0"/>
          <w:color w:val="000000"/>
          <w:sz w:val="32"/>
          <w:szCs w:val="32"/>
        </w:rPr>
        <w:t xml:space="preserve">: </w:t>
      </w:r>
      <w:r>
        <w:rPr>
          <w:rStyle w:val="24"/>
          <w:rFonts w:ascii="仿宋_GB2312" w:eastAsia="仿宋_GB2312" w:cs="仿宋_GB2312" w:hint="eastAsia"/>
          <w:b w:val="0"/>
          <w:bCs w:val="0"/>
          <w:color w:val="000000"/>
          <w:sz w:val="32"/>
          <w:szCs w:val="32"/>
        </w:rPr>
        <w:t>支出决算为159.44万元，完成预算</w:t>
      </w:r>
      <w:r>
        <w:rPr>
          <w:rStyle w:val="24"/>
          <w:rFonts w:ascii="仿宋_GB2312" w:eastAsia="仿宋_GB2312" w:cs="仿宋_GB2312"/>
          <w:b w:val="0"/>
          <w:bCs w:val="0"/>
          <w:color w:val="000000"/>
          <w:sz w:val="32"/>
          <w:szCs w:val="32"/>
        </w:rPr>
        <w:t>100%</w:t>
      </w:r>
      <w:r>
        <w:rPr>
          <w:rStyle w:val="24"/>
          <w:rFonts w:ascii="仿宋_GB2312" w:eastAsia="仿宋_GB2312" w:cs="仿宋_GB2312" w:hint="eastAsia"/>
          <w:b w:val="0"/>
          <w:bCs w:val="0"/>
          <w:color w:val="000000"/>
          <w:sz w:val="32"/>
          <w:szCs w:val="32"/>
        </w:rPr>
        <w:t>。</w:t>
      </w:r>
    </w:p>
    <w:p>
      <w:pPr>
        <w:spacing w:line="560" w:lineRule="exact"/>
        <w:ind w:firstLineChars="200" w:firstLine="640"/>
        <w:rPr>
          <w:rStyle w:val="24"/>
          <w:rFonts w:ascii="仿宋_GB2312" w:eastAsia="仿宋_GB2312" w:cs="仿宋_GB2312"/>
          <w:b w:val="0"/>
          <w:bCs w:val="0"/>
          <w:color w:val="000000"/>
          <w:sz w:val="32"/>
          <w:szCs w:val="32"/>
        </w:rPr>
      </w:pPr>
      <w:r>
        <w:rPr>
          <w:rStyle w:val="24"/>
          <w:rFonts w:ascii="仿宋_GB2312" w:eastAsia="仿宋_GB2312" w:cs="仿宋_GB2312" w:hint="eastAsia"/>
          <w:b w:val="0"/>
          <w:bCs w:val="0"/>
          <w:color w:val="000000"/>
          <w:sz w:val="32"/>
          <w:szCs w:val="32"/>
        </w:rPr>
        <w:t>3</w:t>
      </w:r>
      <w:r>
        <w:rPr>
          <w:rStyle w:val="24"/>
          <w:rFonts w:ascii="仿宋_GB2312" w:eastAsia="仿宋_GB2312" w:cs="仿宋_GB2312"/>
          <w:b w:val="0"/>
          <w:bCs w:val="0"/>
          <w:color w:val="000000"/>
          <w:sz w:val="32"/>
          <w:szCs w:val="32"/>
        </w:rPr>
        <w:t>.</w:t>
      </w:r>
      <w:r>
        <w:rPr>
          <w:rStyle w:val="24"/>
          <w:rFonts w:ascii="仿宋_GB2312" w:eastAsia="仿宋_GB2312" w:cs="仿宋_GB2312" w:hint="eastAsia"/>
          <w:b w:val="0"/>
          <w:bCs w:val="0"/>
          <w:color w:val="000000"/>
          <w:sz w:val="32"/>
          <w:szCs w:val="32"/>
        </w:rPr>
        <w:t>社会保障和就业支出（类）行政事业单位离退休（款）机关事业单位基本养老保险缴费支出（项）</w:t>
      </w:r>
      <w:r>
        <w:rPr>
          <w:rStyle w:val="24"/>
          <w:rFonts w:ascii="仿宋_GB2312" w:eastAsia="仿宋_GB2312" w:cs="仿宋_GB2312"/>
          <w:b w:val="0"/>
          <w:bCs w:val="0"/>
          <w:color w:val="000000"/>
          <w:sz w:val="32"/>
          <w:szCs w:val="32"/>
        </w:rPr>
        <w:t xml:space="preserve">: </w:t>
      </w:r>
      <w:r>
        <w:rPr>
          <w:rStyle w:val="24"/>
          <w:rFonts w:ascii="仿宋_GB2312" w:eastAsia="仿宋_GB2312" w:cs="仿宋_GB2312" w:hint="eastAsia"/>
          <w:b w:val="0"/>
          <w:bCs w:val="0"/>
          <w:color w:val="000000"/>
          <w:sz w:val="32"/>
          <w:szCs w:val="32"/>
        </w:rPr>
        <w:t>支出决算为20.33万元，完成预算</w:t>
      </w:r>
      <w:r>
        <w:rPr>
          <w:rStyle w:val="24"/>
          <w:rFonts w:ascii="仿宋_GB2312" w:eastAsia="仿宋_GB2312" w:cs="仿宋_GB2312"/>
          <w:b w:val="0"/>
          <w:bCs w:val="0"/>
          <w:color w:val="000000"/>
          <w:sz w:val="32"/>
          <w:szCs w:val="32"/>
        </w:rPr>
        <w:t>100%</w:t>
      </w:r>
      <w:r>
        <w:rPr>
          <w:rStyle w:val="24"/>
          <w:rFonts w:ascii="仿宋_GB2312" w:eastAsia="仿宋_GB2312" w:cs="仿宋_GB2312" w:hint="eastAsia"/>
          <w:b w:val="0"/>
          <w:bCs w:val="0"/>
          <w:color w:val="000000"/>
          <w:sz w:val="32"/>
          <w:szCs w:val="32"/>
        </w:rPr>
        <w:t>。</w:t>
      </w:r>
    </w:p>
    <w:p>
      <w:pPr>
        <w:spacing w:line="560" w:lineRule="exact"/>
        <w:ind w:firstLineChars="200" w:firstLine="640"/>
        <w:rPr>
          <w:rStyle w:val="24"/>
          <w:rFonts w:ascii="仿宋_GB2312" w:eastAsia="仿宋_GB2312" w:cs="仿宋_GB2312"/>
          <w:b w:val="0"/>
          <w:bCs w:val="0"/>
          <w:color w:val="000000"/>
          <w:sz w:val="32"/>
          <w:szCs w:val="32"/>
        </w:rPr>
      </w:pPr>
      <w:r>
        <w:rPr>
          <w:rStyle w:val="24"/>
          <w:rFonts w:ascii="仿宋_GB2312" w:eastAsia="仿宋_GB2312" w:cs="仿宋_GB2312" w:hint="eastAsia"/>
          <w:b w:val="0"/>
          <w:bCs w:val="0"/>
          <w:color w:val="000000"/>
          <w:sz w:val="32"/>
          <w:szCs w:val="32"/>
        </w:rPr>
        <w:t>4</w:t>
      </w:r>
      <w:r>
        <w:rPr>
          <w:rStyle w:val="24"/>
          <w:rFonts w:ascii="仿宋_GB2312" w:eastAsia="仿宋_GB2312" w:cs="仿宋_GB2312"/>
          <w:b w:val="0"/>
          <w:bCs w:val="0"/>
          <w:color w:val="000000"/>
          <w:sz w:val="32"/>
          <w:szCs w:val="32"/>
        </w:rPr>
        <w:t>.</w:t>
      </w:r>
      <w:r>
        <w:rPr>
          <w:rStyle w:val="24"/>
          <w:rFonts w:ascii="仿宋_GB2312" w:eastAsia="仿宋_GB2312" w:cs="仿宋_GB2312" w:hint="eastAsia"/>
          <w:b w:val="0"/>
          <w:bCs w:val="0"/>
          <w:color w:val="000000"/>
          <w:sz w:val="32"/>
          <w:szCs w:val="32"/>
        </w:rPr>
        <w:t>社会保障和就业支出（类）行政事业单位离退休（款）机关事业单位职业年金缴费支出（项）：支出决算为10.16万元，完成预算</w:t>
      </w:r>
      <w:r>
        <w:rPr>
          <w:rStyle w:val="24"/>
          <w:rFonts w:ascii="仿宋_GB2312" w:eastAsia="仿宋_GB2312" w:cs="仿宋_GB2312"/>
          <w:b w:val="0"/>
          <w:bCs w:val="0"/>
          <w:color w:val="000000"/>
          <w:sz w:val="32"/>
          <w:szCs w:val="32"/>
        </w:rPr>
        <w:t>100%</w:t>
      </w:r>
      <w:r>
        <w:rPr>
          <w:rStyle w:val="24"/>
          <w:rFonts w:ascii="仿宋_GB2312" w:eastAsia="仿宋_GB2312" w:cs="仿宋_GB2312" w:hint="eastAsia"/>
          <w:b w:val="0"/>
          <w:bCs w:val="0"/>
          <w:color w:val="000000"/>
          <w:sz w:val="32"/>
          <w:szCs w:val="32"/>
        </w:rPr>
        <w:t>。</w:t>
      </w:r>
    </w:p>
    <w:p>
      <w:pPr>
        <w:spacing w:line="560" w:lineRule="exact"/>
        <w:ind w:firstLineChars="200" w:firstLine="640"/>
        <w:rPr>
          <w:rStyle w:val="24"/>
          <w:rFonts w:ascii="仿宋_GB2312" w:eastAsia="仿宋_GB2312" w:cs="仿宋_GB2312"/>
          <w:b w:val="0"/>
          <w:bCs w:val="0"/>
          <w:color w:val="000000"/>
          <w:sz w:val="32"/>
          <w:szCs w:val="32"/>
        </w:rPr>
      </w:pPr>
      <w:r>
        <w:rPr>
          <w:rStyle w:val="24"/>
          <w:rFonts w:ascii="仿宋_GB2312" w:eastAsia="仿宋_GB2312" w:cs="仿宋_GB2312" w:hint="eastAsia"/>
          <w:b w:val="0"/>
          <w:bCs w:val="0"/>
          <w:color w:val="000000"/>
          <w:sz w:val="32"/>
          <w:szCs w:val="32"/>
        </w:rPr>
        <w:t>5</w:t>
      </w:r>
      <w:r>
        <w:rPr>
          <w:rStyle w:val="24"/>
          <w:rFonts w:ascii="仿宋_GB2312" w:eastAsia="仿宋_GB2312" w:cs="仿宋_GB2312"/>
          <w:b w:val="0"/>
          <w:bCs w:val="0"/>
          <w:color w:val="000000"/>
          <w:sz w:val="32"/>
          <w:szCs w:val="32"/>
        </w:rPr>
        <w:t>.</w:t>
      </w:r>
      <w:r>
        <w:rPr>
          <w:rStyle w:val="24"/>
          <w:rFonts w:ascii="仿宋_GB2312" w:eastAsia="仿宋_GB2312" w:cs="仿宋_GB2312" w:hint="eastAsia"/>
          <w:b w:val="0"/>
          <w:bCs w:val="0"/>
          <w:color w:val="000000"/>
          <w:sz w:val="32"/>
          <w:szCs w:val="32"/>
        </w:rPr>
        <w:t>卫生健康支出（类）行政事业单位医疗（款）行政单位医疗（项）</w:t>
      </w:r>
      <w:r>
        <w:rPr>
          <w:rStyle w:val="24"/>
          <w:rFonts w:ascii="仿宋_GB2312" w:eastAsia="仿宋_GB2312" w:cs="仿宋_GB2312"/>
          <w:b w:val="0"/>
          <w:bCs w:val="0"/>
          <w:color w:val="000000"/>
          <w:sz w:val="32"/>
          <w:szCs w:val="32"/>
        </w:rPr>
        <w:t>:</w:t>
      </w:r>
      <w:r>
        <w:rPr>
          <w:rStyle w:val="24"/>
          <w:rFonts w:ascii="仿宋_GB2312" w:eastAsia="仿宋_GB2312" w:cs="仿宋_GB2312" w:hint="eastAsia"/>
          <w:b w:val="0"/>
          <w:bCs w:val="0"/>
          <w:color w:val="000000"/>
          <w:sz w:val="32"/>
          <w:szCs w:val="32"/>
        </w:rPr>
        <w:t>支出决算为13.24万元，完成预算</w:t>
      </w:r>
      <w:r>
        <w:rPr>
          <w:rStyle w:val="24"/>
          <w:rFonts w:ascii="仿宋_GB2312" w:eastAsia="仿宋_GB2312" w:cs="仿宋_GB2312"/>
          <w:b w:val="0"/>
          <w:bCs w:val="0"/>
          <w:color w:val="000000"/>
          <w:sz w:val="32"/>
          <w:szCs w:val="32"/>
        </w:rPr>
        <w:t>100%</w:t>
      </w:r>
      <w:r>
        <w:rPr>
          <w:rStyle w:val="24"/>
          <w:rFonts w:ascii="仿宋_GB2312" w:eastAsia="仿宋_GB2312" w:cs="仿宋_GB2312" w:hint="eastAsia"/>
          <w:b w:val="0"/>
          <w:bCs w:val="0"/>
          <w:color w:val="000000"/>
          <w:sz w:val="32"/>
          <w:szCs w:val="32"/>
        </w:rPr>
        <w:t>。</w:t>
      </w:r>
    </w:p>
    <w:p>
      <w:pPr>
        <w:spacing w:line="560" w:lineRule="exact"/>
        <w:ind w:firstLineChars="200" w:firstLine="640"/>
        <w:rPr>
          <w:rStyle w:val="24"/>
          <w:rFonts w:ascii="仿宋_GB2312" w:eastAsia="仿宋_GB2312" w:cs="仿宋_GB2312"/>
          <w:b w:val="0"/>
          <w:bCs w:val="0"/>
          <w:color w:val="000000"/>
          <w:sz w:val="32"/>
          <w:szCs w:val="32"/>
        </w:rPr>
      </w:pPr>
      <w:r>
        <w:rPr>
          <w:rStyle w:val="24"/>
          <w:rFonts w:ascii="仿宋_GB2312" w:eastAsia="仿宋_GB2312" w:cs="仿宋_GB2312" w:hint="eastAsia"/>
          <w:b w:val="0"/>
          <w:bCs w:val="0"/>
          <w:color w:val="000000"/>
          <w:sz w:val="32"/>
          <w:szCs w:val="32"/>
        </w:rPr>
        <w:t>6</w:t>
      </w:r>
      <w:r>
        <w:rPr>
          <w:rStyle w:val="24"/>
          <w:rFonts w:ascii="仿宋_GB2312" w:eastAsia="仿宋_GB2312" w:cs="仿宋_GB2312"/>
          <w:b w:val="0"/>
          <w:bCs w:val="0"/>
          <w:color w:val="000000"/>
          <w:sz w:val="32"/>
          <w:szCs w:val="32"/>
        </w:rPr>
        <w:t>.</w:t>
      </w:r>
      <w:r>
        <w:rPr>
          <w:rStyle w:val="24"/>
          <w:rFonts w:ascii="仿宋_GB2312" w:eastAsia="仿宋_GB2312" w:cs="仿宋_GB2312" w:hint="eastAsia"/>
          <w:b w:val="0"/>
          <w:bCs w:val="0"/>
          <w:color w:val="000000"/>
          <w:sz w:val="32"/>
          <w:szCs w:val="32"/>
        </w:rPr>
        <w:t>农林水支出（类）扶贫（款）其他扶贫支出（项）：支出决算为138.91万元，完成预算</w:t>
      </w:r>
      <w:r>
        <w:rPr>
          <w:rStyle w:val="24"/>
          <w:rFonts w:ascii="仿宋_GB2312" w:eastAsia="仿宋_GB2312" w:cs="仿宋_GB2312"/>
          <w:b w:val="0"/>
          <w:bCs w:val="0"/>
          <w:color w:val="000000"/>
          <w:sz w:val="32"/>
          <w:szCs w:val="32"/>
        </w:rPr>
        <w:t>100%</w:t>
      </w:r>
      <w:r>
        <w:rPr>
          <w:rStyle w:val="24"/>
          <w:rFonts w:ascii="仿宋_GB2312" w:eastAsia="仿宋_GB2312" w:cs="仿宋_GB2312" w:hint="eastAsia"/>
          <w:b w:val="0"/>
          <w:bCs w:val="0"/>
          <w:color w:val="000000"/>
          <w:sz w:val="32"/>
          <w:szCs w:val="32"/>
        </w:rPr>
        <w:t>。</w:t>
      </w:r>
    </w:p>
    <w:p>
      <w:pPr>
        <w:spacing w:line="560" w:lineRule="exact"/>
        <w:ind w:firstLineChars="200" w:firstLine="640"/>
        <w:rPr>
          <w:rStyle w:val="24"/>
          <w:rFonts w:ascii="仿宋_GB2312" w:eastAsia="仿宋_GB2312" w:cs="仿宋_GB2312"/>
          <w:b w:val="0"/>
          <w:bCs w:val="0"/>
          <w:color w:val="000000"/>
          <w:sz w:val="32"/>
          <w:szCs w:val="32"/>
        </w:rPr>
      </w:pPr>
      <w:r>
        <w:rPr>
          <w:rFonts w:ascii="仿宋_GB2312" w:eastAsia="仿宋_GB2312" w:cs="仿宋_GB2312" w:hint="eastAsia"/>
          <w:color w:val="000000"/>
          <w:sz w:val="32"/>
          <w:szCs w:val="32"/>
        </w:rPr>
        <w:t>7</w:t>
      </w:r>
      <w:r>
        <w:rPr>
          <w:rFonts w:ascii="仿宋_GB2312" w:eastAsia="仿宋_GB2312" w:cs="仿宋_GB2312"/>
          <w:color w:val="000000"/>
          <w:sz w:val="32"/>
          <w:szCs w:val="32"/>
        </w:rPr>
        <w:t>.</w:t>
      </w:r>
      <w:r>
        <w:rPr>
          <w:rFonts w:ascii="仿宋_GB2312" w:eastAsia="仿宋_GB2312" w:cs="仿宋_GB2312" w:hint="eastAsia"/>
          <w:color w:val="000000"/>
          <w:sz w:val="32"/>
          <w:szCs w:val="32"/>
        </w:rPr>
        <w:t>住房保障支出（类）住房改革支出（款）住房公积金（项）：</w:t>
      </w:r>
      <w:r>
        <w:rPr>
          <w:rStyle w:val="24"/>
          <w:rFonts w:ascii="仿宋_GB2312" w:eastAsia="仿宋_GB2312" w:cs="仿宋_GB2312" w:hint="eastAsia"/>
          <w:b w:val="0"/>
          <w:bCs w:val="0"/>
          <w:color w:val="000000"/>
          <w:sz w:val="32"/>
          <w:szCs w:val="32"/>
        </w:rPr>
        <w:t>支出决算为</w:t>
      </w:r>
      <w:r>
        <w:rPr>
          <w:rFonts w:ascii="仿宋_GB2312" w:eastAsia="仿宋_GB2312" w:cs="仿宋_GB2312" w:hint="eastAsia"/>
          <w:color w:val="000000"/>
          <w:sz w:val="32"/>
          <w:szCs w:val="32"/>
        </w:rPr>
        <w:t>15.65万元，</w:t>
      </w:r>
      <w:r>
        <w:rPr>
          <w:rStyle w:val="24"/>
          <w:rFonts w:ascii="仿宋_GB2312" w:eastAsia="仿宋_GB2312" w:cs="仿宋_GB2312" w:hint="eastAsia"/>
          <w:b w:val="0"/>
          <w:bCs w:val="0"/>
          <w:color w:val="000000"/>
          <w:sz w:val="32"/>
          <w:szCs w:val="32"/>
        </w:rPr>
        <w:t>完成预算</w:t>
      </w:r>
      <w:r>
        <w:rPr>
          <w:rStyle w:val="24"/>
          <w:rFonts w:ascii="仿宋_GB2312" w:eastAsia="仿宋_GB2312" w:cs="仿宋_GB2312"/>
          <w:b w:val="0"/>
          <w:bCs w:val="0"/>
          <w:color w:val="000000"/>
          <w:sz w:val="32"/>
          <w:szCs w:val="32"/>
        </w:rPr>
        <w:t>100%</w:t>
      </w:r>
      <w:r>
        <w:rPr>
          <w:rStyle w:val="24"/>
          <w:rFonts w:ascii="仿宋_GB2312" w:eastAsia="仿宋_GB2312" w:cs="仿宋_GB2312" w:hint="eastAsia"/>
          <w:b w:val="0"/>
          <w:bCs w:val="0"/>
          <w:color w:val="000000"/>
          <w:sz w:val="32"/>
          <w:szCs w:val="32"/>
        </w:rPr>
        <w:t>。</w:t>
      </w:r>
    </w:p>
    <w:p>
      <w:pPr>
        <w:spacing w:line="560" w:lineRule="exact"/>
        <w:ind w:firstLineChars="200" w:firstLine="640"/>
        <w:rPr>
          <w:rStyle w:val="24"/>
          <w:rFonts w:ascii="仿宋_GB2312" w:eastAsia="仿宋_GB2312" w:cs="仿宋_GB2312"/>
          <w:b w:val="0"/>
          <w:bCs w:val="0"/>
          <w:color w:val="000000"/>
          <w:sz w:val="32"/>
          <w:szCs w:val="32"/>
        </w:rPr>
      </w:pPr>
      <w:bookmarkStart w:id="38" w:name="_Toc15377214"/>
      <w:bookmarkStart w:id="39" w:name="_Toc15396608"/>
      <w:r>
        <w:rPr>
          <w:rFonts w:ascii="仿宋_GB2312" w:eastAsia="仿宋_GB2312" w:cs="仿宋_GB2312" w:hint="eastAsia"/>
          <w:color w:val="000000"/>
          <w:sz w:val="32"/>
          <w:szCs w:val="32"/>
        </w:rPr>
        <w:t>8</w:t>
      </w:r>
      <w:r>
        <w:rPr>
          <w:rFonts w:ascii="仿宋_GB2312" w:eastAsia="仿宋_GB2312" w:cs="仿宋_GB2312"/>
          <w:color w:val="000000"/>
          <w:sz w:val="32"/>
          <w:szCs w:val="32"/>
        </w:rPr>
        <w:t>.</w:t>
      </w:r>
      <w:r>
        <w:rPr>
          <w:rFonts w:ascii="仿宋_GB2312" w:eastAsia="仿宋_GB2312" w:cs="仿宋_GB2312" w:hint="eastAsia"/>
          <w:color w:val="000000"/>
          <w:sz w:val="32"/>
          <w:szCs w:val="32"/>
        </w:rPr>
        <w:t>住房保障支出（类）住房改革支出（款）购房补贴（项）：</w:t>
      </w:r>
      <w:r>
        <w:rPr>
          <w:rStyle w:val="24"/>
          <w:rFonts w:ascii="仿宋_GB2312" w:eastAsia="仿宋_GB2312" w:cs="仿宋_GB2312" w:hint="eastAsia"/>
          <w:b w:val="0"/>
          <w:bCs w:val="0"/>
          <w:color w:val="000000"/>
          <w:sz w:val="32"/>
          <w:szCs w:val="32"/>
        </w:rPr>
        <w:t>支出决算</w:t>
      </w:r>
      <w:r>
        <w:rPr>
          <w:rFonts w:ascii="仿宋_GB2312" w:eastAsia="仿宋_GB2312" w:cs="仿宋_GB2312" w:hint="eastAsia"/>
          <w:color w:val="000000"/>
          <w:sz w:val="32"/>
          <w:szCs w:val="32"/>
        </w:rPr>
        <w:t>为1.21万元，</w:t>
      </w:r>
      <w:r>
        <w:rPr>
          <w:rStyle w:val="24"/>
          <w:rFonts w:ascii="仿宋_GB2312" w:eastAsia="仿宋_GB2312" w:cs="仿宋_GB2312" w:hint="eastAsia"/>
          <w:b w:val="0"/>
          <w:bCs w:val="0"/>
          <w:color w:val="000000"/>
          <w:sz w:val="32"/>
          <w:szCs w:val="32"/>
        </w:rPr>
        <w:t>完成预算</w:t>
      </w:r>
      <w:r>
        <w:rPr>
          <w:rStyle w:val="24"/>
          <w:rFonts w:ascii="仿宋_GB2312" w:eastAsia="仿宋_GB2312" w:cs="仿宋_GB2312"/>
          <w:b w:val="0"/>
          <w:bCs w:val="0"/>
          <w:color w:val="000000"/>
          <w:sz w:val="32"/>
          <w:szCs w:val="32"/>
        </w:rPr>
        <w:t>100%</w:t>
      </w:r>
      <w:r>
        <w:rPr>
          <w:rStyle w:val="24"/>
          <w:rFonts w:ascii="仿宋_GB2312" w:eastAsia="仿宋_GB2312" w:cs="仿宋_GB2312" w:hint="eastAsia"/>
          <w:b w:val="0"/>
          <w:bCs w:val="0"/>
          <w:color w:val="000000"/>
          <w:sz w:val="32"/>
          <w:szCs w:val="32"/>
        </w:rPr>
        <w:t>。</w:t>
      </w:r>
    </w:p>
    <w:p>
      <w:pPr>
        <w:spacing w:line="560" w:lineRule="exact"/>
        <w:ind w:firstLineChars="200" w:firstLine="640"/>
        <w:outlineLvl w:val="1"/>
        <w:rPr>
          <w:rStyle w:val="2Char"/>
        </w:rPr>
      </w:pPr>
      <w:r>
        <w:rPr>
          <w:rFonts w:ascii="黑体" w:eastAsia="黑体" w:cs="黑体" w:hint="eastAsia"/>
          <w:color w:val="000000"/>
          <w:sz w:val="32"/>
          <w:szCs w:val="32"/>
        </w:rPr>
        <w:t>六</w:t>
      </w:r>
      <w:r>
        <w:rPr>
          <w:rFonts w:ascii="黑体" w:eastAsia="黑体" w:cs="黑体" w:hint="eastAsia"/>
          <w:b/>
          <w:bCs/>
          <w:color w:val="000000"/>
          <w:sz w:val="32"/>
          <w:szCs w:val="32"/>
        </w:rPr>
        <w:t>、一</w:t>
      </w:r>
      <w:r>
        <w:rPr>
          <w:rStyle w:val="2Char"/>
          <w:rFonts w:ascii="黑体" w:eastAsia="黑体" w:cs="黑体" w:hint="eastAsia"/>
          <w:b w:val="0"/>
          <w:bCs w:val="0"/>
        </w:rPr>
        <w:t>般公共预算财政拨款基本支出决算情况说明</w:t>
      </w:r>
      <w:bookmarkEnd w:id="38"/>
      <w:bookmarkEnd w:id="39"/>
    </w:p>
    <w:p>
      <w:pPr>
        <w:spacing w:line="560" w:lineRule="exact"/>
        <w:ind w:firstLine="645"/>
        <w:rPr>
          <w:rFonts w:ascii="仿宋_GB2312" w:eastAsia="仿宋_GB2312"/>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3年一般公共预算财政拨款基本支出220.03万元，其中：</w:t>
      </w:r>
    </w:p>
    <w:p>
      <w:pPr>
        <w:spacing w:line="560" w:lineRule="exact"/>
        <w:ind w:firstLine="645"/>
        <w:rPr>
          <w:rFonts w:ascii="仿宋_GB2312" w:eastAsia="仿宋_GB2312" w:cs="仿宋_GB2312"/>
          <w:color w:val="000000"/>
          <w:sz w:val="32"/>
          <w:szCs w:val="32"/>
        </w:rPr>
      </w:pPr>
      <w:r>
        <w:rPr>
          <w:rFonts w:ascii="仿宋_GB2312" w:eastAsia="仿宋_GB2312" w:cs="仿宋_GB2312" w:hint="eastAsia"/>
          <w:color w:val="000000"/>
          <w:sz w:val="32"/>
          <w:szCs w:val="32"/>
        </w:rPr>
        <w:t>人员经费213.49万元，主要包括：基本工资、津贴补贴、奖金、机关事业单位基本养老保险缴费、职业年金缴费、职工基本医疗保险费、其他社会保障缴费、住房公积金、医疗费、对个人和家庭补助、生活补助、奖励金等。</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日常公用经费6.54万元，主要包括：办公费、邮电费、差旅费、培训费、公务接待费支出等。</w:t>
      </w:r>
    </w:p>
    <w:p>
      <w:pPr>
        <w:spacing w:line="560" w:lineRule="exact"/>
        <w:ind w:firstLineChars="200" w:firstLine="640"/>
        <w:outlineLvl w:val="1"/>
        <w:rPr>
          <w:rStyle w:val="2Char"/>
          <w:rFonts w:ascii="黑体" w:eastAsia="黑体" w:cs="Times New Roman"/>
          <w:b w:val="0"/>
          <w:bCs w:val="0"/>
        </w:rPr>
      </w:pPr>
      <w:bookmarkStart w:id="40" w:name="_Toc15377215"/>
      <w:bookmarkStart w:id="41" w:name="_Toc15396609"/>
      <w:r>
        <w:rPr>
          <w:rFonts w:ascii="黑体" w:eastAsia="黑体" w:cs="黑体" w:hint="eastAsia"/>
          <w:color w:val="000000"/>
          <w:sz w:val="32"/>
          <w:szCs w:val="32"/>
        </w:rPr>
        <w:t>七、</w:t>
      </w:r>
      <w:r>
        <w:rPr>
          <w:rStyle w:val="2Char"/>
          <w:rFonts w:ascii="黑体" w:eastAsia="黑体" w:cs="黑体" w:hint="eastAsia"/>
        </w:rPr>
        <w:t>“</w:t>
      </w:r>
      <w:r>
        <w:rPr>
          <w:rStyle w:val="2Char"/>
          <w:rFonts w:ascii="黑体" w:eastAsia="黑体" w:cs="黑体" w:hint="eastAsia"/>
          <w:b w:val="0"/>
          <w:bCs w:val="0"/>
        </w:rPr>
        <w:t>三公”经费财政拨款支出决算情况说明</w:t>
      </w:r>
      <w:bookmarkEnd w:id="40"/>
      <w:bookmarkEnd w:id="41"/>
    </w:p>
    <w:p>
      <w:pPr>
        <w:spacing w:line="560" w:lineRule="exact"/>
        <w:ind w:firstLineChars="196" w:firstLine="627"/>
        <w:outlineLvl w:val="2"/>
        <w:rPr>
          <w:rFonts w:ascii="楷体" w:eastAsia="楷体" w:cs="楷体"/>
          <w:b/>
          <w:bCs/>
          <w:color w:val="000000"/>
          <w:sz w:val="32"/>
          <w:szCs w:val="32"/>
        </w:rPr>
      </w:pPr>
      <w:bookmarkStart w:id="42" w:name="_Toc15377216"/>
      <w:r>
        <w:rPr>
          <w:rFonts w:ascii="楷体" w:eastAsia="楷体" w:cs="楷体" w:hint="eastAsia"/>
          <w:b/>
          <w:bCs/>
          <w:color w:val="000000"/>
          <w:sz w:val="32"/>
          <w:szCs w:val="32"/>
        </w:rPr>
        <w:t>（一）“三公”经费财政拨款支出决算总体情况说明</w:t>
      </w:r>
      <w:bookmarkEnd w:id="42"/>
    </w:p>
    <w:p>
      <w:pPr>
        <w:widowControl/>
        <w:spacing w:line="560" w:lineRule="exact"/>
        <w:ind w:firstLineChars="200" w:firstLine="640"/>
        <w:jc w:val="left"/>
        <w:rPr>
          <w:rFonts w:ascii="??" w:hAnsi="??"/>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3年“三公”经费财政拨款支出决算为</w:t>
      </w:r>
      <w:r>
        <w:rPr>
          <w:rFonts w:ascii="仿宋_GB2312" w:eastAsia="仿宋_GB2312" w:cs="仿宋_GB2312"/>
          <w:color w:val="000000"/>
          <w:sz w:val="32"/>
          <w:szCs w:val="32"/>
        </w:rPr>
        <w:t>0.</w:t>
      </w:r>
      <w:r>
        <w:rPr>
          <w:rFonts w:ascii="仿宋_GB2312" w:eastAsia="仿宋_GB2312" w:cs="仿宋_GB2312" w:hint="eastAsia"/>
          <w:color w:val="000000"/>
          <w:sz w:val="32"/>
          <w:szCs w:val="32"/>
        </w:rPr>
        <w:t>16万元，完成预算100</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，较上年度增加0.046万元。决算数与预算数持平。</w:t>
      </w:r>
      <w:bookmarkStart w:id="43" w:name="_Toc15377217"/>
    </w:p>
    <w:p>
      <w:pPr>
        <w:widowControl/>
        <w:spacing w:line="560" w:lineRule="exact"/>
        <w:ind w:firstLineChars="200" w:firstLine="640"/>
        <w:jc w:val="left"/>
        <w:outlineLvl w:val="2"/>
        <w:rPr>
          <w:rFonts w:ascii="??" w:hAnsi="??"/>
          <w:color w:val="000000"/>
          <w:sz w:val="32"/>
          <w:szCs w:val="32"/>
        </w:rPr>
      </w:pPr>
      <w:r>
        <w:rPr>
          <w:rFonts w:ascii="楷体" w:eastAsia="楷体" w:cs="楷体" w:hint="eastAsia"/>
          <w:b/>
          <w:bCs/>
          <w:color w:val="000000"/>
          <w:sz w:val="32"/>
          <w:szCs w:val="32"/>
        </w:rPr>
        <w:t>（二）“三公”经费财政拨款支出决算具体情况说明</w:t>
      </w:r>
      <w:bookmarkEnd w:id="43"/>
    </w:p>
    <w:p>
      <w:pPr>
        <w:widowControl/>
        <w:spacing w:line="560" w:lineRule="exact"/>
        <w:ind w:firstLineChars="200" w:firstLine="640"/>
        <w:jc w:val="left"/>
        <w:rPr>
          <w:rFonts w:ascii="仿宋_GB2312" w:eastAsia="仿宋_GB2312"/>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3年“三公”经费财政拨款支出决算中，因公出国（境）费支出决算</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万元；公务用车购置及运行维护费支出决算</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万元；公务接待费支出决算0.16万元，占</w:t>
      </w:r>
      <w:r>
        <w:rPr>
          <w:rFonts w:ascii="仿宋_GB2312" w:eastAsia="仿宋_GB2312" w:cs="仿宋_GB2312"/>
          <w:color w:val="000000"/>
          <w:sz w:val="32"/>
          <w:szCs w:val="32"/>
        </w:rPr>
        <w:t>100%</w:t>
      </w:r>
      <w:r>
        <w:rPr>
          <w:rFonts w:ascii="仿宋_GB2312" w:eastAsia="仿宋_GB2312" w:cs="仿宋_GB2312" w:hint="eastAsia"/>
          <w:color w:val="000000"/>
          <w:sz w:val="32"/>
          <w:szCs w:val="32"/>
        </w:rPr>
        <w:t>。具体情况如下：</w:t>
      </w:r>
    </w:p>
    <w:p>
      <w:pPr>
        <w:widowControl/>
        <w:spacing w:line="560" w:lineRule="exact"/>
        <w:ind w:firstLineChars="200" w:firstLine="560"/>
        <w:jc w:val="left"/>
        <w:rPr>
          <w:rFonts w:ascii="宋体"/>
          <w:b/>
          <w:bCs/>
          <w:color w:val="000000"/>
          <w:kern w:val="0"/>
          <w:sz w:val="28"/>
          <w:szCs w:val="28"/>
        </w:rPr>
      </w:pPr>
      <w:r>
        <w:rPr>
          <w:rFonts w:ascii="宋体" w:cs="宋体" w:hint="eastAsia"/>
          <w:b/>
          <w:bCs/>
          <w:color w:val="000000"/>
          <w:kern w:val="0"/>
          <w:sz w:val="28"/>
          <w:szCs w:val="28"/>
        </w:rPr>
        <w:t>图</w:t>
      </w:r>
      <w:r>
        <w:rPr>
          <w:rFonts w:ascii="宋体" w:cs="宋体"/>
          <w:b/>
          <w:bCs/>
          <w:color w:val="000000"/>
          <w:kern w:val="0"/>
          <w:sz w:val="28"/>
          <w:szCs w:val="28"/>
        </w:rPr>
        <w:t>7</w:t>
      </w:r>
      <w:r>
        <w:rPr>
          <w:rFonts w:ascii="宋体" w:cs="宋体" w:hint="eastAsia"/>
          <w:b/>
          <w:bCs/>
          <w:color w:val="000000"/>
          <w:kern w:val="0"/>
          <w:sz w:val="28"/>
          <w:szCs w:val="28"/>
        </w:rPr>
        <w:t>：“三公”经费财政拨款支出结构（单位：万元）</w:t>
      </w:r>
    </w:p>
    <w:p>
      <w:pPr>
        <w:widowControl/>
        <w:spacing w:line="560" w:lineRule="exact"/>
        <w:ind w:firstLineChars="200" w:firstLine="420"/>
        <w:jc w:val="left"/>
        <w:rPr>
          <w:rFonts w:ascii="宋体"/>
          <w:b/>
          <w:bCs/>
          <w:color w:val="000000"/>
          <w:kern w:val="0"/>
          <w:sz w:val="28"/>
          <w:szCs w:val="28"/>
        </w:rPr>
      </w:pPr>
      <w:r>
        <w:drawing>
          <wp:anchor distT="0" distB="0" distL="114300" distR="114300" simplePos="0" relativeHeight="29" behindDoc="0" locked="0" layoutInCell="1" hidden="0" allowOverlap="1">
            <wp:simplePos x="0" y="0"/>
            <wp:positionH relativeFrom="column">
              <wp:posOffset>640080</wp:posOffset>
            </wp:positionH>
            <wp:positionV relativeFrom="paragraph">
              <wp:posOffset>90805</wp:posOffset>
            </wp:positionV>
            <wp:extent cx="4596130" cy="2761615"/>
            <wp:effectExtent l="0" t="0" r="7" b="21"/>
            <wp:wrapSquare wrapText="bothSides"/>
            <wp:docPr id="21" name="_x0000_s1034"/>
            <wp:cNvGraphicFramePr>
              <a:graphicFrameLocks noChangeAspect="1"/>
            </wp:cNvGraphicFramePr>
            <a:graphic>
              <a:graphicData uri="http://schemas.openxmlformats.org/drawingml/2006/picture">
                <pic:pic>
                  <pic:nvPicPr>
                    <pic:cNvPr id="23" name="_x0000_s1034 23"/>
                    <pic:cNvPicPr/>
                  </pic:nvPicPr>
                  <pic:blipFill>
                    <a:blip r:embed="rId11"/>
                    <a:stretch>
                      <a:fillRect/>
                    </a:stretch>
                  </pic:blipFill>
                  <pic:spPr>
                    <a:xfrm rot="0">
                      <a:off x="0" y="0"/>
                      <a:ext cx="4596130" cy="2761615"/>
                    </a:xfrm>
                    <a:prstGeom prst="rect"/>
                    <a:noFill/>
                    <a:ln w="9525" cmpd="sng" cap="flat">
                      <a:noFill/>
                      <a:prstDash val="solid"/>
                      <a:miter/>
                    </a:ln>
                  </pic:spPr>
                </pic:pic>
              </a:graphicData>
            </a:graphic>
          </wp:anchor>
        </w:drawing>
      </w:r>
    </w:p>
    <w:p>
      <w:pPr>
        <w:pStyle w:val="15"/>
        <w:rPr>
          <w:b/>
          <w:bCs/>
          <w:color w:val="000000"/>
          <w:sz w:val="28"/>
          <w:szCs w:val="28"/>
        </w:rPr>
      </w:pPr>
    </w:p>
    <w:p>
      <w:pPr>
        <w:pStyle w:val="16"/>
        <w:tabs>
          <w:tab w:val="center" w:pos="4153"/>
          <w:tab w:val="right" w:pos="8306"/>
        </w:tabs>
      </w:pPr>
    </w:p>
    <w:p>
      <w:pPr>
        <w:widowControl/>
        <w:spacing w:line="560" w:lineRule="exact"/>
        <w:ind w:firstLineChars="200" w:firstLine="560"/>
        <w:jc w:val="left"/>
        <w:rPr>
          <w:rFonts w:ascii="宋体"/>
          <w:b/>
          <w:bCs/>
          <w:color w:val="000000"/>
          <w:kern w:val="0"/>
          <w:sz w:val="28"/>
          <w:szCs w:val="28"/>
        </w:rPr>
      </w:pPr>
    </w:p>
    <w:p>
      <w:pPr>
        <w:spacing w:line="560" w:lineRule="exact"/>
        <w:ind w:firstLineChars="200" w:firstLine="640"/>
        <w:rPr>
          <w:rFonts w:ascii="仿宋_GB2312" w:eastAsia="仿宋_GB2312"/>
          <w:color w:val="000000"/>
          <w:sz w:val="32"/>
          <w:szCs w:val="32"/>
        </w:rPr>
      </w:pPr>
    </w:p>
    <w:p>
      <w:pPr>
        <w:spacing w:line="560" w:lineRule="exact"/>
        <w:ind w:firstLineChars="200" w:firstLine="640"/>
        <w:rPr>
          <w:rFonts w:ascii="仿宋_GB2312" w:eastAsia="仿宋_GB2312"/>
          <w:color w:val="000000"/>
          <w:sz w:val="32"/>
          <w:szCs w:val="32"/>
        </w:rPr>
      </w:pPr>
    </w:p>
    <w:p>
      <w:pPr>
        <w:spacing w:line="560" w:lineRule="exact"/>
        <w:rPr>
          <w:rFonts w:ascii="仿宋_GB2312" w:eastAsia="仿宋_GB2312" w:cs="仿宋_GB2312"/>
          <w:color w:val="000000"/>
          <w:sz w:val="32"/>
          <w:szCs w:val="32"/>
        </w:rPr>
      </w:pPr>
    </w:p>
    <w:p>
      <w:pPr>
        <w:spacing w:line="560" w:lineRule="exact"/>
        <w:ind w:firstLineChars="200" w:firstLine="640"/>
        <w:outlineLvl w:val="3"/>
        <w:rPr>
          <w:rFonts w:ascii="仿宋_GB2312" w:eastAsia="仿宋_GB2312"/>
          <w:color w:val="000000"/>
          <w:sz w:val="32"/>
          <w:szCs w:val="32"/>
        </w:rPr>
      </w:pPr>
      <w:r>
        <w:rPr>
          <w:rFonts w:ascii="仿宋_GB2312" w:eastAsia="仿宋_GB2312" w:cs="仿宋_GB2312"/>
          <w:color w:val="000000"/>
          <w:sz w:val="32"/>
          <w:szCs w:val="32"/>
        </w:rPr>
        <w:t>1.</w:t>
      </w:r>
      <w:r>
        <w:rPr>
          <w:rFonts w:ascii="仿宋_GB2312" w:eastAsia="仿宋_GB2312" w:cs="仿宋_GB2312" w:hint="eastAsia"/>
          <w:color w:val="000000"/>
          <w:sz w:val="32"/>
          <w:szCs w:val="32"/>
        </w:rPr>
        <w:t>因公出国（境）经费支出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w:t>
      </w:r>
      <w:r>
        <w:rPr>
          <w:rStyle w:val="24"/>
          <w:rFonts w:ascii="仿宋_GB2312" w:eastAsia="仿宋_GB2312" w:cs="仿宋_GB2312" w:hint="eastAsia"/>
          <w:b w:val="0"/>
          <w:bCs w:val="0"/>
          <w:color w:val="000000"/>
          <w:sz w:val="32"/>
          <w:szCs w:val="32"/>
        </w:rPr>
        <w:t>。与上年相比，无变化。</w:t>
      </w:r>
    </w:p>
    <w:p>
      <w:pPr>
        <w:spacing w:line="560" w:lineRule="exact"/>
        <w:ind w:firstLineChars="200" w:firstLine="640"/>
        <w:rPr>
          <w:rStyle w:val="24"/>
          <w:rFonts w:ascii="仿宋_GB2312" w:eastAsia="仿宋_GB2312" w:cs="仿宋_GB2312"/>
          <w:b w:val="0"/>
          <w:bCs w:val="0"/>
          <w:color w:val="000000"/>
          <w:sz w:val="32"/>
          <w:szCs w:val="32"/>
        </w:rPr>
      </w:pPr>
      <w:r>
        <w:rPr>
          <w:rFonts w:ascii="仿宋_GB2312" w:eastAsia="仿宋_GB2312" w:cs="仿宋_GB2312"/>
          <w:color w:val="000000"/>
          <w:sz w:val="32"/>
          <w:szCs w:val="32"/>
        </w:rPr>
        <w:t>2.</w:t>
      </w:r>
      <w:r>
        <w:rPr>
          <w:rFonts w:ascii="仿宋_GB2312" w:eastAsia="仿宋_GB2312" w:cs="仿宋_GB2312" w:hint="eastAsia"/>
          <w:color w:val="000000"/>
          <w:sz w:val="32"/>
          <w:szCs w:val="32"/>
        </w:rPr>
        <w:t>公务用车购置及运行维护费支出</w:t>
      </w:r>
      <w:r>
        <w:rPr>
          <w:rFonts w:ascii="仿宋_GB2312" w:eastAsia="仿宋_GB2312" w:cs="仿宋_GB2312"/>
          <w:color w:val="000000"/>
          <w:sz w:val="32"/>
          <w:szCs w:val="32"/>
        </w:rPr>
        <w:t>0</w:t>
      </w:r>
      <w:r>
        <w:rPr>
          <w:rFonts w:ascii="仿宋_GB2312" w:eastAsia="仿宋_GB2312" w:cs="仿宋_GB2312" w:hint="eastAsia"/>
          <w:color w:val="000000"/>
          <w:sz w:val="32"/>
          <w:szCs w:val="32"/>
        </w:rPr>
        <w:t>万元。</w:t>
      </w:r>
      <w:r>
        <w:rPr>
          <w:rStyle w:val="24"/>
          <w:rFonts w:ascii="仿宋_GB2312" w:eastAsia="仿宋_GB2312" w:cs="仿宋_GB2312" w:hint="eastAsia"/>
          <w:b w:val="0"/>
          <w:bCs w:val="0"/>
          <w:color w:val="000000"/>
          <w:sz w:val="32"/>
          <w:szCs w:val="32"/>
        </w:rPr>
        <w:t>公务用车购置及运行维护费支出决算与2022年相比无变化。主要原因是单位无公车，也无公务用车运行维护费的预算。</w:t>
      </w:r>
    </w:p>
    <w:p>
      <w:pPr>
        <w:spacing w:line="560" w:lineRule="exact"/>
        <w:ind w:firstLineChars="200" w:firstLine="640"/>
        <w:rPr>
          <w:rStyle w:val="24"/>
          <w:rFonts w:ascii="仿宋_GB2312" w:eastAsia="仿宋_GB2312" w:cs="仿宋_GB2312"/>
          <w:b w:val="0"/>
          <w:bCs w:val="0"/>
          <w:color w:val="000000"/>
          <w:sz w:val="32"/>
          <w:szCs w:val="32"/>
        </w:rPr>
      </w:pPr>
      <w:r>
        <w:rPr>
          <w:rStyle w:val="24"/>
          <w:rFonts w:ascii="仿宋_GB2312" w:eastAsia="仿宋_GB2312" w:cs="仿宋_GB2312" w:hint="eastAsia"/>
          <w:b w:val="0"/>
          <w:bCs w:val="0"/>
          <w:color w:val="000000"/>
          <w:sz w:val="32"/>
          <w:szCs w:val="32"/>
        </w:rPr>
        <w:t>其中：公务用车购置支出0万元。全年按规定更新购置公务用车0辆，其中：轿车0辆，金额0万元；越野车0辆、金额0万元；载客汽车0辆，金额0万元。截至2023年12月31日，单位共有公务用车0辆，其中：轿车0辆、越野车0辆、载客汽车0辆。</w:t>
      </w:r>
    </w:p>
    <w:p>
      <w:pPr>
        <w:spacing w:line="560" w:lineRule="exact"/>
        <w:ind w:firstLineChars="200" w:firstLine="640"/>
        <w:rPr>
          <w:rFonts w:ascii="仿宋_GB2312" w:eastAsia="仿宋_GB2312"/>
          <w:color w:val="000000"/>
          <w:sz w:val="32"/>
          <w:szCs w:val="32"/>
        </w:rPr>
      </w:pPr>
      <w:r>
        <w:rPr>
          <w:rStyle w:val="24"/>
          <w:rFonts w:ascii="仿宋_GB2312" w:eastAsia="仿宋_GB2312" w:cs="仿宋_GB2312" w:hint="eastAsia"/>
          <w:b w:val="0"/>
          <w:bCs w:val="0"/>
          <w:color w:val="000000"/>
          <w:sz w:val="32"/>
          <w:szCs w:val="32"/>
        </w:rPr>
        <w:t>公务用车运行维护费支出0万元。</w:t>
      </w:r>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3.</w:t>
      </w:r>
      <w:r>
        <w:rPr>
          <w:rFonts w:ascii="仿宋_GB2312" w:eastAsia="仿宋_GB2312" w:cs="仿宋_GB2312" w:hint="eastAsia"/>
          <w:color w:val="000000"/>
          <w:sz w:val="32"/>
          <w:szCs w:val="32"/>
        </w:rPr>
        <w:t>公务接待费支出</w:t>
      </w:r>
      <w:r>
        <w:rPr>
          <w:rFonts w:ascii="仿宋_GB2312" w:eastAsia="仿宋_GB2312" w:cs="仿宋_GB2312"/>
          <w:color w:val="000000"/>
          <w:sz w:val="32"/>
          <w:szCs w:val="32"/>
        </w:rPr>
        <w:t>0.1</w:t>
      </w:r>
      <w:r>
        <w:rPr>
          <w:rFonts w:ascii="仿宋_GB2312" w:eastAsia="仿宋_GB2312" w:cs="仿宋_GB2312" w:hint="eastAsia"/>
          <w:color w:val="000000"/>
          <w:sz w:val="32"/>
          <w:szCs w:val="32"/>
        </w:rPr>
        <w:t>6万元，</w:t>
      </w:r>
      <w:r>
        <w:rPr>
          <w:rStyle w:val="24"/>
          <w:rFonts w:ascii="仿宋_GB2312" w:eastAsia="仿宋_GB2312" w:cs="仿宋_GB2312" w:hint="eastAsia"/>
          <w:b w:val="0"/>
          <w:bCs w:val="0"/>
          <w:color w:val="000000"/>
          <w:sz w:val="32"/>
          <w:szCs w:val="32"/>
        </w:rPr>
        <w:t>完成预算100</w:t>
      </w:r>
      <w:r>
        <w:rPr>
          <w:rStyle w:val="24"/>
          <w:rFonts w:ascii="仿宋_GB2312" w:eastAsia="仿宋_GB2312" w:cs="仿宋_GB2312"/>
          <w:b w:val="0"/>
          <w:bCs w:val="0"/>
          <w:color w:val="000000"/>
          <w:sz w:val="32"/>
          <w:szCs w:val="32"/>
        </w:rPr>
        <w:t>%</w:t>
      </w:r>
      <w:r>
        <w:rPr>
          <w:rStyle w:val="24"/>
          <w:rFonts w:ascii="仿宋_GB2312" w:eastAsia="仿宋_GB2312" w:cs="仿宋_GB2312" w:hint="eastAsia"/>
          <w:b w:val="0"/>
          <w:bCs w:val="0"/>
          <w:color w:val="000000"/>
          <w:sz w:val="32"/>
          <w:szCs w:val="32"/>
        </w:rPr>
        <w:t>。</w:t>
      </w:r>
      <w:r>
        <w:rPr>
          <w:rFonts w:ascii="仿宋_GB2312" w:eastAsia="仿宋_GB2312" w:cs="仿宋_GB2312" w:hint="eastAsia"/>
          <w:color w:val="000000"/>
          <w:sz w:val="32"/>
          <w:szCs w:val="32"/>
        </w:rPr>
        <w:t>公务接待费支出决算比</w:t>
      </w:r>
      <w:r>
        <w:rPr>
          <w:rFonts w:ascii="仿宋_GB2312" w:eastAsia="仿宋_GB2312" w:cs="仿宋_GB2312"/>
          <w:color w:val="000000"/>
          <w:sz w:val="32"/>
          <w:szCs w:val="32"/>
        </w:rPr>
        <w:t>202</w:t>
      </w:r>
      <w:r>
        <w:rPr>
          <w:rFonts w:ascii="仿宋_GB2312" w:eastAsia="仿宋_GB2312" w:cs="仿宋_GB2312" w:hint="eastAsia"/>
          <w:color w:val="000000"/>
          <w:sz w:val="32"/>
          <w:szCs w:val="32"/>
        </w:rPr>
        <w:t>2年增加</w:t>
      </w:r>
      <w:r>
        <w:rPr>
          <w:rFonts w:ascii="仿宋_GB2312" w:eastAsia="仿宋_GB2312" w:cs="仿宋_GB2312"/>
          <w:color w:val="000000"/>
          <w:sz w:val="32"/>
          <w:szCs w:val="32"/>
        </w:rPr>
        <w:t>0.0</w:t>
      </w:r>
      <w:r>
        <w:rPr>
          <w:rFonts w:ascii="仿宋_GB2312" w:eastAsia="仿宋_GB2312" w:cs="仿宋_GB2312" w:hint="eastAsia"/>
          <w:color w:val="000000"/>
          <w:sz w:val="32"/>
          <w:szCs w:val="32"/>
        </w:rPr>
        <w:t>46万元。主要原因是业务活动增加</w:t>
      </w:r>
      <w:r>
        <w:rPr>
          <w:rFonts w:ascii="仿宋_GB2312" w:eastAsia="仿宋_GB2312" w:cs="仿宋_GB2312" w:hint="eastAsia"/>
          <w:color w:val="000000"/>
          <w:kern w:val="0"/>
          <w:sz w:val="32"/>
          <w:szCs w:val="32"/>
        </w:rPr>
        <w:t>。</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国内公务接待支出0.16万元，主要用于执行公务、开展业务活动开支的用餐费。国内公务接待1批次，10人次（不包括陪同人员），共计支出</w:t>
      </w:r>
      <w:r>
        <w:rPr>
          <w:rFonts w:ascii="仿宋_GB2312" w:eastAsia="仿宋_GB2312" w:cs="仿宋_GB2312"/>
          <w:color w:val="000000"/>
          <w:sz w:val="32"/>
          <w:szCs w:val="32"/>
        </w:rPr>
        <w:t>0.1</w:t>
      </w:r>
      <w:r>
        <w:rPr>
          <w:rFonts w:ascii="仿宋_GB2312" w:eastAsia="仿宋_GB2312" w:cs="仿宋_GB2312" w:hint="eastAsia"/>
          <w:color w:val="000000"/>
          <w:sz w:val="32"/>
          <w:szCs w:val="32"/>
        </w:rPr>
        <w:t>6万元，具体内容包括：接待中共眉山市委</w:t>
      </w:r>
      <w:bookmarkStart w:id="44" w:name="_GoBack"/>
      <w:bookmarkEnd w:id="44"/>
      <w:r>
        <w:rPr>
          <w:rFonts w:ascii="仿宋_GB2312" w:eastAsia="仿宋_GB2312" w:cs="仿宋_GB2312" w:hint="eastAsia"/>
          <w:color w:val="000000"/>
          <w:sz w:val="32"/>
          <w:szCs w:val="32"/>
        </w:rPr>
        <w:t>党校，开展教学、科研以及现场教学点位建设研讨交流。</w:t>
      </w:r>
      <w:bookmarkStart w:id="45" w:name="_Toc15396610"/>
      <w:bookmarkStart w:id="46" w:name="_Toc15377218"/>
    </w:p>
    <w:p>
      <w:pPr>
        <w:numPr>
          <w:ilvl w:val="0"/>
          <w:numId w:val="4"/>
        </w:numPr>
        <w:spacing w:line="560" w:lineRule="exact"/>
        <w:ind w:left="0" w:firstLineChars="200" w:firstLine="640"/>
        <w:outlineLvl w:val="1"/>
        <w:rPr>
          <w:rStyle w:val="2Char"/>
          <w:rFonts w:ascii="黑体" w:eastAsia="黑体" w:cs="黑体"/>
          <w:b w:val="0"/>
          <w:bCs w:val="0"/>
        </w:rPr>
      </w:pPr>
      <w:r>
        <w:rPr>
          <w:rStyle w:val="2Char"/>
          <w:rFonts w:ascii="黑体" w:eastAsia="黑体" w:cs="黑体" w:hint="eastAsia"/>
          <w:b w:val="0"/>
          <w:bCs w:val="0"/>
        </w:rPr>
        <w:t>政府性基金预算支出决算情况说明</w:t>
      </w:r>
      <w:bookmarkEnd w:id="45"/>
      <w:bookmarkEnd w:id="46"/>
    </w:p>
    <w:p>
      <w:pPr>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我校</w:t>
      </w:r>
      <w:r>
        <w:rPr>
          <w:rFonts w:ascii="仿宋_GB2312" w:eastAsia="仿宋_GB2312" w:cs="仿宋_GB2312"/>
          <w:color w:val="000000"/>
          <w:sz w:val="32"/>
          <w:szCs w:val="32"/>
        </w:rPr>
        <w:t>202</w:t>
      </w:r>
      <w:r>
        <w:rPr>
          <w:rFonts w:ascii="仿宋_GB2312" w:eastAsia="仿宋_GB2312" w:cs="仿宋_GB2312" w:hint="eastAsia"/>
          <w:color w:val="000000"/>
          <w:sz w:val="32"/>
          <w:szCs w:val="32"/>
        </w:rPr>
        <w:t>3年无政府性基金预算拨款支出。</w:t>
      </w:r>
      <w:bookmarkStart w:id="47" w:name="_Toc15377219"/>
      <w:bookmarkStart w:id="48" w:name="_Toc15396611"/>
    </w:p>
    <w:p>
      <w:pPr>
        <w:pStyle w:val="2"/>
        <w:spacing w:before="0" w:after="0" w:line="560" w:lineRule="exact"/>
        <w:ind w:firstLineChars="200" w:firstLine="640"/>
        <w:rPr>
          <w:rStyle w:val="2Char"/>
          <w:rFonts w:ascii="黑体" w:eastAsia="黑体" w:cs="Times New Roman"/>
          <w:b w:val="0"/>
          <w:bCs w:val="0"/>
        </w:rPr>
      </w:pPr>
      <w:r>
        <w:rPr>
          <w:rStyle w:val="2Char"/>
          <w:rFonts w:ascii="黑体" w:eastAsia="黑体" w:cs="黑体" w:hint="eastAsia"/>
          <w:b w:val="0"/>
          <w:bCs w:val="0"/>
        </w:rPr>
        <w:t>九、国有资本经营预算支出决算情况说明</w:t>
      </w:r>
      <w:bookmarkEnd w:id="47"/>
      <w:bookmarkEnd w:id="48"/>
    </w:p>
    <w:p>
      <w:pPr>
        <w:spacing w:line="560" w:lineRule="exact"/>
        <w:ind w:firstLine="640"/>
        <w:rPr>
          <w:rFonts w:ascii="仿宋_GB2312" w:eastAsia="仿宋_GB2312"/>
          <w:color w:val="000000"/>
          <w:sz w:val="32"/>
          <w:szCs w:val="32"/>
        </w:rPr>
      </w:pPr>
      <w:r>
        <w:rPr>
          <w:rFonts w:ascii="仿宋_GB2312" w:eastAsia="仿宋_GB2312" w:cs="仿宋_GB2312" w:hint="eastAsia"/>
          <w:color w:val="000000"/>
          <w:sz w:val="32"/>
          <w:szCs w:val="32"/>
        </w:rPr>
        <w:t>我校</w:t>
      </w:r>
      <w:r>
        <w:rPr>
          <w:rFonts w:ascii="仿宋_GB2312" w:eastAsia="仿宋_GB2312" w:cs="仿宋_GB2312"/>
          <w:color w:val="000000"/>
          <w:sz w:val="32"/>
          <w:szCs w:val="32"/>
        </w:rPr>
        <w:t>202</w:t>
      </w:r>
      <w:r>
        <w:rPr>
          <w:rFonts w:ascii="仿宋_GB2312" w:eastAsia="仿宋_GB2312" w:cs="仿宋_GB2312" w:hint="eastAsia"/>
          <w:color w:val="000000"/>
          <w:sz w:val="32"/>
          <w:szCs w:val="32"/>
        </w:rPr>
        <w:t>3年无国有资本经营预算拨款支出。</w:t>
      </w:r>
    </w:p>
    <w:p>
      <w:pPr>
        <w:pStyle w:val="2"/>
        <w:spacing w:before="0" w:after="0" w:line="560" w:lineRule="exact"/>
        <w:ind w:firstLineChars="200" w:firstLine="640"/>
        <w:rPr>
          <w:rStyle w:val="2Char"/>
          <w:rFonts w:ascii="黑体" w:eastAsia="黑体" w:cs="黑体"/>
          <w:b/>
          <w:bCs/>
        </w:rPr>
      </w:pPr>
      <w:r>
        <w:rPr>
          <w:rStyle w:val="2Char"/>
          <w:rFonts w:ascii="黑体" w:eastAsia="黑体" w:cs="黑体" w:hint="eastAsia"/>
          <w:b/>
          <w:bCs/>
        </w:rPr>
        <w:t>十、其他重要事项的情况说明</w:t>
      </w:r>
    </w:p>
    <w:p>
      <w:pPr>
        <w:spacing w:line="560" w:lineRule="exact"/>
        <w:ind w:firstLineChars="200" w:firstLine="640"/>
        <w:outlineLvl w:val="2"/>
        <w:rPr>
          <w:rFonts w:ascii="宋体" w:cs="宋体"/>
          <w:b/>
          <w:bCs/>
          <w:sz w:val="32"/>
          <w:szCs w:val="32"/>
        </w:rPr>
      </w:pPr>
      <w:r>
        <w:rPr>
          <w:rFonts w:ascii="宋体" w:cs="宋体" w:hint="eastAsia"/>
          <w:b/>
          <w:bCs/>
          <w:sz w:val="32"/>
          <w:szCs w:val="32"/>
        </w:rPr>
        <w:t>（一）机关运行经费支出情况</w:t>
      </w:r>
    </w:p>
    <w:p>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3年，我校机关运行经费支出6.54万元，比</w:t>
      </w:r>
      <w:r>
        <w:rPr>
          <w:rFonts w:ascii="仿宋_GB2312" w:eastAsia="仿宋_GB2312"/>
          <w:color w:val="000000"/>
          <w:sz w:val="32"/>
          <w:szCs w:val="32"/>
        </w:rPr>
        <w:t>202</w:t>
      </w:r>
      <w:r>
        <w:rPr>
          <w:rFonts w:ascii="仿宋_GB2312" w:eastAsia="仿宋_GB2312" w:hint="eastAsia"/>
          <w:color w:val="000000"/>
          <w:sz w:val="32"/>
          <w:szCs w:val="32"/>
        </w:rPr>
        <w:t>2年减少2.04万元。主要原因是厉行节约，</w:t>
      </w:r>
      <w:r>
        <w:rPr>
          <w:rFonts w:ascii="仿宋_GB2312" w:eastAsia="仿宋_GB2312" w:cs="仿宋_GB2312" w:hint="eastAsia"/>
          <w:color w:val="000000"/>
          <w:kern w:val="0"/>
          <w:sz w:val="32"/>
          <w:szCs w:val="32"/>
        </w:rPr>
        <w:t>厉行节约，控制经费支出。</w:t>
      </w:r>
    </w:p>
    <w:p>
      <w:pPr>
        <w:autoSpaceDE w:val="0"/>
        <w:autoSpaceDN w:val="0"/>
        <w:adjustRightInd w:val="0"/>
        <w:spacing w:line="560" w:lineRule="exact"/>
        <w:ind w:firstLineChars="200" w:firstLine="640"/>
        <w:jc w:val="left"/>
        <w:outlineLvl w:val="2"/>
        <w:rPr>
          <w:rFonts w:ascii="仿宋" w:eastAsia="仿宋"/>
          <w:b/>
          <w:color w:val="000000"/>
          <w:sz w:val="32"/>
          <w:szCs w:val="32"/>
        </w:rPr>
      </w:pPr>
      <w:r>
        <w:rPr>
          <w:rFonts w:ascii="仿宋" w:eastAsia="仿宋" w:hint="eastAsia"/>
          <w:b/>
          <w:color w:val="000000"/>
          <w:sz w:val="32"/>
          <w:szCs w:val="32"/>
        </w:rPr>
        <w:t>（二）政府采购支出情况</w:t>
      </w:r>
    </w:p>
    <w:p>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lang w:val="en-US" w:eastAsia="zh-CN"/>
        </w:rPr>
        <w:t>3</w:t>
      </w:r>
      <w:r>
        <w:rPr>
          <w:rFonts w:ascii="仿宋_GB2312" w:eastAsia="仿宋_GB2312" w:hint="eastAsia"/>
          <w:color w:val="000000"/>
          <w:sz w:val="32"/>
          <w:szCs w:val="32"/>
        </w:rPr>
        <w:t>年，茂县县委党校政府采购支出总额</w:t>
      </w:r>
      <w:r>
        <w:rPr>
          <w:rFonts w:ascii="仿宋_GB2312" w:eastAsia="仿宋_GB2312"/>
          <w:color w:val="000000"/>
          <w:sz w:val="32"/>
          <w:szCs w:val="32"/>
        </w:rPr>
        <w:t>0</w:t>
      </w:r>
      <w:r>
        <w:rPr>
          <w:rFonts w:ascii="仿宋_GB2312" w:eastAsia="仿宋_GB2312" w:hint="eastAsia"/>
          <w:color w:val="000000"/>
          <w:sz w:val="32"/>
          <w:szCs w:val="32"/>
        </w:rPr>
        <w:t>万元，其中：政府采购货物支出</w:t>
      </w:r>
      <w:r>
        <w:rPr>
          <w:rFonts w:ascii="仿宋_GB2312" w:eastAsia="仿宋_GB2312"/>
          <w:color w:val="000000"/>
          <w:sz w:val="32"/>
          <w:szCs w:val="32"/>
        </w:rPr>
        <w:t>0</w:t>
      </w:r>
      <w:r>
        <w:rPr>
          <w:rFonts w:ascii="仿宋_GB2312" w:eastAsia="仿宋_GB2312" w:hint="eastAsia"/>
          <w:color w:val="000000"/>
          <w:sz w:val="32"/>
          <w:szCs w:val="32"/>
        </w:rPr>
        <w:t>万元、政府采购工程支出</w:t>
      </w:r>
      <w:r>
        <w:rPr>
          <w:rFonts w:ascii="仿宋_GB2312" w:eastAsia="仿宋_GB2312"/>
          <w:color w:val="000000"/>
          <w:sz w:val="32"/>
          <w:szCs w:val="32"/>
        </w:rPr>
        <w:t>0</w:t>
      </w:r>
      <w:r>
        <w:rPr>
          <w:rFonts w:ascii="仿宋_GB2312" w:eastAsia="仿宋_GB2312" w:hint="eastAsia"/>
          <w:color w:val="000000"/>
          <w:sz w:val="32"/>
          <w:szCs w:val="32"/>
        </w:rPr>
        <w:t>万元、政府采购服务支出</w:t>
      </w:r>
      <w:r>
        <w:rPr>
          <w:rFonts w:ascii="仿宋_GB2312" w:eastAsia="仿宋_GB2312"/>
          <w:color w:val="000000"/>
          <w:sz w:val="32"/>
          <w:szCs w:val="32"/>
        </w:rPr>
        <w:t>0</w:t>
      </w:r>
      <w:r>
        <w:rPr>
          <w:rFonts w:ascii="仿宋_GB2312" w:eastAsia="仿宋_GB2312" w:hint="eastAsia"/>
          <w:color w:val="000000"/>
          <w:sz w:val="32"/>
          <w:szCs w:val="32"/>
        </w:rPr>
        <w:t>万元。</w:t>
      </w:r>
    </w:p>
    <w:p>
      <w:pPr>
        <w:spacing w:line="560"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（三）国有资产占有使用情况</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202</w:t>
      </w:r>
      <w:r>
        <w:rPr>
          <w:rFonts w:ascii="仿宋_GB2312" w:eastAsia="仿宋_GB2312" w:hint="eastAsia"/>
          <w:color w:val="000000"/>
          <w:sz w:val="32"/>
          <w:szCs w:val="32"/>
          <w:lang w:val="en-US" w:eastAsia="zh-CN"/>
        </w:rPr>
        <w:t>3</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日，共有车辆</w:t>
      </w:r>
      <w:r>
        <w:rPr>
          <w:rFonts w:ascii="仿宋_GB2312" w:eastAsia="仿宋_GB2312"/>
          <w:color w:val="000000"/>
          <w:sz w:val="32"/>
          <w:szCs w:val="32"/>
        </w:rPr>
        <w:t>0</w:t>
      </w:r>
      <w:r>
        <w:rPr>
          <w:rFonts w:ascii="仿宋_GB2312" w:eastAsia="仿宋_GB2312" w:hint="eastAsia"/>
          <w:color w:val="000000"/>
          <w:sz w:val="32"/>
          <w:szCs w:val="32"/>
        </w:rPr>
        <w:t>辆。</w:t>
      </w:r>
    </w:p>
    <w:p>
      <w:pPr>
        <w:numPr>
          <w:ilvl w:val="0"/>
          <w:numId w:val="5"/>
        </w:numPr>
        <w:autoSpaceDE w:val="0"/>
        <w:autoSpaceDN w:val="0"/>
        <w:adjustRightInd w:val="0"/>
        <w:spacing w:line="560" w:lineRule="exact"/>
        <w:ind w:left="0" w:firstLineChars="200" w:firstLine="640"/>
        <w:jc w:val="left"/>
        <w:outlineLvl w:val="2"/>
        <w:rPr>
          <w:rFonts w:ascii="仿宋" w:eastAsia="仿宋"/>
          <w:b/>
          <w:color w:val="000000"/>
          <w:sz w:val="32"/>
          <w:szCs w:val="32"/>
        </w:rPr>
      </w:pPr>
      <w:r>
        <w:rPr>
          <w:rFonts w:ascii="仿宋" w:eastAsia="仿宋" w:hint="eastAsia"/>
          <w:b/>
          <w:color w:val="000000"/>
          <w:sz w:val="32"/>
          <w:szCs w:val="32"/>
        </w:rPr>
        <w:t>预算绩效管理情况</w:t>
      </w:r>
    </w:p>
    <w:p>
      <w:pPr>
        <w:autoSpaceDE w:val="0"/>
        <w:autoSpaceDN w:val="0"/>
        <w:adjustRightInd w:val="0"/>
        <w:spacing w:line="560" w:lineRule="exact"/>
        <w:ind w:firstLineChars="200" w:firstLine="640"/>
        <w:jc w:val="left"/>
        <w:outlineLvl w:val="2"/>
      </w:pPr>
      <w:r>
        <w:rPr>
          <w:rFonts w:ascii="仿宋_GB2312" w:eastAsia="仿宋_GB2312" w:cs="仿宋_GB2312" w:hint="eastAsia"/>
          <w:sz w:val="32"/>
          <w:szCs w:val="32"/>
        </w:rPr>
        <w:t>我校</w:t>
      </w:r>
      <w:r>
        <w:rPr>
          <w:rFonts w:ascii="仿宋_GB2312" w:eastAsia="仿宋_GB2312" w:cs="仿宋_GB2312" w:hint="eastAsia"/>
          <w:color w:val="000000"/>
          <w:kern w:val="0"/>
          <w:sz w:val="32"/>
          <w:szCs w:val="32"/>
        </w:rPr>
        <w:t>根据预算绩效管理要求，</w:t>
      </w:r>
      <w:r>
        <w:rPr>
          <w:rFonts w:ascii="仿宋_GB2312" w:eastAsia="仿宋_GB2312" w:cs="仿宋_GB2312" w:hint="eastAsia"/>
          <w:color w:val="222222"/>
          <w:sz w:val="32"/>
          <w:szCs w:val="32"/>
        </w:rPr>
        <w:t>根据年初工作规划和重点性工作，积极履职，强化管理，通过加强预算收支管理，不断建立健全内部管理制度，梳理内部管理流程，较好的完成了年度工作目标。</w:t>
      </w:r>
    </w:p>
    <w:p>
      <w:pPr>
        <w:spacing w:line="560" w:lineRule="exact"/>
        <w:ind w:firstLineChars="200" w:firstLine="640"/>
        <w:rPr>
          <w:rFonts w:ascii="仿宋_GB2312" w:eastAsia="仿宋_GB2312" w:cs="仿宋_GB2312"/>
          <w:color w:val="222222"/>
          <w:sz w:val="32"/>
          <w:szCs w:val="32"/>
        </w:rPr>
      </w:pPr>
      <w:r>
        <w:rPr>
          <w:rFonts w:ascii="仿宋_GB2312" w:eastAsia="仿宋_GB2312" w:cs="仿宋_GB2312" w:hint="eastAsia"/>
          <w:sz w:val="32"/>
          <w:szCs w:val="32"/>
        </w:rPr>
        <w:t>本校按要求对</w:t>
      </w:r>
      <w:r>
        <w:rPr>
          <w:rFonts w:ascii="仿宋_GB2312" w:eastAsia="仿宋_GB2312" w:cs="仿宋_GB2312"/>
          <w:sz w:val="32"/>
          <w:szCs w:val="32"/>
        </w:rPr>
        <w:t>202</w:t>
      </w:r>
      <w:r>
        <w:rPr>
          <w:rFonts w:ascii="仿宋_GB2312" w:eastAsia="仿宋_GB2312" w:cs="仿宋_GB2312" w:hint="eastAsia"/>
          <w:sz w:val="32"/>
          <w:szCs w:val="32"/>
        </w:rPr>
        <w:t>3年部门整体支出绩效评价情况开展自评，</w:t>
      </w:r>
      <w:r>
        <w:rPr>
          <w:rFonts w:ascii="仿宋_GB2312" w:eastAsia="仿宋_GB2312" w:cs="仿宋_GB2312"/>
          <w:color w:val="000000"/>
          <w:kern w:val="0"/>
          <w:sz w:val="32"/>
          <w:szCs w:val="32"/>
        </w:rPr>
        <w:t>202</w:t>
      </w:r>
      <w:r>
        <w:rPr>
          <w:rFonts w:ascii="仿宋_GB2312" w:eastAsia="仿宋_GB2312" w:cs="仿宋_GB2312" w:hint="eastAsia"/>
          <w:color w:val="000000"/>
          <w:kern w:val="0"/>
          <w:sz w:val="32"/>
          <w:szCs w:val="32"/>
        </w:rPr>
        <w:t>3年我校部门整体支出绩效评价自查自评结果良好，全年基本支出保证了部门的正常运行和日常工作的正常开展，绩效目标得到较好实现，绩效管理水平不断提高，绩效指标体系逐渐丰富和完善。</w:t>
      </w:r>
    </w:p>
    <w:p>
      <w:pPr>
        <w:widowControl/>
        <w:spacing w:line="560" w:lineRule="exact"/>
        <w:jc w:val="center"/>
        <w:outlineLvl w:val="9"/>
        <w:rPr>
          <w:rFonts w:ascii="方正小标宋简体" w:eastAsia="方正小标宋简体" w:cs="方正小标宋简体" w:hint="eastAsia"/>
          <w:color w:val="000000"/>
          <w:sz w:val="44"/>
          <w:szCs w:val="44"/>
        </w:rPr>
      </w:pPr>
      <w:bookmarkStart w:id="49" w:name="_Toc15396613"/>
      <w:bookmarkStart w:id="50" w:name="_Toc15377225"/>
    </w:p>
    <w:p>
      <w:pPr>
        <w:widowControl/>
        <w:spacing w:line="560" w:lineRule="exact"/>
        <w:jc w:val="center"/>
        <w:outlineLvl w:val="9"/>
        <w:rPr>
          <w:rFonts w:ascii="方正小标宋简体" w:eastAsia="方正小标宋简体" w:cs="方正小标宋简体" w:hint="eastAsia"/>
          <w:color w:val="000000"/>
          <w:sz w:val="44"/>
          <w:szCs w:val="44"/>
        </w:rPr>
      </w:pPr>
    </w:p>
    <w:p>
      <w:pPr>
        <w:widowControl/>
        <w:spacing w:line="560" w:lineRule="exact"/>
        <w:jc w:val="center"/>
        <w:outlineLvl w:val="0"/>
        <w:rPr>
          <w:rStyle w:val="1Char"/>
          <w:rFonts w:ascii="方正小标宋简体" w:eastAsia="方正小标宋简体" w:cs="方正小标宋简体"/>
          <w:b w:val="0"/>
          <w:bCs w:val="0"/>
        </w:rPr>
      </w:pPr>
      <w:r>
        <w:rPr>
          <w:rFonts w:ascii="方正小标宋简体" w:eastAsia="方正小标宋简体" w:cs="方正小标宋简体" w:hint="eastAsia"/>
          <w:color w:val="000000"/>
          <w:sz w:val="44"/>
          <w:szCs w:val="44"/>
        </w:rPr>
        <w:t>第三部分名</w:t>
      </w:r>
      <w:r>
        <w:rPr>
          <w:rStyle w:val="1Char"/>
          <w:rFonts w:ascii="方正小标宋简体" w:eastAsia="方正小标宋简体" w:cs="方正小标宋简体" w:hint="eastAsia"/>
          <w:b w:val="0"/>
          <w:bCs w:val="0"/>
        </w:rPr>
        <w:t>词解释</w:t>
      </w:r>
      <w:bookmarkEnd w:id="49"/>
      <w:bookmarkEnd w:id="50"/>
    </w:p>
    <w:p>
      <w:pPr>
        <w:widowControl/>
        <w:spacing w:line="560" w:lineRule="exact"/>
        <w:jc w:val="center"/>
        <w:rPr>
          <w:rStyle w:val="1Char"/>
          <w:rFonts w:ascii="方正小标宋简体" w:eastAsia="方正小标宋简体"/>
          <w:b w:val="0"/>
          <w:bCs w:val="0"/>
        </w:rPr>
      </w:pPr>
    </w:p>
    <w:p>
      <w:pPr>
        <w:pStyle w:val="27"/>
        <w:spacing w:line="560" w:lineRule="exact"/>
        <w:ind w:firstLineChars="200" w:firstLine="640"/>
        <w:outlineLvl w:val="1"/>
        <w:rPr>
          <w:rFonts w:ascii="仿宋_GB2312" w:eastAsia="仿宋_GB2312" w:cs="仿宋_GB2312"/>
          <w:sz w:val="32"/>
          <w:szCs w:val="32"/>
        </w:rPr>
      </w:pPr>
      <w:bookmarkStart w:id="51" w:name="_Toc15396614"/>
      <w:r>
        <w:rPr>
          <w:rFonts w:ascii="仿宋_GB2312" w:eastAsia="仿宋_GB2312" w:cs="仿宋_GB2312"/>
          <w:sz w:val="32"/>
          <w:szCs w:val="32"/>
        </w:rPr>
        <w:t>1.</w:t>
      </w:r>
      <w:r>
        <w:rPr>
          <w:rFonts w:ascii="仿宋_GB2312" w:eastAsia="仿宋_GB2312" w:cs="仿宋_GB2312" w:hint="eastAsia"/>
          <w:sz w:val="32"/>
          <w:szCs w:val="32"/>
        </w:rPr>
        <w:t>财政拨款收入：指单位从同级财政部门取得的财政预算资金。</w:t>
      </w:r>
    </w:p>
    <w:p>
      <w:pPr>
        <w:pStyle w:val="27"/>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事业收入：指事业单位开展专业业务活动及辅助活动取得的收入。</w:t>
      </w:r>
    </w:p>
    <w:p>
      <w:pPr>
        <w:pStyle w:val="27"/>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经营收入：指事业单位在专业业务活动及其辅助活动之外开展非独立核算经营活动取得的收入。</w:t>
      </w:r>
    </w:p>
    <w:p>
      <w:pPr>
        <w:pStyle w:val="27"/>
        <w:spacing w:line="560" w:lineRule="exact"/>
        <w:ind w:firstLineChars="200" w:firstLine="640"/>
        <w:outlineLvl w:val="1"/>
        <w:rPr>
          <w:rFonts w:ascii="仿宋_GB2312" w:eastAsia="仿宋_GB2312" w:cs="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其他收入：指单位取得的除上述收入以外的各项收入。</w:t>
      </w:r>
    </w:p>
    <w:p>
      <w:pPr>
        <w:pStyle w:val="27"/>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7"/>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年初结转和结余：指以前年度尚未完成、结转到本年按有关规定继续使用的资金。</w:t>
      </w:r>
    </w:p>
    <w:p>
      <w:pPr>
        <w:pStyle w:val="27"/>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结余分配：指事业单位按照事业单位会计制度的规定从非财政补助结余中分配的事业基金和职工福利基金等。</w:t>
      </w:r>
    </w:p>
    <w:p>
      <w:pPr>
        <w:pStyle w:val="27"/>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8.</w:t>
      </w:r>
      <w:r>
        <w:rPr>
          <w:rFonts w:ascii="仿宋_GB2312" w:eastAsia="仿宋_GB2312" w:cs="仿宋_GB2312" w:hint="eastAsia"/>
          <w:sz w:val="32"/>
          <w:szCs w:val="32"/>
        </w:rPr>
        <w:t>年末结转和结余：指单位按有关规定结转到下年或以后年度继续使用的资金。</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9.</w:t>
      </w:r>
      <w:r>
        <w:rPr>
          <w:rFonts w:ascii="仿宋_GB2312" w:eastAsia="仿宋_GB2312" w:cs="仿宋_GB2312" w:hint="eastAsia"/>
          <w:color w:val="000000"/>
          <w:sz w:val="32"/>
          <w:szCs w:val="32"/>
        </w:rPr>
        <w:t>教育（类）教育管理事务（款）行政运行（项）：指用于保障机构运行、开展日常工作的基本支出。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10.</w:t>
      </w:r>
      <w:r>
        <w:rPr>
          <w:rFonts w:ascii="仿宋_GB2312" w:eastAsia="仿宋_GB2312" w:cs="仿宋_GB2312" w:hint="eastAsia"/>
          <w:color w:val="000000"/>
          <w:sz w:val="32"/>
          <w:szCs w:val="32"/>
        </w:rPr>
        <w:t>社会保障和就业（类）行政事业单位离退休（款）机关事业单位基本养老保险缴费支出（项）：指部门实施养老保险制度由单位缴纳的养老保险费的支出。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11.</w:t>
      </w:r>
      <w:r>
        <w:rPr>
          <w:rFonts w:ascii="仿宋_GB2312" w:eastAsia="仿宋_GB2312" w:cs="仿宋_GB2312" w:hint="eastAsia"/>
          <w:color w:val="000000"/>
          <w:sz w:val="32"/>
          <w:szCs w:val="32"/>
        </w:rPr>
        <w:t>社会保障和就业（类）行政事业单位离退休（款）机关事业单位职业年金缴费支出（项）：指部门实施养老保险制度由单位缴纳的职业年金的支出。</w:t>
      </w:r>
    </w:p>
    <w:p>
      <w:pPr>
        <w:widowControl/>
        <w:spacing w:line="560" w:lineRule="exact"/>
        <w:ind w:firstLineChars="200" w:firstLine="640"/>
        <w:jc w:val="left"/>
        <w:rPr>
          <w:rFonts w:ascii="仿宋_GB2312" w:eastAsia="仿宋_GB2312" w:cs="仿宋_GB2312"/>
          <w:color w:val="000000"/>
          <w:sz w:val="32"/>
          <w:szCs w:val="32"/>
        </w:rPr>
      </w:pPr>
      <w:r>
        <w:rPr>
          <w:rFonts w:ascii="仿宋_GB2312" w:eastAsia="仿宋_GB2312" w:cs="仿宋_GB2312"/>
          <w:color w:val="000000"/>
          <w:sz w:val="32"/>
          <w:szCs w:val="32"/>
        </w:rPr>
        <w:t>12.</w:t>
      </w:r>
      <w:r>
        <w:rPr>
          <w:rFonts w:ascii="仿宋_GB2312" w:eastAsia="仿宋_GB2312" w:cs="仿宋_GB2312" w:hint="eastAsia"/>
          <w:color w:val="000000"/>
          <w:sz w:val="32"/>
          <w:szCs w:val="32"/>
        </w:rPr>
        <w:t>医疗卫生与计划生育（类）行政事业单位医疗（款）行政单位医疗（项）：指本</w:t>
      </w:r>
      <w:r>
        <w:rPr>
          <w:rFonts w:ascii="仿宋_GB2312" w:eastAsia="仿宋_GB2312" w:cs="仿宋_GB2312" w:hint="eastAsia"/>
          <w:color w:val="000000"/>
          <w:kern w:val="0"/>
          <w:sz w:val="32"/>
          <w:szCs w:val="32"/>
        </w:rPr>
        <w:t>单位用于缴纳单位基本医疗保险支出。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13.</w:t>
      </w:r>
      <w:r>
        <w:rPr>
          <w:rFonts w:ascii="仿宋_GB2312" w:eastAsia="仿宋_GB2312" w:cs="仿宋_GB2312" w:hint="eastAsia"/>
          <w:color w:val="000000"/>
          <w:sz w:val="32"/>
          <w:szCs w:val="32"/>
        </w:rPr>
        <w:t>农林水（类）扶贫（款）其他扶贫支出（项）：指扶贫方面支出。</w:t>
      </w:r>
    </w:p>
    <w:p>
      <w:pPr>
        <w:widowControl/>
        <w:spacing w:line="560" w:lineRule="exact"/>
        <w:ind w:firstLineChars="200" w:firstLine="640"/>
        <w:jc w:val="left"/>
      </w:pPr>
      <w:r>
        <w:rPr>
          <w:rFonts w:ascii="仿宋_GB2312" w:eastAsia="仿宋_GB2312" w:cs="仿宋_GB2312"/>
          <w:color w:val="000000"/>
          <w:sz w:val="32"/>
          <w:szCs w:val="32"/>
        </w:rPr>
        <w:t>14.</w:t>
      </w:r>
      <w:r>
        <w:rPr>
          <w:rFonts w:ascii="仿宋_GB2312" w:eastAsia="仿宋_GB2312" w:cs="仿宋_GB2312" w:hint="eastAsia"/>
          <w:color w:val="000000"/>
          <w:sz w:val="32"/>
          <w:szCs w:val="32"/>
        </w:rPr>
        <w:t>住房保障（类）住房改革（款）住房公积金（项）：指</w:t>
      </w:r>
      <w:r>
        <w:rPr>
          <w:rFonts w:ascii="仿宋_GB2312" w:eastAsia="仿宋_GB2312" w:cs="仿宋_GB2312" w:hint="eastAsia"/>
          <w:color w:val="000000"/>
          <w:kern w:val="0"/>
          <w:sz w:val="32"/>
          <w:szCs w:val="32"/>
        </w:rPr>
        <w:t>行政事业单位按规定为职工缴纳的住房公积金。</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15.</w:t>
      </w:r>
      <w:r>
        <w:rPr>
          <w:rFonts w:ascii="仿宋_GB2312" w:eastAsia="仿宋_GB2312" w:cs="仿宋_GB2312" w:hint="eastAsia"/>
          <w:color w:val="000000"/>
          <w:sz w:val="32"/>
          <w:szCs w:val="32"/>
        </w:rPr>
        <w:t>基本支出：指为保障机构正常运转、完成日常工作任务而发生的人员支出和公用支出。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16.</w:t>
      </w:r>
      <w:r>
        <w:rPr>
          <w:rFonts w:ascii="仿宋_GB2312" w:eastAsia="仿宋_GB2312" w:cs="仿宋_GB2312" w:hint="eastAsia"/>
          <w:color w:val="000000"/>
          <w:sz w:val="32"/>
          <w:szCs w:val="32"/>
        </w:rPr>
        <w:t>项目支出：指在基本支出之外为完成特定行政任务和事业发展目标所发生的支出。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17.</w:t>
      </w:r>
      <w:r>
        <w:rPr>
          <w:rFonts w:ascii="仿宋_GB2312" w:eastAsia="仿宋_GB2312" w:cs="仿宋_GB2312" w:hint="eastAsia"/>
          <w:color w:val="000000"/>
          <w:sz w:val="32"/>
          <w:szCs w:val="32"/>
        </w:rPr>
        <w:t>经营支出：指事业单位在专业业务活动及其辅助活动之外开展非独立核算经营活动发生的支出。</w:t>
      </w:r>
    </w:p>
    <w:p>
      <w:pPr>
        <w:pStyle w:val="27"/>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18.</w:t>
      </w:r>
      <w:r>
        <w:rPr>
          <w:rFonts w:ascii="仿宋_GB2312" w:eastAsia="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19.</w:t>
      </w:r>
      <w:r>
        <w:rPr>
          <w:rFonts w:ascii="仿宋_GB2312"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p>
    <w:p>
      <w:pPr>
        <w:spacing w:line="560" w:lineRule="exact"/>
        <w:jc w:val="center"/>
        <w:outlineLvl w:val="9"/>
        <w:rPr>
          <w:rFonts w:ascii="方正小标宋简体" w:eastAsia="方正小标宋简体" w:cs="方正小标宋简体" w:hint="eastAsia"/>
          <w:sz w:val="44"/>
          <w:szCs w:val="44"/>
        </w:rPr>
      </w:pPr>
      <w:bookmarkStart w:id="52" w:name="_Toc79163635"/>
      <w:bookmarkStart w:id="53" w:name="_Toc79163885"/>
      <w:bookmarkEnd w:id="51"/>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0"/>
        <w:rPr>
          <w:rStyle w:val="1Char"/>
          <w:rFonts w:ascii="方正小标宋简体" w:eastAsia="方正小标宋简体" w:cs="方正小标宋简体"/>
          <w:b w:val="0"/>
          <w:bCs w:val="0"/>
        </w:rPr>
      </w:pPr>
      <w:r>
        <w:rPr>
          <w:rFonts w:ascii="方正小标宋简体" w:eastAsia="方正小标宋简体" w:cs="方正小标宋简体" w:hint="eastAsia"/>
          <w:sz w:val="44"/>
          <w:szCs w:val="44"/>
        </w:rPr>
        <w:t>第四部分</w:t>
      </w:r>
      <w:r>
        <w:rPr>
          <w:rFonts w:ascii="方正小标宋简体" w:eastAsia="方正小标宋简体" w:cs="方正小标宋简体" w:hint="eastAsia"/>
          <w:sz w:val="44"/>
          <w:szCs w:val="44"/>
          <w:lang w:val="en-US" w:eastAsia="zh-CN"/>
        </w:rPr>
        <w:t xml:space="preserve">   </w:t>
      </w:r>
      <w:r>
        <w:rPr>
          <w:rStyle w:val="1Char"/>
          <w:rFonts w:ascii="方正小标宋简体" w:eastAsia="方正小标宋简体" w:cs="方正小标宋简体" w:hint="eastAsia"/>
          <w:b w:val="0"/>
          <w:bCs w:val="0"/>
        </w:rPr>
        <w:t>附件</w:t>
      </w:r>
      <w:bookmarkStart w:id="54" w:name="_Toc15396615"/>
    </w:p>
    <w:p>
      <w:pPr>
        <w:spacing w:line="560" w:lineRule="exact"/>
        <w:jc w:val="center"/>
        <w:rPr>
          <w:rStyle w:val="1Char"/>
          <w:rFonts w:ascii="方正小标宋简体" w:eastAsia="方正小标宋简体" w:cs="方正小标宋简体"/>
          <w:b w:val="0"/>
          <w:bCs w:val="0"/>
        </w:rPr>
      </w:pPr>
    </w:p>
    <w:p>
      <w:pPr>
        <w:spacing w:line="560" w:lineRule="exact"/>
        <w:outlineLvl w:val="9"/>
        <w:rPr>
          <w:rStyle w:val="1Char"/>
          <w:rFonts w:ascii="黑体" w:eastAsia="黑体" w:cs="黑体"/>
          <w:b w:val="0"/>
          <w:bCs w:val="0"/>
          <w:sz w:val="32"/>
          <w:szCs w:val="32"/>
        </w:rPr>
      </w:pPr>
      <w:bookmarkEnd w:id="54"/>
    </w:p>
    <w:tbl>
      <w:tblPr>
        <w:jc w:val="left"/>
        <w:tblInd w:w="96" w:type="dxa"/>
        <w:tblW w:w="8869" w:type="dxa"/>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608"/>
        <w:gridCol w:w="1375"/>
        <w:gridCol w:w="942"/>
        <w:gridCol w:w="945"/>
        <w:gridCol w:w="467"/>
        <w:gridCol w:w="756"/>
        <w:gridCol w:w="907"/>
        <w:gridCol w:w="476"/>
        <w:gridCol w:w="476"/>
        <w:gridCol w:w="1918"/>
      </w:tblGrid>
      <w:tr>
        <w:trPr>
          <w:trHeight w:val="820"/>
        </w:trPr>
        <w:tc>
          <w:tcPr>
            <w:tcW w:w="88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b/>
                <w:bCs/>
                <w:i w:val="0"/>
                <w:iCs w:val="0"/>
                <w:color w:val="000000"/>
                <w:sz w:val="30"/>
                <w:szCs w:val="30"/>
                <w:u w:val="none"/>
              </w:rPr>
            </w:pPr>
            <w:bookmarkEnd w:id="52"/>
            <w:bookmarkEnd w:id="53"/>
            <w:r>
              <w:rPr>
                <w:rFonts w:ascii="黑体" w:eastAsia="黑体" w:cs="黑体" w:hint="eastAsia"/>
                <w:b/>
                <w:bCs/>
                <w:i w:val="0"/>
                <w:iCs w:val="0"/>
                <w:color w:val="000000"/>
                <w:kern w:val="0"/>
                <w:sz w:val="30"/>
                <w:szCs w:val="30"/>
                <w:u w:val="none"/>
                <w:lang w:val="en-US" w:eastAsia="zh-CN"/>
              </w:rPr>
              <w:t>部门预算项目支出绩效自评表（2023年度）</w:t>
            </w:r>
          </w:p>
        </w:tc>
      </w:tr>
      <w:tr>
        <w:trPr>
          <w:trHeight w:val="600"/>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项目名称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51322323T000007898637-茂县县委党校教师节慰问金和教师工作补助</w:t>
            </w:r>
          </w:p>
        </w:tc>
      </w:tr>
      <w:tr>
        <w:trPr>
          <w:trHeight w:val="514"/>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主管部门</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中国共产党茂县委员会党校</w:t>
            </w:r>
          </w:p>
        </w:tc>
        <w:tc>
          <w:tcPr>
            <w:tcW w:w="90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i w:val="0"/>
                <w:iCs w:val="0"/>
                <w:color w:val="000000"/>
                <w:sz w:val="18"/>
                <w:szCs w:val="18"/>
                <w:u w:val="none"/>
              </w:rPr>
            </w:pPr>
            <w:r>
              <w:rPr>
                <w:rFonts w:ascii="黑体" w:eastAsia="黑体" w:cs="黑体" w:hint="eastAsia"/>
                <w:i w:val="0"/>
                <w:iCs w:val="0"/>
                <w:color w:val="000000"/>
                <w:kern w:val="0"/>
                <w:sz w:val="18"/>
                <w:szCs w:val="18"/>
                <w:u w:val="none"/>
                <w:lang w:val="en-US" w:eastAsia="zh-CN"/>
              </w:rPr>
              <w:t>实施单位 （盖章）</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中国共产党茂县委员会党校（行政）</w:t>
            </w:r>
          </w:p>
        </w:tc>
      </w:tr>
      <w:tr>
        <w:trPr>
          <w:trHeight w:val="285"/>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项目基本情况</w:t>
            </w: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1.项目年度目标完成情况</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项目年度目标</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年度目标完成情况</w:t>
            </w:r>
          </w:p>
        </w:tc>
      </w:tr>
      <w:tr>
        <w:trPr>
          <w:trHeight w:val="114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增强党校教师岗位吸引力，完善党校教师奖励办法，鼓励党校教师终身从教.</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按照《阿坝州人民政府办公室关于印发＜阿坝藏族羌族自治州鼓励教师终身从教认定办法＞的通知》（阿府办发〔2019〕9号）文件要求，增强党校教师岗位吸引力，完善党校教师奖励办法，鼓励党校教师终身从教。</w:t>
            </w:r>
          </w:p>
        </w:tc>
      </w:tr>
      <w:tr>
        <w:trPr>
          <w:trHeight w:val="102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2.项目实施内容及过程概述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按照《阿坝州人民政府办公室关于印发＜阿坝藏族羌族自治州鼓励教师终身从教认定办法＞的通知》（阿府办发〔2019〕9号）文件要求,增强党校教师岗位吸引力，完善党校教师奖励办法，鼓励党校教师终身从教。结合我县实际，县委党校教师相关待遇参照县教育局标准，支付1.05万元。</w:t>
            </w:r>
          </w:p>
        </w:tc>
      </w:tr>
      <w:tr>
        <w:trPr>
          <w:trHeight w:val="360"/>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预算执行情况（10分）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年度预算数（万元）</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年初预算</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调整后预算数</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预算执行数</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预算执行率</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原因</w:t>
            </w:r>
          </w:p>
        </w:tc>
      </w:tr>
      <w:tr>
        <w:trPr>
          <w:trHeight w:val="345"/>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总额</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1.05</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1.05</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rPr>
            </w:pPr>
            <w:r>
              <w:rPr>
                <w:rFonts w:ascii="黑体" w:eastAsia="黑体" w:cs="黑体" w:hint="eastAsia"/>
                <w:i/>
                <w:iCs/>
                <w:color w:val="000000"/>
                <w:kern w:val="0"/>
                <w:sz w:val="18"/>
                <w:szCs w:val="18"/>
                <w:u w:val="none"/>
                <w:lang w:val="en-US" w:eastAsia="zh-CN"/>
              </w:rPr>
              <w:t xml:space="preserve"> </w:t>
            </w:r>
          </w:p>
        </w:tc>
      </w:tr>
      <w:tr>
        <w:trPr>
          <w:trHeight w:val="39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其中：财政资金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1.05</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1.05</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9"/>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财政专户管理资金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单位资金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其他资金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4"/>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绩效指标（90分）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一级指标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二级指标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三级指标</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指标性质</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指标值</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完成值</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未完成原因分析</w:t>
            </w:r>
          </w:p>
        </w:tc>
      </w:tr>
      <w:tr>
        <w:trPr>
          <w:trHeight w:val="454"/>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产出指标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数量指标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发放金额</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10500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10500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r>
      <w:tr>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时效指标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2023年底</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2023</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2023</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r>
      <w:tr>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效益指标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社会效益指标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鼓励党校教师终身从教</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定性</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良好</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良好</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r>
      <w:tr>
        <w:trPr>
          <w:trHeight w:val="285"/>
        </w:trPr>
        <w:tc>
          <w:tcPr>
            <w:tcW w:w="597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合计</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rPr>
            </w:pPr>
          </w:p>
        </w:tc>
      </w:tr>
      <w:tr>
        <w:trPr>
          <w:trHeight w:val="60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评价结论</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项目如期完成，达到项目的预期目标。</w:t>
            </w:r>
          </w:p>
        </w:tc>
      </w:tr>
      <w:tr>
        <w:trPr>
          <w:trHeight w:val="26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存在问题</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无</w:t>
            </w:r>
          </w:p>
        </w:tc>
      </w:tr>
      <w:tr>
        <w:trPr>
          <w:trHeight w:val="63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改进措施</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无</w:t>
            </w:r>
          </w:p>
        </w:tc>
      </w:tr>
      <w:tr>
        <w:trPr>
          <w:trHeight w:val="285"/>
        </w:trPr>
        <w:tc>
          <w:tcPr>
            <w:tcW w:w="43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项目负责人：才华加</w:t>
            </w:r>
          </w:p>
        </w:tc>
        <w:tc>
          <w:tcPr>
            <w:tcW w:w="4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财务负责人：才华加</w:t>
            </w:r>
          </w:p>
        </w:tc>
      </w:tr>
      <w:tr>
        <w:trPr>
          <w:trHeight w:val="512"/>
        </w:trPr>
        <w:tc>
          <w:tcPr>
            <w:tcW w:w="58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37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6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0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918"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904"/>
        </w:trPr>
        <w:tc>
          <w:tcPr>
            <w:tcW w:w="88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rPr>
            </w:pPr>
            <w:r>
              <w:rPr>
                <w:rFonts w:ascii="黑体" w:eastAsia="黑体" w:cs="黑体" w:hint="eastAsia"/>
                <w:b/>
                <w:bCs/>
                <w:i w:val="0"/>
                <w:iCs w:val="0"/>
                <w:color w:val="000000"/>
                <w:kern w:val="0"/>
                <w:sz w:val="30"/>
                <w:szCs w:val="30"/>
                <w:u w:val="none"/>
                <w:lang w:val="en-US" w:eastAsia="zh-CN"/>
              </w:rPr>
              <w:t>部门预算项目支出绩效自评表（2023年度）</w:t>
            </w:r>
          </w:p>
        </w:tc>
      </w:tr>
      <w:tr>
        <w:trPr>
          <w:trHeight w:val="560"/>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项目名称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51322323T000007898856-茂县县委党校科研调研经费</w:t>
            </w:r>
          </w:p>
        </w:tc>
      </w:tr>
      <w:tr>
        <w:trPr>
          <w:trHeight w:val="514"/>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主管部门</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中国共产党茂县委员会党校</w:t>
            </w:r>
          </w:p>
        </w:tc>
        <w:tc>
          <w:tcPr>
            <w:tcW w:w="90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实施单位 （盖章）</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中国共产党茂县委员会党校（行政）</w:t>
            </w:r>
          </w:p>
        </w:tc>
      </w:tr>
      <w:tr>
        <w:trPr>
          <w:trHeight w:val="285"/>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项目基本情况</w:t>
            </w: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1.项目年度目标完成情况</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项目年度目标</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年度目标完成情况</w:t>
            </w:r>
          </w:p>
        </w:tc>
      </w:tr>
      <w:tr>
        <w:trPr>
          <w:trHeight w:val="709"/>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为教学服务，为县委、县政府决策咨询服务</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根据省、州关于科研项目的要求和我校对教师能力提升要求，如期完成省级课题1个，州级课题2个，发表论文3篇。</w:t>
            </w:r>
          </w:p>
        </w:tc>
      </w:tr>
      <w:tr>
        <w:trPr>
          <w:trHeight w:val="98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2.项目实施内容及过程概述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本项目为省委党校、州委党校科研项目以及教师能力提升。自立项成功后，按照调研计划，组织课题成员到相关部门、镇、村和社区调研，如期完成调研成果，均为合格等次。自我校制定《中共茂县县委党校科研经费管理办法》、《中共茂县县委党校2023年度科研经费使用方案》后，鼓励我校教师积极撰写并发表文章，2023年共发表论文3篇。</w:t>
            </w:r>
          </w:p>
        </w:tc>
      </w:tr>
      <w:tr>
        <w:trPr>
          <w:trHeight w:val="500"/>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预算执行情况（10分）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年度预算数（万元）</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年初预算</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调整后预算数</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预算执行数</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预算执行率</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原因</w:t>
            </w:r>
          </w:p>
        </w:tc>
      </w:tr>
      <w:tr>
        <w:trPr>
          <w:trHeight w:val="345"/>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总额</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0.86</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0.86</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rPr>
            </w:pPr>
            <w:r>
              <w:rPr>
                <w:rFonts w:ascii="黑体" w:eastAsia="黑体" w:cs="黑体" w:hint="eastAsia"/>
                <w:i/>
                <w:iCs/>
                <w:color w:val="000000"/>
                <w:kern w:val="0"/>
                <w:sz w:val="18"/>
                <w:szCs w:val="18"/>
                <w:u w:val="none"/>
                <w:lang w:val="en-US" w:eastAsia="zh-CN"/>
              </w:rPr>
              <w:t xml:space="preserve"> .</w:t>
            </w:r>
          </w:p>
        </w:tc>
      </w:tr>
      <w:tr>
        <w:trPr>
          <w:trHeight w:val="39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其中：财政资金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0.86</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0.86</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9"/>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财政专户管理资金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单位资金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其他资金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4"/>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绩效指标（90分）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一级指标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二级指标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三级指标</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指标性质</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指标值</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完成值</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未完成原因分析</w:t>
            </w:r>
          </w:p>
        </w:tc>
      </w:tr>
      <w:tr>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产出指标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数量指标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0.86万元</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0.86万元</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0.86万元</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r>
      <w:tr>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时效指标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2023年</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2023</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 xml:space="preserve">2023年 </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r>
      <w:tr>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效益指标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社会效益指标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为教学服务</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定性</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良好</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良好</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r>
      <w:tr>
        <w:trPr>
          <w:trHeight w:val="285"/>
        </w:trPr>
        <w:tc>
          <w:tcPr>
            <w:tcW w:w="597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合计</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rPr>
            </w:pPr>
          </w:p>
        </w:tc>
      </w:tr>
      <w:tr>
        <w:trPr>
          <w:trHeight w:val="42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评价结论</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项目如期完成，达到项目的预期目标</w:t>
            </w:r>
          </w:p>
        </w:tc>
      </w:tr>
      <w:tr>
        <w:trPr>
          <w:trHeight w:val="36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存在问题</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无</w:t>
            </w:r>
          </w:p>
        </w:tc>
      </w:tr>
      <w:tr>
        <w:trPr>
          <w:trHeight w:val="36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改进措施</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无</w:t>
            </w:r>
          </w:p>
        </w:tc>
      </w:tr>
      <w:tr>
        <w:trPr>
          <w:trHeight w:val="360"/>
        </w:trPr>
        <w:tc>
          <w:tcPr>
            <w:tcW w:w="43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项目负责人：赵倩</w:t>
            </w:r>
          </w:p>
        </w:tc>
        <w:tc>
          <w:tcPr>
            <w:tcW w:w="4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财务负责人：才华加</w:t>
            </w:r>
          </w:p>
        </w:tc>
      </w:tr>
      <w:tr>
        <w:trPr>
          <w:trHeight w:val="584"/>
        </w:trPr>
        <w:tc>
          <w:tcPr>
            <w:tcW w:w="58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37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6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0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918"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90"/>
        </w:trPr>
        <w:tc>
          <w:tcPr>
            <w:tcW w:w="58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37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6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0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918"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90"/>
        </w:trPr>
        <w:tc>
          <w:tcPr>
            <w:tcW w:w="58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37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6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0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918"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904"/>
        </w:trPr>
        <w:tc>
          <w:tcPr>
            <w:tcW w:w="88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rPr>
            </w:pPr>
            <w:r>
              <w:rPr>
                <w:rFonts w:ascii="黑体" w:eastAsia="黑体" w:cs="黑体" w:hint="eastAsia"/>
                <w:b/>
                <w:bCs/>
                <w:i w:val="0"/>
                <w:iCs w:val="0"/>
                <w:color w:val="000000"/>
                <w:kern w:val="0"/>
                <w:sz w:val="30"/>
                <w:szCs w:val="30"/>
                <w:u w:val="none"/>
                <w:lang w:val="en-US" w:eastAsia="zh-CN"/>
              </w:rPr>
              <w:t>部门预算项目支出绩效自评表（2023年度）</w:t>
            </w:r>
          </w:p>
        </w:tc>
      </w:tr>
      <w:tr>
        <w:trPr>
          <w:trHeight w:val="700"/>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项目名称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51322323T000009573586-茂县党员干部教育培训阵地信息化建设项目</w:t>
            </w:r>
          </w:p>
        </w:tc>
      </w:tr>
      <w:tr>
        <w:trPr>
          <w:trHeight w:val="514"/>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主管部门</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中国共产党茂县委员会党校</w:t>
            </w:r>
          </w:p>
        </w:tc>
        <w:tc>
          <w:tcPr>
            <w:tcW w:w="90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实施单位 （盖章）</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中国共产党茂县委员会党校（行政）</w:t>
            </w:r>
          </w:p>
        </w:tc>
      </w:tr>
      <w:tr>
        <w:trPr>
          <w:trHeight w:val="285"/>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项目基本情况</w:t>
            </w: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1.项目年度目标完成情况</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项目年度目标</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年度目标完成情况</w:t>
            </w:r>
          </w:p>
        </w:tc>
      </w:tr>
      <w:tr>
        <w:trPr>
          <w:trHeight w:val="96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提升党校办学质量，发挥党校在党员干部教育培训中的主体作用</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 xml:space="preserve"> 信息化建设达标，将信息技术引进到基本教学过程中，以增强教学感染力和吸引力，通过网络辅助学习平台实现及时有效的教学反馈，提升更好的教育培训效果。 </w:t>
            </w:r>
          </w:p>
        </w:tc>
      </w:tr>
      <w:tr>
        <w:trPr>
          <w:trHeight w:val="694"/>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2.项目实施内容及过程概述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我校成立了由常务副校长任组长，副校长为副组长，各股室负责人为成员的领导小组，负责项目工作整体安排部署和协调推进。分管副校长负责日常事务。建立了单位财务管理制度，项目由领导小组统一实施，财务室根据审核后的资料进行资金支付和会计核算及账务处理。资金支付138.91万元。</w:t>
            </w:r>
          </w:p>
        </w:tc>
      </w:tr>
      <w:tr>
        <w:trPr>
          <w:trHeight w:val="360"/>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预算执行情况（10分）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年度预算数（万元）</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年初预算</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调整后预算数</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预算执行数</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预算执行率</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原因</w:t>
            </w:r>
          </w:p>
        </w:tc>
      </w:tr>
      <w:tr>
        <w:trPr>
          <w:trHeight w:val="345"/>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总额</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138.91</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138.91</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rPr>
            </w:pPr>
            <w:r>
              <w:rPr>
                <w:rFonts w:ascii="黑体" w:eastAsia="黑体" w:cs="黑体" w:hint="eastAsia"/>
                <w:i/>
                <w:iCs/>
                <w:color w:val="000000"/>
                <w:kern w:val="0"/>
                <w:sz w:val="18"/>
                <w:szCs w:val="18"/>
                <w:u w:val="none"/>
                <w:lang w:val="en-US" w:eastAsia="zh-CN"/>
              </w:rPr>
              <w:t xml:space="preserve"> </w:t>
            </w:r>
          </w:p>
        </w:tc>
      </w:tr>
      <w:tr>
        <w:trPr>
          <w:trHeight w:val="39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其中：财政资金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138.91</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138.91</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9"/>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财政专户管理资金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单位资金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其他资金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4"/>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绩效指标（90分）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一级指标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二级指标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三级指标</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指标性质</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指标值</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完成值</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 xml:space="preserve"> </w:t>
            </w:r>
          </w:p>
        </w:tc>
      </w:tr>
      <w:tr>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产出指标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质量指标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信息化建设达标</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40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40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r>
      <w:tr>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效益指标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可持续发展指标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提升办学质量</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40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40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r>
      <w:tr>
        <w:trPr>
          <w:trHeight w:val="454"/>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满意度指标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服务对象满意度指标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提升办学质量</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90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r>
      <w:tr>
        <w:trPr>
          <w:trHeight w:val="285"/>
        </w:trPr>
        <w:tc>
          <w:tcPr>
            <w:tcW w:w="597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合计</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rPr>
            </w:pPr>
          </w:p>
        </w:tc>
      </w:tr>
      <w:tr>
        <w:trPr>
          <w:trHeight w:val="60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评价结论</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 xml:space="preserve">如期完成，达到预期目标。 </w:t>
            </w:r>
          </w:p>
        </w:tc>
      </w:tr>
      <w:tr>
        <w:trPr>
          <w:trHeight w:val="57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存在问题</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无</w:t>
            </w:r>
          </w:p>
        </w:tc>
      </w:tr>
      <w:tr>
        <w:trPr>
          <w:trHeight w:val="63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改进措施</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 xml:space="preserve"> 无</w:t>
            </w:r>
          </w:p>
        </w:tc>
      </w:tr>
      <w:tr>
        <w:trPr>
          <w:trHeight w:val="500"/>
        </w:trPr>
        <w:tc>
          <w:tcPr>
            <w:tcW w:w="43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项目负责人：才华加</w:t>
            </w:r>
          </w:p>
        </w:tc>
        <w:tc>
          <w:tcPr>
            <w:tcW w:w="4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财务负责人：才华加</w:t>
            </w:r>
          </w:p>
        </w:tc>
      </w:tr>
      <w:tr>
        <w:trPr>
          <w:trHeight w:val="2100"/>
        </w:trPr>
        <w:tc>
          <w:tcPr>
            <w:tcW w:w="58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37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6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0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918"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90"/>
        </w:trPr>
        <w:tc>
          <w:tcPr>
            <w:tcW w:w="58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37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6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0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918"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904"/>
        </w:trPr>
        <w:tc>
          <w:tcPr>
            <w:tcW w:w="88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rPr>
            </w:pPr>
            <w:r>
              <w:rPr>
                <w:rFonts w:ascii="黑体" w:eastAsia="黑体" w:cs="黑体" w:hint="eastAsia"/>
                <w:b/>
                <w:bCs/>
                <w:i w:val="0"/>
                <w:iCs w:val="0"/>
                <w:color w:val="000000"/>
                <w:kern w:val="0"/>
                <w:sz w:val="30"/>
                <w:szCs w:val="30"/>
                <w:u w:val="none"/>
                <w:lang w:val="en-US" w:eastAsia="zh-CN"/>
              </w:rPr>
              <w:t>部门预算项目支出绩效自评表（2023年度）</w:t>
            </w:r>
          </w:p>
        </w:tc>
      </w:tr>
      <w:tr>
        <w:trPr>
          <w:trHeight w:val="820"/>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项目名称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51322323T000009794982-茂县南新镇七星村基层干训机构建设项目</w:t>
            </w:r>
          </w:p>
        </w:tc>
      </w:tr>
      <w:tr>
        <w:trPr>
          <w:trHeight w:val="520"/>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主管部门</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中国共产党茂县委员会党校</w:t>
            </w:r>
          </w:p>
        </w:tc>
        <w:tc>
          <w:tcPr>
            <w:tcW w:w="90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实施单位 （盖章）</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中国共产党茂县委员会党校（行政）</w:t>
            </w:r>
          </w:p>
        </w:tc>
      </w:tr>
      <w:tr>
        <w:trPr>
          <w:trHeight w:val="380"/>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项目基本情况</w:t>
            </w: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1.项目年度目标完成情况</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项目年度目标</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年度目标完成情况</w:t>
            </w:r>
          </w:p>
        </w:tc>
      </w:tr>
      <w:tr>
        <w:trPr>
          <w:trHeight w:val="709"/>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进一步加快转变七星村发展模式，推动产业融合发展，促进农民持续增收，提升群众生活幸福感，实现党建引领乡村振兴。</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 xml:space="preserve"> 进一步加快转变七星村发展模式，推动三产融合发展，提升村经济集体经济收益，带动群众增收，改善人居环境，提升群众生活幸福感。</w:t>
            </w:r>
          </w:p>
        </w:tc>
      </w:tr>
      <w:tr>
        <w:trPr>
          <w:trHeight w:val="150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2.项目实施内容及过程概述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 xml:space="preserve">项目主管部门为茂县县委党校，实施单位为南新镇人民政府。为更好的实施项目，南新镇党委政府成立了工作领导小组，专人负责项目日常工作。项目启动后，严格按照《茂县政府投资项目实施细则》支付工程进度款，由镇、村两级组织初验，形成初验报告并向项目主管部门递交竣工验收申请，项目主管部门组织相关技术人员进行竣工验收，验收合格后支付项目资金。资金支付39.56万元，主要用于 乡村振兴景观游步道建设、乡村振兴庭院文化景观建设、乡村振兴特色产业发展视频、购买教学设备等。 </w:t>
            </w:r>
          </w:p>
        </w:tc>
      </w:tr>
      <w:tr>
        <w:trPr>
          <w:trHeight w:val="480"/>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预算执行情况（10分）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年度预算数（万元）</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年初预算</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调整后预算数</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预算执行数</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预算执行率</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原因</w:t>
            </w:r>
          </w:p>
        </w:tc>
      </w:tr>
      <w:tr>
        <w:trPr>
          <w:trHeight w:val="345"/>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总额</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39.56</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39.56</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rPr>
            </w:pPr>
            <w:r>
              <w:rPr>
                <w:rFonts w:ascii="黑体" w:eastAsia="黑体" w:cs="黑体" w:hint="eastAsia"/>
                <w:i/>
                <w:iCs/>
                <w:color w:val="000000"/>
                <w:kern w:val="0"/>
                <w:sz w:val="18"/>
                <w:szCs w:val="18"/>
                <w:u w:val="none"/>
                <w:lang w:val="en-US" w:eastAsia="zh-CN"/>
              </w:rPr>
              <w:t xml:space="preserve"> </w:t>
            </w:r>
          </w:p>
        </w:tc>
      </w:tr>
      <w:tr>
        <w:trPr>
          <w:trHeight w:val="39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其中：财政资金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39.56</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39.56</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9"/>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财政专户管理资金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单位资金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其他资金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4"/>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绩效指标（90分）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一级指标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二级指标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三级指标</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指标性质</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指标值</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完成值</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 xml:space="preserve"> </w:t>
            </w:r>
          </w:p>
        </w:tc>
      </w:tr>
      <w:tr>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产出指标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数量指标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40万元</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r>
      <w:tr>
        <w:trPr>
          <w:trHeight w:val="454"/>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效益指标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社会效益指标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推动产业融合发展，促进农民持续增收</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定性</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40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40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r>
      <w:tr>
        <w:trPr>
          <w:trHeight w:val="285"/>
        </w:trPr>
        <w:tc>
          <w:tcPr>
            <w:tcW w:w="597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合计</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rPr>
            </w:pPr>
          </w:p>
        </w:tc>
      </w:tr>
      <w:tr>
        <w:trPr>
          <w:trHeight w:val="60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评价结论</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如期完成，达到项目要求。</w:t>
            </w:r>
          </w:p>
        </w:tc>
      </w:tr>
      <w:tr>
        <w:trPr>
          <w:trHeight w:val="57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存在问题</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无</w:t>
            </w:r>
          </w:p>
        </w:tc>
      </w:tr>
      <w:tr>
        <w:trPr>
          <w:trHeight w:val="63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改进措施</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无</w:t>
            </w:r>
          </w:p>
        </w:tc>
      </w:tr>
      <w:tr>
        <w:trPr>
          <w:trHeight w:val="285"/>
        </w:trPr>
        <w:tc>
          <w:tcPr>
            <w:tcW w:w="43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项目负责人：张艳</w:t>
            </w:r>
          </w:p>
        </w:tc>
        <w:tc>
          <w:tcPr>
            <w:tcW w:w="4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财务负责人：才华加</w:t>
            </w:r>
          </w:p>
        </w:tc>
      </w:tr>
      <w:tr>
        <w:trPr>
          <w:trHeight w:val="285"/>
        </w:trPr>
        <w:tc>
          <w:tcPr>
            <w:tcW w:w="58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37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6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0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918"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904"/>
        </w:trPr>
        <w:tc>
          <w:tcPr>
            <w:tcW w:w="88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b/>
                <w:bCs/>
                <w:i w:val="0"/>
                <w:iCs w:val="0"/>
                <w:color w:val="000000"/>
                <w:sz w:val="30"/>
                <w:szCs w:val="30"/>
                <w:u w:val="none"/>
              </w:rPr>
            </w:pPr>
            <w:r>
              <w:rPr>
                <w:rFonts w:ascii="黑体" w:eastAsia="黑体" w:cs="黑体" w:hint="eastAsia"/>
                <w:b/>
                <w:bCs/>
                <w:i w:val="0"/>
                <w:iCs w:val="0"/>
                <w:color w:val="000000"/>
                <w:kern w:val="0"/>
                <w:sz w:val="30"/>
                <w:szCs w:val="30"/>
                <w:u w:val="none"/>
                <w:lang w:val="en-US" w:eastAsia="zh-CN"/>
              </w:rPr>
              <w:t>部门预算项目支出绩效自评表（2023年度）</w:t>
            </w:r>
          </w:p>
        </w:tc>
      </w:tr>
      <w:tr>
        <w:trPr>
          <w:trHeight w:val="285"/>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项目名称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51322323T000009944742-教师节慰问金和教师工作补助</w:t>
            </w:r>
          </w:p>
        </w:tc>
      </w:tr>
      <w:tr>
        <w:trPr>
          <w:trHeight w:val="514"/>
        </w:trPr>
        <w:tc>
          <w:tcPr>
            <w:tcW w:w="1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主管部门</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中国共产党茂县委员会党校</w:t>
            </w:r>
          </w:p>
        </w:tc>
        <w:tc>
          <w:tcPr>
            <w:tcW w:w="90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实施单位 （盖章）</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中国共产党茂县委员会党校（行政）</w:t>
            </w:r>
          </w:p>
        </w:tc>
      </w:tr>
      <w:tr>
        <w:trPr>
          <w:trHeight w:val="285"/>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项目基本情况</w:t>
            </w: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1.项目年度目标完成情况</w:t>
            </w: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项目年度目标</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年度目标完成情况</w:t>
            </w:r>
          </w:p>
        </w:tc>
      </w:tr>
      <w:tr>
        <w:trPr>
          <w:trHeight w:val="172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仿宋_GB2312" w:eastAsia="仿宋_GB2312" w:cs="仿宋_GB2312"/>
                <w:i w:val="0"/>
                <w:iCs w:val="0"/>
                <w:color w:val="000000"/>
                <w:sz w:val="18"/>
                <w:szCs w:val="18"/>
                <w:u w:val="none"/>
              </w:rPr>
            </w:pPr>
            <w:r>
              <w:rPr>
                <w:rFonts w:ascii="仿宋_GB2312" w:eastAsia="仿宋_GB2312" w:cs="仿宋_GB2312" w:hint="eastAsia"/>
                <w:i w:val="0"/>
                <w:iCs w:val="0"/>
                <w:color w:val="000000"/>
                <w:kern w:val="0"/>
                <w:sz w:val="18"/>
                <w:szCs w:val="18"/>
                <w:u w:val="none"/>
                <w:lang w:val="en-US" w:eastAsia="zh-CN"/>
              </w:rPr>
              <w:t>增强党校教师岗位吸引力，完善党校教师奖励办法，鼓励党校教师终身从教。</w:t>
            </w:r>
          </w:p>
        </w:tc>
        <w:tc>
          <w:tcPr>
            <w:tcW w:w="37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 xml:space="preserve">  按照《阿坝州人民政府办公室关于印发＜阿坝藏族羌族自治州鼓励教师终身从教认定办法＞的通知》（阿府办发〔2019〕9号）文件要求，增强党校教师岗位吸引力，完善党校教师奖励办法，鼓励党校教师终身从教。</w:t>
            </w:r>
          </w:p>
        </w:tc>
      </w:tr>
      <w:tr>
        <w:trPr>
          <w:trHeight w:val="116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2.项目实施内容及过程概述</w:t>
            </w:r>
          </w:p>
        </w:tc>
        <w:tc>
          <w:tcPr>
            <w:tcW w:w="690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按照《阿坝州人民政府办公室关于印发＜阿坝藏族羌族自治州鼓励教师终身从教认定办法＞的通知》（阿府办发〔2019〕9号）文件要求,增强党校教师岗位吸引力，完善党校教师奖励办法，鼓励党校教师终身从教。结合我县实际，县委党校教师相关待遇参照县教育局标准，支付0.42万元。</w:t>
            </w:r>
          </w:p>
        </w:tc>
      </w:tr>
      <w:tr>
        <w:trPr>
          <w:trHeight w:val="360"/>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预算执行情况（10分）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年度预算数（万元）</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年初预算</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调整后预算数</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预算执行数</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预算执行率</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原因</w:t>
            </w:r>
          </w:p>
        </w:tc>
      </w:tr>
      <w:tr>
        <w:trPr>
          <w:trHeight w:val="345"/>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总额</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0.42</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0.42</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iCs/>
                <w:color w:val="000000"/>
                <w:sz w:val="18"/>
                <w:szCs w:val="18"/>
                <w:u w:val="none"/>
              </w:rPr>
            </w:pPr>
            <w:r>
              <w:rPr>
                <w:rFonts w:ascii="黑体" w:eastAsia="黑体" w:cs="黑体" w:hint="eastAsia"/>
                <w:i/>
                <w:iCs/>
                <w:color w:val="000000"/>
                <w:kern w:val="0"/>
                <w:sz w:val="18"/>
                <w:szCs w:val="18"/>
                <w:u w:val="none"/>
                <w:lang w:val="en-US" w:eastAsia="zh-CN"/>
              </w:rPr>
              <w:t xml:space="preserve"> </w:t>
            </w:r>
          </w:p>
        </w:tc>
      </w:tr>
      <w:tr>
        <w:trPr>
          <w:trHeight w:val="39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其中：财政资金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0.42</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0.42</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9"/>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财政专户管理资金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0"/>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单位资金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其他资金</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4"/>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绩效指标（90分）</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一级指标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二级指标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三级指标</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指标性质</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指标值</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完成值</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 xml:space="preserve"> </w:t>
            </w:r>
          </w:p>
        </w:tc>
      </w:tr>
      <w:tr>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产出指标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数量指标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发放金额</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4150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4150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r>
      <w:tr>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时效指标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2023年底</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2023</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2023</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r>
      <w:tr>
        <w:trPr>
          <w:trHeight w:val="338"/>
        </w:trPr>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效益指标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社会效益指标</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鼓励党校教师终身从教</w:t>
            </w:r>
          </w:p>
        </w:tc>
        <w:tc>
          <w:tcPr>
            <w:tcW w:w="4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定性</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良好</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良好</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微软雅黑" w:eastAsia="微软雅黑" w:cs="微软雅黑" w:hint="eastAsia"/>
                <w:i/>
                <w:iCs/>
                <w:color w:val="000000"/>
                <w:sz w:val="16"/>
                <w:szCs w:val="16"/>
                <w:u w:val="none"/>
              </w:rPr>
            </w:pPr>
          </w:p>
        </w:tc>
      </w:tr>
      <w:tr>
        <w:trPr>
          <w:trHeight w:val="285"/>
        </w:trPr>
        <w:tc>
          <w:tcPr>
            <w:tcW w:w="597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合计</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18"/>
                <w:szCs w:val="18"/>
                <w:u w:val="none"/>
              </w:rPr>
            </w:pPr>
          </w:p>
        </w:tc>
      </w:tr>
      <w:tr>
        <w:trPr>
          <w:trHeight w:val="60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评价结论</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 xml:space="preserve">如期完成，达到预期目标。 </w:t>
            </w:r>
          </w:p>
        </w:tc>
      </w:tr>
      <w:tr>
        <w:trPr>
          <w:trHeight w:val="57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存在问题</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 xml:space="preserve"> 无</w:t>
            </w:r>
          </w:p>
        </w:tc>
      </w:tr>
      <w:tr>
        <w:trPr>
          <w:trHeight w:val="634"/>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改进措施</w:t>
            </w:r>
          </w:p>
        </w:tc>
        <w:tc>
          <w:tcPr>
            <w:tcW w:w="82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微软雅黑" w:eastAsia="微软雅黑" w:cs="微软雅黑" w:hint="eastAsia"/>
                <w:i/>
                <w:iCs/>
                <w:color w:val="000000"/>
                <w:sz w:val="16"/>
                <w:szCs w:val="16"/>
                <w:u w:val="none"/>
              </w:rPr>
            </w:pPr>
            <w:r>
              <w:rPr>
                <w:rFonts w:ascii="微软雅黑" w:eastAsia="微软雅黑" w:cs="微软雅黑" w:hint="eastAsia"/>
                <w:i/>
                <w:iCs/>
                <w:color w:val="000000"/>
                <w:kern w:val="0"/>
                <w:sz w:val="16"/>
                <w:szCs w:val="16"/>
                <w:u w:val="none"/>
                <w:lang w:val="en-US" w:eastAsia="zh-CN"/>
              </w:rPr>
              <w:t xml:space="preserve"> 无</w:t>
            </w:r>
          </w:p>
        </w:tc>
      </w:tr>
      <w:tr>
        <w:trPr>
          <w:trHeight w:val="285"/>
        </w:trPr>
        <w:tc>
          <w:tcPr>
            <w:tcW w:w="43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项目负责人：才华加</w:t>
            </w:r>
          </w:p>
        </w:tc>
        <w:tc>
          <w:tcPr>
            <w:tcW w:w="45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黑体" w:eastAsia="黑体" w:cs="黑体" w:hint="eastAsia"/>
                <w:i w:val="0"/>
                <w:iCs w:val="0"/>
                <w:color w:val="000000"/>
                <w:sz w:val="18"/>
                <w:szCs w:val="18"/>
                <w:u w:val="none"/>
              </w:rPr>
            </w:pPr>
            <w:r>
              <w:rPr>
                <w:rFonts w:ascii="黑体" w:eastAsia="黑体" w:cs="黑体" w:hint="eastAsia"/>
                <w:i w:val="0"/>
                <w:iCs w:val="0"/>
                <w:color w:val="000000"/>
                <w:kern w:val="0"/>
                <w:sz w:val="18"/>
                <w:szCs w:val="18"/>
                <w:u w:val="none"/>
                <w:lang w:val="en-US" w:eastAsia="zh-CN"/>
              </w:rPr>
              <w:t xml:space="preserve">财务负责人：才华加 </w:t>
            </w:r>
          </w:p>
        </w:tc>
      </w:tr>
      <w:tr>
        <w:trPr>
          <w:trHeight w:val="680"/>
        </w:trPr>
        <w:tc>
          <w:tcPr>
            <w:tcW w:w="58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37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6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0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918"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285"/>
        </w:trPr>
        <w:tc>
          <w:tcPr>
            <w:tcW w:w="58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37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6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0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918"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285"/>
        </w:trPr>
        <w:tc>
          <w:tcPr>
            <w:tcW w:w="587" w:type="dxa"/>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c>
          <w:tcPr>
            <w:tcW w:w="1375" w:type="dxa"/>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c>
          <w:tcPr>
            <w:tcW w:w="942" w:type="dxa"/>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c>
          <w:tcPr>
            <w:tcW w:w="945" w:type="dxa"/>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c>
          <w:tcPr>
            <w:tcW w:w="467" w:type="dxa"/>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c>
          <w:tcPr>
            <w:tcW w:w="756" w:type="dxa"/>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c>
          <w:tcPr>
            <w:tcW w:w="907" w:type="dxa"/>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c>
          <w:tcPr>
            <w:tcW w:w="486" w:type="dxa"/>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c>
          <w:tcPr>
            <w:tcW w:w="486" w:type="dxa"/>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c>
          <w:tcPr>
            <w:tcW w:w="1918" w:type="dxa"/>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285"/>
        </w:trPr>
        <w:tc>
          <w:tcPr>
            <w:tcW w:w="8869" w:type="dxa"/>
            <w:gridSpan w:val="10"/>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285"/>
        </w:trPr>
        <w:tc>
          <w:tcPr>
            <w:tcW w:w="8869" w:type="dxa"/>
            <w:gridSpan w:val="10"/>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285"/>
        </w:trPr>
        <w:tc>
          <w:tcPr>
            <w:tcW w:w="8869" w:type="dxa"/>
            <w:gridSpan w:val="10"/>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285"/>
        </w:trPr>
        <w:tc>
          <w:tcPr>
            <w:tcW w:w="8869" w:type="dxa"/>
            <w:gridSpan w:val="10"/>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285"/>
        </w:trPr>
        <w:tc>
          <w:tcPr>
            <w:tcW w:w="58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37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6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0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918"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285"/>
        </w:trPr>
        <w:tc>
          <w:tcPr>
            <w:tcW w:w="58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37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6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0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918"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285"/>
        </w:trPr>
        <w:tc>
          <w:tcPr>
            <w:tcW w:w="58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37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6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0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918"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285"/>
        </w:trPr>
        <w:tc>
          <w:tcPr>
            <w:tcW w:w="58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37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6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0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918"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285"/>
        </w:trPr>
        <w:tc>
          <w:tcPr>
            <w:tcW w:w="58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37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6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0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918"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r>
        <w:trPr>
          <w:trHeight w:val="285"/>
        </w:trPr>
        <w:tc>
          <w:tcPr>
            <w:tcW w:w="58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37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6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907"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c>
          <w:tcPr>
            <w:tcW w:w="1918" w:type="dxa"/>
            <w:tcBorders>
              <w:top w:val="nil"/>
              <w:left w:val="nil"/>
              <w:bottom w:val="nil"/>
              <w:right w:val="nil"/>
            </w:tcBorders>
            <w:shd w:val="clear" w:color="auto" w:fill="auto"/>
            <w:vAlign w:val="center"/>
          </w:tcPr>
          <w:p>
            <w:pPr>
              <w:rPr>
                <w:rFonts w:ascii="宋体" w:eastAsia="宋体" w:cs="宋体" w:hint="eastAsia"/>
                <w:i w:val="0"/>
                <w:iCs w:val="0"/>
                <w:color w:val="000000"/>
                <w:sz w:val="18"/>
                <w:szCs w:val="18"/>
                <w:u w:val="none"/>
              </w:rPr>
            </w:pPr>
          </w:p>
        </w:tc>
      </w:tr>
    </w:tbl>
    <w:p>
      <w:pPr>
        <w:spacing w:line="560" w:lineRule="exact"/>
        <w:jc w:val="left"/>
        <w:outlineLvl w:val="9"/>
        <w:rPr>
          <w:rFonts w:ascii="方正小标宋简体" w:eastAsia="方正小标宋简体" w:cs="方正小标宋简体" w:hint="eastAsia"/>
          <w:sz w:val="44"/>
          <w:szCs w:val="44"/>
          <w:lang w:eastAsia="zh-CN"/>
        </w:rPr>
      </w:pPr>
      <w:r>
        <w:rPr>
          <w:rFonts w:ascii="方正小标宋简体" w:eastAsia="方正小标宋简体" w:cs="方正小标宋简体" w:hint="eastAsia"/>
          <w:sz w:val="44"/>
          <w:szCs w:val="44"/>
          <w:lang w:val="en-US" w:eastAsia="zh-CN"/>
        </w:rPr>
        <w:t xml:space="preserve"> </w:t>
      </w: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9"/>
        <w:rPr>
          <w:rFonts w:ascii="方正小标宋简体" w:eastAsia="方正小标宋简体" w:cs="方正小标宋简体" w:hint="eastAsia"/>
          <w:sz w:val="44"/>
          <w:szCs w:val="44"/>
        </w:rPr>
      </w:pPr>
    </w:p>
    <w:p>
      <w:pPr>
        <w:spacing w:line="560" w:lineRule="exact"/>
        <w:jc w:val="center"/>
        <w:outlineLvl w:val="0"/>
        <w:rPr>
          <w:rFonts w:ascii="方正小标宋简体" w:eastAsia="方正小标宋简体" w:cs="方正小标宋简体" w:hint="eastAsia"/>
          <w:sz w:val="44"/>
          <w:szCs w:val="44"/>
        </w:rPr>
      </w:pPr>
    </w:p>
    <w:p>
      <w:pPr>
        <w:spacing w:line="560" w:lineRule="exact"/>
        <w:jc w:val="center"/>
        <w:outlineLvl w:val="0"/>
        <w:rPr>
          <w:rFonts w:ascii="方正小标宋简体" w:eastAsia="方正小标宋简体" w:cs="方正小标宋简体" w:hint="eastAsia"/>
          <w:sz w:val="44"/>
          <w:szCs w:val="44"/>
        </w:rPr>
      </w:pPr>
    </w:p>
    <w:p>
      <w:pPr>
        <w:spacing w:line="560" w:lineRule="exact"/>
        <w:jc w:val="center"/>
        <w:outlineLvl w:val="0"/>
        <w:rPr>
          <w:rFonts w:ascii="方正小标宋简体" w:eastAsia="方正小标宋简体" w:cs="方正小标宋简体" w:hint="eastAsia"/>
          <w:sz w:val="44"/>
          <w:szCs w:val="44"/>
        </w:rPr>
      </w:pPr>
    </w:p>
    <w:p>
      <w:pPr>
        <w:spacing w:line="560" w:lineRule="exact"/>
        <w:jc w:val="center"/>
        <w:outlineLvl w:val="0"/>
        <w:rPr>
          <w:rFonts w:ascii="方正小标宋简体" w:eastAsia="方正小标宋简体" w:cs="方正小标宋简体"/>
          <w:bCs/>
          <w:sz w:val="44"/>
          <w:szCs w:val="44"/>
        </w:rPr>
      </w:pPr>
      <w:r>
        <w:rPr>
          <w:rFonts w:ascii="方正小标宋简体" w:eastAsia="方正小标宋简体" w:cs="方正小标宋简体" w:hint="eastAsia"/>
          <w:sz w:val="44"/>
          <w:szCs w:val="44"/>
        </w:rPr>
        <w:t>第五部</w:t>
      </w:r>
      <w:r>
        <w:rPr>
          <w:rFonts w:ascii="方正小标宋简体" w:eastAsia="方正小标宋简体" w:cs="方正小标宋简体" w:hint="eastAsia"/>
          <w:bCs/>
          <w:sz w:val="44"/>
          <w:szCs w:val="44"/>
        </w:rPr>
        <w:t>分附表</w:t>
      </w:r>
      <w:bookmarkStart w:id="55" w:name="_Toc79163636"/>
      <w:bookmarkStart w:id="56" w:name="_Toc15396619"/>
      <w:bookmarkStart w:id="57" w:name="_Toc79163886"/>
    </w:p>
    <w:p>
      <w:pPr>
        <w:pStyle w:val="2"/>
        <w:spacing w:line="560" w:lineRule="exact"/>
        <w:rPr>
          <w:rStyle w:val="2Char"/>
          <w:rFonts w:ascii="仿宋" w:eastAsia="仿宋"/>
          <w:b w:val="0"/>
          <w:bCs w:val="0"/>
        </w:rPr>
      </w:pPr>
      <w:r>
        <w:rPr>
          <w:rStyle w:val="2Char"/>
          <w:rFonts w:ascii="仿宋" w:eastAsia="仿宋" w:hint="eastAsia"/>
          <w:b w:val="0"/>
          <w:bCs w:val="0"/>
        </w:rPr>
        <w:t>一、收入支出决算总表</w:t>
      </w:r>
      <w:bookmarkStart w:id="58" w:name="_Toc79163887"/>
      <w:bookmarkStart w:id="59" w:name="_Toc79163637"/>
      <w:bookmarkStart w:id="60" w:name="_Toc15396620"/>
      <w:bookmarkEnd w:id="55"/>
      <w:bookmarkEnd w:id="56"/>
      <w:bookmarkEnd w:id="57"/>
    </w:p>
    <w:p>
      <w:pPr>
        <w:pStyle w:val="2"/>
        <w:spacing w:line="560" w:lineRule="exact"/>
        <w:rPr>
          <w:rStyle w:val="2Char"/>
          <w:rFonts w:ascii="仿宋" w:eastAsia="仿宋"/>
          <w:b w:val="0"/>
          <w:bCs w:val="0"/>
        </w:rPr>
      </w:pPr>
      <w:r>
        <w:rPr>
          <w:rStyle w:val="2Char"/>
          <w:rFonts w:ascii="仿宋" w:eastAsia="仿宋" w:hint="eastAsia"/>
          <w:b w:val="0"/>
          <w:bCs w:val="0"/>
        </w:rPr>
        <w:t>二、收入决算表</w:t>
      </w:r>
      <w:bookmarkStart w:id="61" w:name="_Toc79163888"/>
      <w:bookmarkStart w:id="62" w:name="_Toc79163638"/>
      <w:bookmarkStart w:id="63" w:name="_Toc15396621"/>
      <w:bookmarkEnd w:id="58"/>
      <w:bookmarkEnd w:id="59"/>
      <w:bookmarkEnd w:id="60"/>
    </w:p>
    <w:p>
      <w:pPr>
        <w:pStyle w:val="2"/>
        <w:spacing w:line="560" w:lineRule="exact"/>
        <w:rPr>
          <w:rStyle w:val="2Char"/>
          <w:rFonts w:ascii="仿宋" w:eastAsia="仿宋"/>
          <w:b w:val="0"/>
          <w:bCs w:val="0"/>
        </w:rPr>
      </w:pPr>
      <w:r>
        <w:rPr>
          <w:rStyle w:val="2Char"/>
          <w:rFonts w:ascii="仿宋" w:eastAsia="仿宋" w:hint="eastAsia"/>
          <w:b w:val="0"/>
          <w:bCs w:val="0"/>
        </w:rPr>
        <w:t>三、支出决算表</w:t>
      </w:r>
      <w:bookmarkStart w:id="64" w:name="_Toc79163639"/>
      <w:bookmarkStart w:id="65" w:name="_Toc15396622"/>
      <w:bookmarkStart w:id="66" w:name="_Toc79163889"/>
      <w:bookmarkEnd w:id="61"/>
      <w:bookmarkEnd w:id="62"/>
      <w:bookmarkEnd w:id="63"/>
    </w:p>
    <w:p>
      <w:pPr>
        <w:pStyle w:val="2"/>
        <w:spacing w:line="560" w:lineRule="exact"/>
        <w:rPr>
          <w:rStyle w:val="2Char"/>
          <w:rFonts w:ascii="仿宋" w:eastAsia="仿宋"/>
          <w:b w:val="0"/>
          <w:bCs w:val="0"/>
        </w:rPr>
      </w:pPr>
      <w:r>
        <w:rPr>
          <w:rStyle w:val="2Char"/>
          <w:rFonts w:ascii="仿宋" w:eastAsia="仿宋" w:hint="eastAsia"/>
          <w:b w:val="0"/>
          <w:bCs w:val="0"/>
        </w:rPr>
        <w:t>四、财政拨款收入支出决算总表</w:t>
      </w:r>
      <w:bookmarkEnd w:id="64"/>
      <w:bookmarkEnd w:id="65"/>
      <w:bookmarkEnd w:id="66"/>
    </w:p>
    <w:p>
      <w:pPr>
        <w:pStyle w:val="2"/>
        <w:spacing w:line="560" w:lineRule="exact"/>
        <w:rPr>
          <w:rStyle w:val="2Char"/>
          <w:rFonts w:ascii="仿宋" w:eastAsia="仿宋"/>
          <w:b w:val="0"/>
          <w:bCs w:val="0"/>
        </w:rPr>
      </w:pPr>
      <w:bookmarkStart w:id="67" w:name="_Toc15396623"/>
      <w:bookmarkStart w:id="68" w:name="_Toc79163890"/>
      <w:bookmarkStart w:id="69" w:name="_Toc79163640"/>
      <w:r>
        <w:rPr>
          <w:rStyle w:val="2Char"/>
          <w:rFonts w:ascii="仿宋" w:eastAsia="仿宋" w:hint="eastAsia"/>
          <w:b w:val="0"/>
          <w:bCs w:val="0"/>
        </w:rPr>
        <w:t>五、</w:t>
      </w:r>
      <w:r>
        <w:rPr>
          <w:rFonts w:ascii="仿宋" w:eastAsia="仿宋" w:hint="eastAsia"/>
          <w:b w:val="0"/>
          <w:color w:val="000000"/>
        </w:rPr>
        <w:t>财</w:t>
      </w:r>
      <w:r>
        <w:rPr>
          <w:rStyle w:val="2Char"/>
          <w:rFonts w:ascii="仿宋" w:eastAsia="仿宋" w:hint="eastAsia"/>
          <w:b w:val="0"/>
          <w:bCs w:val="0"/>
        </w:rPr>
        <w:t>政拨款支出决算明细表</w:t>
      </w:r>
      <w:bookmarkStart w:id="70" w:name="_Toc15396624"/>
      <w:bookmarkEnd w:id="67"/>
      <w:bookmarkEnd w:id="68"/>
      <w:bookmarkEnd w:id="69"/>
    </w:p>
    <w:p>
      <w:pPr>
        <w:pStyle w:val="2"/>
        <w:spacing w:line="560" w:lineRule="exact"/>
        <w:rPr>
          <w:rFonts w:ascii="仿宋" w:eastAsia="仿宋"/>
          <w:color w:val="000000"/>
        </w:rPr>
      </w:pPr>
      <w:bookmarkStart w:id="71" w:name="_Toc79163891"/>
      <w:bookmarkStart w:id="72" w:name="_Toc79163641"/>
      <w:r>
        <w:rPr>
          <w:rStyle w:val="2Char"/>
          <w:rFonts w:ascii="仿宋" w:eastAsia="仿宋" w:hint="eastAsia"/>
          <w:b w:val="0"/>
          <w:bCs w:val="0"/>
        </w:rPr>
        <w:t>六、</w:t>
      </w:r>
      <w:r>
        <w:rPr>
          <w:rFonts w:ascii="仿宋" w:eastAsia="仿宋" w:hint="eastAsia"/>
          <w:b w:val="0"/>
          <w:color w:val="000000"/>
        </w:rPr>
        <w:t>一</w:t>
      </w:r>
      <w:r>
        <w:rPr>
          <w:rStyle w:val="2Char"/>
          <w:rFonts w:ascii="仿宋" w:eastAsia="仿宋" w:hint="eastAsia"/>
          <w:b w:val="0"/>
          <w:bCs w:val="0"/>
        </w:rPr>
        <w:t>般公共预算财政拨款支出决算表</w:t>
      </w:r>
      <w:bookmarkEnd w:id="70"/>
      <w:bookmarkEnd w:id="71"/>
      <w:bookmarkEnd w:id="72"/>
    </w:p>
    <w:p>
      <w:pPr>
        <w:pStyle w:val="2"/>
        <w:spacing w:line="560" w:lineRule="exact"/>
        <w:rPr>
          <w:rFonts w:ascii="仿宋" w:eastAsia="仿宋"/>
          <w:color w:val="000000"/>
        </w:rPr>
      </w:pPr>
      <w:bookmarkStart w:id="73" w:name="_Toc79163642"/>
      <w:bookmarkStart w:id="74" w:name="_Toc79163892"/>
      <w:bookmarkStart w:id="75" w:name="_Toc15396625"/>
      <w:r>
        <w:rPr>
          <w:rStyle w:val="2Char"/>
          <w:rFonts w:ascii="仿宋" w:eastAsia="仿宋" w:hint="eastAsia"/>
          <w:b w:val="0"/>
          <w:bCs w:val="0"/>
        </w:rPr>
        <w:t>七、</w:t>
      </w:r>
      <w:r>
        <w:rPr>
          <w:rFonts w:ascii="仿宋" w:eastAsia="仿宋" w:hint="eastAsia"/>
          <w:b w:val="0"/>
          <w:color w:val="000000"/>
        </w:rPr>
        <w:t>一</w:t>
      </w:r>
      <w:r>
        <w:rPr>
          <w:rStyle w:val="2Char"/>
          <w:rFonts w:ascii="仿宋" w:eastAsia="仿宋" w:hint="eastAsia"/>
          <w:b w:val="0"/>
          <w:bCs w:val="0"/>
        </w:rPr>
        <w:t>般公共预算财政拨款支出决算明细表</w:t>
      </w:r>
      <w:bookmarkEnd w:id="73"/>
      <w:bookmarkEnd w:id="74"/>
      <w:bookmarkEnd w:id="75"/>
    </w:p>
    <w:p>
      <w:pPr>
        <w:pStyle w:val="2"/>
        <w:spacing w:line="560" w:lineRule="exact"/>
        <w:rPr>
          <w:rFonts w:ascii="仿宋" w:eastAsia="仿宋"/>
          <w:color w:val="000000"/>
        </w:rPr>
      </w:pPr>
      <w:bookmarkStart w:id="76" w:name="_Toc79163893"/>
      <w:bookmarkStart w:id="77" w:name="_Toc79163643"/>
      <w:bookmarkStart w:id="78" w:name="_Toc15396626"/>
      <w:r>
        <w:rPr>
          <w:rStyle w:val="2Char"/>
          <w:rFonts w:ascii="仿宋" w:eastAsia="仿宋" w:hint="eastAsia"/>
          <w:b w:val="0"/>
          <w:bCs w:val="0"/>
        </w:rPr>
        <w:t>八、</w:t>
      </w:r>
      <w:r>
        <w:rPr>
          <w:rFonts w:ascii="仿宋" w:eastAsia="仿宋" w:hint="eastAsia"/>
          <w:b w:val="0"/>
          <w:color w:val="000000"/>
        </w:rPr>
        <w:t>一</w:t>
      </w:r>
      <w:r>
        <w:rPr>
          <w:rStyle w:val="2Char"/>
          <w:rFonts w:ascii="仿宋" w:eastAsia="仿宋" w:hint="eastAsia"/>
          <w:b w:val="0"/>
          <w:bCs w:val="0"/>
        </w:rPr>
        <w:t>般公共预算财政拨款基本支出决算表</w:t>
      </w:r>
      <w:bookmarkEnd w:id="76"/>
      <w:bookmarkEnd w:id="77"/>
      <w:bookmarkEnd w:id="78"/>
    </w:p>
    <w:p>
      <w:pPr>
        <w:pStyle w:val="2"/>
        <w:spacing w:line="560" w:lineRule="exact"/>
        <w:rPr>
          <w:rFonts w:ascii="仿宋" w:eastAsia="仿宋"/>
          <w:color w:val="000000"/>
        </w:rPr>
      </w:pPr>
      <w:bookmarkStart w:id="79" w:name="_Toc15396627"/>
      <w:bookmarkStart w:id="80" w:name="_Toc79163644"/>
      <w:bookmarkStart w:id="81" w:name="_Toc79163894"/>
      <w:r>
        <w:rPr>
          <w:rStyle w:val="2Char"/>
          <w:rFonts w:ascii="仿宋" w:eastAsia="仿宋" w:hint="eastAsia"/>
          <w:b w:val="0"/>
          <w:bCs w:val="0"/>
        </w:rPr>
        <w:t>九、</w:t>
      </w:r>
      <w:r>
        <w:rPr>
          <w:rFonts w:ascii="仿宋" w:eastAsia="仿宋" w:hint="eastAsia"/>
          <w:b w:val="0"/>
          <w:color w:val="000000"/>
        </w:rPr>
        <w:t>一</w:t>
      </w:r>
      <w:r>
        <w:rPr>
          <w:rStyle w:val="2Char"/>
          <w:rFonts w:ascii="仿宋" w:eastAsia="仿宋" w:hint="eastAsia"/>
          <w:b w:val="0"/>
          <w:bCs w:val="0"/>
        </w:rPr>
        <w:t>般公共预算财政拨款项目支出决算表</w:t>
      </w:r>
      <w:bookmarkEnd w:id="79"/>
      <w:bookmarkEnd w:id="80"/>
      <w:bookmarkEnd w:id="81"/>
    </w:p>
    <w:p>
      <w:pPr>
        <w:pStyle w:val="2"/>
        <w:spacing w:line="560" w:lineRule="exact"/>
        <w:rPr>
          <w:rFonts w:ascii="仿宋" w:eastAsia="仿宋"/>
          <w:color w:val="000000"/>
        </w:rPr>
      </w:pPr>
      <w:bookmarkStart w:id="82" w:name="_Toc15396628"/>
      <w:bookmarkStart w:id="83" w:name="_Toc79163895"/>
      <w:bookmarkStart w:id="84" w:name="_Toc79163645"/>
      <w:r>
        <w:rPr>
          <w:rStyle w:val="2Char"/>
          <w:rFonts w:ascii="仿宋" w:eastAsia="仿宋" w:hint="eastAsia"/>
          <w:b w:val="0"/>
          <w:bCs w:val="0"/>
        </w:rPr>
        <w:t>十、</w:t>
      </w:r>
      <w:bookmarkStart w:id="85" w:name="_Toc15396629"/>
      <w:bookmarkStart w:id="86" w:name="_Toc79163646"/>
      <w:bookmarkStart w:id="87" w:name="_Toc79163896"/>
      <w:bookmarkEnd w:id="82"/>
      <w:bookmarkEnd w:id="83"/>
      <w:bookmarkEnd w:id="84"/>
      <w:r>
        <w:rPr>
          <w:rFonts w:ascii="仿宋" w:eastAsia="仿宋" w:hint="eastAsia"/>
          <w:b w:val="0"/>
          <w:color w:val="000000"/>
        </w:rPr>
        <w:t>政</w:t>
      </w:r>
      <w:r>
        <w:rPr>
          <w:rStyle w:val="2Char"/>
          <w:rFonts w:ascii="仿宋" w:eastAsia="仿宋" w:hint="eastAsia"/>
          <w:b w:val="0"/>
          <w:bCs w:val="0"/>
        </w:rPr>
        <w:t>府性基金预算财政拨款收入支出决算表</w:t>
      </w:r>
    </w:p>
    <w:p>
      <w:pPr>
        <w:pStyle w:val="2"/>
        <w:spacing w:line="560" w:lineRule="exact"/>
        <w:rPr>
          <w:rStyle w:val="2Char"/>
          <w:rFonts w:ascii="仿宋" w:eastAsia="仿宋"/>
          <w:b w:val="0"/>
          <w:bCs w:val="0"/>
        </w:rPr>
      </w:pPr>
      <w:r>
        <w:rPr>
          <w:rStyle w:val="2Char"/>
          <w:rFonts w:ascii="仿宋" w:eastAsia="仿宋" w:hint="eastAsia"/>
          <w:b w:val="0"/>
          <w:bCs w:val="0"/>
        </w:rPr>
        <w:t>十一、</w:t>
      </w:r>
      <w:bookmarkStart w:id="88" w:name="_Toc15396630"/>
      <w:bookmarkStart w:id="89" w:name="_Toc79163647"/>
      <w:bookmarkStart w:id="90" w:name="_Toc79163897"/>
      <w:bookmarkEnd w:id="85"/>
      <w:bookmarkEnd w:id="86"/>
      <w:bookmarkEnd w:id="87"/>
      <w:r>
        <w:rPr>
          <w:rFonts w:ascii="仿宋" w:eastAsia="仿宋" w:hint="eastAsia"/>
          <w:b w:val="0"/>
          <w:color w:val="000000"/>
        </w:rPr>
        <w:t>国</w:t>
      </w:r>
      <w:r>
        <w:rPr>
          <w:rStyle w:val="2Char"/>
          <w:rFonts w:ascii="仿宋" w:eastAsia="仿宋" w:hint="eastAsia"/>
          <w:b w:val="0"/>
          <w:bCs w:val="0"/>
        </w:rPr>
        <w:t>有资本经营预算财政拨款收入支出决算表</w:t>
      </w:r>
    </w:p>
    <w:p>
      <w:pPr>
        <w:pStyle w:val="2"/>
        <w:spacing w:line="560" w:lineRule="exact"/>
        <w:rPr>
          <w:rFonts w:ascii="仿宋" w:eastAsia="仿宋"/>
          <w:color w:val="000000"/>
        </w:rPr>
      </w:pPr>
      <w:r>
        <w:rPr>
          <w:rStyle w:val="2Char"/>
          <w:rFonts w:ascii="仿宋" w:eastAsia="仿宋" w:hint="eastAsia"/>
          <w:b w:val="0"/>
          <w:bCs w:val="0"/>
        </w:rPr>
        <w:t>十二、</w:t>
      </w:r>
      <w:bookmarkEnd w:id="88"/>
      <w:bookmarkEnd w:id="89"/>
      <w:bookmarkEnd w:id="90"/>
      <w:r>
        <w:rPr>
          <w:rFonts w:ascii="仿宋" w:eastAsia="仿宋" w:hint="eastAsia"/>
          <w:b w:val="0"/>
          <w:color w:val="000000"/>
        </w:rPr>
        <w:t>国</w:t>
      </w:r>
      <w:r>
        <w:rPr>
          <w:rStyle w:val="2Char"/>
          <w:rFonts w:ascii="仿宋" w:eastAsia="仿宋" w:hint="eastAsia"/>
          <w:b w:val="0"/>
          <w:bCs w:val="0"/>
        </w:rPr>
        <w:t>有资本经营预算财政拨款支出决算表</w:t>
      </w:r>
    </w:p>
    <w:p>
      <w:pPr>
        <w:pStyle w:val="2"/>
        <w:spacing w:line="560" w:lineRule="exact"/>
        <w:rPr>
          <w:rStyle w:val="2Char"/>
          <w:rFonts w:ascii="仿宋" w:eastAsia="仿宋"/>
          <w:b w:val="0"/>
          <w:bCs w:val="0"/>
        </w:rPr>
      </w:pPr>
      <w:bookmarkStart w:id="91" w:name="_Toc79163648"/>
      <w:bookmarkStart w:id="92" w:name="_Toc79163898"/>
      <w:bookmarkStart w:id="93" w:name="_Toc15396631"/>
      <w:r>
        <w:rPr>
          <w:rStyle w:val="2Char"/>
          <w:rFonts w:ascii="仿宋" w:eastAsia="仿宋" w:hint="eastAsia"/>
          <w:b w:val="0"/>
          <w:bCs w:val="0"/>
        </w:rPr>
        <w:t>十三、财政拨款“三公”经费支出决算表</w:t>
      </w:r>
      <w:bookmarkEnd w:id="91"/>
      <w:bookmarkEnd w:id="92"/>
      <w:bookmarkEnd w:id="93"/>
    </w:p>
    <w:p>
      <w:pPr>
        <w:widowControl/>
        <w:spacing w:line="560" w:lineRule="exact"/>
        <w:rPr>
          <w:rFonts w:ascii="方正小标宋简体" w:eastAsia="方正小标宋简体" w:cs="方正小标宋简体"/>
          <w:b/>
          <w:color w:val="000000"/>
          <w:sz w:val="44"/>
          <w:szCs w:val="44"/>
        </w:rPr>
      </w:pPr>
    </w:p>
    <w:sectPr>
      <w:headerReference w:type="default" r:id="rId2"/>
      <w:headerReference w:type="even" r:id="rId3"/>
      <w:footerReference w:type="default" r:id="rId4"/>
      <w:pgSz w:w="11906" w:h="16838"/>
      <w:pgMar w:top="2098" w:right="1474" w:bottom="1985"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3000509000000000000"/>
    <w:charset w:val="86"/>
    <w:family w:val="script"/>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楷体_GB2312">
    <w:panose1 w:val="02010609030101010101"/>
    <w:charset w:val="86"/>
    <w:family w:val="modern"/>
    <w:pitch w:val="variable"/>
    <w:sig w:usb0="00000001" w:usb1="080E0000" w:usb2="00000000" w:usb3="00000000" w:csb0="00040000" w:csb1="00000000"/>
  </w:font>
  <w:font w:name="??">
    <w:altName w:val="Times New Roman"/>
    <w:panose1 w:val="00000000000000000000"/>
    <w:charset w:val="00"/>
    <w:family w:val="auto"/>
    <w:pitch w:val="variable"/>
    <w:sig w:usb0="00000000" w:usb1="00000000" w:usb2="00000000" w:usb3="00000000" w:csb0="00000001" w:csb1="00000000"/>
  </w:font>
  <w:font w:name="楷体">
    <w:panose1 w:val="02010609060101010101"/>
    <w:charset w:val="86"/>
    <w:family w:val="modern"/>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微软雅黑">
    <w:altName w:val="宋体"/>
    <w:panose1 w:val="020B0503020204020204"/>
    <w:charset w:val="86"/>
    <w:family w:val="auto"/>
    <w:pitch w:val="variable"/>
    <w:sig w:usb0="80000287" w:usb1="280F3C52" w:usb2="00000016" w:usb3="00000000" w:csb0="0004001F" w:csb1="00000000"/>
  </w:font>
  <w:font w:name="Cambria">
    <w:altName w:val="DejaVu Sans"/>
    <w:panose1 w:val="02040503050406030204"/>
    <w:charset w:val="00"/>
    <w:family w:val="roman"/>
    <w:pitch w:val="variable"/>
    <w:sig w:usb0="E00002FF" w:usb1="400004FF" w:usb2="00000000" w:usb3="00000000" w:csb0="2000019F" w:csb1="00000000"/>
  </w:font>
  <w:font w:name="Calibri">
    <w:altName w:val="Times New Roman"/>
    <w:panose1 w:val="020F0502020204030204"/>
    <w:charset w:val="00"/>
    <w:family w:val="swiss"/>
    <w:pitch w:val="variable"/>
    <w:sig w:usb0="E00002FF" w:usb1="4000ACFF" w:usb2="00000001" w:usb3="00000000" w:csb0="2000019F" w:csb1="00000000"/>
  </w:font>
  <w:font w:name="Courier New">
    <w:altName w:val="DejaVu Sans"/>
    <w:panose1 w:val="02070309020205020404"/>
    <w:charset w:val="01"/>
    <w:family w:val="modern"/>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jc w:val="center"/>
    </w:pPr>
    <w:r>
      <mc:AlternateContent>
        <mc:Choice Requires="wps">
          <w:drawing>
            <wp:anchor distT="0" distB="0" distL="114298" distR="114298" simplePos="0" relativeHeight="27" behindDoc="0" locked="0" layoutInCell="1" hidden="0" allowOverlap="1">
              <wp:simplePos x="0" y="0"/>
              <wp:positionH relativeFrom="margin">
                <wp:align>center</wp:align>
              </wp:positionH>
              <wp:positionV relativeFrom="paragraph">
                <wp:posOffset>0</wp:posOffset>
              </wp:positionV>
              <wp:extent cx="114300" cy="285045"/>
              <wp:effectExtent l="0" t="0" r="0" b="0"/>
              <wp:wrapNone/>
              <wp:docPr id="1" name="_x0000_s2049"/>
              <wp:cNvGraphicFramePr>
                <a:graphicFrameLocks noChangeAspect="0"/>
              </wp:cNvGraphicFramePr>
              <a:graphic>
                <a:graphicData uri="http://schemas.microsoft.com/office/word/2010/wordprocessingShape">
                  <wps:wsp>
                    <wps:cNvSpPr/>
                    <wps:spPr>
                      <a:xfrm rot="0">
                        <a:off x="0" y="0"/>
                        <a:ext cx="114300" cy="285045"/>
                      </a:xfrm>
                      <a:prstGeom prst="rect"/>
                      <a:noFill/>
                      <a:ln w="9525" cmpd="sng" cap="flat">
                        <a:noFill/>
                        <a:prstDash val="solid"/>
                        <a:miter/>
                      </a:ln>
                    </wps:spPr>
                    <wps:txbx id="2">
                      <w:txbxContent>
                        <w:p>
                          <w:pPr>
                            <w:pStyle w:val="16"/>
                            <w:tabs>
                              <w:tab w:val="center" w:pos="4153"/>
                              <w:tab w:val="right" w:pos="8306"/>
                            </w:tabs>
                            <w:jc w:val="center"/>
                          </w:pPr>
                          <w:r>
                            <w:fldChar w:fldCharType="begin"/>
                          </w:r>
                          <w:r>
                            <w:instrText>PAGE   \* MERGEFORMAT</w:instrText>
                          </w:r>
                          <w:r>
                            <w:fldChar w:fldCharType="separate"/>
                          </w:r>
                          <w:r>
                            <w:rPr>
                              <w:lang w:val="zh-CN"/>
                            </w:rPr>
                            <w:t>23</w:t>
                          </w:r>
                          <w:r>
                            <w:rPr>
                              <w:lang w:val="zh-CN"/>
                            </w:rPr>
                            <w:fldChar w:fldCharType="end"/>
                          </w:r>
                        </w:p>
                        <w:p/>
                      </w:txbxContent>
                    </wps:txbx>
                    <wps:bodyPr vert="horz" wrap="none" lIns="0" tIns="0" rIns="0" bIns="0" anchor="t" anchorCtr="0" upright="1">
                      <a:spAutoFit/>
                    </wps:bodyPr>
                  </wps:wsp>
                </a:graphicData>
              </a:graphic>
            </wp:anchor>
          </w:drawing>
        </mc:Choice>
        <mc:Fallback>
          <w:pict>
            <v:rect type="#_x0000_t1" id="_x0000_s2049 3" o:spid="_x0000_s3" filled="f" stroked="f" style="position:absolute;margin-left:0.0pt;margin-top:0.0pt;width:9.0pt;height:22.444544pt;z-index:27;mso-position-horizontal:center;mso-position-horizontal-relative:margin;mso-position-vertical:absolute;mso-wrap-distance-left:8.999863pt;mso-wrap-distance-right:8.999863pt;mso-wrap-style:none;">
              <v:stroke color="#000000"/>
              <v:textbox id="855" inset="0mm,0mm,0mm,0mm" o:insetmode="custom" style="layout-flow:horizontal;v-text-anchor:top;mso-fit-shape-to-text:t;">
                <w:txbxContent>
                  <w:p>
                    <w:pPr>
                      <w:pStyle w:val="16"/>
                      <w:tabs>
                        <w:tab w:val="center" w:pos="4153"/>
                        <w:tab w:val="right" w:pos="8306"/>
                      </w:tabs>
                      <w:jc w:val="center"/>
                    </w:pPr>
                    <w:r>
                      <w:fldChar w:fldCharType="begin"/>
                    </w:r>
                    <w:r>
                      <w:instrText>PAGE   \* MERGEFORMAT</w:instrText>
                    </w:r>
                    <w:r>
                      <w:fldChar w:fldCharType="separate"/>
                    </w:r>
                    <w:r>
                      <w:rPr>
                        <w:lang w:val="zh-CN"/>
                      </w:rPr>
                      <w:t>23</w:t>
                    </w:r>
                    <w:r>
                      <w:rPr>
                        <w:lang w:val="zh-CN"/>
                      </w:rPr>
                      <w:fldChar w:fldCharType="end"/>
                    </w:r>
                  </w:p>
                  <w:p/>
                </w:txbxContent>
              </v:textbox>
            </v:rect>
          </w:pict>
        </mc:Fallback>
      </mc:AlternateContent>
    </w:r>
  </w:p>
  <w:p>
    <w:pPr>
      <w:pStyle w:val="16"/>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pBdr>
        <w:bottom w:val="none" w:sz="0" w:space="0" w:color="auto"/>
      </w:pBdr>
      <w:tabs>
        <w:tab w:val="center" w:pos="4153"/>
        <w:tab w:val="right" w:pos="8306"/>
      </w:tabs>
      <w:jc w:val="both"/>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DA84ED4"/>
    <w:multiLevelType w:val="singleLevel"/>
    <w:tmpl w:val="0DA84ED4"/>
    <w:lvl w:ilvl="0">
      <w:start w:val="1"/>
      <w:numFmt w:val="chineseCounting"/>
      <w:lvlRestart w:val="0"/>
      <w:suff w:val="nothing"/>
      <w:lvlText w:val="%1、"/>
      <w:lvlJc w:val="left"/>
      <w:pPr>
        <w:ind w:left="0" w:hanging="0"/>
      </w:pPr>
      <w:rPr>
        <w:rFonts w:cs="Times New Roman" w:hint="eastAsia"/>
      </w:rPr>
    </w:lvl>
  </w:abstractNum>
  <w:abstractNum w:abstractNumId="1">
    <w:nsid w:val="D78C10A8"/>
    <w:multiLevelType w:val="singleLevel"/>
    <w:tmpl w:val="D78C10A8"/>
    <w:lvl w:ilvl="0">
      <w:start w:val="1"/>
      <w:numFmt w:val="chineseCounting"/>
      <w:lvlRestart w:val="0"/>
      <w:suff w:val="nothing"/>
      <w:lvlText w:val="%1、"/>
      <w:lvlJc w:val="left"/>
      <w:pPr>
        <w:ind w:left="0" w:hanging="0"/>
      </w:pPr>
      <w:rPr>
        <w:rFonts w:cs="Times New Roman" w:hint="eastAsia"/>
      </w:rPr>
    </w:lvl>
  </w:abstractNum>
  <w:abstractNum w:abstractNumId="2">
    <w:nsid w:val="818C4F32"/>
    <w:multiLevelType w:val="singleLevel"/>
    <w:tmpl w:val="818C4F32"/>
    <w:lvl w:ilvl="0">
      <w:start w:val="1"/>
      <w:numFmt w:val="decimal"/>
      <w:lvlRestart w:val="0"/>
      <w:lvlText w:val="%1."/>
      <w:lvlJc w:val="left"/>
      <w:pPr>
        <w:ind w:left="0" w:hanging="0"/>
      </w:pPr>
    </w:lvl>
  </w:abstractNum>
  <w:abstractNum w:abstractNumId="3">
    <w:nsid w:val="69411C9E"/>
    <w:multiLevelType w:val="singleLevel"/>
    <w:tmpl w:val="69411C9E"/>
    <w:lvl w:ilvl="0">
      <w:start w:val="8"/>
      <w:numFmt w:val="chineseCounting"/>
      <w:lvlRestart w:val="0"/>
      <w:suff w:val="nothing"/>
      <w:lvlText w:val="%1、"/>
      <w:lvlJc w:val="left"/>
      <w:pPr>
        <w:ind w:left="0" w:hanging="0"/>
      </w:pPr>
      <w:rPr>
        <w:rFonts w:cs="Times New Roman" w:hint="eastAsia"/>
      </w:rPr>
    </w:lvl>
  </w:abstractNum>
  <w:abstractNum w:abstractNumId="4">
    <w:nsid w:val="99EF519D"/>
    <w:multiLevelType w:val="singleLevel"/>
    <w:tmpl w:val="99EF519D"/>
    <w:lvl w:ilvl="0">
      <w:start w:val="4"/>
      <w:numFmt w:val="chineseCounting"/>
      <w:lvlRestart w:val="0"/>
      <w:suff w:val="nothing"/>
      <w:lvlText w:val="(%1）"/>
      <w:lvlJc w:val="left"/>
      <w:pPr>
        <w:ind w:left="0" w:hanging="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560"/>
  <w:drawingGridHorizontalSpacing w:val="105"/>
  <w:drawingGridVerticalSpacing w:val="156"/>
  <w:displayHorizontalDrawingGridEvery w:val="1"/>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2"/>
  </w:compat>
  <w:docVars>
    <w:docVar w:name="commondata" w:val="eyJoZGlkIjoiMjdmMGUwNmQwNTJmZGE2OTQ5NTdlZDA1Y2U3YWQ1ZG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1"/>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cs="Cambria" w:hAnsi="Cambria"/>
      <w:b/>
      <w:bCs/>
      <w:sz w:val="32"/>
      <w:szCs w:val="32"/>
    </w:rPr>
  </w:style>
  <w:style w:type="character" w:customStyle="1" w:styleId="2Char">
    <w:name w:val="heading 2 Char"/>
    <w:basedOn w:val="10"/>
    <w:link w:val="2"/>
    <w:rPr>
      <w:rFonts w:ascii="Cambria" w:eastAsia="宋体" w:cs="Cambria"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rmal (Web)"/>
    <w:basedOn w:val="0"/>
    <w:next w:val="16"/>
    <w:pPr>
      <w:widowControl/>
      <w:spacing w:before="100" w:beforeAutospacing="1" w:after="100" w:afterAutospacing="1"/>
      <w:jc w:val="left"/>
    </w:pPr>
    <w:rPr>
      <w:rFonts w:ascii="宋体"/>
      <w:kern w:val="0"/>
      <w:sz w:val="24"/>
    </w:rPr>
  </w:style>
  <w:style w:type="paragraph" w:styleId="16">
    <w:name w:val="footer"/>
    <w:basedOn w:val="0"/>
    <w:pPr>
      <w:tabs>
        <w:tab w:val="center" w:pos="4153"/>
        <w:tab w:val="right" w:pos="8306"/>
      </w:tabs>
      <w:snapToGrid w:val="0"/>
      <w:jc w:val="left"/>
    </w:pPr>
    <w:rPr>
      <w:rFonts w:ascii="Calibri" w:hAnsi="Calibri"/>
      <w:kern w:val="0"/>
      <w:sz w:val="18"/>
      <w:szCs w:val="20"/>
    </w:rPr>
  </w:style>
  <w:style w:type="paragraph" w:styleId="17">
    <w:name w:val="Document Map"/>
    <w:basedOn w:val="0"/>
    <w:pPr>
      <w:shd w:val="clear" w:color="auto" w:fill="000080"/>
    </w:pPr>
  </w:style>
  <w:style w:type="paragraph" w:styleId="18">
    <w:name w:val="Body Text"/>
    <w:basedOn w:val="0"/>
    <w:pPr>
      <w:spacing w:beforeLines="30" w:before="30"/>
    </w:pPr>
    <w:rPr>
      <w:rFonts w:ascii="仿宋_GB2312" w:eastAsia="仿宋_GB2312"/>
      <w:kern w:val="0"/>
      <w:sz w:val="24"/>
      <w:szCs w:val="20"/>
    </w:rPr>
  </w:style>
  <w:style w:type="paragraph" w:styleId="19">
    <w:name w:val="toc 3"/>
    <w:basedOn w:val="0"/>
    <w:next w:val="0"/>
    <w:pPr>
      <w:tabs>
        <w:tab w:val="right" w:leader="dot" w:pos="8296"/>
      </w:tabs>
      <w:ind w:leftChars="400" w:left="400"/>
    </w:pPr>
  </w:style>
  <w:style w:type="paragraph" w:styleId="20">
    <w:name w:val="Balloon Text"/>
    <w:basedOn w:val="0"/>
    <w:rPr>
      <w:sz w:val="18"/>
      <w:szCs w:val="18"/>
    </w:rPr>
  </w:style>
  <w:style w:type="paragraph" w:styleId="21">
    <w:name w:val="header"/>
    <w:basedOn w:val="0"/>
    <w:pPr>
      <w:pBdr>
        <w:bottom w:val="single" w:sz="6" w:space="1" w:color="auto"/>
      </w:pBdr>
      <w:tabs>
        <w:tab w:val="center" w:pos="4153"/>
        <w:tab w:val="right" w:pos="8306"/>
      </w:tabs>
      <w:snapToGrid w:val="0"/>
      <w:jc w:val="center"/>
    </w:pPr>
    <w:rPr>
      <w:rFonts w:ascii="Calibri" w:hAnsi="Calibri"/>
      <w:kern w:val="0"/>
      <w:sz w:val="18"/>
      <w:szCs w:val="20"/>
    </w:rPr>
  </w:style>
  <w:style w:type="paragraph" w:styleId="22">
    <w:name w:val="toc 1"/>
    <w:basedOn w:val="0"/>
    <w:next w:val="0"/>
    <w:pPr>
      <w:tabs>
        <w:tab w:val="right" w:leader="dot" w:pos="8296"/>
      </w:tabs>
      <w:spacing w:before="93"/>
      <w:jc w:val="center"/>
    </w:pPr>
    <w:rPr>
      <w:rFonts w:ascii="??" w:cs="??" w:hAnsi="??"/>
      <w:sz w:val="28"/>
      <w:szCs w:val="28"/>
    </w:rPr>
  </w:style>
  <w:style w:type="paragraph" w:styleId="23">
    <w:name w:val="toc 2"/>
    <w:basedOn w:val="0"/>
    <w:next w:val="0"/>
    <w:pPr>
      <w:tabs>
        <w:tab w:val="right" w:leader="dot" w:pos="8296"/>
      </w:tabs>
      <w:ind w:leftChars="200" w:left="200"/>
    </w:pPr>
  </w:style>
  <w:style w:type="character" w:styleId="24">
    <w:name w:val="Strong"/>
    <w:basedOn w:val="10"/>
    <w:rPr>
      <w:rFonts w:cs="Times New Roman"/>
      <w:b/>
      <w:bCs/>
    </w:rPr>
  </w:style>
  <w:style w:type="character" w:styleId="25">
    <w:name w:val="FollowedHyperlink"/>
    <w:basedOn w:val="10"/>
    <w:rPr>
      <w:color w:val="800080"/>
      <w:u w:val="single"/>
    </w:rPr>
  </w:style>
  <w:style w:type="character" w:styleId="26">
    <w:name w:val="Hyperlink"/>
    <w:basedOn w:val="10"/>
    <w:rPr>
      <w:rFonts w:cs="Times New Roman"/>
      <w:color w:val="0000FF"/>
      <w:u w:val="single"/>
    </w:rPr>
  </w:style>
  <w:style w:type="paragraph" w:customStyle="1" w:styleId="27">
    <w:name w:val="Default"/>
    <w:pPr>
      <w:widowControl w:val="0"/>
      <w:autoSpaceDE w:val="0"/>
      <w:autoSpaceDN w:val="0"/>
      <w:adjustRightInd w:val="0"/>
    </w:pPr>
    <w:rPr>
      <w:rFonts w:ascii="??" w:eastAsia="Times New Roman" w:cs="??" w:hAnsi="??"/>
      <w:color w:val="000000"/>
      <w:sz w:val="24"/>
      <w:szCs w:val="24"/>
      <w:lang w:val="en-US" w:eastAsia="zh-CN" w:bidi="ar-SA"/>
    </w:rPr>
  </w:style>
  <w:style w:type="paragraph" w:styleId="28">
    <w:name w:val="List Paragraph"/>
    <w:basedOn w:val="0"/>
    <w:pPr>
      <w:ind w:firstLineChars="200" w:firstLine="200"/>
    </w:pPr>
  </w:style>
  <w:style w:type="paragraph" w:customStyle="1" w:styleId="29">
    <w:name w:val="TOC Heading1"/>
    <w:basedOn w:val="1"/>
    <w:next w:val="0"/>
    <w:pPr>
      <w:keepNext/>
      <w:keepLines/>
      <w:widowControl/>
      <w:spacing w:before="480" w:after="0" w:line="276" w:lineRule="auto"/>
      <w:jc w:val="left"/>
      <w:outlineLvl w:val="9"/>
    </w:pPr>
    <w:rPr>
      <w:rFonts w:ascii="Cambria" w:cs="Cambria" w:hAnsi="Cambria"/>
      <w:color w:val="365F91"/>
      <w:kern w:val="0"/>
      <w:sz w:val="28"/>
      <w:szCs w:val="28"/>
    </w:rPr>
  </w:style>
  <w:style w:type="paragraph" w:customStyle="1" w:styleId="30">
    <w:name w:val="xl63"/>
    <w:basedOn w:val="0"/>
    <w:pPr>
      <w:widowControl/>
      <w:spacing w:before="100" w:beforeAutospacing="1" w:after="100" w:afterAutospacing="1"/>
      <w:jc w:val="right"/>
    </w:pPr>
    <w:rPr>
      <w:rFonts w:ascii="宋体" w:cs="宋体"/>
      <w:color w:val="000000"/>
      <w:kern w:val="0"/>
      <w:sz w:val="14"/>
      <w:szCs w:val="14"/>
    </w:rPr>
  </w:style>
  <w:style w:type="paragraph" w:customStyle="1" w:styleId="31">
    <w:name w:val="xl64"/>
    <w:basedOn w:val="0"/>
    <w:pPr>
      <w:widowControl/>
      <w:pBdr>
        <w:top w:val="single" w:sz="4" w:space="0" w:color="000000"/>
        <w:left w:val="single" w:sz="4" w:space="0" w:color="000000"/>
        <w:bottom w:val="single" w:sz="4" w:space="0" w:color="000000"/>
        <w:right w:val="single" w:sz="4" w:space="0" w:color="000000"/>
      </w:pBdr>
      <w:shd w:val="clear" w:color="F7F7F7" w:fill="F7F7F7"/>
      <w:spacing w:before="100" w:beforeAutospacing="1" w:after="100" w:afterAutospacing="1"/>
      <w:jc w:val="center"/>
    </w:pPr>
    <w:rPr>
      <w:rFonts w:ascii="宋体" w:cs="宋体"/>
      <w:b/>
      <w:bCs/>
      <w:color w:val="000000"/>
      <w:kern w:val="0"/>
      <w:sz w:val="18"/>
      <w:szCs w:val="18"/>
    </w:rPr>
  </w:style>
  <w:style w:type="paragraph" w:customStyle="1" w:styleId="32">
    <w:name w:val="xl65"/>
    <w:basedOn w:val="0"/>
    <w:pPr>
      <w:widowControl/>
      <w:pBdr>
        <w:top w:val="single" w:sz="4" w:space="0" w:color="000000"/>
        <w:left w:val="single" w:sz="4" w:space="0" w:color="000000"/>
        <w:bottom w:val="single" w:sz="4" w:space="0" w:color="000000"/>
        <w:right w:val="single" w:sz="4" w:space="0" w:color="000000"/>
      </w:pBdr>
      <w:shd w:val="clear" w:color="F7F7F7" w:fill="F7F7F7"/>
      <w:spacing w:before="100" w:beforeAutospacing="1" w:after="100" w:afterAutospacing="1"/>
      <w:jc w:val="left"/>
    </w:pPr>
    <w:rPr>
      <w:rFonts w:ascii="宋体" w:cs="宋体"/>
      <w:color w:val="000000"/>
      <w:kern w:val="0"/>
      <w:sz w:val="18"/>
      <w:szCs w:val="18"/>
    </w:rPr>
  </w:style>
  <w:style w:type="paragraph" w:customStyle="1" w:styleId="33">
    <w:name w:val="xl66"/>
    <w:basedOn w:val="0"/>
    <w:pPr>
      <w:widowControl/>
      <w:pBdr>
        <w:top w:val="single" w:sz="4" w:space="0" w:color="000000"/>
        <w:left w:val="single" w:sz="4" w:space="0" w:color="000000"/>
        <w:bottom w:val="single" w:sz="4" w:space="0" w:color="000000"/>
        <w:right w:val="single" w:sz="4" w:space="0" w:color="000000"/>
      </w:pBdr>
      <w:shd w:val="clear" w:color="F7F7F7" w:fill="F7F7F7"/>
      <w:spacing w:before="100" w:beforeAutospacing="1" w:after="100" w:afterAutospacing="1"/>
      <w:jc w:val="left"/>
    </w:pPr>
    <w:rPr>
      <w:rFonts w:ascii="Courier New" w:cs="Courier New" w:hAnsi="Courier New"/>
      <w:color w:val="000000"/>
      <w:kern w:val="0"/>
      <w:sz w:val="18"/>
      <w:szCs w:val="18"/>
    </w:rPr>
  </w:style>
  <w:style w:type="paragraph" w:customStyle="1" w:styleId="34">
    <w:name w:val="xl67"/>
    <w:basedOn w:val="0"/>
    <w:pPr>
      <w:widowControl/>
      <w:pBdr>
        <w:top w:val="single" w:sz="4" w:space="0" w:color="000000"/>
        <w:left w:val="single" w:sz="4" w:space="0" w:color="000000"/>
        <w:bottom w:val="single" w:sz="4" w:space="0" w:color="000000"/>
        <w:right w:val="single" w:sz="4" w:space="0" w:color="000000"/>
      </w:pBdr>
      <w:shd w:val="clear" w:color="F7F7F7" w:fill="F7F7F7"/>
      <w:spacing w:before="100" w:beforeAutospacing="1" w:after="100" w:afterAutospacing="1"/>
      <w:jc w:val="right"/>
    </w:pPr>
    <w:rPr>
      <w:rFonts w:ascii="宋体" w:cs="宋体"/>
      <w:color w:val="000000"/>
      <w:kern w:val="0"/>
      <w:sz w:val="18"/>
      <w:szCs w:val="18"/>
    </w:rPr>
  </w:style>
  <w:style w:type="paragraph" w:customStyle="1" w:styleId="35">
    <w:name w:val="xl68"/>
    <w:basedOn w:val="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cs="宋体"/>
      <w:color w:val="000000"/>
      <w:kern w:val="0"/>
      <w:sz w:val="18"/>
      <w:szCs w:val="18"/>
    </w:rPr>
  </w:style>
  <w:style w:type="paragraph" w:customStyle="1" w:styleId="36">
    <w:name w:val="xl69"/>
    <w:basedOn w:val="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cs="宋体"/>
      <w:color w:val="000000"/>
      <w:kern w:val="0"/>
      <w:sz w:val="18"/>
      <w:szCs w:val="18"/>
    </w:rPr>
  </w:style>
  <w:style w:type="paragraph" w:customStyle="1" w:styleId="37">
    <w:name w:val="xl70"/>
    <w:basedOn w:val="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color w:val="000000"/>
      <w:kern w:val="0"/>
      <w:sz w:val="18"/>
      <w:szCs w:val="18"/>
    </w:rPr>
  </w:style>
  <w:style w:type="paragraph" w:customStyle="1" w:styleId="38">
    <w:name w:val="xl71"/>
    <w:basedOn w:val="0"/>
    <w:pPr>
      <w:widowControl/>
      <w:spacing w:before="100" w:beforeAutospacing="1" w:after="100" w:afterAutospacing="1"/>
      <w:jc w:val="left"/>
    </w:pPr>
    <w:rPr>
      <w:rFonts w:ascii="宋体" w:cs="宋体"/>
      <w:kern w:val="0"/>
      <w:sz w:val="18"/>
      <w:szCs w:val="18"/>
    </w:rPr>
  </w:style>
  <w:style w:type="paragraph" w:customStyle="1" w:styleId="39">
    <w:name w:val="xl72"/>
    <w:basedOn w:val="0"/>
    <w:pPr>
      <w:widowControl/>
      <w:spacing w:before="100" w:beforeAutospacing="1" w:after="100" w:afterAutospacing="1"/>
      <w:jc w:val="left"/>
    </w:pPr>
    <w:rPr>
      <w:rFonts w:ascii="宋体" w:cs="宋体"/>
      <w:color w:val="C0C0C0"/>
      <w:kern w:val="0"/>
      <w:sz w:val="20"/>
      <w:szCs w:val="20"/>
    </w:rPr>
  </w:style>
  <w:style w:type="paragraph" w:customStyle="1" w:styleId="40">
    <w:name w:val="xl73"/>
    <w:basedOn w:val="0"/>
    <w:pPr>
      <w:widowControl/>
      <w:spacing w:before="100" w:beforeAutospacing="1" w:after="100" w:afterAutospacing="1"/>
      <w:jc w:val="left"/>
    </w:pPr>
    <w:rPr>
      <w:rFonts w:ascii="宋体" w:cs="宋体"/>
      <w:color w:val="000000"/>
      <w:kern w:val="0"/>
      <w:sz w:val="20"/>
      <w:szCs w:val="20"/>
    </w:rPr>
  </w:style>
  <w:style w:type="paragraph" w:customStyle="1" w:styleId="41">
    <w:name w:val="xl74"/>
    <w:basedOn w:val="0"/>
    <w:pPr>
      <w:widowControl/>
      <w:spacing w:before="100" w:beforeAutospacing="1" w:after="100" w:afterAutospacing="1"/>
      <w:jc w:val="center"/>
    </w:pPr>
    <w:rPr>
      <w:rFonts w:ascii="Courier New" w:cs="Courier New" w:hAnsi="Courier New"/>
      <w:b/>
      <w:bCs/>
      <w:color w:val="000000"/>
      <w:kern w:val="0"/>
      <w:sz w:val="30"/>
      <w:szCs w:val="30"/>
    </w:rPr>
  </w:style>
  <w:style w:type="character" w:customStyle="1" w:styleId="42">
    <w:name w:val="font91"/>
    <w:basedOn w:val="10"/>
    <w:rPr>
      <w:rFonts w:ascii="仿宋_GB2312" w:eastAsia="仿宋_GB2312" w:cs="仿宋_GB2312"/>
      <w:color w:val="000000"/>
      <w:sz w:val="18"/>
      <w:szCs w:val="18"/>
      <w:u w:val="none"/>
    </w:rPr>
  </w:style>
  <w:style w:type="character" w:customStyle="1" w:styleId="43">
    <w:name w:val="font101"/>
    <w:basedOn w:val="1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image" Target="media/5.png"/><Relationship Id="rId6" Type="http://schemas.openxmlformats.org/officeDocument/2006/relationships/image" Target="media/8.png"/><Relationship Id="rId7" Type="http://schemas.openxmlformats.org/officeDocument/2006/relationships/image" Target="media/11.png"/><Relationship Id="rId8" Type="http://schemas.openxmlformats.org/officeDocument/2006/relationships/image" Target="media/14.png"/><Relationship Id="rId9" Type="http://schemas.openxmlformats.org/officeDocument/2006/relationships/image" Target="media/14.png"/><Relationship Id="rId10" Type="http://schemas.openxmlformats.org/officeDocument/2006/relationships/image" Target="media/19.png"/><Relationship Id="rId11" Type="http://schemas.openxmlformats.org/officeDocument/2006/relationships/image" Target="media/22.png"/><Relationship Id="rId12" Type="http://schemas.openxmlformats.org/officeDocument/2006/relationships/styles" Target="styles.xml"/><Relationship Id="rId13" Type="http://schemas.openxmlformats.org/officeDocument/2006/relationships/numbering" Target="numbering.xml"/><Relationship Id="rId14" Type="http://schemas.openxmlformats.org/officeDocument/2006/relationships/fontTable" Target="fontTable.xml"/></Relationships>
</file>

<file path=docProps/app.xml><?xml version="1.0" encoding="utf-8"?>
<Properties xmlns="http://schemas.openxmlformats.org/officeDocument/2006/extended-properties">
  <Template>Normal.eit</Template>
  <TotalTime>8</TotalTime>
  <Application>Yozo_Office27021597764231179</Application>
  <Pages>24</Pages>
  <Words>7572</Words>
  <Characters>8984</Characters>
  <Lines>1259</Lines>
  <Paragraphs>625</Paragraphs>
  <CharactersWithSpaces>9044</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张彬茜</dc:creator>
  <cp:lastModifiedBy>user</cp:lastModifiedBy>
  <cp:revision>187</cp:revision>
  <cp:lastPrinted>2024-09-18T03:53:00Z</cp:lastPrinted>
  <dcterms:created xsi:type="dcterms:W3CDTF">2019-08-01T01:14:00Z</dcterms:created>
  <dcterms:modified xsi:type="dcterms:W3CDTF">2024-09-23T08:39:47Z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B6E2F34B5C324041A5C9386612D2B941</vt:lpwstr>
  </property>
</Properties>
</file>