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rPr>
          <w:rFonts w:ascii="方正小标宋简体" w:eastAsia="方正小标宋简体"/>
          <w:color w:val="000000"/>
          <w:sz w:val="72"/>
          <w:szCs w:val="72"/>
        </w:rPr>
      </w:pPr>
      <w:bookmarkStart w:id="0" w:name="_Toc15306267"/>
      <w:bookmarkStart w:id="1" w:name="_GoBack"/>
      <w:bookmarkEnd w:id="1"/>
    </w:p>
    <w:p>
      <w:pPr>
        <w:spacing w:line="600" w:lineRule="exact"/>
        <w:jc w:val="center"/>
        <w:rPr>
          <w:rFonts w:ascii="方正小标宋简体" w:eastAsia="方正小标宋简体"/>
          <w:color w:val="000000"/>
          <w:sz w:val="72"/>
          <w:szCs w:val="72"/>
        </w:rPr>
      </w:pPr>
    </w:p>
    <w:p>
      <w:pPr>
        <w:spacing w:line="600" w:lineRule="exact"/>
        <w:jc w:val="center"/>
        <w:rPr>
          <w:rFonts w:ascii="方正小标宋简体" w:eastAsia="方正小标宋简体"/>
          <w:color w:val="000000"/>
          <w:sz w:val="44"/>
          <w:szCs w:val="44"/>
        </w:rPr>
      </w:pPr>
    </w:p>
    <w:p>
      <w:pPr>
        <w:spacing w:line="600" w:lineRule="exact"/>
        <w:jc w:val="center"/>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2" w:name="_Toc15378441"/>
      <w:bookmarkStart w:id="3" w:name="_Toc15396597"/>
      <w:bookmarkStart w:id="4" w:name="_Toc15377425"/>
      <w:bookmarkStart w:id="5" w:name="_Toc15377193"/>
      <w:bookmarkStart w:id="6" w:name="_Toc15396475"/>
      <w:r>
        <w:rPr>
          <w:rFonts w:ascii="方正小标宋简体" w:eastAsia="方正小标宋简体" w:cs="方正小标宋简体"/>
          <w:b/>
          <w:bCs/>
          <w:color w:val="000000"/>
          <w:sz w:val="52"/>
          <w:szCs w:val="52"/>
        </w:rPr>
        <w:t>202</w:t>
      </w:r>
      <w:r>
        <w:rPr>
          <w:rFonts w:ascii="方正小标宋简体" w:eastAsia="方正小标宋简体" w:cs="方正小标宋简体" w:hint="eastAsia"/>
          <w:b/>
          <w:bCs/>
          <w:color w:val="000000"/>
          <w:sz w:val="52"/>
          <w:szCs w:val="52"/>
        </w:rPr>
        <w:t>3年度</w:t>
      </w:r>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7" w:name="_Toc15377426"/>
      <w:bookmarkStart w:id="8" w:name="_Toc15378442"/>
      <w:bookmarkStart w:id="9" w:name="_Toc15396476"/>
      <w:bookmarkStart w:id="10" w:name="_Toc15377194"/>
      <w:bookmarkStart w:id="11" w:name="_Toc15396598"/>
      <w:r>
        <w:rPr>
          <w:rFonts w:ascii="方正小标宋简体" w:eastAsia="方正小标宋简体" w:cs="方正小标宋简体" w:hint="eastAsia"/>
          <w:b/>
          <w:bCs/>
          <w:color w:val="000000"/>
          <w:sz w:val="52"/>
          <w:szCs w:val="52"/>
        </w:rPr>
        <w:t>四川</w:t>
      </w:r>
      <w:bookmarkStart w:id="12" w:name="_Toc15306268"/>
      <w:bookmarkEnd w:id="0"/>
      <w:r>
        <w:rPr>
          <w:rFonts w:ascii="方正小标宋简体" w:eastAsia="方正小标宋简体" w:cs="方正小标宋简体" w:hint="eastAsia"/>
          <w:b/>
          <w:bCs/>
          <w:color w:val="000000"/>
          <w:sz w:val="52"/>
          <w:szCs w:val="52"/>
        </w:rPr>
        <w:t>省阿坝州茂县县委党校（事业）</w:t>
      </w:r>
    </w:p>
    <w:p>
      <w:pPr>
        <w:adjustRightInd w:val="0"/>
        <w:snapToGrid w:val="0"/>
        <w:spacing w:line="360" w:lineRule="auto"/>
        <w:jc w:val="center"/>
        <w:outlineLvl w:val="0"/>
        <w:rPr>
          <w:rFonts w:ascii="方正小标宋简体" w:eastAsia="方正小标宋简体" w:cs="方正小标宋简体"/>
          <w:b/>
          <w:bCs/>
          <w:color w:val="000000"/>
          <w:sz w:val="52"/>
          <w:szCs w:val="52"/>
        </w:rPr>
      </w:pPr>
      <w:r>
        <w:rPr>
          <w:rFonts w:ascii="方正小标宋简体" w:eastAsia="方正小标宋简体" w:cs="方正小标宋简体" w:hint="eastAsia"/>
          <w:b/>
          <w:bCs/>
          <w:color w:val="000000"/>
          <w:sz w:val="52"/>
          <w:szCs w:val="52"/>
        </w:rPr>
        <w:t>单位决算</w:t>
      </w:r>
      <w:bookmarkEnd w:id="7"/>
      <w:bookmarkEnd w:id="8"/>
      <w:bookmarkEnd w:id="9"/>
      <w:bookmarkEnd w:id="10"/>
      <w:bookmarkEnd w:id="11"/>
      <w:bookmarkEnd w:id="12"/>
    </w:p>
    <w:p>
      <w:pPr>
        <w:adjustRightInd w:val="0"/>
        <w:snapToGrid w:val="0"/>
        <w:spacing w:line="360" w:lineRule="auto"/>
        <w:jc w:val="center"/>
        <w:rPr>
          <w:rFonts w:ascii="方正小标宋简体" w:eastAsia="方正小标宋简体" w:cs="方正小标宋简体"/>
          <w:b/>
          <w:bCs/>
          <w:color w:val="000000"/>
          <w:sz w:val="44"/>
          <w:szCs w:val="44"/>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560" w:lineRule="exact"/>
        <w:ind w:left="360" w:hangingChars="150" w:hanging="360"/>
        <w:jc w:val="center"/>
        <w:outlineLvl w:val="0"/>
        <w:rPr>
          <w:rFonts w:ascii="黑体" w:eastAsia="黑体"/>
          <w:b/>
          <w:bCs/>
          <w:color w:val="000000"/>
          <w:sz w:val="28"/>
          <w:szCs w:val="28"/>
        </w:rPr>
      </w:pPr>
      <w:r>
        <w:rPr>
          <w:rFonts w:ascii="仿宋_GB2312" w:eastAsia="仿宋_GB2312" w:cs="仿宋_GB2312"/>
          <w:color w:val="000000"/>
          <w:sz w:val="24"/>
          <w:szCs w:val="24"/>
        </w:rPr>
        <w:br w:type="page"/>
      </w:r>
      <w:r>
        <w:rPr>
          <w:rFonts w:ascii="方正小标宋简体" w:eastAsia="方正小标宋简体" w:cs="方正小标宋简体"/>
          <w:color w:val="000000"/>
          <w:sz w:val="36"/>
          <w:szCs w:val="36"/>
        </w:rPr>
        <w:t xml:space="preserve"> </w:t>
      </w:r>
      <w:r>
        <w:rPr>
          <w:rFonts w:ascii="方正小标宋简体" w:eastAsia="方正小标宋简体" w:cs="方正小标宋简体" w:hint="eastAsia"/>
          <w:color w:val="000000"/>
          <w:sz w:val="36"/>
          <w:szCs w:val="36"/>
        </w:rPr>
        <w:t>目  录</w:t>
      </w:r>
    </w:p>
    <w:p>
      <w:pPr>
        <w:widowControl/>
        <w:spacing w:line="560" w:lineRule="exact"/>
        <w:jc w:val="center"/>
        <w:rPr>
          <w:rFonts w:ascii="宋体" w:cs="黑体"/>
          <w:color w:val="000000"/>
          <w:sz w:val="28"/>
          <w:szCs w:val="28"/>
        </w:rPr>
      </w:pPr>
    </w:p>
    <w:p>
      <w:pPr>
        <w:widowControl/>
        <w:spacing w:line="560" w:lineRule="exact"/>
        <w:jc w:val="center"/>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ascii="宋体" w:hint="eastAsia"/>
          <w:sz w:val="28"/>
          <w:szCs w:val="28"/>
        </w:rPr>
        <w:t>公开时间：</w:t>
      </w:r>
      <w:r>
        <w:rPr>
          <w:rFonts w:ascii="宋体"/>
          <w:sz w:val="28"/>
          <w:szCs w:val="28"/>
        </w:rPr>
        <w:t>202</w:t>
      </w:r>
      <w:r>
        <w:rPr>
          <w:rFonts w:ascii="宋体" w:hint="eastAsia"/>
          <w:sz w:val="28"/>
          <w:szCs w:val="28"/>
        </w:rPr>
        <w:t>4年</w:t>
      </w:r>
      <w:r>
        <w:rPr>
          <w:rFonts w:ascii="宋体"/>
          <w:sz w:val="28"/>
          <w:szCs w:val="28"/>
        </w:rPr>
        <w:t>9</w:t>
      </w:r>
      <w:r>
        <w:rPr>
          <w:rFonts w:ascii="宋体" w:hint="eastAsia"/>
          <w:sz w:val="28"/>
          <w:szCs w:val="28"/>
        </w:rPr>
        <w:t>月25日</w:t>
      </w:r>
    </w:p>
    <w:p>
      <w:pPr>
        <w:pStyle w:val="22"/>
        <w:tabs>
          <w:tab w:val="right" w:leader="dot" w:pos="8296"/>
        </w:tabs>
        <w:spacing w:line="560" w:lineRule="exact"/>
        <w:jc w:val="both"/>
        <w:rPr>
          <w:rFonts w:ascii="宋体"/>
          <w:b/>
          <w:bCs/>
          <w:caps w:val="0"/>
          <w:smallCaps/>
        </w:rPr>
      </w:pPr>
      <w:r>
        <w:rPr>
          <w:rFonts w:ascii="宋体"/>
          <w:caps w:val="0"/>
          <w:smallCaps/>
        </w:rPr>
        <w:fldChar w:fldCharType="begin"/>
      </w:r>
      <w:r>
        <w:rPr>
          <w:rFonts w:ascii="宋体"/>
          <w:caps w:val="0"/>
          <w:smallCaps/>
        </w:rPr>
        <w:instrText xml:space="preserve"> TOC \o \u </w:instrText>
      </w:r>
      <w:r>
        <w:rPr>
          <w:rFonts w:ascii="宋体"/>
          <w:caps w:val="0"/>
          <w:smallCaps/>
        </w:rPr>
        <w:fldChar w:fldCharType="separate"/>
      </w:r>
      <w:r>
        <w:rPr>
          <w:rFonts w:ascii="宋体" w:hint="eastAsia"/>
          <w:caps w:val="0"/>
          <w:smallCaps/>
        </w:rPr>
        <w:t>第一部分</w:t>
      </w:r>
      <w:r>
        <w:rPr>
          <w:rFonts w:ascii="宋体"/>
          <w:caps w:val="0"/>
          <w:smallCaps/>
        </w:rPr>
        <w:t xml:space="preserve"> </w:t>
      </w:r>
      <w:r>
        <w:rPr>
          <w:rFonts w:ascii="宋体" w:hint="eastAsia"/>
          <w:caps w:val="0"/>
          <w:smallCaps/>
        </w:rPr>
        <w:t>单位概况</w:t>
      </w:r>
      <w:r>
        <w:rPr>
          <w:rFonts w:ascii="宋体"/>
          <w:caps w:val="0"/>
          <w:smallCaps/>
        </w:rPr>
        <w:tab/>
      </w:r>
      <w:r>
        <w:rPr>
          <w:rFonts w:ascii="宋体" w:hint="eastAsia"/>
          <w:bCs/>
          <w:caps w:val="0"/>
          <w:smallCaps/>
        </w:rPr>
        <w:t>4</w:t>
      </w:r>
    </w:p>
    <w:p>
      <w:pPr>
        <w:pStyle w:val="23"/>
        <w:tabs>
          <w:tab w:val="right" w:leader="dot" w:pos="8296"/>
        </w:tabs>
        <w:spacing w:line="560" w:lineRule="exact"/>
        <w:ind w:leftChars="0" w:left="0" w:firstLineChars="200" w:firstLine="560"/>
        <w:rPr>
          <w:rFonts w:ascii="宋体"/>
          <w:i/>
          <w:iCs/>
          <w:caps w:val="0"/>
          <w:smallCaps/>
          <w:sz w:val="28"/>
          <w:szCs w:val="28"/>
        </w:rPr>
      </w:pPr>
      <w:r>
        <w:rPr>
          <w:rFonts w:ascii="宋体" w:hint="eastAsia"/>
          <w:sz w:val="28"/>
          <w:szCs w:val="28"/>
        </w:rPr>
        <w:t>一、主要职责</w:t>
      </w:r>
      <w:r>
        <w:rPr>
          <w:rFonts w:ascii="宋体"/>
          <w:sz w:val="28"/>
          <w:szCs w:val="28"/>
        </w:rPr>
        <w:tab/>
      </w:r>
      <w:r>
        <w:rPr>
          <w:rFonts w:ascii="宋体" w:hint="eastAsia"/>
          <w:sz w:val="28"/>
          <w:szCs w:val="28"/>
        </w:rPr>
        <w:t>4</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二、机构设置</w:t>
      </w:r>
      <w:r>
        <w:rPr>
          <w:rFonts w:ascii="宋体"/>
          <w:sz w:val="28"/>
          <w:szCs w:val="28"/>
        </w:rPr>
        <w:tab/>
      </w:r>
      <w:r>
        <w:rPr>
          <w:rFonts w:ascii="宋体" w:hint="eastAsia"/>
          <w:sz w:val="28"/>
          <w:szCs w:val="28"/>
        </w:rPr>
        <w:t>4</w:t>
      </w:r>
    </w:p>
    <w:p>
      <w:pPr>
        <w:pStyle w:val="22"/>
        <w:tabs>
          <w:tab w:val="right" w:leader="dot" w:pos="8296"/>
        </w:tabs>
        <w:spacing w:line="560" w:lineRule="exact"/>
        <w:jc w:val="both"/>
        <w:rPr>
          <w:rFonts w:ascii="宋体"/>
          <w:caps w:val="0"/>
          <w:smallCaps/>
        </w:rPr>
      </w:pPr>
      <w:r>
        <w:rPr>
          <w:rFonts w:ascii="宋体" w:hint="eastAsia"/>
          <w:caps w:val="0"/>
          <w:smallCaps/>
        </w:rPr>
        <w:t>第二部分</w:t>
      </w:r>
      <w:r>
        <w:rPr>
          <w:rFonts w:ascii="宋体"/>
          <w:caps w:val="0"/>
          <w:smallCaps/>
        </w:rPr>
        <w:t xml:space="preserve"> 202</w:t>
      </w:r>
      <w:r>
        <w:rPr>
          <w:rFonts w:ascii="宋体" w:hint="eastAsia"/>
          <w:caps w:val="0"/>
          <w:smallCaps/>
        </w:rPr>
        <w:t>2年度单位决算情况说明</w:t>
      </w:r>
      <w:r>
        <w:rPr>
          <w:rFonts w:ascii="宋体"/>
          <w:caps w:val="0"/>
          <w:smallCaps/>
        </w:rPr>
        <w:tab/>
      </w:r>
      <w:r>
        <w:rPr>
          <w:rFonts w:ascii="宋体" w:hint="eastAsia"/>
          <w:caps w:val="0"/>
          <w:smallCaps/>
        </w:rPr>
        <w:t>5</w:t>
      </w:r>
    </w:p>
    <w:p>
      <w:pPr>
        <w:pStyle w:val="23"/>
        <w:tabs>
          <w:tab w:val="left" w:pos="840"/>
          <w:tab w:val="right" w:leader="dot" w:pos="8296"/>
        </w:tabs>
        <w:spacing w:line="560" w:lineRule="exact"/>
        <w:ind w:leftChars="0" w:left="0" w:firstLineChars="200" w:firstLine="560"/>
        <w:rPr>
          <w:rFonts w:ascii="宋体"/>
          <w:sz w:val="28"/>
          <w:szCs w:val="28"/>
        </w:rPr>
      </w:pPr>
      <w:r>
        <w:rPr>
          <w:rFonts w:ascii="宋体" w:hint="eastAsia"/>
          <w:sz w:val="28"/>
          <w:szCs w:val="28"/>
        </w:rPr>
        <w:t>一、收入支出决算总体情况说明</w:t>
      </w:r>
      <w:r>
        <w:rPr>
          <w:rFonts w:ascii="宋体"/>
          <w:sz w:val="28"/>
          <w:szCs w:val="28"/>
        </w:rPr>
        <w:tab/>
      </w:r>
      <w:r>
        <w:rPr>
          <w:rFonts w:ascii="宋体" w:hint="eastAsia"/>
          <w:sz w:val="28"/>
          <w:szCs w:val="28"/>
        </w:rPr>
        <w:t>5</w:t>
      </w:r>
    </w:p>
    <w:p>
      <w:pPr>
        <w:pStyle w:val="23"/>
        <w:tabs>
          <w:tab w:val="left" w:pos="840"/>
          <w:tab w:val="right" w:leader="dot" w:pos="8296"/>
        </w:tabs>
        <w:spacing w:line="560" w:lineRule="exact"/>
        <w:ind w:leftChars="0" w:left="0" w:firstLineChars="200" w:firstLine="560"/>
        <w:rPr>
          <w:rFonts w:ascii="宋体"/>
          <w:sz w:val="28"/>
          <w:szCs w:val="28"/>
        </w:rPr>
      </w:pPr>
      <w:r>
        <w:rPr>
          <w:rFonts w:ascii="宋体" w:hint="eastAsia"/>
          <w:sz w:val="28"/>
          <w:szCs w:val="28"/>
        </w:rPr>
        <w:t>二、收入决算情况说明</w:t>
      </w:r>
      <w:r>
        <w:rPr>
          <w:rFonts w:ascii="宋体"/>
          <w:sz w:val="28"/>
          <w:szCs w:val="28"/>
        </w:rPr>
        <w:tab/>
      </w:r>
      <w:r>
        <w:rPr>
          <w:rFonts w:ascii="宋体" w:hint="eastAsia"/>
          <w:sz w:val="28"/>
          <w:szCs w:val="28"/>
        </w:rPr>
        <w:t>5</w:t>
      </w:r>
      <w:r>
        <w:rPr>
          <w:rFonts w:ascii="宋体"/>
          <w:sz w:val="28"/>
          <w:szCs w:val="28"/>
        </w:rPr>
        <w:t xml:space="preserve">    </w:t>
      </w:r>
    </w:p>
    <w:p>
      <w:pPr>
        <w:pStyle w:val="23"/>
        <w:tabs>
          <w:tab w:val="left" w:pos="840"/>
          <w:tab w:val="right" w:leader="dot" w:pos="8296"/>
        </w:tabs>
        <w:spacing w:line="560" w:lineRule="exact"/>
        <w:ind w:leftChars="0" w:left="0" w:firstLineChars="200" w:firstLine="560"/>
        <w:rPr>
          <w:rFonts w:ascii="宋体"/>
          <w:sz w:val="28"/>
          <w:szCs w:val="28"/>
        </w:rPr>
      </w:pPr>
      <w:r>
        <w:rPr>
          <w:rFonts w:ascii="宋体" w:hint="eastAsia"/>
          <w:sz w:val="28"/>
          <w:szCs w:val="28"/>
        </w:rPr>
        <w:t>三、支出决算情况说明</w:t>
      </w:r>
      <w:r>
        <w:rPr>
          <w:rFonts w:ascii="宋体"/>
          <w:sz w:val="28"/>
          <w:szCs w:val="28"/>
        </w:rPr>
        <w:tab/>
      </w:r>
      <w:r>
        <w:rPr>
          <w:rFonts w:ascii="宋体" w:hint="eastAsia"/>
          <w:sz w:val="28"/>
          <w:szCs w:val="28"/>
        </w:rPr>
        <w:t>6</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四、财政拨款收入支出决算总体情况说明</w:t>
      </w:r>
      <w:r>
        <w:rPr>
          <w:rFonts w:ascii="宋体"/>
          <w:sz w:val="28"/>
          <w:szCs w:val="28"/>
        </w:rPr>
        <w:tab/>
      </w:r>
      <w:r>
        <w:rPr>
          <w:rFonts w:ascii="宋体" w:hint="eastAsia"/>
          <w:sz w:val="28"/>
          <w:szCs w:val="28"/>
        </w:rPr>
        <w:t>7</w:t>
      </w:r>
    </w:p>
    <w:p>
      <w:pPr>
        <w:pStyle w:val="23"/>
        <w:tabs>
          <w:tab w:val="right" w:leader="dot" w:pos="8296"/>
        </w:tabs>
        <w:spacing w:line="560" w:lineRule="exact"/>
        <w:ind w:leftChars="0" w:left="0" w:firstLineChars="200" w:firstLine="560"/>
        <w:rPr>
          <w:rFonts w:ascii="宋体"/>
          <w:i/>
          <w:iCs/>
          <w:caps w:val="0"/>
          <w:smallCaps/>
          <w:sz w:val="28"/>
          <w:szCs w:val="28"/>
        </w:rPr>
      </w:pPr>
      <w:r>
        <w:rPr>
          <w:rFonts w:ascii="宋体" w:hint="eastAsia"/>
          <w:sz w:val="28"/>
          <w:szCs w:val="28"/>
        </w:rPr>
        <w:t>五、一般公共预算财政拨款支出决算情况说明</w:t>
      </w:r>
      <w:r>
        <w:rPr>
          <w:rFonts w:ascii="宋体"/>
          <w:sz w:val="28"/>
          <w:szCs w:val="28"/>
        </w:rPr>
        <w:tab/>
      </w:r>
      <w:r>
        <w:rPr>
          <w:rFonts w:ascii="宋体" w:hint="eastAsia"/>
          <w:sz w:val="28"/>
          <w:szCs w:val="28"/>
        </w:rPr>
        <w:t>7</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六、一般公共预算财政拨款基本支出决算情况说明</w:t>
      </w:r>
      <w:r>
        <w:rPr>
          <w:rFonts w:ascii="宋体"/>
          <w:sz w:val="28"/>
          <w:szCs w:val="28"/>
        </w:rPr>
        <w:tab/>
      </w:r>
      <w:r>
        <w:rPr>
          <w:rFonts w:ascii="宋体" w:hint="eastAsia"/>
          <w:sz w:val="28"/>
          <w:szCs w:val="28"/>
        </w:rPr>
        <w:t>9</w:t>
      </w:r>
    </w:p>
    <w:p>
      <w:pPr>
        <w:pStyle w:val="23"/>
        <w:tabs>
          <w:tab w:val="right" w:leader="dot" w:pos="8296"/>
        </w:tabs>
        <w:spacing w:line="560" w:lineRule="exact"/>
        <w:ind w:leftChars="0" w:left="0" w:firstLineChars="200" w:firstLine="560"/>
        <w:rPr>
          <w:rFonts w:ascii="宋体"/>
          <w:i/>
          <w:iCs/>
          <w:caps w:val="0"/>
          <w:smallCaps/>
          <w:sz w:val="28"/>
          <w:szCs w:val="28"/>
        </w:rPr>
      </w:pPr>
      <w:r>
        <w:rPr>
          <w:rFonts w:ascii="宋体" w:hint="eastAsia"/>
          <w:sz w:val="28"/>
          <w:szCs w:val="28"/>
        </w:rPr>
        <w:t>七、“三公”经费财政拨款支出决算情况说明</w:t>
      </w:r>
      <w:r>
        <w:rPr>
          <w:rFonts w:ascii="宋体"/>
          <w:sz w:val="28"/>
          <w:szCs w:val="28"/>
        </w:rPr>
        <w:tab/>
      </w:r>
      <w:r>
        <w:rPr>
          <w:rFonts w:ascii="宋体" w:hint="eastAsia"/>
          <w:sz w:val="28"/>
          <w:szCs w:val="28"/>
        </w:rPr>
        <w:t>10</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八、政府性基金预算支出决算情况说明</w:t>
      </w:r>
      <w:r>
        <w:rPr>
          <w:rFonts w:ascii="宋体"/>
          <w:sz w:val="28"/>
          <w:szCs w:val="28"/>
        </w:rPr>
        <w:tab/>
      </w:r>
      <w:r>
        <w:rPr>
          <w:rFonts w:ascii="宋体" w:hint="eastAsia"/>
          <w:sz w:val="28"/>
          <w:szCs w:val="28"/>
        </w:rPr>
        <w:t>11</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九、</w:t>
      </w:r>
      <w:r>
        <w:rPr>
          <w:rFonts w:ascii="宋体"/>
          <w:sz w:val="28"/>
          <w:szCs w:val="28"/>
        </w:rPr>
        <w:t xml:space="preserve"> </w:t>
      </w:r>
      <w:r>
        <w:rPr>
          <w:rFonts w:ascii="宋体" w:hint="eastAsia"/>
          <w:sz w:val="28"/>
          <w:szCs w:val="28"/>
        </w:rPr>
        <w:t>国有资本经营预算支出决算情况说明</w:t>
      </w:r>
      <w:r>
        <w:rPr>
          <w:rFonts w:ascii="宋体"/>
          <w:sz w:val="28"/>
          <w:szCs w:val="28"/>
        </w:rPr>
        <w:tab/>
      </w:r>
      <w:r>
        <w:rPr>
          <w:rFonts w:ascii="宋体" w:hint="eastAsia"/>
          <w:sz w:val="28"/>
          <w:szCs w:val="28"/>
        </w:rPr>
        <w:t>11</w:t>
      </w:r>
    </w:p>
    <w:p>
      <w:pPr>
        <w:pStyle w:val="23"/>
        <w:tabs>
          <w:tab w:val="right" w:leader="dot" w:pos="8296"/>
        </w:tabs>
        <w:spacing w:line="560" w:lineRule="exact"/>
        <w:ind w:leftChars="0" w:left="0" w:firstLineChars="200" w:firstLine="560"/>
        <w:rPr>
          <w:rFonts w:ascii="宋体"/>
          <w:i/>
          <w:iCs/>
          <w:caps w:val="0"/>
          <w:smallCaps/>
          <w:sz w:val="28"/>
          <w:szCs w:val="28"/>
        </w:rPr>
      </w:pPr>
      <w:r>
        <w:rPr>
          <w:rFonts w:ascii="宋体" w:hint="eastAsia"/>
          <w:sz w:val="28"/>
          <w:szCs w:val="28"/>
        </w:rPr>
        <w:t>十、其他重要事项的情况说明</w:t>
      </w:r>
      <w:r>
        <w:rPr>
          <w:rFonts w:ascii="宋体"/>
          <w:sz w:val="28"/>
          <w:szCs w:val="28"/>
        </w:rPr>
        <w:tab/>
      </w:r>
      <w:r>
        <w:rPr>
          <w:rFonts w:ascii="宋体" w:hint="eastAsia"/>
          <w:sz w:val="28"/>
          <w:szCs w:val="28"/>
        </w:rPr>
        <w:t>11</w:t>
      </w:r>
    </w:p>
    <w:p>
      <w:pPr>
        <w:pStyle w:val="22"/>
        <w:tabs>
          <w:tab w:val="right" w:leader="dot" w:pos="8296"/>
        </w:tabs>
        <w:spacing w:line="560" w:lineRule="exact"/>
        <w:jc w:val="both"/>
        <w:rPr>
          <w:rFonts w:ascii="宋体"/>
          <w:caps w:val="0"/>
          <w:smallCaps/>
        </w:rPr>
      </w:pPr>
      <w:r>
        <w:rPr>
          <w:rFonts w:ascii="宋体" w:hint="eastAsia"/>
          <w:caps w:val="0"/>
          <w:smallCaps/>
        </w:rPr>
        <w:t>第三部分</w:t>
      </w:r>
      <w:r>
        <w:rPr>
          <w:rFonts w:ascii="宋体"/>
          <w:caps w:val="0"/>
          <w:smallCaps/>
        </w:rPr>
        <w:t xml:space="preserve"> </w:t>
      </w:r>
      <w:r>
        <w:rPr>
          <w:rFonts w:ascii="宋体" w:hint="eastAsia"/>
          <w:caps w:val="0"/>
          <w:smallCaps/>
        </w:rPr>
        <w:t>名词解释</w:t>
      </w:r>
      <w:r>
        <w:rPr>
          <w:rFonts w:ascii="宋体"/>
          <w:caps w:val="0"/>
          <w:smallCaps/>
        </w:rPr>
        <w:tab/>
      </w:r>
      <w:r>
        <w:rPr>
          <w:rFonts w:ascii="宋体" w:hint="eastAsia"/>
          <w:caps w:val="0"/>
          <w:smallCaps/>
        </w:rPr>
        <w:t>13</w:t>
      </w:r>
    </w:p>
    <w:p>
      <w:pPr>
        <w:pStyle w:val="22"/>
        <w:tabs>
          <w:tab w:val="right" w:leader="dot" w:pos="8296"/>
        </w:tabs>
        <w:spacing w:line="560" w:lineRule="exact"/>
        <w:jc w:val="both"/>
      </w:pPr>
      <w:r>
        <w:rPr>
          <w:rFonts w:ascii="宋体" w:hint="eastAsia"/>
          <w:caps w:val="0"/>
          <w:smallCaps/>
        </w:rPr>
        <w:t>第四部分</w:t>
      </w:r>
      <w:r>
        <w:rPr>
          <w:rFonts w:ascii="宋体"/>
          <w:caps w:val="0"/>
          <w:smallCaps/>
        </w:rPr>
        <w:t xml:space="preserve"> </w:t>
      </w:r>
      <w:r>
        <w:rPr>
          <w:rFonts w:ascii="宋体" w:hint="eastAsia"/>
          <w:caps w:val="0"/>
          <w:smallCaps/>
        </w:rPr>
        <w:t>附件</w:t>
      </w:r>
      <w:r>
        <w:rPr>
          <w:rFonts w:ascii="宋体"/>
          <w:caps w:val="0"/>
          <w:smallCaps/>
        </w:rPr>
        <w:tab/>
      </w:r>
      <w:r>
        <w:rPr>
          <w:rFonts w:ascii="宋体" w:hint="eastAsia"/>
          <w:caps w:val="0"/>
          <w:smallCaps/>
        </w:rPr>
        <w:t>16</w:t>
      </w:r>
    </w:p>
    <w:p>
      <w:pPr>
        <w:pStyle w:val="22"/>
        <w:tabs>
          <w:tab w:val="right" w:leader="dot" w:pos="8296"/>
        </w:tabs>
        <w:spacing w:line="560" w:lineRule="exact"/>
        <w:jc w:val="both"/>
        <w:rPr>
          <w:rFonts w:ascii="宋体"/>
          <w:caps w:val="0"/>
          <w:smallCaps/>
        </w:rPr>
      </w:pPr>
      <w:r>
        <w:rPr>
          <w:rFonts w:ascii="宋体" w:hint="eastAsia"/>
          <w:caps w:val="0"/>
          <w:smallCaps/>
        </w:rPr>
        <w:t>第五部分</w:t>
      </w:r>
      <w:r>
        <w:rPr>
          <w:rFonts w:ascii="宋体"/>
          <w:caps w:val="0"/>
          <w:smallCaps/>
        </w:rPr>
        <w:t xml:space="preserve"> </w:t>
      </w:r>
      <w:r>
        <w:rPr>
          <w:rFonts w:ascii="宋体" w:hint="eastAsia"/>
          <w:caps w:val="0"/>
          <w:smallCaps/>
        </w:rPr>
        <w:t>附表</w:t>
      </w:r>
      <w:r>
        <w:rPr>
          <w:rFonts w:ascii="宋体"/>
          <w:caps w:val="0"/>
          <w:smallCaps/>
        </w:rPr>
        <w:tab/>
        <w:t>2</w:t>
      </w:r>
      <w:r>
        <w:rPr>
          <w:rFonts w:ascii="宋体" w:hint="eastAsia"/>
          <w:caps w:val="0"/>
          <w:smallCaps/>
        </w:rPr>
        <w:t>0</w:t>
      </w:r>
    </w:p>
    <w:p>
      <w:pPr>
        <w:pStyle w:val="22"/>
        <w:tabs>
          <w:tab w:val="right" w:leader="dot" w:pos="8296"/>
        </w:tabs>
        <w:spacing w:line="560" w:lineRule="exact"/>
        <w:ind w:firstLineChars="200" w:firstLine="560"/>
        <w:jc w:val="both"/>
        <w:rPr>
          <w:rFonts w:ascii="宋体"/>
          <w:caps w:val="0"/>
          <w:smallCaps/>
        </w:rPr>
      </w:pPr>
      <w:r>
        <w:rPr>
          <w:rFonts w:ascii="宋体" w:hint="eastAsia"/>
        </w:rPr>
        <w:t>一、收入支出决算总表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二、收入决算表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三、支出决算表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四、财政拨款收入支出决算总表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五、财政拨款支出决算明细表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六、一般公共预算财政拨款支出决算表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七、一般公共预算财政拨款支出决算明细表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八、一般公共预算财政拨款基本支出决算表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九、一般公共预算财政拨款项目支出决算表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十、政府性基金预算财政拨款收入支出决算表</w:t>
      </w:r>
    </w:p>
    <w:p>
      <w:pPr>
        <w:pStyle w:val="23"/>
        <w:tabs>
          <w:tab w:val="right" w:leader="dot" w:pos="8296"/>
        </w:tabs>
        <w:spacing w:line="560" w:lineRule="exact"/>
        <w:ind w:leftChars="0" w:left="0" w:firstLineChars="200" w:firstLine="560"/>
        <w:rPr>
          <w:rFonts w:ascii="宋体"/>
          <w:sz w:val="28"/>
          <w:szCs w:val="28"/>
        </w:rPr>
      </w:pPr>
      <w:r>
        <w:rPr>
          <w:rFonts w:ascii="宋体" w:hint="eastAsia"/>
          <w:sz w:val="28"/>
          <w:szCs w:val="28"/>
        </w:rPr>
        <w:t>十一、国有资本经营预算财政拨款收入支出决算表</w:t>
      </w:r>
    </w:p>
    <w:p>
      <w:pPr>
        <w:pStyle w:val="23"/>
        <w:tabs>
          <w:tab w:val="right" w:leader="dot" w:pos="8296"/>
        </w:tabs>
        <w:spacing w:line="560" w:lineRule="exact"/>
        <w:rPr>
          <w:sz w:val="28"/>
          <w:szCs w:val="28"/>
        </w:rPr>
      </w:pPr>
      <w:r>
        <w:rPr>
          <w:rFonts w:ascii="宋体" w:hint="eastAsia"/>
          <w:sz w:val="28"/>
          <w:szCs w:val="28"/>
        </w:rPr>
        <w:t>十二、国有资本经营预算财政拨款支出决算表</w:t>
      </w:r>
    </w:p>
    <w:p>
      <w:pPr>
        <w:pStyle w:val="23"/>
        <w:tabs>
          <w:tab w:val="right" w:leader="dot" w:pos="8296"/>
        </w:tabs>
        <w:spacing w:line="560" w:lineRule="exact"/>
        <w:rPr>
          <w:rFonts w:ascii="宋体"/>
          <w:sz w:val="28"/>
          <w:szCs w:val="28"/>
        </w:rPr>
      </w:pPr>
      <w:r>
        <w:rPr>
          <w:rFonts w:ascii="宋体" w:hint="eastAsia"/>
          <w:sz w:val="28"/>
          <w:szCs w:val="28"/>
        </w:rPr>
        <w:t>十三、财政拨款“三公”经费支出决算表</w:t>
      </w:r>
    </w:p>
    <w:p>
      <w:pPr>
        <w:pStyle w:val="23"/>
        <w:tabs>
          <w:tab w:val="right" w:leader="dot" w:pos="8296"/>
        </w:tabs>
        <w:spacing w:line="560" w:lineRule="exact"/>
        <w:rPr>
          <w:rFonts w:ascii="宋体"/>
          <w:sz w:val="28"/>
          <w:szCs w:val="28"/>
        </w:rPr>
      </w:pPr>
    </w:p>
    <w:p>
      <w:pPr>
        <w:pStyle w:val="22"/>
        <w:tabs>
          <w:tab w:val="right" w:leader="dot" w:pos="8296"/>
        </w:tabs>
        <w:spacing w:line="560" w:lineRule="exact"/>
        <w:rPr>
          <w:rFonts w:ascii="宋体" w:cs="Times New Roman"/>
        </w:rPr>
      </w:pPr>
      <w:r>
        <w:rPr>
          <w:rFonts w:ascii="宋体"/>
          <w:caps w:val="0"/>
          <w:smallCaps/>
        </w:rPr>
        <w:fldChar w:fldCharType="end"/>
      </w:r>
    </w:p>
    <w:p>
      <w:pPr>
        <w:widowControl/>
        <w:spacing w:line="560" w:lineRule="exact"/>
        <w:jc w:val="left"/>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3" w:name="_Toc15377196"/>
      <w:bookmarkStart w:id="14" w:name="_Toc15396599"/>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adjustRightInd w:val="0"/>
        <w:snapToGrid w:val="0"/>
        <w:spacing w:line="560" w:lineRule="exact"/>
        <w:jc w:val="center"/>
        <w:outlineLvl w:val="0"/>
        <w:rPr>
          <w:rStyle w:val="1Char"/>
          <w:rFonts w:ascii="方正小标宋简体" w:eastAsia="方正小标宋简体" w:cs="方正小标宋简体"/>
          <w:b w:val="0"/>
          <w:bCs w:val="0"/>
        </w:rPr>
      </w:pPr>
      <w:r>
        <w:rPr>
          <w:rStyle w:val="1Char"/>
          <w:rFonts w:ascii="方正小标宋简体" w:eastAsia="方正小标宋简体" w:cs="方正小标宋简体" w:hint="eastAsia"/>
          <w:b w:val="0"/>
          <w:bCs w:val="0"/>
        </w:rPr>
        <w:t>第一部分  单位概况</w:t>
      </w:r>
      <w:bookmarkStart w:id="15" w:name="_Toc15377197"/>
      <w:bookmarkStart w:id="16" w:name="_Toc15396600"/>
      <w:bookmarkEnd w:id="13"/>
      <w:bookmarkEnd w:id="14"/>
    </w:p>
    <w:p>
      <w:pPr>
        <w:adjustRightInd w:val="0"/>
        <w:snapToGrid w:val="0"/>
        <w:spacing w:line="560" w:lineRule="exact"/>
        <w:jc w:val="center"/>
        <w:rPr>
          <w:rFonts w:ascii="仿宋_GB2312" w:eastAsia="仿宋_GB2312"/>
          <w:color w:val="000000"/>
          <w:sz w:val="44"/>
          <w:szCs w:val="44"/>
        </w:rPr>
      </w:pPr>
    </w:p>
    <w:p>
      <w:pPr>
        <w:numPr>
          <w:ilvl w:val="0"/>
          <w:numId w:val="1"/>
        </w:numPr>
        <w:adjustRightInd w:val="0"/>
        <w:snapToGrid w:val="0"/>
        <w:spacing w:line="560" w:lineRule="exact"/>
        <w:ind w:left="0" w:firstLineChars="200" w:firstLine="640"/>
        <w:jc w:val="left"/>
        <w:outlineLvl w:val="1"/>
        <w:rPr>
          <w:rFonts w:ascii="仿宋_GB2312" w:eastAsia="仿宋_GB2312"/>
          <w:sz w:val="32"/>
          <w:szCs w:val="32"/>
        </w:rPr>
      </w:pPr>
      <w:bookmarkStart w:id="17" w:name="_Toc15377198"/>
      <w:bookmarkStart w:id="18" w:name="_Toc15378445"/>
      <w:bookmarkEnd w:id="15"/>
      <w:bookmarkEnd w:id="16"/>
      <w:r>
        <w:rPr>
          <w:rStyle w:val="2Char"/>
          <w:rFonts w:ascii="黑体" w:eastAsia="黑体" w:cs="黑体" w:hint="eastAsia"/>
          <w:b w:val="0"/>
          <w:bCs w:val="0"/>
        </w:rPr>
        <w:t>主要职责</w:t>
      </w:r>
      <w:bookmarkEnd w:id="17"/>
      <w:bookmarkEnd w:id="18"/>
    </w:p>
    <w:p>
      <w:pPr>
        <w:adjustRightInd w:val="0"/>
        <w:snapToGrid w:val="0"/>
        <w:spacing w:line="560" w:lineRule="exact"/>
        <w:ind w:firstLineChars="200" w:firstLine="640"/>
        <w:jc w:val="left"/>
        <w:outlineLvl w:val="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ascii="仿宋_GB2312" w:eastAsia="仿宋_GB2312" w:cs="仿宋_GB2312" w:hint="eastAsia"/>
          <w:sz w:val="32"/>
          <w:szCs w:val="32"/>
        </w:rPr>
        <w:t>接受上级党校的业务指导，完成县委、县政府交办的其它事项。</w:t>
      </w:r>
    </w:p>
    <w:p>
      <w:pPr>
        <w:spacing w:line="560" w:lineRule="exact"/>
        <w:ind w:firstLineChars="200" w:firstLine="640"/>
        <w:outlineLvl w:val="1"/>
        <w:rPr>
          <w:rStyle w:val="2Char"/>
          <w:b w:val="0"/>
          <w:bCs w:val="0"/>
        </w:rPr>
      </w:pPr>
      <w:bookmarkStart w:id="19" w:name="_Toc15377200"/>
      <w:bookmarkStart w:id="20" w:name="_Toc15396601"/>
      <w:r>
        <w:rPr>
          <w:rFonts w:ascii="楷体" w:eastAsia="楷体" w:cs="楷体" w:hint="eastAsia"/>
          <w:b/>
          <w:bCs/>
          <w:color w:val="000000"/>
          <w:sz w:val="32"/>
          <w:szCs w:val="32"/>
        </w:rPr>
        <w:t xml:space="preserve"> </w:t>
      </w:r>
      <w:r>
        <w:rPr>
          <w:rFonts w:eastAsia="楷体_GB2312" w:hint="eastAsia"/>
          <w:b/>
          <w:bCs/>
          <w:sz w:val="32"/>
          <w:szCs w:val="32"/>
        </w:rPr>
        <w:t xml:space="preserve"> </w:t>
      </w:r>
      <w:r>
        <w:rPr>
          <w:rFonts w:ascii="黑体" w:eastAsia="黑体" w:cs="黑体" w:hint="eastAsia"/>
          <w:color w:val="000000"/>
          <w:sz w:val="32"/>
          <w:szCs w:val="32"/>
        </w:rPr>
        <w:t>二、机</w:t>
      </w:r>
      <w:r>
        <w:rPr>
          <w:rStyle w:val="2Char"/>
          <w:rFonts w:ascii="黑体" w:eastAsia="黑体" w:cs="黑体" w:hint="eastAsia"/>
          <w:b w:val="0"/>
          <w:bCs w:val="0"/>
        </w:rPr>
        <w:t>构设置</w:t>
      </w:r>
      <w:bookmarkEnd w:id="19"/>
      <w:bookmarkEnd w:id="20"/>
    </w:p>
    <w:p>
      <w:pPr>
        <w:spacing w:line="560" w:lineRule="exact"/>
        <w:ind w:firstLine="567"/>
        <w:rPr>
          <w:rFonts w:ascii="仿宋_GB2312" w:eastAsia="仿宋_GB2312"/>
          <w:sz w:val="32"/>
          <w:szCs w:val="32"/>
        </w:rPr>
      </w:pPr>
      <w:r>
        <w:rPr>
          <w:rFonts w:ascii="仿宋_GB2312" w:eastAsia="仿宋_GB2312" w:cs="仿宋_GB2312" w:hint="eastAsia"/>
          <w:sz w:val="32"/>
          <w:szCs w:val="32"/>
        </w:rPr>
        <w:t>本单位为一级预算单位，所属</w:t>
      </w:r>
      <w:r>
        <w:rPr>
          <w:rFonts w:ascii="仿宋_GB2312" w:eastAsia="仿宋_GB2312" w:cs="仿宋_GB2312"/>
          <w:sz w:val="32"/>
          <w:szCs w:val="32"/>
        </w:rPr>
        <w:t>1</w:t>
      </w:r>
      <w:r>
        <w:rPr>
          <w:rFonts w:ascii="仿宋_GB2312" w:eastAsia="仿宋_GB2312" w:cs="仿宋_GB2312" w:hint="eastAsia"/>
          <w:sz w:val="32"/>
          <w:szCs w:val="32"/>
        </w:rPr>
        <w:t>级预算单位，单位性质为参照公务员管理的事业单位，决算编报类型为单户表，按照行政单位会计制度填报决算数据。</w:t>
      </w:r>
    </w:p>
    <w:p>
      <w:pPr>
        <w:snapToGrid w:val="0"/>
        <w:spacing w:line="560" w:lineRule="exact"/>
        <w:ind w:firstLineChars="200" w:firstLine="640"/>
        <w:rPr>
          <w:rFonts w:ascii="楷体_GB2312" w:eastAsia="楷体_GB2312"/>
          <w:sz w:val="32"/>
          <w:szCs w:val="32"/>
        </w:rPr>
      </w:pPr>
      <w:r>
        <w:rPr>
          <w:rFonts w:ascii="仿宋_GB2312" w:eastAsia="仿宋_GB2312" w:cs="仿宋_GB2312" w:hint="eastAsia"/>
          <w:sz w:val="32"/>
          <w:szCs w:val="32"/>
        </w:rPr>
        <w:t>纳入本套决算编制范围的独立核算单位共</w:t>
      </w:r>
      <w:r>
        <w:rPr>
          <w:rFonts w:ascii="仿宋_GB2312" w:eastAsia="仿宋_GB2312" w:cs="仿宋_GB2312"/>
          <w:sz w:val="32"/>
          <w:szCs w:val="32"/>
        </w:rPr>
        <w:t>1</w:t>
      </w:r>
      <w:r>
        <w:rPr>
          <w:rFonts w:ascii="仿宋_GB2312" w:eastAsia="仿宋_GB2312" w:cs="仿宋_GB2312" w:hint="eastAsia"/>
          <w:sz w:val="32"/>
          <w:szCs w:val="32"/>
        </w:rPr>
        <w:t>个。</w:t>
      </w:r>
    </w:p>
    <w:p>
      <w:pPr>
        <w:widowControl/>
        <w:spacing w:line="560" w:lineRule="exact"/>
        <w:jc w:val="center"/>
        <w:outlineLvl w:val="0"/>
        <w:rPr>
          <w:rStyle w:val="1Char"/>
          <w:rFonts w:ascii="方正小标宋简体" w:eastAsia="方正小标宋简体" w:cs="方正小标宋简体"/>
          <w:b w:val="0"/>
          <w:bCs w:val="0"/>
        </w:rPr>
      </w:pPr>
      <w:r>
        <w:rPr>
          <w:rFonts w:ascii="??" w:hAnsi="??"/>
          <w:color w:val="000000"/>
          <w:sz w:val="32"/>
          <w:szCs w:val="32"/>
        </w:rPr>
        <w:br w:type="page"/>
      </w:r>
      <w:bookmarkStart w:id="21" w:name="_Toc15377204"/>
      <w:bookmarkStart w:id="22" w:name="_Toc15396602"/>
      <w:r>
        <w:rPr>
          <w:rStyle w:val="1Char"/>
          <w:rFonts w:ascii="方正小标宋简体" w:eastAsia="方正小标宋简体" w:cs="方正小标宋简体" w:hint="eastAsia"/>
          <w:b w:val="0"/>
          <w:bCs w:val="0"/>
        </w:rPr>
        <w:t>第二部分</w:t>
      </w:r>
      <w:r>
        <w:rPr>
          <w:rStyle w:val="1Char"/>
          <w:rFonts w:ascii="方正小标宋简体" w:eastAsia="方正小标宋简体" w:cs="方正小标宋简体"/>
          <w:b w:val="0"/>
          <w:bCs w:val="0"/>
        </w:rPr>
        <w:t>202</w:t>
      </w:r>
      <w:r>
        <w:rPr>
          <w:rStyle w:val="1Char"/>
          <w:rFonts w:ascii="方正小标宋简体" w:eastAsia="方正小标宋简体" w:cs="方正小标宋简体" w:hint="eastAsia"/>
          <w:b w:val="0"/>
          <w:bCs w:val="0"/>
        </w:rPr>
        <w:t>3年度单位决算情况说明</w:t>
      </w:r>
      <w:bookmarkStart w:id="23" w:name="_Toc15377205"/>
      <w:bookmarkStart w:id="24" w:name="_Toc15396603"/>
      <w:bookmarkEnd w:id="21"/>
      <w:bookmarkEnd w:id="22"/>
    </w:p>
    <w:p>
      <w:pPr>
        <w:widowControl/>
        <w:spacing w:line="560" w:lineRule="exact"/>
        <w:jc w:val="center"/>
        <w:rPr>
          <w:rStyle w:val="1Char"/>
          <w:rFonts w:ascii="??" w:hAnsi="??"/>
          <w:b w:val="0"/>
          <w:bCs w:val="0"/>
          <w:color w:val="000000"/>
          <w:kern w:val="2"/>
          <w:sz w:val="32"/>
          <w:szCs w:val="32"/>
        </w:rPr>
      </w:pPr>
    </w:p>
    <w:p>
      <w:pPr>
        <w:numPr>
          <w:ilvl w:val="0"/>
          <w:numId w:val="2"/>
        </w:numPr>
        <w:adjustRightInd w:val="0"/>
        <w:snapToGrid w:val="0"/>
        <w:spacing w:line="560" w:lineRule="exact"/>
        <w:ind w:left="0" w:firstLineChars="200" w:firstLine="640"/>
        <w:outlineLvl w:val="1"/>
        <w:rPr>
          <w:rStyle w:val="2Char"/>
          <w:rFonts w:ascii="黑体" w:eastAsia="黑体" w:cs="Times New Roman"/>
          <w:b w:val="0"/>
          <w:bCs w:val="0"/>
        </w:rPr>
      </w:pPr>
      <w:r>
        <w:rPr>
          <w:rFonts w:ascii="黑体" w:eastAsia="黑体" w:cs="黑体" w:hint="eastAsia"/>
          <w:color w:val="000000"/>
          <w:sz w:val="32"/>
          <w:szCs w:val="32"/>
        </w:rPr>
        <w:t>收</w:t>
      </w:r>
      <w:r>
        <w:rPr>
          <w:rStyle w:val="2Char"/>
          <w:rFonts w:ascii="黑体" w:eastAsia="黑体" w:cs="黑体" w:hint="eastAsia"/>
          <w:b w:val="0"/>
          <w:bCs w:val="0"/>
        </w:rPr>
        <w:t>入支出决算总体情况说明</w:t>
      </w:r>
      <w:bookmarkEnd w:id="23"/>
      <w:bookmarkEnd w:id="24"/>
    </w:p>
    <w:p>
      <w:pPr>
        <w:widowControl/>
        <w:spacing w:line="560" w:lineRule="exact"/>
        <w:ind w:firstLineChars="150" w:firstLine="480"/>
        <w:contextualSpacing/>
        <w:rPr>
          <w:rFonts w:ascii="仿宋_GB2312" w:eastAsia="仿宋_GB2312"/>
          <w:sz w:val="32"/>
          <w:szCs w:val="32"/>
        </w:rPr>
      </w:pPr>
      <w:r>
        <w:rPr>
          <w:rFonts w:ascii="仿宋_GB2312" w:eastAsia="仿宋_GB2312" w:cs="仿宋_GB2312"/>
          <w:sz w:val="32"/>
          <w:szCs w:val="32"/>
        </w:rPr>
        <w:t>202</w:t>
      </w:r>
      <w:r>
        <w:rPr>
          <w:rFonts w:ascii="仿宋_GB2312" w:eastAsia="仿宋_GB2312" w:cs="仿宋_GB2312" w:hint="eastAsia"/>
          <w:sz w:val="32"/>
          <w:szCs w:val="32"/>
        </w:rPr>
        <w:t>3年度收、支总计143.38万元。与</w:t>
      </w:r>
      <w:r>
        <w:rPr>
          <w:rFonts w:ascii="仿宋_GB2312" w:eastAsia="仿宋_GB2312" w:cs="仿宋_GB2312"/>
          <w:sz w:val="32"/>
          <w:szCs w:val="32"/>
        </w:rPr>
        <w:t>202</w:t>
      </w:r>
      <w:r>
        <w:rPr>
          <w:rFonts w:ascii="仿宋_GB2312" w:eastAsia="仿宋_GB2312" w:cs="仿宋_GB2312" w:hint="eastAsia"/>
          <w:sz w:val="32"/>
          <w:szCs w:val="32"/>
        </w:rPr>
        <w:t>2年相比，收、支总计各增加30.53万元，增长27.05</w:t>
      </w:r>
      <w:r>
        <w:rPr>
          <w:rFonts w:ascii="仿宋_GB2312" w:eastAsia="仿宋_GB2312" w:cs="仿宋_GB2312"/>
          <w:sz w:val="32"/>
          <w:szCs w:val="32"/>
        </w:rPr>
        <w:t>%</w:t>
      </w:r>
      <w:r>
        <w:rPr>
          <w:rFonts w:ascii="仿宋_GB2312" w:eastAsia="仿宋_GB2312" w:cs="仿宋_GB2312" w:hint="eastAsia"/>
          <w:sz w:val="32"/>
          <w:szCs w:val="32"/>
        </w:rPr>
        <w:t>。主要原因是</w:t>
      </w:r>
      <w:r>
        <w:rPr>
          <w:rFonts w:ascii="仿宋_GB2312" w:eastAsia="仿宋_GB2312" w:hint="eastAsia"/>
          <w:sz w:val="32"/>
          <w:szCs w:val="32"/>
        </w:rPr>
        <w:t>单位职工工资标准上调，相应的单位缴纳的机关事业单位养老保险、职业年金、住房公积金等缴费基数增长</w:t>
      </w:r>
      <w:r>
        <w:rPr>
          <w:rFonts w:ascii="仿宋_GB2312" w:eastAsia="仿宋_GB2312" w:hint="eastAsia"/>
          <w:sz w:val="32"/>
          <w:szCs w:val="32"/>
          <w:shd w:val="clear" w:color="auto" w:fill="FFFFFF"/>
        </w:rPr>
        <w:t>。</w:t>
      </w:r>
    </w:p>
    <w:p>
      <w:pPr>
        <w:widowControl/>
        <w:spacing w:line="560" w:lineRule="exact"/>
        <w:ind w:firstLineChars="300" w:firstLine="840"/>
        <w:jc w:val="left"/>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1</w:t>
      </w:r>
      <w:r>
        <w:rPr>
          <w:rFonts w:ascii="宋体" w:cs="宋体" w:hint="eastAsia"/>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19" behindDoc="0" locked="0" layoutInCell="1" hidden="0" allowOverlap="1">
            <wp:simplePos x="0" y="0"/>
            <wp:positionH relativeFrom="column">
              <wp:posOffset>730885</wp:posOffset>
            </wp:positionH>
            <wp:positionV relativeFrom="paragraph">
              <wp:posOffset>252095</wp:posOffset>
            </wp:positionV>
            <wp:extent cx="4770120" cy="2661285"/>
            <wp:effectExtent l="0" t="0" r="22" b="41"/>
            <wp:wrapSquare wrapText="bothSides"/>
            <wp:docPr id="4" name="_x0000_s1026"/>
            <wp:cNvGraphicFramePr>
              <a:graphicFrameLocks noChangeAspect="1"/>
            </wp:cNvGraphicFramePr>
            <a:graphic>
              <a:graphicData uri="http://schemas.openxmlformats.org/drawingml/2006/picture">
                <pic:pic>
                  <pic:nvPicPr>
                    <pic:cNvPr id="6" name="_x0000_s1026 6"/>
                    <pic:cNvPicPr/>
                  </pic:nvPicPr>
                  <pic:blipFill>
                    <a:blip r:embed="rId5"/>
                    <a:stretch>
                      <a:fillRect/>
                    </a:stretch>
                  </pic:blipFill>
                  <pic:spPr>
                    <a:xfrm rot="0">
                      <a:off x="0" y="0"/>
                      <a:ext cx="4770120" cy="2661285"/>
                    </a:xfrm>
                    <a:prstGeom prst="rect"/>
                    <a:noFill/>
                    <a:ln w="9525" cmpd="sng" cap="flat">
                      <a:noFill/>
                      <a:prstDash val="solid"/>
                      <a:miter/>
                    </a:ln>
                  </pic:spPr>
                </pic:pic>
              </a:graphicData>
            </a:graphic>
          </wp:anchor>
        </w:drawing>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pStyle w:val="15"/>
        <w:rPr>
          <w:b/>
          <w:color w:val="000000"/>
          <w:sz w:val="28"/>
          <w:szCs w:val="28"/>
        </w:rPr>
      </w:pPr>
    </w:p>
    <w:p>
      <w:pPr>
        <w:pStyle w:val="16"/>
        <w:tabs>
          <w:tab w:val="center" w:pos="4153"/>
          <w:tab w:val="right" w:pos="8306"/>
        </w:tabs>
      </w:pPr>
    </w:p>
    <w:p>
      <w:pPr>
        <w:widowControl/>
        <w:spacing w:line="560" w:lineRule="exact"/>
        <w:jc w:val="center"/>
        <w:rPr>
          <w:rFonts w:ascii="宋体"/>
          <w:b/>
          <w:color w:val="000000"/>
          <w:kern w:val="0"/>
          <w:sz w:val="28"/>
          <w:szCs w:val="28"/>
        </w:rPr>
      </w:pPr>
    </w:p>
    <w:p>
      <w:pPr>
        <w:widowControl/>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Chars="200" w:firstLine="640"/>
        <w:jc w:val="left"/>
        <w:outlineLvl w:val="1"/>
        <w:rPr>
          <w:rStyle w:val="2Char"/>
          <w:rFonts w:ascii="Times New Roman" w:cs="Times New Roman" w:hAnsi="Times New Roman"/>
          <w:b w:val="0"/>
          <w:bCs w:val="0"/>
          <w:sz w:val="21"/>
          <w:szCs w:val="24"/>
        </w:rPr>
      </w:pPr>
      <w:bookmarkStart w:id="25" w:name="_Toc15396604"/>
      <w:bookmarkStart w:id="26" w:name="_Toc15377206"/>
      <w:r>
        <w:rPr>
          <w:rFonts w:ascii="黑体" w:eastAsia="黑体" w:cs="黑体" w:hint="eastAsia"/>
          <w:color w:val="000000"/>
          <w:sz w:val="32"/>
          <w:szCs w:val="32"/>
        </w:rPr>
        <w:t>二、收</w:t>
      </w:r>
      <w:r>
        <w:rPr>
          <w:rStyle w:val="2Char"/>
          <w:rFonts w:ascii="黑体" w:eastAsia="黑体" w:cs="黑体" w:hint="eastAsia"/>
          <w:b w:val="0"/>
          <w:bCs w:val="0"/>
        </w:rPr>
        <w:t>入决算情况说明</w:t>
      </w:r>
      <w:bookmarkEnd w:id="25"/>
      <w:bookmarkEnd w:id="26"/>
    </w:p>
    <w:p>
      <w:pPr>
        <w:widowControl/>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202</w:t>
      </w:r>
      <w:r>
        <w:rPr>
          <w:rFonts w:ascii="仿宋_GB2312" w:eastAsia="仿宋_GB2312" w:cs="仿宋_GB2312" w:hint="eastAsia"/>
          <w:sz w:val="32"/>
          <w:szCs w:val="32"/>
        </w:rPr>
        <w:t>3年本年收入143.38万元，其中：一般公共预算财政拨款收入143.38万元，占总收入的</w:t>
      </w:r>
      <w:r>
        <w:rPr>
          <w:rFonts w:ascii="仿宋_GB2312" w:eastAsia="仿宋_GB2312" w:cs="仿宋_GB2312"/>
          <w:sz w:val="32"/>
          <w:szCs w:val="32"/>
        </w:rPr>
        <w:t>100%</w:t>
      </w:r>
      <w:r>
        <w:rPr>
          <w:rFonts w:ascii="仿宋_GB2312" w:eastAsia="仿宋_GB2312" w:cs="仿宋_GB2312" w:hint="eastAsia"/>
          <w:sz w:val="32"/>
          <w:szCs w:val="32"/>
        </w:rPr>
        <w:t>；</w:t>
      </w:r>
      <w:r>
        <w:rPr>
          <w:rFonts w:ascii="仿宋_GB2312" w:eastAsia="仿宋_GB2312" w:cs="仿宋_GB2312" w:hint="eastAsia"/>
          <w:color w:val="000000"/>
          <w:kern w:val="0"/>
          <w:sz w:val="32"/>
          <w:szCs w:val="32"/>
        </w:rPr>
        <w:t>政府性基金预算财政拨款收入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万元；国有资本经营预算财政拨款收入0万元，上级补助收入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事业收入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万元；经营收入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万元；附属单位上缴收入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w:t>
      </w:r>
      <w:r>
        <w:rPr>
          <w:rFonts w:ascii="仿宋_GB2312" w:eastAsia="仿宋_GB2312" w:cs="仿宋_GB2312" w:hint="eastAsia"/>
          <w:sz w:val="32"/>
          <w:szCs w:val="32"/>
        </w:rPr>
        <w:t>其他收入</w:t>
      </w:r>
      <w:r>
        <w:rPr>
          <w:rFonts w:ascii="仿宋_GB2312" w:eastAsia="仿宋_GB2312" w:cs="仿宋_GB2312"/>
          <w:sz w:val="32"/>
          <w:szCs w:val="32"/>
        </w:rPr>
        <w:t>0</w:t>
      </w:r>
      <w:r>
        <w:rPr>
          <w:rFonts w:ascii="仿宋_GB2312" w:eastAsia="仿宋_GB2312" w:cs="仿宋_GB2312" w:hint="eastAsia"/>
          <w:sz w:val="32"/>
          <w:szCs w:val="32"/>
        </w:rPr>
        <w:t>万元。</w:t>
      </w:r>
    </w:p>
    <w:p>
      <w:pPr>
        <w:widowControl/>
        <w:spacing w:line="560" w:lineRule="exact"/>
        <w:jc w:val="center"/>
        <w:rPr>
          <w:rFonts w:ascii="宋体" w:cs="宋体"/>
          <w:b/>
          <w:bCs/>
          <w:color w:val="000000"/>
          <w:kern w:val="0"/>
          <w:sz w:val="28"/>
          <w:szCs w:val="28"/>
        </w:rPr>
      </w:pPr>
      <w:r>
        <w:drawing>
          <wp:anchor distT="0" distB="0" distL="114300" distR="114300" simplePos="0" relativeHeight="21" behindDoc="0" locked="0" layoutInCell="1" hidden="0" allowOverlap="1">
            <wp:simplePos x="0" y="0"/>
            <wp:positionH relativeFrom="column">
              <wp:posOffset>350520</wp:posOffset>
            </wp:positionH>
            <wp:positionV relativeFrom="paragraph">
              <wp:posOffset>547370</wp:posOffset>
            </wp:positionV>
            <wp:extent cx="4596130" cy="2767330"/>
            <wp:effectExtent l="0" t="0" r="6" b="21"/>
            <wp:wrapSquare wrapText="bothSides"/>
            <wp:docPr id="7" name="_x0000_s1027"/>
            <wp:cNvGraphicFramePr>
              <a:graphicFrameLocks noChangeAspect="1"/>
            </wp:cNvGraphicFramePr>
            <a:graphic>
              <a:graphicData uri="http://schemas.openxmlformats.org/drawingml/2006/picture">
                <pic:pic>
                  <pic:nvPicPr>
                    <pic:cNvPr id="9" name="_x0000_s1027 9"/>
                    <pic:cNvPicPr/>
                  </pic:nvPicPr>
                  <pic:blipFill>
                    <a:blip r:embed="rId6"/>
                    <a:stretch>
                      <a:fillRect/>
                    </a:stretch>
                  </pic:blipFill>
                  <pic:spPr>
                    <a:xfrm rot="0">
                      <a:off x="0" y="0"/>
                      <a:ext cx="4596130" cy="2767330"/>
                    </a:xfrm>
                    <a:prstGeom prst="rect"/>
                    <a:noFill/>
                    <a:ln w="9525" cmpd="sng" cap="flat">
                      <a:noFill/>
                      <a:prstDash val="solid"/>
                      <a:miter/>
                    </a:ln>
                  </pic:spPr>
                </pic:pic>
              </a:graphicData>
            </a:graphic>
          </wp:anchor>
        </w:drawing>
      </w:r>
      <w:r>
        <w:rPr>
          <w:rFonts w:ascii="宋体" w:cs="宋体" w:hint="eastAsia"/>
          <w:b/>
          <w:bCs/>
          <w:color w:val="000000"/>
          <w:kern w:val="0"/>
          <w:sz w:val="28"/>
          <w:szCs w:val="28"/>
        </w:rPr>
        <w:t>图</w:t>
      </w:r>
      <w:r>
        <w:rPr>
          <w:rFonts w:ascii="宋体" w:cs="宋体"/>
          <w:b/>
          <w:bCs/>
          <w:color w:val="000000"/>
          <w:kern w:val="0"/>
          <w:sz w:val="28"/>
          <w:szCs w:val="28"/>
        </w:rPr>
        <w:t xml:space="preserve"> 2</w:t>
      </w:r>
      <w:r>
        <w:rPr>
          <w:rFonts w:ascii="宋体" w:cs="宋体" w:hint="eastAsia"/>
          <w:b/>
          <w:bCs/>
          <w:color w:val="000000"/>
          <w:kern w:val="0"/>
          <w:sz w:val="28"/>
          <w:szCs w:val="28"/>
        </w:rPr>
        <w:t>：收入决算结构图（单位：万元）</w:t>
      </w:r>
    </w:p>
    <w:p>
      <w:pPr>
        <w:widowControl/>
        <w:spacing w:line="560" w:lineRule="exact"/>
        <w:ind w:firstLineChars="600" w:firstLine="1680"/>
        <w:jc w:val="left"/>
        <w:rPr>
          <w:rFonts w:ascii="宋体" w:cs="宋体"/>
          <w:b/>
          <w:bCs/>
          <w:color w:val="000000"/>
          <w:kern w:val="0"/>
          <w:sz w:val="28"/>
          <w:szCs w:val="28"/>
        </w:rPr>
      </w:pPr>
    </w:p>
    <w:p>
      <w:pPr>
        <w:widowControl/>
        <w:tabs>
          <w:tab w:val="left" w:pos="1745"/>
        </w:tabs>
        <w:spacing w:line="560" w:lineRule="exact"/>
        <w:jc w:val="left"/>
        <w:rPr>
          <w:rFonts w:ascii="黑体" w:eastAsia="黑体" w:cs="黑体"/>
          <w:sz w:val="32"/>
          <w:szCs w:val="32"/>
        </w:rPr>
      </w:pPr>
      <w:bookmarkStart w:id="27" w:name="_Toc15396605"/>
      <w:bookmarkStart w:id="28" w:name="_Toc15377207"/>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Chars="200" w:firstLine="640"/>
        <w:jc w:val="left"/>
        <w:rPr>
          <w:rFonts w:ascii="黑体" w:eastAsia="黑体" w:cs="黑体"/>
          <w:sz w:val="32"/>
          <w:szCs w:val="32"/>
        </w:rPr>
      </w:pPr>
    </w:p>
    <w:p>
      <w:pPr>
        <w:widowControl/>
        <w:spacing w:line="560" w:lineRule="exact"/>
        <w:ind w:firstLineChars="200" w:firstLine="640"/>
        <w:jc w:val="left"/>
        <w:rPr>
          <w:rFonts w:ascii="黑体" w:eastAsia="黑体" w:cs="黑体"/>
          <w:sz w:val="32"/>
          <w:szCs w:val="32"/>
        </w:rPr>
      </w:pPr>
    </w:p>
    <w:p>
      <w:pPr>
        <w:widowControl/>
        <w:spacing w:line="560" w:lineRule="exact"/>
        <w:ind w:firstLineChars="200" w:firstLine="640"/>
        <w:jc w:val="left"/>
        <w:rPr>
          <w:rFonts w:ascii="黑体" w:eastAsia="黑体" w:cs="黑体"/>
          <w:sz w:val="32"/>
          <w:szCs w:val="32"/>
        </w:rPr>
      </w:pPr>
    </w:p>
    <w:p>
      <w:pPr>
        <w:widowControl/>
        <w:spacing w:line="560" w:lineRule="exact"/>
        <w:ind w:firstLineChars="200" w:firstLine="640"/>
        <w:jc w:val="left"/>
        <w:outlineLvl w:val="1"/>
        <w:rPr>
          <w:rStyle w:val="2Char"/>
          <w:rFonts w:ascii="黑体" w:eastAsia="黑体" w:cs="Times New Roman"/>
          <w:b w:val="0"/>
          <w:bCs w:val="0"/>
        </w:rPr>
      </w:pPr>
      <w:r>
        <w:rPr>
          <w:rFonts w:ascii="黑体" w:eastAsia="黑体" w:cs="黑体" w:hint="eastAsia"/>
          <w:sz w:val="32"/>
          <w:szCs w:val="32"/>
        </w:rPr>
        <w:t>三、</w:t>
      </w:r>
      <w:r>
        <w:rPr>
          <w:rFonts w:ascii="黑体" w:eastAsia="黑体" w:cs="黑体" w:hint="eastAsia"/>
          <w:color w:val="000000"/>
          <w:sz w:val="32"/>
          <w:szCs w:val="32"/>
        </w:rPr>
        <w:t>支</w:t>
      </w:r>
      <w:r>
        <w:rPr>
          <w:rStyle w:val="2Char"/>
          <w:rFonts w:ascii="黑体" w:eastAsia="黑体" w:cs="黑体" w:hint="eastAsia"/>
          <w:b w:val="0"/>
          <w:bCs w:val="0"/>
        </w:rPr>
        <w:t>出决算情况说明</w:t>
      </w:r>
      <w:bookmarkEnd w:id="27"/>
      <w:bookmarkEnd w:id="28"/>
    </w:p>
    <w:p>
      <w:pPr>
        <w:widowControl/>
        <w:spacing w:line="560" w:lineRule="exact"/>
        <w:ind w:firstLineChars="200" w:firstLine="640"/>
        <w:jc w:val="left"/>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3年本年支出合计143.38万元，其中：基本支出143.38万元，占100</w:t>
      </w:r>
      <w:r>
        <w:rPr>
          <w:rFonts w:ascii="仿宋_GB2312" w:eastAsia="仿宋_GB2312" w:cs="仿宋_GB2312"/>
          <w:color w:val="000000"/>
          <w:sz w:val="32"/>
          <w:szCs w:val="32"/>
        </w:rPr>
        <w:t>%</w:t>
      </w:r>
      <w:r>
        <w:rPr>
          <w:rFonts w:ascii="仿宋_GB2312" w:eastAsia="仿宋_GB2312" w:cs="仿宋_GB2312" w:hint="eastAsia"/>
          <w:color w:val="000000"/>
          <w:sz w:val="32"/>
          <w:szCs w:val="32"/>
        </w:rPr>
        <w:t>;项目支出0万元；上缴上级支出0万元；经营支出0万元；对附属单位补助支出0万元。</w:t>
      </w:r>
    </w:p>
    <w:p>
      <w:pPr>
        <w:widowControl/>
        <w:spacing w:line="560" w:lineRule="exact"/>
        <w:jc w:val="center"/>
      </w:pPr>
      <w:r>
        <w:rPr>
          <w:rFonts w:ascii="宋体" w:cs="宋体" w:hint="eastAsia"/>
          <w:b/>
          <w:bCs/>
          <w:color w:val="000000"/>
          <w:kern w:val="0"/>
          <w:sz w:val="28"/>
          <w:szCs w:val="28"/>
        </w:rPr>
        <w:t>图</w:t>
      </w:r>
      <w:r>
        <w:rPr>
          <w:rFonts w:ascii="宋体" w:cs="宋体"/>
          <w:b/>
          <w:bCs/>
          <w:color w:val="000000"/>
          <w:kern w:val="0"/>
          <w:sz w:val="28"/>
          <w:szCs w:val="28"/>
        </w:rPr>
        <w:t xml:space="preserve"> 3</w:t>
      </w:r>
      <w:r>
        <w:rPr>
          <w:rFonts w:ascii="宋体" w:cs="宋体" w:hint="eastAsia"/>
          <w:b/>
          <w:bCs/>
          <w:color w:val="000000"/>
          <w:kern w:val="0"/>
          <w:sz w:val="28"/>
          <w:szCs w:val="28"/>
        </w:rPr>
        <w:t>：支出决算结构图（单位：万元</w:t>
      </w:r>
      <w:bookmarkStart w:id="29" w:name="_Toc15396606"/>
      <w:bookmarkStart w:id="30" w:name="_Toc15377208"/>
      <w:r>
        <w:rPr>
          <w:rFonts w:ascii="宋体" w:cs="宋体" w:hint="eastAsia"/>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23" behindDoc="0" locked="0" layoutInCell="1" hidden="0" allowOverlap="1">
            <wp:simplePos x="0" y="0"/>
            <wp:positionH relativeFrom="column">
              <wp:posOffset>396240</wp:posOffset>
            </wp:positionH>
            <wp:positionV relativeFrom="paragraph">
              <wp:posOffset>77470</wp:posOffset>
            </wp:positionV>
            <wp:extent cx="4596129" cy="2767330"/>
            <wp:effectExtent l="0" t="0" r="6" b="21"/>
            <wp:wrapSquare wrapText="bothSides"/>
            <wp:docPr id="10" name="_x0000_s1028"/>
            <wp:cNvGraphicFramePr>
              <a:graphicFrameLocks noChangeAspect="1"/>
            </wp:cNvGraphicFramePr>
            <a:graphic>
              <a:graphicData uri="http://schemas.openxmlformats.org/drawingml/2006/picture">
                <pic:pic>
                  <pic:nvPicPr>
                    <pic:cNvPr id="12" name="_x0000_s1028 12"/>
                    <pic:cNvPicPr/>
                  </pic:nvPicPr>
                  <pic:blipFill>
                    <a:blip r:embed="rId7"/>
                    <a:stretch>
                      <a:fillRect/>
                    </a:stretch>
                  </pic:blipFill>
                  <pic:spPr>
                    <a:xfrm rot="0">
                      <a:off x="0" y="0"/>
                      <a:ext cx="4596129" cy="2767330"/>
                    </a:xfrm>
                    <a:prstGeom prst="rect"/>
                    <a:noFill/>
                    <a:ln w="9525" cmpd="sng" cap="flat">
                      <a:noFill/>
                      <a:prstDash val="solid"/>
                      <a:miter/>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Chars="200" w:firstLine="640"/>
        <w:outlineLvl w:val="1"/>
        <w:rPr>
          <w:rStyle w:val="2Char"/>
          <w:rFonts w:ascii="黑体" w:eastAsia="黑体" w:cs="Times New Roman"/>
          <w:b w:val="0"/>
          <w:bCs w:val="0"/>
        </w:rPr>
      </w:pPr>
      <w:r>
        <w:rPr>
          <w:rFonts w:ascii="黑体" w:eastAsia="黑体" w:cs="黑体" w:hint="eastAsia"/>
          <w:color w:val="000000"/>
          <w:sz w:val="32"/>
          <w:szCs w:val="32"/>
        </w:rPr>
        <w:t>四、财</w:t>
      </w:r>
      <w:r>
        <w:rPr>
          <w:rStyle w:val="2Char"/>
          <w:rFonts w:ascii="黑体" w:eastAsia="黑体" w:cs="黑体" w:hint="eastAsia"/>
          <w:b w:val="0"/>
          <w:bCs w:val="0"/>
        </w:rPr>
        <w:t>政拨款收入支出决算总体情况说明</w:t>
      </w:r>
      <w:bookmarkEnd w:id="29"/>
      <w:bookmarkEnd w:id="30"/>
    </w:p>
    <w:p>
      <w:pPr>
        <w:widowControl/>
        <w:spacing w:line="560" w:lineRule="exact"/>
        <w:ind w:firstLineChars="200" w:firstLine="640"/>
        <w:contextualSpacing/>
        <w:rPr>
          <w:rFonts w:ascii="仿宋_GB2312" w:eastAsia="仿宋_GB2312"/>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3年财政拨款收、支总计143.38万元。与</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2年相比，财政拨款收、支总计增加30.53万元，增长27.05</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。主要变动的原因是</w:t>
      </w:r>
      <w:r>
        <w:rPr>
          <w:rFonts w:ascii="仿宋_GB2312" w:eastAsia="仿宋_GB2312" w:hint="eastAsia"/>
          <w:sz w:val="32"/>
          <w:szCs w:val="32"/>
        </w:rPr>
        <w:t>单位职工工资标准上调，相应的单位缴纳的机关事业单位养老保险、职业年金、住房公积金等缴费基数增长</w:t>
      </w:r>
      <w:r>
        <w:rPr>
          <w:rFonts w:ascii="仿宋_GB2312" w:eastAsia="仿宋_GB2312" w:hint="eastAsia"/>
          <w:sz w:val="32"/>
          <w:szCs w:val="32"/>
          <w:shd w:val="clear" w:color="auto" w:fill="FFFFFF"/>
        </w:rPr>
        <w:t>。</w:t>
      </w:r>
    </w:p>
    <w:p>
      <w:pPr>
        <w:spacing w:line="560" w:lineRule="exact"/>
        <w:ind w:firstLineChars="200" w:firstLine="560"/>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4</w:t>
      </w:r>
      <w:r>
        <w:rPr>
          <w:rFonts w:ascii="宋体" w:cs="宋体" w:hint="eastAsia"/>
          <w:b/>
          <w:bCs/>
          <w:color w:val="000000"/>
          <w:kern w:val="0"/>
          <w:sz w:val="28"/>
          <w:szCs w:val="28"/>
        </w:rPr>
        <w:t>：财政拨款收、支决算变动情况（单位：万元）</w:t>
      </w:r>
    </w:p>
    <w:p>
      <w:pPr>
        <w:spacing w:line="560" w:lineRule="exact"/>
        <w:ind w:firstLineChars="200" w:firstLine="420"/>
        <w:rPr>
          <w:rFonts w:ascii="宋体" w:cs="宋体"/>
          <w:b/>
          <w:bCs/>
          <w:color w:val="000000"/>
          <w:kern w:val="0"/>
          <w:sz w:val="28"/>
          <w:szCs w:val="28"/>
        </w:rPr>
      </w:pPr>
      <w:r>
        <w:drawing>
          <wp:anchor distT="0" distB="0" distL="114300" distR="114300" simplePos="0" relativeHeight="25" behindDoc="0" locked="0" layoutInCell="1" hidden="0" allowOverlap="1">
            <wp:simplePos x="0" y="0"/>
            <wp:positionH relativeFrom="column">
              <wp:posOffset>405765</wp:posOffset>
            </wp:positionH>
            <wp:positionV relativeFrom="paragraph">
              <wp:posOffset>214630</wp:posOffset>
            </wp:positionV>
            <wp:extent cx="4596130" cy="2767329"/>
            <wp:effectExtent l="0" t="0" r="7" b="22"/>
            <wp:wrapSquare wrapText="bothSides"/>
            <wp:docPr id="13" name="_x0000_s1030"/>
            <wp:cNvGraphicFramePr>
              <a:graphicFrameLocks noChangeAspect="1"/>
            </wp:cNvGraphicFramePr>
            <a:graphic>
              <a:graphicData uri="http://schemas.openxmlformats.org/drawingml/2006/picture">
                <pic:pic>
                  <pic:nvPicPr>
                    <pic:cNvPr id="15" name="_x0000_s1030 15"/>
                    <pic:cNvPicPr/>
                  </pic:nvPicPr>
                  <pic:blipFill>
                    <a:blip r:embed="rId8"/>
                    <a:stretch>
                      <a:fillRect/>
                    </a:stretch>
                  </pic:blipFill>
                  <pic:spPr>
                    <a:xfrm rot="0">
                      <a:off x="0" y="0"/>
                      <a:ext cx="4596130" cy="2767329"/>
                    </a:xfrm>
                    <a:prstGeom prst="rect"/>
                    <a:noFill/>
                    <a:ln w="9525" cmpd="sng" cap="flat">
                      <a:noFill/>
                      <a:prstDash val="solid"/>
                      <a:miter/>
                    </a:ln>
                  </pic:spPr>
                </pic:pic>
              </a:graphicData>
            </a:graphic>
          </wp:anchor>
        </w:drawing>
      </w:r>
    </w:p>
    <w:p>
      <w:pPr>
        <w:spacing w:line="560" w:lineRule="exact"/>
        <w:ind w:firstLineChars="200" w:firstLine="560"/>
        <w:rPr>
          <w:rFonts w:ascii="宋体" w:cs="宋体"/>
          <w:b/>
          <w:bCs/>
          <w:color w:val="000000"/>
          <w:kern w:val="0"/>
          <w:sz w:val="28"/>
          <w:szCs w:val="28"/>
        </w:rPr>
      </w:pPr>
    </w:p>
    <w:p>
      <w:pPr>
        <w:spacing w:line="560" w:lineRule="exact"/>
        <w:ind w:firstLineChars="200" w:firstLine="560"/>
        <w:rPr>
          <w:rFonts w:ascii="宋体" w:cs="宋体"/>
          <w:b/>
          <w:bCs/>
          <w:color w:val="000000"/>
          <w:kern w:val="0"/>
          <w:sz w:val="28"/>
          <w:szCs w:val="28"/>
        </w:rPr>
      </w:pPr>
    </w:p>
    <w:p>
      <w:pPr>
        <w:spacing w:line="560" w:lineRule="exact"/>
        <w:ind w:firstLineChars="200" w:firstLine="560"/>
        <w:rPr>
          <w:rFonts w:ascii="宋体" w:cs="宋体"/>
          <w:b/>
          <w:bCs/>
          <w:color w:val="000000"/>
          <w:kern w:val="0"/>
          <w:sz w:val="28"/>
          <w:szCs w:val="28"/>
        </w:rPr>
      </w:pPr>
    </w:p>
    <w:p>
      <w:pPr>
        <w:spacing w:line="560" w:lineRule="exact"/>
        <w:ind w:firstLineChars="200" w:firstLine="420"/>
      </w:pPr>
    </w:p>
    <w:p>
      <w:pPr>
        <w:spacing w:line="560" w:lineRule="exact"/>
        <w:ind w:firstLineChars="350" w:firstLine="1120"/>
        <w:rPr>
          <w:rFonts w:ascii="黑体" w:eastAsia="黑体" w:cs="黑体"/>
          <w:color w:val="000000"/>
          <w:sz w:val="32"/>
          <w:szCs w:val="32"/>
        </w:rPr>
      </w:pPr>
      <w:bookmarkStart w:id="31" w:name="_Toc15377209"/>
      <w:bookmarkStart w:id="32" w:name="_Toc15396607"/>
    </w:p>
    <w:p>
      <w:pPr>
        <w:spacing w:line="560" w:lineRule="exact"/>
        <w:ind w:firstLineChars="350" w:firstLine="1120"/>
        <w:rPr>
          <w:rFonts w:ascii="黑体" w:eastAsia="黑体" w:cs="黑体"/>
          <w:color w:val="000000"/>
          <w:sz w:val="32"/>
          <w:szCs w:val="32"/>
        </w:rPr>
      </w:pPr>
    </w:p>
    <w:p>
      <w:pPr>
        <w:spacing w:line="560" w:lineRule="exact"/>
        <w:ind w:firstLineChars="200" w:firstLine="640"/>
        <w:outlineLvl w:val="1"/>
        <w:rPr>
          <w:rStyle w:val="2Char"/>
          <w:rFonts w:ascii="黑体" w:eastAsia="黑体" w:cs="黑体"/>
          <w:b w:val="0"/>
          <w:bCs w:val="0"/>
          <w:color w:val="000000"/>
        </w:rPr>
      </w:pPr>
      <w:r>
        <w:rPr>
          <w:rFonts w:ascii="黑体" w:eastAsia="黑体" w:cs="黑体" w:hint="eastAsia"/>
          <w:color w:val="000000"/>
          <w:sz w:val="32"/>
          <w:szCs w:val="32"/>
        </w:rPr>
        <w:t>五、</w:t>
      </w:r>
      <w:r>
        <w:rPr>
          <w:rFonts w:ascii="黑体" w:eastAsia="黑体" w:cs="黑体" w:hint="eastAsia"/>
          <w:b/>
          <w:bCs/>
          <w:color w:val="000000"/>
          <w:sz w:val="32"/>
          <w:szCs w:val="32"/>
        </w:rPr>
        <w:t>一</w:t>
      </w:r>
      <w:r>
        <w:rPr>
          <w:rStyle w:val="2Char"/>
          <w:rFonts w:ascii="黑体" w:eastAsia="黑体" w:cs="黑体" w:hint="eastAsia"/>
          <w:b w:val="0"/>
          <w:bCs w:val="0"/>
        </w:rPr>
        <w:t>般公共预算财政拨款支出决算情况说明</w:t>
      </w:r>
      <w:bookmarkStart w:id="33" w:name="_Toc15377210"/>
      <w:bookmarkEnd w:id="31"/>
      <w:bookmarkEnd w:id="32"/>
    </w:p>
    <w:p>
      <w:pPr>
        <w:spacing w:line="560" w:lineRule="exact"/>
        <w:ind w:firstLineChars="196" w:firstLine="627"/>
        <w:outlineLvl w:val="2"/>
        <w:rPr>
          <w:rFonts w:ascii="黑体" w:eastAsia="黑体" w:cs="黑体"/>
          <w:sz w:val="32"/>
          <w:szCs w:val="32"/>
        </w:rPr>
      </w:pPr>
      <w:r>
        <w:rPr>
          <w:rFonts w:ascii="楷体" w:eastAsia="楷体" w:cs="楷体" w:hint="eastAsia"/>
          <w:b/>
          <w:bCs/>
          <w:color w:val="000000"/>
          <w:sz w:val="32"/>
          <w:szCs w:val="32"/>
        </w:rPr>
        <w:t>（一）一般公共预算财政拨款支出决算总体情况</w:t>
      </w:r>
      <w:bookmarkEnd w:id="33"/>
    </w:p>
    <w:p>
      <w:pPr>
        <w:widowControl/>
        <w:spacing w:line="560" w:lineRule="exact"/>
        <w:ind w:firstLineChars="150" w:firstLine="480"/>
        <w:contextualSpacing/>
        <w:rPr>
          <w:rFonts w:ascii="仿宋_GB2312" w:eastAsia="仿宋_GB2312"/>
          <w:sz w:val="32"/>
          <w:szCs w:val="32"/>
          <w:shd w:val="clear" w:color="auto" w:fill="FFFFFF"/>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3年一般公共预算财政拨款支出143.38万元，占本年支出合计的</w:t>
      </w:r>
      <w:r>
        <w:rPr>
          <w:rFonts w:ascii="仿宋_GB2312" w:eastAsia="仿宋_GB2312" w:cs="仿宋_GB2312"/>
          <w:color w:val="000000"/>
          <w:sz w:val="32"/>
          <w:szCs w:val="32"/>
        </w:rPr>
        <w:t>100%</w:t>
      </w:r>
      <w:r>
        <w:rPr>
          <w:rFonts w:ascii="仿宋_GB2312" w:eastAsia="仿宋_GB2312" w:cs="仿宋_GB2312" w:hint="eastAsia"/>
          <w:color w:val="000000"/>
          <w:sz w:val="32"/>
          <w:szCs w:val="32"/>
        </w:rPr>
        <w:t>。与</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2年相比，一般公共预算财政拨款增加30.53</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万元，增长27.05</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。主要变动原因是</w:t>
      </w:r>
      <w:r>
        <w:rPr>
          <w:rFonts w:ascii="仿宋_GB2312" w:eastAsia="仿宋_GB2312" w:hint="eastAsia"/>
          <w:sz w:val="32"/>
          <w:szCs w:val="32"/>
        </w:rPr>
        <w:t>单位职工工资标准上调，相应的单位缴纳的机关事业单位养老保险、职业年金、住房公积金等缴费基数增长</w:t>
      </w:r>
      <w:r>
        <w:rPr>
          <w:rFonts w:ascii="仿宋_GB2312" w:eastAsia="仿宋_GB2312" w:hint="eastAsia"/>
          <w:sz w:val="32"/>
          <w:szCs w:val="32"/>
          <w:shd w:val="clear" w:color="auto" w:fill="FFFFFF"/>
        </w:rPr>
        <w:t>。</w:t>
      </w:r>
    </w:p>
    <w:p>
      <w:pPr>
        <w:widowControl/>
        <w:spacing w:line="560" w:lineRule="exact"/>
        <w:jc w:val="left"/>
        <w:rPr>
          <w:rFonts w:ascii="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 xml:space="preserve"> 5</w:t>
      </w:r>
      <w:r>
        <w:rPr>
          <w:rFonts w:ascii="宋体" w:cs="宋体" w:hint="eastAsia"/>
          <w:b/>
          <w:bCs/>
          <w:color w:val="000000"/>
          <w:kern w:val="0"/>
          <w:sz w:val="28"/>
          <w:szCs w:val="28"/>
        </w:rPr>
        <w:t>：一般公共预算财政拨款支出决算变动情况（单位：万元）</w:t>
      </w:r>
    </w:p>
    <w:p>
      <w:pPr>
        <w:widowControl/>
        <w:spacing w:line="560" w:lineRule="exact"/>
        <w:ind w:firstLineChars="200" w:firstLine="640"/>
        <w:jc w:val="left"/>
        <w:rPr>
          <w:rFonts w:ascii="楷体" w:eastAsia="楷体" w:cs="楷体"/>
          <w:b/>
          <w:bCs/>
          <w:color w:val="000000"/>
          <w:sz w:val="32"/>
          <w:szCs w:val="32"/>
        </w:rPr>
      </w:pPr>
      <w:bookmarkStart w:id="34" w:name="_Toc15377211"/>
    </w:p>
    <w:p>
      <w:pPr>
        <w:widowControl/>
        <w:tabs>
          <w:tab w:val="left" w:pos="3533"/>
        </w:tabs>
        <w:spacing w:line="560" w:lineRule="exact"/>
        <w:ind w:firstLineChars="200" w:firstLine="420"/>
        <w:jc w:val="left"/>
        <w:rPr>
          <w:rFonts w:ascii="楷体" w:eastAsia="楷体" w:cs="楷体"/>
          <w:b/>
          <w:bCs/>
          <w:color w:val="000000"/>
          <w:sz w:val="32"/>
          <w:szCs w:val="32"/>
        </w:rPr>
      </w:pPr>
      <w:r>
        <w:drawing>
          <wp:anchor distT="0" distB="0" distL="114300" distR="114300" simplePos="0" relativeHeight="27" behindDoc="0" locked="0" layoutInCell="1" hidden="0" allowOverlap="1">
            <wp:simplePos x="0" y="0"/>
            <wp:positionH relativeFrom="column">
              <wp:posOffset>231140</wp:posOffset>
            </wp:positionH>
            <wp:positionV relativeFrom="paragraph">
              <wp:posOffset>65405</wp:posOffset>
            </wp:positionV>
            <wp:extent cx="5160010" cy="3328669"/>
            <wp:effectExtent l="0" t="0" r="15" b="19"/>
            <wp:wrapSquare wrapText="bothSides"/>
            <wp:docPr id="16" name="_x0000_s1036"/>
            <wp:cNvGraphicFramePr>
              <a:graphicFrameLocks noChangeAspect="1"/>
            </wp:cNvGraphicFramePr>
            <a:graphic>
              <a:graphicData uri="http://schemas.openxmlformats.org/drawingml/2006/picture">
                <pic:pic>
                  <pic:nvPicPr>
                    <pic:cNvPr id="17" name="_x0000_s1036 17"/>
                    <pic:cNvPicPr/>
                  </pic:nvPicPr>
                  <pic:blipFill>
                    <a:blip r:embed="rId9"/>
                    <a:stretch>
                      <a:fillRect/>
                    </a:stretch>
                  </pic:blipFill>
                  <pic:spPr>
                    <a:xfrm rot="0">
                      <a:off x="0" y="0"/>
                      <a:ext cx="5160010" cy="3328669"/>
                    </a:xfrm>
                    <a:prstGeom prst="rect"/>
                    <a:noFill/>
                    <a:ln w="9525" cmpd="sng" cap="flat">
                      <a:noFill/>
                      <a:prstDash val="solid"/>
                      <a:miter/>
                    </a:ln>
                  </pic:spPr>
                </pic:pic>
              </a:graphicData>
            </a:graphic>
          </wp:anchor>
        </w:drawing>
      </w:r>
      <w:r>
        <w:rPr>
          <w:rFonts w:ascii="楷体" w:eastAsia="楷体" w:cs="楷体"/>
          <w:b/>
          <w:bCs/>
          <w:color w:val="000000"/>
          <w:sz w:val="32"/>
          <w:szCs w:val="32"/>
        </w:rPr>
        <w:t>(</w:t>
      </w:r>
      <w:r>
        <w:rPr>
          <w:rFonts w:ascii="楷体" w:eastAsia="楷体" w:cs="楷体" w:hint="eastAsia"/>
          <w:b/>
          <w:bCs/>
          <w:color w:val="000000"/>
          <w:sz w:val="32"/>
          <w:szCs w:val="32"/>
        </w:rPr>
        <w:t>二）一般公共预算财政拨款支出决算结构情况</w:t>
      </w:r>
      <w:bookmarkEnd w:id="34"/>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3年一般公共预算财政拨款支出143.38万元，主要用于以下方面</w:t>
      </w:r>
      <w:r>
        <w:rPr>
          <w:rFonts w:ascii="仿宋_GB2312" w:eastAsia="仿宋_GB2312" w:cs="仿宋_GB2312"/>
          <w:color w:val="000000"/>
          <w:sz w:val="32"/>
          <w:szCs w:val="32"/>
        </w:rPr>
        <w:t>:</w:t>
      </w:r>
      <w:r>
        <w:rPr>
          <w:rFonts w:ascii="仿宋_GB2312" w:eastAsia="仿宋_GB2312" w:cs="仿宋_GB2312" w:hint="eastAsia"/>
          <w:color w:val="000000"/>
          <w:sz w:val="32"/>
          <w:szCs w:val="32"/>
        </w:rPr>
        <w:t>教育支出105.01万元，占</w:t>
      </w:r>
      <w:r>
        <w:rPr>
          <w:rFonts w:ascii="仿宋_GB2312" w:eastAsia="仿宋_GB2312" w:cs="仿宋_GB2312"/>
          <w:color w:val="000000"/>
          <w:sz w:val="32"/>
          <w:szCs w:val="32"/>
        </w:rPr>
        <w:t>7</w:t>
      </w:r>
      <w:r>
        <w:rPr>
          <w:rFonts w:ascii="仿宋_GB2312" w:eastAsia="仿宋_GB2312" w:cs="仿宋_GB2312" w:hint="eastAsia"/>
          <w:color w:val="000000"/>
          <w:sz w:val="32"/>
          <w:szCs w:val="32"/>
        </w:rPr>
        <w:t>3.24</w:t>
      </w:r>
      <w:r>
        <w:rPr>
          <w:rFonts w:ascii="仿宋_GB2312" w:eastAsia="仿宋_GB2312" w:cs="仿宋_GB2312"/>
          <w:color w:val="000000"/>
          <w:sz w:val="32"/>
          <w:szCs w:val="32"/>
        </w:rPr>
        <w:t>%</w:t>
      </w:r>
      <w:r>
        <w:rPr>
          <w:rFonts w:ascii="仿宋_GB2312" w:eastAsia="仿宋_GB2312" w:cs="仿宋_GB2312" w:hint="eastAsia"/>
          <w:color w:val="000000"/>
          <w:sz w:val="32"/>
          <w:szCs w:val="32"/>
        </w:rPr>
        <w:t>；社会保障和就业支出20.72万元，占</w:t>
      </w:r>
      <w:r>
        <w:rPr>
          <w:rFonts w:ascii="仿宋_GB2312" w:eastAsia="仿宋_GB2312" w:cs="仿宋_GB2312"/>
          <w:color w:val="000000"/>
          <w:sz w:val="32"/>
          <w:szCs w:val="32"/>
        </w:rPr>
        <w:t>1</w:t>
      </w:r>
      <w:r>
        <w:rPr>
          <w:rFonts w:ascii="仿宋_GB2312" w:eastAsia="仿宋_GB2312" w:cs="仿宋_GB2312" w:hint="eastAsia"/>
          <w:color w:val="000000"/>
          <w:sz w:val="32"/>
          <w:szCs w:val="32"/>
        </w:rPr>
        <w:t>4.45</w:t>
      </w:r>
      <w:r>
        <w:rPr>
          <w:rFonts w:ascii="仿宋_GB2312" w:eastAsia="仿宋_GB2312" w:cs="仿宋_GB2312"/>
          <w:color w:val="000000"/>
          <w:sz w:val="32"/>
          <w:szCs w:val="32"/>
        </w:rPr>
        <w:t>%</w:t>
      </w:r>
      <w:r>
        <w:rPr>
          <w:rFonts w:ascii="仿宋_GB2312" w:eastAsia="仿宋_GB2312" w:cs="仿宋_GB2312" w:hint="eastAsia"/>
          <w:color w:val="000000"/>
          <w:sz w:val="32"/>
          <w:szCs w:val="32"/>
        </w:rPr>
        <w:t>；卫生健康支出7.82万元，占5.45</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；住房保障支出9.83万元，占6.86</w:t>
      </w:r>
      <w:r>
        <w:rPr>
          <w:rFonts w:ascii="仿宋_GB2312" w:eastAsia="仿宋_GB2312" w:cs="仿宋_GB2312"/>
          <w:color w:val="000000"/>
          <w:sz w:val="32"/>
          <w:szCs w:val="32"/>
        </w:rPr>
        <w:t>%</w:t>
      </w:r>
      <w:r>
        <w:rPr>
          <w:rFonts w:ascii="仿宋_GB2312" w:eastAsia="仿宋_GB2312" w:cs="仿宋_GB2312" w:hint="eastAsia"/>
          <w:color w:val="000000"/>
          <w:sz w:val="32"/>
          <w:szCs w:val="32"/>
        </w:rPr>
        <w:t>。</w:t>
      </w:r>
    </w:p>
    <w:p>
      <w:pPr>
        <w:widowControl/>
        <w:spacing w:line="560" w:lineRule="exact"/>
        <w:jc w:val="center"/>
        <w:rPr>
          <w:rFonts w:ascii="宋体" w:cs="宋体"/>
          <w:b/>
          <w:bCs/>
          <w:color w:val="000000"/>
          <w:kern w:val="0"/>
          <w:sz w:val="31"/>
          <w:szCs w:val="31"/>
        </w:rPr>
      </w:pPr>
      <w:r>
        <w:rPr>
          <w:rFonts w:ascii="宋体" w:cs="宋体" w:hint="eastAsia"/>
          <w:b/>
          <w:bCs/>
          <w:color w:val="000000"/>
          <w:kern w:val="0"/>
          <w:sz w:val="31"/>
          <w:szCs w:val="31"/>
        </w:rPr>
        <w:t>图</w:t>
      </w:r>
      <w:r>
        <w:rPr>
          <w:rFonts w:ascii="仿宋" w:eastAsia="仿宋"/>
          <w:b/>
          <w:bCs/>
          <w:color w:val="000000"/>
          <w:kern w:val="0"/>
          <w:sz w:val="31"/>
          <w:szCs w:val="31"/>
        </w:rPr>
        <w:t xml:space="preserve"> 6</w:t>
      </w:r>
      <w:r>
        <w:rPr>
          <w:rFonts w:ascii="宋体" w:cs="宋体" w:hint="eastAsia"/>
          <w:b/>
          <w:bCs/>
          <w:color w:val="000000"/>
          <w:kern w:val="0"/>
          <w:sz w:val="31"/>
          <w:szCs w:val="31"/>
        </w:rPr>
        <w:t>：一般公共预算财政拨款支出决算结构（单位：万元）</w:t>
      </w:r>
    </w:p>
    <w:p>
      <w:pPr>
        <w:widowControl/>
        <w:spacing w:line="560" w:lineRule="exact"/>
        <w:jc w:val="center"/>
        <w:rPr>
          <w:b/>
          <w:bCs/>
        </w:rPr>
      </w:pPr>
      <w:r>
        <w:drawing>
          <wp:anchor distT="0" distB="0" distL="114300" distR="114300" simplePos="0" relativeHeight="33" behindDoc="0" locked="0" layoutInCell="1" hidden="0" allowOverlap="1">
            <wp:simplePos x="0" y="0"/>
            <wp:positionH relativeFrom="column">
              <wp:posOffset>1038225</wp:posOffset>
            </wp:positionH>
            <wp:positionV relativeFrom="paragraph">
              <wp:posOffset>15240</wp:posOffset>
            </wp:positionV>
            <wp:extent cx="3848100" cy="2590800"/>
            <wp:effectExtent l="0" t="0" r="36" b="40"/>
            <wp:wrapSquare wrapText="bothSides"/>
            <wp:docPr id="18" name="_x0000_s1027"/>
            <wp:cNvGraphicFramePr>
              <a:graphicFrameLocks noChangeAspect="1"/>
            </wp:cNvGraphicFramePr>
            <a:graphic>
              <a:graphicData uri="http://schemas.openxmlformats.org/drawingml/2006/picture">
                <pic:pic>
                  <pic:nvPicPr>
                    <pic:cNvPr id="20" name="_x0000_s1027 20"/>
                    <pic:cNvPicPr/>
                  </pic:nvPicPr>
                  <pic:blipFill>
                    <a:blip r:embed="rId10"/>
                    <a:stretch>
                      <a:fillRect/>
                    </a:stretch>
                  </pic:blipFill>
                  <pic:spPr>
                    <a:xfrm rot="0">
                      <a:off x="0" y="0"/>
                      <a:ext cx="3848100" cy="2590800"/>
                    </a:xfrm>
                    <a:prstGeom prst="rect"/>
                    <a:noFill/>
                    <a:ln w="9525" cmpd="sng" cap="flat">
                      <a:noFill/>
                      <a:prstDash val="solid"/>
                      <a:miter/>
                    </a:ln>
                  </pic:spPr>
                </pic:pic>
              </a:graphicData>
            </a:graphic>
          </wp:anchor>
        </w:drawing>
      </w:r>
    </w:p>
    <w:p>
      <w:pPr>
        <w:pStyle w:val="15"/>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spacing w:line="560" w:lineRule="exact"/>
        <w:ind w:firstLineChars="200" w:firstLine="640"/>
        <w:outlineLvl w:val="2"/>
        <w:rPr>
          <w:rFonts w:ascii="仿宋_GB2312" w:eastAsia="仿宋_GB2312"/>
          <w:color w:val="000000"/>
          <w:sz w:val="32"/>
          <w:szCs w:val="32"/>
        </w:rPr>
      </w:pPr>
      <w:bookmarkStart w:id="35" w:name="_Toc15377212"/>
      <w:r>
        <w:rPr>
          <w:rFonts w:ascii="楷体" w:eastAsia="楷体" w:cs="楷体" w:hint="eastAsia"/>
          <w:b/>
          <w:bCs/>
          <w:color w:val="000000"/>
          <w:sz w:val="32"/>
          <w:szCs w:val="32"/>
        </w:rPr>
        <w:t>（三）一般公共预算财政拨款支出决算具体情况</w:t>
      </w:r>
      <w:bookmarkStart w:id="36" w:name="_Toc15377213"/>
      <w:bookmarkStart w:id="37" w:name="_Toc15378460"/>
      <w:bookmarkStart w:id="38" w:name="_Toc15377444"/>
      <w:bookmarkEnd w:id="35"/>
    </w:p>
    <w:p>
      <w:pPr>
        <w:spacing w:line="560" w:lineRule="exact"/>
        <w:ind w:firstLineChars="200" w:firstLine="640"/>
        <w:rPr>
          <w:rStyle w:val="24"/>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3年一般公共预算支出决算数为143.38万元，</w:t>
      </w:r>
      <w:r>
        <w:rPr>
          <w:rStyle w:val="24"/>
          <w:rFonts w:ascii="仿宋_GB2312" w:eastAsia="仿宋_GB2312" w:cs="仿宋_GB2312" w:hint="eastAsia"/>
          <w:b w:val="0"/>
          <w:bCs w:val="0"/>
          <w:color w:val="000000"/>
          <w:sz w:val="32"/>
          <w:szCs w:val="32"/>
        </w:rPr>
        <w:t>完成</w:t>
      </w:r>
    </w:p>
    <w:p>
      <w:pPr>
        <w:spacing w:line="560" w:lineRule="exact"/>
        <w:rPr>
          <w:rFonts w:ascii="仿宋_GB2312" w:eastAsia="仿宋_GB2312"/>
          <w:color w:val="FF0000"/>
          <w:sz w:val="32"/>
          <w:szCs w:val="32"/>
        </w:rPr>
      </w:pPr>
      <w:r>
        <w:rPr>
          <w:rStyle w:val="24"/>
          <w:rFonts w:ascii="仿宋_GB2312" w:eastAsia="仿宋_GB2312" w:cs="仿宋_GB2312" w:hint="eastAsia"/>
          <w:b w:val="0"/>
          <w:bCs w:val="0"/>
          <w:color w:val="000000"/>
          <w:sz w:val="32"/>
          <w:szCs w:val="32"/>
        </w:rPr>
        <w:t>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。其中：</w:t>
      </w:r>
      <w:bookmarkEnd w:id="36"/>
      <w:bookmarkEnd w:id="37"/>
      <w:bookmarkEnd w:id="38"/>
    </w:p>
    <w:p>
      <w:pPr>
        <w:spacing w:line="560" w:lineRule="exact"/>
        <w:ind w:firstLineChars="200" w:firstLine="640"/>
        <w:rPr>
          <w:rFonts w:ascii="仿宋_GB2312" w:eastAsia="仿宋_GB2312"/>
          <w:color w:val="000000"/>
          <w:sz w:val="32"/>
          <w:szCs w:val="32"/>
        </w:rPr>
      </w:pPr>
      <w:r>
        <w:rPr>
          <w:rStyle w:val="24"/>
          <w:rFonts w:ascii="仿宋_GB2312" w:eastAsia="仿宋_GB2312" w:cs="仿宋_GB2312"/>
          <w:b w:val="0"/>
          <w:bCs w:val="0"/>
          <w:color w:val="000000"/>
          <w:sz w:val="32"/>
          <w:szCs w:val="32"/>
        </w:rPr>
        <w:t>1.</w:t>
      </w:r>
      <w:r>
        <w:rPr>
          <w:rStyle w:val="24"/>
          <w:rFonts w:ascii="仿宋_GB2312" w:eastAsia="仿宋_GB2312" w:cs="仿宋_GB2312" w:hint="eastAsia"/>
          <w:b w:val="0"/>
          <w:bCs w:val="0"/>
          <w:color w:val="000000"/>
          <w:sz w:val="32"/>
          <w:szCs w:val="32"/>
        </w:rPr>
        <w:t>教育支出（类）教育管理事务（款）行政运行（项）</w:t>
      </w:r>
      <w:r>
        <w:rPr>
          <w:rStyle w:val="24"/>
          <w:rFonts w:ascii="仿宋_GB2312" w:eastAsia="仿宋_GB2312" w:cs="仿宋_GB2312"/>
          <w:b w:val="0"/>
          <w:bCs w:val="0"/>
          <w:color w:val="000000"/>
          <w:sz w:val="32"/>
          <w:szCs w:val="32"/>
        </w:rPr>
        <w:t xml:space="preserve">: </w:t>
      </w:r>
      <w:r>
        <w:rPr>
          <w:rStyle w:val="24"/>
          <w:rFonts w:ascii="仿宋_GB2312" w:eastAsia="仿宋_GB2312" w:cs="仿宋_GB2312" w:hint="eastAsia"/>
          <w:b w:val="0"/>
          <w:bCs w:val="0"/>
          <w:color w:val="000000"/>
          <w:sz w:val="32"/>
          <w:szCs w:val="32"/>
        </w:rPr>
        <w:t>支出决算为105.01万元，完成预算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b w:val="0"/>
          <w:bCs w:val="0"/>
          <w:color w:val="000000"/>
          <w:sz w:val="32"/>
          <w:szCs w:val="32"/>
        </w:rPr>
        <w:t>2.</w:t>
      </w:r>
      <w:r>
        <w:rPr>
          <w:rStyle w:val="24"/>
          <w:rFonts w:ascii="仿宋_GB2312" w:eastAsia="仿宋_GB2312" w:cs="仿宋_GB2312" w:hint="eastAsia"/>
          <w:b w:val="0"/>
          <w:bCs w:val="0"/>
          <w:color w:val="000000"/>
          <w:sz w:val="32"/>
          <w:szCs w:val="32"/>
        </w:rPr>
        <w:t>社会保障和就业支出（类）行政事业单位离退休（款）机关事业单位基本养老保险缴费支出（项）</w:t>
      </w:r>
      <w:r>
        <w:rPr>
          <w:rStyle w:val="24"/>
          <w:rFonts w:ascii="仿宋_GB2312" w:eastAsia="仿宋_GB2312" w:cs="仿宋_GB2312"/>
          <w:b w:val="0"/>
          <w:bCs w:val="0"/>
          <w:color w:val="000000"/>
          <w:sz w:val="32"/>
          <w:szCs w:val="32"/>
        </w:rPr>
        <w:t xml:space="preserve">: </w:t>
      </w:r>
      <w:r>
        <w:rPr>
          <w:rStyle w:val="24"/>
          <w:rFonts w:ascii="仿宋_GB2312" w:eastAsia="仿宋_GB2312" w:cs="仿宋_GB2312" w:hint="eastAsia"/>
          <w:b w:val="0"/>
          <w:bCs w:val="0"/>
          <w:color w:val="000000"/>
          <w:sz w:val="32"/>
          <w:szCs w:val="32"/>
        </w:rPr>
        <w:t>支出决算为13.81万元，完成预算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b w:val="0"/>
          <w:bCs w:val="0"/>
          <w:color w:val="000000"/>
          <w:sz w:val="32"/>
          <w:szCs w:val="32"/>
        </w:rPr>
        <w:t>3.</w:t>
      </w:r>
      <w:r>
        <w:rPr>
          <w:rStyle w:val="24"/>
          <w:rFonts w:ascii="仿宋_GB2312" w:eastAsia="仿宋_GB2312" w:cs="仿宋_GB2312" w:hint="eastAsia"/>
          <w:b w:val="0"/>
          <w:bCs w:val="0"/>
          <w:color w:val="000000"/>
          <w:sz w:val="32"/>
          <w:szCs w:val="32"/>
        </w:rPr>
        <w:t>社会保障和就业支出（类）行政事业单位离退休（款）机关事业单位职业年金缴费支出（项）</w:t>
      </w:r>
      <w:r>
        <w:rPr>
          <w:rStyle w:val="24"/>
          <w:rFonts w:ascii="仿宋_GB2312" w:eastAsia="仿宋_GB2312" w:cs="仿宋_GB2312"/>
          <w:b w:val="0"/>
          <w:bCs w:val="0"/>
          <w:color w:val="000000"/>
          <w:sz w:val="32"/>
          <w:szCs w:val="32"/>
        </w:rPr>
        <w:t xml:space="preserve">: </w:t>
      </w:r>
      <w:r>
        <w:rPr>
          <w:rStyle w:val="24"/>
          <w:rFonts w:ascii="仿宋_GB2312" w:eastAsia="仿宋_GB2312" w:cs="仿宋_GB2312" w:hint="eastAsia"/>
          <w:b w:val="0"/>
          <w:bCs w:val="0"/>
          <w:color w:val="000000"/>
          <w:sz w:val="32"/>
          <w:szCs w:val="32"/>
        </w:rPr>
        <w:t>支出决算为6.91万元，完成预算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b w:val="0"/>
          <w:bCs w:val="0"/>
          <w:color w:val="000000"/>
          <w:sz w:val="32"/>
          <w:szCs w:val="32"/>
        </w:rPr>
        <w:t>4.</w:t>
      </w:r>
      <w:r>
        <w:rPr>
          <w:rStyle w:val="24"/>
          <w:rFonts w:ascii="仿宋_GB2312" w:eastAsia="仿宋_GB2312" w:cs="仿宋_GB2312" w:hint="eastAsia"/>
          <w:b w:val="0"/>
          <w:bCs w:val="0"/>
          <w:color w:val="000000"/>
          <w:sz w:val="32"/>
          <w:szCs w:val="32"/>
        </w:rPr>
        <w:t>卫生健康支出（类）行政事业单位医疗（款）事业单位医疗（项）</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支出决算为7.82万元，完成预算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5</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住房保障支出（类）住房改革支出（款）住房公积金（项）：</w:t>
      </w:r>
      <w:r>
        <w:rPr>
          <w:rStyle w:val="24"/>
          <w:rFonts w:ascii="仿宋_GB2312" w:eastAsia="仿宋_GB2312" w:cs="仿宋_GB2312" w:hint="eastAsia"/>
          <w:b w:val="0"/>
          <w:bCs w:val="0"/>
          <w:color w:val="000000"/>
          <w:sz w:val="32"/>
          <w:szCs w:val="32"/>
        </w:rPr>
        <w:t>支出决算为</w:t>
      </w:r>
      <w:r>
        <w:rPr>
          <w:rFonts w:ascii="仿宋_GB2312" w:eastAsia="仿宋_GB2312" w:cs="仿宋_GB2312" w:hint="eastAsia"/>
          <w:color w:val="000000"/>
          <w:sz w:val="32"/>
          <w:szCs w:val="32"/>
        </w:rPr>
        <w:t>9.83万元，</w:t>
      </w:r>
      <w:r>
        <w:rPr>
          <w:rStyle w:val="24"/>
          <w:rFonts w:ascii="仿宋_GB2312" w:eastAsia="仿宋_GB2312" w:cs="仿宋_GB2312" w:hint="eastAsia"/>
          <w:b w:val="0"/>
          <w:bCs w:val="0"/>
          <w:color w:val="000000"/>
          <w:sz w:val="32"/>
          <w:szCs w:val="32"/>
        </w:rPr>
        <w:t>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outlineLvl w:val="1"/>
        <w:rPr>
          <w:rStyle w:val="2Char"/>
        </w:rPr>
      </w:pPr>
      <w:bookmarkStart w:id="39" w:name="_Toc15396608"/>
      <w:bookmarkStart w:id="40" w:name="_Toc15377214"/>
      <w:r>
        <w:rPr>
          <w:rFonts w:ascii="黑体" w:eastAsia="黑体" w:cs="黑体" w:hint="eastAsia"/>
          <w:color w:val="000000"/>
          <w:sz w:val="32"/>
          <w:szCs w:val="32"/>
        </w:rPr>
        <w:t>六</w:t>
      </w:r>
      <w:r>
        <w:rPr>
          <w:rFonts w:ascii="黑体" w:eastAsia="黑体" w:cs="黑体" w:hint="eastAsia"/>
          <w:b/>
          <w:bCs/>
          <w:color w:val="000000"/>
          <w:sz w:val="32"/>
          <w:szCs w:val="32"/>
        </w:rPr>
        <w:t>、一</w:t>
      </w:r>
      <w:r>
        <w:rPr>
          <w:rStyle w:val="2Char"/>
          <w:rFonts w:ascii="黑体" w:eastAsia="黑体" w:cs="黑体" w:hint="eastAsia"/>
          <w:b w:val="0"/>
          <w:bCs w:val="0"/>
        </w:rPr>
        <w:t>般公共预算财政拨款基本支出决算情况说明</w:t>
      </w:r>
      <w:bookmarkEnd w:id="39"/>
      <w:bookmarkEnd w:id="40"/>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3年一般公共预算财政拨款基本支出139.48万元，其中：</w:t>
      </w:r>
    </w:p>
    <w:p>
      <w:pPr>
        <w:spacing w:line="560" w:lineRule="exact"/>
        <w:ind w:firstLine="645"/>
        <w:rPr>
          <w:rFonts w:ascii="仿宋_GB2312" w:eastAsia="仿宋_GB2312" w:cs="仿宋_GB2312"/>
          <w:color w:val="000000"/>
          <w:sz w:val="32"/>
          <w:szCs w:val="32"/>
        </w:rPr>
      </w:pPr>
      <w:r>
        <w:rPr>
          <w:rFonts w:ascii="仿宋_GB2312" w:eastAsia="仿宋_GB2312" w:cs="仿宋_GB2312" w:hint="eastAsia"/>
          <w:color w:val="000000"/>
          <w:sz w:val="32"/>
          <w:szCs w:val="32"/>
        </w:rPr>
        <w:t>人员经费139.48万元，主要包括：基本工资、津贴补贴、绩效工资、机关事业单位基本养老保险缴费、职业年金缴费、职工基本医疗保险费、其他社会保障缴费、住房公积金、医疗费、生活补助等。</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日常公用经费3.9万元，主要包括：办公费、差旅费、公务接待费支出等。</w:t>
      </w:r>
    </w:p>
    <w:p>
      <w:pPr>
        <w:spacing w:line="560" w:lineRule="exact"/>
        <w:ind w:firstLineChars="200" w:firstLine="640"/>
        <w:outlineLvl w:val="1"/>
        <w:rPr>
          <w:rStyle w:val="2Char"/>
          <w:rFonts w:ascii="黑体" w:eastAsia="黑体" w:cs="Times New Roman"/>
          <w:b w:val="0"/>
          <w:bCs w:val="0"/>
        </w:rPr>
      </w:pPr>
      <w:bookmarkStart w:id="41" w:name="_Toc15396609"/>
      <w:bookmarkStart w:id="42" w:name="_Toc15377215"/>
      <w:r>
        <w:rPr>
          <w:rFonts w:ascii="黑体" w:eastAsia="黑体" w:cs="黑体" w:hint="eastAsia"/>
          <w:color w:val="000000"/>
          <w:sz w:val="32"/>
          <w:szCs w:val="32"/>
        </w:rPr>
        <w:t>七、</w:t>
      </w:r>
      <w:r>
        <w:rPr>
          <w:rStyle w:val="2Char"/>
          <w:rFonts w:ascii="黑体" w:eastAsia="黑体" w:cs="黑体" w:hint="eastAsia"/>
        </w:rPr>
        <w:t>“</w:t>
      </w:r>
      <w:r>
        <w:rPr>
          <w:rStyle w:val="2Char"/>
          <w:rFonts w:ascii="黑体" w:eastAsia="黑体" w:cs="黑体" w:hint="eastAsia"/>
          <w:b w:val="0"/>
          <w:bCs w:val="0"/>
        </w:rPr>
        <w:t>三公”经费财政拨款支出决算情况说明</w:t>
      </w:r>
      <w:bookmarkEnd w:id="41"/>
      <w:bookmarkEnd w:id="42"/>
    </w:p>
    <w:p>
      <w:pPr>
        <w:spacing w:line="560" w:lineRule="exact"/>
        <w:ind w:firstLineChars="196" w:firstLine="627"/>
        <w:outlineLvl w:val="2"/>
        <w:rPr>
          <w:rFonts w:ascii="楷体" w:eastAsia="楷体" w:cs="楷体"/>
          <w:b/>
          <w:bCs/>
          <w:color w:val="000000"/>
          <w:sz w:val="32"/>
          <w:szCs w:val="32"/>
        </w:rPr>
      </w:pPr>
      <w:bookmarkStart w:id="43" w:name="_Toc15377216"/>
      <w:r>
        <w:rPr>
          <w:rFonts w:ascii="楷体" w:eastAsia="楷体" w:cs="楷体" w:hint="eastAsia"/>
          <w:b/>
          <w:bCs/>
          <w:color w:val="000000"/>
          <w:sz w:val="32"/>
          <w:szCs w:val="32"/>
        </w:rPr>
        <w:t>（一）“三公”经费财政拨款支出决算总体情况说明</w:t>
      </w:r>
      <w:bookmarkEnd w:id="43"/>
    </w:p>
    <w:p>
      <w:pPr>
        <w:widowControl/>
        <w:spacing w:line="560" w:lineRule="exact"/>
        <w:ind w:firstLineChars="200" w:firstLine="640"/>
        <w:jc w:val="left"/>
        <w:rPr>
          <w:rFonts w:ascii="仿宋_GB2312" w:eastAsia="仿宋_GB2312" w:cs="仿宋_GB2312"/>
          <w:color w:val="000000"/>
          <w:kern w:val="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3年度“三公”经费财政拨款支出决算为0.08万元，</w:t>
      </w:r>
      <w:bookmarkStart w:id="44" w:name="_Toc15377217"/>
      <w:r>
        <w:rPr>
          <w:rFonts w:ascii="仿宋_GB2312" w:eastAsia="仿宋_GB2312" w:cs="仿宋_GB2312" w:hint="eastAsia"/>
          <w:color w:val="000000"/>
          <w:sz w:val="32"/>
          <w:szCs w:val="32"/>
        </w:rPr>
        <w:t>完成预算100%，较上年度增加0.08万元。主要原因是：2023年业务活动增加。</w:t>
      </w:r>
    </w:p>
    <w:p>
      <w:pPr>
        <w:widowControl/>
        <w:spacing w:line="560" w:lineRule="exact"/>
        <w:ind w:firstLineChars="200" w:firstLine="640"/>
        <w:jc w:val="left"/>
        <w:outlineLvl w:val="2"/>
        <w:rPr>
          <w:rFonts w:ascii="??" w:hAnsi="??"/>
          <w:color w:val="000000"/>
          <w:sz w:val="32"/>
          <w:szCs w:val="32"/>
        </w:rPr>
      </w:pPr>
      <w:r>
        <w:rPr>
          <w:rFonts w:ascii="楷体" w:eastAsia="楷体" w:cs="楷体" w:hint="eastAsia"/>
          <w:b/>
          <w:bCs/>
          <w:color w:val="000000"/>
          <w:sz w:val="32"/>
          <w:szCs w:val="32"/>
        </w:rPr>
        <w:t>（二）“三公”经费财政拨款支出决算具体情况说明</w:t>
      </w:r>
      <w:bookmarkEnd w:id="44"/>
    </w:p>
    <w:p>
      <w:pPr>
        <w:widowControl/>
        <w:spacing w:line="560" w:lineRule="exact"/>
        <w:ind w:firstLineChars="200" w:firstLine="640"/>
        <w:jc w:val="left"/>
        <w:rPr>
          <w:rFonts w:ascii="仿宋_GB2312" w:eastAsia="仿宋_GB2312" w:cs="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3年度“三公”经费财政拨款支出决算中，“因公出国（境）费支出决算</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万元；公务用车购置及运行维护费支出决算</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万元，；公务接待费支出决算0.08万元，占100%。具体情况如下:</w:t>
      </w:r>
    </w:p>
    <w:p>
      <w:pPr>
        <w:widowControl/>
        <w:spacing w:line="560" w:lineRule="exact"/>
        <w:ind w:firstLineChars="200" w:firstLine="640"/>
        <w:jc w:val="left"/>
        <w:rPr>
          <w:rFonts w:ascii="宋体"/>
          <w:b/>
          <w:bCs/>
          <w:color w:val="000000"/>
          <w:kern w:val="0"/>
          <w:sz w:val="28"/>
          <w:szCs w:val="28"/>
        </w:rPr>
      </w:pPr>
      <w:r>
        <w:rPr>
          <w:rStyle w:val="2Char"/>
          <w:rFonts w:ascii="黑体" w:eastAsia="黑体" w:cs="黑体" w:hint="eastAsia"/>
          <w:b w:val="0"/>
          <w:bCs w:val="0"/>
        </w:rPr>
        <w:drawing>
          <wp:anchor distT="0" distB="0" distL="114300" distR="114300" simplePos="0" relativeHeight="31" behindDoc="0" locked="0" layoutInCell="1" hidden="0" allowOverlap="1">
            <wp:simplePos x="0" y="0"/>
            <wp:positionH relativeFrom="column">
              <wp:posOffset>260350</wp:posOffset>
            </wp:positionH>
            <wp:positionV relativeFrom="paragraph">
              <wp:posOffset>586105</wp:posOffset>
            </wp:positionV>
            <wp:extent cx="5278755" cy="2528570"/>
            <wp:effectExtent l="0" t="1" r="15" b="6"/>
            <wp:wrapSquare wrapText="bothSides"/>
            <wp:docPr id="21" name="_x0000_s1033"/>
            <wp:cNvGraphicFramePr>
              <a:graphicFrameLocks noChangeAspect="1"/>
            </wp:cNvGraphicFramePr>
            <a:graphic>
              <a:graphicData uri="http://schemas.openxmlformats.org/drawingml/2006/picture">
                <pic:pic>
                  <pic:nvPicPr>
                    <pic:cNvPr id="23" name="_x0000_s1033 23"/>
                    <pic:cNvPicPr/>
                  </pic:nvPicPr>
                  <pic:blipFill>
                    <a:blip r:embed="rId11"/>
                    <a:stretch>
                      <a:fillRect/>
                    </a:stretch>
                  </pic:blipFill>
                  <pic:spPr>
                    <a:xfrm rot="0">
                      <a:off x="0" y="0"/>
                      <a:ext cx="5278755" cy="2528570"/>
                    </a:xfrm>
                    <a:prstGeom prst="rect"/>
                    <a:noFill/>
                    <a:ln w="9525" cmpd="sng" cap="flat">
                      <a:noFill/>
                      <a:prstDash val="solid"/>
                      <a:miter/>
                    </a:ln>
                  </pic:spPr>
                </pic:pic>
              </a:graphicData>
            </a:graphic>
          </wp:anchor>
        </w:drawing>
      </w:r>
      <w:r>
        <w:rPr>
          <w:rFonts w:ascii="宋体" w:cs="宋体" w:hint="eastAsia"/>
          <w:b/>
          <w:bCs/>
          <w:color w:val="000000"/>
          <w:kern w:val="0"/>
          <w:sz w:val="28"/>
          <w:szCs w:val="28"/>
        </w:rPr>
        <w:t>图</w:t>
      </w:r>
      <w:r>
        <w:rPr>
          <w:rFonts w:ascii="宋体" w:cs="宋体"/>
          <w:b/>
          <w:bCs/>
          <w:color w:val="000000"/>
          <w:kern w:val="0"/>
          <w:sz w:val="28"/>
          <w:szCs w:val="28"/>
        </w:rPr>
        <w:t>7</w:t>
      </w:r>
      <w:r>
        <w:rPr>
          <w:rFonts w:ascii="宋体" w:cs="宋体" w:hint="eastAsia"/>
          <w:b/>
          <w:bCs/>
          <w:color w:val="000000"/>
          <w:kern w:val="0"/>
          <w:sz w:val="28"/>
          <w:szCs w:val="28"/>
        </w:rPr>
        <w:t>：“三公”经费财政拨款支出结构（单位：万元）</w:t>
      </w:r>
    </w:p>
    <w:p>
      <w:pPr>
        <w:spacing w:line="560" w:lineRule="exact"/>
        <w:ind w:firstLineChars="200" w:firstLine="640"/>
        <w:outlineLvl w:val="3"/>
        <w:rPr>
          <w:rFonts w:ascii="仿宋_GB2312" w:eastAsia="仿宋_GB2312"/>
          <w:color w:val="000000"/>
          <w:sz w:val="32"/>
          <w:szCs w:val="32"/>
        </w:rPr>
      </w:pPr>
      <w:bookmarkStart w:id="45" w:name="_Toc15377218"/>
      <w:bookmarkStart w:id="46" w:name="_Toc15396610"/>
      <w:r>
        <w:rPr>
          <w:rFonts w:ascii="仿宋_GB2312" w:eastAsia="仿宋_GB2312" w:cs="仿宋_GB2312"/>
          <w:color w:val="000000"/>
          <w:sz w:val="32"/>
          <w:szCs w:val="32"/>
        </w:rPr>
        <w:t>1.</w:t>
      </w:r>
      <w:r>
        <w:rPr>
          <w:rFonts w:ascii="仿宋_GB2312" w:eastAsia="仿宋_GB2312" w:cs="仿宋_GB2312" w:hint="eastAsia"/>
          <w:color w:val="000000"/>
          <w:sz w:val="32"/>
          <w:szCs w:val="32"/>
        </w:rPr>
        <w:t>因公出国（境）经费支出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24"/>
          <w:rFonts w:ascii="仿宋_GB2312" w:eastAsia="仿宋_GB2312" w:cs="仿宋_GB2312" w:hint="eastAsia"/>
          <w:b w:val="0"/>
          <w:bCs w:val="0"/>
          <w:color w:val="000000"/>
          <w:sz w:val="32"/>
          <w:szCs w:val="32"/>
        </w:rPr>
        <w:t>。与上年相比，无变化。</w:t>
      </w:r>
    </w:p>
    <w:p>
      <w:pPr>
        <w:spacing w:line="560" w:lineRule="exact"/>
        <w:ind w:firstLineChars="200" w:firstLine="640"/>
        <w:rPr>
          <w:rStyle w:val="24"/>
          <w:rFonts w:ascii="仿宋_GB2312" w:eastAsia="仿宋_GB2312" w:cs="仿宋_GB2312"/>
          <w:b w:val="0"/>
          <w:bCs w:val="0"/>
          <w:color w:val="000000"/>
          <w:sz w:val="32"/>
          <w:szCs w:val="32"/>
        </w:rPr>
      </w:pPr>
      <w:r>
        <w:rPr>
          <w:rFonts w:ascii="仿宋_GB2312" w:eastAsia="仿宋_GB2312" w:cs="仿宋_GB2312"/>
          <w:color w:val="000000"/>
          <w:sz w:val="32"/>
          <w:szCs w:val="32"/>
        </w:rPr>
        <w:t>2.</w:t>
      </w:r>
      <w:r>
        <w:rPr>
          <w:rFonts w:ascii="仿宋_GB2312" w:eastAsia="仿宋_GB2312" w:cs="仿宋_GB2312" w:hint="eastAsia"/>
          <w:color w:val="000000"/>
          <w:sz w:val="32"/>
          <w:szCs w:val="32"/>
        </w:rPr>
        <w:t>公务用车购置及运行维护费支出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24"/>
          <w:rFonts w:ascii="仿宋_GB2312" w:eastAsia="仿宋_GB2312" w:cs="仿宋_GB2312" w:hint="eastAsia"/>
          <w:b w:val="0"/>
          <w:bCs w:val="0"/>
          <w:color w:val="000000"/>
          <w:sz w:val="32"/>
          <w:szCs w:val="32"/>
        </w:rPr>
        <w:t>公务用车购置及运行维护费支出决算与2022年相比无变化。主要原因是单位无公车，也无公务用车运行维护费的预算。</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pPr>
        <w:spacing w:line="560" w:lineRule="exact"/>
        <w:ind w:firstLineChars="200" w:firstLine="640"/>
        <w:rPr>
          <w:rFonts w:ascii="仿宋_GB2312" w:eastAsia="仿宋_GB2312"/>
          <w:color w:val="000000"/>
          <w:sz w:val="32"/>
          <w:szCs w:val="32"/>
        </w:rPr>
      </w:pPr>
      <w:r>
        <w:rPr>
          <w:rStyle w:val="24"/>
          <w:rFonts w:ascii="仿宋_GB2312" w:eastAsia="仿宋_GB2312" w:cs="仿宋_GB2312" w:hint="eastAsia"/>
          <w:b w:val="0"/>
          <w:bCs w:val="0"/>
          <w:color w:val="000000"/>
          <w:sz w:val="32"/>
          <w:szCs w:val="32"/>
        </w:rPr>
        <w:t>公务用车运行维护费支出0万元。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公务接待费支出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08万元，</w:t>
      </w:r>
      <w:r>
        <w:rPr>
          <w:rStyle w:val="24"/>
          <w:rFonts w:ascii="仿宋_GB2312" w:eastAsia="仿宋_GB2312" w:cs="仿宋_GB2312" w:hint="eastAsia"/>
          <w:b w:val="0"/>
          <w:bCs w:val="0"/>
          <w:color w:val="000000"/>
          <w:sz w:val="32"/>
          <w:szCs w:val="32"/>
        </w:rPr>
        <w:t>完成预算100</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w:t>
      </w:r>
      <w:r>
        <w:rPr>
          <w:rFonts w:ascii="仿宋_GB2312" w:eastAsia="仿宋_GB2312" w:cs="仿宋_GB2312" w:hint="eastAsia"/>
          <w:color w:val="000000"/>
          <w:sz w:val="32"/>
          <w:szCs w:val="32"/>
        </w:rPr>
        <w:t>公务接待费支出决算比</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2年增加</w:t>
      </w:r>
      <w:r>
        <w:rPr>
          <w:rFonts w:ascii="仿宋_GB2312" w:eastAsia="仿宋_GB2312" w:cs="仿宋_GB2312"/>
          <w:color w:val="000000"/>
          <w:sz w:val="32"/>
          <w:szCs w:val="32"/>
        </w:rPr>
        <w:t>0.</w:t>
      </w:r>
      <w:r>
        <w:rPr>
          <w:rFonts w:ascii="仿宋_GB2312" w:eastAsia="仿宋_GB2312" w:cs="仿宋_GB2312" w:hint="eastAsia"/>
          <w:color w:val="000000"/>
          <w:sz w:val="32"/>
          <w:szCs w:val="32"/>
        </w:rPr>
        <w:t>08万元。主要原因是业务活动增加</w:t>
      </w:r>
      <w:r>
        <w:rPr>
          <w:rFonts w:ascii="仿宋_GB2312" w:eastAsia="仿宋_GB2312" w:cs="仿宋_GB2312" w:hint="eastAsia"/>
          <w:color w:val="000000"/>
          <w:kern w:val="0"/>
          <w:sz w:val="32"/>
          <w:szCs w:val="32"/>
        </w:rPr>
        <w:t>。</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国内公务接待支出0.08万元，主要用于执行公务、开展业务活动开支的用餐费。国内公务接待1批次，6人次（不包括陪同人员），共计支出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08万元，具体内容包括：接待</w:t>
      </w:r>
      <w:r>
        <w:rPr>
          <w:rFonts w:ascii="仿宋_GB2312" w:eastAsia="仿宋_GB2312" w:cs="仿宋_GB2312"/>
          <w:color w:val="000000"/>
          <w:sz w:val="32"/>
          <w:szCs w:val="32"/>
        </w:rPr>
        <w:t>上级</w:t>
      </w:r>
      <w:r>
        <w:rPr>
          <w:rFonts w:ascii="仿宋_GB2312" w:eastAsia="仿宋_GB2312" w:cs="仿宋_GB2312" w:hint="eastAsia"/>
          <w:color w:val="000000"/>
          <w:sz w:val="32"/>
          <w:szCs w:val="32"/>
        </w:rPr>
        <w:t>党校到我校开展县级党校办学质量终评现场评估工作。</w:t>
      </w:r>
    </w:p>
    <w:p>
      <w:pPr>
        <w:spacing w:line="560" w:lineRule="exact"/>
        <w:ind w:firstLineChars="200" w:firstLine="640"/>
        <w:outlineLvl w:val="1"/>
        <w:rPr>
          <w:rStyle w:val="2Char"/>
          <w:rFonts w:ascii="黑体" w:eastAsia="黑体" w:cs="黑体"/>
          <w:b w:val="0"/>
          <w:bCs w:val="0"/>
        </w:rPr>
      </w:pPr>
      <w:r>
        <w:rPr>
          <w:rStyle w:val="2Char"/>
          <w:rFonts w:ascii="黑体" w:eastAsia="黑体" w:cs="黑体" w:hint="eastAsia"/>
          <w:b w:val="0"/>
          <w:bCs w:val="0"/>
        </w:rPr>
        <w:t>八、 政府性基金预算支出决算情况说明</w:t>
      </w:r>
      <w:bookmarkEnd w:id="45"/>
      <w:bookmarkEnd w:id="46"/>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我校</w:t>
      </w: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3年无政府性基金预算拨款支出。</w:t>
      </w:r>
      <w:bookmarkStart w:id="47" w:name="_Toc15377219"/>
      <w:bookmarkStart w:id="48" w:name="_Toc15396611"/>
    </w:p>
    <w:p>
      <w:pPr>
        <w:pStyle w:val="2"/>
        <w:spacing w:before="0" w:after="0" w:line="560" w:lineRule="exact"/>
        <w:ind w:firstLineChars="200" w:firstLine="640"/>
        <w:rPr>
          <w:rStyle w:val="2Char"/>
          <w:rFonts w:ascii="黑体" w:eastAsia="黑体" w:cs="Times New Roman"/>
        </w:rPr>
      </w:pPr>
      <w:r>
        <w:rPr>
          <w:rStyle w:val="2Char"/>
          <w:rFonts w:ascii="黑体" w:eastAsia="黑体" w:cs="黑体" w:hint="eastAsia"/>
        </w:rPr>
        <w:t>九、国有资本经营预算支出决算情况说明</w:t>
      </w:r>
      <w:bookmarkEnd w:id="47"/>
      <w:bookmarkEnd w:id="48"/>
    </w:p>
    <w:p>
      <w:pPr>
        <w:spacing w:line="560" w:lineRule="exact"/>
        <w:ind w:firstLine="640"/>
        <w:rPr>
          <w:rFonts w:ascii="仿宋_GB2312" w:eastAsia="仿宋_GB2312"/>
          <w:color w:val="000000"/>
          <w:sz w:val="32"/>
          <w:szCs w:val="32"/>
        </w:rPr>
      </w:pPr>
      <w:r>
        <w:rPr>
          <w:rFonts w:ascii="仿宋_GB2312" w:eastAsia="仿宋_GB2312" w:cs="仿宋_GB2312" w:hint="eastAsia"/>
          <w:color w:val="000000"/>
          <w:sz w:val="32"/>
          <w:szCs w:val="32"/>
        </w:rPr>
        <w:t>我校</w:t>
      </w: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3年无国有资本经营预算拨款支出。</w:t>
      </w:r>
    </w:p>
    <w:p>
      <w:pPr>
        <w:pStyle w:val="2"/>
        <w:spacing w:before="0" w:after="0" w:line="560" w:lineRule="exact"/>
        <w:ind w:firstLineChars="200" w:firstLine="640"/>
        <w:rPr>
          <w:rStyle w:val="2Char"/>
          <w:rFonts w:ascii="黑体" w:eastAsia="黑体" w:cs="黑体"/>
          <w:b/>
          <w:bCs/>
        </w:rPr>
      </w:pPr>
      <w:r>
        <w:rPr>
          <w:rStyle w:val="2Char"/>
          <w:rFonts w:ascii="黑体" w:eastAsia="黑体" w:cs="黑体" w:hint="eastAsia"/>
          <w:b/>
          <w:bCs/>
        </w:rPr>
        <w:t>十、其他重要事项的情况说明</w:t>
      </w:r>
    </w:p>
    <w:p>
      <w:pPr>
        <w:spacing w:line="560" w:lineRule="exact"/>
        <w:ind w:firstLineChars="200" w:firstLine="640"/>
        <w:outlineLvl w:val="2"/>
        <w:rPr>
          <w:rFonts w:ascii="宋体" w:cs="宋体"/>
          <w:b/>
          <w:bCs/>
          <w:sz w:val="32"/>
          <w:szCs w:val="32"/>
        </w:rPr>
      </w:pPr>
      <w:r>
        <w:rPr>
          <w:rFonts w:ascii="宋体" w:cs="宋体" w:hint="eastAsia"/>
          <w:b/>
          <w:bCs/>
          <w:sz w:val="32"/>
          <w:szCs w:val="32"/>
        </w:rPr>
        <w:t>（一）机关运行经费支出情况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3年，我校机关运行经费支出0万元。</w:t>
      </w:r>
    </w:p>
    <w:p>
      <w:pPr>
        <w:autoSpaceDE w:val="0"/>
        <w:autoSpaceDN w:val="0"/>
        <w:adjustRightInd w:val="0"/>
        <w:spacing w:line="560" w:lineRule="exact"/>
        <w:ind w:firstLineChars="200" w:firstLine="640"/>
        <w:jc w:val="left"/>
        <w:outlineLvl w:val="2"/>
        <w:rPr>
          <w:rFonts w:ascii="仿宋" w:eastAsia="仿宋"/>
          <w:b/>
          <w:color w:val="000000"/>
          <w:sz w:val="32"/>
          <w:szCs w:val="32"/>
        </w:rPr>
      </w:pPr>
      <w:r>
        <w:rPr>
          <w:rFonts w:ascii="仿宋" w:eastAsia="仿宋" w:hint="eastAsia"/>
          <w:b/>
          <w:color w:val="000000"/>
          <w:sz w:val="32"/>
          <w:szCs w:val="32"/>
        </w:rPr>
        <w:t>（二）政府采购支出情况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3年，茂县县委党校政府采购支出总额</w:t>
      </w:r>
      <w:r>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color w:val="000000"/>
          <w:sz w:val="32"/>
          <w:szCs w:val="32"/>
        </w:rPr>
        <w:t>0</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56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（三）国有资产占有使用情况</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3年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w:t>
      </w:r>
      <w:r>
        <w:rPr>
          <w:rFonts w:ascii="仿宋_GB2312" w:eastAsia="仿宋_GB2312"/>
          <w:color w:val="000000"/>
          <w:sz w:val="32"/>
          <w:szCs w:val="32"/>
        </w:rPr>
        <w:t>0</w:t>
      </w:r>
      <w:r>
        <w:rPr>
          <w:rFonts w:ascii="仿宋_GB2312" w:eastAsia="仿宋_GB2312" w:hint="eastAsia"/>
          <w:color w:val="000000"/>
          <w:sz w:val="32"/>
          <w:szCs w:val="32"/>
        </w:rPr>
        <w:t>辆。</w:t>
      </w:r>
    </w:p>
    <w:p>
      <w:pPr>
        <w:autoSpaceDE w:val="0"/>
        <w:autoSpaceDN w:val="0"/>
        <w:adjustRightInd w:val="0"/>
        <w:spacing w:line="560" w:lineRule="exact"/>
        <w:ind w:firstLineChars="200" w:firstLine="640"/>
        <w:jc w:val="left"/>
        <w:outlineLvl w:val="2"/>
        <w:rPr>
          <w:rFonts w:eastAsia="仿宋"/>
        </w:rPr>
      </w:pPr>
      <w:r>
        <w:rPr>
          <w:rFonts w:ascii="仿宋" w:eastAsia="仿宋" w:hint="eastAsia"/>
          <w:b/>
          <w:color w:val="000000"/>
          <w:sz w:val="32"/>
          <w:szCs w:val="32"/>
        </w:rPr>
        <w:t>（四）预算绩效管理情况</w:t>
      </w:r>
    </w:p>
    <w:p>
      <w:pPr>
        <w:widowControl/>
        <w:spacing w:line="560" w:lineRule="exact"/>
        <w:ind w:firstLineChars="200" w:firstLine="640"/>
        <w:jc w:val="left"/>
      </w:pPr>
      <w:r>
        <w:rPr>
          <w:rFonts w:ascii="仿宋" w:eastAsia="仿宋" w:hint="eastAsia"/>
          <w:b/>
          <w:color w:val="000000"/>
          <w:sz w:val="32"/>
          <w:szCs w:val="32"/>
        </w:rPr>
        <w:t xml:space="preserve"> </w:t>
      </w:r>
      <w:r>
        <w:rPr>
          <w:rFonts w:ascii="仿宋_GB2312" w:eastAsia="仿宋_GB2312" w:cs="仿宋_GB2312" w:hint="eastAsia"/>
          <w:sz w:val="32"/>
          <w:szCs w:val="32"/>
        </w:rPr>
        <w:t>我校</w:t>
      </w:r>
      <w:r>
        <w:rPr>
          <w:rFonts w:ascii="仿宋_GB2312" w:eastAsia="仿宋_GB2312" w:cs="仿宋_GB2312" w:hint="eastAsia"/>
          <w:color w:val="000000"/>
          <w:kern w:val="0"/>
          <w:sz w:val="32"/>
          <w:szCs w:val="32"/>
        </w:rPr>
        <w:t>根据预算绩效管理要求，</w:t>
      </w:r>
      <w:r>
        <w:rPr>
          <w:rFonts w:ascii="仿宋_GB2312" w:eastAsia="仿宋_GB2312" w:cs="仿宋_GB2312" w:hint="eastAsia"/>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Chars="200" w:firstLine="640"/>
        <w:rPr>
          <w:rFonts w:ascii="仿宋_GB2312" w:eastAsia="仿宋_GB2312" w:cs="仿宋_GB2312"/>
          <w:color w:val="222222"/>
          <w:sz w:val="32"/>
          <w:szCs w:val="32"/>
        </w:rPr>
      </w:pPr>
      <w:r>
        <w:rPr>
          <w:rFonts w:ascii="仿宋_GB2312" w:eastAsia="仿宋_GB2312" w:cs="仿宋_GB2312" w:hint="eastAsia"/>
          <w:sz w:val="32"/>
          <w:szCs w:val="32"/>
        </w:rPr>
        <w:t>本校按要求对</w:t>
      </w:r>
      <w:r>
        <w:rPr>
          <w:rFonts w:ascii="仿宋_GB2312" w:eastAsia="仿宋_GB2312" w:cs="仿宋_GB2312"/>
          <w:sz w:val="32"/>
          <w:szCs w:val="32"/>
        </w:rPr>
        <w:t>20</w:t>
      </w:r>
      <w:r>
        <w:rPr>
          <w:rFonts w:ascii="仿宋_GB2312" w:eastAsia="仿宋_GB2312" w:cs="仿宋_GB2312" w:hint="eastAsia"/>
          <w:sz w:val="32"/>
          <w:szCs w:val="32"/>
        </w:rPr>
        <w:t>23年部门整体支出绩效评价情况开展自评，</w:t>
      </w:r>
      <w:r>
        <w:rPr>
          <w:rFonts w:ascii="仿宋_GB2312" w:eastAsia="仿宋_GB2312" w:cs="仿宋_GB2312"/>
          <w:color w:val="000000"/>
          <w:kern w:val="0"/>
          <w:sz w:val="32"/>
          <w:szCs w:val="32"/>
        </w:rPr>
        <w:t>20</w:t>
      </w:r>
      <w:r>
        <w:rPr>
          <w:rFonts w:ascii="仿宋_GB2312" w:eastAsia="仿宋_GB2312" w:cs="仿宋_GB2312" w:hint="eastAsia"/>
          <w:color w:val="000000"/>
          <w:kern w:val="0"/>
          <w:sz w:val="32"/>
          <w:szCs w:val="32"/>
        </w:rPr>
        <w:t>23年我校部门整体支出绩效评价自查自评结果良好，全年基本支出保证了部门的正常运行和日常工作的正常开展，绩效目标得到较好实现，绩效管理水平不断提高，绩效指标体系逐渐丰富和完善。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firstLineChars="200" w:firstLine="640"/>
        <w:rPr>
          <w:rFonts w:ascii="仿宋_GB2312" w:eastAsia="楷体" w:cs="仿宋_GB2312" w:hAnsi="仿宋_GB2312"/>
          <w:sz w:val="32"/>
          <w:szCs w:val="32"/>
        </w:rPr>
      </w:pPr>
      <w:bookmarkStart w:id="49" w:name="_Toc15377221"/>
      <w:bookmarkStart w:id="50" w:name="_Toc15396612"/>
      <w:r>
        <w:rPr>
          <w:rFonts w:ascii="楷体" w:eastAsia="楷体" w:cs="楷体" w:hint="eastAsia"/>
          <w:b/>
          <w:bCs/>
          <w:sz w:val="32"/>
          <w:szCs w:val="32"/>
        </w:rPr>
        <w:t xml:space="preserve"> </w:t>
      </w:r>
      <w:r>
        <w:rPr>
          <w:rFonts w:ascii="仿宋_GB2312" w:eastAsia="仿宋_GB2312" w:cs="仿宋_GB2312" w:hint="eastAsia"/>
          <w:color w:val="000000"/>
          <w:kern w:val="0"/>
          <w:sz w:val="32"/>
          <w:szCs w:val="32"/>
        </w:rPr>
        <w:t xml:space="preserve"> </w:t>
      </w:r>
    </w:p>
    <w:p>
      <w:pPr>
        <w:widowControl/>
        <w:spacing w:line="560" w:lineRule="exact"/>
        <w:jc w:val="center"/>
        <w:rPr>
          <w:rFonts w:ascii="方正小标宋简体" w:eastAsia="方正小标宋简体" w:cs="方正小标宋简体"/>
          <w:color w:val="000000"/>
          <w:sz w:val="44"/>
          <w:szCs w:val="44"/>
        </w:rPr>
      </w:pPr>
      <w:bookmarkEnd w:id="49"/>
      <w:bookmarkEnd w:id="50"/>
    </w:p>
    <w:p>
      <w:pPr>
        <w:widowControl/>
        <w:spacing w:line="560" w:lineRule="exact"/>
        <w:jc w:val="center"/>
        <w:rPr>
          <w:rFonts w:ascii="方正小标宋简体" w:eastAsia="方正小标宋简体" w:cs="方正小标宋简体"/>
          <w:color w:val="000000"/>
          <w:sz w:val="44"/>
          <w:szCs w:val="44"/>
        </w:rPr>
      </w:pPr>
    </w:p>
    <w:p>
      <w:pPr>
        <w:autoSpaceDE w:val="0"/>
        <w:autoSpaceDN w:val="0"/>
        <w:adjustRightInd w:val="0"/>
        <w:spacing w:line="560" w:lineRule="exact"/>
        <w:jc w:val="left"/>
        <w:rPr>
          <w:rFonts w:eastAsia="仿宋"/>
        </w:rPr>
      </w:pPr>
    </w:p>
    <w:p>
      <w:pPr>
        <w:widowControl/>
        <w:spacing w:line="560" w:lineRule="exact"/>
        <w:jc w:val="center"/>
        <w:rPr>
          <w:rFonts w:ascii="方正小标宋简体" w:eastAsia="方正小标宋简体" w:cs="方正小标宋简体"/>
          <w:color w:val="000000"/>
          <w:sz w:val="44"/>
          <w:szCs w:val="44"/>
        </w:rPr>
      </w:pPr>
      <w:bookmarkStart w:id="51" w:name="_Toc15396613"/>
      <w:bookmarkStart w:id="52" w:name="_Toc15377225"/>
    </w:p>
    <w:p>
      <w:pPr>
        <w:widowControl/>
        <w:spacing w:line="560" w:lineRule="exact"/>
        <w:jc w:val="center"/>
        <w:rPr>
          <w:rFonts w:ascii="方正小标宋简体" w:eastAsia="方正小标宋简体" w:cs="方正小标宋简体"/>
          <w:color w:val="000000"/>
          <w:sz w:val="44"/>
          <w:szCs w:val="44"/>
        </w:rPr>
      </w:pPr>
    </w:p>
    <w:p>
      <w:pPr>
        <w:widowControl/>
        <w:spacing w:line="560" w:lineRule="exact"/>
        <w:jc w:val="center"/>
        <w:rPr>
          <w:rFonts w:ascii="方正小标宋简体" w:eastAsia="方正小标宋简体" w:cs="方正小标宋简体"/>
          <w:color w:val="000000"/>
          <w:sz w:val="44"/>
          <w:szCs w:val="44"/>
        </w:rPr>
      </w:pPr>
    </w:p>
    <w:p>
      <w:pPr>
        <w:autoSpaceDE w:val="0"/>
        <w:autoSpaceDN w:val="0"/>
        <w:adjustRightInd w:val="0"/>
        <w:spacing w:line="560" w:lineRule="exact"/>
        <w:jc w:val="left"/>
        <w:rPr>
          <w:rFonts w:ascii="方正小标宋简体" w:eastAsia="方正小标宋简体" w:cs="方正小标宋简体"/>
          <w:color w:val="000000"/>
          <w:sz w:val="44"/>
          <w:szCs w:val="44"/>
        </w:rPr>
      </w:pPr>
    </w:p>
    <w:p>
      <w:pPr>
        <w:widowControl/>
        <w:spacing w:line="560" w:lineRule="exact"/>
        <w:outlineLvl w:val="0"/>
        <w:rPr>
          <w:rFonts w:ascii="方正小标宋简体" w:eastAsia="方正小标宋简体" w:cs="方正小标宋简体"/>
          <w:color w:val="000000"/>
          <w:sz w:val="44"/>
          <w:szCs w:val="44"/>
        </w:rPr>
      </w:pPr>
    </w:p>
    <w:p>
      <w:pPr>
        <w:widowControl/>
        <w:spacing w:line="560" w:lineRule="exact"/>
        <w:jc w:val="center"/>
        <w:outlineLvl w:val="0"/>
        <w:rPr>
          <w:rStyle w:val="1Char"/>
          <w:rFonts w:ascii="方正小标宋简体" w:eastAsia="方正小标宋简体" w:cs="方正小标宋简体"/>
          <w:b w:val="0"/>
          <w:bCs w:val="0"/>
        </w:rPr>
      </w:pPr>
      <w:r>
        <w:rPr>
          <w:rFonts w:ascii="方正小标宋简体" w:eastAsia="方正小标宋简体" w:cs="方正小标宋简体" w:hint="eastAsia"/>
          <w:color w:val="000000"/>
          <w:sz w:val="44"/>
          <w:szCs w:val="44"/>
        </w:rPr>
        <w:t>第三部分名</w:t>
      </w:r>
      <w:r>
        <w:rPr>
          <w:rStyle w:val="1Char"/>
          <w:rFonts w:ascii="方正小标宋简体" w:eastAsia="方正小标宋简体" w:cs="方正小标宋简体" w:hint="eastAsia"/>
          <w:b w:val="0"/>
          <w:bCs w:val="0"/>
        </w:rPr>
        <w:t>词解释</w:t>
      </w:r>
      <w:bookmarkEnd w:id="51"/>
      <w:bookmarkEnd w:id="52"/>
    </w:p>
    <w:p>
      <w:pPr>
        <w:widowControl/>
        <w:spacing w:line="560" w:lineRule="exact"/>
        <w:jc w:val="center"/>
        <w:rPr>
          <w:rStyle w:val="1Char"/>
          <w:rFonts w:ascii="方正小标宋简体" w:eastAsia="方正小标宋简体"/>
          <w:b w:val="0"/>
          <w:bCs w:val="0"/>
        </w:rPr>
      </w:pPr>
    </w:p>
    <w:p>
      <w:pPr>
        <w:pStyle w:val="27"/>
        <w:spacing w:line="560" w:lineRule="exact"/>
        <w:ind w:firstLineChars="200" w:firstLine="640"/>
        <w:outlineLvl w:val="1"/>
        <w:rPr>
          <w:rFonts w:ascii="仿宋_GB2312" w:eastAsia="仿宋_GB2312" w:cs="仿宋_GB2312"/>
          <w:sz w:val="32"/>
          <w:szCs w:val="32"/>
        </w:rPr>
      </w:pPr>
      <w:bookmarkStart w:id="53" w:name="_Toc15396614"/>
      <w:r>
        <w:rPr>
          <w:rFonts w:ascii="仿宋_GB2312" w:eastAsia="仿宋_GB2312" w:cs="仿宋_GB2312"/>
          <w:sz w:val="32"/>
          <w:szCs w:val="32"/>
        </w:rPr>
        <w:t>1.</w:t>
      </w:r>
      <w:r>
        <w:rPr>
          <w:rFonts w:ascii="仿宋_GB2312" w:eastAsia="仿宋_GB2312" w:cs="仿宋_GB2312" w:hint="eastAsia"/>
          <w:sz w:val="32"/>
          <w:szCs w:val="32"/>
        </w:rPr>
        <w:t>财政拨款收入：指单位从同级财政部门取得的财政预算资金。</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事业收入：指事业单位开展专业业务活动及辅助活动取得的收入。</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经营收入：指事业单位在专业业务活动及其辅助活动之外开展非独立核算经营活动取得的收入。</w:t>
      </w:r>
    </w:p>
    <w:p>
      <w:pPr>
        <w:pStyle w:val="27"/>
        <w:spacing w:line="560" w:lineRule="exact"/>
        <w:ind w:firstLineChars="200" w:firstLine="640"/>
        <w:outlineLvl w:val="1"/>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其他收入：指单位取得的除上述收入以外的各项收入。</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年初结转和结余：指以前年度尚未完成、结转到本年按有关规定继续使用的资金。</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结余分配：指事业单位按照事业单位会计制度的规定从非财政补助结余中分配的事业基金和职工福利基金等。</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年末结转和结余：指单位按有关规定结转到下年或以后年度继续使用的资金。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教育（类）教育管理事务（款）行政运行（项）：指用于保障机构运行、开展日常工作的基本支出。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10.</w:t>
      </w:r>
      <w:r>
        <w:rPr>
          <w:rFonts w:ascii="仿宋_GB2312" w:eastAsia="仿宋_GB2312" w:cs="仿宋_GB2312" w:hint="eastAsia"/>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11.</w:t>
      </w:r>
      <w:r>
        <w:rPr>
          <w:rFonts w:ascii="仿宋_GB2312" w:eastAsia="仿宋_GB2312" w:cs="仿宋_GB2312" w:hint="eastAsia"/>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Chars="200" w:firstLine="64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ascii="仿宋_GB2312" w:eastAsia="仿宋_GB2312" w:cs="仿宋_GB2312" w:hint="eastAsia"/>
          <w:color w:val="000000"/>
          <w:sz w:val="32"/>
          <w:szCs w:val="32"/>
        </w:rPr>
        <w:t>医疗卫生与计划生育（类）行政事业单位医疗（款）行政单位医疗（项）：指本</w:t>
      </w:r>
      <w:r>
        <w:rPr>
          <w:rFonts w:ascii="仿宋_GB2312" w:eastAsia="仿宋_GB2312" w:cs="仿宋_GB2312" w:hint="eastAsia"/>
          <w:color w:val="000000"/>
          <w:kern w:val="0"/>
          <w:sz w:val="32"/>
          <w:szCs w:val="32"/>
        </w:rPr>
        <w:t>单位用于缴纳单位基本医疗保险支出。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13.</w:t>
      </w:r>
      <w:r>
        <w:rPr>
          <w:rFonts w:ascii="仿宋_GB2312" w:eastAsia="仿宋_GB2312" w:cs="仿宋_GB2312" w:hint="eastAsia"/>
          <w:color w:val="000000"/>
          <w:sz w:val="32"/>
          <w:szCs w:val="32"/>
        </w:rPr>
        <w:t>农林水（类）扶贫（款）其他扶贫支出（项）：指扶贫方面支出。</w:t>
      </w:r>
    </w:p>
    <w:p>
      <w:pPr>
        <w:widowControl/>
        <w:spacing w:line="560" w:lineRule="exact"/>
        <w:ind w:firstLineChars="200" w:firstLine="640"/>
        <w:jc w:val="left"/>
      </w:pPr>
      <w:r>
        <w:rPr>
          <w:rFonts w:ascii="仿宋_GB2312" w:eastAsia="仿宋_GB2312" w:cs="仿宋_GB2312"/>
          <w:color w:val="000000"/>
          <w:sz w:val="32"/>
          <w:szCs w:val="32"/>
        </w:rPr>
        <w:t>14.</w:t>
      </w:r>
      <w:r>
        <w:rPr>
          <w:rFonts w:ascii="仿宋_GB2312" w:eastAsia="仿宋_GB2312" w:cs="仿宋_GB2312" w:hint="eastAsia"/>
          <w:color w:val="000000"/>
          <w:sz w:val="32"/>
          <w:szCs w:val="32"/>
        </w:rPr>
        <w:t>住房保障（类）住房改革（款）住房公积金（项）：指</w:t>
      </w:r>
      <w:r>
        <w:rPr>
          <w:rFonts w:ascii="仿宋_GB2312" w:eastAsia="仿宋_GB2312" w:cs="仿宋_GB2312" w:hint="eastAsia"/>
          <w:color w:val="000000"/>
          <w:kern w:val="0"/>
          <w:sz w:val="32"/>
          <w:szCs w:val="32"/>
        </w:rPr>
        <w:t>行政事业单位按规定为职工缴纳的住房公积金。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15.</w:t>
      </w:r>
      <w:r>
        <w:rPr>
          <w:rFonts w:ascii="仿宋_GB2312" w:eastAsia="仿宋_GB2312" w:cs="仿宋_GB2312" w:hint="eastAsia"/>
          <w:color w:val="000000"/>
          <w:sz w:val="32"/>
          <w:szCs w:val="32"/>
        </w:rPr>
        <w:t>基本支出：指为保障机构正常运转、完成日常工作任务而发生的人员支出和公用支出。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16.</w:t>
      </w:r>
      <w:r>
        <w:rPr>
          <w:rFonts w:ascii="仿宋_GB2312" w:eastAsia="仿宋_GB2312" w:cs="仿宋_GB2312" w:hint="eastAsia"/>
          <w:color w:val="000000"/>
          <w:sz w:val="32"/>
          <w:szCs w:val="32"/>
        </w:rPr>
        <w:t>项目支出：指在基本支出之外为完成特定行政任务和事业发展目标所发生的支出。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17.</w:t>
      </w:r>
      <w:r>
        <w:rPr>
          <w:rFonts w:ascii="仿宋_GB2312" w:eastAsia="仿宋_GB2312" w:cs="仿宋_GB2312" w:hint="eastAsia"/>
          <w:color w:val="000000"/>
          <w:sz w:val="32"/>
          <w:szCs w:val="32"/>
        </w:rPr>
        <w:t>经营支出：指事业单位在专业业务活动及其辅助活动之外开展非独立核算经营活动发生的支出。</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18.</w:t>
      </w:r>
      <w:r>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19.</w:t>
      </w:r>
      <w:r>
        <w:rPr>
          <w:rFonts w:ascii="仿宋_GB2312"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Chars="550" w:firstLine="2420"/>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bookmarkStart w:id="54" w:name="_Toc79163885"/>
      <w:bookmarkStart w:id="55" w:name="_Toc79163635"/>
      <w:bookmarkEnd w:id="53"/>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outlineLvl w:val="0"/>
        <w:rPr>
          <w:rStyle w:val="1Char"/>
          <w:rFonts w:ascii="方正小标宋简体" w:eastAsia="方正小标宋简体" w:cs="方正小标宋简体"/>
          <w:b w:val="0"/>
          <w:bCs w:val="0"/>
        </w:rPr>
      </w:pPr>
      <w:r>
        <w:rPr>
          <w:rFonts w:ascii="方正小标宋简体" w:eastAsia="方正小标宋简体" w:cs="方正小标宋简体" w:hint="eastAsia"/>
          <w:sz w:val="44"/>
          <w:szCs w:val="44"/>
        </w:rPr>
        <w:t xml:space="preserve">第四部分  </w:t>
      </w:r>
      <w:r>
        <w:rPr>
          <w:rStyle w:val="1Char"/>
          <w:rFonts w:ascii="方正小标宋简体" w:eastAsia="方正小标宋简体" w:cs="方正小标宋简体" w:hint="eastAsia"/>
          <w:b w:val="0"/>
          <w:bCs w:val="0"/>
        </w:rPr>
        <w:t>附件</w:t>
      </w:r>
      <w:bookmarkStart w:id="56" w:name="_Toc15396615"/>
    </w:p>
    <w:p>
      <w:pPr>
        <w:spacing w:line="560" w:lineRule="exact"/>
        <w:jc w:val="center"/>
        <w:rPr>
          <w:rStyle w:val="1Char"/>
          <w:rFonts w:ascii="方正小标宋简体" w:eastAsia="方正小标宋简体" w:cs="方正小标宋简体"/>
          <w:b w:val="0"/>
          <w:bCs w:val="0"/>
        </w:rPr>
      </w:pPr>
    </w:p>
    <w:p>
      <w:pPr>
        <w:spacing w:line="560" w:lineRule="exact"/>
        <w:outlineLvl w:val="1"/>
        <w:rPr>
          <w:rStyle w:val="1Char"/>
          <w:rFonts w:ascii="黑体" w:eastAsia="黑体" w:cs="黑体"/>
          <w:b w:val="0"/>
          <w:bCs w:val="0"/>
          <w:sz w:val="32"/>
          <w:szCs w:val="32"/>
        </w:rPr>
      </w:pPr>
      <w:bookmarkEnd w:id="56"/>
      <w:r>
        <w:rPr>
          <w:rStyle w:val="1Char"/>
          <w:rFonts w:ascii="黑体" w:eastAsia="黑体" w:cs="黑体" w:hint="eastAsia"/>
          <w:b w:val="0"/>
          <w:bCs w:val="0"/>
          <w:sz w:val="32"/>
          <w:szCs w:val="32"/>
        </w:rPr>
        <w:t>附件1</w:t>
      </w:r>
    </w:p>
    <w:p>
      <w:pPr>
        <w:spacing w:line="560" w:lineRule="exact"/>
        <w:jc w:val="center"/>
        <w:outlineLvl w:val="0"/>
        <w:rPr>
          <w:rFonts w:ascii="方正小标宋简体" w:eastAsia="方正小标宋简体" w:cs="方正小标宋简体"/>
          <w:sz w:val="44"/>
          <w:szCs w:val="44"/>
        </w:rPr>
      </w:pPr>
      <w:r>
        <w:rPr>
          <w:rFonts w:ascii="方正小标宋简体" w:eastAsia="方正小标宋简体" w:cs="方正小标宋简体" w:hint="eastAsia"/>
          <w:sz w:val="44"/>
          <w:szCs w:val="44"/>
        </w:rPr>
        <w:t>2</w:t>
      </w:r>
      <w:r>
        <w:rPr>
          <w:rFonts w:ascii="方正小标宋简体" w:eastAsia="方正小标宋简体" w:cs="方正小标宋简体"/>
          <w:sz w:val="44"/>
          <w:szCs w:val="44"/>
        </w:rPr>
        <w:t>02</w:t>
      </w:r>
      <w:r>
        <w:rPr>
          <w:rFonts w:ascii="方正小标宋简体" w:eastAsia="方正小标宋简体" w:cs="方正小标宋简体" w:hint="eastAsia"/>
          <w:sz w:val="44"/>
          <w:szCs w:val="44"/>
        </w:rPr>
        <w:t>3年茂县县委党校（事业）整体支出</w:t>
      </w:r>
    </w:p>
    <w:p>
      <w:pPr>
        <w:spacing w:line="560" w:lineRule="exact"/>
        <w:jc w:val="center"/>
        <w:outlineLvl w:val="0"/>
        <w:rPr>
          <w:rFonts w:ascii="方正小标宋简体" w:eastAsia="方正小标宋简体" w:cs="方正小标宋简体"/>
          <w:sz w:val="44"/>
          <w:szCs w:val="44"/>
        </w:rPr>
      </w:pPr>
      <w:r>
        <w:rPr>
          <w:rFonts w:ascii="方正小标宋简体" w:eastAsia="方正小标宋简体" w:cs="方正小标宋简体" w:hint="eastAsia"/>
          <w:sz w:val="44"/>
          <w:szCs w:val="44"/>
        </w:rPr>
        <w:t>绩效评价报告</w:t>
      </w:r>
    </w:p>
    <w:p>
      <w:pPr>
        <w:widowControl/>
        <w:spacing w:line="560" w:lineRule="exact"/>
        <w:contextualSpacing/>
        <w:jc w:val="center"/>
        <w:rPr>
          <w:rFonts w:ascii="宋体"/>
          <w:b/>
          <w:sz w:val="44"/>
          <w:szCs w:val="44"/>
          <w:shd w:val="clear" w:color="auto" w:fill="FFFFFF"/>
        </w:rPr>
      </w:pPr>
    </w:p>
    <w:p>
      <w:pPr>
        <w:spacing w:line="560" w:lineRule="exact"/>
        <w:ind w:firstLineChars="196" w:firstLine="627"/>
        <w:contextualSpacing/>
        <w:outlineLvl w:val="1"/>
        <w:rPr>
          <w:rFonts w:ascii="黑体" w:eastAsia="黑体"/>
          <w:b/>
          <w:sz w:val="32"/>
          <w:szCs w:val="32"/>
          <w:shd w:val="clear" w:color="auto" w:fill="FFFFFF"/>
        </w:rPr>
      </w:pPr>
      <w:r>
        <w:rPr>
          <w:rFonts w:ascii="黑体" w:eastAsia="黑体" w:hint="eastAsia"/>
          <w:b/>
          <w:sz w:val="32"/>
          <w:szCs w:val="32"/>
          <w:shd w:val="clear" w:color="auto" w:fill="FFFFFF"/>
        </w:rPr>
        <w:t>一、部门（单位）概况</w:t>
      </w:r>
    </w:p>
    <w:p>
      <w:pPr>
        <w:widowControl/>
        <w:spacing w:line="560" w:lineRule="exact"/>
        <w:ind w:firstLineChars="150" w:firstLine="480"/>
        <w:contextualSpacing/>
        <w:outlineLvl w:val="2"/>
        <w:rPr>
          <w:rFonts w:ascii="楷体_GB2312" w:eastAsia="楷体_GB2312"/>
          <w:b/>
          <w:sz w:val="32"/>
          <w:szCs w:val="32"/>
          <w:shd w:val="clear" w:color="auto" w:fill="FFFFFF"/>
        </w:rPr>
      </w:pPr>
      <w:r>
        <w:rPr>
          <w:rFonts w:ascii="楷体_GB2312" w:eastAsia="楷体_GB2312" w:hint="eastAsia"/>
          <w:sz w:val="32"/>
          <w:szCs w:val="32"/>
          <w:shd w:val="clear" w:color="auto" w:fill="FFFFFF"/>
        </w:rPr>
        <w:t>（一）机构组成</w:t>
      </w:r>
    </w:p>
    <w:p>
      <w:pPr>
        <w:widowControl/>
        <w:spacing w:line="560" w:lineRule="exact"/>
        <w:ind w:firstLineChars="199" w:firstLine="637"/>
        <w:contextualSpacing/>
        <w:outlineLvl w:val="3"/>
        <w:rPr>
          <w:rFonts w:ascii="楷体_GB2312" w:eastAsia="楷体_GB2312"/>
          <w:b/>
          <w:sz w:val="32"/>
          <w:szCs w:val="32"/>
          <w:shd w:val="clear" w:color="auto" w:fill="FFFFFF"/>
        </w:rPr>
      </w:pPr>
      <w:r>
        <w:rPr>
          <w:rFonts w:ascii="仿宋_GB2312" w:eastAsia="仿宋_GB2312" w:hint="eastAsia"/>
          <w:sz w:val="32"/>
          <w:szCs w:val="32"/>
          <w:shd w:val="clear" w:color="auto" w:fill="FFFFFF"/>
        </w:rPr>
        <w:t>县委党校是县委直属的乡科级全额拨款的事业单位。内设办公室、教研室、后勤财务室。</w:t>
      </w:r>
    </w:p>
    <w:p>
      <w:pPr>
        <w:widowControl/>
        <w:spacing w:line="560" w:lineRule="exact"/>
        <w:ind w:firstLineChars="200" w:firstLine="640"/>
        <w:contextualSpacing/>
        <w:outlineLvl w:val="2"/>
        <w:rPr>
          <w:rFonts w:ascii="楷体_GB2312" w:eastAsia="楷体_GB2312"/>
          <w:sz w:val="32"/>
          <w:szCs w:val="32"/>
          <w:shd w:val="clear" w:color="auto" w:fill="FFFFFF"/>
        </w:rPr>
      </w:pPr>
      <w:r>
        <w:rPr>
          <w:rFonts w:ascii="楷体_GB2312" w:eastAsia="楷体_GB2312" w:hint="eastAsia"/>
          <w:sz w:val="32"/>
          <w:szCs w:val="32"/>
          <w:shd w:val="clear" w:color="auto" w:fill="FFFFFF"/>
        </w:rPr>
        <w:t>(二）机构职能</w:t>
      </w:r>
    </w:p>
    <w:p>
      <w:pPr>
        <w:widowControl/>
        <w:spacing w:line="560" w:lineRule="exact"/>
        <w:ind w:firstLineChars="200" w:firstLine="640"/>
        <w:contextualSpacing/>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widowControl/>
        <w:spacing w:line="560" w:lineRule="exact"/>
        <w:ind w:firstLineChars="150" w:firstLine="480"/>
        <w:contextualSpacing/>
        <w:jc w:val="left"/>
        <w:outlineLvl w:val="2"/>
        <w:rPr>
          <w:rFonts w:ascii="楷体_GB2312" w:eastAsia="楷体_GB2312"/>
          <w:sz w:val="32"/>
          <w:szCs w:val="32"/>
          <w:shd w:val="clear" w:color="auto" w:fill="FFFFFF"/>
        </w:rPr>
      </w:pPr>
      <w:r>
        <w:rPr>
          <w:rFonts w:ascii="楷体_GB2312" w:eastAsia="楷体_GB2312" w:hint="eastAsia"/>
          <w:sz w:val="32"/>
          <w:szCs w:val="32"/>
          <w:shd w:val="clear" w:color="auto" w:fill="FFFFFF"/>
        </w:rPr>
        <w:t>（三）人员概况</w:t>
      </w:r>
    </w:p>
    <w:p>
      <w:pPr>
        <w:widowControl/>
        <w:spacing w:line="560" w:lineRule="exact"/>
        <w:ind w:firstLineChars="150" w:firstLine="480"/>
        <w:contextualSpacing/>
        <w:jc w:val="left"/>
        <w:rPr>
          <w:rFonts w:ascii="楷体_GB2312" w:eastAsia="楷体_GB2312"/>
          <w:sz w:val="32"/>
          <w:szCs w:val="32"/>
          <w:shd w:val="clear" w:color="auto" w:fill="FFFFFF"/>
        </w:rPr>
      </w:pPr>
      <w:r>
        <w:rPr>
          <w:rFonts w:ascii="仿宋_GB2312" w:eastAsia="仿宋_GB2312" w:hint="eastAsia"/>
          <w:sz w:val="32"/>
          <w:szCs w:val="32"/>
          <w:shd w:val="clear" w:color="auto" w:fill="FFFFFF"/>
        </w:rPr>
        <w:t>茂县党校核定事业编制6名。实有在职职工6名。</w:t>
      </w:r>
    </w:p>
    <w:p>
      <w:pPr>
        <w:widowControl/>
        <w:spacing w:line="560" w:lineRule="exact"/>
        <w:ind w:firstLineChars="147" w:firstLine="470"/>
        <w:contextualSpacing/>
        <w:outlineLvl w:val="1"/>
        <w:rPr>
          <w:rFonts w:ascii="黑体" w:eastAsia="黑体"/>
          <w:b/>
          <w:sz w:val="32"/>
          <w:szCs w:val="32"/>
          <w:shd w:val="clear" w:color="auto" w:fill="FFFFFF"/>
        </w:rPr>
      </w:pPr>
      <w:r>
        <w:rPr>
          <w:rFonts w:ascii="黑体" w:eastAsia="黑体" w:hint="eastAsia"/>
          <w:b/>
          <w:sz w:val="32"/>
          <w:szCs w:val="32"/>
          <w:shd w:val="clear" w:color="auto" w:fill="FFFFFF"/>
        </w:rPr>
        <w:t>二、部门财政资金收支情况</w:t>
      </w:r>
    </w:p>
    <w:p>
      <w:pPr>
        <w:widowControl/>
        <w:spacing w:line="560" w:lineRule="exact"/>
        <w:ind w:firstLineChars="98" w:firstLine="314"/>
        <w:contextualSpacing/>
        <w:outlineLvl w:val="2"/>
        <w:rPr>
          <w:rFonts w:ascii="楷体_GB2312" w:eastAsia="楷体_GB2312"/>
          <w:b/>
          <w:sz w:val="32"/>
          <w:szCs w:val="32"/>
          <w:shd w:val="clear" w:color="auto" w:fill="FFFFFF"/>
        </w:rPr>
      </w:pPr>
      <w:r>
        <w:rPr>
          <w:rFonts w:ascii="楷体_GB2312" w:eastAsia="楷体_GB2312" w:hint="eastAsia"/>
          <w:sz w:val="32"/>
          <w:szCs w:val="32"/>
          <w:shd w:val="clear" w:color="auto" w:fill="FFFFFF"/>
        </w:rPr>
        <w:t>（一）部门财政资金收入情况</w:t>
      </w:r>
    </w:p>
    <w:p>
      <w:pPr>
        <w:widowControl/>
        <w:spacing w:line="560" w:lineRule="exact"/>
        <w:ind w:firstLineChars="150" w:firstLine="480"/>
        <w:contextualSpacing/>
        <w:rPr>
          <w:rFonts w:ascii="仿宋_GB2312" w:eastAsia="仿宋_GB2312"/>
          <w:sz w:val="32"/>
          <w:szCs w:val="32"/>
          <w:shd w:val="clear" w:color="auto" w:fill="FFFFFF"/>
        </w:rPr>
      </w:pPr>
      <w:r>
        <w:rPr>
          <w:rFonts w:ascii="仿宋_GB2312" w:eastAsia="仿宋_GB2312" w:hint="eastAsia"/>
          <w:sz w:val="32"/>
          <w:szCs w:val="32"/>
          <w:shd w:val="clear" w:color="auto" w:fill="FFFFFF"/>
        </w:rPr>
        <w:t>2023年部门（单位）决算总收入143.38万元。收入决算总额较2022年增加30.53万元，</w:t>
      </w:r>
      <w:r>
        <w:rPr>
          <w:rFonts w:ascii="仿宋_GB2312" w:eastAsia="仿宋_GB2312" w:cs="仿宋_GB2312" w:hint="eastAsia"/>
          <w:sz w:val="32"/>
          <w:szCs w:val="32"/>
        </w:rPr>
        <w:t>主要原因是</w:t>
      </w:r>
      <w:r>
        <w:rPr>
          <w:rFonts w:ascii="仿宋_GB2312" w:eastAsia="仿宋_GB2312" w:hint="eastAsia"/>
          <w:sz w:val="32"/>
          <w:szCs w:val="32"/>
        </w:rPr>
        <w:t>单位职工工资标准上调，相应的单位缴纳的机关事业单位养老保险、职业年金、住房公积金等缴费基数增长</w:t>
      </w:r>
      <w:r>
        <w:rPr>
          <w:rFonts w:ascii="仿宋_GB2312" w:eastAsia="仿宋_GB2312" w:hint="eastAsia"/>
          <w:sz w:val="32"/>
          <w:szCs w:val="32"/>
          <w:shd w:val="clear" w:color="auto" w:fill="FFFFFF"/>
        </w:rPr>
        <w:t>。</w:t>
      </w:r>
    </w:p>
    <w:p>
      <w:pPr>
        <w:widowControl/>
        <w:spacing w:line="560" w:lineRule="exact"/>
        <w:ind w:firstLineChars="150" w:firstLine="480"/>
        <w:contextualSpacing/>
        <w:jc w:val="left"/>
        <w:outlineLvl w:val="2"/>
        <w:rPr>
          <w:rFonts w:ascii="楷体_GB2312" w:eastAsia="楷体_GB2312"/>
          <w:sz w:val="32"/>
          <w:szCs w:val="32"/>
          <w:shd w:val="clear" w:color="auto" w:fill="FFFFFF"/>
        </w:rPr>
      </w:pPr>
      <w:r>
        <w:rPr>
          <w:rFonts w:ascii="楷体_GB2312" w:eastAsia="楷体_GB2312" w:hint="eastAsia"/>
          <w:sz w:val="32"/>
          <w:szCs w:val="32"/>
          <w:shd w:val="clear" w:color="auto" w:fill="FFFFFF"/>
        </w:rPr>
        <w:t>(二）部门财政资金支出情况</w:t>
      </w:r>
    </w:p>
    <w:p>
      <w:pPr>
        <w:widowControl/>
        <w:spacing w:line="560" w:lineRule="exact"/>
        <w:ind w:firstLineChars="150" w:firstLine="480"/>
        <w:contextualSpacing/>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2023年本年支出合计143.38万元，其中：教育支出105.01万元，社会保障和就业支出20.72万元，卫生健康支出7.82万元，住房保障支出9.83万元。</w:t>
      </w:r>
    </w:p>
    <w:p>
      <w:pPr>
        <w:widowControl/>
        <w:spacing w:line="560" w:lineRule="exact"/>
        <w:ind w:firstLineChars="196" w:firstLine="627"/>
        <w:contextualSpacing/>
        <w:jc w:val="left"/>
        <w:outlineLvl w:val="1"/>
        <w:rPr>
          <w:rFonts w:ascii="黑体" w:eastAsia="黑体"/>
          <w:b/>
          <w:sz w:val="32"/>
          <w:szCs w:val="32"/>
          <w:shd w:val="clear" w:color="auto" w:fill="FFFFFF"/>
        </w:rPr>
      </w:pPr>
      <w:r>
        <w:rPr>
          <w:rFonts w:ascii="黑体" w:eastAsia="黑体" w:hint="eastAsia"/>
          <w:b/>
          <w:sz w:val="32"/>
          <w:szCs w:val="32"/>
          <w:shd w:val="clear" w:color="auto" w:fill="FFFFFF"/>
        </w:rPr>
        <w:t>三、部门整体预算绩效管理情况</w:t>
      </w:r>
    </w:p>
    <w:p>
      <w:pPr>
        <w:widowControl/>
        <w:spacing w:line="560" w:lineRule="exact"/>
        <w:ind w:firstLineChars="196" w:firstLine="627"/>
        <w:contextualSpacing/>
        <w:jc w:val="left"/>
        <w:outlineLvl w:val="2"/>
        <w:rPr>
          <w:rFonts w:ascii="楷体_GB2312" w:eastAsia="楷体_GB2312"/>
          <w:b/>
          <w:sz w:val="32"/>
          <w:szCs w:val="32"/>
          <w:shd w:val="clear" w:color="auto" w:fill="FFFFFF"/>
        </w:rPr>
      </w:pPr>
      <w:r>
        <w:rPr>
          <w:rFonts w:ascii="楷体_GB2312" w:eastAsia="楷体_GB2312" w:hint="eastAsia"/>
          <w:sz w:val="32"/>
          <w:szCs w:val="32"/>
          <w:shd w:val="clear" w:color="auto" w:fill="FFFFFF"/>
        </w:rPr>
        <w:t>（一）部门预算管理</w:t>
      </w:r>
    </w:p>
    <w:p>
      <w:pPr>
        <w:widowControl/>
        <w:spacing w:line="560" w:lineRule="exact"/>
        <w:ind w:firstLineChars="200" w:firstLine="640"/>
        <w:contextualSpacing/>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ab/>
        <w:t xml:space="preserve"> 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Chars="150" w:firstLine="480"/>
        <w:contextualSpacing/>
        <w:jc w:val="left"/>
        <w:outlineLvl w:val="2"/>
        <w:rPr>
          <w:rFonts w:ascii="楷体_GB2312" w:eastAsia="楷体_GB2312"/>
          <w:sz w:val="32"/>
          <w:szCs w:val="32"/>
          <w:shd w:val="clear" w:color="auto" w:fill="FFFFFF"/>
        </w:rPr>
      </w:pPr>
      <w:r>
        <w:rPr>
          <w:rFonts w:ascii="楷体_GB2312" w:eastAsia="楷体_GB2312" w:hint="eastAsia"/>
          <w:sz w:val="32"/>
          <w:szCs w:val="32"/>
          <w:shd w:val="clear" w:color="auto" w:fill="FFFFFF"/>
        </w:rPr>
        <w:t>（二）结果应用情况</w:t>
      </w:r>
    </w:p>
    <w:p>
      <w:pPr>
        <w:spacing w:line="576" w:lineRule="exact"/>
        <w:ind w:firstLineChars="200" w:firstLine="640"/>
        <w:rPr>
          <w:rFonts w:eastAsia="仿宋_GB2312"/>
          <w:sz w:val="32"/>
          <w:szCs w:val="32"/>
        </w:rPr>
      </w:pPr>
      <w:r>
        <w:rPr>
          <w:rFonts w:eastAsia="仿宋_GB2312" w:hint="eastAsia"/>
          <w:sz w:val="32"/>
          <w:szCs w:val="32"/>
        </w:rPr>
        <w:t>一是扎实开展干部培训工作。2023年，</w:t>
      </w:r>
      <w:r>
        <w:rPr>
          <w:rFonts w:eastAsia="仿宋_GB2312"/>
          <w:sz w:val="32"/>
          <w:szCs w:val="32"/>
        </w:rPr>
        <w:t>共举办主体班培训</w:t>
      </w:r>
      <w:r>
        <w:rPr>
          <w:rFonts w:eastAsia="仿宋_GB2312" w:hint="eastAsia"/>
          <w:sz w:val="32"/>
          <w:szCs w:val="32"/>
        </w:rPr>
        <w:t>8</w:t>
      </w:r>
      <w:r>
        <w:rPr>
          <w:rFonts w:eastAsia="仿宋_GB2312"/>
          <w:sz w:val="32"/>
          <w:szCs w:val="32"/>
        </w:rPr>
        <w:t>期，培训人数600余人次；圆满完成1期100人次的全国党组织书记和村委会主任视频培训班和1期2023年全国新录用公务员初任培训班茂县分课堂后勤服务保障工作；开展计划外培训5期，培训人数290余人次。同时，承接四川省长征干部学院培训班81期3572人的现场教学。</w:t>
      </w:r>
      <w:r>
        <w:rPr>
          <w:rFonts w:eastAsia="仿宋_GB2312" w:hint="eastAsia"/>
          <w:sz w:val="32"/>
          <w:szCs w:val="32"/>
        </w:rPr>
        <w:t>二是深入基层开展党课</w:t>
      </w:r>
      <w:r>
        <w:rPr>
          <w:rFonts w:eastAsia="仿宋_GB2312"/>
          <w:sz w:val="32"/>
          <w:szCs w:val="32"/>
        </w:rPr>
        <w:t>宣讲。深入部门、乡镇、村（社区）、学校、企业宣讲41场次，受众2119取得良好效果</w:t>
      </w:r>
      <w:r>
        <w:rPr>
          <w:rFonts w:eastAsia="仿宋_GB2312" w:hint="eastAsia"/>
          <w:sz w:val="32"/>
          <w:szCs w:val="32"/>
        </w:rPr>
        <w:t>。</w:t>
      </w:r>
      <w:r>
        <w:rPr>
          <w:rFonts w:eastAsia="仿宋_GB2312"/>
          <w:sz w:val="32"/>
          <w:szCs w:val="32"/>
        </w:rPr>
        <w:t>较好地发挥了全县宣讲主力军作用。</w:t>
      </w:r>
      <w:r>
        <w:rPr>
          <w:rFonts w:eastAsia="仿宋_GB2312" w:hint="eastAsia"/>
          <w:sz w:val="32"/>
          <w:szCs w:val="32"/>
        </w:rPr>
        <w:t>三是聚焦中心</w:t>
      </w:r>
      <w:r>
        <w:rPr>
          <w:rFonts w:eastAsia="仿宋_GB2312"/>
          <w:sz w:val="32"/>
          <w:szCs w:val="32"/>
        </w:rPr>
        <w:t>加强课题调研。围绕县委县政府中心工作，积极申报社科课题和省委党校课题。申报的课题《社会治理模式和机制创新的地方实践及案例研究——以茂县为例》《关于加强茂县岷江干旱河谷生态综合治理的对策研究》《后疫情背景下加快茂县特色农林产业发展对策研究》已结项。</w:t>
      </w:r>
      <w:r>
        <w:rPr>
          <w:rFonts w:eastAsia="仿宋_GB2312" w:hint="eastAsia"/>
          <w:sz w:val="32"/>
          <w:szCs w:val="32"/>
        </w:rPr>
        <w:t xml:space="preserve">  </w:t>
      </w:r>
    </w:p>
    <w:p>
      <w:pPr>
        <w:spacing w:line="576" w:lineRule="exact"/>
        <w:ind w:firstLineChars="200" w:firstLine="640"/>
        <w:rPr>
          <w:rFonts w:eastAsia="仿宋_GB2312"/>
          <w:sz w:val="32"/>
          <w:szCs w:val="32"/>
        </w:rPr>
      </w:pPr>
      <w:r>
        <w:rPr>
          <w:rFonts w:eastAsia="仿宋_GB2312" w:hint="eastAsia"/>
          <w:sz w:val="32"/>
          <w:szCs w:val="32"/>
        </w:rPr>
        <w:t>从整体情况来看，我校根据年初工作规划和重点性工作，围绕我县中心工作，积极履职，强化管理，充分发挥了干部教育培训的主渠道作用，较好的完成了年度工作目标。履职效益高，社会公众满意度评价高。</w:t>
      </w:r>
    </w:p>
    <w:p>
      <w:pPr>
        <w:spacing w:line="576" w:lineRule="exact"/>
        <w:ind w:firstLineChars="200" w:firstLine="640"/>
        <w:jc w:val="left"/>
        <w:rPr>
          <w:rFonts w:eastAsia="仿宋_GB2312"/>
          <w:sz w:val="32"/>
          <w:szCs w:val="32"/>
        </w:rPr>
      </w:pPr>
      <w:r>
        <w:rPr>
          <w:rFonts w:eastAsia="仿宋_GB2312" w:hint="eastAsia"/>
          <w:sz w:val="32"/>
          <w:szCs w:val="32"/>
        </w:rPr>
        <w:t>通过加强预算收支管理，不断建立健全内部管理制度，梳理内部管理流程，部门整体支出管理情况得到提升</w:t>
      </w:r>
    </w:p>
    <w:p>
      <w:pPr>
        <w:widowControl/>
        <w:spacing w:line="560" w:lineRule="exact"/>
        <w:ind w:firstLineChars="196" w:firstLine="627"/>
        <w:contextualSpacing/>
        <w:jc w:val="left"/>
        <w:outlineLvl w:val="1"/>
        <w:rPr>
          <w:rFonts w:ascii="黑体" w:eastAsia="黑体"/>
          <w:b/>
          <w:sz w:val="32"/>
          <w:szCs w:val="32"/>
          <w:shd w:val="clear" w:color="auto" w:fill="FFFFFF"/>
        </w:rPr>
      </w:pPr>
      <w:r>
        <w:rPr>
          <w:rFonts w:ascii="黑体" w:eastAsia="黑体" w:hint="eastAsia"/>
          <w:b/>
          <w:sz w:val="32"/>
          <w:szCs w:val="32"/>
          <w:shd w:val="clear" w:color="auto" w:fill="FFFFFF"/>
        </w:rPr>
        <w:t>四、评价结论及建议</w:t>
      </w:r>
    </w:p>
    <w:p>
      <w:pPr>
        <w:widowControl/>
        <w:spacing w:line="560" w:lineRule="exact"/>
        <w:ind w:firstLineChars="147" w:firstLine="470"/>
        <w:contextualSpacing/>
        <w:jc w:val="left"/>
        <w:outlineLvl w:val="2"/>
        <w:rPr>
          <w:rFonts w:ascii="楷体_GB2312" w:eastAsia="楷体_GB2312"/>
          <w:b/>
          <w:sz w:val="32"/>
          <w:szCs w:val="32"/>
          <w:shd w:val="clear" w:color="auto" w:fill="FFFFFF"/>
        </w:rPr>
      </w:pPr>
      <w:r>
        <w:rPr>
          <w:rFonts w:ascii="楷体_GB2312" w:eastAsia="楷体_GB2312" w:hint="eastAsia"/>
          <w:sz w:val="32"/>
          <w:szCs w:val="32"/>
          <w:shd w:val="clear" w:color="auto" w:fill="FFFFFF"/>
        </w:rPr>
        <w:t>（一）评价结论</w:t>
      </w:r>
    </w:p>
    <w:p>
      <w:pPr>
        <w:spacing w:line="576" w:lineRule="exact"/>
        <w:ind w:firstLineChars="200" w:firstLine="640"/>
        <w:rPr>
          <w:rFonts w:eastAsia="仿宋_GB2312"/>
          <w:sz w:val="32"/>
          <w:szCs w:val="32"/>
        </w:rPr>
      </w:pPr>
      <w:r>
        <w:rPr>
          <w:rFonts w:eastAsia="仿宋_GB2312" w:hint="eastAsia"/>
          <w:sz w:val="32"/>
          <w:szCs w:val="32"/>
        </w:rPr>
        <w:t>2023年我校部门整体支出绩效自评得分96分，绩效管理情况较为理想，达到了年初设定的各项绩效目标。所有资金使用严格按审批程序办理，会计核算结果真实、准确，各项支出严格按照各项制度执行。</w:t>
      </w:r>
    </w:p>
    <w:p>
      <w:pPr>
        <w:spacing w:line="576" w:lineRule="exact"/>
        <w:ind w:firstLineChars="200" w:firstLine="640"/>
        <w:outlineLvl w:val="2"/>
        <w:rPr>
          <w:rFonts w:eastAsia="仿宋_GB2312"/>
          <w:sz w:val="32"/>
          <w:szCs w:val="32"/>
        </w:rPr>
      </w:pPr>
      <w:r>
        <w:rPr>
          <w:rFonts w:eastAsia="仿宋_GB2312" w:hint="eastAsia"/>
          <w:sz w:val="32"/>
          <w:szCs w:val="32"/>
        </w:rPr>
        <w:t>（二）存在问题。</w:t>
      </w:r>
    </w:p>
    <w:p>
      <w:pPr>
        <w:spacing w:line="576" w:lineRule="exact"/>
        <w:ind w:firstLineChars="200" w:firstLine="640"/>
        <w:rPr>
          <w:rFonts w:eastAsia="仿宋_GB2312"/>
          <w:sz w:val="32"/>
          <w:szCs w:val="32"/>
        </w:rPr>
      </w:pPr>
      <w:r>
        <w:rPr>
          <w:rFonts w:eastAsia="仿宋_GB2312" w:hint="eastAsia"/>
          <w:sz w:val="32"/>
          <w:szCs w:val="32"/>
        </w:rPr>
        <w:t>一是预算编制工作有待细化；二是制度建设和规范化管理有待加强；三是信息化管理水平有待提高</w:t>
      </w:r>
    </w:p>
    <w:p>
      <w:pPr>
        <w:spacing w:line="576" w:lineRule="exact"/>
        <w:ind w:firstLineChars="200" w:firstLine="640"/>
        <w:outlineLvl w:val="2"/>
        <w:rPr>
          <w:rFonts w:eastAsia="仿宋_GB2312"/>
          <w:sz w:val="32"/>
          <w:szCs w:val="32"/>
        </w:rPr>
      </w:pPr>
      <w:r>
        <w:rPr>
          <w:rFonts w:eastAsia="仿宋_GB2312" w:hint="eastAsia"/>
          <w:sz w:val="32"/>
          <w:szCs w:val="32"/>
        </w:rPr>
        <w:t>（三）改进建议。</w:t>
      </w:r>
    </w:p>
    <w:p>
      <w:pPr>
        <w:spacing w:line="576" w:lineRule="exact"/>
        <w:ind w:firstLineChars="200" w:firstLine="640"/>
        <w:rPr>
          <w:rFonts w:eastAsia="仿宋_GB2312"/>
          <w:sz w:val="32"/>
          <w:szCs w:val="32"/>
        </w:rPr>
      </w:pPr>
      <w:r>
        <w:rPr>
          <w:rFonts w:eastAsia="仿宋_GB2312" w:hint="eastAsia"/>
          <w:sz w:val="32"/>
          <w:szCs w:val="32"/>
        </w:rPr>
        <w:t>进一步健全和完善财务管理制度，严格执行预算法，及财务管理各项规定，加强部门整体支出绩效管理，树立正确的绩效观，提升部门履职能力，为实现党校培训任务又好又快发展做出应有的贡献。</w:t>
      </w:r>
    </w:p>
    <w:p>
      <w:pPr>
        <w:spacing w:line="576" w:lineRule="exact"/>
        <w:ind w:firstLineChars="200" w:firstLine="640"/>
        <w:rPr>
          <w:rFonts w:eastAsia="仿宋_GB2312"/>
          <w:sz w:val="32"/>
          <w:szCs w:val="32"/>
        </w:rPr>
      </w:pPr>
    </w:p>
    <w:p>
      <w:pPr>
        <w:spacing w:line="576" w:lineRule="exact"/>
        <w:ind w:firstLineChars="200" w:firstLine="640"/>
        <w:rPr>
          <w:rFonts w:eastAsia="仿宋_GB2312"/>
          <w:sz w:val="32"/>
          <w:szCs w:val="32"/>
        </w:rPr>
      </w:pPr>
    </w:p>
    <w:p>
      <w:pPr>
        <w:spacing w:line="576" w:lineRule="exact"/>
        <w:ind w:firstLineChars="200" w:firstLine="640"/>
        <w:rPr>
          <w:rFonts w:eastAsia="仿宋_GB2312"/>
          <w:sz w:val="32"/>
          <w:szCs w:val="32"/>
        </w:rPr>
      </w:pPr>
      <w:bookmarkEnd w:id="54"/>
      <w:bookmarkEnd w:id="55"/>
    </w:p>
    <w:p>
      <w:pPr>
        <w:spacing w:line="576" w:lineRule="exact"/>
        <w:ind w:firstLineChars="200" w:firstLine="640"/>
        <w:rPr>
          <w:rFonts w:eastAsia="仿宋_GB2312"/>
          <w:sz w:val="32"/>
          <w:szCs w:val="32"/>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hint="eastAsia"/>
          <w:sz w:val="44"/>
          <w:szCs w:val="44"/>
        </w:rPr>
        <w:t>第五部</w:t>
      </w:r>
      <w:r>
        <w:rPr>
          <w:rFonts w:ascii="方正小标宋简体" w:eastAsia="方正小标宋简体" w:cs="方正小标宋简体" w:hint="eastAsia"/>
          <w:bCs/>
          <w:sz w:val="44"/>
          <w:szCs w:val="44"/>
        </w:rPr>
        <w:t>分  附表</w:t>
      </w:r>
      <w:bookmarkStart w:id="57" w:name="_Toc15396619"/>
      <w:bookmarkStart w:id="58" w:name="_Toc79163886"/>
      <w:bookmarkStart w:id="59" w:name="_Toc79163636"/>
    </w:p>
    <w:p>
      <w:pPr>
        <w:spacing w:line="560" w:lineRule="exact"/>
        <w:jc w:val="center"/>
        <w:rPr>
          <w:rFonts w:ascii="方正小标宋简体" w:eastAsia="方正小标宋简体" w:cs="方正小标宋简体"/>
          <w:bCs/>
          <w:sz w:val="44"/>
          <w:szCs w:val="44"/>
        </w:rPr>
      </w:pPr>
    </w:p>
    <w:p>
      <w:pPr>
        <w:numPr>
          <w:ilvl w:val="0"/>
          <w:numId w:val="3"/>
        </w:numPr>
        <w:spacing w:line="560" w:lineRule="exact"/>
        <w:outlineLvl w:val="1"/>
        <w:rPr>
          <w:rStyle w:val="2Char"/>
          <w:rFonts w:ascii="仿宋" w:eastAsia="仿宋"/>
          <w:b w:val="0"/>
          <w:bCs w:val="0"/>
        </w:rPr>
      </w:pPr>
      <w:r>
        <w:rPr>
          <w:rFonts w:ascii="仿宋" w:eastAsia="仿宋" w:hint="eastAsia"/>
          <w:color w:val="000000"/>
          <w:sz w:val="32"/>
          <w:szCs w:val="32"/>
        </w:rPr>
        <w:t>收</w:t>
      </w:r>
      <w:r>
        <w:rPr>
          <w:rStyle w:val="2Char"/>
          <w:rFonts w:ascii="仿宋" w:eastAsia="仿宋" w:hint="eastAsia"/>
          <w:b w:val="0"/>
          <w:bCs w:val="0"/>
        </w:rPr>
        <w:t>入支出决算总表</w:t>
      </w:r>
      <w:bookmarkStart w:id="60" w:name="_Toc79163887"/>
      <w:bookmarkStart w:id="61" w:name="_Toc15396620"/>
      <w:bookmarkStart w:id="62" w:name="_Toc79163637"/>
      <w:bookmarkEnd w:id="57"/>
      <w:bookmarkEnd w:id="58"/>
      <w:bookmarkEnd w:id="59"/>
    </w:p>
    <w:p>
      <w:pPr>
        <w:numPr>
          <w:ilvl w:val="0"/>
          <w:numId w:val="3"/>
        </w:numPr>
        <w:spacing w:line="560" w:lineRule="exact"/>
        <w:outlineLvl w:val="1"/>
        <w:rPr>
          <w:rFonts w:ascii="仿宋" w:eastAsia="仿宋" w:cs="Cambria"/>
          <w:bCs/>
          <w:color w:val="000000"/>
          <w:sz w:val="32"/>
          <w:szCs w:val="32"/>
        </w:rPr>
      </w:pPr>
      <w:r>
        <w:rPr>
          <w:rFonts w:ascii="仿宋" w:eastAsia="仿宋" w:hint="eastAsia"/>
          <w:color w:val="000000"/>
          <w:sz w:val="32"/>
          <w:szCs w:val="32"/>
        </w:rPr>
        <w:t>收</w:t>
      </w:r>
      <w:r>
        <w:rPr>
          <w:rFonts w:ascii="仿宋" w:eastAsia="仿宋" w:cs="Cambria" w:hint="eastAsia"/>
          <w:bCs/>
          <w:color w:val="000000"/>
          <w:sz w:val="32"/>
          <w:szCs w:val="32"/>
        </w:rPr>
        <w:t>入决算表</w:t>
      </w:r>
      <w:bookmarkStart w:id="63" w:name="_Toc15396621"/>
      <w:bookmarkStart w:id="64" w:name="_Toc79163888"/>
      <w:bookmarkStart w:id="65" w:name="_Toc79163638"/>
      <w:bookmarkEnd w:id="60"/>
      <w:bookmarkEnd w:id="61"/>
      <w:bookmarkEnd w:id="62"/>
    </w:p>
    <w:p>
      <w:pPr>
        <w:numPr>
          <w:ilvl w:val="0"/>
          <w:numId w:val="3"/>
        </w:numPr>
        <w:spacing w:line="560" w:lineRule="exact"/>
        <w:outlineLvl w:val="1"/>
        <w:rPr>
          <w:rStyle w:val="2Char"/>
          <w:rFonts w:ascii="仿宋" w:eastAsia="仿宋"/>
          <w:b w:val="0"/>
          <w:bCs w:val="0"/>
        </w:rPr>
      </w:pPr>
      <w:r>
        <w:rPr>
          <w:rFonts w:ascii="仿宋" w:eastAsia="仿宋" w:hint="eastAsia"/>
          <w:color w:val="000000"/>
          <w:sz w:val="32"/>
          <w:szCs w:val="32"/>
        </w:rPr>
        <w:t>支</w:t>
      </w:r>
      <w:r>
        <w:rPr>
          <w:rStyle w:val="2Char"/>
          <w:rFonts w:ascii="仿宋" w:eastAsia="仿宋" w:hint="eastAsia"/>
          <w:b w:val="0"/>
          <w:bCs w:val="0"/>
        </w:rPr>
        <w:t>出决算表</w:t>
      </w:r>
      <w:bookmarkStart w:id="66" w:name="_Toc15396622"/>
      <w:bookmarkStart w:id="67" w:name="_Toc79163889"/>
      <w:bookmarkStart w:id="68" w:name="_Toc79163639"/>
      <w:bookmarkEnd w:id="63"/>
      <w:bookmarkEnd w:id="64"/>
      <w:bookmarkEnd w:id="65"/>
    </w:p>
    <w:p>
      <w:pPr>
        <w:numPr>
          <w:ilvl w:val="0"/>
          <w:numId w:val="3"/>
        </w:numPr>
        <w:spacing w:line="560" w:lineRule="exact"/>
        <w:outlineLvl w:val="1"/>
        <w:rPr>
          <w:rStyle w:val="2Char"/>
          <w:rFonts w:ascii="仿宋" w:eastAsia="仿宋"/>
          <w:b w:val="0"/>
          <w:bCs w:val="0"/>
        </w:rPr>
      </w:pPr>
      <w:r>
        <w:rPr>
          <w:rFonts w:ascii="仿宋" w:eastAsia="仿宋" w:hint="eastAsia"/>
          <w:color w:val="000000"/>
          <w:sz w:val="32"/>
          <w:szCs w:val="32"/>
        </w:rPr>
        <w:t>财</w:t>
      </w:r>
      <w:r>
        <w:rPr>
          <w:rStyle w:val="2Char"/>
          <w:rFonts w:ascii="仿宋" w:eastAsia="仿宋" w:hint="eastAsia"/>
          <w:b w:val="0"/>
          <w:bCs w:val="0"/>
        </w:rPr>
        <w:t>政拨款收入支出决算总表</w:t>
      </w:r>
      <w:bookmarkStart w:id="69" w:name="_Toc79163890"/>
      <w:bookmarkStart w:id="70" w:name="_Toc79163640"/>
      <w:bookmarkStart w:id="71" w:name="_Toc15396623"/>
      <w:bookmarkEnd w:id="66"/>
      <w:bookmarkEnd w:id="67"/>
      <w:bookmarkEnd w:id="68"/>
    </w:p>
    <w:p>
      <w:pPr>
        <w:numPr>
          <w:ilvl w:val="0"/>
          <w:numId w:val="3"/>
        </w:numPr>
        <w:spacing w:line="560" w:lineRule="exact"/>
        <w:outlineLvl w:val="1"/>
        <w:rPr>
          <w:rStyle w:val="2Char"/>
          <w:rFonts w:ascii="仿宋" w:eastAsia="仿宋"/>
          <w:b w:val="0"/>
          <w:bCs w:val="0"/>
        </w:rPr>
      </w:pPr>
      <w:r>
        <w:rPr>
          <w:rFonts w:ascii="仿宋" w:eastAsia="仿宋" w:hint="eastAsia"/>
          <w:color w:val="000000"/>
          <w:sz w:val="32"/>
          <w:szCs w:val="32"/>
        </w:rPr>
        <w:t>财</w:t>
      </w:r>
      <w:r>
        <w:rPr>
          <w:rStyle w:val="2Char"/>
          <w:rFonts w:ascii="仿宋" w:eastAsia="仿宋" w:hint="eastAsia"/>
          <w:b w:val="0"/>
          <w:bCs w:val="0"/>
        </w:rPr>
        <w:t>政拨款支出决算明细表</w:t>
      </w:r>
      <w:bookmarkStart w:id="72" w:name="_Toc15396624"/>
      <w:bookmarkStart w:id="73" w:name="_Toc79163891"/>
      <w:bookmarkStart w:id="74" w:name="_Toc79163641"/>
      <w:bookmarkEnd w:id="69"/>
      <w:bookmarkEnd w:id="70"/>
      <w:bookmarkEnd w:id="71"/>
    </w:p>
    <w:p>
      <w:pPr>
        <w:numPr>
          <w:ilvl w:val="0"/>
          <w:numId w:val="3"/>
        </w:numPr>
        <w:spacing w:line="560" w:lineRule="exact"/>
        <w:outlineLvl w:val="1"/>
        <w:rPr>
          <w:rStyle w:val="2Char"/>
          <w:rFonts w:ascii="仿宋" w:eastAsia="仿宋"/>
          <w:b w:val="0"/>
          <w:bCs w:val="0"/>
        </w:rPr>
      </w:pPr>
      <w:r>
        <w:rPr>
          <w:rFonts w:ascii="仿宋" w:eastAsia="仿宋" w:hint="eastAsia"/>
          <w:color w:val="000000"/>
        </w:rPr>
        <w:t>一</w:t>
      </w:r>
      <w:r>
        <w:rPr>
          <w:rStyle w:val="2Char"/>
          <w:rFonts w:ascii="仿宋" w:eastAsia="仿宋" w:hint="eastAsia"/>
          <w:b w:val="0"/>
          <w:bCs w:val="0"/>
        </w:rPr>
        <w:t>般公共预算财政拨款支出决算表</w:t>
      </w:r>
      <w:bookmarkStart w:id="75" w:name="_Toc15396625"/>
      <w:bookmarkStart w:id="76" w:name="_Toc79163892"/>
      <w:bookmarkStart w:id="77" w:name="_Toc79163642"/>
      <w:bookmarkEnd w:id="72"/>
      <w:bookmarkEnd w:id="73"/>
      <w:bookmarkEnd w:id="74"/>
    </w:p>
    <w:p>
      <w:pPr>
        <w:numPr>
          <w:ilvl w:val="0"/>
          <w:numId w:val="3"/>
        </w:numPr>
        <w:spacing w:line="560" w:lineRule="exact"/>
        <w:outlineLvl w:val="1"/>
        <w:rPr>
          <w:rStyle w:val="2Char"/>
          <w:rFonts w:ascii="仿宋" w:eastAsia="仿宋"/>
          <w:b w:val="0"/>
          <w:bCs w:val="0"/>
        </w:rPr>
      </w:pPr>
      <w:r>
        <w:rPr>
          <w:rFonts w:ascii="仿宋" w:eastAsia="仿宋" w:hint="eastAsia"/>
          <w:color w:val="000000"/>
        </w:rPr>
        <w:t>一</w:t>
      </w:r>
      <w:r>
        <w:rPr>
          <w:rStyle w:val="2Char"/>
          <w:rFonts w:ascii="仿宋" w:eastAsia="仿宋" w:hint="eastAsia"/>
          <w:b w:val="0"/>
          <w:bCs w:val="0"/>
        </w:rPr>
        <w:t>般公共预算财政拨款支出决算明细表</w:t>
      </w:r>
      <w:bookmarkStart w:id="78" w:name="_Toc15396626"/>
      <w:bookmarkStart w:id="79" w:name="_Toc79163643"/>
      <w:bookmarkStart w:id="80" w:name="_Toc79163893"/>
      <w:bookmarkEnd w:id="75"/>
      <w:bookmarkEnd w:id="76"/>
      <w:bookmarkEnd w:id="77"/>
    </w:p>
    <w:p>
      <w:pPr>
        <w:numPr>
          <w:ilvl w:val="0"/>
          <w:numId w:val="3"/>
        </w:numPr>
        <w:spacing w:line="560" w:lineRule="exact"/>
        <w:outlineLvl w:val="1"/>
        <w:rPr>
          <w:rStyle w:val="2Char"/>
          <w:rFonts w:ascii="仿宋" w:eastAsia="仿宋"/>
          <w:b w:val="0"/>
          <w:bCs w:val="0"/>
        </w:rPr>
      </w:pPr>
      <w:r>
        <w:rPr>
          <w:rFonts w:ascii="仿宋" w:eastAsia="仿宋" w:hint="eastAsia"/>
          <w:color w:val="000000"/>
        </w:rPr>
        <w:t>一</w:t>
      </w:r>
      <w:r>
        <w:rPr>
          <w:rStyle w:val="2Char"/>
          <w:rFonts w:ascii="仿宋" w:eastAsia="仿宋" w:hint="eastAsia"/>
          <w:b w:val="0"/>
          <w:bCs w:val="0"/>
        </w:rPr>
        <w:t>般公共预算财政拨款基本支出决算表</w:t>
      </w:r>
      <w:bookmarkStart w:id="81" w:name="_Toc79163644"/>
      <w:bookmarkStart w:id="82" w:name="_Toc15396627"/>
      <w:bookmarkStart w:id="83" w:name="_Toc79163894"/>
      <w:bookmarkEnd w:id="78"/>
      <w:bookmarkEnd w:id="79"/>
      <w:bookmarkEnd w:id="80"/>
    </w:p>
    <w:p>
      <w:pPr>
        <w:numPr>
          <w:ilvl w:val="0"/>
          <w:numId w:val="3"/>
        </w:numPr>
        <w:spacing w:line="560" w:lineRule="exact"/>
        <w:outlineLvl w:val="1"/>
        <w:rPr>
          <w:rStyle w:val="2Char"/>
          <w:rFonts w:ascii="仿宋" w:eastAsia="仿宋"/>
          <w:b w:val="0"/>
          <w:bCs w:val="0"/>
        </w:rPr>
      </w:pPr>
      <w:r>
        <w:rPr>
          <w:rFonts w:ascii="仿宋" w:eastAsia="仿宋" w:hint="eastAsia"/>
          <w:color w:val="000000"/>
        </w:rPr>
        <w:t>一</w:t>
      </w:r>
      <w:r>
        <w:rPr>
          <w:rStyle w:val="2Char"/>
          <w:rFonts w:ascii="仿宋" w:eastAsia="仿宋" w:hint="eastAsia"/>
          <w:b w:val="0"/>
          <w:bCs w:val="0"/>
        </w:rPr>
        <w:t>般公共预算财政拨款项目支出决算表</w:t>
      </w:r>
      <w:bookmarkStart w:id="84" w:name="_Toc79163895"/>
      <w:bookmarkStart w:id="85" w:name="_Toc15396628"/>
      <w:bookmarkStart w:id="86" w:name="_Toc79163645"/>
      <w:bookmarkEnd w:id="81"/>
      <w:bookmarkEnd w:id="82"/>
      <w:bookmarkEnd w:id="83"/>
    </w:p>
    <w:p>
      <w:pPr>
        <w:numPr>
          <w:ilvl w:val="0"/>
          <w:numId w:val="3"/>
        </w:numPr>
        <w:spacing w:line="560" w:lineRule="exact"/>
        <w:outlineLvl w:val="1"/>
        <w:rPr>
          <w:rStyle w:val="2Char"/>
          <w:rFonts w:ascii="仿宋" w:eastAsia="仿宋"/>
          <w:b w:val="0"/>
          <w:bCs w:val="0"/>
        </w:rPr>
      </w:pPr>
      <w:bookmarkStart w:id="87" w:name="_Toc79163896"/>
      <w:bookmarkStart w:id="88" w:name="_Toc79163646"/>
      <w:bookmarkStart w:id="89" w:name="_Toc15396629"/>
      <w:bookmarkEnd w:id="84"/>
      <w:bookmarkEnd w:id="85"/>
      <w:bookmarkEnd w:id="86"/>
      <w:r>
        <w:rPr>
          <w:rStyle w:val="2Char"/>
          <w:rFonts w:ascii="仿宋" w:eastAsia="仿宋" w:hint="eastAsia"/>
          <w:b w:val="0"/>
          <w:bCs w:val="0"/>
        </w:rPr>
        <w:t>政府性基金预算财政拨款收入支出决算表</w:t>
      </w:r>
    </w:p>
    <w:p>
      <w:pPr>
        <w:numPr>
          <w:ilvl w:val="0"/>
          <w:numId w:val="3"/>
        </w:numPr>
        <w:spacing w:line="560" w:lineRule="exact"/>
        <w:outlineLvl w:val="1"/>
        <w:rPr>
          <w:rStyle w:val="2Char"/>
          <w:rFonts w:ascii="仿宋" w:eastAsia="仿宋"/>
          <w:b w:val="0"/>
          <w:bCs w:val="0"/>
        </w:rPr>
      </w:pPr>
      <w:bookmarkStart w:id="90" w:name="_Toc79163647"/>
      <w:bookmarkStart w:id="91" w:name="_Toc15396630"/>
      <w:bookmarkStart w:id="92" w:name="_Toc79163897"/>
      <w:bookmarkEnd w:id="87"/>
      <w:bookmarkEnd w:id="88"/>
      <w:bookmarkEnd w:id="89"/>
      <w:r>
        <w:rPr>
          <w:rStyle w:val="2Char"/>
          <w:rFonts w:ascii="仿宋" w:eastAsia="仿宋" w:hint="eastAsia"/>
          <w:b w:val="0"/>
          <w:bCs w:val="0"/>
        </w:rPr>
        <w:t>国有资本经营预算财政拨款收入支出决算表</w:t>
      </w:r>
    </w:p>
    <w:p>
      <w:pPr>
        <w:numPr>
          <w:ilvl w:val="0"/>
          <w:numId w:val="3"/>
        </w:numPr>
        <w:spacing w:line="560" w:lineRule="exact"/>
        <w:outlineLvl w:val="1"/>
        <w:rPr>
          <w:rStyle w:val="2Char"/>
          <w:rFonts w:ascii="仿宋" w:eastAsia="仿宋"/>
          <w:b w:val="0"/>
          <w:bCs w:val="0"/>
        </w:rPr>
      </w:pPr>
      <w:bookmarkEnd w:id="90"/>
      <w:bookmarkEnd w:id="91"/>
      <w:bookmarkEnd w:id="92"/>
      <w:r>
        <w:rPr>
          <w:rStyle w:val="2Char"/>
          <w:rFonts w:ascii="仿宋" w:eastAsia="仿宋" w:hint="eastAsia"/>
          <w:b w:val="0"/>
          <w:bCs w:val="0"/>
        </w:rPr>
        <w:t>国有资本经营预算财政拨款支出决算表</w:t>
      </w:r>
      <w:bookmarkStart w:id="93" w:name="_Toc79163898"/>
      <w:bookmarkStart w:id="94" w:name="_Toc15396631"/>
      <w:bookmarkStart w:id="95" w:name="_Toc79163648"/>
    </w:p>
    <w:p>
      <w:pPr>
        <w:spacing w:line="560" w:lineRule="exact"/>
        <w:outlineLvl w:val="1"/>
        <w:rPr>
          <w:rStyle w:val="2Char"/>
          <w:rFonts w:ascii="仿宋" w:eastAsia="仿宋"/>
          <w:b w:val="0"/>
          <w:bCs w:val="0"/>
        </w:rPr>
      </w:pPr>
      <w:r>
        <w:rPr>
          <w:rStyle w:val="2Char"/>
          <w:rFonts w:ascii="仿宋" w:eastAsia="仿宋" w:hint="eastAsia"/>
          <w:b w:val="0"/>
          <w:bCs w:val="0"/>
        </w:rPr>
        <w:t>十三、财政拨款“三公”经费支出决算表</w:t>
      </w:r>
      <w:bookmarkEnd w:id="93"/>
      <w:bookmarkEnd w:id="94"/>
      <w:bookmarkEnd w:id="95"/>
    </w:p>
    <w:p>
      <w:pPr>
        <w:widowControl/>
        <w:spacing w:line="560" w:lineRule="exact"/>
        <w:rPr>
          <w:rStyle w:val="2Char"/>
          <w:rFonts w:ascii="仿宋" w:eastAsia="仿宋"/>
          <w:b w:val="0"/>
          <w:bCs w:val="0"/>
        </w:rPr>
      </w:pPr>
      <w:r>
        <w:rPr>
          <w:rStyle w:val="2Char"/>
          <w:rFonts w:ascii="仿宋" w:eastAsia="仿宋" w:hint="eastAsia"/>
          <w:b w:val="0"/>
          <w:bCs w:val="0"/>
        </w:rPr>
        <w:t xml:space="preserve"> </w:t>
      </w:r>
    </w:p>
    <w:sectPr>
      <w:headerReference w:type="default" r:id="rId2"/>
      <w:headerReference w:type="even" r:id="rId3"/>
      <w:footerReference w:type="default" r:id="rId4"/>
      <w:pgSz w:w="11906" w:h="16838"/>
      <w:pgMar w:top="2098" w:right="1474" w:bottom="1985" w:left="1588"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variable"/>
    <w:sig w:usb0="800002BF" w:usb1="38CF7CFA" w:usb2="00000016" w:usb3="00000000" w:csb0="00040001" w:csb1="00000000"/>
  </w:font>
  <w:font w:name="楷体_GB2312">
    <w:panose1 w:val="02010609030101010101"/>
    <w:charset w:val="86"/>
    <w:family w:val="modern"/>
    <w:pitch w:val="variable"/>
    <w:sig w:usb0="00000001" w:usb1="080E0000" w:usb2="00000010" w:usb3="00000000" w:csb0="00040000" w:csb1="00000000"/>
  </w:font>
  <w:font w:name="??">
    <w:altName w:val="DejaVu Sans"/>
    <w:panose1 w:val="00000000000000000000"/>
    <w:charset w:val="00"/>
    <w:family w:val="auto"/>
    <w:pitch w:val="variable"/>
    <w:sig w:usb0="00000000" w:usb1="00000000" w:usb2="00000000" w:usb3="00000000" w:csb0="00000001" w:csb1="00000000"/>
  </w:font>
  <w:font w:name="仿宋">
    <w:panose1 w:val="02010609060101010101"/>
    <w:charset w:val="86"/>
    <w:family w:val="modern"/>
    <w:pitch w:val="variable"/>
    <w:sig w:usb0="800002BF" w:usb1="38CF7CFA" w:usb2="00000016" w:usb3="00000000" w:csb0="00040001" w:csb1="00000000"/>
  </w:font>
  <w:font w:name="Cambria">
    <w:altName w:val="DejaVu Sans"/>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10002FF" w:usb1="4000ACFF" w:usb2="00000009" w:usb3="00000000" w:csb0="0000019F" w:csb1="00000000"/>
  </w:font>
  <w:font w:name="Courier New">
    <w:altName w:val="DejaVu Sans"/>
    <w:panose1 w:val="02070309020205020404"/>
    <w:charset w:val="00"/>
    <w:family w:val="modern"/>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center"/>
    </w:pPr>
    <w:r>
      <mc:AlternateContent>
        <mc:Choice Requires="wps">
          <w:drawing>
            <wp:anchor distT="0" distB="0" distL="114298" distR="114298" simplePos="0" relativeHeight="29" behindDoc="0" locked="0" layoutInCell="1" hidden="0" allowOverlap="1">
              <wp:simplePos x="0" y="0"/>
              <wp:positionH relativeFrom="margin">
                <wp:align>center</wp:align>
              </wp:positionH>
              <wp:positionV relativeFrom="paragraph">
                <wp:posOffset>0</wp:posOffset>
              </wp:positionV>
              <wp:extent cx="114300" cy="285045"/>
              <wp:effectExtent l="0" t="0" r="0" b="0"/>
              <wp:wrapNone/>
              <wp:docPr id="1" name="_x0000_s2049"/>
              <wp:cNvGraphicFramePr>
                <a:graphicFrameLocks noChangeAspect="0"/>
              </wp:cNvGraphicFramePr>
              <a:graphic>
                <a:graphicData uri="http://schemas.microsoft.com/office/word/2010/wordprocessingShape">
                  <wps:wsp>
                    <wps:cNvSpPr/>
                    <wps:spPr>
                      <a:xfrm rot="0">
                        <a:off x="0" y="0"/>
                        <a:ext cx="114300" cy="285045"/>
                      </a:xfrm>
                      <a:prstGeom prst="rect"/>
                      <a:noFill/>
                      <a:ln w="9525" cmpd="sng" cap="flat">
                        <a:noFill/>
                        <a:prstDash val="solid"/>
                        <a:miter/>
                      </a:ln>
                    </wps:spPr>
                    <wps:txbx id="2">
                      <w:txbxContent>
                        <w:p>
                          <w:pPr>
                            <w:pStyle w:val="16"/>
                            <w:tabs>
                              <w:tab w:val="center" w:pos="4153"/>
                              <w:tab w:val="right" w:pos="8306"/>
                            </w:tabs>
                            <w:jc w:val="center"/>
                          </w:pPr>
                          <w:r>
                            <w:fldChar w:fldCharType="begin"/>
                          </w:r>
                          <w:r>
                            <w:instrText>PAGE   \* MERGEFORMAT</w:instrText>
                          </w:r>
                          <w:r>
                            <w:fldChar w:fldCharType="separate"/>
                          </w:r>
                          <w:r>
                            <w:rPr>
                              <w:lang w:val="zh-CN"/>
                            </w:rPr>
                            <w:t>17</w:t>
                          </w:r>
                          <w:r>
                            <w:rPr>
                              <w:lang w:val="zh-CN"/>
                            </w:rPr>
                            <w:fldChar w:fldCharType="end"/>
                          </w:r>
                        </w:p>
                        <w:p/>
                      </w:txbxContent>
                    </wps:txbx>
                    <wps:bodyPr vert="horz" wrap="none" lIns="0" tIns="0" rIns="0" bIns="0" anchor="t" anchorCtr="0" upright="1">
                      <a:spAutoFit/>
                    </wps:bodyPr>
                  </wps:wsp>
                </a:graphicData>
              </a:graphic>
            </wp:anchor>
          </w:drawing>
        </mc:Choice>
        <mc:Fallback>
          <w:pict>
            <v:rect type="#_x0000_t1" id="_x0000_s2049 3" o:spid="_x0000_s3" filled="f" stroked="f" style="position:absolute;margin-left:0.0pt;margin-top:0.0pt;width:9.0pt;height:22.444544pt;z-index:29;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6"/>
                      <w:tabs>
                        <w:tab w:val="center" w:pos="4153"/>
                        <w:tab w:val="right" w:pos="8306"/>
                      </w:tabs>
                      <w:jc w:val="center"/>
                    </w:pPr>
                    <w:r>
                      <w:fldChar w:fldCharType="begin"/>
                    </w:r>
                    <w:r>
                      <w:instrText>PAGE   \* MERGEFORMAT</w:instrText>
                    </w:r>
                    <w:r>
                      <w:fldChar w:fldCharType="separate"/>
                    </w:r>
                    <w:r>
                      <w:rPr>
                        <w:lang w:val="zh-CN"/>
                      </w:rPr>
                      <w:t>17</w:t>
                    </w:r>
                    <w:r>
                      <w:rPr>
                        <w:lang w:val="zh-CN"/>
                      </w:rPr>
                      <w:fldChar w:fldCharType="end"/>
                    </w:r>
                  </w:p>
                  <w:p/>
                </w:txbxContent>
              </v:textbox>
            </v:rect>
          </w:pict>
        </mc:Fallback>
      </mc:AlternateContent>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jc w:val="both"/>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DA84ED4"/>
    <w:multiLevelType w:val="singleLevel"/>
    <w:tmpl w:val="0DA84ED4"/>
    <w:lvl w:ilvl="0">
      <w:start w:val="1"/>
      <w:numFmt w:val="chineseCounting"/>
      <w:lvlRestart w:val="0"/>
      <w:suff w:val="nothing"/>
      <w:lvlText w:val="%1、"/>
      <w:lvlJc w:val="left"/>
      <w:pPr>
        <w:ind w:left="0" w:hanging="0"/>
      </w:pPr>
      <w:rPr>
        <w:rFonts w:cs="Times New Roman" w:hint="eastAsia"/>
      </w:rPr>
    </w:lvl>
  </w:abstractNum>
  <w:abstractNum w:abstractNumId="1">
    <w:nsid w:val="D78C10A8"/>
    <w:multiLevelType w:val="singleLevel"/>
    <w:tmpl w:val="D78C10A8"/>
    <w:lvl w:ilvl="0">
      <w:start w:val="1"/>
      <w:numFmt w:val="chineseCounting"/>
      <w:lvlRestart w:val="0"/>
      <w:suff w:val="nothing"/>
      <w:lvlText w:val="%1、"/>
      <w:lvlJc w:val="left"/>
      <w:pPr>
        <w:ind w:left="0" w:hanging="0"/>
      </w:pPr>
      <w:rPr>
        <w:rFonts w:cs="Times New Roman" w:hint="eastAsia"/>
      </w:rPr>
    </w:lvl>
  </w:abstractNum>
  <w:abstractNum w:abstractNumId="2">
    <w:nsid w:val="3717F156"/>
    <w:multiLevelType w:val="singleLevel"/>
    <w:tmpl w:val="3717F156"/>
    <w:lvl w:ilvl="0">
      <w:start w:val="1"/>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docVars>
    <w:docVar w:name="commondata" w:val="eyJoZGlkIjoiMjdmMGUwNmQwNTJmZGE2OTQ5NTdlZDA1Y2U3YWQ1ZG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cs="Cambria" w:hAnsi="Cambria"/>
      <w:b/>
      <w:bCs/>
      <w:sz w:val="32"/>
      <w:szCs w:val="32"/>
    </w:rPr>
  </w:style>
  <w:style w:type="character" w:customStyle="1" w:styleId="2Char">
    <w:name w:val="heading 2 Char"/>
    <w:basedOn w:val="10"/>
    <w:link w:val="2"/>
    <w:rPr>
      <w:rFonts w:ascii="Cambria" w:eastAsia="宋体" w:cs="Cambria"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Web)"/>
    <w:basedOn w:val="0"/>
    <w:next w:val="16"/>
    <w:pPr>
      <w:widowControl/>
      <w:spacing w:before="100" w:beforeAutospacing="1" w:after="100" w:afterAutospacing="1"/>
      <w:jc w:val="left"/>
    </w:pPr>
    <w:rPr>
      <w:rFonts w:ascii="宋体"/>
      <w:kern w:val="0"/>
      <w:sz w:val="24"/>
    </w:rPr>
  </w:style>
  <w:style w:type="paragraph" w:styleId="16">
    <w:name w:val="footer"/>
    <w:basedOn w:val="0"/>
    <w:pPr>
      <w:tabs>
        <w:tab w:val="center" w:pos="4153"/>
        <w:tab w:val="right" w:pos="8306"/>
      </w:tabs>
      <w:snapToGrid w:val="0"/>
      <w:jc w:val="left"/>
    </w:pPr>
    <w:rPr>
      <w:rFonts w:ascii="Calibri" w:hAnsi="Calibri"/>
      <w:kern w:val="0"/>
      <w:sz w:val="18"/>
      <w:szCs w:val="20"/>
    </w:rPr>
  </w:style>
  <w:style w:type="paragraph" w:styleId="17">
    <w:name w:val="Document Map"/>
    <w:basedOn w:val="0"/>
    <w:pPr>
      <w:shd w:val="clear" w:color="auto" w:fill="000080"/>
    </w:pPr>
  </w:style>
  <w:style w:type="paragraph" w:styleId="18">
    <w:name w:val="Body Text"/>
    <w:basedOn w:val="0"/>
    <w:pPr>
      <w:spacing w:beforeLines="30" w:before="30"/>
    </w:pPr>
    <w:rPr>
      <w:rFonts w:ascii="仿宋_GB2312" w:eastAsia="仿宋_GB2312"/>
      <w:kern w:val="0"/>
      <w:sz w:val="24"/>
      <w:szCs w:val="2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header"/>
    <w:basedOn w:val="0"/>
    <w:pPr>
      <w:pBdr>
        <w:bottom w:val="single" w:sz="6" w:space="1" w:color="auto"/>
      </w:pBdr>
      <w:tabs>
        <w:tab w:val="center" w:pos="4153"/>
        <w:tab w:val="right" w:pos="8306"/>
      </w:tabs>
      <w:snapToGrid w:val="0"/>
      <w:jc w:val="center"/>
    </w:pPr>
    <w:rPr>
      <w:rFonts w:ascii="Calibri" w:hAnsi="Calibri"/>
      <w:kern w:val="0"/>
      <w:sz w:val="18"/>
      <w:szCs w:val="20"/>
    </w:rPr>
  </w:style>
  <w:style w:type="paragraph" w:styleId="22">
    <w:name w:val="toc 1"/>
    <w:basedOn w:val="0"/>
    <w:next w:val="0"/>
    <w:pPr>
      <w:tabs>
        <w:tab w:val="right" w:leader="dot" w:pos="8296"/>
      </w:tabs>
      <w:spacing w:before="93"/>
      <w:jc w:val="center"/>
    </w:pPr>
    <w:rPr>
      <w:rFonts w:ascii="??" w:cs="??" w:hAnsi="??"/>
      <w:sz w:val="28"/>
      <w:szCs w:val="28"/>
    </w:rPr>
  </w:style>
  <w:style w:type="paragraph" w:styleId="23">
    <w:name w:val="toc 2"/>
    <w:basedOn w:val="0"/>
    <w:next w:val="0"/>
    <w:pPr>
      <w:tabs>
        <w:tab w:val="right" w:leader="dot" w:pos="8296"/>
      </w:tabs>
      <w:ind w:leftChars="200" w:left="200"/>
    </w:pPr>
  </w:style>
  <w:style w:type="character" w:styleId="24">
    <w:name w:val="Strong"/>
    <w:basedOn w:val="10"/>
    <w:rPr>
      <w:rFonts w:cs="Times New Roman"/>
      <w:b/>
      <w:bCs/>
    </w:rPr>
  </w:style>
  <w:style w:type="character" w:styleId="25">
    <w:name w:val="FollowedHyperlink"/>
    <w:basedOn w:val="10"/>
    <w:rPr>
      <w:color w:val="800080"/>
      <w:u w:val="single"/>
    </w:rPr>
  </w:style>
  <w:style w:type="character" w:styleId="26">
    <w:name w:val="Hyperlink"/>
    <w:basedOn w:val="10"/>
    <w:rPr>
      <w:rFonts w:cs="Times New Roman"/>
      <w:color w:val="0000FF"/>
      <w:u w:val="single"/>
    </w:rPr>
  </w:style>
  <w:style w:type="paragraph" w:customStyle="1" w:styleId="27">
    <w:name w:val="Default"/>
    <w:pPr>
      <w:widowControl w:val="0"/>
      <w:autoSpaceDE w:val="0"/>
      <w:autoSpaceDN w:val="0"/>
      <w:adjustRightInd w:val="0"/>
    </w:pPr>
    <w:rPr>
      <w:rFonts w:ascii="??" w:eastAsia="Times New Roman" w:cs="??" w:hAnsi="??"/>
      <w:color w:val="000000"/>
      <w:sz w:val="24"/>
      <w:szCs w:val="24"/>
      <w:lang w:val="en-US" w:eastAsia="zh-CN" w:bidi="ar-SA"/>
    </w:rPr>
  </w:style>
  <w:style w:type="paragraph" w:styleId="28">
    <w:name w:val="List Paragraph"/>
    <w:basedOn w:val="0"/>
    <w:pPr>
      <w:ind w:firstLineChars="200" w:firstLine="200"/>
    </w:pPr>
  </w:style>
  <w:style w:type="paragraph" w:customStyle="1" w:styleId="29">
    <w:name w:val="TOC Heading1"/>
    <w:basedOn w:val="1"/>
    <w:next w:val="0"/>
    <w:pPr>
      <w:keepNext/>
      <w:keepLines/>
      <w:widowControl/>
      <w:spacing w:before="480" w:after="0" w:line="276" w:lineRule="auto"/>
      <w:jc w:val="left"/>
      <w:outlineLvl w:val="9"/>
    </w:pPr>
    <w:rPr>
      <w:rFonts w:ascii="Cambria" w:cs="Cambria" w:hAnsi="Cambria"/>
      <w:color w:val="365F91"/>
      <w:kern w:val="0"/>
      <w:sz w:val="28"/>
      <w:szCs w:val="28"/>
    </w:rPr>
  </w:style>
  <w:style w:type="paragraph" w:customStyle="1" w:styleId="30">
    <w:name w:val="xl63"/>
    <w:basedOn w:val="0"/>
    <w:pPr>
      <w:widowControl/>
      <w:spacing w:before="100" w:beforeAutospacing="1" w:after="100" w:afterAutospacing="1"/>
      <w:jc w:val="right"/>
    </w:pPr>
    <w:rPr>
      <w:rFonts w:ascii="宋体" w:cs="宋体"/>
      <w:color w:val="000000"/>
      <w:kern w:val="0"/>
      <w:sz w:val="14"/>
      <w:szCs w:val="14"/>
    </w:rPr>
  </w:style>
  <w:style w:type="paragraph" w:customStyle="1" w:styleId="31">
    <w:name w:val="xl64"/>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32">
    <w:name w:val="xl65"/>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33">
    <w:name w:val="xl66"/>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left"/>
    </w:pPr>
    <w:rPr>
      <w:rFonts w:ascii="Courier New" w:cs="Courier New" w:hAnsi="Courier New"/>
      <w:color w:val="000000"/>
      <w:kern w:val="0"/>
      <w:sz w:val="18"/>
      <w:szCs w:val="18"/>
    </w:rPr>
  </w:style>
  <w:style w:type="paragraph" w:customStyle="1" w:styleId="34">
    <w:name w:val="xl67"/>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35">
    <w:name w:val="xl68"/>
    <w:basedOn w:val="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cs="宋体"/>
      <w:color w:val="000000"/>
      <w:kern w:val="0"/>
      <w:sz w:val="18"/>
      <w:szCs w:val="18"/>
    </w:rPr>
  </w:style>
  <w:style w:type="paragraph" w:customStyle="1" w:styleId="36">
    <w:name w:val="xl69"/>
    <w:basedOn w:val="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cs="宋体"/>
      <w:color w:val="000000"/>
      <w:kern w:val="0"/>
      <w:sz w:val="18"/>
      <w:szCs w:val="18"/>
    </w:rPr>
  </w:style>
  <w:style w:type="paragraph" w:customStyle="1" w:styleId="37">
    <w:name w:val="xl70"/>
    <w:basedOn w:val="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color w:val="000000"/>
      <w:kern w:val="0"/>
      <w:sz w:val="18"/>
      <w:szCs w:val="18"/>
    </w:rPr>
  </w:style>
  <w:style w:type="paragraph" w:customStyle="1" w:styleId="38">
    <w:name w:val="xl71"/>
    <w:basedOn w:val="0"/>
    <w:pPr>
      <w:widowControl/>
      <w:spacing w:before="100" w:beforeAutospacing="1" w:after="100" w:afterAutospacing="1"/>
      <w:jc w:val="left"/>
    </w:pPr>
    <w:rPr>
      <w:rFonts w:ascii="宋体" w:cs="宋体"/>
      <w:kern w:val="0"/>
      <w:sz w:val="18"/>
      <w:szCs w:val="18"/>
    </w:rPr>
  </w:style>
  <w:style w:type="paragraph" w:customStyle="1" w:styleId="39">
    <w:name w:val="xl72"/>
    <w:basedOn w:val="0"/>
    <w:pPr>
      <w:widowControl/>
      <w:spacing w:before="100" w:beforeAutospacing="1" w:after="100" w:afterAutospacing="1"/>
      <w:jc w:val="left"/>
    </w:pPr>
    <w:rPr>
      <w:rFonts w:ascii="宋体" w:cs="宋体"/>
      <w:color w:val="C0C0C0"/>
      <w:kern w:val="0"/>
      <w:sz w:val="20"/>
      <w:szCs w:val="20"/>
    </w:rPr>
  </w:style>
  <w:style w:type="paragraph" w:customStyle="1" w:styleId="40">
    <w:name w:val="xl73"/>
    <w:basedOn w:val="0"/>
    <w:pPr>
      <w:widowControl/>
      <w:spacing w:before="100" w:beforeAutospacing="1" w:after="100" w:afterAutospacing="1"/>
      <w:jc w:val="left"/>
    </w:pPr>
    <w:rPr>
      <w:rFonts w:ascii="宋体" w:cs="宋体"/>
      <w:color w:val="000000"/>
      <w:kern w:val="0"/>
      <w:sz w:val="20"/>
      <w:szCs w:val="20"/>
    </w:rPr>
  </w:style>
  <w:style w:type="paragraph" w:customStyle="1" w:styleId="41">
    <w:name w:val="xl74"/>
    <w:basedOn w:val="0"/>
    <w:pPr>
      <w:widowControl/>
      <w:spacing w:before="100" w:beforeAutospacing="1" w:after="100" w:afterAutospacing="1"/>
      <w:jc w:val="center"/>
    </w:pPr>
    <w:rPr>
      <w:rFonts w:ascii="Courier New" w:cs="Courier New" w:hAnsi="Courier New"/>
      <w:b/>
      <w:bCs/>
      <w:color w:val="000000"/>
      <w:kern w:val="0"/>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image" Target="media/5.png"/><Relationship Id="rId6" Type="http://schemas.openxmlformats.org/officeDocument/2006/relationships/image" Target="media/8.png"/><Relationship Id="rId7" Type="http://schemas.openxmlformats.org/officeDocument/2006/relationships/image" Target="media/11.png"/><Relationship Id="rId8" Type="http://schemas.openxmlformats.org/officeDocument/2006/relationships/image" Target="media/14.png"/><Relationship Id="rId9" Type="http://schemas.openxmlformats.org/officeDocument/2006/relationships/image" Target="media/14.png"/><Relationship Id="rId10" Type="http://schemas.openxmlformats.org/officeDocument/2006/relationships/image" Target="media/19.png"/><Relationship Id="rId11" Type="http://schemas.openxmlformats.org/officeDocument/2006/relationships/image" Target="media/22.pn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s>
</file>

<file path=docProps/app.xml><?xml version="1.0" encoding="utf-8"?>
<Properties xmlns="http://schemas.openxmlformats.org/officeDocument/2006/extended-properties">
  <Template>Normal.eit</Template>
  <TotalTime>26</TotalTime>
  <Application>Yozo_Office27021597764231179</Application>
  <Pages>21</Pages>
  <Words>5957</Words>
  <Characters>6353</Characters>
  <Lines>402</Lines>
  <Paragraphs>166</Paragraphs>
  <CharactersWithSpaces>6413</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张彬茜</dc:creator>
  <cp:lastModifiedBy>user</cp:lastModifiedBy>
  <cp:revision>188</cp:revision>
  <cp:lastPrinted>2024-09-18T11:05:00Z</cp:lastPrinted>
  <dcterms:created xsi:type="dcterms:W3CDTF">2019-08-01T09:14:00Z</dcterms:created>
  <dcterms:modified xsi:type="dcterms:W3CDTF">2026-04-23T02:48:01Z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B6E2F34B5C324041A5C9386612D2B941</vt:lpwstr>
  </property>
  <property fmtid="{D5CDD505-2E9C-101B-9397-08002B2CF9AE}" pid="4" name="KSOTemplateDocerSaveRecord">
    <vt:lpwstr>eyJoZGlkIjoiODkyNDZiNDM5MzQyNWU2OGZhMDBhNGFkMTdmYjQwNzciLCJ1c2VySWQiOiIzODkyNzQ4NzUifQ==</vt:lpwstr>
  </property>
</Properties>
</file>