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eastAsia="方正小标宋简体"/>
          <w:color w:val="000000"/>
          <w:sz w:val="72"/>
          <w:szCs w:val="72"/>
        </w:rPr>
      </w:pPr>
      <w:bookmarkStart w:id="0" w:name="_Toc15306267"/>
      <w:r>
        <w:rPr>
          <w:rFonts w:hint="eastAsia" w:ascii="方正小标宋简体" w:eastAsia="方正小标宋简体"/>
          <w:color w:val="000000"/>
          <w:sz w:val="72"/>
          <w:szCs w:val="72"/>
        </w:rPr>
        <w:t xml:space="preserve"> </w:t>
      </w: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52"/>
          <w:szCs w:val="52"/>
        </w:rPr>
      </w:pPr>
      <w:bookmarkStart w:id="1" w:name="_Toc15378441"/>
      <w:bookmarkStart w:id="2" w:name="_Toc15377193"/>
      <w:bookmarkStart w:id="3" w:name="_Toc15377425"/>
      <w:bookmarkStart w:id="4" w:name="_Toc15396597"/>
      <w:bookmarkStart w:id="5" w:name="_Toc15396475"/>
      <w:r>
        <w:rPr>
          <w:rFonts w:ascii="方正小标宋简体" w:eastAsia="方正小标宋简体" w:cs="方正小标宋简体"/>
          <w:b/>
          <w:bCs/>
          <w:color w:val="000000"/>
          <w:sz w:val="52"/>
          <w:szCs w:val="52"/>
        </w:rPr>
        <w:t>202</w:t>
      </w:r>
      <w:r>
        <w:rPr>
          <w:rFonts w:hint="eastAsia" w:ascii="方正小标宋简体" w:eastAsia="方正小标宋简体" w:cs="方正小标宋简体"/>
          <w:b/>
          <w:bCs/>
          <w:color w:val="000000"/>
          <w:sz w:val="52"/>
          <w:szCs w:val="52"/>
        </w:rPr>
        <w:t>3年度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6" w:name="_Toc15377426"/>
      <w:bookmarkStart w:id="7" w:name="_Toc15377194"/>
      <w:bookmarkStart w:id="8" w:name="_Toc15396476"/>
      <w:bookmarkStart w:id="9" w:name="_Toc15396598"/>
      <w:bookmarkStart w:id="10" w:name="_Toc15378442"/>
      <w:r>
        <w:rPr>
          <w:rFonts w:hint="eastAsia" w:ascii="方正小标宋简体" w:eastAsia="方正小标宋简体" w:cs="方正小标宋简体"/>
          <w:b/>
          <w:bCs/>
          <w:color w:val="000000"/>
          <w:sz w:val="52"/>
          <w:szCs w:val="52"/>
        </w:rPr>
        <w:t>四川</w:t>
      </w:r>
      <w:bookmarkEnd w:id="0"/>
      <w:bookmarkStart w:id="11" w:name="_Toc15306268"/>
      <w:r>
        <w:rPr>
          <w:rFonts w:hint="eastAsia" w:ascii="方正小标宋简体" w:eastAsia="方正小标宋简体" w:cs="方正小标宋简体"/>
          <w:b/>
          <w:bCs/>
          <w:color w:val="000000"/>
          <w:sz w:val="52"/>
          <w:szCs w:val="52"/>
        </w:rPr>
        <w:t>省阿坝州茂县县委党校部门决算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cs="方正小标宋简体"/>
          <w:b/>
          <w:bCs/>
          <w:color w:val="000000"/>
          <w:sz w:val="44"/>
          <w:szCs w:val="44"/>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bookmarkStart w:id="89" w:name="_GoBack"/>
      <w:bookmarkEnd w:id="89"/>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560" w:lineRule="exact"/>
        <w:ind w:left="480" w:hanging="480" w:hangingChars="150"/>
        <w:jc w:val="center"/>
        <w:outlineLvl w:val="0"/>
        <w:rPr>
          <w:rFonts w:ascii="黑体" w:eastAsia="黑体"/>
          <w:b/>
          <w:bCs/>
          <w:color w:val="000000"/>
          <w:sz w:val="44"/>
          <w:szCs w:val="44"/>
        </w:rPr>
      </w:pPr>
      <w:r>
        <w:rPr>
          <w:rFonts w:ascii="仿宋_GB2312" w:eastAsia="仿宋_GB2312" w:cs="仿宋_GB2312"/>
          <w:color w:val="000000"/>
          <w:sz w:val="32"/>
          <w:szCs w:val="32"/>
        </w:rPr>
        <w:br w:type="page"/>
      </w:r>
      <w:r>
        <w:rPr>
          <w:rFonts w:hint="eastAsia" w:ascii="方正小标宋简体" w:eastAsia="方正小标宋简体" w:cs="方正小标宋简体"/>
          <w:b/>
          <w:bCs/>
          <w:color w:val="000000"/>
          <w:sz w:val="44"/>
          <w:szCs w:val="44"/>
        </w:rPr>
        <w:t>目录</w:t>
      </w:r>
    </w:p>
    <w:p>
      <w:pPr>
        <w:widowControl/>
        <w:spacing w:line="560" w:lineRule="exact"/>
        <w:jc w:val="center"/>
        <w:rPr>
          <w:rFonts w:ascii="宋体" w:cs="黑体"/>
          <w:color w:val="000000"/>
          <w:sz w:val="28"/>
          <w:szCs w:val="28"/>
        </w:rPr>
      </w:pPr>
    </w:p>
    <w:p>
      <w:pPr>
        <w:widowControl/>
        <w:spacing w:line="560" w:lineRule="exact"/>
        <w:jc w:val="center"/>
        <w:rPr>
          <w:rFonts w:ascii="宋体"/>
          <w:sz w:val="28"/>
          <w:szCs w:val="28"/>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hint="eastAsia" w:ascii="宋体"/>
          <w:sz w:val="28"/>
          <w:szCs w:val="28"/>
        </w:rPr>
        <w:t>公开时间：</w:t>
      </w:r>
      <w:r>
        <w:rPr>
          <w:rFonts w:ascii="宋体"/>
          <w:sz w:val="28"/>
          <w:szCs w:val="28"/>
        </w:rPr>
        <w:t>202</w:t>
      </w:r>
      <w:r>
        <w:rPr>
          <w:rFonts w:hint="eastAsia" w:ascii="宋体"/>
          <w:sz w:val="28"/>
          <w:szCs w:val="28"/>
        </w:rPr>
        <w:t>4年</w:t>
      </w:r>
      <w:r>
        <w:rPr>
          <w:rFonts w:ascii="宋体"/>
          <w:sz w:val="28"/>
          <w:szCs w:val="28"/>
        </w:rPr>
        <w:t>9</w:t>
      </w:r>
      <w:r>
        <w:rPr>
          <w:rFonts w:hint="eastAsia" w:ascii="宋体"/>
          <w:sz w:val="28"/>
          <w:szCs w:val="28"/>
        </w:rPr>
        <w:t>月25日</w:t>
      </w:r>
    </w:p>
    <w:p>
      <w:pPr>
        <w:pStyle w:val="13"/>
        <w:spacing w:line="560" w:lineRule="exact"/>
        <w:jc w:val="both"/>
        <w:rPr>
          <w:rFonts w:ascii="宋体"/>
          <w:b/>
          <w:bCs/>
          <w:smallCaps/>
        </w:rPr>
      </w:pPr>
      <w:r>
        <w:rPr>
          <w:rFonts w:ascii="宋体"/>
          <w:smallCaps/>
        </w:rPr>
        <w:fldChar w:fldCharType="begin"/>
      </w:r>
      <w:r>
        <w:rPr>
          <w:rFonts w:ascii="宋体"/>
          <w:smallCaps/>
        </w:rPr>
        <w:instrText xml:space="preserve"> TOC \o \u </w:instrText>
      </w:r>
      <w:r>
        <w:rPr>
          <w:rFonts w:ascii="宋体"/>
          <w:smallCaps/>
        </w:rPr>
        <w:fldChar w:fldCharType="separate"/>
      </w:r>
      <w:r>
        <w:rPr>
          <w:rFonts w:hint="eastAsia" w:ascii="宋体"/>
          <w:smallCaps/>
        </w:rPr>
        <w:t>第一部分部门概况</w:t>
      </w:r>
      <w:r>
        <w:rPr>
          <w:rFonts w:ascii="宋体"/>
          <w:smallCaps/>
        </w:rPr>
        <w:tab/>
      </w:r>
      <w:r>
        <w:rPr>
          <w:rFonts w:hint="eastAsia" w:ascii="宋体"/>
          <w:bCs/>
          <w:smallCaps/>
        </w:rPr>
        <w:t>4</w:t>
      </w:r>
    </w:p>
    <w:p>
      <w:pPr>
        <w:pStyle w:val="14"/>
        <w:spacing w:line="560" w:lineRule="exact"/>
        <w:ind w:left="0" w:leftChars="0" w:firstLine="560" w:firstLineChars="200"/>
        <w:rPr>
          <w:rFonts w:ascii="宋体"/>
          <w:i/>
          <w:iCs/>
          <w:smallCaps/>
          <w:sz w:val="28"/>
          <w:szCs w:val="28"/>
        </w:rPr>
      </w:pPr>
      <w:r>
        <w:rPr>
          <w:rFonts w:hint="eastAsia" w:ascii="宋体"/>
          <w:sz w:val="28"/>
          <w:szCs w:val="28"/>
        </w:rPr>
        <w:t>一、部门职责</w:t>
      </w:r>
      <w:r>
        <w:rPr>
          <w:rFonts w:ascii="宋体"/>
          <w:sz w:val="28"/>
          <w:szCs w:val="28"/>
        </w:rPr>
        <w:tab/>
      </w:r>
      <w:r>
        <w:rPr>
          <w:rFonts w:hint="eastAsia" w:ascii="宋体"/>
          <w:sz w:val="28"/>
          <w:szCs w:val="28"/>
        </w:rPr>
        <w:t>4</w:t>
      </w:r>
    </w:p>
    <w:p>
      <w:pPr>
        <w:pStyle w:val="14"/>
        <w:spacing w:line="560" w:lineRule="exact"/>
        <w:ind w:left="0" w:leftChars="0" w:firstLine="560" w:firstLineChars="200"/>
        <w:rPr>
          <w:rFonts w:ascii="宋体"/>
          <w:sz w:val="28"/>
          <w:szCs w:val="28"/>
        </w:rPr>
      </w:pPr>
      <w:r>
        <w:rPr>
          <w:rFonts w:hint="eastAsia" w:ascii="宋体"/>
          <w:sz w:val="28"/>
          <w:szCs w:val="28"/>
        </w:rPr>
        <w:t>二、机构设置</w:t>
      </w:r>
      <w:r>
        <w:rPr>
          <w:rFonts w:ascii="宋体"/>
          <w:sz w:val="28"/>
          <w:szCs w:val="28"/>
        </w:rPr>
        <w:tab/>
      </w:r>
      <w:r>
        <w:rPr>
          <w:rFonts w:hint="eastAsia" w:ascii="宋体"/>
          <w:sz w:val="28"/>
          <w:szCs w:val="28"/>
        </w:rPr>
        <w:t>4</w:t>
      </w:r>
    </w:p>
    <w:p>
      <w:pPr>
        <w:pStyle w:val="13"/>
        <w:spacing w:line="560" w:lineRule="exact"/>
        <w:jc w:val="both"/>
        <w:rPr>
          <w:rFonts w:ascii="宋体"/>
          <w:smallCaps/>
        </w:rPr>
      </w:pPr>
      <w:r>
        <w:rPr>
          <w:rFonts w:hint="eastAsia" w:ascii="宋体"/>
          <w:smallCaps/>
        </w:rPr>
        <w:t>第二部分</w:t>
      </w:r>
      <w:r>
        <w:rPr>
          <w:rFonts w:ascii="宋体"/>
          <w:smallCaps/>
        </w:rPr>
        <w:t xml:space="preserve"> 202</w:t>
      </w:r>
      <w:r>
        <w:rPr>
          <w:rFonts w:hint="eastAsia" w:ascii="宋体"/>
          <w:smallCaps/>
        </w:rPr>
        <w:t>3年度部门决算情况说明</w:t>
      </w:r>
      <w:r>
        <w:rPr>
          <w:rFonts w:ascii="宋体"/>
          <w:smallCaps/>
        </w:rPr>
        <w:tab/>
      </w:r>
      <w:r>
        <w:rPr>
          <w:rFonts w:hint="eastAsia" w:ascii="宋体"/>
          <w:smallCaps/>
        </w:rPr>
        <w:t>5</w:t>
      </w:r>
    </w:p>
    <w:p>
      <w:pPr>
        <w:pStyle w:val="14"/>
        <w:tabs>
          <w:tab w:val="left" w:pos="840"/>
        </w:tabs>
        <w:spacing w:line="560" w:lineRule="exact"/>
        <w:ind w:left="0" w:leftChars="0" w:firstLine="560" w:firstLineChars="200"/>
        <w:rPr>
          <w:rFonts w:ascii="宋体"/>
          <w:sz w:val="28"/>
          <w:szCs w:val="28"/>
        </w:rPr>
      </w:pPr>
      <w:r>
        <w:rPr>
          <w:rFonts w:hint="eastAsia" w:ascii="宋体"/>
          <w:sz w:val="28"/>
          <w:szCs w:val="28"/>
        </w:rPr>
        <w:t>一、收入支出决算总体情况说明</w:t>
      </w:r>
      <w:r>
        <w:rPr>
          <w:rFonts w:ascii="宋体"/>
          <w:sz w:val="28"/>
          <w:szCs w:val="28"/>
        </w:rPr>
        <w:tab/>
      </w:r>
      <w:r>
        <w:rPr>
          <w:rFonts w:hint="eastAsia" w:ascii="宋体"/>
          <w:sz w:val="28"/>
          <w:szCs w:val="28"/>
        </w:rPr>
        <w:t>5</w:t>
      </w:r>
    </w:p>
    <w:p>
      <w:pPr>
        <w:pStyle w:val="14"/>
        <w:tabs>
          <w:tab w:val="left" w:pos="840"/>
        </w:tabs>
        <w:spacing w:line="560" w:lineRule="exact"/>
        <w:ind w:left="0" w:leftChars="0" w:firstLine="560" w:firstLineChars="200"/>
        <w:rPr>
          <w:rFonts w:ascii="宋体"/>
          <w:sz w:val="28"/>
          <w:szCs w:val="28"/>
        </w:rPr>
      </w:pPr>
      <w:r>
        <w:rPr>
          <w:rFonts w:hint="eastAsia" w:ascii="宋体"/>
          <w:sz w:val="28"/>
          <w:szCs w:val="28"/>
        </w:rPr>
        <w:t>二、收入决算情况说明</w:t>
      </w:r>
      <w:r>
        <w:rPr>
          <w:rFonts w:ascii="宋体"/>
          <w:sz w:val="28"/>
          <w:szCs w:val="28"/>
        </w:rPr>
        <w:tab/>
      </w:r>
      <w:r>
        <w:rPr>
          <w:rFonts w:hint="eastAsia" w:ascii="宋体"/>
          <w:sz w:val="28"/>
          <w:szCs w:val="28"/>
        </w:rPr>
        <w:t>5</w:t>
      </w:r>
    </w:p>
    <w:p>
      <w:pPr>
        <w:pStyle w:val="14"/>
        <w:tabs>
          <w:tab w:val="left" w:pos="840"/>
        </w:tabs>
        <w:spacing w:line="560" w:lineRule="exact"/>
        <w:ind w:left="0" w:leftChars="0" w:firstLine="560" w:firstLineChars="200"/>
        <w:rPr>
          <w:rFonts w:ascii="宋体"/>
          <w:sz w:val="28"/>
          <w:szCs w:val="28"/>
        </w:rPr>
      </w:pPr>
      <w:r>
        <w:rPr>
          <w:rFonts w:hint="eastAsia" w:ascii="宋体"/>
          <w:sz w:val="28"/>
          <w:szCs w:val="28"/>
        </w:rPr>
        <w:t>三、支出决算情况说明</w:t>
      </w:r>
      <w:r>
        <w:rPr>
          <w:rFonts w:ascii="宋体"/>
          <w:sz w:val="28"/>
          <w:szCs w:val="28"/>
        </w:rPr>
        <w:tab/>
      </w:r>
      <w:r>
        <w:rPr>
          <w:rFonts w:hint="eastAsia" w:ascii="宋体"/>
          <w:sz w:val="28"/>
          <w:szCs w:val="28"/>
        </w:rPr>
        <w:t>6</w:t>
      </w:r>
    </w:p>
    <w:p>
      <w:pPr>
        <w:pStyle w:val="14"/>
        <w:spacing w:line="560" w:lineRule="exact"/>
        <w:ind w:left="0" w:leftChars="0" w:firstLine="560" w:firstLineChars="200"/>
        <w:rPr>
          <w:rFonts w:ascii="宋体"/>
          <w:sz w:val="28"/>
          <w:szCs w:val="28"/>
        </w:rPr>
      </w:pPr>
      <w:r>
        <w:rPr>
          <w:rFonts w:hint="eastAsia" w:ascii="宋体"/>
          <w:sz w:val="28"/>
          <w:szCs w:val="28"/>
        </w:rPr>
        <w:t>四、财政拨款收入支出决算总体情况说明</w:t>
      </w:r>
      <w:r>
        <w:rPr>
          <w:rFonts w:ascii="宋体"/>
          <w:sz w:val="28"/>
          <w:szCs w:val="28"/>
        </w:rPr>
        <w:tab/>
      </w:r>
      <w:r>
        <w:rPr>
          <w:rFonts w:hint="eastAsia" w:ascii="宋体"/>
          <w:sz w:val="28"/>
          <w:szCs w:val="28"/>
        </w:rPr>
        <w:t>7</w:t>
      </w:r>
    </w:p>
    <w:p>
      <w:pPr>
        <w:pStyle w:val="14"/>
        <w:spacing w:line="560" w:lineRule="exact"/>
        <w:ind w:left="0" w:leftChars="0" w:firstLine="560" w:firstLineChars="200"/>
        <w:rPr>
          <w:rFonts w:ascii="宋体"/>
          <w:i/>
          <w:iCs/>
          <w:smallCaps/>
          <w:sz w:val="28"/>
          <w:szCs w:val="28"/>
        </w:rPr>
      </w:pPr>
      <w:r>
        <w:rPr>
          <w:rFonts w:hint="eastAsia" w:ascii="宋体"/>
          <w:sz w:val="28"/>
          <w:szCs w:val="28"/>
        </w:rPr>
        <w:t>五、一般公共预算财政拨款支出决算情况说明</w:t>
      </w:r>
      <w:r>
        <w:rPr>
          <w:rFonts w:ascii="宋体"/>
          <w:sz w:val="28"/>
          <w:szCs w:val="28"/>
        </w:rPr>
        <w:tab/>
      </w:r>
      <w:r>
        <w:rPr>
          <w:rFonts w:hint="eastAsia" w:ascii="宋体"/>
          <w:sz w:val="28"/>
          <w:szCs w:val="28"/>
        </w:rPr>
        <w:t>7</w:t>
      </w:r>
    </w:p>
    <w:p>
      <w:pPr>
        <w:pStyle w:val="14"/>
        <w:spacing w:line="560" w:lineRule="exact"/>
        <w:ind w:left="0" w:leftChars="0" w:firstLine="560" w:firstLineChars="200"/>
        <w:rPr>
          <w:rFonts w:ascii="宋体"/>
          <w:sz w:val="28"/>
          <w:szCs w:val="28"/>
        </w:rPr>
      </w:pPr>
      <w:r>
        <w:rPr>
          <w:rFonts w:hint="eastAsia" w:ascii="宋体"/>
          <w:sz w:val="28"/>
          <w:szCs w:val="28"/>
        </w:rPr>
        <w:t>六、一般公共预算财政拨款基本支出决算情况说明</w:t>
      </w:r>
      <w:r>
        <w:rPr>
          <w:rFonts w:ascii="宋体"/>
          <w:sz w:val="28"/>
          <w:szCs w:val="28"/>
        </w:rPr>
        <w:tab/>
      </w:r>
      <w:r>
        <w:rPr>
          <w:rFonts w:hint="eastAsia" w:ascii="宋体"/>
          <w:sz w:val="28"/>
          <w:szCs w:val="28"/>
        </w:rPr>
        <w:t>9</w:t>
      </w:r>
    </w:p>
    <w:p>
      <w:pPr>
        <w:pStyle w:val="14"/>
        <w:spacing w:line="560" w:lineRule="exact"/>
        <w:ind w:left="0" w:leftChars="0" w:firstLine="560" w:firstLineChars="200"/>
        <w:rPr>
          <w:rFonts w:ascii="宋体"/>
          <w:i/>
          <w:iCs/>
          <w:smallCaps/>
          <w:sz w:val="28"/>
          <w:szCs w:val="28"/>
        </w:rPr>
      </w:pPr>
      <w:r>
        <w:rPr>
          <w:rFonts w:hint="eastAsia" w:ascii="宋体"/>
          <w:sz w:val="28"/>
          <w:szCs w:val="28"/>
        </w:rPr>
        <w:t>七、财政拨款“三公”经费支出决算情况说明</w:t>
      </w:r>
      <w:r>
        <w:rPr>
          <w:rFonts w:ascii="宋体"/>
          <w:sz w:val="28"/>
          <w:szCs w:val="28"/>
        </w:rPr>
        <w:tab/>
      </w:r>
      <w:r>
        <w:rPr>
          <w:rFonts w:hint="eastAsia" w:ascii="宋体"/>
          <w:sz w:val="28"/>
          <w:szCs w:val="28"/>
        </w:rPr>
        <w:t>10</w:t>
      </w:r>
    </w:p>
    <w:p>
      <w:pPr>
        <w:pStyle w:val="14"/>
        <w:spacing w:line="560" w:lineRule="exact"/>
        <w:ind w:left="0" w:leftChars="0" w:firstLine="560" w:firstLineChars="200"/>
        <w:rPr>
          <w:rFonts w:ascii="宋体"/>
          <w:sz w:val="28"/>
          <w:szCs w:val="28"/>
        </w:rPr>
      </w:pPr>
      <w:r>
        <w:rPr>
          <w:rFonts w:hint="eastAsia" w:ascii="宋体"/>
          <w:sz w:val="28"/>
          <w:szCs w:val="28"/>
        </w:rPr>
        <w:t>八、政府性基金预算支出决算情况说明</w:t>
      </w:r>
      <w:r>
        <w:rPr>
          <w:rFonts w:ascii="宋体"/>
          <w:sz w:val="28"/>
          <w:szCs w:val="28"/>
        </w:rPr>
        <w:tab/>
      </w:r>
      <w:r>
        <w:rPr>
          <w:rFonts w:hint="eastAsia" w:ascii="宋体"/>
          <w:sz w:val="28"/>
          <w:szCs w:val="28"/>
        </w:rPr>
        <w:t>11</w:t>
      </w:r>
    </w:p>
    <w:p>
      <w:pPr>
        <w:pStyle w:val="14"/>
        <w:spacing w:line="560" w:lineRule="exact"/>
        <w:ind w:left="0" w:leftChars="0" w:firstLine="560" w:firstLineChars="200"/>
        <w:rPr>
          <w:rFonts w:ascii="宋体"/>
          <w:sz w:val="28"/>
          <w:szCs w:val="28"/>
        </w:rPr>
      </w:pPr>
      <w:r>
        <w:rPr>
          <w:rFonts w:hint="eastAsia" w:ascii="宋体"/>
          <w:sz w:val="28"/>
          <w:szCs w:val="28"/>
        </w:rPr>
        <w:t>九、国有资本经营预算支出决算情况说明</w:t>
      </w:r>
      <w:r>
        <w:rPr>
          <w:rFonts w:ascii="宋体"/>
          <w:sz w:val="28"/>
          <w:szCs w:val="28"/>
        </w:rPr>
        <w:tab/>
      </w:r>
      <w:r>
        <w:rPr>
          <w:rFonts w:hint="eastAsia" w:ascii="宋体"/>
          <w:sz w:val="28"/>
          <w:szCs w:val="28"/>
        </w:rPr>
        <w:t>12</w:t>
      </w:r>
    </w:p>
    <w:p>
      <w:pPr>
        <w:pStyle w:val="14"/>
        <w:spacing w:line="560" w:lineRule="exact"/>
        <w:ind w:left="0" w:leftChars="0" w:firstLine="840" w:firstLineChars="300"/>
        <w:rPr>
          <w:rFonts w:ascii="宋体"/>
          <w:i/>
          <w:iCs/>
          <w:smallCaps/>
          <w:sz w:val="28"/>
          <w:szCs w:val="28"/>
        </w:rPr>
      </w:pPr>
      <w:r>
        <w:rPr>
          <w:rFonts w:hint="eastAsia" w:ascii="宋体"/>
          <w:sz w:val="28"/>
          <w:szCs w:val="28"/>
        </w:rPr>
        <w:t>十、其他重要事项的情况说明</w:t>
      </w:r>
      <w:r>
        <w:rPr>
          <w:rFonts w:ascii="宋体"/>
          <w:sz w:val="28"/>
          <w:szCs w:val="28"/>
        </w:rPr>
        <w:tab/>
      </w:r>
      <w:r>
        <w:rPr>
          <w:rFonts w:hint="eastAsia" w:ascii="宋体"/>
          <w:sz w:val="28"/>
          <w:szCs w:val="28"/>
        </w:rPr>
        <w:t>12</w:t>
      </w:r>
    </w:p>
    <w:p>
      <w:pPr>
        <w:pStyle w:val="13"/>
        <w:spacing w:line="560" w:lineRule="exact"/>
        <w:jc w:val="both"/>
        <w:rPr>
          <w:rFonts w:ascii="宋体"/>
          <w:smallCaps/>
        </w:rPr>
      </w:pPr>
      <w:r>
        <w:rPr>
          <w:rFonts w:hint="eastAsia" w:ascii="宋体"/>
          <w:smallCaps/>
        </w:rPr>
        <w:t>第三部分  名词解释</w:t>
      </w:r>
      <w:r>
        <w:rPr>
          <w:rFonts w:ascii="宋体"/>
          <w:smallCaps/>
        </w:rPr>
        <w:tab/>
      </w:r>
      <w:r>
        <w:rPr>
          <w:rFonts w:hint="eastAsia" w:ascii="宋体"/>
          <w:smallCaps/>
        </w:rPr>
        <w:t>13</w:t>
      </w:r>
    </w:p>
    <w:p>
      <w:pPr>
        <w:pStyle w:val="13"/>
        <w:spacing w:line="560" w:lineRule="exact"/>
        <w:jc w:val="both"/>
        <w:rPr>
          <w:rFonts w:ascii="宋体"/>
          <w:smallCaps/>
        </w:rPr>
      </w:pPr>
      <w:r>
        <w:rPr>
          <w:rFonts w:hint="eastAsia" w:ascii="宋体"/>
          <w:smallCaps/>
        </w:rPr>
        <w:t>第四部分  附件</w:t>
      </w:r>
      <w:r>
        <w:rPr>
          <w:rFonts w:ascii="宋体"/>
          <w:smallCaps/>
        </w:rPr>
        <w:tab/>
      </w:r>
      <w:r>
        <w:rPr>
          <w:rFonts w:hint="eastAsia" w:ascii="宋体"/>
          <w:smallCaps/>
        </w:rPr>
        <w:t>16</w:t>
      </w:r>
    </w:p>
    <w:p>
      <w:pPr>
        <w:pStyle w:val="13"/>
        <w:spacing w:line="580" w:lineRule="exact"/>
        <w:jc w:val="both"/>
        <w:rPr>
          <w:rFonts w:ascii="宋体"/>
          <w:smallCaps/>
        </w:rPr>
      </w:pPr>
      <w:r>
        <w:rPr>
          <w:rFonts w:hint="eastAsia" w:ascii="宋体"/>
          <w:smallCaps/>
        </w:rPr>
        <w:t>第五部分  附表</w:t>
      </w:r>
      <w:r>
        <w:rPr>
          <w:rFonts w:ascii="宋体"/>
          <w:smallCaps/>
        </w:rPr>
        <w:tab/>
      </w:r>
      <w:r>
        <w:rPr>
          <w:rFonts w:hint="eastAsia" w:ascii="宋体"/>
          <w:smallCaps/>
        </w:rPr>
        <w:t>29</w:t>
      </w:r>
    </w:p>
    <w:p>
      <w:pPr>
        <w:pStyle w:val="13"/>
        <w:spacing w:line="560" w:lineRule="exact"/>
        <w:ind w:firstLine="560" w:firstLineChars="200"/>
        <w:jc w:val="both"/>
        <w:rPr>
          <w:rFonts w:ascii="宋体"/>
          <w:smallCaps/>
        </w:rPr>
      </w:pPr>
      <w:r>
        <w:rPr>
          <w:rFonts w:hint="eastAsia" w:ascii="宋体"/>
        </w:rPr>
        <w:t>一、收入支出决算总表</w:t>
      </w:r>
    </w:p>
    <w:p>
      <w:pPr>
        <w:pStyle w:val="14"/>
        <w:spacing w:line="560" w:lineRule="exact"/>
        <w:ind w:left="0" w:leftChars="0" w:firstLine="560" w:firstLineChars="200"/>
        <w:rPr>
          <w:rFonts w:ascii="宋体"/>
          <w:sz w:val="28"/>
          <w:szCs w:val="28"/>
        </w:rPr>
      </w:pPr>
      <w:r>
        <w:rPr>
          <w:rFonts w:hint="eastAsia" w:ascii="宋体"/>
          <w:sz w:val="28"/>
          <w:szCs w:val="28"/>
        </w:rPr>
        <w:t>二、收入决算表</w:t>
      </w:r>
    </w:p>
    <w:p>
      <w:pPr>
        <w:pStyle w:val="14"/>
        <w:spacing w:line="560" w:lineRule="exact"/>
        <w:ind w:left="0" w:leftChars="0" w:firstLine="560" w:firstLineChars="200"/>
        <w:rPr>
          <w:rFonts w:ascii="宋体"/>
          <w:sz w:val="28"/>
          <w:szCs w:val="28"/>
        </w:rPr>
      </w:pPr>
      <w:r>
        <w:rPr>
          <w:rFonts w:hint="eastAsia" w:ascii="宋体"/>
          <w:sz w:val="28"/>
          <w:szCs w:val="28"/>
        </w:rPr>
        <w:t>三、支出决算表</w:t>
      </w:r>
    </w:p>
    <w:p>
      <w:pPr>
        <w:pStyle w:val="14"/>
        <w:spacing w:line="560" w:lineRule="exact"/>
        <w:ind w:left="0" w:leftChars="0" w:firstLine="560" w:firstLineChars="200"/>
        <w:rPr>
          <w:rFonts w:ascii="宋体"/>
          <w:sz w:val="28"/>
          <w:szCs w:val="28"/>
        </w:rPr>
      </w:pPr>
      <w:r>
        <w:rPr>
          <w:rFonts w:hint="eastAsia" w:ascii="宋体"/>
          <w:sz w:val="28"/>
          <w:szCs w:val="28"/>
        </w:rPr>
        <w:t>四、财政拨款收入支出决算总表</w:t>
      </w:r>
    </w:p>
    <w:p>
      <w:pPr>
        <w:pStyle w:val="14"/>
        <w:spacing w:line="560" w:lineRule="exact"/>
        <w:ind w:left="0" w:leftChars="0" w:firstLine="560" w:firstLineChars="200"/>
        <w:rPr>
          <w:rFonts w:ascii="宋体"/>
          <w:sz w:val="28"/>
          <w:szCs w:val="28"/>
        </w:rPr>
      </w:pPr>
      <w:r>
        <w:rPr>
          <w:rFonts w:hint="eastAsia" w:ascii="宋体"/>
          <w:sz w:val="28"/>
          <w:szCs w:val="28"/>
        </w:rPr>
        <w:t>五、财政拨款支出决算明细表</w:t>
      </w:r>
    </w:p>
    <w:p>
      <w:pPr>
        <w:pStyle w:val="14"/>
        <w:spacing w:line="560" w:lineRule="exact"/>
        <w:ind w:left="0" w:leftChars="0" w:firstLine="560" w:firstLineChars="200"/>
        <w:rPr>
          <w:rFonts w:ascii="宋体"/>
          <w:sz w:val="28"/>
          <w:szCs w:val="28"/>
        </w:rPr>
      </w:pPr>
      <w:r>
        <w:rPr>
          <w:rFonts w:hint="eastAsia" w:ascii="宋体"/>
          <w:sz w:val="28"/>
          <w:szCs w:val="28"/>
        </w:rPr>
        <w:t>六、一般公共预算财政拨款支出决算表</w:t>
      </w:r>
    </w:p>
    <w:p>
      <w:pPr>
        <w:pStyle w:val="14"/>
        <w:spacing w:line="560" w:lineRule="exact"/>
        <w:ind w:left="0" w:leftChars="0" w:firstLine="560" w:firstLineChars="200"/>
        <w:rPr>
          <w:rFonts w:ascii="宋体"/>
          <w:sz w:val="28"/>
          <w:szCs w:val="28"/>
        </w:rPr>
      </w:pPr>
      <w:r>
        <w:rPr>
          <w:rFonts w:hint="eastAsia" w:ascii="宋体"/>
          <w:sz w:val="28"/>
          <w:szCs w:val="28"/>
        </w:rPr>
        <w:t>七、一般公共预算财政拨款支出决算明细表</w:t>
      </w:r>
    </w:p>
    <w:p>
      <w:pPr>
        <w:pStyle w:val="14"/>
        <w:spacing w:line="560" w:lineRule="exact"/>
        <w:ind w:left="0" w:leftChars="0" w:firstLine="560" w:firstLineChars="200"/>
        <w:rPr>
          <w:rFonts w:ascii="宋体"/>
          <w:sz w:val="28"/>
          <w:szCs w:val="28"/>
        </w:rPr>
      </w:pPr>
      <w:r>
        <w:rPr>
          <w:rFonts w:hint="eastAsia" w:ascii="宋体"/>
          <w:sz w:val="28"/>
          <w:szCs w:val="28"/>
        </w:rPr>
        <w:t>八、一般公共预算财政拨款基本支出决算表</w:t>
      </w:r>
    </w:p>
    <w:p>
      <w:pPr>
        <w:pStyle w:val="14"/>
        <w:spacing w:line="560" w:lineRule="exact"/>
        <w:ind w:left="0" w:leftChars="0" w:firstLine="560" w:firstLineChars="200"/>
        <w:rPr>
          <w:rFonts w:ascii="宋体"/>
          <w:sz w:val="28"/>
          <w:szCs w:val="28"/>
        </w:rPr>
      </w:pPr>
      <w:r>
        <w:rPr>
          <w:rFonts w:hint="eastAsia" w:ascii="宋体"/>
          <w:sz w:val="28"/>
          <w:szCs w:val="28"/>
        </w:rPr>
        <w:t>九、一般公共预算财政拨款项目支出决算表</w:t>
      </w:r>
    </w:p>
    <w:p>
      <w:pPr>
        <w:pStyle w:val="14"/>
        <w:spacing w:line="560" w:lineRule="exact"/>
        <w:ind w:left="0" w:leftChars="0" w:firstLine="560" w:firstLineChars="200"/>
        <w:rPr>
          <w:rFonts w:ascii="宋体"/>
          <w:sz w:val="28"/>
          <w:szCs w:val="28"/>
        </w:rPr>
      </w:pPr>
      <w:r>
        <w:rPr>
          <w:rFonts w:hint="eastAsia" w:ascii="宋体"/>
          <w:sz w:val="28"/>
          <w:szCs w:val="28"/>
        </w:rPr>
        <w:t>十、政府性基金预算财政拨款收入支出决算表</w:t>
      </w:r>
    </w:p>
    <w:p>
      <w:pPr>
        <w:pStyle w:val="14"/>
        <w:spacing w:line="560" w:lineRule="exact"/>
        <w:ind w:left="0" w:leftChars="0" w:firstLine="560" w:firstLineChars="200"/>
        <w:rPr>
          <w:rFonts w:ascii="宋体"/>
          <w:sz w:val="28"/>
          <w:szCs w:val="28"/>
        </w:rPr>
      </w:pPr>
      <w:r>
        <w:rPr>
          <w:rFonts w:hint="eastAsia" w:ascii="宋体"/>
          <w:sz w:val="28"/>
          <w:szCs w:val="28"/>
        </w:rPr>
        <w:t>十一、国有资本经营预算财政拨款收入支出决算表</w:t>
      </w:r>
    </w:p>
    <w:p>
      <w:pPr>
        <w:pStyle w:val="14"/>
        <w:spacing w:line="560" w:lineRule="exact"/>
        <w:ind w:left="420"/>
        <w:rPr>
          <w:rFonts w:ascii="宋体"/>
          <w:sz w:val="28"/>
          <w:szCs w:val="28"/>
        </w:rPr>
      </w:pPr>
      <w:r>
        <w:rPr>
          <w:rFonts w:hint="eastAsia" w:ascii="宋体"/>
          <w:sz w:val="28"/>
          <w:szCs w:val="28"/>
        </w:rPr>
        <w:t>十二、国有资本经营预算财政拨款支出决算表</w:t>
      </w:r>
    </w:p>
    <w:p>
      <w:pPr>
        <w:pStyle w:val="14"/>
        <w:spacing w:line="560" w:lineRule="exact"/>
        <w:ind w:left="420"/>
        <w:rPr>
          <w:rFonts w:ascii="宋体"/>
          <w:sz w:val="28"/>
          <w:szCs w:val="28"/>
        </w:rPr>
      </w:pPr>
      <w:r>
        <w:rPr>
          <w:rFonts w:hint="eastAsia" w:ascii="宋体"/>
          <w:sz w:val="28"/>
          <w:szCs w:val="28"/>
        </w:rPr>
        <w:t>十三、财政拨款“三公”经费支出决算表</w:t>
      </w: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r>
        <w:rPr>
          <w:rStyle w:val="21"/>
          <w:rFonts w:hint="eastAsia" w:ascii="方正小标宋简体" w:eastAsia="方正小标宋简体" w:cs="方正小标宋简体"/>
          <w:b w:val="0"/>
          <w:bCs w:val="0"/>
        </w:rPr>
        <w:t>第一部分  部门概况</w:t>
      </w:r>
    </w:p>
    <w:p/>
    <w:p>
      <w:pPr>
        <w:pStyle w:val="13"/>
        <w:spacing w:line="560" w:lineRule="exact"/>
        <w:rPr>
          <w:rFonts w:ascii="宋体" w:cs="Times New Roman"/>
        </w:rPr>
      </w:pPr>
      <w:r>
        <w:rPr>
          <w:rFonts w:ascii="宋体"/>
          <w:smallCaps/>
        </w:rPr>
        <w:fldChar w:fldCharType="end"/>
      </w:r>
    </w:p>
    <w:p>
      <w:pPr>
        <w:widowControl/>
        <w:spacing w:line="560" w:lineRule="exact"/>
        <w:jc w:val="left"/>
        <w:rPr>
          <w:rFonts w:ascii="仿宋_GB2312" w:eastAsia="仿宋_GB2312"/>
          <w:sz w:val="32"/>
          <w:szCs w:val="32"/>
        </w:rPr>
      </w:pPr>
      <w:r>
        <w:rPr>
          <w:rFonts w:ascii="宋体" w:cs="黑体"/>
          <w:color w:val="000000"/>
          <w:sz w:val="28"/>
          <w:szCs w:val="28"/>
        </w:rPr>
        <w:fldChar w:fldCharType="end"/>
      </w:r>
      <w:bookmarkStart w:id="12" w:name="_Toc15378445"/>
      <w:bookmarkStart w:id="13" w:name="_Toc15377198"/>
      <w:r>
        <w:rPr>
          <w:rFonts w:hint="eastAsia" w:ascii="宋体" w:cs="黑体"/>
          <w:color w:val="000000"/>
          <w:sz w:val="28"/>
          <w:szCs w:val="28"/>
        </w:rPr>
        <w:t xml:space="preserve">    </w:t>
      </w:r>
      <w:r>
        <w:rPr>
          <w:rStyle w:val="22"/>
          <w:rFonts w:hint="eastAsia" w:ascii="黑体" w:eastAsia="黑体" w:cs="黑体"/>
          <w:b w:val="0"/>
          <w:bCs w:val="0"/>
        </w:rPr>
        <w:t>一、部门职责</w:t>
      </w:r>
      <w:bookmarkEnd w:id="12"/>
      <w:bookmarkEnd w:id="13"/>
    </w:p>
    <w:p>
      <w:pPr>
        <w:adjustRightInd w:val="0"/>
        <w:snapToGrid w:val="0"/>
        <w:spacing w:line="560" w:lineRule="exact"/>
        <w:ind w:firstLine="640" w:firstLineChars="200"/>
        <w:jc w:val="left"/>
        <w:outlineLvl w:val="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围绕党的中心任务和县委、县政府的重大部署，对全县重大现实问题开展理论研究，为教学和社会实践服务，将重要成果提供县委、县政府决策参考。</w:t>
      </w:r>
    </w:p>
    <w:p>
      <w:pPr>
        <w:spacing w:line="560" w:lineRule="exact"/>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接受上级党校的业务指导，完成县委、县政府交办的其它事项。</w:t>
      </w:r>
      <w:bookmarkStart w:id="14" w:name="_Toc15377200"/>
      <w:bookmarkStart w:id="15" w:name="_Toc15396601"/>
    </w:p>
    <w:p>
      <w:pPr>
        <w:spacing w:line="560" w:lineRule="exact"/>
        <w:ind w:firstLine="640" w:firstLineChars="200"/>
        <w:rPr>
          <w:rStyle w:val="22"/>
          <w:b w:val="0"/>
          <w:bCs w:val="0"/>
        </w:rPr>
      </w:pPr>
      <w:r>
        <w:rPr>
          <w:rFonts w:hint="eastAsia" w:ascii="黑体" w:eastAsia="黑体" w:cs="黑体"/>
          <w:color w:val="000000"/>
          <w:sz w:val="32"/>
          <w:szCs w:val="32"/>
        </w:rPr>
        <w:t>二、机</w:t>
      </w:r>
      <w:r>
        <w:rPr>
          <w:rStyle w:val="22"/>
          <w:rFonts w:hint="eastAsia" w:ascii="黑体" w:eastAsia="黑体" w:cs="黑体"/>
          <w:b w:val="0"/>
          <w:bCs w:val="0"/>
        </w:rPr>
        <w:t>构设置</w:t>
      </w:r>
      <w:bookmarkEnd w:id="14"/>
      <w:bookmarkEnd w:id="15"/>
    </w:p>
    <w:p>
      <w:pPr>
        <w:spacing w:line="560" w:lineRule="exact"/>
        <w:ind w:firstLine="567"/>
        <w:rPr>
          <w:rFonts w:ascii="仿宋_GB2312" w:eastAsia="仿宋_GB2312"/>
          <w:sz w:val="32"/>
          <w:szCs w:val="32"/>
        </w:rPr>
      </w:pPr>
      <w:r>
        <w:rPr>
          <w:rFonts w:hint="eastAsia" w:ascii="仿宋_GB2312" w:eastAsia="仿宋_GB2312" w:cs="仿宋_GB2312"/>
          <w:sz w:val="32"/>
          <w:szCs w:val="32"/>
        </w:rPr>
        <w:t>本单位为一级预算单位，所属</w:t>
      </w:r>
      <w:r>
        <w:rPr>
          <w:rFonts w:ascii="仿宋_GB2312" w:eastAsia="仿宋_GB2312" w:cs="仿宋_GB2312"/>
          <w:sz w:val="32"/>
          <w:szCs w:val="32"/>
        </w:rPr>
        <w:t>1</w:t>
      </w:r>
      <w:r>
        <w:rPr>
          <w:rFonts w:hint="eastAsia" w:ascii="仿宋_GB2312" w:eastAsia="仿宋_GB2312" w:cs="仿宋_GB2312"/>
          <w:sz w:val="32"/>
          <w:szCs w:val="32"/>
        </w:rPr>
        <w:t>级预算单位，单位性质为参照公务员管理的事业单位，决算编报类型为单户表，按照行政单位会计制度填报决算数据。</w:t>
      </w:r>
    </w:p>
    <w:p>
      <w:pPr>
        <w:snapToGrid w:val="0"/>
        <w:spacing w:line="560" w:lineRule="exact"/>
        <w:ind w:firstLine="640" w:firstLineChars="200"/>
        <w:rPr>
          <w:rFonts w:ascii="楷体_GB2312" w:eastAsia="楷体_GB2312"/>
          <w:sz w:val="32"/>
          <w:szCs w:val="32"/>
        </w:rPr>
      </w:pPr>
      <w:r>
        <w:rPr>
          <w:rFonts w:hint="eastAsia" w:ascii="仿宋_GB2312" w:eastAsia="仿宋_GB2312" w:cs="仿宋_GB2312"/>
          <w:sz w:val="32"/>
          <w:szCs w:val="32"/>
        </w:rPr>
        <w:t>纳入本套决算编制范围的独立核算单位共</w:t>
      </w:r>
      <w:r>
        <w:rPr>
          <w:rFonts w:ascii="仿宋_GB2312" w:eastAsia="仿宋_GB2312" w:cs="仿宋_GB2312"/>
          <w:sz w:val="32"/>
          <w:szCs w:val="32"/>
        </w:rPr>
        <w:t>2</w:t>
      </w:r>
      <w:r>
        <w:rPr>
          <w:rFonts w:hint="eastAsia" w:ascii="仿宋_GB2312" w:eastAsia="仿宋_GB2312" w:cs="仿宋_GB2312"/>
          <w:sz w:val="32"/>
          <w:szCs w:val="32"/>
        </w:rPr>
        <w:t>个。包括：中共茂县委员会党校（本级）和中共茂县委员会党校教研室。</w:t>
      </w:r>
    </w:p>
    <w:p>
      <w:pPr>
        <w:widowControl/>
        <w:spacing w:line="560" w:lineRule="exact"/>
        <w:jc w:val="center"/>
        <w:rPr>
          <w:rStyle w:val="21"/>
          <w:rFonts w:ascii="方正小标宋简体" w:eastAsia="方正小标宋简体" w:cs="方正小标宋简体"/>
          <w:b w:val="0"/>
          <w:bCs w:val="0"/>
        </w:rPr>
      </w:pPr>
      <w:r>
        <w:rPr>
          <w:rFonts w:ascii="??" w:hAnsi="??"/>
          <w:color w:val="000000"/>
          <w:sz w:val="32"/>
          <w:szCs w:val="32"/>
        </w:rPr>
        <w:br w:type="page"/>
      </w:r>
      <w:bookmarkStart w:id="16" w:name="_Toc15396602"/>
      <w:bookmarkStart w:id="17" w:name="_Toc15377204"/>
      <w:r>
        <w:rPr>
          <w:rStyle w:val="21"/>
          <w:rFonts w:hint="eastAsia" w:ascii="方正小标宋简体" w:eastAsia="方正小标宋简体" w:cs="方正小标宋简体"/>
          <w:b w:val="0"/>
          <w:bCs w:val="0"/>
        </w:rPr>
        <w:t>第二部分</w:t>
      </w:r>
      <w:r>
        <w:rPr>
          <w:rStyle w:val="21"/>
          <w:rFonts w:ascii="方正小标宋简体" w:eastAsia="方正小标宋简体" w:cs="方正小标宋简体"/>
          <w:b w:val="0"/>
          <w:bCs w:val="0"/>
        </w:rPr>
        <w:t>202</w:t>
      </w:r>
      <w:r>
        <w:rPr>
          <w:rStyle w:val="21"/>
          <w:rFonts w:hint="eastAsia" w:ascii="方正小标宋简体" w:eastAsia="方正小标宋简体" w:cs="方正小标宋简体"/>
          <w:b w:val="0"/>
          <w:bCs w:val="0"/>
        </w:rPr>
        <w:t>3年度部门决算情况说明</w:t>
      </w:r>
      <w:bookmarkEnd w:id="16"/>
      <w:bookmarkEnd w:id="17"/>
      <w:bookmarkStart w:id="18" w:name="_Toc15377205"/>
      <w:bookmarkStart w:id="19" w:name="_Toc15396603"/>
    </w:p>
    <w:p>
      <w:pPr>
        <w:widowControl/>
        <w:spacing w:line="560" w:lineRule="exact"/>
        <w:jc w:val="center"/>
        <w:rPr>
          <w:rStyle w:val="21"/>
          <w:rFonts w:ascii="??" w:hAnsi="??"/>
          <w:b w:val="0"/>
          <w:bCs w:val="0"/>
          <w:color w:val="000000"/>
          <w:kern w:val="2"/>
          <w:sz w:val="32"/>
          <w:szCs w:val="32"/>
        </w:rPr>
      </w:pPr>
    </w:p>
    <w:p>
      <w:pPr>
        <w:numPr>
          <w:ilvl w:val="0"/>
          <w:numId w:val="1"/>
        </w:numPr>
        <w:adjustRightInd w:val="0"/>
        <w:snapToGrid w:val="0"/>
        <w:spacing w:line="560" w:lineRule="exact"/>
        <w:ind w:firstLine="640" w:firstLineChars="200"/>
        <w:outlineLvl w:val="0"/>
        <w:rPr>
          <w:rStyle w:val="22"/>
          <w:rFonts w:ascii="黑体" w:eastAsia="黑体" w:cs="Times New Roman"/>
          <w:b w:val="0"/>
          <w:bCs w:val="0"/>
        </w:rPr>
      </w:pPr>
      <w:r>
        <w:rPr>
          <w:rFonts w:hint="eastAsia" w:ascii="黑体" w:eastAsia="黑体" w:cs="黑体"/>
          <w:color w:val="000000"/>
          <w:sz w:val="32"/>
          <w:szCs w:val="32"/>
        </w:rPr>
        <w:t>收</w:t>
      </w:r>
      <w:r>
        <w:rPr>
          <w:rStyle w:val="22"/>
          <w:rFonts w:hint="eastAsia" w:ascii="黑体" w:eastAsia="黑体" w:cs="黑体"/>
          <w:b w:val="0"/>
          <w:bCs w:val="0"/>
        </w:rPr>
        <w:t>入支出决算总体情况说明</w:t>
      </w:r>
      <w:bookmarkEnd w:id="18"/>
      <w:bookmarkEnd w:id="19"/>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3年度收、支总计541.88万元。与</w:t>
      </w:r>
      <w:r>
        <w:rPr>
          <w:rFonts w:ascii="仿宋_GB2312" w:eastAsia="仿宋_GB2312" w:cs="仿宋_GB2312"/>
          <w:sz w:val="32"/>
          <w:szCs w:val="32"/>
        </w:rPr>
        <w:t>202</w:t>
      </w:r>
      <w:r>
        <w:rPr>
          <w:rFonts w:hint="eastAsia" w:ascii="仿宋_GB2312" w:eastAsia="仿宋_GB2312" w:cs="仿宋_GB2312"/>
          <w:sz w:val="32"/>
          <w:szCs w:val="32"/>
        </w:rPr>
        <w:t>2年相比，收、支总计各增加217.77万元，增长67.19</w:t>
      </w:r>
      <w:r>
        <w:rPr>
          <w:rFonts w:ascii="仿宋_GB2312" w:eastAsia="仿宋_GB2312" w:cs="仿宋_GB2312"/>
          <w:sz w:val="32"/>
          <w:szCs w:val="32"/>
        </w:rPr>
        <w:t>%</w:t>
      </w:r>
      <w:r>
        <w:rPr>
          <w:rFonts w:hint="eastAsia" w:ascii="仿宋_GB2312" w:eastAsia="仿宋_GB2312" w:cs="仿宋_GB2312"/>
          <w:sz w:val="32"/>
          <w:szCs w:val="32"/>
        </w:rPr>
        <w:t>。主要原因是2023年增加了项目经费。</w:t>
      </w:r>
    </w:p>
    <w:p>
      <w:pPr>
        <w:widowControl/>
        <w:spacing w:line="560" w:lineRule="exact"/>
        <w:ind w:firstLine="843" w:firstLineChars="300"/>
        <w:jc w:val="left"/>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1</w:t>
      </w:r>
      <w:r>
        <w:rPr>
          <w:rFonts w:hint="eastAsia" w:ascii="宋体" w:cs="宋体"/>
          <w:b/>
          <w:bCs/>
          <w:color w:val="000000"/>
          <w:kern w:val="0"/>
          <w:sz w:val="28"/>
          <w:szCs w:val="28"/>
        </w:rPr>
        <w:t>：收、支决算总计变动情况图（单位：万元）</w:t>
      </w:r>
    </w:p>
    <w:p>
      <w:pPr>
        <w:widowControl/>
        <w:spacing w:line="560" w:lineRule="exact"/>
        <w:jc w:val="center"/>
        <w:rPr>
          <w:rFonts w:ascii="宋体"/>
          <w:b/>
          <w:color w:val="000000"/>
          <w:kern w:val="0"/>
          <w:sz w:val="28"/>
          <w:szCs w:val="28"/>
        </w:rPr>
      </w:pPr>
      <w:r>
        <w:drawing>
          <wp:anchor distT="0" distB="0" distL="114300" distR="114300" simplePos="0" relativeHeight="251659264" behindDoc="0" locked="0" layoutInCell="1" allowOverlap="1">
            <wp:simplePos x="0" y="0"/>
            <wp:positionH relativeFrom="column">
              <wp:posOffset>438150</wp:posOffset>
            </wp:positionH>
            <wp:positionV relativeFrom="paragraph">
              <wp:posOffset>227965</wp:posOffset>
            </wp:positionV>
            <wp:extent cx="4596130" cy="2767330"/>
            <wp:effectExtent l="0" t="0" r="7" b="21"/>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cstate="print"/>
                    <a:stretch>
                      <a:fillRect/>
                    </a:stretch>
                  </pic:blipFill>
                  <pic:spPr>
                    <a:xfrm>
                      <a:off x="0" y="0"/>
                      <a:ext cx="4596130" cy="2767330"/>
                    </a:xfrm>
                    <a:prstGeom prst="rect">
                      <a:avLst/>
                    </a:prstGeom>
                    <a:noFill/>
                    <a:ln w="9525" cap="flat" cmpd="sng">
                      <a:noFill/>
                      <a:prstDash val="solid"/>
                      <a:round/>
                    </a:ln>
                  </pic:spPr>
                </pic:pic>
              </a:graphicData>
            </a:graphic>
          </wp:anchor>
        </w:drawing>
      </w: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pStyle w:val="2"/>
        <w:rPr>
          <w:b/>
          <w:color w:val="000000"/>
          <w:sz w:val="28"/>
          <w:szCs w:val="28"/>
        </w:rPr>
      </w:pPr>
    </w:p>
    <w:p>
      <w:pPr>
        <w:pStyle w:val="3"/>
      </w:pPr>
    </w:p>
    <w:p>
      <w:pPr>
        <w:widowControl/>
        <w:spacing w:line="560" w:lineRule="exact"/>
        <w:jc w:val="center"/>
        <w:rPr>
          <w:rFonts w:ascii="宋体"/>
          <w:b/>
          <w:color w:val="000000"/>
          <w:kern w:val="0"/>
          <w:sz w:val="28"/>
          <w:szCs w:val="28"/>
        </w:rPr>
      </w:pPr>
    </w:p>
    <w:p>
      <w:pPr>
        <w:widowControl/>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ind w:firstLine="640" w:firstLineChars="200"/>
        <w:jc w:val="left"/>
        <w:rPr>
          <w:rStyle w:val="22"/>
          <w:rFonts w:ascii="Times New Roman" w:hAnsi="Times New Roman" w:cs="Times New Roman"/>
          <w:b w:val="0"/>
          <w:bCs w:val="0"/>
          <w:sz w:val="21"/>
          <w:szCs w:val="24"/>
        </w:rPr>
      </w:pPr>
      <w:bookmarkStart w:id="20" w:name="_Toc15377206"/>
      <w:bookmarkStart w:id="21" w:name="_Toc15396604"/>
      <w:r>
        <w:rPr>
          <w:rFonts w:hint="eastAsia" w:ascii="黑体" w:eastAsia="黑体" w:cs="黑体"/>
          <w:color w:val="000000"/>
          <w:sz w:val="32"/>
          <w:szCs w:val="32"/>
        </w:rPr>
        <w:t>二、收</w:t>
      </w:r>
      <w:r>
        <w:rPr>
          <w:rStyle w:val="22"/>
          <w:rFonts w:hint="eastAsia" w:ascii="黑体" w:eastAsia="黑体" w:cs="黑体"/>
          <w:b w:val="0"/>
          <w:bCs w:val="0"/>
        </w:rPr>
        <w:t>入决算情况说明</w:t>
      </w:r>
      <w:bookmarkEnd w:id="20"/>
      <w:bookmarkEnd w:id="21"/>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3年本年收入541.88万元，其中：一般公共预算财政拨款收入541.88万元，占总收入的</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color w:val="000000"/>
          <w:kern w:val="0"/>
          <w:sz w:val="32"/>
          <w:szCs w:val="32"/>
        </w:rPr>
        <w:t>政府性基金预算财政拨款收入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万元；国有资本经营预算财政拨款收入0万元，上级补助收入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事业收入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万元；经营收入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万元；附属单位上缴收入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rPr>
        <w:t>万元。</w:t>
      </w:r>
    </w:p>
    <w:p>
      <w:pPr>
        <w:widowControl/>
        <w:spacing w:line="560" w:lineRule="exact"/>
        <w:jc w:val="center"/>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2</w:t>
      </w:r>
      <w:r>
        <w:rPr>
          <w:rFonts w:hint="eastAsia" w:ascii="宋体" w:cs="宋体"/>
          <w:b/>
          <w:bCs/>
          <w:color w:val="000000"/>
          <w:kern w:val="0"/>
          <w:sz w:val="28"/>
          <w:szCs w:val="28"/>
        </w:rPr>
        <w:t>：收入决算结构图（单位：万元）</w:t>
      </w:r>
    </w:p>
    <w:p>
      <w:pPr>
        <w:widowControl/>
        <w:spacing w:line="560" w:lineRule="exact"/>
        <w:ind w:firstLine="1260" w:firstLineChars="600"/>
        <w:jc w:val="left"/>
        <w:rPr>
          <w:rFonts w:ascii="宋体" w:cs="宋体"/>
          <w:b/>
          <w:bCs/>
          <w:color w:val="000000"/>
          <w:kern w:val="0"/>
          <w:sz w:val="28"/>
          <w:szCs w:val="28"/>
        </w:rPr>
      </w:pPr>
      <w:r>
        <w:drawing>
          <wp:anchor distT="0" distB="0" distL="114300" distR="114300" simplePos="0" relativeHeight="251660288" behindDoc="0" locked="0" layoutInCell="1" allowOverlap="1">
            <wp:simplePos x="0" y="0"/>
            <wp:positionH relativeFrom="column">
              <wp:posOffset>274320</wp:posOffset>
            </wp:positionH>
            <wp:positionV relativeFrom="paragraph">
              <wp:posOffset>248920</wp:posOffset>
            </wp:positionV>
            <wp:extent cx="4596130" cy="2767330"/>
            <wp:effectExtent l="0" t="0" r="7" b="21"/>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cstate="print"/>
                    <a:stretch>
                      <a:fillRect/>
                    </a:stretch>
                  </pic:blipFill>
                  <pic:spPr>
                    <a:xfrm>
                      <a:off x="0" y="0"/>
                      <a:ext cx="4596130" cy="2767330"/>
                    </a:xfrm>
                    <a:prstGeom prst="rect">
                      <a:avLst/>
                    </a:prstGeom>
                    <a:noFill/>
                    <a:ln w="9525" cap="flat" cmpd="sng">
                      <a:noFill/>
                      <a:prstDash val="solid"/>
                      <a:round/>
                    </a:ln>
                  </pic:spPr>
                </pic:pic>
              </a:graphicData>
            </a:graphic>
          </wp:anchor>
        </w:drawing>
      </w:r>
    </w:p>
    <w:p>
      <w:pPr>
        <w:widowControl/>
        <w:tabs>
          <w:tab w:val="left" w:pos="1745"/>
        </w:tabs>
        <w:spacing w:line="560" w:lineRule="exact"/>
        <w:jc w:val="left"/>
        <w:rPr>
          <w:rFonts w:ascii="黑体" w:eastAsia="黑体" w:cs="黑体"/>
          <w:sz w:val="32"/>
          <w:szCs w:val="32"/>
        </w:rPr>
      </w:pPr>
      <w:bookmarkStart w:id="22" w:name="_Toc15377207"/>
      <w:bookmarkStart w:id="23" w:name="_Toc15396605"/>
    </w:p>
    <w:p>
      <w:pPr>
        <w:widowControl/>
        <w:tabs>
          <w:tab w:val="left" w:pos="1745"/>
        </w:tabs>
        <w:spacing w:line="560" w:lineRule="exact"/>
        <w:jc w:val="left"/>
        <w:rPr>
          <w:rFonts w:ascii="黑体" w:eastAsia="黑体" w:cs="黑体"/>
          <w:sz w:val="32"/>
          <w:szCs w:val="32"/>
        </w:rPr>
      </w:pPr>
    </w:p>
    <w:p>
      <w:pPr>
        <w:widowControl/>
        <w:tabs>
          <w:tab w:val="left" w:pos="1745"/>
        </w:tabs>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640" w:firstLineChars="200"/>
        <w:jc w:val="left"/>
        <w:rPr>
          <w:rStyle w:val="22"/>
          <w:rFonts w:ascii="黑体" w:eastAsia="黑体" w:cs="Times New Roman"/>
          <w:b w:val="0"/>
          <w:bCs w:val="0"/>
        </w:rPr>
      </w:pPr>
      <w:r>
        <w:rPr>
          <w:rFonts w:hint="eastAsia" w:ascii="黑体" w:eastAsia="黑体" w:cs="黑体"/>
          <w:sz w:val="32"/>
          <w:szCs w:val="32"/>
        </w:rPr>
        <w:t>三、</w:t>
      </w:r>
      <w:r>
        <w:rPr>
          <w:rFonts w:hint="eastAsia" w:ascii="黑体" w:eastAsia="黑体" w:cs="黑体"/>
          <w:color w:val="000000"/>
          <w:sz w:val="32"/>
          <w:szCs w:val="32"/>
        </w:rPr>
        <w:t>支</w:t>
      </w:r>
      <w:r>
        <w:rPr>
          <w:rStyle w:val="22"/>
          <w:rFonts w:hint="eastAsia" w:ascii="黑体" w:eastAsia="黑体" w:cs="黑体"/>
          <w:b w:val="0"/>
          <w:bCs w:val="0"/>
        </w:rPr>
        <w:t>出决算情况说明</w:t>
      </w:r>
      <w:bookmarkEnd w:id="22"/>
      <w:bookmarkEnd w:id="23"/>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3年本年支出合计541.88万元，其中：基本支出363.41万元，占67.06</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w:t>
      </w:r>
      <w:r>
        <w:rPr>
          <w:rFonts w:ascii="仿宋_GB2312" w:eastAsia="仿宋_GB2312" w:cs="仿宋_GB2312"/>
          <w:color w:val="000000"/>
          <w:sz w:val="32"/>
          <w:szCs w:val="32"/>
        </w:rPr>
        <w:t>178.47</w:t>
      </w:r>
      <w:r>
        <w:rPr>
          <w:rFonts w:hint="eastAsia" w:ascii="仿宋_GB2312" w:eastAsia="仿宋_GB2312" w:cs="仿宋_GB2312"/>
          <w:color w:val="000000"/>
          <w:sz w:val="32"/>
          <w:szCs w:val="32"/>
        </w:rPr>
        <w:t>万元，占32.94</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widowControl/>
        <w:spacing w:line="560" w:lineRule="exact"/>
        <w:jc w:val="center"/>
      </w:pPr>
      <w:r>
        <w:rPr>
          <w:rFonts w:hint="eastAsia" w:ascii="宋体" w:cs="宋体"/>
          <w:b/>
          <w:bCs/>
          <w:color w:val="000000"/>
          <w:kern w:val="0"/>
          <w:sz w:val="28"/>
          <w:szCs w:val="28"/>
        </w:rPr>
        <w:t>图</w:t>
      </w:r>
      <w:r>
        <w:rPr>
          <w:rFonts w:ascii="宋体" w:cs="宋体"/>
          <w:b/>
          <w:bCs/>
          <w:color w:val="000000"/>
          <w:kern w:val="0"/>
          <w:sz w:val="28"/>
          <w:szCs w:val="28"/>
        </w:rPr>
        <w:t xml:space="preserve"> 3</w:t>
      </w:r>
      <w:r>
        <w:rPr>
          <w:rFonts w:hint="eastAsia" w:ascii="宋体" w:cs="宋体"/>
          <w:b/>
          <w:bCs/>
          <w:color w:val="000000"/>
          <w:kern w:val="0"/>
          <w:sz w:val="28"/>
          <w:szCs w:val="28"/>
        </w:rPr>
        <w:t>：支出决算结构图（单位：万元</w:t>
      </w:r>
      <w:bookmarkStart w:id="24" w:name="_Toc15396606"/>
      <w:bookmarkStart w:id="25" w:name="_Toc15377208"/>
      <w:r>
        <w:rPr>
          <w:rFonts w:hint="eastAsia" w:ascii="宋体" w:cs="宋体"/>
          <w:b/>
          <w:bCs/>
          <w:color w:val="000000"/>
          <w:kern w:val="0"/>
          <w:sz w:val="28"/>
          <w:szCs w:val="28"/>
        </w:rPr>
        <w:t>）</w:t>
      </w:r>
    </w:p>
    <w:p>
      <w:pPr>
        <w:tabs>
          <w:tab w:val="left" w:pos="6765"/>
        </w:tabs>
        <w:spacing w:line="560" w:lineRule="exac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64384" behindDoc="0" locked="0" layoutInCell="1" allowOverlap="1">
            <wp:simplePos x="0" y="0"/>
            <wp:positionH relativeFrom="column">
              <wp:posOffset>744220</wp:posOffset>
            </wp:positionH>
            <wp:positionV relativeFrom="paragraph">
              <wp:posOffset>236220</wp:posOffset>
            </wp:positionV>
            <wp:extent cx="4362450" cy="2590800"/>
            <wp:effectExtent l="19050" t="0" r="19050" b="0"/>
            <wp:wrapSquare wrapText="bothSides"/>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tabs>
          <w:tab w:val="left" w:pos="6765"/>
        </w:tabs>
        <w:spacing w:line="560" w:lineRule="exact"/>
        <w:rPr>
          <w:rFonts w:ascii="仿宋_GB2312" w:eastAsia="仿宋_GB2312"/>
          <w:color w:val="000000"/>
          <w:sz w:val="32"/>
          <w:szCs w:val="32"/>
        </w:rPr>
      </w:pP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ind w:firstLine="640" w:firstLineChars="200"/>
        <w:rPr>
          <w:rStyle w:val="22"/>
          <w:rFonts w:ascii="黑体" w:eastAsia="黑体" w:cs="Times New Roman"/>
          <w:b w:val="0"/>
          <w:bCs w:val="0"/>
        </w:rPr>
      </w:pPr>
      <w:r>
        <w:rPr>
          <w:rFonts w:hint="eastAsia" w:ascii="黑体" w:eastAsia="黑体" w:cs="黑体"/>
          <w:color w:val="000000"/>
          <w:sz w:val="32"/>
          <w:szCs w:val="32"/>
        </w:rPr>
        <w:t>四、财</w:t>
      </w:r>
      <w:r>
        <w:rPr>
          <w:rStyle w:val="22"/>
          <w:rFonts w:hint="eastAsia" w:ascii="黑体" w:eastAsia="黑体" w:cs="黑体"/>
          <w:b w:val="0"/>
          <w:bCs w:val="0"/>
        </w:rPr>
        <w:t>政拨款收入支出决算总体情况说明</w:t>
      </w:r>
      <w:bookmarkEnd w:id="24"/>
      <w:bookmarkEnd w:id="25"/>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3年财政拨款收、支总计541.88万元。与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2年相比，财政拨款收、支总计增加217.77万元，增长67.19</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。主要变动的原因是</w:t>
      </w:r>
      <w:r>
        <w:rPr>
          <w:rFonts w:hint="eastAsia" w:ascii="仿宋_GB2312" w:eastAsia="仿宋_GB2312" w:cs="仿宋_GB2312"/>
          <w:sz w:val="32"/>
          <w:szCs w:val="32"/>
        </w:rPr>
        <w:t>是2023年项目</w:t>
      </w:r>
      <w:r>
        <w:rPr>
          <w:rFonts w:hint="eastAsia" w:ascii="仿宋_GB2312" w:eastAsia="仿宋_GB2312"/>
          <w:sz w:val="32"/>
          <w:szCs w:val="32"/>
        </w:rPr>
        <w:t>经费增加。</w:t>
      </w:r>
    </w:p>
    <w:p>
      <w:pPr>
        <w:spacing w:line="560" w:lineRule="exact"/>
        <w:ind w:firstLine="562" w:firstLineChars="200"/>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4</w:t>
      </w:r>
      <w:r>
        <w:rPr>
          <w:rFonts w:hint="eastAsia" w:ascii="宋体" w:cs="宋体"/>
          <w:b/>
          <w:bCs/>
          <w:color w:val="000000"/>
          <w:kern w:val="0"/>
          <w:sz w:val="28"/>
          <w:szCs w:val="28"/>
        </w:rPr>
        <w:t>：财政拨款收、支决算变动情况（单位：万元）</w:t>
      </w:r>
    </w:p>
    <w:p>
      <w:pPr>
        <w:spacing w:line="560" w:lineRule="exact"/>
        <w:ind w:firstLine="420" w:firstLineChars="200"/>
        <w:rPr>
          <w:rFonts w:ascii="宋体" w:cs="宋体"/>
          <w:b/>
          <w:bCs/>
          <w:color w:val="000000"/>
          <w:kern w:val="0"/>
          <w:sz w:val="28"/>
          <w:szCs w:val="28"/>
        </w:rPr>
      </w:pPr>
      <w:r>
        <w:drawing>
          <wp:anchor distT="0" distB="0" distL="114300" distR="114300" simplePos="0" relativeHeight="251661312" behindDoc="0" locked="0" layoutInCell="1" allowOverlap="1">
            <wp:simplePos x="0" y="0"/>
            <wp:positionH relativeFrom="column">
              <wp:posOffset>397510</wp:posOffset>
            </wp:positionH>
            <wp:positionV relativeFrom="paragraph">
              <wp:posOffset>271780</wp:posOffset>
            </wp:positionV>
            <wp:extent cx="4596130" cy="2767330"/>
            <wp:effectExtent l="0" t="0" r="6" b="21"/>
            <wp:wrapSquare wrapText="bothSides"/>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0" cstate="print"/>
                    <a:stretch>
                      <a:fillRect/>
                    </a:stretch>
                  </pic:blipFill>
                  <pic:spPr>
                    <a:xfrm>
                      <a:off x="0" y="0"/>
                      <a:ext cx="4596129" cy="2767330"/>
                    </a:xfrm>
                    <a:prstGeom prst="rect">
                      <a:avLst/>
                    </a:prstGeom>
                    <a:noFill/>
                    <a:ln w="9525" cap="flat" cmpd="sng">
                      <a:noFill/>
                      <a:prstDash val="solid"/>
                      <a:round/>
                    </a:ln>
                  </pic:spPr>
                </pic:pic>
              </a:graphicData>
            </a:graphic>
          </wp:anchor>
        </w:drawing>
      </w: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420" w:firstLineChars="200"/>
      </w:pPr>
    </w:p>
    <w:p>
      <w:pPr>
        <w:spacing w:line="560" w:lineRule="exact"/>
        <w:ind w:firstLine="1120" w:firstLineChars="350"/>
        <w:rPr>
          <w:rFonts w:ascii="黑体" w:eastAsia="黑体" w:cs="黑体"/>
          <w:color w:val="000000"/>
          <w:sz w:val="32"/>
          <w:szCs w:val="32"/>
        </w:rPr>
      </w:pPr>
      <w:bookmarkStart w:id="26" w:name="_Toc15377209"/>
      <w:bookmarkStart w:id="27" w:name="_Toc15396607"/>
    </w:p>
    <w:p>
      <w:pPr>
        <w:spacing w:line="560" w:lineRule="exact"/>
        <w:ind w:firstLine="1120" w:firstLineChars="350"/>
        <w:rPr>
          <w:rFonts w:ascii="黑体" w:eastAsia="黑体" w:cs="黑体"/>
          <w:color w:val="000000"/>
          <w:sz w:val="32"/>
          <w:szCs w:val="32"/>
        </w:rPr>
      </w:pPr>
    </w:p>
    <w:p>
      <w:pPr>
        <w:spacing w:line="560" w:lineRule="exact"/>
        <w:ind w:firstLine="640" w:firstLineChars="200"/>
        <w:rPr>
          <w:rStyle w:val="22"/>
          <w:rFonts w:ascii="黑体" w:eastAsia="黑体" w:cs="黑体"/>
          <w:b w:val="0"/>
          <w:bCs w:val="0"/>
          <w:color w:val="000000"/>
        </w:rPr>
      </w:pPr>
      <w:r>
        <w:rPr>
          <w:rFonts w:hint="eastAsia" w:ascii="黑体" w:eastAsia="黑体" w:cs="黑体"/>
          <w:color w:val="000000"/>
          <w:sz w:val="32"/>
          <w:szCs w:val="32"/>
        </w:rPr>
        <w:t>五、</w:t>
      </w:r>
      <w:r>
        <w:rPr>
          <w:rFonts w:hint="eastAsia" w:ascii="黑体" w:eastAsia="黑体" w:cs="黑体"/>
          <w:b/>
          <w:bCs/>
          <w:color w:val="000000"/>
          <w:sz w:val="32"/>
          <w:szCs w:val="32"/>
        </w:rPr>
        <w:t>一</w:t>
      </w:r>
      <w:r>
        <w:rPr>
          <w:rStyle w:val="22"/>
          <w:rFonts w:hint="eastAsia" w:ascii="黑体" w:eastAsia="黑体" w:cs="黑体"/>
          <w:b w:val="0"/>
          <w:bCs w:val="0"/>
        </w:rPr>
        <w:t>般公共预算财政拨款支出决算情况说明</w:t>
      </w:r>
      <w:bookmarkEnd w:id="26"/>
      <w:bookmarkEnd w:id="27"/>
      <w:bookmarkStart w:id="28" w:name="_Toc15377210"/>
    </w:p>
    <w:p>
      <w:pPr>
        <w:spacing w:line="560" w:lineRule="exact"/>
        <w:ind w:firstLine="629" w:firstLineChars="196"/>
        <w:rPr>
          <w:rFonts w:ascii="黑体" w:eastAsia="黑体" w:cs="黑体"/>
          <w:sz w:val="32"/>
          <w:szCs w:val="32"/>
        </w:rPr>
      </w:pPr>
      <w:r>
        <w:rPr>
          <w:rFonts w:hint="eastAsia" w:ascii="楷体" w:eastAsia="楷体" w:cs="楷体"/>
          <w:b/>
          <w:bCs/>
          <w:color w:val="000000"/>
          <w:sz w:val="32"/>
          <w:szCs w:val="32"/>
        </w:rPr>
        <w:t>（一）一般公共预算财政拨款支出决算总体情况</w:t>
      </w:r>
      <w:bookmarkEnd w:id="28"/>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3年一般公共预算财政拨款支出541.88万元，占本年支出合计的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2年相比，一般公共预算财政拨款增加 217.77万元，增长67.19</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。主要变动原因是</w:t>
      </w:r>
      <w:r>
        <w:rPr>
          <w:rFonts w:hint="eastAsia" w:ascii="仿宋_GB2312" w:eastAsia="仿宋_GB2312" w:cs="仿宋_GB2312"/>
          <w:sz w:val="32"/>
          <w:szCs w:val="32"/>
        </w:rPr>
        <w:t>是2023年项目</w:t>
      </w:r>
      <w:r>
        <w:rPr>
          <w:rFonts w:hint="eastAsia" w:ascii="仿宋_GB2312" w:eastAsia="仿宋_GB2312"/>
          <w:sz w:val="32"/>
          <w:szCs w:val="32"/>
        </w:rPr>
        <w:t>经费增加。</w:t>
      </w:r>
    </w:p>
    <w:p>
      <w:pPr>
        <w:widowControl/>
        <w:spacing w:line="560" w:lineRule="exact"/>
        <w:ind w:left="559" w:leftChars="266"/>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5</w:t>
      </w:r>
      <w:r>
        <w:rPr>
          <w:rFonts w:hint="eastAsia" w:ascii="宋体" w:cs="宋体"/>
          <w:b/>
          <w:bCs/>
          <w:color w:val="000000"/>
          <w:kern w:val="0"/>
          <w:sz w:val="28"/>
          <w:szCs w:val="28"/>
        </w:rPr>
        <w:t>：一般公共预算财政拨款支出决算变动情况（单位：万元）</w:t>
      </w:r>
    </w:p>
    <w:p>
      <w:pPr>
        <w:widowControl/>
        <w:spacing w:line="560" w:lineRule="exact"/>
        <w:ind w:firstLine="642" w:firstLineChars="200"/>
        <w:jc w:val="left"/>
        <w:rPr>
          <w:rFonts w:ascii="楷体" w:eastAsia="楷体" w:cs="楷体"/>
          <w:b/>
          <w:bCs/>
          <w:color w:val="000000"/>
          <w:sz w:val="32"/>
          <w:szCs w:val="32"/>
        </w:rPr>
      </w:pPr>
      <w:bookmarkStart w:id="29" w:name="_Toc15377211"/>
    </w:p>
    <w:p>
      <w:pPr>
        <w:widowControl/>
        <w:tabs>
          <w:tab w:val="left" w:pos="3533"/>
        </w:tabs>
        <w:spacing w:line="560" w:lineRule="exact"/>
        <w:ind w:firstLine="420" w:firstLineChars="200"/>
        <w:jc w:val="left"/>
        <w:rPr>
          <w:rFonts w:ascii="楷体" w:eastAsia="楷体" w:cs="楷体"/>
          <w:b/>
          <w:bCs/>
          <w:color w:val="000000"/>
          <w:sz w:val="32"/>
          <w:szCs w:val="32"/>
        </w:rPr>
      </w:pPr>
      <w:r>
        <w:drawing>
          <wp:anchor distT="0" distB="0" distL="114300" distR="114300" simplePos="0" relativeHeight="251661312" behindDoc="0" locked="0" layoutInCell="1" allowOverlap="1">
            <wp:simplePos x="0" y="0"/>
            <wp:positionH relativeFrom="column">
              <wp:posOffset>396240</wp:posOffset>
            </wp:positionH>
            <wp:positionV relativeFrom="paragraph">
              <wp:posOffset>167005</wp:posOffset>
            </wp:positionV>
            <wp:extent cx="4596130" cy="2767330"/>
            <wp:effectExtent l="0" t="0" r="6" b="21"/>
            <wp:wrapSquare wrapText="bothSides"/>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0" cstate="print"/>
                    <a:stretch>
                      <a:fillRect/>
                    </a:stretch>
                  </pic:blipFill>
                  <pic:spPr>
                    <a:xfrm>
                      <a:off x="0" y="0"/>
                      <a:ext cx="4596129" cy="2767330"/>
                    </a:xfrm>
                    <a:prstGeom prst="rect">
                      <a:avLst/>
                    </a:prstGeom>
                    <a:noFill/>
                    <a:ln w="9525" cap="flat" cmpd="sng">
                      <a:noFill/>
                      <a:prstDash val="solid"/>
                      <a:round/>
                    </a:ln>
                  </pic:spPr>
                </pic:pic>
              </a:graphicData>
            </a:graphic>
          </wp:anchor>
        </w:drawing>
      </w:r>
    </w:p>
    <w:p>
      <w:pPr>
        <w:pStyle w:val="2"/>
        <w:rPr>
          <w:rFonts w:ascii="楷体" w:eastAsia="楷体" w:cs="楷体"/>
          <w:b/>
          <w:bCs/>
          <w:color w:val="000000"/>
          <w:sz w:val="32"/>
          <w:szCs w:val="32"/>
        </w:rPr>
      </w:pPr>
    </w:p>
    <w:p>
      <w:pPr>
        <w:pStyle w:val="3"/>
      </w:pPr>
    </w:p>
    <w:p>
      <w:pPr>
        <w:widowControl/>
        <w:tabs>
          <w:tab w:val="left" w:pos="3533"/>
        </w:tabs>
        <w:spacing w:line="560" w:lineRule="exact"/>
        <w:ind w:firstLine="642" w:firstLineChars="200"/>
        <w:jc w:val="left"/>
        <w:rPr>
          <w:rFonts w:ascii="楷体" w:eastAsia="楷体" w:cs="楷体"/>
          <w:b/>
          <w:bCs/>
          <w:color w:val="000000"/>
          <w:sz w:val="32"/>
          <w:szCs w:val="32"/>
        </w:rPr>
      </w:pPr>
      <w:r>
        <w:rPr>
          <w:rFonts w:ascii="楷体" w:eastAsia="楷体" w:cs="楷体"/>
          <w:b/>
          <w:bCs/>
          <w:color w:val="000000"/>
          <w:sz w:val="32"/>
          <w:szCs w:val="32"/>
        </w:rPr>
        <w:t>(</w:t>
      </w:r>
      <w:r>
        <w:rPr>
          <w:rFonts w:hint="eastAsia" w:ascii="楷体" w:eastAsia="楷体" w:cs="楷体"/>
          <w:b/>
          <w:bCs/>
          <w:color w:val="000000"/>
          <w:sz w:val="32"/>
          <w:szCs w:val="32"/>
        </w:rPr>
        <w:t>二）一般公共预算财政拨款支出决算结构情况</w:t>
      </w:r>
      <w:bookmarkEnd w:id="29"/>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3年一般公共预算财政拨款支出541.88万元，主要用于以下方面</w:t>
      </w:r>
      <w:r>
        <w:rPr>
          <w:rFonts w:ascii="仿宋_GB2312" w:eastAsia="仿宋_GB2312" w:cs="仿宋_GB2312"/>
          <w:color w:val="000000"/>
          <w:sz w:val="32"/>
          <w:szCs w:val="32"/>
        </w:rPr>
        <w:t>:</w:t>
      </w:r>
      <w:r>
        <w:rPr>
          <w:rFonts w:hint="eastAsia" w:ascii="仿宋_GB2312" w:eastAsia="仿宋_GB2312" w:cs="仿宋_GB2312"/>
          <w:color w:val="000000"/>
          <w:sz w:val="32"/>
          <w:szCs w:val="32"/>
        </w:rPr>
        <w:t>一般公共服务支出39.56万元，占7.30%；教育支出264.45万元，占48.80</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；社会保障和就业支出51.21万元，占9.45</w:t>
      </w:r>
      <w:r>
        <w:rPr>
          <w:rFonts w:ascii="仿宋_GB2312" w:eastAsia="仿宋_GB2312" w:cs="仿宋_GB2312"/>
          <w:color w:val="000000"/>
          <w:sz w:val="32"/>
          <w:szCs w:val="32"/>
        </w:rPr>
        <w:t>%</w:t>
      </w:r>
      <w:r>
        <w:rPr>
          <w:rFonts w:hint="eastAsia" w:ascii="仿宋_GB2312" w:eastAsia="仿宋_GB2312" w:cs="仿宋_GB2312"/>
          <w:color w:val="000000"/>
          <w:sz w:val="32"/>
          <w:szCs w:val="32"/>
        </w:rPr>
        <w:t>；卫生健康支出21.06万元，占3.89</w:t>
      </w:r>
      <w:r>
        <w:rPr>
          <w:rFonts w:ascii="仿宋_GB2312" w:eastAsia="仿宋_GB2312" w:cs="仿宋_GB2312"/>
          <w:color w:val="000000"/>
          <w:sz w:val="32"/>
          <w:szCs w:val="32"/>
        </w:rPr>
        <w:t>%</w:t>
      </w:r>
      <w:r>
        <w:rPr>
          <w:rFonts w:hint="eastAsia" w:ascii="仿宋_GB2312" w:eastAsia="仿宋_GB2312" w:cs="仿宋_GB2312"/>
          <w:color w:val="000000"/>
          <w:sz w:val="32"/>
          <w:szCs w:val="32"/>
        </w:rPr>
        <w:t>；农林水支出138.91万元，占25.63</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；住房保障支出26.69万元，占4.93</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widowControl/>
        <w:spacing w:line="560" w:lineRule="exact"/>
        <w:jc w:val="center"/>
        <w:rPr>
          <w:rFonts w:ascii="宋体" w:cs="宋体"/>
          <w:b/>
          <w:bCs/>
          <w:color w:val="000000"/>
          <w:kern w:val="0"/>
          <w:sz w:val="31"/>
          <w:szCs w:val="31"/>
        </w:rPr>
      </w:pPr>
      <w:r>
        <w:rPr>
          <w:rFonts w:hint="eastAsia" w:ascii="宋体" w:cs="宋体"/>
          <w:b/>
          <w:bCs/>
          <w:color w:val="000000"/>
          <w:kern w:val="0"/>
          <w:sz w:val="31"/>
          <w:szCs w:val="31"/>
        </w:rPr>
        <w:t>图</w:t>
      </w:r>
      <w:r>
        <w:rPr>
          <w:rFonts w:ascii="仿宋" w:eastAsia="仿宋"/>
          <w:b/>
          <w:bCs/>
          <w:color w:val="000000"/>
          <w:kern w:val="0"/>
          <w:sz w:val="31"/>
          <w:szCs w:val="31"/>
        </w:rPr>
        <w:t xml:space="preserve"> 6</w:t>
      </w:r>
      <w:r>
        <w:rPr>
          <w:rFonts w:hint="eastAsia" w:ascii="宋体" w:cs="宋体"/>
          <w:b/>
          <w:bCs/>
          <w:color w:val="000000"/>
          <w:kern w:val="0"/>
          <w:sz w:val="31"/>
          <w:szCs w:val="31"/>
        </w:rPr>
        <w:t>：一般公共预算财政拨款支出决算结构（单位：万元）</w:t>
      </w:r>
    </w:p>
    <w:p>
      <w:pPr>
        <w:widowControl/>
        <w:spacing w:line="560" w:lineRule="exact"/>
        <w:jc w:val="center"/>
        <w:rPr>
          <w:b/>
          <w:bCs/>
        </w:rPr>
      </w:pPr>
      <w:r>
        <w:rPr>
          <w:b/>
          <w:bCs/>
        </w:rPr>
        <w:drawing>
          <wp:anchor distT="0" distB="0" distL="114300" distR="114300" simplePos="0" relativeHeight="251665408" behindDoc="0" locked="0" layoutInCell="1" allowOverlap="1">
            <wp:simplePos x="0" y="0"/>
            <wp:positionH relativeFrom="column">
              <wp:posOffset>496570</wp:posOffset>
            </wp:positionH>
            <wp:positionV relativeFrom="paragraph">
              <wp:posOffset>144780</wp:posOffset>
            </wp:positionV>
            <wp:extent cx="4391025" cy="2562225"/>
            <wp:effectExtent l="19050" t="0" r="9525" b="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spacing w:line="560" w:lineRule="exact"/>
        <w:ind w:firstLine="642" w:firstLineChars="200"/>
        <w:rPr>
          <w:rFonts w:ascii="仿宋_GB2312" w:eastAsia="仿宋_GB2312"/>
          <w:color w:val="000000"/>
          <w:sz w:val="32"/>
          <w:szCs w:val="32"/>
        </w:rPr>
      </w:pPr>
      <w:bookmarkStart w:id="30" w:name="_Toc15377212"/>
      <w:r>
        <w:rPr>
          <w:rFonts w:hint="eastAsia" w:ascii="楷体" w:eastAsia="楷体" w:cs="楷体"/>
          <w:b/>
          <w:bCs/>
          <w:color w:val="000000"/>
          <w:sz w:val="32"/>
          <w:szCs w:val="32"/>
        </w:rPr>
        <w:t>（三）一般公共预算财政拨款支出决算具体情况</w:t>
      </w:r>
      <w:bookmarkEnd w:id="30"/>
      <w:bookmarkStart w:id="31" w:name="_Toc15378460"/>
      <w:bookmarkStart w:id="32" w:name="_Toc15377444"/>
      <w:bookmarkStart w:id="33" w:name="_Toc15377213"/>
    </w:p>
    <w:p>
      <w:pPr>
        <w:spacing w:line="560" w:lineRule="exact"/>
        <w:ind w:firstLine="640" w:firstLineChars="200"/>
        <w:rPr>
          <w:rStyle w:val="18"/>
          <w:rFonts w:ascii="仿宋_GB2312" w:eastAsia="仿宋_GB2312" w:cs="仿宋_GB2312"/>
          <w:b w:val="0"/>
          <w:bCs w:val="0"/>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3年一般公共预算支出决算数为541.88万元，</w:t>
      </w:r>
      <w:r>
        <w:rPr>
          <w:rStyle w:val="18"/>
          <w:rFonts w:hint="eastAsia" w:ascii="仿宋_GB2312" w:eastAsia="仿宋_GB2312" w:cs="仿宋_GB2312"/>
          <w:b w:val="0"/>
          <w:bCs w:val="0"/>
          <w:color w:val="000000"/>
          <w:sz w:val="32"/>
          <w:szCs w:val="32"/>
        </w:rPr>
        <w:t>完成</w:t>
      </w:r>
    </w:p>
    <w:p>
      <w:pPr>
        <w:spacing w:line="560" w:lineRule="exact"/>
        <w:rPr>
          <w:rFonts w:ascii="仿宋_GB2312" w:eastAsia="仿宋_GB2312"/>
          <w:color w:val="FF0000"/>
          <w:sz w:val="32"/>
          <w:szCs w:val="32"/>
        </w:rPr>
      </w:pPr>
      <w:r>
        <w:rPr>
          <w:rStyle w:val="18"/>
          <w:rFonts w:hint="eastAsia" w:ascii="仿宋_GB2312" w:eastAsia="仿宋_GB2312" w:cs="仿宋_GB2312"/>
          <w:b w:val="0"/>
          <w:bCs w:val="0"/>
          <w:color w:val="000000"/>
          <w:sz w:val="32"/>
          <w:szCs w:val="32"/>
        </w:rPr>
        <w:t>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rPr>
        <w:t>。其中：</w:t>
      </w:r>
      <w:bookmarkEnd w:id="31"/>
      <w:bookmarkEnd w:id="32"/>
      <w:bookmarkEnd w:id="33"/>
    </w:p>
    <w:p>
      <w:pPr>
        <w:numPr>
          <w:ilvl w:val="0"/>
          <w:numId w:val="2"/>
        </w:numPr>
        <w:spacing w:line="560" w:lineRule="exact"/>
        <w:ind w:firstLine="640" w:firstLineChars="200"/>
        <w:rPr>
          <w:rStyle w:val="18"/>
          <w:rFonts w:ascii="仿宋_GB2312" w:eastAsia="仿宋_GB2312" w:cs="仿宋_GB2312"/>
          <w:b w:val="0"/>
          <w:bCs w:val="0"/>
          <w:color w:val="000000"/>
          <w:sz w:val="32"/>
          <w:szCs w:val="32"/>
        </w:rPr>
      </w:pPr>
      <w:bookmarkStart w:id="34" w:name="_Toc15377214"/>
      <w:bookmarkStart w:id="35" w:name="_Toc15396608"/>
      <w:r>
        <w:rPr>
          <w:rStyle w:val="18"/>
          <w:rFonts w:hint="eastAsia" w:ascii="仿宋_GB2312" w:eastAsia="仿宋_GB2312" w:cs="仿宋_GB2312"/>
          <w:b w:val="0"/>
          <w:bCs w:val="0"/>
          <w:color w:val="000000"/>
          <w:sz w:val="32"/>
          <w:szCs w:val="32"/>
        </w:rPr>
        <w:t>一般公共服务（类）组织事务（款）其他组织事务支出（项）：支出决算胃39.56万元，完成预算100%。</w:t>
      </w:r>
    </w:p>
    <w:p>
      <w:pPr>
        <w:numPr>
          <w:ilvl w:val="0"/>
          <w:numId w:val="2"/>
        </w:numPr>
        <w:spacing w:line="560" w:lineRule="exact"/>
        <w:ind w:firstLine="640" w:firstLineChars="200"/>
        <w:rPr>
          <w:rStyle w:val="18"/>
          <w:rFonts w:ascii="仿宋_GB2312" w:eastAsia="仿宋_GB2312" w:cs="仿宋_GB2312"/>
          <w:b w:val="0"/>
          <w:bCs w:val="0"/>
          <w:color w:val="000000"/>
          <w:sz w:val="32"/>
          <w:szCs w:val="32"/>
        </w:rPr>
      </w:pPr>
      <w:r>
        <w:rPr>
          <w:rStyle w:val="18"/>
          <w:rFonts w:hint="eastAsia" w:ascii="仿宋_GB2312" w:eastAsia="仿宋_GB2312" w:cs="仿宋_GB2312"/>
          <w:b w:val="0"/>
          <w:bCs w:val="0"/>
          <w:color w:val="000000"/>
          <w:sz w:val="32"/>
          <w:szCs w:val="32"/>
        </w:rPr>
        <w:t>教育支出（类）教育管理事务（款）行政运行（项）</w:t>
      </w:r>
      <w:r>
        <w:rPr>
          <w:rStyle w:val="18"/>
          <w:rFonts w:ascii="仿宋_GB2312" w:eastAsia="仿宋_GB2312" w:cs="仿宋_GB2312"/>
          <w:b w:val="0"/>
          <w:bCs w:val="0"/>
          <w:color w:val="000000"/>
          <w:sz w:val="32"/>
          <w:szCs w:val="32"/>
        </w:rPr>
        <w:t xml:space="preserve">: </w:t>
      </w:r>
      <w:r>
        <w:rPr>
          <w:rStyle w:val="18"/>
          <w:rFonts w:hint="eastAsia" w:ascii="仿宋_GB2312" w:eastAsia="仿宋_GB2312" w:cs="仿宋_GB2312"/>
          <w:b w:val="0"/>
          <w:bCs w:val="0"/>
          <w:color w:val="000000"/>
          <w:sz w:val="32"/>
          <w:szCs w:val="32"/>
        </w:rPr>
        <w:t>支出决算为264.45万元，完成预算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rPr>
        <w:t>。</w:t>
      </w:r>
    </w:p>
    <w:p>
      <w:pPr>
        <w:spacing w:line="560" w:lineRule="exact"/>
        <w:ind w:firstLine="640" w:firstLineChars="200"/>
        <w:rPr>
          <w:rStyle w:val="18"/>
          <w:rFonts w:ascii="仿宋_GB2312" w:eastAsia="仿宋_GB2312" w:cs="仿宋_GB2312"/>
          <w:b w:val="0"/>
          <w:bCs w:val="0"/>
          <w:color w:val="000000"/>
          <w:sz w:val="32"/>
          <w:szCs w:val="32"/>
        </w:rPr>
      </w:pPr>
      <w:r>
        <w:rPr>
          <w:rStyle w:val="18"/>
          <w:rFonts w:hint="eastAsia" w:ascii="仿宋_GB2312" w:eastAsia="仿宋_GB2312" w:cs="仿宋_GB2312"/>
          <w:b w:val="0"/>
          <w:bCs w:val="0"/>
          <w:color w:val="000000"/>
          <w:sz w:val="32"/>
          <w:szCs w:val="32"/>
        </w:rPr>
        <w:t>3</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rPr>
        <w:t>社会保障和就业支出（类）行政事业单位离退休（款）机关事业单位基本养老保险缴费支出（项）</w:t>
      </w:r>
      <w:r>
        <w:rPr>
          <w:rStyle w:val="18"/>
          <w:rFonts w:ascii="仿宋_GB2312" w:eastAsia="仿宋_GB2312" w:cs="仿宋_GB2312"/>
          <w:b w:val="0"/>
          <w:bCs w:val="0"/>
          <w:color w:val="000000"/>
          <w:sz w:val="32"/>
          <w:szCs w:val="32"/>
        </w:rPr>
        <w:t xml:space="preserve">: </w:t>
      </w:r>
      <w:r>
        <w:rPr>
          <w:rStyle w:val="18"/>
          <w:rFonts w:hint="eastAsia" w:ascii="仿宋_GB2312" w:eastAsia="仿宋_GB2312" w:cs="仿宋_GB2312"/>
          <w:b w:val="0"/>
          <w:bCs w:val="0"/>
          <w:color w:val="000000"/>
          <w:sz w:val="32"/>
          <w:szCs w:val="32"/>
        </w:rPr>
        <w:t>支出决算为34.14万元，完成预算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rPr>
        <w:t>。</w:t>
      </w:r>
    </w:p>
    <w:p>
      <w:pPr>
        <w:spacing w:line="560" w:lineRule="exact"/>
        <w:ind w:firstLine="640" w:firstLineChars="200"/>
        <w:rPr>
          <w:rStyle w:val="18"/>
          <w:rFonts w:ascii="仿宋_GB2312" w:eastAsia="仿宋_GB2312" w:cs="仿宋_GB2312"/>
          <w:b w:val="0"/>
          <w:bCs w:val="0"/>
          <w:color w:val="000000"/>
          <w:sz w:val="32"/>
          <w:szCs w:val="32"/>
        </w:rPr>
      </w:pPr>
      <w:r>
        <w:rPr>
          <w:rStyle w:val="18"/>
          <w:rFonts w:hint="eastAsia" w:ascii="仿宋_GB2312" w:eastAsia="仿宋_GB2312" w:cs="仿宋_GB2312"/>
          <w:b w:val="0"/>
          <w:bCs w:val="0"/>
          <w:color w:val="000000"/>
          <w:sz w:val="32"/>
          <w:szCs w:val="32"/>
        </w:rPr>
        <w:t>4</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rPr>
        <w:t>社会保障和就业支出（类）行政事业单位离退休（款）机关事业单位职业年金缴费支出（项）：支出决算为17.07万元，完成预算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rPr>
        <w:t>。</w:t>
      </w:r>
    </w:p>
    <w:p>
      <w:pPr>
        <w:spacing w:line="560" w:lineRule="exact"/>
        <w:ind w:firstLine="640" w:firstLineChars="200"/>
        <w:rPr>
          <w:rStyle w:val="18"/>
          <w:rFonts w:ascii="仿宋_GB2312" w:eastAsia="仿宋_GB2312" w:cs="仿宋_GB2312"/>
          <w:b w:val="0"/>
          <w:bCs w:val="0"/>
          <w:color w:val="000000"/>
          <w:sz w:val="32"/>
          <w:szCs w:val="32"/>
        </w:rPr>
      </w:pPr>
      <w:r>
        <w:rPr>
          <w:rStyle w:val="18"/>
          <w:rFonts w:hint="eastAsia" w:ascii="仿宋_GB2312" w:eastAsia="仿宋_GB2312" w:cs="仿宋_GB2312"/>
          <w:b w:val="0"/>
          <w:bCs w:val="0"/>
          <w:color w:val="000000"/>
          <w:sz w:val="32"/>
          <w:szCs w:val="32"/>
        </w:rPr>
        <w:t>5</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rPr>
        <w:t>卫生健康支出（类）行政事业单位医疗（款）行政单位医疗（项）</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rPr>
        <w:t>支出决算为21.06万元，完成预算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rPr>
        <w:t>。</w:t>
      </w:r>
    </w:p>
    <w:p>
      <w:pPr>
        <w:spacing w:line="560" w:lineRule="exact"/>
        <w:ind w:firstLine="640" w:firstLineChars="200"/>
        <w:rPr>
          <w:rStyle w:val="18"/>
          <w:rFonts w:ascii="仿宋_GB2312" w:eastAsia="仿宋_GB2312" w:cs="仿宋_GB2312"/>
          <w:b w:val="0"/>
          <w:bCs w:val="0"/>
          <w:color w:val="000000"/>
          <w:sz w:val="32"/>
          <w:szCs w:val="32"/>
        </w:rPr>
      </w:pPr>
      <w:r>
        <w:rPr>
          <w:rStyle w:val="18"/>
          <w:rFonts w:hint="eastAsia" w:ascii="仿宋_GB2312" w:eastAsia="仿宋_GB2312" w:cs="仿宋_GB2312"/>
          <w:b w:val="0"/>
          <w:bCs w:val="0"/>
          <w:color w:val="000000"/>
          <w:sz w:val="32"/>
          <w:szCs w:val="32"/>
        </w:rPr>
        <w:t>6</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rPr>
        <w:t>农林水支出（类）扶贫（款）其他扶贫支出（项）：支出决算为138.91万元，完成预算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rPr>
        <w:t>。</w:t>
      </w:r>
    </w:p>
    <w:p>
      <w:pPr>
        <w:spacing w:line="560" w:lineRule="exact"/>
        <w:ind w:firstLine="640" w:firstLineChars="200"/>
        <w:rPr>
          <w:rStyle w:val="18"/>
          <w:rFonts w:ascii="仿宋_GB2312" w:eastAsia="仿宋_GB2312" w:cs="仿宋_GB2312"/>
          <w:b w:val="0"/>
          <w:bCs w:val="0"/>
          <w:color w:val="000000"/>
          <w:sz w:val="32"/>
          <w:szCs w:val="32"/>
        </w:rPr>
      </w:pPr>
      <w:r>
        <w:rPr>
          <w:rFonts w:hint="eastAsia" w:ascii="仿宋_GB2312" w:eastAsia="仿宋_GB2312" w:cs="仿宋_GB2312"/>
          <w:color w:val="000000"/>
          <w:sz w:val="32"/>
          <w:szCs w:val="32"/>
        </w:rPr>
        <w:t>7</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住房保障支出（类）住房改革支出（款）住房公积金（项）：</w:t>
      </w:r>
      <w:r>
        <w:rPr>
          <w:rStyle w:val="18"/>
          <w:rFonts w:hint="eastAsia" w:ascii="仿宋_GB2312" w:eastAsia="仿宋_GB2312" w:cs="仿宋_GB2312"/>
          <w:b w:val="0"/>
          <w:bCs w:val="0"/>
          <w:color w:val="000000"/>
          <w:sz w:val="32"/>
          <w:szCs w:val="32"/>
        </w:rPr>
        <w:t>支出决算为25.48</w:t>
      </w:r>
      <w:r>
        <w:rPr>
          <w:rFonts w:hint="eastAsia" w:ascii="仿宋_GB2312" w:eastAsia="仿宋_GB2312" w:cs="仿宋_GB2312"/>
          <w:color w:val="000000"/>
          <w:sz w:val="32"/>
          <w:szCs w:val="32"/>
        </w:rPr>
        <w:t>万元，</w:t>
      </w:r>
      <w:r>
        <w:rPr>
          <w:rStyle w:val="18"/>
          <w:rFonts w:hint="eastAsia" w:ascii="仿宋_GB2312" w:eastAsia="仿宋_GB2312" w:cs="仿宋_GB2312"/>
          <w:b w:val="0"/>
          <w:bCs w:val="0"/>
          <w:color w:val="000000"/>
          <w:sz w:val="32"/>
          <w:szCs w:val="32"/>
        </w:rPr>
        <w:t>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rPr>
        <w:t>。</w:t>
      </w:r>
    </w:p>
    <w:p>
      <w:pPr>
        <w:spacing w:line="560" w:lineRule="exact"/>
        <w:ind w:firstLine="640" w:firstLineChars="200"/>
        <w:rPr>
          <w:rStyle w:val="18"/>
          <w:rFonts w:ascii="仿宋_GB2312" w:eastAsia="仿宋_GB2312" w:cs="仿宋_GB2312"/>
          <w:b w:val="0"/>
          <w:bCs w:val="0"/>
          <w:color w:val="000000"/>
          <w:sz w:val="32"/>
          <w:szCs w:val="32"/>
        </w:rPr>
      </w:pPr>
      <w:r>
        <w:rPr>
          <w:rFonts w:hint="eastAsia" w:ascii="仿宋_GB2312" w:eastAsia="仿宋_GB2312" w:cs="仿宋_GB2312"/>
          <w:color w:val="000000"/>
          <w:sz w:val="32"/>
          <w:szCs w:val="32"/>
        </w:rPr>
        <w:t>8</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住房保障支出（类）住房改革支出（款）购房补贴（项）：</w:t>
      </w:r>
      <w:r>
        <w:rPr>
          <w:rStyle w:val="18"/>
          <w:rFonts w:hint="eastAsia" w:ascii="仿宋_GB2312" w:eastAsia="仿宋_GB2312" w:cs="仿宋_GB2312"/>
          <w:b w:val="0"/>
          <w:bCs w:val="0"/>
          <w:color w:val="000000"/>
          <w:sz w:val="32"/>
          <w:szCs w:val="32"/>
        </w:rPr>
        <w:t>支出决算</w:t>
      </w:r>
      <w:r>
        <w:rPr>
          <w:rFonts w:hint="eastAsia" w:ascii="仿宋_GB2312" w:eastAsia="仿宋_GB2312" w:cs="仿宋_GB2312"/>
          <w:color w:val="000000"/>
          <w:sz w:val="32"/>
          <w:szCs w:val="32"/>
        </w:rPr>
        <w:t>为1.21万元，</w:t>
      </w:r>
      <w:r>
        <w:rPr>
          <w:rStyle w:val="18"/>
          <w:rFonts w:hint="eastAsia" w:ascii="仿宋_GB2312" w:eastAsia="仿宋_GB2312" w:cs="仿宋_GB2312"/>
          <w:b w:val="0"/>
          <w:bCs w:val="0"/>
          <w:color w:val="000000"/>
          <w:sz w:val="32"/>
          <w:szCs w:val="32"/>
        </w:rPr>
        <w:t>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rPr>
        <w:t>。</w:t>
      </w:r>
    </w:p>
    <w:p>
      <w:pPr>
        <w:spacing w:line="560" w:lineRule="exact"/>
        <w:ind w:firstLine="640" w:firstLineChars="200"/>
        <w:rPr>
          <w:rStyle w:val="22"/>
        </w:rPr>
      </w:pPr>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22"/>
          <w:rFonts w:hint="eastAsia" w:ascii="黑体" w:eastAsia="黑体" w:cs="黑体"/>
          <w:b w:val="0"/>
          <w:bCs w:val="0"/>
        </w:rPr>
        <w:t>般公共预算财政拨款基本支出决算情况说明</w:t>
      </w:r>
      <w:bookmarkEnd w:id="34"/>
      <w:bookmarkEnd w:id="35"/>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3年一般公共预算财政拨款基本支出363.41万元，其中：</w:t>
      </w:r>
    </w:p>
    <w:p>
      <w:pPr>
        <w:spacing w:line="56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人员经费352.97万元，主要包括：基本工资、津贴补贴、奖金、绩效工资、机关事业单位基本养老保险缴费、职业年金缴费、职工基本医疗保险费、其他社会保障缴费、住房公积金、医疗费、生活补助、医疗费补助、奖励金等。</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日常公用经费10.44万元，主要包括：办公费、邮电费、差旅费、培训费、公务接待费支出等。</w:t>
      </w:r>
    </w:p>
    <w:p>
      <w:pPr>
        <w:spacing w:line="560" w:lineRule="exact"/>
        <w:ind w:firstLine="640" w:firstLineChars="200"/>
        <w:rPr>
          <w:rStyle w:val="22"/>
          <w:rFonts w:ascii="黑体" w:eastAsia="黑体" w:cs="Times New Roman"/>
          <w:b w:val="0"/>
          <w:bCs w:val="0"/>
        </w:rPr>
      </w:pPr>
      <w:bookmarkStart w:id="36" w:name="_Toc15396609"/>
      <w:bookmarkStart w:id="37" w:name="_Toc15377215"/>
      <w:r>
        <w:rPr>
          <w:rFonts w:hint="eastAsia" w:ascii="黑体" w:eastAsia="黑体" w:cs="黑体"/>
          <w:color w:val="000000"/>
          <w:sz w:val="32"/>
          <w:szCs w:val="32"/>
        </w:rPr>
        <w:t>七、</w:t>
      </w:r>
      <w:r>
        <w:rPr>
          <w:rStyle w:val="22"/>
          <w:rFonts w:hint="eastAsia" w:ascii="黑体" w:eastAsia="黑体" w:cs="黑体"/>
        </w:rPr>
        <w:t>“</w:t>
      </w:r>
      <w:r>
        <w:rPr>
          <w:rStyle w:val="22"/>
          <w:rFonts w:hint="eastAsia" w:ascii="黑体" w:eastAsia="黑体" w:cs="黑体"/>
          <w:b w:val="0"/>
          <w:bCs w:val="0"/>
        </w:rPr>
        <w:t>三公”经费财政拨款支出决算情况说明</w:t>
      </w:r>
      <w:bookmarkEnd w:id="36"/>
      <w:bookmarkEnd w:id="37"/>
    </w:p>
    <w:p>
      <w:pPr>
        <w:spacing w:line="560" w:lineRule="exact"/>
        <w:ind w:firstLine="629" w:firstLineChars="196"/>
        <w:outlineLvl w:val="1"/>
        <w:rPr>
          <w:rFonts w:ascii="楷体" w:eastAsia="楷体" w:cs="楷体"/>
          <w:b/>
          <w:bCs/>
          <w:color w:val="000000"/>
          <w:sz w:val="32"/>
          <w:szCs w:val="32"/>
        </w:rPr>
      </w:pPr>
      <w:bookmarkStart w:id="38" w:name="_Toc15377216"/>
      <w:r>
        <w:rPr>
          <w:rFonts w:hint="eastAsia" w:ascii="楷体" w:eastAsia="楷体" w:cs="楷体"/>
          <w:b/>
          <w:bCs/>
          <w:color w:val="000000"/>
          <w:sz w:val="32"/>
          <w:szCs w:val="32"/>
        </w:rPr>
        <w:t>（一）“三公”经费财政拨款支出决算总体情况说明</w:t>
      </w:r>
      <w:bookmarkEnd w:id="38"/>
    </w:p>
    <w:p>
      <w:pPr>
        <w:widowControl/>
        <w:spacing w:line="560" w:lineRule="exact"/>
        <w:ind w:firstLine="640" w:firstLineChars="200"/>
        <w:jc w:val="left"/>
        <w:rPr>
          <w:rFonts w:ascii="??" w:hAnsi="??"/>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3年“三公”经费财政拨款支出决算为</w:t>
      </w:r>
      <w:r>
        <w:rPr>
          <w:rFonts w:ascii="仿宋_GB2312" w:eastAsia="仿宋_GB2312" w:cs="仿宋_GB2312"/>
          <w:color w:val="000000"/>
          <w:sz w:val="32"/>
          <w:szCs w:val="32"/>
        </w:rPr>
        <w:t>0.</w:t>
      </w:r>
      <w:r>
        <w:rPr>
          <w:rFonts w:hint="eastAsia" w:ascii="仿宋_GB2312" w:eastAsia="仿宋_GB2312" w:cs="仿宋_GB2312"/>
          <w:color w:val="000000"/>
          <w:sz w:val="32"/>
          <w:szCs w:val="32"/>
        </w:rPr>
        <w:t>24万元，完成预算100</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，较上年度增加0.13万元，决算数与预算数持平的主要原因是</w:t>
      </w:r>
      <w:r>
        <w:rPr>
          <w:rFonts w:hint="eastAsia" w:ascii="仿宋_GB2312" w:eastAsia="仿宋_GB2312" w:cs="仿宋_GB2312"/>
          <w:color w:val="000000"/>
          <w:kern w:val="0"/>
          <w:sz w:val="32"/>
          <w:szCs w:val="32"/>
        </w:rPr>
        <w:t>我校业务活动有所增加。</w:t>
      </w:r>
      <w:bookmarkStart w:id="39" w:name="_Toc15377217"/>
    </w:p>
    <w:p>
      <w:pPr>
        <w:widowControl/>
        <w:spacing w:line="560" w:lineRule="exact"/>
        <w:ind w:firstLine="642" w:firstLineChars="200"/>
        <w:jc w:val="left"/>
        <w:rPr>
          <w:rFonts w:ascii="??" w:hAnsi="??"/>
          <w:color w:val="000000"/>
          <w:sz w:val="32"/>
          <w:szCs w:val="32"/>
        </w:rPr>
      </w:pPr>
      <w:r>
        <w:rPr>
          <w:rFonts w:hint="eastAsia" w:ascii="楷体" w:eastAsia="楷体" w:cs="楷体"/>
          <w:b/>
          <w:bCs/>
          <w:color w:val="000000"/>
          <w:sz w:val="32"/>
          <w:szCs w:val="32"/>
        </w:rPr>
        <w:t>（二）“三公”经费财政拨款支出决算具体情况说明</w:t>
      </w:r>
      <w:bookmarkEnd w:id="39"/>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3年度“三公”经费财政拨款支出决算中，因公出国（境）费支出决算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万元；公务用车购置及运行维护费支出决算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万元；公务接待费支出决算0.24万元，占</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。具体情况如下：</w:t>
      </w:r>
    </w:p>
    <w:p>
      <w:pPr>
        <w:widowControl/>
        <w:spacing w:line="560" w:lineRule="exact"/>
        <w:ind w:firstLine="562" w:firstLineChars="200"/>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7</w:t>
      </w:r>
      <w:r>
        <w:rPr>
          <w:rFonts w:hint="eastAsia" w:ascii="宋体" w:cs="宋体"/>
          <w:b/>
          <w:bCs/>
          <w:color w:val="000000"/>
          <w:kern w:val="0"/>
          <w:sz w:val="28"/>
          <w:szCs w:val="28"/>
        </w:rPr>
        <w:t>：“三公”经费财政拨款支出结构（单位：万元）</w:t>
      </w:r>
    </w:p>
    <w:p>
      <w:pPr>
        <w:widowControl/>
        <w:spacing w:line="560" w:lineRule="exact"/>
        <w:ind w:firstLine="420" w:firstLineChars="200"/>
        <w:jc w:val="left"/>
        <w:rPr>
          <w:rFonts w:ascii="宋体"/>
          <w:b/>
          <w:bCs/>
          <w:color w:val="000000"/>
          <w:kern w:val="0"/>
          <w:sz w:val="28"/>
          <w:szCs w:val="28"/>
        </w:rPr>
      </w:pPr>
      <w:r>
        <w:drawing>
          <wp:anchor distT="0" distB="0" distL="114300" distR="114300" simplePos="0" relativeHeight="251663360" behindDoc="0" locked="0" layoutInCell="1" allowOverlap="1">
            <wp:simplePos x="0" y="0"/>
            <wp:positionH relativeFrom="column">
              <wp:posOffset>487680</wp:posOffset>
            </wp:positionH>
            <wp:positionV relativeFrom="paragraph">
              <wp:posOffset>53340</wp:posOffset>
            </wp:positionV>
            <wp:extent cx="4596130" cy="2767330"/>
            <wp:effectExtent l="0" t="0" r="7" b="21"/>
            <wp:wrapSquare wrapText="bothSides"/>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12" cstate="print"/>
                    <a:stretch>
                      <a:fillRect/>
                    </a:stretch>
                  </pic:blipFill>
                  <pic:spPr>
                    <a:xfrm>
                      <a:off x="0" y="0"/>
                      <a:ext cx="4596130" cy="2767330"/>
                    </a:xfrm>
                    <a:prstGeom prst="rect">
                      <a:avLst/>
                    </a:prstGeom>
                    <a:noFill/>
                    <a:ln w="9525" cap="flat" cmpd="sng">
                      <a:noFill/>
                      <a:prstDash val="solid"/>
                      <a:round/>
                    </a:ln>
                  </pic:spPr>
                </pic:pic>
              </a:graphicData>
            </a:graphic>
          </wp:anchor>
        </w:drawing>
      </w:r>
    </w:p>
    <w:p>
      <w:pPr>
        <w:pStyle w:val="2"/>
        <w:rPr>
          <w:b/>
          <w:bCs/>
          <w:color w:val="000000"/>
          <w:sz w:val="28"/>
          <w:szCs w:val="28"/>
        </w:rPr>
      </w:pPr>
    </w:p>
    <w:p>
      <w:pPr>
        <w:pStyle w:val="3"/>
      </w:pPr>
    </w:p>
    <w:p>
      <w:pPr>
        <w:widowControl/>
        <w:spacing w:line="560" w:lineRule="exact"/>
        <w:ind w:firstLine="562" w:firstLineChars="200"/>
        <w:jc w:val="left"/>
        <w:rPr>
          <w:rFonts w:ascii="宋体"/>
          <w:b/>
          <w:bCs/>
          <w:color w:val="000000"/>
          <w:kern w:val="0"/>
          <w:sz w:val="28"/>
          <w:szCs w:val="28"/>
        </w:rPr>
      </w:pP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p>
    <w:p>
      <w:pPr>
        <w:spacing w:line="560" w:lineRule="exact"/>
        <w:rPr>
          <w:rFonts w:ascii="仿宋_GB2312" w:eastAsia="仿宋_GB2312" w:cs="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8"/>
          <w:rFonts w:hint="eastAsia" w:ascii="仿宋_GB2312" w:eastAsia="仿宋_GB2312" w:cs="仿宋_GB2312"/>
          <w:b w:val="0"/>
          <w:bCs w:val="0"/>
          <w:color w:val="000000"/>
          <w:sz w:val="32"/>
          <w:szCs w:val="32"/>
        </w:rPr>
        <w:t>。与上年数相比，无变化。</w:t>
      </w:r>
    </w:p>
    <w:p>
      <w:pPr>
        <w:spacing w:line="560" w:lineRule="exact"/>
        <w:ind w:firstLine="640" w:firstLineChars="200"/>
        <w:rPr>
          <w:rStyle w:val="18"/>
          <w:rFonts w:ascii="仿宋_GB2312" w:eastAsia="仿宋_GB2312" w:cs="仿宋_GB2312"/>
          <w:b w:val="0"/>
          <w:bCs w:val="0"/>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公务用车购置及运行维护费支出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8"/>
          <w:rFonts w:hint="eastAsia" w:ascii="仿宋_GB2312" w:eastAsia="仿宋_GB2312" w:cs="仿宋_GB2312"/>
          <w:b w:val="0"/>
          <w:bCs w:val="0"/>
          <w:color w:val="000000"/>
          <w:sz w:val="32"/>
          <w:szCs w:val="32"/>
        </w:rPr>
        <w:t>公务用车购置及运行维护费支出决算与2022年相比无增减。主要原因是单位无公车，也无公务用车运行维护费的预算。</w:t>
      </w:r>
    </w:p>
    <w:p>
      <w:pPr>
        <w:spacing w:line="560" w:lineRule="exact"/>
        <w:ind w:firstLine="640" w:firstLineChars="200"/>
        <w:rPr>
          <w:rStyle w:val="18"/>
          <w:rFonts w:ascii="仿宋_GB2312" w:eastAsia="仿宋_GB2312" w:cs="仿宋_GB2312"/>
          <w:b w:val="0"/>
          <w:bCs w:val="0"/>
          <w:color w:val="000000"/>
          <w:sz w:val="32"/>
          <w:szCs w:val="32"/>
        </w:rPr>
      </w:pPr>
      <w:r>
        <w:rPr>
          <w:rStyle w:val="18"/>
          <w:rFonts w:hint="eastAsia" w:ascii="仿宋_GB2312" w:eastAsia="仿宋_GB2312" w:cs="仿宋_GB2312"/>
          <w:b w:val="0"/>
          <w:bCs w:val="0"/>
          <w:color w:val="000000"/>
          <w:sz w:val="32"/>
          <w:szCs w:val="32"/>
        </w:rPr>
        <w:t>其中：公务用车购置支出0万元。全年按规定更新购置公务用车0辆，其中：轿车0辆，金额0万元；越野车0辆、金额0万元；载客汽车0辆，金额0万元。截至2023年12月底，单位共有公务用车0辆，其中：轿车0辆、越野车0辆、载客汽车0辆。</w:t>
      </w:r>
    </w:p>
    <w:p>
      <w:pPr>
        <w:spacing w:line="560" w:lineRule="exact"/>
        <w:ind w:firstLine="640" w:firstLineChars="200"/>
        <w:rPr>
          <w:rFonts w:ascii="仿宋_GB2312" w:eastAsia="仿宋_GB2312"/>
          <w:color w:val="000000"/>
          <w:sz w:val="32"/>
          <w:szCs w:val="32"/>
        </w:rPr>
      </w:pPr>
      <w:r>
        <w:rPr>
          <w:rStyle w:val="18"/>
          <w:rFonts w:hint="eastAsia" w:ascii="仿宋_GB2312" w:eastAsia="仿宋_GB2312" w:cs="仿宋_GB2312"/>
          <w:b w:val="0"/>
          <w:bCs w:val="0"/>
          <w:color w:val="000000"/>
          <w:sz w:val="32"/>
          <w:szCs w:val="32"/>
        </w:rPr>
        <w:t>公务用车运行维护费支出0万元。</w:t>
      </w:r>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公务接待费支出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24万元，</w:t>
      </w:r>
      <w:r>
        <w:rPr>
          <w:rStyle w:val="18"/>
          <w:rFonts w:hint="eastAsia" w:ascii="仿宋_GB2312" w:eastAsia="仿宋_GB2312" w:cs="仿宋_GB2312"/>
          <w:b w:val="0"/>
          <w:bCs w:val="0"/>
          <w:color w:val="000000"/>
          <w:sz w:val="32"/>
          <w:szCs w:val="32"/>
        </w:rPr>
        <w:t>完成预算100</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202</w:t>
      </w:r>
      <w:r>
        <w:rPr>
          <w:rFonts w:hint="eastAsia" w:ascii="仿宋_GB2312" w:eastAsia="仿宋_GB2312" w:cs="仿宋_GB2312"/>
          <w:color w:val="000000"/>
          <w:sz w:val="32"/>
          <w:szCs w:val="32"/>
        </w:rPr>
        <w:t>2年增加</w:t>
      </w:r>
      <w:r>
        <w:rPr>
          <w:rFonts w:ascii="仿宋_GB2312" w:eastAsia="仿宋_GB2312" w:cs="仿宋_GB2312"/>
          <w:color w:val="000000"/>
          <w:sz w:val="32"/>
          <w:szCs w:val="32"/>
        </w:rPr>
        <w:t>0.</w:t>
      </w:r>
      <w:r>
        <w:rPr>
          <w:rFonts w:hint="eastAsia" w:ascii="仿宋_GB2312" w:eastAsia="仿宋_GB2312" w:cs="仿宋_GB2312"/>
          <w:color w:val="000000"/>
          <w:sz w:val="32"/>
          <w:szCs w:val="32"/>
        </w:rPr>
        <w:t>13万元。主要原因是</w:t>
      </w:r>
      <w:r>
        <w:rPr>
          <w:rFonts w:hint="eastAsia" w:ascii="仿宋_GB2312" w:eastAsia="仿宋_GB2312" w:cs="仿宋_GB2312"/>
          <w:color w:val="000000"/>
          <w:kern w:val="0"/>
          <w:sz w:val="32"/>
          <w:szCs w:val="32"/>
        </w:rPr>
        <w:t>我校2023年业务活动有所增加。</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国内公务接待支出0.24万元，主要用于执行公务、开展业务活动开支的用餐费。国内公务接待</w:t>
      </w:r>
      <w:r>
        <w:rPr>
          <w:rFonts w:ascii="仿宋_GB2312" w:eastAsia="仿宋_GB2312" w:cs="仿宋_GB2312"/>
          <w:color w:val="000000"/>
          <w:sz w:val="32"/>
          <w:szCs w:val="32"/>
        </w:rPr>
        <w:t>2</w:t>
      </w:r>
      <w:r>
        <w:rPr>
          <w:rFonts w:hint="eastAsia" w:ascii="仿宋_GB2312" w:eastAsia="仿宋_GB2312" w:cs="仿宋_GB2312"/>
          <w:color w:val="000000"/>
          <w:sz w:val="32"/>
          <w:szCs w:val="32"/>
        </w:rPr>
        <w:t>批次，16人次（不包括陪同人员），共计支出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24万元，具体内容包括：接待中共眉山市委党校，开展教学、科研以及现场教学点位建设研讨交流和接待</w:t>
      </w:r>
      <w:r>
        <w:rPr>
          <w:rFonts w:ascii="仿宋_GB2312" w:eastAsia="仿宋_GB2312" w:cs="仿宋_GB2312"/>
          <w:color w:val="000000"/>
          <w:sz w:val="32"/>
          <w:szCs w:val="32"/>
        </w:rPr>
        <w:t>上级</w:t>
      </w:r>
      <w:r>
        <w:rPr>
          <w:rFonts w:hint="eastAsia" w:ascii="仿宋_GB2312" w:eastAsia="仿宋_GB2312" w:cs="仿宋_GB2312"/>
          <w:color w:val="000000"/>
          <w:sz w:val="32"/>
          <w:szCs w:val="32"/>
        </w:rPr>
        <w:t>党校到我校开展县级党校办学质量终评现场评估工作。</w:t>
      </w:r>
      <w:bookmarkStart w:id="40" w:name="_Toc15396610"/>
      <w:bookmarkStart w:id="41" w:name="_Toc15377218"/>
    </w:p>
    <w:p>
      <w:pPr>
        <w:numPr>
          <w:ilvl w:val="0"/>
          <w:numId w:val="3"/>
        </w:numPr>
        <w:spacing w:line="560" w:lineRule="exact"/>
        <w:ind w:firstLine="640" w:firstLineChars="200"/>
        <w:rPr>
          <w:rStyle w:val="22"/>
          <w:rFonts w:ascii="黑体" w:eastAsia="黑体" w:cs="黑体"/>
          <w:b w:val="0"/>
          <w:bCs w:val="0"/>
        </w:rPr>
      </w:pPr>
      <w:r>
        <w:rPr>
          <w:rStyle w:val="22"/>
          <w:rFonts w:hint="eastAsia" w:ascii="黑体" w:eastAsia="黑体" w:cs="黑体"/>
          <w:b w:val="0"/>
          <w:bCs w:val="0"/>
        </w:rPr>
        <w:t>政府性基金预算支出决算情况说明</w:t>
      </w:r>
      <w:bookmarkEnd w:id="40"/>
      <w:bookmarkEnd w:id="41"/>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3年无政府性基金预算拨款支出。</w:t>
      </w:r>
      <w:bookmarkStart w:id="42" w:name="_Toc15396611"/>
      <w:bookmarkStart w:id="43" w:name="_Toc15377219"/>
    </w:p>
    <w:p>
      <w:pPr>
        <w:pStyle w:val="5"/>
        <w:spacing w:before="0" w:after="0" w:line="560" w:lineRule="exact"/>
        <w:ind w:firstLine="640" w:firstLineChars="200"/>
        <w:rPr>
          <w:rStyle w:val="22"/>
          <w:rFonts w:ascii="黑体" w:eastAsia="黑体" w:cs="Times New Roman"/>
          <w:b w:val="0"/>
          <w:bCs w:val="0"/>
        </w:rPr>
      </w:pPr>
      <w:r>
        <w:rPr>
          <w:rStyle w:val="22"/>
          <w:rFonts w:hint="eastAsia" w:ascii="黑体" w:eastAsia="黑体" w:cs="黑体"/>
          <w:b w:val="0"/>
          <w:bCs w:val="0"/>
        </w:rPr>
        <w:t>九、国有资本经营预算支出决算情况说明</w:t>
      </w:r>
      <w:bookmarkEnd w:id="42"/>
      <w:bookmarkEnd w:id="43"/>
    </w:p>
    <w:p>
      <w:pPr>
        <w:spacing w:line="56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3年无国有资本经营预算拨款支出。</w:t>
      </w:r>
    </w:p>
    <w:p>
      <w:pPr>
        <w:pStyle w:val="5"/>
        <w:spacing w:before="0" w:after="0" w:line="560" w:lineRule="exact"/>
        <w:ind w:firstLine="642" w:firstLineChars="200"/>
        <w:rPr>
          <w:rStyle w:val="22"/>
          <w:rFonts w:ascii="黑体" w:eastAsia="黑体" w:cs="黑体"/>
          <w:b/>
          <w:bCs/>
        </w:rPr>
      </w:pPr>
      <w:r>
        <w:rPr>
          <w:rStyle w:val="22"/>
          <w:rFonts w:hint="eastAsia" w:ascii="黑体" w:eastAsia="黑体" w:cs="黑体"/>
          <w:b/>
          <w:bCs/>
        </w:rPr>
        <w:t>十、其他重要事项的情况说明</w:t>
      </w:r>
    </w:p>
    <w:p>
      <w:pPr>
        <w:spacing w:line="560" w:lineRule="exact"/>
        <w:ind w:firstLine="642" w:firstLineChars="200"/>
        <w:rPr>
          <w:rFonts w:ascii="宋体" w:cs="宋体"/>
          <w:b/>
          <w:bCs/>
          <w:sz w:val="32"/>
          <w:szCs w:val="32"/>
        </w:rPr>
      </w:pPr>
      <w:r>
        <w:rPr>
          <w:rFonts w:hint="eastAsia" w:ascii="宋体" w:cs="宋体"/>
          <w:b/>
          <w:bCs/>
          <w:sz w:val="32"/>
          <w:szCs w:val="32"/>
        </w:rPr>
        <w:t>（一）机关运行经费支出情况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3年，我校机关运行经费支出6.54万元，比</w:t>
      </w:r>
      <w:r>
        <w:rPr>
          <w:rFonts w:ascii="仿宋_GB2312" w:eastAsia="仿宋_GB2312"/>
          <w:color w:val="000000"/>
          <w:sz w:val="32"/>
          <w:szCs w:val="32"/>
        </w:rPr>
        <w:t>202</w:t>
      </w:r>
      <w:r>
        <w:rPr>
          <w:rFonts w:hint="eastAsia" w:ascii="仿宋_GB2312" w:eastAsia="仿宋_GB2312"/>
          <w:color w:val="000000"/>
          <w:sz w:val="32"/>
          <w:szCs w:val="32"/>
        </w:rPr>
        <w:t>2年减少2.04万元。主要原因是厉行节约，</w:t>
      </w:r>
      <w:r>
        <w:rPr>
          <w:rFonts w:hint="eastAsia" w:ascii="仿宋_GB2312" w:eastAsia="仿宋_GB2312" w:cs="仿宋_GB2312"/>
          <w:color w:val="000000"/>
          <w:kern w:val="0"/>
          <w:sz w:val="32"/>
          <w:szCs w:val="32"/>
        </w:rPr>
        <w:t>厉行节约，控制经费支出。</w:t>
      </w:r>
    </w:p>
    <w:p>
      <w:p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（二）政府采购支出情况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3年，茂县县委党校政府采购支出总额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2" w:firstLineChars="200"/>
        <w:rPr>
          <w:rFonts w:ascii="仿宋" w:eastAsia="仿宋"/>
          <w:b/>
          <w:color w:val="000000"/>
          <w:sz w:val="32"/>
          <w:szCs w:val="32"/>
        </w:rPr>
      </w:pPr>
      <w:r>
        <w:rPr>
          <w:rFonts w:hint="eastAsia" w:ascii="仿宋" w:eastAsia="仿宋"/>
          <w:b/>
          <w:color w:val="000000"/>
          <w:sz w:val="32"/>
          <w:szCs w:val="32"/>
        </w:rPr>
        <w:t>（三）国有资产占有使用情况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3年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ascii="仿宋_GB2312" w:eastAsia="仿宋_GB2312"/>
          <w:color w:val="000000"/>
          <w:sz w:val="32"/>
          <w:szCs w:val="32"/>
        </w:rPr>
        <w:t>0</w:t>
      </w:r>
      <w:r>
        <w:rPr>
          <w:rFonts w:hint="eastAsia" w:ascii="仿宋_GB2312" w:eastAsia="仿宋_GB2312"/>
          <w:color w:val="000000"/>
          <w:sz w:val="32"/>
          <w:szCs w:val="32"/>
        </w:rPr>
        <w:t>辆。</w:t>
      </w:r>
    </w:p>
    <w:p>
      <w:pPr>
        <w:numPr>
          <w:ilvl w:val="0"/>
          <w:numId w:val="4"/>
        </w:num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预算绩效管理情况</w:t>
      </w:r>
    </w:p>
    <w:p>
      <w:pPr>
        <w:autoSpaceDE w:val="0"/>
        <w:autoSpaceDN w:val="0"/>
        <w:adjustRightInd w:val="0"/>
        <w:spacing w:line="560" w:lineRule="exact"/>
        <w:ind w:firstLine="640" w:firstLineChars="200"/>
        <w:jc w:val="left"/>
        <w:outlineLvl w:val="2"/>
        <w:rPr>
          <w:rFonts w:eastAsia="仿宋_GB2312"/>
        </w:rPr>
      </w:pPr>
      <w:r>
        <w:rPr>
          <w:rFonts w:hint="eastAsia" w:ascii="仿宋_GB2312" w:eastAsia="仿宋_GB2312" w:cs="仿宋_GB2312"/>
          <w:sz w:val="32"/>
          <w:szCs w:val="32"/>
        </w:rPr>
        <w:t>我校</w:t>
      </w:r>
      <w:r>
        <w:rPr>
          <w:rFonts w:hint="eastAsia" w:ascii="仿宋_GB2312" w:eastAsia="仿宋_GB2312" w:cs="仿宋_GB2312"/>
          <w:color w:val="000000"/>
          <w:kern w:val="0"/>
          <w:sz w:val="32"/>
          <w:szCs w:val="32"/>
        </w:rPr>
        <w:t>根据预算绩效管理要求，本部门在2023年度预算阶段，组织对0个项目开展了预算事前绩效评估。</w:t>
      </w:r>
      <w:r>
        <w:rPr>
          <w:rFonts w:hint="eastAsia" w:ascii="仿宋_GB2312" w:eastAsia="仿宋_GB2312" w:cs="仿宋_GB2312"/>
          <w:color w:val="222222"/>
          <w:sz w:val="32"/>
          <w:szCs w:val="32"/>
        </w:rPr>
        <w:t xml:space="preserve"> </w:t>
      </w:r>
    </w:p>
    <w:p>
      <w:pPr>
        <w:spacing w:line="560" w:lineRule="exact"/>
        <w:ind w:firstLine="640" w:firstLineChars="200"/>
        <w:rPr>
          <w:rFonts w:ascii="仿宋_GB2312" w:eastAsia="仿宋_GB2312" w:cs="仿宋_GB2312"/>
          <w:color w:val="222222"/>
          <w:sz w:val="32"/>
          <w:szCs w:val="32"/>
        </w:rPr>
      </w:pPr>
      <w:r>
        <w:rPr>
          <w:rFonts w:hint="eastAsia" w:ascii="仿宋_GB2312" w:eastAsia="仿宋_GB2312" w:cs="仿宋_GB2312"/>
          <w:sz w:val="32"/>
          <w:szCs w:val="32"/>
        </w:rPr>
        <w:t xml:space="preserve">组织对2023年度一般公共预算、政府性基金预算、国有资本经营预算、社会保险基金预算以及资本资产、债券资金等全面开展绩效自评，形成茂县县委党校部门整体绩效自评报告、茂县党员干部教育培训阵地信息化建设项目等专项预算项目绩效自评报告，绩效自评报告详见附件。 </w:t>
      </w:r>
    </w:p>
    <w:p>
      <w:pPr>
        <w:widowControl/>
        <w:spacing w:line="560" w:lineRule="exact"/>
        <w:jc w:val="center"/>
        <w:rPr>
          <w:rFonts w:ascii="方正小标宋简体" w:eastAsia="方正小标宋简体" w:cs="方正小标宋简体"/>
          <w:color w:val="000000"/>
          <w:sz w:val="44"/>
          <w:szCs w:val="44"/>
        </w:rPr>
      </w:pPr>
      <w:bookmarkStart w:id="44" w:name="_Toc15377225"/>
      <w:bookmarkStart w:id="45" w:name="_Toc15396613"/>
    </w:p>
    <w:p>
      <w:pPr>
        <w:widowControl/>
        <w:spacing w:line="560" w:lineRule="exact"/>
        <w:jc w:val="center"/>
        <w:rPr>
          <w:rFonts w:ascii="方正小标宋简体" w:eastAsia="方正小标宋简体" w:cs="方正小标宋简体"/>
          <w:color w:val="000000"/>
          <w:sz w:val="44"/>
          <w:szCs w:val="44"/>
        </w:rPr>
      </w:pPr>
    </w:p>
    <w:p>
      <w:pPr>
        <w:widowControl/>
        <w:spacing w:line="560" w:lineRule="exact"/>
        <w:jc w:val="center"/>
        <w:rPr>
          <w:rStyle w:val="21"/>
          <w:rFonts w:ascii="方正小标宋简体" w:eastAsia="方正小标宋简体" w:cs="方正小标宋简体"/>
          <w:b w:val="0"/>
          <w:bCs w:val="0"/>
        </w:rPr>
      </w:pPr>
      <w:r>
        <w:rPr>
          <w:rFonts w:hint="eastAsia" w:ascii="方正小标宋简体" w:eastAsia="方正小标宋简体" w:cs="方正小标宋简体"/>
          <w:color w:val="000000"/>
          <w:sz w:val="44"/>
          <w:szCs w:val="44"/>
        </w:rPr>
        <w:t>第三部分名</w:t>
      </w:r>
      <w:r>
        <w:rPr>
          <w:rStyle w:val="21"/>
          <w:rFonts w:hint="eastAsia" w:ascii="方正小标宋简体" w:eastAsia="方正小标宋简体" w:cs="方正小标宋简体"/>
          <w:b w:val="0"/>
          <w:bCs w:val="0"/>
        </w:rPr>
        <w:t>词解释</w:t>
      </w:r>
      <w:bookmarkEnd w:id="44"/>
      <w:bookmarkEnd w:id="45"/>
    </w:p>
    <w:p>
      <w:pPr>
        <w:widowControl/>
        <w:spacing w:line="560" w:lineRule="exact"/>
        <w:jc w:val="center"/>
        <w:rPr>
          <w:rStyle w:val="21"/>
          <w:rFonts w:ascii="方正小标宋简体" w:eastAsia="方正小标宋简体"/>
          <w:b w:val="0"/>
          <w:bCs w:val="0"/>
        </w:rPr>
      </w:pPr>
    </w:p>
    <w:p>
      <w:pPr>
        <w:pStyle w:val="23"/>
        <w:spacing w:line="560" w:lineRule="exact"/>
        <w:ind w:firstLine="640" w:firstLineChars="200"/>
        <w:rPr>
          <w:rFonts w:ascii="仿宋_GB2312" w:eastAsia="仿宋_GB2312" w:cs="仿宋_GB2312"/>
          <w:sz w:val="32"/>
          <w:szCs w:val="32"/>
        </w:rPr>
      </w:pPr>
      <w:bookmarkStart w:id="46" w:name="_Toc15396614"/>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教育（类）教育管理事务（款）行政运行（项）：指用于保障机构运行、开展日常工作的基本支出。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医疗卫生与计划生育（类）行政事业单位医疗（款）行政单位医疗（项）：指本</w:t>
      </w:r>
      <w:r>
        <w:rPr>
          <w:rFonts w:hint="eastAsia" w:ascii="仿宋_GB2312" w:eastAsia="仿宋_GB2312" w:cs="仿宋_GB2312"/>
          <w:color w:val="000000"/>
          <w:kern w:val="0"/>
          <w:sz w:val="32"/>
          <w:szCs w:val="32"/>
        </w:rPr>
        <w:t>单位用于缴纳单位基本医疗保险支出。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农林水（类）扶贫（款）其他扶贫支出（项）：指扶贫方面支出。</w:t>
      </w:r>
    </w:p>
    <w:p>
      <w:pPr>
        <w:widowControl/>
        <w:spacing w:line="560" w:lineRule="exact"/>
        <w:ind w:firstLine="640" w:firstLineChars="200"/>
        <w:jc w:val="left"/>
      </w:pPr>
      <w:r>
        <w:rPr>
          <w:rFonts w:ascii="仿宋_GB2312" w:eastAsia="仿宋_GB2312" w:cs="仿宋_GB2312"/>
          <w:color w:val="000000"/>
          <w:sz w:val="32"/>
          <w:szCs w:val="32"/>
        </w:rPr>
        <w:t>14.</w:t>
      </w:r>
      <w:r>
        <w:rPr>
          <w:rFonts w:hint="eastAsia" w:ascii="仿宋_GB2312" w:eastAsia="仿宋_GB2312" w:cs="仿宋_GB2312"/>
          <w:color w:val="000000"/>
          <w:sz w:val="32"/>
          <w:szCs w:val="32"/>
        </w:rPr>
        <w:t>住房保障（类）住房改革（款）住房公积金（项）：指</w:t>
      </w:r>
      <w:r>
        <w:rPr>
          <w:rFonts w:hint="eastAsia" w:ascii="仿宋_GB2312" w:eastAsia="仿宋_GB2312" w:cs="仿宋_GB2312"/>
          <w:color w:val="000000"/>
          <w:kern w:val="0"/>
          <w:sz w:val="32"/>
          <w:szCs w:val="32"/>
        </w:rPr>
        <w:t>行政事业单位按规定为职工缴纳的住房公积金。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项目支出：指在基本支出之外为完成特定行政任务和事业发展目标所发生的支出。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pPr>
        <w:spacing w:line="560" w:lineRule="exact"/>
        <w:ind w:firstLine="2420" w:firstLineChars="550"/>
        <w:outlineLvl w:val="0"/>
        <w:rPr>
          <w:rFonts w:ascii="方正小标宋简体" w:eastAsia="方正小标宋简体" w:cs="方正小标宋简体"/>
          <w:sz w:val="44"/>
          <w:szCs w:val="44"/>
        </w:rPr>
      </w:pPr>
    </w:p>
    <w:p>
      <w:pPr>
        <w:spacing w:line="560" w:lineRule="exact"/>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bookmarkEnd w:id="46"/>
    <w:p>
      <w:pPr>
        <w:spacing w:line="560" w:lineRule="exact"/>
        <w:jc w:val="center"/>
        <w:outlineLvl w:val="0"/>
        <w:rPr>
          <w:rStyle w:val="21"/>
          <w:rFonts w:ascii="方正小标宋简体" w:eastAsia="方正小标宋简体" w:cs="方正小标宋简体"/>
          <w:b w:val="0"/>
          <w:bCs w:val="0"/>
        </w:rPr>
      </w:pPr>
      <w:bookmarkStart w:id="47" w:name="_Toc79163635"/>
      <w:bookmarkStart w:id="48" w:name="_Toc79163885"/>
      <w:r>
        <w:rPr>
          <w:rFonts w:hint="eastAsia" w:ascii="方正小标宋简体" w:eastAsia="方正小标宋简体" w:cs="方正小标宋简体"/>
          <w:sz w:val="44"/>
          <w:szCs w:val="44"/>
        </w:rPr>
        <w:t>第四部分</w:t>
      </w:r>
      <w:r>
        <w:rPr>
          <w:rStyle w:val="21"/>
          <w:rFonts w:hint="eastAsia" w:ascii="方正小标宋简体" w:eastAsia="方正小标宋简体" w:cs="方正小标宋简体"/>
          <w:b w:val="0"/>
          <w:bCs w:val="0"/>
        </w:rPr>
        <w:t>附件</w:t>
      </w:r>
      <w:bookmarkStart w:id="49" w:name="_Toc15396615"/>
    </w:p>
    <w:p>
      <w:pPr>
        <w:spacing w:line="560" w:lineRule="exact"/>
        <w:jc w:val="center"/>
        <w:outlineLvl w:val="0"/>
        <w:rPr>
          <w:rStyle w:val="21"/>
          <w:rFonts w:ascii="方正小标宋简体" w:eastAsia="方正小标宋简体" w:cs="方正小标宋简体"/>
          <w:b w:val="0"/>
          <w:bCs w:val="0"/>
        </w:rPr>
      </w:pPr>
    </w:p>
    <w:bookmarkEnd w:id="49"/>
    <w:p>
      <w:pPr>
        <w:spacing w:line="560" w:lineRule="exact"/>
        <w:outlineLvl w:val="0"/>
        <w:rPr>
          <w:rStyle w:val="21"/>
          <w:rFonts w:ascii="黑体" w:eastAsia="黑体" w:cs="黑体"/>
          <w:b w:val="0"/>
          <w:bCs w:val="0"/>
          <w:sz w:val="32"/>
          <w:szCs w:val="32"/>
        </w:rPr>
      </w:pPr>
      <w:r>
        <w:rPr>
          <w:rStyle w:val="21"/>
          <w:rFonts w:hint="eastAsia" w:ascii="黑体" w:eastAsia="黑体" w:cs="黑体"/>
          <w:b w:val="0"/>
          <w:bCs w:val="0"/>
          <w:sz w:val="32"/>
          <w:szCs w:val="32"/>
        </w:rPr>
        <w:t>附件1</w:t>
      </w:r>
    </w:p>
    <w:p>
      <w:pPr>
        <w:spacing w:line="560" w:lineRule="exact"/>
        <w:jc w:val="center"/>
        <w:outlineLvl w:val="0"/>
        <w:rPr>
          <w:rFonts w:ascii="方正小标宋简体" w:eastAsia="方正小标宋简体" w:cs="方正小标宋简体"/>
          <w:sz w:val="44"/>
          <w:szCs w:val="44"/>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rPr>
        <w:t>3年茂县县委党校整体支出</w:t>
      </w:r>
    </w:p>
    <w:p>
      <w:pPr>
        <w:spacing w:line="560" w:lineRule="exact"/>
        <w:jc w:val="center"/>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绩效评价报告</w:t>
      </w:r>
    </w:p>
    <w:p>
      <w:pPr>
        <w:widowControl/>
        <w:spacing w:line="560" w:lineRule="exact"/>
        <w:contextualSpacing/>
        <w:jc w:val="center"/>
        <w:rPr>
          <w:rFonts w:ascii="宋体"/>
          <w:b/>
          <w:sz w:val="44"/>
          <w:szCs w:val="44"/>
          <w:shd w:val="clear" w:color="auto" w:fill="FFFFFF"/>
        </w:rPr>
      </w:pPr>
    </w:p>
    <w:p>
      <w:pPr>
        <w:pStyle w:val="23"/>
        <w:spacing w:line="560" w:lineRule="exact"/>
        <w:ind w:firstLine="640" w:firstLineChars="200"/>
        <w:rPr>
          <w:rFonts w:ascii="仿宋_GB2312" w:eastAsia="仿宋_GB2312" w:cs="仿宋_GB2312"/>
          <w:sz w:val="32"/>
          <w:szCs w:val="32"/>
        </w:rPr>
      </w:pPr>
      <w:r>
        <w:rPr>
          <w:rFonts w:hint="eastAsia" w:ascii="方正黑体_GBK" w:eastAsia="方正黑体_GBK" w:cs="方正黑体_GBK"/>
          <w:bCs/>
          <w:color w:val="auto"/>
          <w:kern w:val="2"/>
          <w:sz w:val="32"/>
          <w:szCs w:val="32"/>
          <w:shd w:val="clear" w:color="auto" w:fill="FFFFFF"/>
        </w:rPr>
        <w:t>一、部门（单位）基本情况</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rPr>
        <w:t>（一）机构组成</w:t>
      </w:r>
    </w:p>
    <w:p>
      <w:pPr>
        <w:pStyle w:val="23"/>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县委党校是县委直属的乡科级全额拨款的事业单位。内设办公室、教研室、后勤财务室。</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rPr>
        <w:t>(二）机构职能</w:t>
      </w:r>
    </w:p>
    <w:p>
      <w:pPr>
        <w:pStyle w:val="23"/>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党校是县委的直属事业单位，是县委、县政府轮训和培训党员领导干部的重要阵地，培养党的理论队伍的重要阵地，学习、研究马列主义、毛泽东思想、邓小平理论的重要阵地，党员干部党性锻炼的熔炉。主要任务是：（1）轮训党员领导干部；（2）培训中青年党员领导干部；（3）培训意识形态部门的领导干部和理论骨干；（4）协同组织人事部门，对学员在校期间进行考核考察；（5）围绕国内外出现的新情况、新问题以及我县的热点难点问题开展调查研究；（6）宣传马克思列宁主义、毛泽东思想、邓小平理论和“三个代表”重要思想以及党的各项路线、方针、政策；（7）承担县委和上级主管部门交办的其他工作。</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rPr>
        <w:t>(三）人员概况</w:t>
      </w:r>
    </w:p>
    <w:p>
      <w:pPr>
        <w:pStyle w:val="23"/>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截止2023年末，茂县党校核定编制16名，其中：参公编制8人，事业编制8名。实有在职职工17名（其中参公人员9名，参公工勤1名，事业人员6名），退休6人。</w:t>
      </w:r>
    </w:p>
    <w:p>
      <w:pPr>
        <w:widowControl/>
        <w:spacing w:line="576" w:lineRule="exact"/>
        <w:ind w:firstLine="640" w:firstLineChars="200"/>
        <w:contextualSpacing/>
        <w:jc w:val="left"/>
        <w:outlineLvl w:val="0"/>
        <w:rPr>
          <w:rFonts w:ascii="方正黑体_GBK" w:eastAsia="方正黑体_GBK" w:cs="方正黑体_GBK"/>
          <w:bCs/>
          <w:sz w:val="32"/>
          <w:szCs w:val="32"/>
          <w:shd w:val="clear" w:color="auto" w:fill="FFFFFF"/>
        </w:rPr>
      </w:pPr>
      <w:r>
        <w:rPr>
          <w:rFonts w:hint="eastAsia" w:ascii="方正黑体_GBK" w:eastAsia="方正黑体_GBK" w:cs="方正黑体_GBK"/>
          <w:bCs/>
          <w:sz w:val="32"/>
          <w:szCs w:val="32"/>
          <w:shd w:val="clear" w:color="auto" w:fill="FFFFFF"/>
        </w:rPr>
        <w:t>二、部门资金收支情况</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rPr>
        <w:t>（一）收入情况</w:t>
      </w:r>
    </w:p>
    <w:p>
      <w:pPr>
        <w:pStyle w:val="23"/>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茂县县委党校2023年</w:t>
      </w:r>
      <w:r>
        <w:rPr>
          <w:rFonts w:hint="eastAsia" w:ascii="仿宋_GB2312" w:eastAsia="仿宋_GB2312" w:cs="仿宋_GB2312"/>
          <w:sz w:val="32"/>
          <w:szCs w:val="32"/>
          <w:lang w:val="zh-CN"/>
        </w:rPr>
        <w:t>年初预算收入</w:t>
      </w:r>
      <w:r>
        <w:rPr>
          <w:rFonts w:hint="eastAsia" w:ascii="仿宋_GB2312" w:eastAsia="仿宋_GB2312" w:cs="仿宋_GB2312"/>
          <w:sz w:val="32"/>
          <w:szCs w:val="32"/>
        </w:rPr>
        <w:t>299.59万</w:t>
      </w:r>
      <w:r>
        <w:rPr>
          <w:rFonts w:hint="eastAsia" w:ascii="仿宋_GB2312" w:eastAsia="仿宋_GB2312" w:cs="仿宋_GB2312"/>
          <w:sz w:val="32"/>
          <w:szCs w:val="32"/>
          <w:lang w:val="zh-CN"/>
        </w:rPr>
        <w:t>元；决算报表收入</w:t>
      </w:r>
      <w:r>
        <w:rPr>
          <w:rFonts w:hint="eastAsia" w:ascii="仿宋_GB2312" w:eastAsia="仿宋_GB2312" w:cs="仿宋_GB2312"/>
          <w:sz w:val="32"/>
          <w:szCs w:val="32"/>
        </w:rPr>
        <w:t>541.88万元</w:t>
      </w:r>
      <w:r>
        <w:rPr>
          <w:rFonts w:hint="eastAsia" w:ascii="仿宋_GB2312" w:eastAsia="仿宋_GB2312" w:cs="仿宋_GB2312"/>
          <w:sz w:val="32"/>
          <w:szCs w:val="32"/>
          <w:lang w:val="zh-CN"/>
        </w:rPr>
        <w:t>。</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rPr>
        <w:t>（二）支出情况</w:t>
      </w:r>
    </w:p>
    <w:p>
      <w:pPr>
        <w:pStyle w:val="23"/>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2023年年初预算299.59万元，决算报表支出541.88万元，其中：一般公共服务支出：39.56万元，教育支出264.45万元，社会保障和就业支出51.21万元，卫生健康支出21.06万元，住房保障支出26.69万元，农林水支出138.91万元。</w:t>
      </w:r>
    </w:p>
    <w:p>
      <w:pPr>
        <w:widowControl/>
        <w:spacing w:line="576" w:lineRule="exact"/>
        <w:ind w:firstLine="320" w:firstLineChars="100"/>
        <w:contextualSpacing/>
        <w:jc w:val="left"/>
        <w:outlineLvl w:val="0"/>
        <w:rPr>
          <w:rFonts w:ascii="CESI楷体-GB2312" w:eastAsia="CESI楷体-GB2312" w:cs="CESI楷体-GB2312"/>
          <w:sz w:val="32"/>
          <w:szCs w:val="32"/>
          <w:shd w:val="clear" w:color="auto" w:fill="FFFFFF"/>
        </w:rPr>
      </w:pPr>
      <w:r>
        <w:rPr>
          <w:rFonts w:hint="eastAsia" w:ascii="CESI楷体-GB2312" w:eastAsia="CESI楷体-GB2312" w:cs="CESI楷体-GB2312"/>
          <w:sz w:val="32"/>
          <w:szCs w:val="32"/>
          <w:shd w:val="clear" w:color="auto" w:fill="FFFFFF"/>
        </w:rPr>
        <w:t>（三）结余分配和结转结余情况</w:t>
      </w:r>
    </w:p>
    <w:p>
      <w:pPr>
        <w:pStyle w:val="23"/>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茂县县委党校2023年决算无结转结余情况。</w:t>
      </w:r>
    </w:p>
    <w:p>
      <w:pPr>
        <w:widowControl/>
        <w:adjustRightInd w:val="0"/>
        <w:snapToGrid w:val="0"/>
        <w:spacing w:line="576" w:lineRule="exact"/>
        <w:ind w:firstLine="640" w:firstLineChars="200"/>
        <w:contextualSpacing/>
        <w:jc w:val="left"/>
        <w:rPr>
          <w:rFonts w:ascii="仿宋_GB2312" w:hAnsi="仿宋_GB2312" w:eastAsia="黑体"/>
          <w:sz w:val="32"/>
          <w:szCs w:val="32"/>
          <w:shd w:val="clear" w:color="auto" w:fill="FFFFFF"/>
        </w:rPr>
      </w:pPr>
      <w:r>
        <w:rPr>
          <w:rFonts w:hint="eastAsia" w:ascii="仿宋_GB2312" w:hAnsi="仿宋_GB2312" w:eastAsia="黑体"/>
          <w:sz w:val="32"/>
          <w:szCs w:val="32"/>
          <w:shd w:val="clear" w:color="auto" w:fill="FFFFFF"/>
        </w:rPr>
        <w:t xml:space="preserve"> 三、部门预算绩效分析</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（一）部门预算总体绩效分析</w:t>
      </w:r>
    </w:p>
    <w:p>
      <w:pPr>
        <w:pStyle w:val="23"/>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zh-CN"/>
        </w:rPr>
        <w:t>履职效能。</w:t>
      </w:r>
      <w:r>
        <w:rPr>
          <w:rFonts w:hint="eastAsia" w:ascii="仿宋_GB2312" w:eastAsia="仿宋_GB2312" w:cs="仿宋_GB2312"/>
          <w:sz w:val="32"/>
          <w:szCs w:val="32"/>
        </w:rPr>
        <w:t>一是扎实开展干部培训工作。2023年，</w:t>
      </w:r>
      <w:r>
        <w:rPr>
          <w:rFonts w:ascii="仿宋_GB2312" w:eastAsia="仿宋_GB2312" w:cs="仿宋_GB2312"/>
          <w:sz w:val="32"/>
          <w:szCs w:val="32"/>
        </w:rPr>
        <w:t>共举办主体班培训</w:t>
      </w:r>
      <w:r>
        <w:rPr>
          <w:rFonts w:hint="eastAsia" w:ascii="仿宋_GB2312" w:eastAsia="仿宋_GB2312" w:cs="仿宋_GB2312"/>
          <w:sz w:val="32"/>
          <w:szCs w:val="32"/>
        </w:rPr>
        <w:t>8</w:t>
      </w:r>
      <w:r>
        <w:rPr>
          <w:rFonts w:ascii="仿宋_GB2312" w:eastAsia="仿宋_GB2312" w:cs="仿宋_GB2312"/>
          <w:sz w:val="32"/>
          <w:szCs w:val="32"/>
        </w:rPr>
        <w:t>期，培训人数600余人次；圆满完成1期100人次的全国党组织书记和村委会主任视频培训班和1期2023年全国新录用公务员初任培训班茂县分课堂后勤服务保障工作；开展计划外培训5期，培训人数290余人次。同时，承接四川省长征干部学院培训班81期3572人的现场教学。</w:t>
      </w:r>
      <w:r>
        <w:rPr>
          <w:rFonts w:hint="eastAsia" w:ascii="仿宋_GB2312" w:eastAsia="仿宋_GB2312" w:cs="仿宋_GB2312"/>
          <w:sz w:val="32"/>
          <w:szCs w:val="32"/>
        </w:rPr>
        <w:t>二是深入基层开展党课</w:t>
      </w:r>
      <w:r>
        <w:rPr>
          <w:rFonts w:ascii="仿宋_GB2312" w:eastAsia="仿宋_GB2312" w:cs="仿宋_GB2312"/>
          <w:sz w:val="32"/>
          <w:szCs w:val="32"/>
        </w:rPr>
        <w:t>宣讲。深入部门、乡镇、村（社区）、学校、企业宣讲41场次，受众2119取得良好效果</w:t>
      </w:r>
      <w:r>
        <w:rPr>
          <w:rFonts w:hint="eastAsia" w:ascii="仿宋_GB2312" w:eastAsia="仿宋_GB2312" w:cs="仿宋_GB2312"/>
          <w:sz w:val="32"/>
          <w:szCs w:val="32"/>
        </w:rPr>
        <w:t>。</w:t>
      </w:r>
      <w:r>
        <w:rPr>
          <w:rFonts w:ascii="仿宋_GB2312" w:eastAsia="仿宋_GB2312" w:cs="仿宋_GB2312"/>
          <w:sz w:val="32"/>
          <w:szCs w:val="32"/>
        </w:rPr>
        <w:t>较好地发挥了全县宣讲主力军作用。</w:t>
      </w:r>
      <w:r>
        <w:rPr>
          <w:rFonts w:hint="eastAsia" w:ascii="仿宋_GB2312" w:eastAsia="仿宋_GB2312" w:cs="仿宋_GB2312"/>
          <w:sz w:val="32"/>
          <w:szCs w:val="32"/>
        </w:rPr>
        <w:t>三是聚焦中心</w:t>
      </w:r>
      <w:r>
        <w:rPr>
          <w:rFonts w:ascii="仿宋_GB2312" w:eastAsia="仿宋_GB2312" w:cs="仿宋_GB2312"/>
          <w:sz w:val="32"/>
          <w:szCs w:val="32"/>
        </w:rPr>
        <w:t>加强课题调研。围绕</w:t>
      </w:r>
      <w:r>
        <w:rPr>
          <w:rFonts w:ascii="仿宋_GB2312" w:eastAsia="仿宋_GB2312" w:cs="仿宋_GB2312"/>
          <w:sz w:val="32"/>
          <w:szCs w:val="32"/>
        </w:rPr>
        <w:t>县委县政府</w:t>
      </w:r>
      <w:r>
        <w:rPr>
          <w:rFonts w:ascii="仿宋_GB2312" w:eastAsia="仿宋_GB2312" w:cs="仿宋_GB2312"/>
          <w:sz w:val="32"/>
          <w:szCs w:val="32"/>
        </w:rPr>
        <w:t>中心工作，积极申报社科课题和省委党校课题。申报的课题《社会治理模式和机制创新的地方实践及案例研究——以茂县为例》《关于加强茂县岷江干旱河谷生态综合治理的对策研究》《后疫情背景下加快茂县特色农林产业发展对策研究》已结项。</w:t>
      </w:r>
      <w:r>
        <w:rPr>
          <w:rFonts w:hint="eastAsia" w:ascii="仿宋_GB2312" w:eastAsia="仿宋_GB2312" w:cs="仿宋_GB2312"/>
          <w:sz w:val="32"/>
          <w:szCs w:val="32"/>
        </w:rPr>
        <w:t xml:space="preserve">  </w:t>
      </w:r>
    </w:p>
    <w:p>
      <w:pPr>
        <w:pStyle w:val="23"/>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2.预算管理。</w:t>
      </w:r>
      <w:r>
        <w:rPr>
          <w:rFonts w:hint="eastAsia" w:ascii="仿宋_GB2312" w:eastAsia="仿宋_GB2312" w:cs="仿宋_GB2312"/>
          <w:sz w:val="32"/>
          <w:szCs w:val="32"/>
          <w:lang w:val="zh-CN"/>
        </w:rPr>
        <w:t>我单位在预决算编制上做到认真、负责、按时按规定报送。严格按要求编制本单位的部门预算，编制预算时做到有文件有依据，严格控制一般性支出。</w:t>
      </w:r>
      <w:r>
        <w:rPr>
          <w:rFonts w:hint="eastAsia" w:ascii="仿宋_GB2312" w:eastAsia="仿宋_GB2312" w:cs="仿宋_GB2312"/>
          <w:sz w:val="32"/>
          <w:szCs w:val="32"/>
        </w:rPr>
        <w:t>2023</w:t>
      </w:r>
      <w:r>
        <w:rPr>
          <w:rFonts w:hint="eastAsia" w:ascii="仿宋_GB2312" w:eastAsia="仿宋_GB2312" w:cs="仿宋_GB2312"/>
          <w:sz w:val="32"/>
          <w:szCs w:val="32"/>
          <w:lang w:val="zh-CN"/>
        </w:rPr>
        <w:t>年我单位年初预算数为</w:t>
      </w:r>
      <w:r>
        <w:rPr>
          <w:rFonts w:hint="eastAsia" w:ascii="仿宋_GB2312" w:eastAsia="仿宋_GB2312" w:cs="仿宋_GB2312"/>
          <w:sz w:val="32"/>
          <w:szCs w:val="32"/>
        </w:rPr>
        <w:t>299.59万</w:t>
      </w:r>
      <w:r>
        <w:rPr>
          <w:rFonts w:hint="eastAsia" w:ascii="仿宋_GB2312" w:eastAsia="仿宋_GB2312" w:cs="仿宋_GB2312"/>
          <w:sz w:val="32"/>
          <w:szCs w:val="32"/>
          <w:lang w:val="zh-CN"/>
        </w:rPr>
        <w:t>元，20</w:t>
      </w:r>
      <w:r>
        <w:rPr>
          <w:rFonts w:hint="eastAsia" w:ascii="仿宋_GB2312" w:eastAsia="仿宋_GB2312" w:cs="仿宋_GB2312"/>
          <w:sz w:val="32"/>
          <w:szCs w:val="32"/>
        </w:rPr>
        <w:t>23</w:t>
      </w:r>
      <w:r>
        <w:rPr>
          <w:rFonts w:hint="eastAsia" w:ascii="仿宋_GB2312" w:eastAsia="仿宋_GB2312" w:cs="仿宋_GB2312"/>
          <w:sz w:val="32"/>
          <w:szCs w:val="32"/>
          <w:lang w:val="zh-CN"/>
        </w:rPr>
        <w:t>年部门支出总数是</w:t>
      </w:r>
      <w:r>
        <w:rPr>
          <w:rFonts w:hint="eastAsia" w:ascii="仿宋_GB2312" w:eastAsia="仿宋_GB2312" w:cs="仿宋_GB2312"/>
          <w:sz w:val="32"/>
          <w:szCs w:val="32"/>
        </w:rPr>
        <w:t>541.88万</w:t>
      </w:r>
      <w:r>
        <w:rPr>
          <w:rFonts w:hint="eastAsia" w:ascii="仿宋_GB2312" w:eastAsia="仿宋_GB2312" w:cs="仿宋_GB2312"/>
          <w:sz w:val="32"/>
          <w:szCs w:val="32"/>
          <w:lang w:val="zh-CN"/>
        </w:rPr>
        <w:t>元，</w:t>
      </w:r>
      <w:r>
        <w:rPr>
          <w:rFonts w:hint="eastAsia" w:ascii="仿宋_GB2312" w:eastAsia="仿宋_GB2312" w:cs="仿宋_GB2312"/>
          <w:sz w:val="32"/>
          <w:szCs w:val="32"/>
        </w:rPr>
        <w:t>2023年本级财政拨款总收入为541.88万元；2023年总支出为541.88万元，占预算100%。</w:t>
      </w:r>
      <w:r>
        <w:rPr>
          <w:rFonts w:hint="eastAsia" w:ascii="仿宋_GB2312" w:eastAsia="仿宋_GB2312" w:cs="仿宋_GB2312"/>
          <w:sz w:val="32"/>
          <w:szCs w:val="32"/>
          <w:lang w:val="zh-CN"/>
        </w:rPr>
        <w:t>预算执行方面，根据“总量控制、计划管理”的要求从严控制行政经费，压缩公务费开支，严格控制“三公”经费，支出总额控制在预算总额以内。预算资金按规定管理使用，较好地完成了当年任务目标。</w:t>
      </w:r>
    </w:p>
    <w:p>
      <w:pPr>
        <w:pStyle w:val="23"/>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lang w:val="zh-CN"/>
        </w:rPr>
        <w:t>财务管理</w:t>
      </w:r>
      <w:r>
        <w:rPr>
          <w:rFonts w:hint="eastAsia" w:ascii="仿宋_GB2312" w:eastAsia="仿宋_GB2312" w:cs="仿宋_GB2312"/>
          <w:sz w:val="32"/>
          <w:szCs w:val="32"/>
          <w:lang w:val="zh-CN"/>
        </w:rPr>
        <w:t>。单位建立了相关的财务管理制度，设立了出纳和会计岗配备了相应的财务人员。</w:t>
      </w:r>
      <w:r>
        <w:rPr>
          <w:rFonts w:hint="eastAsia" w:ascii="仿宋_GB2312" w:eastAsia="仿宋_GB2312" w:cs="仿宋_GB2312"/>
          <w:sz w:val="32"/>
          <w:szCs w:val="32"/>
        </w:rPr>
        <w:t>在财务管理方面，经费支出实行严格审批制度，严格预算原则。严格控制基本经费支出，加强对日常经费开支的管理，严禁超预算支出。</w:t>
      </w:r>
    </w:p>
    <w:p>
      <w:pPr>
        <w:pStyle w:val="23"/>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lang w:val="zh-CN"/>
        </w:rPr>
        <w:t>资产管理</w:t>
      </w:r>
      <w:r>
        <w:rPr>
          <w:rFonts w:hint="eastAsia" w:ascii="仿宋_GB2312" w:eastAsia="仿宋_GB2312" w:cs="仿宋_GB2312"/>
          <w:sz w:val="32"/>
          <w:szCs w:val="32"/>
          <w:lang w:val="zh-CN"/>
        </w:rPr>
        <w:t>。</w:t>
      </w:r>
      <w:r>
        <w:rPr>
          <w:rFonts w:hint="eastAsia" w:ascii="仿宋_GB2312" w:eastAsia="仿宋_GB2312" w:cs="仿宋_GB2312"/>
          <w:sz w:val="32"/>
          <w:szCs w:val="32"/>
        </w:rPr>
        <w:t>在资产管理方面，坚持谁使用谁保管谁负责的原则，建立台账，各负其责，财务室负责固定资产的日常账务处理，办公室负责台账登记和日常维修，使资产能保障单位工作的正常运转。在办公设备配置上，严格执行电脑，打印机等最低使用年限且年限满后只要维修后能正常使用的我单位都将继续使用，没有超出配置。资产利用率达100%，无闲置资产。</w:t>
      </w:r>
    </w:p>
    <w:p>
      <w:pPr>
        <w:pStyle w:val="23"/>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5.</w:t>
      </w:r>
      <w:r>
        <w:rPr>
          <w:rFonts w:ascii="仿宋_GB2312" w:eastAsia="仿宋_GB2312" w:cs="仿宋_GB2312"/>
          <w:sz w:val="32"/>
          <w:szCs w:val="32"/>
          <w:lang w:val="zh-CN"/>
        </w:rPr>
        <w:t>采购管理</w:t>
      </w:r>
      <w:r>
        <w:rPr>
          <w:rFonts w:hint="eastAsia" w:ascii="仿宋_GB2312" w:eastAsia="仿宋_GB2312" w:cs="仿宋_GB2312"/>
          <w:sz w:val="32"/>
          <w:szCs w:val="32"/>
          <w:lang w:val="zh-CN"/>
        </w:rPr>
        <w:t>。我单位的采购主要是通过部门集中采购方式进行，采购严格按照相关的文件进行。项目在单位的监管下按合同正常推进完成。</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rPr>
      </w:pPr>
      <w:r>
        <w:rPr>
          <w:rFonts w:eastAsia="楷体_GB2312"/>
          <w:b/>
          <w:bCs/>
          <w:color w:val="000000"/>
          <w:kern w:val="0"/>
          <w:sz w:val="32"/>
          <w:szCs w:val="32"/>
          <w:shd w:val="clear" w:color="auto" w:fill="FFFFFF"/>
          <w:lang w:val="zh-CN"/>
        </w:rPr>
        <w:t>（二）部门预算项目绩效分析</w:t>
      </w:r>
    </w:p>
    <w:p>
      <w:pPr>
        <w:pStyle w:val="23"/>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常年项目绩效分析。</w:t>
      </w:r>
      <w:r>
        <w:rPr>
          <w:rFonts w:hint="eastAsia" w:ascii="仿宋_GB2312" w:eastAsia="仿宋_GB2312" w:cs="仿宋_GB2312"/>
          <w:sz w:val="32"/>
          <w:szCs w:val="32"/>
          <w:lang w:val="zh-CN"/>
        </w:rPr>
        <w:t>该类项目总数</w:t>
      </w:r>
      <w:r>
        <w:rPr>
          <w:rFonts w:hint="eastAsia" w:ascii="仿宋_GB2312" w:eastAsia="仿宋_GB2312" w:cs="仿宋_GB2312"/>
          <w:sz w:val="32"/>
          <w:szCs w:val="32"/>
        </w:rPr>
        <w:t>41</w:t>
      </w:r>
      <w:r>
        <w:rPr>
          <w:rFonts w:hint="eastAsia" w:ascii="仿宋_GB2312" w:eastAsia="仿宋_GB2312" w:cs="仿宋_GB2312"/>
          <w:sz w:val="32"/>
          <w:szCs w:val="32"/>
          <w:lang w:val="zh-CN"/>
        </w:rPr>
        <w:t>个，涉及预算总金额</w:t>
      </w:r>
      <w:r>
        <w:rPr>
          <w:rFonts w:hint="eastAsia" w:ascii="仿宋_GB2312" w:eastAsia="仿宋_GB2312" w:cs="仿宋_GB2312"/>
          <w:sz w:val="32"/>
          <w:szCs w:val="32"/>
        </w:rPr>
        <w:t>363.41</w:t>
      </w:r>
      <w:r>
        <w:rPr>
          <w:rFonts w:hint="eastAsia" w:ascii="仿宋_GB2312" w:eastAsia="仿宋_GB2312" w:cs="仿宋_GB2312"/>
          <w:sz w:val="32"/>
          <w:szCs w:val="32"/>
          <w:lang w:val="zh-CN"/>
        </w:rPr>
        <w:t>万元，1—1</w:t>
      </w:r>
      <w:r>
        <w:rPr>
          <w:rFonts w:hint="eastAsia" w:ascii="仿宋_GB2312" w:eastAsia="仿宋_GB2312" w:cs="仿宋_GB2312"/>
          <w:sz w:val="32"/>
          <w:szCs w:val="32"/>
        </w:rPr>
        <w:t>2</w:t>
      </w:r>
      <w:r>
        <w:rPr>
          <w:rFonts w:hint="eastAsia" w:ascii="仿宋_GB2312" w:eastAsia="仿宋_GB2312" w:cs="仿宋_GB2312"/>
          <w:sz w:val="32"/>
          <w:szCs w:val="32"/>
          <w:lang w:val="zh-CN"/>
        </w:rPr>
        <w:t>月预算执行总体进度为</w:t>
      </w:r>
      <w:r>
        <w:rPr>
          <w:rFonts w:hint="eastAsia" w:ascii="仿宋_GB2312" w:eastAsia="仿宋_GB2312" w:cs="仿宋_GB2312"/>
          <w:sz w:val="32"/>
          <w:szCs w:val="32"/>
        </w:rPr>
        <w:t>100</w:t>
      </w:r>
      <w:r>
        <w:rPr>
          <w:rFonts w:hint="eastAsia" w:ascii="仿宋_GB2312" w:eastAsia="仿宋_GB2312" w:cs="仿宋_GB2312"/>
          <w:sz w:val="32"/>
          <w:szCs w:val="32"/>
          <w:lang w:val="zh-CN"/>
        </w:rPr>
        <w:t>%，其中：预算结余率大于</w:t>
      </w:r>
      <w:r>
        <w:rPr>
          <w:rFonts w:hint="eastAsia" w:ascii="仿宋_GB2312" w:eastAsia="仿宋_GB2312" w:cs="仿宋_GB2312"/>
          <w:sz w:val="32"/>
          <w:szCs w:val="32"/>
        </w:rPr>
        <w:t>10%</w:t>
      </w:r>
      <w:r>
        <w:rPr>
          <w:rFonts w:hint="eastAsia" w:ascii="仿宋_GB2312" w:eastAsia="仿宋_GB2312" w:cs="仿宋_GB2312"/>
          <w:sz w:val="32"/>
          <w:szCs w:val="32"/>
          <w:lang w:val="zh-CN"/>
        </w:rPr>
        <w:t>的项目共计</w:t>
      </w:r>
      <w:r>
        <w:rPr>
          <w:rFonts w:hint="eastAsia" w:ascii="仿宋_GB2312" w:eastAsia="仿宋_GB2312" w:cs="仿宋_GB2312"/>
          <w:sz w:val="32"/>
          <w:szCs w:val="32"/>
        </w:rPr>
        <w:t>0</w:t>
      </w:r>
      <w:r>
        <w:rPr>
          <w:rFonts w:hint="eastAsia" w:ascii="仿宋_GB2312" w:eastAsia="仿宋_GB2312" w:cs="仿宋_GB2312"/>
          <w:sz w:val="32"/>
          <w:szCs w:val="32"/>
          <w:lang w:val="zh-CN"/>
        </w:rPr>
        <w:t>个。</w:t>
      </w:r>
    </w:p>
    <w:p>
      <w:pPr>
        <w:pStyle w:val="23"/>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阶段（一次性）项目绩效分析。</w:t>
      </w:r>
      <w:r>
        <w:rPr>
          <w:rFonts w:hint="eastAsia" w:ascii="仿宋_GB2312" w:eastAsia="仿宋_GB2312" w:cs="仿宋_GB2312"/>
          <w:sz w:val="32"/>
          <w:szCs w:val="32"/>
          <w:lang w:val="zh-CN"/>
        </w:rPr>
        <w:t>该类项目总数</w:t>
      </w:r>
      <w:r>
        <w:rPr>
          <w:rFonts w:hint="eastAsia" w:ascii="仿宋_GB2312" w:eastAsia="仿宋_GB2312" w:cs="仿宋_GB2312"/>
          <w:sz w:val="32"/>
          <w:szCs w:val="32"/>
        </w:rPr>
        <w:t>2</w:t>
      </w:r>
      <w:r>
        <w:rPr>
          <w:rFonts w:hint="eastAsia" w:ascii="仿宋_GB2312" w:eastAsia="仿宋_GB2312" w:cs="仿宋_GB2312"/>
          <w:sz w:val="32"/>
          <w:szCs w:val="32"/>
          <w:lang w:val="zh-CN"/>
        </w:rPr>
        <w:t>个，涉及预算总金额</w:t>
      </w:r>
      <w:r>
        <w:rPr>
          <w:rFonts w:hint="eastAsia" w:ascii="仿宋_GB2312" w:eastAsia="仿宋_GB2312" w:cs="仿宋_GB2312"/>
          <w:sz w:val="32"/>
          <w:szCs w:val="32"/>
        </w:rPr>
        <w:t xml:space="preserve"> 178.47</w:t>
      </w:r>
      <w:r>
        <w:rPr>
          <w:rFonts w:hint="eastAsia" w:ascii="仿宋_GB2312" w:eastAsia="仿宋_GB2312" w:cs="仿宋_GB2312"/>
          <w:sz w:val="32"/>
          <w:szCs w:val="32"/>
          <w:lang w:val="zh-CN"/>
        </w:rPr>
        <w:t>万元，1—1</w:t>
      </w:r>
      <w:r>
        <w:rPr>
          <w:rFonts w:hint="eastAsia" w:ascii="仿宋_GB2312" w:eastAsia="仿宋_GB2312" w:cs="仿宋_GB2312"/>
          <w:sz w:val="32"/>
          <w:szCs w:val="32"/>
        </w:rPr>
        <w:t>2</w:t>
      </w:r>
      <w:r>
        <w:rPr>
          <w:rFonts w:hint="eastAsia" w:ascii="仿宋_GB2312" w:eastAsia="仿宋_GB2312" w:cs="仿宋_GB2312"/>
          <w:sz w:val="32"/>
          <w:szCs w:val="32"/>
          <w:lang w:val="zh-CN"/>
        </w:rPr>
        <w:t>月预算执行总体进度为</w:t>
      </w:r>
      <w:r>
        <w:rPr>
          <w:rFonts w:hint="eastAsia" w:ascii="仿宋_GB2312" w:eastAsia="仿宋_GB2312" w:cs="仿宋_GB2312"/>
          <w:sz w:val="32"/>
          <w:szCs w:val="32"/>
        </w:rPr>
        <w:t xml:space="preserve">100 </w:t>
      </w:r>
      <w:r>
        <w:rPr>
          <w:rFonts w:hint="eastAsia" w:ascii="仿宋_GB2312" w:eastAsia="仿宋_GB2312" w:cs="仿宋_GB2312"/>
          <w:sz w:val="32"/>
          <w:szCs w:val="32"/>
          <w:lang w:val="zh-CN"/>
        </w:rPr>
        <w:t>%，其中：预算结余率大于</w:t>
      </w:r>
      <w:r>
        <w:rPr>
          <w:rFonts w:hint="eastAsia" w:ascii="仿宋_GB2312" w:eastAsia="仿宋_GB2312" w:cs="仿宋_GB2312"/>
          <w:sz w:val="32"/>
          <w:szCs w:val="32"/>
        </w:rPr>
        <w:t>10%</w:t>
      </w:r>
      <w:r>
        <w:rPr>
          <w:rFonts w:hint="eastAsia" w:ascii="仿宋_GB2312" w:eastAsia="仿宋_GB2312" w:cs="仿宋_GB2312"/>
          <w:sz w:val="32"/>
          <w:szCs w:val="32"/>
          <w:lang w:val="zh-CN"/>
        </w:rPr>
        <w:t>的项目共计</w:t>
      </w:r>
      <w:r>
        <w:rPr>
          <w:rFonts w:hint="eastAsia" w:ascii="仿宋_GB2312" w:eastAsia="仿宋_GB2312" w:cs="仿宋_GB2312"/>
          <w:sz w:val="32"/>
          <w:szCs w:val="32"/>
        </w:rPr>
        <w:t>0</w:t>
      </w:r>
      <w:r>
        <w:rPr>
          <w:rFonts w:hint="eastAsia" w:ascii="仿宋_GB2312" w:eastAsia="仿宋_GB2312" w:cs="仿宋_GB2312"/>
          <w:sz w:val="32"/>
          <w:szCs w:val="32"/>
          <w:lang w:val="zh-CN"/>
        </w:rPr>
        <w:t>个。</w:t>
      </w:r>
    </w:p>
    <w:p>
      <w:pPr>
        <w:pStyle w:val="23"/>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1.</w:t>
      </w:r>
      <w:r>
        <w:rPr>
          <w:rFonts w:hint="eastAsia" w:ascii="仿宋_GB2312" w:eastAsia="仿宋_GB2312" w:cs="仿宋_GB2312"/>
          <w:sz w:val="32"/>
          <w:szCs w:val="32"/>
          <w:lang w:val="zh-CN"/>
        </w:rPr>
        <w:t>项目决策。部门预算项目设立按规定履行评估论证、申报程序，部门预算项目绩效目标与计划期内的任务量、预算安排的资金</w:t>
      </w:r>
      <w:r>
        <w:rPr>
          <w:rFonts w:hint="eastAsia" w:ascii="仿宋_GB2312" w:eastAsia="仿宋_GB2312" w:cs="仿宋_GB2312"/>
          <w:sz w:val="32"/>
          <w:szCs w:val="32"/>
        </w:rPr>
        <w:t>一致</w:t>
      </w:r>
      <w:r>
        <w:rPr>
          <w:rFonts w:hint="eastAsia" w:ascii="仿宋_GB2312" w:eastAsia="仿宋_GB2312" w:cs="仿宋_GB2312"/>
          <w:sz w:val="32"/>
          <w:szCs w:val="32"/>
          <w:lang w:val="zh-CN"/>
        </w:rPr>
        <w:t>，绩效目标设置科学合理、规范完整、量化细化、预算匹配，部门预算项目</w:t>
      </w:r>
      <w:r>
        <w:rPr>
          <w:rFonts w:hint="eastAsia" w:ascii="仿宋_GB2312" w:eastAsia="仿宋_GB2312" w:cs="仿宋_GB2312"/>
          <w:sz w:val="32"/>
          <w:szCs w:val="32"/>
        </w:rPr>
        <w:t>均</w:t>
      </w:r>
      <w:r>
        <w:rPr>
          <w:rFonts w:hint="eastAsia" w:ascii="仿宋_GB2312" w:eastAsia="仿宋_GB2312" w:cs="仿宋_GB2312"/>
          <w:sz w:val="32"/>
          <w:szCs w:val="32"/>
          <w:lang w:val="zh-CN"/>
        </w:rPr>
        <w:t>在规定时间完成项目入库。</w:t>
      </w:r>
    </w:p>
    <w:p>
      <w:pPr>
        <w:pStyle w:val="23"/>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2.项目执行</w:t>
      </w:r>
      <w:r>
        <w:rPr>
          <w:rFonts w:hint="eastAsia" w:ascii="仿宋_GB2312" w:eastAsia="仿宋_GB2312" w:cs="仿宋_GB2312"/>
          <w:sz w:val="32"/>
          <w:szCs w:val="32"/>
          <w:lang w:val="zh-CN"/>
        </w:rPr>
        <w:t>。部门预算项目实际列支内容与绩效目标设置方向相符，部门预算项目</w:t>
      </w:r>
      <w:r>
        <w:rPr>
          <w:rFonts w:hint="eastAsia" w:ascii="仿宋_GB2312" w:eastAsia="仿宋_GB2312" w:cs="仿宋_GB2312"/>
          <w:sz w:val="32"/>
          <w:szCs w:val="32"/>
        </w:rPr>
        <w:t>没有</w:t>
      </w:r>
      <w:r>
        <w:rPr>
          <w:rFonts w:hint="eastAsia" w:ascii="仿宋_GB2312" w:eastAsia="仿宋_GB2312" w:cs="仿宋_GB2312"/>
          <w:sz w:val="32"/>
          <w:szCs w:val="32"/>
          <w:lang w:val="zh-CN"/>
        </w:rPr>
        <w:t>采取对应调整措施，</w:t>
      </w:r>
      <w:r>
        <w:rPr>
          <w:rFonts w:hint="eastAsia" w:ascii="仿宋_GB2312" w:eastAsia="仿宋_GB2312" w:cs="仿宋_GB2312"/>
          <w:sz w:val="32"/>
          <w:szCs w:val="32"/>
        </w:rPr>
        <w:t>常年项目绩效分析。</w:t>
      </w:r>
      <w:r>
        <w:rPr>
          <w:rFonts w:hint="eastAsia" w:ascii="仿宋_GB2312" w:eastAsia="仿宋_GB2312" w:cs="仿宋_GB2312"/>
          <w:sz w:val="32"/>
          <w:szCs w:val="32"/>
          <w:lang w:val="zh-CN"/>
        </w:rPr>
        <w:t>该类项目总数</w:t>
      </w:r>
      <w:r>
        <w:rPr>
          <w:rFonts w:hint="eastAsia" w:ascii="仿宋_GB2312" w:eastAsia="仿宋_GB2312" w:cs="仿宋_GB2312"/>
          <w:sz w:val="32"/>
          <w:szCs w:val="32"/>
        </w:rPr>
        <w:t>41</w:t>
      </w:r>
      <w:r>
        <w:rPr>
          <w:rFonts w:hint="eastAsia" w:ascii="仿宋_GB2312" w:eastAsia="仿宋_GB2312" w:cs="仿宋_GB2312"/>
          <w:sz w:val="32"/>
          <w:szCs w:val="32"/>
          <w:lang w:val="zh-CN"/>
        </w:rPr>
        <w:t>个，涉及预算总金额</w:t>
      </w:r>
      <w:r>
        <w:rPr>
          <w:rFonts w:hint="eastAsia" w:ascii="仿宋_GB2312" w:eastAsia="仿宋_GB2312" w:cs="仿宋_GB2312"/>
          <w:sz w:val="32"/>
          <w:szCs w:val="32"/>
        </w:rPr>
        <w:t>363.41</w:t>
      </w:r>
      <w:r>
        <w:rPr>
          <w:rFonts w:hint="eastAsia" w:ascii="仿宋_GB2312" w:eastAsia="仿宋_GB2312" w:cs="仿宋_GB2312"/>
          <w:sz w:val="32"/>
          <w:szCs w:val="32"/>
          <w:lang w:val="zh-CN"/>
        </w:rPr>
        <w:t>万元，</w:t>
      </w:r>
      <w:r>
        <w:rPr>
          <w:rFonts w:hint="eastAsia" w:ascii="仿宋_GB2312" w:eastAsia="仿宋_GB2312" w:cs="仿宋_GB2312"/>
          <w:sz w:val="32"/>
          <w:szCs w:val="32"/>
        </w:rPr>
        <w:t>阶段（一次性）项目绩效分析。</w:t>
      </w:r>
      <w:r>
        <w:rPr>
          <w:rFonts w:hint="eastAsia" w:ascii="仿宋_GB2312" w:eastAsia="仿宋_GB2312" w:cs="仿宋_GB2312"/>
          <w:sz w:val="32"/>
          <w:szCs w:val="32"/>
          <w:lang w:val="zh-CN"/>
        </w:rPr>
        <w:t>该类项目总数</w:t>
      </w:r>
      <w:r>
        <w:rPr>
          <w:rFonts w:hint="eastAsia" w:ascii="仿宋_GB2312" w:eastAsia="仿宋_GB2312" w:cs="仿宋_GB2312"/>
          <w:sz w:val="32"/>
          <w:szCs w:val="32"/>
        </w:rPr>
        <w:t>2</w:t>
      </w:r>
      <w:r>
        <w:rPr>
          <w:rFonts w:hint="eastAsia" w:ascii="仿宋_GB2312" w:eastAsia="仿宋_GB2312" w:cs="仿宋_GB2312"/>
          <w:sz w:val="32"/>
          <w:szCs w:val="32"/>
          <w:lang w:val="zh-CN"/>
        </w:rPr>
        <w:t>个，涉及预算总金额</w:t>
      </w:r>
      <w:r>
        <w:rPr>
          <w:rFonts w:hint="eastAsia" w:ascii="仿宋_GB2312" w:eastAsia="仿宋_GB2312" w:cs="仿宋_GB2312"/>
          <w:sz w:val="32"/>
          <w:szCs w:val="32"/>
        </w:rPr>
        <w:t>178.47</w:t>
      </w:r>
      <w:r>
        <w:rPr>
          <w:rFonts w:hint="eastAsia" w:ascii="仿宋_GB2312" w:eastAsia="仿宋_GB2312" w:cs="仿宋_GB2312"/>
          <w:sz w:val="32"/>
          <w:szCs w:val="32"/>
          <w:lang w:val="zh-CN"/>
        </w:rPr>
        <w:t>万元，1—1</w:t>
      </w:r>
      <w:r>
        <w:rPr>
          <w:rFonts w:hint="eastAsia" w:ascii="仿宋_GB2312" w:eastAsia="仿宋_GB2312" w:cs="仿宋_GB2312"/>
          <w:sz w:val="32"/>
          <w:szCs w:val="32"/>
        </w:rPr>
        <w:t>2</w:t>
      </w:r>
      <w:r>
        <w:rPr>
          <w:rFonts w:hint="eastAsia" w:ascii="仿宋_GB2312" w:eastAsia="仿宋_GB2312" w:cs="仿宋_GB2312"/>
          <w:sz w:val="32"/>
          <w:szCs w:val="32"/>
          <w:lang w:val="zh-CN"/>
        </w:rPr>
        <w:t>月预算执行总体进度为</w:t>
      </w:r>
      <w:r>
        <w:rPr>
          <w:rFonts w:hint="eastAsia" w:ascii="仿宋_GB2312" w:eastAsia="仿宋_GB2312" w:cs="仿宋_GB2312"/>
          <w:sz w:val="32"/>
          <w:szCs w:val="32"/>
        </w:rPr>
        <w:t xml:space="preserve">100 </w:t>
      </w:r>
      <w:r>
        <w:rPr>
          <w:rFonts w:hint="eastAsia" w:ascii="仿宋_GB2312" w:eastAsia="仿宋_GB2312" w:cs="仿宋_GB2312"/>
          <w:sz w:val="32"/>
          <w:szCs w:val="32"/>
          <w:lang w:val="zh-CN"/>
        </w:rPr>
        <w:t>%，其中：预算结余率大于</w:t>
      </w:r>
      <w:r>
        <w:rPr>
          <w:rFonts w:hint="eastAsia" w:ascii="仿宋_GB2312" w:eastAsia="仿宋_GB2312" w:cs="仿宋_GB2312"/>
          <w:sz w:val="32"/>
          <w:szCs w:val="32"/>
        </w:rPr>
        <w:t>10%</w:t>
      </w:r>
      <w:r>
        <w:rPr>
          <w:rFonts w:hint="eastAsia" w:ascii="仿宋_GB2312" w:eastAsia="仿宋_GB2312" w:cs="仿宋_GB2312"/>
          <w:sz w:val="32"/>
          <w:szCs w:val="32"/>
          <w:lang w:val="zh-CN"/>
        </w:rPr>
        <w:t>的项目共计</w:t>
      </w:r>
      <w:r>
        <w:rPr>
          <w:rFonts w:hint="eastAsia" w:ascii="仿宋_GB2312" w:eastAsia="仿宋_GB2312" w:cs="仿宋_GB2312"/>
          <w:sz w:val="32"/>
          <w:szCs w:val="32"/>
        </w:rPr>
        <w:t>0</w:t>
      </w:r>
      <w:r>
        <w:rPr>
          <w:rFonts w:hint="eastAsia" w:ascii="仿宋_GB2312" w:eastAsia="仿宋_GB2312" w:cs="仿宋_GB2312"/>
          <w:sz w:val="32"/>
          <w:szCs w:val="32"/>
          <w:lang w:val="zh-CN"/>
        </w:rPr>
        <w:t>个。</w:t>
      </w:r>
    </w:p>
    <w:p>
      <w:pPr>
        <w:pStyle w:val="23"/>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3.</w:t>
      </w:r>
      <w:r>
        <w:rPr>
          <w:rFonts w:hint="eastAsia" w:ascii="仿宋_GB2312" w:eastAsia="仿宋_GB2312" w:cs="仿宋_GB2312"/>
          <w:sz w:val="32"/>
          <w:szCs w:val="32"/>
          <w:lang w:val="zh-CN"/>
        </w:rPr>
        <w:t>目标实现。</w:t>
      </w:r>
      <w:r>
        <w:rPr>
          <w:rFonts w:hint="eastAsia" w:ascii="仿宋_GB2312" w:eastAsia="仿宋_GB2312" w:cs="仿宋_GB2312"/>
          <w:sz w:val="32"/>
          <w:szCs w:val="32"/>
        </w:rPr>
        <w:t>常年项目、阶段（一次性）项目</w:t>
      </w:r>
      <w:r>
        <w:rPr>
          <w:rFonts w:hint="eastAsia" w:ascii="仿宋_GB2312" w:eastAsia="仿宋_GB2312" w:cs="仿宋_GB2312"/>
          <w:sz w:val="32"/>
          <w:szCs w:val="32"/>
          <w:lang w:val="zh-CN"/>
        </w:rPr>
        <w:t>支出绩效自评结果良好，项目如期完成了预定的绩效目标。</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（三）重点领域绩效分析</w:t>
      </w:r>
    </w:p>
    <w:p>
      <w:pPr>
        <w:pStyle w:val="23"/>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2023年我校不涉及国有资本、行政事业性国有资产、债券资金、政府采购和政府购买服务。</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（四）绩效结果应用情况</w:t>
      </w:r>
    </w:p>
    <w:p>
      <w:pPr>
        <w:pStyle w:val="23"/>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财政支出绩效评价结果的运用是判断评价工作能否取得成效的主要依据，也是保证这项工作持续、深入发展的基本前提。结合202</w:t>
      </w:r>
      <w:r>
        <w:rPr>
          <w:rFonts w:hint="eastAsia" w:ascii="仿宋_GB2312" w:eastAsia="仿宋_GB2312" w:cs="仿宋_GB2312"/>
          <w:sz w:val="32"/>
          <w:szCs w:val="32"/>
        </w:rPr>
        <w:t>3</w:t>
      </w:r>
      <w:r>
        <w:rPr>
          <w:rFonts w:hint="eastAsia" w:ascii="仿宋_GB2312" w:eastAsia="仿宋_GB2312" w:cs="仿宋_GB2312"/>
          <w:sz w:val="32"/>
          <w:szCs w:val="32"/>
          <w:lang w:val="zh-CN"/>
        </w:rPr>
        <w:t>年度绩效自评结果，一是对评价结果优秀且绩效突出的，总结相关工作经验，并在安排后续资金时给与充分保障。二是对下一步需要进一步改进的工作，在对存在的问题整改后，转变相关工作思路，提升工作效率。</w:t>
      </w:r>
    </w:p>
    <w:p>
      <w:pPr>
        <w:widowControl/>
        <w:adjustRightInd w:val="0"/>
        <w:snapToGrid w:val="0"/>
        <w:spacing w:line="576" w:lineRule="exact"/>
        <w:ind w:firstLine="640" w:firstLineChars="200"/>
        <w:contextualSpacing/>
        <w:jc w:val="left"/>
        <w:rPr>
          <w:rFonts w:eastAsia="黑体"/>
          <w:color w:val="000000"/>
          <w:kern w:val="0"/>
          <w:sz w:val="32"/>
          <w:szCs w:val="32"/>
          <w:shd w:val="clear" w:color="auto" w:fill="FFFFFF"/>
        </w:rPr>
      </w:pPr>
      <w:r>
        <w:rPr>
          <w:rFonts w:hint="eastAsia" w:eastAsia="黑体"/>
          <w:color w:val="000000"/>
          <w:kern w:val="0"/>
          <w:sz w:val="32"/>
          <w:szCs w:val="32"/>
          <w:shd w:val="clear" w:color="auto" w:fill="FFFFFF"/>
        </w:rPr>
        <w:t>四、评价结论及建议</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rPr>
        <w:t xml:space="preserve"> </w:t>
      </w:r>
      <w:r>
        <w:rPr>
          <w:rFonts w:hint="eastAsia" w:eastAsia="楷体_GB2312"/>
          <w:b/>
          <w:bCs/>
          <w:color w:val="000000"/>
          <w:kern w:val="0"/>
          <w:sz w:val="32"/>
          <w:szCs w:val="32"/>
          <w:shd w:val="clear" w:color="auto" w:fill="FFFFFF"/>
          <w:lang w:val="zh-CN"/>
        </w:rPr>
        <w:t>（一）评价结论</w:t>
      </w:r>
    </w:p>
    <w:p>
      <w:pPr>
        <w:pStyle w:val="23"/>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2023年我校部门整体支出绩效自评结果良好，绩效管理情况较为理想，达到了年初设定的各项绩效目标。全年保证了部门的正常运行和日常工作的正常开展。</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rPr>
      </w:pPr>
      <w:r>
        <w:rPr>
          <w:rFonts w:hint="eastAsia" w:eastAsia="楷体_GB2312"/>
          <w:b/>
          <w:bCs/>
          <w:color w:val="000000"/>
          <w:kern w:val="0"/>
          <w:sz w:val="32"/>
          <w:szCs w:val="32"/>
          <w:shd w:val="clear" w:color="auto" w:fill="FFFFFF"/>
          <w:lang w:val="zh-CN"/>
        </w:rPr>
        <w:t>（二）存在问题</w:t>
      </w:r>
    </w:p>
    <w:p>
      <w:pPr>
        <w:pStyle w:val="23"/>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一是预算编制工作有待细化；二是制度建设和规范化管理有待加强；三是信息化管理水平有待提高。</w:t>
      </w:r>
    </w:p>
    <w:p>
      <w:pPr>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（三）改进建议</w:t>
      </w:r>
    </w:p>
    <w:p>
      <w:pPr>
        <w:pStyle w:val="23"/>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进一步健全和完善财务管理制度，严格执行预算法，及财务管理各项规定，</w:t>
      </w:r>
      <w:r>
        <w:rPr>
          <w:rFonts w:hint="eastAsia" w:ascii="仿宋_GB2312" w:eastAsia="仿宋_GB2312" w:cs="仿宋_GB2312"/>
          <w:sz w:val="32"/>
          <w:szCs w:val="32"/>
          <w:lang w:val="zh-CN"/>
        </w:rPr>
        <w:t>加强绩效管理工作的学习和培训力度，</w:t>
      </w:r>
      <w:r>
        <w:rPr>
          <w:rFonts w:hint="eastAsia" w:ascii="仿宋_GB2312" w:eastAsia="仿宋_GB2312" w:cs="仿宋_GB2312"/>
          <w:sz w:val="32"/>
          <w:szCs w:val="32"/>
        </w:rPr>
        <w:t>树立正确的绩效观，提升部门履职能力，为实现党校培训任务又好又快发展做出应有的贡献。</w:t>
      </w:r>
    </w:p>
    <w:p>
      <w:pPr>
        <w:pStyle w:val="23"/>
        <w:spacing w:line="560" w:lineRule="exact"/>
        <w:ind w:firstLine="640" w:firstLineChars="200"/>
        <w:rPr>
          <w:rFonts w:ascii="仿宋_GB2312" w:eastAsia="仿宋_GB2312" w:cs="仿宋_GB2312"/>
          <w:sz w:val="32"/>
          <w:szCs w:val="32"/>
        </w:rPr>
      </w:pPr>
    </w:p>
    <w:p>
      <w:pPr>
        <w:pStyle w:val="3"/>
        <w:spacing w:line="576" w:lineRule="exact"/>
        <w:rPr>
          <w:rFonts w:ascii="仿宋_GB2312" w:eastAsia="仿宋_GB2312" w:cs="仿宋_GB2312"/>
          <w:sz w:val="32"/>
          <w:szCs w:val="32"/>
        </w:rPr>
      </w:pPr>
      <w:r>
        <w:rPr>
          <w:rFonts w:hint="eastAsia" w:eastAsia="仿宋_GB2312"/>
          <w:color w:val="000000"/>
          <w:szCs w:val="32"/>
          <w:shd w:val="clear" w:color="auto" w:fill="FFFFFF"/>
        </w:rPr>
        <w:t xml:space="preserve"> </w:t>
      </w:r>
    </w:p>
    <w:p>
      <w:pPr>
        <w:pStyle w:val="3"/>
        <w:spacing w:line="576" w:lineRule="exact"/>
        <w:rPr>
          <w:rFonts w:ascii="仿宋_GB2312" w:eastAsia="仿宋_GB2312" w:cs="仿宋_GB2312"/>
          <w:sz w:val="32"/>
          <w:szCs w:val="32"/>
        </w:rPr>
      </w:pPr>
    </w:p>
    <w:p>
      <w:pPr>
        <w:pStyle w:val="3"/>
        <w:spacing w:line="576" w:lineRule="exact"/>
        <w:rPr>
          <w:rFonts w:ascii="仿宋_GB2312" w:eastAsia="仿宋_GB2312" w:cs="仿宋_GB2312"/>
          <w:sz w:val="32"/>
          <w:szCs w:val="32"/>
        </w:rPr>
      </w:pPr>
    </w:p>
    <w:p>
      <w:pPr>
        <w:spacing w:line="576" w:lineRule="exact"/>
        <w:jc w:val="left"/>
        <w:rPr>
          <w:color w:val="000000"/>
          <w:kern w:val="0"/>
          <w:szCs w:val="32"/>
          <w:shd w:val="clear" w:color="auto" w:fill="FFFFFF"/>
        </w:rPr>
      </w:pPr>
    </w:p>
    <w:p>
      <w:pPr>
        <w:spacing w:line="576" w:lineRule="exact"/>
        <w:jc w:val="left"/>
        <w:rPr>
          <w:color w:val="000000"/>
          <w:kern w:val="0"/>
          <w:szCs w:val="32"/>
          <w:shd w:val="clear" w:color="auto" w:fill="FFFFFF"/>
        </w:rPr>
      </w:pPr>
    </w:p>
    <w:p>
      <w:pPr>
        <w:spacing w:line="576" w:lineRule="exact"/>
        <w:jc w:val="left"/>
        <w:rPr>
          <w:color w:val="000000"/>
          <w:kern w:val="0"/>
          <w:szCs w:val="32"/>
          <w:shd w:val="clear" w:color="auto" w:fill="FFFFFF"/>
        </w:rPr>
      </w:pPr>
    </w:p>
    <w:p>
      <w:pPr>
        <w:spacing w:line="576" w:lineRule="exact"/>
        <w:jc w:val="left"/>
        <w:rPr>
          <w:color w:val="000000"/>
          <w:kern w:val="0"/>
          <w:szCs w:val="32"/>
          <w:shd w:val="clear" w:color="auto" w:fill="FFFFFF"/>
        </w:rPr>
      </w:pPr>
    </w:p>
    <w:p>
      <w:pPr>
        <w:spacing w:line="576" w:lineRule="exact"/>
        <w:jc w:val="left"/>
        <w:rPr>
          <w:color w:val="000000"/>
          <w:kern w:val="0"/>
          <w:szCs w:val="32"/>
          <w:shd w:val="clear" w:color="auto" w:fill="FFFFFF"/>
        </w:rPr>
      </w:pPr>
    </w:p>
    <w:p>
      <w:pPr>
        <w:spacing w:line="576" w:lineRule="exact"/>
        <w:jc w:val="left"/>
        <w:rPr>
          <w:color w:val="000000"/>
          <w:kern w:val="0"/>
          <w:szCs w:val="32"/>
          <w:shd w:val="clear" w:color="auto" w:fill="FFFFFF"/>
        </w:rPr>
      </w:pPr>
    </w:p>
    <w:p>
      <w:pPr>
        <w:spacing w:line="576" w:lineRule="exact"/>
        <w:jc w:val="left"/>
        <w:rPr>
          <w:color w:val="000000"/>
          <w:kern w:val="0"/>
          <w:szCs w:val="32"/>
          <w:shd w:val="clear" w:color="auto" w:fill="FFFFFF"/>
        </w:rPr>
      </w:pPr>
    </w:p>
    <w:p>
      <w:pPr>
        <w:spacing w:line="576" w:lineRule="exact"/>
        <w:jc w:val="left"/>
        <w:rPr>
          <w:color w:val="000000"/>
          <w:kern w:val="0"/>
          <w:szCs w:val="32"/>
          <w:shd w:val="clear" w:color="auto" w:fill="FFFFFF"/>
        </w:rPr>
      </w:pPr>
    </w:p>
    <w:p>
      <w:pPr>
        <w:spacing w:line="576" w:lineRule="exact"/>
        <w:jc w:val="left"/>
        <w:rPr>
          <w:color w:val="000000"/>
          <w:kern w:val="0"/>
          <w:szCs w:val="32"/>
          <w:shd w:val="clear" w:color="auto" w:fill="FFFFFF"/>
        </w:rPr>
      </w:pPr>
    </w:p>
    <w:p>
      <w:pPr>
        <w:spacing w:line="576" w:lineRule="exact"/>
        <w:jc w:val="left"/>
        <w:rPr>
          <w:color w:val="000000"/>
          <w:kern w:val="0"/>
          <w:szCs w:val="32"/>
          <w:shd w:val="clear" w:color="auto" w:fill="FFFFFF"/>
        </w:rPr>
      </w:pPr>
    </w:p>
    <w:p>
      <w:pPr>
        <w:spacing w:line="576" w:lineRule="exact"/>
        <w:jc w:val="left"/>
        <w:rPr>
          <w:color w:val="000000"/>
          <w:kern w:val="0"/>
          <w:szCs w:val="32"/>
          <w:shd w:val="clear" w:color="auto" w:fill="FFFFFF"/>
        </w:rPr>
      </w:pPr>
    </w:p>
    <w:p>
      <w:pPr>
        <w:spacing w:line="576" w:lineRule="exact"/>
        <w:jc w:val="left"/>
        <w:rPr>
          <w:color w:val="000000"/>
          <w:kern w:val="0"/>
          <w:szCs w:val="32"/>
          <w:shd w:val="clear" w:color="auto" w:fill="FFFFFF"/>
        </w:rPr>
      </w:pPr>
    </w:p>
    <w:p>
      <w:pPr>
        <w:spacing w:line="576" w:lineRule="exact"/>
        <w:jc w:val="left"/>
        <w:rPr>
          <w:lang w:val="zh-CN"/>
        </w:rPr>
      </w:pPr>
      <w:r>
        <w:rPr>
          <w:rFonts w:hint="eastAsia" w:ascii="方正小标宋简体" w:eastAsia="方正小标宋简体" w:cs="方正小标宋简体"/>
          <w:color w:val="000000"/>
          <w:kern w:val="0"/>
          <w:sz w:val="44"/>
          <w:szCs w:val="44"/>
          <w:shd w:val="clear" w:color="auto" w:fill="FFFFFF"/>
        </w:rPr>
        <w:t xml:space="preserve"> </w:t>
      </w:r>
    </w:p>
    <w:tbl>
      <w:tblPr>
        <w:tblStyle w:val="16"/>
        <w:tblW w:w="8869" w:type="dxa"/>
        <w:tblInd w:w="96" w:type="dxa"/>
        <w:tblLayout w:type="autofit"/>
        <w:tblCellMar>
          <w:top w:w="0" w:type="dxa"/>
          <w:left w:w="108" w:type="dxa"/>
          <w:bottom w:w="0" w:type="dxa"/>
          <w:right w:w="108" w:type="dxa"/>
        </w:tblCellMar>
      </w:tblPr>
      <w:tblGrid>
        <w:gridCol w:w="587"/>
        <w:gridCol w:w="1375"/>
        <w:gridCol w:w="942"/>
        <w:gridCol w:w="945"/>
        <w:gridCol w:w="467"/>
        <w:gridCol w:w="756"/>
        <w:gridCol w:w="907"/>
        <w:gridCol w:w="486"/>
        <w:gridCol w:w="486"/>
        <w:gridCol w:w="1918"/>
      </w:tblGrid>
      <w:tr>
        <w:tblPrEx>
          <w:tblCellMar>
            <w:top w:w="0" w:type="dxa"/>
            <w:left w:w="108" w:type="dxa"/>
            <w:bottom w:w="0" w:type="dxa"/>
            <w:right w:w="108" w:type="dxa"/>
          </w:tblCellMar>
        </w:tblPrEx>
        <w:trPr>
          <w:trHeight w:val="820" w:hRule="atLeast"/>
        </w:trPr>
        <w:tc>
          <w:tcPr>
            <w:tcW w:w="88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b/>
                <w:bCs/>
                <w:color w:val="000000"/>
                <w:sz w:val="30"/>
                <w:szCs w:val="30"/>
              </w:rPr>
            </w:pPr>
            <w:r>
              <w:rPr>
                <w:rFonts w:hint="eastAsia" w:ascii="黑体" w:eastAsia="黑体" w:cs="黑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60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6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51322323T000007898637-茂县县委党校教师节慰问金和教师工作补助</w:t>
            </w:r>
          </w:p>
        </w:tc>
      </w:tr>
      <w:tr>
        <w:tblPrEx>
          <w:tblCellMar>
            <w:top w:w="0" w:type="dxa"/>
            <w:left w:w="108" w:type="dxa"/>
            <w:bottom w:w="0" w:type="dxa"/>
            <w:right w:w="108" w:type="dxa"/>
          </w:tblCellMar>
        </w:tblPrEx>
        <w:trPr>
          <w:trHeight w:val="514"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中国共产党茂县委员会党校</w:t>
            </w:r>
          </w:p>
        </w:tc>
        <w:tc>
          <w:tcPr>
            <w:tcW w:w="907" w:type="dxa"/>
            <w:tcBorders>
              <w:top w:val="nil"/>
              <w:left w:val="nil"/>
              <w:bottom w:val="nil"/>
              <w:right w:val="nil"/>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实施单位 （盖章）</w:t>
            </w:r>
          </w:p>
        </w:tc>
        <w:tc>
          <w:tcPr>
            <w:tcW w:w="2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285"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3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color w:val="000000"/>
                <w:sz w:val="18"/>
                <w:szCs w:val="18"/>
              </w:rPr>
            </w:pPr>
            <w:r>
              <w:rPr>
                <w:rFonts w:hint="eastAsia" w:asci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114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增强党校教师岗位吸引力，完善党校教师奖励办法，鼓励党校教师终身从教.</w:t>
            </w:r>
          </w:p>
        </w:tc>
        <w:tc>
          <w:tcPr>
            <w:tcW w:w="3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按照《阿坝州人民政府办公室关于印发＜阿坝藏族羌族自治州鼓励教师终身从教认定办法＞的通知》（阿府办发〔2019〕9号）文件要求，增强党校教师岗位吸引力，完善党校教师奖励办法，鼓励党校教师终身从教。</w:t>
            </w:r>
          </w:p>
        </w:tc>
      </w:tr>
      <w:tr>
        <w:tblPrEx>
          <w:tblCellMar>
            <w:top w:w="0" w:type="dxa"/>
            <w:left w:w="108" w:type="dxa"/>
            <w:bottom w:w="0" w:type="dxa"/>
            <w:right w:w="108" w:type="dxa"/>
          </w:tblCellMar>
        </w:tblPrEx>
        <w:trPr>
          <w:trHeight w:val="102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6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按照《阿坝州人民政府办公室关于印发＜阿坝藏族羌族自治州鼓励教师终身从教认定办法＞的通知》（阿府办发〔2019〕9号）文件要求,增强党校教师岗位吸引力，完善党校教师奖励办法，鼓励党校教师终身从教。结合我县实际，县委党校教师相关待遇参照县教育局标准，支付1.05万元。</w:t>
            </w:r>
          </w:p>
        </w:tc>
      </w:tr>
      <w:tr>
        <w:tblPrEx>
          <w:tblCellMar>
            <w:top w:w="0" w:type="dxa"/>
            <w:left w:w="108" w:type="dxa"/>
            <w:bottom w:w="0" w:type="dxa"/>
            <w:right w:w="108" w:type="dxa"/>
          </w:tblCellMar>
        </w:tblPrEx>
        <w:trPr>
          <w:trHeight w:val="36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i/>
                <w:iCs/>
                <w:color w:val="000000"/>
                <w:sz w:val="18"/>
                <w:szCs w:val="18"/>
              </w:rPr>
            </w:pPr>
            <w:r>
              <w:rPr>
                <w:rFonts w:hint="eastAsia" w:asci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1.05</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409"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36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454"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数量指标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发放金额</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10500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10500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时效指标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2023年底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2023</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2023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社会效益指标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鼓励党校教师终身从教</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良好</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59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cs="宋体"/>
                <w:color w:val="000000"/>
                <w:sz w:val="18"/>
                <w:szCs w:val="18"/>
              </w:rPr>
            </w:pPr>
            <w:r>
              <w:rPr>
                <w:rFonts w:ascii="宋体" w:cs="宋体"/>
                <w:color w:val="000000"/>
                <w:kern w:val="0"/>
                <w:sz w:val="18"/>
                <w:szCs w:val="18"/>
              </w:rPr>
              <w:t>100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60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项目如期完成，达到项目的预期目标。</w:t>
            </w:r>
          </w:p>
        </w:tc>
      </w:tr>
      <w:tr>
        <w:tblPrEx>
          <w:tblCellMar>
            <w:top w:w="0" w:type="dxa"/>
            <w:left w:w="108" w:type="dxa"/>
            <w:bottom w:w="0" w:type="dxa"/>
            <w:right w:w="108" w:type="dxa"/>
          </w:tblCellMar>
        </w:tblPrEx>
        <w:trPr>
          <w:trHeight w:val="2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63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项目负责人：才华加</w:t>
            </w:r>
          </w:p>
        </w:tc>
        <w:tc>
          <w:tcPr>
            <w:tcW w:w="45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财务负责人：才华加</w:t>
            </w:r>
          </w:p>
        </w:tc>
      </w:tr>
      <w:tr>
        <w:tblPrEx>
          <w:tblCellMar>
            <w:top w:w="0" w:type="dxa"/>
            <w:left w:w="108" w:type="dxa"/>
            <w:bottom w:w="0" w:type="dxa"/>
            <w:right w:w="108" w:type="dxa"/>
          </w:tblCellMar>
        </w:tblPrEx>
        <w:trPr>
          <w:trHeight w:val="512"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904" w:hRule="atLeast"/>
        </w:trPr>
        <w:tc>
          <w:tcPr>
            <w:tcW w:w="88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b/>
                <w:bCs/>
                <w:color w:val="000000"/>
                <w:sz w:val="30"/>
                <w:szCs w:val="30"/>
              </w:rPr>
            </w:pPr>
            <w:r>
              <w:rPr>
                <w:rFonts w:hint="eastAsia" w:ascii="黑体" w:eastAsia="黑体" w:cs="黑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56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6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51322323T000007898856-茂县县委党校科研调研经费</w:t>
            </w:r>
          </w:p>
        </w:tc>
      </w:tr>
      <w:tr>
        <w:tblPrEx>
          <w:tblCellMar>
            <w:top w:w="0" w:type="dxa"/>
            <w:left w:w="108" w:type="dxa"/>
            <w:bottom w:w="0" w:type="dxa"/>
            <w:right w:w="108" w:type="dxa"/>
          </w:tblCellMar>
        </w:tblPrEx>
        <w:trPr>
          <w:trHeight w:val="514"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中国共产党茂县委员会党校</w:t>
            </w:r>
          </w:p>
        </w:tc>
        <w:tc>
          <w:tcPr>
            <w:tcW w:w="907" w:type="dxa"/>
            <w:tcBorders>
              <w:top w:val="nil"/>
              <w:left w:val="nil"/>
              <w:bottom w:val="nil"/>
              <w:right w:val="nil"/>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实施单位 （盖章）</w:t>
            </w:r>
          </w:p>
        </w:tc>
        <w:tc>
          <w:tcPr>
            <w:tcW w:w="2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285"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3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color w:val="000000"/>
                <w:sz w:val="18"/>
                <w:szCs w:val="18"/>
              </w:rPr>
            </w:pPr>
            <w:r>
              <w:rPr>
                <w:rFonts w:hint="eastAsia" w:asci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为教学服务，为县委、县政府决策咨询服务</w:t>
            </w:r>
          </w:p>
        </w:tc>
        <w:tc>
          <w:tcPr>
            <w:tcW w:w="3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根据省、州关于科研项目的要求和我校对教师能力提升要求，如期完成省级课题1个，州级课题2个，发表论文3篇。</w:t>
            </w:r>
          </w:p>
        </w:tc>
      </w:tr>
      <w:tr>
        <w:tblPrEx>
          <w:tblCellMar>
            <w:top w:w="0" w:type="dxa"/>
            <w:left w:w="108" w:type="dxa"/>
            <w:bottom w:w="0" w:type="dxa"/>
            <w:right w:w="108" w:type="dxa"/>
          </w:tblCellMar>
        </w:tblPrEx>
        <w:trPr>
          <w:trHeight w:val="98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6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本项目为省委党校、州委党校科研项目以及教师能力提升。自立项成功后，按照调研计划，组织课题成员到相关部门、镇、村和社区调研，如期完成调研成果，均为合格等次。自我校制定《中共茂县县委党校科研经费管理办法》、《中共茂县县委党校2023年度科研经费使用方案》后，鼓励我校教师积极撰写并发表文章，2023年共发表论文3篇。</w:t>
            </w:r>
          </w:p>
        </w:tc>
      </w:tr>
      <w:tr>
        <w:tblPrEx>
          <w:tblCellMar>
            <w:top w:w="0" w:type="dxa"/>
            <w:left w:w="108" w:type="dxa"/>
            <w:bottom w:w="0" w:type="dxa"/>
            <w:right w:w="108" w:type="dxa"/>
          </w:tblCellMar>
        </w:tblPrEx>
        <w:trPr>
          <w:trHeight w:val="50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0.86</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0.86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i/>
                <w:iCs/>
                <w:color w:val="000000"/>
                <w:sz w:val="18"/>
                <w:szCs w:val="18"/>
              </w:rPr>
            </w:pPr>
            <w:r>
              <w:rPr>
                <w:rFonts w:hint="eastAsia" w:asci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0.86</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0.86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409"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36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454"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数量指标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0.86万元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0.86万元</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0.86万元</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时效指标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2023年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2023</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 xml:space="preserve">2023年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社会效益指标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为教学服务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良好</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59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cs="宋体"/>
                <w:color w:val="000000"/>
                <w:sz w:val="18"/>
                <w:szCs w:val="18"/>
              </w:rPr>
            </w:pPr>
            <w:r>
              <w:rPr>
                <w:rFonts w:ascii="宋体" w:cs="宋体"/>
                <w:color w:val="000000"/>
                <w:kern w:val="0"/>
                <w:sz w:val="18"/>
                <w:szCs w:val="18"/>
              </w:rPr>
              <w:t>100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项目如期完成，达到项目的预期目标</w:t>
            </w:r>
          </w:p>
        </w:tc>
      </w:tr>
      <w:tr>
        <w:tblPrEx>
          <w:tblCellMar>
            <w:top w:w="0" w:type="dxa"/>
            <w:left w:w="108" w:type="dxa"/>
            <w:bottom w:w="0" w:type="dxa"/>
            <w:right w:w="108" w:type="dxa"/>
          </w:tblCellMar>
        </w:tblPrEx>
        <w:trPr>
          <w:trHeight w:val="3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3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360" w:hRule="atLeast"/>
        </w:trPr>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项目负责人：赵倩</w:t>
            </w:r>
          </w:p>
        </w:tc>
        <w:tc>
          <w:tcPr>
            <w:tcW w:w="45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财务负责人：才华加</w:t>
            </w:r>
          </w:p>
        </w:tc>
      </w:tr>
      <w:tr>
        <w:tblPrEx>
          <w:tblCellMar>
            <w:top w:w="0" w:type="dxa"/>
            <w:left w:w="108" w:type="dxa"/>
            <w:bottom w:w="0" w:type="dxa"/>
            <w:right w:w="108" w:type="dxa"/>
          </w:tblCellMar>
        </w:tblPrEx>
        <w:trPr>
          <w:trHeight w:val="584"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90"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90"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904" w:hRule="atLeast"/>
        </w:trPr>
        <w:tc>
          <w:tcPr>
            <w:tcW w:w="88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b/>
                <w:bCs/>
                <w:color w:val="000000"/>
                <w:sz w:val="30"/>
                <w:szCs w:val="30"/>
              </w:rPr>
            </w:pPr>
            <w:r>
              <w:rPr>
                <w:rFonts w:hint="eastAsia" w:ascii="黑体" w:eastAsia="黑体" w:cs="黑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70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6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51322323T000009573586-茂县党员干部教育培训阵地信息化建设项目</w:t>
            </w:r>
          </w:p>
        </w:tc>
      </w:tr>
      <w:tr>
        <w:tblPrEx>
          <w:tblCellMar>
            <w:top w:w="0" w:type="dxa"/>
            <w:left w:w="108" w:type="dxa"/>
            <w:bottom w:w="0" w:type="dxa"/>
            <w:right w:w="108" w:type="dxa"/>
          </w:tblCellMar>
        </w:tblPrEx>
        <w:trPr>
          <w:trHeight w:val="514"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中国共产党茂县委员会党校</w:t>
            </w:r>
          </w:p>
        </w:tc>
        <w:tc>
          <w:tcPr>
            <w:tcW w:w="907" w:type="dxa"/>
            <w:tcBorders>
              <w:top w:val="nil"/>
              <w:left w:val="nil"/>
              <w:bottom w:val="nil"/>
              <w:right w:val="nil"/>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实施单位 （盖章）</w:t>
            </w:r>
          </w:p>
        </w:tc>
        <w:tc>
          <w:tcPr>
            <w:tcW w:w="2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285"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3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color w:val="000000"/>
                <w:sz w:val="18"/>
                <w:szCs w:val="18"/>
              </w:rPr>
            </w:pPr>
            <w:r>
              <w:rPr>
                <w:rFonts w:hint="eastAsia" w:asci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96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提升党校办学质量，发挥党校在党员干部教育培训中的主体作用</w:t>
            </w:r>
          </w:p>
        </w:tc>
        <w:tc>
          <w:tcPr>
            <w:tcW w:w="3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 xml:space="preserve"> 信息化建设达标，将信息技术引进到基本教学过程中，以增强教学感染力和吸引力，通过网络辅助学习平台实现及时有效的教学反馈，提升更好的教育培训效果。 </w:t>
            </w:r>
          </w:p>
        </w:tc>
      </w:tr>
      <w:tr>
        <w:tblPrEx>
          <w:tblCellMar>
            <w:top w:w="0" w:type="dxa"/>
            <w:left w:w="108" w:type="dxa"/>
            <w:bottom w:w="0" w:type="dxa"/>
            <w:right w:w="108" w:type="dxa"/>
          </w:tblCellMar>
        </w:tblPrEx>
        <w:trPr>
          <w:trHeight w:val="694"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6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我校成立了由常务副校长任组长，副校长为副组长，各股室负责人为成员的领导小组，负责项目工作整体安排部署和协调推进。分管副校长负责日常事务。建立了单位财务管理制度，项目由领导小组统一实施，财务室根据审核后的资料进行资金支付和会计核算及账务处理。资金支付138.91万元。</w:t>
            </w:r>
          </w:p>
        </w:tc>
      </w:tr>
      <w:tr>
        <w:tblPrEx>
          <w:tblCellMar>
            <w:top w:w="0" w:type="dxa"/>
            <w:left w:w="108" w:type="dxa"/>
            <w:bottom w:w="0" w:type="dxa"/>
            <w:right w:w="108" w:type="dxa"/>
          </w:tblCellMar>
        </w:tblPrEx>
        <w:trPr>
          <w:trHeight w:val="36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138.91</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138.91</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i/>
                <w:iCs/>
                <w:color w:val="000000"/>
                <w:sz w:val="18"/>
                <w:szCs w:val="18"/>
              </w:rPr>
            </w:pPr>
            <w:r>
              <w:rPr>
                <w:rFonts w:hint="eastAsia" w:asci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138.91</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138.91</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409"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36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454"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 xml:space="preserve"> </w:t>
            </w: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质量指标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信息化建设达标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90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可持续发展指标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提升办学质量</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90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454"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满意度指标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服务对象满意度指标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提升办学质量</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90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59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cs="宋体"/>
                <w:color w:val="000000"/>
                <w:sz w:val="18"/>
                <w:szCs w:val="18"/>
              </w:rPr>
            </w:pPr>
            <w:r>
              <w:rPr>
                <w:rFonts w:ascii="宋体" w:cs="宋体"/>
                <w:color w:val="000000"/>
                <w:kern w:val="0"/>
                <w:sz w:val="18"/>
                <w:szCs w:val="18"/>
              </w:rPr>
              <w:t>100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60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 xml:space="preserve">如期完成，达到预期目标。 </w:t>
            </w:r>
          </w:p>
        </w:tc>
      </w:tr>
      <w:tr>
        <w:tblPrEx>
          <w:tblCellMar>
            <w:top w:w="0" w:type="dxa"/>
            <w:left w:w="108" w:type="dxa"/>
            <w:bottom w:w="0" w:type="dxa"/>
            <w:right w:w="108" w:type="dxa"/>
          </w:tblCellMar>
        </w:tblPrEx>
        <w:trPr>
          <w:trHeight w:val="57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63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 xml:space="preserve"> 无</w:t>
            </w:r>
          </w:p>
        </w:tc>
      </w:tr>
      <w:tr>
        <w:tblPrEx>
          <w:tblCellMar>
            <w:top w:w="0" w:type="dxa"/>
            <w:left w:w="108" w:type="dxa"/>
            <w:bottom w:w="0" w:type="dxa"/>
            <w:right w:w="108" w:type="dxa"/>
          </w:tblCellMar>
        </w:tblPrEx>
        <w:trPr>
          <w:trHeight w:val="500" w:hRule="atLeast"/>
        </w:trPr>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项目负责人：才华加</w:t>
            </w:r>
          </w:p>
        </w:tc>
        <w:tc>
          <w:tcPr>
            <w:tcW w:w="45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财务负责人：才华加</w:t>
            </w:r>
          </w:p>
        </w:tc>
      </w:tr>
      <w:tr>
        <w:tblPrEx>
          <w:tblCellMar>
            <w:top w:w="0" w:type="dxa"/>
            <w:left w:w="108" w:type="dxa"/>
            <w:bottom w:w="0" w:type="dxa"/>
            <w:right w:w="108" w:type="dxa"/>
          </w:tblCellMar>
        </w:tblPrEx>
        <w:trPr>
          <w:trHeight w:val="2100"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90"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904" w:hRule="atLeast"/>
        </w:trPr>
        <w:tc>
          <w:tcPr>
            <w:tcW w:w="88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b/>
                <w:bCs/>
                <w:color w:val="000000"/>
                <w:sz w:val="30"/>
                <w:szCs w:val="30"/>
              </w:rPr>
            </w:pPr>
            <w:r>
              <w:rPr>
                <w:rFonts w:hint="eastAsia" w:ascii="黑体" w:eastAsia="黑体" w:cs="黑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82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6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51322323T000009794982-茂县南新镇七星村基层干训机构建设项目</w:t>
            </w:r>
          </w:p>
        </w:tc>
      </w:tr>
      <w:tr>
        <w:tblPrEx>
          <w:tblCellMar>
            <w:top w:w="0" w:type="dxa"/>
            <w:left w:w="108" w:type="dxa"/>
            <w:bottom w:w="0" w:type="dxa"/>
            <w:right w:w="108" w:type="dxa"/>
          </w:tblCellMar>
        </w:tblPrEx>
        <w:trPr>
          <w:trHeight w:val="520"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中国共产党茂县委员会党校</w:t>
            </w:r>
          </w:p>
        </w:tc>
        <w:tc>
          <w:tcPr>
            <w:tcW w:w="907" w:type="dxa"/>
            <w:tcBorders>
              <w:top w:val="nil"/>
              <w:left w:val="nil"/>
              <w:bottom w:val="nil"/>
              <w:right w:val="nil"/>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实施单位 （盖章）</w:t>
            </w:r>
          </w:p>
        </w:tc>
        <w:tc>
          <w:tcPr>
            <w:tcW w:w="2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38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3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color w:val="000000"/>
                <w:sz w:val="18"/>
                <w:szCs w:val="18"/>
              </w:rPr>
            </w:pPr>
            <w:r>
              <w:rPr>
                <w:rFonts w:hint="eastAsia" w:asci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进一步加快转变七星村发展模式，推动产业融合发展，促进农民持续增收，提升群众生活幸福感，实现党建引领乡村振兴。</w:t>
            </w:r>
          </w:p>
        </w:tc>
        <w:tc>
          <w:tcPr>
            <w:tcW w:w="3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 xml:space="preserve"> 进一步加快转变七星村发展模式，推动三产融合发展，提升村经济集体经济收益，带动群众增收，改善人居环境，提升群众生活幸福感。</w:t>
            </w:r>
          </w:p>
        </w:tc>
      </w:tr>
      <w:tr>
        <w:tblPrEx>
          <w:tblCellMar>
            <w:top w:w="0" w:type="dxa"/>
            <w:left w:w="108" w:type="dxa"/>
            <w:bottom w:w="0" w:type="dxa"/>
            <w:right w:w="108" w:type="dxa"/>
          </w:tblCellMar>
        </w:tblPrEx>
        <w:trPr>
          <w:trHeight w:val="150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6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 xml:space="preserve">项目主管部门为茂县县委党校，实施单位为南新镇人民政府。为更好的实施项目，南新镇党委政府成立了工作领导小组，专人负责项目日常工作。项目启动后，严格按照《茂县政府投资项目实施细则》支付工程进度款，由镇、村两级组织初验，形成初验报告并向项目主管部门递交竣工验收申请，项目主管部门组织相关技术人员进行竣工验收，验收合格后支付项目资金。资金支付39.56万元，主要用于 乡村振兴景观游步道建设、乡村振兴庭院文化景观建设、乡村振兴特色产业发展视频、购买教学设备等。 </w:t>
            </w:r>
          </w:p>
        </w:tc>
      </w:tr>
      <w:tr>
        <w:tblPrEx>
          <w:tblCellMar>
            <w:top w:w="0" w:type="dxa"/>
            <w:left w:w="108" w:type="dxa"/>
            <w:bottom w:w="0" w:type="dxa"/>
            <w:right w:w="108" w:type="dxa"/>
          </w:tblCellMar>
        </w:tblPrEx>
        <w:trPr>
          <w:trHeight w:val="48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39.56</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39.56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i/>
                <w:iCs/>
                <w:color w:val="000000"/>
                <w:sz w:val="18"/>
                <w:szCs w:val="18"/>
              </w:rPr>
            </w:pPr>
            <w:r>
              <w:rPr>
                <w:rFonts w:hint="eastAsia" w:asci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39.56</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39.56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409"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36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454"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 xml:space="preserve"> </w:t>
            </w: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数量指标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40万元</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50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454"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社会效益指标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推动产业融合发展，促进农民持续增收</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40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59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cs="宋体"/>
                <w:color w:val="000000"/>
                <w:sz w:val="18"/>
                <w:szCs w:val="18"/>
              </w:rPr>
            </w:pPr>
            <w:r>
              <w:rPr>
                <w:rFonts w:ascii="宋体" w:cs="宋体"/>
                <w:color w:val="000000"/>
                <w:kern w:val="0"/>
                <w:sz w:val="18"/>
                <w:szCs w:val="18"/>
              </w:rPr>
              <w:t>100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60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57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63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项目负责人：张艳</w:t>
            </w:r>
          </w:p>
        </w:tc>
        <w:tc>
          <w:tcPr>
            <w:tcW w:w="45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财务负责人：才华加</w:t>
            </w:r>
          </w:p>
        </w:tc>
      </w:tr>
      <w:tr>
        <w:tblPrEx>
          <w:tblCellMar>
            <w:top w:w="0" w:type="dxa"/>
            <w:left w:w="108" w:type="dxa"/>
            <w:bottom w:w="0" w:type="dxa"/>
            <w:right w:w="108" w:type="dxa"/>
          </w:tblCellMar>
        </w:tblPrEx>
        <w:trPr>
          <w:trHeight w:val="285"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904" w:hRule="atLeast"/>
        </w:trPr>
        <w:tc>
          <w:tcPr>
            <w:tcW w:w="88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b/>
                <w:bCs/>
                <w:color w:val="000000"/>
                <w:sz w:val="30"/>
                <w:szCs w:val="30"/>
              </w:rPr>
            </w:pPr>
            <w:r>
              <w:rPr>
                <w:rFonts w:hint="eastAsia" w:ascii="黑体" w:eastAsia="黑体" w:cs="黑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6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51322323T000009944742-教师节慰问金和教师工作补助</w:t>
            </w:r>
          </w:p>
        </w:tc>
      </w:tr>
      <w:tr>
        <w:tblPrEx>
          <w:tblCellMar>
            <w:top w:w="0" w:type="dxa"/>
            <w:left w:w="108" w:type="dxa"/>
            <w:bottom w:w="0" w:type="dxa"/>
            <w:right w:w="108" w:type="dxa"/>
          </w:tblCellMar>
        </w:tblPrEx>
        <w:trPr>
          <w:trHeight w:val="514" w:hRule="atLeast"/>
        </w:trPr>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中国共产党茂县委员会党校</w:t>
            </w:r>
          </w:p>
        </w:tc>
        <w:tc>
          <w:tcPr>
            <w:tcW w:w="907" w:type="dxa"/>
            <w:tcBorders>
              <w:top w:val="nil"/>
              <w:left w:val="nil"/>
              <w:bottom w:val="nil"/>
              <w:right w:val="nil"/>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实施单位 （盖章）</w:t>
            </w:r>
          </w:p>
        </w:tc>
        <w:tc>
          <w:tcPr>
            <w:tcW w:w="2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285"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3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eastAsia="黑体" w:cs="黑体"/>
                <w:color w:val="000000"/>
                <w:sz w:val="18"/>
                <w:szCs w:val="18"/>
              </w:rPr>
            </w:pPr>
            <w:r>
              <w:rPr>
                <w:rFonts w:hint="eastAsia" w:asci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172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增强党校教师岗位吸引力，完善党校教师奖励办法，鼓励党校教师终身从教。</w:t>
            </w:r>
          </w:p>
        </w:tc>
        <w:tc>
          <w:tcPr>
            <w:tcW w:w="3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 xml:space="preserve">  按照《阿坝州人民政府办公室关于印发＜阿坝藏族羌族自治州鼓励教师终身从教认定办法＞的通知》（阿府办发〔2019〕9号）文件要求，增强党校教师岗位吸引力，完善党校教师奖励办法，鼓励党校教师终身从教。</w:t>
            </w:r>
          </w:p>
        </w:tc>
      </w:tr>
      <w:tr>
        <w:tblPrEx>
          <w:tblCellMar>
            <w:top w:w="0" w:type="dxa"/>
            <w:left w:w="108" w:type="dxa"/>
            <w:bottom w:w="0" w:type="dxa"/>
            <w:right w:w="108" w:type="dxa"/>
          </w:tblCellMar>
        </w:tblPrEx>
        <w:trPr>
          <w:trHeight w:val="116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69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cs="宋体"/>
                <w:color w:val="000000"/>
                <w:sz w:val="18"/>
                <w:szCs w:val="18"/>
              </w:rPr>
            </w:pPr>
            <w:r>
              <w:rPr>
                <w:rFonts w:ascii="宋体" w:cs="宋体"/>
                <w:color w:val="000000"/>
                <w:kern w:val="0"/>
                <w:sz w:val="18"/>
                <w:szCs w:val="18"/>
              </w:rPr>
              <w:t>按照《阿坝州人民政府办公室关于印发＜阿坝藏族羌族自治州鼓励教师终身从教认定办法＞的通知》（阿府办发〔2019〕9号）文件要求,增强党校教师岗位吸引力，完善党校教师奖励办法，鼓励党校教师终身从教。结合我县实际，县委党校教师相关待遇参照县教育局标准，支付0.42万元。</w:t>
            </w:r>
          </w:p>
        </w:tc>
      </w:tr>
      <w:tr>
        <w:tblPrEx>
          <w:tblCellMar>
            <w:top w:w="0" w:type="dxa"/>
            <w:left w:w="108" w:type="dxa"/>
            <w:bottom w:w="0" w:type="dxa"/>
            <w:right w:w="108" w:type="dxa"/>
          </w:tblCellMar>
        </w:tblPrEx>
        <w:trPr>
          <w:trHeight w:val="36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0.42</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0.42</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i/>
                <w:iCs/>
                <w:color w:val="000000"/>
                <w:sz w:val="18"/>
                <w:szCs w:val="18"/>
              </w:rPr>
            </w:pPr>
            <w:r>
              <w:rPr>
                <w:rFonts w:hint="eastAsia" w:asci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9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0.42</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0.42</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409"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36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r>
      <w:tr>
        <w:tblPrEx>
          <w:tblCellMar>
            <w:top w:w="0" w:type="dxa"/>
            <w:left w:w="108" w:type="dxa"/>
            <w:bottom w:w="0" w:type="dxa"/>
            <w:right w:w="108" w:type="dxa"/>
          </w:tblCellMar>
        </w:tblPrEx>
        <w:trPr>
          <w:trHeight w:val="454"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 xml:space="preserve"> </w:t>
            </w: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数量指标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发放金额</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4150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4150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时效指标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2023年底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2023</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2023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社会效益指标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鼓励党校教师终身从教</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良好</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30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59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cs="宋体"/>
                <w:color w:val="000000"/>
                <w:sz w:val="18"/>
                <w:szCs w:val="18"/>
              </w:rPr>
            </w:pPr>
            <w:r>
              <w:rPr>
                <w:rFonts w:ascii="宋体" w:cs="宋体"/>
                <w:color w:val="000000"/>
                <w:kern w:val="0"/>
                <w:sz w:val="18"/>
                <w:szCs w:val="18"/>
              </w:rPr>
              <w:t>100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60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 xml:space="preserve">如期完成，达到预期目标。 </w:t>
            </w:r>
          </w:p>
        </w:tc>
      </w:tr>
      <w:tr>
        <w:tblPrEx>
          <w:tblCellMar>
            <w:top w:w="0" w:type="dxa"/>
            <w:left w:w="108" w:type="dxa"/>
            <w:bottom w:w="0" w:type="dxa"/>
            <w:right w:w="108" w:type="dxa"/>
          </w:tblCellMar>
        </w:tblPrEx>
        <w:trPr>
          <w:trHeight w:val="57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 xml:space="preserve"> 无</w:t>
            </w:r>
          </w:p>
        </w:tc>
      </w:tr>
      <w:tr>
        <w:tblPrEx>
          <w:tblCellMar>
            <w:top w:w="0" w:type="dxa"/>
            <w:left w:w="108" w:type="dxa"/>
            <w:bottom w:w="0" w:type="dxa"/>
            <w:right w:w="108" w:type="dxa"/>
          </w:tblCellMar>
        </w:tblPrEx>
        <w:trPr>
          <w:trHeight w:val="634"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82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 xml:space="preserve"> 无</w:t>
            </w:r>
          </w:p>
        </w:tc>
      </w:tr>
      <w:tr>
        <w:tblPrEx>
          <w:tblCellMar>
            <w:top w:w="0" w:type="dxa"/>
            <w:left w:w="108" w:type="dxa"/>
            <w:bottom w:w="0" w:type="dxa"/>
            <w:right w:w="108" w:type="dxa"/>
          </w:tblCellMar>
        </w:tblPrEx>
        <w:trPr>
          <w:trHeight w:val="285" w:hRule="atLeast"/>
        </w:trPr>
        <w:tc>
          <w:tcPr>
            <w:tcW w:w="4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项目负责人：才华加</w:t>
            </w:r>
          </w:p>
        </w:tc>
        <w:tc>
          <w:tcPr>
            <w:tcW w:w="45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 xml:space="preserve">财务负责人：才华加 </w:t>
            </w:r>
          </w:p>
        </w:tc>
      </w:tr>
      <w:tr>
        <w:tblPrEx>
          <w:tblCellMar>
            <w:top w:w="0" w:type="dxa"/>
            <w:left w:w="108" w:type="dxa"/>
            <w:bottom w:w="0" w:type="dxa"/>
            <w:right w:w="108" w:type="dxa"/>
          </w:tblCellMar>
        </w:tblPrEx>
        <w:trPr>
          <w:trHeight w:val="680"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285"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285" w:hRule="atLeast"/>
        </w:trPr>
        <w:tc>
          <w:tcPr>
            <w:tcW w:w="587" w:type="dxa"/>
            <w:tcBorders>
              <w:top w:val="nil"/>
              <w:left w:val="nil"/>
              <w:bottom w:val="nil"/>
              <w:right w:val="nil"/>
            </w:tcBorders>
            <w:shd w:val="clear" w:color="auto" w:fill="auto"/>
            <w:noWrap/>
            <w:vAlign w:val="center"/>
          </w:tcPr>
          <w:p>
            <w:pPr>
              <w:rPr>
                <w:rFonts w:ascii="宋体" w:cs="宋体"/>
                <w:color w:val="000000"/>
                <w:sz w:val="22"/>
                <w:szCs w:val="22"/>
              </w:rPr>
            </w:pPr>
          </w:p>
        </w:tc>
        <w:tc>
          <w:tcPr>
            <w:tcW w:w="1375" w:type="dxa"/>
            <w:tcBorders>
              <w:top w:val="nil"/>
              <w:left w:val="nil"/>
              <w:bottom w:val="nil"/>
              <w:right w:val="nil"/>
            </w:tcBorders>
            <w:shd w:val="clear" w:color="auto" w:fill="auto"/>
            <w:noWrap/>
            <w:vAlign w:val="center"/>
          </w:tcPr>
          <w:p>
            <w:pPr>
              <w:rPr>
                <w:rFonts w:ascii="宋体" w:cs="宋体"/>
                <w:color w:val="000000"/>
                <w:sz w:val="22"/>
                <w:szCs w:val="22"/>
              </w:rPr>
            </w:pPr>
          </w:p>
        </w:tc>
        <w:tc>
          <w:tcPr>
            <w:tcW w:w="942" w:type="dxa"/>
            <w:tcBorders>
              <w:top w:val="nil"/>
              <w:left w:val="nil"/>
              <w:bottom w:val="nil"/>
              <w:right w:val="nil"/>
            </w:tcBorders>
            <w:shd w:val="clear" w:color="auto" w:fill="auto"/>
            <w:noWrap/>
            <w:vAlign w:val="center"/>
          </w:tcPr>
          <w:p>
            <w:pPr>
              <w:rPr>
                <w:rFonts w:ascii="宋体" w:cs="宋体"/>
                <w:color w:val="000000"/>
                <w:sz w:val="22"/>
                <w:szCs w:val="22"/>
              </w:rPr>
            </w:pPr>
          </w:p>
        </w:tc>
        <w:tc>
          <w:tcPr>
            <w:tcW w:w="945" w:type="dxa"/>
            <w:tcBorders>
              <w:top w:val="nil"/>
              <w:left w:val="nil"/>
              <w:bottom w:val="nil"/>
              <w:right w:val="nil"/>
            </w:tcBorders>
            <w:shd w:val="clear" w:color="auto" w:fill="auto"/>
            <w:noWrap/>
            <w:vAlign w:val="center"/>
          </w:tcPr>
          <w:p>
            <w:pPr>
              <w:rPr>
                <w:rFonts w:ascii="宋体" w:cs="宋体"/>
                <w:color w:val="000000"/>
                <w:sz w:val="22"/>
                <w:szCs w:val="22"/>
              </w:rPr>
            </w:pPr>
          </w:p>
        </w:tc>
        <w:tc>
          <w:tcPr>
            <w:tcW w:w="467" w:type="dxa"/>
            <w:tcBorders>
              <w:top w:val="nil"/>
              <w:left w:val="nil"/>
              <w:bottom w:val="nil"/>
              <w:right w:val="nil"/>
            </w:tcBorders>
            <w:shd w:val="clear" w:color="auto" w:fill="auto"/>
            <w:noWrap/>
            <w:vAlign w:val="center"/>
          </w:tcPr>
          <w:p>
            <w:pPr>
              <w:rPr>
                <w:rFonts w:ascii="宋体" w:cs="宋体"/>
                <w:color w:val="000000"/>
                <w:sz w:val="22"/>
                <w:szCs w:val="22"/>
              </w:rPr>
            </w:pPr>
          </w:p>
        </w:tc>
        <w:tc>
          <w:tcPr>
            <w:tcW w:w="756" w:type="dxa"/>
            <w:tcBorders>
              <w:top w:val="nil"/>
              <w:left w:val="nil"/>
              <w:bottom w:val="nil"/>
              <w:right w:val="nil"/>
            </w:tcBorders>
            <w:shd w:val="clear" w:color="auto" w:fill="auto"/>
            <w:noWrap/>
            <w:vAlign w:val="center"/>
          </w:tcPr>
          <w:p>
            <w:pPr>
              <w:rPr>
                <w:rFonts w:ascii="宋体" w:cs="宋体"/>
                <w:color w:val="000000"/>
                <w:sz w:val="22"/>
                <w:szCs w:val="22"/>
              </w:rPr>
            </w:pPr>
          </w:p>
        </w:tc>
        <w:tc>
          <w:tcPr>
            <w:tcW w:w="907" w:type="dxa"/>
            <w:tcBorders>
              <w:top w:val="nil"/>
              <w:left w:val="nil"/>
              <w:bottom w:val="nil"/>
              <w:right w:val="nil"/>
            </w:tcBorders>
            <w:shd w:val="clear" w:color="auto" w:fill="auto"/>
            <w:noWrap/>
            <w:vAlign w:val="center"/>
          </w:tcPr>
          <w:p>
            <w:pPr>
              <w:rPr>
                <w:rFonts w:ascii="宋体" w:cs="宋体"/>
                <w:color w:val="000000"/>
                <w:sz w:val="22"/>
                <w:szCs w:val="22"/>
              </w:rPr>
            </w:pPr>
          </w:p>
        </w:tc>
        <w:tc>
          <w:tcPr>
            <w:tcW w:w="486" w:type="dxa"/>
            <w:tcBorders>
              <w:top w:val="nil"/>
              <w:left w:val="nil"/>
              <w:bottom w:val="nil"/>
              <w:right w:val="nil"/>
            </w:tcBorders>
            <w:shd w:val="clear" w:color="auto" w:fill="auto"/>
            <w:noWrap/>
            <w:vAlign w:val="center"/>
          </w:tcPr>
          <w:p>
            <w:pPr>
              <w:rPr>
                <w:rFonts w:ascii="宋体" w:cs="宋体"/>
                <w:color w:val="000000"/>
                <w:sz w:val="22"/>
                <w:szCs w:val="22"/>
              </w:rPr>
            </w:pPr>
          </w:p>
        </w:tc>
        <w:tc>
          <w:tcPr>
            <w:tcW w:w="486" w:type="dxa"/>
            <w:tcBorders>
              <w:top w:val="nil"/>
              <w:left w:val="nil"/>
              <w:bottom w:val="nil"/>
              <w:right w:val="nil"/>
            </w:tcBorders>
            <w:shd w:val="clear" w:color="auto" w:fill="auto"/>
            <w:noWrap/>
            <w:vAlign w:val="center"/>
          </w:tcPr>
          <w:p>
            <w:pPr>
              <w:rPr>
                <w:rFonts w:ascii="宋体" w:cs="宋体"/>
                <w:color w:val="000000"/>
                <w:sz w:val="22"/>
                <w:szCs w:val="22"/>
              </w:rPr>
            </w:pPr>
          </w:p>
        </w:tc>
        <w:tc>
          <w:tcPr>
            <w:tcW w:w="1918" w:type="dxa"/>
            <w:tcBorders>
              <w:top w:val="nil"/>
              <w:left w:val="nil"/>
              <w:bottom w:val="nil"/>
              <w:right w:val="nil"/>
            </w:tcBorders>
            <w:shd w:val="clear" w:color="auto" w:fill="auto"/>
            <w:noWrap/>
            <w:vAlign w:val="center"/>
          </w:tcPr>
          <w:p>
            <w:pPr>
              <w:rPr>
                <w:rFonts w:ascii="宋体" w:cs="宋体"/>
                <w:color w:val="000000"/>
                <w:sz w:val="22"/>
                <w:szCs w:val="22"/>
              </w:rPr>
            </w:pPr>
          </w:p>
        </w:tc>
      </w:tr>
      <w:tr>
        <w:tblPrEx>
          <w:tblCellMar>
            <w:top w:w="0" w:type="dxa"/>
            <w:left w:w="108" w:type="dxa"/>
            <w:bottom w:w="0" w:type="dxa"/>
            <w:right w:w="108" w:type="dxa"/>
          </w:tblCellMar>
        </w:tblPrEx>
        <w:trPr>
          <w:trHeight w:val="285" w:hRule="atLeast"/>
        </w:trPr>
        <w:tc>
          <w:tcPr>
            <w:tcW w:w="8869" w:type="dxa"/>
            <w:gridSpan w:val="10"/>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285" w:hRule="atLeast"/>
        </w:trPr>
        <w:tc>
          <w:tcPr>
            <w:tcW w:w="8869" w:type="dxa"/>
            <w:gridSpan w:val="10"/>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285" w:hRule="atLeast"/>
        </w:trPr>
        <w:tc>
          <w:tcPr>
            <w:tcW w:w="8869" w:type="dxa"/>
            <w:gridSpan w:val="10"/>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285" w:hRule="atLeast"/>
        </w:trPr>
        <w:tc>
          <w:tcPr>
            <w:tcW w:w="8869" w:type="dxa"/>
            <w:gridSpan w:val="10"/>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285"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285"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285"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285"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285"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r>
        <w:tblPrEx>
          <w:tblCellMar>
            <w:top w:w="0" w:type="dxa"/>
            <w:left w:w="108" w:type="dxa"/>
            <w:bottom w:w="0" w:type="dxa"/>
            <w:right w:w="108" w:type="dxa"/>
          </w:tblCellMar>
        </w:tblPrEx>
        <w:trPr>
          <w:trHeight w:val="285" w:hRule="atLeast"/>
        </w:trPr>
        <w:tc>
          <w:tcPr>
            <w:tcW w:w="587" w:type="dxa"/>
            <w:tcBorders>
              <w:top w:val="nil"/>
              <w:left w:val="nil"/>
              <w:bottom w:val="nil"/>
              <w:right w:val="nil"/>
            </w:tcBorders>
            <w:shd w:val="clear" w:color="auto" w:fill="auto"/>
            <w:vAlign w:val="center"/>
          </w:tcPr>
          <w:p>
            <w:pPr>
              <w:rPr>
                <w:rFonts w:ascii="宋体" w:cs="宋体"/>
                <w:color w:val="000000"/>
                <w:sz w:val="18"/>
                <w:szCs w:val="18"/>
              </w:rPr>
            </w:pPr>
          </w:p>
        </w:tc>
        <w:tc>
          <w:tcPr>
            <w:tcW w:w="1375" w:type="dxa"/>
            <w:tcBorders>
              <w:top w:val="nil"/>
              <w:left w:val="nil"/>
              <w:bottom w:val="nil"/>
              <w:right w:val="nil"/>
            </w:tcBorders>
            <w:shd w:val="clear" w:color="auto" w:fill="auto"/>
            <w:vAlign w:val="center"/>
          </w:tcPr>
          <w:p>
            <w:pPr>
              <w:rPr>
                <w:rFonts w:ascii="宋体" w:cs="宋体"/>
                <w:color w:val="000000"/>
                <w:sz w:val="18"/>
                <w:szCs w:val="18"/>
              </w:rPr>
            </w:pPr>
          </w:p>
        </w:tc>
        <w:tc>
          <w:tcPr>
            <w:tcW w:w="942" w:type="dxa"/>
            <w:tcBorders>
              <w:top w:val="nil"/>
              <w:left w:val="nil"/>
              <w:bottom w:val="nil"/>
              <w:right w:val="nil"/>
            </w:tcBorders>
            <w:shd w:val="clear" w:color="auto" w:fill="auto"/>
            <w:vAlign w:val="center"/>
          </w:tcPr>
          <w:p>
            <w:pPr>
              <w:rPr>
                <w:rFonts w:ascii="宋体" w:cs="宋体"/>
                <w:color w:val="000000"/>
                <w:sz w:val="18"/>
                <w:szCs w:val="18"/>
              </w:rPr>
            </w:pPr>
          </w:p>
        </w:tc>
        <w:tc>
          <w:tcPr>
            <w:tcW w:w="945" w:type="dxa"/>
            <w:tcBorders>
              <w:top w:val="nil"/>
              <w:left w:val="nil"/>
              <w:bottom w:val="nil"/>
              <w:right w:val="nil"/>
            </w:tcBorders>
            <w:shd w:val="clear" w:color="auto" w:fill="auto"/>
            <w:vAlign w:val="center"/>
          </w:tcPr>
          <w:p>
            <w:pPr>
              <w:rPr>
                <w:rFonts w:ascii="宋体" w:cs="宋体"/>
                <w:color w:val="000000"/>
                <w:sz w:val="18"/>
                <w:szCs w:val="18"/>
              </w:rPr>
            </w:pPr>
          </w:p>
        </w:tc>
        <w:tc>
          <w:tcPr>
            <w:tcW w:w="467" w:type="dxa"/>
            <w:tcBorders>
              <w:top w:val="nil"/>
              <w:left w:val="nil"/>
              <w:bottom w:val="nil"/>
              <w:right w:val="nil"/>
            </w:tcBorders>
            <w:shd w:val="clear" w:color="auto" w:fill="auto"/>
            <w:vAlign w:val="center"/>
          </w:tcPr>
          <w:p>
            <w:pPr>
              <w:rPr>
                <w:rFonts w:ascii="宋体" w:cs="宋体"/>
                <w:color w:val="000000"/>
                <w:sz w:val="18"/>
                <w:szCs w:val="18"/>
              </w:rPr>
            </w:pPr>
          </w:p>
        </w:tc>
        <w:tc>
          <w:tcPr>
            <w:tcW w:w="756" w:type="dxa"/>
            <w:tcBorders>
              <w:top w:val="nil"/>
              <w:left w:val="nil"/>
              <w:bottom w:val="nil"/>
              <w:right w:val="nil"/>
            </w:tcBorders>
            <w:shd w:val="clear" w:color="auto" w:fill="auto"/>
            <w:vAlign w:val="center"/>
          </w:tcPr>
          <w:p>
            <w:pPr>
              <w:rPr>
                <w:rFonts w:ascii="宋体" w:cs="宋体"/>
                <w:color w:val="000000"/>
                <w:sz w:val="18"/>
                <w:szCs w:val="18"/>
              </w:rPr>
            </w:pPr>
          </w:p>
        </w:tc>
        <w:tc>
          <w:tcPr>
            <w:tcW w:w="907"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486" w:type="dxa"/>
            <w:tcBorders>
              <w:top w:val="nil"/>
              <w:left w:val="nil"/>
              <w:bottom w:val="nil"/>
              <w:right w:val="nil"/>
            </w:tcBorders>
            <w:shd w:val="clear" w:color="auto" w:fill="auto"/>
            <w:vAlign w:val="center"/>
          </w:tcPr>
          <w:p>
            <w:pPr>
              <w:rPr>
                <w:rFonts w:ascii="宋体" w:cs="宋体"/>
                <w:color w:val="000000"/>
                <w:sz w:val="18"/>
                <w:szCs w:val="18"/>
              </w:rPr>
            </w:pPr>
          </w:p>
        </w:tc>
        <w:tc>
          <w:tcPr>
            <w:tcW w:w="1918" w:type="dxa"/>
            <w:tcBorders>
              <w:top w:val="nil"/>
              <w:left w:val="nil"/>
              <w:bottom w:val="nil"/>
              <w:right w:val="nil"/>
            </w:tcBorders>
            <w:shd w:val="clear" w:color="auto" w:fill="auto"/>
            <w:vAlign w:val="center"/>
          </w:tcPr>
          <w:p>
            <w:pPr>
              <w:rPr>
                <w:rFonts w:ascii="宋体" w:cs="宋体"/>
                <w:color w:val="000000"/>
                <w:sz w:val="18"/>
                <w:szCs w:val="18"/>
              </w:rPr>
            </w:pPr>
          </w:p>
        </w:tc>
      </w:tr>
    </w:tbl>
    <w:p>
      <w:pPr>
        <w:widowControl/>
        <w:spacing w:line="576" w:lineRule="exact"/>
        <w:contextualSpacing/>
        <w:jc w:val="left"/>
        <w:rPr>
          <w:rFonts w:ascii="仿宋_GB2312" w:eastAsia="仿宋_GB2312"/>
          <w:szCs w:val="32"/>
          <w:shd w:val="clear" w:color="auto" w:fill="FFFFFF"/>
        </w:rPr>
      </w:pPr>
    </w:p>
    <w:p>
      <w:pPr>
        <w:spacing w:line="560" w:lineRule="exact"/>
        <w:jc w:val="center"/>
        <w:outlineLvl w:val="0"/>
        <w:rPr>
          <w:rFonts w:ascii="黑体" w:eastAsia="黑体"/>
          <w:color w:val="000000"/>
          <w:sz w:val="44"/>
          <w:szCs w:val="44"/>
        </w:rPr>
      </w:pPr>
    </w:p>
    <w:p>
      <w:pPr>
        <w:spacing w:line="560" w:lineRule="exact"/>
        <w:jc w:val="center"/>
        <w:outlineLvl w:val="0"/>
        <w:rPr>
          <w:rFonts w:ascii="黑体" w:eastAsia="黑体"/>
          <w:color w:val="000000"/>
          <w:sz w:val="44"/>
          <w:szCs w:val="44"/>
        </w:rPr>
      </w:pPr>
    </w:p>
    <w:p>
      <w:pPr>
        <w:spacing w:line="560" w:lineRule="exact"/>
        <w:outlineLvl w:val="0"/>
        <w:rPr>
          <w:rFonts w:ascii="仿宋_GB2312" w:eastAsia="仿宋_GB2312" w:cs="仿宋_GB2312"/>
          <w:color w:val="000000"/>
          <w:sz w:val="32"/>
          <w:szCs w:val="32"/>
        </w:rPr>
      </w:pPr>
    </w:p>
    <w:p>
      <w:pPr>
        <w:spacing w:line="560" w:lineRule="exact"/>
        <w:outlineLvl w:val="0"/>
        <w:rPr>
          <w:rFonts w:ascii="仿宋_GB2312" w:eastAsia="仿宋_GB2312" w:cs="仿宋_GB2312"/>
          <w:color w:val="000000"/>
          <w:sz w:val="32"/>
          <w:szCs w:val="32"/>
        </w:rPr>
      </w:pPr>
    </w:p>
    <w:p>
      <w:pPr>
        <w:spacing w:line="560" w:lineRule="exact"/>
        <w:outlineLvl w:val="0"/>
        <w:rPr>
          <w:rFonts w:ascii="仿宋_GB2312" w:eastAsia="仿宋_GB2312" w:cs="仿宋_GB2312"/>
          <w:color w:val="000000"/>
          <w:sz w:val="32"/>
          <w:szCs w:val="32"/>
        </w:rPr>
      </w:pPr>
    </w:p>
    <w:p>
      <w:pPr>
        <w:spacing w:line="560" w:lineRule="exact"/>
        <w:outlineLvl w:val="0"/>
        <w:rPr>
          <w:rFonts w:ascii="仿宋_GB2312" w:eastAsia="仿宋_GB2312" w:cs="仿宋_GB2312"/>
          <w:color w:val="000000"/>
          <w:sz w:val="32"/>
          <w:szCs w:val="32"/>
        </w:rPr>
      </w:pPr>
    </w:p>
    <w:bookmarkEnd w:id="47"/>
    <w:bookmarkEnd w:id="48"/>
    <w:p>
      <w:pPr>
        <w:spacing w:line="560" w:lineRule="exact"/>
        <w:jc w:val="center"/>
        <w:outlineLvl w:val="0"/>
        <w:rPr>
          <w:rFonts w:ascii="方正小标宋简体" w:eastAsia="方正小标宋简体" w:cs="方正小标宋简体"/>
          <w:sz w:val="44"/>
          <w:szCs w:val="44"/>
        </w:rPr>
      </w:pPr>
    </w:p>
    <w:p>
      <w:pPr>
        <w:pStyle w:val="2"/>
        <w:rPr>
          <w:rFonts w:ascii="方正小标宋简体" w:eastAsia="方正小标宋简体" w:cs="方正小标宋简体"/>
          <w:sz w:val="44"/>
          <w:szCs w:val="44"/>
        </w:rPr>
      </w:pPr>
    </w:p>
    <w:p>
      <w:pPr>
        <w:pStyle w:val="3"/>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bCs/>
          <w:sz w:val="44"/>
          <w:szCs w:val="44"/>
        </w:rPr>
      </w:pPr>
      <w:r>
        <w:rPr>
          <w:rFonts w:hint="eastAsia" w:ascii="方正小标宋简体" w:eastAsia="方正小标宋简体" w:cs="方正小标宋简体"/>
          <w:sz w:val="44"/>
          <w:szCs w:val="44"/>
        </w:rPr>
        <w:t>第五部</w:t>
      </w:r>
      <w:r>
        <w:rPr>
          <w:rFonts w:hint="eastAsia" w:ascii="方正小标宋简体" w:eastAsia="方正小标宋简体" w:cs="方正小标宋简体"/>
          <w:bCs/>
          <w:sz w:val="44"/>
          <w:szCs w:val="44"/>
        </w:rPr>
        <w:t>分  附表</w:t>
      </w:r>
      <w:bookmarkStart w:id="50" w:name="_Toc79163886"/>
      <w:bookmarkStart w:id="51" w:name="_Toc79163636"/>
      <w:bookmarkStart w:id="52" w:name="_Toc15396619"/>
    </w:p>
    <w:p>
      <w:pPr>
        <w:spacing w:line="560" w:lineRule="exact"/>
        <w:jc w:val="center"/>
        <w:outlineLvl w:val="0"/>
        <w:rPr>
          <w:rFonts w:ascii="方正小标宋简体" w:eastAsia="方正小标宋简体" w:cs="方正小标宋简体"/>
          <w:bCs/>
          <w:sz w:val="44"/>
          <w:szCs w:val="44"/>
        </w:rPr>
      </w:pPr>
    </w:p>
    <w:p>
      <w:pPr>
        <w:numPr>
          <w:ilvl w:val="0"/>
          <w:numId w:val="5"/>
        </w:numPr>
        <w:spacing w:line="560" w:lineRule="exact"/>
        <w:outlineLvl w:val="0"/>
        <w:rPr>
          <w:rStyle w:val="22"/>
          <w:rFonts w:ascii="仿宋" w:eastAsia="仿宋"/>
          <w:b w:val="0"/>
          <w:bCs w:val="0"/>
        </w:rPr>
      </w:pPr>
      <w:r>
        <w:rPr>
          <w:rFonts w:hint="eastAsia" w:ascii="仿宋" w:eastAsia="仿宋"/>
          <w:color w:val="000000"/>
          <w:sz w:val="32"/>
          <w:szCs w:val="32"/>
        </w:rPr>
        <w:t>收</w:t>
      </w:r>
      <w:r>
        <w:rPr>
          <w:rStyle w:val="22"/>
          <w:rFonts w:hint="eastAsia" w:ascii="仿宋" w:eastAsia="仿宋"/>
          <w:b w:val="0"/>
          <w:bCs w:val="0"/>
        </w:rPr>
        <w:t>入支出决算总表</w:t>
      </w:r>
      <w:bookmarkEnd w:id="50"/>
      <w:bookmarkEnd w:id="51"/>
      <w:bookmarkEnd w:id="52"/>
      <w:bookmarkStart w:id="53" w:name="_Toc79163637"/>
      <w:bookmarkStart w:id="54" w:name="_Toc15396620"/>
      <w:bookmarkStart w:id="55" w:name="_Toc79163887"/>
    </w:p>
    <w:p>
      <w:pPr>
        <w:numPr>
          <w:ilvl w:val="0"/>
          <w:numId w:val="5"/>
        </w:numPr>
        <w:spacing w:line="560" w:lineRule="exact"/>
        <w:outlineLvl w:val="0"/>
        <w:rPr>
          <w:rFonts w:ascii="仿宋" w:eastAsia="仿宋" w:cs="Cambria"/>
          <w:bCs/>
          <w:color w:val="000000"/>
          <w:sz w:val="32"/>
          <w:szCs w:val="32"/>
        </w:rPr>
      </w:pPr>
      <w:r>
        <w:rPr>
          <w:rFonts w:hint="eastAsia" w:ascii="仿宋" w:eastAsia="仿宋"/>
          <w:color w:val="000000"/>
          <w:sz w:val="32"/>
          <w:szCs w:val="32"/>
        </w:rPr>
        <w:t>收</w:t>
      </w:r>
      <w:r>
        <w:rPr>
          <w:rFonts w:hint="eastAsia" w:ascii="仿宋" w:eastAsia="仿宋" w:cs="Cambria"/>
          <w:bCs/>
          <w:color w:val="000000"/>
          <w:sz w:val="32"/>
          <w:szCs w:val="32"/>
        </w:rPr>
        <w:t>入决算表</w:t>
      </w:r>
      <w:bookmarkEnd w:id="53"/>
      <w:bookmarkEnd w:id="54"/>
      <w:bookmarkEnd w:id="55"/>
      <w:bookmarkStart w:id="56" w:name="_Toc79163888"/>
      <w:bookmarkStart w:id="57" w:name="_Toc79163638"/>
      <w:bookmarkStart w:id="58" w:name="_Toc15396621"/>
    </w:p>
    <w:p>
      <w:pPr>
        <w:numPr>
          <w:ilvl w:val="0"/>
          <w:numId w:val="5"/>
        </w:numPr>
        <w:spacing w:line="560" w:lineRule="exact"/>
        <w:outlineLvl w:val="0"/>
        <w:rPr>
          <w:rStyle w:val="22"/>
          <w:rFonts w:ascii="仿宋" w:eastAsia="仿宋"/>
          <w:b w:val="0"/>
          <w:bCs w:val="0"/>
        </w:rPr>
      </w:pPr>
      <w:r>
        <w:rPr>
          <w:rFonts w:hint="eastAsia" w:ascii="仿宋" w:eastAsia="仿宋"/>
          <w:color w:val="000000"/>
          <w:sz w:val="32"/>
          <w:szCs w:val="32"/>
        </w:rPr>
        <w:t>支</w:t>
      </w:r>
      <w:r>
        <w:rPr>
          <w:rStyle w:val="22"/>
          <w:rFonts w:hint="eastAsia" w:ascii="仿宋" w:eastAsia="仿宋"/>
          <w:b w:val="0"/>
          <w:bCs w:val="0"/>
        </w:rPr>
        <w:t>出决算表</w:t>
      </w:r>
      <w:bookmarkEnd w:id="56"/>
      <w:bookmarkEnd w:id="57"/>
      <w:bookmarkEnd w:id="58"/>
      <w:bookmarkStart w:id="59" w:name="_Toc79163889"/>
      <w:bookmarkStart w:id="60" w:name="_Toc15396622"/>
      <w:bookmarkStart w:id="61" w:name="_Toc79163639"/>
    </w:p>
    <w:p>
      <w:pPr>
        <w:numPr>
          <w:ilvl w:val="0"/>
          <w:numId w:val="5"/>
        </w:numPr>
        <w:spacing w:line="560" w:lineRule="exact"/>
        <w:outlineLvl w:val="0"/>
        <w:rPr>
          <w:rStyle w:val="22"/>
          <w:rFonts w:ascii="仿宋" w:eastAsia="仿宋"/>
          <w:b w:val="0"/>
          <w:bCs w:val="0"/>
        </w:rPr>
      </w:pPr>
      <w:r>
        <w:rPr>
          <w:rFonts w:hint="eastAsia" w:ascii="仿宋" w:eastAsia="仿宋"/>
          <w:color w:val="000000"/>
          <w:sz w:val="32"/>
          <w:szCs w:val="32"/>
        </w:rPr>
        <w:t>财</w:t>
      </w:r>
      <w:r>
        <w:rPr>
          <w:rStyle w:val="22"/>
          <w:rFonts w:hint="eastAsia" w:ascii="仿宋" w:eastAsia="仿宋"/>
          <w:b w:val="0"/>
          <w:bCs w:val="0"/>
        </w:rPr>
        <w:t>政拨款收入支出决算总表</w:t>
      </w:r>
      <w:bookmarkEnd w:id="59"/>
      <w:bookmarkEnd w:id="60"/>
      <w:bookmarkEnd w:id="61"/>
      <w:bookmarkStart w:id="62" w:name="_Toc15396623"/>
      <w:bookmarkStart w:id="63" w:name="_Toc79163890"/>
      <w:bookmarkStart w:id="64" w:name="_Toc79163640"/>
    </w:p>
    <w:p>
      <w:pPr>
        <w:numPr>
          <w:ilvl w:val="0"/>
          <w:numId w:val="5"/>
        </w:numPr>
        <w:spacing w:line="560" w:lineRule="exact"/>
        <w:outlineLvl w:val="0"/>
        <w:rPr>
          <w:rStyle w:val="22"/>
          <w:rFonts w:ascii="仿宋" w:eastAsia="仿宋"/>
          <w:b w:val="0"/>
          <w:bCs w:val="0"/>
        </w:rPr>
      </w:pPr>
      <w:r>
        <w:rPr>
          <w:rFonts w:hint="eastAsia" w:ascii="仿宋" w:eastAsia="仿宋"/>
          <w:color w:val="000000"/>
          <w:sz w:val="32"/>
          <w:szCs w:val="32"/>
        </w:rPr>
        <w:t>财</w:t>
      </w:r>
      <w:r>
        <w:rPr>
          <w:rStyle w:val="22"/>
          <w:rFonts w:hint="eastAsia" w:ascii="仿宋" w:eastAsia="仿宋"/>
          <w:b w:val="0"/>
          <w:bCs w:val="0"/>
        </w:rPr>
        <w:t>政拨款支出决算明细表</w:t>
      </w:r>
      <w:bookmarkEnd w:id="62"/>
      <w:bookmarkEnd w:id="63"/>
      <w:bookmarkEnd w:id="64"/>
      <w:bookmarkStart w:id="65" w:name="_Toc79163891"/>
      <w:bookmarkStart w:id="66" w:name="_Toc79163641"/>
      <w:bookmarkStart w:id="67" w:name="_Toc15396624"/>
    </w:p>
    <w:p>
      <w:pPr>
        <w:numPr>
          <w:ilvl w:val="0"/>
          <w:numId w:val="5"/>
        </w:numPr>
        <w:spacing w:line="560" w:lineRule="exact"/>
        <w:outlineLvl w:val="0"/>
        <w:rPr>
          <w:rStyle w:val="22"/>
          <w:rFonts w:ascii="仿宋" w:eastAsia="仿宋"/>
          <w:b w:val="0"/>
          <w:bCs w:val="0"/>
        </w:rPr>
      </w:pPr>
      <w:r>
        <w:rPr>
          <w:rFonts w:hint="eastAsia" w:ascii="仿宋" w:eastAsia="仿宋"/>
          <w:color w:val="000000"/>
        </w:rPr>
        <w:t>一</w:t>
      </w:r>
      <w:r>
        <w:rPr>
          <w:rStyle w:val="22"/>
          <w:rFonts w:hint="eastAsia" w:ascii="仿宋" w:eastAsia="仿宋"/>
          <w:b w:val="0"/>
          <w:bCs w:val="0"/>
        </w:rPr>
        <w:t>般公共预算财政拨款支出决算表</w:t>
      </w:r>
      <w:bookmarkEnd w:id="65"/>
      <w:bookmarkEnd w:id="66"/>
      <w:bookmarkEnd w:id="67"/>
      <w:bookmarkStart w:id="68" w:name="_Toc15396625"/>
      <w:bookmarkStart w:id="69" w:name="_Toc79163642"/>
      <w:bookmarkStart w:id="70" w:name="_Toc79163892"/>
    </w:p>
    <w:p>
      <w:pPr>
        <w:numPr>
          <w:ilvl w:val="0"/>
          <w:numId w:val="5"/>
        </w:numPr>
        <w:spacing w:line="560" w:lineRule="exact"/>
        <w:outlineLvl w:val="0"/>
        <w:rPr>
          <w:rStyle w:val="22"/>
          <w:rFonts w:ascii="仿宋" w:eastAsia="仿宋"/>
          <w:b w:val="0"/>
          <w:bCs w:val="0"/>
        </w:rPr>
      </w:pPr>
      <w:r>
        <w:rPr>
          <w:rFonts w:hint="eastAsia" w:ascii="仿宋" w:eastAsia="仿宋"/>
          <w:color w:val="000000"/>
        </w:rPr>
        <w:t>一</w:t>
      </w:r>
      <w:r>
        <w:rPr>
          <w:rStyle w:val="22"/>
          <w:rFonts w:hint="eastAsia" w:ascii="仿宋" w:eastAsia="仿宋"/>
          <w:b w:val="0"/>
          <w:bCs w:val="0"/>
        </w:rPr>
        <w:t>般公共预算财政拨款支出决算明细表</w:t>
      </w:r>
      <w:bookmarkEnd w:id="68"/>
      <w:bookmarkEnd w:id="69"/>
      <w:bookmarkEnd w:id="70"/>
      <w:bookmarkStart w:id="71" w:name="_Toc79163893"/>
      <w:bookmarkStart w:id="72" w:name="_Toc79163643"/>
      <w:bookmarkStart w:id="73" w:name="_Toc15396626"/>
    </w:p>
    <w:p>
      <w:pPr>
        <w:numPr>
          <w:ilvl w:val="0"/>
          <w:numId w:val="5"/>
        </w:numPr>
        <w:spacing w:line="560" w:lineRule="exact"/>
        <w:outlineLvl w:val="0"/>
        <w:rPr>
          <w:rStyle w:val="22"/>
          <w:rFonts w:ascii="仿宋" w:eastAsia="仿宋"/>
          <w:b w:val="0"/>
          <w:bCs w:val="0"/>
        </w:rPr>
      </w:pPr>
      <w:r>
        <w:rPr>
          <w:rFonts w:hint="eastAsia" w:ascii="仿宋" w:eastAsia="仿宋"/>
          <w:color w:val="000000"/>
        </w:rPr>
        <w:t>一</w:t>
      </w:r>
      <w:r>
        <w:rPr>
          <w:rStyle w:val="22"/>
          <w:rFonts w:hint="eastAsia" w:ascii="仿宋" w:eastAsia="仿宋"/>
          <w:b w:val="0"/>
          <w:bCs w:val="0"/>
        </w:rPr>
        <w:t>般公共预算财政拨款基本支出决算表</w:t>
      </w:r>
      <w:bookmarkEnd w:id="71"/>
      <w:bookmarkEnd w:id="72"/>
      <w:bookmarkEnd w:id="73"/>
      <w:bookmarkStart w:id="74" w:name="_Toc79163644"/>
      <w:bookmarkStart w:id="75" w:name="_Toc15396627"/>
      <w:bookmarkStart w:id="76" w:name="_Toc79163894"/>
    </w:p>
    <w:p>
      <w:pPr>
        <w:numPr>
          <w:ilvl w:val="0"/>
          <w:numId w:val="5"/>
        </w:numPr>
        <w:spacing w:line="560" w:lineRule="exact"/>
        <w:outlineLvl w:val="0"/>
        <w:rPr>
          <w:rStyle w:val="22"/>
          <w:rFonts w:ascii="仿宋" w:eastAsia="仿宋"/>
          <w:b w:val="0"/>
          <w:bCs w:val="0"/>
        </w:rPr>
      </w:pPr>
      <w:r>
        <w:rPr>
          <w:rFonts w:hint="eastAsia" w:ascii="仿宋" w:eastAsia="仿宋"/>
          <w:color w:val="000000"/>
        </w:rPr>
        <w:t>一</w:t>
      </w:r>
      <w:r>
        <w:rPr>
          <w:rStyle w:val="22"/>
          <w:rFonts w:hint="eastAsia" w:ascii="仿宋" w:eastAsia="仿宋"/>
          <w:b w:val="0"/>
          <w:bCs w:val="0"/>
        </w:rPr>
        <w:t>般公共预算财政拨款项目支出决算表</w:t>
      </w:r>
      <w:bookmarkEnd w:id="74"/>
      <w:bookmarkEnd w:id="75"/>
      <w:bookmarkEnd w:id="76"/>
      <w:bookmarkStart w:id="77" w:name="_Toc79163895"/>
      <w:bookmarkStart w:id="78" w:name="_Toc79163645"/>
      <w:bookmarkStart w:id="79" w:name="_Toc15396628"/>
    </w:p>
    <w:bookmarkEnd w:id="77"/>
    <w:bookmarkEnd w:id="78"/>
    <w:bookmarkEnd w:id="79"/>
    <w:p>
      <w:pPr>
        <w:numPr>
          <w:ilvl w:val="0"/>
          <w:numId w:val="5"/>
        </w:numPr>
        <w:spacing w:line="560" w:lineRule="exact"/>
        <w:outlineLvl w:val="0"/>
        <w:rPr>
          <w:rStyle w:val="22"/>
          <w:rFonts w:ascii="仿宋" w:eastAsia="仿宋"/>
          <w:b w:val="0"/>
          <w:bCs w:val="0"/>
        </w:rPr>
      </w:pPr>
      <w:bookmarkStart w:id="80" w:name="_Toc79163896"/>
      <w:bookmarkStart w:id="81" w:name="_Toc79163646"/>
      <w:bookmarkStart w:id="82" w:name="_Toc15396629"/>
      <w:r>
        <w:rPr>
          <w:rFonts w:hint="eastAsia" w:ascii="仿宋" w:eastAsia="仿宋"/>
          <w:color w:val="000000"/>
          <w:sz w:val="32"/>
          <w:szCs w:val="32"/>
        </w:rPr>
        <w:t>政</w:t>
      </w:r>
      <w:r>
        <w:rPr>
          <w:rStyle w:val="22"/>
          <w:rFonts w:hint="eastAsia" w:ascii="仿宋" w:eastAsia="仿宋"/>
          <w:b w:val="0"/>
          <w:bCs w:val="0"/>
        </w:rPr>
        <w:t>府性基金预算财政拨款收入支出决算表</w:t>
      </w:r>
    </w:p>
    <w:bookmarkEnd w:id="80"/>
    <w:bookmarkEnd w:id="81"/>
    <w:bookmarkEnd w:id="82"/>
    <w:p>
      <w:pPr>
        <w:numPr>
          <w:ilvl w:val="0"/>
          <w:numId w:val="5"/>
        </w:numPr>
        <w:spacing w:line="560" w:lineRule="exact"/>
        <w:outlineLvl w:val="0"/>
        <w:rPr>
          <w:rStyle w:val="22"/>
          <w:rFonts w:ascii="仿宋" w:eastAsia="仿宋"/>
          <w:b w:val="0"/>
          <w:bCs w:val="0"/>
        </w:rPr>
      </w:pPr>
      <w:bookmarkStart w:id="83" w:name="_Toc15396630"/>
      <w:bookmarkStart w:id="84" w:name="_Toc79163897"/>
      <w:bookmarkStart w:id="85" w:name="_Toc79163647"/>
      <w:r>
        <w:rPr>
          <w:rFonts w:hint="eastAsia" w:ascii="仿宋" w:eastAsia="仿宋"/>
          <w:color w:val="000000"/>
          <w:sz w:val="32"/>
          <w:szCs w:val="32"/>
        </w:rPr>
        <w:t>国</w:t>
      </w:r>
      <w:r>
        <w:rPr>
          <w:rStyle w:val="22"/>
          <w:rFonts w:hint="eastAsia" w:ascii="仿宋" w:eastAsia="仿宋"/>
          <w:b w:val="0"/>
          <w:bCs w:val="0"/>
        </w:rPr>
        <w:t>有资本经营预算财政拨款收入支出决算表</w:t>
      </w:r>
    </w:p>
    <w:bookmarkEnd w:id="83"/>
    <w:bookmarkEnd w:id="84"/>
    <w:bookmarkEnd w:id="85"/>
    <w:p>
      <w:pPr>
        <w:numPr>
          <w:ilvl w:val="0"/>
          <w:numId w:val="5"/>
        </w:numPr>
        <w:spacing w:line="560" w:lineRule="exact"/>
        <w:outlineLvl w:val="0"/>
        <w:rPr>
          <w:rStyle w:val="22"/>
          <w:rFonts w:ascii="仿宋" w:eastAsia="仿宋"/>
          <w:b w:val="0"/>
          <w:bCs w:val="0"/>
        </w:rPr>
      </w:pPr>
      <w:r>
        <w:rPr>
          <w:rFonts w:hint="eastAsia" w:ascii="仿宋" w:eastAsia="仿宋"/>
          <w:color w:val="000000"/>
          <w:sz w:val="32"/>
          <w:szCs w:val="32"/>
        </w:rPr>
        <w:t>国</w:t>
      </w:r>
      <w:r>
        <w:rPr>
          <w:rStyle w:val="22"/>
          <w:rFonts w:hint="eastAsia" w:ascii="仿宋" w:eastAsia="仿宋"/>
          <w:b w:val="0"/>
          <w:bCs w:val="0"/>
        </w:rPr>
        <w:t>有资本经营预算财政拨款支出决算表</w:t>
      </w:r>
      <w:bookmarkStart w:id="86" w:name="_Toc15396631"/>
      <w:bookmarkStart w:id="87" w:name="_Toc79163898"/>
      <w:bookmarkStart w:id="88" w:name="_Toc79163648"/>
    </w:p>
    <w:p>
      <w:pPr>
        <w:spacing w:line="560" w:lineRule="exact"/>
        <w:outlineLvl w:val="0"/>
        <w:rPr>
          <w:rStyle w:val="22"/>
          <w:rFonts w:ascii="仿宋" w:eastAsia="仿宋"/>
          <w:b w:val="0"/>
          <w:bCs w:val="0"/>
        </w:rPr>
      </w:pPr>
      <w:r>
        <w:rPr>
          <w:rStyle w:val="22"/>
          <w:rFonts w:hint="eastAsia" w:ascii="仿宋" w:eastAsia="仿宋"/>
          <w:b w:val="0"/>
          <w:bCs w:val="0"/>
        </w:rPr>
        <w:t>十三、财政拨款“三公”经费支出决算表</w:t>
      </w:r>
      <w:bookmarkEnd w:id="86"/>
      <w:bookmarkEnd w:id="87"/>
      <w:bookmarkEnd w:id="88"/>
    </w:p>
    <w:p>
      <w:pPr>
        <w:widowControl/>
        <w:spacing w:line="560" w:lineRule="exact"/>
        <w:rPr>
          <w:rFonts w:ascii="方正小标宋简体" w:eastAsia="方正小标宋简体" w:cs="方正小标宋简体"/>
          <w:b/>
          <w:color w:val="000000"/>
          <w:sz w:val="44"/>
          <w:szCs w:val="44"/>
        </w:rPr>
      </w:pPr>
    </w:p>
    <w:sectPr>
      <w:headerReference r:id="rId3" w:type="default"/>
      <w:footerReference r:id="rId5" w:type="default"/>
      <w:headerReference r:id="rId4" w:type="even"/>
      <w:pgSz w:w="11906" w:h="16838"/>
      <w:pgMar w:top="2098" w:right="1474" w:bottom="1985"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CESI楷体-GB2312">
    <w:panose1 w:val="02000500000000000000"/>
    <w:charset w:val="86"/>
    <w:family w:val="auto"/>
    <w:pitch w:val="default"/>
    <w:sig w:usb0="800002BF" w:usb1="184F6CF8" w:usb2="00000012"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300" cy="285115"/>
              <wp:effectExtent l="0" t="0" r="0" b="0"/>
              <wp:wrapNone/>
              <wp:docPr id="1" name="_x0000_s2049"/>
              <wp:cNvGraphicFramePr/>
              <a:graphic xmlns:a="http://schemas.openxmlformats.org/drawingml/2006/main">
                <a:graphicData uri="http://schemas.microsoft.com/office/word/2010/wordprocessingShape">
                  <wps:wsp>
                    <wps:cNvSpPr/>
                    <wps:spPr>
                      <a:xfrm>
                        <a:off x="0" y="0"/>
                        <a:ext cx="114300" cy="285045"/>
                      </a:xfrm>
                      <a:prstGeom prst="rect">
                        <a:avLst/>
                      </a:prstGeom>
                      <a:noFill/>
                      <a:ln w="9525" cap="flat" cmpd="sng">
                        <a:noFill/>
                        <a:prstDash val="solid"/>
                        <a:miter/>
                      </a:ln>
                      <a:effectLst/>
                    </wps:spPr>
                    <wps:txbx>
                      <w:txbxContent>
                        <w:p>
                          <w:pPr>
                            <w:pStyle w:val="3"/>
                            <w:jc w:val="center"/>
                          </w:pPr>
                          <w:r>
                            <w:fldChar w:fldCharType="begin"/>
                          </w:r>
                          <w:r>
                            <w:instrText xml:space="preserve">PAGE   \* MERGEFORMAT</w:instrText>
                          </w:r>
                          <w:r>
                            <w:fldChar w:fldCharType="separate"/>
                          </w:r>
                          <w:r>
                            <w:rPr>
                              <w:lang w:val="zh-CN"/>
                            </w:rPr>
                            <w:t>1</w:t>
                          </w:r>
                          <w:r>
                            <w:rPr>
                              <w:lang w:val="zh-CN"/>
                            </w:rPr>
                            <w:fldChar w:fldCharType="end"/>
                          </w:r>
                        </w:p>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22.45pt;width:9pt;mso-position-horizontal:center;mso-position-horizontal-relative:margin;mso-wrap-style:none;z-index:251662336;mso-width-relative:page;mso-height-relative:page;" filled="f" stroked="f" coordsize="21600,21600" o:gfxdata="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8XPOA0QAAAAMBAAAPAAAAAAAAAAEAIAAA&#10;ADgAAABkcnMvZG93bnJldi54bWxQSwECFAAUAAAACACHTuJAI0gTg/0BAAADBAAADgAAAAAAAAAB&#10;ACAAAAA2AQAAZHJzL2Uyb0RvYy54bWxQSwUGAAAAAAYABgBZAQAApQUAAAAA&#10;">
              <v:fill on="f" focussize="0,0"/>
              <v:stroke on="f" joinstyle="miter"/>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1</w:t>
                    </w:r>
                    <w:r>
                      <w:rPr>
                        <w:lang w:val="zh-CN"/>
                      </w:rPr>
                      <w:fldChar w:fldCharType="end"/>
                    </w:r>
                  </w:p>
                  <w:p/>
                </w:txbxContent>
              </v:textbox>
            </v:rect>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C4F32"/>
    <w:multiLevelType w:val="singleLevel"/>
    <w:tmpl w:val="818C4F32"/>
    <w:lvl w:ilvl="0" w:tentative="0">
      <w:start w:val="1"/>
      <w:numFmt w:val="decimal"/>
      <w:lvlText w:val="%1."/>
      <w:lvlJc w:val="left"/>
      <w:pPr>
        <w:ind w:left="0" w:firstLine="0"/>
      </w:pPr>
    </w:lvl>
  </w:abstractNum>
  <w:abstractNum w:abstractNumId="1">
    <w:nsid w:val="99EF519D"/>
    <w:multiLevelType w:val="singleLevel"/>
    <w:tmpl w:val="99EF519D"/>
    <w:lvl w:ilvl="0" w:tentative="0">
      <w:start w:val="4"/>
      <w:numFmt w:val="chineseCounting"/>
      <w:suff w:val="nothing"/>
      <w:lvlText w:val="(%1）"/>
      <w:lvlJc w:val="left"/>
      <w:pPr>
        <w:ind w:left="0" w:firstLine="0"/>
      </w:pPr>
      <w:rPr>
        <w:rFonts w:hint="eastAsia"/>
      </w:rPr>
    </w:lvl>
  </w:abstractNum>
  <w:abstractNum w:abstractNumId="2">
    <w:nsid w:val="D78C10A8"/>
    <w:multiLevelType w:val="singleLevel"/>
    <w:tmpl w:val="D78C10A8"/>
    <w:lvl w:ilvl="0" w:tentative="0">
      <w:start w:val="1"/>
      <w:numFmt w:val="chineseCounting"/>
      <w:suff w:val="nothing"/>
      <w:lvlText w:val="%1、"/>
      <w:lvlJc w:val="left"/>
      <w:pPr>
        <w:ind w:left="0" w:firstLine="0"/>
      </w:pPr>
      <w:rPr>
        <w:rFonts w:hint="eastAsia" w:cs="Times New Roman"/>
      </w:rPr>
    </w:lvl>
  </w:abstractNum>
  <w:abstractNum w:abstractNumId="3">
    <w:nsid w:val="3717F156"/>
    <w:multiLevelType w:val="singleLevel"/>
    <w:tmpl w:val="3717F156"/>
    <w:lvl w:ilvl="0" w:tentative="0">
      <w:start w:val="1"/>
      <w:numFmt w:val="chineseCounting"/>
      <w:suff w:val="nothing"/>
      <w:lvlText w:val="%1、"/>
      <w:lvlJc w:val="left"/>
      <w:pPr>
        <w:ind w:left="0" w:firstLine="0"/>
      </w:pPr>
      <w:rPr>
        <w:rFonts w:hint="eastAsia"/>
      </w:rPr>
    </w:lvl>
  </w:abstractNum>
  <w:abstractNum w:abstractNumId="4">
    <w:nsid w:val="69411C9E"/>
    <w:multiLevelType w:val="singleLevel"/>
    <w:tmpl w:val="69411C9E"/>
    <w:lvl w:ilvl="0" w:tentative="0">
      <w:start w:val="8"/>
      <w:numFmt w:val="chineseCounting"/>
      <w:suff w:val="nothing"/>
      <w:lvlText w:val="%1、"/>
      <w:lvlJc w:val="left"/>
      <w:pPr>
        <w:ind w:left="0" w:firstLine="0"/>
      </w:pPr>
      <w:rPr>
        <w:rFonts w:hint="eastAsia" w:cs="Times New Roman"/>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MGUwNmQwNTJmZGE2OTQ5NTdlZDA1Y2U3YWQ1ZGQifQ=="/>
  </w:docVars>
  <w:rsids>
    <w:rsidRoot w:val="008E3696"/>
    <w:rsid w:val="00032479"/>
    <w:rsid w:val="003B2425"/>
    <w:rsid w:val="003B424A"/>
    <w:rsid w:val="004D2366"/>
    <w:rsid w:val="00573795"/>
    <w:rsid w:val="005828D9"/>
    <w:rsid w:val="005C2E36"/>
    <w:rsid w:val="008E3696"/>
    <w:rsid w:val="009B6CAF"/>
    <w:rsid w:val="00B54BAB"/>
    <w:rsid w:val="14101C27"/>
    <w:rsid w:val="5A0507C0"/>
    <w:rsid w:val="5C1C79E2"/>
    <w:rsid w:val="7B3B080A"/>
    <w:rsid w:val="AFFCC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0"/>
    <w:pPr>
      <w:keepNext/>
      <w:keepLines/>
      <w:spacing w:before="260" w:after="260" w:line="415" w:lineRule="auto"/>
      <w:outlineLvl w:val="1"/>
    </w:pPr>
    <w:rPr>
      <w:rFonts w:ascii="Cambria" w:hAnsi="Cambria" w:cs="Cambria"/>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3"/>
    <w:qFormat/>
    <w:uiPriority w:val="0"/>
    <w:pPr>
      <w:widowControl/>
      <w:spacing w:before="100" w:beforeAutospacing="1" w:after="100" w:afterAutospacing="1"/>
      <w:jc w:val="left"/>
    </w:pPr>
    <w:rPr>
      <w:rFonts w:ascii="宋体"/>
      <w:kern w:val="0"/>
      <w:sz w:val="24"/>
    </w:rPr>
  </w:style>
  <w:style w:type="paragraph" w:styleId="3">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7">
    <w:name w:val="Document Map"/>
    <w:basedOn w:val="1"/>
    <w:qFormat/>
    <w:uiPriority w:val="0"/>
    <w:pPr>
      <w:shd w:val="clear" w:color="auto" w:fill="000080"/>
    </w:pPr>
  </w:style>
  <w:style w:type="paragraph" w:styleId="8">
    <w:name w:val="Body Text"/>
    <w:basedOn w:val="1"/>
    <w:qFormat/>
    <w:uiPriority w:val="0"/>
    <w:pPr>
      <w:spacing w:beforeLines="30"/>
    </w:pPr>
    <w:rPr>
      <w:rFonts w:ascii="仿宋_GB2312" w:eastAsia="仿宋_GB2312"/>
      <w:kern w:val="0"/>
      <w:sz w:val="24"/>
      <w:szCs w:val="20"/>
    </w:rPr>
  </w:style>
  <w:style w:type="paragraph" w:styleId="9">
    <w:name w:val="Body Text Indent"/>
    <w:basedOn w:val="1"/>
    <w:qFormat/>
    <w:uiPriority w:val="0"/>
    <w:pPr>
      <w:spacing w:after="120"/>
      <w:ind w:left="200" w:leftChars="200"/>
    </w:pPr>
    <w:rPr>
      <w:rFonts w:ascii="仿宋_GB2312" w:hAnsi="仿宋_GB2312"/>
    </w:r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0"/>
    <w:pPr>
      <w:tabs>
        <w:tab w:val="right" w:leader="dot" w:pos="8296"/>
      </w:tabs>
      <w:spacing w:before="93"/>
      <w:jc w:val="center"/>
    </w:pPr>
    <w:rPr>
      <w:rFonts w:ascii="??" w:hAnsi="??" w:cs="??"/>
      <w:sz w:val="28"/>
      <w:szCs w:val="28"/>
    </w:rPr>
  </w:style>
  <w:style w:type="paragraph" w:styleId="14">
    <w:name w:val="toc 2"/>
    <w:basedOn w:val="1"/>
    <w:next w:val="1"/>
    <w:qFormat/>
    <w:uiPriority w:val="0"/>
    <w:pPr>
      <w:tabs>
        <w:tab w:val="right" w:leader="dot" w:pos="8296"/>
      </w:tabs>
      <w:ind w:left="200" w:leftChars="200"/>
    </w:pPr>
  </w:style>
  <w:style w:type="paragraph" w:styleId="15">
    <w:name w:val="Body Text First Indent 2"/>
    <w:basedOn w:val="9"/>
    <w:qFormat/>
    <w:uiPriority w:val="0"/>
    <w:pPr>
      <w:ind w:firstLine="200" w:firstLineChars="200"/>
    </w:pPr>
  </w:style>
  <w:style w:type="character" w:styleId="18">
    <w:name w:val="Strong"/>
    <w:basedOn w:val="17"/>
    <w:qFormat/>
    <w:uiPriority w:val="0"/>
    <w:rPr>
      <w:rFonts w:cs="Times New Roman"/>
      <w:b/>
      <w:bCs/>
    </w:rPr>
  </w:style>
  <w:style w:type="character" w:styleId="19">
    <w:name w:val="FollowedHyperlink"/>
    <w:basedOn w:val="17"/>
    <w:qFormat/>
    <w:uiPriority w:val="0"/>
    <w:rPr>
      <w:color w:val="800080"/>
      <w:u w:val="single"/>
    </w:rPr>
  </w:style>
  <w:style w:type="character" w:styleId="20">
    <w:name w:val="Hyperlink"/>
    <w:basedOn w:val="17"/>
    <w:qFormat/>
    <w:uiPriority w:val="0"/>
    <w:rPr>
      <w:rFonts w:cs="Times New Roman"/>
      <w:color w:val="0000FF"/>
      <w:u w:val="single"/>
    </w:rPr>
  </w:style>
  <w:style w:type="character" w:customStyle="1" w:styleId="21">
    <w:name w:val="标题 1 Char"/>
    <w:basedOn w:val="17"/>
    <w:link w:val="4"/>
    <w:qFormat/>
    <w:uiPriority w:val="0"/>
    <w:rPr>
      <w:rFonts w:ascii="Times New Roman" w:hAnsi="Times New Roman" w:eastAsia="宋体" w:cs="Times New Roman"/>
      <w:b/>
      <w:bCs/>
      <w:kern w:val="44"/>
      <w:sz w:val="44"/>
      <w:szCs w:val="44"/>
      <w:lang w:val="en-US" w:eastAsia="zh-CN" w:bidi="ar-SA"/>
    </w:rPr>
  </w:style>
  <w:style w:type="character" w:customStyle="1" w:styleId="22">
    <w:name w:val="标题 2 Char"/>
    <w:basedOn w:val="17"/>
    <w:link w:val="5"/>
    <w:qFormat/>
    <w:uiPriority w:val="0"/>
    <w:rPr>
      <w:rFonts w:ascii="Cambria" w:hAnsi="Cambria" w:eastAsia="宋体" w:cs="Cambria"/>
      <w:b/>
      <w:bCs/>
      <w:kern w:val="2"/>
      <w:sz w:val="32"/>
      <w:szCs w:val="32"/>
      <w:lang w:val="en-US" w:eastAsia="zh-CN" w:bidi="ar-SA"/>
    </w:rPr>
  </w:style>
  <w:style w:type="paragraph" w:customStyle="1" w:styleId="23">
    <w:name w:val="Default"/>
    <w:qFormat/>
    <w:uiPriority w:val="0"/>
    <w:pPr>
      <w:widowControl w:val="0"/>
      <w:autoSpaceDE w:val="0"/>
      <w:autoSpaceDN w:val="0"/>
      <w:adjustRightInd w:val="0"/>
    </w:pPr>
    <w:rPr>
      <w:rFonts w:ascii="??" w:hAnsi="??" w:eastAsia="Times New Roman" w:cs="??"/>
      <w:color w:val="000000"/>
      <w:sz w:val="24"/>
      <w:szCs w:val="24"/>
      <w:lang w:val="en-US" w:eastAsia="zh-CN" w:bidi="ar-SA"/>
    </w:rPr>
  </w:style>
  <w:style w:type="paragraph" w:styleId="24">
    <w:name w:val="List Paragraph"/>
    <w:basedOn w:val="1"/>
    <w:qFormat/>
    <w:uiPriority w:val="0"/>
    <w:pPr>
      <w:ind w:firstLine="200" w:firstLineChars="200"/>
    </w:pPr>
  </w:style>
  <w:style w:type="paragraph" w:customStyle="1" w:styleId="25">
    <w:name w:val="TOC Heading1"/>
    <w:basedOn w:val="4"/>
    <w:next w:val="1"/>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26">
    <w:name w:val="xl63"/>
    <w:basedOn w:val="1"/>
    <w:qFormat/>
    <w:uiPriority w:val="0"/>
    <w:pPr>
      <w:widowControl/>
      <w:spacing w:before="100" w:beforeAutospacing="1" w:after="100" w:afterAutospacing="1"/>
      <w:jc w:val="right"/>
    </w:pPr>
    <w:rPr>
      <w:rFonts w:ascii="宋体" w:cs="宋体"/>
      <w:color w:val="000000"/>
      <w:kern w:val="0"/>
      <w:sz w:val="14"/>
      <w:szCs w:val="14"/>
    </w:rPr>
  </w:style>
  <w:style w:type="paragraph" w:customStyle="1" w:styleId="27">
    <w:name w:val="xl64"/>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center"/>
    </w:pPr>
    <w:rPr>
      <w:rFonts w:ascii="宋体" w:cs="宋体"/>
      <w:b/>
      <w:bCs/>
      <w:color w:val="000000"/>
      <w:kern w:val="0"/>
      <w:sz w:val="18"/>
      <w:szCs w:val="18"/>
    </w:rPr>
  </w:style>
  <w:style w:type="paragraph" w:customStyle="1" w:styleId="28">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宋体" w:cs="宋体"/>
      <w:color w:val="000000"/>
      <w:kern w:val="0"/>
      <w:sz w:val="18"/>
      <w:szCs w:val="18"/>
    </w:rPr>
  </w:style>
  <w:style w:type="paragraph" w:customStyle="1" w:styleId="29">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Courier New" w:hAnsi="Courier New" w:cs="Courier New"/>
      <w:color w:val="000000"/>
      <w:kern w:val="0"/>
      <w:sz w:val="18"/>
      <w:szCs w:val="18"/>
    </w:rPr>
  </w:style>
  <w:style w:type="paragraph" w:customStyle="1" w:styleId="30">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right"/>
    </w:pPr>
    <w:rPr>
      <w:rFonts w:ascii="宋体" w:cs="宋体"/>
      <w:color w:val="000000"/>
      <w:kern w:val="0"/>
      <w:sz w:val="18"/>
      <w:szCs w:val="18"/>
    </w:rPr>
  </w:style>
  <w:style w:type="paragraph" w:customStyle="1" w:styleId="3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color w:val="000000"/>
      <w:kern w:val="0"/>
      <w:sz w:val="18"/>
      <w:szCs w:val="18"/>
    </w:rPr>
  </w:style>
  <w:style w:type="paragraph" w:customStyle="1" w:styleId="3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cs="宋体"/>
      <w:color w:val="000000"/>
      <w:kern w:val="0"/>
      <w:sz w:val="18"/>
      <w:szCs w:val="18"/>
    </w:rPr>
  </w:style>
  <w:style w:type="paragraph" w:customStyle="1" w:styleId="3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color w:val="000000"/>
      <w:kern w:val="0"/>
      <w:sz w:val="18"/>
      <w:szCs w:val="18"/>
    </w:rPr>
  </w:style>
  <w:style w:type="paragraph" w:customStyle="1" w:styleId="34">
    <w:name w:val="xl71"/>
    <w:basedOn w:val="1"/>
    <w:qFormat/>
    <w:uiPriority w:val="0"/>
    <w:pPr>
      <w:widowControl/>
      <w:spacing w:before="100" w:beforeAutospacing="1" w:after="100" w:afterAutospacing="1"/>
      <w:jc w:val="left"/>
    </w:pPr>
    <w:rPr>
      <w:rFonts w:ascii="宋体" w:cs="宋体"/>
      <w:kern w:val="0"/>
      <w:sz w:val="18"/>
      <w:szCs w:val="18"/>
    </w:rPr>
  </w:style>
  <w:style w:type="paragraph" w:customStyle="1" w:styleId="35">
    <w:name w:val="xl72"/>
    <w:basedOn w:val="1"/>
    <w:qFormat/>
    <w:uiPriority w:val="0"/>
    <w:pPr>
      <w:widowControl/>
      <w:spacing w:before="100" w:beforeAutospacing="1" w:after="100" w:afterAutospacing="1"/>
      <w:jc w:val="left"/>
    </w:pPr>
    <w:rPr>
      <w:rFonts w:ascii="宋体" w:cs="宋体"/>
      <w:color w:val="C0C0C0"/>
      <w:kern w:val="0"/>
      <w:sz w:val="20"/>
      <w:szCs w:val="20"/>
    </w:rPr>
  </w:style>
  <w:style w:type="paragraph" w:customStyle="1" w:styleId="36">
    <w:name w:val="xl73"/>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7">
    <w:name w:val="xl74"/>
    <w:basedOn w:val="1"/>
    <w:qFormat/>
    <w:uiPriority w:val="0"/>
    <w:pPr>
      <w:widowControl/>
      <w:spacing w:before="100" w:beforeAutospacing="1" w:after="100" w:afterAutospacing="1"/>
      <w:jc w:val="center"/>
    </w:pPr>
    <w:rPr>
      <w:rFonts w:ascii="Courier New" w:hAnsi="Courier New" w:cs="Courier New"/>
      <w:b/>
      <w:bCs/>
      <w:color w:val="000000"/>
      <w:kern w:val="0"/>
      <w:sz w:val="30"/>
      <w:szCs w:val="30"/>
    </w:rPr>
  </w:style>
  <w:style w:type="paragraph" w:customStyle="1" w:styleId="38">
    <w:name w:val="四号正文"/>
    <w:basedOn w:val="1"/>
    <w:qFormat/>
    <w:uiPriority w:val="0"/>
    <w:pPr>
      <w:spacing w:line="360" w:lineRule="auto"/>
    </w:pPr>
    <w:rPr>
      <w:rFonts w:ascii="??" w:hAnsi="??"/>
      <w:color w:val="000000"/>
      <w:kern w:val="0"/>
      <w:sz w:val="28"/>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chart" Target="charts/chart2.xml"/><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8888560327339"/>
          <c:y val="0.00367647058823529"/>
          <c:w val="0.650512670632328"/>
          <c:h val="0.767156862745098"/>
        </c:manualLayout>
      </c:layout>
      <c:pie3DChart>
        <c:varyColors val="1"/>
        <c:ser>
          <c:idx val="0"/>
          <c:order val="0"/>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178.47, 32.94%</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363.41, 67.06%</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Sheet1!$D$10:$D$11</c:f>
              <c:strCache>
                <c:ptCount val="2"/>
                <c:pt idx="0">
                  <c:v>基本支出</c:v>
                </c:pt>
                <c:pt idx="1">
                  <c:v>项目支出</c:v>
                </c:pt>
              </c:strCache>
            </c:strRef>
          </c:cat>
          <c:val>
            <c:numRef>
              <c:f>Sheet1!$E$10:$E$11</c:f>
              <c:numCache>
                <c:formatCode>General</c:formatCode>
                <c:ptCount val="2"/>
                <c:pt idx="0">
                  <c:v>178.47</c:v>
                </c:pt>
                <c:pt idx="1">
                  <c:v>363.41</c:v>
                </c:pt>
              </c:numCache>
            </c:numRef>
          </c:val>
        </c:ser>
        <c:dLbls>
          <c:showLegendKey val="0"/>
          <c:showVal val="1"/>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39.56, 7.30%</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264.45, 48.80%</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51.21, 9.45%</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21.06, 3.89%</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138.91, 25.63%</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26.69, 4.93%</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Sheet1!$D$8:$D$13</c:f>
              <c:strCache>
                <c:ptCount val="6"/>
                <c:pt idx="0">
                  <c:v>一般公共服务支出</c:v>
                </c:pt>
                <c:pt idx="1">
                  <c:v>教育支出</c:v>
                </c:pt>
                <c:pt idx="2">
                  <c:v>社会保障和就业支出</c:v>
                </c:pt>
                <c:pt idx="3">
                  <c:v>卫生健康支出</c:v>
                </c:pt>
                <c:pt idx="4">
                  <c:v>农林水支出</c:v>
                </c:pt>
                <c:pt idx="5">
                  <c:v>住房保障支出</c:v>
                </c:pt>
              </c:strCache>
            </c:strRef>
          </c:cat>
          <c:val>
            <c:numRef>
              <c:f>Sheet1!$E$8:$E$13</c:f>
              <c:numCache>
                <c:formatCode>General</c:formatCode>
                <c:ptCount val="6"/>
                <c:pt idx="0">
                  <c:v>39.56</c:v>
                </c:pt>
                <c:pt idx="1">
                  <c:v>264.45</c:v>
                </c:pt>
                <c:pt idx="2">
                  <c:v>51.21</c:v>
                </c:pt>
                <c:pt idx="3">
                  <c:v>21.06</c:v>
                </c:pt>
                <c:pt idx="4">
                  <c:v>138.91</c:v>
                </c:pt>
                <c:pt idx="5">
                  <c:v>26.69</c:v>
                </c:pt>
              </c:numCache>
            </c:numRef>
          </c:val>
        </c:ser>
        <c:dLbls>
          <c:showLegendKey val="0"/>
          <c:showVal val="1"/>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1861</Words>
  <Characters>10608</Characters>
  <Lines>88</Lines>
  <Paragraphs>24</Paragraphs>
  <TotalTime>83</TotalTime>
  <ScaleCrop>false</ScaleCrop>
  <LinksUpToDate>false</LinksUpToDate>
  <CharactersWithSpaces>12445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2024-09-20T10:58:00Z</cp:lastPrinted>
  <dcterms:modified xsi:type="dcterms:W3CDTF">2026-06-01T17:07:46Z</dcterms:modified>
  <dc:title>四川省***</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B6E2F34B5C324041A5C9386612D2B941</vt:lpwstr>
  </property>
  <property fmtid="{D5CDD505-2E9C-101B-9397-08002B2CF9AE}" pid="4" name="KSOTemplateDocerSaveRecord">
    <vt:lpwstr>eyJoZGlkIjoiODkyNDZiNDM5MzQyNWU2OGZhMDBhNGFkMTdmYjQwNzciLCJ1c2VySWQiOiIzODkyNzQ4NzUifQ==</vt:lpwstr>
  </property>
</Properties>
</file>